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3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1.xml" ContentType="application/vnd.openxmlformats-officedocument.wordprocessingml.people+xml"/>
</Types>
</file>

<file path=_rels/.rels><?xml version="1.0" encoding="UTF-8" standalone="yes"?>
<Relationships xmlns="http://schemas.openxmlformats.org/package/2006/relationships"><Relationship Id="rId3" Type="http://purl.oclc.org/ooxml/officeDocument/relationships/extendedProperties" Target="docProps/app.xml"/><Relationship Id="rId2" Type="http://schemas.openxmlformats.org/package/2006/relationships/metadata/core-properties" Target="docProps/core.xml"/><Relationship Id="rId1" Type="http://purl.oclc.org/ooxml/officeDocument/relationships/officeDocument" Target="word/document.xml"/><Relationship Id="rId4" Type="http://purl.oclc.org/ooxml/officeDocument/relationships/customProperties" Target="docProps/custom.xml"/></Relationships>
</file>

<file path=word/document.xml><?xml version="1.0" encoding="utf-8"?>
<w:document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conformance="strict">
  <w:body>
    <w:p w:rsidR="006B0514" w:rsidRPr="000511F0" w:rsidRDefault="006B0514" w:rsidP="000511F0">
      <w:bookmarkStart w:id="0" w:name="_Hlk92978322"/>
      <w:bookmarkStart w:id="1" w:name="_Toc58578761"/>
      <w:bookmarkStart w:id="2" w:name="_Toc53498405"/>
      <w:bookmarkStart w:id="3" w:name="_Toc53490396"/>
      <w:bookmarkStart w:id="4" w:name="_Toc53488464"/>
      <w:bookmarkStart w:id="5" w:name="_Toc26980613"/>
      <w:bookmarkStart w:id="6" w:name="_Toc43913131"/>
      <w:bookmarkStart w:id="7" w:name="_Toc26903889"/>
      <w:bookmarkStart w:id="8" w:name="_Toc26284904"/>
      <w:bookmarkStart w:id="9" w:name="_Toc26281368"/>
      <w:bookmarkStart w:id="10" w:name="_Toc24477558"/>
      <w:bookmarkStart w:id="11" w:name="_Toc24473429"/>
      <w:bookmarkStart w:id="12" w:name="_Toc2957104"/>
      <w:bookmarkStart w:id="13" w:name="_Toc525919294"/>
      <w:bookmarkStart w:id="14" w:name="_Toc525919170"/>
      <w:bookmarkStart w:id="15" w:name="_Toc525913931"/>
      <w:bookmarkStart w:id="16" w:name="_Toc525904535"/>
      <w:bookmarkStart w:id="17" w:name="_Toc467248671"/>
      <w:bookmarkStart w:id="18" w:name="_Toc436875861"/>
      <w:bookmarkStart w:id="19" w:name="_Toc436870869"/>
      <w:bookmarkStart w:id="20" w:name="_Toc436866290"/>
      <w:bookmarkStart w:id="21" w:name="_Toc436862640"/>
      <w:bookmarkStart w:id="22" w:name="_Toc436856494"/>
      <w:bookmarkStart w:id="23" w:name="_Toc436848246"/>
      <w:bookmarkStart w:id="24" w:name="_Toc436846296"/>
      <w:bookmarkStart w:id="25" w:name="_Toc436840859"/>
      <w:bookmarkStart w:id="26" w:name="_Toc435110209"/>
      <w:bookmarkStart w:id="27" w:name="_Toc434934629"/>
      <w:bookmarkStart w:id="28" w:name="_Toc434932721"/>
      <w:bookmarkStart w:id="29" w:name="_Toc434932567"/>
      <w:bookmarkStart w:id="30" w:name="_Toc434858815"/>
      <w:bookmarkStart w:id="31" w:name="_Toc434626638"/>
      <w:bookmarkStart w:id="32" w:name="_Toc434612303"/>
      <w:bookmarkEnd w:id="0"/>
    </w:p>
    <w:p w:rsidR="00446018" w:rsidRDefault="00E56462" w:rsidP="00035D2C">
      <w:pPr>
        <w:pStyle w:val="Texto1"/>
        <w:spacing w:after="10pt" w:line="13.80pt" w:lineRule="auto"/>
        <w:rPr>
          <w:rFonts w:ascii="Century Gothic" w:hAnsi="Century Gothic" w:cs="Arial"/>
          <w:b/>
        </w:rPr>
      </w:pPr>
      <w:r>
        <w:rPr>
          <w:rFonts w:ascii="Century Gothic" w:hAnsi="Century Gothic" w:cs="Arial"/>
          <w:noProof/>
          <w:lang w:val="es-MX" w:eastAsia="es-MX"/>
        </w:rPr>
        <w:drawing>
          <wp:inline distT="0" distB="0" distL="0" distR="0" wp14:anchorId="2A49D8EF" wp14:editId="6E1410AE">
            <wp:extent cx="5678303" cy="7458255"/>
            <wp:effectExtent l="38100" t="38100" r="36830" b="47625"/>
            <wp:docPr id="9" name="Rectángulo: esquinas redondeadas 9"/>
            <wp:cNvGraphicFramePr/>
            <a:graphic xmlns:a="http://purl.oclc.org/ooxml/drawingml/main">
              <a:graphicData uri="http://schemas.microsoft.com/office/word/2010/wordprocessingShape">
                <wp:wsp>
                  <wp:cNvSpPr/>
                  <wp:spPr>
                    <a:xfrm>
                      <a:off x="0" y="0"/>
                      <a:ext cx="5678303" cy="7458255"/>
                    </a:xfrm>
                    <a:prstGeom prst="roundRect">
                      <a:avLst>
                        <a:gd name="adj" fmla="val 6030"/>
                      </a:avLst>
                    </a:prstGeom>
                    <a:noFill/>
                    <a:ln w="76200">
                      <a:solidFill>
                        <a:srgbClr val="009AD9"/>
                      </a:solidFill>
                      <a:prstDash val="solid"/>
                      <a:miter lim="800%"/>
                    </a:ln>
                    <a:effectLst/>
                  </wp:spPr>
                  <wp:txbx>
                    <wne:txbxContent>
                      <w:p w:rsidR="000511F0" w:rsidRDefault="000511F0" w:rsidP="00446018">
                        <w:pPr>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5538C392" wp14:editId="7DB39CBD">
                              <wp:extent cx="2552700" cy="1438275"/>
                              <wp:effectExtent l="0" t="0" r="0" b="9525"/>
                              <wp:docPr id="16" name="Imagen 5"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576"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rsidR="000511F0" w:rsidRDefault="000511F0" w:rsidP="00446018">
                        <w:pPr>
                          <w:jc w:val="center"/>
                          <w:rPr>
                            <w:rFonts w:ascii="Century Gothic" w:hAnsi="Century Gothic" w:cs="Arial"/>
                            <w:b/>
                            <w:noProof/>
                            <w:color w:val="000000"/>
                            <w:sz w:val="26"/>
                            <w:szCs w:val="26"/>
                            <w:lang w:eastAsia="es-MX"/>
                          </w:rPr>
                        </w:pPr>
                      </w:p>
                      <w:p w:rsidR="000511F0" w:rsidRDefault="000511F0" w:rsidP="00446018">
                        <w:pPr>
                          <w:jc w:val="center"/>
                          <w:rPr>
                            <w:rFonts w:ascii="Century Gothic" w:hAnsi="Century Gothic" w:cs="Arial"/>
                            <w:b/>
                            <w:noProof/>
                            <w:color w:val="000000"/>
                            <w:sz w:val="26"/>
                            <w:szCs w:val="26"/>
                            <w:lang w:eastAsia="es-MX"/>
                          </w:rPr>
                        </w:pPr>
                      </w:p>
                      <w:p w:rsidR="000511F0" w:rsidRPr="00A00866" w:rsidRDefault="000511F0" w:rsidP="00446018">
                        <w:pPr>
                          <w:pStyle w:val="Ttulo1"/>
                          <w:spacing w:line="18pt" w:lineRule="auto"/>
                          <w:jc w:val="center"/>
                          <w:rPr>
                            <w:rFonts w:ascii="Century Gothic" w:hAnsi="Century Gothic" w:cs="Times New Roman"/>
                            <w14:scene3d>
                              <w14:camera w14:prst="orthographicFront"/>
                              <w14:lightRig w14:rig="threePt" w14:dir="t">
                                <w14:rot w14:lat="0" w14:lon="0" w14:rev="0"/>
                              </w14:lightRig>
                            </w14:scene3d>
                          </w:rPr>
                        </w:pPr>
                        <w:bookmarkStart w:id="33" w:name="_Toc170381294"/>
                        <w:bookmarkStart w:id="34" w:name="_Toc148702172"/>
                        <w:bookmarkStart w:id="35" w:name="_Toc93056249"/>
                        <w:bookmarkStart w:id="36" w:name="_Toc125393322"/>
                        <w:bookmarkStart w:id="37" w:name="_Toc92973985"/>
                        <w:bookmarkStart w:id="38" w:name="_Toc93052294"/>
                        <w:r w:rsidRPr="00A00866">
                          <w:rPr>
                            <w:rFonts w:ascii="Century Gothic" w:hAnsi="Century Gothic" w:cs="Times New Roman"/>
                            <w14:scene3d>
                              <w14:camera w14:prst="orthographicFront"/>
                              <w14:lightRig w14:rig="threePt" w14:dir="t">
                                <w14:rot w14:lat="0" w14:lon="0" w14:rev="0"/>
                              </w14:lightRig>
                            </w14:scene3d>
                          </w:rPr>
                          <w:t>OFERTA DE REFERENCIA PARA LA DESAGREGACIÓN DEL BUCLE LOCAL</w:t>
                        </w:r>
                        <w:bookmarkEnd w:id="33"/>
                      </w:p>
                      <w:p w:rsidR="000511F0" w:rsidRPr="00A00866" w:rsidRDefault="000511F0" w:rsidP="00446018">
                        <w:pPr>
                          <w:pStyle w:val="Ttulo1"/>
                          <w:spacing w:line="18pt" w:lineRule="auto"/>
                          <w:jc w:val="center"/>
                          <w:rPr>
                            <w:rFonts w:ascii="Century Gothic" w:hAnsi="Century Gothic"/>
                          </w:rPr>
                        </w:pPr>
                      </w:p>
                      <w:p w:rsidR="000511F0" w:rsidRPr="00A00866" w:rsidRDefault="000511F0" w:rsidP="0028714F">
                        <w:pPr>
                          <w:rPr>
                            <w:lang w:val="es-ES" w:eastAsia="es-ES"/>
                          </w:rPr>
                        </w:pPr>
                      </w:p>
                      <w:p w:rsidR="000511F0" w:rsidRPr="00A00866" w:rsidRDefault="000511F0" w:rsidP="0028714F">
                        <w:pPr>
                          <w:jc w:val="center"/>
                          <w:rPr>
                            <w:rFonts w:ascii="Century Gothic" w:hAnsi="Century Gothic"/>
                            <w:b/>
                          </w:rPr>
                        </w:pPr>
                        <w:r w:rsidRPr="00A00866">
                          <w:rPr>
                            <w:rFonts w:ascii="Century Gothic" w:hAnsi="Century Gothic"/>
                            <w:b/>
                          </w:rPr>
                          <w:t>Red Nacional Última Milla, S.A.P.I. de C.V.</w:t>
                        </w:r>
                      </w:p>
                      <w:p w:rsidR="000511F0" w:rsidRPr="00E73C0B" w:rsidRDefault="000511F0" w:rsidP="0028714F">
                        <w:pPr>
                          <w:jc w:val="center"/>
                          <w:rPr>
                            <w:rFonts w:ascii="Century Gothic" w:hAnsi="Century Gothic"/>
                            <w:bCs/>
                            <w:sz w:val="18"/>
                            <w:szCs w:val="18"/>
                          </w:rPr>
                        </w:pPr>
                        <w:r>
                          <w:rPr>
                            <w:rFonts w:ascii="Century Gothic" w:hAnsi="Century Gothic"/>
                            <w:bCs/>
                            <w:sz w:val="18"/>
                            <w:szCs w:val="18"/>
                          </w:rPr>
                          <w:t>(RED NACIONAL)</w:t>
                        </w:r>
                      </w:p>
                      <w:p w:rsidR="000511F0" w:rsidRDefault="000511F0" w:rsidP="0028714F">
                        <w:pPr>
                          <w:rPr>
                            <w:lang w:val="es-ES" w:eastAsia="es-ES"/>
                          </w:rPr>
                        </w:pPr>
                      </w:p>
                      <w:p w:rsidR="000511F0" w:rsidRPr="0028714F" w:rsidRDefault="000511F0" w:rsidP="0028714F">
                        <w:pPr>
                          <w:rPr>
                            <w:lang w:val="es-ES" w:eastAsia="es-ES"/>
                          </w:rPr>
                        </w:pPr>
                      </w:p>
                      <w:p w:rsidR="000511F0" w:rsidRPr="00A00866" w:rsidRDefault="000511F0" w:rsidP="00446018">
                        <w:pPr>
                          <w:spacing w:line="18pt" w:lineRule="auto"/>
                          <w:jc w:val="center"/>
                          <w:rPr>
                            <w:rFonts w:ascii="Century Gothic" w:hAnsi="Century Gothic" w:cs="Arial"/>
                            <w:b/>
                            <w:lang w:val="es-ES"/>
                          </w:rPr>
                        </w:pPr>
                        <w:r w:rsidRPr="00A00866">
                          <w:rPr>
                            <w:rFonts w:ascii="Century Gothic" w:hAnsi="Century Gothic" w:cs="Arial"/>
                            <w:b/>
                            <w:lang w:val="es-ES"/>
                          </w:rPr>
                          <w:t>202</w:t>
                        </w:r>
                        <w:r>
                          <w:rPr>
                            <w:rFonts w:ascii="Century Gothic" w:hAnsi="Century Gothic" w:cs="Arial"/>
                            <w:b/>
                            <w:lang w:val="es-ES"/>
                          </w:rPr>
                          <w:t>6</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9" w:name="_Toc170381295"/>
                        <w:r>
                          <w:rPr>
                            <w:rFonts w:ascii="Century Gothic" w:eastAsiaTheme="minorHAnsi" w:hAnsi="Century Gothic"/>
                            <w:color w:val="auto"/>
                            <w:sz w:val="24"/>
                            <w:szCs w:val="24"/>
                          </w:rPr>
                          <w:t>OFERTA DE REFERENCIA PARA LA DESAGREGACIÓN DEL BUCLE LOCAL</w:t>
                        </w:r>
                        <w:bookmarkEnd w:id="3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0" w:name="_Toc170381296"/>
                        <w:r>
                          <w:rPr>
                            <w:rFonts w:ascii="Century Gothic" w:eastAsiaTheme="minorHAnsi" w:hAnsi="Century Gothic"/>
                            <w:color w:val="auto"/>
                            <w:sz w:val="24"/>
                            <w:szCs w:val="24"/>
                          </w:rPr>
                          <w:t>OFERTA DE REFERENCIA PARA LA DESAGREGACIÓN DEL BUCLE LOCAL</w:t>
                        </w:r>
                        <w:bookmarkEnd w:id="4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1" w:name="_Toc170381297"/>
                        <w:r>
                          <w:rPr>
                            <w:rFonts w:ascii="Century Gothic" w:eastAsiaTheme="minorHAnsi" w:hAnsi="Century Gothic"/>
                            <w:color w:val="auto"/>
                            <w:sz w:val="24"/>
                            <w:szCs w:val="24"/>
                          </w:rPr>
                          <w:t>OFERTA DE REFERENCIA PARA LA DESAGREGACIÓN DEL BUCLE LOCAL</w:t>
                        </w:r>
                        <w:bookmarkEnd w:id="4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2" w:name="_Toc170381298"/>
                        <w:r>
                          <w:rPr>
                            <w:rFonts w:ascii="Century Gothic" w:eastAsiaTheme="minorHAnsi" w:hAnsi="Century Gothic"/>
                            <w:color w:val="auto"/>
                            <w:sz w:val="24"/>
                            <w:szCs w:val="24"/>
                          </w:rPr>
                          <w:t>OFERTA DE REFERENCIA PARA LA DESAGREGACIÓN DEL BUCLE LOCAL</w:t>
                        </w:r>
                        <w:bookmarkEnd w:id="4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3" w:name="_Toc170381299"/>
                        <w:r>
                          <w:rPr>
                            <w:rFonts w:ascii="Century Gothic" w:eastAsiaTheme="minorHAnsi" w:hAnsi="Century Gothic"/>
                            <w:color w:val="auto"/>
                            <w:sz w:val="24"/>
                            <w:szCs w:val="24"/>
                          </w:rPr>
                          <w:t>OFERTA DE REFERENCIA PARA LA DESAGREGACIÓN DEL BUCLE LOCAL</w:t>
                        </w:r>
                        <w:bookmarkEnd w:id="4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4" w:name="_Toc170381300"/>
                        <w:r>
                          <w:rPr>
                            <w:rFonts w:ascii="Century Gothic" w:eastAsiaTheme="minorHAnsi" w:hAnsi="Century Gothic"/>
                            <w:color w:val="auto"/>
                            <w:sz w:val="24"/>
                            <w:szCs w:val="24"/>
                          </w:rPr>
                          <w:t>OFERTA DE REFERENCIA PARA LA DESAGREGACIÓN DEL BUCLE LOCAL</w:t>
                        </w:r>
                        <w:bookmarkEnd w:id="4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5" w:name="_Toc170381301"/>
                        <w:r>
                          <w:rPr>
                            <w:rFonts w:ascii="Century Gothic" w:eastAsiaTheme="minorHAnsi" w:hAnsi="Century Gothic"/>
                            <w:color w:val="auto"/>
                            <w:sz w:val="24"/>
                            <w:szCs w:val="24"/>
                          </w:rPr>
                          <w:t>OFERTA DE REFERENCIA PARA LA DESAGREGACIÓN DEL BUCLE LOCAL</w:t>
                        </w:r>
                        <w:bookmarkEnd w:id="4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6" w:name="_Toc170381302"/>
                        <w:r>
                          <w:rPr>
                            <w:rFonts w:ascii="Century Gothic" w:eastAsiaTheme="minorHAnsi" w:hAnsi="Century Gothic"/>
                            <w:color w:val="auto"/>
                            <w:sz w:val="24"/>
                            <w:szCs w:val="24"/>
                          </w:rPr>
                          <w:t>OFERTA DE REFERENCIA PARA LA DESAGREGACIÓN DEL BUCLE LOCAL</w:t>
                        </w:r>
                        <w:bookmarkEnd w:id="4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7" w:name="_Toc170381303"/>
                        <w:r>
                          <w:rPr>
                            <w:rFonts w:ascii="Century Gothic" w:eastAsiaTheme="minorHAnsi" w:hAnsi="Century Gothic"/>
                            <w:color w:val="auto"/>
                            <w:sz w:val="24"/>
                            <w:szCs w:val="24"/>
                          </w:rPr>
                          <w:t>OFERTA DE REFERENCIA PARA LA DESAGREGACIÓN DEL BUCLE LOCAL</w:t>
                        </w:r>
                        <w:bookmarkEnd w:id="4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8" w:name="_Toc170381304"/>
                        <w:r>
                          <w:rPr>
                            <w:rFonts w:ascii="Century Gothic" w:eastAsiaTheme="minorHAnsi" w:hAnsi="Century Gothic"/>
                            <w:color w:val="auto"/>
                            <w:sz w:val="24"/>
                            <w:szCs w:val="24"/>
                          </w:rPr>
                          <w:t>OFERTA DE REFERENCIA PARA LA DESAGREGACIÓN DEL BUCLE LOCAL</w:t>
                        </w:r>
                        <w:bookmarkEnd w:id="4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9" w:name="_Toc170381305"/>
                        <w:r>
                          <w:rPr>
                            <w:rFonts w:ascii="Century Gothic" w:eastAsiaTheme="minorHAnsi" w:hAnsi="Century Gothic"/>
                            <w:color w:val="auto"/>
                            <w:sz w:val="24"/>
                            <w:szCs w:val="24"/>
                          </w:rPr>
                          <w:t>OFERTA DE REFERENCIA PARA LA DESAGREGACIÓN DEL BUCLE LOCAL</w:t>
                        </w:r>
                        <w:bookmarkEnd w:id="4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0" w:name="_Toc170381306"/>
                        <w:r>
                          <w:rPr>
                            <w:rFonts w:ascii="Century Gothic" w:eastAsiaTheme="minorHAnsi" w:hAnsi="Century Gothic"/>
                            <w:color w:val="auto"/>
                            <w:sz w:val="24"/>
                            <w:szCs w:val="24"/>
                          </w:rPr>
                          <w:t>OFERTA DE REFERENCIA PARA LA DESAGREGACIÓN DEL BUCLE LOCAL</w:t>
                        </w:r>
                        <w:bookmarkEnd w:id="5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1" w:name="_Toc170381307"/>
                        <w:r>
                          <w:rPr>
                            <w:rFonts w:ascii="Century Gothic" w:eastAsiaTheme="minorHAnsi" w:hAnsi="Century Gothic"/>
                            <w:color w:val="auto"/>
                            <w:sz w:val="24"/>
                            <w:szCs w:val="24"/>
                          </w:rPr>
                          <w:t>OFERTA DE REFERENCIA PARA LA DESAGREGACIÓN DEL BUCLE LOCAL</w:t>
                        </w:r>
                        <w:bookmarkEnd w:id="5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2" w:name="_Toc170381308"/>
                        <w:r>
                          <w:rPr>
                            <w:rFonts w:ascii="Century Gothic" w:eastAsiaTheme="minorHAnsi" w:hAnsi="Century Gothic"/>
                            <w:color w:val="auto"/>
                            <w:sz w:val="24"/>
                            <w:szCs w:val="24"/>
                          </w:rPr>
                          <w:t>OFERTA DE REFERENCIA PARA LA DESAGREGACIÓN DEL BUCLE LOCAL</w:t>
                        </w:r>
                        <w:bookmarkEnd w:id="5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3" w:name="_Toc170381309"/>
                        <w:r>
                          <w:rPr>
                            <w:rFonts w:ascii="Century Gothic" w:eastAsiaTheme="minorHAnsi" w:hAnsi="Century Gothic"/>
                            <w:color w:val="auto"/>
                            <w:sz w:val="24"/>
                            <w:szCs w:val="24"/>
                          </w:rPr>
                          <w:t>OFERTA DE REFERENCIA PARA LA DESAGREGACIÓN DEL BUCLE LOCAL</w:t>
                        </w:r>
                        <w:bookmarkEnd w:id="5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4" w:name="_Toc170381310"/>
                        <w:r>
                          <w:rPr>
                            <w:rFonts w:ascii="Century Gothic" w:eastAsiaTheme="minorHAnsi" w:hAnsi="Century Gothic"/>
                            <w:color w:val="auto"/>
                            <w:sz w:val="24"/>
                            <w:szCs w:val="24"/>
                          </w:rPr>
                          <w:t>OFERTA DE REFERENCIA PARA LA DESAGREGACIÓN DEL BUCLE LOCAL</w:t>
                        </w:r>
                        <w:bookmarkEnd w:id="5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5" w:name="_Toc170381311"/>
                        <w:r>
                          <w:rPr>
                            <w:rFonts w:ascii="Century Gothic" w:eastAsiaTheme="minorHAnsi" w:hAnsi="Century Gothic"/>
                            <w:color w:val="auto"/>
                            <w:sz w:val="24"/>
                            <w:szCs w:val="24"/>
                          </w:rPr>
                          <w:t>OFERTA DE REFERENCIA PARA LA DESAGREGACIÓN DEL BUCLE LOCAL</w:t>
                        </w:r>
                        <w:bookmarkEnd w:id="5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6" w:name="_Toc170381312"/>
                        <w:r>
                          <w:rPr>
                            <w:rFonts w:ascii="Century Gothic" w:eastAsiaTheme="minorHAnsi" w:hAnsi="Century Gothic"/>
                            <w:color w:val="auto"/>
                            <w:sz w:val="24"/>
                            <w:szCs w:val="24"/>
                          </w:rPr>
                          <w:t>OFERTA DE REFERENCIA PARA LA DESAGREGACIÓN DEL BUCLE LOCAL</w:t>
                        </w:r>
                        <w:bookmarkEnd w:id="5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7" w:name="_Toc170381313"/>
                        <w:r>
                          <w:rPr>
                            <w:rFonts w:ascii="Century Gothic" w:eastAsiaTheme="minorHAnsi" w:hAnsi="Century Gothic"/>
                            <w:color w:val="auto"/>
                            <w:sz w:val="24"/>
                            <w:szCs w:val="24"/>
                          </w:rPr>
                          <w:t>OFERTA DE REFERENCIA PARA LA DESAGREGACIÓN DEL BUCLE LOCAL</w:t>
                        </w:r>
                        <w:bookmarkEnd w:id="5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8" w:name="_Toc170381314"/>
                        <w:r>
                          <w:rPr>
                            <w:rFonts w:ascii="Century Gothic" w:eastAsiaTheme="minorHAnsi" w:hAnsi="Century Gothic"/>
                            <w:color w:val="auto"/>
                            <w:sz w:val="24"/>
                            <w:szCs w:val="24"/>
                          </w:rPr>
                          <w:t>OFERTA DE REFERENCIA PARA LA DESAGREGACIÓN DEL BUCLE LOCAL</w:t>
                        </w:r>
                        <w:bookmarkEnd w:id="5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9" w:name="_Toc170381315"/>
                        <w:r>
                          <w:rPr>
                            <w:rFonts w:ascii="Century Gothic" w:eastAsiaTheme="minorHAnsi" w:hAnsi="Century Gothic"/>
                            <w:color w:val="auto"/>
                            <w:sz w:val="24"/>
                            <w:szCs w:val="24"/>
                          </w:rPr>
                          <w:t>OFERTA DE REFERENCIA PARA LA DESAGREGACIÓN DEL BUCLE LOCAL</w:t>
                        </w:r>
                        <w:bookmarkEnd w:id="5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60" w:name="_Toc170381316"/>
                        <w:r>
                          <w:rPr>
                            <w:rFonts w:ascii="Century Gothic" w:eastAsiaTheme="minorHAnsi" w:hAnsi="Century Gothic"/>
                            <w:color w:val="auto"/>
                            <w:sz w:val="24"/>
                            <w:szCs w:val="24"/>
                          </w:rPr>
                          <w:t>OFERTA DE REFERENCIA PARA LA DESAGREGACIÓN DEL BUCLE LOCAL</w:t>
                        </w:r>
                        <w:bookmarkEnd w:id="6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61" w:name="_Toc170381317"/>
                        <w:r>
                          <w:rPr>
                            <w:rFonts w:ascii="Century Gothic" w:eastAsiaTheme="minorHAnsi" w:hAnsi="Century Gothic"/>
                            <w:color w:val="auto"/>
                            <w:sz w:val="24"/>
                            <w:szCs w:val="24"/>
                          </w:rPr>
                          <w:t>OFERTA DE REFERENCIA PARA LA DESAGREGACIÓN DEL BUCLE LOCAL</w:t>
                        </w:r>
                        <w:bookmarkEnd w:id="6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62" w:name="_Toc170381318"/>
                        <w:r>
                          <w:rPr>
                            <w:rFonts w:ascii="Century Gothic" w:eastAsiaTheme="minorHAnsi" w:hAnsi="Century Gothic"/>
                            <w:color w:val="auto"/>
                            <w:sz w:val="24"/>
                            <w:szCs w:val="24"/>
                          </w:rPr>
                          <w:t>OFERTA DE REFERENCIA PARA LA DESAGREGACIÓN DEL BUCLE LOCAL</w:t>
                        </w:r>
                        <w:bookmarkEnd w:id="6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63" w:name="_Toc170381319"/>
                        <w:r>
                          <w:rPr>
                            <w:rFonts w:ascii="Century Gothic" w:eastAsiaTheme="minorHAnsi" w:hAnsi="Century Gothic"/>
                            <w:color w:val="auto"/>
                            <w:sz w:val="24"/>
                            <w:szCs w:val="24"/>
                          </w:rPr>
                          <w:t>OFERTA DE REFERENCIA PARA LA DESAGREGACIÓN DEL BUCLE LOCAL</w:t>
                        </w:r>
                        <w:bookmarkEnd w:id="6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64" w:name="_Toc170381320"/>
                        <w:r>
                          <w:rPr>
                            <w:rFonts w:ascii="Century Gothic" w:eastAsiaTheme="minorHAnsi" w:hAnsi="Century Gothic"/>
                            <w:color w:val="auto"/>
                            <w:sz w:val="24"/>
                            <w:szCs w:val="24"/>
                          </w:rPr>
                          <w:t>OFERTA DE REFERENCIA PARA LA DESAGREGACIÓN DEL BUCLE LOCAL</w:t>
                        </w:r>
                        <w:bookmarkEnd w:id="6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65" w:name="_Toc170381321"/>
                        <w:r>
                          <w:rPr>
                            <w:rFonts w:ascii="Century Gothic" w:eastAsiaTheme="minorHAnsi" w:hAnsi="Century Gothic"/>
                            <w:color w:val="auto"/>
                            <w:sz w:val="24"/>
                            <w:szCs w:val="24"/>
                          </w:rPr>
                          <w:t>OFERTA DE REFERENCIA PARA LA DESAGREGACIÓN DEL BUCLE LOCAL</w:t>
                        </w:r>
                        <w:bookmarkEnd w:id="6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66" w:name="_Toc170381322"/>
                        <w:r>
                          <w:rPr>
                            <w:rFonts w:ascii="Century Gothic" w:eastAsiaTheme="minorHAnsi" w:hAnsi="Century Gothic"/>
                            <w:color w:val="auto"/>
                            <w:sz w:val="24"/>
                            <w:szCs w:val="24"/>
                          </w:rPr>
                          <w:t>OFERTA DE REFERENCIA PARA LA DESAGREGACIÓN DEL BUCLE LOCAL</w:t>
                        </w:r>
                        <w:bookmarkEnd w:id="6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67" w:name="_Toc170381323"/>
                        <w:r>
                          <w:rPr>
                            <w:rFonts w:ascii="Century Gothic" w:eastAsiaTheme="minorHAnsi" w:hAnsi="Century Gothic"/>
                            <w:color w:val="auto"/>
                            <w:sz w:val="24"/>
                            <w:szCs w:val="24"/>
                          </w:rPr>
                          <w:t>OFERTA DE REFERENCIA PARA LA DESAGREGACIÓN DEL BUCLE LOCAL</w:t>
                        </w:r>
                        <w:bookmarkEnd w:id="6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68" w:name="_Toc170381324"/>
                        <w:r>
                          <w:rPr>
                            <w:rFonts w:ascii="Century Gothic" w:eastAsiaTheme="minorHAnsi" w:hAnsi="Century Gothic"/>
                            <w:color w:val="auto"/>
                            <w:sz w:val="24"/>
                            <w:szCs w:val="24"/>
                          </w:rPr>
                          <w:t>OFERTA DE REFERENCIA PARA LA DESAGREGACIÓN DEL BUCLE LOCAL</w:t>
                        </w:r>
                        <w:bookmarkEnd w:id="6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69" w:name="_Toc170381325"/>
                        <w:r>
                          <w:rPr>
                            <w:rFonts w:ascii="Century Gothic" w:eastAsiaTheme="minorHAnsi" w:hAnsi="Century Gothic"/>
                            <w:color w:val="auto"/>
                            <w:sz w:val="24"/>
                            <w:szCs w:val="24"/>
                          </w:rPr>
                          <w:t>OFERTA DE REFERENCIA PARA LA DESAGREGACIÓN DEL BUCLE LOCAL</w:t>
                        </w:r>
                        <w:bookmarkEnd w:id="6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70" w:name="_Toc170381326"/>
                        <w:r>
                          <w:rPr>
                            <w:rFonts w:ascii="Century Gothic" w:eastAsiaTheme="minorHAnsi" w:hAnsi="Century Gothic"/>
                            <w:color w:val="auto"/>
                            <w:sz w:val="24"/>
                            <w:szCs w:val="24"/>
                          </w:rPr>
                          <w:t>OFERTA DE REFERENCIA PARA LA DESAGREGACIÓN DEL BUCLE LOCAL</w:t>
                        </w:r>
                        <w:bookmarkEnd w:id="7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71" w:name="_Toc170381327"/>
                        <w:r>
                          <w:rPr>
                            <w:rFonts w:ascii="Century Gothic" w:eastAsiaTheme="minorHAnsi" w:hAnsi="Century Gothic"/>
                            <w:color w:val="auto"/>
                            <w:sz w:val="24"/>
                            <w:szCs w:val="24"/>
                          </w:rPr>
                          <w:t>OFERTA DE REFERENCIA PARA LA DESAGREGACIÓN DEL BUCLE LOCAL</w:t>
                        </w:r>
                        <w:bookmarkEnd w:id="7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72" w:name="_Toc170381328"/>
                        <w:r>
                          <w:rPr>
                            <w:rFonts w:ascii="Century Gothic" w:eastAsiaTheme="minorHAnsi" w:hAnsi="Century Gothic"/>
                            <w:color w:val="auto"/>
                            <w:sz w:val="24"/>
                            <w:szCs w:val="24"/>
                          </w:rPr>
                          <w:t>OFERTA DE REFERENCIA PARA LA DESAGREGACIÓN DEL BUCLE LOCAL</w:t>
                        </w:r>
                        <w:bookmarkEnd w:id="7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73" w:name="_Toc170381329"/>
                        <w:r>
                          <w:rPr>
                            <w:rFonts w:ascii="Century Gothic" w:eastAsiaTheme="minorHAnsi" w:hAnsi="Century Gothic"/>
                            <w:color w:val="auto"/>
                            <w:sz w:val="24"/>
                            <w:szCs w:val="24"/>
                          </w:rPr>
                          <w:t>OFERTA DE REFERENCIA PARA LA DESAGREGACIÓN DEL BUCLE LOCAL</w:t>
                        </w:r>
                        <w:bookmarkEnd w:id="7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74" w:name="_Toc170381330"/>
                        <w:r>
                          <w:rPr>
                            <w:rFonts w:ascii="Century Gothic" w:eastAsiaTheme="minorHAnsi" w:hAnsi="Century Gothic"/>
                            <w:color w:val="auto"/>
                            <w:sz w:val="24"/>
                            <w:szCs w:val="24"/>
                          </w:rPr>
                          <w:t>OFERTA DE REFERENCIA PARA LA DESAGREGACIÓN DEL BUCLE LOCAL</w:t>
                        </w:r>
                        <w:bookmarkEnd w:id="7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75" w:name="_Toc170381331"/>
                        <w:r>
                          <w:rPr>
                            <w:rFonts w:ascii="Century Gothic" w:eastAsiaTheme="minorHAnsi" w:hAnsi="Century Gothic"/>
                            <w:color w:val="auto"/>
                            <w:sz w:val="24"/>
                            <w:szCs w:val="24"/>
                          </w:rPr>
                          <w:t>OFERTA DE REFERENCIA PARA LA DESAGREGACIÓN DEL BUCLE LOCAL</w:t>
                        </w:r>
                        <w:bookmarkEnd w:id="7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76" w:name="_Toc170381332"/>
                        <w:r>
                          <w:rPr>
                            <w:rFonts w:ascii="Century Gothic" w:eastAsiaTheme="minorHAnsi" w:hAnsi="Century Gothic"/>
                            <w:color w:val="auto"/>
                            <w:sz w:val="24"/>
                            <w:szCs w:val="24"/>
                          </w:rPr>
                          <w:t>OFERTA DE REFERENCIA PARA LA DESAGREGACIÓN DEL BUCLE LOCAL</w:t>
                        </w:r>
                        <w:bookmarkEnd w:id="7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77" w:name="_Toc170381333"/>
                        <w:r>
                          <w:rPr>
                            <w:rFonts w:ascii="Century Gothic" w:eastAsiaTheme="minorHAnsi" w:hAnsi="Century Gothic"/>
                            <w:color w:val="auto"/>
                            <w:sz w:val="24"/>
                            <w:szCs w:val="24"/>
                          </w:rPr>
                          <w:t>OFERTA DE REFERENCIA PARA LA DESAGREGACIÓN DEL BUCLE LOCAL</w:t>
                        </w:r>
                        <w:bookmarkEnd w:id="7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78" w:name="_Toc170381334"/>
                        <w:r>
                          <w:rPr>
                            <w:rFonts w:ascii="Century Gothic" w:eastAsiaTheme="minorHAnsi" w:hAnsi="Century Gothic"/>
                            <w:color w:val="auto"/>
                            <w:sz w:val="24"/>
                            <w:szCs w:val="24"/>
                          </w:rPr>
                          <w:t>OFERTA DE REFERENCIA PARA LA DESAGREGACIÓN DEL BUCLE LOCAL</w:t>
                        </w:r>
                        <w:bookmarkEnd w:id="7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79" w:name="_Toc170381335"/>
                        <w:r>
                          <w:rPr>
                            <w:rFonts w:ascii="Century Gothic" w:eastAsiaTheme="minorHAnsi" w:hAnsi="Century Gothic"/>
                            <w:color w:val="auto"/>
                            <w:sz w:val="24"/>
                            <w:szCs w:val="24"/>
                          </w:rPr>
                          <w:t>OFERTA DE REFERENCIA PARA LA DESAGREGACIÓN DEL BUCLE LOCAL</w:t>
                        </w:r>
                        <w:bookmarkEnd w:id="7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80" w:name="_Toc170381336"/>
                        <w:r>
                          <w:rPr>
                            <w:rFonts w:ascii="Century Gothic" w:eastAsiaTheme="minorHAnsi" w:hAnsi="Century Gothic"/>
                            <w:color w:val="auto"/>
                            <w:sz w:val="24"/>
                            <w:szCs w:val="24"/>
                          </w:rPr>
                          <w:t>OFERTA DE REFERENCIA PARA LA DESAGREGACIÓN DEL BUCLE LOCAL</w:t>
                        </w:r>
                        <w:bookmarkEnd w:id="8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81" w:name="_Toc170381337"/>
                        <w:r>
                          <w:rPr>
                            <w:rFonts w:ascii="Century Gothic" w:eastAsiaTheme="minorHAnsi" w:hAnsi="Century Gothic"/>
                            <w:color w:val="auto"/>
                            <w:sz w:val="24"/>
                            <w:szCs w:val="24"/>
                          </w:rPr>
                          <w:t>OFERTA DE REFERENCIA PARA LA DESAGREGACIÓN DEL BUCLE LOCAL</w:t>
                        </w:r>
                        <w:bookmarkEnd w:id="8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82" w:name="_Toc170381338"/>
                        <w:r>
                          <w:rPr>
                            <w:rFonts w:ascii="Century Gothic" w:eastAsiaTheme="minorHAnsi" w:hAnsi="Century Gothic"/>
                            <w:color w:val="auto"/>
                            <w:sz w:val="24"/>
                            <w:szCs w:val="24"/>
                          </w:rPr>
                          <w:t>OFERTA DE REFERENCIA PARA LA DESAGREGACIÓN DEL BUCLE LOCAL</w:t>
                        </w:r>
                        <w:bookmarkEnd w:id="8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83" w:name="_Toc170381339"/>
                        <w:r>
                          <w:rPr>
                            <w:rFonts w:ascii="Century Gothic" w:eastAsiaTheme="minorHAnsi" w:hAnsi="Century Gothic"/>
                            <w:color w:val="auto"/>
                            <w:sz w:val="24"/>
                            <w:szCs w:val="24"/>
                          </w:rPr>
                          <w:t>OFERTA DE REFERENCIA PARA LA DESAGREGACIÓN DEL BUCLE LOCAL</w:t>
                        </w:r>
                        <w:bookmarkEnd w:id="8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84" w:name="_Toc170381340"/>
                        <w:r>
                          <w:rPr>
                            <w:rFonts w:ascii="Century Gothic" w:eastAsiaTheme="minorHAnsi" w:hAnsi="Century Gothic"/>
                            <w:color w:val="auto"/>
                            <w:sz w:val="24"/>
                            <w:szCs w:val="24"/>
                          </w:rPr>
                          <w:t>OFERTA DE REFERENCIA PARA LA DESAGREGACIÓN DEL BUCLE LOCAL</w:t>
                        </w:r>
                        <w:bookmarkEnd w:id="8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85" w:name="_Toc170381341"/>
                        <w:r>
                          <w:rPr>
                            <w:rFonts w:ascii="Century Gothic" w:eastAsiaTheme="minorHAnsi" w:hAnsi="Century Gothic"/>
                            <w:color w:val="auto"/>
                            <w:sz w:val="24"/>
                            <w:szCs w:val="24"/>
                          </w:rPr>
                          <w:t>OFERTA DE REFERENCIA PARA LA DESAGREGACIÓN DEL BUCLE LOCAL</w:t>
                        </w:r>
                        <w:bookmarkEnd w:id="8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86" w:name="_Toc170381342"/>
                        <w:r>
                          <w:rPr>
                            <w:rFonts w:ascii="Century Gothic" w:eastAsiaTheme="minorHAnsi" w:hAnsi="Century Gothic"/>
                            <w:color w:val="auto"/>
                            <w:sz w:val="24"/>
                            <w:szCs w:val="24"/>
                          </w:rPr>
                          <w:t>OFERTA DE REFERENCIA PARA LA DESAGREGACIÓN DEL BUCLE LOCAL</w:t>
                        </w:r>
                        <w:bookmarkEnd w:id="8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87" w:name="_Toc170381343"/>
                        <w:r>
                          <w:rPr>
                            <w:rFonts w:ascii="Century Gothic" w:eastAsiaTheme="minorHAnsi" w:hAnsi="Century Gothic"/>
                            <w:color w:val="auto"/>
                            <w:sz w:val="24"/>
                            <w:szCs w:val="24"/>
                          </w:rPr>
                          <w:t>OFERTA DE REFERENCIA PARA LA DESAGREGACIÓN DEL BUCLE LOCAL</w:t>
                        </w:r>
                        <w:bookmarkEnd w:id="8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88" w:name="_Toc170381344"/>
                        <w:r>
                          <w:rPr>
                            <w:rFonts w:ascii="Century Gothic" w:eastAsiaTheme="minorHAnsi" w:hAnsi="Century Gothic"/>
                            <w:color w:val="auto"/>
                            <w:sz w:val="24"/>
                            <w:szCs w:val="24"/>
                          </w:rPr>
                          <w:t>OFERTA DE REFERENCIA PARA LA DESAGREGACIÓN DEL BUCLE LOCAL</w:t>
                        </w:r>
                        <w:bookmarkEnd w:id="8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89" w:name="_Toc170381345"/>
                        <w:r>
                          <w:rPr>
                            <w:rFonts w:ascii="Century Gothic" w:eastAsiaTheme="minorHAnsi" w:hAnsi="Century Gothic"/>
                            <w:color w:val="auto"/>
                            <w:sz w:val="24"/>
                            <w:szCs w:val="24"/>
                          </w:rPr>
                          <w:t>OFERTA DE REFERENCIA PARA LA DESAGREGACIÓN DEL BUCLE LOCAL</w:t>
                        </w:r>
                        <w:bookmarkEnd w:id="8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90" w:name="_Toc170381346"/>
                        <w:r>
                          <w:rPr>
                            <w:rFonts w:ascii="Century Gothic" w:eastAsiaTheme="minorHAnsi" w:hAnsi="Century Gothic"/>
                            <w:color w:val="auto"/>
                            <w:sz w:val="24"/>
                            <w:szCs w:val="24"/>
                          </w:rPr>
                          <w:t>OFERTA DE REFERENCIA PARA LA DESAGREGACIÓN DEL BUCLE LOCAL</w:t>
                        </w:r>
                        <w:bookmarkEnd w:id="9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91" w:name="_Toc170381347"/>
                        <w:r>
                          <w:rPr>
                            <w:rFonts w:ascii="Century Gothic" w:eastAsiaTheme="minorHAnsi" w:hAnsi="Century Gothic"/>
                            <w:color w:val="auto"/>
                            <w:sz w:val="24"/>
                            <w:szCs w:val="24"/>
                          </w:rPr>
                          <w:t>OFERTA DE REFERENCIA PARA LA DESAGREGACIÓN DEL BUCLE LOCAL</w:t>
                        </w:r>
                        <w:bookmarkEnd w:id="9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92" w:name="_Toc170381348"/>
                        <w:r>
                          <w:rPr>
                            <w:rFonts w:ascii="Century Gothic" w:eastAsiaTheme="minorHAnsi" w:hAnsi="Century Gothic"/>
                            <w:color w:val="auto"/>
                            <w:sz w:val="24"/>
                            <w:szCs w:val="24"/>
                          </w:rPr>
                          <w:t>OFERTA DE REFERENCIA PARA LA DESAGREGACIÓN DEL BUCLE LOCAL</w:t>
                        </w:r>
                        <w:bookmarkEnd w:id="9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93" w:name="_Toc170381349"/>
                        <w:r>
                          <w:rPr>
                            <w:rFonts w:ascii="Century Gothic" w:eastAsiaTheme="minorHAnsi" w:hAnsi="Century Gothic"/>
                            <w:color w:val="auto"/>
                            <w:sz w:val="24"/>
                            <w:szCs w:val="24"/>
                          </w:rPr>
                          <w:t>OFERTA DE REFERENCIA PARA LA DESAGREGACIÓN DEL BUCLE LOCAL</w:t>
                        </w:r>
                        <w:bookmarkEnd w:id="9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94" w:name="_Toc170381350"/>
                        <w:r>
                          <w:rPr>
                            <w:rFonts w:ascii="Century Gothic" w:eastAsiaTheme="minorHAnsi" w:hAnsi="Century Gothic"/>
                            <w:color w:val="auto"/>
                            <w:sz w:val="24"/>
                            <w:szCs w:val="24"/>
                          </w:rPr>
                          <w:t>OFERTA DE REFERENCIA PARA LA DESAGREGACIÓN DEL BUCLE LOCAL</w:t>
                        </w:r>
                        <w:bookmarkEnd w:id="9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95" w:name="_Toc170381351"/>
                        <w:r>
                          <w:rPr>
                            <w:rFonts w:ascii="Century Gothic" w:eastAsiaTheme="minorHAnsi" w:hAnsi="Century Gothic"/>
                            <w:color w:val="auto"/>
                            <w:sz w:val="24"/>
                            <w:szCs w:val="24"/>
                          </w:rPr>
                          <w:t>OFERTA DE REFERENCIA PARA LA DESAGREGACIÓN DEL BUCLE LOCAL</w:t>
                        </w:r>
                        <w:bookmarkEnd w:id="9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96" w:name="_Toc170381352"/>
                        <w:r>
                          <w:rPr>
                            <w:rFonts w:ascii="Century Gothic" w:eastAsiaTheme="minorHAnsi" w:hAnsi="Century Gothic"/>
                            <w:color w:val="auto"/>
                            <w:sz w:val="24"/>
                            <w:szCs w:val="24"/>
                          </w:rPr>
                          <w:t>OFERTA DE REFERENCIA PARA LA DESAGREGACIÓN DEL BUCLE LOCAL</w:t>
                        </w:r>
                        <w:bookmarkEnd w:id="9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97" w:name="_Toc170381353"/>
                        <w:r>
                          <w:rPr>
                            <w:rFonts w:ascii="Century Gothic" w:eastAsiaTheme="minorHAnsi" w:hAnsi="Century Gothic"/>
                            <w:color w:val="auto"/>
                            <w:sz w:val="24"/>
                            <w:szCs w:val="24"/>
                          </w:rPr>
                          <w:t>OFERTA DE REFERENCIA PARA LA DESAGREGACIÓN DEL BUCLE LOCAL</w:t>
                        </w:r>
                        <w:bookmarkEnd w:id="9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98" w:name="_Toc170381354"/>
                        <w:r>
                          <w:rPr>
                            <w:rFonts w:ascii="Century Gothic" w:eastAsiaTheme="minorHAnsi" w:hAnsi="Century Gothic"/>
                            <w:color w:val="auto"/>
                            <w:sz w:val="24"/>
                            <w:szCs w:val="24"/>
                          </w:rPr>
                          <w:t>OFERTA DE REFERENCIA PARA LA DESAGREGACIÓN DEL BUCLE LOCAL</w:t>
                        </w:r>
                        <w:bookmarkEnd w:id="9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99" w:name="_Toc170381355"/>
                        <w:r>
                          <w:rPr>
                            <w:rFonts w:ascii="Century Gothic" w:eastAsiaTheme="minorHAnsi" w:hAnsi="Century Gothic"/>
                            <w:color w:val="auto"/>
                            <w:sz w:val="24"/>
                            <w:szCs w:val="24"/>
                          </w:rPr>
                          <w:t>OFERTA DE REFERENCIA PARA LA DESAGREGACIÓN DEL BUCLE LOCAL</w:t>
                        </w:r>
                        <w:bookmarkEnd w:id="9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00" w:name="_Toc170381356"/>
                        <w:r>
                          <w:rPr>
                            <w:rFonts w:ascii="Century Gothic" w:eastAsiaTheme="minorHAnsi" w:hAnsi="Century Gothic"/>
                            <w:color w:val="auto"/>
                            <w:sz w:val="24"/>
                            <w:szCs w:val="24"/>
                          </w:rPr>
                          <w:t>OFERTA DE REFERENCIA PARA LA DESAGREGACIÓN DEL BUCLE LOCAL</w:t>
                        </w:r>
                        <w:bookmarkEnd w:id="10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01" w:name="_Toc170381357"/>
                        <w:r>
                          <w:rPr>
                            <w:rFonts w:ascii="Century Gothic" w:eastAsiaTheme="minorHAnsi" w:hAnsi="Century Gothic"/>
                            <w:color w:val="auto"/>
                            <w:sz w:val="24"/>
                            <w:szCs w:val="24"/>
                          </w:rPr>
                          <w:t>OFERTA DE REFERENCIA PARA LA DESAGREGACIÓN DEL BUCLE LOCAL</w:t>
                        </w:r>
                        <w:bookmarkEnd w:id="10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81326" w:rsidRDefault="000511F0" w:rsidP="00446018">
                        <w:pPr>
                          <w:pStyle w:val="Ttulo1"/>
                          <w:spacing w:line="18pt" w:lineRule="auto"/>
                          <w:jc w:val="center"/>
                          <w:rPr>
                            <w:rFonts w:ascii="Century Gothic" w:hAnsi="Century Gothic" w:cs="Times New Roman"/>
                            <w14:scene3d>
                              <w14:camera w14:prst="orthographicFront"/>
                              <w14:lightRig w14:rig="threePt" w14:dir="t">
                                <w14:rot w14:lat="0" w14:lon="0" w14:rev="0"/>
                              </w14:lightRig>
                            </w14:scene3d>
                          </w:rPr>
                        </w:pPr>
                        <w:bookmarkStart w:id="102" w:name="_Toc170381358"/>
                        <w:r>
                          <w:rPr>
                            <w:rFonts w:ascii="Century Gothic" w:hAnsi="Century Gothic" w:cs="Times New Roman"/>
                            <w14:scene3d>
                              <w14:camera w14:prst="orthographicFront"/>
                              <w14:lightRig w14:rig="threePt" w14:dir="t">
                                <w14:rot w14:lat="0" w14:lon="0" w14:rev="0"/>
                              </w14:lightRig>
                            </w14:scene3d>
                          </w:rPr>
                          <w:t>OFERTA DE REFERENCIA PARA LA DESAGREGACIÓN DEL BUCLE LOCAL</w:t>
                        </w:r>
                        <w:bookmarkEnd w:id="10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Pr="00E73C0B" w:rsidRDefault="000511F0" w:rsidP="0028714F">
                        <w:pPr>
                          <w:jc w:val="center"/>
                          <w:rPr>
                            <w:rFonts w:ascii="Century Gothic" w:hAnsi="Century Gothic"/>
                            <w:bCs/>
                            <w:sz w:val="18"/>
                            <w:szCs w:val="18"/>
                          </w:rPr>
                        </w:pPr>
                        <w:r>
                          <w:rPr>
                            <w:rFonts w:ascii="Century Gothic" w:hAnsi="Century Gothic"/>
                            <w:bCs/>
                            <w:sz w:val="18"/>
                            <w:szCs w:val="18"/>
                          </w:rPr>
                          <w:t>(RED NACIONAL)</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2025</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03" w:name="_Toc170381359"/>
                        <w:r>
                          <w:rPr>
                            <w:rFonts w:ascii="Century Gothic" w:eastAsiaTheme="minorHAnsi" w:hAnsi="Century Gothic"/>
                            <w:color w:val="auto"/>
                            <w:sz w:val="24"/>
                            <w:szCs w:val="24"/>
                          </w:rPr>
                          <w:t>OFERTA DE REFERENCIA PARA LA DESAGREGACIÓN DEL BUCLE LOCAL</w:t>
                        </w:r>
                        <w:bookmarkEnd w:id="10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04" w:name="_Toc170381360"/>
                        <w:r>
                          <w:rPr>
                            <w:rFonts w:ascii="Century Gothic" w:eastAsiaTheme="minorHAnsi" w:hAnsi="Century Gothic"/>
                            <w:color w:val="auto"/>
                            <w:sz w:val="24"/>
                            <w:szCs w:val="24"/>
                          </w:rPr>
                          <w:t>OFERTA DE REFERENCIA PARA LA DESAGREGACIÓN DEL BUCLE LOCAL</w:t>
                        </w:r>
                        <w:bookmarkEnd w:id="10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05" w:name="_Toc170381361"/>
                        <w:r>
                          <w:rPr>
                            <w:rFonts w:ascii="Century Gothic" w:eastAsiaTheme="minorHAnsi" w:hAnsi="Century Gothic"/>
                            <w:color w:val="auto"/>
                            <w:sz w:val="24"/>
                            <w:szCs w:val="24"/>
                          </w:rPr>
                          <w:t>OFERTA DE REFERENCIA PARA LA DESAGREGACIÓN DEL BUCLE LOCAL</w:t>
                        </w:r>
                        <w:bookmarkEnd w:id="10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06" w:name="_Toc170381362"/>
                        <w:r>
                          <w:rPr>
                            <w:rFonts w:ascii="Century Gothic" w:eastAsiaTheme="minorHAnsi" w:hAnsi="Century Gothic"/>
                            <w:color w:val="auto"/>
                            <w:sz w:val="24"/>
                            <w:szCs w:val="24"/>
                          </w:rPr>
                          <w:t>OFERTA DE REFERENCIA PARA LA DESAGREGACIÓN DEL BUCLE LOCAL</w:t>
                        </w:r>
                        <w:bookmarkEnd w:id="10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07" w:name="_Toc170381363"/>
                        <w:r>
                          <w:rPr>
                            <w:rFonts w:ascii="Century Gothic" w:eastAsiaTheme="minorHAnsi" w:hAnsi="Century Gothic"/>
                            <w:color w:val="auto"/>
                            <w:sz w:val="24"/>
                            <w:szCs w:val="24"/>
                          </w:rPr>
                          <w:t>OFERTA DE REFERENCIA PARA LA DESAGREGACIÓN DEL BUCLE LOCAL</w:t>
                        </w:r>
                        <w:bookmarkEnd w:id="10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08" w:name="_Toc170381364"/>
                        <w:r>
                          <w:rPr>
                            <w:rFonts w:ascii="Century Gothic" w:eastAsiaTheme="minorHAnsi" w:hAnsi="Century Gothic"/>
                            <w:color w:val="auto"/>
                            <w:sz w:val="24"/>
                            <w:szCs w:val="24"/>
                          </w:rPr>
                          <w:t>OFERTA DE REFERENCIA PARA LA DESAGREGACIÓN DEL BUCLE LOCAL</w:t>
                        </w:r>
                        <w:bookmarkEnd w:id="10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09" w:name="_Toc170381365"/>
                        <w:r>
                          <w:rPr>
                            <w:rFonts w:ascii="Century Gothic" w:eastAsiaTheme="minorHAnsi" w:hAnsi="Century Gothic"/>
                            <w:color w:val="auto"/>
                            <w:sz w:val="24"/>
                            <w:szCs w:val="24"/>
                          </w:rPr>
                          <w:t>OFERTA DE REFERENCIA PARA LA DESAGREGACIÓN DEL BUCLE LOCAL</w:t>
                        </w:r>
                        <w:bookmarkEnd w:id="10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10" w:name="_Toc170381366"/>
                        <w:r>
                          <w:rPr>
                            <w:rFonts w:ascii="Century Gothic" w:eastAsiaTheme="minorHAnsi" w:hAnsi="Century Gothic"/>
                            <w:color w:val="auto"/>
                            <w:sz w:val="24"/>
                            <w:szCs w:val="24"/>
                          </w:rPr>
                          <w:t>OFERTA DE REFERENCIA PARA LA DESAGREGACIÓN DEL BUCLE LOCAL</w:t>
                        </w:r>
                        <w:bookmarkEnd w:id="11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11" w:name="_Toc170381367"/>
                        <w:r>
                          <w:rPr>
                            <w:rFonts w:ascii="Century Gothic" w:eastAsiaTheme="minorHAnsi" w:hAnsi="Century Gothic"/>
                            <w:color w:val="auto"/>
                            <w:sz w:val="24"/>
                            <w:szCs w:val="24"/>
                          </w:rPr>
                          <w:t>OFERTA DE REFERENCIA PARA LA DESAGREGACIÓN DEL BUCLE LOCAL</w:t>
                        </w:r>
                        <w:bookmarkEnd w:id="11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12" w:name="_Toc170381368"/>
                        <w:r>
                          <w:rPr>
                            <w:rFonts w:ascii="Century Gothic" w:eastAsiaTheme="minorHAnsi" w:hAnsi="Century Gothic"/>
                            <w:color w:val="auto"/>
                            <w:sz w:val="24"/>
                            <w:szCs w:val="24"/>
                          </w:rPr>
                          <w:t>OFERTA DE REFERENCIA PARA LA DESAGREGACIÓN DEL BUCLE LOCAL</w:t>
                        </w:r>
                        <w:bookmarkEnd w:id="11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13" w:name="_Toc170381369"/>
                        <w:r>
                          <w:rPr>
                            <w:rFonts w:ascii="Century Gothic" w:eastAsiaTheme="minorHAnsi" w:hAnsi="Century Gothic"/>
                            <w:color w:val="auto"/>
                            <w:sz w:val="24"/>
                            <w:szCs w:val="24"/>
                          </w:rPr>
                          <w:t>OFERTA DE REFERENCIA PARA LA DESAGREGACIÓN DEL BUCLE LOCAL</w:t>
                        </w:r>
                        <w:bookmarkEnd w:id="11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14" w:name="_Toc170381370"/>
                        <w:r>
                          <w:rPr>
                            <w:rFonts w:ascii="Century Gothic" w:eastAsiaTheme="minorHAnsi" w:hAnsi="Century Gothic"/>
                            <w:color w:val="auto"/>
                            <w:sz w:val="24"/>
                            <w:szCs w:val="24"/>
                          </w:rPr>
                          <w:t>OFERTA DE REFERENCIA PARA LA DESAGREGACIÓN DEL BUCLE LOCAL</w:t>
                        </w:r>
                        <w:bookmarkEnd w:id="11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15" w:name="_Toc170381371"/>
                        <w:r>
                          <w:rPr>
                            <w:rFonts w:ascii="Century Gothic" w:eastAsiaTheme="minorHAnsi" w:hAnsi="Century Gothic"/>
                            <w:color w:val="auto"/>
                            <w:sz w:val="24"/>
                            <w:szCs w:val="24"/>
                          </w:rPr>
                          <w:t>OFERTA DE REFERENCIA PARA LA DESAGREGACIÓN DEL BUCLE LOCAL</w:t>
                        </w:r>
                        <w:bookmarkEnd w:id="11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16" w:name="_Toc170381372"/>
                        <w:r>
                          <w:rPr>
                            <w:rFonts w:ascii="Century Gothic" w:eastAsiaTheme="minorHAnsi" w:hAnsi="Century Gothic"/>
                            <w:color w:val="auto"/>
                            <w:sz w:val="24"/>
                            <w:szCs w:val="24"/>
                          </w:rPr>
                          <w:t>OFERTA DE REFERENCIA PARA LA DESAGREGACIÓN DEL BUCLE LOCAL</w:t>
                        </w:r>
                        <w:bookmarkEnd w:id="11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17" w:name="_Toc170381373"/>
                        <w:r>
                          <w:rPr>
                            <w:rFonts w:ascii="Century Gothic" w:eastAsiaTheme="minorHAnsi" w:hAnsi="Century Gothic"/>
                            <w:color w:val="auto"/>
                            <w:sz w:val="24"/>
                            <w:szCs w:val="24"/>
                          </w:rPr>
                          <w:t>OFERTA DE REFERENCIA PARA LA DESAGREGACIÓN DEL BUCLE LOCAL</w:t>
                        </w:r>
                        <w:bookmarkEnd w:id="11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18" w:name="_Toc170381374"/>
                        <w:r>
                          <w:rPr>
                            <w:rFonts w:ascii="Century Gothic" w:eastAsiaTheme="minorHAnsi" w:hAnsi="Century Gothic"/>
                            <w:color w:val="auto"/>
                            <w:sz w:val="24"/>
                            <w:szCs w:val="24"/>
                          </w:rPr>
                          <w:t>OFERTA DE REFERENCIA PARA LA DESAGREGACIÓN DEL BUCLE LOCAL</w:t>
                        </w:r>
                        <w:bookmarkEnd w:id="11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19" w:name="_Toc170381375"/>
                        <w:r>
                          <w:rPr>
                            <w:rFonts w:ascii="Century Gothic" w:eastAsiaTheme="minorHAnsi" w:hAnsi="Century Gothic"/>
                            <w:color w:val="auto"/>
                            <w:sz w:val="24"/>
                            <w:szCs w:val="24"/>
                          </w:rPr>
                          <w:t>OFERTA DE REFERENCIA PARA LA DESAGREGACIÓN DEL BUCLE LOCAL</w:t>
                        </w:r>
                        <w:bookmarkEnd w:id="11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20" w:name="_Toc170381376"/>
                        <w:r>
                          <w:rPr>
                            <w:rFonts w:ascii="Century Gothic" w:eastAsiaTheme="minorHAnsi" w:hAnsi="Century Gothic"/>
                            <w:color w:val="auto"/>
                            <w:sz w:val="24"/>
                            <w:szCs w:val="24"/>
                          </w:rPr>
                          <w:t>OFERTA DE REFERENCIA PARA LA DESAGREGACIÓN DEL BUCLE LOCAL</w:t>
                        </w:r>
                        <w:bookmarkEnd w:id="12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21" w:name="_Toc170381377"/>
                        <w:r>
                          <w:rPr>
                            <w:rFonts w:ascii="Century Gothic" w:eastAsiaTheme="minorHAnsi" w:hAnsi="Century Gothic"/>
                            <w:color w:val="auto"/>
                            <w:sz w:val="24"/>
                            <w:szCs w:val="24"/>
                          </w:rPr>
                          <w:t>OFERTA DE REFERENCIA PARA LA DESAGREGACIÓN DEL BUCLE LOCAL</w:t>
                        </w:r>
                        <w:bookmarkEnd w:id="12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22" w:name="_Toc170381378"/>
                        <w:r>
                          <w:rPr>
                            <w:rFonts w:ascii="Century Gothic" w:eastAsiaTheme="minorHAnsi" w:hAnsi="Century Gothic"/>
                            <w:color w:val="auto"/>
                            <w:sz w:val="24"/>
                            <w:szCs w:val="24"/>
                          </w:rPr>
                          <w:t>OFERTA DE REFERENCIA PARA LA DESAGREGACIÓN DEL BUCLE LOCAL</w:t>
                        </w:r>
                        <w:bookmarkEnd w:id="12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23" w:name="_Toc170381379"/>
                        <w:r>
                          <w:rPr>
                            <w:rFonts w:ascii="Century Gothic" w:eastAsiaTheme="minorHAnsi" w:hAnsi="Century Gothic"/>
                            <w:color w:val="auto"/>
                            <w:sz w:val="24"/>
                            <w:szCs w:val="24"/>
                          </w:rPr>
                          <w:t>OFERTA DE REFERENCIA PARA LA DESAGREGACIÓN DEL BUCLE LOCAL</w:t>
                        </w:r>
                        <w:bookmarkEnd w:id="12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24" w:name="_Toc170381380"/>
                        <w:r>
                          <w:rPr>
                            <w:rFonts w:ascii="Century Gothic" w:eastAsiaTheme="minorHAnsi" w:hAnsi="Century Gothic"/>
                            <w:color w:val="auto"/>
                            <w:sz w:val="24"/>
                            <w:szCs w:val="24"/>
                          </w:rPr>
                          <w:t>OFERTA DE REFERENCIA PARA LA DESAGREGACIÓN DEL BUCLE LOCAL</w:t>
                        </w:r>
                        <w:bookmarkEnd w:id="12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25" w:name="_Toc170381381"/>
                        <w:r>
                          <w:rPr>
                            <w:rFonts w:ascii="Century Gothic" w:eastAsiaTheme="minorHAnsi" w:hAnsi="Century Gothic"/>
                            <w:color w:val="auto"/>
                            <w:sz w:val="24"/>
                            <w:szCs w:val="24"/>
                          </w:rPr>
                          <w:t>OFERTA DE REFERENCIA PARA LA DESAGREGACIÓN DEL BUCLE LOCAL</w:t>
                        </w:r>
                        <w:bookmarkEnd w:id="12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26" w:name="_Toc170381382"/>
                        <w:r>
                          <w:rPr>
                            <w:rFonts w:ascii="Century Gothic" w:eastAsiaTheme="minorHAnsi" w:hAnsi="Century Gothic"/>
                            <w:color w:val="auto"/>
                            <w:sz w:val="24"/>
                            <w:szCs w:val="24"/>
                          </w:rPr>
                          <w:t>OFERTA DE REFERENCIA PARA LA DESAGREGACIÓN DEL BUCLE LOCAL</w:t>
                        </w:r>
                        <w:bookmarkEnd w:id="12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27" w:name="_Toc170381383"/>
                        <w:r>
                          <w:rPr>
                            <w:rFonts w:ascii="Century Gothic" w:eastAsiaTheme="minorHAnsi" w:hAnsi="Century Gothic"/>
                            <w:color w:val="auto"/>
                            <w:sz w:val="24"/>
                            <w:szCs w:val="24"/>
                          </w:rPr>
                          <w:t>OFERTA DE REFERENCIA PARA LA DESAGREGACIÓN DEL BUCLE LOCAL</w:t>
                        </w:r>
                        <w:bookmarkEnd w:id="12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28" w:name="_Toc170381384"/>
                        <w:r>
                          <w:rPr>
                            <w:rFonts w:ascii="Century Gothic" w:eastAsiaTheme="minorHAnsi" w:hAnsi="Century Gothic"/>
                            <w:color w:val="auto"/>
                            <w:sz w:val="24"/>
                            <w:szCs w:val="24"/>
                          </w:rPr>
                          <w:t>OFERTA DE REFERENCIA PARA LA DESAGREGACIÓN DEL BUCLE LOCAL</w:t>
                        </w:r>
                        <w:bookmarkEnd w:id="12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29" w:name="_Toc170381385"/>
                        <w:r>
                          <w:rPr>
                            <w:rFonts w:ascii="Century Gothic" w:eastAsiaTheme="minorHAnsi" w:hAnsi="Century Gothic"/>
                            <w:color w:val="auto"/>
                            <w:sz w:val="24"/>
                            <w:szCs w:val="24"/>
                          </w:rPr>
                          <w:t>OFERTA DE REFERENCIA PARA LA DESAGREGACIÓN DEL BUCLE LOCAL</w:t>
                        </w:r>
                        <w:bookmarkEnd w:id="12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30" w:name="_Toc170381386"/>
                        <w:r>
                          <w:rPr>
                            <w:rFonts w:ascii="Century Gothic" w:eastAsiaTheme="minorHAnsi" w:hAnsi="Century Gothic"/>
                            <w:color w:val="auto"/>
                            <w:sz w:val="24"/>
                            <w:szCs w:val="24"/>
                          </w:rPr>
                          <w:t>OFERTA DE REFERENCIA PARA LA DESAGREGACIÓN DEL BUCLE LOCAL</w:t>
                        </w:r>
                        <w:bookmarkEnd w:id="13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31" w:name="_Toc170381387"/>
                        <w:r>
                          <w:rPr>
                            <w:rFonts w:ascii="Century Gothic" w:eastAsiaTheme="minorHAnsi" w:hAnsi="Century Gothic"/>
                            <w:color w:val="auto"/>
                            <w:sz w:val="24"/>
                            <w:szCs w:val="24"/>
                          </w:rPr>
                          <w:t>OFERTA DE REFERENCIA PARA LA DESAGREGACIÓN DEL BUCLE LOCAL</w:t>
                        </w:r>
                        <w:bookmarkEnd w:id="13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32" w:name="_Toc170381388"/>
                        <w:r>
                          <w:rPr>
                            <w:rFonts w:ascii="Century Gothic" w:eastAsiaTheme="minorHAnsi" w:hAnsi="Century Gothic"/>
                            <w:color w:val="auto"/>
                            <w:sz w:val="24"/>
                            <w:szCs w:val="24"/>
                          </w:rPr>
                          <w:t>OFERTA DE REFERENCIA PARA LA DESAGREGACIÓN DEL BUCLE LOCAL</w:t>
                        </w:r>
                        <w:bookmarkEnd w:id="13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33" w:name="_Toc170381389"/>
                        <w:r>
                          <w:rPr>
                            <w:rFonts w:ascii="Century Gothic" w:eastAsiaTheme="minorHAnsi" w:hAnsi="Century Gothic"/>
                            <w:color w:val="auto"/>
                            <w:sz w:val="24"/>
                            <w:szCs w:val="24"/>
                          </w:rPr>
                          <w:t>OFERTA DE REFERENCIA PARA LA DESAGREGACIÓN DEL BUCLE LOCAL</w:t>
                        </w:r>
                        <w:bookmarkEnd w:id="13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34" w:name="_Toc170381390"/>
                        <w:r>
                          <w:rPr>
                            <w:rFonts w:ascii="Century Gothic" w:eastAsiaTheme="minorHAnsi" w:hAnsi="Century Gothic"/>
                            <w:color w:val="auto"/>
                            <w:sz w:val="24"/>
                            <w:szCs w:val="24"/>
                          </w:rPr>
                          <w:t>OFERTA DE REFERENCIA PARA LA DESAGREGACIÓN DEL BUCLE LOCAL</w:t>
                        </w:r>
                        <w:bookmarkEnd w:id="13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35" w:name="_Toc170381391"/>
                        <w:r>
                          <w:rPr>
                            <w:rFonts w:ascii="Century Gothic" w:eastAsiaTheme="minorHAnsi" w:hAnsi="Century Gothic"/>
                            <w:color w:val="auto"/>
                            <w:sz w:val="24"/>
                            <w:szCs w:val="24"/>
                          </w:rPr>
                          <w:t>OFERTA DE REFERENCIA PARA LA DESAGREGACIÓN DEL BUCLE LOCAL</w:t>
                        </w:r>
                        <w:bookmarkEnd w:id="13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36" w:name="_Toc170381392"/>
                        <w:r>
                          <w:rPr>
                            <w:rFonts w:ascii="Century Gothic" w:eastAsiaTheme="minorHAnsi" w:hAnsi="Century Gothic"/>
                            <w:color w:val="auto"/>
                            <w:sz w:val="24"/>
                            <w:szCs w:val="24"/>
                          </w:rPr>
                          <w:t>OFERTA DE REFERENCIA PARA LA DESAGREGACIÓN DEL BUCLE LOCAL</w:t>
                        </w:r>
                        <w:bookmarkEnd w:id="13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37" w:name="_Toc170381393"/>
                        <w:r>
                          <w:rPr>
                            <w:rFonts w:ascii="Century Gothic" w:eastAsiaTheme="minorHAnsi" w:hAnsi="Century Gothic"/>
                            <w:color w:val="auto"/>
                            <w:sz w:val="24"/>
                            <w:szCs w:val="24"/>
                          </w:rPr>
                          <w:t>OFERTA DE REFERENCIA PARA LA DESAGREGACIÓN DEL BUCLE LOCAL</w:t>
                        </w:r>
                        <w:bookmarkEnd w:id="13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38" w:name="_Toc170381394"/>
                        <w:r>
                          <w:rPr>
                            <w:rFonts w:ascii="Century Gothic" w:eastAsiaTheme="minorHAnsi" w:hAnsi="Century Gothic"/>
                            <w:color w:val="auto"/>
                            <w:sz w:val="24"/>
                            <w:szCs w:val="24"/>
                          </w:rPr>
                          <w:t>OFERTA DE REFERENCIA PARA LA DESAGREGACIÓN DEL BUCLE LOCAL</w:t>
                        </w:r>
                        <w:bookmarkEnd w:id="13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39" w:name="_Toc170381395"/>
                        <w:r>
                          <w:rPr>
                            <w:rFonts w:ascii="Century Gothic" w:eastAsiaTheme="minorHAnsi" w:hAnsi="Century Gothic"/>
                            <w:color w:val="auto"/>
                            <w:sz w:val="24"/>
                            <w:szCs w:val="24"/>
                          </w:rPr>
                          <w:t>OFERTA DE REFERENCIA PARA LA DESAGREGACIÓN DEL BUCLE LOCAL</w:t>
                        </w:r>
                        <w:bookmarkEnd w:id="13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40" w:name="_Toc170381396"/>
                        <w:r>
                          <w:rPr>
                            <w:rFonts w:ascii="Century Gothic" w:eastAsiaTheme="minorHAnsi" w:hAnsi="Century Gothic"/>
                            <w:color w:val="auto"/>
                            <w:sz w:val="24"/>
                            <w:szCs w:val="24"/>
                          </w:rPr>
                          <w:t>OFERTA DE REFERENCIA PARA LA DESAGREGACIÓN DEL BUCLE LOCAL</w:t>
                        </w:r>
                        <w:bookmarkEnd w:id="14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41" w:name="_Toc170381397"/>
                        <w:r>
                          <w:rPr>
                            <w:rFonts w:ascii="Century Gothic" w:eastAsiaTheme="minorHAnsi" w:hAnsi="Century Gothic"/>
                            <w:color w:val="auto"/>
                            <w:sz w:val="24"/>
                            <w:szCs w:val="24"/>
                          </w:rPr>
                          <w:t>OFERTA DE REFERENCIA PARA LA DESAGREGACIÓN DEL BUCLE LOCAL</w:t>
                        </w:r>
                        <w:bookmarkEnd w:id="14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42" w:name="_Toc170381398"/>
                        <w:r>
                          <w:rPr>
                            <w:rFonts w:ascii="Century Gothic" w:eastAsiaTheme="minorHAnsi" w:hAnsi="Century Gothic"/>
                            <w:color w:val="auto"/>
                            <w:sz w:val="24"/>
                            <w:szCs w:val="24"/>
                          </w:rPr>
                          <w:t>OFERTA DE REFERENCIA PARA LA DESAGREGACIÓN DEL BUCLE LOCAL</w:t>
                        </w:r>
                        <w:bookmarkEnd w:id="14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43" w:name="_Toc170381399"/>
                        <w:r>
                          <w:rPr>
                            <w:rFonts w:ascii="Century Gothic" w:eastAsiaTheme="minorHAnsi" w:hAnsi="Century Gothic"/>
                            <w:color w:val="auto"/>
                            <w:sz w:val="24"/>
                            <w:szCs w:val="24"/>
                          </w:rPr>
                          <w:t>OFERTA DE REFERENCIA PARA LA DESAGREGACIÓN DEL BUCLE LOCAL</w:t>
                        </w:r>
                        <w:bookmarkEnd w:id="14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44" w:name="_Toc170381400"/>
                        <w:r>
                          <w:rPr>
                            <w:rFonts w:ascii="Century Gothic" w:eastAsiaTheme="minorHAnsi" w:hAnsi="Century Gothic"/>
                            <w:color w:val="auto"/>
                            <w:sz w:val="24"/>
                            <w:szCs w:val="24"/>
                          </w:rPr>
                          <w:t>OFERTA DE REFERENCIA PARA LA DESAGREGACIÓN DEL BUCLE LOCAL</w:t>
                        </w:r>
                        <w:bookmarkEnd w:id="14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45" w:name="_Toc170381401"/>
                        <w:r>
                          <w:rPr>
                            <w:rFonts w:ascii="Century Gothic" w:eastAsiaTheme="minorHAnsi" w:hAnsi="Century Gothic"/>
                            <w:color w:val="auto"/>
                            <w:sz w:val="24"/>
                            <w:szCs w:val="24"/>
                          </w:rPr>
                          <w:t>OFERTA DE REFERENCIA PARA LA DESAGREGACIÓN DEL BUCLE LOCAL</w:t>
                        </w:r>
                        <w:bookmarkEnd w:id="14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46" w:name="_Toc170381402"/>
                        <w:r>
                          <w:rPr>
                            <w:rFonts w:ascii="Century Gothic" w:eastAsiaTheme="minorHAnsi" w:hAnsi="Century Gothic"/>
                            <w:color w:val="auto"/>
                            <w:sz w:val="24"/>
                            <w:szCs w:val="24"/>
                          </w:rPr>
                          <w:t>OFERTA DE REFERENCIA PARA LA DESAGREGACIÓN DEL BUCLE LOCAL</w:t>
                        </w:r>
                        <w:bookmarkEnd w:id="14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47" w:name="_Toc170381403"/>
                        <w:r>
                          <w:rPr>
                            <w:rFonts w:ascii="Century Gothic" w:eastAsiaTheme="minorHAnsi" w:hAnsi="Century Gothic"/>
                            <w:color w:val="auto"/>
                            <w:sz w:val="24"/>
                            <w:szCs w:val="24"/>
                          </w:rPr>
                          <w:t>OFERTA DE REFERENCIA PARA LA DESAGREGACIÓN DEL BUCLE LOCAL</w:t>
                        </w:r>
                        <w:bookmarkEnd w:id="14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48" w:name="_Toc170381404"/>
                        <w:r>
                          <w:rPr>
                            <w:rFonts w:ascii="Century Gothic" w:eastAsiaTheme="minorHAnsi" w:hAnsi="Century Gothic"/>
                            <w:color w:val="auto"/>
                            <w:sz w:val="24"/>
                            <w:szCs w:val="24"/>
                          </w:rPr>
                          <w:t>OFERTA DE REFERENCIA PARA LA DESAGREGACIÓN DEL BUCLE LOCAL</w:t>
                        </w:r>
                        <w:bookmarkEnd w:id="14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49" w:name="_Toc170381405"/>
                        <w:r>
                          <w:rPr>
                            <w:rFonts w:ascii="Century Gothic" w:eastAsiaTheme="minorHAnsi" w:hAnsi="Century Gothic"/>
                            <w:color w:val="auto"/>
                            <w:sz w:val="24"/>
                            <w:szCs w:val="24"/>
                          </w:rPr>
                          <w:t>OFERTA DE REFERENCIA PARA LA DESAGREGACIÓN DEL BUCLE LOCAL</w:t>
                        </w:r>
                        <w:bookmarkEnd w:id="14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50" w:name="_Toc170381406"/>
                        <w:r>
                          <w:rPr>
                            <w:rFonts w:ascii="Century Gothic" w:eastAsiaTheme="minorHAnsi" w:hAnsi="Century Gothic"/>
                            <w:color w:val="auto"/>
                            <w:sz w:val="24"/>
                            <w:szCs w:val="24"/>
                          </w:rPr>
                          <w:t>OFERTA DE REFERENCIA PARA LA DESAGREGACIÓN DEL BUCLE LOCAL</w:t>
                        </w:r>
                        <w:bookmarkEnd w:id="15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51" w:name="_Toc170381407"/>
                        <w:r>
                          <w:rPr>
                            <w:rFonts w:ascii="Century Gothic" w:eastAsiaTheme="minorHAnsi" w:hAnsi="Century Gothic"/>
                            <w:color w:val="auto"/>
                            <w:sz w:val="24"/>
                            <w:szCs w:val="24"/>
                          </w:rPr>
                          <w:t>OFERTA DE REFERENCIA PARA LA DESAGREGACIÓN DEL BUCLE LOCAL</w:t>
                        </w:r>
                        <w:bookmarkEnd w:id="15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52" w:name="_Toc170381408"/>
                        <w:r>
                          <w:rPr>
                            <w:rFonts w:ascii="Century Gothic" w:eastAsiaTheme="minorHAnsi" w:hAnsi="Century Gothic"/>
                            <w:color w:val="auto"/>
                            <w:sz w:val="24"/>
                            <w:szCs w:val="24"/>
                          </w:rPr>
                          <w:t>OFERTA DE REFERENCIA PARA LA DESAGREGACIÓN DEL BUCLE LOCAL</w:t>
                        </w:r>
                        <w:bookmarkEnd w:id="15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53" w:name="_Toc170381409"/>
                        <w:r>
                          <w:rPr>
                            <w:rFonts w:ascii="Century Gothic" w:eastAsiaTheme="minorHAnsi" w:hAnsi="Century Gothic"/>
                            <w:color w:val="auto"/>
                            <w:sz w:val="24"/>
                            <w:szCs w:val="24"/>
                          </w:rPr>
                          <w:t>OFERTA DE REFERENCIA PARA LA DESAGREGACIÓN DEL BUCLE LOCAL</w:t>
                        </w:r>
                        <w:bookmarkEnd w:id="15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54" w:name="_Toc170381410"/>
                        <w:r>
                          <w:rPr>
                            <w:rFonts w:ascii="Century Gothic" w:eastAsiaTheme="minorHAnsi" w:hAnsi="Century Gothic"/>
                            <w:color w:val="auto"/>
                            <w:sz w:val="24"/>
                            <w:szCs w:val="24"/>
                          </w:rPr>
                          <w:t>OFERTA DE REFERENCIA PARA LA DESAGREGACIÓN DEL BUCLE LOCAL</w:t>
                        </w:r>
                        <w:bookmarkEnd w:id="15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55" w:name="_Toc170381411"/>
                        <w:r>
                          <w:rPr>
                            <w:rFonts w:ascii="Century Gothic" w:eastAsiaTheme="minorHAnsi" w:hAnsi="Century Gothic"/>
                            <w:color w:val="auto"/>
                            <w:sz w:val="24"/>
                            <w:szCs w:val="24"/>
                          </w:rPr>
                          <w:t>OFERTA DE REFERENCIA PARA LA DESAGREGACIÓN DEL BUCLE LOCAL</w:t>
                        </w:r>
                        <w:bookmarkEnd w:id="15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56" w:name="_Toc170381412"/>
                        <w:r>
                          <w:rPr>
                            <w:rFonts w:ascii="Century Gothic" w:eastAsiaTheme="minorHAnsi" w:hAnsi="Century Gothic"/>
                            <w:color w:val="auto"/>
                            <w:sz w:val="24"/>
                            <w:szCs w:val="24"/>
                          </w:rPr>
                          <w:t>OFERTA DE REFERENCIA PARA LA DESAGREGACIÓN DEL BUCLE LOCAL</w:t>
                        </w:r>
                        <w:bookmarkEnd w:id="15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57" w:name="_Toc170381413"/>
                        <w:r>
                          <w:rPr>
                            <w:rFonts w:ascii="Century Gothic" w:eastAsiaTheme="minorHAnsi" w:hAnsi="Century Gothic"/>
                            <w:color w:val="auto"/>
                            <w:sz w:val="24"/>
                            <w:szCs w:val="24"/>
                          </w:rPr>
                          <w:t>OFERTA DE REFERENCIA PARA LA DESAGREGACIÓN DEL BUCLE LOCAL</w:t>
                        </w:r>
                        <w:bookmarkEnd w:id="15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58" w:name="_Toc170381414"/>
                        <w:r>
                          <w:rPr>
                            <w:rFonts w:ascii="Century Gothic" w:eastAsiaTheme="minorHAnsi" w:hAnsi="Century Gothic"/>
                            <w:color w:val="auto"/>
                            <w:sz w:val="24"/>
                            <w:szCs w:val="24"/>
                          </w:rPr>
                          <w:t>OFERTA DE REFERENCIA PARA LA DESAGREGACIÓN DEL BUCLE LOCAL</w:t>
                        </w:r>
                        <w:bookmarkEnd w:id="15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59" w:name="_Toc170381415"/>
                        <w:r>
                          <w:rPr>
                            <w:rFonts w:ascii="Century Gothic" w:eastAsiaTheme="minorHAnsi" w:hAnsi="Century Gothic"/>
                            <w:color w:val="auto"/>
                            <w:sz w:val="24"/>
                            <w:szCs w:val="24"/>
                          </w:rPr>
                          <w:t>OFERTA DE REFERENCIA PARA LA DESAGREGACIÓN DEL BUCLE LOCAL</w:t>
                        </w:r>
                        <w:bookmarkEnd w:id="15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60" w:name="_Toc170381416"/>
                        <w:r>
                          <w:rPr>
                            <w:rFonts w:ascii="Century Gothic" w:eastAsiaTheme="minorHAnsi" w:hAnsi="Century Gothic"/>
                            <w:color w:val="auto"/>
                            <w:sz w:val="24"/>
                            <w:szCs w:val="24"/>
                          </w:rPr>
                          <w:t>OFERTA DE REFERENCIA PARA LA DESAGREGACIÓN DEL BUCLE LOCAL</w:t>
                        </w:r>
                        <w:bookmarkEnd w:id="16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61" w:name="_Toc170381417"/>
                        <w:r>
                          <w:rPr>
                            <w:rFonts w:ascii="Century Gothic" w:eastAsiaTheme="minorHAnsi" w:hAnsi="Century Gothic"/>
                            <w:color w:val="auto"/>
                            <w:sz w:val="24"/>
                            <w:szCs w:val="24"/>
                          </w:rPr>
                          <w:t>OFERTA DE REFERENCIA PARA LA DESAGREGACIÓN DEL BUCLE LOCAL</w:t>
                        </w:r>
                        <w:bookmarkEnd w:id="16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62" w:name="_Toc170381418"/>
                        <w:r>
                          <w:rPr>
                            <w:rFonts w:ascii="Century Gothic" w:eastAsiaTheme="minorHAnsi" w:hAnsi="Century Gothic"/>
                            <w:color w:val="auto"/>
                            <w:sz w:val="24"/>
                            <w:szCs w:val="24"/>
                          </w:rPr>
                          <w:t>OFERTA DE REFERENCIA PARA LA DESAGREGACIÓN DEL BUCLE LOCAL</w:t>
                        </w:r>
                        <w:bookmarkEnd w:id="16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63" w:name="_Toc170381419"/>
                        <w:r>
                          <w:rPr>
                            <w:rFonts w:ascii="Century Gothic" w:eastAsiaTheme="minorHAnsi" w:hAnsi="Century Gothic"/>
                            <w:color w:val="auto"/>
                            <w:sz w:val="24"/>
                            <w:szCs w:val="24"/>
                          </w:rPr>
                          <w:t>OFERTA DE REFERENCIA PARA LA DESAGREGACIÓN DEL BUCLE LOCAL</w:t>
                        </w:r>
                        <w:bookmarkEnd w:id="16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64" w:name="_Toc170381420"/>
                        <w:r>
                          <w:rPr>
                            <w:rFonts w:ascii="Century Gothic" w:eastAsiaTheme="minorHAnsi" w:hAnsi="Century Gothic"/>
                            <w:color w:val="auto"/>
                            <w:sz w:val="24"/>
                            <w:szCs w:val="24"/>
                          </w:rPr>
                          <w:t>OFERTA DE REFERENCIA PARA LA DESAGREGACIÓN DEL BUCLE LOCAL</w:t>
                        </w:r>
                        <w:bookmarkEnd w:id="16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65" w:name="_Toc170381421"/>
                        <w:r>
                          <w:rPr>
                            <w:rFonts w:ascii="Century Gothic" w:eastAsiaTheme="minorHAnsi" w:hAnsi="Century Gothic"/>
                            <w:color w:val="auto"/>
                            <w:sz w:val="24"/>
                            <w:szCs w:val="24"/>
                          </w:rPr>
                          <w:t>OFERTA DE REFERENCIA PARA LA DESAGREGACIÓN DEL BUCLE LOCAL</w:t>
                        </w:r>
                        <w:bookmarkEnd w:id="16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81326" w:rsidRDefault="000511F0" w:rsidP="00446018">
                        <w:pPr>
                          <w:pStyle w:val="Ttulo1"/>
                          <w:spacing w:line="18pt" w:lineRule="auto"/>
                          <w:jc w:val="center"/>
                          <w:rPr>
                            <w:rFonts w:ascii="Century Gothic" w:hAnsi="Century Gothic" w:cs="Times New Roman"/>
                            <w14:scene3d>
                              <w14:camera w14:prst="orthographicFront"/>
                              <w14:lightRig w14:rig="threePt" w14:dir="t">
                                <w14:rot w14:lat="0" w14:lon="0" w14:rev="0"/>
                              </w14:lightRig>
                            </w14:scene3d>
                          </w:rPr>
                        </w:pPr>
                        <w:bookmarkStart w:id="166" w:name="_Toc170381422"/>
                        <w:r>
                          <w:rPr>
                            <w:rFonts w:ascii="Century Gothic" w:hAnsi="Century Gothic" w:cs="Times New Roman"/>
                            <w14:scene3d>
                              <w14:camera w14:prst="orthographicFront"/>
                              <w14:lightRig w14:rig="threePt" w14:dir="t">
                                <w14:rot w14:lat="0" w14:lon="0" w14:rev="0"/>
                              </w14:lightRig>
                            </w14:scene3d>
                          </w:rPr>
                          <w:t>OFERTA DE REFERENCIA PARA LA DESAGREGACIÓN DEL BUCLE LOCAL</w:t>
                        </w:r>
                        <w:bookmarkEnd w:id="16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Pr="00E73C0B" w:rsidRDefault="000511F0" w:rsidP="0028714F">
                        <w:pPr>
                          <w:jc w:val="center"/>
                          <w:rPr>
                            <w:rFonts w:ascii="Century Gothic" w:hAnsi="Century Gothic"/>
                            <w:bCs/>
                            <w:sz w:val="18"/>
                            <w:szCs w:val="18"/>
                          </w:rPr>
                        </w:pPr>
                        <w:r>
                          <w:rPr>
                            <w:rFonts w:ascii="Century Gothic" w:hAnsi="Century Gothic"/>
                            <w:bCs/>
                            <w:sz w:val="18"/>
                            <w:szCs w:val="18"/>
                          </w:rPr>
                          <w:t>(RED NACIONAL)</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2025</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67" w:name="_Toc170381423"/>
                        <w:r>
                          <w:rPr>
                            <w:rFonts w:ascii="Century Gothic" w:eastAsiaTheme="minorHAnsi" w:hAnsi="Century Gothic"/>
                            <w:color w:val="auto"/>
                            <w:sz w:val="24"/>
                            <w:szCs w:val="24"/>
                          </w:rPr>
                          <w:t>OFERTA DE REFERENCIA PARA LA DESAGREGACIÓN DEL BUCLE LOCAL</w:t>
                        </w:r>
                        <w:bookmarkEnd w:id="16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68" w:name="_Toc170381424"/>
                        <w:r>
                          <w:rPr>
                            <w:rFonts w:ascii="Century Gothic" w:eastAsiaTheme="minorHAnsi" w:hAnsi="Century Gothic"/>
                            <w:color w:val="auto"/>
                            <w:sz w:val="24"/>
                            <w:szCs w:val="24"/>
                          </w:rPr>
                          <w:t>OFERTA DE REFERENCIA PARA LA DESAGREGACIÓN DEL BUCLE LOCAL</w:t>
                        </w:r>
                        <w:bookmarkEnd w:id="16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69" w:name="_Toc170381425"/>
                        <w:r>
                          <w:rPr>
                            <w:rFonts w:ascii="Century Gothic" w:eastAsiaTheme="minorHAnsi" w:hAnsi="Century Gothic"/>
                            <w:color w:val="auto"/>
                            <w:sz w:val="24"/>
                            <w:szCs w:val="24"/>
                          </w:rPr>
                          <w:t>OFERTA DE REFERENCIA PARA LA DESAGREGACIÓN DEL BUCLE LOCAL</w:t>
                        </w:r>
                        <w:bookmarkEnd w:id="16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70" w:name="_Toc170381426"/>
                        <w:r>
                          <w:rPr>
                            <w:rFonts w:ascii="Century Gothic" w:eastAsiaTheme="minorHAnsi" w:hAnsi="Century Gothic"/>
                            <w:color w:val="auto"/>
                            <w:sz w:val="24"/>
                            <w:szCs w:val="24"/>
                          </w:rPr>
                          <w:t>OFERTA DE REFERENCIA PARA LA DESAGREGACIÓN DEL BUCLE LOCAL</w:t>
                        </w:r>
                        <w:bookmarkEnd w:id="17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71" w:name="_Toc170381427"/>
                        <w:r>
                          <w:rPr>
                            <w:rFonts w:ascii="Century Gothic" w:eastAsiaTheme="minorHAnsi" w:hAnsi="Century Gothic"/>
                            <w:color w:val="auto"/>
                            <w:sz w:val="24"/>
                            <w:szCs w:val="24"/>
                          </w:rPr>
                          <w:t>OFERTA DE REFERENCIA PARA LA DESAGREGACIÓN DEL BUCLE LOCAL</w:t>
                        </w:r>
                        <w:bookmarkEnd w:id="17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72" w:name="_Toc170381428"/>
                        <w:r>
                          <w:rPr>
                            <w:rFonts w:ascii="Century Gothic" w:eastAsiaTheme="minorHAnsi" w:hAnsi="Century Gothic"/>
                            <w:color w:val="auto"/>
                            <w:sz w:val="24"/>
                            <w:szCs w:val="24"/>
                          </w:rPr>
                          <w:t>OFERTA DE REFERENCIA PARA LA DESAGREGACIÓN DEL BUCLE LOCAL</w:t>
                        </w:r>
                        <w:bookmarkEnd w:id="17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73" w:name="_Toc170381429"/>
                        <w:r>
                          <w:rPr>
                            <w:rFonts w:ascii="Century Gothic" w:eastAsiaTheme="minorHAnsi" w:hAnsi="Century Gothic"/>
                            <w:color w:val="auto"/>
                            <w:sz w:val="24"/>
                            <w:szCs w:val="24"/>
                          </w:rPr>
                          <w:t>OFERTA DE REFERENCIA PARA LA DESAGREGACIÓN DEL BUCLE LOCAL</w:t>
                        </w:r>
                        <w:bookmarkEnd w:id="17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74" w:name="_Toc170381430"/>
                        <w:r>
                          <w:rPr>
                            <w:rFonts w:ascii="Century Gothic" w:eastAsiaTheme="minorHAnsi" w:hAnsi="Century Gothic"/>
                            <w:color w:val="auto"/>
                            <w:sz w:val="24"/>
                            <w:szCs w:val="24"/>
                          </w:rPr>
                          <w:t>OFERTA DE REFERENCIA PARA LA DESAGREGACIÓN DEL BUCLE LOCAL</w:t>
                        </w:r>
                        <w:bookmarkEnd w:id="17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75" w:name="_Toc170381431"/>
                        <w:r>
                          <w:rPr>
                            <w:rFonts w:ascii="Century Gothic" w:eastAsiaTheme="minorHAnsi" w:hAnsi="Century Gothic"/>
                            <w:color w:val="auto"/>
                            <w:sz w:val="24"/>
                            <w:szCs w:val="24"/>
                          </w:rPr>
                          <w:t>OFERTA DE REFERENCIA PARA LA DESAGREGACIÓN DEL BUCLE LOCAL</w:t>
                        </w:r>
                        <w:bookmarkEnd w:id="17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76" w:name="_Toc170381432"/>
                        <w:r>
                          <w:rPr>
                            <w:rFonts w:ascii="Century Gothic" w:eastAsiaTheme="minorHAnsi" w:hAnsi="Century Gothic"/>
                            <w:color w:val="auto"/>
                            <w:sz w:val="24"/>
                            <w:szCs w:val="24"/>
                          </w:rPr>
                          <w:t>OFERTA DE REFERENCIA PARA LA DESAGREGACIÓN DEL BUCLE LOCAL</w:t>
                        </w:r>
                        <w:bookmarkEnd w:id="17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77" w:name="_Toc170381433"/>
                        <w:r>
                          <w:rPr>
                            <w:rFonts w:ascii="Century Gothic" w:eastAsiaTheme="minorHAnsi" w:hAnsi="Century Gothic"/>
                            <w:color w:val="auto"/>
                            <w:sz w:val="24"/>
                            <w:szCs w:val="24"/>
                          </w:rPr>
                          <w:t>OFERTA DE REFERENCIA PARA LA DESAGREGACIÓN DEL BUCLE LOCAL</w:t>
                        </w:r>
                        <w:bookmarkEnd w:id="17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78" w:name="_Toc170381434"/>
                        <w:r>
                          <w:rPr>
                            <w:rFonts w:ascii="Century Gothic" w:eastAsiaTheme="minorHAnsi" w:hAnsi="Century Gothic"/>
                            <w:color w:val="auto"/>
                            <w:sz w:val="24"/>
                            <w:szCs w:val="24"/>
                          </w:rPr>
                          <w:t>OFERTA DE REFERENCIA PARA LA DESAGREGACIÓN DEL BUCLE LOCAL</w:t>
                        </w:r>
                        <w:bookmarkEnd w:id="17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79" w:name="_Toc170381435"/>
                        <w:r>
                          <w:rPr>
                            <w:rFonts w:ascii="Century Gothic" w:eastAsiaTheme="minorHAnsi" w:hAnsi="Century Gothic"/>
                            <w:color w:val="auto"/>
                            <w:sz w:val="24"/>
                            <w:szCs w:val="24"/>
                          </w:rPr>
                          <w:t>OFERTA DE REFERENCIA PARA LA DESAGREGACIÓN DEL BUCLE LOCAL</w:t>
                        </w:r>
                        <w:bookmarkEnd w:id="17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80" w:name="_Toc170381436"/>
                        <w:r>
                          <w:rPr>
                            <w:rFonts w:ascii="Century Gothic" w:eastAsiaTheme="minorHAnsi" w:hAnsi="Century Gothic"/>
                            <w:color w:val="auto"/>
                            <w:sz w:val="24"/>
                            <w:szCs w:val="24"/>
                          </w:rPr>
                          <w:t>OFERTA DE REFERENCIA PARA LA DESAGREGACIÓN DEL BUCLE LOCAL</w:t>
                        </w:r>
                        <w:bookmarkEnd w:id="18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81" w:name="_Toc170381437"/>
                        <w:r>
                          <w:rPr>
                            <w:rFonts w:ascii="Century Gothic" w:eastAsiaTheme="minorHAnsi" w:hAnsi="Century Gothic"/>
                            <w:color w:val="auto"/>
                            <w:sz w:val="24"/>
                            <w:szCs w:val="24"/>
                          </w:rPr>
                          <w:t>OFERTA DE REFERENCIA PARA LA DESAGREGACIÓN DEL BUCLE LOCAL</w:t>
                        </w:r>
                        <w:bookmarkEnd w:id="18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82" w:name="_Toc170381438"/>
                        <w:r>
                          <w:rPr>
                            <w:rFonts w:ascii="Century Gothic" w:eastAsiaTheme="minorHAnsi" w:hAnsi="Century Gothic"/>
                            <w:color w:val="auto"/>
                            <w:sz w:val="24"/>
                            <w:szCs w:val="24"/>
                          </w:rPr>
                          <w:t>OFERTA DE REFERENCIA PARA LA DESAGREGACIÓN DEL BUCLE LOCAL</w:t>
                        </w:r>
                        <w:bookmarkEnd w:id="18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83" w:name="_Toc170381439"/>
                        <w:r>
                          <w:rPr>
                            <w:rFonts w:ascii="Century Gothic" w:eastAsiaTheme="minorHAnsi" w:hAnsi="Century Gothic"/>
                            <w:color w:val="auto"/>
                            <w:sz w:val="24"/>
                            <w:szCs w:val="24"/>
                          </w:rPr>
                          <w:t>OFERTA DE REFERENCIA PARA LA DESAGREGACIÓN DEL BUCLE LOCAL</w:t>
                        </w:r>
                        <w:bookmarkEnd w:id="18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84" w:name="_Toc170381440"/>
                        <w:r>
                          <w:rPr>
                            <w:rFonts w:ascii="Century Gothic" w:eastAsiaTheme="minorHAnsi" w:hAnsi="Century Gothic"/>
                            <w:color w:val="auto"/>
                            <w:sz w:val="24"/>
                            <w:szCs w:val="24"/>
                          </w:rPr>
                          <w:t>OFERTA DE REFERENCIA PARA LA DESAGREGACIÓN DEL BUCLE LOCAL</w:t>
                        </w:r>
                        <w:bookmarkEnd w:id="18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85" w:name="_Toc170381441"/>
                        <w:r>
                          <w:rPr>
                            <w:rFonts w:ascii="Century Gothic" w:eastAsiaTheme="minorHAnsi" w:hAnsi="Century Gothic"/>
                            <w:color w:val="auto"/>
                            <w:sz w:val="24"/>
                            <w:szCs w:val="24"/>
                          </w:rPr>
                          <w:t>OFERTA DE REFERENCIA PARA LA DESAGREGACIÓN DEL BUCLE LOCAL</w:t>
                        </w:r>
                        <w:bookmarkEnd w:id="18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86" w:name="_Toc170381442"/>
                        <w:r>
                          <w:rPr>
                            <w:rFonts w:ascii="Century Gothic" w:eastAsiaTheme="minorHAnsi" w:hAnsi="Century Gothic"/>
                            <w:color w:val="auto"/>
                            <w:sz w:val="24"/>
                            <w:szCs w:val="24"/>
                          </w:rPr>
                          <w:t>OFERTA DE REFERENCIA PARA LA DESAGREGACIÓN DEL BUCLE LOCAL</w:t>
                        </w:r>
                        <w:bookmarkEnd w:id="18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87" w:name="_Toc170381443"/>
                        <w:r>
                          <w:rPr>
                            <w:rFonts w:ascii="Century Gothic" w:eastAsiaTheme="minorHAnsi" w:hAnsi="Century Gothic"/>
                            <w:color w:val="auto"/>
                            <w:sz w:val="24"/>
                            <w:szCs w:val="24"/>
                          </w:rPr>
                          <w:t>OFERTA DE REFERENCIA PARA LA DESAGREGACIÓN DEL BUCLE LOCAL</w:t>
                        </w:r>
                        <w:bookmarkEnd w:id="18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88" w:name="_Toc170381444"/>
                        <w:r>
                          <w:rPr>
                            <w:rFonts w:ascii="Century Gothic" w:eastAsiaTheme="minorHAnsi" w:hAnsi="Century Gothic"/>
                            <w:color w:val="auto"/>
                            <w:sz w:val="24"/>
                            <w:szCs w:val="24"/>
                          </w:rPr>
                          <w:t>OFERTA DE REFERENCIA PARA LA DESAGREGACIÓN DEL BUCLE LOCAL</w:t>
                        </w:r>
                        <w:bookmarkEnd w:id="18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89" w:name="_Toc170381445"/>
                        <w:r>
                          <w:rPr>
                            <w:rFonts w:ascii="Century Gothic" w:eastAsiaTheme="minorHAnsi" w:hAnsi="Century Gothic"/>
                            <w:color w:val="auto"/>
                            <w:sz w:val="24"/>
                            <w:szCs w:val="24"/>
                          </w:rPr>
                          <w:t>OFERTA DE REFERENCIA PARA LA DESAGREGACIÓN DEL BUCLE LOCAL</w:t>
                        </w:r>
                        <w:bookmarkEnd w:id="18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90" w:name="_Toc170381446"/>
                        <w:r>
                          <w:rPr>
                            <w:rFonts w:ascii="Century Gothic" w:eastAsiaTheme="minorHAnsi" w:hAnsi="Century Gothic"/>
                            <w:color w:val="auto"/>
                            <w:sz w:val="24"/>
                            <w:szCs w:val="24"/>
                          </w:rPr>
                          <w:t>OFERTA DE REFERENCIA PARA LA DESAGREGACIÓN DEL BUCLE LOCAL</w:t>
                        </w:r>
                        <w:bookmarkEnd w:id="19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91" w:name="_Toc170381447"/>
                        <w:r>
                          <w:rPr>
                            <w:rFonts w:ascii="Century Gothic" w:eastAsiaTheme="minorHAnsi" w:hAnsi="Century Gothic"/>
                            <w:color w:val="auto"/>
                            <w:sz w:val="24"/>
                            <w:szCs w:val="24"/>
                          </w:rPr>
                          <w:t>OFERTA DE REFERENCIA PARA LA DESAGREGACIÓN DEL BUCLE LOCAL</w:t>
                        </w:r>
                        <w:bookmarkEnd w:id="19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92" w:name="_Toc170381448"/>
                        <w:r>
                          <w:rPr>
                            <w:rFonts w:ascii="Century Gothic" w:eastAsiaTheme="minorHAnsi" w:hAnsi="Century Gothic"/>
                            <w:color w:val="auto"/>
                            <w:sz w:val="24"/>
                            <w:szCs w:val="24"/>
                          </w:rPr>
                          <w:t>OFERTA DE REFERENCIA PARA LA DESAGREGACIÓN DEL BUCLE LOCAL</w:t>
                        </w:r>
                        <w:bookmarkEnd w:id="19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93" w:name="_Toc170381449"/>
                        <w:r>
                          <w:rPr>
                            <w:rFonts w:ascii="Century Gothic" w:eastAsiaTheme="minorHAnsi" w:hAnsi="Century Gothic"/>
                            <w:color w:val="auto"/>
                            <w:sz w:val="24"/>
                            <w:szCs w:val="24"/>
                          </w:rPr>
                          <w:t>OFERTA DE REFERENCIA PARA LA DESAGREGACIÓN DEL BUCLE LOCAL</w:t>
                        </w:r>
                        <w:bookmarkEnd w:id="19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94" w:name="_Toc170381450"/>
                        <w:r>
                          <w:rPr>
                            <w:rFonts w:ascii="Century Gothic" w:eastAsiaTheme="minorHAnsi" w:hAnsi="Century Gothic"/>
                            <w:color w:val="auto"/>
                            <w:sz w:val="24"/>
                            <w:szCs w:val="24"/>
                          </w:rPr>
                          <w:t>OFERTA DE REFERENCIA PARA LA DESAGREGACIÓN DEL BUCLE LOCAL</w:t>
                        </w:r>
                        <w:bookmarkEnd w:id="19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95" w:name="_Toc170381451"/>
                        <w:r>
                          <w:rPr>
                            <w:rFonts w:ascii="Century Gothic" w:eastAsiaTheme="minorHAnsi" w:hAnsi="Century Gothic"/>
                            <w:color w:val="auto"/>
                            <w:sz w:val="24"/>
                            <w:szCs w:val="24"/>
                          </w:rPr>
                          <w:t>OFERTA DE REFERENCIA PARA LA DESAGREGACIÓN DEL BUCLE LOCAL</w:t>
                        </w:r>
                        <w:bookmarkEnd w:id="19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96" w:name="_Toc170381452"/>
                        <w:r>
                          <w:rPr>
                            <w:rFonts w:ascii="Century Gothic" w:eastAsiaTheme="minorHAnsi" w:hAnsi="Century Gothic"/>
                            <w:color w:val="auto"/>
                            <w:sz w:val="24"/>
                            <w:szCs w:val="24"/>
                          </w:rPr>
                          <w:t>OFERTA DE REFERENCIA PARA LA DESAGREGACIÓN DEL BUCLE LOCAL</w:t>
                        </w:r>
                        <w:bookmarkEnd w:id="19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97" w:name="_Toc170381453"/>
                        <w:r>
                          <w:rPr>
                            <w:rFonts w:ascii="Century Gothic" w:eastAsiaTheme="minorHAnsi" w:hAnsi="Century Gothic"/>
                            <w:color w:val="auto"/>
                            <w:sz w:val="24"/>
                            <w:szCs w:val="24"/>
                          </w:rPr>
                          <w:t>OFERTA DE REFERENCIA PARA LA DESAGREGACIÓN DEL BUCLE LOCAL</w:t>
                        </w:r>
                        <w:bookmarkEnd w:id="19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98" w:name="_Toc170381454"/>
                        <w:r>
                          <w:rPr>
                            <w:rFonts w:ascii="Century Gothic" w:eastAsiaTheme="minorHAnsi" w:hAnsi="Century Gothic"/>
                            <w:color w:val="auto"/>
                            <w:sz w:val="24"/>
                            <w:szCs w:val="24"/>
                          </w:rPr>
                          <w:t>OFERTA DE REFERENCIA PARA LA DESAGREGACIÓN DEL BUCLE LOCAL</w:t>
                        </w:r>
                        <w:bookmarkEnd w:id="19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199" w:name="_Toc170381455"/>
                        <w:r>
                          <w:rPr>
                            <w:rFonts w:ascii="Century Gothic" w:eastAsiaTheme="minorHAnsi" w:hAnsi="Century Gothic"/>
                            <w:color w:val="auto"/>
                            <w:sz w:val="24"/>
                            <w:szCs w:val="24"/>
                          </w:rPr>
                          <w:t>OFERTA DE REFERENCIA PARA LA DESAGREGACIÓN DEL BUCLE LOCAL</w:t>
                        </w:r>
                        <w:bookmarkEnd w:id="19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00" w:name="_Toc170381456"/>
                        <w:r>
                          <w:rPr>
                            <w:rFonts w:ascii="Century Gothic" w:eastAsiaTheme="minorHAnsi" w:hAnsi="Century Gothic"/>
                            <w:color w:val="auto"/>
                            <w:sz w:val="24"/>
                            <w:szCs w:val="24"/>
                          </w:rPr>
                          <w:t>OFERTA DE REFERENCIA PARA LA DESAGREGACIÓN DEL BUCLE LOCAL</w:t>
                        </w:r>
                        <w:bookmarkEnd w:id="20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01" w:name="_Toc170381457"/>
                        <w:r>
                          <w:rPr>
                            <w:rFonts w:ascii="Century Gothic" w:eastAsiaTheme="minorHAnsi" w:hAnsi="Century Gothic"/>
                            <w:color w:val="auto"/>
                            <w:sz w:val="24"/>
                            <w:szCs w:val="24"/>
                          </w:rPr>
                          <w:t>OFERTA DE REFERENCIA PARA LA DESAGREGACIÓN DEL BUCLE LOCAL</w:t>
                        </w:r>
                        <w:bookmarkEnd w:id="20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02" w:name="_Toc170381458"/>
                        <w:r>
                          <w:rPr>
                            <w:rFonts w:ascii="Century Gothic" w:eastAsiaTheme="minorHAnsi" w:hAnsi="Century Gothic"/>
                            <w:color w:val="auto"/>
                            <w:sz w:val="24"/>
                            <w:szCs w:val="24"/>
                          </w:rPr>
                          <w:t>OFERTA DE REFERENCIA PARA LA DESAGREGACIÓN DEL BUCLE LOCAL</w:t>
                        </w:r>
                        <w:bookmarkEnd w:id="20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03" w:name="_Toc170381459"/>
                        <w:r>
                          <w:rPr>
                            <w:rFonts w:ascii="Century Gothic" w:eastAsiaTheme="minorHAnsi" w:hAnsi="Century Gothic"/>
                            <w:color w:val="auto"/>
                            <w:sz w:val="24"/>
                            <w:szCs w:val="24"/>
                          </w:rPr>
                          <w:t>OFERTA DE REFERENCIA PARA LA DESAGREGACIÓN DEL BUCLE LOCAL</w:t>
                        </w:r>
                        <w:bookmarkEnd w:id="20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04" w:name="_Toc170381460"/>
                        <w:r>
                          <w:rPr>
                            <w:rFonts w:ascii="Century Gothic" w:eastAsiaTheme="minorHAnsi" w:hAnsi="Century Gothic"/>
                            <w:color w:val="auto"/>
                            <w:sz w:val="24"/>
                            <w:szCs w:val="24"/>
                          </w:rPr>
                          <w:t>OFERTA DE REFERENCIA PARA LA DESAGREGACIÓN DEL BUCLE LOCAL</w:t>
                        </w:r>
                        <w:bookmarkEnd w:id="20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05" w:name="_Toc170381461"/>
                        <w:r>
                          <w:rPr>
                            <w:rFonts w:ascii="Century Gothic" w:eastAsiaTheme="minorHAnsi" w:hAnsi="Century Gothic"/>
                            <w:color w:val="auto"/>
                            <w:sz w:val="24"/>
                            <w:szCs w:val="24"/>
                          </w:rPr>
                          <w:t>OFERTA DE REFERENCIA PARA LA DESAGREGACIÓN DEL BUCLE LOCAL</w:t>
                        </w:r>
                        <w:bookmarkEnd w:id="20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06" w:name="_Toc170381462"/>
                        <w:r>
                          <w:rPr>
                            <w:rFonts w:ascii="Century Gothic" w:eastAsiaTheme="minorHAnsi" w:hAnsi="Century Gothic"/>
                            <w:color w:val="auto"/>
                            <w:sz w:val="24"/>
                            <w:szCs w:val="24"/>
                          </w:rPr>
                          <w:t>OFERTA DE REFERENCIA PARA LA DESAGREGACIÓN DEL BUCLE LOCAL</w:t>
                        </w:r>
                        <w:bookmarkEnd w:id="20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07" w:name="_Toc170381463"/>
                        <w:r>
                          <w:rPr>
                            <w:rFonts w:ascii="Century Gothic" w:eastAsiaTheme="minorHAnsi" w:hAnsi="Century Gothic"/>
                            <w:color w:val="auto"/>
                            <w:sz w:val="24"/>
                            <w:szCs w:val="24"/>
                          </w:rPr>
                          <w:t>OFERTA DE REFERENCIA PARA LA DESAGREGACIÓN DEL BUCLE LOCAL</w:t>
                        </w:r>
                        <w:bookmarkEnd w:id="20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08" w:name="_Toc170381464"/>
                        <w:r>
                          <w:rPr>
                            <w:rFonts w:ascii="Century Gothic" w:eastAsiaTheme="minorHAnsi" w:hAnsi="Century Gothic"/>
                            <w:color w:val="auto"/>
                            <w:sz w:val="24"/>
                            <w:szCs w:val="24"/>
                          </w:rPr>
                          <w:t>OFERTA DE REFERENCIA PARA LA DESAGREGACIÓN DEL BUCLE LOCAL</w:t>
                        </w:r>
                        <w:bookmarkEnd w:id="20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09" w:name="_Toc170381465"/>
                        <w:r>
                          <w:rPr>
                            <w:rFonts w:ascii="Century Gothic" w:eastAsiaTheme="minorHAnsi" w:hAnsi="Century Gothic"/>
                            <w:color w:val="auto"/>
                            <w:sz w:val="24"/>
                            <w:szCs w:val="24"/>
                          </w:rPr>
                          <w:t>OFERTA DE REFERENCIA PARA LA DESAGREGACIÓN DEL BUCLE LOCAL</w:t>
                        </w:r>
                        <w:bookmarkEnd w:id="20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10" w:name="_Toc170381466"/>
                        <w:r>
                          <w:rPr>
                            <w:rFonts w:ascii="Century Gothic" w:eastAsiaTheme="minorHAnsi" w:hAnsi="Century Gothic"/>
                            <w:color w:val="auto"/>
                            <w:sz w:val="24"/>
                            <w:szCs w:val="24"/>
                          </w:rPr>
                          <w:t>OFERTA DE REFERENCIA PARA LA DESAGREGACIÓN DEL BUCLE LOCAL</w:t>
                        </w:r>
                        <w:bookmarkEnd w:id="21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11" w:name="_Toc170381467"/>
                        <w:r>
                          <w:rPr>
                            <w:rFonts w:ascii="Century Gothic" w:eastAsiaTheme="minorHAnsi" w:hAnsi="Century Gothic"/>
                            <w:color w:val="auto"/>
                            <w:sz w:val="24"/>
                            <w:szCs w:val="24"/>
                          </w:rPr>
                          <w:t>OFERTA DE REFERENCIA PARA LA DESAGREGACIÓN DEL BUCLE LOCAL</w:t>
                        </w:r>
                        <w:bookmarkEnd w:id="21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12" w:name="_Toc170381468"/>
                        <w:r>
                          <w:rPr>
                            <w:rFonts w:ascii="Century Gothic" w:eastAsiaTheme="minorHAnsi" w:hAnsi="Century Gothic"/>
                            <w:color w:val="auto"/>
                            <w:sz w:val="24"/>
                            <w:szCs w:val="24"/>
                          </w:rPr>
                          <w:t>OFERTA DE REFERENCIA PARA LA DESAGREGACIÓN DEL BUCLE LOCAL</w:t>
                        </w:r>
                        <w:bookmarkEnd w:id="21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13" w:name="_Toc170381469"/>
                        <w:r>
                          <w:rPr>
                            <w:rFonts w:ascii="Century Gothic" w:eastAsiaTheme="minorHAnsi" w:hAnsi="Century Gothic"/>
                            <w:color w:val="auto"/>
                            <w:sz w:val="24"/>
                            <w:szCs w:val="24"/>
                          </w:rPr>
                          <w:t>OFERTA DE REFERENCIA PARA LA DESAGREGACIÓN DEL BUCLE LOCAL</w:t>
                        </w:r>
                        <w:bookmarkEnd w:id="21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14" w:name="_Toc170381470"/>
                        <w:r>
                          <w:rPr>
                            <w:rFonts w:ascii="Century Gothic" w:eastAsiaTheme="minorHAnsi" w:hAnsi="Century Gothic"/>
                            <w:color w:val="auto"/>
                            <w:sz w:val="24"/>
                            <w:szCs w:val="24"/>
                          </w:rPr>
                          <w:t>OFERTA DE REFERENCIA PARA LA DESAGREGACIÓN DEL BUCLE LOCAL</w:t>
                        </w:r>
                        <w:bookmarkEnd w:id="21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15" w:name="_Toc170381471"/>
                        <w:r>
                          <w:rPr>
                            <w:rFonts w:ascii="Century Gothic" w:eastAsiaTheme="minorHAnsi" w:hAnsi="Century Gothic"/>
                            <w:color w:val="auto"/>
                            <w:sz w:val="24"/>
                            <w:szCs w:val="24"/>
                          </w:rPr>
                          <w:t>OFERTA DE REFERENCIA PARA LA DESAGREGACIÓN DEL BUCLE LOCAL</w:t>
                        </w:r>
                        <w:bookmarkEnd w:id="21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16" w:name="_Toc170381472"/>
                        <w:r>
                          <w:rPr>
                            <w:rFonts w:ascii="Century Gothic" w:eastAsiaTheme="minorHAnsi" w:hAnsi="Century Gothic"/>
                            <w:color w:val="auto"/>
                            <w:sz w:val="24"/>
                            <w:szCs w:val="24"/>
                          </w:rPr>
                          <w:t>OFERTA DE REFERENCIA PARA LA DESAGREGACIÓN DEL BUCLE LOCAL</w:t>
                        </w:r>
                        <w:bookmarkEnd w:id="21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17" w:name="_Toc170381473"/>
                        <w:r>
                          <w:rPr>
                            <w:rFonts w:ascii="Century Gothic" w:eastAsiaTheme="minorHAnsi" w:hAnsi="Century Gothic"/>
                            <w:color w:val="auto"/>
                            <w:sz w:val="24"/>
                            <w:szCs w:val="24"/>
                          </w:rPr>
                          <w:t>OFERTA DE REFERENCIA PARA LA DESAGREGACIÓN DEL BUCLE LOCAL</w:t>
                        </w:r>
                        <w:bookmarkEnd w:id="21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18" w:name="_Toc170381474"/>
                        <w:r>
                          <w:rPr>
                            <w:rFonts w:ascii="Century Gothic" w:eastAsiaTheme="minorHAnsi" w:hAnsi="Century Gothic"/>
                            <w:color w:val="auto"/>
                            <w:sz w:val="24"/>
                            <w:szCs w:val="24"/>
                          </w:rPr>
                          <w:t>OFERTA DE REFERENCIA PARA LA DESAGREGACIÓN DEL BUCLE LOCAL</w:t>
                        </w:r>
                        <w:bookmarkEnd w:id="21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19" w:name="_Toc170381475"/>
                        <w:r>
                          <w:rPr>
                            <w:rFonts w:ascii="Century Gothic" w:eastAsiaTheme="minorHAnsi" w:hAnsi="Century Gothic"/>
                            <w:color w:val="auto"/>
                            <w:sz w:val="24"/>
                            <w:szCs w:val="24"/>
                          </w:rPr>
                          <w:t>OFERTA DE REFERENCIA PARA LA DESAGREGACIÓN DEL BUCLE LOCAL</w:t>
                        </w:r>
                        <w:bookmarkEnd w:id="21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20" w:name="_Toc170381476"/>
                        <w:r>
                          <w:rPr>
                            <w:rFonts w:ascii="Century Gothic" w:eastAsiaTheme="minorHAnsi" w:hAnsi="Century Gothic"/>
                            <w:color w:val="auto"/>
                            <w:sz w:val="24"/>
                            <w:szCs w:val="24"/>
                          </w:rPr>
                          <w:t>OFERTA DE REFERENCIA PARA LA DESAGREGACIÓN DEL BUCLE LOCAL</w:t>
                        </w:r>
                        <w:bookmarkEnd w:id="22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21" w:name="_Toc170381477"/>
                        <w:r>
                          <w:rPr>
                            <w:rFonts w:ascii="Century Gothic" w:eastAsiaTheme="minorHAnsi" w:hAnsi="Century Gothic"/>
                            <w:color w:val="auto"/>
                            <w:sz w:val="24"/>
                            <w:szCs w:val="24"/>
                          </w:rPr>
                          <w:t>OFERTA DE REFERENCIA PARA LA DESAGREGACIÓN DEL BUCLE LOCAL</w:t>
                        </w:r>
                        <w:bookmarkEnd w:id="22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22" w:name="_Toc170381478"/>
                        <w:r>
                          <w:rPr>
                            <w:rFonts w:ascii="Century Gothic" w:eastAsiaTheme="minorHAnsi" w:hAnsi="Century Gothic"/>
                            <w:color w:val="auto"/>
                            <w:sz w:val="24"/>
                            <w:szCs w:val="24"/>
                          </w:rPr>
                          <w:t>OFERTA DE REFERENCIA PARA LA DESAGREGACIÓN DEL BUCLE LOCAL</w:t>
                        </w:r>
                        <w:bookmarkEnd w:id="22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23" w:name="_Toc170381479"/>
                        <w:r>
                          <w:rPr>
                            <w:rFonts w:ascii="Century Gothic" w:eastAsiaTheme="minorHAnsi" w:hAnsi="Century Gothic"/>
                            <w:color w:val="auto"/>
                            <w:sz w:val="24"/>
                            <w:szCs w:val="24"/>
                          </w:rPr>
                          <w:t>OFERTA DE REFERENCIA PARA LA DESAGREGACIÓN DEL BUCLE LOCAL</w:t>
                        </w:r>
                        <w:bookmarkEnd w:id="22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24" w:name="_Toc170381480"/>
                        <w:r>
                          <w:rPr>
                            <w:rFonts w:ascii="Century Gothic" w:eastAsiaTheme="minorHAnsi" w:hAnsi="Century Gothic"/>
                            <w:color w:val="auto"/>
                            <w:sz w:val="24"/>
                            <w:szCs w:val="24"/>
                          </w:rPr>
                          <w:t>OFERTA DE REFERENCIA PARA LA DESAGREGACIÓN DEL BUCLE LOCAL</w:t>
                        </w:r>
                        <w:bookmarkEnd w:id="22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25" w:name="_Toc170381481"/>
                        <w:r>
                          <w:rPr>
                            <w:rFonts w:ascii="Century Gothic" w:eastAsiaTheme="minorHAnsi" w:hAnsi="Century Gothic"/>
                            <w:color w:val="auto"/>
                            <w:sz w:val="24"/>
                            <w:szCs w:val="24"/>
                          </w:rPr>
                          <w:t>OFERTA DE REFERENCIA PARA LA DESAGREGACIÓN DEL BUCLE LOCAL</w:t>
                        </w:r>
                        <w:bookmarkEnd w:id="22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26" w:name="_Toc170381482"/>
                        <w:r>
                          <w:rPr>
                            <w:rFonts w:ascii="Century Gothic" w:eastAsiaTheme="minorHAnsi" w:hAnsi="Century Gothic"/>
                            <w:color w:val="auto"/>
                            <w:sz w:val="24"/>
                            <w:szCs w:val="24"/>
                          </w:rPr>
                          <w:t>OFERTA DE REFERENCIA PARA LA DESAGREGACIÓN DEL BUCLE LOCAL</w:t>
                        </w:r>
                        <w:bookmarkEnd w:id="22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27" w:name="_Toc170381483"/>
                        <w:r>
                          <w:rPr>
                            <w:rFonts w:ascii="Century Gothic" w:eastAsiaTheme="minorHAnsi" w:hAnsi="Century Gothic"/>
                            <w:color w:val="auto"/>
                            <w:sz w:val="24"/>
                            <w:szCs w:val="24"/>
                          </w:rPr>
                          <w:t>OFERTA DE REFERENCIA PARA LA DESAGREGACIÓN DEL BUCLE LOCAL</w:t>
                        </w:r>
                        <w:bookmarkEnd w:id="22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28" w:name="_Toc170381484"/>
                        <w:r>
                          <w:rPr>
                            <w:rFonts w:ascii="Century Gothic" w:eastAsiaTheme="minorHAnsi" w:hAnsi="Century Gothic"/>
                            <w:color w:val="auto"/>
                            <w:sz w:val="24"/>
                            <w:szCs w:val="24"/>
                          </w:rPr>
                          <w:t>OFERTA DE REFERENCIA PARA LA DESAGREGACIÓN DEL BUCLE LOCAL</w:t>
                        </w:r>
                        <w:bookmarkEnd w:id="22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29" w:name="_Toc170381485"/>
                        <w:r>
                          <w:rPr>
                            <w:rFonts w:ascii="Century Gothic" w:eastAsiaTheme="minorHAnsi" w:hAnsi="Century Gothic"/>
                            <w:color w:val="auto"/>
                            <w:sz w:val="24"/>
                            <w:szCs w:val="24"/>
                          </w:rPr>
                          <w:t>OFERTA DE REFERENCIA PARA LA DESAGREGACIÓN DEL BUCLE LOCAL</w:t>
                        </w:r>
                        <w:bookmarkEnd w:id="22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81326" w:rsidRDefault="000511F0" w:rsidP="00446018">
                        <w:pPr>
                          <w:pStyle w:val="Ttulo1"/>
                          <w:spacing w:line="18pt" w:lineRule="auto"/>
                          <w:jc w:val="center"/>
                          <w:rPr>
                            <w:rFonts w:ascii="Century Gothic" w:hAnsi="Century Gothic" w:cs="Times New Roman"/>
                            <w14:scene3d>
                              <w14:camera w14:prst="orthographicFront"/>
                              <w14:lightRig w14:rig="threePt" w14:dir="t">
                                <w14:rot w14:lat="0" w14:lon="0" w14:rev="0"/>
                              </w14:lightRig>
                            </w14:scene3d>
                          </w:rPr>
                        </w:pPr>
                        <w:bookmarkStart w:id="230" w:name="_Toc170381486"/>
                        <w:r>
                          <w:rPr>
                            <w:rFonts w:ascii="Century Gothic" w:hAnsi="Century Gothic" w:cs="Times New Roman"/>
                            <w14:scene3d>
                              <w14:camera w14:prst="orthographicFront"/>
                              <w14:lightRig w14:rig="threePt" w14:dir="t">
                                <w14:rot w14:lat="0" w14:lon="0" w14:rev="0"/>
                              </w14:lightRig>
                            </w14:scene3d>
                          </w:rPr>
                          <w:t>OFERTA DE REFERENCIA PARA LA DESAGREGACIÓN DEL BUCLE LOCAL</w:t>
                        </w:r>
                        <w:bookmarkEnd w:id="23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Pr="00E73C0B" w:rsidRDefault="000511F0" w:rsidP="0028714F">
                        <w:pPr>
                          <w:jc w:val="center"/>
                          <w:rPr>
                            <w:rFonts w:ascii="Century Gothic" w:hAnsi="Century Gothic"/>
                            <w:bCs/>
                            <w:sz w:val="18"/>
                            <w:szCs w:val="18"/>
                          </w:rPr>
                        </w:pPr>
                        <w:r>
                          <w:rPr>
                            <w:rFonts w:ascii="Century Gothic" w:hAnsi="Century Gothic"/>
                            <w:bCs/>
                            <w:sz w:val="18"/>
                            <w:szCs w:val="18"/>
                          </w:rPr>
                          <w:t>(RED NACIONAL)</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2025</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31" w:name="_Toc170381487"/>
                        <w:r>
                          <w:rPr>
                            <w:rFonts w:ascii="Century Gothic" w:eastAsiaTheme="minorHAnsi" w:hAnsi="Century Gothic"/>
                            <w:color w:val="auto"/>
                            <w:sz w:val="24"/>
                            <w:szCs w:val="24"/>
                          </w:rPr>
                          <w:t>OFERTA DE REFERENCIA PARA LA DESAGREGACIÓN DEL BUCLE LOCAL</w:t>
                        </w:r>
                        <w:bookmarkEnd w:id="23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32" w:name="_Toc170381488"/>
                        <w:r>
                          <w:rPr>
                            <w:rFonts w:ascii="Century Gothic" w:eastAsiaTheme="minorHAnsi" w:hAnsi="Century Gothic"/>
                            <w:color w:val="auto"/>
                            <w:sz w:val="24"/>
                            <w:szCs w:val="24"/>
                          </w:rPr>
                          <w:t>OFERTA DE REFERENCIA PARA LA DESAGREGACIÓN DEL BUCLE LOCAL</w:t>
                        </w:r>
                        <w:bookmarkEnd w:id="23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33" w:name="_Toc170381489"/>
                        <w:r>
                          <w:rPr>
                            <w:rFonts w:ascii="Century Gothic" w:eastAsiaTheme="minorHAnsi" w:hAnsi="Century Gothic"/>
                            <w:color w:val="auto"/>
                            <w:sz w:val="24"/>
                            <w:szCs w:val="24"/>
                          </w:rPr>
                          <w:t>OFERTA DE REFERENCIA PARA LA DESAGREGACIÓN DEL BUCLE LOCAL</w:t>
                        </w:r>
                        <w:bookmarkEnd w:id="23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34" w:name="_Toc170381490"/>
                        <w:r>
                          <w:rPr>
                            <w:rFonts w:ascii="Century Gothic" w:eastAsiaTheme="minorHAnsi" w:hAnsi="Century Gothic"/>
                            <w:color w:val="auto"/>
                            <w:sz w:val="24"/>
                            <w:szCs w:val="24"/>
                          </w:rPr>
                          <w:t>OFERTA DE REFERENCIA PARA LA DESAGREGACIÓN DEL BUCLE LOCAL</w:t>
                        </w:r>
                        <w:bookmarkEnd w:id="23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35" w:name="_Toc170381491"/>
                        <w:r>
                          <w:rPr>
                            <w:rFonts w:ascii="Century Gothic" w:eastAsiaTheme="minorHAnsi" w:hAnsi="Century Gothic"/>
                            <w:color w:val="auto"/>
                            <w:sz w:val="24"/>
                            <w:szCs w:val="24"/>
                          </w:rPr>
                          <w:t>OFERTA DE REFERENCIA PARA LA DESAGREGACIÓN DEL BUCLE LOCAL</w:t>
                        </w:r>
                        <w:bookmarkEnd w:id="23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36" w:name="_Toc170381492"/>
                        <w:r>
                          <w:rPr>
                            <w:rFonts w:ascii="Century Gothic" w:eastAsiaTheme="minorHAnsi" w:hAnsi="Century Gothic"/>
                            <w:color w:val="auto"/>
                            <w:sz w:val="24"/>
                            <w:szCs w:val="24"/>
                          </w:rPr>
                          <w:t>OFERTA DE REFERENCIA PARA LA DESAGREGACIÓN DEL BUCLE LOCAL</w:t>
                        </w:r>
                        <w:bookmarkEnd w:id="23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37" w:name="_Toc170381493"/>
                        <w:r>
                          <w:rPr>
                            <w:rFonts w:ascii="Century Gothic" w:eastAsiaTheme="minorHAnsi" w:hAnsi="Century Gothic"/>
                            <w:color w:val="auto"/>
                            <w:sz w:val="24"/>
                            <w:szCs w:val="24"/>
                          </w:rPr>
                          <w:t>OFERTA DE REFERENCIA PARA LA DESAGREGACIÓN DEL BUCLE LOCAL</w:t>
                        </w:r>
                        <w:bookmarkEnd w:id="23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38" w:name="_Toc170381494"/>
                        <w:r>
                          <w:rPr>
                            <w:rFonts w:ascii="Century Gothic" w:eastAsiaTheme="minorHAnsi" w:hAnsi="Century Gothic"/>
                            <w:color w:val="auto"/>
                            <w:sz w:val="24"/>
                            <w:szCs w:val="24"/>
                          </w:rPr>
                          <w:t>OFERTA DE REFERENCIA PARA LA DESAGREGACIÓN DEL BUCLE LOCAL</w:t>
                        </w:r>
                        <w:bookmarkEnd w:id="23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39" w:name="_Toc170381495"/>
                        <w:r>
                          <w:rPr>
                            <w:rFonts w:ascii="Century Gothic" w:eastAsiaTheme="minorHAnsi" w:hAnsi="Century Gothic"/>
                            <w:color w:val="auto"/>
                            <w:sz w:val="24"/>
                            <w:szCs w:val="24"/>
                          </w:rPr>
                          <w:t>OFERTA DE REFERENCIA PARA LA DESAGREGACIÓN DEL BUCLE LOCAL</w:t>
                        </w:r>
                        <w:bookmarkEnd w:id="23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40" w:name="_Toc170381496"/>
                        <w:r>
                          <w:rPr>
                            <w:rFonts w:ascii="Century Gothic" w:eastAsiaTheme="minorHAnsi" w:hAnsi="Century Gothic"/>
                            <w:color w:val="auto"/>
                            <w:sz w:val="24"/>
                            <w:szCs w:val="24"/>
                          </w:rPr>
                          <w:t>OFERTA DE REFERENCIA PARA LA DESAGREGACIÓN DEL BUCLE LOCAL</w:t>
                        </w:r>
                        <w:bookmarkEnd w:id="24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41" w:name="_Toc170381497"/>
                        <w:r>
                          <w:rPr>
                            <w:rFonts w:ascii="Century Gothic" w:eastAsiaTheme="minorHAnsi" w:hAnsi="Century Gothic"/>
                            <w:color w:val="auto"/>
                            <w:sz w:val="24"/>
                            <w:szCs w:val="24"/>
                          </w:rPr>
                          <w:t>OFERTA DE REFERENCIA PARA LA DESAGREGACIÓN DEL BUCLE LOCAL</w:t>
                        </w:r>
                        <w:bookmarkEnd w:id="24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42" w:name="_Toc170381498"/>
                        <w:r>
                          <w:rPr>
                            <w:rFonts w:ascii="Century Gothic" w:eastAsiaTheme="minorHAnsi" w:hAnsi="Century Gothic"/>
                            <w:color w:val="auto"/>
                            <w:sz w:val="24"/>
                            <w:szCs w:val="24"/>
                          </w:rPr>
                          <w:t>OFERTA DE REFERENCIA PARA LA DESAGREGACIÓN DEL BUCLE LOCAL</w:t>
                        </w:r>
                        <w:bookmarkEnd w:id="24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43" w:name="_Toc170381499"/>
                        <w:r>
                          <w:rPr>
                            <w:rFonts w:ascii="Century Gothic" w:eastAsiaTheme="minorHAnsi" w:hAnsi="Century Gothic"/>
                            <w:color w:val="auto"/>
                            <w:sz w:val="24"/>
                            <w:szCs w:val="24"/>
                          </w:rPr>
                          <w:t>OFERTA DE REFERENCIA PARA LA DESAGREGACIÓN DEL BUCLE LOCAL</w:t>
                        </w:r>
                        <w:bookmarkEnd w:id="24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44" w:name="_Toc170381500"/>
                        <w:r>
                          <w:rPr>
                            <w:rFonts w:ascii="Century Gothic" w:eastAsiaTheme="minorHAnsi" w:hAnsi="Century Gothic"/>
                            <w:color w:val="auto"/>
                            <w:sz w:val="24"/>
                            <w:szCs w:val="24"/>
                          </w:rPr>
                          <w:t>OFERTA DE REFERENCIA PARA LA DESAGREGACIÓN DEL BUCLE LOCAL</w:t>
                        </w:r>
                        <w:bookmarkEnd w:id="24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45" w:name="_Toc170381501"/>
                        <w:r>
                          <w:rPr>
                            <w:rFonts w:ascii="Century Gothic" w:eastAsiaTheme="minorHAnsi" w:hAnsi="Century Gothic"/>
                            <w:color w:val="auto"/>
                            <w:sz w:val="24"/>
                            <w:szCs w:val="24"/>
                          </w:rPr>
                          <w:t>OFERTA DE REFERENCIA PARA LA DESAGREGACIÓN DEL BUCLE LOCAL</w:t>
                        </w:r>
                        <w:bookmarkEnd w:id="24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46" w:name="_Toc170381502"/>
                        <w:r>
                          <w:rPr>
                            <w:rFonts w:ascii="Century Gothic" w:eastAsiaTheme="minorHAnsi" w:hAnsi="Century Gothic"/>
                            <w:color w:val="auto"/>
                            <w:sz w:val="24"/>
                            <w:szCs w:val="24"/>
                          </w:rPr>
                          <w:t>OFERTA DE REFERENCIA PARA LA DESAGREGACIÓN DEL BUCLE LOCAL</w:t>
                        </w:r>
                        <w:bookmarkEnd w:id="24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47" w:name="_Toc170381503"/>
                        <w:r>
                          <w:rPr>
                            <w:rFonts w:ascii="Century Gothic" w:eastAsiaTheme="minorHAnsi" w:hAnsi="Century Gothic"/>
                            <w:color w:val="auto"/>
                            <w:sz w:val="24"/>
                            <w:szCs w:val="24"/>
                          </w:rPr>
                          <w:t>OFERTA DE REFERENCIA PARA LA DESAGREGACIÓN DEL BUCLE LOCAL</w:t>
                        </w:r>
                        <w:bookmarkEnd w:id="24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48" w:name="_Toc170381504"/>
                        <w:r>
                          <w:rPr>
                            <w:rFonts w:ascii="Century Gothic" w:eastAsiaTheme="minorHAnsi" w:hAnsi="Century Gothic"/>
                            <w:color w:val="auto"/>
                            <w:sz w:val="24"/>
                            <w:szCs w:val="24"/>
                          </w:rPr>
                          <w:t>OFERTA DE REFERENCIA PARA LA DESAGREGACIÓN DEL BUCLE LOCAL</w:t>
                        </w:r>
                        <w:bookmarkEnd w:id="24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49" w:name="_Toc170381505"/>
                        <w:r>
                          <w:rPr>
                            <w:rFonts w:ascii="Century Gothic" w:eastAsiaTheme="minorHAnsi" w:hAnsi="Century Gothic"/>
                            <w:color w:val="auto"/>
                            <w:sz w:val="24"/>
                            <w:szCs w:val="24"/>
                          </w:rPr>
                          <w:t>OFERTA DE REFERENCIA PARA LA DESAGREGACIÓN DEL BUCLE LOCAL</w:t>
                        </w:r>
                        <w:bookmarkEnd w:id="24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50" w:name="_Toc170381506"/>
                        <w:r>
                          <w:rPr>
                            <w:rFonts w:ascii="Century Gothic" w:eastAsiaTheme="minorHAnsi" w:hAnsi="Century Gothic"/>
                            <w:color w:val="auto"/>
                            <w:sz w:val="24"/>
                            <w:szCs w:val="24"/>
                          </w:rPr>
                          <w:t>OFERTA DE REFERENCIA PARA LA DESAGREGACIÓN DEL BUCLE LOCAL</w:t>
                        </w:r>
                        <w:bookmarkEnd w:id="25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51" w:name="_Toc170381507"/>
                        <w:r>
                          <w:rPr>
                            <w:rFonts w:ascii="Century Gothic" w:eastAsiaTheme="minorHAnsi" w:hAnsi="Century Gothic"/>
                            <w:color w:val="auto"/>
                            <w:sz w:val="24"/>
                            <w:szCs w:val="24"/>
                          </w:rPr>
                          <w:t>OFERTA DE REFERENCIA PARA LA DESAGREGACIÓN DEL BUCLE LOCAL</w:t>
                        </w:r>
                        <w:bookmarkEnd w:id="25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52" w:name="_Toc170381508"/>
                        <w:r>
                          <w:rPr>
                            <w:rFonts w:ascii="Century Gothic" w:eastAsiaTheme="minorHAnsi" w:hAnsi="Century Gothic"/>
                            <w:color w:val="auto"/>
                            <w:sz w:val="24"/>
                            <w:szCs w:val="24"/>
                          </w:rPr>
                          <w:t>OFERTA DE REFERENCIA PARA LA DESAGREGACIÓN DEL BUCLE LOCAL</w:t>
                        </w:r>
                        <w:bookmarkEnd w:id="25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53" w:name="_Toc170381509"/>
                        <w:r>
                          <w:rPr>
                            <w:rFonts w:ascii="Century Gothic" w:eastAsiaTheme="minorHAnsi" w:hAnsi="Century Gothic"/>
                            <w:color w:val="auto"/>
                            <w:sz w:val="24"/>
                            <w:szCs w:val="24"/>
                          </w:rPr>
                          <w:t>OFERTA DE REFERENCIA PARA LA DESAGREGACIÓN DEL BUCLE LOCAL</w:t>
                        </w:r>
                        <w:bookmarkEnd w:id="25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54" w:name="_Toc170381510"/>
                        <w:r>
                          <w:rPr>
                            <w:rFonts w:ascii="Century Gothic" w:eastAsiaTheme="minorHAnsi" w:hAnsi="Century Gothic"/>
                            <w:color w:val="auto"/>
                            <w:sz w:val="24"/>
                            <w:szCs w:val="24"/>
                          </w:rPr>
                          <w:t>OFERTA DE REFERENCIA PARA LA DESAGREGACIÓN DEL BUCLE LOCAL</w:t>
                        </w:r>
                        <w:bookmarkEnd w:id="25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55" w:name="_Toc170381511"/>
                        <w:r>
                          <w:rPr>
                            <w:rFonts w:ascii="Century Gothic" w:eastAsiaTheme="minorHAnsi" w:hAnsi="Century Gothic"/>
                            <w:color w:val="auto"/>
                            <w:sz w:val="24"/>
                            <w:szCs w:val="24"/>
                          </w:rPr>
                          <w:t>OFERTA DE REFERENCIA PARA LA DESAGREGACIÓN DEL BUCLE LOCAL</w:t>
                        </w:r>
                        <w:bookmarkEnd w:id="25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56" w:name="_Toc170381512"/>
                        <w:r>
                          <w:rPr>
                            <w:rFonts w:ascii="Century Gothic" w:eastAsiaTheme="minorHAnsi" w:hAnsi="Century Gothic"/>
                            <w:color w:val="auto"/>
                            <w:sz w:val="24"/>
                            <w:szCs w:val="24"/>
                          </w:rPr>
                          <w:t>OFERTA DE REFERENCIA PARA LA DESAGREGACIÓN DEL BUCLE LOCAL</w:t>
                        </w:r>
                        <w:bookmarkEnd w:id="25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57" w:name="_Toc170381513"/>
                        <w:r>
                          <w:rPr>
                            <w:rFonts w:ascii="Century Gothic" w:eastAsiaTheme="minorHAnsi" w:hAnsi="Century Gothic"/>
                            <w:color w:val="auto"/>
                            <w:sz w:val="24"/>
                            <w:szCs w:val="24"/>
                          </w:rPr>
                          <w:t>OFERTA DE REFERENCIA PARA LA DESAGREGACIÓN DEL BUCLE LOCAL</w:t>
                        </w:r>
                        <w:bookmarkEnd w:id="25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58" w:name="_Toc170381514"/>
                        <w:r>
                          <w:rPr>
                            <w:rFonts w:ascii="Century Gothic" w:eastAsiaTheme="minorHAnsi" w:hAnsi="Century Gothic"/>
                            <w:color w:val="auto"/>
                            <w:sz w:val="24"/>
                            <w:szCs w:val="24"/>
                          </w:rPr>
                          <w:t>OFERTA DE REFERENCIA PARA LA DESAGREGACIÓN DEL BUCLE LOCAL</w:t>
                        </w:r>
                        <w:bookmarkEnd w:id="25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59" w:name="_Toc170381515"/>
                        <w:r>
                          <w:rPr>
                            <w:rFonts w:ascii="Century Gothic" w:eastAsiaTheme="minorHAnsi" w:hAnsi="Century Gothic"/>
                            <w:color w:val="auto"/>
                            <w:sz w:val="24"/>
                            <w:szCs w:val="24"/>
                          </w:rPr>
                          <w:t>OFERTA DE REFERENCIA PARA LA DESAGREGACIÓN DEL BUCLE LOCAL</w:t>
                        </w:r>
                        <w:bookmarkEnd w:id="25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60" w:name="_Toc170381516"/>
                        <w:r>
                          <w:rPr>
                            <w:rFonts w:ascii="Century Gothic" w:eastAsiaTheme="minorHAnsi" w:hAnsi="Century Gothic"/>
                            <w:color w:val="auto"/>
                            <w:sz w:val="24"/>
                            <w:szCs w:val="24"/>
                          </w:rPr>
                          <w:t>OFERTA DE REFERENCIA PARA LA DESAGREGACIÓN DEL BUCLE LOCAL</w:t>
                        </w:r>
                        <w:bookmarkEnd w:id="26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61" w:name="_Toc170381517"/>
                        <w:r>
                          <w:rPr>
                            <w:rFonts w:ascii="Century Gothic" w:eastAsiaTheme="minorHAnsi" w:hAnsi="Century Gothic"/>
                            <w:color w:val="auto"/>
                            <w:sz w:val="24"/>
                            <w:szCs w:val="24"/>
                          </w:rPr>
                          <w:t>OFERTA DE REFERENCIA PARA LA DESAGREGACIÓN DEL BUCLE LOCAL</w:t>
                        </w:r>
                        <w:bookmarkEnd w:id="26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62" w:name="_Toc170381518"/>
                        <w:r>
                          <w:rPr>
                            <w:rFonts w:ascii="Century Gothic" w:eastAsiaTheme="minorHAnsi" w:hAnsi="Century Gothic"/>
                            <w:color w:val="auto"/>
                            <w:sz w:val="24"/>
                            <w:szCs w:val="24"/>
                          </w:rPr>
                          <w:t>OFERTA DE REFERENCIA PARA LA DESAGREGACIÓN DEL BUCLE LOCAL</w:t>
                        </w:r>
                        <w:bookmarkEnd w:id="26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63" w:name="_Toc170381519"/>
                        <w:r>
                          <w:rPr>
                            <w:rFonts w:ascii="Century Gothic" w:eastAsiaTheme="minorHAnsi" w:hAnsi="Century Gothic"/>
                            <w:color w:val="auto"/>
                            <w:sz w:val="24"/>
                            <w:szCs w:val="24"/>
                          </w:rPr>
                          <w:t>OFERTA DE REFERENCIA PARA LA DESAGREGACIÓN DEL BUCLE LOCAL</w:t>
                        </w:r>
                        <w:bookmarkEnd w:id="26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64" w:name="_Toc170381520"/>
                        <w:r>
                          <w:rPr>
                            <w:rFonts w:ascii="Century Gothic" w:eastAsiaTheme="minorHAnsi" w:hAnsi="Century Gothic"/>
                            <w:color w:val="auto"/>
                            <w:sz w:val="24"/>
                            <w:szCs w:val="24"/>
                          </w:rPr>
                          <w:t>OFERTA DE REFERENCIA PARA LA DESAGREGACIÓN DEL BUCLE LOCAL</w:t>
                        </w:r>
                        <w:bookmarkEnd w:id="26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65" w:name="_Toc170381521"/>
                        <w:r>
                          <w:rPr>
                            <w:rFonts w:ascii="Century Gothic" w:eastAsiaTheme="minorHAnsi" w:hAnsi="Century Gothic"/>
                            <w:color w:val="auto"/>
                            <w:sz w:val="24"/>
                            <w:szCs w:val="24"/>
                          </w:rPr>
                          <w:t>OFERTA DE REFERENCIA PARA LA DESAGREGACIÓN DEL BUCLE LOCAL</w:t>
                        </w:r>
                        <w:bookmarkEnd w:id="26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66" w:name="_Toc170381522"/>
                        <w:r>
                          <w:rPr>
                            <w:rFonts w:ascii="Century Gothic" w:eastAsiaTheme="minorHAnsi" w:hAnsi="Century Gothic"/>
                            <w:color w:val="auto"/>
                            <w:sz w:val="24"/>
                            <w:szCs w:val="24"/>
                          </w:rPr>
                          <w:t>OFERTA DE REFERENCIA PARA LA DESAGREGACIÓN DEL BUCLE LOCAL</w:t>
                        </w:r>
                        <w:bookmarkEnd w:id="26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67" w:name="_Toc170381523"/>
                        <w:r>
                          <w:rPr>
                            <w:rFonts w:ascii="Century Gothic" w:eastAsiaTheme="minorHAnsi" w:hAnsi="Century Gothic"/>
                            <w:color w:val="auto"/>
                            <w:sz w:val="24"/>
                            <w:szCs w:val="24"/>
                          </w:rPr>
                          <w:t>OFERTA DE REFERENCIA PARA LA DESAGREGACIÓN DEL BUCLE LOCAL</w:t>
                        </w:r>
                        <w:bookmarkEnd w:id="26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68" w:name="_Toc170381524"/>
                        <w:r>
                          <w:rPr>
                            <w:rFonts w:ascii="Century Gothic" w:eastAsiaTheme="minorHAnsi" w:hAnsi="Century Gothic"/>
                            <w:color w:val="auto"/>
                            <w:sz w:val="24"/>
                            <w:szCs w:val="24"/>
                          </w:rPr>
                          <w:t>OFERTA DE REFERENCIA PARA LA DESAGREGACIÓN DEL BUCLE LOCAL</w:t>
                        </w:r>
                        <w:bookmarkEnd w:id="26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69" w:name="_Toc170381525"/>
                        <w:r>
                          <w:rPr>
                            <w:rFonts w:ascii="Century Gothic" w:eastAsiaTheme="minorHAnsi" w:hAnsi="Century Gothic"/>
                            <w:color w:val="auto"/>
                            <w:sz w:val="24"/>
                            <w:szCs w:val="24"/>
                          </w:rPr>
                          <w:t>OFERTA DE REFERENCIA PARA LA DESAGREGACIÓN DEL BUCLE LOCAL</w:t>
                        </w:r>
                        <w:bookmarkEnd w:id="26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70" w:name="_Toc170381526"/>
                        <w:r>
                          <w:rPr>
                            <w:rFonts w:ascii="Century Gothic" w:eastAsiaTheme="minorHAnsi" w:hAnsi="Century Gothic"/>
                            <w:color w:val="auto"/>
                            <w:sz w:val="24"/>
                            <w:szCs w:val="24"/>
                          </w:rPr>
                          <w:t>OFERTA DE REFERENCIA PARA LA DESAGREGACIÓN DEL BUCLE LOCAL</w:t>
                        </w:r>
                        <w:bookmarkEnd w:id="27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71" w:name="_Toc170381527"/>
                        <w:r>
                          <w:rPr>
                            <w:rFonts w:ascii="Century Gothic" w:eastAsiaTheme="minorHAnsi" w:hAnsi="Century Gothic"/>
                            <w:color w:val="auto"/>
                            <w:sz w:val="24"/>
                            <w:szCs w:val="24"/>
                          </w:rPr>
                          <w:t>OFERTA DE REFERENCIA PARA LA DESAGREGACIÓN DEL BUCLE LOCAL</w:t>
                        </w:r>
                        <w:bookmarkEnd w:id="27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72" w:name="_Toc170381528"/>
                        <w:r>
                          <w:rPr>
                            <w:rFonts w:ascii="Century Gothic" w:eastAsiaTheme="minorHAnsi" w:hAnsi="Century Gothic"/>
                            <w:color w:val="auto"/>
                            <w:sz w:val="24"/>
                            <w:szCs w:val="24"/>
                          </w:rPr>
                          <w:t>OFERTA DE REFERENCIA PARA LA DESAGREGACIÓN DEL BUCLE LOCAL</w:t>
                        </w:r>
                        <w:bookmarkEnd w:id="27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73" w:name="_Toc170381529"/>
                        <w:r>
                          <w:rPr>
                            <w:rFonts w:ascii="Century Gothic" w:eastAsiaTheme="minorHAnsi" w:hAnsi="Century Gothic"/>
                            <w:color w:val="auto"/>
                            <w:sz w:val="24"/>
                            <w:szCs w:val="24"/>
                          </w:rPr>
                          <w:t>OFERTA DE REFERENCIA PARA LA DESAGREGACIÓN DEL BUCLE LOCAL</w:t>
                        </w:r>
                        <w:bookmarkEnd w:id="27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74" w:name="_Toc170381530"/>
                        <w:r>
                          <w:rPr>
                            <w:rFonts w:ascii="Century Gothic" w:eastAsiaTheme="minorHAnsi" w:hAnsi="Century Gothic"/>
                            <w:color w:val="auto"/>
                            <w:sz w:val="24"/>
                            <w:szCs w:val="24"/>
                          </w:rPr>
                          <w:t>OFERTA DE REFERENCIA PARA LA DESAGREGACIÓN DEL BUCLE LOCAL</w:t>
                        </w:r>
                        <w:bookmarkEnd w:id="27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75" w:name="_Toc170381531"/>
                        <w:r>
                          <w:rPr>
                            <w:rFonts w:ascii="Century Gothic" w:eastAsiaTheme="minorHAnsi" w:hAnsi="Century Gothic"/>
                            <w:color w:val="auto"/>
                            <w:sz w:val="24"/>
                            <w:szCs w:val="24"/>
                          </w:rPr>
                          <w:t>OFERTA DE REFERENCIA PARA LA DESAGREGACIÓN DEL BUCLE LOCAL</w:t>
                        </w:r>
                        <w:bookmarkEnd w:id="27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76" w:name="_Toc170381532"/>
                        <w:r>
                          <w:rPr>
                            <w:rFonts w:ascii="Century Gothic" w:eastAsiaTheme="minorHAnsi" w:hAnsi="Century Gothic"/>
                            <w:color w:val="auto"/>
                            <w:sz w:val="24"/>
                            <w:szCs w:val="24"/>
                          </w:rPr>
                          <w:t>OFERTA DE REFERENCIA PARA LA DESAGREGACIÓN DEL BUCLE LOCAL</w:t>
                        </w:r>
                        <w:bookmarkEnd w:id="27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77" w:name="_Toc170381533"/>
                        <w:r>
                          <w:rPr>
                            <w:rFonts w:ascii="Century Gothic" w:eastAsiaTheme="minorHAnsi" w:hAnsi="Century Gothic"/>
                            <w:color w:val="auto"/>
                            <w:sz w:val="24"/>
                            <w:szCs w:val="24"/>
                          </w:rPr>
                          <w:t>OFERTA DE REFERENCIA PARA LA DESAGREGACIÓN DEL BUCLE LOCAL</w:t>
                        </w:r>
                        <w:bookmarkEnd w:id="27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78" w:name="_Toc170381534"/>
                        <w:r>
                          <w:rPr>
                            <w:rFonts w:ascii="Century Gothic" w:eastAsiaTheme="minorHAnsi" w:hAnsi="Century Gothic"/>
                            <w:color w:val="auto"/>
                            <w:sz w:val="24"/>
                            <w:szCs w:val="24"/>
                          </w:rPr>
                          <w:t>OFERTA DE REFERENCIA PARA LA DESAGREGACIÓN DEL BUCLE LOCAL</w:t>
                        </w:r>
                        <w:bookmarkEnd w:id="27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79" w:name="_Toc170381535"/>
                        <w:r>
                          <w:rPr>
                            <w:rFonts w:ascii="Century Gothic" w:eastAsiaTheme="minorHAnsi" w:hAnsi="Century Gothic"/>
                            <w:color w:val="auto"/>
                            <w:sz w:val="24"/>
                            <w:szCs w:val="24"/>
                          </w:rPr>
                          <w:t>OFERTA DE REFERENCIA PARA LA DESAGREGACIÓN DEL BUCLE LOCAL</w:t>
                        </w:r>
                        <w:bookmarkEnd w:id="27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80" w:name="_Toc170381536"/>
                        <w:r>
                          <w:rPr>
                            <w:rFonts w:ascii="Century Gothic" w:eastAsiaTheme="minorHAnsi" w:hAnsi="Century Gothic"/>
                            <w:color w:val="auto"/>
                            <w:sz w:val="24"/>
                            <w:szCs w:val="24"/>
                          </w:rPr>
                          <w:t>OFERTA DE REFERENCIA PARA LA DESAGREGACIÓN DEL BUCLE LOCAL</w:t>
                        </w:r>
                        <w:bookmarkEnd w:id="28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81" w:name="_Toc170381537"/>
                        <w:r>
                          <w:rPr>
                            <w:rFonts w:ascii="Century Gothic" w:eastAsiaTheme="minorHAnsi" w:hAnsi="Century Gothic"/>
                            <w:color w:val="auto"/>
                            <w:sz w:val="24"/>
                            <w:szCs w:val="24"/>
                          </w:rPr>
                          <w:t>OFERTA DE REFERENCIA PARA LA DESAGREGACIÓN DEL BUCLE LOCAL</w:t>
                        </w:r>
                        <w:bookmarkEnd w:id="28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82" w:name="_Toc170381538"/>
                        <w:r>
                          <w:rPr>
                            <w:rFonts w:ascii="Century Gothic" w:eastAsiaTheme="minorHAnsi" w:hAnsi="Century Gothic"/>
                            <w:color w:val="auto"/>
                            <w:sz w:val="24"/>
                            <w:szCs w:val="24"/>
                          </w:rPr>
                          <w:t>OFERTA DE REFERENCIA PARA LA DESAGREGACIÓN DEL BUCLE LOCAL</w:t>
                        </w:r>
                        <w:bookmarkEnd w:id="28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83" w:name="_Toc170381539"/>
                        <w:r>
                          <w:rPr>
                            <w:rFonts w:ascii="Century Gothic" w:eastAsiaTheme="minorHAnsi" w:hAnsi="Century Gothic"/>
                            <w:color w:val="auto"/>
                            <w:sz w:val="24"/>
                            <w:szCs w:val="24"/>
                          </w:rPr>
                          <w:t>OFERTA DE REFERENCIA PARA LA DESAGREGACIÓN DEL BUCLE LOCAL</w:t>
                        </w:r>
                        <w:bookmarkEnd w:id="28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84" w:name="_Toc170381540"/>
                        <w:r>
                          <w:rPr>
                            <w:rFonts w:ascii="Century Gothic" w:eastAsiaTheme="minorHAnsi" w:hAnsi="Century Gothic"/>
                            <w:color w:val="auto"/>
                            <w:sz w:val="24"/>
                            <w:szCs w:val="24"/>
                          </w:rPr>
                          <w:t>OFERTA DE REFERENCIA PARA LA DESAGREGACIÓN DEL BUCLE LOCAL</w:t>
                        </w:r>
                        <w:bookmarkEnd w:id="28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85" w:name="_Toc170381541"/>
                        <w:r>
                          <w:rPr>
                            <w:rFonts w:ascii="Century Gothic" w:eastAsiaTheme="minorHAnsi" w:hAnsi="Century Gothic"/>
                            <w:color w:val="auto"/>
                            <w:sz w:val="24"/>
                            <w:szCs w:val="24"/>
                          </w:rPr>
                          <w:t>OFERTA DE REFERENCIA PARA LA DESAGREGACIÓN DEL BUCLE LOCAL</w:t>
                        </w:r>
                        <w:bookmarkEnd w:id="28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86" w:name="_Toc170381542"/>
                        <w:r>
                          <w:rPr>
                            <w:rFonts w:ascii="Century Gothic" w:eastAsiaTheme="minorHAnsi" w:hAnsi="Century Gothic"/>
                            <w:color w:val="auto"/>
                            <w:sz w:val="24"/>
                            <w:szCs w:val="24"/>
                          </w:rPr>
                          <w:t>OFERTA DE REFERENCIA PARA LA DESAGREGACIÓN DEL BUCLE LOCAL</w:t>
                        </w:r>
                        <w:bookmarkEnd w:id="28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87" w:name="_Toc170381543"/>
                        <w:r>
                          <w:rPr>
                            <w:rFonts w:ascii="Century Gothic" w:eastAsiaTheme="minorHAnsi" w:hAnsi="Century Gothic"/>
                            <w:color w:val="auto"/>
                            <w:sz w:val="24"/>
                            <w:szCs w:val="24"/>
                          </w:rPr>
                          <w:t>OFERTA DE REFERENCIA PARA LA DESAGREGACIÓN DEL BUCLE LOCAL</w:t>
                        </w:r>
                        <w:bookmarkEnd w:id="28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88" w:name="_Toc170381544"/>
                        <w:r>
                          <w:rPr>
                            <w:rFonts w:ascii="Century Gothic" w:eastAsiaTheme="minorHAnsi" w:hAnsi="Century Gothic"/>
                            <w:color w:val="auto"/>
                            <w:sz w:val="24"/>
                            <w:szCs w:val="24"/>
                          </w:rPr>
                          <w:t>OFERTA DE REFERENCIA PARA LA DESAGREGACIÓN DEL BUCLE LOCAL</w:t>
                        </w:r>
                        <w:bookmarkEnd w:id="28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89" w:name="_Toc170381545"/>
                        <w:r>
                          <w:rPr>
                            <w:rFonts w:ascii="Century Gothic" w:eastAsiaTheme="minorHAnsi" w:hAnsi="Century Gothic"/>
                            <w:color w:val="auto"/>
                            <w:sz w:val="24"/>
                            <w:szCs w:val="24"/>
                          </w:rPr>
                          <w:t>OFERTA DE REFERENCIA PARA LA DESAGREGACIÓN DEL BUCLE LOCAL</w:t>
                        </w:r>
                        <w:bookmarkEnd w:id="28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90" w:name="_Toc170381546"/>
                        <w:r>
                          <w:rPr>
                            <w:rFonts w:ascii="Century Gothic" w:eastAsiaTheme="minorHAnsi" w:hAnsi="Century Gothic"/>
                            <w:color w:val="auto"/>
                            <w:sz w:val="24"/>
                            <w:szCs w:val="24"/>
                          </w:rPr>
                          <w:t>OFERTA DE REFERENCIA PARA LA DESAGREGACIÓN DEL BUCLE LOCAL</w:t>
                        </w:r>
                        <w:bookmarkEnd w:id="29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91" w:name="_Toc170381547"/>
                        <w:r>
                          <w:rPr>
                            <w:rFonts w:ascii="Century Gothic" w:eastAsiaTheme="minorHAnsi" w:hAnsi="Century Gothic"/>
                            <w:color w:val="auto"/>
                            <w:sz w:val="24"/>
                            <w:szCs w:val="24"/>
                          </w:rPr>
                          <w:t>OFERTA DE REFERENCIA PARA LA DESAGREGACIÓN DEL BUCLE LOCAL</w:t>
                        </w:r>
                        <w:bookmarkEnd w:id="29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92" w:name="_Toc170381548"/>
                        <w:r>
                          <w:rPr>
                            <w:rFonts w:ascii="Century Gothic" w:eastAsiaTheme="minorHAnsi" w:hAnsi="Century Gothic"/>
                            <w:color w:val="auto"/>
                            <w:sz w:val="24"/>
                            <w:szCs w:val="24"/>
                          </w:rPr>
                          <w:t>OFERTA DE REFERENCIA PARA LA DESAGREGACIÓN DEL BUCLE LOCAL</w:t>
                        </w:r>
                        <w:bookmarkEnd w:id="29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93" w:name="_Toc170381549"/>
                        <w:r>
                          <w:rPr>
                            <w:rFonts w:ascii="Century Gothic" w:eastAsiaTheme="minorHAnsi" w:hAnsi="Century Gothic"/>
                            <w:color w:val="auto"/>
                            <w:sz w:val="24"/>
                            <w:szCs w:val="24"/>
                          </w:rPr>
                          <w:t>OFERTA DE REFERENCIA PARA LA DESAGREGACIÓN DEL BUCLE LOCAL</w:t>
                        </w:r>
                        <w:bookmarkEnd w:id="29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81326" w:rsidRDefault="000511F0" w:rsidP="00446018">
                        <w:pPr>
                          <w:pStyle w:val="Ttulo1"/>
                          <w:spacing w:line="18pt" w:lineRule="auto"/>
                          <w:jc w:val="center"/>
                          <w:rPr>
                            <w:rFonts w:ascii="Century Gothic" w:hAnsi="Century Gothic" w:cs="Times New Roman"/>
                            <w14:scene3d>
                              <w14:camera w14:prst="orthographicFront"/>
                              <w14:lightRig w14:rig="threePt" w14:dir="t">
                                <w14:rot w14:lat="0" w14:lon="0" w14:rev="0"/>
                              </w14:lightRig>
                            </w14:scene3d>
                          </w:rPr>
                        </w:pPr>
                        <w:bookmarkStart w:id="294" w:name="_Toc170381550"/>
                        <w:r>
                          <w:rPr>
                            <w:rFonts w:ascii="Century Gothic" w:hAnsi="Century Gothic" w:cs="Times New Roman"/>
                            <w14:scene3d>
                              <w14:camera w14:prst="orthographicFront"/>
                              <w14:lightRig w14:rig="threePt" w14:dir="t">
                                <w14:rot w14:lat="0" w14:lon="0" w14:rev="0"/>
                              </w14:lightRig>
                            </w14:scene3d>
                          </w:rPr>
                          <w:t>OFERTA DE REFERENCIA PARA LA DESAGREGACIÓN DEL BUCLE LOCAL</w:t>
                        </w:r>
                        <w:bookmarkEnd w:id="29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Pr="00E73C0B" w:rsidRDefault="000511F0" w:rsidP="0028714F">
                        <w:pPr>
                          <w:jc w:val="center"/>
                          <w:rPr>
                            <w:rFonts w:ascii="Century Gothic" w:hAnsi="Century Gothic"/>
                            <w:bCs/>
                            <w:sz w:val="18"/>
                            <w:szCs w:val="18"/>
                          </w:rPr>
                        </w:pPr>
                        <w:r>
                          <w:rPr>
                            <w:rFonts w:ascii="Century Gothic" w:hAnsi="Century Gothic"/>
                            <w:bCs/>
                            <w:sz w:val="18"/>
                            <w:szCs w:val="18"/>
                          </w:rPr>
                          <w:t>(RED NACIONAL)</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2025</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95" w:name="_Toc170381551"/>
                        <w:r>
                          <w:rPr>
                            <w:rFonts w:ascii="Century Gothic" w:eastAsiaTheme="minorHAnsi" w:hAnsi="Century Gothic"/>
                            <w:color w:val="auto"/>
                            <w:sz w:val="24"/>
                            <w:szCs w:val="24"/>
                          </w:rPr>
                          <w:t>OFERTA DE REFERENCIA PARA LA DESAGREGACIÓN DEL BUCLE LOCAL</w:t>
                        </w:r>
                        <w:bookmarkEnd w:id="29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96" w:name="_Toc170381552"/>
                        <w:r>
                          <w:rPr>
                            <w:rFonts w:ascii="Century Gothic" w:eastAsiaTheme="minorHAnsi" w:hAnsi="Century Gothic"/>
                            <w:color w:val="auto"/>
                            <w:sz w:val="24"/>
                            <w:szCs w:val="24"/>
                          </w:rPr>
                          <w:t>OFERTA DE REFERENCIA PARA LA DESAGREGACIÓN DEL BUCLE LOCAL</w:t>
                        </w:r>
                        <w:bookmarkEnd w:id="29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97" w:name="_Toc170381553"/>
                        <w:r>
                          <w:rPr>
                            <w:rFonts w:ascii="Century Gothic" w:eastAsiaTheme="minorHAnsi" w:hAnsi="Century Gothic"/>
                            <w:color w:val="auto"/>
                            <w:sz w:val="24"/>
                            <w:szCs w:val="24"/>
                          </w:rPr>
                          <w:t>OFERTA DE REFERENCIA PARA LA DESAGREGACIÓN DEL BUCLE LOCAL</w:t>
                        </w:r>
                        <w:bookmarkEnd w:id="29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98" w:name="_Toc170381554"/>
                        <w:r>
                          <w:rPr>
                            <w:rFonts w:ascii="Century Gothic" w:eastAsiaTheme="minorHAnsi" w:hAnsi="Century Gothic"/>
                            <w:color w:val="auto"/>
                            <w:sz w:val="24"/>
                            <w:szCs w:val="24"/>
                          </w:rPr>
                          <w:t>OFERTA DE REFERENCIA PARA LA DESAGREGACIÓN DEL BUCLE LOCAL</w:t>
                        </w:r>
                        <w:bookmarkEnd w:id="29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299" w:name="_Toc170381555"/>
                        <w:r>
                          <w:rPr>
                            <w:rFonts w:ascii="Century Gothic" w:eastAsiaTheme="minorHAnsi" w:hAnsi="Century Gothic"/>
                            <w:color w:val="auto"/>
                            <w:sz w:val="24"/>
                            <w:szCs w:val="24"/>
                          </w:rPr>
                          <w:t>OFERTA DE REFERENCIA PARA LA DESAGREGACIÓN DEL BUCLE LOCAL</w:t>
                        </w:r>
                        <w:bookmarkEnd w:id="29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00" w:name="_Toc170381556"/>
                        <w:r>
                          <w:rPr>
                            <w:rFonts w:ascii="Century Gothic" w:eastAsiaTheme="minorHAnsi" w:hAnsi="Century Gothic"/>
                            <w:color w:val="auto"/>
                            <w:sz w:val="24"/>
                            <w:szCs w:val="24"/>
                          </w:rPr>
                          <w:t>OFERTA DE REFERENCIA PARA LA DESAGREGACIÓN DEL BUCLE LOCAL</w:t>
                        </w:r>
                        <w:bookmarkEnd w:id="30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01" w:name="_Toc170381557"/>
                        <w:r>
                          <w:rPr>
                            <w:rFonts w:ascii="Century Gothic" w:eastAsiaTheme="minorHAnsi" w:hAnsi="Century Gothic"/>
                            <w:color w:val="auto"/>
                            <w:sz w:val="24"/>
                            <w:szCs w:val="24"/>
                          </w:rPr>
                          <w:t>OFERTA DE REFERENCIA PARA LA DESAGREGACIÓN DEL BUCLE LOCAL</w:t>
                        </w:r>
                        <w:bookmarkEnd w:id="30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02" w:name="_Toc170381558"/>
                        <w:r>
                          <w:rPr>
                            <w:rFonts w:ascii="Century Gothic" w:eastAsiaTheme="minorHAnsi" w:hAnsi="Century Gothic"/>
                            <w:color w:val="auto"/>
                            <w:sz w:val="24"/>
                            <w:szCs w:val="24"/>
                          </w:rPr>
                          <w:t>OFERTA DE REFERENCIA PARA LA DESAGREGACIÓN DEL BUCLE LOCAL</w:t>
                        </w:r>
                        <w:bookmarkEnd w:id="30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03" w:name="_Toc170381559"/>
                        <w:r>
                          <w:rPr>
                            <w:rFonts w:ascii="Century Gothic" w:eastAsiaTheme="minorHAnsi" w:hAnsi="Century Gothic"/>
                            <w:color w:val="auto"/>
                            <w:sz w:val="24"/>
                            <w:szCs w:val="24"/>
                          </w:rPr>
                          <w:t>OFERTA DE REFERENCIA PARA LA DESAGREGACIÓN DEL BUCLE LOCAL</w:t>
                        </w:r>
                        <w:bookmarkEnd w:id="30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04" w:name="_Toc170381560"/>
                        <w:r>
                          <w:rPr>
                            <w:rFonts w:ascii="Century Gothic" w:eastAsiaTheme="minorHAnsi" w:hAnsi="Century Gothic"/>
                            <w:color w:val="auto"/>
                            <w:sz w:val="24"/>
                            <w:szCs w:val="24"/>
                          </w:rPr>
                          <w:t>OFERTA DE REFERENCIA PARA LA DESAGREGACIÓN DEL BUCLE LOCAL</w:t>
                        </w:r>
                        <w:bookmarkEnd w:id="30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05" w:name="_Toc170381561"/>
                        <w:r>
                          <w:rPr>
                            <w:rFonts w:ascii="Century Gothic" w:eastAsiaTheme="minorHAnsi" w:hAnsi="Century Gothic"/>
                            <w:color w:val="auto"/>
                            <w:sz w:val="24"/>
                            <w:szCs w:val="24"/>
                          </w:rPr>
                          <w:t>OFERTA DE REFERENCIA PARA LA DESAGREGACIÓN DEL BUCLE LOCAL</w:t>
                        </w:r>
                        <w:bookmarkEnd w:id="30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06" w:name="_Toc170381562"/>
                        <w:r>
                          <w:rPr>
                            <w:rFonts w:ascii="Century Gothic" w:eastAsiaTheme="minorHAnsi" w:hAnsi="Century Gothic"/>
                            <w:color w:val="auto"/>
                            <w:sz w:val="24"/>
                            <w:szCs w:val="24"/>
                          </w:rPr>
                          <w:t>OFERTA DE REFERENCIA PARA LA DESAGREGACIÓN DEL BUCLE LOCAL</w:t>
                        </w:r>
                        <w:bookmarkEnd w:id="30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07" w:name="_Toc170381563"/>
                        <w:r>
                          <w:rPr>
                            <w:rFonts w:ascii="Century Gothic" w:eastAsiaTheme="minorHAnsi" w:hAnsi="Century Gothic"/>
                            <w:color w:val="auto"/>
                            <w:sz w:val="24"/>
                            <w:szCs w:val="24"/>
                          </w:rPr>
                          <w:t>OFERTA DE REFERENCIA PARA LA DESAGREGACIÓN DEL BUCLE LOCAL</w:t>
                        </w:r>
                        <w:bookmarkEnd w:id="30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08" w:name="_Toc170381564"/>
                        <w:r>
                          <w:rPr>
                            <w:rFonts w:ascii="Century Gothic" w:eastAsiaTheme="minorHAnsi" w:hAnsi="Century Gothic"/>
                            <w:color w:val="auto"/>
                            <w:sz w:val="24"/>
                            <w:szCs w:val="24"/>
                          </w:rPr>
                          <w:t>OFERTA DE REFERENCIA PARA LA DESAGREGACIÓN DEL BUCLE LOCAL</w:t>
                        </w:r>
                        <w:bookmarkEnd w:id="30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09" w:name="_Toc170381565"/>
                        <w:r>
                          <w:rPr>
                            <w:rFonts w:ascii="Century Gothic" w:eastAsiaTheme="minorHAnsi" w:hAnsi="Century Gothic"/>
                            <w:color w:val="auto"/>
                            <w:sz w:val="24"/>
                            <w:szCs w:val="24"/>
                          </w:rPr>
                          <w:t>OFERTA DE REFERENCIA PARA LA DESAGREGACIÓN DEL BUCLE LOCAL</w:t>
                        </w:r>
                        <w:bookmarkEnd w:id="30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10" w:name="_Toc170381566"/>
                        <w:r>
                          <w:rPr>
                            <w:rFonts w:ascii="Century Gothic" w:eastAsiaTheme="minorHAnsi" w:hAnsi="Century Gothic"/>
                            <w:color w:val="auto"/>
                            <w:sz w:val="24"/>
                            <w:szCs w:val="24"/>
                          </w:rPr>
                          <w:t>OFERTA DE REFERENCIA PARA LA DESAGREGACIÓN DEL BUCLE LOCAL</w:t>
                        </w:r>
                        <w:bookmarkEnd w:id="31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11" w:name="_Toc170381567"/>
                        <w:r>
                          <w:rPr>
                            <w:rFonts w:ascii="Century Gothic" w:eastAsiaTheme="minorHAnsi" w:hAnsi="Century Gothic"/>
                            <w:color w:val="auto"/>
                            <w:sz w:val="24"/>
                            <w:szCs w:val="24"/>
                          </w:rPr>
                          <w:t>OFERTA DE REFERENCIA PARA LA DESAGREGACIÓN DEL BUCLE LOCAL</w:t>
                        </w:r>
                        <w:bookmarkEnd w:id="31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12" w:name="_Toc170381568"/>
                        <w:r>
                          <w:rPr>
                            <w:rFonts w:ascii="Century Gothic" w:eastAsiaTheme="minorHAnsi" w:hAnsi="Century Gothic"/>
                            <w:color w:val="auto"/>
                            <w:sz w:val="24"/>
                            <w:szCs w:val="24"/>
                          </w:rPr>
                          <w:t>OFERTA DE REFERENCIA PARA LA DESAGREGACIÓN DEL BUCLE LOCAL</w:t>
                        </w:r>
                        <w:bookmarkEnd w:id="31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13" w:name="_Toc170381569"/>
                        <w:r>
                          <w:rPr>
                            <w:rFonts w:ascii="Century Gothic" w:eastAsiaTheme="minorHAnsi" w:hAnsi="Century Gothic"/>
                            <w:color w:val="auto"/>
                            <w:sz w:val="24"/>
                            <w:szCs w:val="24"/>
                          </w:rPr>
                          <w:t>OFERTA DE REFERENCIA PARA LA DESAGREGACIÓN DEL BUCLE LOCAL</w:t>
                        </w:r>
                        <w:bookmarkEnd w:id="31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14" w:name="_Toc170381570"/>
                        <w:r>
                          <w:rPr>
                            <w:rFonts w:ascii="Century Gothic" w:eastAsiaTheme="minorHAnsi" w:hAnsi="Century Gothic"/>
                            <w:color w:val="auto"/>
                            <w:sz w:val="24"/>
                            <w:szCs w:val="24"/>
                          </w:rPr>
                          <w:t>OFERTA DE REFERENCIA PARA LA DESAGREGACIÓN DEL BUCLE LOCAL</w:t>
                        </w:r>
                        <w:bookmarkEnd w:id="31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15" w:name="_Toc170381571"/>
                        <w:r>
                          <w:rPr>
                            <w:rFonts w:ascii="Century Gothic" w:eastAsiaTheme="minorHAnsi" w:hAnsi="Century Gothic"/>
                            <w:color w:val="auto"/>
                            <w:sz w:val="24"/>
                            <w:szCs w:val="24"/>
                          </w:rPr>
                          <w:t>OFERTA DE REFERENCIA PARA LA DESAGREGACIÓN DEL BUCLE LOCAL</w:t>
                        </w:r>
                        <w:bookmarkEnd w:id="31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16" w:name="_Toc170381572"/>
                        <w:r>
                          <w:rPr>
                            <w:rFonts w:ascii="Century Gothic" w:eastAsiaTheme="minorHAnsi" w:hAnsi="Century Gothic"/>
                            <w:color w:val="auto"/>
                            <w:sz w:val="24"/>
                            <w:szCs w:val="24"/>
                          </w:rPr>
                          <w:t>OFERTA DE REFERENCIA PARA LA DESAGREGACIÓN DEL BUCLE LOCAL</w:t>
                        </w:r>
                        <w:bookmarkEnd w:id="31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17" w:name="_Toc170381573"/>
                        <w:r>
                          <w:rPr>
                            <w:rFonts w:ascii="Century Gothic" w:eastAsiaTheme="minorHAnsi" w:hAnsi="Century Gothic"/>
                            <w:color w:val="auto"/>
                            <w:sz w:val="24"/>
                            <w:szCs w:val="24"/>
                          </w:rPr>
                          <w:t>OFERTA DE REFERENCIA PARA LA DESAGREGACIÓN DEL BUCLE LOCAL</w:t>
                        </w:r>
                        <w:bookmarkEnd w:id="31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18" w:name="_Toc170381574"/>
                        <w:r>
                          <w:rPr>
                            <w:rFonts w:ascii="Century Gothic" w:eastAsiaTheme="minorHAnsi" w:hAnsi="Century Gothic"/>
                            <w:color w:val="auto"/>
                            <w:sz w:val="24"/>
                            <w:szCs w:val="24"/>
                          </w:rPr>
                          <w:t>OFERTA DE REFERENCIA PARA LA DESAGREGACIÓN DEL BUCLE LOCAL</w:t>
                        </w:r>
                        <w:bookmarkEnd w:id="31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19" w:name="_Toc170381575"/>
                        <w:r>
                          <w:rPr>
                            <w:rFonts w:ascii="Century Gothic" w:eastAsiaTheme="minorHAnsi" w:hAnsi="Century Gothic"/>
                            <w:color w:val="auto"/>
                            <w:sz w:val="24"/>
                            <w:szCs w:val="24"/>
                          </w:rPr>
                          <w:t>OFERTA DE REFERENCIA PARA LA DESAGREGACIÓN DEL BUCLE LOCAL</w:t>
                        </w:r>
                        <w:bookmarkEnd w:id="31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20" w:name="_Toc170381576"/>
                        <w:r>
                          <w:rPr>
                            <w:rFonts w:ascii="Century Gothic" w:eastAsiaTheme="minorHAnsi" w:hAnsi="Century Gothic"/>
                            <w:color w:val="auto"/>
                            <w:sz w:val="24"/>
                            <w:szCs w:val="24"/>
                          </w:rPr>
                          <w:t>OFERTA DE REFERENCIA PARA LA DESAGREGACIÓN DEL BUCLE LOCAL</w:t>
                        </w:r>
                        <w:bookmarkEnd w:id="32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21" w:name="_Toc170381577"/>
                        <w:r>
                          <w:rPr>
                            <w:rFonts w:ascii="Century Gothic" w:eastAsiaTheme="minorHAnsi" w:hAnsi="Century Gothic"/>
                            <w:color w:val="auto"/>
                            <w:sz w:val="24"/>
                            <w:szCs w:val="24"/>
                          </w:rPr>
                          <w:t>OFERTA DE REFERENCIA PARA LA DESAGREGACIÓN DEL BUCLE LOCAL</w:t>
                        </w:r>
                        <w:bookmarkEnd w:id="32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22" w:name="_Toc170381578"/>
                        <w:r>
                          <w:rPr>
                            <w:rFonts w:ascii="Century Gothic" w:eastAsiaTheme="minorHAnsi" w:hAnsi="Century Gothic"/>
                            <w:color w:val="auto"/>
                            <w:sz w:val="24"/>
                            <w:szCs w:val="24"/>
                          </w:rPr>
                          <w:t>OFERTA DE REFERENCIA PARA LA DESAGREGACIÓN DEL BUCLE LOCAL</w:t>
                        </w:r>
                        <w:bookmarkEnd w:id="32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23" w:name="_Toc170381579"/>
                        <w:r>
                          <w:rPr>
                            <w:rFonts w:ascii="Century Gothic" w:eastAsiaTheme="minorHAnsi" w:hAnsi="Century Gothic"/>
                            <w:color w:val="auto"/>
                            <w:sz w:val="24"/>
                            <w:szCs w:val="24"/>
                          </w:rPr>
                          <w:t>OFERTA DE REFERENCIA PARA LA DESAGREGACIÓN DEL BUCLE LOCAL</w:t>
                        </w:r>
                        <w:bookmarkEnd w:id="32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24" w:name="_Toc170381580"/>
                        <w:r>
                          <w:rPr>
                            <w:rFonts w:ascii="Century Gothic" w:eastAsiaTheme="minorHAnsi" w:hAnsi="Century Gothic"/>
                            <w:color w:val="auto"/>
                            <w:sz w:val="24"/>
                            <w:szCs w:val="24"/>
                          </w:rPr>
                          <w:t>OFERTA DE REFERENCIA PARA LA DESAGREGACIÓN DEL BUCLE LOCAL</w:t>
                        </w:r>
                        <w:bookmarkEnd w:id="32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25" w:name="_Toc170381581"/>
                        <w:r>
                          <w:rPr>
                            <w:rFonts w:ascii="Century Gothic" w:eastAsiaTheme="minorHAnsi" w:hAnsi="Century Gothic"/>
                            <w:color w:val="auto"/>
                            <w:sz w:val="24"/>
                            <w:szCs w:val="24"/>
                          </w:rPr>
                          <w:t>OFERTA DE REFERENCIA PARA LA DESAGREGACIÓN DEL BUCLE LOCAL</w:t>
                        </w:r>
                        <w:bookmarkEnd w:id="32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26" w:name="_Toc170381582"/>
                        <w:r>
                          <w:rPr>
                            <w:rFonts w:ascii="Century Gothic" w:eastAsiaTheme="minorHAnsi" w:hAnsi="Century Gothic"/>
                            <w:color w:val="auto"/>
                            <w:sz w:val="24"/>
                            <w:szCs w:val="24"/>
                          </w:rPr>
                          <w:t>OFERTA DE REFERENCIA PARA LA DESAGREGACIÓN DEL BUCLE LOCAL</w:t>
                        </w:r>
                        <w:bookmarkEnd w:id="32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27" w:name="_Toc170381583"/>
                        <w:r>
                          <w:rPr>
                            <w:rFonts w:ascii="Century Gothic" w:eastAsiaTheme="minorHAnsi" w:hAnsi="Century Gothic"/>
                            <w:color w:val="auto"/>
                            <w:sz w:val="24"/>
                            <w:szCs w:val="24"/>
                          </w:rPr>
                          <w:t>OFERTA DE REFERENCIA PARA LA DESAGREGACIÓN DEL BUCLE LOCAL</w:t>
                        </w:r>
                        <w:bookmarkEnd w:id="32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28" w:name="_Toc170381584"/>
                        <w:r>
                          <w:rPr>
                            <w:rFonts w:ascii="Century Gothic" w:eastAsiaTheme="minorHAnsi" w:hAnsi="Century Gothic"/>
                            <w:color w:val="auto"/>
                            <w:sz w:val="24"/>
                            <w:szCs w:val="24"/>
                          </w:rPr>
                          <w:t>OFERTA DE REFERENCIA PARA LA DESAGREGACIÓN DEL BUCLE LOCAL</w:t>
                        </w:r>
                        <w:bookmarkEnd w:id="32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29" w:name="_Toc170381585"/>
                        <w:r>
                          <w:rPr>
                            <w:rFonts w:ascii="Century Gothic" w:eastAsiaTheme="minorHAnsi" w:hAnsi="Century Gothic"/>
                            <w:color w:val="auto"/>
                            <w:sz w:val="24"/>
                            <w:szCs w:val="24"/>
                          </w:rPr>
                          <w:t>OFERTA DE REFERENCIA PARA LA DESAGREGACIÓN DEL BUCLE LOCAL</w:t>
                        </w:r>
                        <w:bookmarkEnd w:id="32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30" w:name="_Toc170381586"/>
                        <w:r>
                          <w:rPr>
                            <w:rFonts w:ascii="Century Gothic" w:eastAsiaTheme="minorHAnsi" w:hAnsi="Century Gothic"/>
                            <w:color w:val="auto"/>
                            <w:sz w:val="24"/>
                            <w:szCs w:val="24"/>
                          </w:rPr>
                          <w:t>OFERTA DE REFERENCIA PARA LA DESAGREGACIÓN DEL BUCLE LOCAL</w:t>
                        </w:r>
                        <w:bookmarkEnd w:id="33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31" w:name="_Toc170381587"/>
                        <w:r>
                          <w:rPr>
                            <w:rFonts w:ascii="Century Gothic" w:eastAsiaTheme="minorHAnsi" w:hAnsi="Century Gothic"/>
                            <w:color w:val="auto"/>
                            <w:sz w:val="24"/>
                            <w:szCs w:val="24"/>
                          </w:rPr>
                          <w:t>OFERTA DE REFERENCIA PARA LA DESAGREGACIÓN DEL BUCLE LOCAL</w:t>
                        </w:r>
                        <w:bookmarkEnd w:id="33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32" w:name="_Toc170381588"/>
                        <w:r>
                          <w:rPr>
                            <w:rFonts w:ascii="Century Gothic" w:eastAsiaTheme="minorHAnsi" w:hAnsi="Century Gothic"/>
                            <w:color w:val="auto"/>
                            <w:sz w:val="24"/>
                            <w:szCs w:val="24"/>
                          </w:rPr>
                          <w:t>OFERTA DE REFERENCIA PARA LA DESAGREGACIÓN DEL BUCLE LOCAL</w:t>
                        </w:r>
                        <w:bookmarkEnd w:id="33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33" w:name="_Toc170381589"/>
                        <w:r>
                          <w:rPr>
                            <w:rFonts w:ascii="Century Gothic" w:eastAsiaTheme="minorHAnsi" w:hAnsi="Century Gothic"/>
                            <w:color w:val="auto"/>
                            <w:sz w:val="24"/>
                            <w:szCs w:val="24"/>
                          </w:rPr>
                          <w:t>OFERTA DE REFERENCIA PARA LA DESAGREGACIÓN DEL BUCLE LOCAL</w:t>
                        </w:r>
                        <w:bookmarkEnd w:id="33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34" w:name="_Toc170381590"/>
                        <w:r>
                          <w:rPr>
                            <w:rFonts w:ascii="Century Gothic" w:eastAsiaTheme="minorHAnsi" w:hAnsi="Century Gothic"/>
                            <w:color w:val="auto"/>
                            <w:sz w:val="24"/>
                            <w:szCs w:val="24"/>
                          </w:rPr>
                          <w:t>OFERTA DE REFERENCIA PARA LA DESAGREGACIÓN DEL BUCLE LOCAL</w:t>
                        </w:r>
                        <w:bookmarkEnd w:id="33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35" w:name="_Toc170381591"/>
                        <w:r>
                          <w:rPr>
                            <w:rFonts w:ascii="Century Gothic" w:eastAsiaTheme="minorHAnsi" w:hAnsi="Century Gothic"/>
                            <w:color w:val="auto"/>
                            <w:sz w:val="24"/>
                            <w:szCs w:val="24"/>
                          </w:rPr>
                          <w:t>OFERTA DE REFERENCIA PARA LA DESAGREGACIÓN DEL BUCLE LOCAL</w:t>
                        </w:r>
                        <w:bookmarkEnd w:id="33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36" w:name="_Toc170381592"/>
                        <w:r>
                          <w:rPr>
                            <w:rFonts w:ascii="Century Gothic" w:eastAsiaTheme="minorHAnsi" w:hAnsi="Century Gothic"/>
                            <w:color w:val="auto"/>
                            <w:sz w:val="24"/>
                            <w:szCs w:val="24"/>
                          </w:rPr>
                          <w:t>OFERTA DE REFERENCIA PARA LA DESAGREGACIÓN DEL BUCLE LOCAL</w:t>
                        </w:r>
                        <w:bookmarkEnd w:id="33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37" w:name="_Toc170381593"/>
                        <w:r>
                          <w:rPr>
                            <w:rFonts w:ascii="Century Gothic" w:eastAsiaTheme="minorHAnsi" w:hAnsi="Century Gothic"/>
                            <w:color w:val="auto"/>
                            <w:sz w:val="24"/>
                            <w:szCs w:val="24"/>
                          </w:rPr>
                          <w:t>OFERTA DE REFERENCIA PARA LA DESAGREGACIÓN DEL BUCLE LOCAL</w:t>
                        </w:r>
                        <w:bookmarkEnd w:id="33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38" w:name="_Toc170381594"/>
                        <w:r>
                          <w:rPr>
                            <w:rFonts w:ascii="Century Gothic" w:eastAsiaTheme="minorHAnsi" w:hAnsi="Century Gothic"/>
                            <w:color w:val="auto"/>
                            <w:sz w:val="24"/>
                            <w:szCs w:val="24"/>
                          </w:rPr>
                          <w:t>OFERTA DE REFERENCIA PARA LA DESAGREGACIÓN DEL BUCLE LOCAL</w:t>
                        </w:r>
                        <w:bookmarkEnd w:id="33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39" w:name="_Toc170381595"/>
                        <w:r>
                          <w:rPr>
                            <w:rFonts w:ascii="Century Gothic" w:eastAsiaTheme="minorHAnsi" w:hAnsi="Century Gothic"/>
                            <w:color w:val="auto"/>
                            <w:sz w:val="24"/>
                            <w:szCs w:val="24"/>
                          </w:rPr>
                          <w:t>OFERTA DE REFERENCIA PARA LA DESAGREGACIÓN DEL BUCLE LOCAL</w:t>
                        </w:r>
                        <w:bookmarkEnd w:id="33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40" w:name="_Toc170381596"/>
                        <w:r>
                          <w:rPr>
                            <w:rFonts w:ascii="Century Gothic" w:eastAsiaTheme="minorHAnsi" w:hAnsi="Century Gothic"/>
                            <w:color w:val="auto"/>
                            <w:sz w:val="24"/>
                            <w:szCs w:val="24"/>
                          </w:rPr>
                          <w:t>OFERTA DE REFERENCIA PARA LA DESAGREGACIÓN DEL BUCLE LOCAL</w:t>
                        </w:r>
                        <w:bookmarkEnd w:id="34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41" w:name="_Toc170381597"/>
                        <w:r>
                          <w:rPr>
                            <w:rFonts w:ascii="Century Gothic" w:eastAsiaTheme="minorHAnsi" w:hAnsi="Century Gothic"/>
                            <w:color w:val="auto"/>
                            <w:sz w:val="24"/>
                            <w:szCs w:val="24"/>
                          </w:rPr>
                          <w:t>OFERTA DE REFERENCIA PARA LA DESAGREGACIÓN DEL BUCLE LOCAL</w:t>
                        </w:r>
                        <w:bookmarkEnd w:id="34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42" w:name="_Toc170381598"/>
                        <w:r>
                          <w:rPr>
                            <w:rFonts w:ascii="Century Gothic" w:eastAsiaTheme="minorHAnsi" w:hAnsi="Century Gothic"/>
                            <w:color w:val="auto"/>
                            <w:sz w:val="24"/>
                            <w:szCs w:val="24"/>
                          </w:rPr>
                          <w:t>OFERTA DE REFERENCIA PARA LA DESAGREGACIÓN DEL BUCLE LOCAL</w:t>
                        </w:r>
                        <w:bookmarkEnd w:id="34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43" w:name="_Toc170381599"/>
                        <w:r>
                          <w:rPr>
                            <w:rFonts w:ascii="Century Gothic" w:eastAsiaTheme="minorHAnsi" w:hAnsi="Century Gothic"/>
                            <w:color w:val="auto"/>
                            <w:sz w:val="24"/>
                            <w:szCs w:val="24"/>
                          </w:rPr>
                          <w:t>OFERTA DE REFERENCIA PARA LA DESAGREGACIÓN DEL BUCLE LOCAL</w:t>
                        </w:r>
                        <w:bookmarkEnd w:id="34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44" w:name="_Toc170381600"/>
                        <w:r>
                          <w:rPr>
                            <w:rFonts w:ascii="Century Gothic" w:eastAsiaTheme="minorHAnsi" w:hAnsi="Century Gothic"/>
                            <w:color w:val="auto"/>
                            <w:sz w:val="24"/>
                            <w:szCs w:val="24"/>
                          </w:rPr>
                          <w:t>OFERTA DE REFERENCIA PARA LA DESAGREGACIÓN DEL BUCLE LOCAL</w:t>
                        </w:r>
                        <w:bookmarkEnd w:id="34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45" w:name="_Toc170381601"/>
                        <w:r>
                          <w:rPr>
                            <w:rFonts w:ascii="Century Gothic" w:eastAsiaTheme="minorHAnsi" w:hAnsi="Century Gothic"/>
                            <w:color w:val="auto"/>
                            <w:sz w:val="24"/>
                            <w:szCs w:val="24"/>
                          </w:rPr>
                          <w:t>OFERTA DE REFERENCIA PARA LA DESAGREGACIÓN DEL BUCLE LOCAL</w:t>
                        </w:r>
                        <w:bookmarkEnd w:id="34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46" w:name="_Toc170381602"/>
                        <w:r>
                          <w:rPr>
                            <w:rFonts w:ascii="Century Gothic" w:eastAsiaTheme="minorHAnsi" w:hAnsi="Century Gothic"/>
                            <w:color w:val="auto"/>
                            <w:sz w:val="24"/>
                            <w:szCs w:val="24"/>
                          </w:rPr>
                          <w:t>OFERTA DE REFERENCIA PARA LA DESAGREGACIÓN DEL BUCLE LOCAL</w:t>
                        </w:r>
                        <w:bookmarkEnd w:id="34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47" w:name="_Toc170381603"/>
                        <w:r>
                          <w:rPr>
                            <w:rFonts w:ascii="Century Gothic" w:eastAsiaTheme="minorHAnsi" w:hAnsi="Century Gothic"/>
                            <w:color w:val="auto"/>
                            <w:sz w:val="24"/>
                            <w:szCs w:val="24"/>
                          </w:rPr>
                          <w:t>OFERTA DE REFERENCIA PARA LA DESAGREGACIÓN DEL BUCLE LOCAL</w:t>
                        </w:r>
                        <w:bookmarkEnd w:id="34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48" w:name="_Toc170381604"/>
                        <w:r>
                          <w:rPr>
                            <w:rFonts w:ascii="Century Gothic" w:eastAsiaTheme="minorHAnsi" w:hAnsi="Century Gothic"/>
                            <w:color w:val="auto"/>
                            <w:sz w:val="24"/>
                            <w:szCs w:val="24"/>
                          </w:rPr>
                          <w:t>OFERTA DE REFERENCIA PARA LA DESAGREGACIÓN DEL BUCLE LOCAL</w:t>
                        </w:r>
                        <w:bookmarkEnd w:id="34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49" w:name="_Toc170381605"/>
                        <w:r>
                          <w:rPr>
                            <w:rFonts w:ascii="Century Gothic" w:eastAsiaTheme="minorHAnsi" w:hAnsi="Century Gothic"/>
                            <w:color w:val="auto"/>
                            <w:sz w:val="24"/>
                            <w:szCs w:val="24"/>
                          </w:rPr>
                          <w:t>OFERTA DE REFERENCIA PARA LA DESAGREGACIÓN DEL BUCLE LOCAL</w:t>
                        </w:r>
                        <w:bookmarkEnd w:id="34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50" w:name="_Toc170381606"/>
                        <w:r>
                          <w:rPr>
                            <w:rFonts w:ascii="Century Gothic" w:eastAsiaTheme="minorHAnsi" w:hAnsi="Century Gothic"/>
                            <w:color w:val="auto"/>
                            <w:sz w:val="24"/>
                            <w:szCs w:val="24"/>
                          </w:rPr>
                          <w:t>OFERTA DE REFERENCIA PARA LA DESAGREGACIÓN DEL BUCLE LOCAL</w:t>
                        </w:r>
                        <w:bookmarkEnd w:id="35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51" w:name="_Toc170381607"/>
                        <w:r>
                          <w:rPr>
                            <w:rFonts w:ascii="Century Gothic" w:eastAsiaTheme="minorHAnsi" w:hAnsi="Century Gothic"/>
                            <w:color w:val="auto"/>
                            <w:sz w:val="24"/>
                            <w:szCs w:val="24"/>
                          </w:rPr>
                          <w:t>OFERTA DE REFERENCIA PARA LA DESAGREGACIÓN DEL BUCLE LOCAL</w:t>
                        </w:r>
                        <w:bookmarkEnd w:id="35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52" w:name="_Toc170381608"/>
                        <w:r>
                          <w:rPr>
                            <w:rFonts w:ascii="Century Gothic" w:eastAsiaTheme="minorHAnsi" w:hAnsi="Century Gothic"/>
                            <w:color w:val="auto"/>
                            <w:sz w:val="24"/>
                            <w:szCs w:val="24"/>
                          </w:rPr>
                          <w:t>OFERTA DE REFERENCIA PARA LA DESAGREGACIÓN DEL BUCLE LOCAL</w:t>
                        </w:r>
                        <w:bookmarkEnd w:id="35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53" w:name="_Toc170381609"/>
                        <w:r>
                          <w:rPr>
                            <w:rFonts w:ascii="Century Gothic" w:eastAsiaTheme="minorHAnsi" w:hAnsi="Century Gothic"/>
                            <w:color w:val="auto"/>
                            <w:sz w:val="24"/>
                            <w:szCs w:val="24"/>
                          </w:rPr>
                          <w:t>OFERTA DE REFERENCIA PARA LA DESAGREGACIÓN DEL BUCLE LOCAL</w:t>
                        </w:r>
                        <w:bookmarkEnd w:id="35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54" w:name="_Toc170381610"/>
                        <w:r>
                          <w:rPr>
                            <w:rFonts w:ascii="Century Gothic" w:eastAsiaTheme="minorHAnsi" w:hAnsi="Century Gothic"/>
                            <w:color w:val="auto"/>
                            <w:sz w:val="24"/>
                            <w:szCs w:val="24"/>
                          </w:rPr>
                          <w:t>OFERTA DE REFERENCIA PARA LA DESAGREGACIÓN DEL BUCLE LOCAL</w:t>
                        </w:r>
                        <w:bookmarkEnd w:id="35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55" w:name="_Toc170381611"/>
                        <w:r>
                          <w:rPr>
                            <w:rFonts w:ascii="Century Gothic" w:eastAsiaTheme="minorHAnsi" w:hAnsi="Century Gothic"/>
                            <w:color w:val="auto"/>
                            <w:sz w:val="24"/>
                            <w:szCs w:val="24"/>
                          </w:rPr>
                          <w:t>OFERTA DE REFERENCIA PARA LA DESAGREGACIÓN DEL BUCLE LOCAL</w:t>
                        </w:r>
                        <w:bookmarkEnd w:id="35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56" w:name="_Toc170381612"/>
                        <w:r>
                          <w:rPr>
                            <w:rFonts w:ascii="Century Gothic" w:eastAsiaTheme="minorHAnsi" w:hAnsi="Century Gothic"/>
                            <w:color w:val="auto"/>
                            <w:sz w:val="24"/>
                            <w:szCs w:val="24"/>
                          </w:rPr>
                          <w:t>OFERTA DE REFERENCIA PARA LA DESAGREGACIÓN DEL BUCLE LOCAL</w:t>
                        </w:r>
                        <w:bookmarkEnd w:id="35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57" w:name="_Toc170381613"/>
                        <w:r>
                          <w:rPr>
                            <w:rFonts w:ascii="Century Gothic" w:eastAsiaTheme="minorHAnsi" w:hAnsi="Century Gothic"/>
                            <w:color w:val="auto"/>
                            <w:sz w:val="24"/>
                            <w:szCs w:val="24"/>
                          </w:rPr>
                          <w:t>OFERTA DE REFERENCIA PARA LA DESAGREGACIÓN DEL BUCLE LOCAL</w:t>
                        </w:r>
                        <w:bookmarkEnd w:id="35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81326" w:rsidRDefault="000511F0" w:rsidP="00446018">
                        <w:pPr>
                          <w:pStyle w:val="Ttulo1"/>
                          <w:spacing w:line="18pt" w:lineRule="auto"/>
                          <w:jc w:val="center"/>
                          <w:rPr>
                            <w:rFonts w:ascii="Century Gothic" w:hAnsi="Century Gothic" w:cs="Times New Roman"/>
                            <w14:scene3d>
                              <w14:camera w14:prst="orthographicFront"/>
                              <w14:lightRig w14:rig="threePt" w14:dir="t">
                                <w14:rot w14:lat="0" w14:lon="0" w14:rev="0"/>
                              </w14:lightRig>
                            </w14:scene3d>
                          </w:rPr>
                        </w:pPr>
                        <w:bookmarkStart w:id="358" w:name="_Toc170381614"/>
                        <w:r>
                          <w:rPr>
                            <w:rFonts w:ascii="Century Gothic" w:hAnsi="Century Gothic" w:cs="Times New Roman"/>
                            <w14:scene3d>
                              <w14:camera w14:prst="orthographicFront"/>
                              <w14:lightRig w14:rig="threePt" w14:dir="t">
                                <w14:rot w14:lat="0" w14:lon="0" w14:rev="0"/>
                              </w14:lightRig>
                            </w14:scene3d>
                          </w:rPr>
                          <w:t>OFERTA DE REFERENCIA PARA LA DESAGREGACIÓN DEL BUCLE LOCAL</w:t>
                        </w:r>
                        <w:bookmarkEnd w:id="35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Pr="00E73C0B" w:rsidRDefault="000511F0" w:rsidP="0028714F">
                        <w:pPr>
                          <w:jc w:val="center"/>
                          <w:rPr>
                            <w:rFonts w:ascii="Century Gothic" w:hAnsi="Century Gothic"/>
                            <w:bCs/>
                            <w:sz w:val="18"/>
                            <w:szCs w:val="18"/>
                          </w:rPr>
                        </w:pPr>
                        <w:r>
                          <w:rPr>
                            <w:rFonts w:ascii="Century Gothic" w:hAnsi="Century Gothic"/>
                            <w:bCs/>
                            <w:sz w:val="18"/>
                            <w:szCs w:val="18"/>
                          </w:rPr>
                          <w:t>(RED NACIONAL)</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2025</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59" w:name="_Toc170381615"/>
                        <w:r>
                          <w:rPr>
                            <w:rFonts w:ascii="Century Gothic" w:eastAsiaTheme="minorHAnsi" w:hAnsi="Century Gothic"/>
                            <w:color w:val="auto"/>
                            <w:sz w:val="24"/>
                            <w:szCs w:val="24"/>
                          </w:rPr>
                          <w:t>OFERTA DE REFERENCIA PARA LA DESAGREGACIÓN DEL BUCLE LOCAL</w:t>
                        </w:r>
                        <w:bookmarkEnd w:id="35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60" w:name="_Toc170381616"/>
                        <w:r>
                          <w:rPr>
                            <w:rFonts w:ascii="Century Gothic" w:eastAsiaTheme="minorHAnsi" w:hAnsi="Century Gothic"/>
                            <w:color w:val="auto"/>
                            <w:sz w:val="24"/>
                            <w:szCs w:val="24"/>
                          </w:rPr>
                          <w:t>OFERTA DE REFERENCIA PARA LA DESAGREGACIÓN DEL BUCLE LOCAL</w:t>
                        </w:r>
                        <w:bookmarkEnd w:id="36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61" w:name="_Toc170381617"/>
                        <w:r>
                          <w:rPr>
                            <w:rFonts w:ascii="Century Gothic" w:eastAsiaTheme="minorHAnsi" w:hAnsi="Century Gothic"/>
                            <w:color w:val="auto"/>
                            <w:sz w:val="24"/>
                            <w:szCs w:val="24"/>
                          </w:rPr>
                          <w:t>OFERTA DE REFERENCIA PARA LA DESAGREGACIÓN DEL BUCLE LOCAL</w:t>
                        </w:r>
                        <w:bookmarkEnd w:id="36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62" w:name="_Toc170381618"/>
                        <w:r>
                          <w:rPr>
                            <w:rFonts w:ascii="Century Gothic" w:eastAsiaTheme="minorHAnsi" w:hAnsi="Century Gothic"/>
                            <w:color w:val="auto"/>
                            <w:sz w:val="24"/>
                            <w:szCs w:val="24"/>
                          </w:rPr>
                          <w:t>OFERTA DE REFERENCIA PARA LA DESAGREGACIÓN DEL BUCLE LOCAL</w:t>
                        </w:r>
                        <w:bookmarkEnd w:id="36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63" w:name="_Toc170381619"/>
                        <w:r>
                          <w:rPr>
                            <w:rFonts w:ascii="Century Gothic" w:eastAsiaTheme="minorHAnsi" w:hAnsi="Century Gothic"/>
                            <w:color w:val="auto"/>
                            <w:sz w:val="24"/>
                            <w:szCs w:val="24"/>
                          </w:rPr>
                          <w:t>OFERTA DE REFERENCIA PARA LA DESAGREGACIÓN DEL BUCLE LOCAL</w:t>
                        </w:r>
                        <w:bookmarkEnd w:id="36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64" w:name="_Toc170381620"/>
                        <w:r>
                          <w:rPr>
                            <w:rFonts w:ascii="Century Gothic" w:eastAsiaTheme="minorHAnsi" w:hAnsi="Century Gothic"/>
                            <w:color w:val="auto"/>
                            <w:sz w:val="24"/>
                            <w:szCs w:val="24"/>
                          </w:rPr>
                          <w:t>OFERTA DE REFERENCIA PARA LA DESAGREGACIÓN DEL BUCLE LOCAL</w:t>
                        </w:r>
                        <w:bookmarkEnd w:id="36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65" w:name="_Toc170381621"/>
                        <w:r>
                          <w:rPr>
                            <w:rFonts w:ascii="Century Gothic" w:eastAsiaTheme="minorHAnsi" w:hAnsi="Century Gothic"/>
                            <w:color w:val="auto"/>
                            <w:sz w:val="24"/>
                            <w:szCs w:val="24"/>
                          </w:rPr>
                          <w:t>OFERTA DE REFERENCIA PARA LA DESAGREGACIÓN DEL BUCLE LOCAL</w:t>
                        </w:r>
                        <w:bookmarkEnd w:id="36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66" w:name="_Toc170381622"/>
                        <w:r>
                          <w:rPr>
                            <w:rFonts w:ascii="Century Gothic" w:eastAsiaTheme="minorHAnsi" w:hAnsi="Century Gothic"/>
                            <w:color w:val="auto"/>
                            <w:sz w:val="24"/>
                            <w:szCs w:val="24"/>
                          </w:rPr>
                          <w:t>OFERTA DE REFERENCIA PARA LA DESAGREGACIÓN DEL BUCLE LOCAL</w:t>
                        </w:r>
                        <w:bookmarkEnd w:id="36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67" w:name="_Toc170381623"/>
                        <w:r>
                          <w:rPr>
                            <w:rFonts w:ascii="Century Gothic" w:eastAsiaTheme="minorHAnsi" w:hAnsi="Century Gothic"/>
                            <w:color w:val="auto"/>
                            <w:sz w:val="24"/>
                            <w:szCs w:val="24"/>
                          </w:rPr>
                          <w:t>OFERTA DE REFERENCIA PARA LA DESAGREGACIÓN DEL BUCLE LOCAL</w:t>
                        </w:r>
                        <w:bookmarkEnd w:id="36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68" w:name="_Toc170381624"/>
                        <w:r>
                          <w:rPr>
                            <w:rFonts w:ascii="Century Gothic" w:eastAsiaTheme="minorHAnsi" w:hAnsi="Century Gothic"/>
                            <w:color w:val="auto"/>
                            <w:sz w:val="24"/>
                            <w:szCs w:val="24"/>
                          </w:rPr>
                          <w:t>OFERTA DE REFERENCIA PARA LA DESAGREGACIÓN DEL BUCLE LOCAL</w:t>
                        </w:r>
                        <w:bookmarkEnd w:id="36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69" w:name="_Toc170381625"/>
                        <w:r>
                          <w:rPr>
                            <w:rFonts w:ascii="Century Gothic" w:eastAsiaTheme="minorHAnsi" w:hAnsi="Century Gothic"/>
                            <w:color w:val="auto"/>
                            <w:sz w:val="24"/>
                            <w:szCs w:val="24"/>
                          </w:rPr>
                          <w:t>OFERTA DE REFERENCIA PARA LA DESAGREGACIÓN DEL BUCLE LOCAL</w:t>
                        </w:r>
                        <w:bookmarkEnd w:id="36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70" w:name="_Toc170381626"/>
                        <w:r>
                          <w:rPr>
                            <w:rFonts w:ascii="Century Gothic" w:eastAsiaTheme="minorHAnsi" w:hAnsi="Century Gothic"/>
                            <w:color w:val="auto"/>
                            <w:sz w:val="24"/>
                            <w:szCs w:val="24"/>
                          </w:rPr>
                          <w:t>OFERTA DE REFERENCIA PARA LA DESAGREGACIÓN DEL BUCLE LOCAL</w:t>
                        </w:r>
                        <w:bookmarkEnd w:id="37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71" w:name="_Toc170381627"/>
                        <w:r>
                          <w:rPr>
                            <w:rFonts w:ascii="Century Gothic" w:eastAsiaTheme="minorHAnsi" w:hAnsi="Century Gothic"/>
                            <w:color w:val="auto"/>
                            <w:sz w:val="24"/>
                            <w:szCs w:val="24"/>
                          </w:rPr>
                          <w:t>OFERTA DE REFERENCIA PARA LA DESAGREGACIÓN DEL BUCLE LOCAL</w:t>
                        </w:r>
                        <w:bookmarkEnd w:id="37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72" w:name="_Toc170381628"/>
                        <w:r>
                          <w:rPr>
                            <w:rFonts w:ascii="Century Gothic" w:eastAsiaTheme="minorHAnsi" w:hAnsi="Century Gothic"/>
                            <w:color w:val="auto"/>
                            <w:sz w:val="24"/>
                            <w:szCs w:val="24"/>
                          </w:rPr>
                          <w:t>OFERTA DE REFERENCIA PARA LA DESAGREGACIÓN DEL BUCLE LOCAL</w:t>
                        </w:r>
                        <w:bookmarkEnd w:id="37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73" w:name="_Toc170381629"/>
                        <w:r>
                          <w:rPr>
                            <w:rFonts w:ascii="Century Gothic" w:eastAsiaTheme="minorHAnsi" w:hAnsi="Century Gothic"/>
                            <w:color w:val="auto"/>
                            <w:sz w:val="24"/>
                            <w:szCs w:val="24"/>
                          </w:rPr>
                          <w:t>OFERTA DE REFERENCIA PARA LA DESAGREGACIÓN DEL BUCLE LOCAL</w:t>
                        </w:r>
                        <w:bookmarkEnd w:id="37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74" w:name="_Toc170381630"/>
                        <w:r>
                          <w:rPr>
                            <w:rFonts w:ascii="Century Gothic" w:eastAsiaTheme="minorHAnsi" w:hAnsi="Century Gothic"/>
                            <w:color w:val="auto"/>
                            <w:sz w:val="24"/>
                            <w:szCs w:val="24"/>
                          </w:rPr>
                          <w:t>OFERTA DE REFERENCIA PARA LA DESAGREGACIÓN DEL BUCLE LOCAL</w:t>
                        </w:r>
                        <w:bookmarkEnd w:id="37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75" w:name="_Toc170381631"/>
                        <w:r>
                          <w:rPr>
                            <w:rFonts w:ascii="Century Gothic" w:eastAsiaTheme="minorHAnsi" w:hAnsi="Century Gothic"/>
                            <w:color w:val="auto"/>
                            <w:sz w:val="24"/>
                            <w:szCs w:val="24"/>
                          </w:rPr>
                          <w:t>OFERTA DE REFERENCIA PARA LA DESAGREGACIÓN DEL BUCLE LOCAL</w:t>
                        </w:r>
                        <w:bookmarkEnd w:id="37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76" w:name="_Toc170381632"/>
                        <w:r>
                          <w:rPr>
                            <w:rFonts w:ascii="Century Gothic" w:eastAsiaTheme="minorHAnsi" w:hAnsi="Century Gothic"/>
                            <w:color w:val="auto"/>
                            <w:sz w:val="24"/>
                            <w:szCs w:val="24"/>
                          </w:rPr>
                          <w:t>OFERTA DE REFERENCIA PARA LA DESAGREGACIÓN DEL BUCLE LOCAL</w:t>
                        </w:r>
                        <w:bookmarkEnd w:id="37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77" w:name="_Toc170381633"/>
                        <w:r>
                          <w:rPr>
                            <w:rFonts w:ascii="Century Gothic" w:eastAsiaTheme="minorHAnsi" w:hAnsi="Century Gothic"/>
                            <w:color w:val="auto"/>
                            <w:sz w:val="24"/>
                            <w:szCs w:val="24"/>
                          </w:rPr>
                          <w:t>OFERTA DE REFERENCIA PARA LA DESAGREGACIÓN DEL BUCLE LOCAL</w:t>
                        </w:r>
                        <w:bookmarkEnd w:id="37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78" w:name="_Toc170381634"/>
                        <w:r>
                          <w:rPr>
                            <w:rFonts w:ascii="Century Gothic" w:eastAsiaTheme="minorHAnsi" w:hAnsi="Century Gothic"/>
                            <w:color w:val="auto"/>
                            <w:sz w:val="24"/>
                            <w:szCs w:val="24"/>
                          </w:rPr>
                          <w:t>OFERTA DE REFERENCIA PARA LA DESAGREGACIÓN DEL BUCLE LOCAL</w:t>
                        </w:r>
                        <w:bookmarkEnd w:id="37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79" w:name="_Toc170381635"/>
                        <w:r>
                          <w:rPr>
                            <w:rFonts w:ascii="Century Gothic" w:eastAsiaTheme="minorHAnsi" w:hAnsi="Century Gothic"/>
                            <w:color w:val="auto"/>
                            <w:sz w:val="24"/>
                            <w:szCs w:val="24"/>
                          </w:rPr>
                          <w:t>OFERTA DE REFERENCIA PARA LA DESAGREGACIÓN DEL BUCLE LOCAL</w:t>
                        </w:r>
                        <w:bookmarkEnd w:id="37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80" w:name="_Toc170381636"/>
                        <w:r>
                          <w:rPr>
                            <w:rFonts w:ascii="Century Gothic" w:eastAsiaTheme="minorHAnsi" w:hAnsi="Century Gothic"/>
                            <w:color w:val="auto"/>
                            <w:sz w:val="24"/>
                            <w:szCs w:val="24"/>
                          </w:rPr>
                          <w:t>OFERTA DE REFERENCIA PARA LA DESAGREGACIÓN DEL BUCLE LOCAL</w:t>
                        </w:r>
                        <w:bookmarkEnd w:id="38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81" w:name="_Toc170381637"/>
                        <w:r>
                          <w:rPr>
                            <w:rFonts w:ascii="Century Gothic" w:eastAsiaTheme="minorHAnsi" w:hAnsi="Century Gothic"/>
                            <w:color w:val="auto"/>
                            <w:sz w:val="24"/>
                            <w:szCs w:val="24"/>
                          </w:rPr>
                          <w:t>OFERTA DE REFERENCIA PARA LA DESAGREGACIÓN DEL BUCLE LOCAL</w:t>
                        </w:r>
                        <w:bookmarkEnd w:id="38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82" w:name="_Toc170381638"/>
                        <w:r>
                          <w:rPr>
                            <w:rFonts w:ascii="Century Gothic" w:eastAsiaTheme="minorHAnsi" w:hAnsi="Century Gothic"/>
                            <w:color w:val="auto"/>
                            <w:sz w:val="24"/>
                            <w:szCs w:val="24"/>
                          </w:rPr>
                          <w:t>OFERTA DE REFERENCIA PARA LA DESAGREGACIÓN DEL BUCLE LOCAL</w:t>
                        </w:r>
                        <w:bookmarkEnd w:id="38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83" w:name="_Toc170381639"/>
                        <w:r>
                          <w:rPr>
                            <w:rFonts w:ascii="Century Gothic" w:eastAsiaTheme="minorHAnsi" w:hAnsi="Century Gothic"/>
                            <w:color w:val="auto"/>
                            <w:sz w:val="24"/>
                            <w:szCs w:val="24"/>
                          </w:rPr>
                          <w:t>OFERTA DE REFERENCIA PARA LA DESAGREGACIÓN DEL BUCLE LOCAL</w:t>
                        </w:r>
                        <w:bookmarkEnd w:id="38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84" w:name="_Toc170381640"/>
                        <w:r>
                          <w:rPr>
                            <w:rFonts w:ascii="Century Gothic" w:eastAsiaTheme="minorHAnsi" w:hAnsi="Century Gothic"/>
                            <w:color w:val="auto"/>
                            <w:sz w:val="24"/>
                            <w:szCs w:val="24"/>
                          </w:rPr>
                          <w:t>OFERTA DE REFERENCIA PARA LA DESAGREGACIÓN DEL BUCLE LOCAL</w:t>
                        </w:r>
                        <w:bookmarkEnd w:id="38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85" w:name="_Toc170381641"/>
                        <w:r>
                          <w:rPr>
                            <w:rFonts w:ascii="Century Gothic" w:eastAsiaTheme="minorHAnsi" w:hAnsi="Century Gothic"/>
                            <w:color w:val="auto"/>
                            <w:sz w:val="24"/>
                            <w:szCs w:val="24"/>
                          </w:rPr>
                          <w:t>OFERTA DE REFERENCIA PARA LA DESAGREGACIÓN DEL BUCLE LOCAL</w:t>
                        </w:r>
                        <w:bookmarkEnd w:id="38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86" w:name="_Toc170381642"/>
                        <w:r>
                          <w:rPr>
                            <w:rFonts w:ascii="Century Gothic" w:eastAsiaTheme="minorHAnsi" w:hAnsi="Century Gothic"/>
                            <w:color w:val="auto"/>
                            <w:sz w:val="24"/>
                            <w:szCs w:val="24"/>
                          </w:rPr>
                          <w:t>OFERTA DE REFERENCIA PARA LA DESAGREGACIÓN DEL BUCLE LOCAL</w:t>
                        </w:r>
                        <w:bookmarkEnd w:id="38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87" w:name="_Toc170381643"/>
                        <w:r>
                          <w:rPr>
                            <w:rFonts w:ascii="Century Gothic" w:eastAsiaTheme="minorHAnsi" w:hAnsi="Century Gothic"/>
                            <w:color w:val="auto"/>
                            <w:sz w:val="24"/>
                            <w:szCs w:val="24"/>
                          </w:rPr>
                          <w:t>OFERTA DE REFERENCIA PARA LA DESAGREGACIÓN DEL BUCLE LOCAL</w:t>
                        </w:r>
                        <w:bookmarkEnd w:id="38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88" w:name="_Toc170381644"/>
                        <w:r>
                          <w:rPr>
                            <w:rFonts w:ascii="Century Gothic" w:eastAsiaTheme="minorHAnsi" w:hAnsi="Century Gothic"/>
                            <w:color w:val="auto"/>
                            <w:sz w:val="24"/>
                            <w:szCs w:val="24"/>
                          </w:rPr>
                          <w:t>OFERTA DE REFERENCIA PARA LA DESAGREGACIÓN DEL BUCLE LOCAL</w:t>
                        </w:r>
                        <w:bookmarkEnd w:id="38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89" w:name="_Toc170381645"/>
                        <w:r>
                          <w:rPr>
                            <w:rFonts w:ascii="Century Gothic" w:eastAsiaTheme="minorHAnsi" w:hAnsi="Century Gothic"/>
                            <w:color w:val="auto"/>
                            <w:sz w:val="24"/>
                            <w:szCs w:val="24"/>
                          </w:rPr>
                          <w:t>OFERTA DE REFERENCIA PARA LA DESAGREGACIÓN DEL BUCLE LOCAL</w:t>
                        </w:r>
                        <w:bookmarkEnd w:id="38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90" w:name="_Toc170381646"/>
                        <w:r>
                          <w:rPr>
                            <w:rFonts w:ascii="Century Gothic" w:eastAsiaTheme="minorHAnsi" w:hAnsi="Century Gothic"/>
                            <w:color w:val="auto"/>
                            <w:sz w:val="24"/>
                            <w:szCs w:val="24"/>
                          </w:rPr>
                          <w:t>OFERTA DE REFERENCIA PARA LA DESAGREGACIÓN DEL BUCLE LOCAL</w:t>
                        </w:r>
                        <w:bookmarkEnd w:id="39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91" w:name="_Toc170381647"/>
                        <w:r>
                          <w:rPr>
                            <w:rFonts w:ascii="Century Gothic" w:eastAsiaTheme="minorHAnsi" w:hAnsi="Century Gothic"/>
                            <w:color w:val="auto"/>
                            <w:sz w:val="24"/>
                            <w:szCs w:val="24"/>
                          </w:rPr>
                          <w:t>OFERTA DE REFERENCIA PARA LA DESAGREGACIÓN DEL BUCLE LOCAL</w:t>
                        </w:r>
                        <w:bookmarkEnd w:id="39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92" w:name="_Toc170381648"/>
                        <w:r>
                          <w:rPr>
                            <w:rFonts w:ascii="Century Gothic" w:eastAsiaTheme="minorHAnsi" w:hAnsi="Century Gothic"/>
                            <w:color w:val="auto"/>
                            <w:sz w:val="24"/>
                            <w:szCs w:val="24"/>
                          </w:rPr>
                          <w:t>OFERTA DE REFERENCIA PARA LA DESAGREGACIÓN DEL BUCLE LOCAL</w:t>
                        </w:r>
                        <w:bookmarkEnd w:id="39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93" w:name="_Toc170381649"/>
                        <w:r>
                          <w:rPr>
                            <w:rFonts w:ascii="Century Gothic" w:eastAsiaTheme="minorHAnsi" w:hAnsi="Century Gothic"/>
                            <w:color w:val="auto"/>
                            <w:sz w:val="24"/>
                            <w:szCs w:val="24"/>
                          </w:rPr>
                          <w:t>OFERTA DE REFERENCIA PARA LA DESAGREGACIÓN DEL BUCLE LOCAL</w:t>
                        </w:r>
                        <w:bookmarkEnd w:id="39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94" w:name="_Toc170381650"/>
                        <w:r>
                          <w:rPr>
                            <w:rFonts w:ascii="Century Gothic" w:eastAsiaTheme="minorHAnsi" w:hAnsi="Century Gothic"/>
                            <w:color w:val="auto"/>
                            <w:sz w:val="24"/>
                            <w:szCs w:val="24"/>
                          </w:rPr>
                          <w:t>OFERTA DE REFERENCIA PARA LA DESAGREGACIÓN DEL BUCLE LOCAL</w:t>
                        </w:r>
                        <w:bookmarkEnd w:id="39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95" w:name="_Toc170381651"/>
                        <w:r>
                          <w:rPr>
                            <w:rFonts w:ascii="Century Gothic" w:eastAsiaTheme="minorHAnsi" w:hAnsi="Century Gothic"/>
                            <w:color w:val="auto"/>
                            <w:sz w:val="24"/>
                            <w:szCs w:val="24"/>
                          </w:rPr>
                          <w:t>OFERTA DE REFERENCIA PARA LA DESAGREGACIÓN DEL BUCLE LOCAL</w:t>
                        </w:r>
                        <w:bookmarkEnd w:id="39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96" w:name="_Toc170381652"/>
                        <w:r>
                          <w:rPr>
                            <w:rFonts w:ascii="Century Gothic" w:eastAsiaTheme="minorHAnsi" w:hAnsi="Century Gothic"/>
                            <w:color w:val="auto"/>
                            <w:sz w:val="24"/>
                            <w:szCs w:val="24"/>
                          </w:rPr>
                          <w:t>OFERTA DE REFERENCIA PARA LA DESAGREGACIÓN DEL BUCLE LOCAL</w:t>
                        </w:r>
                        <w:bookmarkEnd w:id="39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97" w:name="_Toc170381653"/>
                        <w:r>
                          <w:rPr>
                            <w:rFonts w:ascii="Century Gothic" w:eastAsiaTheme="minorHAnsi" w:hAnsi="Century Gothic"/>
                            <w:color w:val="auto"/>
                            <w:sz w:val="24"/>
                            <w:szCs w:val="24"/>
                          </w:rPr>
                          <w:t>OFERTA DE REFERENCIA PARA LA DESAGREGACIÓN DEL BUCLE LOCAL</w:t>
                        </w:r>
                        <w:bookmarkEnd w:id="39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98" w:name="_Toc170381654"/>
                        <w:r>
                          <w:rPr>
                            <w:rFonts w:ascii="Century Gothic" w:eastAsiaTheme="minorHAnsi" w:hAnsi="Century Gothic"/>
                            <w:color w:val="auto"/>
                            <w:sz w:val="24"/>
                            <w:szCs w:val="24"/>
                          </w:rPr>
                          <w:t>OFERTA DE REFERENCIA PARA LA DESAGREGACIÓN DEL BUCLE LOCAL</w:t>
                        </w:r>
                        <w:bookmarkEnd w:id="39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399" w:name="_Toc170381655"/>
                        <w:r>
                          <w:rPr>
                            <w:rFonts w:ascii="Century Gothic" w:eastAsiaTheme="minorHAnsi" w:hAnsi="Century Gothic"/>
                            <w:color w:val="auto"/>
                            <w:sz w:val="24"/>
                            <w:szCs w:val="24"/>
                          </w:rPr>
                          <w:t>OFERTA DE REFERENCIA PARA LA DESAGREGACIÓN DEL BUCLE LOCAL</w:t>
                        </w:r>
                        <w:bookmarkEnd w:id="39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00" w:name="_Toc170381656"/>
                        <w:r>
                          <w:rPr>
                            <w:rFonts w:ascii="Century Gothic" w:eastAsiaTheme="minorHAnsi" w:hAnsi="Century Gothic"/>
                            <w:color w:val="auto"/>
                            <w:sz w:val="24"/>
                            <w:szCs w:val="24"/>
                          </w:rPr>
                          <w:t>OFERTA DE REFERENCIA PARA LA DESAGREGACIÓN DEL BUCLE LOCAL</w:t>
                        </w:r>
                        <w:bookmarkEnd w:id="40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01" w:name="_Toc170381657"/>
                        <w:r>
                          <w:rPr>
                            <w:rFonts w:ascii="Century Gothic" w:eastAsiaTheme="minorHAnsi" w:hAnsi="Century Gothic"/>
                            <w:color w:val="auto"/>
                            <w:sz w:val="24"/>
                            <w:szCs w:val="24"/>
                          </w:rPr>
                          <w:t>OFERTA DE REFERENCIA PARA LA DESAGREGACIÓN DEL BUCLE LOCAL</w:t>
                        </w:r>
                        <w:bookmarkEnd w:id="40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02" w:name="_Toc170381658"/>
                        <w:r>
                          <w:rPr>
                            <w:rFonts w:ascii="Century Gothic" w:eastAsiaTheme="minorHAnsi" w:hAnsi="Century Gothic"/>
                            <w:color w:val="auto"/>
                            <w:sz w:val="24"/>
                            <w:szCs w:val="24"/>
                          </w:rPr>
                          <w:t>OFERTA DE REFERENCIA PARA LA DESAGREGACIÓN DEL BUCLE LOCAL</w:t>
                        </w:r>
                        <w:bookmarkEnd w:id="40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03" w:name="_Toc170381659"/>
                        <w:r>
                          <w:rPr>
                            <w:rFonts w:ascii="Century Gothic" w:eastAsiaTheme="minorHAnsi" w:hAnsi="Century Gothic"/>
                            <w:color w:val="auto"/>
                            <w:sz w:val="24"/>
                            <w:szCs w:val="24"/>
                          </w:rPr>
                          <w:t>OFERTA DE REFERENCIA PARA LA DESAGREGACIÓN DEL BUCLE LOCAL</w:t>
                        </w:r>
                        <w:bookmarkEnd w:id="40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04" w:name="_Toc170381660"/>
                        <w:r>
                          <w:rPr>
                            <w:rFonts w:ascii="Century Gothic" w:eastAsiaTheme="minorHAnsi" w:hAnsi="Century Gothic"/>
                            <w:color w:val="auto"/>
                            <w:sz w:val="24"/>
                            <w:szCs w:val="24"/>
                          </w:rPr>
                          <w:t>OFERTA DE REFERENCIA PARA LA DESAGREGACIÓN DEL BUCLE LOCAL</w:t>
                        </w:r>
                        <w:bookmarkEnd w:id="40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05" w:name="_Toc170381661"/>
                        <w:r>
                          <w:rPr>
                            <w:rFonts w:ascii="Century Gothic" w:eastAsiaTheme="minorHAnsi" w:hAnsi="Century Gothic"/>
                            <w:color w:val="auto"/>
                            <w:sz w:val="24"/>
                            <w:szCs w:val="24"/>
                          </w:rPr>
                          <w:t>OFERTA DE REFERENCIA PARA LA DESAGREGACIÓN DEL BUCLE LOCAL</w:t>
                        </w:r>
                        <w:bookmarkEnd w:id="40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06" w:name="_Toc170381662"/>
                        <w:r>
                          <w:rPr>
                            <w:rFonts w:ascii="Century Gothic" w:eastAsiaTheme="minorHAnsi" w:hAnsi="Century Gothic"/>
                            <w:color w:val="auto"/>
                            <w:sz w:val="24"/>
                            <w:szCs w:val="24"/>
                          </w:rPr>
                          <w:t>OFERTA DE REFERENCIA PARA LA DESAGREGACIÓN DEL BUCLE LOCAL</w:t>
                        </w:r>
                        <w:bookmarkEnd w:id="40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07" w:name="_Toc170381663"/>
                        <w:r>
                          <w:rPr>
                            <w:rFonts w:ascii="Century Gothic" w:eastAsiaTheme="minorHAnsi" w:hAnsi="Century Gothic"/>
                            <w:color w:val="auto"/>
                            <w:sz w:val="24"/>
                            <w:szCs w:val="24"/>
                          </w:rPr>
                          <w:t>OFERTA DE REFERENCIA PARA LA DESAGREGACIÓN DEL BUCLE LOCAL</w:t>
                        </w:r>
                        <w:bookmarkEnd w:id="40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08" w:name="_Toc170381664"/>
                        <w:r>
                          <w:rPr>
                            <w:rFonts w:ascii="Century Gothic" w:eastAsiaTheme="minorHAnsi" w:hAnsi="Century Gothic"/>
                            <w:color w:val="auto"/>
                            <w:sz w:val="24"/>
                            <w:szCs w:val="24"/>
                          </w:rPr>
                          <w:t>OFERTA DE REFERENCIA PARA LA DESAGREGACIÓN DEL BUCLE LOCAL</w:t>
                        </w:r>
                        <w:bookmarkEnd w:id="40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09" w:name="_Toc170381665"/>
                        <w:r>
                          <w:rPr>
                            <w:rFonts w:ascii="Century Gothic" w:eastAsiaTheme="minorHAnsi" w:hAnsi="Century Gothic"/>
                            <w:color w:val="auto"/>
                            <w:sz w:val="24"/>
                            <w:szCs w:val="24"/>
                          </w:rPr>
                          <w:t>OFERTA DE REFERENCIA PARA LA DESAGREGACIÓN DEL BUCLE LOCAL</w:t>
                        </w:r>
                        <w:bookmarkEnd w:id="40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10" w:name="_Toc170381666"/>
                        <w:r>
                          <w:rPr>
                            <w:rFonts w:ascii="Century Gothic" w:eastAsiaTheme="minorHAnsi" w:hAnsi="Century Gothic"/>
                            <w:color w:val="auto"/>
                            <w:sz w:val="24"/>
                            <w:szCs w:val="24"/>
                          </w:rPr>
                          <w:t>OFERTA DE REFERENCIA PARA LA DESAGREGACIÓN DEL BUCLE LOCAL</w:t>
                        </w:r>
                        <w:bookmarkEnd w:id="41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11" w:name="_Toc170381667"/>
                        <w:r>
                          <w:rPr>
                            <w:rFonts w:ascii="Century Gothic" w:eastAsiaTheme="minorHAnsi" w:hAnsi="Century Gothic"/>
                            <w:color w:val="auto"/>
                            <w:sz w:val="24"/>
                            <w:szCs w:val="24"/>
                          </w:rPr>
                          <w:t>OFERTA DE REFERENCIA PARA LA DESAGREGACIÓN DEL BUCLE LOCAL</w:t>
                        </w:r>
                        <w:bookmarkEnd w:id="41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12" w:name="_Toc170381668"/>
                        <w:r>
                          <w:rPr>
                            <w:rFonts w:ascii="Century Gothic" w:eastAsiaTheme="minorHAnsi" w:hAnsi="Century Gothic"/>
                            <w:color w:val="auto"/>
                            <w:sz w:val="24"/>
                            <w:szCs w:val="24"/>
                          </w:rPr>
                          <w:t>OFERTA DE REFERENCIA PARA LA DESAGREGACIÓN DEL BUCLE LOCAL</w:t>
                        </w:r>
                        <w:bookmarkEnd w:id="41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13" w:name="_Toc170381669"/>
                        <w:r>
                          <w:rPr>
                            <w:rFonts w:ascii="Century Gothic" w:eastAsiaTheme="minorHAnsi" w:hAnsi="Century Gothic"/>
                            <w:color w:val="auto"/>
                            <w:sz w:val="24"/>
                            <w:szCs w:val="24"/>
                          </w:rPr>
                          <w:t>OFERTA DE REFERENCIA PARA LA DESAGREGACIÓN DEL BUCLE LOCAL</w:t>
                        </w:r>
                        <w:bookmarkEnd w:id="41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14" w:name="_Toc170381670"/>
                        <w:r>
                          <w:rPr>
                            <w:rFonts w:ascii="Century Gothic" w:eastAsiaTheme="minorHAnsi" w:hAnsi="Century Gothic"/>
                            <w:color w:val="auto"/>
                            <w:sz w:val="24"/>
                            <w:szCs w:val="24"/>
                          </w:rPr>
                          <w:t>OFERTA DE REFERENCIA PARA LA DESAGREGACIÓN DEL BUCLE LOCAL</w:t>
                        </w:r>
                        <w:bookmarkEnd w:id="41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15" w:name="_Toc170381671"/>
                        <w:r>
                          <w:rPr>
                            <w:rFonts w:ascii="Century Gothic" w:eastAsiaTheme="minorHAnsi" w:hAnsi="Century Gothic"/>
                            <w:color w:val="auto"/>
                            <w:sz w:val="24"/>
                            <w:szCs w:val="24"/>
                          </w:rPr>
                          <w:t>OFERTA DE REFERENCIA PARA LA DESAGREGACIÓN DEL BUCLE LOCAL</w:t>
                        </w:r>
                        <w:bookmarkEnd w:id="41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16" w:name="_Toc170381672"/>
                        <w:r>
                          <w:rPr>
                            <w:rFonts w:ascii="Century Gothic" w:eastAsiaTheme="minorHAnsi" w:hAnsi="Century Gothic"/>
                            <w:color w:val="auto"/>
                            <w:sz w:val="24"/>
                            <w:szCs w:val="24"/>
                          </w:rPr>
                          <w:t>OFERTA DE REFERENCIA PARA LA DESAGREGACIÓN DEL BUCLE LOCAL</w:t>
                        </w:r>
                        <w:bookmarkEnd w:id="41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17" w:name="_Toc170381673"/>
                        <w:r>
                          <w:rPr>
                            <w:rFonts w:ascii="Century Gothic" w:eastAsiaTheme="minorHAnsi" w:hAnsi="Century Gothic"/>
                            <w:color w:val="auto"/>
                            <w:sz w:val="24"/>
                            <w:szCs w:val="24"/>
                          </w:rPr>
                          <w:t>OFERTA DE REFERENCIA PARA LA DESAGREGACIÓN DEL BUCLE LOCAL</w:t>
                        </w:r>
                        <w:bookmarkEnd w:id="41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18" w:name="_Toc170381674"/>
                        <w:r>
                          <w:rPr>
                            <w:rFonts w:ascii="Century Gothic" w:eastAsiaTheme="minorHAnsi" w:hAnsi="Century Gothic"/>
                            <w:color w:val="auto"/>
                            <w:sz w:val="24"/>
                            <w:szCs w:val="24"/>
                          </w:rPr>
                          <w:t>OFERTA DE REFERENCIA PARA LA DESAGREGACIÓN DEL BUCLE LOCAL</w:t>
                        </w:r>
                        <w:bookmarkEnd w:id="41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19" w:name="_Toc170381675"/>
                        <w:r>
                          <w:rPr>
                            <w:rFonts w:ascii="Century Gothic" w:eastAsiaTheme="minorHAnsi" w:hAnsi="Century Gothic"/>
                            <w:color w:val="auto"/>
                            <w:sz w:val="24"/>
                            <w:szCs w:val="24"/>
                          </w:rPr>
                          <w:t>OFERTA DE REFERENCIA PARA LA DESAGREGACIÓN DEL BUCLE LOCAL</w:t>
                        </w:r>
                        <w:bookmarkEnd w:id="41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20" w:name="_Toc170381676"/>
                        <w:r>
                          <w:rPr>
                            <w:rFonts w:ascii="Century Gothic" w:eastAsiaTheme="minorHAnsi" w:hAnsi="Century Gothic"/>
                            <w:color w:val="auto"/>
                            <w:sz w:val="24"/>
                            <w:szCs w:val="24"/>
                          </w:rPr>
                          <w:t>OFERTA DE REFERENCIA PARA LA DESAGREGACIÓN DEL BUCLE LOCAL</w:t>
                        </w:r>
                        <w:bookmarkEnd w:id="42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21" w:name="_Toc170381677"/>
                        <w:r>
                          <w:rPr>
                            <w:rFonts w:ascii="Century Gothic" w:eastAsiaTheme="minorHAnsi" w:hAnsi="Century Gothic"/>
                            <w:color w:val="auto"/>
                            <w:sz w:val="24"/>
                            <w:szCs w:val="24"/>
                          </w:rPr>
                          <w:t>OFERTA DE REFERENCIA PARA LA DESAGREGACIÓN DEL BUCLE LOCAL</w:t>
                        </w:r>
                        <w:bookmarkEnd w:id="42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81326" w:rsidRDefault="000511F0" w:rsidP="00446018">
                        <w:pPr>
                          <w:pStyle w:val="Ttulo1"/>
                          <w:spacing w:line="18pt" w:lineRule="auto"/>
                          <w:jc w:val="center"/>
                          <w:rPr>
                            <w:rFonts w:ascii="Century Gothic" w:hAnsi="Century Gothic" w:cs="Times New Roman"/>
                            <w14:scene3d>
                              <w14:camera w14:prst="orthographicFront"/>
                              <w14:lightRig w14:rig="threePt" w14:dir="t">
                                <w14:rot w14:lat="0" w14:lon="0" w14:rev="0"/>
                              </w14:lightRig>
                            </w14:scene3d>
                          </w:rPr>
                        </w:pPr>
                        <w:bookmarkStart w:id="422" w:name="_Toc170381678"/>
                        <w:r>
                          <w:rPr>
                            <w:rFonts w:ascii="Century Gothic" w:hAnsi="Century Gothic" w:cs="Times New Roman"/>
                            <w14:scene3d>
                              <w14:camera w14:prst="orthographicFront"/>
                              <w14:lightRig w14:rig="threePt" w14:dir="t">
                                <w14:rot w14:lat="0" w14:lon="0" w14:rev="0"/>
                              </w14:lightRig>
                            </w14:scene3d>
                          </w:rPr>
                          <w:t>OFERTA DE REFERENCIA PARA LA DESAGREGACIÓN DEL BUCLE LOCAL</w:t>
                        </w:r>
                        <w:bookmarkEnd w:id="42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Pr="00E73C0B" w:rsidRDefault="000511F0" w:rsidP="0028714F">
                        <w:pPr>
                          <w:jc w:val="center"/>
                          <w:rPr>
                            <w:rFonts w:ascii="Century Gothic" w:hAnsi="Century Gothic"/>
                            <w:bCs/>
                            <w:sz w:val="18"/>
                            <w:szCs w:val="18"/>
                          </w:rPr>
                        </w:pPr>
                        <w:r>
                          <w:rPr>
                            <w:rFonts w:ascii="Century Gothic" w:hAnsi="Century Gothic"/>
                            <w:bCs/>
                            <w:sz w:val="18"/>
                            <w:szCs w:val="18"/>
                          </w:rPr>
                          <w:t>(RED NACIONAL)</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2025</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23" w:name="_Toc170381679"/>
                        <w:r>
                          <w:rPr>
                            <w:rFonts w:ascii="Century Gothic" w:eastAsiaTheme="minorHAnsi" w:hAnsi="Century Gothic"/>
                            <w:color w:val="auto"/>
                            <w:sz w:val="24"/>
                            <w:szCs w:val="24"/>
                          </w:rPr>
                          <w:t>OFERTA DE REFERENCIA PARA LA DESAGREGACIÓN DEL BUCLE LOCAL</w:t>
                        </w:r>
                        <w:bookmarkEnd w:id="42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24" w:name="_Toc170381680"/>
                        <w:r>
                          <w:rPr>
                            <w:rFonts w:ascii="Century Gothic" w:eastAsiaTheme="minorHAnsi" w:hAnsi="Century Gothic"/>
                            <w:color w:val="auto"/>
                            <w:sz w:val="24"/>
                            <w:szCs w:val="24"/>
                          </w:rPr>
                          <w:t>OFERTA DE REFERENCIA PARA LA DESAGREGACIÓN DEL BUCLE LOCAL</w:t>
                        </w:r>
                        <w:bookmarkEnd w:id="42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25" w:name="_Toc170381681"/>
                        <w:r>
                          <w:rPr>
                            <w:rFonts w:ascii="Century Gothic" w:eastAsiaTheme="minorHAnsi" w:hAnsi="Century Gothic"/>
                            <w:color w:val="auto"/>
                            <w:sz w:val="24"/>
                            <w:szCs w:val="24"/>
                          </w:rPr>
                          <w:t>OFERTA DE REFERENCIA PARA LA DESAGREGACIÓN DEL BUCLE LOCAL</w:t>
                        </w:r>
                        <w:bookmarkEnd w:id="42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26" w:name="_Toc170381682"/>
                        <w:r>
                          <w:rPr>
                            <w:rFonts w:ascii="Century Gothic" w:eastAsiaTheme="minorHAnsi" w:hAnsi="Century Gothic"/>
                            <w:color w:val="auto"/>
                            <w:sz w:val="24"/>
                            <w:szCs w:val="24"/>
                          </w:rPr>
                          <w:t>OFERTA DE REFERENCIA PARA LA DESAGREGACIÓN DEL BUCLE LOCAL</w:t>
                        </w:r>
                        <w:bookmarkEnd w:id="42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27" w:name="_Toc170381683"/>
                        <w:r>
                          <w:rPr>
                            <w:rFonts w:ascii="Century Gothic" w:eastAsiaTheme="minorHAnsi" w:hAnsi="Century Gothic"/>
                            <w:color w:val="auto"/>
                            <w:sz w:val="24"/>
                            <w:szCs w:val="24"/>
                          </w:rPr>
                          <w:t>OFERTA DE REFERENCIA PARA LA DESAGREGACIÓN DEL BUCLE LOCAL</w:t>
                        </w:r>
                        <w:bookmarkEnd w:id="42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28" w:name="_Toc170381684"/>
                        <w:r>
                          <w:rPr>
                            <w:rFonts w:ascii="Century Gothic" w:eastAsiaTheme="minorHAnsi" w:hAnsi="Century Gothic"/>
                            <w:color w:val="auto"/>
                            <w:sz w:val="24"/>
                            <w:szCs w:val="24"/>
                          </w:rPr>
                          <w:t>OFERTA DE REFERENCIA PARA LA DESAGREGACIÓN DEL BUCLE LOCAL</w:t>
                        </w:r>
                        <w:bookmarkEnd w:id="42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29" w:name="_Toc170381685"/>
                        <w:r>
                          <w:rPr>
                            <w:rFonts w:ascii="Century Gothic" w:eastAsiaTheme="minorHAnsi" w:hAnsi="Century Gothic"/>
                            <w:color w:val="auto"/>
                            <w:sz w:val="24"/>
                            <w:szCs w:val="24"/>
                          </w:rPr>
                          <w:t>OFERTA DE REFERENCIA PARA LA DESAGREGACIÓN DEL BUCLE LOCAL</w:t>
                        </w:r>
                        <w:bookmarkEnd w:id="42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30" w:name="_Toc170381686"/>
                        <w:r>
                          <w:rPr>
                            <w:rFonts w:ascii="Century Gothic" w:eastAsiaTheme="minorHAnsi" w:hAnsi="Century Gothic"/>
                            <w:color w:val="auto"/>
                            <w:sz w:val="24"/>
                            <w:szCs w:val="24"/>
                          </w:rPr>
                          <w:t>OFERTA DE REFERENCIA PARA LA DESAGREGACIÓN DEL BUCLE LOCAL</w:t>
                        </w:r>
                        <w:bookmarkEnd w:id="43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31" w:name="_Toc170381687"/>
                        <w:r>
                          <w:rPr>
                            <w:rFonts w:ascii="Century Gothic" w:eastAsiaTheme="minorHAnsi" w:hAnsi="Century Gothic"/>
                            <w:color w:val="auto"/>
                            <w:sz w:val="24"/>
                            <w:szCs w:val="24"/>
                          </w:rPr>
                          <w:t>OFERTA DE REFERENCIA PARA LA DESAGREGACIÓN DEL BUCLE LOCAL</w:t>
                        </w:r>
                        <w:bookmarkEnd w:id="43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32" w:name="_Toc170381688"/>
                        <w:r>
                          <w:rPr>
                            <w:rFonts w:ascii="Century Gothic" w:eastAsiaTheme="minorHAnsi" w:hAnsi="Century Gothic"/>
                            <w:color w:val="auto"/>
                            <w:sz w:val="24"/>
                            <w:szCs w:val="24"/>
                          </w:rPr>
                          <w:t>OFERTA DE REFERENCIA PARA LA DESAGREGACIÓN DEL BUCLE LOCAL</w:t>
                        </w:r>
                        <w:bookmarkEnd w:id="43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33" w:name="_Toc170381689"/>
                        <w:r>
                          <w:rPr>
                            <w:rFonts w:ascii="Century Gothic" w:eastAsiaTheme="minorHAnsi" w:hAnsi="Century Gothic"/>
                            <w:color w:val="auto"/>
                            <w:sz w:val="24"/>
                            <w:szCs w:val="24"/>
                          </w:rPr>
                          <w:t>OFERTA DE REFERENCIA PARA LA DESAGREGACIÓN DEL BUCLE LOCAL</w:t>
                        </w:r>
                        <w:bookmarkEnd w:id="43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34" w:name="_Toc170381690"/>
                        <w:r>
                          <w:rPr>
                            <w:rFonts w:ascii="Century Gothic" w:eastAsiaTheme="minorHAnsi" w:hAnsi="Century Gothic"/>
                            <w:color w:val="auto"/>
                            <w:sz w:val="24"/>
                            <w:szCs w:val="24"/>
                          </w:rPr>
                          <w:t>OFERTA DE REFERENCIA PARA LA DESAGREGACIÓN DEL BUCLE LOCAL</w:t>
                        </w:r>
                        <w:bookmarkEnd w:id="43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35" w:name="_Toc170381691"/>
                        <w:r>
                          <w:rPr>
                            <w:rFonts w:ascii="Century Gothic" w:eastAsiaTheme="minorHAnsi" w:hAnsi="Century Gothic"/>
                            <w:color w:val="auto"/>
                            <w:sz w:val="24"/>
                            <w:szCs w:val="24"/>
                          </w:rPr>
                          <w:t>OFERTA DE REFERENCIA PARA LA DESAGREGACIÓN DEL BUCLE LOCAL</w:t>
                        </w:r>
                        <w:bookmarkEnd w:id="43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36" w:name="_Toc170381692"/>
                        <w:r>
                          <w:rPr>
                            <w:rFonts w:ascii="Century Gothic" w:eastAsiaTheme="minorHAnsi" w:hAnsi="Century Gothic"/>
                            <w:color w:val="auto"/>
                            <w:sz w:val="24"/>
                            <w:szCs w:val="24"/>
                          </w:rPr>
                          <w:t>OFERTA DE REFERENCIA PARA LA DESAGREGACIÓN DEL BUCLE LOCAL</w:t>
                        </w:r>
                        <w:bookmarkEnd w:id="43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37" w:name="_Toc170381693"/>
                        <w:r>
                          <w:rPr>
                            <w:rFonts w:ascii="Century Gothic" w:eastAsiaTheme="minorHAnsi" w:hAnsi="Century Gothic"/>
                            <w:color w:val="auto"/>
                            <w:sz w:val="24"/>
                            <w:szCs w:val="24"/>
                          </w:rPr>
                          <w:t>OFERTA DE REFERENCIA PARA LA DESAGREGACIÓN DEL BUCLE LOCAL</w:t>
                        </w:r>
                        <w:bookmarkEnd w:id="43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38" w:name="_Toc170381694"/>
                        <w:r>
                          <w:rPr>
                            <w:rFonts w:ascii="Century Gothic" w:eastAsiaTheme="minorHAnsi" w:hAnsi="Century Gothic"/>
                            <w:color w:val="auto"/>
                            <w:sz w:val="24"/>
                            <w:szCs w:val="24"/>
                          </w:rPr>
                          <w:t>OFERTA DE REFERENCIA PARA LA DESAGREGACIÓN DEL BUCLE LOCAL</w:t>
                        </w:r>
                        <w:bookmarkEnd w:id="43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39" w:name="_Toc170381695"/>
                        <w:r>
                          <w:rPr>
                            <w:rFonts w:ascii="Century Gothic" w:eastAsiaTheme="minorHAnsi" w:hAnsi="Century Gothic"/>
                            <w:color w:val="auto"/>
                            <w:sz w:val="24"/>
                            <w:szCs w:val="24"/>
                          </w:rPr>
                          <w:t>OFERTA DE REFERENCIA PARA LA DESAGREGACIÓN DEL BUCLE LOCAL</w:t>
                        </w:r>
                        <w:bookmarkEnd w:id="43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40" w:name="_Toc170381696"/>
                        <w:r>
                          <w:rPr>
                            <w:rFonts w:ascii="Century Gothic" w:eastAsiaTheme="minorHAnsi" w:hAnsi="Century Gothic"/>
                            <w:color w:val="auto"/>
                            <w:sz w:val="24"/>
                            <w:szCs w:val="24"/>
                          </w:rPr>
                          <w:t>OFERTA DE REFERENCIA PARA LA DESAGREGACIÓN DEL BUCLE LOCAL</w:t>
                        </w:r>
                        <w:bookmarkEnd w:id="44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41" w:name="_Toc170381697"/>
                        <w:r>
                          <w:rPr>
                            <w:rFonts w:ascii="Century Gothic" w:eastAsiaTheme="minorHAnsi" w:hAnsi="Century Gothic"/>
                            <w:color w:val="auto"/>
                            <w:sz w:val="24"/>
                            <w:szCs w:val="24"/>
                          </w:rPr>
                          <w:t>OFERTA DE REFERENCIA PARA LA DESAGREGACIÓN DEL BUCLE LOCAL</w:t>
                        </w:r>
                        <w:bookmarkEnd w:id="44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42" w:name="_Toc170381698"/>
                        <w:r>
                          <w:rPr>
                            <w:rFonts w:ascii="Century Gothic" w:eastAsiaTheme="minorHAnsi" w:hAnsi="Century Gothic"/>
                            <w:color w:val="auto"/>
                            <w:sz w:val="24"/>
                            <w:szCs w:val="24"/>
                          </w:rPr>
                          <w:t>OFERTA DE REFERENCIA PARA LA DESAGREGACIÓN DEL BUCLE LOCAL</w:t>
                        </w:r>
                        <w:bookmarkEnd w:id="44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43" w:name="_Toc170381699"/>
                        <w:r>
                          <w:rPr>
                            <w:rFonts w:ascii="Century Gothic" w:eastAsiaTheme="minorHAnsi" w:hAnsi="Century Gothic"/>
                            <w:color w:val="auto"/>
                            <w:sz w:val="24"/>
                            <w:szCs w:val="24"/>
                          </w:rPr>
                          <w:t>OFERTA DE REFERENCIA PARA LA DESAGREGACIÓN DEL BUCLE LOCAL</w:t>
                        </w:r>
                        <w:bookmarkEnd w:id="44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44" w:name="_Toc170381700"/>
                        <w:r>
                          <w:rPr>
                            <w:rFonts w:ascii="Century Gothic" w:eastAsiaTheme="minorHAnsi" w:hAnsi="Century Gothic"/>
                            <w:color w:val="auto"/>
                            <w:sz w:val="24"/>
                            <w:szCs w:val="24"/>
                          </w:rPr>
                          <w:t>OFERTA DE REFERENCIA PARA LA DESAGREGACIÓN DEL BUCLE LOCAL</w:t>
                        </w:r>
                        <w:bookmarkEnd w:id="44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45" w:name="_Toc170381701"/>
                        <w:r>
                          <w:rPr>
                            <w:rFonts w:ascii="Century Gothic" w:eastAsiaTheme="minorHAnsi" w:hAnsi="Century Gothic"/>
                            <w:color w:val="auto"/>
                            <w:sz w:val="24"/>
                            <w:szCs w:val="24"/>
                          </w:rPr>
                          <w:t>OFERTA DE REFERENCIA PARA LA DESAGREGACIÓN DEL BUCLE LOCAL</w:t>
                        </w:r>
                        <w:bookmarkEnd w:id="44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46" w:name="_Toc170381702"/>
                        <w:r>
                          <w:rPr>
                            <w:rFonts w:ascii="Century Gothic" w:eastAsiaTheme="minorHAnsi" w:hAnsi="Century Gothic"/>
                            <w:color w:val="auto"/>
                            <w:sz w:val="24"/>
                            <w:szCs w:val="24"/>
                          </w:rPr>
                          <w:t>OFERTA DE REFERENCIA PARA LA DESAGREGACIÓN DEL BUCLE LOCAL</w:t>
                        </w:r>
                        <w:bookmarkEnd w:id="44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47" w:name="_Toc170381703"/>
                        <w:r>
                          <w:rPr>
                            <w:rFonts w:ascii="Century Gothic" w:eastAsiaTheme="minorHAnsi" w:hAnsi="Century Gothic"/>
                            <w:color w:val="auto"/>
                            <w:sz w:val="24"/>
                            <w:szCs w:val="24"/>
                          </w:rPr>
                          <w:t>OFERTA DE REFERENCIA PARA LA DESAGREGACIÓN DEL BUCLE LOCAL</w:t>
                        </w:r>
                        <w:bookmarkEnd w:id="44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48" w:name="_Toc170381704"/>
                        <w:r>
                          <w:rPr>
                            <w:rFonts w:ascii="Century Gothic" w:eastAsiaTheme="minorHAnsi" w:hAnsi="Century Gothic"/>
                            <w:color w:val="auto"/>
                            <w:sz w:val="24"/>
                            <w:szCs w:val="24"/>
                          </w:rPr>
                          <w:t>OFERTA DE REFERENCIA PARA LA DESAGREGACIÓN DEL BUCLE LOCAL</w:t>
                        </w:r>
                        <w:bookmarkEnd w:id="44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49" w:name="_Toc170381705"/>
                        <w:r>
                          <w:rPr>
                            <w:rFonts w:ascii="Century Gothic" w:eastAsiaTheme="minorHAnsi" w:hAnsi="Century Gothic"/>
                            <w:color w:val="auto"/>
                            <w:sz w:val="24"/>
                            <w:szCs w:val="24"/>
                          </w:rPr>
                          <w:t>OFERTA DE REFERENCIA PARA LA DESAGREGACIÓN DEL BUCLE LOCAL</w:t>
                        </w:r>
                        <w:bookmarkEnd w:id="44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50" w:name="_Toc170381706"/>
                        <w:r>
                          <w:rPr>
                            <w:rFonts w:ascii="Century Gothic" w:eastAsiaTheme="minorHAnsi" w:hAnsi="Century Gothic"/>
                            <w:color w:val="auto"/>
                            <w:sz w:val="24"/>
                            <w:szCs w:val="24"/>
                          </w:rPr>
                          <w:t>OFERTA DE REFERENCIA PARA LA DESAGREGACIÓN DEL BUCLE LOCAL</w:t>
                        </w:r>
                        <w:bookmarkEnd w:id="45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51" w:name="_Toc170381707"/>
                        <w:r>
                          <w:rPr>
                            <w:rFonts w:ascii="Century Gothic" w:eastAsiaTheme="minorHAnsi" w:hAnsi="Century Gothic"/>
                            <w:color w:val="auto"/>
                            <w:sz w:val="24"/>
                            <w:szCs w:val="24"/>
                          </w:rPr>
                          <w:t>OFERTA DE REFERENCIA PARA LA DESAGREGACIÓN DEL BUCLE LOCAL</w:t>
                        </w:r>
                        <w:bookmarkEnd w:id="45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52" w:name="_Toc170381708"/>
                        <w:r>
                          <w:rPr>
                            <w:rFonts w:ascii="Century Gothic" w:eastAsiaTheme="minorHAnsi" w:hAnsi="Century Gothic"/>
                            <w:color w:val="auto"/>
                            <w:sz w:val="24"/>
                            <w:szCs w:val="24"/>
                          </w:rPr>
                          <w:t>OFERTA DE REFERENCIA PARA LA DESAGREGACIÓN DEL BUCLE LOCAL</w:t>
                        </w:r>
                        <w:bookmarkEnd w:id="45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53" w:name="_Toc170381709"/>
                        <w:r>
                          <w:rPr>
                            <w:rFonts w:ascii="Century Gothic" w:eastAsiaTheme="minorHAnsi" w:hAnsi="Century Gothic"/>
                            <w:color w:val="auto"/>
                            <w:sz w:val="24"/>
                            <w:szCs w:val="24"/>
                          </w:rPr>
                          <w:t>OFERTA DE REFERENCIA PARA LA DESAGREGACIÓN DEL BUCLE LOCAL</w:t>
                        </w:r>
                        <w:bookmarkEnd w:id="45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54" w:name="_Toc170381710"/>
                        <w:r>
                          <w:rPr>
                            <w:rFonts w:ascii="Century Gothic" w:eastAsiaTheme="minorHAnsi" w:hAnsi="Century Gothic"/>
                            <w:color w:val="auto"/>
                            <w:sz w:val="24"/>
                            <w:szCs w:val="24"/>
                          </w:rPr>
                          <w:t>OFERTA DE REFERENCIA PARA LA DESAGREGACIÓN DEL BUCLE LOCAL</w:t>
                        </w:r>
                        <w:bookmarkEnd w:id="45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55" w:name="_Toc170381711"/>
                        <w:r>
                          <w:rPr>
                            <w:rFonts w:ascii="Century Gothic" w:eastAsiaTheme="minorHAnsi" w:hAnsi="Century Gothic"/>
                            <w:color w:val="auto"/>
                            <w:sz w:val="24"/>
                            <w:szCs w:val="24"/>
                          </w:rPr>
                          <w:t>OFERTA DE REFERENCIA PARA LA DESAGREGACIÓN DEL BUCLE LOCAL</w:t>
                        </w:r>
                        <w:bookmarkEnd w:id="45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56" w:name="_Toc170381712"/>
                        <w:r>
                          <w:rPr>
                            <w:rFonts w:ascii="Century Gothic" w:eastAsiaTheme="minorHAnsi" w:hAnsi="Century Gothic"/>
                            <w:color w:val="auto"/>
                            <w:sz w:val="24"/>
                            <w:szCs w:val="24"/>
                          </w:rPr>
                          <w:t>OFERTA DE REFERENCIA PARA LA DESAGREGACIÓN DEL BUCLE LOCAL</w:t>
                        </w:r>
                        <w:bookmarkEnd w:id="45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57" w:name="_Toc170381713"/>
                        <w:r>
                          <w:rPr>
                            <w:rFonts w:ascii="Century Gothic" w:eastAsiaTheme="minorHAnsi" w:hAnsi="Century Gothic"/>
                            <w:color w:val="auto"/>
                            <w:sz w:val="24"/>
                            <w:szCs w:val="24"/>
                          </w:rPr>
                          <w:t>OFERTA DE REFERENCIA PARA LA DESAGREGACIÓN DEL BUCLE LOCAL</w:t>
                        </w:r>
                        <w:bookmarkEnd w:id="45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58" w:name="_Toc170381714"/>
                        <w:r>
                          <w:rPr>
                            <w:rFonts w:ascii="Century Gothic" w:eastAsiaTheme="minorHAnsi" w:hAnsi="Century Gothic"/>
                            <w:color w:val="auto"/>
                            <w:sz w:val="24"/>
                            <w:szCs w:val="24"/>
                          </w:rPr>
                          <w:t>OFERTA DE REFERENCIA PARA LA DESAGREGACIÓN DEL BUCLE LOCAL</w:t>
                        </w:r>
                        <w:bookmarkEnd w:id="45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59" w:name="_Toc170381715"/>
                        <w:r>
                          <w:rPr>
                            <w:rFonts w:ascii="Century Gothic" w:eastAsiaTheme="minorHAnsi" w:hAnsi="Century Gothic"/>
                            <w:color w:val="auto"/>
                            <w:sz w:val="24"/>
                            <w:szCs w:val="24"/>
                          </w:rPr>
                          <w:t>OFERTA DE REFERENCIA PARA LA DESAGREGACIÓN DEL BUCLE LOCAL</w:t>
                        </w:r>
                        <w:bookmarkEnd w:id="45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60" w:name="_Toc170381716"/>
                        <w:r>
                          <w:rPr>
                            <w:rFonts w:ascii="Century Gothic" w:eastAsiaTheme="minorHAnsi" w:hAnsi="Century Gothic"/>
                            <w:color w:val="auto"/>
                            <w:sz w:val="24"/>
                            <w:szCs w:val="24"/>
                          </w:rPr>
                          <w:t>OFERTA DE REFERENCIA PARA LA DESAGREGACIÓN DEL BUCLE LOCAL</w:t>
                        </w:r>
                        <w:bookmarkEnd w:id="46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61" w:name="_Toc170381717"/>
                        <w:r>
                          <w:rPr>
                            <w:rFonts w:ascii="Century Gothic" w:eastAsiaTheme="minorHAnsi" w:hAnsi="Century Gothic"/>
                            <w:color w:val="auto"/>
                            <w:sz w:val="24"/>
                            <w:szCs w:val="24"/>
                          </w:rPr>
                          <w:t>OFERTA DE REFERENCIA PARA LA DESAGREGACIÓN DEL BUCLE LOCAL</w:t>
                        </w:r>
                        <w:bookmarkEnd w:id="46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62" w:name="_Toc170381718"/>
                        <w:r>
                          <w:rPr>
                            <w:rFonts w:ascii="Century Gothic" w:eastAsiaTheme="minorHAnsi" w:hAnsi="Century Gothic"/>
                            <w:color w:val="auto"/>
                            <w:sz w:val="24"/>
                            <w:szCs w:val="24"/>
                          </w:rPr>
                          <w:t>OFERTA DE REFERENCIA PARA LA DESAGREGACIÓN DEL BUCLE LOCAL</w:t>
                        </w:r>
                        <w:bookmarkEnd w:id="46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63" w:name="_Toc170381719"/>
                        <w:r>
                          <w:rPr>
                            <w:rFonts w:ascii="Century Gothic" w:eastAsiaTheme="minorHAnsi" w:hAnsi="Century Gothic"/>
                            <w:color w:val="auto"/>
                            <w:sz w:val="24"/>
                            <w:szCs w:val="24"/>
                          </w:rPr>
                          <w:t>OFERTA DE REFERENCIA PARA LA DESAGREGACIÓN DEL BUCLE LOCAL</w:t>
                        </w:r>
                        <w:bookmarkEnd w:id="46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64" w:name="_Toc170381720"/>
                        <w:r>
                          <w:rPr>
                            <w:rFonts w:ascii="Century Gothic" w:eastAsiaTheme="minorHAnsi" w:hAnsi="Century Gothic"/>
                            <w:color w:val="auto"/>
                            <w:sz w:val="24"/>
                            <w:szCs w:val="24"/>
                          </w:rPr>
                          <w:t>OFERTA DE REFERENCIA PARA LA DESAGREGACIÓN DEL BUCLE LOCAL</w:t>
                        </w:r>
                        <w:bookmarkEnd w:id="46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65" w:name="_Toc170381721"/>
                        <w:r>
                          <w:rPr>
                            <w:rFonts w:ascii="Century Gothic" w:eastAsiaTheme="minorHAnsi" w:hAnsi="Century Gothic"/>
                            <w:color w:val="auto"/>
                            <w:sz w:val="24"/>
                            <w:szCs w:val="24"/>
                          </w:rPr>
                          <w:t>OFERTA DE REFERENCIA PARA LA DESAGREGACIÓN DEL BUCLE LOCAL</w:t>
                        </w:r>
                        <w:bookmarkEnd w:id="46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66" w:name="_Toc170381722"/>
                        <w:r>
                          <w:rPr>
                            <w:rFonts w:ascii="Century Gothic" w:eastAsiaTheme="minorHAnsi" w:hAnsi="Century Gothic"/>
                            <w:color w:val="auto"/>
                            <w:sz w:val="24"/>
                            <w:szCs w:val="24"/>
                          </w:rPr>
                          <w:t>OFERTA DE REFERENCIA PARA LA DESAGREGACIÓN DEL BUCLE LOCAL</w:t>
                        </w:r>
                        <w:bookmarkEnd w:id="46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67" w:name="_Toc170381723"/>
                        <w:r>
                          <w:rPr>
                            <w:rFonts w:ascii="Century Gothic" w:eastAsiaTheme="minorHAnsi" w:hAnsi="Century Gothic"/>
                            <w:color w:val="auto"/>
                            <w:sz w:val="24"/>
                            <w:szCs w:val="24"/>
                          </w:rPr>
                          <w:t>OFERTA DE REFERENCIA PARA LA DESAGREGACIÓN DEL BUCLE LOCAL</w:t>
                        </w:r>
                        <w:bookmarkEnd w:id="46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68" w:name="_Toc170381724"/>
                        <w:r>
                          <w:rPr>
                            <w:rFonts w:ascii="Century Gothic" w:eastAsiaTheme="minorHAnsi" w:hAnsi="Century Gothic"/>
                            <w:color w:val="auto"/>
                            <w:sz w:val="24"/>
                            <w:szCs w:val="24"/>
                          </w:rPr>
                          <w:t>OFERTA DE REFERENCIA PARA LA DESAGREGACIÓN DEL BUCLE LOCAL</w:t>
                        </w:r>
                        <w:bookmarkEnd w:id="46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69" w:name="_Toc170381725"/>
                        <w:r>
                          <w:rPr>
                            <w:rFonts w:ascii="Century Gothic" w:eastAsiaTheme="minorHAnsi" w:hAnsi="Century Gothic"/>
                            <w:color w:val="auto"/>
                            <w:sz w:val="24"/>
                            <w:szCs w:val="24"/>
                          </w:rPr>
                          <w:t>OFERTA DE REFERENCIA PARA LA DESAGREGACIÓN DEL BUCLE LOCAL</w:t>
                        </w:r>
                        <w:bookmarkEnd w:id="46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70" w:name="_Toc170381726"/>
                        <w:r>
                          <w:rPr>
                            <w:rFonts w:ascii="Century Gothic" w:eastAsiaTheme="minorHAnsi" w:hAnsi="Century Gothic"/>
                            <w:color w:val="auto"/>
                            <w:sz w:val="24"/>
                            <w:szCs w:val="24"/>
                          </w:rPr>
                          <w:t>OFERTA DE REFERENCIA PARA LA DESAGREGACIÓN DEL BUCLE LOCAL</w:t>
                        </w:r>
                        <w:bookmarkEnd w:id="47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71" w:name="_Toc170381727"/>
                        <w:r>
                          <w:rPr>
                            <w:rFonts w:ascii="Century Gothic" w:eastAsiaTheme="minorHAnsi" w:hAnsi="Century Gothic"/>
                            <w:color w:val="auto"/>
                            <w:sz w:val="24"/>
                            <w:szCs w:val="24"/>
                          </w:rPr>
                          <w:t>OFERTA DE REFERENCIA PARA LA DESAGREGACIÓN DEL BUCLE LOCAL</w:t>
                        </w:r>
                        <w:bookmarkEnd w:id="47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72" w:name="_Toc170381728"/>
                        <w:r>
                          <w:rPr>
                            <w:rFonts w:ascii="Century Gothic" w:eastAsiaTheme="minorHAnsi" w:hAnsi="Century Gothic"/>
                            <w:color w:val="auto"/>
                            <w:sz w:val="24"/>
                            <w:szCs w:val="24"/>
                          </w:rPr>
                          <w:t>OFERTA DE REFERENCIA PARA LA DESAGREGACIÓN DEL BUCLE LOCAL</w:t>
                        </w:r>
                        <w:bookmarkEnd w:id="47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73" w:name="_Toc170381729"/>
                        <w:r>
                          <w:rPr>
                            <w:rFonts w:ascii="Century Gothic" w:eastAsiaTheme="minorHAnsi" w:hAnsi="Century Gothic"/>
                            <w:color w:val="auto"/>
                            <w:sz w:val="24"/>
                            <w:szCs w:val="24"/>
                          </w:rPr>
                          <w:t>OFERTA DE REFERENCIA PARA LA DESAGREGACIÓN DEL BUCLE LOCAL</w:t>
                        </w:r>
                        <w:bookmarkEnd w:id="47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74" w:name="_Toc170381730"/>
                        <w:r>
                          <w:rPr>
                            <w:rFonts w:ascii="Century Gothic" w:eastAsiaTheme="minorHAnsi" w:hAnsi="Century Gothic"/>
                            <w:color w:val="auto"/>
                            <w:sz w:val="24"/>
                            <w:szCs w:val="24"/>
                          </w:rPr>
                          <w:t>OFERTA DE REFERENCIA PARA LA DESAGREGACIÓN DEL BUCLE LOCAL</w:t>
                        </w:r>
                        <w:bookmarkEnd w:id="47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75" w:name="_Toc170381731"/>
                        <w:r>
                          <w:rPr>
                            <w:rFonts w:ascii="Century Gothic" w:eastAsiaTheme="minorHAnsi" w:hAnsi="Century Gothic"/>
                            <w:color w:val="auto"/>
                            <w:sz w:val="24"/>
                            <w:szCs w:val="24"/>
                          </w:rPr>
                          <w:t>OFERTA DE REFERENCIA PARA LA DESAGREGACIÓN DEL BUCLE LOCAL</w:t>
                        </w:r>
                        <w:bookmarkEnd w:id="47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76" w:name="_Toc170381732"/>
                        <w:r>
                          <w:rPr>
                            <w:rFonts w:ascii="Century Gothic" w:eastAsiaTheme="minorHAnsi" w:hAnsi="Century Gothic"/>
                            <w:color w:val="auto"/>
                            <w:sz w:val="24"/>
                            <w:szCs w:val="24"/>
                          </w:rPr>
                          <w:t>OFERTA DE REFERENCIA PARA LA DESAGREGACIÓN DEL BUCLE LOCAL</w:t>
                        </w:r>
                        <w:bookmarkEnd w:id="47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77" w:name="_Toc170381733"/>
                        <w:r>
                          <w:rPr>
                            <w:rFonts w:ascii="Century Gothic" w:eastAsiaTheme="minorHAnsi" w:hAnsi="Century Gothic"/>
                            <w:color w:val="auto"/>
                            <w:sz w:val="24"/>
                            <w:szCs w:val="24"/>
                          </w:rPr>
                          <w:t>OFERTA DE REFERENCIA PARA LA DESAGREGACIÓN DEL BUCLE LOCAL</w:t>
                        </w:r>
                        <w:bookmarkEnd w:id="47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78" w:name="_Toc170381734"/>
                        <w:r>
                          <w:rPr>
                            <w:rFonts w:ascii="Century Gothic" w:eastAsiaTheme="minorHAnsi" w:hAnsi="Century Gothic"/>
                            <w:color w:val="auto"/>
                            <w:sz w:val="24"/>
                            <w:szCs w:val="24"/>
                          </w:rPr>
                          <w:t>OFERTA DE REFERENCIA PARA LA DESAGREGACIÓN DEL BUCLE LOCAL</w:t>
                        </w:r>
                        <w:bookmarkEnd w:id="47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79" w:name="_Toc170381735"/>
                        <w:r>
                          <w:rPr>
                            <w:rFonts w:ascii="Century Gothic" w:eastAsiaTheme="minorHAnsi" w:hAnsi="Century Gothic"/>
                            <w:color w:val="auto"/>
                            <w:sz w:val="24"/>
                            <w:szCs w:val="24"/>
                          </w:rPr>
                          <w:t>OFERTA DE REFERENCIA PARA LA DESAGREGACIÓN DEL BUCLE LOCAL</w:t>
                        </w:r>
                        <w:bookmarkEnd w:id="47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80" w:name="_Toc170381736"/>
                        <w:r>
                          <w:rPr>
                            <w:rFonts w:ascii="Century Gothic" w:eastAsiaTheme="minorHAnsi" w:hAnsi="Century Gothic"/>
                            <w:color w:val="auto"/>
                            <w:sz w:val="24"/>
                            <w:szCs w:val="24"/>
                          </w:rPr>
                          <w:t>OFERTA DE REFERENCIA PARA LA DESAGREGACIÓN DEL BUCLE LOCAL</w:t>
                        </w:r>
                        <w:bookmarkEnd w:id="48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81" w:name="_Toc170381737"/>
                        <w:r>
                          <w:rPr>
                            <w:rFonts w:ascii="Century Gothic" w:eastAsiaTheme="minorHAnsi" w:hAnsi="Century Gothic"/>
                            <w:color w:val="auto"/>
                            <w:sz w:val="24"/>
                            <w:szCs w:val="24"/>
                          </w:rPr>
                          <w:t>OFERTA DE REFERENCIA PARA LA DESAGREGACIÓN DEL BUCLE LOCAL</w:t>
                        </w:r>
                        <w:bookmarkEnd w:id="48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82" w:name="_Toc170381738"/>
                        <w:r>
                          <w:rPr>
                            <w:rFonts w:ascii="Century Gothic" w:eastAsiaTheme="minorHAnsi" w:hAnsi="Century Gothic"/>
                            <w:color w:val="auto"/>
                            <w:sz w:val="24"/>
                            <w:szCs w:val="24"/>
                          </w:rPr>
                          <w:t>OFERTA DE REFERENCIA PARA LA DESAGREGACIÓN DEL BUCLE LOCAL</w:t>
                        </w:r>
                        <w:bookmarkEnd w:id="48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83" w:name="_Toc170381739"/>
                        <w:r>
                          <w:rPr>
                            <w:rFonts w:ascii="Century Gothic" w:eastAsiaTheme="minorHAnsi" w:hAnsi="Century Gothic"/>
                            <w:color w:val="auto"/>
                            <w:sz w:val="24"/>
                            <w:szCs w:val="24"/>
                          </w:rPr>
                          <w:t>OFERTA DE REFERENCIA PARA LA DESAGREGACIÓN DEL BUCLE LOCAL</w:t>
                        </w:r>
                        <w:bookmarkEnd w:id="48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84" w:name="_Toc170381740"/>
                        <w:r>
                          <w:rPr>
                            <w:rFonts w:ascii="Century Gothic" w:eastAsiaTheme="minorHAnsi" w:hAnsi="Century Gothic"/>
                            <w:color w:val="auto"/>
                            <w:sz w:val="24"/>
                            <w:szCs w:val="24"/>
                          </w:rPr>
                          <w:t>OFERTA DE REFERENCIA PARA LA DESAGREGACIÓN DEL BUCLE LOCAL</w:t>
                        </w:r>
                        <w:bookmarkEnd w:id="48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85" w:name="_Toc170381741"/>
                        <w:r>
                          <w:rPr>
                            <w:rFonts w:ascii="Century Gothic" w:eastAsiaTheme="minorHAnsi" w:hAnsi="Century Gothic"/>
                            <w:color w:val="auto"/>
                            <w:sz w:val="24"/>
                            <w:szCs w:val="24"/>
                          </w:rPr>
                          <w:t>OFERTA DE REFERENCIA PARA LA DESAGREGACIÓN DEL BUCLE LOCAL</w:t>
                        </w:r>
                        <w:bookmarkEnd w:id="48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81326" w:rsidRDefault="000511F0" w:rsidP="00446018">
                        <w:pPr>
                          <w:pStyle w:val="Ttulo1"/>
                          <w:spacing w:line="18pt" w:lineRule="auto"/>
                          <w:jc w:val="center"/>
                          <w:rPr>
                            <w:rFonts w:ascii="Century Gothic" w:hAnsi="Century Gothic" w:cs="Times New Roman"/>
                            <w14:scene3d>
                              <w14:camera w14:prst="orthographicFront"/>
                              <w14:lightRig w14:rig="threePt" w14:dir="t">
                                <w14:rot w14:lat="0" w14:lon="0" w14:rev="0"/>
                              </w14:lightRig>
                            </w14:scene3d>
                          </w:rPr>
                        </w:pPr>
                        <w:bookmarkStart w:id="486" w:name="_Toc170381742"/>
                        <w:r>
                          <w:rPr>
                            <w:rFonts w:ascii="Century Gothic" w:hAnsi="Century Gothic" w:cs="Times New Roman"/>
                            <w14:scene3d>
                              <w14:camera w14:prst="orthographicFront"/>
                              <w14:lightRig w14:rig="threePt" w14:dir="t">
                                <w14:rot w14:lat="0" w14:lon="0" w14:rev="0"/>
                              </w14:lightRig>
                            </w14:scene3d>
                          </w:rPr>
                          <w:t>OFERTA DE REFERENCIA PARA LA DESAGREGACIÓN DEL BUCLE LOCAL</w:t>
                        </w:r>
                        <w:bookmarkEnd w:id="48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Pr="00E73C0B" w:rsidRDefault="000511F0" w:rsidP="0028714F">
                        <w:pPr>
                          <w:jc w:val="center"/>
                          <w:rPr>
                            <w:rFonts w:ascii="Century Gothic" w:hAnsi="Century Gothic"/>
                            <w:bCs/>
                            <w:sz w:val="18"/>
                            <w:szCs w:val="18"/>
                          </w:rPr>
                        </w:pPr>
                        <w:r>
                          <w:rPr>
                            <w:rFonts w:ascii="Century Gothic" w:hAnsi="Century Gothic"/>
                            <w:bCs/>
                            <w:sz w:val="18"/>
                            <w:szCs w:val="18"/>
                          </w:rPr>
                          <w:t>(RED NACIONAL)</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2025</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87" w:name="_Toc170381743"/>
                        <w:r>
                          <w:rPr>
                            <w:rFonts w:ascii="Century Gothic" w:eastAsiaTheme="minorHAnsi" w:hAnsi="Century Gothic"/>
                            <w:color w:val="auto"/>
                            <w:sz w:val="24"/>
                            <w:szCs w:val="24"/>
                          </w:rPr>
                          <w:t>OFERTA DE REFERENCIA PARA LA DESAGREGACIÓN DEL BUCLE LOCAL</w:t>
                        </w:r>
                        <w:bookmarkEnd w:id="48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88" w:name="_Toc170381744"/>
                        <w:r>
                          <w:rPr>
                            <w:rFonts w:ascii="Century Gothic" w:eastAsiaTheme="minorHAnsi" w:hAnsi="Century Gothic"/>
                            <w:color w:val="auto"/>
                            <w:sz w:val="24"/>
                            <w:szCs w:val="24"/>
                          </w:rPr>
                          <w:t>OFERTA DE REFERENCIA PARA LA DESAGREGACIÓN DEL BUCLE LOCAL</w:t>
                        </w:r>
                        <w:bookmarkEnd w:id="48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89" w:name="_Toc170381745"/>
                        <w:r>
                          <w:rPr>
                            <w:rFonts w:ascii="Century Gothic" w:eastAsiaTheme="minorHAnsi" w:hAnsi="Century Gothic"/>
                            <w:color w:val="auto"/>
                            <w:sz w:val="24"/>
                            <w:szCs w:val="24"/>
                          </w:rPr>
                          <w:t>OFERTA DE REFERENCIA PARA LA DESAGREGACIÓN DEL BUCLE LOCAL</w:t>
                        </w:r>
                        <w:bookmarkEnd w:id="48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90" w:name="_Toc170381746"/>
                        <w:r>
                          <w:rPr>
                            <w:rFonts w:ascii="Century Gothic" w:eastAsiaTheme="minorHAnsi" w:hAnsi="Century Gothic"/>
                            <w:color w:val="auto"/>
                            <w:sz w:val="24"/>
                            <w:szCs w:val="24"/>
                          </w:rPr>
                          <w:t>OFERTA DE REFERENCIA PARA LA DESAGREGACIÓN DEL BUCLE LOCAL</w:t>
                        </w:r>
                        <w:bookmarkEnd w:id="49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91" w:name="_Toc170381747"/>
                        <w:r>
                          <w:rPr>
                            <w:rFonts w:ascii="Century Gothic" w:eastAsiaTheme="minorHAnsi" w:hAnsi="Century Gothic"/>
                            <w:color w:val="auto"/>
                            <w:sz w:val="24"/>
                            <w:szCs w:val="24"/>
                          </w:rPr>
                          <w:t>OFERTA DE REFERENCIA PARA LA DESAGREGACIÓN DEL BUCLE LOCAL</w:t>
                        </w:r>
                        <w:bookmarkEnd w:id="49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92" w:name="_Toc170381748"/>
                        <w:r>
                          <w:rPr>
                            <w:rFonts w:ascii="Century Gothic" w:eastAsiaTheme="minorHAnsi" w:hAnsi="Century Gothic"/>
                            <w:color w:val="auto"/>
                            <w:sz w:val="24"/>
                            <w:szCs w:val="24"/>
                          </w:rPr>
                          <w:t>OFERTA DE REFERENCIA PARA LA DESAGREGACIÓN DEL BUCLE LOCAL</w:t>
                        </w:r>
                        <w:bookmarkEnd w:id="49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93" w:name="_Toc170381749"/>
                        <w:r>
                          <w:rPr>
                            <w:rFonts w:ascii="Century Gothic" w:eastAsiaTheme="minorHAnsi" w:hAnsi="Century Gothic"/>
                            <w:color w:val="auto"/>
                            <w:sz w:val="24"/>
                            <w:szCs w:val="24"/>
                          </w:rPr>
                          <w:t>OFERTA DE REFERENCIA PARA LA DESAGREGACIÓN DEL BUCLE LOCAL</w:t>
                        </w:r>
                        <w:bookmarkEnd w:id="49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94" w:name="_Toc170381750"/>
                        <w:r>
                          <w:rPr>
                            <w:rFonts w:ascii="Century Gothic" w:eastAsiaTheme="minorHAnsi" w:hAnsi="Century Gothic"/>
                            <w:color w:val="auto"/>
                            <w:sz w:val="24"/>
                            <w:szCs w:val="24"/>
                          </w:rPr>
                          <w:t>OFERTA DE REFERENCIA PARA LA DESAGREGACIÓN DEL BUCLE LOCAL</w:t>
                        </w:r>
                        <w:bookmarkEnd w:id="49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95" w:name="_Toc170381751"/>
                        <w:r>
                          <w:rPr>
                            <w:rFonts w:ascii="Century Gothic" w:eastAsiaTheme="minorHAnsi" w:hAnsi="Century Gothic"/>
                            <w:color w:val="auto"/>
                            <w:sz w:val="24"/>
                            <w:szCs w:val="24"/>
                          </w:rPr>
                          <w:t>OFERTA DE REFERENCIA PARA LA DESAGREGACIÓN DEL BUCLE LOCAL</w:t>
                        </w:r>
                        <w:bookmarkEnd w:id="49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96" w:name="_Toc170381752"/>
                        <w:r>
                          <w:rPr>
                            <w:rFonts w:ascii="Century Gothic" w:eastAsiaTheme="minorHAnsi" w:hAnsi="Century Gothic"/>
                            <w:color w:val="auto"/>
                            <w:sz w:val="24"/>
                            <w:szCs w:val="24"/>
                          </w:rPr>
                          <w:t>OFERTA DE REFERENCIA PARA LA DESAGREGACIÓN DEL BUCLE LOCAL</w:t>
                        </w:r>
                        <w:bookmarkEnd w:id="49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97" w:name="_Toc170381753"/>
                        <w:r>
                          <w:rPr>
                            <w:rFonts w:ascii="Century Gothic" w:eastAsiaTheme="minorHAnsi" w:hAnsi="Century Gothic"/>
                            <w:color w:val="auto"/>
                            <w:sz w:val="24"/>
                            <w:szCs w:val="24"/>
                          </w:rPr>
                          <w:t>OFERTA DE REFERENCIA PARA LA DESAGREGACIÓN DEL BUCLE LOCAL</w:t>
                        </w:r>
                        <w:bookmarkEnd w:id="49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98" w:name="_Toc170381754"/>
                        <w:r>
                          <w:rPr>
                            <w:rFonts w:ascii="Century Gothic" w:eastAsiaTheme="minorHAnsi" w:hAnsi="Century Gothic"/>
                            <w:color w:val="auto"/>
                            <w:sz w:val="24"/>
                            <w:szCs w:val="24"/>
                          </w:rPr>
                          <w:t>OFERTA DE REFERENCIA PARA LA DESAGREGACIÓN DEL BUCLE LOCAL</w:t>
                        </w:r>
                        <w:bookmarkEnd w:id="49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499" w:name="_Toc170381755"/>
                        <w:r>
                          <w:rPr>
                            <w:rFonts w:ascii="Century Gothic" w:eastAsiaTheme="minorHAnsi" w:hAnsi="Century Gothic"/>
                            <w:color w:val="auto"/>
                            <w:sz w:val="24"/>
                            <w:szCs w:val="24"/>
                          </w:rPr>
                          <w:t>OFERTA DE REFERENCIA PARA LA DESAGREGACIÓN DEL BUCLE LOCAL</w:t>
                        </w:r>
                        <w:bookmarkEnd w:id="49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00" w:name="_Toc170381756"/>
                        <w:r>
                          <w:rPr>
                            <w:rFonts w:ascii="Century Gothic" w:eastAsiaTheme="minorHAnsi" w:hAnsi="Century Gothic"/>
                            <w:color w:val="auto"/>
                            <w:sz w:val="24"/>
                            <w:szCs w:val="24"/>
                          </w:rPr>
                          <w:t>OFERTA DE REFERENCIA PARA LA DESAGREGACIÓN DEL BUCLE LOCAL</w:t>
                        </w:r>
                        <w:bookmarkEnd w:id="50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01" w:name="_Toc170381757"/>
                        <w:r>
                          <w:rPr>
                            <w:rFonts w:ascii="Century Gothic" w:eastAsiaTheme="minorHAnsi" w:hAnsi="Century Gothic"/>
                            <w:color w:val="auto"/>
                            <w:sz w:val="24"/>
                            <w:szCs w:val="24"/>
                          </w:rPr>
                          <w:t>OFERTA DE REFERENCIA PARA LA DESAGREGACIÓN DEL BUCLE LOCAL</w:t>
                        </w:r>
                        <w:bookmarkEnd w:id="50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02" w:name="_Toc170381758"/>
                        <w:r>
                          <w:rPr>
                            <w:rFonts w:ascii="Century Gothic" w:eastAsiaTheme="minorHAnsi" w:hAnsi="Century Gothic"/>
                            <w:color w:val="auto"/>
                            <w:sz w:val="24"/>
                            <w:szCs w:val="24"/>
                          </w:rPr>
                          <w:t>OFERTA DE REFERENCIA PARA LA DESAGREGACIÓN DEL BUCLE LOCAL</w:t>
                        </w:r>
                        <w:bookmarkEnd w:id="50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03" w:name="_Toc170381759"/>
                        <w:r>
                          <w:rPr>
                            <w:rFonts w:ascii="Century Gothic" w:eastAsiaTheme="minorHAnsi" w:hAnsi="Century Gothic"/>
                            <w:color w:val="auto"/>
                            <w:sz w:val="24"/>
                            <w:szCs w:val="24"/>
                          </w:rPr>
                          <w:t>OFERTA DE REFERENCIA PARA LA DESAGREGACIÓN DEL BUCLE LOCAL</w:t>
                        </w:r>
                        <w:bookmarkEnd w:id="50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04" w:name="_Toc170381760"/>
                        <w:r>
                          <w:rPr>
                            <w:rFonts w:ascii="Century Gothic" w:eastAsiaTheme="minorHAnsi" w:hAnsi="Century Gothic"/>
                            <w:color w:val="auto"/>
                            <w:sz w:val="24"/>
                            <w:szCs w:val="24"/>
                          </w:rPr>
                          <w:t>OFERTA DE REFERENCIA PARA LA DESAGREGACIÓN DEL BUCLE LOCAL</w:t>
                        </w:r>
                        <w:bookmarkEnd w:id="50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05" w:name="_Toc170381761"/>
                        <w:r>
                          <w:rPr>
                            <w:rFonts w:ascii="Century Gothic" w:eastAsiaTheme="minorHAnsi" w:hAnsi="Century Gothic"/>
                            <w:color w:val="auto"/>
                            <w:sz w:val="24"/>
                            <w:szCs w:val="24"/>
                          </w:rPr>
                          <w:t>OFERTA DE REFERENCIA PARA LA DESAGREGACIÓN DEL BUCLE LOCAL</w:t>
                        </w:r>
                        <w:bookmarkEnd w:id="50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06" w:name="_Toc170381762"/>
                        <w:r>
                          <w:rPr>
                            <w:rFonts w:ascii="Century Gothic" w:eastAsiaTheme="minorHAnsi" w:hAnsi="Century Gothic"/>
                            <w:color w:val="auto"/>
                            <w:sz w:val="24"/>
                            <w:szCs w:val="24"/>
                          </w:rPr>
                          <w:t>OFERTA DE REFERENCIA PARA LA DESAGREGACIÓN DEL BUCLE LOCAL</w:t>
                        </w:r>
                        <w:bookmarkEnd w:id="50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07" w:name="_Toc170381763"/>
                        <w:r>
                          <w:rPr>
                            <w:rFonts w:ascii="Century Gothic" w:eastAsiaTheme="minorHAnsi" w:hAnsi="Century Gothic"/>
                            <w:color w:val="auto"/>
                            <w:sz w:val="24"/>
                            <w:szCs w:val="24"/>
                          </w:rPr>
                          <w:t>OFERTA DE REFERENCIA PARA LA DESAGREGACIÓN DEL BUCLE LOCAL</w:t>
                        </w:r>
                        <w:bookmarkEnd w:id="50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08" w:name="_Toc170381764"/>
                        <w:r>
                          <w:rPr>
                            <w:rFonts w:ascii="Century Gothic" w:eastAsiaTheme="minorHAnsi" w:hAnsi="Century Gothic"/>
                            <w:color w:val="auto"/>
                            <w:sz w:val="24"/>
                            <w:szCs w:val="24"/>
                          </w:rPr>
                          <w:t>OFERTA DE REFERENCIA PARA LA DESAGREGACIÓN DEL BUCLE LOCAL</w:t>
                        </w:r>
                        <w:bookmarkEnd w:id="50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09" w:name="_Toc170381765"/>
                        <w:r>
                          <w:rPr>
                            <w:rFonts w:ascii="Century Gothic" w:eastAsiaTheme="minorHAnsi" w:hAnsi="Century Gothic"/>
                            <w:color w:val="auto"/>
                            <w:sz w:val="24"/>
                            <w:szCs w:val="24"/>
                          </w:rPr>
                          <w:t>OFERTA DE REFERENCIA PARA LA DESAGREGACIÓN DEL BUCLE LOCAL</w:t>
                        </w:r>
                        <w:bookmarkEnd w:id="50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10" w:name="_Toc170381766"/>
                        <w:r>
                          <w:rPr>
                            <w:rFonts w:ascii="Century Gothic" w:eastAsiaTheme="minorHAnsi" w:hAnsi="Century Gothic"/>
                            <w:color w:val="auto"/>
                            <w:sz w:val="24"/>
                            <w:szCs w:val="24"/>
                          </w:rPr>
                          <w:t>OFERTA DE REFERENCIA PARA LA DESAGREGACIÓN DEL BUCLE LOCAL</w:t>
                        </w:r>
                        <w:bookmarkEnd w:id="51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11" w:name="_Toc170381767"/>
                        <w:r>
                          <w:rPr>
                            <w:rFonts w:ascii="Century Gothic" w:eastAsiaTheme="minorHAnsi" w:hAnsi="Century Gothic"/>
                            <w:color w:val="auto"/>
                            <w:sz w:val="24"/>
                            <w:szCs w:val="24"/>
                          </w:rPr>
                          <w:t>OFERTA DE REFERENCIA PARA LA DESAGREGACIÓN DEL BUCLE LOCAL</w:t>
                        </w:r>
                        <w:bookmarkEnd w:id="51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12" w:name="_Toc170381768"/>
                        <w:r>
                          <w:rPr>
                            <w:rFonts w:ascii="Century Gothic" w:eastAsiaTheme="minorHAnsi" w:hAnsi="Century Gothic"/>
                            <w:color w:val="auto"/>
                            <w:sz w:val="24"/>
                            <w:szCs w:val="24"/>
                          </w:rPr>
                          <w:t>OFERTA DE REFERENCIA PARA LA DESAGREGACIÓN DEL BUCLE LOCAL</w:t>
                        </w:r>
                        <w:bookmarkEnd w:id="51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13" w:name="_Toc170381769"/>
                        <w:r>
                          <w:rPr>
                            <w:rFonts w:ascii="Century Gothic" w:eastAsiaTheme="minorHAnsi" w:hAnsi="Century Gothic"/>
                            <w:color w:val="auto"/>
                            <w:sz w:val="24"/>
                            <w:szCs w:val="24"/>
                          </w:rPr>
                          <w:t>OFERTA DE REFERENCIA PARA LA DESAGREGACIÓN DEL BUCLE LOCAL</w:t>
                        </w:r>
                        <w:bookmarkEnd w:id="51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14" w:name="_Toc170381770"/>
                        <w:r>
                          <w:rPr>
                            <w:rFonts w:ascii="Century Gothic" w:eastAsiaTheme="minorHAnsi" w:hAnsi="Century Gothic"/>
                            <w:color w:val="auto"/>
                            <w:sz w:val="24"/>
                            <w:szCs w:val="24"/>
                          </w:rPr>
                          <w:t>OFERTA DE REFERENCIA PARA LA DESAGREGACIÓN DEL BUCLE LOCAL</w:t>
                        </w:r>
                        <w:bookmarkEnd w:id="51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15" w:name="_Toc170381771"/>
                        <w:r>
                          <w:rPr>
                            <w:rFonts w:ascii="Century Gothic" w:eastAsiaTheme="minorHAnsi" w:hAnsi="Century Gothic"/>
                            <w:color w:val="auto"/>
                            <w:sz w:val="24"/>
                            <w:szCs w:val="24"/>
                          </w:rPr>
                          <w:t>OFERTA DE REFERENCIA PARA LA DESAGREGACIÓN DEL BUCLE LOCAL</w:t>
                        </w:r>
                        <w:bookmarkEnd w:id="51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16" w:name="_Toc170381772"/>
                        <w:r>
                          <w:rPr>
                            <w:rFonts w:ascii="Century Gothic" w:eastAsiaTheme="minorHAnsi" w:hAnsi="Century Gothic"/>
                            <w:color w:val="auto"/>
                            <w:sz w:val="24"/>
                            <w:szCs w:val="24"/>
                          </w:rPr>
                          <w:t>OFERTA DE REFERENCIA PARA LA DESAGREGACIÓN DEL BUCLE LOCAL</w:t>
                        </w:r>
                        <w:bookmarkEnd w:id="51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17" w:name="_Toc170381773"/>
                        <w:r>
                          <w:rPr>
                            <w:rFonts w:ascii="Century Gothic" w:eastAsiaTheme="minorHAnsi" w:hAnsi="Century Gothic"/>
                            <w:color w:val="auto"/>
                            <w:sz w:val="24"/>
                            <w:szCs w:val="24"/>
                          </w:rPr>
                          <w:t>OFERTA DE REFERENCIA PARA LA DESAGREGACIÓN DEL BUCLE LOCAL</w:t>
                        </w:r>
                        <w:bookmarkEnd w:id="51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18" w:name="_Toc170381774"/>
                        <w:r>
                          <w:rPr>
                            <w:rFonts w:ascii="Century Gothic" w:eastAsiaTheme="minorHAnsi" w:hAnsi="Century Gothic"/>
                            <w:color w:val="auto"/>
                            <w:sz w:val="24"/>
                            <w:szCs w:val="24"/>
                          </w:rPr>
                          <w:t>OFERTA DE REFERENCIA PARA LA DESAGREGACIÓN DEL BUCLE LOCAL</w:t>
                        </w:r>
                        <w:bookmarkEnd w:id="51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19" w:name="_Toc170381775"/>
                        <w:r>
                          <w:rPr>
                            <w:rFonts w:ascii="Century Gothic" w:eastAsiaTheme="minorHAnsi" w:hAnsi="Century Gothic"/>
                            <w:color w:val="auto"/>
                            <w:sz w:val="24"/>
                            <w:szCs w:val="24"/>
                          </w:rPr>
                          <w:t>OFERTA DE REFERENCIA PARA LA DESAGREGACIÓN DEL BUCLE LOCAL</w:t>
                        </w:r>
                        <w:bookmarkEnd w:id="51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20" w:name="_Toc170381776"/>
                        <w:r>
                          <w:rPr>
                            <w:rFonts w:ascii="Century Gothic" w:eastAsiaTheme="minorHAnsi" w:hAnsi="Century Gothic"/>
                            <w:color w:val="auto"/>
                            <w:sz w:val="24"/>
                            <w:szCs w:val="24"/>
                          </w:rPr>
                          <w:t>OFERTA DE REFERENCIA PARA LA DESAGREGACIÓN DEL BUCLE LOCAL</w:t>
                        </w:r>
                        <w:bookmarkEnd w:id="52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21" w:name="_Toc170381777"/>
                        <w:r>
                          <w:rPr>
                            <w:rFonts w:ascii="Century Gothic" w:eastAsiaTheme="minorHAnsi" w:hAnsi="Century Gothic"/>
                            <w:color w:val="auto"/>
                            <w:sz w:val="24"/>
                            <w:szCs w:val="24"/>
                          </w:rPr>
                          <w:t>OFERTA DE REFERENCIA PARA LA DESAGREGACIÓN DEL BUCLE LOCAL</w:t>
                        </w:r>
                        <w:bookmarkEnd w:id="52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22" w:name="_Toc170381778"/>
                        <w:r>
                          <w:rPr>
                            <w:rFonts w:ascii="Century Gothic" w:eastAsiaTheme="minorHAnsi" w:hAnsi="Century Gothic"/>
                            <w:color w:val="auto"/>
                            <w:sz w:val="24"/>
                            <w:szCs w:val="24"/>
                          </w:rPr>
                          <w:t>OFERTA DE REFERENCIA PARA LA DESAGREGACIÓN DEL BUCLE LOCAL</w:t>
                        </w:r>
                        <w:bookmarkEnd w:id="52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23" w:name="_Toc170381779"/>
                        <w:r>
                          <w:rPr>
                            <w:rFonts w:ascii="Century Gothic" w:eastAsiaTheme="minorHAnsi" w:hAnsi="Century Gothic"/>
                            <w:color w:val="auto"/>
                            <w:sz w:val="24"/>
                            <w:szCs w:val="24"/>
                          </w:rPr>
                          <w:t>OFERTA DE REFERENCIA PARA LA DESAGREGACIÓN DEL BUCLE LOCAL</w:t>
                        </w:r>
                        <w:bookmarkEnd w:id="52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24" w:name="_Toc170381780"/>
                        <w:r>
                          <w:rPr>
                            <w:rFonts w:ascii="Century Gothic" w:eastAsiaTheme="minorHAnsi" w:hAnsi="Century Gothic"/>
                            <w:color w:val="auto"/>
                            <w:sz w:val="24"/>
                            <w:szCs w:val="24"/>
                          </w:rPr>
                          <w:t>OFERTA DE REFERENCIA PARA LA DESAGREGACIÓN DEL BUCLE LOCAL</w:t>
                        </w:r>
                        <w:bookmarkEnd w:id="52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25" w:name="_Toc170381781"/>
                        <w:r>
                          <w:rPr>
                            <w:rFonts w:ascii="Century Gothic" w:eastAsiaTheme="minorHAnsi" w:hAnsi="Century Gothic"/>
                            <w:color w:val="auto"/>
                            <w:sz w:val="24"/>
                            <w:szCs w:val="24"/>
                          </w:rPr>
                          <w:t>OFERTA DE REFERENCIA PARA LA DESAGREGACIÓN DEL BUCLE LOCAL</w:t>
                        </w:r>
                        <w:bookmarkEnd w:id="52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26" w:name="_Toc170381782"/>
                        <w:r>
                          <w:rPr>
                            <w:rFonts w:ascii="Century Gothic" w:eastAsiaTheme="minorHAnsi" w:hAnsi="Century Gothic"/>
                            <w:color w:val="auto"/>
                            <w:sz w:val="24"/>
                            <w:szCs w:val="24"/>
                          </w:rPr>
                          <w:t>OFERTA DE REFERENCIA PARA LA DESAGREGACIÓN DEL BUCLE LOCAL</w:t>
                        </w:r>
                        <w:bookmarkEnd w:id="52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27" w:name="_Toc170381783"/>
                        <w:r>
                          <w:rPr>
                            <w:rFonts w:ascii="Century Gothic" w:eastAsiaTheme="minorHAnsi" w:hAnsi="Century Gothic"/>
                            <w:color w:val="auto"/>
                            <w:sz w:val="24"/>
                            <w:szCs w:val="24"/>
                          </w:rPr>
                          <w:t>OFERTA DE REFERENCIA PARA LA DESAGREGACIÓN DEL BUCLE LOCAL</w:t>
                        </w:r>
                        <w:bookmarkEnd w:id="52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28" w:name="_Toc170381784"/>
                        <w:r>
                          <w:rPr>
                            <w:rFonts w:ascii="Century Gothic" w:eastAsiaTheme="minorHAnsi" w:hAnsi="Century Gothic"/>
                            <w:color w:val="auto"/>
                            <w:sz w:val="24"/>
                            <w:szCs w:val="24"/>
                          </w:rPr>
                          <w:t>OFERTA DE REFERENCIA PARA LA DESAGREGACIÓN DEL BUCLE LOCAL</w:t>
                        </w:r>
                        <w:bookmarkEnd w:id="52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29" w:name="_Toc170381785"/>
                        <w:r>
                          <w:rPr>
                            <w:rFonts w:ascii="Century Gothic" w:eastAsiaTheme="minorHAnsi" w:hAnsi="Century Gothic"/>
                            <w:color w:val="auto"/>
                            <w:sz w:val="24"/>
                            <w:szCs w:val="24"/>
                          </w:rPr>
                          <w:t>OFERTA DE REFERENCIA PARA LA DESAGREGACIÓN DEL BUCLE LOCAL</w:t>
                        </w:r>
                        <w:bookmarkEnd w:id="52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30" w:name="_Toc170381786"/>
                        <w:r>
                          <w:rPr>
                            <w:rFonts w:ascii="Century Gothic" w:eastAsiaTheme="minorHAnsi" w:hAnsi="Century Gothic"/>
                            <w:color w:val="auto"/>
                            <w:sz w:val="24"/>
                            <w:szCs w:val="24"/>
                          </w:rPr>
                          <w:t>OFERTA DE REFERENCIA PARA LA DESAGREGACIÓN DEL BUCLE LOCAL</w:t>
                        </w:r>
                        <w:bookmarkEnd w:id="53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31" w:name="_Toc170381787"/>
                        <w:r>
                          <w:rPr>
                            <w:rFonts w:ascii="Century Gothic" w:eastAsiaTheme="minorHAnsi" w:hAnsi="Century Gothic"/>
                            <w:color w:val="auto"/>
                            <w:sz w:val="24"/>
                            <w:szCs w:val="24"/>
                          </w:rPr>
                          <w:t>OFERTA DE REFERENCIA PARA LA DESAGREGACIÓN DEL BUCLE LOCAL</w:t>
                        </w:r>
                        <w:bookmarkEnd w:id="53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32" w:name="_Toc170381788"/>
                        <w:r>
                          <w:rPr>
                            <w:rFonts w:ascii="Century Gothic" w:eastAsiaTheme="minorHAnsi" w:hAnsi="Century Gothic"/>
                            <w:color w:val="auto"/>
                            <w:sz w:val="24"/>
                            <w:szCs w:val="24"/>
                          </w:rPr>
                          <w:t>OFERTA DE REFERENCIA PARA LA DESAGREGACIÓN DEL BUCLE LOCAL</w:t>
                        </w:r>
                        <w:bookmarkEnd w:id="53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33" w:name="_Toc170381789"/>
                        <w:r>
                          <w:rPr>
                            <w:rFonts w:ascii="Century Gothic" w:eastAsiaTheme="minorHAnsi" w:hAnsi="Century Gothic"/>
                            <w:color w:val="auto"/>
                            <w:sz w:val="24"/>
                            <w:szCs w:val="24"/>
                          </w:rPr>
                          <w:t>OFERTA DE REFERENCIA PARA LA DESAGREGACIÓN DEL BUCLE LOCAL</w:t>
                        </w:r>
                        <w:bookmarkEnd w:id="533"/>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34" w:name="_Toc170381790"/>
                        <w:r>
                          <w:rPr>
                            <w:rFonts w:ascii="Century Gothic" w:eastAsiaTheme="minorHAnsi" w:hAnsi="Century Gothic"/>
                            <w:color w:val="auto"/>
                            <w:sz w:val="24"/>
                            <w:szCs w:val="24"/>
                          </w:rPr>
                          <w:t>OFERTA DE REFERENCIA PARA LA DESAGREGACIÓN DEL BUCLE LOCAL</w:t>
                        </w:r>
                        <w:bookmarkEnd w:id="53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35" w:name="_Toc170381791"/>
                        <w:r>
                          <w:rPr>
                            <w:rFonts w:ascii="Century Gothic" w:eastAsiaTheme="minorHAnsi" w:hAnsi="Century Gothic"/>
                            <w:color w:val="auto"/>
                            <w:sz w:val="24"/>
                            <w:szCs w:val="24"/>
                          </w:rPr>
                          <w:t>OFERTA DE REFERENCIA PARA LA DESAGREGACIÓN DEL BUCLE LOCAL</w:t>
                        </w:r>
                        <w:bookmarkEnd w:id="53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36" w:name="_Toc170381792"/>
                        <w:r>
                          <w:rPr>
                            <w:rFonts w:ascii="Century Gothic" w:eastAsiaTheme="minorHAnsi" w:hAnsi="Century Gothic"/>
                            <w:color w:val="auto"/>
                            <w:sz w:val="24"/>
                            <w:szCs w:val="24"/>
                          </w:rPr>
                          <w:t>OFERTA DE REFERENCIA PARA LA DESAGREGACIÓN DEL BUCLE LOCAL</w:t>
                        </w:r>
                        <w:bookmarkEnd w:id="536"/>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37" w:name="_Toc170381793"/>
                        <w:r>
                          <w:rPr>
                            <w:rFonts w:ascii="Century Gothic" w:eastAsiaTheme="minorHAnsi" w:hAnsi="Century Gothic"/>
                            <w:color w:val="auto"/>
                            <w:sz w:val="24"/>
                            <w:szCs w:val="24"/>
                          </w:rPr>
                          <w:t>OFERTA DE REFERENCIA PARA LA DESAGREGACIÓN DEL BUCLE LOCAL</w:t>
                        </w:r>
                        <w:bookmarkEnd w:id="53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38" w:name="_Toc170381794"/>
                        <w:r>
                          <w:rPr>
                            <w:rFonts w:ascii="Century Gothic" w:eastAsiaTheme="minorHAnsi" w:hAnsi="Century Gothic"/>
                            <w:color w:val="auto"/>
                            <w:sz w:val="24"/>
                            <w:szCs w:val="24"/>
                          </w:rPr>
                          <w:t>OFERTA DE REFERENCIA PARA LA DESAGREGACIÓN DEL BUCLE LOCAL</w:t>
                        </w:r>
                        <w:bookmarkEnd w:id="53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39" w:name="_Toc170381795"/>
                        <w:r>
                          <w:rPr>
                            <w:rFonts w:ascii="Century Gothic" w:eastAsiaTheme="minorHAnsi" w:hAnsi="Century Gothic"/>
                            <w:color w:val="auto"/>
                            <w:sz w:val="24"/>
                            <w:szCs w:val="24"/>
                          </w:rPr>
                          <w:t>OFERTA DE REFERENCIA PARA LA DESAGREGACIÓN DEL BUCLE LOCAL</w:t>
                        </w:r>
                        <w:bookmarkEnd w:id="539"/>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40" w:name="_Toc170381796"/>
                        <w:r>
                          <w:rPr>
                            <w:rFonts w:ascii="Century Gothic" w:eastAsiaTheme="minorHAnsi" w:hAnsi="Century Gothic"/>
                            <w:color w:val="auto"/>
                            <w:sz w:val="24"/>
                            <w:szCs w:val="24"/>
                          </w:rPr>
                          <w:t>OFERTA DE REFERENCIA PARA LA DESAGREGACIÓN DEL BUCLE LOCAL</w:t>
                        </w:r>
                        <w:bookmarkEnd w:id="54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41" w:name="_Toc170381797"/>
                        <w:r>
                          <w:rPr>
                            <w:rFonts w:ascii="Century Gothic" w:eastAsiaTheme="minorHAnsi" w:hAnsi="Century Gothic"/>
                            <w:color w:val="auto"/>
                            <w:sz w:val="24"/>
                            <w:szCs w:val="24"/>
                          </w:rPr>
                          <w:t>OFERTA DE REFERENCIA PARA LA DESAGREGACIÓN DEL BUCLE LOCAL</w:t>
                        </w:r>
                        <w:bookmarkEnd w:id="54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42" w:name="_Toc170381798"/>
                        <w:r>
                          <w:rPr>
                            <w:rFonts w:ascii="Century Gothic" w:eastAsiaTheme="minorHAnsi" w:hAnsi="Century Gothic"/>
                            <w:color w:val="auto"/>
                            <w:sz w:val="24"/>
                            <w:szCs w:val="24"/>
                          </w:rPr>
                          <w:t>OFERTA DE REFERENCIA PARA LA DESAGREGACIÓN DEL BUCLE LOCAL</w:t>
                        </w:r>
                        <w:bookmarkEnd w:id="34"/>
                        <w:bookmarkEnd w:id="542"/>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43" w:name="_Toc148692927"/>
                        <w:bookmarkStart w:id="544" w:name="_Toc148702173"/>
                        <w:bookmarkStart w:id="545" w:name="_Toc170381799"/>
                        <w:r>
                          <w:rPr>
                            <w:rFonts w:ascii="Century Gothic" w:eastAsiaTheme="minorHAnsi" w:hAnsi="Century Gothic"/>
                            <w:color w:val="auto"/>
                            <w:sz w:val="24"/>
                            <w:szCs w:val="24"/>
                          </w:rPr>
                          <w:t>OFERTA DE REFERENCIA PARA LA DESAGREGACIÓN DEL BUCLE LOCAL</w:t>
                        </w:r>
                        <w:bookmarkEnd w:id="543"/>
                        <w:bookmarkEnd w:id="544"/>
                        <w:bookmarkEnd w:id="54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46" w:name="_Toc148692928"/>
                        <w:bookmarkStart w:id="547" w:name="_Toc148702174"/>
                        <w:bookmarkStart w:id="548" w:name="_Toc170381800"/>
                        <w:r>
                          <w:rPr>
                            <w:rFonts w:ascii="Century Gothic" w:eastAsiaTheme="minorHAnsi" w:hAnsi="Century Gothic"/>
                            <w:color w:val="auto"/>
                            <w:sz w:val="24"/>
                            <w:szCs w:val="24"/>
                          </w:rPr>
                          <w:t>OFERTA DE REFERENCIA PARA LA DESAGREGACIÓN DEL BUCLE LOCAL</w:t>
                        </w:r>
                        <w:bookmarkEnd w:id="546"/>
                        <w:bookmarkEnd w:id="547"/>
                        <w:bookmarkEnd w:id="548"/>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49" w:name="_Toc148692929"/>
                        <w:bookmarkStart w:id="550" w:name="_Toc148702175"/>
                        <w:bookmarkStart w:id="551" w:name="_Toc170381801"/>
                        <w:r>
                          <w:rPr>
                            <w:rFonts w:ascii="Century Gothic" w:eastAsiaTheme="minorHAnsi" w:hAnsi="Century Gothic"/>
                            <w:color w:val="auto"/>
                            <w:sz w:val="24"/>
                            <w:szCs w:val="24"/>
                          </w:rPr>
                          <w:t>OFERTA DE REFERENCIA PARA LA DESAGREGACIÓN DEL BUCLE LOCAL</w:t>
                        </w:r>
                        <w:bookmarkEnd w:id="549"/>
                        <w:bookmarkEnd w:id="550"/>
                        <w:bookmarkEnd w:id="551"/>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52" w:name="_Toc148692930"/>
                        <w:bookmarkStart w:id="553" w:name="_Toc148702176"/>
                        <w:bookmarkStart w:id="554" w:name="_Toc170381802"/>
                        <w:r>
                          <w:rPr>
                            <w:rFonts w:ascii="Century Gothic" w:eastAsiaTheme="minorHAnsi" w:hAnsi="Century Gothic"/>
                            <w:color w:val="auto"/>
                            <w:sz w:val="24"/>
                            <w:szCs w:val="24"/>
                          </w:rPr>
                          <w:t>OFERTA DE REFERENCIA PARA LA DESAGREGACIÓN DEL BUCLE LOCAL</w:t>
                        </w:r>
                        <w:bookmarkEnd w:id="552"/>
                        <w:bookmarkEnd w:id="553"/>
                        <w:bookmarkEnd w:id="554"/>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2024</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55" w:name="_Toc148692931"/>
                        <w:bookmarkStart w:id="556" w:name="_Toc148702177"/>
                        <w:bookmarkStart w:id="557" w:name="_Toc170381803"/>
                        <w:r>
                          <w:rPr>
                            <w:rFonts w:ascii="Century Gothic" w:eastAsiaTheme="minorHAnsi" w:hAnsi="Century Gothic"/>
                            <w:color w:val="auto"/>
                            <w:sz w:val="24"/>
                            <w:szCs w:val="24"/>
                          </w:rPr>
                          <w:t>OFERTA DE REFERENCIA PARA LA DESAGREGACIÓN DEL BUCLE LOCAL</w:t>
                        </w:r>
                        <w:bookmarkEnd w:id="555"/>
                        <w:bookmarkEnd w:id="556"/>
                        <w:bookmarkEnd w:id="557"/>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58" w:name="_Toc148692932"/>
                        <w:bookmarkStart w:id="559" w:name="_Toc148702178"/>
                        <w:bookmarkStart w:id="560" w:name="_Toc170381804"/>
                        <w:r>
                          <w:rPr>
                            <w:rFonts w:ascii="Century Gothic" w:eastAsiaTheme="minorHAnsi" w:hAnsi="Century Gothic"/>
                            <w:color w:val="auto"/>
                            <w:sz w:val="24"/>
                            <w:szCs w:val="24"/>
                          </w:rPr>
                          <w:t>OFERTA DE REFERENCIA PARA LA DESAGREGACIÓN DEL BUCLE LOCAL</w:t>
                        </w:r>
                        <w:bookmarkEnd w:id="35"/>
                        <w:bookmarkEnd w:id="36"/>
                        <w:bookmarkEnd w:id="558"/>
                        <w:bookmarkEnd w:id="559"/>
                        <w:bookmarkEnd w:id="560"/>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2023</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p w:rsidR="000511F0" w:rsidRDefault="000511F0"/>
                      <w:p w:rsidR="000511F0" w:rsidRPr="003C01CA" w:rsidRDefault="000511F0" w:rsidP="00446018">
                        <w:pPr>
                          <w:pStyle w:val="Ttulo1"/>
                          <w:spacing w:line="18pt" w:lineRule="auto"/>
                          <w:jc w:val="center"/>
                          <w:rPr>
                            <w:rFonts w:ascii="Century Gothic" w:eastAsiaTheme="minorHAnsi" w:hAnsi="Century Gothic"/>
                            <w:color w:val="auto"/>
                            <w:sz w:val="24"/>
                            <w:szCs w:val="24"/>
                          </w:rPr>
                        </w:pPr>
                        <w:bookmarkStart w:id="561" w:name="_Toc93056250"/>
                        <w:bookmarkStart w:id="562" w:name="_Toc125393323"/>
                        <w:bookmarkStart w:id="563" w:name="_Toc148692933"/>
                        <w:bookmarkStart w:id="564" w:name="_Toc148702179"/>
                        <w:bookmarkStart w:id="565" w:name="_Toc170381805"/>
                        <w:r>
                          <w:rPr>
                            <w:rFonts w:ascii="Century Gothic" w:eastAsiaTheme="minorHAnsi" w:hAnsi="Century Gothic"/>
                            <w:color w:val="auto"/>
                            <w:sz w:val="24"/>
                            <w:szCs w:val="24"/>
                          </w:rPr>
                          <w:t>OFERTA DE REFERENCIA PARA LA DESAGREGACIÓN DEL BUCLE LOCAL</w:t>
                        </w:r>
                        <w:bookmarkEnd w:id="37"/>
                        <w:bookmarkEnd w:id="38"/>
                        <w:bookmarkEnd w:id="561"/>
                        <w:bookmarkEnd w:id="562"/>
                        <w:bookmarkEnd w:id="563"/>
                        <w:bookmarkEnd w:id="564"/>
                        <w:bookmarkEnd w:id="565"/>
                      </w:p>
                      <w:p w:rsidR="000511F0" w:rsidRDefault="000511F0" w:rsidP="00446018">
                        <w:pPr>
                          <w:pStyle w:val="Ttulo1"/>
                          <w:spacing w:line="18pt" w:lineRule="auto"/>
                          <w:jc w:val="center"/>
                          <w:rPr>
                            <w:rFonts w:ascii="Century Gothic" w:hAnsi="Century Gothic"/>
                            <w:sz w:val="24"/>
                            <w:szCs w:val="24"/>
                          </w:rPr>
                        </w:pPr>
                      </w:p>
                      <w:p w:rsidR="000511F0" w:rsidRDefault="000511F0" w:rsidP="0028714F">
                        <w:pPr>
                          <w:rPr>
                            <w:lang w:val="es-ES" w:eastAsia="es-ES"/>
                          </w:rPr>
                        </w:pPr>
                      </w:p>
                      <w:p w:rsidR="000511F0" w:rsidRPr="008A6791" w:rsidRDefault="000511F0" w:rsidP="0028714F">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28714F">
                        <w:pPr>
                          <w:rPr>
                            <w:lang w:val="es-ES" w:eastAsia="es-ES"/>
                          </w:rPr>
                        </w:pPr>
                      </w:p>
                      <w:p w:rsidR="000511F0" w:rsidRPr="0028714F" w:rsidRDefault="000511F0" w:rsidP="0028714F">
                        <w:pPr>
                          <w:rPr>
                            <w:lang w:val="es-ES" w:eastAsia="es-ES"/>
                          </w:rPr>
                        </w:pPr>
                      </w:p>
                      <w:p w:rsidR="000511F0" w:rsidRDefault="000511F0" w:rsidP="00446018">
                        <w:pPr>
                          <w:spacing w:line="18pt" w:lineRule="auto"/>
                          <w:jc w:val="center"/>
                          <w:rPr>
                            <w:rFonts w:ascii="Century Gothic" w:hAnsi="Century Gothic" w:cs="Arial"/>
                            <w:b/>
                            <w:sz w:val="24"/>
                            <w:szCs w:val="24"/>
                            <w:lang w:val="es-ES"/>
                          </w:rPr>
                        </w:pPr>
                        <w:r>
                          <w:rPr>
                            <w:rFonts w:ascii="Century Gothic" w:hAnsi="Century Gothic" w:cs="Arial"/>
                            <w:b/>
                            <w:sz w:val="24"/>
                            <w:szCs w:val="24"/>
                            <w:lang w:val="es-ES"/>
                          </w:rPr>
                          <w:t>2022</w:t>
                        </w: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Default="000511F0" w:rsidP="00446018">
                        <w:pPr>
                          <w:spacing w:line="18pt" w:lineRule="auto"/>
                          <w:jc w:val="center"/>
                          <w:rPr>
                            <w:rFonts w:ascii="Century Gothic" w:hAnsi="Century Gothic" w:cs="Arial"/>
                            <w:b/>
                            <w:sz w:val="24"/>
                            <w:szCs w:val="24"/>
                            <w:lang w:val="es-ES"/>
                          </w:rPr>
                        </w:pPr>
                      </w:p>
                      <w:p w:rsidR="000511F0" w:rsidRPr="002258A2" w:rsidRDefault="000511F0" w:rsidP="00446018">
                        <w:pPr>
                          <w:spacing w:line="18pt" w:lineRule="auto"/>
                          <w:jc w:val="center"/>
                          <w:rPr>
                            <w:rFonts w:ascii="Century Gothic" w:hAnsi="Century Gothic" w:cs="Arial"/>
                            <w:b/>
                            <w:sz w:val="24"/>
                            <w:szCs w:val="24"/>
                            <w:lang w:val="es-ES"/>
                          </w:rPr>
                        </w:pPr>
                      </w:p>
                    </wne:txbxContent>
                  </wp:txbx>
                  <wp:bodyPr rot="0" spcFirstLastPara="0" vertOverflow="overflow" horzOverflow="overflow" vert="horz" wrap="square" lIns="91440" tIns="45720" rIns="91440" bIns="45720" numCol="1" spcCol="0" rtlCol="0" fromWordArt="0" anchor="ctr" anchorCtr="0" forceAA="0" compatLnSpc="1">
                    <a:prstTxWarp prst="textNoShape">
                      <a:avLst/>
                    </a:prstTxWarp>
                  </wp:bodyPr>
                </wp:wsp>
              </a:graphicData>
            </a:graphic>
          </wp:inline>
        </w:drawing>
      </w:r>
      <w:bookmarkStart w:id="566" w:name="_Hlk90915244"/>
    </w:p>
    <w:p w:rsidR="00F645E5" w:rsidRDefault="00F645E5" w:rsidP="00035D2C">
      <w:pPr>
        <w:pStyle w:val="Texto1"/>
        <w:spacing w:after="10pt" w:line="13.80pt" w:lineRule="auto"/>
        <w:rPr>
          <w:rFonts w:ascii="Century Gothic" w:hAnsi="Century Gothic" w:cs="Arial"/>
          <w:b/>
        </w:rPr>
        <w:sectPr w:rsidR="00F645E5" w:rsidSect="00051C57">
          <w:headerReference w:type="even" r:id="rId12"/>
          <w:headerReference w:type="default" r:id="rId13"/>
          <w:footerReference w:type="even" r:id="rId14"/>
          <w:footerReference w:type="default" r:id="rId15"/>
          <w:headerReference w:type="first" r:id="rId16"/>
          <w:footerReference w:type="first" r:id="rId17"/>
          <w:footnotePr>
            <w:numRestart w:val="eachSect"/>
          </w:footnotePr>
          <w:type w:val="oddPage"/>
          <w:pgSz w:w="612pt" w:h="792pt" w:code="1"/>
          <w:pgMar w:top="70.90pt" w:right="70.90pt" w:bottom="70.90pt" w:left="70.90pt" w:header="35.45pt" w:footer="35.45pt" w:gutter="0pt"/>
          <w:cols w:space="35.40pt"/>
          <w:titlePg/>
          <w:docGrid w:linePitch="360"/>
        </w:sectPr>
      </w:pP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bookmarkStart w:id="567" w:name="_Toc170381806"/>
      <w:bookmarkStart w:id="568" w:name="_Toc375583281"/>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566"/>
      <w:r w:rsidRPr="006C2098">
        <w:rPr>
          <w:rFonts w:ascii="Century Gothic" w:eastAsia="Calibri" w:hAnsi="Century Gothic" w:cs="Times New Roman"/>
          <w:b/>
          <w:noProof/>
          <w:sz w:val="21"/>
          <w:szCs w:val="21"/>
        </w:rPr>
        <w:lastRenderedPageBreak/>
        <w:t>ÍNDICE</w:t>
      </w:r>
      <w:r w:rsidRPr="006C2098">
        <w:rPr>
          <w:rFonts w:ascii="Century Gothic" w:eastAsia="Calibri" w:hAnsi="Century Gothic" w:cs="Times New Roman"/>
          <w:noProof/>
          <w:webHidden/>
          <w:sz w:val="21"/>
          <w:szCs w:val="21"/>
        </w:rPr>
        <w:tab/>
        <w:t>3</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b/>
          <w:noProof/>
          <w:sz w:val="21"/>
          <w:szCs w:val="21"/>
        </w:rPr>
        <w:t>DEFINICIONES</w:t>
      </w:r>
      <w:r w:rsidRPr="006C2098">
        <w:rPr>
          <w:rFonts w:ascii="Century Gothic" w:eastAsia="Calibri" w:hAnsi="Century Gothic" w:cs="Times New Roman"/>
          <w:noProof/>
          <w:webHidden/>
          <w:sz w:val="21"/>
          <w:szCs w:val="21"/>
        </w:rPr>
        <w:tab/>
        <w:t>9</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b/>
          <w:noProof/>
          <w:sz w:val="21"/>
          <w:szCs w:val="21"/>
        </w:rPr>
        <w:t>ACRÓNIMOS</w:t>
      </w:r>
      <w:r w:rsidRPr="006C2098">
        <w:rPr>
          <w:rFonts w:ascii="Century Gothic" w:eastAsia="Calibri" w:hAnsi="Century Gothic" w:cs="Times New Roman"/>
          <w:noProof/>
          <w:webHidden/>
          <w:sz w:val="21"/>
          <w:szCs w:val="21"/>
        </w:rPr>
        <w:tab/>
        <w:t>16</w:t>
      </w:r>
    </w:p>
    <w:p w:rsidR="0031512C" w:rsidRPr="006C2098" w:rsidRDefault="0031512C" w:rsidP="0031512C">
      <w:pPr>
        <w:numPr>
          <w:ilvl w:val="0"/>
          <w:numId w:val="2"/>
        </w:numPr>
        <w:tabs>
          <w:tab w:val="start" w:pos="22pt"/>
          <w:tab w:val="end" w:leader="dot" w:pos="469.70pt"/>
        </w:tabs>
        <w:spacing w:after="5pt" w:line="13.20pt" w:lineRule="auto"/>
        <w:ind w:start="0pt" w:firstLine="0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14:scene3d>
            <w14:camera w14:prst="orthographicFront"/>
            <w14:lightRig w14:rig="threePt" w14:dir="t">
              <w14:rot w14:lat="0" w14:lon="0" w14:rev="0"/>
            </w14:lightRig>
          </w14:scene3d>
        </w:rPr>
        <w:t>1.</w:t>
      </w:r>
      <w:r>
        <w:rPr>
          <w:rFonts w:ascii="Century Gothic" w:eastAsia="Calibri" w:hAnsi="Century Gothic" w:cs="Times New Roman"/>
          <w:noProof/>
          <w:sz w:val="21"/>
          <w:szCs w:val="21"/>
          <w14:scene3d>
            <w14:camera w14:prst="orthographicFront"/>
            <w14:lightRig w14:rig="threePt" w14:dir="t">
              <w14:rot w14:lat="0" w14:lon="0" w14:rev="0"/>
            </w14:lightRig>
          </w14:scene3d>
        </w:rPr>
        <w:t>I</w:t>
      </w:r>
      <w:r w:rsidRPr="006C2098">
        <w:rPr>
          <w:rFonts w:ascii="Century Gothic" w:eastAsia="Calibri" w:hAnsi="Century Gothic" w:cs="Times New Roman"/>
          <w:noProof/>
          <w:sz w:val="21"/>
          <w:szCs w:val="21"/>
          <w14:scene3d>
            <w14:camera w14:prst="orthographicFront"/>
            <w14:lightRig w14:rig="threePt" w14:dir="t">
              <w14:rot w14:lat="0" w14:lon="0" w14:rev="0"/>
            </w14:lightRig>
          </w14:scene3d>
        </w:rPr>
        <w:t>ntroducción y Generales</w:t>
      </w:r>
      <w:r w:rsidRPr="006C2098">
        <w:rPr>
          <w:rFonts w:ascii="Century Gothic" w:eastAsia="Calibri" w:hAnsi="Century Gothic" w:cs="Arial"/>
          <w:noProof/>
          <w:webHidden/>
          <w:sz w:val="21"/>
          <w:szCs w:val="21"/>
        </w:rPr>
        <w:tab/>
        <w:t>18</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1.1 Prerrequisitos</w:t>
      </w:r>
      <w:r w:rsidRPr="006C2098">
        <w:rPr>
          <w:rFonts w:ascii="Century Gothic" w:eastAsia="Calibri" w:hAnsi="Century Gothic" w:cs="Times New Roman"/>
          <w:noProof/>
          <w:webHidden/>
          <w:sz w:val="21"/>
          <w:szCs w:val="21"/>
        </w:rPr>
        <w:tab/>
        <w:t>19</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w:t>
      </w:r>
      <w:r w:rsidRPr="006C2098">
        <w:rPr>
          <w:rFonts w:ascii="Century Gothic" w:eastAsia="Calibri" w:hAnsi="Century Gothic" w:cs="Times New Roman"/>
          <w:bCs/>
          <w:noProof/>
          <w:sz w:val="21"/>
          <w:szCs w:val="21"/>
        </w:rPr>
        <w:t>.2 Pronóstico de servicio.</w:t>
      </w:r>
      <w:r w:rsidRPr="006C2098">
        <w:rPr>
          <w:rFonts w:ascii="Century Gothic" w:eastAsia="Calibri" w:hAnsi="Century Gothic" w:cs="Times New Roman"/>
          <w:noProof/>
          <w:webHidden/>
          <w:sz w:val="21"/>
          <w:szCs w:val="21"/>
        </w:rPr>
        <w:tab/>
        <w:t>20</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1.3 Situación de la Acometida del Usuario Final</w:t>
      </w:r>
      <w:r w:rsidRPr="006C2098">
        <w:rPr>
          <w:rFonts w:ascii="Century Gothic" w:eastAsia="Calibri" w:hAnsi="Century Gothic" w:cs="Times New Roman"/>
          <w:noProof/>
          <w:webHidden/>
          <w:sz w:val="21"/>
          <w:szCs w:val="21"/>
        </w:rPr>
        <w:tab/>
        <w:t>21</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1.4 Disponibilidad de recursos</w:t>
      </w:r>
      <w:r w:rsidRPr="006C2098">
        <w:rPr>
          <w:rFonts w:ascii="Century Gothic" w:eastAsia="Calibri" w:hAnsi="Century Gothic" w:cs="Times New Roman"/>
          <w:noProof/>
          <w:webHidden/>
          <w:sz w:val="21"/>
          <w:szCs w:val="21"/>
        </w:rPr>
        <w:tab/>
        <w:t>22</w:t>
      </w:r>
    </w:p>
    <w:p w:rsidR="0031512C" w:rsidRPr="006C2098" w:rsidRDefault="0031512C" w:rsidP="0031512C">
      <w:pPr>
        <w:tabs>
          <w:tab w:val="start" w:pos="55pt"/>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1.4.1.</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Recursos de red asociados a los servicios</w:t>
      </w:r>
      <w:r w:rsidRPr="006C2098">
        <w:rPr>
          <w:rFonts w:ascii="Century Gothic" w:eastAsia="Calibri" w:hAnsi="Century Gothic" w:cs="Times New Roman"/>
          <w:noProof/>
          <w:webHidden/>
          <w:sz w:val="21"/>
          <w:szCs w:val="21"/>
        </w:rPr>
        <w:tab/>
        <w:t>22</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1.5 Causales de suspensión temporal en la instalación de los Servicios</w:t>
      </w:r>
      <w:r w:rsidRPr="006C2098">
        <w:rPr>
          <w:rFonts w:ascii="Century Gothic" w:eastAsia="Calibri" w:hAnsi="Century Gothic" w:cs="Times New Roman"/>
          <w:noProof/>
          <w:webHidden/>
          <w:sz w:val="21"/>
          <w:szCs w:val="21"/>
        </w:rPr>
        <w:tab/>
        <w:t>25</w:t>
      </w:r>
    </w:p>
    <w:p w:rsidR="0031512C" w:rsidRPr="006C2098" w:rsidRDefault="0031512C"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rPr>
        <w:t>1.5.1 Motivos de objeción</w:t>
      </w:r>
      <w:r w:rsidRPr="006C2098">
        <w:rPr>
          <w:rFonts w:ascii="Century Gothic" w:eastAsia="Calibri" w:hAnsi="Century Gothic" w:cs="Times New Roman"/>
          <w:noProof/>
          <w:webHidden/>
          <w:sz w:val="21"/>
          <w:szCs w:val="21"/>
        </w:rPr>
        <w:tab/>
        <w:t>26</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1.6 Procedimiento de calificación del bucle de cobre</w:t>
      </w:r>
      <w:r w:rsidRPr="006C2098">
        <w:rPr>
          <w:rFonts w:ascii="Century Gothic" w:eastAsia="Calibri" w:hAnsi="Century Gothic" w:cs="Times New Roman"/>
          <w:noProof/>
          <w:webHidden/>
          <w:sz w:val="21"/>
          <w:szCs w:val="21"/>
        </w:rPr>
        <w:tab/>
        <w:t>27</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1.7 Solicitudes masivas</w:t>
      </w:r>
      <w:r w:rsidRPr="006C2098">
        <w:rPr>
          <w:rFonts w:ascii="Century Gothic" w:eastAsia="Calibri" w:hAnsi="Century Gothic" w:cs="Times New Roman"/>
          <w:noProof/>
          <w:webHidden/>
          <w:sz w:val="21"/>
          <w:szCs w:val="21"/>
        </w:rPr>
        <w:tab/>
        <w:t>29</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1.8 Condiciones generales para la prestación de los Servicios</w:t>
      </w:r>
      <w:r w:rsidRPr="006C2098">
        <w:rPr>
          <w:rFonts w:ascii="Century Gothic" w:eastAsia="Calibri" w:hAnsi="Century Gothic" w:cs="Times New Roman"/>
          <w:noProof/>
          <w:webHidden/>
          <w:sz w:val="21"/>
          <w:szCs w:val="21"/>
        </w:rPr>
        <w:tab/>
        <w:t>30</w:t>
      </w:r>
    </w:p>
    <w:p w:rsidR="0031512C" w:rsidRPr="006C2098" w:rsidRDefault="0031512C" w:rsidP="0031512C">
      <w:pPr>
        <w:numPr>
          <w:ilvl w:val="0"/>
          <w:numId w:val="2"/>
        </w:numPr>
        <w:tabs>
          <w:tab w:val="start" w:pos="33pt"/>
          <w:tab w:val="end" w:leader="dot" w:pos="469.70pt"/>
        </w:tabs>
        <w:spacing w:after="5pt" w:line="13.20pt" w:lineRule="auto"/>
        <w:ind w:start="0pt" w:firstLine="0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14:scene3d>
            <w14:camera w14:prst="orthographicFront"/>
            <w14:lightRig w14:rig="threePt" w14:dir="t">
              <w14:rot w14:lat="0" w14:lon="0" w14:rev="0"/>
            </w14:lightRig>
          </w14:scene3d>
        </w:rPr>
        <w:t>1.9.</w:t>
      </w:r>
      <w:r>
        <w:rPr>
          <w:rFonts w:ascii="Century Gothic" w:eastAsia="Calibri" w:hAnsi="Century Gothic" w:cs="Times New Roman"/>
          <w:noProof/>
          <w:sz w:val="21"/>
          <w:szCs w:val="21"/>
          <w14:scene3d>
            <w14:camera w14:prst="orthographicFront"/>
            <w14:lightRig w14:rig="threePt" w14:dir="t">
              <w14:rot w14:lat="0" w14:lon="0" w14:rev="0"/>
            </w14:lightRig>
          </w14:scene3d>
        </w:rPr>
        <w:t xml:space="preserve"> </w:t>
      </w:r>
      <w:r w:rsidRPr="006C2098">
        <w:rPr>
          <w:rFonts w:ascii="Century Gothic" w:eastAsia="Calibri" w:hAnsi="Century Gothic" w:cs="Times New Roman"/>
          <w:noProof/>
          <w:sz w:val="21"/>
          <w:szCs w:val="21"/>
          <w14:scene3d>
            <w14:camera w14:prst="orthographicFront"/>
            <w14:lightRig w14:rig="threePt" w14:dir="t">
              <w14:rot w14:lat="0" w14:lon="0" w14:rev="0"/>
            </w14:lightRig>
          </w14:scene3d>
        </w:rPr>
        <w:t>Condiciones generales para la prestación de Servicios de Coubicación.</w:t>
      </w:r>
      <w:r w:rsidRPr="006C2098">
        <w:rPr>
          <w:rFonts w:ascii="Century Gothic" w:eastAsia="Calibri" w:hAnsi="Century Gothic" w:cs="Arial"/>
          <w:noProof/>
          <w:webHidden/>
          <w:sz w:val="21"/>
          <w:szCs w:val="21"/>
        </w:rPr>
        <w:tab/>
        <w:t>33</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1.10 Pruebas de Primera Aplicación</w:t>
      </w:r>
      <w:r w:rsidRPr="006C2098">
        <w:rPr>
          <w:rFonts w:ascii="Century Gothic" w:eastAsia="Calibri" w:hAnsi="Century Gothic" w:cs="Times New Roman"/>
          <w:noProof/>
          <w:webHidden/>
          <w:sz w:val="21"/>
          <w:szCs w:val="21"/>
        </w:rPr>
        <w:tab/>
        <w:t>34</w:t>
      </w:r>
    </w:p>
    <w:p w:rsidR="0031512C" w:rsidRPr="006C2098" w:rsidRDefault="0031512C" w:rsidP="0031512C">
      <w:pPr>
        <w:numPr>
          <w:ilvl w:val="0"/>
          <w:numId w:val="2"/>
        </w:numPr>
        <w:tabs>
          <w:tab w:val="start" w:pos="22pt"/>
          <w:tab w:val="end" w:leader="dot" w:pos="469.70pt"/>
        </w:tabs>
        <w:spacing w:after="5pt" w:line="13.20pt" w:lineRule="auto"/>
        <w:ind w:start="0pt" w:firstLine="0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14:scene3d>
            <w14:camera w14:prst="orthographicFront"/>
            <w14:lightRig w14:rig="threePt" w14:dir="t">
              <w14:rot w14:lat="0" w14:lon="0" w14:rev="0"/>
            </w14:lightRig>
          </w14:scene3d>
        </w:rPr>
        <w:t>2.</w:t>
      </w:r>
      <w:r w:rsidR="00230EF7">
        <w:rPr>
          <w:rFonts w:ascii="Century Gothic" w:eastAsia="Calibri" w:hAnsi="Century Gothic" w:cs="Times New Roman"/>
          <w:noProof/>
          <w:sz w:val="21"/>
          <w:szCs w:val="21"/>
          <w14:scene3d>
            <w14:camera w14:prst="orthographicFront"/>
            <w14:lightRig w14:rig="threePt" w14:dir="t">
              <w14:rot w14:lat="0" w14:lon="0" w14:rev="0"/>
            </w14:lightRig>
          </w14:scene3d>
        </w:rPr>
        <w:t xml:space="preserve"> </w:t>
      </w:r>
      <w:r w:rsidRPr="006C2098">
        <w:rPr>
          <w:rFonts w:ascii="Century Gothic" w:eastAsia="Calibri" w:hAnsi="Century Gothic" w:cs="Arial"/>
          <w:noProof/>
          <w:sz w:val="21"/>
          <w:szCs w:val="21"/>
        </w:rPr>
        <w:t>Información relacionada con los Servicios</w:t>
      </w:r>
      <w:r w:rsidRPr="006C2098">
        <w:rPr>
          <w:rFonts w:ascii="Century Gothic" w:eastAsia="Calibri" w:hAnsi="Century Gothic" w:cs="Arial"/>
          <w:noProof/>
          <w:webHidden/>
          <w:sz w:val="21"/>
          <w:szCs w:val="21"/>
        </w:rPr>
        <w:tab/>
        <w:t>34</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2.1 Procedimiento para solicitar usuario y contraseña para consultar información en la interfaz en la página en que se publique la OREDA y del SEG/SIPO</w:t>
      </w:r>
      <w:r w:rsidRPr="006C2098">
        <w:rPr>
          <w:rFonts w:ascii="Century Gothic" w:eastAsia="Calibri" w:hAnsi="Century Gothic" w:cs="Times New Roman"/>
          <w:noProof/>
          <w:webHidden/>
          <w:sz w:val="21"/>
          <w:szCs w:val="21"/>
        </w:rPr>
        <w:tab/>
        <w:t>36</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2.2 Procedimiento de acceso al Sistema Electrónico de Gestión/SIPO a través de la Red Privada Virtual VPN</w:t>
      </w:r>
      <w:r w:rsidRPr="006C2098">
        <w:rPr>
          <w:rFonts w:ascii="Century Gothic" w:eastAsia="Calibri" w:hAnsi="Century Gothic" w:cs="Times New Roman"/>
          <w:noProof/>
          <w:webHidden/>
          <w:sz w:val="21"/>
          <w:szCs w:val="21"/>
        </w:rPr>
        <w:tab/>
        <w:t>36</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2.3. Descripción de las bases de datos, documentos e información a la que se tiene acceso</w:t>
      </w:r>
      <w:r w:rsidRPr="006C2098">
        <w:rPr>
          <w:rFonts w:ascii="Century Gothic" w:eastAsia="Calibri" w:hAnsi="Century Gothic" w:cs="Times New Roman"/>
          <w:noProof/>
          <w:webHidden/>
          <w:sz w:val="21"/>
          <w:szCs w:val="21"/>
        </w:rPr>
        <w:tab/>
        <w:t>39</w:t>
      </w:r>
    </w:p>
    <w:p w:rsidR="0031512C" w:rsidRPr="006C2098" w:rsidRDefault="0031512C" w:rsidP="0031512C">
      <w:pPr>
        <w:tabs>
          <w:tab w:val="end" w:leader="dot" w:pos="469.70pt"/>
        </w:tabs>
        <w:spacing w:after="5pt" w:line="13.20pt" w:lineRule="auto"/>
        <w:ind w:start="11pt"/>
        <w:jc w:val="both"/>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2.4 Procedimiento de acceso a la información contenida en el sitio de Internet</w:t>
      </w:r>
      <w:r w:rsidRPr="006C2098">
        <w:rPr>
          <w:rFonts w:ascii="Century Gothic" w:eastAsia="Calibri" w:hAnsi="Century Gothic" w:cs="Times New Roman"/>
          <w:noProof/>
          <w:webHidden/>
          <w:sz w:val="21"/>
          <w:szCs w:val="21"/>
        </w:rPr>
        <w:tab/>
        <w:t>47</w:t>
      </w:r>
    </w:p>
    <w:p w:rsidR="0031512C" w:rsidRPr="006C2098" w:rsidRDefault="0031512C" w:rsidP="0031512C">
      <w:pPr>
        <w:tabs>
          <w:tab w:val="end" w:leader="dot" w:pos="469.70pt"/>
        </w:tabs>
        <w:spacing w:after="5pt" w:line="13.20pt" w:lineRule="auto"/>
        <w:ind w:start="11pt"/>
        <w:jc w:val="both"/>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2.5 Procedimiento de acceso a la información contenida en el SEG/SIPO</w:t>
      </w:r>
      <w:r w:rsidRPr="006C2098">
        <w:rPr>
          <w:rFonts w:ascii="Century Gothic" w:eastAsia="Calibri" w:hAnsi="Century Gothic" w:cs="Times New Roman"/>
          <w:noProof/>
          <w:webHidden/>
          <w:sz w:val="21"/>
          <w:szCs w:val="21"/>
        </w:rPr>
        <w:tab/>
        <w:t>47</w:t>
      </w:r>
    </w:p>
    <w:p w:rsidR="0031512C" w:rsidRPr="006C2098" w:rsidRDefault="0031512C" w:rsidP="0031512C">
      <w:pPr>
        <w:tabs>
          <w:tab w:val="start" w:pos="44pt"/>
          <w:tab w:val="end" w:leader="dot" w:pos="469.70pt"/>
        </w:tabs>
        <w:spacing w:after="5pt" w:line="13.20pt" w:lineRule="auto"/>
        <w:ind w:start="11pt"/>
        <w:jc w:val="both"/>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2.6</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Procedimiento de acceso a la información de forma presencial y a través de medio alternativo</w:t>
      </w:r>
      <w:r>
        <w:rPr>
          <w:rFonts w:ascii="Century Gothic" w:eastAsia="Calibri" w:hAnsi="Century Gothic" w:cs="Times New Roman"/>
          <w:noProof/>
          <w:sz w:val="21"/>
          <w:szCs w:val="21"/>
        </w:rPr>
        <w:t>………………………………………………………………………………………………….</w:t>
      </w:r>
      <w:r w:rsidRPr="006C2098">
        <w:rPr>
          <w:rFonts w:ascii="Century Gothic" w:eastAsia="Calibri" w:hAnsi="Century Gothic" w:cs="Times New Roman"/>
          <w:noProof/>
          <w:webHidden/>
          <w:sz w:val="21"/>
          <w:szCs w:val="21"/>
        </w:rPr>
        <w:t>47</w:t>
      </w:r>
    </w:p>
    <w:p w:rsidR="0031512C" w:rsidRPr="006C2098" w:rsidRDefault="0031512C" w:rsidP="0031512C">
      <w:pPr>
        <w:numPr>
          <w:ilvl w:val="0"/>
          <w:numId w:val="2"/>
        </w:numPr>
        <w:tabs>
          <w:tab w:val="start" w:pos="22pt"/>
          <w:tab w:val="end" w:leader="dot" w:pos="469.70pt"/>
        </w:tabs>
        <w:spacing w:after="5pt" w:line="13.20pt" w:lineRule="auto"/>
        <w:ind w:start="0pt" w:firstLine="0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14:scene3d>
            <w14:camera w14:prst="orthographicFront"/>
            <w14:lightRig w14:rig="threePt" w14:dir="t">
              <w14:rot w14:lat="0" w14:lon="0" w14:rev="0"/>
            </w14:lightRig>
          </w14:scene3d>
        </w:rPr>
        <w:t>3.</w:t>
      </w:r>
      <w:r w:rsidRPr="006C2098">
        <w:rPr>
          <w:rFonts w:ascii="Century Gothic" w:eastAsia="Calibri" w:hAnsi="Century Gothic" w:cs="Arial"/>
          <w:noProof/>
          <w:sz w:val="21"/>
          <w:szCs w:val="21"/>
        </w:rPr>
        <w:t xml:space="preserve"> Servicio de Acceso Indirecto al Bucle Local</w:t>
      </w:r>
      <w:r w:rsidRPr="006C2098">
        <w:rPr>
          <w:rFonts w:ascii="Century Gothic" w:eastAsia="Calibri" w:hAnsi="Century Gothic" w:cs="Arial"/>
          <w:noProof/>
          <w:webHidden/>
          <w:sz w:val="21"/>
          <w:szCs w:val="21"/>
        </w:rPr>
        <w:tab/>
        <w:t>48</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3.1 Descripción del Servicio de Acceso Indirecto al Bucle Local</w:t>
      </w:r>
      <w:r w:rsidRPr="006C2098">
        <w:rPr>
          <w:rFonts w:ascii="Century Gothic" w:eastAsia="Calibri" w:hAnsi="Century Gothic" w:cs="Times New Roman"/>
          <w:noProof/>
          <w:webHidden/>
          <w:sz w:val="21"/>
          <w:szCs w:val="21"/>
        </w:rPr>
        <w:tab/>
        <w:t>48</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3.2 Módem y ONT del Usuario Final para SAIB</w:t>
      </w:r>
      <w:r w:rsidRPr="006C2098">
        <w:rPr>
          <w:rFonts w:ascii="Century Gothic" w:eastAsia="Calibri" w:hAnsi="Century Gothic" w:cs="Times New Roman"/>
          <w:noProof/>
          <w:webHidden/>
          <w:sz w:val="21"/>
          <w:szCs w:val="21"/>
        </w:rPr>
        <w:tab/>
        <w:t>53</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3.4 Procedimiento de pruebas de entrega del SAIB</w:t>
      </w:r>
      <w:r w:rsidRPr="006C2098">
        <w:rPr>
          <w:rFonts w:ascii="Century Gothic" w:eastAsia="Calibri" w:hAnsi="Century Gothic" w:cs="Times New Roman"/>
          <w:noProof/>
          <w:webHidden/>
          <w:sz w:val="21"/>
          <w:szCs w:val="21"/>
        </w:rPr>
        <w:tab/>
        <w:t>61</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3.5 Puntos de Concentración para el SAIB a través del Servicio de Concentración y Distribución (SCyD)</w:t>
      </w:r>
      <w:r w:rsidRPr="006C2098">
        <w:rPr>
          <w:rFonts w:ascii="Century Gothic" w:eastAsia="Calibri" w:hAnsi="Century Gothic" w:cs="Times New Roman"/>
          <w:noProof/>
          <w:webHidden/>
          <w:sz w:val="21"/>
          <w:szCs w:val="21"/>
        </w:rPr>
        <w:tab/>
        <w:t>62</w:t>
      </w:r>
    </w:p>
    <w:p w:rsidR="0031512C" w:rsidRPr="006C2098" w:rsidRDefault="0031512C" w:rsidP="0031512C">
      <w:pPr>
        <w:numPr>
          <w:ilvl w:val="0"/>
          <w:numId w:val="2"/>
        </w:numPr>
        <w:tabs>
          <w:tab w:val="start" w:pos="22pt"/>
          <w:tab w:val="end" w:leader="dot" w:pos="469.70pt"/>
        </w:tabs>
        <w:spacing w:after="5pt" w:line="13.20pt" w:lineRule="auto"/>
        <w:ind w:start="0pt" w:firstLine="0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14:scene3d>
            <w14:camera w14:prst="orthographicFront"/>
            <w14:lightRig w14:rig="threePt" w14:dir="t">
              <w14:rot w14:lat="0" w14:lon="0" w14:rev="0"/>
            </w14:lightRig>
          </w14:scene3d>
        </w:rPr>
        <w:t>4.</w:t>
      </w:r>
      <w:r w:rsidR="00230EF7">
        <w:rPr>
          <w:rFonts w:ascii="Century Gothic" w:eastAsia="Calibri" w:hAnsi="Century Gothic" w:cs="Times New Roman"/>
          <w:noProof/>
          <w:sz w:val="21"/>
          <w:szCs w:val="21"/>
          <w14:scene3d>
            <w14:camera w14:prst="orthographicFront"/>
            <w14:lightRig w14:rig="threePt" w14:dir="t">
              <w14:rot w14:lat="0" w14:lon="0" w14:rev="0"/>
            </w14:lightRig>
          </w14:scene3d>
        </w:rPr>
        <w:t xml:space="preserve"> </w:t>
      </w:r>
      <w:r w:rsidRPr="006C2098">
        <w:rPr>
          <w:rFonts w:ascii="Century Gothic" w:eastAsia="Calibri" w:hAnsi="Century Gothic" w:cs="Arial"/>
          <w:bCs/>
          <w:noProof/>
          <w:sz w:val="21"/>
          <w:szCs w:val="21"/>
        </w:rPr>
        <w:t>Servicios de Desagregación</w:t>
      </w:r>
      <w:r w:rsidRPr="006C2098">
        <w:rPr>
          <w:rFonts w:ascii="Century Gothic" w:eastAsia="Calibri" w:hAnsi="Century Gothic" w:cs="Arial"/>
          <w:noProof/>
          <w:webHidden/>
          <w:sz w:val="21"/>
          <w:szCs w:val="21"/>
        </w:rPr>
        <w:tab/>
        <w:t>65</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lastRenderedPageBreak/>
        <w:t>4.1 Servicio de Desagregación Total del Bucle Local y Servicio de Desagregación Compartida del Bucle Local</w:t>
      </w:r>
      <w:r w:rsidRPr="006C2098">
        <w:rPr>
          <w:rFonts w:ascii="Century Gothic" w:eastAsia="Calibri" w:hAnsi="Century Gothic" w:cs="Times New Roman"/>
          <w:noProof/>
          <w:webHidden/>
          <w:sz w:val="21"/>
          <w:szCs w:val="21"/>
        </w:rPr>
        <w:tab/>
        <w:t>67</w:t>
      </w:r>
    </w:p>
    <w:p w:rsidR="0031512C" w:rsidRPr="00230EF7" w:rsidRDefault="0031512C"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230EF7">
        <w:rPr>
          <w:rFonts w:ascii="Century Gothic" w:eastAsia="Calibri" w:hAnsi="Century Gothic" w:cs="Times New Roman"/>
          <w:noProof/>
          <w:sz w:val="21"/>
          <w:szCs w:val="21"/>
        </w:rPr>
        <w:t>4.1Servicio de Desagregación Total del Bucle Local</w:t>
      </w:r>
      <w:r w:rsidRPr="00230EF7">
        <w:rPr>
          <w:rFonts w:ascii="Century Gothic" w:eastAsia="Calibri" w:hAnsi="Century Gothic" w:cs="Times New Roman"/>
          <w:noProof/>
          <w:webHidden/>
          <w:sz w:val="21"/>
          <w:szCs w:val="21"/>
        </w:rPr>
        <w:tab/>
        <w:t>67</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4.3  Procedimiento para la realización de pruebas de la entrega del SDTBL</w:t>
      </w:r>
      <w:r w:rsidRPr="006C2098">
        <w:rPr>
          <w:rFonts w:ascii="Century Gothic" w:eastAsia="Calibri" w:hAnsi="Century Gothic" w:cs="Times New Roman"/>
          <w:noProof/>
          <w:webHidden/>
          <w:sz w:val="21"/>
          <w:szCs w:val="21"/>
        </w:rPr>
        <w:tab/>
        <w:t>80</w:t>
      </w:r>
    </w:p>
    <w:p w:rsidR="0031512C" w:rsidRPr="006C2098" w:rsidRDefault="0031512C" w:rsidP="0031512C">
      <w:pPr>
        <w:tabs>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lang w:val="es-ES" w:eastAsia="es-ES"/>
          <w14:scene3d>
            <w14:camera w14:prst="orthographicFront"/>
            <w14:lightRig w14:rig="threePt" w14:dir="t">
              <w14:rot w14:lat="0" w14:lon="0" w14:rev="0"/>
            </w14:lightRig>
          </w14:scene3d>
        </w:rPr>
        <w:t>6. Procedimientos de Contratación, Plazos de Entrega y Parámetros de Calidad para SAIB</w:t>
      </w:r>
      <w:r w:rsidR="003E0E9D">
        <w:rPr>
          <w:rFonts w:ascii="Century Gothic" w:eastAsia="Calibri" w:hAnsi="Century Gothic" w:cs="Arial"/>
          <w:noProof/>
          <w:sz w:val="21"/>
          <w:szCs w:val="21"/>
          <w:lang w:val="es-ES" w:eastAsia="es-ES"/>
          <w14:scene3d>
            <w14:camera w14:prst="orthographicFront"/>
            <w14:lightRig w14:rig="threePt" w14:dir="t">
              <w14:rot w14:lat="0" w14:lon="0" w14:rev="0"/>
            </w14:lightRig>
          </w14:scene3d>
        </w:rPr>
        <w:t xml:space="preserve"> y el</w:t>
      </w:r>
      <w:r w:rsidRPr="006C2098">
        <w:rPr>
          <w:rFonts w:ascii="Century Gothic" w:eastAsia="Calibri" w:hAnsi="Century Gothic" w:cs="Arial"/>
          <w:noProof/>
          <w:sz w:val="21"/>
          <w:szCs w:val="21"/>
          <w:lang w:val="es-ES" w:eastAsia="es-ES"/>
          <w14:scene3d>
            <w14:camera w14:prst="orthographicFront"/>
            <w14:lightRig w14:rig="threePt" w14:dir="t">
              <w14:rot w14:lat="0" w14:lon="0" w14:rev="0"/>
            </w14:lightRig>
          </w14:scene3d>
        </w:rPr>
        <w:t>SDTBL</w:t>
      </w:r>
      <w:r w:rsidRPr="006C2098">
        <w:rPr>
          <w:rFonts w:ascii="Century Gothic" w:eastAsia="Calibri" w:hAnsi="Century Gothic" w:cs="Arial"/>
          <w:noProof/>
          <w:webHidden/>
          <w:sz w:val="21"/>
          <w:szCs w:val="21"/>
        </w:rPr>
        <w:tab/>
        <w:t>87</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Times New Roman" w:hAnsi="Century Gothic" w:cs="Arial"/>
          <w:noProof/>
          <w:sz w:val="21"/>
          <w:szCs w:val="21"/>
        </w:rPr>
        <w:t>6.1 Procedimientos de contratación, modificación y baja</w:t>
      </w:r>
      <w:r w:rsidRPr="006C2098">
        <w:rPr>
          <w:rFonts w:ascii="Century Gothic" w:eastAsia="Calibri" w:hAnsi="Century Gothic" w:cs="Times New Roman"/>
          <w:noProof/>
          <w:webHidden/>
          <w:sz w:val="21"/>
          <w:szCs w:val="21"/>
        </w:rPr>
        <w:tab/>
        <w:t>87</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Times New Roman" w:hAnsi="Century Gothic" w:cs="Arial"/>
          <w:noProof/>
          <w:sz w:val="21"/>
          <w:szCs w:val="21"/>
        </w:rPr>
        <w:t>6.2 Plazos de Entrega</w:t>
      </w:r>
      <w:r w:rsidRPr="006C2098">
        <w:rPr>
          <w:rFonts w:ascii="Century Gothic" w:eastAsia="Calibri" w:hAnsi="Century Gothic" w:cs="Times New Roman"/>
          <w:noProof/>
          <w:webHidden/>
          <w:sz w:val="21"/>
          <w:szCs w:val="21"/>
        </w:rPr>
        <w:tab/>
        <w:t>97</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Times New Roman" w:hAnsi="Century Gothic" w:cs="Arial"/>
          <w:noProof/>
          <w:sz w:val="21"/>
          <w:szCs w:val="21"/>
        </w:rPr>
        <w:t>6.3 Parámetros e indicadores de calidad</w:t>
      </w:r>
      <w:r w:rsidRPr="006C2098">
        <w:rPr>
          <w:rFonts w:ascii="Century Gothic" w:eastAsia="Calibri" w:hAnsi="Century Gothic" w:cs="Times New Roman"/>
          <w:noProof/>
          <w:webHidden/>
          <w:sz w:val="21"/>
          <w:szCs w:val="21"/>
        </w:rPr>
        <w:tab/>
        <w:t>97</w:t>
      </w:r>
    </w:p>
    <w:p w:rsidR="0031512C" w:rsidRPr="006C2098" w:rsidRDefault="0031512C" w:rsidP="0031512C">
      <w:pPr>
        <w:tabs>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lang w:val="es-ES" w:eastAsia="es-ES"/>
          <w14:scene3d>
            <w14:camera w14:prst="orthographicFront"/>
            <w14:lightRig w14:rig="threePt" w14:dir="t">
              <w14:rot w14:lat="0" w14:lon="0" w14:rev="0"/>
            </w14:lightRig>
          </w14:scene3d>
        </w:rPr>
        <w:t>7. Servicio de Desagregación Total de Fibra Óptica (SDTFO)</w:t>
      </w:r>
      <w:r w:rsidRPr="006C2098">
        <w:rPr>
          <w:rFonts w:ascii="Century Gothic" w:eastAsia="Calibri" w:hAnsi="Century Gothic" w:cs="Arial"/>
          <w:noProof/>
          <w:webHidden/>
          <w:sz w:val="21"/>
          <w:szCs w:val="21"/>
        </w:rPr>
        <w:tab/>
        <w:t>100</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Times New Roman" w:hAnsi="Century Gothic" w:cs="Arial"/>
          <w:noProof/>
          <w:sz w:val="21"/>
          <w:szCs w:val="21"/>
        </w:rPr>
        <w:t>7.1 Procedimiento de contratación y entrega del SDTFO (alta)</w:t>
      </w:r>
      <w:r w:rsidRPr="006C2098">
        <w:rPr>
          <w:rFonts w:ascii="Century Gothic" w:eastAsia="Calibri" w:hAnsi="Century Gothic" w:cs="Times New Roman"/>
          <w:noProof/>
          <w:webHidden/>
          <w:sz w:val="21"/>
          <w:szCs w:val="21"/>
        </w:rPr>
        <w:tab/>
        <w:t>101</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Times New Roman" w:hAnsi="Century Gothic" w:cs="Arial"/>
          <w:noProof/>
          <w:sz w:val="21"/>
          <w:szCs w:val="21"/>
        </w:rPr>
        <w:t>7.2 Plazos de Entrega del SDTFO</w:t>
      </w:r>
      <w:r w:rsidRPr="006C2098">
        <w:rPr>
          <w:rFonts w:ascii="Century Gothic" w:eastAsia="Calibri" w:hAnsi="Century Gothic" w:cs="Times New Roman"/>
          <w:noProof/>
          <w:webHidden/>
          <w:sz w:val="21"/>
          <w:szCs w:val="21"/>
        </w:rPr>
        <w:tab/>
        <w:t>104</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Times New Roman" w:hAnsi="Century Gothic" w:cs="Arial"/>
          <w:noProof/>
          <w:sz w:val="21"/>
          <w:szCs w:val="21"/>
        </w:rPr>
        <w:t>7.3 Parámetros e indicadores para provisión del SDTFO</w:t>
      </w:r>
      <w:r w:rsidRPr="006C2098">
        <w:rPr>
          <w:rFonts w:ascii="Century Gothic" w:eastAsia="Calibri" w:hAnsi="Century Gothic" w:cs="Times New Roman"/>
          <w:noProof/>
          <w:webHidden/>
          <w:sz w:val="21"/>
          <w:szCs w:val="21"/>
        </w:rPr>
        <w:tab/>
        <w:t>104</w:t>
      </w:r>
    </w:p>
    <w:p w:rsidR="0031512C" w:rsidRPr="006C2098" w:rsidRDefault="0031512C" w:rsidP="0031512C">
      <w:pPr>
        <w:tabs>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lang w:val="es-ES" w:eastAsia="es-ES"/>
          <w14:scene3d>
            <w14:camera w14:prst="orthographicFront"/>
            <w14:lightRig w14:rig="threePt" w14:dir="t">
              <w14:rot w14:lat="0" w14:lon="0" w14:rev="0"/>
            </w14:lightRig>
          </w14:scene3d>
        </w:rPr>
        <w:t xml:space="preserve">8. </w:t>
      </w:r>
      <w:r w:rsidRPr="006C2098">
        <w:rPr>
          <w:rFonts w:ascii="Century Gothic" w:eastAsia="Calibri" w:hAnsi="Century Gothic" w:cs="Arial"/>
          <w:noProof/>
          <w:sz w:val="21"/>
          <w:szCs w:val="21"/>
          <w:lang w:val="es-ES" w:eastAsia="es-ES"/>
        </w:rPr>
        <w:t>Servicio de Concentración y Distribución</w:t>
      </w:r>
      <w:r w:rsidRPr="006C2098">
        <w:rPr>
          <w:rFonts w:ascii="Century Gothic" w:eastAsia="Calibri" w:hAnsi="Century Gothic" w:cs="Arial"/>
          <w:noProof/>
          <w:webHidden/>
          <w:sz w:val="21"/>
          <w:szCs w:val="21"/>
        </w:rPr>
        <w:tab/>
        <w:t>104</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Times New Roman" w:hAnsi="Century Gothic" w:cs="Arial"/>
          <w:noProof/>
          <w:sz w:val="21"/>
          <w:szCs w:val="21"/>
        </w:rPr>
        <w:t>8.1 Servicio de Concentración y Distribución-Local</w:t>
      </w:r>
      <w:r w:rsidRPr="006C2098">
        <w:rPr>
          <w:rFonts w:ascii="Century Gothic" w:eastAsia="Calibri" w:hAnsi="Century Gothic" w:cs="Times New Roman"/>
          <w:noProof/>
          <w:webHidden/>
          <w:sz w:val="21"/>
          <w:szCs w:val="21"/>
        </w:rPr>
        <w:tab/>
        <w:t>108</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Times New Roman" w:hAnsi="Century Gothic" w:cs="Arial"/>
          <w:noProof/>
          <w:sz w:val="21"/>
          <w:szCs w:val="21"/>
        </w:rPr>
        <w:t>8.2 Servicio de Concentración y Distribución-Regional</w:t>
      </w:r>
      <w:r w:rsidRPr="006C2098">
        <w:rPr>
          <w:rFonts w:ascii="Century Gothic" w:eastAsia="Calibri" w:hAnsi="Century Gothic" w:cs="Times New Roman"/>
          <w:noProof/>
          <w:webHidden/>
          <w:sz w:val="21"/>
          <w:szCs w:val="21"/>
        </w:rPr>
        <w:tab/>
        <w:t>109</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Times New Roman" w:hAnsi="Century Gothic" w:cs="Arial"/>
          <w:noProof/>
          <w:sz w:val="21"/>
          <w:szCs w:val="21"/>
        </w:rPr>
        <w:t>8.3 Servicio de Concentración y Distribución-Nacional</w:t>
      </w:r>
      <w:r w:rsidRPr="006C2098">
        <w:rPr>
          <w:rFonts w:ascii="Century Gothic" w:eastAsia="Calibri" w:hAnsi="Century Gothic" w:cs="Times New Roman"/>
          <w:noProof/>
          <w:webHidden/>
          <w:sz w:val="21"/>
          <w:szCs w:val="21"/>
        </w:rPr>
        <w:tab/>
        <w:t>109</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Times New Roman" w:hAnsi="Century Gothic" w:cs="Arial"/>
          <w:noProof/>
          <w:sz w:val="21"/>
          <w:szCs w:val="21"/>
        </w:rPr>
        <w:t>8.4 Características de configuración física y lógica del pCAI</w:t>
      </w:r>
      <w:r w:rsidRPr="006C2098">
        <w:rPr>
          <w:rFonts w:ascii="Century Gothic" w:eastAsia="Calibri" w:hAnsi="Century Gothic" w:cs="Times New Roman"/>
          <w:noProof/>
          <w:webHidden/>
          <w:sz w:val="21"/>
          <w:szCs w:val="21"/>
        </w:rPr>
        <w:tab/>
        <w:t>110</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Times New Roman" w:hAnsi="Century Gothic" w:cs="Arial"/>
          <w:noProof/>
          <w:sz w:val="21"/>
          <w:szCs w:val="21"/>
        </w:rPr>
        <w:t>8.5 Plan de VLAN: Servicio de Concentración y Distribución Local, Regional y Nacional</w:t>
      </w:r>
      <w:r w:rsidRPr="006C2098">
        <w:rPr>
          <w:rFonts w:ascii="Century Gothic" w:eastAsia="Calibri" w:hAnsi="Century Gothic" w:cs="Times New Roman"/>
          <w:noProof/>
          <w:webHidden/>
          <w:sz w:val="21"/>
          <w:szCs w:val="21"/>
        </w:rPr>
        <w:tab/>
        <w:t>111</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Times New Roman" w:hAnsi="Century Gothic" w:cs="Arial"/>
          <w:noProof/>
          <w:sz w:val="21"/>
          <w:szCs w:val="21"/>
        </w:rPr>
        <w:t>8.6 Servicio a Ubicación Distante</w:t>
      </w:r>
      <w:r w:rsidRPr="006C2098">
        <w:rPr>
          <w:rFonts w:ascii="Century Gothic" w:eastAsia="Calibri" w:hAnsi="Century Gothic" w:cs="Times New Roman"/>
          <w:noProof/>
          <w:webHidden/>
          <w:sz w:val="21"/>
          <w:szCs w:val="21"/>
        </w:rPr>
        <w:tab/>
        <w:t>113</w:t>
      </w:r>
    </w:p>
    <w:p w:rsidR="0031512C" w:rsidRPr="00230EF7"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230EF7">
        <w:rPr>
          <w:rFonts w:ascii="Century Gothic" w:eastAsia="Calibri" w:hAnsi="Century Gothic" w:cs="Arial"/>
          <w:noProof/>
          <w:sz w:val="21"/>
          <w:szCs w:val="21"/>
          <w:lang w:val="es-ES_tradnl" w:eastAsia="es-ES"/>
        </w:rPr>
        <w:t>8.7 Procedimientos de solicitud, modificación y baja del SCyD</w:t>
      </w:r>
      <w:r w:rsidRPr="00230EF7">
        <w:rPr>
          <w:rFonts w:ascii="Century Gothic" w:eastAsia="Calibri" w:hAnsi="Century Gothic" w:cs="Times New Roman"/>
          <w:noProof/>
          <w:webHidden/>
          <w:sz w:val="21"/>
          <w:szCs w:val="21"/>
        </w:rPr>
        <w:tab/>
        <w:t>113</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Times New Roman" w:hAnsi="Century Gothic" w:cs="Arial"/>
          <w:noProof/>
          <w:sz w:val="21"/>
          <w:szCs w:val="21"/>
        </w:rPr>
        <w:t>8.8 Plazos de Entrega de SCyD</w:t>
      </w:r>
      <w:r w:rsidRPr="006C2098">
        <w:rPr>
          <w:rFonts w:ascii="Century Gothic" w:eastAsia="Calibri" w:hAnsi="Century Gothic" w:cs="Times New Roman"/>
          <w:noProof/>
          <w:webHidden/>
          <w:sz w:val="21"/>
          <w:szCs w:val="21"/>
        </w:rPr>
        <w:tab/>
        <w:t>119</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Times New Roman" w:hAnsi="Century Gothic" w:cs="Arial"/>
          <w:noProof/>
          <w:sz w:val="21"/>
          <w:szCs w:val="21"/>
        </w:rPr>
        <w:t>8.9 Parámetros e indicadores de Calidad para SCyD</w:t>
      </w:r>
      <w:r w:rsidRPr="006C2098">
        <w:rPr>
          <w:rFonts w:ascii="Century Gothic" w:eastAsia="Calibri" w:hAnsi="Century Gothic" w:cs="Times New Roman"/>
          <w:noProof/>
          <w:webHidden/>
          <w:sz w:val="21"/>
          <w:szCs w:val="21"/>
        </w:rPr>
        <w:tab/>
        <w:t>119</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Times New Roman" w:hAnsi="Century Gothic" w:cs="Arial"/>
          <w:noProof/>
          <w:sz w:val="21"/>
          <w:szCs w:val="21"/>
        </w:rPr>
        <w:t>8.10 Procedimiento para la realización de pruebas para el SCyD</w:t>
      </w:r>
      <w:r w:rsidRPr="006C2098">
        <w:rPr>
          <w:rFonts w:ascii="Century Gothic" w:eastAsia="Calibri" w:hAnsi="Century Gothic" w:cs="Times New Roman"/>
          <w:noProof/>
          <w:webHidden/>
          <w:sz w:val="21"/>
          <w:szCs w:val="21"/>
        </w:rPr>
        <w:tab/>
        <w:t>122</w:t>
      </w:r>
    </w:p>
    <w:p w:rsidR="0031512C" w:rsidRPr="006C2098" w:rsidRDefault="0031512C" w:rsidP="0031512C">
      <w:pPr>
        <w:tabs>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lang w:val="es-ES" w:eastAsia="es-ES"/>
          <w14:scene3d>
            <w14:camera w14:prst="orthographicFront"/>
            <w14:lightRig w14:rig="threePt" w14:dir="t">
              <w14:rot w14:lat="0" w14:lon="0" w14:rev="0"/>
            </w14:lightRig>
          </w14:scene3d>
        </w:rPr>
        <w:t>9. Servicio auxiliar de Tendido de Cable de DFO- RED NACIONAL a DFO-CS</w:t>
      </w:r>
      <w:r w:rsidRPr="006C2098">
        <w:rPr>
          <w:rFonts w:ascii="Century Gothic" w:eastAsia="Calibri" w:hAnsi="Century Gothic" w:cs="Arial"/>
          <w:noProof/>
          <w:webHidden/>
          <w:sz w:val="21"/>
          <w:szCs w:val="21"/>
        </w:rPr>
        <w:tab/>
        <w:t>123</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Times New Roman" w:hAnsi="Century Gothic" w:cs="Arial"/>
          <w:noProof/>
          <w:sz w:val="21"/>
          <w:szCs w:val="21"/>
        </w:rPr>
        <w:t>9.1 Procedimientos de contratación, modificación y baja del Servicio de Cableado de DFO-RED NACIONAL a DFO-CS</w:t>
      </w:r>
      <w:r w:rsidRPr="006C2098">
        <w:rPr>
          <w:rFonts w:ascii="Century Gothic" w:eastAsia="Calibri" w:hAnsi="Century Gothic" w:cs="Times New Roman"/>
          <w:noProof/>
          <w:webHidden/>
          <w:sz w:val="21"/>
          <w:szCs w:val="21"/>
        </w:rPr>
        <w:tab/>
        <w:t>124</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Times New Roman" w:hAnsi="Century Gothic" w:cs="Arial"/>
          <w:noProof/>
          <w:sz w:val="21"/>
          <w:szCs w:val="21"/>
        </w:rPr>
        <w:t>9.2 Plazos de Entrega de Cableado de DFO-RED NACIONAL a DFO-CS</w:t>
      </w:r>
      <w:r w:rsidRPr="006C2098">
        <w:rPr>
          <w:rFonts w:ascii="Century Gothic" w:eastAsia="Calibri" w:hAnsi="Century Gothic" w:cs="Times New Roman"/>
          <w:noProof/>
          <w:webHidden/>
          <w:sz w:val="21"/>
          <w:szCs w:val="21"/>
        </w:rPr>
        <w:tab/>
        <w:t>127</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Times New Roman" w:hAnsi="Century Gothic" w:cs="Arial"/>
          <w:noProof/>
          <w:sz w:val="21"/>
          <w:szCs w:val="21"/>
        </w:rPr>
        <w:t>9.3 Procedimiento para la realización de pruebas de entrega para el Servicio auxiliar de Cableado de DFO-RED NACIONAL a DFO-CS</w:t>
      </w:r>
      <w:r w:rsidRPr="006C2098">
        <w:rPr>
          <w:rFonts w:ascii="Century Gothic" w:eastAsia="Calibri" w:hAnsi="Century Gothic" w:cs="Times New Roman"/>
          <w:noProof/>
          <w:webHidden/>
          <w:sz w:val="21"/>
          <w:szCs w:val="21"/>
        </w:rPr>
        <w:tab/>
        <w:t>127</w:t>
      </w:r>
    </w:p>
    <w:p w:rsidR="0031512C" w:rsidRPr="006C2098" w:rsidRDefault="0031512C" w:rsidP="0031512C">
      <w:pPr>
        <w:tabs>
          <w:tab w:val="start" w:pos="33pt"/>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14:scene3d>
            <w14:camera w14:prst="orthographicFront"/>
            <w14:lightRig w14:rig="threePt" w14:dir="t">
              <w14:rot w14:lat="0" w14:lon="0" w14:rev="0"/>
            </w14:lightRig>
          </w14:scene3d>
        </w:rPr>
        <w:t>10.</w:t>
      </w:r>
      <w:r w:rsidRPr="006C2098">
        <w:rPr>
          <w:rFonts w:ascii="Century Gothic" w:eastAsia="Calibri" w:hAnsi="Century Gothic" w:cs="Arial"/>
          <w:bCs/>
          <w:noProof/>
          <w:sz w:val="21"/>
          <w:szCs w:val="21"/>
        </w:rPr>
        <w:t>Servicio Auxiliar de Cableado Multipar</w:t>
      </w:r>
      <w:r w:rsidRPr="006C2098">
        <w:rPr>
          <w:rFonts w:ascii="Century Gothic" w:eastAsia="Calibri" w:hAnsi="Century Gothic" w:cs="Arial"/>
          <w:noProof/>
          <w:webHidden/>
          <w:sz w:val="21"/>
          <w:szCs w:val="21"/>
        </w:rPr>
        <w:tab/>
        <w:t>127</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10.1 Procedimientos de contratación, modificación y baja del Servicio Auxiliar de Cableado Multipar</w:t>
      </w:r>
      <w:r w:rsidRPr="006C2098">
        <w:rPr>
          <w:rFonts w:ascii="Century Gothic" w:eastAsia="Calibri" w:hAnsi="Century Gothic" w:cs="Times New Roman"/>
          <w:noProof/>
          <w:webHidden/>
          <w:sz w:val="21"/>
          <w:szCs w:val="21"/>
        </w:rPr>
        <w:tab/>
        <w:t>129</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10.2 Plazos de Entrega de Cableado Multipar</w:t>
      </w:r>
      <w:r w:rsidRPr="006C2098">
        <w:rPr>
          <w:rFonts w:ascii="Century Gothic" w:eastAsia="Calibri" w:hAnsi="Century Gothic" w:cs="Times New Roman"/>
          <w:noProof/>
          <w:webHidden/>
          <w:sz w:val="21"/>
          <w:szCs w:val="21"/>
        </w:rPr>
        <w:tab/>
        <w:t>133</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lastRenderedPageBreak/>
        <w:t>10.3 Procedimiento para la realización de pruebas de entrega para el Servicio Auxiliar de Cableado Multipar</w:t>
      </w:r>
      <w:r w:rsidRPr="006C2098">
        <w:rPr>
          <w:rFonts w:ascii="Century Gothic" w:eastAsia="Calibri" w:hAnsi="Century Gothic" w:cs="Times New Roman"/>
          <w:noProof/>
          <w:webHidden/>
          <w:sz w:val="21"/>
          <w:szCs w:val="21"/>
        </w:rPr>
        <w:tab/>
        <w:t>133</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10.4 Parámetros e indicadores de Calidad de Cableado Multipar</w:t>
      </w:r>
      <w:r w:rsidRPr="006C2098">
        <w:rPr>
          <w:rFonts w:ascii="Century Gothic" w:eastAsia="Calibri" w:hAnsi="Century Gothic" w:cs="Times New Roman"/>
          <w:noProof/>
          <w:webHidden/>
          <w:sz w:val="21"/>
          <w:szCs w:val="21"/>
        </w:rPr>
        <w:tab/>
        <w:t>134</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webHidden/>
          <w:sz w:val="21"/>
          <w:szCs w:val="21"/>
        </w:rPr>
        <w:tab/>
        <w:t>146</w:t>
      </w:r>
    </w:p>
    <w:p w:rsidR="0031512C" w:rsidRPr="006C2098" w:rsidRDefault="0031512C" w:rsidP="0031512C">
      <w:pPr>
        <w:tabs>
          <w:tab w:val="start" w:pos="33pt"/>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14:scene3d>
            <w14:camera w14:prst="orthographicFront"/>
            <w14:lightRig w14:rig="threePt" w14:dir="t">
              <w14:rot w14:lat="0" w14:lon="0" w14:rev="0"/>
            </w14:lightRig>
          </w14:scene3d>
        </w:rPr>
        <w:t>1</w:t>
      </w:r>
      <w:r w:rsidR="00230EF7">
        <w:rPr>
          <w:rFonts w:ascii="Century Gothic" w:eastAsia="Calibri" w:hAnsi="Century Gothic" w:cs="Times New Roman"/>
          <w:noProof/>
          <w:sz w:val="21"/>
          <w:szCs w:val="21"/>
          <w14:scene3d>
            <w14:camera w14:prst="orthographicFront"/>
            <w14:lightRig w14:rig="threePt" w14:dir="t">
              <w14:rot w14:lat="0" w14:lon="0" w14:rev="0"/>
            </w14:lightRig>
          </w14:scene3d>
        </w:rPr>
        <w:t>1</w:t>
      </w:r>
      <w:r w:rsidRPr="006C2098">
        <w:rPr>
          <w:rFonts w:ascii="Century Gothic" w:eastAsia="Calibri" w:hAnsi="Century Gothic" w:cs="Times New Roman"/>
          <w:noProof/>
          <w:sz w:val="21"/>
          <w:szCs w:val="21"/>
          <w14:scene3d>
            <w14:camera w14:prst="orthographicFront"/>
            <w14:lightRig w14:rig="threePt" w14:dir="t">
              <w14:rot w14:lat="0" w14:lon="0" w14:rev="0"/>
            </w14:lightRig>
          </w14:scene3d>
        </w:rPr>
        <w:t>.</w:t>
      </w:r>
      <w:r w:rsidR="00230EF7">
        <w:rPr>
          <w:rFonts w:ascii="Century Gothic" w:eastAsia="Calibri" w:hAnsi="Century Gothic" w:cs="Times New Roman"/>
          <w:noProof/>
          <w:sz w:val="21"/>
          <w:szCs w:val="21"/>
          <w14:scene3d>
            <w14:camera w14:prst="orthographicFront"/>
            <w14:lightRig w14:rig="threePt" w14:dir="t">
              <w14:rot w14:lat="0" w14:lon="0" w14:rev="0"/>
            </w14:lightRig>
          </w14:scene3d>
        </w:rPr>
        <w:t xml:space="preserve"> </w:t>
      </w:r>
      <w:r w:rsidRPr="006C2098">
        <w:rPr>
          <w:rFonts w:ascii="Century Gothic" w:eastAsia="Calibri" w:hAnsi="Century Gothic" w:cs="Arial"/>
          <w:noProof/>
          <w:sz w:val="21"/>
          <w:szCs w:val="21"/>
        </w:rPr>
        <w:t>Servicio de Coubicación para Desagregación del Bucle</w:t>
      </w:r>
      <w:r w:rsidRPr="006C2098">
        <w:rPr>
          <w:rFonts w:ascii="Century Gothic" w:eastAsia="Calibri" w:hAnsi="Century Gothic" w:cs="Arial"/>
          <w:noProof/>
          <w:webHidden/>
          <w:sz w:val="21"/>
          <w:szCs w:val="21"/>
        </w:rPr>
        <w:tab/>
        <w:t>146</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w:t>
      </w:r>
      <w:r w:rsidR="00230EF7">
        <w:rPr>
          <w:rFonts w:ascii="Century Gothic" w:eastAsia="Calibri" w:hAnsi="Century Gothic" w:cs="Times New Roman"/>
          <w:noProof/>
          <w:sz w:val="21"/>
          <w:szCs w:val="21"/>
        </w:rPr>
        <w:t>1</w:t>
      </w:r>
      <w:r w:rsidRPr="006C2098">
        <w:rPr>
          <w:rFonts w:ascii="Century Gothic" w:eastAsia="Calibri" w:hAnsi="Century Gothic" w:cs="Times New Roman"/>
          <w:noProof/>
          <w:sz w:val="21"/>
          <w:szCs w:val="21"/>
        </w:rPr>
        <w:t>.1 Generalidades</w:t>
      </w:r>
      <w:r w:rsidRPr="006C2098">
        <w:rPr>
          <w:rFonts w:ascii="Century Gothic" w:eastAsia="Calibri" w:hAnsi="Century Gothic" w:cs="Times New Roman"/>
          <w:noProof/>
          <w:webHidden/>
          <w:sz w:val="21"/>
          <w:szCs w:val="21"/>
        </w:rPr>
        <w:tab/>
        <w:t>147</w:t>
      </w:r>
    </w:p>
    <w:p w:rsidR="0031512C" w:rsidRPr="00230EF7" w:rsidRDefault="0031512C"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230EF7">
        <w:rPr>
          <w:rFonts w:ascii="Century Gothic" w:eastAsia="Calibri" w:hAnsi="Century Gothic" w:cs="Times New Roman"/>
          <w:noProof/>
          <w:sz w:val="21"/>
          <w:szCs w:val="21"/>
        </w:rPr>
        <w:t>1</w:t>
      </w:r>
      <w:r w:rsidR="00230EF7">
        <w:rPr>
          <w:rFonts w:ascii="Century Gothic" w:eastAsia="Calibri" w:hAnsi="Century Gothic" w:cs="Times New Roman"/>
          <w:noProof/>
          <w:sz w:val="21"/>
          <w:szCs w:val="21"/>
        </w:rPr>
        <w:t>1</w:t>
      </w:r>
      <w:r w:rsidRPr="00230EF7">
        <w:rPr>
          <w:rFonts w:ascii="Century Gothic" w:eastAsia="Calibri" w:hAnsi="Century Gothic" w:cs="Times New Roman"/>
          <w:noProof/>
          <w:sz w:val="21"/>
          <w:szCs w:val="21"/>
        </w:rPr>
        <w:t>.1.1</w:t>
      </w:r>
      <w:r w:rsidRPr="00230EF7">
        <w:rPr>
          <w:rFonts w:ascii="Century Gothic" w:eastAsia="Times New Roman" w:hAnsi="Century Gothic" w:cs="Times New Roman"/>
          <w:noProof/>
          <w:sz w:val="21"/>
          <w:szCs w:val="21"/>
          <w:lang w:eastAsia="es-MX"/>
        </w:rPr>
        <w:tab/>
      </w:r>
      <w:r w:rsidRPr="00230EF7">
        <w:rPr>
          <w:rFonts w:ascii="Century Gothic" w:eastAsia="Calibri" w:hAnsi="Century Gothic" w:cs="Times New Roman"/>
          <w:noProof/>
          <w:sz w:val="21"/>
          <w:szCs w:val="21"/>
        </w:rPr>
        <w:t>Características técnicas mínimas para los tipos de coubicación……</w:t>
      </w:r>
      <w:r w:rsidRPr="00230EF7">
        <w:rPr>
          <w:rFonts w:ascii="Century Gothic" w:eastAsia="Calibri" w:hAnsi="Century Gothic" w:cs="Times New Roman"/>
          <w:noProof/>
          <w:webHidden/>
          <w:sz w:val="21"/>
          <w:szCs w:val="21"/>
        </w:rPr>
        <w:tab/>
        <w:t>…149</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w:t>
      </w:r>
      <w:r w:rsidR="00230EF7">
        <w:rPr>
          <w:rFonts w:ascii="Century Gothic" w:eastAsia="Calibri" w:hAnsi="Century Gothic" w:cs="Times New Roman"/>
          <w:noProof/>
          <w:sz w:val="21"/>
          <w:szCs w:val="21"/>
        </w:rPr>
        <w:t>1</w:t>
      </w:r>
      <w:r w:rsidRPr="006C2098">
        <w:rPr>
          <w:rFonts w:ascii="Century Gothic" w:eastAsia="Calibri" w:hAnsi="Century Gothic" w:cs="Times New Roman"/>
          <w:noProof/>
          <w:sz w:val="21"/>
          <w:szCs w:val="21"/>
        </w:rPr>
        <w:t>.2 Adecuaciones disponibles para la Coubicación.</w:t>
      </w:r>
      <w:r w:rsidRPr="006C2098">
        <w:rPr>
          <w:rFonts w:ascii="Century Gothic" w:eastAsia="Calibri" w:hAnsi="Century Gothic" w:cs="Times New Roman"/>
          <w:noProof/>
          <w:webHidden/>
          <w:sz w:val="21"/>
          <w:szCs w:val="21"/>
        </w:rPr>
        <w:tab/>
        <w:t>150</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w:t>
      </w:r>
      <w:r w:rsidR="00230EF7">
        <w:rPr>
          <w:rFonts w:ascii="Century Gothic" w:eastAsia="Calibri" w:hAnsi="Century Gothic" w:cs="Times New Roman"/>
          <w:noProof/>
          <w:sz w:val="21"/>
          <w:szCs w:val="21"/>
        </w:rPr>
        <w:t>1</w:t>
      </w:r>
      <w:r w:rsidRPr="006C2098">
        <w:rPr>
          <w:rFonts w:ascii="Century Gothic" w:eastAsia="Calibri" w:hAnsi="Century Gothic" w:cs="Times New Roman"/>
          <w:noProof/>
          <w:sz w:val="21"/>
          <w:szCs w:val="21"/>
        </w:rPr>
        <w:t>.3 Identificador de Ubicación en Lenguaje Común (CLLI)</w:t>
      </w:r>
      <w:r w:rsidRPr="006C2098">
        <w:rPr>
          <w:rFonts w:ascii="Century Gothic" w:eastAsia="Calibri" w:hAnsi="Century Gothic" w:cs="Times New Roman"/>
          <w:noProof/>
          <w:webHidden/>
          <w:sz w:val="21"/>
          <w:szCs w:val="21"/>
        </w:rPr>
        <w:tab/>
        <w:t>150</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w:t>
      </w:r>
      <w:r w:rsidR="00230EF7">
        <w:rPr>
          <w:rFonts w:ascii="Century Gothic" w:eastAsia="Calibri" w:hAnsi="Century Gothic" w:cs="Times New Roman"/>
          <w:noProof/>
          <w:sz w:val="21"/>
          <w:szCs w:val="21"/>
        </w:rPr>
        <w:t>1</w:t>
      </w:r>
      <w:r w:rsidRPr="006C2098">
        <w:rPr>
          <w:rFonts w:ascii="Century Gothic" w:eastAsia="Calibri" w:hAnsi="Century Gothic" w:cs="Times New Roman"/>
          <w:noProof/>
          <w:sz w:val="21"/>
          <w:szCs w:val="21"/>
        </w:rPr>
        <w:t>.4 Servicio de Reasignación y Servicio de Recuperación de Espacio de Coubicación para Desagregación.</w:t>
      </w:r>
      <w:r w:rsidRPr="006C2098">
        <w:rPr>
          <w:rFonts w:ascii="Century Gothic" w:eastAsia="Calibri" w:hAnsi="Century Gothic" w:cs="Times New Roman"/>
          <w:noProof/>
          <w:webHidden/>
          <w:sz w:val="21"/>
          <w:szCs w:val="21"/>
        </w:rPr>
        <w:tab/>
        <w:t>151</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w:t>
      </w:r>
      <w:r w:rsidR="00230EF7">
        <w:rPr>
          <w:rFonts w:ascii="Century Gothic" w:eastAsia="Calibri" w:hAnsi="Century Gothic" w:cs="Times New Roman"/>
          <w:noProof/>
          <w:sz w:val="21"/>
          <w:szCs w:val="21"/>
        </w:rPr>
        <w:t>1</w:t>
      </w:r>
      <w:r w:rsidRPr="006C2098">
        <w:rPr>
          <w:rFonts w:ascii="Century Gothic" w:eastAsia="Calibri" w:hAnsi="Century Gothic" w:cs="Times New Roman"/>
          <w:noProof/>
          <w:sz w:val="21"/>
          <w:szCs w:val="21"/>
        </w:rPr>
        <w:t>.5 Procedimientos de notificación en caso de cierre de Centrales Telefónicas contratación, modificación, mantenimiento y baja del servicio</w:t>
      </w:r>
      <w:r w:rsidRPr="006C2098">
        <w:rPr>
          <w:rFonts w:ascii="Century Gothic" w:eastAsia="Calibri" w:hAnsi="Century Gothic" w:cs="Times New Roman"/>
          <w:noProof/>
          <w:webHidden/>
          <w:sz w:val="21"/>
          <w:szCs w:val="21"/>
        </w:rPr>
        <w:tab/>
        <w:t>151</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w:t>
      </w:r>
      <w:r w:rsidR="00230EF7">
        <w:rPr>
          <w:rFonts w:ascii="Century Gothic" w:eastAsia="Calibri" w:hAnsi="Century Gothic" w:cs="Times New Roman"/>
          <w:noProof/>
          <w:sz w:val="21"/>
          <w:szCs w:val="21"/>
        </w:rPr>
        <w:t>1</w:t>
      </w:r>
      <w:r w:rsidRPr="006C2098">
        <w:rPr>
          <w:rFonts w:ascii="Century Gothic" w:eastAsia="Calibri" w:hAnsi="Century Gothic" w:cs="Times New Roman"/>
          <w:noProof/>
          <w:sz w:val="21"/>
          <w:szCs w:val="21"/>
        </w:rPr>
        <w:t>.6 Plazos de Entrega de Coubicación</w:t>
      </w:r>
      <w:r w:rsidRPr="006C2098">
        <w:rPr>
          <w:rFonts w:ascii="Century Gothic" w:eastAsia="Calibri" w:hAnsi="Century Gothic" w:cs="Times New Roman"/>
          <w:noProof/>
          <w:webHidden/>
          <w:sz w:val="21"/>
          <w:szCs w:val="21"/>
        </w:rPr>
        <w:tab/>
        <w:t>158</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w:t>
      </w:r>
      <w:r w:rsidR="00230EF7">
        <w:rPr>
          <w:rFonts w:ascii="Century Gothic" w:eastAsia="Calibri" w:hAnsi="Century Gothic" w:cs="Times New Roman"/>
          <w:noProof/>
          <w:sz w:val="21"/>
          <w:szCs w:val="21"/>
        </w:rPr>
        <w:t>1</w:t>
      </w:r>
      <w:r w:rsidRPr="006C2098">
        <w:rPr>
          <w:rFonts w:ascii="Century Gothic" w:eastAsia="Calibri" w:hAnsi="Century Gothic" w:cs="Times New Roman"/>
          <w:noProof/>
          <w:sz w:val="21"/>
          <w:szCs w:val="21"/>
        </w:rPr>
        <w:t>.7 Parámetros e indicadores de calidad para los Servicios de Coubicación</w:t>
      </w:r>
      <w:r w:rsidRPr="006C2098">
        <w:rPr>
          <w:rFonts w:ascii="Century Gothic" w:eastAsia="Calibri" w:hAnsi="Century Gothic" w:cs="Times New Roman"/>
          <w:noProof/>
          <w:webHidden/>
          <w:sz w:val="21"/>
          <w:szCs w:val="21"/>
        </w:rPr>
        <w:tab/>
        <w:t>159</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w:t>
      </w:r>
      <w:r w:rsidR="00230EF7">
        <w:rPr>
          <w:rFonts w:ascii="Century Gothic" w:eastAsia="Calibri" w:hAnsi="Century Gothic" w:cs="Times New Roman"/>
          <w:noProof/>
          <w:sz w:val="21"/>
          <w:szCs w:val="21"/>
        </w:rPr>
        <w:t>1</w:t>
      </w:r>
      <w:r w:rsidRPr="006C2098">
        <w:rPr>
          <w:rFonts w:ascii="Century Gothic" w:eastAsia="Calibri" w:hAnsi="Century Gothic" w:cs="Times New Roman"/>
          <w:noProof/>
          <w:sz w:val="21"/>
          <w:szCs w:val="21"/>
        </w:rPr>
        <w:t>.8 Procedimiento para la entrega del Servicio de Coubicación para Desagregación</w:t>
      </w:r>
      <w:r w:rsidRPr="006C2098">
        <w:rPr>
          <w:rFonts w:ascii="Century Gothic" w:eastAsia="Calibri" w:hAnsi="Century Gothic" w:cs="Times New Roman"/>
          <w:noProof/>
          <w:webHidden/>
          <w:sz w:val="21"/>
          <w:szCs w:val="21"/>
        </w:rPr>
        <w:tab/>
        <w:t>160</w:t>
      </w:r>
    </w:p>
    <w:p w:rsidR="0031512C" w:rsidRPr="006C2098" w:rsidRDefault="0031512C" w:rsidP="0031512C">
      <w:pPr>
        <w:tabs>
          <w:tab w:val="start" w:pos="33pt"/>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14:scene3d>
            <w14:camera w14:prst="orthographicFront"/>
            <w14:lightRig w14:rig="threePt" w14:dir="t">
              <w14:rot w14:lat="0" w14:lon="0" w14:rev="0"/>
            </w14:lightRig>
          </w14:scene3d>
        </w:rPr>
        <w:t>1</w:t>
      </w:r>
      <w:r w:rsidR="00230EF7">
        <w:rPr>
          <w:rFonts w:ascii="Century Gothic" w:eastAsia="Calibri" w:hAnsi="Century Gothic" w:cs="Times New Roman"/>
          <w:noProof/>
          <w:sz w:val="21"/>
          <w:szCs w:val="21"/>
          <w14:scene3d>
            <w14:camera w14:prst="orthographicFront"/>
            <w14:lightRig w14:rig="threePt" w14:dir="t">
              <w14:rot w14:lat="0" w14:lon="0" w14:rev="0"/>
            </w14:lightRig>
          </w14:scene3d>
        </w:rPr>
        <w:t>2</w:t>
      </w:r>
      <w:r w:rsidRPr="006C2098">
        <w:rPr>
          <w:rFonts w:ascii="Century Gothic" w:eastAsia="Calibri" w:hAnsi="Century Gothic" w:cs="Times New Roman"/>
          <w:noProof/>
          <w:sz w:val="21"/>
          <w:szCs w:val="21"/>
          <w14:scene3d>
            <w14:camera w14:prst="orthographicFront"/>
            <w14:lightRig w14:rig="threePt" w14:dir="t">
              <w14:rot w14:lat="0" w14:lon="0" w14:rev="0"/>
            </w14:lightRig>
          </w14:scene3d>
        </w:rPr>
        <w:t>.</w:t>
      </w:r>
      <w:r w:rsidRPr="006C2098">
        <w:rPr>
          <w:rFonts w:ascii="Century Gothic" w:eastAsia="Calibri" w:hAnsi="Century Gothic" w:cs="Arial"/>
          <w:noProof/>
          <w:sz w:val="21"/>
          <w:szCs w:val="21"/>
        </w:rPr>
        <w:t>Trabajos Especiales</w:t>
      </w:r>
      <w:r w:rsidRPr="006C2098">
        <w:rPr>
          <w:rFonts w:ascii="Century Gothic" w:eastAsia="Calibri" w:hAnsi="Century Gothic" w:cs="Arial"/>
          <w:noProof/>
          <w:webHidden/>
          <w:sz w:val="21"/>
          <w:szCs w:val="21"/>
        </w:rPr>
        <w:tab/>
        <w:t>161</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w:t>
      </w:r>
      <w:r w:rsidR="00230EF7">
        <w:rPr>
          <w:rFonts w:ascii="Century Gothic" w:eastAsia="Calibri" w:hAnsi="Century Gothic" w:cs="Times New Roman"/>
          <w:noProof/>
          <w:sz w:val="21"/>
          <w:szCs w:val="21"/>
        </w:rPr>
        <w:t>2</w:t>
      </w:r>
      <w:r w:rsidRPr="006C2098">
        <w:rPr>
          <w:rFonts w:ascii="Century Gothic" w:eastAsia="Calibri" w:hAnsi="Century Gothic" w:cs="Times New Roman"/>
          <w:noProof/>
          <w:sz w:val="21"/>
          <w:szCs w:val="21"/>
        </w:rPr>
        <w:t>.1 Procedimiento para solicitud, aceptación y entrega de Trabajos Especiales</w:t>
      </w:r>
      <w:r w:rsidRPr="006C2098">
        <w:rPr>
          <w:rFonts w:ascii="Century Gothic" w:eastAsia="Calibri" w:hAnsi="Century Gothic" w:cs="Times New Roman"/>
          <w:noProof/>
          <w:webHidden/>
          <w:sz w:val="21"/>
          <w:szCs w:val="21"/>
        </w:rPr>
        <w:tab/>
        <w:t>163</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w:t>
      </w:r>
      <w:r w:rsidR="00230EF7">
        <w:rPr>
          <w:rFonts w:ascii="Century Gothic" w:eastAsia="Calibri" w:hAnsi="Century Gothic" w:cs="Times New Roman"/>
          <w:noProof/>
          <w:sz w:val="21"/>
          <w:szCs w:val="21"/>
        </w:rPr>
        <w:t>2</w:t>
      </w:r>
      <w:r w:rsidRPr="006C2098">
        <w:rPr>
          <w:rFonts w:ascii="Century Gothic" w:eastAsia="Calibri" w:hAnsi="Century Gothic" w:cs="Times New Roman"/>
          <w:noProof/>
          <w:sz w:val="21"/>
          <w:szCs w:val="21"/>
        </w:rPr>
        <w:t>.2 Plazos de Trabajos Especiales</w:t>
      </w:r>
      <w:r w:rsidRPr="006C2098">
        <w:rPr>
          <w:rFonts w:ascii="Century Gothic" w:eastAsia="Calibri" w:hAnsi="Century Gothic" w:cs="Times New Roman"/>
          <w:noProof/>
          <w:webHidden/>
          <w:sz w:val="21"/>
          <w:szCs w:val="21"/>
        </w:rPr>
        <w:tab/>
        <w:t>165</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w:t>
      </w:r>
      <w:r w:rsidR="00230EF7">
        <w:rPr>
          <w:rFonts w:ascii="Century Gothic" w:eastAsia="Calibri" w:hAnsi="Century Gothic" w:cs="Times New Roman"/>
          <w:noProof/>
          <w:sz w:val="21"/>
          <w:szCs w:val="21"/>
        </w:rPr>
        <w:t>2</w:t>
      </w:r>
      <w:r w:rsidRPr="006C2098">
        <w:rPr>
          <w:rFonts w:ascii="Century Gothic" w:eastAsia="Calibri" w:hAnsi="Century Gothic" w:cs="Times New Roman"/>
          <w:noProof/>
          <w:sz w:val="21"/>
          <w:szCs w:val="21"/>
        </w:rPr>
        <w:t>.3 Parámetros e Indicadores de Calidad de Trabajos Especiales</w:t>
      </w:r>
      <w:r w:rsidRPr="006C2098">
        <w:rPr>
          <w:rFonts w:ascii="Century Gothic" w:eastAsia="Calibri" w:hAnsi="Century Gothic" w:cs="Times New Roman"/>
          <w:noProof/>
          <w:webHidden/>
          <w:sz w:val="21"/>
          <w:szCs w:val="21"/>
        </w:rPr>
        <w:tab/>
        <w:t>165</w:t>
      </w:r>
    </w:p>
    <w:p w:rsidR="0031512C" w:rsidRPr="006C2098" w:rsidRDefault="0031512C" w:rsidP="0031512C">
      <w:pPr>
        <w:tabs>
          <w:tab w:val="start" w:pos="33pt"/>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14:scene3d>
            <w14:camera w14:prst="orthographicFront"/>
            <w14:lightRig w14:rig="threePt" w14:dir="t">
              <w14:rot w14:lat="0" w14:lon="0" w14:rev="0"/>
            </w14:lightRig>
          </w14:scene3d>
        </w:rPr>
        <w:t>1</w:t>
      </w:r>
      <w:r w:rsidR="00230EF7">
        <w:rPr>
          <w:rFonts w:ascii="Century Gothic" w:eastAsia="Calibri" w:hAnsi="Century Gothic" w:cs="Times New Roman"/>
          <w:noProof/>
          <w:sz w:val="21"/>
          <w:szCs w:val="21"/>
          <w14:scene3d>
            <w14:camera w14:prst="orthographicFront"/>
            <w14:lightRig w14:rig="threePt" w14:dir="t">
              <w14:rot w14:lat="0" w14:lon="0" w14:rev="0"/>
            </w14:lightRig>
          </w14:scene3d>
        </w:rPr>
        <w:t>3</w:t>
      </w:r>
      <w:r w:rsidRPr="006C2098">
        <w:rPr>
          <w:rFonts w:ascii="Century Gothic" w:eastAsia="Calibri" w:hAnsi="Century Gothic" w:cs="Times New Roman"/>
          <w:noProof/>
          <w:sz w:val="21"/>
          <w:szCs w:val="21"/>
          <w14:scene3d>
            <w14:camera w14:prst="orthographicFront"/>
            <w14:lightRig w14:rig="threePt" w14:dir="t">
              <w14:rot w14:lat="0" w14:lon="0" w14:rev="0"/>
            </w14:lightRig>
          </w14:scene3d>
        </w:rPr>
        <w:t>.</w:t>
      </w:r>
      <w:r w:rsidRPr="006C2098">
        <w:rPr>
          <w:rFonts w:ascii="Century Gothic" w:eastAsia="Calibri" w:hAnsi="Century Gothic" w:cs="Arial"/>
          <w:bCs/>
          <w:noProof/>
          <w:sz w:val="21"/>
          <w:szCs w:val="21"/>
        </w:rPr>
        <w:t>Servicios Opcionales</w:t>
      </w:r>
      <w:r w:rsidRPr="006C2098">
        <w:rPr>
          <w:rFonts w:ascii="Century Gothic" w:eastAsia="Calibri" w:hAnsi="Century Gothic" w:cs="Arial"/>
          <w:noProof/>
          <w:webHidden/>
          <w:sz w:val="21"/>
          <w:szCs w:val="21"/>
        </w:rPr>
        <w:tab/>
        <w:t>165</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w:t>
      </w:r>
      <w:r w:rsidR="00230EF7">
        <w:rPr>
          <w:rFonts w:ascii="Century Gothic" w:eastAsia="Calibri" w:hAnsi="Century Gothic" w:cs="Times New Roman"/>
          <w:noProof/>
          <w:sz w:val="21"/>
          <w:szCs w:val="21"/>
        </w:rPr>
        <w:t>3</w:t>
      </w:r>
      <w:r w:rsidRPr="006C2098">
        <w:rPr>
          <w:rFonts w:ascii="Century Gothic" w:eastAsia="Calibri" w:hAnsi="Century Gothic" w:cs="Times New Roman"/>
          <w:noProof/>
          <w:sz w:val="21"/>
          <w:szCs w:val="21"/>
        </w:rPr>
        <w:t>.1 Servicio Opcional de Cableado Interior de Usuario Final</w:t>
      </w:r>
      <w:r w:rsidRPr="006C2098">
        <w:rPr>
          <w:rFonts w:ascii="Century Gothic" w:eastAsia="Calibri" w:hAnsi="Century Gothic" w:cs="Times New Roman"/>
          <w:noProof/>
          <w:webHidden/>
          <w:sz w:val="21"/>
          <w:szCs w:val="21"/>
        </w:rPr>
        <w:tab/>
        <w:t>165</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w:t>
      </w:r>
      <w:r w:rsidR="00230EF7">
        <w:rPr>
          <w:rFonts w:ascii="Century Gothic" w:eastAsia="Calibri" w:hAnsi="Century Gothic" w:cs="Times New Roman"/>
          <w:noProof/>
          <w:sz w:val="21"/>
          <w:szCs w:val="21"/>
        </w:rPr>
        <w:t>3</w:t>
      </w:r>
      <w:r w:rsidRPr="006C2098">
        <w:rPr>
          <w:rFonts w:ascii="Century Gothic" w:eastAsia="Calibri" w:hAnsi="Century Gothic" w:cs="Times New Roman"/>
          <w:noProof/>
          <w:sz w:val="21"/>
          <w:szCs w:val="21"/>
        </w:rPr>
        <w:t>.2 Servicio Opcional de Reubicación de ONT</w:t>
      </w:r>
      <w:r w:rsidRPr="006C2098">
        <w:rPr>
          <w:rFonts w:ascii="Century Gothic" w:eastAsia="Calibri" w:hAnsi="Century Gothic" w:cs="Times New Roman"/>
          <w:noProof/>
          <w:webHidden/>
          <w:sz w:val="21"/>
          <w:szCs w:val="21"/>
        </w:rPr>
        <w:tab/>
        <w:t>166</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w:t>
      </w:r>
      <w:r w:rsidR="00230EF7">
        <w:rPr>
          <w:rFonts w:ascii="Century Gothic" w:eastAsia="Calibri" w:hAnsi="Century Gothic" w:cs="Times New Roman"/>
          <w:noProof/>
          <w:sz w:val="21"/>
          <w:szCs w:val="21"/>
        </w:rPr>
        <w:t>3</w:t>
      </w:r>
      <w:r w:rsidRPr="006C2098">
        <w:rPr>
          <w:rFonts w:ascii="Century Gothic" w:eastAsia="Calibri" w:hAnsi="Century Gothic" w:cs="Times New Roman"/>
          <w:noProof/>
          <w:sz w:val="21"/>
          <w:szCs w:val="21"/>
        </w:rPr>
        <w:t>.3 Servicio Opcional de Cambio de Tecnología</w:t>
      </w:r>
      <w:r w:rsidRPr="006C2098">
        <w:rPr>
          <w:rFonts w:ascii="Century Gothic" w:eastAsia="Calibri" w:hAnsi="Century Gothic" w:cs="Times New Roman"/>
          <w:noProof/>
          <w:webHidden/>
          <w:sz w:val="21"/>
          <w:szCs w:val="21"/>
        </w:rPr>
        <w:tab/>
        <w:t>167</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w:t>
      </w:r>
      <w:r w:rsidR="00230EF7">
        <w:rPr>
          <w:rFonts w:ascii="Century Gothic" w:eastAsia="Calibri" w:hAnsi="Century Gothic" w:cs="Times New Roman"/>
          <w:noProof/>
          <w:sz w:val="21"/>
          <w:szCs w:val="21"/>
        </w:rPr>
        <w:t>3</w:t>
      </w:r>
      <w:r w:rsidRPr="006C2098">
        <w:rPr>
          <w:rFonts w:ascii="Century Gothic" w:eastAsia="Calibri" w:hAnsi="Century Gothic" w:cs="Times New Roman"/>
          <w:noProof/>
          <w:sz w:val="21"/>
          <w:szCs w:val="21"/>
        </w:rPr>
        <w:t>.4 Servicio Opcional de Configuración, Pruebas y Asistencia</w:t>
      </w:r>
      <w:r w:rsidRPr="006C2098">
        <w:rPr>
          <w:rFonts w:ascii="Century Gothic" w:eastAsia="Calibri" w:hAnsi="Century Gothic" w:cs="Times New Roman"/>
          <w:noProof/>
          <w:webHidden/>
          <w:sz w:val="21"/>
          <w:szCs w:val="21"/>
        </w:rPr>
        <w:tab/>
        <w:t>168</w:t>
      </w:r>
    </w:p>
    <w:p w:rsidR="0031512C" w:rsidRPr="00230EF7" w:rsidRDefault="0031512C"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230EF7">
        <w:rPr>
          <w:rFonts w:ascii="Century Gothic" w:eastAsia="Calibri" w:hAnsi="Century Gothic" w:cs="Times New Roman"/>
          <w:noProof/>
          <w:sz w:val="21"/>
          <w:szCs w:val="21"/>
        </w:rPr>
        <w:t>1</w:t>
      </w:r>
      <w:r w:rsidR="00230EF7">
        <w:rPr>
          <w:rFonts w:ascii="Century Gothic" w:eastAsia="Calibri" w:hAnsi="Century Gothic" w:cs="Times New Roman"/>
          <w:noProof/>
          <w:sz w:val="21"/>
          <w:szCs w:val="21"/>
        </w:rPr>
        <w:t>3</w:t>
      </w:r>
      <w:r w:rsidRPr="00230EF7">
        <w:rPr>
          <w:rFonts w:ascii="Century Gothic" w:eastAsia="Calibri" w:hAnsi="Century Gothic" w:cs="Times New Roman"/>
          <w:noProof/>
          <w:sz w:val="21"/>
          <w:szCs w:val="21"/>
        </w:rPr>
        <w:t>.4.1 Descripción del Servicio</w:t>
      </w:r>
      <w:r w:rsidRPr="00230EF7">
        <w:rPr>
          <w:rFonts w:ascii="Century Gothic" w:eastAsia="Calibri" w:hAnsi="Century Gothic" w:cs="Times New Roman"/>
          <w:noProof/>
          <w:webHidden/>
          <w:sz w:val="21"/>
          <w:szCs w:val="21"/>
        </w:rPr>
        <w:tab/>
        <w:t>168</w:t>
      </w:r>
    </w:p>
    <w:p w:rsidR="0031512C" w:rsidRPr="00230EF7" w:rsidRDefault="0031512C"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230EF7">
        <w:rPr>
          <w:rFonts w:ascii="Century Gothic" w:eastAsia="Calibri" w:hAnsi="Century Gothic" w:cs="Times New Roman"/>
          <w:noProof/>
          <w:sz w:val="21"/>
          <w:szCs w:val="21"/>
        </w:rPr>
        <w:t>1</w:t>
      </w:r>
      <w:r w:rsidR="00230EF7">
        <w:rPr>
          <w:rFonts w:ascii="Century Gothic" w:eastAsia="Calibri" w:hAnsi="Century Gothic" w:cs="Times New Roman"/>
          <w:noProof/>
          <w:sz w:val="21"/>
          <w:szCs w:val="21"/>
        </w:rPr>
        <w:t>3</w:t>
      </w:r>
      <w:r w:rsidRPr="00230EF7">
        <w:rPr>
          <w:rFonts w:ascii="Century Gothic" w:eastAsia="Calibri" w:hAnsi="Century Gothic" w:cs="Times New Roman"/>
          <w:noProof/>
          <w:sz w:val="21"/>
          <w:szCs w:val="21"/>
        </w:rPr>
        <w:t>.4.2 Configuración de los servicios minoristas para el Usuario Final</w:t>
      </w:r>
      <w:r w:rsidRPr="00230EF7">
        <w:rPr>
          <w:rFonts w:ascii="Century Gothic" w:eastAsia="Calibri" w:hAnsi="Century Gothic" w:cs="Times New Roman"/>
          <w:noProof/>
          <w:webHidden/>
          <w:sz w:val="21"/>
          <w:szCs w:val="21"/>
        </w:rPr>
        <w:tab/>
        <w:t>168</w:t>
      </w:r>
    </w:p>
    <w:p w:rsidR="0031512C" w:rsidRPr="00230EF7" w:rsidRDefault="0031512C"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230EF7">
        <w:rPr>
          <w:rFonts w:ascii="Century Gothic" w:eastAsia="Calibri" w:hAnsi="Century Gothic" w:cs="Times New Roman"/>
          <w:noProof/>
          <w:sz w:val="21"/>
          <w:szCs w:val="21"/>
        </w:rPr>
        <w:t>1</w:t>
      </w:r>
      <w:r w:rsidR="00230EF7">
        <w:rPr>
          <w:rFonts w:ascii="Century Gothic" w:eastAsia="Calibri" w:hAnsi="Century Gothic" w:cs="Times New Roman"/>
          <w:noProof/>
          <w:sz w:val="21"/>
          <w:szCs w:val="21"/>
        </w:rPr>
        <w:t>3</w:t>
      </w:r>
      <w:r w:rsidRPr="00230EF7">
        <w:rPr>
          <w:rFonts w:ascii="Century Gothic" w:eastAsia="Calibri" w:hAnsi="Century Gothic" w:cs="Times New Roman"/>
          <w:noProof/>
          <w:sz w:val="21"/>
          <w:szCs w:val="21"/>
        </w:rPr>
        <w:t>.4.3 Prueba del servicio minorista para el Usuario Final</w:t>
      </w:r>
      <w:r w:rsidRPr="00230EF7">
        <w:rPr>
          <w:rFonts w:ascii="Century Gothic" w:eastAsia="Calibri" w:hAnsi="Century Gothic" w:cs="Times New Roman"/>
          <w:noProof/>
          <w:webHidden/>
          <w:sz w:val="21"/>
          <w:szCs w:val="21"/>
        </w:rPr>
        <w:tab/>
        <w:t>169</w:t>
      </w:r>
    </w:p>
    <w:p w:rsidR="0031512C" w:rsidRPr="00230EF7" w:rsidRDefault="0031512C"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230EF7">
        <w:rPr>
          <w:rFonts w:ascii="Century Gothic" w:eastAsia="Calibri" w:hAnsi="Century Gothic" w:cs="Times New Roman"/>
          <w:noProof/>
          <w:sz w:val="21"/>
          <w:szCs w:val="21"/>
        </w:rPr>
        <w:t>1</w:t>
      </w:r>
      <w:r w:rsidR="00230EF7">
        <w:rPr>
          <w:rFonts w:ascii="Century Gothic" w:eastAsia="Calibri" w:hAnsi="Century Gothic" w:cs="Times New Roman"/>
          <w:noProof/>
          <w:sz w:val="21"/>
          <w:szCs w:val="21"/>
        </w:rPr>
        <w:t>3</w:t>
      </w:r>
      <w:r w:rsidRPr="00230EF7">
        <w:rPr>
          <w:rFonts w:ascii="Century Gothic" w:eastAsia="Calibri" w:hAnsi="Century Gothic" w:cs="Times New Roman"/>
          <w:noProof/>
          <w:sz w:val="21"/>
          <w:szCs w:val="21"/>
        </w:rPr>
        <w:t>.4.4 Asistencia en la solución de fallas del servicio minorista para el Usuario Final</w:t>
      </w:r>
      <w:r w:rsidRPr="00230EF7">
        <w:rPr>
          <w:rFonts w:ascii="Century Gothic" w:eastAsia="Calibri" w:hAnsi="Century Gothic" w:cs="Times New Roman"/>
          <w:noProof/>
          <w:webHidden/>
          <w:sz w:val="21"/>
          <w:szCs w:val="21"/>
        </w:rPr>
        <w:t>……………………………………………………………………………………………..170</w:t>
      </w:r>
    </w:p>
    <w:p w:rsidR="0031512C" w:rsidRPr="006C2098" w:rsidRDefault="0031512C" w:rsidP="0031512C">
      <w:pPr>
        <w:tabs>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rPr>
        <w:t>ANEXO A</w:t>
      </w:r>
      <w:r w:rsidRPr="006C2098">
        <w:rPr>
          <w:rFonts w:ascii="Century Gothic" w:eastAsia="Calibri" w:hAnsi="Century Gothic" w:cs="Arial"/>
          <w:noProof/>
          <w:webHidden/>
          <w:sz w:val="21"/>
          <w:szCs w:val="21"/>
        </w:rPr>
        <w:tab/>
        <w:t>171</w:t>
      </w:r>
    </w:p>
    <w:p w:rsidR="0031512C" w:rsidRPr="006C2098" w:rsidRDefault="0031512C" w:rsidP="0031512C">
      <w:pPr>
        <w:tabs>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rPr>
        <w:t>TARIFAS</w:t>
      </w:r>
      <w:r w:rsidRPr="006C2098">
        <w:rPr>
          <w:rFonts w:ascii="Century Gothic" w:eastAsia="Calibri" w:hAnsi="Century Gothic" w:cs="Arial"/>
          <w:noProof/>
          <w:webHidden/>
          <w:sz w:val="21"/>
          <w:szCs w:val="21"/>
        </w:rPr>
        <w:tab/>
        <w:t>171</w:t>
      </w:r>
    </w:p>
    <w:p w:rsidR="0031512C" w:rsidRPr="006C2098" w:rsidRDefault="0031512C" w:rsidP="0031512C">
      <w:pPr>
        <w:tabs>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rPr>
        <w:t>ANEXO B</w:t>
      </w:r>
      <w:r w:rsidRPr="006C2098">
        <w:rPr>
          <w:rFonts w:ascii="Century Gothic" w:eastAsia="Calibri" w:hAnsi="Century Gothic" w:cs="Arial"/>
          <w:noProof/>
          <w:webHidden/>
          <w:sz w:val="21"/>
          <w:szCs w:val="21"/>
        </w:rPr>
        <w:tab/>
        <w:t>187</w:t>
      </w:r>
    </w:p>
    <w:p w:rsidR="0031512C" w:rsidRPr="006C2098" w:rsidRDefault="0031512C" w:rsidP="0031512C">
      <w:pPr>
        <w:tabs>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rPr>
        <w:t>Penas Convencionales</w:t>
      </w:r>
      <w:r w:rsidRPr="006C2098">
        <w:rPr>
          <w:rFonts w:ascii="Century Gothic" w:eastAsia="Calibri" w:hAnsi="Century Gothic" w:cs="Arial"/>
          <w:noProof/>
          <w:webHidden/>
          <w:sz w:val="21"/>
          <w:szCs w:val="21"/>
        </w:rPr>
        <w:tab/>
        <w:t>187</w:t>
      </w:r>
    </w:p>
    <w:p w:rsidR="0031512C" w:rsidRPr="006C2098" w:rsidRDefault="0031512C" w:rsidP="0031512C">
      <w:pPr>
        <w:tabs>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rPr>
        <w:t>ANEXO C</w:t>
      </w:r>
      <w:r w:rsidRPr="006C2098">
        <w:rPr>
          <w:rFonts w:ascii="Century Gothic" w:eastAsia="Calibri" w:hAnsi="Century Gothic" w:cs="Arial"/>
          <w:noProof/>
          <w:webHidden/>
          <w:sz w:val="21"/>
          <w:szCs w:val="21"/>
        </w:rPr>
        <w:tab/>
        <w:t>199</w:t>
      </w:r>
    </w:p>
    <w:p w:rsidR="0031512C" w:rsidRPr="006C2098" w:rsidRDefault="0031512C" w:rsidP="0031512C">
      <w:pPr>
        <w:tabs>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rPr>
        <w:lastRenderedPageBreak/>
        <w:t>Procedimiento de Gestión de Incidencias y  Continuidad del Servicio</w:t>
      </w:r>
      <w:r w:rsidRPr="006C2098">
        <w:rPr>
          <w:rFonts w:ascii="Century Gothic" w:eastAsia="Calibri" w:hAnsi="Century Gothic" w:cs="Arial"/>
          <w:noProof/>
          <w:webHidden/>
          <w:sz w:val="21"/>
          <w:szCs w:val="21"/>
        </w:rPr>
        <w:tab/>
        <w:t>199</w:t>
      </w:r>
    </w:p>
    <w:p w:rsidR="0031512C" w:rsidRPr="006C2098" w:rsidRDefault="0031512C" w:rsidP="0031512C">
      <w:pPr>
        <w:tabs>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rPr>
        <w:t>Anexo C-1:</w:t>
      </w:r>
      <w:r w:rsidRPr="006C2098">
        <w:rPr>
          <w:rFonts w:ascii="Century Gothic" w:eastAsia="Calibri" w:hAnsi="Century Gothic" w:cs="Arial"/>
          <w:noProof/>
          <w:webHidden/>
          <w:sz w:val="21"/>
          <w:szCs w:val="21"/>
        </w:rPr>
        <w:tab/>
        <w:t>210</w:t>
      </w:r>
    </w:p>
    <w:p w:rsidR="0031512C" w:rsidRPr="006C2098" w:rsidRDefault="0031512C" w:rsidP="0031512C">
      <w:pPr>
        <w:tabs>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rPr>
        <w:t>ANEXO D</w:t>
      </w:r>
      <w:r w:rsidRPr="006C2098">
        <w:rPr>
          <w:rFonts w:ascii="Century Gothic" w:eastAsia="Calibri" w:hAnsi="Century Gothic" w:cs="Arial"/>
          <w:noProof/>
          <w:webHidden/>
          <w:sz w:val="21"/>
          <w:szCs w:val="21"/>
        </w:rPr>
        <w:tab/>
        <w:t>211</w:t>
      </w:r>
    </w:p>
    <w:p w:rsidR="0031512C" w:rsidRPr="006C2098" w:rsidRDefault="0031512C" w:rsidP="0031512C">
      <w:pPr>
        <w:tabs>
          <w:tab w:val="start" w:pos="22pt"/>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rPr>
        <w:t>1.</w:t>
      </w:r>
      <w:r w:rsidR="00230EF7">
        <w:rPr>
          <w:rFonts w:ascii="Century Gothic" w:eastAsia="Calibri" w:hAnsi="Century Gothic" w:cs="Arial"/>
          <w:noProof/>
          <w:sz w:val="21"/>
          <w:szCs w:val="21"/>
        </w:rPr>
        <w:t xml:space="preserve">    </w:t>
      </w:r>
      <w:r w:rsidRPr="006C2098">
        <w:rPr>
          <w:rFonts w:ascii="Century Gothic" w:eastAsia="Calibri" w:hAnsi="Century Gothic" w:cs="Arial"/>
          <w:noProof/>
          <w:sz w:val="21"/>
          <w:szCs w:val="21"/>
        </w:rPr>
        <w:t>Objetivo.</w:t>
      </w:r>
      <w:r w:rsidRPr="006C2098">
        <w:rPr>
          <w:rFonts w:ascii="Century Gothic" w:eastAsia="Calibri" w:hAnsi="Century Gothic" w:cs="Arial"/>
          <w:noProof/>
          <w:webHidden/>
          <w:sz w:val="21"/>
          <w:szCs w:val="21"/>
        </w:rPr>
        <w:tab/>
        <w:t>213</w:t>
      </w:r>
    </w:p>
    <w:p w:rsidR="0031512C" w:rsidRPr="006C2098" w:rsidRDefault="0031512C" w:rsidP="0031512C">
      <w:pPr>
        <w:tabs>
          <w:tab w:val="start" w:pos="22pt"/>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rPr>
        <w:t>2.</w:t>
      </w:r>
      <w:r w:rsidR="00230EF7">
        <w:rPr>
          <w:rFonts w:ascii="Century Gothic" w:eastAsia="Calibri" w:hAnsi="Century Gothic" w:cs="Arial"/>
          <w:noProof/>
          <w:sz w:val="21"/>
          <w:szCs w:val="21"/>
        </w:rPr>
        <w:t xml:space="preserve">    </w:t>
      </w:r>
      <w:r w:rsidRPr="006C2098">
        <w:rPr>
          <w:rFonts w:ascii="Century Gothic" w:eastAsia="Calibri" w:hAnsi="Century Gothic" w:cs="Arial"/>
          <w:noProof/>
          <w:sz w:val="21"/>
          <w:szCs w:val="21"/>
        </w:rPr>
        <w:t>Alcance.</w:t>
      </w:r>
      <w:r w:rsidRPr="006C2098">
        <w:rPr>
          <w:rFonts w:ascii="Century Gothic" w:eastAsia="Calibri" w:hAnsi="Century Gothic" w:cs="Arial"/>
          <w:noProof/>
          <w:webHidden/>
          <w:sz w:val="21"/>
          <w:szCs w:val="21"/>
        </w:rPr>
        <w:tab/>
        <w:t>213</w:t>
      </w:r>
    </w:p>
    <w:p w:rsidR="0031512C" w:rsidRPr="006C2098" w:rsidRDefault="0031512C" w:rsidP="0031512C">
      <w:pPr>
        <w:tabs>
          <w:tab w:val="start" w:pos="22pt"/>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rPr>
        <w:t>3.</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Arial"/>
          <w:noProof/>
          <w:sz w:val="21"/>
          <w:szCs w:val="21"/>
        </w:rPr>
        <w:t>Descripción general del plan.</w:t>
      </w:r>
      <w:r w:rsidRPr="006C2098">
        <w:rPr>
          <w:rFonts w:ascii="Century Gothic" w:eastAsia="Calibri" w:hAnsi="Century Gothic" w:cs="Arial"/>
          <w:noProof/>
          <w:webHidden/>
          <w:sz w:val="21"/>
          <w:szCs w:val="21"/>
        </w:rPr>
        <w:tab/>
        <w:t>214</w:t>
      </w:r>
    </w:p>
    <w:p w:rsidR="0031512C" w:rsidRPr="006C2098" w:rsidRDefault="0031512C" w:rsidP="0031512C">
      <w:pPr>
        <w:tabs>
          <w:tab w:val="start" w:pos="22pt"/>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rPr>
        <w:t>4.</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Arial"/>
          <w:noProof/>
          <w:sz w:val="21"/>
          <w:szCs w:val="21"/>
        </w:rPr>
        <w:t>Reglas de despliegue en pares desagregados.</w:t>
      </w:r>
      <w:r w:rsidRPr="006C2098">
        <w:rPr>
          <w:rFonts w:ascii="Century Gothic" w:eastAsia="Calibri" w:hAnsi="Century Gothic" w:cs="Arial"/>
          <w:noProof/>
          <w:webHidden/>
          <w:sz w:val="21"/>
          <w:szCs w:val="21"/>
        </w:rPr>
        <w:tab/>
        <w:t>216</w:t>
      </w:r>
    </w:p>
    <w:p w:rsidR="0031512C" w:rsidRPr="006C2098" w:rsidRDefault="0031512C" w:rsidP="0031512C">
      <w:pPr>
        <w:tabs>
          <w:tab w:val="start" w:pos="22pt"/>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rPr>
        <w:t>5.</w:t>
      </w:r>
      <w:r w:rsidR="00230EF7">
        <w:rPr>
          <w:rFonts w:ascii="Century Gothic" w:eastAsia="Calibri" w:hAnsi="Century Gothic" w:cs="Arial"/>
          <w:noProof/>
          <w:sz w:val="21"/>
          <w:szCs w:val="21"/>
        </w:rPr>
        <w:t xml:space="preserve">    </w:t>
      </w:r>
      <w:r w:rsidRPr="006C2098">
        <w:rPr>
          <w:rFonts w:ascii="Century Gothic" w:eastAsia="Calibri" w:hAnsi="Century Gothic" w:cs="Arial"/>
          <w:noProof/>
          <w:sz w:val="21"/>
          <w:szCs w:val="21"/>
        </w:rPr>
        <w:t>Tecnologías a desplegar en la red de cobre desagregada.</w:t>
      </w:r>
      <w:r w:rsidRPr="006C2098">
        <w:rPr>
          <w:rFonts w:ascii="Century Gothic" w:eastAsia="Calibri" w:hAnsi="Century Gothic" w:cs="Arial"/>
          <w:noProof/>
          <w:webHidden/>
          <w:sz w:val="21"/>
          <w:szCs w:val="21"/>
        </w:rPr>
        <w:tab/>
        <w:t>218</w:t>
      </w:r>
    </w:p>
    <w:p w:rsidR="0031512C" w:rsidRPr="006C2098" w:rsidRDefault="0031512C" w:rsidP="0031512C">
      <w:pPr>
        <w:tabs>
          <w:tab w:val="start" w:pos="22pt"/>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rPr>
        <w:t>6.</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Arial"/>
          <w:noProof/>
          <w:sz w:val="21"/>
          <w:szCs w:val="21"/>
        </w:rPr>
        <w:t>Reglas de penetración.</w:t>
      </w:r>
      <w:r w:rsidRPr="006C2098">
        <w:rPr>
          <w:rFonts w:ascii="Century Gothic" w:eastAsia="Calibri" w:hAnsi="Century Gothic" w:cs="Arial"/>
          <w:noProof/>
          <w:webHidden/>
          <w:sz w:val="21"/>
          <w:szCs w:val="21"/>
        </w:rPr>
        <w:tab/>
        <w:t>220</w:t>
      </w:r>
    </w:p>
    <w:p w:rsidR="0031512C" w:rsidRPr="006C2098" w:rsidRDefault="0031512C" w:rsidP="0031512C">
      <w:pPr>
        <w:tabs>
          <w:tab w:val="start" w:pos="22pt"/>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rPr>
        <w:t>7.</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Arial"/>
          <w:noProof/>
          <w:sz w:val="21"/>
          <w:szCs w:val="21"/>
        </w:rPr>
        <w:t>Procedimientos asociados al plan de gestión.</w:t>
      </w:r>
      <w:r w:rsidRPr="006C2098">
        <w:rPr>
          <w:rFonts w:ascii="Century Gothic" w:eastAsia="Calibri" w:hAnsi="Century Gothic" w:cs="Arial"/>
          <w:noProof/>
          <w:webHidden/>
          <w:sz w:val="21"/>
          <w:szCs w:val="21"/>
        </w:rPr>
        <w:tab/>
        <w:t>240</w:t>
      </w:r>
    </w:p>
    <w:p w:rsidR="0031512C" w:rsidRPr="006C2098" w:rsidRDefault="0031512C" w:rsidP="0031512C">
      <w:pPr>
        <w:tabs>
          <w:tab w:val="start" w:pos="22pt"/>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rPr>
        <w:t>8.</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Arial"/>
          <w:noProof/>
          <w:sz w:val="21"/>
          <w:szCs w:val="21"/>
        </w:rPr>
        <w:t>Definiciones.</w:t>
      </w:r>
      <w:r w:rsidRPr="006C2098">
        <w:rPr>
          <w:rFonts w:ascii="Century Gothic" w:eastAsia="Calibri" w:hAnsi="Century Gothic" w:cs="Arial"/>
          <w:noProof/>
          <w:webHidden/>
          <w:sz w:val="21"/>
          <w:szCs w:val="21"/>
        </w:rPr>
        <w:tab/>
        <w:t>245</w:t>
      </w:r>
    </w:p>
    <w:p w:rsidR="0031512C" w:rsidRPr="006C2098" w:rsidRDefault="0031512C" w:rsidP="0031512C">
      <w:pPr>
        <w:tabs>
          <w:tab w:val="start" w:pos="22pt"/>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rPr>
        <w:t>9.</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Arial"/>
          <w:noProof/>
          <w:sz w:val="21"/>
          <w:szCs w:val="21"/>
        </w:rPr>
        <w:t>Acrónimos.</w:t>
      </w:r>
      <w:r w:rsidRPr="006C2098">
        <w:rPr>
          <w:rFonts w:ascii="Century Gothic" w:eastAsia="Calibri" w:hAnsi="Century Gothic" w:cs="Arial"/>
          <w:noProof/>
          <w:webHidden/>
          <w:sz w:val="21"/>
          <w:szCs w:val="21"/>
        </w:rPr>
        <w:tab/>
        <w:t>247</w:t>
      </w:r>
    </w:p>
    <w:p w:rsidR="0031512C" w:rsidRPr="006C2098" w:rsidRDefault="0031512C" w:rsidP="0031512C">
      <w:pPr>
        <w:tabs>
          <w:tab w:val="start" w:pos="33pt"/>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rPr>
        <w:t>10.</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Arial"/>
          <w:noProof/>
          <w:sz w:val="21"/>
          <w:szCs w:val="21"/>
        </w:rPr>
        <w:t>Documentos de referencia.</w:t>
      </w:r>
      <w:r w:rsidRPr="006C2098">
        <w:rPr>
          <w:rFonts w:ascii="Century Gothic" w:eastAsia="Calibri" w:hAnsi="Century Gothic" w:cs="Arial"/>
          <w:noProof/>
          <w:webHidden/>
          <w:sz w:val="21"/>
          <w:szCs w:val="21"/>
        </w:rPr>
        <w:tab/>
        <w:t>247</w:t>
      </w:r>
    </w:p>
    <w:p w:rsidR="0031512C" w:rsidRPr="006C2098" w:rsidRDefault="0031512C" w:rsidP="0031512C">
      <w:pPr>
        <w:tabs>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rPr>
        <w:t>ANEXO E</w:t>
      </w:r>
      <w:r w:rsidRPr="006C2098">
        <w:rPr>
          <w:rFonts w:ascii="Century Gothic" w:eastAsia="Calibri" w:hAnsi="Century Gothic" w:cs="Arial"/>
          <w:noProof/>
          <w:webHidden/>
          <w:sz w:val="21"/>
          <w:szCs w:val="21"/>
        </w:rPr>
        <w:tab/>
        <w:t>251</w:t>
      </w:r>
    </w:p>
    <w:p w:rsidR="0031512C" w:rsidRPr="006C2098" w:rsidRDefault="0031512C" w:rsidP="0031512C">
      <w:pPr>
        <w:tabs>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rPr>
        <w:t>ANEXO F</w:t>
      </w:r>
      <w:r w:rsidRPr="006C2098">
        <w:rPr>
          <w:rFonts w:ascii="Century Gothic" w:eastAsia="Calibri" w:hAnsi="Century Gothic" w:cs="Arial"/>
          <w:noProof/>
          <w:webHidden/>
          <w:sz w:val="21"/>
          <w:szCs w:val="21"/>
        </w:rPr>
        <w:tab/>
        <w:t>255</w:t>
      </w:r>
    </w:p>
    <w:p w:rsidR="0031512C" w:rsidRPr="006C2098" w:rsidRDefault="0031512C" w:rsidP="0031512C">
      <w:pPr>
        <w:tabs>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rPr>
        <w:t>DECLARACIONES</w:t>
      </w:r>
      <w:r w:rsidRPr="006C2098">
        <w:rPr>
          <w:rFonts w:ascii="Century Gothic" w:eastAsia="Calibri" w:hAnsi="Century Gothic" w:cs="Arial"/>
          <w:noProof/>
          <w:webHidden/>
          <w:sz w:val="21"/>
          <w:szCs w:val="21"/>
        </w:rPr>
        <w:tab/>
        <w:t>257</w:t>
      </w:r>
    </w:p>
    <w:p w:rsidR="0031512C" w:rsidRPr="006C2098" w:rsidRDefault="0031512C" w:rsidP="0031512C">
      <w:pPr>
        <w:tabs>
          <w:tab w:val="end" w:leader="dot" w:pos="469.70pt"/>
        </w:tabs>
        <w:spacing w:after="5pt" w:line="13.20pt" w:lineRule="auto"/>
        <w:rPr>
          <w:rFonts w:ascii="Century Gothic" w:eastAsia="Times New Roman" w:hAnsi="Century Gothic" w:cs="Times New Roman"/>
          <w:noProof/>
          <w:sz w:val="21"/>
          <w:szCs w:val="21"/>
          <w:lang w:eastAsia="es-MX"/>
        </w:rPr>
      </w:pPr>
      <w:r w:rsidRPr="006C2098">
        <w:rPr>
          <w:rFonts w:ascii="Century Gothic" w:eastAsia="Calibri" w:hAnsi="Century Gothic" w:cs="Arial"/>
          <w:noProof/>
          <w:sz w:val="21"/>
          <w:szCs w:val="21"/>
        </w:rPr>
        <w:t>CLÁUSULAS</w:t>
      </w:r>
      <w:r w:rsidRPr="006C2098">
        <w:rPr>
          <w:rFonts w:ascii="Century Gothic" w:eastAsia="Calibri" w:hAnsi="Century Gothic" w:cs="Arial"/>
          <w:noProof/>
          <w:webHidden/>
          <w:sz w:val="21"/>
          <w:szCs w:val="21"/>
        </w:rPr>
        <w:tab/>
        <w:t>260</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Primera. DEFINICIONES</w:t>
      </w:r>
      <w:r w:rsidRPr="006C2098">
        <w:rPr>
          <w:rFonts w:ascii="Century Gothic" w:eastAsia="Calibri" w:hAnsi="Century Gothic" w:cs="Times New Roman"/>
          <w:noProof/>
          <w:webHidden/>
          <w:sz w:val="21"/>
          <w:szCs w:val="21"/>
        </w:rPr>
        <w:tab/>
        <w:t>260</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Segunda. OBJETO</w:t>
      </w:r>
      <w:r w:rsidRPr="006C2098">
        <w:rPr>
          <w:rFonts w:ascii="Century Gothic" w:eastAsia="Calibri" w:hAnsi="Century Gothic" w:cs="Times New Roman"/>
          <w:noProof/>
          <w:webHidden/>
          <w:sz w:val="21"/>
          <w:szCs w:val="21"/>
        </w:rPr>
        <w:tab/>
        <w:t>260</w:t>
      </w:r>
    </w:p>
    <w:p w:rsidR="0031512C" w:rsidRPr="006C2098" w:rsidRDefault="0031512C" w:rsidP="0031512C">
      <w:pPr>
        <w:tabs>
          <w:tab w:val="start" w:pos="77pt"/>
          <w:tab w:val="end" w:leader="dot" w:pos="441.40pt"/>
        </w:tabs>
        <w:spacing w:after="5pt" w:line="13.20pt" w:lineRule="auto"/>
        <w:ind w:start="22pt" w:end="2.40pt"/>
        <w:jc w:val="both"/>
        <w:rPr>
          <w:rFonts w:ascii="Century Gothic" w:eastAsia="Calibri" w:hAnsi="Century Gothic" w:cs="Times New Roman"/>
          <w:noProof/>
          <w:color w:val="0563C1"/>
          <w:sz w:val="21"/>
          <w:szCs w:val="21"/>
          <w:u w:val="single"/>
        </w:rPr>
      </w:pPr>
      <w:r w:rsidRPr="006C2098">
        <w:rPr>
          <w:rFonts w:ascii="Century Gothic" w:eastAsia="Calibri" w:hAnsi="Century Gothic" w:cs="Times New Roman"/>
          <w:noProof/>
          <w:sz w:val="21"/>
          <w:szCs w:val="21"/>
        </w:rPr>
        <w:t>2.1</w:t>
      </w:r>
      <w:r w:rsidRPr="006C2098">
        <w:rPr>
          <w:rFonts w:ascii="Century Gothic" w:eastAsia="Calibri" w:hAnsi="Century Gothic" w:cs="Times New Roman"/>
          <w:noProof/>
          <w:sz w:val="21"/>
          <w:szCs w:val="21"/>
        </w:rPr>
        <w:tab/>
      </w:r>
      <w:r w:rsidR="00230EF7">
        <w:rPr>
          <w:rFonts w:ascii="Century Gothic" w:eastAsia="Calibri" w:hAnsi="Century Gothic" w:cs="Times New Roman"/>
          <w:noProof/>
          <w:sz w:val="21"/>
          <w:szCs w:val="21"/>
        </w:rPr>
        <w:t>Alcance de los servicios………..</w:t>
      </w:r>
      <w:r>
        <w:rPr>
          <w:rFonts w:ascii="Century Gothic" w:eastAsia="Calibri" w:hAnsi="Century Gothic" w:cs="Times New Roman"/>
          <w:noProof/>
          <w:webHidden/>
          <w:sz w:val="21"/>
          <w:szCs w:val="21"/>
        </w:rPr>
        <w:t>………………………………………………</w:t>
      </w:r>
      <w:r w:rsidRPr="006C2098">
        <w:rPr>
          <w:rFonts w:ascii="Century Gothic" w:eastAsia="Calibri" w:hAnsi="Century Gothic" w:cs="Times New Roman"/>
          <w:noProof/>
          <w:webHidden/>
          <w:sz w:val="21"/>
          <w:szCs w:val="21"/>
        </w:rPr>
        <w:t>2</w:t>
      </w:r>
      <w:r>
        <w:rPr>
          <w:rFonts w:ascii="Century Gothic" w:eastAsia="Calibri" w:hAnsi="Century Gothic" w:cs="Times New Roman"/>
          <w:noProof/>
          <w:webHidden/>
          <w:sz w:val="21"/>
          <w:szCs w:val="21"/>
        </w:rPr>
        <w:t>70</w:t>
      </w:r>
    </w:p>
    <w:p w:rsidR="0031512C" w:rsidRPr="006C2098" w:rsidRDefault="0031512C"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2.2</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Inicio de la prestación de los Servicios.</w:t>
      </w:r>
      <w:r w:rsidRPr="006C2098">
        <w:rPr>
          <w:rFonts w:ascii="Century Gothic" w:eastAsia="Calibri" w:hAnsi="Century Gothic" w:cs="Times New Roman"/>
          <w:noProof/>
          <w:webHidden/>
          <w:sz w:val="21"/>
          <w:szCs w:val="21"/>
        </w:rPr>
        <w:tab/>
        <w:t>260</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Tercera. PRECIO Y CONDICIONES DE PAGO</w:t>
      </w:r>
      <w:r w:rsidRPr="006C2098">
        <w:rPr>
          <w:rFonts w:ascii="Century Gothic" w:eastAsia="Calibri" w:hAnsi="Century Gothic" w:cs="Times New Roman"/>
          <w:noProof/>
          <w:webHidden/>
          <w:sz w:val="21"/>
          <w:szCs w:val="21"/>
        </w:rPr>
        <w:tab/>
        <w:t>261</w:t>
      </w:r>
    </w:p>
    <w:p w:rsidR="0031512C" w:rsidRPr="006C2098" w:rsidRDefault="0031512C"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 xml:space="preserve">3.1 </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Pago de los SERVICIOS:</w:t>
      </w:r>
      <w:r w:rsidRPr="006C2098">
        <w:rPr>
          <w:rFonts w:ascii="Century Gothic" w:eastAsia="Calibri" w:hAnsi="Century Gothic" w:cs="Times New Roman"/>
          <w:noProof/>
          <w:webHidden/>
          <w:sz w:val="21"/>
          <w:szCs w:val="21"/>
        </w:rPr>
        <w:tab/>
        <w:t>261</w:t>
      </w:r>
    </w:p>
    <w:p w:rsidR="0031512C" w:rsidRPr="006C2098" w:rsidRDefault="0031512C"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 xml:space="preserve">3.2 </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Remisión de facturas.</w:t>
      </w:r>
      <w:r w:rsidRPr="006C2098">
        <w:rPr>
          <w:rFonts w:ascii="Century Gothic" w:eastAsia="Calibri" w:hAnsi="Century Gothic" w:cs="Times New Roman"/>
          <w:noProof/>
          <w:webHidden/>
          <w:sz w:val="21"/>
          <w:szCs w:val="21"/>
        </w:rPr>
        <w:tab/>
        <w:t>261</w:t>
      </w:r>
    </w:p>
    <w:p w:rsidR="0031512C" w:rsidRPr="006C2098" w:rsidRDefault="0031512C"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 xml:space="preserve">3.3 </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Inconformidades.</w:t>
      </w:r>
      <w:r w:rsidRPr="006C2098">
        <w:rPr>
          <w:rFonts w:ascii="Century Gothic" w:eastAsia="Calibri" w:hAnsi="Century Gothic" w:cs="Times New Roman"/>
          <w:noProof/>
          <w:webHidden/>
          <w:sz w:val="21"/>
          <w:szCs w:val="21"/>
        </w:rPr>
        <w:tab/>
        <w:t>262</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Cuarta. INTERESES MORATORIOS</w:t>
      </w:r>
      <w:r w:rsidRPr="006C2098">
        <w:rPr>
          <w:rFonts w:ascii="Century Gothic" w:eastAsia="Calibri" w:hAnsi="Century Gothic" w:cs="Times New Roman"/>
          <w:noProof/>
          <w:webHidden/>
          <w:sz w:val="21"/>
          <w:szCs w:val="21"/>
        </w:rPr>
        <w:tab/>
        <w:t>263</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Quinta. INFORMACIÓN CONFIDENCIAL</w:t>
      </w:r>
      <w:r w:rsidRPr="006C2098">
        <w:rPr>
          <w:rFonts w:ascii="Century Gothic" w:eastAsia="Calibri" w:hAnsi="Century Gothic" w:cs="Times New Roman"/>
          <w:noProof/>
          <w:webHidden/>
          <w:sz w:val="21"/>
          <w:szCs w:val="21"/>
        </w:rPr>
        <w:tab/>
        <w:t>264</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Sexta. INCUMPLIMIENTO EN LA ENTREGA DE LOS SERVICIOS</w:t>
      </w:r>
      <w:r w:rsidRPr="006C2098">
        <w:rPr>
          <w:rFonts w:ascii="Century Gothic" w:eastAsia="Calibri" w:hAnsi="Century Gothic" w:cs="Times New Roman"/>
          <w:noProof/>
          <w:webHidden/>
          <w:sz w:val="21"/>
          <w:szCs w:val="21"/>
        </w:rPr>
        <w:tab/>
        <w:t>265</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Séptima. PROPIEDAD DE LA INFRAESTRUCTURA Y RESPONSABILIDAD</w:t>
      </w:r>
      <w:r w:rsidRPr="006C2098">
        <w:rPr>
          <w:rFonts w:ascii="Century Gothic" w:eastAsia="Calibri" w:hAnsi="Century Gothic" w:cs="Times New Roman"/>
          <w:noProof/>
          <w:webHidden/>
          <w:sz w:val="21"/>
          <w:szCs w:val="21"/>
        </w:rPr>
        <w:tab/>
        <w:t>266</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Octava. GARANTÍAS DEL CONVENIO</w:t>
      </w:r>
      <w:r w:rsidRPr="006C2098">
        <w:rPr>
          <w:rFonts w:ascii="Century Gothic" w:eastAsia="Calibri" w:hAnsi="Century Gothic" w:cs="Times New Roman"/>
          <w:noProof/>
          <w:webHidden/>
          <w:sz w:val="21"/>
          <w:szCs w:val="21"/>
        </w:rPr>
        <w:tab/>
        <w:t>267</w:t>
      </w:r>
    </w:p>
    <w:p w:rsidR="0031512C" w:rsidRDefault="0031512C" w:rsidP="0031512C">
      <w:pPr>
        <w:tabs>
          <w:tab w:val="start" w:pos="77pt"/>
          <w:tab w:val="end" w:leader="dot" w:pos="441.40pt"/>
        </w:tabs>
        <w:spacing w:after="5pt" w:line="13.20pt" w:lineRule="auto"/>
        <w:ind w:start="22pt" w:end="2.40pt"/>
        <w:jc w:val="both"/>
        <w:rPr>
          <w:rFonts w:ascii="Century Gothic" w:eastAsia="Calibri" w:hAnsi="Century Gothic" w:cs="Times New Roman"/>
          <w:noProof/>
          <w:webHidden/>
          <w:sz w:val="21"/>
          <w:szCs w:val="21"/>
        </w:rPr>
      </w:pPr>
      <w:r w:rsidRPr="006C2098">
        <w:rPr>
          <w:rFonts w:ascii="Century Gothic" w:eastAsia="Calibri" w:hAnsi="Century Gothic" w:cs="Times New Roman"/>
          <w:noProof/>
          <w:sz w:val="21"/>
          <w:szCs w:val="21"/>
        </w:rPr>
        <w:t>8.1</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Garantía para el pago de las Contraprestaciones.</w:t>
      </w:r>
      <w:r w:rsidRPr="006C2098">
        <w:rPr>
          <w:rFonts w:ascii="Century Gothic" w:eastAsia="Calibri" w:hAnsi="Century Gothic" w:cs="Times New Roman"/>
          <w:noProof/>
          <w:webHidden/>
          <w:sz w:val="21"/>
          <w:szCs w:val="21"/>
        </w:rPr>
        <w:tab/>
        <w:t>267</w:t>
      </w:r>
    </w:p>
    <w:p w:rsidR="000511F0" w:rsidRDefault="000511F0"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0511F0">
        <w:rPr>
          <w:rFonts w:ascii="Century Gothic" w:eastAsia="Times New Roman" w:hAnsi="Century Gothic" w:cs="Times New Roman"/>
          <w:noProof/>
          <w:sz w:val="21"/>
          <w:szCs w:val="21"/>
          <w:lang w:eastAsia="es-MX"/>
        </w:rPr>
        <w:t>8.2</w:t>
      </w:r>
      <w:r w:rsidRPr="000511F0">
        <w:rPr>
          <w:rFonts w:ascii="Century Gothic" w:eastAsia="Times New Roman" w:hAnsi="Century Gothic" w:cs="Times New Roman"/>
          <w:noProof/>
          <w:sz w:val="21"/>
          <w:szCs w:val="21"/>
          <w:lang w:eastAsia="es-MX"/>
        </w:rPr>
        <w:tab/>
        <w:t>Fianza y Carta de Crédito</w:t>
      </w:r>
      <w:r>
        <w:rPr>
          <w:rFonts w:ascii="Century Gothic" w:eastAsia="Times New Roman" w:hAnsi="Century Gothic" w:cs="Times New Roman"/>
          <w:noProof/>
          <w:sz w:val="21"/>
          <w:szCs w:val="21"/>
          <w:lang w:eastAsia="es-MX"/>
        </w:rPr>
        <w:t>…………………………………………………….267</w:t>
      </w:r>
    </w:p>
    <w:p w:rsidR="000511F0" w:rsidRDefault="000511F0"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0511F0">
        <w:rPr>
          <w:rFonts w:ascii="Century Gothic" w:eastAsia="Times New Roman" w:hAnsi="Century Gothic" w:cs="Times New Roman"/>
          <w:noProof/>
          <w:sz w:val="21"/>
          <w:szCs w:val="21"/>
          <w:lang w:eastAsia="es-MX"/>
        </w:rPr>
        <w:t xml:space="preserve">8.3      </w:t>
      </w:r>
      <w:r>
        <w:rPr>
          <w:rFonts w:ascii="Century Gothic" w:eastAsia="Times New Roman" w:hAnsi="Century Gothic" w:cs="Times New Roman"/>
          <w:noProof/>
          <w:sz w:val="21"/>
          <w:szCs w:val="21"/>
          <w:lang w:eastAsia="es-MX"/>
        </w:rPr>
        <w:t xml:space="preserve">        </w:t>
      </w:r>
      <w:r w:rsidRPr="000511F0">
        <w:rPr>
          <w:rFonts w:ascii="Century Gothic" w:eastAsia="Times New Roman" w:hAnsi="Century Gothic" w:cs="Times New Roman"/>
          <w:noProof/>
          <w:sz w:val="21"/>
          <w:szCs w:val="21"/>
          <w:lang w:eastAsia="es-MX"/>
        </w:rPr>
        <w:t>Depósito condicionado y depósito en garantía</w:t>
      </w:r>
      <w:r>
        <w:rPr>
          <w:rFonts w:ascii="Century Gothic" w:eastAsia="Times New Roman" w:hAnsi="Century Gothic" w:cs="Times New Roman"/>
          <w:noProof/>
          <w:sz w:val="21"/>
          <w:szCs w:val="21"/>
          <w:lang w:eastAsia="es-MX"/>
        </w:rPr>
        <w:t>…………………….......268</w:t>
      </w:r>
    </w:p>
    <w:p w:rsidR="000511F0" w:rsidRPr="006C2098" w:rsidRDefault="000511F0"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0511F0">
        <w:rPr>
          <w:rFonts w:ascii="Century Gothic" w:eastAsia="Times New Roman" w:hAnsi="Century Gothic" w:cs="Times New Roman"/>
          <w:noProof/>
          <w:sz w:val="21"/>
          <w:szCs w:val="21"/>
          <w:lang w:eastAsia="es-MX"/>
        </w:rPr>
        <w:t>8.4</w:t>
      </w:r>
      <w:r w:rsidRPr="000511F0">
        <w:rPr>
          <w:rFonts w:ascii="Century Gothic" w:eastAsia="Times New Roman" w:hAnsi="Century Gothic" w:cs="Times New Roman"/>
          <w:noProof/>
          <w:sz w:val="21"/>
          <w:szCs w:val="21"/>
          <w:lang w:eastAsia="es-MX"/>
        </w:rPr>
        <w:tab/>
        <w:t>Constitución y renovación de las Garantías</w:t>
      </w:r>
      <w:r>
        <w:rPr>
          <w:rFonts w:ascii="Century Gothic" w:eastAsia="Times New Roman" w:hAnsi="Century Gothic" w:cs="Times New Roman"/>
          <w:noProof/>
          <w:sz w:val="21"/>
          <w:szCs w:val="21"/>
          <w:lang w:eastAsia="es-MX"/>
        </w:rPr>
        <w:t>………………………………268</w:t>
      </w:r>
    </w:p>
    <w:p w:rsidR="0031512C" w:rsidRPr="006C2098" w:rsidRDefault="0031512C"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lastRenderedPageBreak/>
        <w:t>8.5</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Modificación de las Garantías.</w:t>
      </w:r>
      <w:r w:rsidRPr="006C2098">
        <w:rPr>
          <w:rFonts w:ascii="Century Gothic" w:eastAsia="Calibri" w:hAnsi="Century Gothic" w:cs="Times New Roman"/>
          <w:noProof/>
          <w:webHidden/>
          <w:sz w:val="21"/>
          <w:szCs w:val="21"/>
        </w:rPr>
        <w:tab/>
        <w:t>269</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Novena. CESIÓN DE DERECHOS</w:t>
      </w:r>
      <w:r w:rsidRPr="006C2098">
        <w:rPr>
          <w:rFonts w:ascii="Century Gothic" w:eastAsia="Calibri" w:hAnsi="Century Gothic" w:cs="Times New Roman"/>
          <w:noProof/>
          <w:webHidden/>
          <w:sz w:val="21"/>
          <w:szCs w:val="21"/>
        </w:rPr>
        <w:tab/>
        <w:t>269</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Décima.  CONTINUIDAD Y SUSPENSIÓN DE LOS SERVICIOS DE DESAGREGACIÓN</w:t>
      </w:r>
      <w:r w:rsidRPr="006C2098">
        <w:rPr>
          <w:rFonts w:ascii="Century Gothic" w:eastAsia="Calibri" w:hAnsi="Century Gothic" w:cs="Times New Roman"/>
          <w:noProof/>
          <w:webHidden/>
          <w:sz w:val="21"/>
          <w:szCs w:val="21"/>
        </w:rPr>
        <w:tab/>
        <w:t>269</w:t>
      </w:r>
    </w:p>
    <w:p w:rsidR="0031512C" w:rsidRPr="006C2098" w:rsidRDefault="0031512C"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10.1</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Continuidad de los servicios de desagregación de bucle local.</w:t>
      </w:r>
      <w:r w:rsidRPr="006C2098">
        <w:rPr>
          <w:rFonts w:ascii="Century Gothic" w:eastAsia="Calibri" w:hAnsi="Century Gothic" w:cs="Times New Roman"/>
          <w:noProof/>
          <w:webHidden/>
          <w:sz w:val="21"/>
          <w:szCs w:val="21"/>
        </w:rPr>
        <w:tab/>
        <w:t>269</w:t>
      </w:r>
    </w:p>
    <w:p w:rsidR="0031512C" w:rsidRPr="006C2098" w:rsidRDefault="0031512C"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10.2</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Suspensión temporal</w:t>
      </w:r>
      <w:r w:rsidRPr="006C2098">
        <w:rPr>
          <w:rFonts w:ascii="Century Gothic" w:eastAsia="Calibri" w:hAnsi="Century Gothic" w:cs="Times New Roman"/>
          <w:noProof/>
          <w:webHidden/>
          <w:sz w:val="21"/>
          <w:szCs w:val="21"/>
        </w:rPr>
        <w:tab/>
        <w:t>270</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Décima Primera.  CAUSAS DE FUERZA MAYOR Y/O CASO FORTUITO</w:t>
      </w:r>
      <w:r w:rsidRPr="006C2098">
        <w:rPr>
          <w:rFonts w:ascii="Century Gothic" w:eastAsia="Calibri" w:hAnsi="Century Gothic" w:cs="Times New Roman"/>
          <w:noProof/>
          <w:webHidden/>
          <w:sz w:val="21"/>
          <w:szCs w:val="21"/>
        </w:rPr>
        <w:tab/>
        <w:t>271</w:t>
      </w:r>
    </w:p>
    <w:p w:rsidR="0031512C" w:rsidRPr="006C2098" w:rsidRDefault="0031512C" w:rsidP="0031512C">
      <w:pPr>
        <w:tabs>
          <w:tab w:val="start" w:pos="109.45pt"/>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Décima Segunda.</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VIGENCIA</w:t>
      </w:r>
      <w:r w:rsidRPr="006C2098">
        <w:rPr>
          <w:rFonts w:ascii="Century Gothic" w:eastAsia="Calibri" w:hAnsi="Century Gothic" w:cs="Times New Roman"/>
          <w:noProof/>
          <w:webHidden/>
          <w:sz w:val="21"/>
          <w:szCs w:val="21"/>
        </w:rPr>
        <w:tab/>
        <w:t>272</w:t>
      </w:r>
    </w:p>
    <w:p w:rsidR="0031512C" w:rsidRPr="006C2098" w:rsidRDefault="0031512C"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12.1</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Duración del convenio</w:t>
      </w:r>
      <w:r w:rsidRPr="006C2098">
        <w:rPr>
          <w:rFonts w:ascii="Century Gothic" w:eastAsia="Calibri" w:hAnsi="Century Gothic" w:cs="Times New Roman"/>
          <w:noProof/>
          <w:webHidden/>
          <w:sz w:val="21"/>
          <w:szCs w:val="21"/>
        </w:rPr>
        <w:tab/>
        <w:t>272</w:t>
      </w:r>
    </w:p>
    <w:p w:rsidR="0031512C" w:rsidRPr="006C2098" w:rsidRDefault="0031512C"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12.2</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Terminación anticipada</w:t>
      </w:r>
      <w:r w:rsidRPr="006C2098">
        <w:rPr>
          <w:rFonts w:ascii="Century Gothic" w:eastAsia="Calibri" w:hAnsi="Century Gothic" w:cs="Times New Roman"/>
          <w:noProof/>
          <w:webHidden/>
          <w:sz w:val="21"/>
          <w:szCs w:val="21"/>
        </w:rPr>
        <w:tab/>
        <w:t>272</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Décima Tercera. RESCISIÓN DEL CONVENIO</w:t>
      </w:r>
      <w:r w:rsidRPr="006C2098">
        <w:rPr>
          <w:rFonts w:ascii="Century Gothic" w:eastAsia="Calibri" w:hAnsi="Century Gothic" w:cs="Times New Roman"/>
          <w:noProof/>
          <w:webHidden/>
          <w:sz w:val="21"/>
          <w:szCs w:val="21"/>
        </w:rPr>
        <w:tab/>
        <w:t>273</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13.1 Causas de Rescisión.</w:t>
      </w:r>
      <w:r w:rsidRPr="006C2098">
        <w:rPr>
          <w:rFonts w:ascii="Century Gothic" w:eastAsia="Calibri" w:hAnsi="Century Gothic" w:cs="Times New Roman"/>
          <w:noProof/>
          <w:webHidden/>
          <w:sz w:val="21"/>
          <w:szCs w:val="21"/>
        </w:rPr>
        <w:tab/>
        <w:t>273</w:t>
      </w:r>
    </w:p>
    <w:p w:rsidR="0031512C" w:rsidRPr="006C2098" w:rsidRDefault="0031512C"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a)</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Incumplimiento del otorgamiento, entrega y efectividad de las garantías.</w:t>
      </w:r>
      <w:r w:rsidRPr="006C2098">
        <w:rPr>
          <w:rFonts w:ascii="Century Gothic" w:eastAsia="Calibri" w:hAnsi="Century Gothic" w:cs="Times New Roman"/>
          <w:noProof/>
          <w:webHidden/>
          <w:sz w:val="21"/>
          <w:szCs w:val="21"/>
        </w:rPr>
        <w:t>27</w:t>
      </w:r>
      <w:r>
        <w:rPr>
          <w:rFonts w:ascii="Century Gothic" w:eastAsia="Calibri" w:hAnsi="Century Gothic" w:cs="Times New Roman"/>
          <w:noProof/>
          <w:webHidden/>
          <w:sz w:val="21"/>
          <w:szCs w:val="21"/>
        </w:rPr>
        <w:t>4</w:t>
      </w:r>
    </w:p>
    <w:p w:rsidR="0031512C" w:rsidRPr="006C2098" w:rsidRDefault="0031512C"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b)</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Incumplimiento de obligaciones de pago.</w:t>
      </w:r>
      <w:r w:rsidRPr="006C2098">
        <w:rPr>
          <w:rFonts w:ascii="Century Gothic" w:eastAsia="Calibri" w:hAnsi="Century Gothic" w:cs="Times New Roman"/>
          <w:noProof/>
          <w:webHidden/>
          <w:sz w:val="21"/>
          <w:szCs w:val="21"/>
        </w:rPr>
        <w:tab/>
        <w:t>274</w:t>
      </w:r>
    </w:p>
    <w:p w:rsidR="0031512C" w:rsidRPr="006C2098" w:rsidRDefault="0031512C"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c)</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Conductas ilícitas.</w:t>
      </w:r>
      <w:r w:rsidRPr="006C2098">
        <w:rPr>
          <w:rFonts w:ascii="Century Gothic" w:eastAsia="Calibri" w:hAnsi="Century Gothic" w:cs="Times New Roman"/>
          <w:noProof/>
          <w:webHidden/>
          <w:sz w:val="21"/>
          <w:szCs w:val="21"/>
        </w:rPr>
        <w:tab/>
        <w:t>274</w:t>
      </w:r>
    </w:p>
    <w:p w:rsidR="0031512C" w:rsidRPr="006C2098" w:rsidRDefault="0031512C"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d)</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Concurso Mercantil.</w:t>
      </w:r>
      <w:r w:rsidRPr="006C2098">
        <w:rPr>
          <w:rFonts w:ascii="Century Gothic" w:eastAsia="Calibri" w:hAnsi="Century Gothic" w:cs="Times New Roman"/>
          <w:noProof/>
          <w:webHidden/>
          <w:sz w:val="21"/>
          <w:szCs w:val="21"/>
        </w:rPr>
        <w:tab/>
        <w:t>274</w:t>
      </w:r>
    </w:p>
    <w:p w:rsidR="0031512C" w:rsidRPr="006C2098" w:rsidRDefault="0031512C"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e)</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Uso distinto.</w:t>
      </w:r>
      <w:r w:rsidRPr="006C2098">
        <w:rPr>
          <w:rFonts w:ascii="Century Gothic" w:eastAsia="Calibri" w:hAnsi="Century Gothic" w:cs="Times New Roman"/>
          <w:noProof/>
          <w:webHidden/>
          <w:sz w:val="21"/>
          <w:szCs w:val="21"/>
        </w:rPr>
        <w:tab/>
        <w:t>274</w:t>
      </w:r>
    </w:p>
    <w:p w:rsidR="0031512C" w:rsidRPr="006C2098" w:rsidRDefault="00230EF7"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Pr>
          <w:rFonts w:ascii="Century Gothic" w:eastAsia="Calibri" w:hAnsi="Century Gothic" w:cs="Times New Roman"/>
          <w:noProof/>
          <w:sz w:val="21"/>
          <w:szCs w:val="21"/>
        </w:rPr>
        <w:t xml:space="preserve"> </w:t>
      </w:r>
      <w:r w:rsidR="0031512C" w:rsidRPr="006C2098">
        <w:rPr>
          <w:rFonts w:ascii="Century Gothic" w:eastAsia="Calibri" w:hAnsi="Century Gothic" w:cs="Times New Roman"/>
          <w:noProof/>
          <w:sz w:val="21"/>
          <w:szCs w:val="21"/>
        </w:rPr>
        <w:t>f)</w:t>
      </w:r>
      <w:r w:rsidR="0031512C" w:rsidRPr="006C2098">
        <w:rPr>
          <w:rFonts w:ascii="Century Gothic" w:eastAsia="Times New Roman" w:hAnsi="Century Gothic" w:cs="Times New Roman"/>
          <w:noProof/>
          <w:sz w:val="21"/>
          <w:szCs w:val="21"/>
          <w:lang w:eastAsia="es-MX"/>
        </w:rPr>
        <w:tab/>
      </w:r>
      <w:r w:rsidR="0031512C" w:rsidRPr="006C2098">
        <w:rPr>
          <w:rFonts w:ascii="Century Gothic" w:eastAsia="Calibri" w:hAnsi="Century Gothic" w:cs="Times New Roman"/>
          <w:noProof/>
          <w:sz w:val="21"/>
          <w:szCs w:val="21"/>
        </w:rPr>
        <w:t>Información falsa.</w:t>
      </w:r>
      <w:r w:rsidR="0031512C" w:rsidRPr="006C2098">
        <w:rPr>
          <w:rFonts w:ascii="Century Gothic" w:eastAsia="Calibri" w:hAnsi="Century Gothic" w:cs="Times New Roman"/>
          <w:noProof/>
          <w:webHidden/>
          <w:sz w:val="21"/>
          <w:szCs w:val="21"/>
        </w:rPr>
        <w:tab/>
        <w:t>275</w:t>
      </w:r>
    </w:p>
    <w:p w:rsidR="0031512C" w:rsidRPr="006C2098" w:rsidRDefault="0031512C"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g)</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Violación a las obligaciones de confidencialidad.</w:t>
      </w:r>
      <w:r w:rsidRPr="006C2098">
        <w:rPr>
          <w:rFonts w:ascii="Century Gothic" w:eastAsia="Calibri" w:hAnsi="Century Gothic" w:cs="Times New Roman"/>
          <w:noProof/>
          <w:webHidden/>
          <w:sz w:val="21"/>
          <w:szCs w:val="21"/>
        </w:rPr>
        <w:tab/>
        <w:t>275</w:t>
      </w:r>
    </w:p>
    <w:p w:rsidR="0031512C" w:rsidRPr="006C2098" w:rsidRDefault="0031512C"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 xml:space="preserve">13.2 </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Periodo de Cura</w:t>
      </w:r>
      <w:r w:rsidRPr="006C2098">
        <w:rPr>
          <w:rFonts w:ascii="Century Gothic" w:eastAsia="Calibri" w:hAnsi="Century Gothic" w:cs="Times New Roman"/>
          <w:noProof/>
          <w:webHidden/>
          <w:sz w:val="21"/>
          <w:szCs w:val="21"/>
        </w:rPr>
        <w:tab/>
        <w:t>275</w:t>
      </w:r>
    </w:p>
    <w:p w:rsidR="0031512C" w:rsidRPr="006C2098" w:rsidRDefault="0031512C" w:rsidP="0031512C">
      <w:pPr>
        <w:tabs>
          <w:tab w:val="start" w:pos="77pt"/>
          <w:tab w:val="end" w:leader="dot" w:pos="441.40pt"/>
        </w:tabs>
        <w:spacing w:after="5pt" w:line="13.20pt" w:lineRule="auto"/>
        <w:ind w:start="22pt" w:end="2.40pt"/>
        <w:jc w:val="both"/>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 xml:space="preserve">13.3 </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Caso fortuito o fuerza mayor</w:t>
      </w:r>
      <w:r w:rsidRPr="006C2098">
        <w:rPr>
          <w:rFonts w:ascii="Century Gothic" w:eastAsia="Calibri" w:hAnsi="Century Gothic" w:cs="Times New Roman"/>
          <w:noProof/>
          <w:webHidden/>
          <w:sz w:val="21"/>
          <w:szCs w:val="21"/>
        </w:rPr>
        <w:tab/>
        <w:t>275</w:t>
      </w:r>
    </w:p>
    <w:p w:rsidR="0031512C" w:rsidRPr="006C2098" w:rsidRDefault="0031512C" w:rsidP="0031512C">
      <w:pPr>
        <w:tabs>
          <w:tab w:val="start" w:pos="98.40pt"/>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Décima Cuarta.</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DAÑOS A TERCEROS.</w:t>
      </w:r>
      <w:r w:rsidRPr="006C2098">
        <w:rPr>
          <w:rFonts w:ascii="Century Gothic" w:eastAsia="Calibri" w:hAnsi="Century Gothic" w:cs="Times New Roman"/>
          <w:noProof/>
          <w:webHidden/>
          <w:sz w:val="21"/>
          <w:szCs w:val="21"/>
        </w:rPr>
        <w:tab/>
        <w:t>275</w:t>
      </w:r>
    </w:p>
    <w:p w:rsidR="0031512C" w:rsidRPr="006C2098" w:rsidRDefault="0031512C" w:rsidP="0031512C">
      <w:pPr>
        <w:tabs>
          <w:tab w:val="start" w:pos="97.80pt"/>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Décima Quinta.</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RELACIONES LABORALES.</w:t>
      </w:r>
      <w:r w:rsidRPr="006C2098">
        <w:rPr>
          <w:rFonts w:ascii="Century Gothic" w:eastAsia="Calibri" w:hAnsi="Century Gothic" w:cs="Times New Roman"/>
          <w:noProof/>
          <w:webHidden/>
          <w:sz w:val="21"/>
          <w:szCs w:val="21"/>
        </w:rPr>
        <w:tab/>
        <w:t>275</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lang w:val="es-ES_tradnl"/>
        </w:rPr>
        <w:t>Décima Sexta. CONDUCTAS ILÍCITAS.</w:t>
      </w:r>
      <w:r w:rsidRPr="006C2098">
        <w:rPr>
          <w:rFonts w:ascii="Century Gothic" w:eastAsia="Calibri" w:hAnsi="Century Gothic" w:cs="Times New Roman"/>
          <w:noProof/>
          <w:webHidden/>
          <w:sz w:val="21"/>
          <w:szCs w:val="21"/>
        </w:rPr>
        <w:tab/>
        <w:t>277</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Décima Séptima. OBLIGACIONES FISCALES.</w:t>
      </w:r>
      <w:r w:rsidRPr="006C2098">
        <w:rPr>
          <w:rFonts w:ascii="Century Gothic" w:eastAsia="Calibri" w:hAnsi="Century Gothic" w:cs="Times New Roman"/>
          <w:noProof/>
          <w:webHidden/>
          <w:sz w:val="21"/>
          <w:szCs w:val="21"/>
        </w:rPr>
        <w:tab/>
        <w:t>277</w:t>
      </w:r>
    </w:p>
    <w:p w:rsidR="0031512C" w:rsidRPr="006C2098" w:rsidRDefault="0031512C" w:rsidP="0031512C">
      <w:pPr>
        <w:tabs>
          <w:tab w:val="start" w:pos="100.25pt"/>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Décima Octava.</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ACUERDO INTEGRAL.</w:t>
      </w:r>
      <w:r w:rsidRPr="006C2098">
        <w:rPr>
          <w:rFonts w:ascii="Century Gothic" w:eastAsia="Calibri" w:hAnsi="Century Gothic" w:cs="Times New Roman"/>
          <w:noProof/>
          <w:webHidden/>
          <w:sz w:val="21"/>
          <w:szCs w:val="21"/>
        </w:rPr>
        <w:tab/>
        <w:t>277</w:t>
      </w:r>
    </w:p>
    <w:p w:rsidR="0031512C" w:rsidRPr="006C2098" w:rsidRDefault="0031512C" w:rsidP="0031512C">
      <w:pPr>
        <w:tabs>
          <w:tab w:val="start" w:pos="103.30pt"/>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Décima Novena.</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DOMICILIOS.</w:t>
      </w:r>
      <w:r w:rsidRPr="006C2098">
        <w:rPr>
          <w:rFonts w:ascii="Century Gothic" w:eastAsia="Calibri" w:hAnsi="Century Gothic" w:cs="Times New Roman"/>
          <w:noProof/>
          <w:webHidden/>
          <w:sz w:val="21"/>
          <w:szCs w:val="21"/>
        </w:rPr>
        <w:tab/>
        <w:t>278</w:t>
      </w:r>
    </w:p>
    <w:p w:rsidR="0031512C" w:rsidRPr="006C2098" w:rsidRDefault="0031512C" w:rsidP="0031512C">
      <w:pPr>
        <w:tabs>
          <w:tab w:val="start" w:pos="77pt"/>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Vigésima.</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JURISDICCIÓN APLICABLE.</w:t>
      </w:r>
      <w:r w:rsidRPr="006C2098">
        <w:rPr>
          <w:rFonts w:ascii="Century Gothic" w:eastAsia="Calibri" w:hAnsi="Century Gothic" w:cs="Times New Roman"/>
          <w:noProof/>
          <w:webHidden/>
          <w:sz w:val="21"/>
          <w:szCs w:val="21"/>
        </w:rPr>
        <w:tab/>
        <w:t>278</w:t>
      </w:r>
    </w:p>
    <w:p w:rsidR="0031512C" w:rsidRPr="006C2098" w:rsidRDefault="0031512C" w:rsidP="0031512C">
      <w:pPr>
        <w:tabs>
          <w:tab w:val="start" w:pos="114.90pt"/>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 xml:space="preserve">Vigésima Primera. </w:t>
      </w:r>
      <w:r w:rsidRPr="006C2098">
        <w:rPr>
          <w:rFonts w:ascii="Century Gothic" w:eastAsia="Times New Roman" w:hAnsi="Century Gothic" w:cs="Times New Roman"/>
          <w:noProof/>
          <w:sz w:val="21"/>
          <w:szCs w:val="21"/>
          <w:lang w:eastAsia="es-MX"/>
        </w:rPr>
        <w:tab/>
      </w:r>
      <w:r w:rsidRPr="006C2098">
        <w:rPr>
          <w:rFonts w:ascii="Century Gothic" w:eastAsia="Calibri" w:hAnsi="Century Gothic" w:cs="Times New Roman"/>
          <w:noProof/>
          <w:sz w:val="21"/>
          <w:szCs w:val="21"/>
        </w:rPr>
        <w:t>CONDICIÓN SUSPENSIVA.</w:t>
      </w:r>
      <w:r w:rsidRPr="006C2098">
        <w:rPr>
          <w:rFonts w:ascii="Century Gothic" w:eastAsia="Calibri" w:hAnsi="Century Gothic" w:cs="Times New Roman"/>
          <w:noProof/>
          <w:webHidden/>
          <w:sz w:val="21"/>
          <w:szCs w:val="21"/>
        </w:rPr>
        <w:tab/>
        <w:t>279</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Vigésima Segunda.  SUSPENSIÓN DE MEDIDAS.</w:t>
      </w:r>
      <w:r w:rsidRPr="006C2098">
        <w:rPr>
          <w:rFonts w:ascii="Century Gothic" w:eastAsia="Calibri" w:hAnsi="Century Gothic" w:cs="Times New Roman"/>
          <w:noProof/>
          <w:webHidden/>
          <w:sz w:val="21"/>
          <w:szCs w:val="21"/>
        </w:rPr>
        <w:tab/>
        <w:t>279</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Vigésima Tercera. TRATO NO DISCRIMINATORIO.</w:t>
      </w:r>
      <w:r w:rsidRPr="006C2098">
        <w:rPr>
          <w:rFonts w:ascii="Century Gothic" w:eastAsia="Calibri" w:hAnsi="Century Gothic" w:cs="Times New Roman"/>
          <w:noProof/>
          <w:webHidden/>
          <w:sz w:val="21"/>
          <w:szCs w:val="21"/>
        </w:rPr>
        <w:tab/>
        <w:t>279</w:t>
      </w:r>
    </w:p>
    <w:p w:rsidR="0031512C" w:rsidRPr="006C2098"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Vigésima Cuarta. DESACUERDOS.</w:t>
      </w:r>
      <w:r w:rsidRPr="006C2098">
        <w:rPr>
          <w:rFonts w:ascii="Century Gothic" w:eastAsia="Calibri" w:hAnsi="Century Gothic" w:cs="Times New Roman"/>
          <w:noProof/>
          <w:webHidden/>
          <w:sz w:val="21"/>
          <w:szCs w:val="21"/>
        </w:rPr>
        <w:tab/>
        <w:t>280</w:t>
      </w:r>
    </w:p>
    <w:p w:rsidR="0031512C" w:rsidRPr="00606F15" w:rsidRDefault="0031512C" w:rsidP="0031512C">
      <w:pPr>
        <w:tabs>
          <w:tab w:val="end" w:leader="dot" w:pos="469.70pt"/>
        </w:tabs>
        <w:spacing w:after="5pt" w:line="13.20pt" w:lineRule="auto"/>
        <w:ind w:start="11pt"/>
        <w:rPr>
          <w:rFonts w:ascii="Century Gothic" w:eastAsia="Times New Roman" w:hAnsi="Century Gothic" w:cs="Times New Roman"/>
          <w:noProof/>
          <w:sz w:val="21"/>
          <w:szCs w:val="21"/>
          <w:lang w:eastAsia="es-MX"/>
        </w:rPr>
      </w:pPr>
      <w:r w:rsidRPr="006C2098">
        <w:rPr>
          <w:rFonts w:ascii="Century Gothic" w:eastAsia="Calibri" w:hAnsi="Century Gothic" w:cs="Times New Roman"/>
          <w:noProof/>
          <w:sz w:val="21"/>
          <w:szCs w:val="21"/>
        </w:rPr>
        <w:t>Vigésima Quinta. DESACUERDO TÉCNICO.</w:t>
      </w:r>
      <w:r w:rsidRPr="006C2098">
        <w:rPr>
          <w:rFonts w:ascii="Century Gothic" w:eastAsia="Calibri" w:hAnsi="Century Gothic" w:cs="Times New Roman"/>
          <w:noProof/>
          <w:webHidden/>
          <w:sz w:val="21"/>
          <w:szCs w:val="21"/>
        </w:rPr>
        <w:tab/>
      </w:r>
      <w:r w:rsidRPr="00606F15">
        <w:rPr>
          <w:rFonts w:ascii="Century Gothic" w:eastAsia="Calibri" w:hAnsi="Century Gothic" w:cs="Times New Roman"/>
          <w:noProof/>
          <w:webHidden/>
          <w:sz w:val="21"/>
          <w:szCs w:val="21"/>
        </w:rPr>
        <w:t>280</w:t>
      </w:r>
    </w:p>
    <w:p w:rsidR="0031512C" w:rsidRPr="00606F15" w:rsidRDefault="0031512C" w:rsidP="0031512C">
      <w:pPr>
        <w:tabs>
          <w:tab w:val="end" w:leader="dot" w:pos="469.70pt"/>
        </w:tabs>
        <w:spacing w:after="5pt" w:line="13.20pt" w:lineRule="auto"/>
        <w:rPr>
          <w:rFonts w:ascii="Century Gothic" w:eastAsia="Times New Roman" w:hAnsi="Century Gothic" w:cs="Times New Roman"/>
          <w:noProof/>
          <w:sz w:val="21"/>
          <w:szCs w:val="21"/>
          <w:lang w:eastAsia="es-MX"/>
        </w:rPr>
      </w:pPr>
      <w:r w:rsidRPr="00606F15">
        <w:rPr>
          <w:rFonts w:ascii="Century Gothic" w:eastAsia="Calibri" w:hAnsi="Century Gothic" w:cs="Arial"/>
          <w:noProof/>
          <w:sz w:val="21"/>
          <w:szCs w:val="21"/>
        </w:rPr>
        <w:t>ANEXO G1</w:t>
      </w:r>
      <w:r w:rsidRPr="00606F15">
        <w:rPr>
          <w:rFonts w:ascii="Century Gothic" w:eastAsia="Calibri" w:hAnsi="Century Gothic" w:cs="Arial"/>
          <w:noProof/>
          <w:webHidden/>
          <w:sz w:val="21"/>
          <w:szCs w:val="21"/>
        </w:rPr>
        <w:tab/>
        <w:t>281</w:t>
      </w:r>
    </w:p>
    <w:p w:rsidR="0031512C" w:rsidRPr="00606F15" w:rsidRDefault="0031512C" w:rsidP="0031512C">
      <w:pPr>
        <w:tabs>
          <w:tab w:val="end" w:leader="dot" w:pos="469.70pt"/>
        </w:tabs>
        <w:spacing w:after="5pt" w:line="13.20pt" w:lineRule="auto"/>
        <w:rPr>
          <w:rFonts w:ascii="Century Gothic" w:eastAsia="Times New Roman" w:hAnsi="Century Gothic" w:cs="Times New Roman"/>
          <w:noProof/>
          <w:sz w:val="21"/>
          <w:szCs w:val="21"/>
          <w:lang w:eastAsia="es-MX"/>
        </w:rPr>
      </w:pPr>
      <w:r w:rsidRPr="00606F15">
        <w:rPr>
          <w:rFonts w:ascii="Century Gothic" w:eastAsia="Calibri" w:hAnsi="Century Gothic" w:cs="Arial"/>
          <w:noProof/>
          <w:sz w:val="21"/>
          <w:szCs w:val="21"/>
        </w:rPr>
        <w:t>ANEXO G2</w:t>
      </w:r>
      <w:r w:rsidRPr="00606F15">
        <w:rPr>
          <w:rFonts w:ascii="Century Gothic" w:eastAsia="Calibri" w:hAnsi="Century Gothic" w:cs="Arial"/>
          <w:noProof/>
          <w:webHidden/>
          <w:sz w:val="21"/>
          <w:szCs w:val="21"/>
        </w:rPr>
        <w:tab/>
        <w:t>291</w:t>
      </w:r>
    </w:p>
    <w:p w:rsidR="0031512C" w:rsidRPr="006C2098" w:rsidRDefault="0031512C" w:rsidP="0031512C">
      <w:pPr>
        <w:tabs>
          <w:tab w:val="end" w:leader="dot" w:pos="469.70pt"/>
        </w:tabs>
        <w:spacing w:after="5pt" w:line="13.20pt" w:lineRule="auto"/>
        <w:rPr>
          <w:rFonts w:ascii="Century Gothic" w:eastAsia="Times New Roman" w:hAnsi="Century Gothic" w:cs="Times New Roman"/>
          <w:noProof/>
          <w:sz w:val="21"/>
          <w:szCs w:val="21"/>
          <w:lang w:val="en-US" w:eastAsia="es-MX"/>
        </w:rPr>
      </w:pPr>
      <w:r w:rsidRPr="006C2098">
        <w:rPr>
          <w:rFonts w:ascii="Century Gothic" w:eastAsia="Calibri" w:hAnsi="Century Gothic" w:cs="Arial"/>
          <w:noProof/>
          <w:sz w:val="21"/>
          <w:szCs w:val="21"/>
          <w:lang w:val="en-US"/>
        </w:rPr>
        <w:lastRenderedPageBreak/>
        <w:t>ANEXO G3</w:t>
      </w:r>
      <w:r w:rsidRPr="006C2098">
        <w:rPr>
          <w:rFonts w:ascii="Century Gothic" w:eastAsia="Calibri" w:hAnsi="Century Gothic" w:cs="Arial"/>
          <w:noProof/>
          <w:webHidden/>
          <w:sz w:val="21"/>
          <w:szCs w:val="21"/>
          <w:lang w:val="en-US"/>
        </w:rPr>
        <w:tab/>
        <w:t>297</w:t>
      </w:r>
    </w:p>
    <w:p w:rsidR="0031512C" w:rsidRPr="00192B3D" w:rsidRDefault="0031512C" w:rsidP="00192B3D">
      <w:pPr>
        <w:tabs>
          <w:tab w:val="end" w:leader="dot" w:pos="469.70pt"/>
        </w:tabs>
        <w:spacing w:after="5pt" w:line="13.20pt" w:lineRule="auto"/>
        <w:rPr>
          <w:rFonts w:ascii="Century Gothic" w:eastAsia="Calibri" w:hAnsi="Century Gothic" w:cs="Arial"/>
          <w:noProof/>
          <w:webHidden/>
          <w:sz w:val="21"/>
          <w:szCs w:val="21"/>
          <w:lang w:val="en-US"/>
        </w:rPr>
      </w:pPr>
      <w:r w:rsidRPr="00192B3D">
        <w:rPr>
          <w:rFonts w:ascii="Century Gothic" w:eastAsia="Calibri" w:hAnsi="Century Gothic" w:cs="Arial"/>
          <w:noProof/>
          <w:sz w:val="21"/>
          <w:szCs w:val="21"/>
          <w:lang w:val="en-US"/>
        </w:rPr>
        <w:t>ANEXO H</w:t>
      </w:r>
      <w:r w:rsidR="00192B3D">
        <w:rPr>
          <w:rFonts w:ascii="Century Gothic" w:eastAsia="Calibri" w:hAnsi="Century Gothic" w:cs="Arial"/>
          <w:noProof/>
          <w:sz w:val="21"/>
          <w:szCs w:val="21"/>
          <w:lang w:val="en-US"/>
        </w:rPr>
        <w:t>……………………………………………………………………………………………………</w:t>
      </w:r>
      <w:r w:rsidRPr="00192B3D">
        <w:rPr>
          <w:rFonts w:ascii="Century Gothic" w:eastAsia="Calibri" w:hAnsi="Century Gothic" w:cs="Arial"/>
          <w:noProof/>
          <w:webHidden/>
          <w:sz w:val="21"/>
          <w:szCs w:val="21"/>
          <w:lang w:val="en-US"/>
        </w:rPr>
        <w:t>317</w:t>
      </w:r>
    </w:p>
    <w:p w:rsidR="0031512C" w:rsidRPr="00606F15" w:rsidRDefault="0031512C" w:rsidP="00035D2C">
      <w:pPr>
        <w:spacing w:before="6pt" w:after="10pt"/>
        <w:jc w:val="both"/>
        <w:outlineLvl w:val="1"/>
        <w:rPr>
          <w:rFonts w:ascii="Century Gothic" w:eastAsia="Times New Roman" w:hAnsi="Century Gothic" w:cs="Arial"/>
          <w:b/>
          <w:sz w:val="24"/>
          <w:szCs w:val="24"/>
          <w:lang w:val="en-US" w:eastAsia="es-ES"/>
        </w:rPr>
      </w:pPr>
      <w:r w:rsidRPr="00606F15">
        <w:rPr>
          <w:rFonts w:ascii="Century Gothic" w:eastAsia="Times New Roman" w:hAnsi="Century Gothic" w:cs="Arial"/>
          <w:b/>
          <w:sz w:val="24"/>
          <w:szCs w:val="24"/>
          <w:lang w:val="en-US" w:eastAsia="es-ES"/>
        </w:rPr>
        <w:br w:type="page"/>
      </w:r>
    </w:p>
    <w:p w:rsidR="00705482" w:rsidRPr="00611019" w:rsidRDefault="00E56462" w:rsidP="00035D2C">
      <w:pPr>
        <w:spacing w:before="6pt" w:after="10pt"/>
        <w:jc w:val="both"/>
        <w:outlineLvl w:val="1"/>
        <w:rPr>
          <w:rFonts w:ascii="Century Gothic" w:eastAsia="Calibri" w:hAnsi="Century Gothic" w:cs="Times New Roman"/>
          <w:b/>
        </w:rPr>
      </w:pPr>
      <w:r>
        <w:rPr>
          <w:rFonts w:ascii="Century Gothic" w:eastAsia="Times New Roman" w:hAnsi="Century Gothic" w:cs="Arial"/>
          <w:b/>
          <w:sz w:val="24"/>
          <w:szCs w:val="24"/>
          <w:lang w:val="es-ES_tradnl" w:eastAsia="es-ES"/>
        </w:rPr>
        <w:lastRenderedPageBreak/>
        <w:t>D</w:t>
      </w:r>
      <w:r>
        <w:rPr>
          <w:rFonts w:ascii="Century Gothic" w:eastAsia="Calibri" w:hAnsi="Century Gothic" w:cs="Times New Roman"/>
          <w:b/>
        </w:rPr>
        <w:t>efiniciones.</w:t>
      </w:r>
      <w:bookmarkEnd w:id="567"/>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1)</w:t>
      </w:r>
      <w:r>
        <w:rPr>
          <w:rFonts w:ascii="Century Gothic" w:eastAsia="Calibri" w:hAnsi="Century Gothic" w:cs="Arial"/>
        </w:rPr>
        <w:tab/>
      </w:r>
      <w:r>
        <w:rPr>
          <w:rFonts w:ascii="Century Gothic" w:eastAsia="Calibri" w:hAnsi="Century Gothic" w:cs="Arial"/>
          <w:b/>
          <w:i/>
        </w:rPr>
        <w:t>Acometida o conexión al domicilio del Usuario Final:</w:t>
      </w:r>
      <w:r>
        <w:rPr>
          <w:rFonts w:ascii="Century Gothic" w:eastAsia="Calibri" w:hAnsi="Century Gothic" w:cs="Arial"/>
        </w:rPr>
        <w:t xml:space="preserve"> Infraestructura de telecomunicaciones que permite conectar desde la caja terminal de distribución de la red local hasta el punto de conexión terminal de la red ubicado en el domicilio del Usuario Final.</w:t>
      </w:r>
    </w:p>
    <w:p w:rsidR="00C8294B" w:rsidRDefault="00E56462" w:rsidP="00720125">
      <w:pPr>
        <w:spacing w:before="3pt"/>
        <w:ind w:start="28.35pt" w:hanging="25.05pt"/>
        <w:jc w:val="both"/>
        <w:rPr>
          <w:rFonts w:ascii="Century Gothic" w:eastAsia="Calibri" w:hAnsi="Century Gothic" w:cs="Arial"/>
        </w:rPr>
      </w:pPr>
      <w:r>
        <w:rPr>
          <w:rFonts w:ascii="Century Gothic" w:eastAsia="Calibri" w:hAnsi="Century Gothic" w:cs="Arial"/>
          <w:color w:val="000000"/>
          <w:lang w:val="es-ES_tradnl" w:eastAsia="es-ES"/>
        </w:rPr>
        <w:t>2)</w:t>
      </w:r>
      <w:r>
        <w:rPr>
          <w:rFonts w:ascii="Century Gothic" w:eastAsia="Calibri" w:hAnsi="Century Gothic" w:cs="Arial"/>
          <w:color w:val="000000"/>
          <w:lang w:val="es-ES_tradnl" w:eastAsia="es-ES"/>
        </w:rPr>
        <w:tab/>
      </w:r>
      <w:r>
        <w:rPr>
          <w:rFonts w:ascii="Century Gothic" w:eastAsia="Calibri" w:hAnsi="Century Gothic" w:cs="Arial"/>
          <w:b/>
          <w:i/>
        </w:rPr>
        <w:t xml:space="preserve">Acuerdo de Nivel de Servicio (SLA): </w:t>
      </w:r>
      <w:r>
        <w:rPr>
          <w:rFonts w:ascii="Century Gothic" w:eastAsia="Calibri" w:hAnsi="Century Gothic" w:cs="Arial"/>
          <w:color w:val="000000"/>
          <w:lang w:val="es-ES_tradnl" w:eastAsia="es-ES"/>
        </w:rPr>
        <w:t>Acuerdo formal entre RED NACIONAL y el CS que establece las características del servicio, las responsabilidades y los derechos y obligaciones de las Partes.</w:t>
      </w:r>
    </w:p>
    <w:p w:rsidR="00705482" w:rsidRPr="00611019" w:rsidRDefault="00C8294B" w:rsidP="00F645E5">
      <w:pPr>
        <w:spacing w:before="3pt"/>
        <w:ind w:start="28.35pt" w:hanging="25.05pt"/>
        <w:jc w:val="both"/>
        <w:rPr>
          <w:rFonts w:ascii="Century Gothic" w:eastAsia="Calibri" w:hAnsi="Century Gothic" w:cs="Arial"/>
        </w:rPr>
      </w:pPr>
      <w:r>
        <w:rPr>
          <w:rFonts w:ascii="Century Gothic" w:eastAsia="Calibri" w:hAnsi="Century Gothic" w:cs="Arial"/>
          <w:bCs/>
          <w:i/>
        </w:rPr>
        <w:t>4</w:t>
      </w:r>
      <w:r w:rsidRPr="00C8294B">
        <w:rPr>
          <w:rFonts w:ascii="Century Gothic" w:eastAsia="Calibri" w:hAnsi="Century Gothic" w:cs="Arial"/>
          <w:bCs/>
          <w:i/>
        </w:rPr>
        <w:t>)</w:t>
      </w:r>
      <w:r>
        <w:rPr>
          <w:rFonts w:ascii="Century Gothic" w:eastAsia="Calibri" w:hAnsi="Century Gothic" w:cs="Arial"/>
          <w:b/>
          <w:i/>
        </w:rPr>
        <w:tab/>
      </w:r>
      <w:r w:rsidR="00E56462">
        <w:rPr>
          <w:rFonts w:ascii="Century Gothic" w:eastAsia="Calibri" w:hAnsi="Century Gothic" w:cs="Arial"/>
          <w:b/>
          <w:i/>
        </w:rPr>
        <w:t>Autorizado</w:t>
      </w:r>
      <w:r>
        <w:rPr>
          <w:rFonts w:ascii="Century Gothic" w:eastAsia="Calibri" w:hAnsi="Century Gothic" w:cs="Arial"/>
          <w:b/>
          <w:i/>
        </w:rPr>
        <w:t xml:space="preserve"> Solicitante:</w:t>
      </w:r>
      <w:r>
        <w:rPr>
          <w:rFonts w:ascii="Century Gothic" w:eastAsia="Calibri" w:hAnsi="Century Gothic" w:cs="Arial"/>
        </w:rPr>
        <w:t xml:space="preserve"> </w:t>
      </w:r>
      <w:r w:rsidR="00E56462">
        <w:rPr>
          <w:rFonts w:ascii="Century Gothic" w:eastAsia="Calibri" w:hAnsi="Century Gothic" w:cs="Arial"/>
        </w:rPr>
        <w:t>Persona física o moral que cuenta con una autorización otorgada por el Instituto y que solicita servicios mayoristas regulados, acceso y/o accede a la infraestructura de la red local de RED NACIONAL a fin de prestar servicios de telecomunicaciones a sus Usuarios Finales.</w:t>
      </w:r>
    </w:p>
    <w:p w:rsidR="00705482" w:rsidRPr="00611019" w:rsidRDefault="00C8294B" w:rsidP="00F645E5">
      <w:pPr>
        <w:spacing w:before="3pt"/>
        <w:ind w:start="28.35pt" w:hanging="25.05pt"/>
        <w:jc w:val="both"/>
        <w:rPr>
          <w:rFonts w:ascii="Century Gothic" w:eastAsia="Calibri" w:hAnsi="Century Gothic" w:cs="Arial"/>
        </w:rPr>
      </w:pPr>
      <w:r>
        <w:rPr>
          <w:rFonts w:ascii="Century Gothic" w:eastAsia="Calibri" w:hAnsi="Century Gothic" w:cs="Arial"/>
        </w:rPr>
        <w:t>5</w:t>
      </w:r>
      <w:r w:rsidR="00E56462">
        <w:rPr>
          <w:rFonts w:ascii="Century Gothic" w:eastAsia="Calibri" w:hAnsi="Century Gothic" w:cs="Arial"/>
        </w:rPr>
        <w:t>)</w:t>
      </w:r>
      <w:r w:rsidR="00E56462">
        <w:rPr>
          <w:rFonts w:ascii="Century Gothic" w:eastAsia="Calibri" w:hAnsi="Century Gothic" w:cs="Arial"/>
        </w:rPr>
        <w:tab/>
      </w:r>
      <w:r w:rsidR="00E56462">
        <w:rPr>
          <w:rFonts w:ascii="Century Gothic" w:eastAsia="Calibri" w:hAnsi="Century Gothic" w:cs="Arial"/>
          <w:b/>
          <w:i/>
        </w:rPr>
        <w:t>Banda inferior (baja) de frecuencias:</w:t>
      </w:r>
      <w:r w:rsidR="00E56462">
        <w:rPr>
          <w:rFonts w:ascii="Century Gothic" w:eastAsia="Calibri" w:hAnsi="Century Gothic" w:cs="Arial"/>
        </w:rPr>
        <w:t xml:space="preserve"> Frecuencias en el par de cobre que se utilizan para ofrecer el servicio telefónico, integran el grupo de frecuencias que van desde 0 a 25 kHz.</w:t>
      </w:r>
      <w:r w:rsidR="00E56462">
        <w:rPr>
          <w:rFonts w:ascii="Century Gothic" w:eastAsia="Calibri" w:hAnsi="Century Gothic" w:cs="Arial"/>
          <w:b/>
          <w:i/>
        </w:rPr>
        <w:t xml:space="preserve"> </w:t>
      </w:r>
    </w:p>
    <w:p w:rsidR="00705482" w:rsidRPr="00611019" w:rsidRDefault="00C8294B" w:rsidP="00F645E5">
      <w:pPr>
        <w:spacing w:before="3pt"/>
        <w:ind w:start="28.35pt" w:hanging="25.05pt"/>
        <w:jc w:val="both"/>
        <w:rPr>
          <w:rFonts w:ascii="Century Gothic" w:eastAsia="Calibri" w:hAnsi="Century Gothic" w:cs="Arial"/>
        </w:rPr>
      </w:pPr>
      <w:r>
        <w:rPr>
          <w:rFonts w:ascii="Century Gothic" w:eastAsia="Calibri" w:hAnsi="Century Gothic" w:cs="Arial"/>
        </w:rPr>
        <w:t>6</w:t>
      </w:r>
      <w:r w:rsidR="00E56462">
        <w:rPr>
          <w:rFonts w:ascii="Century Gothic" w:eastAsia="Calibri" w:hAnsi="Century Gothic" w:cs="Arial"/>
        </w:rPr>
        <w:t>)</w:t>
      </w:r>
      <w:r w:rsidR="00E56462">
        <w:rPr>
          <w:rFonts w:ascii="Century Gothic" w:eastAsia="Calibri" w:hAnsi="Century Gothic" w:cs="Arial"/>
        </w:rPr>
        <w:tab/>
      </w:r>
      <w:r w:rsidR="00E56462">
        <w:rPr>
          <w:rFonts w:ascii="Century Gothic" w:eastAsia="Calibri" w:hAnsi="Century Gothic" w:cs="Arial"/>
          <w:b/>
          <w:i/>
        </w:rPr>
        <w:t xml:space="preserve">Banda superior (alta) de frecuencias: </w:t>
      </w:r>
      <w:r w:rsidR="00E56462">
        <w:rPr>
          <w:rFonts w:ascii="Century Gothic" w:eastAsia="Calibri" w:hAnsi="Century Gothic" w:cs="Arial"/>
        </w:rPr>
        <w:t>Frecuencias en el par de cobre que se utilizan para ofrecer servicios de datos con las tecnologías xDSL, integran el grupo de frecuencias que van desde 26 kHz a 30 MHz.</w:t>
      </w:r>
    </w:p>
    <w:p w:rsidR="00705482" w:rsidRPr="00611019" w:rsidRDefault="00C8294B" w:rsidP="00F645E5">
      <w:pPr>
        <w:spacing w:before="3pt"/>
        <w:ind w:start="28.35pt" w:hanging="25.05pt"/>
        <w:jc w:val="both"/>
        <w:rPr>
          <w:rFonts w:ascii="Century Gothic" w:eastAsia="Calibri" w:hAnsi="Century Gothic" w:cs="Arial"/>
        </w:rPr>
      </w:pPr>
      <w:r>
        <w:rPr>
          <w:rFonts w:ascii="Century Gothic" w:eastAsia="Calibri" w:hAnsi="Century Gothic" w:cs="Arial"/>
        </w:rPr>
        <w:t>7</w:t>
      </w:r>
      <w:r w:rsidR="00E56462">
        <w:rPr>
          <w:rFonts w:ascii="Century Gothic" w:eastAsia="Calibri" w:hAnsi="Century Gothic" w:cs="Arial"/>
        </w:rPr>
        <w:t>)</w:t>
      </w:r>
      <w:r w:rsidR="00E56462">
        <w:rPr>
          <w:rFonts w:ascii="Century Gothic" w:eastAsia="Calibri" w:hAnsi="Century Gothic" w:cs="Arial"/>
        </w:rPr>
        <w:tab/>
      </w:r>
      <w:r w:rsidR="00E56462">
        <w:rPr>
          <w:rFonts w:ascii="Century Gothic" w:eastAsia="Calibri" w:hAnsi="Century Gothic" w:cs="Arial"/>
          <w:b/>
          <w:i/>
        </w:rPr>
        <w:t>Bucle Local:</w:t>
      </w:r>
      <w:r w:rsidR="00E56462">
        <w:rPr>
          <w:rFonts w:ascii="Century Gothic" w:eastAsia="Calibri" w:hAnsi="Century Gothic" w:cs="Arial"/>
        </w:rPr>
        <w:t xml:space="preserve"> El circuito físico que conecta el punto de conexión terminal de la red en el domicilio del Usuario Final a la Central telefónica o Instalación Equivalente de la red pública de telecomunicaciones desde la cual se presta el Servicio al Usuario Final.</w:t>
      </w:r>
    </w:p>
    <w:p w:rsidR="00705482" w:rsidRPr="00611019" w:rsidRDefault="00C8294B" w:rsidP="00F645E5">
      <w:pPr>
        <w:spacing w:before="3pt"/>
        <w:ind w:start="28.35pt" w:hanging="25.05pt"/>
        <w:jc w:val="both"/>
        <w:rPr>
          <w:rFonts w:ascii="Century Gothic" w:eastAsia="Calibri" w:hAnsi="Century Gothic" w:cs="Arial"/>
        </w:rPr>
      </w:pPr>
      <w:r>
        <w:rPr>
          <w:rFonts w:ascii="Century Gothic" w:eastAsia="Calibri" w:hAnsi="Century Gothic" w:cs="Arial"/>
        </w:rPr>
        <w:t>8</w:t>
      </w:r>
      <w:r w:rsidR="00E56462">
        <w:rPr>
          <w:rFonts w:ascii="Century Gothic" w:eastAsia="Calibri" w:hAnsi="Century Gothic" w:cs="Arial"/>
        </w:rPr>
        <w:t>)</w:t>
      </w:r>
      <w:r w:rsidR="00E56462">
        <w:rPr>
          <w:rFonts w:ascii="Century Gothic" w:eastAsia="Calibri" w:hAnsi="Century Gothic" w:cs="Arial"/>
        </w:rPr>
        <w:tab/>
      </w:r>
      <w:r w:rsidR="00E56462">
        <w:rPr>
          <w:rFonts w:ascii="Century Gothic" w:eastAsia="Calibri" w:hAnsi="Century Gothic" w:cs="Arial"/>
          <w:b/>
          <w:i/>
        </w:rPr>
        <w:t>Caja de Distribución:</w:t>
      </w:r>
      <w:r w:rsidR="00E56462">
        <w:rPr>
          <w:rFonts w:ascii="Century Gothic" w:eastAsia="Calibri" w:hAnsi="Century Gothic" w:cs="Arial"/>
        </w:rPr>
        <w:t xml:space="preserve"> Elemento de la red de Planta Externa que permite la interconexión de redes de cobre entre el medio de transmisión de la Red Principal y el medio de transmisión de la Red Secundaria.</w:t>
      </w:r>
    </w:p>
    <w:p w:rsidR="00705482" w:rsidRPr="00611019" w:rsidRDefault="00C8294B" w:rsidP="00F645E5">
      <w:pPr>
        <w:spacing w:before="3pt"/>
        <w:ind w:start="28.35pt" w:hanging="25.05pt"/>
        <w:jc w:val="both"/>
        <w:rPr>
          <w:rFonts w:ascii="Century Gothic" w:eastAsia="Calibri" w:hAnsi="Century Gothic" w:cs="Arial"/>
        </w:rPr>
      </w:pPr>
      <w:r>
        <w:rPr>
          <w:rFonts w:ascii="Century Gothic" w:eastAsia="Calibri" w:hAnsi="Century Gothic" w:cs="Arial"/>
        </w:rPr>
        <w:t>9</w:t>
      </w:r>
      <w:r w:rsidR="00E56462">
        <w:rPr>
          <w:rFonts w:ascii="Century Gothic" w:eastAsia="Calibri" w:hAnsi="Century Gothic" w:cs="Arial"/>
        </w:rPr>
        <w:t>)</w:t>
      </w:r>
      <w:r w:rsidR="00E56462">
        <w:rPr>
          <w:rFonts w:ascii="Century Gothic" w:eastAsia="Calibri" w:hAnsi="Century Gothic" w:cs="Arial"/>
        </w:rPr>
        <w:tab/>
      </w:r>
      <w:r w:rsidR="00E56462">
        <w:rPr>
          <w:rFonts w:ascii="Century Gothic" w:eastAsia="Calibri" w:hAnsi="Century Gothic" w:cs="Arial"/>
          <w:b/>
          <w:i/>
        </w:rPr>
        <w:t xml:space="preserve">Canalización: </w:t>
      </w:r>
      <w:r w:rsidR="00E56462">
        <w:rPr>
          <w:rFonts w:ascii="Century Gothic" w:eastAsia="Calibri" w:hAnsi="Century Gothic" w:cs="Arial"/>
        </w:rPr>
        <w:t>Conjunto de ductos de concreto y cloruro de polivinilo (PVC) dentro de una obra subterránea con recubrimiento normalizado de arena o concreto.</w:t>
      </w:r>
    </w:p>
    <w:p w:rsidR="00705482" w:rsidRPr="00611019" w:rsidRDefault="00C8294B" w:rsidP="00F645E5">
      <w:pPr>
        <w:spacing w:before="3pt"/>
        <w:ind w:start="28.35pt" w:hanging="25.05pt"/>
        <w:jc w:val="both"/>
        <w:rPr>
          <w:rFonts w:ascii="Century Gothic" w:eastAsia="Calibri" w:hAnsi="Century Gothic" w:cs="Arial"/>
        </w:rPr>
      </w:pPr>
      <w:r>
        <w:rPr>
          <w:rFonts w:ascii="Century Gothic" w:eastAsia="Calibri" w:hAnsi="Century Gothic" w:cs="Arial"/>
        </w:rPr>
        <w:t>10</w:t>
      </w:r>
      <w:r w:rsidR="00E56462">
        <w:rPr>
          <w:rFonts w:ascii="Century Gothic" w:eastAsia="Calibri" w:hAnsi="Century Gothic" w:cs="Arial"/>
        </w:rPr>
        <w:t>)</w:t>
      </w:r>
      <w:r w:rsidR="00E56462">
        <w:rPr>
          <w:rFonts w:ascii="Century Gothic" w:eastAsia="Calibri" w:hAnsi="Century Gothic" w:cs="Arial"/>
        </w:rPr>
        <w:tab/>
      </w:r>
      <w:r w:rsidR="00E56462">
        <w:rPr>
          <w:rFonts w:ascii="Century Gothic" w:eastAsia="Calibri" w:hAnsi="Century Gothic" w:cs="Arial"/>
          <w:b/>
          <w:i/>
        </w:rPr>
        <w:t xml:space="preserve">Capa 2: </w:t>
      </w:r>
      <w:r w:rsidR="00E56462">
        <w:rPr>
          <w:rFonts w:ascii="Century Gothic" w:eastAsia="Calibri" w:hAnsi="Century Gothic" w:cs="Arial"/>
        </w:rPr>
        <w:t>Capa 2 del modelo OSI o capa de Enlace de Datos, encargada de la entrega de tramas de bits entre dispositivos en la misma red de área local (LAN).</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1</w:t>
      </w:r>
      <w:r w:rsidR="00C8294B">
        <w:rPr>
          <w:rFonts w:ascii="Century Gothic" w:eastAsia="Calibri" w:hAnsi="Century Gothic" w:cs="Arial"/>
        </w:rPr>
        <w:t>1</w:t>
      </w:r>
      <w:r>
        <w:rPr>
          <w:rFonts w:ascii="Century Gothic" w:eastAsia="Calibri" w:hAnsi="Century Gothic" w:cs="Arial"/>
        </w:rPr>
        <w:t>)</w:t>
      </w:r>
      <w:r>
        <w:rPr>
          <w:rFonts w:ascii="Century Gothic" w:eastAsia="Calibri" w:hAnsi="Century Gothic" w:cs="Arial"/>
        </w:rPr>
        <w:tab/>
      </w:r>
      <w:r>
        <w:rPr>
          <w:rFonts w:ascii="Century Gothic" w:eastAsia="Calibri" w:hAnsi="Century Gothic" w:cs="Arial"/>
          <w:b/>
          <w:i/>
        </w:rPr>
        <w:t>Caso Fortuito o Fuerza Mayor:</w:t>
      </w:r>
      <w:r>
        <w:rPr>
          <w:rFonts w:ascii="Century Gothic" w:eastAsia="Calibri" w:hAnsi="Century Gothic" w:cs="Arial"/>
          <w:b/>
        </w:rPr>
        <w:t xml:space="preserve"> </w:t>
      </w:r>
      <w:r>
        <w:rPr>
          <w:rFonts w:ascii="Century Gothic" w:eastAsia="Calibri" w:hAnsi="Century Gothic" w:cs="Arial"/>
        </w:rPr>
        <w:t>Los casos fortuitos o de fuerza mayor son aquellos supuestos en donde una obligación no puede ser imputable a ninguna de las partes, ya que se encuentran impedidos a cumplir por causa de un acontecimiento que esta fuera del dominio de su voluntad, que no han podido ser previstas y aun previéndose no pudieron ser evitadas.</w:t>
      </w:r>
    </w:p>
    <w:p w:rsidR="00705482" w:rsidRPr="00611019" w:rsidRDefault="00E56462" w:rsidP="00F645E5">
      <w:pPr>
        <w:ind w:start="28.35pt"/>
        <w:jc w:val="both"/>
        <w:rPr>
          <w:rFonts w:ascii="Century Gothic" w:hAnsi="Century Gothic" w:cs="Arial"/>
        </w:rPr>
      </w:pPr>
      <w:r>
        <w:rPr>
          <w:rFonts w:ascii="Century Gothic" w:hAnsi="Century Gothic" w:cs="Arial"/>
        </w:rPr>
        <w:t>En este sentido, los pagos no serán exceptuados por la actualización de alguna de las causales a que diera lugar el caso fortuito o fuerza mayor; asimismo el AEP se obliga a restablecer la prestación del Servicio lo más rápido como le sea posible derivado de las causas.</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lastRenderedPageBreak/>
        <w:t>1</w:t>
      </w:r>
      <w:r w:rsidR="00C8294B">
        <w:rPr>
          <w:rFonts w:ascii="Century Gothic" w:eastAsia="Calibri" w:hAnsi="Century Gothic" w:cs="Arial"/>
        </w:rPr>
        <w:t>2</w:t>
      </w:r>
      <w:r>
        <w:rPr>
          <w:rFonts w:ascii="Century Gothic" w:eastAsia="Calibri" w:hAnsi="Century Gothic" w:cs="Arial"/>
        </w:rPr>
        <w:t>)</w:t>
      </w:r>
      <w:r>
        <w:rPr>
          <w:rFonts w:ascii="Century Gothic" w:eastAsia="Calibri" w:hAnsi="Century Gothic" w:cs="Arial"/>
        </w:rPr>
        <w:tab/>
      </w:r>
      <w:r>
        <w:rPr>
          <w:rFonts w:ascii="Century Gothic" w:eastAsia="Calibri" w:hAnsi="Century Gothic" w:cs="Arial"/>
          <w:b/>
          <w:i/>
        </w:rPr>
        <w:t>Central Telefónica o Instalación Equivalente:</w:t>
      </w:r>
      <w:r>
        <w:rPr>
          <w:rFonts w:ascii="Century Gothic" w:eastAsia="Calibri" w:hAnsi="Century Gothic" w:cs="Arial"/>
        </w:rPr>
        <w:t xml:space="preserve"> Nodo de la red destinado a albergar equipos y dispositivos de telecomunicaciones donde se conectan los bucles de acceso local para la provisión de servicios de telecomunicaciones. También este término hace referencia al edificio en el que, desde antes de la separación funcional de Telmex, se ubican dichos equipos de telecomunicaciones, así como equipos de telecomunicaciones Telmex y, en algunos casos, Coubicaciones Externas y/o Internas y/o coubicaciones de interconexión.</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1</w:t>
      </w:r>
      <w:r w:rsidR="00C8294B">
        <w:rPr>
          <w:rFonts w:ascii="Century Gothic" w:eastAsia="Calibri" w:hAnsi="Century Gothic" w:cs="Arial"/>
        </w:rPr>
        <w:t>3</w:t>
      </w:r>
      <w:r>
        <w:rPr>
          <w:rFonts w:ascii="Century Gothic" w:eastAsia="Calibri" w:hAnsi="Century Gothic" w:cs="Arial"/>
        </w:rPr>
        <w:t>)</w:t>
      </w:r>
      <w:r>
        <w:rPr>
          <w:rFonts w:ascii="Century Gothic" w:eastAsia="Calibri" w:hAnsi="Century Gothic" w:cs="Arial"/>
        </w:rPr>
        <w:tab/>
      </w:r>
      <w:r>
        <w:rPr>
          <w:rFonts w:ascii="Century Gothic" w:eastAsia="Calibri" w:hAnsi="Century Gothic" w:cs="Arial"/>
          <w:b/>
          <w:i/>
        </w:rPr>
        <w:t>Concesionario</w:t>
      </w:r>
      <w:r w:rsidR="00C8294B">
        <w:rPr>
          <w:rFonts w:ascii="Century Gothic" w:eastAsia="Calibri" w:hAnsi="Century Gothic" w:cs="Arial"/>
          <w:b/>
          <w:i/>
        </w:rPr>
        <w:t xml:space="preserve"> Solicitante (CS)</w:t>
      </w:r>
      <w:r>
        <w:rPr>
          <w:rFonts w:ascii="Century Gothic" w:eastAsia="Calibri" w:hAnsi="Century Gothic" w:cs="Arial"/>
          <w:b/>
          <w:i/>
        </w:rPr>
        <w:t>:</w:t>
      </w:r>
      <w:r>
        <w:rPr>
          <w:rFonts w:ascii="Century Gothic" w:eastAsia="Calibri" w:hAnsi="Century Gothic" w:cs="Arial"/>
        </w:rPr>
        <w:t xml:space="preserve"> Persona física o moral que cuenta con una concesión para la prestación de servicios </w:t>
      </w:r>
      <w:r>
        <w:rPr>
          <w:rFonts w:ascii="Century Gothic" w:eastAsia="Calibri" w:hAnsi="Century Gothic" w:cs="Arial"/>
          <w:color w:val="000000"/>
          <w:lang w:val="es-ES_tradnl" w:eastAsia="es-ES"/>
        </w:rPr>
        <w:t>de telecomunicaciones que solicita servicios mayoristas regulados, acceso y/o accede a la infraestructura de la red de RED NACIONAL a fin de prestar servicios de telecomunicaciones</w:t>
      </w:r>
      <w:r>
        <w:rPr>
          <w:rFonts w:ascii="Century Gothic" w:eastAsia="Calibri" w:hAnsi="Century Gothic" w:cs="Arial"/>
        </w:rPr>
        <w:t>.</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14)</w:t>
      </w:r>
      <w:r>
        <w:rPr>
          <w:rFonts w:ascii="Century Gothic" w:eastAsia="Calibri" w:hAnsi="Century Gothic" w:cs="Arial"/>
        </w:rPr>
        <w:tab/>
      </w:r>
      <w:r>
        <w:rPr>
          <w:rFonts w:ascii="Century Gothic" w:eastAsia="Calibri" w:hAnsi="Century Gothic" w:cs="Arial"/>
          <w:b/>
          <w:i/>
        </w:rPr>
        <w:t>Coubicación</w:t>
      </w:r>
      <w:r>
        <w:rPr>
          <w:rFonts w:ascii="Century Gothic" w:eastAsia="Calibri" w:hAnsi="Century Gothic" w:cs="Arial"/>
        </w:rPr>
        <w:t xml:space="preserve"> </w:t>
      </w:r>
      <w:r>
        <w:rPr>
          <w:rFonts w:ascii="Century Gothic" w:eastAsia="Calibri" w:hAnsi="Century Gothic" w:cs="Arial"/>
          <w:b/>
          <w:i/>
        </w:rPr>
        <w:t>Externa (CE)</w:t>
      </w:r>
      <w:r>
        <w:rPr>
          <w:rFonts w:ascii="Century Gothic" w:eastAsia="Calibri" w:hAnsi="Century Gothic" w:cs="Arial"/>
        </w:rPr>
        <w:t xml:space="preserve">: Espacio arrendado, que provee las facilidades técnicas necesarias para la colocación de equipos y dispositivos de telecomunicaciones del CS necesarios para acceder a los Servicios de </w:t>
      </w:r>
      <w:r w:rsidR="00BA4470">
        <w:rPr>
          <w:rFonts w:ascii="Century Gothic" w:eastAsia="Calibri" w:hAnsi="Century Gothic" w:cs="Arial"/>
        </w:rPr>
        <w:t>desagregación</w:t>
      </w:r>
      <w:r>
        <w:rPr>
          <w:rFonts w:ascii="Century Gothic" w:eastAsia="Calibri" w:hAnsi="Century Gothic" w:cs="Arial"/>
        </w:rPr>
        <w:t xml:space="preserve">, ubicados dentro del predio donde se ubica la Central Telefónica abierta a la </w:t>
      </w:r>
      <w:r w:rsidR="00BA4470">
        <w:rPr>
          <w:rFonts w:ascii="Century Gothic" w:eastAsia="Calibri" w:hAnsi="Century Gothic" w:cs="Arial"/>
        </w:rPr>
        <w:t>D</w:t>
      </w:r>
      <w:r>
        <w:rPr>
          <w:rFonts w:ascii="Century Gothic" w:eastAsia="Calibri" w:hAnsi="Century Gothic" w:cs="Arial"/>
        </w:rPr>
        <w:t>esagregación, pero fuera del edificio de la Central Telefónica.</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15)</w:t>
      </w:r>
      <w:r>
        <w:rPr>
          <w:rFonts w:ascii="Century Gothic" w:eastAsia="Calibri" w:hAnsi="Century Gothic" w:cs="Arial"/>
        </w:rPr>
        <w:tab/>
      </w:r>
      <w:r>
        <w:rPr>
          <w:rFonts w:ascii="Century Gothic" w:eastAsia="Calibri" w:hAnsi="Century Gothic" w:cs="Arial"/>
          <w:b/>
          <w:i/>
        </w:rPr>
        <w:t>Coubicación Interna (CI):</w:t>
      </w:r>
      <w:r>
        <w:rPr>
          <w:rFonts w:ascii="Century Gothic" w:eastAsia="Calibri" w:hAnsi="Century Gothic" w:cs="Arial"/>
        </w:rPr>
        <w:t xml:space="preserve"> Espacio arrendado dentro del edificio de la Central Telefónica abierta a la desagregación, que provee las facilidades técnicas necesarias para la ubicación de los equipos y dispositivos de telecomunicaciones del CS necesarios para acceder a los Servicios de Desagregación.</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16)</w:t>
      </w:r>
      <w:r>
        <w:rPr>
          <w:rFonts w:ascii="Century Gothic" w:eastAsia="Calibri" w:hAnsi="Century Gothic" w:cs="Arial"/>
        </w:rPr>
        <w:tab/>
      </w:r>
      <w:r>
        <w:rPr>
          <w:rFonts w:ascii="Century Gothic" w:eastAsia="Calibri" w:hAnsi="Century Gothic" w:cs="Arial"/>
          <w:b/>
          <w:i/>
        </w:rPr>
        <w:t xml:space="preserve">Distribuidor de Fibra Óptica (DFO): </w:t>
      </w:r>
      <w:r>
        <w:rPr>
          <w:rFonts w:ascii="Century Gothic" w:eastAsia="Calibri" w:hAnsi="Century Gothic" w:cs="Arial"/>
        </w:rPr>
        <w:t>Dispositivo que facilita la centralización, interconexión y derivaciones de cables de fibra óptica.</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17)</w:t>
      </w:r>
      <w:r>
        <w:rPr>
          <w:rFonts w:ascii="Century Gothic" w:eastAsia="Calibri" w:hAnsi="Century Gothic" w:cs="Arial"/>
        </w:rPr>
        <w:tab/>
      </w:r>
      <w:r>
        <w:rPr>
          <w:rFonts w:ascii="Century Gothic" w:eastAsia="Calibri" w:hAnsi="Century Gothic" w:cs="Arial"/>
          <w:b/>
          <w:i/>
        </w:rPr>
        <w:t xml:space="preserve">Distribuidor General (DG): </w:t>
      </w:r>
      <w:r>
        <w:rPr>
          <w:rFonts w:ascii="Century Gothic" w:eastAsia="Calibri" w:hAnsi="Century Gothic" w:cs="Arial"/>
        </w:rPr>
        <w:t>Es una estructura organizada de tablillas denominadas horizontales y verticales, entre las cuales se realizan los puentes de pares de Red principal de cobre con los puertos de los equipos de RED NACIONAL.</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18)</w:t>
      </w:r>
      <w:r>
        <w:rPr>
          <w:rFonts w:ascii="Century Gothic" w:eastAsia="Calibri" w:hAnsi="Century Gothic" w:cs="Arial"/>
        </w:rPr>
        <w:tab/>
      </w:r>
      <w:r>
        <w:rPr>
          <w:rFonts w:ascii="Century Gothic" w:eastAsia="Calibri" w:hAnsi="Century Gothic" w:cs="Arial"/>
          <w:b/>
          <w:i/>
        </w:rPr>
        <w:t xml:space="preserve">Dominio Administrativo Ethernet: </w:t>
      </w:r>
      <w:r>
        <w:rPr>
          <w:rFonts w:ascii="Century Gothic" w:eastAsia="Calibri" w:hAnsi="Century Gothic" w:cs="Arial"/>
        </w:rPr>
        <w:t>Conjunto de uno o varios nodos de concentración de acceso indirecto (NCAI) ubicados en una o varias Centrales Telefónicas o Instalaciones Equivalentes relacionados a una cobertura geográfica determinada.</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19)</w:t>
      </w:r>
      <w:r>
        <w:rPr>
          <w:rFonts w:ascii="Century Gothic" w:eastAsia="Calibri" w:hAnsi="Century Gothic" w:cs="Arial"/>
        </w:rPr>
        <w:tab/>
      </w:r>
      <w:r>
        <w:rPr>
          <w:rFonts w:ascii="Century Gothic" w:eastAsia="Calibri" w:hAnsi="Century Gothic" w:cs="Arial"/>
          <w:b/>
          <w:i/>
        </w:rPr>
        <w:t>Ducto:</w:t>
      </w:r>
      <w:r>
        <w:rPr>
          <w:rFonts w:ascii="Century Gothic" w:eastAsia="Calibri" w:hAnsi="Century Gothic" w:cs="Arial"/>
        </w:rPr>
        <w:t xml:space="preserve"> Estructura de canalización cerrada de un diámetro específico que se emplea como vía para alojar y proteger los cables de fibra óptica o cobre de las redes de telecomunicaciones.</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20)</w:t>
      </w:r>
      <w:r>
        <w:rPr>
          <w:rFonts w:ascii="Century Gothic" w:eastAsia="Calibri" w:hAnsi="Century Gothic" w:cs="Arial"/>
        </w:rPr>
        <w:tab/>
      </w:r>
      <w:r>
        <w:rPr>
          <w:rFonts w:ascii="Century Gothic" w:eastAsia="Calibri" w:hAnsi="Century Gothic" w:cs="Arial"/>
          <w:b/>
          <w:i/>
        </w:rPr>
        <w:t>Espacio Vacante:</w:t>
      </w:r>
      <w:r>
        <w:rPr>
          <w:rFonts w:ascii="Century Gothic" w:eastAsia="Calibri" w:hAnsi="Century Gothic" w:cs="Arial"/>
        </w:rPr>
        <w:t xml:space="preserve"> Se refiere a los espacios en posesión de RED NACIONAL al interior de Centrales Telefónicas, que no estén ocupados por equipos de telecomunicaciones y otros equipamientos auxiliares y personal necesarios para su mantenimiento, ni sean espacios comunes necesarios para la movilidad de personas y equipos (tales como pasillos y accesos para apertura de puertas), y puedan ser físicamente empleados para la instalación de equipos de telecomunicaciones de los </w:t>
      </w:r>
      <w:r w:rsidR="00BA4470">
        <w:rPr>
          <w:rFonts w:ascii="Century Gothic" w:eastAsia="Calibri" w:hAnsi="Century Gothic" w:cs="Arial"/>
        </w:rPr>
        <w:t>CS</w:t>
      </w:r>
      <w:r>
        <w:rPr>
          <w:rFonts w:ascii="Century Gothic" w:eastAsia="Calibri" w:hAnsi="Century Gothic" w:cs="Arial"/>
        </w:rPr>
        <w:t>.</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lastRenderedPageBreak/>
        <w:t>21)</w:t>
      </w:r>
      <w:r>
        <w:rPr>
          <w:rFonts w:ascii="Century Gothic" w:eastAsia="Calibri" w:hAnsi="Century Gothic" w:cs="Arial"/>
        </w:rPr>
        <w:tab/>
      </w:r>
      <w:r>
        <w:rPr>
          <w:rFonts w:ascii="Century Gothic" w:eastAsia="Calibri" w:hAnsi="Century Gothic" w:cs="Arial"/>
          <w:b/>
          <w:i/>
        </w:rPr>
        <w:t xml:space="preserve">Fibra hasta el Hogar (FTTH): </w:t>
      </w:r>
      <w:r>
        <w:rPr>
          <w:rFonts w:ascii="Century Gothic" w:eastAsia="Calibri" w:hAnsi="Century Gothic" w:cs="Arial"/>
        </w:rPr>
        <w:t>Arquitectura de despliegue de red acceso basada en fibra óptica como medio de transmisión la cual emplea tecnologías que permiten el acceso hasta el domicilio del Usuario Final.</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22)</w:t>
      </w:r>
      <w:r>
        <w:rPr>
          <w:rFonts w:ascii="Century Gothic" w:eastAsia="Calibri" w:hAnsi="Century Gothic" w:cs="Arial"/>
        </w:rPr>
        <w:tab/>
      </w:r>
      <w:r>
        <w:rPr>
          <w:rFonts w:ascii="Century Gothic" w:eastAsia="Calibri" w:hAnsi="Century Gothic" w:cs="Arial"/>
          <w:b/>
          <w:i/>
        </w:rPr>
        <w:t>Fibra hasta el Nodo (FTTN)</w:t>
      </w:r>
      <w:r>
        <w:rPr>
          <w:rFonts w:ascii="Century Gothic" w:eastAsia="Calibri" w:hAnsi="Century Gothic" w:cs="Arial"/>
        </w:rPr>
        <w:t>: Arquitectura de fibra óptica implementada desde la Central Telefónica o Instalación Equivalente hasta una terminal remota, después de la terminal remota un bucle de cobre es empleado para llegar a las premisas de los Usuarios Finales a distancias hasta 1.5Km. El ancho de banda está limitado por la longitud del bucle de cobre. (Recomendación UIT-T L.86 (07/2010).</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23)</w:t>
      </w:r>
      <w:r>
        <w:rPr>
          <w:rFonts w:ascii="Century Gothic" w:eastAsia="Calibri" w:hAnsi="Century Gothic" w:cs="Arial"/>
        </w:rPr>
        <w:tab/>
      </w:r>
      <w:r>
        <w:rPr>
          <w:rFonts w:ascii="Century Gothic" w:eastAsia="Calibri" w:hAnsi="Century Gothic" w:cs="Arial"/>
          <w:b/>
          <w:i/>
        </w:rPr>
        <w:t>Incidencia o falla:</w:t>
      </w:r>
      <w:r>
        <w:rPr>
          <w:rFonts w:ascii="Century Gothic" w:eastAsia="Calibri" w:hAnsi="Century Gothic" w:cs="Arial"/>
          <w:b/>
        </w:rPr>
        <w:t xml:space="preserve"> </w:t>
      </w:r>
      <w:r>
        <w:rPr>
          <w:rFonts w:ascii="Century Gothic" w:eastAsia="Calibri" w:hAnsi="Century Gothic" w:cs="Arial"/>
        </w:rPr>
        <w:t>Es la interrupción no planeada de un Servicio o la reducción en la calidad de dicho Servicio fuera de los parámetros específicos para cada servicio indicados.</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24)</w:t>
      </w:r>
      <w:r>
        <w:rPr>
          <w:rFonts w:ascii="Century Gothic" w:eastAsia="Calibri" w:hAnsi="Century Gothic" w:cs="Arial"/>
        </w:rPr>
        <w:tab/>
      </w:r>
      <w:r>
        <w:rPr>
          <w:rFonts w:ascii="Century Gothic" w:eastAsia="Calibri" w:hAnsi="Century Gothic" w:cs="Arial"/>
          <w:b/>
          <w:i/>
        </w:rPr>
        <w:t>Instituto (IFT):</w:t>
      </w:r>
      <w:r>
        <w:rPr>
          <w:rFonts w:ascii="Century Gothic" w:eastAsia="Calibri" w:hAnsi="Century Gothic" w:cs="Arial"/>
        </w:rPr>
        <w:t xml:space="preserve"> El Instituto Federal de Telecomunicaciones.</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25)</w:t>
      </w:r>
      <w:r>
        <w:rPr>
          <w:rFonts w:ascii="Century Gothic" w:eastAsia="Calibri" w:hAnsi="Century Gothic" w:cs="Arial"/>
        </w:rPr>
        <w:tab/>
      </w:r>
      <w:r>
        <w:rPr>
          <w:rFonts w:ascii="Century Gothic" w:eastAsia="Calibri" w:hAnsi="Century Gothic" w:cs="Arial"/>
          <w:b/>
          <w:i/>
        </w:rPr>
        <w:t xml:space="preserve">Interoperabilidad: </w:t>
      </w:r>
      <w:r>
        <w:rPr>
          <w:rFonts w:ascii="Century Gothic" w:eastAsia="Calibri" w:hAnsi="Century Gothic" w:cs="Arial"/>
        </w:rPr>
        <w:t>Características técnicas de las redes públicas, sistemas y equipos de telecomunicaciones integrados a éstas que permiten la interconexión efectiva, por medio de las cuales se asegura la provisión de un servicio de telecomunicaciones específico de una manera consistente y predecible, en términos de la entrega funcional de servicios entre redes.</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26)</w:t>
      </w:r>
      <w:r>
        <w:rPr>
          <w:rFonts w:ascii="Century Gothic" w:eastAsia="Calibri" w:hAnsi="Century Gothic" w:cs="Arial"/>
        </w:rPr>
        <w:tab/>
      </w:r>
      <w:r>
        <w:rPr>
          <w:rFonts w:ascii="Century Gothic" w:eastAsia="Calibri" w:hAnsi="Century Gothic" w:cs="Arial"/>
          <w:b/>
          <w:i/>
        </w:rPr>
        <w:t>Línea de Abonado Digital (DSL):</w:t>
      </w:r>
      <w:r>
        <w:rPr>
          <w:rFonts w:ascii="Century Gothic" w:eastAsia="Calibri" w:hAnsi="Century Gothic" w:cs="Arial"/>
        </w:rPr>
        <w:t xml:space="preserve"> Familias de tecnologías empleadas para ofrecer transporte de datos digitales sobre líneas telefónicas de cobre.</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27)</w:t>
      </w:r>
      <w:r>
        <w:rPr>
          <w:rFonts w:ascii="Century Gothic" w:eastAsia="Calibri" w:hAnsi="Century Gothic" w:cs="Arial"/>
        </w:rPr>
        <w:tab/>
      </w:r>
      <w:r>
        <w:rPr>
          <w:rFonts w:ascii="Century Gothic" w:eastAsia="Calibri" w:hAnsi="Century Gothic" w:cs="Arial"/>
          <w:b/>
          <w:i/>
        </w:rPr>
        <w:t xml:space="preserve">Multiplexor de Acceso a Línea de Abonado Digital (DSLAM): </w:t>
      </w:r>
      <w:r>
        <w:rPr>
          <w:rFonts w:ascii="Century Gothic" w:eastAsia="Calibri" w:hAnsi="Century Gothic" w:cs="Arial"/>
        </w:rPr>
        <w:t>Es el equipo en donde termina y concentra el tráfico de datos de un cierto número de líneas digitales provenientes de distintos Usuarios Finales en un solo flujo de datos hacia la Red de Telecomunicaciones.</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28)</w:t>
      </w:r>
      <w:r>
        <w:rPr>
          <w:rFonts w:ascii="Century Gothic" w:eastAsia="Calibri" w:hAnsi="Century Gothic" w:cs="Arial"/>
        </w:rPr>
        <w:tab/>
      </w:r>
      <w:r>
        <w:rPr>
          <w:rFonts w:ascii="Century Gothic" w:eastAsia="Calibri" w:hAnsi="Century Gothic" w:cs="Arial"/>
          <w:b/>
          <w:i/>
        </w:rPr>
        <w:t xml:space="preserve">Nodo de Conexión de Acceso Indirecto (NCAI): </w:t>
      </w:r>
      <w:r>
        <w:rPr>
          <w:rFonts w:ascii="Century Gothic" w:eastAsia="Calibri" w:hAnsi="Century Gothic" w:cs="Arial"/>
        </w:rPr>
        <w:t>Nodos de entrega del Servicio a nivel local, regional o nacional. En ellos se localizan los puertos (pCAI) o interfaces lógicas de entrega del servicio.</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29)</w:t>
      </w:r>
      <w:r>
        <w:rPr>
          <w:rFonts w:ascii="Century Gothic" w:eastAsia="Calibri" w:hAnsi="Century Gothic" w:cs="Arial"/>
        </w:rPr>
        <w:tab/>
      </w:r>
      <w:r>
        <w:rPr>
          <w:rFonts w:ascii="Century Gothic" w:eastAsia="Calibri" w:hAnsi="Century Gothic" w:cs="Arial"/>
          <w:b/>
          <w:i/>
        </w:rPr>
        <w:t>NCAI Local (NCAI-L):</w:t>
      </w:r>
      <w:r>
        <w:rPr>
          <w:rFonts w:ascii="Century Gothic" w:eastAsia="Calibri" w:hAnsi="Century Gothic" w:cs="Arial"/>
        </w:rPr>
        <w:t xml:space="preserve"> NCAI al que solo se conectan directamente los equipos de acceso.</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30)</w:t>
      </w:r>
      <w:r>
        <w:rPr>
          <w:rFonts w:ascii="Century Gothic" w:eastAsia="Calibri" w:hAnsi="Century Gothic" w:cs="Arial"/>
        </w:rPr>
        <w:tab/>
      </w:r>
      <w:r>
        <w:rPr>
          <w:rFonts w:ascii="Century Gothic" w:eastAsia="Calibri" w:hAnsi="Century Gothic" w:cs="Arial"/>
          <w:b/>
          <w:i/>
        </w:rPr>
        <w:t>NCAI Regional (NCAI-R):</w:t>
      </w:r>
      <w:r>
        <w:rPr>
          <w:rFonts w:ascii="Century Gothic" w:eastAsia="Calibri" w:hAnsi="Century Gothic" w:cs="Arial"/>
        </w:rPr>
        <w:t xml:space="preserve"> NCAI al que se conectan directamente otros nodos locales NCAI-L además de los equipos de acceso.</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31)</w:t>
      </w:r>
      <w:r>
        <w:rPr>
          <w:rFonts w:ascii="Century Gothic" w:eastAsia="Calibri" w:hAnsi="Century Gothic" w:cs="Arial"/>
        </w:rPr>
        <w:tab/>
      </w:r>
      <w:r>
        <w:rPr>
          <w:rFonts w:ascii="Century Gothic" w:eastAsia="Calibri" w:hAnsi="Century Gothic" w:cs="Arial"/>
          <w:b/>
          <w:i/>
        </w:rPr>
        <w:t>NCAI Nacional (NCAI-N):</w:t>
      </w:r>
      <w:r>
        <w:rPr>
          <w:rFonts w:ascii="Century Gothic" w:eastAsia="Calibri" w:hAnsi="Century Gothic" w:cs="Arial"/>
        </w:rPr>
        <w:t xml:space="preserve"> NCAI al que se conectan directamente otros nodos regionales NCAI-R y locales NCAI-L además de los equipos de acceso.</w:t>
      </w:r>
    </w:p>
    <w:p w:rsidR="00705482" w:rsidRPr="00611019" w:rsidRDefault="00E56462" w:rsidP="00F645E5">
      <w:pPr>
        <w:spacing w:before="3pt"/>
        <w:ind w:start="28.35pt" w:hanging="25.05pt"/>
        <w:jc w:val="both"/>
        <w:rPr>
          <w:rFonts w:ascii="Century Gothic" w:eastAsia="Calibri" w:hAnsi="Century Gothic" w:cs="Arial"/>
          <w:b/>
          <w:i/>
        </w:rPr>
      </w:pPr>
      <w:r>
        <w:rPr>
          <w:rFonts w:ascii="Century Gothic" w:eastAsia="Calibri" w:hAnsi="Century Gothic" w:cs="Arial"/>
        </w:rPr>
        <w:t>32)</w:t>
      </w:r>
      <w:r>
        <w:rPr>
          <w:rFonts w:ascii="Century Gothic" w:eastAsia="Calibri" w:hAnsi="Century Gothic" w:cs="Arial"/>
        </w:rPr>
        <w:tab/>
      </w:r>
      <w:r>
        <w:rPr>
          <w:rFonts w:ascii="Century Gothic" w:eastAsia="Calibri" w:hAnsi="Century Gothic" w:cs="Arial"/>
          <w:b/>
          <w:i/>
        </w:rPr>
        <w:t xml:space="preserve">Número de Identificación de Solicitud (NIS): </w:t>
      </w:r>
      <w:r>
        <w:rPr>
          <w:rFonts w:ascii="Century Gothic" w:eastAsia="Calibri" w:hAnsi="Century Gothic" w:cs="Arial"/>
        </w:rPr>
        <w:t>Identificador asignado a cada solicitud de Servicios de Desagregación.</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33)</w:t>
      </w:r>
      <w:r>
        <w:rPr>
          <w:rFonts w:ascii="Century Gothic" w:eastAsia="Calibri" w:hAnsi="Century Gothic" w:cs="Arial"/>
        </w:rPr>
        <w:tab/>
      </w:r>
      <w:r>
        <w:rPr>
          <w:rFonts w:ascii="Century Gothic" w:eastAsia="Calibri" w:hAnsi="Century Gothic" w:cs="Arial"/>
          <w:b/>
          <w:i/>
        </w:rPr>
        <w:t>Oferta:</w:t>
      </w:r>
      <w:r>
        <w:rPr>
          <w:rFonts w:ascii="Century Gothic" w:eastAsia="Calibri" w:hAnsi="Century Gothic" w:cs="Arial"/>
        </w:rPr>
        <w:t xml:space="preserve"> La presente Oferta de Referencia para la Desagregación del Bucle Local (OREDA), incluyendo el presente documento y sus anexos.</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34)</w:t>
      </w:r>
      <w:r>
        <w:rPr>
          <w:rFonts w:ascii="Century Gothic" w:eastAsia="Calibri" w:hAnsi="Century Gothic" w:cs="Arial"/>
        </w:rPr>
        <w:tab/>
      </w:r>
      <w:r>
        <w:rPr>
          <w:rFonts w:ascii="Century Gothic" w:eastAsia="Calibri" w:hAnsi="Century Gothic" w:cs="Arial"/>
          <w:b/>
          <w:i/>
        </w:rPr>
        <w:t>Partes:</w:t>
      </w:r>
      <w:r>
        <w:rPr>
          <w:rFonts w:ascii="Century Gothic" w:eastAsia="Calibri" w:hAnsi="Century Gothic" w:cs="Arial"/>
        </w:rPr>
        <w:t xml:space="preserve"> RED NACIONAL y/o el CS, según </w:t>
      </w:r>
      <w:r w:rsidR="00BA4470">
        <w:rPr>
          <w:rFonts w:ascii="Century Gothic" w:eastAsia="Calibri" w:hAnsi="Century Gothic" w:cs="Arial"/>
        </w:rPr>
        <w:t xml:space="preserve">sea </w:t>
      </w:r>
      <w:r>
        <w:rPr>
          <w:rFonts w:ascii="Century Gothic" w:eastAsia="Calibri" w:hAnsi="Century Gothic" w:cs="Arial"/>
        </w:rPr>
        <w:t>el caso.</w:t>
      </w:r>
    </w:p>
    <w:p w:rsidR="00705482" w:rsidRPr="00611019" w:rsidRDefault="00E56462" w:rsidP="00F645E5">
      <w:pPr>
        <w:spacing w:before="3pt"/>
        <w:ind w:start="28.35pt" w:hanging="25.05pt"/>
        <w:jc w:val="both"/>
        <w:rPr>
          <w:rFonts w:ascii="Century Gothic" w:eastAsia="Calibri" w:hAnsi="Century Gothic" w:cs="Arial"/>
        </w:rPr>
      </w:pPr>
      <w:r w:rsidRPr="00BB42F4">
        <w:rPr>
          <w:rFonts w:ascii="Century Gothic" w:eastAsia="Calibri" w:hAnsi="Century Gothic" w:cs="Arial"/>
        </w:rPr>
        <w:t>35)</w:t>
      </w:r>
      <w:r w:rsidRPr="00BB42F4">
        <w:rPr>
          <w:rFonts w:ascii="Century Gothic" w:eastAsia="Calibri" w:hAnsi="Century Gothic" w:cs="Arial"/>
        </w:rPr>
        <w:tab/>
      </w:r>
      <w:r w:rsidRPr="00BB42F4">
        <w:rPr>
          <w:rFonts w:ascii="Century Gothic" w:eastAsia="Calibri" w:hAnsi="Century Gothic" w:cs="Arial"/>
          <w:b/>
          <w:i/>
        </w:rPr>
        <w:t>Perfil</w:t>
      </w:r>
      <w:r w:rsidR="00BA4470">
        <w:rPr>
          <w:rFonts w:ascii="Century Gothic" w:eastAsia="Calibri" w:hAnsi="Century Gothic" w:cs="Arial"/>
          <w:b/>
          <w:i/>
        </w:rPr>
        <w:t xml:space="preserve"> de l</w:t>
      </w:r>
      <w:r w:rsidR="00D65548">
        <w:rPr>
          <w:rFonts w:ascii="Century Gothic" w:eastAsia="Calibri" w:hAnsi="Century Gothic" w:cs="Arial"/>
          <w:b/>
          <w:i/>
        </w:rPr>
        <w:t>í</w:t>
      </w:r>
      <w:r w:rsidR="00BA4470">
        <w:rPr>
          <w:rFonts w:ascii="Century Gothic" w:eastAsia="Calibri" w:hAnsi="Century Gothic" w:cs="Arial"/>
          <w:b/>
          <w:i/>
        </w:rPr>
        <w:t>nea</w:t>
      </w:r>
      <w:r w:rsidRPr="00BB42F4">
        <w:rPr>
          <w:rFonts w:ascii="Century Gothic" w:eastAsia="Calibri" w:hAnsi="Century Gothic" w:cs="Arial"/>
          <w:b/>
          <w:i/>
        </w:rPr>
        <w:t xml:space="preserve">: </w:t>
      </w:r>
      <w:r w:rsidRPr="00BB42F4">
        <w:rPr>
          <w:rFonts w:ascii="Century Gothic" w:eastAsia="Calibri" w:hAnsi="Century Gothic" w:cs="Arial"/>
        </w:rPr>
        <w:t xml:space="preserve">conjunto de parámetros que definen las características de un servicio determinado, como el Ancho de Banda de Bajada, Ancho de Banda de </w:t>
      </w:r>
      <w:r w:rsidRPr="00BB42F4">
        <w:rPr>
          <w:rFonts w:ascii="Century Gothic" w:eastAsia="Calibri" w:hAnsi="Century Gothic" w:cs="Arial"/>
        </w:rPr>
        <w:lastRenderedPageBreak/>
        <w:t xml:space="preserve">Subida, </w:t>
      </w:r>
      <w:r w:rsidRPr="00BB42F4">
        <w:rPr>
          <w:rFonts w:ascii="Century Gothic" w:hAnsi="Century Gothic"/>
        </w:rPr>
        <w:t>máscara PSD a emplear,</w:t>
      </w:r>
      <w:r w:rsidRPr="00BB42F4">
        <w:rPr>
          <w:rFonts w:ascii="Century Gothic" w:eastAsia="Calibri" w:hAnsi="Century Gothic" w:cs="Arial"/>
        </w:rPr>
        <w:t xml:space="preserve"> tipo de señalización, modo de operación, entre otros, de la red hacia el Usuario Final como a la inversa.</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36)</w:t>
      </w:r>
      <w:r>
        <w:rPr>
          <w:rFonts w:ascii="Century Gothic" w:eastAsia="Calibri" w:hAnsi="Century Gothic" w:cs="Arial"/>
        </w:rPr>
        <w:tab/>
      </w:r>
      <w:r>
        <w:rPr>
          <w:rFonts w:ascii="Century Gothic" w:eastAsia="Calibri" w:hAnsi="Century Gothic" w:cs="Arial"/>
          <w:b/>
          <w:i/>
        </w:rPr>
        <w:t xml:space="preserve">Planta Externa: </w:t>
      </w:r>
      <w:r>
        <w:rPr>
          <w:rFonts w:ascii="Century Gothic" w:eastAsia="Calibri" w:hAnsi="Century Gothic" w:cs="Arial"/>
        </w:rPr>
        <w:t xml:space="preserve">Estructura que se requiere para unir la Central Telefónica o Instalación Equivalente con los equipos o elementos de red de los Usuarios Finales, o para interconectar entre sí distintas Centrales Telefónicas o Instalaciones Equivalentes. </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37)</w:t>
      </w:r>
      <w:r>
        <w:rPr>
          <w:rFonts w:ascii="Century Gothic" w:eastAsia="Calibri" w:hAnsi="Century Gothic" w:cs="Arial"/>
        </w:rPr>
        <w:tab/>
      </w:r>
      <w:r>
        <w:rPr>
          <w:rFonts w:ascii="Century Gothic" w:eastAsia="Calibri" w:hAnsi="Century Gothic" w:cs="Arial"/>
          <w:b/>
          <w:i/>
        </w:rPr>
        <w:t>Pozo:</w:t>
      </w:r>
      <w:r>
        <w:rPr>
          <w:rFonts w:ascii="Century Gothic" w:eastAsia="Calibri" w:hAnsi="Century Gothic" w:cs="Arial"/>
        </w:rPr>
        <w:t xml:space="preserve"> Obra civil subterránea destinada a permitir la instalación de cables, la distribución de la red, así como para alojar empalmes.</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38)</w:t>
      </w:r>
      <w:r>
        <w:rPr>
          <w:rFonts w:ascii="Century Gothic" w:eastAsia="Calibri" w:hAnsi="Century Gothic" w:cs="Arial"/>
        </w:rPr>
        <w:tab/>
      </w:r>
      <w:r>
        <w:rPr>
          <w:rFonts w:ascii="Century Gothic" w:eastAsia="Calibri" w:hAnsi="Century Gothic" w:cs="Arial"/>
          <w:b/>
          <w:i/>
        </w:rPr>
        <w:t xml:space="preserve">Puerto de conexión de acceso indirecto (pCAI): </w:t>
      </w:r>
      <w:r>
        <w:rPr>
          <w:rFonts w:ascii="Century Gothic" w:eastAsia="Calibri" w:hAnsi="Century Gothic" w:cs="Arial"/>
        </w:rPr>
        <w:t>Puerto de un NCAI. Es la interfaz física (puerto) en la que se entrega el tráfico de un CS correspondiente a un determinado conjunto de equipos de acceso (DSLAM/OLT).</w:t>
      </w:r>
      <w:r>
        <w:rPr>
          <w:rFonts w:ascii="Century Gothic" w:eastAsia="Calibri" w:hAnsi="Century Gothic" w:cs="Arial"/>
          <w:i/>
        </w:rPr>
        <w:t xml:space="preserve"> </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39)</w:t>
      </w:r>
      <w:r>
        <w:rPr>
          <w:rFonts w:ascii="Century Gothic" w:eastAsia="Calibri" w:hAnsi="Century Gothic" w:cs="Arial"/>
        </w:rPr>
        <w:tab/>
      </w:r>
      <w:r>
        <w:rPr>
          <w:rFonts w:ascii="Century Gothic" w:eastAsia="Calibri" w:hAnsi="Century Gothic" w:cs="Arial"/>
          <w:b/>
          <w:i/>
        </w:rPr>
        <w:t>Punto de concentración (Local/Regional/Nacional):</w:t>
      </w:r>
      <w:r>
        <w:rPr>
          <w:rFonts w:ascii="Century Gothic" w:eastAsia="Calibri" w:hAnsi="Century Gothic" w:cs="Arial"/>
        </w:rPr>
        <w:t xml:space="preserve"> Ubicación física del nodo cabecera de una red de agregación ya sea Local, Regional o Nacional.</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40)</w:t>
      </w:r>
      <w:r>
        <w:rPr>
          <w:rFonts w:ascii="Century Gothic" w:eastAsia="Calibri" w:hAnsi="Century Gothic" w:cs="Arial"/>
        </w:rPr>
        <w:tab/>
      </w:r>
      <w:r>
        <w:rPr>
          <w:rFonts w:ascii="Century Gothic" w:eastAsia="Calibri" w:hAnsi="Century Gothic" w:cs="Arial"/>
          <w:b/>
          <w:i/>
        </w:rPr>
        <w:t>Punto de Conexión Terminal con filtro centralizado</w:t>
      </w:r>
      <w:r>
        <w:rPr>
          <w:rFonts w:ascii="Century Gothic" w:eastAsia="Calibri" w:hAnsi="Century Gothic" w:cs="Arial"/>
          <w:b/>
        </w:rPr>
        <w:t>:</w:t>
      </w:r>
      <w:r>
        <w:rPr>
          <w:rFonts w:ascii="Century Gothic" w:eastAsia="Calibri" w:hAnsi="Century Gothic" w:cs="Arial"/>
        </w:rPr>
        <w:t xml:space="preserve"> Dispositivo unilínea que delimita la red de RED NACIONAL con la red del Usuario Final y que separa la banda de frecuencias altas de la banda de frecuencias bajas.</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41)</w:t>
      </w:r>
      <w:r>
        <w:rPr>
          <w:rFonts w:ascii="Century Gothic" w:eastAsia="Calibri" w:hAnsi="Century Gothic" w:cs="Arial"/>
        </w:rPr>
        <w:tab/>
      </w:r>
      <w:r>
        <w:rPr>
          <w:rFonts w:ascii="Century Gothic" w:eastAsia="Calibri" w:hAnsi="Century Gothic" w:cs="Arial"/>
          <w:b/>
          <w:i/>
        </w:rPr>
        <w:t>Punto de Conexión Terminal (PCT):</w:t>
      </w:r>
      <w:r>
        <w:rPr>
          <w:rFonts w:ascii="Century Gothic" w:eastAsia="Calibri" w:hAnsi="Century Gothic" w:cs="Arial"/>
          <w:b/>
        </w:rPr>
        <w:t xml:space="preserve"> </w:t>
      </w:r>
      <w:r>
        <w:rPr>
          <w:rFonts w:ascii="Century Gothic" w:eastAsia="Calibri" w:hAnsi="Century Gothic" w:cs="Arial"/>
        </w:rPr>
        <w:t>Dispositivo unilínea o multilínea, que delimita la red de RED NACIONAL con la red del Usuario Final, el cual se instala en el sitio del Usuario Final y sirve como frontera o demarcación de la responsabilidad para los Servicios.</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42)</w:t>
      </w:r>
      <w:r>
        <w:rPr>
          <w:rFonts w:ascii="Century Gothic" w:eastAsia="Calibri" w:hAnsi="Century Gothic" w:cs="Arial"/>
        </w:rPr>
        <w:tab/>
      </w:r>
      <w:r>
        <w:rPr>
          <w:rFonts w:ascii="Century Gothic" w:eastAsia="Calibri" w:hAnsi="Century Gothic" w:cs="Arial"/>
          <w:b/>
          <w:i/>
        </w:rPr>
        <w:t>Punto de Dispersión (Terminal):</w:t>
      </w:r>
      <w:r>
        <w:rPr>
          <w:rFonts w:ascii="Century Gothic" w:eastAsia="Calibri" w:hAnsi="Century Gothic" w:cs="Arial"/>
        </w:rPr>
        <w:t xml:space="preserve"> Punto de terminación de la red secundaria donde se realiza la conexión del cable de acometida que va al Usuario Final. Se instala normalmente en postes, fachadas, interiores de edificios, azoteas o postes de instalación oculta, entre otros.</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43)</w:t>
      </w:r>
      <w:r>
        <w:rPr>
          <w:rFonts w:ascii="Century Gothic" w:eastAsia="Calibri" w:hAnsi="Century Gothic" w:cs="Arial"/>
        </w:rPr>
        <w:tab/>
      </w:r>
      <w:r>
        <w:rPr>
          <w:rFonts w:ascii="Century Gothic" w:eastAsia="Calibri" w:hAnsi="Century Gothic" w:cs="Arial"/>
          <w:b/>
          <w:i/>
        </w:rPr>
        <w:t>Punto de Interconexión:</w:t>
      </w:r>
      <w:r>
        <w:rPr>
          <w:rFonts w:ascii="Century Gothic" w:eastAsia="Calibri" w:hAnsi="Century Gothic" w:cs="Arial"/>
        </w:rPr>
        <w:t xml:space="preserve"> Punto físico o virtual donde se establece la interconexión entre redes públicas de telecomunicaciones para el intercambio de tráfico.</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44)</w:t>
      </w:r>
      <w:r>
        <w:rPr>
          <w:rFonts w:ascii="Century Gothic" w:eastAsia="Calibri" w:hAnsi="Century Gothic" w:cs="Arial"/>
        </w:rPr>
        <w:tab/>
      </w:r>
      <w:r>
        <w:rPr>
          <w:rFonts w:ascii="Century Gothic" w:eastAsia="Calibri" w:hAnsi="Century Gothic" w:cs="Arial"/>
          <w:b/>
          <w:i/>
        </w:rPr>
        <w:t>Red de agregación local:</w:t>
      </w:r>
      <w:r>
        <w:rPr>
          <w:rFonts w:ascii="Century Gothic" w:eastAsia="Calibri" w:hAnsi="Century Gothic" w:cs="Arial"/>
        </w:rPr>
        <w:t xml:space="preserve"> Red conformada por un NCAI, al menos un pCAI en dicho nodo y el conjunto de los medios de transmisión y enrutamiento físicos y lógicos que permiten la Concentración y Distribución de los equipos de acceso asociados.</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45)</w:t>
      </w:r>
      <w:r>
        <w:rPr>
          <w:rFonts w:ascii="Century Gothic" w:eastAsia="Calibri" w:hAnsi="Century Gothic" w:cs="Arial"/>
        </w:rPr>
        <w:tab/>
      </w:r>
      <w:r>
        <w:rPr>
          <w:rFonts w:ascii="Century Gothic" w:eastAsia="Calibri" w:hAnsi="Century Gothic" w:cs="Arial"/>
          <w:b/>
          <w:i/>
        </w:rPr>
        <w:t>Red de agregación nacional:</w:t>
      </w:r>
      <w:r>
        <w:rPr>
          <w:rFonts w:ascii="Century Gothic" w:eastAsia="Calibri" w:hAnsi="Century Gothic" w:cs="Arial"/>
        </w:rPr>
        <w:t xml:space="preserve"> Red conformada por un NCAI-N nacional, al menos un pCAI en dicho nodo, los nodos regionales NCAI-R y locales afectados (NCAI-L) y el conjunto de los medios de transmisión y enrutamiento físicos y lógicos que permiten la Concentración y Distribución entre estos y con sus equipos de acceso asociados.</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46)</w:t>
      </w:r>
      <w:r>
        <w:rPr>
          <w:rFonts w:ascii="Century Gothic" w:eastAsia="Calibri" w:hAnsi="Century Gothic" w:cs="Arial"/>
        </w:rPr>
        <w:tab/>
      </w:r>
      <w:r>
        <w:rPr>
          <w:rFonts w:ascii="Century Gothic" w:eastAsia="Calibri" w:hAnsi="Century Gothic" w:cs="Arial"/>
          <w:b/>
          <w:i/>
        </w:rPr>
        <w:t>Red de agregación regional:</w:t>
      </w:r>
      <w:r>
        <w:rPr>
          <w:rFonts w:ascii="Century Gothic" w:eastAsia="Calibri" w:hAnsi="Century Gothic" w:cs="Arial"/>
        </w:rPr>
        <w:t xml:space="preserve"> Red conformada por un NCAI-R regional, al menos un pCAI en dicho nodo, los nodos locales afectados (NCAI-L) y el conjunto de los medios de transmisión y enrutamiento físicos y lógicos que permiten la Concentración y Distribución entre estos y con sus equipos de acceso asociados.</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lastRenderedPageBreak/>
        <w:t>47)</w:t>
      </w:r>
      <w:r>
        <w:rPr>
          <w:rFonts w:ascii="Century Gothic" w:eastAsia="Calibri" w:hAnsi="Century Gothic" w:cs="Arial"/>
        </w:rPr>
        <w:tab/>
      </w:r>
      <w:r>
        <w:rPr>
          <w:rFonts w:ascii="Century Gothic" w:eastAsia="Calibri" w:hAnsi="Century Gothic" w:cs="Arial"/>
          <w:b/>
          <w:i/>
        </w:rPr>
        <w:t>Red de Área Local Virtual:</w:t>
      </w:r>
      <w:r>
        <w:rPr>
          <w:rFonts w:ascii="Century Gothic" w:eastAsia="Calibri" w:hAnsi="Century Gothic" w:cs="Arial"/>
          <w:b/>
        </w:rPr>
        <w:t xml:space="preserve"> </w:t>
      </w:r>
      <w:r>
        <w:rPr>
          <w:rFonts w:ascii="Century Gothic" w:eastAsia="Calibri" w:hAnsi="Century Gothic" w:cs="Arial"/>
        </w:rPr>
        <w:t>Una Red Puenteada Virtual que es una concatenación de redes de área local individuales interconectadas por puentes, incluyendo redes de área local virtual. (Referencia: IEEE 802.1Q-2014</w:t>
      </w:r>
      <w:r>
        <w:rPr>
          <w:rFonts w:ascii="Century Gothic" w:eastAsia="Calibri" w:hAnsi="Century Gothic" w:cs="Arial"/>
          <w:vertAlign w:val="superscript"/>
        </w:rPr>
        <w:footnoteReference w:id="2"/>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48)</w:t>
      </w:r>
      <w:r>
        <w:rPr>
          <w:rFonts w:ascii="Century Gothic" w:eastAsia="Calibri" w:hAnsi="Century Gothic" w:cs="Arial"/>
        </w:rPr>
        <w:tab/>
      </w:r>
      <w:r>
        <w:rPr>
          <w:rFonts w:ascii="Century Gothic" w:eastAsia="Calibri" w:hAnsi="Century Gothic" w:cs="Arial"/>
          <w:b/>
          <w:i/>
        </w:rPr>
        <w:t xml:space="preserve">Red Óptica Pasiva Gigabit: </w:t>
      </w:r>
      <w:r>
        <w:rPr>
          <w:rFonts w:ascii="Century Gothic" w:eastAsia="Calibri" w:hAnsi="Century Gothic" w:cs="Arial"/>
        </w:rPr>
        <w:t>Tecnología de acceso de fibra óptica, que transporta información en una configuración punto a multipunto mediante divisores ópticos pasivos.</w:t>
      </w:r>
    </w:p>
    <w:p w:rsidR="00705482" w:rsidRPr="00611019" w:rsidRDefault="00E56462" w:rsidP="00F645E5">
      <w:pPr>
        <w:spacing w:before="3pt"/>
        <w:ind w:start="28.35pt" w:hanging="25.05pt"/>
        <w:jc w:val="both"/>
        <w:rPr>
          <w:rFonts w:ascii="Century Gothic" w:eastAsia="Calibri" w:hAnsi="Century Gothic" w:cs="Arial"/>
          <w:b/>
        </w:rPr>
      </w:pPr>
      <w:r>
        <w:rPr>
          <w:rFonts w:ascii="Century Gothic" w:eastAsia="Calibri" w:hAnsi="Century Gothic" w:cs="Arial"/>
        </w:rPr>
        <w:t>49)</w:t>
      </w:r>
      <w:r>
        <w:rPr>
          <w:rFonts w:ascii="Century Gothic" w:eastAsia="Calibri" w:hAnsi="Century Gothic" w:cs="Arial"/>
        </w:rPr>
        <w:tab/>
      </w:r>
      <w:r>
        <w:rPr>
          <w:rFonts w:ascii="Century Gothic" w:eastAsia="Calibri" w:hAnsi="Century Gothic" w:cs="Arial"/>
          <w:b/>
          <w:i/>
        </w:rPr>
        <w:t>Red Principal:</w:t>
      </w:r>
      <w:r>
        <w:rPr>
          <w:rFonts w:ascii="Century Gothic" w:eastAsia="Calibri" w:hAnsi="Century Gothic" w:cs="Arial"/>
          <w:b/>
        </w:rPr>
        <w:t xml:space="preserve"> </w:t>
      </w:r>
      <w:r>
        <w:rPr>
          <w:rFonts w:ascii="Century Gothic" w:eastAsia="Calibri" w:hAnsi="Century Gothic" w:cs="Arial"/>
        </w:rPr>
        <w:t>Segmento de la red de telecomunicaciones conectado a la Central Telefónica o Instalación Equivalente por medio del DG, saliendo de esta por la fosa de cables, para ir alojados en canalizaciones de concreto o PVC hacia las Cajas de Distribución</w:t>
      </w:r>
      <w:r>
        <w:rPr>
          <w:rFonts w:ascii="Century Gothic" w:eastAsia="Calibri" w:hAnsi="Century Gothic" w:cs="Arial"/>
          <w:b/>
        </w:rPr>
        <w:t>.</w:t>
      </w:r>
    </w:p>
    <w:p w:rsidR="00224D2F"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50)</w:t>
      </w:r>
      <w:r>
        <w:rPr>
          <w:rFonts w:ascii="Century Gothic" w:eastAsia="Calibri" w:hAnsi="Century Gothic" w:cs="Arial"/>
        </w:rPr>
        <w:tab/>
      </w:r>
      <w:r>
        <w:rPr>
          <w:rFonts w:ascii="Century Gothic" w:eastAsia="Calibri" w:hAnsi="Century Gothic" w:cs="Arial"/>
          <w:b/>
          <w:i/>
        </w:rPr>
        <w:t>Red Nacional:</w:t>
      </w:r>
      <w:r>
        <w:rPr>
          <w:rFonts w:ascii="Century Gothic" w:eastAsia="Calibri" w:hAnsi="Century Gothic" w:cs="Arial"/>
          <w:b/>
        </w:rPr>
        <w:t xml:space="preserve"> </w:t>
      </w:r>
      <w:r>
        <w:rPr>
          <w:rFonts w:ascii="Century Gothic" w:eastAsia="Calibri" w:hAnsi="Century Gothic" w:cs="Arial"/>
        </w:rPr>
        <w:t>Red Nacional Última Milla, S.A.P.I. de C.V.</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51)</w:t>
      </w:r>
      <w:r>
        <w:rPr>
          <w:rFonts w:ascii="Century Gothic" w:eastAsia="Calibri" w:hAnsi="Century Gothic" w:cs="Arial"/>
        </w:rPr>
        <w:tab/>
      </w:r>
      <w:r>
        <w:rPr>
          <w:rFonts w:ascii="Century Gothic" w:eastAsia="Calibri" w:hAnsi="Century Gothic" w:cs="Arial"/>
          <w:b/>
          <w:i/>
        </w:rPr>
        <w:t>Red Secundaria:</w:t>
      </w:r>
      <w:r>
        <w:rPr>
          <w:rFonts w:ascii="Century Gothic" w:eastAsia="Calibri" w:hAnsi="Century Gothic" w:cs="Arial"/>
          <w:b/>
        </w:rPr>
        <w:t xml:space="preserve"> </w:t>
      </w:r>
      <w:r>
        <w:rPr>
          <w:rFonts w:ascii="Century Gothic" w:eastAsia="Calibri" w:hAnsi="Century Gothic" w:cs="Arial"/>
        </w:rPr>
        <w:t>Segmento de la red de telecomunicaciones conectado desde una caja de distribución y que se despliega en la vía pública por medio de puntos de dispersión hacia las cajas terminales.</w:t>
      </w:r>
    </w:p>
    <w:p w:rsidR="00224D2F"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 xml:space="preserve">52) </w:t>
      </w:r>
      <w:r>
        <w:rPr>
          <w:rFonts w:ascii="Century Gothic" w:eastAsia="Calibri" w:hAnsi="Century Gothic" w:cs="Arial"/>
        </w:rPr>
        <w:tab/>
      </w:r>
      <w:r>
        <w:rPr>
          <w:rFonts w:ascii="Century Gothic" w:eastAsia="Calibri" w:hAnsi="Century Gothic" w:cs="Arial"/>
          <w:b/>
          <w:bCs/>
          <w:i/>
          <w:iCs/>
        </w:rPr>
        <w:t>Servicios</w:t>
      </w:r>
      <w:r>
        <w:rPr>
          <w:rFonts w:ascii="Century Gothic" w:eastAsia="Calibri" w:hAnsi="Century Gothic" w:cs="Arial"/>
        </w:rPr>
        <w:t>: Son aquellos que RED NACIONAL proporciona al amparo de la presente Oferta.</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53)</w:t>
      </w:r>
      <w:r>
        <w:rPr>
          <w:rFonts w:ascii="Century Gothic" w:eastAsia="Calibri" w:hAnsi="Century Gothic" w:cs="Arial"/>
        </w:rPr>
        <w:tab/>
      </w:r>
      <w:r>
        <w:rPr>
          <w:rFonts w:ascii="Century Gothic" w:eastAsia="Calibri" w:hAnsi="Century Gothic" w:cs="Arial"/>
          <w:b/>
          <w:i/>
        </w:rPr>
        <w:t>Servicios Auxiliares:</w:t>
      </w:r>
      <w:r>
        <w:rPr>
          <w:rFonts w:ascii="Century Gothic" w:eastAsia="Calibri" w:hAnsi="Century Gothic" w:cs="Arial"/>
        </w:rPr>
        <w:t xml:space="preserve"> Servicios necesarios para la adecuada operación de los Servicios de Desagregación, que incluyen el suministro de gabinetes, cableado interno de las instalaciones y entre las instalaciones, alimentación eléctrica, cables de sujeción, servicios de mantenimiento, entre otros.</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54)</w:t>
      </w:r>
      <w:r>
        <w:rPr>
          <w:rFonts w:ascii="Century Gothic" w:eastAsia="Calibri" w:hAnsi="Century Gothic" w:cs="Arial"/>
        </w:rPr>
        <w:tab/>
      </w:r>
      <w:r>
        <w:rPr>
          <w:rFonts w:ascii="Century Gothic" w:eastAsia="Calibri" w:hAnsi="Century Gothic" w:cs="Arial"/>
          <w:b/>
          <w:i/>
        </w:rPr>
        <w:t>Servicio Auxiliar de Cableado Multipar:</w:t>
      </w:r>
      <w:r>
        <w:rPr>
          <w:rFonts w:ascii="Century Gothic" w:eastAsia="Calibri" w:hAnsi="Century Gothic" w:cs="Arial"/>
        </w:rPr>
        <w:t xml:space="preserve"> </w:t>
      </w:r>
      <w:r>
        <w:rPr>
          <w:rFonts w:ascii="Century Gothic" w:eastAsia="Calibri" w:hAnsi="Century Gothic" w:cs="Arial"/>
          <w:color w:val="000000"/>
          <w:lang w:val="es-ES_tradnl" w:eastAsia="es-ES"/>
        </w:rPr>
        <w:t xml:space="preserve">Mediante este servicio ofrecido por </w:t>
      </w:r>
      <w:r>
        <w:rPr>
          <w:rFonts w:ascii="Century Gothic" w:eastAsia="Calibri" w:hAnsi="Century Gothic" w:cs="Arial"/>
        </w:rPr>
        <w:t>RED NACIONAL</w:t>
      </w:r>
      <w:r>
        <w:rPr>
          <w:rFonts w:ascii="Century Gothic" w:eastAsia="Calibri" w:hAnsi="Century Gothic" w:cs="Arial"/>
          <w:color w:val="000000"/>
          <w:lang w:val="es-ES_tradnl" w:eastAsia="es-ES"/>
        </w:rPr>
        <w:t xml:space="preserve"> se instala cable multipar entre el DG y la Coubicación del CS, el cual es tendido sobre escalerillas nuevas o existentes.</w:t>
      </w:r>
    </w:p>
    <w:p w:rsidR="00705482" w:rsidRPr="00611019" w:rsidRDefault="00E56462" w:rsidP="00F645E5">
      <w:pPr>
        <w:keepLines/>
        <w:spacing w:before="3pt"/>
        <w:ind w:start="28.35pt" w:hanging="24.95pt"/>
        <w:jc w:val="both"/>
        <w:rPr>
          <w:rFonts w:ascii="Century Gothic" w:eastAsia="Calibri" w:hAnsi="Century Gothic" w:cs="Arial"/>
        </w:rPr>
      </w:pPr>
      <w:r>
        <w:rPr>
          <w:rFonts w:ascii="Century Gothic" w:eastAsia="Calibri" w:hAnsi="Century Gothic" w:cs="Arial"/>
        </w:rPr>
        <w:t>55)</w:t>
      </w:r>
      <w:r>
        <w:rPr>
          <w:rFonts w:ascii="Century Gothic" w:eastAsia="Calibri" w:hAnsi="Century Gothic" w:cs="Arial"/>
        </w:rPr>
        <w:tab/>
      </w:r>
      <w:r>
        <w:rPr>
          <w:rFonts w:ascii="Century Gothic" w:eastAsia="Calibri" w:hAnsi="Century Gothic" w:cs="Arial"/>
          <w:b/>
          <w:i/>
        </w:rPr>
        <w:t xml:space="preserve"> Servicio de Acceso Indirecto al Bucle Local (SAIB):</w:t>
      </w:r>
      <w:r>
        <w:rPr>
          <w:rFonts w:ascii="Century Gothic" w:eastAsia="Calibri" w:hAnsi="Century Gothic" w:cs="Arial"/>
        </w:rPr>
        <w:t xml:space="preserve"> Mediante este servicio se pone a disposición del CS capacidad de transmisión entre el Usuario Final y un Punto de Interconexión del CS, de tal forma que se permita la provisión de servicios de telecomunicaciones a un Usuario Final que se conecta a la red pública de telecomunicaciones mediante una Acometida.</w:t>
      </w:r>
    </w:p>
    <w:p w:rsidR="00DB318D" w:rsidRPr="00611019" w:rsidRDefault="00E56462" w:rsidP="00F645E5">
      <w:pPr>
        <w:keepLines/>
        <w:spacing w:before="3pt"/>
        <w:ind w:start="28.35pt" w:hanging="24.95pt"/>
        <w:jc w:val="both"/>
        <w:rPr>
          <w:rFonts w:ascii="Century Gothic" w:eastAsia="Calibri" w:hAnsi="Century Gothic" w:cs="Arial"/>
        </w:rPr>
      </w:pPr>
      <w:r>
        <w:rPr>
          <w:rFonts w:ascii="Century Gothic" w:eastAsia="Calibri" w:hAnsi="Century Gothic" w:cs="Arial"/>
        </w:rPr>
        <w:t>56)</w:t>
      </w:r>
      <w:r>
        <w:rPr>
          <w:rFonts w:ascii="Century Gothic" w:eastAsia="Calibri" w:hAnsi="Century Gothic" w:cs="Arial"/>
        </w:rPr>
        <w:tab/>
      </w:r>
      <w:r>
        <w:rPr>
          <w:rFonts w:ascii="Century Gothic" w:eastAsia="Calibri" w:hAnsi="Century Gothic" w:cs="Arial"/>
          <w:b/>
          <w:bCs/>
          <w:i/>
          <w:iCs/>
        </w:rPr>
        <w:t>Servicio de Concentración y Distribución (SCyD)</w:t>
      </w:r>
      <w:r>
        <w:rPr>
          <w:rFonts w:ascii="Century Gothic" w:eastAsia="Calibri" w:hAnsi="Century Gothic" w:cs="Arial"/>
          <w:i/>
          <w:iCs/>
        </w:rPr>
        <w:t>:</w:t>
      </w:r>
      <w:r>
        <w:rPr>
          <w:rFonts w:ascii="Century Gothic" w:eastAsia="Calibri" w:hAnsi="Century Gothic" w:cs="Arial"/>
        </w:rPr>
        <w:t xml:space="preserve"> Servicio que permite la agregación del tráfico de SAIB generado por los Usuarios Finales y la entrega del mismo a los concesionarios. Dicha agregación se puede llevar a cabo en tres niveles: Local (SCyD-L), Regional (SCyD-R)</w:t>
      </w:r>
      <w:r w:rsidR="00D65548">
        <w:rPr>
          <w:rFonts w:ascii="Century Gothic" w:eastAsia="Calibri" w:hAnsi="Century Gothic" w:cs="Arial"/>
        </w:rPr>
        <w:t xml:space="preserve"> </w:t>
      </w:r>
      <w:r>
        <w:rPr>
          <w:rFonts w:ascii="Century Gothic" w:eastAsia="Calibri" w:hAnsi="Century Gothic" w:cs="Arial"/>
        </w:rPr>
        <w:t>y Nacional (SCyD-N).</w:t>
      </w:r>
    </w:p>
    <w:p w:rsidR="00705482" w:rsidRPr="00611019" w:rsidRDefault="00E56462" w:rsidP="00F645E5">
      <w:pPr>
        <w:keepLines/>
        <w:spacing w:before="3pt"/>
        <w:ind w:start="28.35pt" w:hanging="24.95pt"/>
        <w:jc w:val="both"/>
        <w:rPr>
          <w:rFonts w:ascii="Century Gothic" w:eastAsia="Calibri" w:hAnsi="Century Gothic" w:cs="Arial"/>
        </w:rPr>
      </w:pPr>
      <w:r>
        <w:rPr>
          <w:rFonts w:ascii="Century Gothic" w:eastAsia="Calibri" w:hAnsi="Century Gothic" w:cs="Arial"/>
          <w:bCs/>
          <w:iCs/>
        </w:rPr>
        <w:lastRenderedPageBreak/>
        <w:t>57)</w:t>
      </w:r>
      <w:r>
        <w:rPr>
          <w:rFonts w:ascii="Century Gothic" w:eastAsia="Calibri" w:hAnsi="Century Gothic" w:cs="Arial"/>
          <w:b/>
          <w:i/>
        </w:rPr>
        <w:tab/>
        <w:t>Servicio de Coubicación para Desagregación del Bucle:</w:t>
      </w:r>
      <w:r>
        <w:rPr>
          <w:rFonts w:ascii="Century Gothic" w:eastAsia="Calibri" w:hAnsi="Century Gothic" w:cs="Arial"/>
        </w:rPr>
        <w:t xml:space="preserve"> RED NACIONAL ofrece el servicio de arrendamiento de espacio para la colocación de equipos y dispositivos del CS necesarios para acceder a los Servicios de Desagregación, mediante su ubicación en los espacios físicos abiertos o cerrados </w:t>
      </w:r>
      <w:r>
        <w:rPr>
          <w:rFonts w:ascii="Century Gothic" w:eastAsia="Calibri" w:hAnsi="Century Gothic" w:cs="Arial"/>
          <w:lang w:val="es-ES"/>
        </w:rPr>
        <w:t xml:space="preserve">en las Instalaciones </w:t>
      </w:r>
      <w:r>
        <w:rPr>
          <w:rFonts w:ascii="Century Gothic" w:eastAsia="Calibri" w:hAnsi="Century Gothic" w:cs="Arial"/>
        </w:rPr>
        <w:t>de RED NACIONAL en Centrales Telefónicas, que incluye el acondicionamiento necesario para la instalación de equipos, la provisión de recursos técnicos, suministro de energía, medidas de seguridad, aire acondicionado, y demás facilidades necesarias para su adecuada operación, así como el acceso a los espacios físicos mencionados.</w:t>
      </w:r>
    </w:p>
    <w:p w:rsidR="00705482" w:rsidRPr="00611019" w:rsidRDefault="00AC7017" w:rsidP="00F645E5">
      <w:pPr>
        <w:spacing w:before="3pt"/>
        <w:ind w:start="28.35pt" w:hanging="25.05pt"/>
        <w:jc w:val="both"/>
        <w:rPr>
          <w:rFonts w:ascii="Century Gothic" w:eastAsia="Calibri" w:hAnsi="Century Gothic" w:cs="Arial"/>
        </w:rPr>
      </w:pPr>
      <w:r w:rsidRPr="00AC7017">
        <w:rPr>
          <w:rFonts w:ascii="Century Gothic" w:eastAsia="Calibri" w:hAnsi="Century Gothic" w:cs="Arial"/>
          <w:bCs/>
          <w:i/>
        </w:rPr>
        <w:t>60)</w:t>
      </w:r>
      <w:r w:rsidRPr="00AC7017">
        <w:rPr>
          <w:rFonts w:ascii="Century Gothic" w:eastAsia="Calibri" w:hAnsi="Century Gothic" w:cs="Arial"/>
          <w:bCs/>
          <w:i/>
        </w:rPr>
        <w:tab/>
      </w:r>
      <w:r w:rsidR="00E56462">
        <w:rPr>
          <w:rFonts w:ascii="Century Gothic" w:eastAsia="Calibri" w:hAnsi="Century Gothic" w:cs="Arial"/>
          <w:b/>
          <w:i/>
        </w:rPr>
        <w:t>Servicio de Desagregación Total del Bucle Local (SDTBL):</w:t>
      </w:r>
      <w:r w:rsidR="00E56462">
        <w:rPr>
          <w:rFonts w:ascii="Century Gothic" w:eastAsia="Calibri" w:hAnsi="Century Gothic" w:cs="Arial"/>
        </w:rPr>
        <w:t xml:space="preserve"> Mediante este servicio RED NACIONAL permite el uso del Bucle Local al </w:t>
      </w:r>
      <w:r w:rsidR="00E56462">
        <w:rPr>
          <w:rFonts w:ascii="Century Gothic" w:eastAsia="Calibri" w:hAnsi="Century Gothic" w:cs="Arial"/>
          <w:lang w:eastAsia="es-MX"/>
        </w:rPr>
        <w:t>CS</w:t>
      </w:r>
      <w:r w:rsidR="00E56462">
        <w:rPr>
          <w:rFonts w:ascii="Century Gothic" w:eastAsia="Calibri" w:hAnsi="Century Gothic" w:cs="Arial"/>
        </w:rPr>
        <w:t>, de tal manera que este último puede hacer uso de la capacidad de transmisión completa, entregando el circuito en la Central telefónica.</w:t>
      </w:r>
    </w:p>
    <w:p w:rsidR="00705482" w:rsidRPr="00611019" w:rsidRDefault="00AC7017" w:rsidP="00F645E5">
      <w:pPr>
        <w:spacing w:before="3pt"/>
        <w:ind w:start="28.35pt" w:hanging="25.05pt"/>
        <w:jc w:val="both"/>
        <w:rPr>
          <w:rFonts w:ascii="Century Gothic" w:eastAsia="Calibri" w:hAnsi="Century Gothic" w:cs="Arial"/>
        </w:rPr>
      </w:pPr>
      <w:r w:rsidRPr="00AC7017">
        <w:rPr>
          <w:rFonts w:ascii="Century Gothic" w:eastAsia="Calibri" w:hAnsi="Century Gothic" w:cs="Arial"/>
          <w:bCs/>
          <w:i/>
        </w:rPr>
        <w:t>6</w:t>
      </w:r>
      <w:r>
        <w:rPr>
          <w:rFonts w:ascii="Century Gothic" w:eastAsia="Calibri" w:hAnsi="Century Gothic" w:cs="Arial"/>
          <w:bCs/>
          <w:i/>
        </w:rPr>
        <w:t>2</w:t>
      </w:r>
      <w:r w:rsidRPr="00AC7017">
        <w:rPr>
          <w:rFonts w:ascii="Century Gothic" w:eastAsia="Calibri" w:hAnsi="Century Gothic" w:cs="Arial"/>
          <w:bCs/>
          <w:i/>
        </w:rPr>
        <w:t>)</w:t>
      </w:r>
      <w:r w:rsidRPr="00AC7017">
        <w:rPr>
          <w:rFonts w:ascii="Century Gothic" w:eastAsia="Calibri" w:hAnsi="Century Gothic" w:cs="Arial"/>
          <w:bCs/>
          <w:i/>
        </w:rPr>
        <w:tab/>
      </w:r>
      <w:r w:rsidR="00E56462">
        <w:rPr>
          <w:rFonts w:ascii="Century Gothic" w:eastAsia="Calibri" w:hAnsi="Century Gothic" w:cs="Arial"/>
          <w:b/>
          <w:i/>
        </w:rPr>
        <w:t>Sistema Electrónico de Gestión/Sistema Integrador Para Operadores (SEG/SIPO):</w:t>
      </w:r>
      <w:r w:rsidR="00E56462">
        <w:rPr>
          <w:rFonts w:ascii="Century Gothic" w:eastAsia="Calibri" w:hAnsi="Century Gothic" w:cs="Arial"/>
          <w:b/>
        </w:rPr>
        <w:t xml:space="preserve"> </w:t>
      </w:r>
      <w:r w:rsidR="00E56462">
        <w:rPr>
          <w:rFonts w:ascii="Century Gothic" w:eastAsia="Calibri" w:hAnsi="Century Gothic" w:cs="Arial"/>
        </w:rPr>
        <w:t xml:space="preserve">Herramientas que tienen como objetivo permitir </w:t>
      </w:r>
      <w:r w:rsidR="00E56462">
        <w:rPr>
          <w:rFonts w:ascii="Century Gothic" w:eastAsia="Calibri" w:hAnsi="Century Gothic" w:cs="Arial"/>
          <w:bCs/>
          <w:iCs/>
        </w:rPr>
        <w:t>al CS</w:t>
      </w:r>
      <w:r w:rsidR="00E56462">
        <w:rPr>
          <w:rFonts w:ascii="Century Gothic" w:eastAsia="Calibri" w:hAnsi="Century Gothic" w:cs="Arial"/>
        </w:rPr>
        <w:t xml:space="preserve"> consultar información actualizada de la Red Pública de Telecomunicaciones de RED NACIONAL, enlaces dedicados locales y de interconexión, compartición de infraestructura y desagregación, así como dar seguimiento a sus solicitudes hasta la entrega del servicio, reportar fallas, y monitorear la solución de las mismas, y todas aquellas actividades que sean necesarias para la correcta operación de los Servicios, sea a través de una interfaz de usuario “</w:t>
      </w:r>
      <w:r w:rsidR="00E56462">
        <w:rPr>
          <w:rFonts w:ascii="Century Gothic" w:eastAsia="Calibri" w:hAnsi="Century Gothic" w:cs="Arial"/>
          <w:i/>
        </w:rPr>
        <w:t>front end</w:t>
      </w:r>
      <w:r w:rsidR="00E56462">
        <w:rPr>
          <w:rFonts w:ascii="Century Gothic" w:eastAsia="Calibri" w:hAnsi="Century Gothic" w:cs="Arial"/>
        </w:rPr>
        <w:t>” denominada SEG o mediante el uso del conjunto de APIs denominado SIPO.</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6</w:t>
      </w:r>
      <w:r w:rsidR="00AC7017">
        <w:rPr>
          <w:rFonts w:ascii="Century Gothic" w:eastAsia="Calibri" w:hAnsi="Century Gothic" w:cs="Arial"/>
        </w:rPr>
        <w:t>3</w:t>
      </w:r>
      <w:r>
        <w:rPr>
          <w:rFonts w:ascii="Century Gothic" w:eastAsia="Calibri" w:hAnsi="Century Gothic" w:cs="Arial"/>
        </w:rPr>
        <w:t>)</w:t>
      </w:r>
      <w:r>
        <w:rPr>
          <w:rFonts w:ascii="Century Gothic" w:eastAsia="Calibri" w:hAnsi="Century Gothic" w:cs="Arial"/>
        </w:rPr>
        <w:tab/>
      </w:r>
      <w:r>
        <w:rPr>
          <w:rFonts w:ascii="Century Gothic" w:eastAsia="Calibri" w:hAnsi="Century Gothic" w:cs="Arial"/>
          <w:b/>
          <w:i/>
        </w:rPr>
        <w:t xml:space="preserve">Splitter: </w:t>
      </w:r>
      <w:r>
        <w:rPr>
          <w:rFonts w:ascii="Century Gothic" w:eastAsia="Calibri" w:hAnsi="Century Gothic" w:cs="Arial"/>
        </w:rPr>
        <w:t>Filtro que separa las señales de frecuencias bajas de las señales de frecuencias altas, denominado frecuentemente divisor del servicio telefónico ordinario.</w:t>
      </w:r>
    </w:p>
    <w:p w:rsidR="00705482" w:rsidRPr="00611019" w:rsidRDefault="00AC7017" w:rsidP="00F645E5">
      <w:pPr>
        <w:spacing w:before="3pt"/>
        <w:ind w:start="28.35pt" w:hanging="25.05pt"/>
        <w:jc w:val="both"/>
        <w:rPr>
          <w:rFonts w:ascii="Century Gothic" w:eastAsia="Calibri" w:hAnsi="Century Gothic" w:cs="Arial"/>
        </w:rPr>
      </w:pPr>
      <w:r w:rsidRPr="00AC7017">
        <w:rPr>
          <w:rFonts w:ascii="Century Gothic" w:eastAsia="Calibri" w:hAnsi="Century Gothic" w:cs="Arial"/>
          <w:bCs/>
          <w:i/>
        </w:rPr>
        <w:t>65)</w:t>
      </w:r>
      <w:r w:rsidRPr="00AC7017">
        <w:rPr>
          <w:rFonts w:ascii="Century Gothic" w:eastAsia="Calibri" w:hAnsi="Century Gothic" w:cs="Arial"/>
          <w:bCs/>
          <w:i/>
        </w:rPr>
        <w:tab/>
      </w:r>
      <w:r w:rsidR="00E56462">
        <w:rPr>
          <w:rFonts w:ascii="Century Gothic" w:eastAsia="Calibri" w:hAnsi="Century Gothic" w:cs="Arial"/>
          <w:b/>
          <w:i/>
        </w:rPr>
        <w:t>Telmex</w:t>
      </w:r>
      <w:r w:rsidR="00E56462">
        <w:rPr>
          <w:rFonts w:ascii="Century Gothic" w:eastAsia="Calibri" w:hAnsi="Century Gothic" w:cs="Arial"/>
        </w:rPr>
        <w:t>: Teléfonos de México, S.A.B. de C.V.</w:t>
      </w:r>
    </w:p>
    <w:p w:rsidR="00AC7017" w:rsidRPr="00AC7017"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6</w:t>
      </w:r>
      <w:r w:rsidR="00AC7017">
        <w:rPr>
          <w:rFonts w:ascii="Century Gothic" w:eastAsia="Calibri" w:hAnsi="Century Gothic" w:cs="Arial"/>
        </w:rPr>
        <w:t>6</w:t>
      </w:r>
      <w:r>
        <w:rPr>
          <w:rFonts w:ascii="Century Gothic" w:eastAsia="Calibri" w:hAnsi="Century Gothic" w:cs="Arial"/>
        </w:rPr>
        <w:t>)</w:t>
      </w:r>
      <w:r>
        <w:rPr>
          <w:rFonts w:ascii="Century Gothic" w:eastAsia="Calibri" w:hAnsi="Century Gothic" w:cs="Arial"/>
        </w:rPr>
        <w:tab/>
      </w:r>
      <w:r w:rsidR="00AC7017" w:rsidRPr="00AC7017">
        <w:rPr>
          <w:rFonts w:ascii="Century Gothic" w:eastAsia="Calibri" w:hAnsi="Century Gothic" w:cs="Arial"/>
          <w:b/>
          <w:i/>
        </w:rPr>
        <w:t>Terminal de Banda Ancha:</w:t>
      </w:r>
      <w:r w:rsidR="00AC7017" w:rsidRPr="00AC7017">
        <w:rPr>
          <w:rFonts w:ascii="Century Gothic" w:eastAsia="Calibri" w:hAnsi="Century Gothic" w:cs="Arial"/>
        </w:rPr>
        <w:t xml:space="preserve"> Equipos activos normalmente de tecnología xDSL localizados en un nodo, que están conectados mediante fibra óptica desde un armario ubicado en la calle hasta una OLT de la Central Telefónica y que alimentan al sub-bucle de cobre a partir del armario ubicado en calle que permiten el acceso hasta el domicilio del Usuario Final.</w:t>
      </w:r>
    </w:p>
    <w:p w:rsidR="00705482" w:rsidRPr="00611019" w:rsidRDefault="00AC7017" w:rsidP="00F645E5">
      <w:pPr>
        <w:spacing w:before="3pt"/>
        <w:ind w:start="28.35pt" w:hanging="25.05pt"/>
        <w:jc w:val="both"/>
        <w:rPr>
          <w:rFonts w:ascii="Century Gothic" w:eastAsia="Calibri" w:hAnsi="Century Gothic" w:cs="Arial"/>
        </w:rPr>
      </w:pPr>
      <w:r w:rsidRPr="00AC7017">
        <w:rPr>
          <w:rFonts w:ascii="Century Gothic" w:eastAsia="Calibri" w:hAnsi="Century Gothic" w:cs="Arial"/>
          <w:bCs/>
          <w:i/>
        </w:rPr>
        <w:t>67)</w:t>
      </w:r>
      <w:r w:rsidRPr="00AC7017">
        <w:rPr>
          <w:rFonts w:ascii="Century Gothic" w:eastAsia="Calibri" w:hAnsi="Century Gothic" w:cs="Arial"/>
          <w:bCs/>
          <w:i/>
        </w:rPr>
        <w:tab/>
      </w:r>
      <w:r w:rsidR="00E56462">
        <w:rPr>
          <w:rFonts w:ascii="Century Gothic" w:eastAsia="Calibri" w:hAnsi="Century Gothic" w:cs="Arial"/>
          <w:b/>
          <w:i/>
        </w:rPr>
        <w:t xml:space="preserve">Terminal de Línea Óptica: </w:t>
      </w:r>
      <w:r w:rsidR="00E56462">
        <w:rPr>
          <w:rFonts w:ascii="Century Gothic" w:eastAsia="Calibri" w:hAnsi="Century Gothic" w:cs="Arial"/>
        </w:rPr>
        <w:t>Equipo de telecomunicaciones ubicado en las instalaciones de la Central Telefónica que delimita la red óptica de acceso. Este elemento está del lado de la red de fibra óptica que establece la interfaz hacia las redes de operación que proporcionan los servicios de telecomunicaciones.</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6</w:t>
      </w:r>
      <w:r w:rsidR="00AC7017">
        <w:rPr>
          <w:rFonts w:ascii="Century Gothic" w:eastAsia="Calibri" w:hAnsi="Century Gothic" w:cs="Arial"/>
        </w:rPr>
        <w:t>8</w:t>
      </w:r>
      <w:r>
        <w:rPr>
          <w:rFonts w:ascii="Century Gothic" w:eastAsia="Calibri" w:hAnsi="Century Gothic" w:cs="Arial"/>
        </w:rPr>
        <w:t>)</w:t>
      </w:r>
      <w:r>
        <w:rPr>
          <w:rFonts w:ascii="Century Gothic" w:eastAsia="Calibri" w:hAnsi="Century Gothic" w:cs="Arial"/>
        </w:rPr>
        <w:tab/>
      </w:r>
      <w:r>
        <w:rPr>
          <w:rFonts w:ascii="Century Gothic" w:eastAsia="Calibri" w:hAnsi="Century Gothic" w:cs="Arial"/>
          <w:b/>
          <w:i/>
        </w:rPr>
        <w:t xml:space="preserve">Terminal de Red Óptica: </w:t>
      </w:r>
      <w:r>
        <w:rPr>
          <w:rFonts w:ascii="Century Gothic" w:eastAsia="Calibri" w:hAnsi="Century Gothic" w:cs="Arial"/>
        </w:rPr>
        <w:t>Equipo de telecomunicaciones ubicado en las instalaciones del Usuario Final que termina la red óptica de acceso. Este elemento está del lado de la red que provee la interfaz del usuario hacia la red de fibra óptica.</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lastRenderedPageBreak/>
        <w:t>6</w:t>
      </w:r>
      <w:r w:rsidR="00AC7017">
        <w:rPr>
          <w:rFonts w:ascii="Century Gothic" w:eastAsia="Calibri" w:hAnsi="Century Gothic" w:cs="Arial"/>
        </w:rPr>
        <w:t>9</w:t>
      </w:r>
      <w:r>
        <w:rPr>
          <w:rFonts w:ascii="Century Gothic" w:eastAsia="Calibri" w:hAnsi="Century Gothic" w:cs="Arial"/>
        </w:rPr>
        <w:t>)</w:t>
      </w:r>
      <w:r>
        <w:rPr>
          <w:rFonts w:ascii="Century Gothic" w:eastAsia="Calibri" w:hAnsi="Century Gothic" w:cs="Arial"/>
        </w:rPr>
        <w:tab/>
      </w:r>
      <w:r>
        <w:rPr>
          <w:rFonts w:ascii="Century Gothic" w:eastAsia="Calibri" w:hAnsi="Century Gothic" w:cs="Arial"/>
          <w:b/>
          <w:i/>
        </w:rPr>
        <w:t xml:space="preserve">Tráfico: </w:t>
      </w:r>
      <w:r>
        <w:rPr>
          <w:rFonts w:ascii="Century Gothic" w:eastAsia="Calibri" w:hAnsi="Century Gothic" w:cs="Arial"/>
        </w:rPr>
        <w:t>Toda emisión, transmisión o recepción de signos, señales, datos, escritos, imágenes, voz, sonidos o información de cualquier naturaleza que se conduce a través de una red pública de telecomunicaciones.</w:t>
      </w:r>
    </w:p>
    <w:p w:rsidR="00705482" w:rsidRPr="00611019" w:rsidRDefault="00AC7017" w:rsidP="00F645E5">
      <w:pPr>
        <w:spacing w:before="3pt"/>
        <w:ind w:start="28.35pt" w:hanging="25.05pt"/>
        <w:jc w:val="both"/>
        <w:rPr>
          <w:rFonts w:ascii="Century Gothic" w:eastAsia="Calibri" w:hAnsi="Century Gothic" w:cs="Arial"/>
        </w:rPr>
      </w:pPr>
      <w:r>
        <w:rPr>
          <w:rFonts w:ascii="Century Gothic" w:eastAsia="Calibri" w:hAnsi="Century Gothic" w:cs="Arial"/>
        </w:rPr>
        <w:t>70</w:t>
      </w:r>
      <w:r w:rsidR="00E56462">
        <w:rPr>
          <w:rFonts w:ascii="Century Gothic" w:eastAsia="Calibri" w:hAnsi="Century Gothic" w:cs="Arial"/>
        </w:rPr>
        <w:t>)</w:t>
      </w:r>
      <w:r w:rsidR="00E56462">
        <w:rPr>
          <w:rFonts w:ascii="Century Gothic" w:eastAsia="Calibri" w:hAnsi="Century Gothic" w:cs="Arial"/>
        </w:rPr>
        <w:tab/>
      </w:r>
      <w:r w:rsidR="00E56462">
        <w:rPr>
          <w:rFonts w:ascii="Century Gothic" w:eastAsia="Calibri" w:hAnsi="Century Gothic" w:cs="Arial"/>
          <w:b/>
          <w:i/>
        </w:rPr>
        <w:t xml:space="preserve">Ubicación </w:t>
      </w:r>
      <w:r w:rsidR="00E56462">
        <w:rPr>
          <w:rFonts w:ascii="Century Gothic" w:eastAsia="Calibri" w:hAnsi="Century Gothic" w:cs="Arial"/>
          <w:b/>
          <w:bCs/>
          <w:i/>
          <w:iCs/>
        </w:rPr>
        <w:t>Distante</w:t>
      </w:r>
      <w:r w:rsidR="00E56462">
        <w:rPr>
          <w:rFonts w:ascii="Century Gothic" w:eastAsia="Calibri" w:hAnsi="Century Gothic" w:cs="Arial"/>
          <w:b/>
          <w:i/>
        </w:rPr>
        <w:t>:</w:t>
      </w:r>
      <w:r w:rsidR="00E56462">
        <w:rPr>
          <w:rFonts w:ascii="Century Gothic" w:eastAsia="Calibri" w:hAnsi="Century Gothic" w:cs="Arial"/>
          <w:i/>
        </w:rPr>
        <w:t xml:space="preserve"> </w:t>
      </w:r>
      <w:r w:rsidR="00E56462">
        <w:rPr>
          <w:rFonts w:ascii="Century Gothic" w:eastAsia="Calibri" w:hAnsi="Century Gothic" w:cs="Arial"/>
        </w:rPr>
        <w:t xml:space="preserve">La colocación de equipos y dispositivos del </w:t>
      </w:r>
      <w:r w:rsidR="00E56462">
        <w:rPr>
          <w:rFonts w:ascii="Century Gothic" w:eastAsia="Calibri" w:hAnsi="Century Gothic" w:cs="Arial"/>
          <w:bCs/>
          <w:iCs/>
        </w:rPr>
        <w:t>CS</w:t>
      </w:r>
      <w:r w:rsidR="00E56462">
        <w:rPr>
          <w:rFonts w:ascii="Century Gothic" w:eastAsia="Calibri" w:hAnsi="Century Gothic" w:cs="Arial"/>
        </w:rPr>
        <w:t>, necesarios para acceder a los Servicios de Desagregación, mediante la ubicación en espacios físicos fuera de las instalaciones, en donde se encuentran los equipos de telecomunicaciones.</w:t>
      </w:r>
    </w:p>
    <w:p w:rsidR="00705482" w:rsidRPr="00611019" w:rsidRDefault="00AC7017" w:rsidP="00F645E5">
      <w:pPr>
        <w:spacing w:before="3pt"/>
        <w:ind w:start="28.35pt" w:hanging="25.05pt"/>
        <w:jc w:val="both"/>
        <w:rPr>
          <w:rFonts w:ascii="Century Gothic" w:eastAsia="Calibri" w:hAnsi="Century Gothic" w:cs="Arial"/>
        </w:rPr>
      </w:pPr>
      <w:r>
        <w:rPr>
          <w:rFonts w:ascii="Century Gothic" w:eastAsia="Calibri" w:hAnsi="Century Gothic" w:cs="Arial"/>
        </w:rPr>
        <w:t>71</w:t>
      </w:r>
      <w:r w:rsidR="00E56462">
        <w:rPr>
          <w:rFonts w:ascii="Century Gothic" w:eastAsia="Calibri" w:hAnsi="Century Gothic" w:cs="Arial"/>
        </w:rPr>
        <w:t>)</w:t>
      </w:r>
      <w:r w:rsidR="00E56462">
        <w:rPr>
          <w:rFonts w:ascii="Century Gothic" w:eastAsia="Calibri" w:hAnsi="Century Gothic" w:cs="Arial"/>
        </w:rPr>
        <w:tab/>
      </w:r>
      <w:r w:rsidR="00E56462">
        <w:rPr>
          <w:rFonts w:ascii="Century Gothic" w:eastAsia="Calibri" w:hAnsi="Century Gothic" w:cs="Arial"/>
          <w:b/>
          <w:i/>
        </w:rPr>
        <w:t xml:space="preserve">Unicast: </w:t>
      </w:r>
      <w:r w:rsidR="00E56462">
        <w:rPr>
          <w:rFonts w:ascii="Century Gothic" w:eastAsia="Calibri" w:hAnsi="Century Gothic" w:cs="Arial"/>
        </w:rPr>
        <w:t>Envío de información entre un único origen y un único destino.</w:t>
      </w:r>
    </w:p>
    <w:p w:rsidR="00705482" w:rsidRPr="00611019" w:rsidRDefault="00AC7017" w:rsidP="00F645E5">
      <w:pPr>
        <w:spacing w:before="3pt"/>
        <w:ind w:start="28.35pt" w:hanging="25.05pt"/>
        <w:jc w:val="both"/>
        <w:rPr>
          <w:rFonts w:ascii="Century Gothic" w:eastAsia="Calibri" w:hAnsi="Century Gothic" w:cs="Arial"/>
        </w:rPr>
      </w:pPr>
      <w:r>
        <w:rPr>
          <w:rFonts w:ascii="Century Gothic" w:eastAsia="Calibri" w:hAnsi="Century Gothic" w:cs="Arial"/>
        </w:rPr>
        <w:t>72</w:t>
      </w:r>
      <w:r w:rsidR="00E56462">
        <w:rPr>
          <w:rFonts w:ascii="Century Gothic" w:eastAsia="Calibri" w:hAnsi="Century Gothic" w:cs="Arial"/>
        </w:rPr>
        <w:t>)</w:t>
      </w:r>
      <w:r w:rsidR="00E56462">
        <w:rPr>
          <w:rFonts w:ascii="Century Gothic" w:eastAsia="Calibri" w:hAnsi="Century Gothic" w:cs="Arial"/>
        </w:rPr>
        <w:tab/>
      </w:r>
      <w:r w:rsidR="00E56462">
        <w:rPr>
          <w:rFonts w:ascii="Century Gothic" w:eastAsia="Calibri" w:hAnsi="Century Gothic" w:cs="Arial"/>
          <w:b/>
          <w:i/>
        </w:rPr>
        <w:t>Usuario(s) Final(es):</w:t>
      </w:r>
      <w:r w:rsidR="00E56462">
        <w:rPr>
          <w:rFonts w:ascii="Century Gothic" w:eastAsia="Calibri" w:hAnsi="Century Gothic" w:cs="Arial"/>
        </w:rPr>
        <w:t xml:space="preserve"> Persona física o moral que utiliza un servicio de telecomunicaciones como destinatario final.</w:t>
      </w:r>
    </w:p>
    <w:p w:rsidR="00705482" w:rsidRPr="00611019" w:rsidRDefault="00AC7017" w:rsidP="00F645E5">
      <w:pPr>
        <w:spacing w:before="3pt"/>
        <w:ind w:start="28.35pt" w:hanging="25.05pt"/>
        <w:jc w:val="both"/>
        <w:rPr>
          <w:rFonts w:ascii="Century Gothic" w:eastAsia="Calibri" w:hAnsi="Century Gothic" w:cs="Arial"/>
        </w:rPr>
      </w:pPr>
      <w:r>
        <w:rPr>
          <w:rFonts w:ascii="Century Gothic" w:eastAsia="Calibri" w:hAnsi="Century Gothic" w:cs="Arial"/>
        </w:rPr>
        <w:t>73</w:t>
      </w:r>
      <w:r w:rsidR="00E56462">
        <w:rPr>
          <w:rFonts w:ascii="Century Gothic" w:eastAsia="Calibri" w:hAnsi="Century Gothic" w:cs="Arial"/>
        </w:rPr>
        <w:t>)</w:t>
      </w:r>
      <w:r w:rsidR="00E56462">
        <w:rPr>
          <w:rFonts w:ascii="Century Gothic" w:eastAsia="Calibri" w:hAnsi="Century Gothic" w:cs="Arial"/>
        </w:rPr>
        <w:tab/>
      </w:r>
      <w:r w:rsidR="00E56462">
        <w:rPr>
          <w:rFonts w:ascii="Century Gothic" w:eastAsia="Calibri" w:hAnsi="Century Gothic" w:cs="Arial"/>
          <w:b/>
          <w:i/>
        </w:rPr>
        <w:t xml:space="preserve">Voz sobre IP (VoIP): </w:t>
      </w:r>
      <w:r w:rsidR="00E56462">
        <w:rPr>
          <w:rFonts w:ascii="Century Gothic" w:eastAsia="Calibri" w:hAnsi="Century Gothic" w:cs="Arial"/>
        </w:rPr>
        <w:t>Término genérico para describir la técnica utilizada para cursar tráfico de voz sobre Protocolo de Internet.</w:t>
      </w:r>
    </w:p>
    <w:p w:rsidR="00705482" w:rsidRPr="00611019" w:rsidRDefault="00E56462" w:rsidP="00F645E5">
      <w:pPr>
        <w:spacing w:before="3pt"/>
        <w:ind w:start="28.35pt" w:hanging="25.05pt"/>
        <w:jc w:val="both"/>
        <w:rPr>
          <w:rFonts w:ascii="Century Gothic" w:eastAsia="Calibri" w:hAnsi="Century Gothic" w:cs="Arial"/>
        </w:rPr>
      </w:pPr>
      <w:r>
        <w:rPr>
          <w:rFonts w:ascii="Century Gothic" w:eastAsia="Calibri" w:hAnsi="Century Gothic" w:cs="Arial"/>
        </w:rPr>
        <w:t>7</w:t>
      </w:r>
      <w:r w:rsidR="00AC7017">
        <w:rPr>
          <w:rFonts w:ascii="Century Gothic" w:eastAsia="Calibri" w:hAnsi="Century Gothic" w:cs="Arial"/>
        </w:rPr>
        <w:t>4</w:t>
      </w:r>
      <w:r>
        <w:rPr>
          <w:rFonts w:ascii="Century Gothic" w:eastAsia="Calibri" w:hAnsi="Century Gothic" w:cs="Arial"/>
        </w:rPr>
        <w:t>)</w:t>
      </w:r>
      <w:r>
        <w:rPr>
          <w:rFonts w:ascii="Century Gothic" w:eastAsia="Calibri" w:hAnsi="Century Gothic" w:cs="Arial"/>
        </w:rPr>
        <w:tab/>
      </w:r>
      <w:r>
        <w:rPr>
          <w:rFonts w:ascii="Century Gothic" w:eastAsia="Calibri" w:hAnsi="Century Gothic" w:cs="Arial"/>
          <w:b/>
          <w:i/>
        </w:rPr>
        <w:t xml:space="preserve">Zona de cobertura: </w:t>
      </w:r>
      <w:r>
        <w:rPr>
          <w:rFonts w:ascii="Century Gothic" w:eastAsia="Calibri" w:hAnsi="Century Gothic" w:cs="Arial"/>
        </w:rPr>
        <w:t>Área geográfica en la cual están conectados Usuarios Finales en un punto determinado de la red de RED NACIONAL.</w:t>
      </w:r>
    </w:p>
    <w:p w:rsidR="0061711D" w:rsidRDefault="00E56462">
      <w:pPr>
        <w:spacing w:after="8pt"/>
        <w:rPr>
          <w:rFonts w:ascii="Century Gothic" w:eastAsia="Calibri" w:hAnsi="Century Gothic" w:cs="Times New Roman"/>
          <w:b/>
        </w:rPr>
      </w:pPr>
      <w:r>
        <w:rPr>
          <w:rFonts w:ascii="Century Gothic" w:eastAsia="Calibri" w:hAnsi="Century Gothic" w:cs="Arial"/>
          <w:b/>
          <w:i/>
        </w:rPr>
        <w:br w:type="page"/>
      </w:r>
      <w:bookmarkStart w:id="569" w:name="_Toc92973986"/>
      <w:bookmarkStart w:id="570" w:name="_Toc93052297"/>
      <w:bookmarkStart w:id="571" w:name="_Toc93056253"/>
      <w:bookmarkStart w:id="572" w:name="_Toc125393326"/>
      <w:bookmarkStart w:id="573" w:name="_Toc148702182"/>
      <w:bookmarkStart w:id="574" w:name="_Toc170381807"/>
      <w:r>
        <w:rPr>
          <w:rFonts w:ascii="Century Gothic" w:eastAsia="Calibri" w:hAnsi="Century Gothic" w:cs="Times New Roman"/>
          <w:b/>
        </w:rPr>
        <w:lastRenderedPageBreak/>
        <w:t>Acrónimos</w:t>
      </w:r>
      <w:bookmarkEnd w:id="569"/>
      <w:bookmarkEnd w:id="570"/>
      <w:bookmarkEnd w:id="571"/>
      <w:bookmarkEnd w:id="572"/>
      <w:bookmarkEnd w:id="573"/>
      <w:bookmarkEnd w:id="574"/>
    </w:p>
    <w:p w:rsidR="00705482" w:rsidRPr="00611019" w:rsidRDefault="00E56462" w:rsidP="00035D2C">
      <w:pPr>
        <w:spacing w:before="3pt" w:after="6pt"/>
        <w:jc w:val="both"/>
        <w:rPr>
          <w:rFonts w:ascii="Century Gothic" w:hAnsi="Century Gothic"/>
        </w:rPr>
      </w:pPr>
      <w:r>
        <w:rPr>
          <w:rFonts w:ascii="Century Gothic" w:hAnsi="Century Gothic"/>
        </w:rPr>
        <w:t>Sin perjuicio de cualquier otro acrónimo que se utilice a lo largo de la Oferta, a los listados a continuación les serán aplicables los términos que al efecto se indican:</w:t>
      </w:r>
    </w:p>
    <w:tbl>
      <w:tblPr>
        <w:tblW w:w="460.55pt" w:type="dxa"/>
        <w:jc w:val="cente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ayout w:type="fixed"/>
        <w:tblCellMar>
          <w:start w:w="3.50pt" w:type="dxa"/>
          <w:end w:w="3.50pt" w:type="dxa"/>
        </w:tblCellMar>
        <w:tblLook w:firstRow="1" w:lastRow="0" w:firstColumn="1" w:lastColumn="0" w:noHBand="0" w:noVBand="1"/>
      </w:tblPr>
      <w:tblGrid>
        <w:gridCol w:w="1413"/>
        <w:gridCol w:w="7798"/>
      </w:tblGrid>
      <w:tr w:rsidR="0061711D" w:rsidTr="00AC7017">
        <w:trPr>
          <w:trHeight w:val="300"/>
          <w:tblHeader/>
          <w:jc w:val="center"/>
        </w:trPr>
        <w:tc>
          <w:tcPr>
            <w:tcW w:w="70.65pt" w:type="dxa"/>
            <w:tcBorders>
              <w:top w:val="single" w:sz="4" w:space="0" w:color="auto"/>
              <w:start w:val="single" w:sz="4" w:space="0" w:color="auto"/>
              <w:bottom w:val="single" w:sz="4" w:space="0" w:color="auto"/>
              <w:end w:val="single" w:sz="4" w:space="0" w:color="auto"/>
            </w:tcBorders>
            <w:shd w:val="clear" w:color="auto" w:fill="009AD9"/>
            <w:noWrap/>
            <w:vAlign w:val="center"/>
          </w:tcPr>
          <w:p w:rsidR="00705482" w:rsidRPr="00611019" w:rsidRDefault="00E56462" w:rsidP="00F645E5">
            <w:pPr>
              <w:spacing w:before="2pt"/>
              <w:jc w:val="center"/>
              <w:rPr>
                <w:rFonts w:ascii="Century Gothic" w:hAnsi="Century Gothic" w:cs="Arial"/>
                <w:b/>
                <w:color w:val="FFFFFF" w:themeColor="background1"/>
              </w:rPr>
            </w:pPr>
            <w:r>
              <w:rPr>
                <w:rFonts w:ascii="Century Gothic" w:hAnsi="Century Gothic" w:cs="Arial"/>
                <w:b/>
                <w:color w:val="FFFFFF" w:themeColor="background1"/>
                <w:lang w:eastAsia="es-MX"/>
              </w:rPr>
              <w:t>Acrónimo</w:t>
            </w:r>
          </w:p>
        </w:tc>
        <w:tc>
          <w:tcPr>
            <w:tcW w:w="389.90pt" w:type="dxa"/>
            <w:tcBorders>
              <w:top w:val="single" w:sz="4" w:space="0" w:color="auto"/>
              <w:start w:val="single" w:sz="4" w:space="0" w:color="auto"/>
              <w:bottom w:val="single" w:sz="4" w:space="0" w:color="auto"/>
              <w:end w:val="single" w:sz="4" w:space="0" w:color="auto"/>
            </w:tcBorders>
            <w:shd w:val="clear" w:color="auto" w:fill="009AD9"/>
            <w:noWrap/>
            <w:vAlign w:val="center"/>
          </w:tcPr>
          <w:p w:rsidR="00705482" w:rsidRPr="00611019" w:rsidRDefault="00E56462" w:rsidP="00F645E5">
            <w:pPr>
              <w:spacing w:before="2pt"/>
              <w:jc w:val="center"/>
              <w:rPr>
                <w:rFonts w:ascii="Century Gothic" w:hAnsi="Century Gothic" w:cs="Arial"/>
                <w:b/>
                <w:color w:val="FFFFFF" w:themeColor="background1"/>
              </w:rPr>
            </w:pPr>
            <w:r>
              <w:rPr>
                <w:rFonts w:ascii="Century Gothic" w:hAnsi="Century Gothic" w:cs="Arial"/>
                <w:b/>
                <w:color w:val="FFFFFF" w:themeColor="background1"/>
                <w:lang w:eastAsia="es-MX"/>
              </w:rPr>
              <w:t>Término</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AEP</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Agente Económico Preponderante</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API</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Interfaz de Programación de Aplicaciones</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BRAS</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Servidor de Acceso Remoto de Banda ancha</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CAO</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 xml:space="preserve">Centro de Atención de Operadores </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CD</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Caja de Distribución</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CE</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Coubicación Externa</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CI</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Coubicación Interna</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CIC</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Cableado Interior del Cliente (Usuario Final)</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CLLI</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Identificador de Ubicación de Lenguaje Común</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CPE</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Equipo Terminal del Usuario (CPE, por sus siglas en inglés)</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CS</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 xml:space="preserve">Concesionario </w:t>
            </w:r>
            <w:r w:rsidR="00AC7017">
              <w:rPr>
                <w:rFonts w:ascii="Century Gothic" w:hAnsi="Century Gothic" w:cs="Arial"/>
              </w:rPr>
              <w:t xml:space="preserve">Solicitante </w:t>
            </w:r>
            <w:r>
              <w:rPr>
                <w:rFonts w:ascii="Century Gothic" w:hAnsi="Century Gothic" w:cs="Arial"/>
                <w:lang w:eastAsia="es-MX"/>
              </w:rPr>
              <w:t xml:space="preserve">o </w:t>
            </w:r>
            <w:r>
              <w:rPr>
                <w:rFonts w:ascii="Century Gothic" w:hAnsi="Century Gothic" w:cs="Arial"/>
              </w:rPr>
              <w:t>Autorizado</w:t>
            </w:r>
            <w:r w:rsidR="00AC7017">
              <w:rPr>
                <w:rFonts w:ascii="Century Gothic" w:hAnsi="Century Gothic" w:cs="Arial"/>
              </w:rPr>
              <w:t xml:space="preserve"> Solicitante</w:t>
            </w:r>
            <w:r>
              <w:rPr>
                <w:rFonts w:ascii="Century Gothic" w:hAnsi="Century Gothic" w:cs="Arial"/>
                <w:lang w:eastAsia="es-MX"/>
              </w:rPr>
              <w:t>, quien suscribe la presente Oferta</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DFO</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Distribuidor de Fibra Óptica</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DG</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Distribuidor General</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lang w:eastAsia="es-MX"/>
              </w:rPr>
            </w:pPr>
            <w:r>
              <w:rPr>
                <w:rFonts w:ascii="Century Gothic" w:hAnsi="Century Gothic" w:cs="Arial"/>
                <w:b/>
                <w:lang w:eastAsia="es-MX"/>
              </w:rPr>
              <w:t>DIT</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lang w:eastAsia="es-MX"/>
              </w:rPr>
            </w:pPr>
            <w:r>
              <w:rPr>
                <w:rFonts w:ascii="Century Gothic" w:hAnsi="Century Gothic" w:cs="Arial"/>
                <w:lang w:eastAsia="es-MX"/>
              </w:rPr>
              <w:t>Dispositivo de Interconexión Terminal</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DM</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División Mayorista de Telmex</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DSL</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Línea de Abonado Digital (DSL, por sus siglas en inglés)</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DSLAM</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Multiplexor de Acceso a Línea de Abonado Digital (DSLAM, por sus siglas en inglés)</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ER</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Elemento de Red</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 xml:space="preserve">EM </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 xml:space="preserve">Empresa Mayorista </w:t>
            </w:r>
            <w:r w:rsidR="00AC7017">
              <w:rPr>
                <w:rFonts w:ascii="Century Gothic" w:hAnsi="Century Gothic" w:cs="Arial"/>
              </w:rPr>
              <w:t>(</w:t>
            </w:r>
            <w:r>
              <w:rPr>
                <w:rFonts w:ascii="Century Gothic" w:hAnsi="Century Gothic" w:cs="Arial"/>
              </w:rPr>
              <w:t>Red Nacional Última Milla/Red Última Milla de</w:t>
            </w:r>
            <w:r w:rsidR="00AC7017">
              <w:rPr>
                <w:rFonts w:ascii="Century Gothic" w:hAnsi="Century Gothic" w:cs="Arial"/>
              </w:rPr>
              <w:t>l</w:t>
            </w:r>
            <w:r>
              <w:rPr>
                <w:rFonts w:ascii="Century Gothic" w:hAnsi="Century Gothic" w:cs="Arial"/>
              </w:rPr>
              <w:t xml:space="preserve"> Noroeste)</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FTTH</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Fibra hasta el Hogar (FTTH, por sus siglas en inglés)</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FTTN</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Fibra hasta el Nodo (FTTN, por sus siglas en inglés)</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3F5A24" w:rsidP="00F645E5">
            <w:pPr>
              <w:spacing w:before="2pt"/>
              <w:jc w:val="both"/>
              <w:rPr>
                <w:rFonts w:ascii="Century Gothic" w:hAnsi="Century Gothic" w:cs="Arial"/>
                <w:b/>
              </w:rPr>
            </w:pPr>
            <w:r>
              <w:rPr>
                <w:rFonts w:ascii="Century Gothic" w:hAnsi="Century Gothic" w:cs="Arial"/>
                <w:b/>
              </w:rPr>
              <w:t>xPON</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Red Óptica Pasiva (</w:t>
            </w:r>
            <w:r w:rsidR="003F5A24">
              <w:rPr>
                <w:rFonts w:ascii="Century Gothic" w:hAnsi="Century Gothic" w:cs="Arial"/>
              </w:rPr>
              <w:t>x</w:t>
            </w:r>
            <w:r>
              <w:rPr>
                <w:rFonts w:ascii="Century Gothic" w:hAnsi="Century Gothic" w:cs="Arial"/>
              </w:rPr>
              <w:t>PON, por sus siglas en inglés)</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IP</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Protocolo de Internet (IP, por sus siglas en inglés)</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LAN</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Red de Área Local (LAN, por sus siglas en inglés)</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NCAI</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Nodo de Conexión de Acceso Indirecto</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NCAI-</w:t>
            </w:r>
            <w:r>
              <w:rPr>
                <w:rFonts w:ascii="Century Gothic" w:hAnsi="Century Gothic" w:cs="Arial"/>
                <w:b/>
                <w:lang w:eastAsia="es-MX"/>
              </w:rPr>
              <w:t>L</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Nodo de Conexión de Acceso Indirecto Local</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NCAI-</w:t>
            </w:r>
            <w:r>
              <w:rPr>
                <w:rFonts w:ascii="Century Gothic" w:hAnsi="Century Gothic" w:cs="Arial"/>
                <w:b/>
                <w:lang w:eastAsia="es-MX"/>
              </w:rPr>
              <w:t>N</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Nodo de Conexión de Acceso Indirecto Nacional</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 xml:space="preserve">NCAI- </w:t>
            </w:r>
            <w:r>
              <w:rPr>
                <w:rFonts w:ascii="Century Gothic" w:hAnsi="Century Gothic" w:cs="Arial"/>
                <w:b/>
                <w:lang w:eastAsia="es-MX"/>
              </w:rPr>
              <w:t>R</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Nodo de Conexión de Acceso Indirecto Regional</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NIS</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Número de Identificación de Solicitud</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lastRenderedPageBreak/>
              <w:t>OLT</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Terminal de Línea Óptica (OLT, por sus siglas en inglés)</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ONT</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 xml:space="preserve">Terminal de Red Óptica (ONT, por sus siglas en inglés) </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OREDA</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Oferta de Referencia para la Desagregación del Bucle Local</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OSI</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Interconexión de Sistemas Abiertos (OSI, por sus siglas en inglés)</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pCAI</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Puerto de Conexión de Acceso Indirecto</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pCAI-</w:t>
            </w:r>
            <w:r>
              <w:rPr>
                <w:rFonts w:ascii="Century Gothic" w:hAnsi="Century Gothic" w:cs="Arial"/>
                <w:b/>
                <w:lang w:eastAsia="es-MX"/>
              </w:rPr>
              <w:t>L</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Puerto de Conexión de Acceso Indirecto Local</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pCAI-</w:t>
            </w:r>
            <w:r>
              <w:rPr>
                <w:rFonts w:ascii="Century Gothic" w:hAnsi="Century Gothic" w:cs="Arial"/>
                <w:b/>
                <w:lang w:eastAsia="es-MX"/>
              </w:rPr>
              <w:t>N</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Puerto de Conexión de Acceso Indirecto Nacional</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pCAI-</w:t>
            </w:r>
            <w:r>
              <w:rPr>
                <w:rFonts w:ascii="Century Gothic" w:hAnsi="Century Gothic" w:cs="Arial"/>
                <w:b/>
                <w:lang w:eastAsia="es-MX"/>
              </w:rPr>
              <w:t>R</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Puerto de Conexión de Acceso Indirecto Regional</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PDIC</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Punto de Interconexión</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POTS</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Servicio Telefónico Simple (POTS, por sus siglas en inglés)</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PCT/PTC</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Punto de Conexión Terminal</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PGE</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Plan de Gestión del Espectro</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PTR</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Punto de Terminación de la Red</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SAIB</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Servicio de Acceso Indirecto al Bucle Local</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SCD</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Servicio de Coubicación para Desagregación</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SCyD</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Servicio de Concentración y Distribución</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SCyD-L</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Servicio de Concentración y Distribución Local</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SCyD-N</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D65548" w:rsidP="00F645E5">
            <w:pPr>
              <w:spacing w:before="2pt"/>
              <w:jc w:val="both"/>
              <w:rPr>
                <w:rFonts w:ascii="Century Gothic" w:hAnsi="Century Gothic" w:cs="Arial"/>
              </w:rPr>
            </w:pPr>
            <w:r>
              <w:rPr>
                <w:rFonts w:ascii="Century Gothic" w:hAnsi="Century Gothic" w:cs="Arial"/>
              </w:rPr>
              <w:t xml:space="preserve">Servicio </w:t>
            </w:r>
            <w:r w:rsidR="00E56462">
              <w:rPr>
                <w:rFonts w:ascii="Century Gothic" w:hAnsi="Century Gothic" w:cs="Arial"/>
              </w:rPr>
              <w:t>de Concentración y Distribución Nacional</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SCyD-R</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Servicio de Concentración y Distribución Regional</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705482" w:rsidP="00F645E5">
            <w:pPr>
              <w:spacing w:before="2pt"/>
              <w:jc w:val="both"/>
              <w:rPr>
                <w:rFonts w:ascii="Century Gothic" w:hAnsi="Century Gothic" w:cs="Arial"/>
                <w:b/>
              </w:rPr>
            </w:pP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705482" w:rsidP="00F645E5">
            <w:pPr>
              <w:spacing w:before="2pt"/>
              <w:jc w:val="both"/>
              <w:rPr>
                <w:rFonts w:ascii="Century Gothic" w:hAnsi="Century Gothic" w:cs="Arial"/>
              </w:rPr>
            </w:pPr>
          </w:p>
        </w:tc>
      </w:tr>
      <w:tr w:rsidR="00AC7017"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AC7017" w:rsidRPr="00AC7017" w:rsidRDefault="00AC7017" w:rsidP="00F645E5">
            <w:pPr>
              <w:spacing w:before="2pt"/>
              <w:jc w:val="both"/>
              <w:rPr>
                <w:rFonts w:ascii="Century Gothic" w:hAnsi="Century Gothic" w:cs="Arial"/>
                <w:b/>
              </w:rPr>
            </w:pP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AC7017" w:rsidRPr="00AC7017" w:rsidRDefault="00AC7017" w:rsidP="00F645E5">
            <w:pPr>
              <w:spacing w:before="2pt"/>
              <w:jc w:val="both"/>
              <w:rPr>
                <w:rFonts w:ascii="Century Gothic" w:hAnsi="Century Gothic" w:cs="Arial"/>
              </w:rPr>
            </w:pP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SDTBL</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Servicio de Desagregación Total del Bucle Local</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SDTFO</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color w:val="FF0000"/>
              </w:rPr>
            </w:pPr>
            <w:r>
              <w:rPr>
                <w:rFonts w:ascii="Century Gothic" w:hAnsi="Century Gothic" w:cs="Arial"/>
              </w:rPr>
              <w:t>Servicio de Desagregación Total de Fibra Óptica</w:t>
            </w:r>
          </w:p>
        </w:tc>
      </w:tr>
      <w:tr w:rsidR="00AC7017"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AC7017" w:rsidRPr="00AC7017" w:rsidRDefault="00AC7017" w:rsidP="00F645E5">
            <w:pPr>
              <w:spacing w:before="2pt"/>
              <w:jc w:val="both"/>
              <w:rPr>
                <w:rFonts w:ascii="Century Gothic" w:hAnsi="Century Gothic" w:cs="Arial"/>
                <w:b/>
              </w:rPr>
            </w:pP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AC7017" w:rsidRPr="00AC7017" w:rsidRDefault="00AC7017" w:rsidP="00F645E5">
            <w:pPr>
              <w:spacing w:before="2pt"/>
              <w:jc w:val="both"/>
              <w:rPr>
                <w:rFonts w:ascii="Century Gothic" w:hAnsi="Century Gothic" w:cs="Arial"/>
              </w:rPr>
            </w:pP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705482" w:rsidP="00F645E5">
            <w:pPr>
              <w:spacing w:before="2pt"/>
              <w:jc w:val="both"/>
              <w:rPr>
                <w:rFonts w:ascii="Century Gothic" w:hAnsi="Century Gothic" w:cs="Arial"/>
                <w:b/>
              </w:rPr>
            </w:pP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705482" w:rsidP="00F645E5">
            <w:pPr>
              <w:spacing w:before="2pt"/>
              <w:jc w:val="both"/>
              <w:rPr>
                <w:rFonts w:ascii="Century Gothic" w:hAnsi="Century Gothic" w:cs="Arial"/>
              </w:rPr>
            </w:pP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SEG</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Sistema Electrónico de Gestión</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SIPO</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Sistema Integrador Para Operadores</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007168" w:rsidRPr="00611019" w:rsidRDefault="00E56462" w:rsidP="00F645E5">
            <w:pPr>
              <w:spacing w:before="2pt"/>
              <w:jc w:val="both"/>
              <w:rPr>
                <w:rFonts w:ascii="Century Gothic" w:hAnsi="Century Gothic" w:cs="Arial"/>
                <w:b/>
              </w:rPr>
            </w:pPr>
            <w:r>
              <w:rPr>
                <w:rFonts w:ascii="Century Gothic" w:hAnsi="Century Gothic" w:cs="Arial"/>
                <w:b/>
              </w:rPr>
              <w:t>SEG/SIPO</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007168" w:rsidRPr="00611019" w:rsidRDefault="00E56462" w:rsidP="00F645E5">
            <w:pPr>
              <w:spacing w:before="2pt"/>
              <w:jc w:val="both"/>
              <w:rPr>
                <w:rFonts w:ascii="Century Gothic" w:hAnsi="Century Gothic" w:cs="Arial"/>
              </w:rPr>
            </w:pPr>
            <w:r>
              <w:rPr>
                <w:rFonts w:ascii="Century Gothic" w:hAnsi="Century Gothic" w:cs="Arial"/>
              </w:rPr>
              <w:t>SEG y/o SIPO, según corresponda</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SLA</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Acuerdos de Nivel de Servicio (SLA, por sus siglas en inglés)</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TBA</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Terminal de Banda Ancha</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4B2614" w:rsidRPr="00611019" w:rsidRDefault="00E56462" w:rsidP="00F645E5">
            <w:pPr>
              <w:spacing w:before="2pt"/>
              <w:jc w:val="both"/>
              <w:rPr>
                <w:rFonts w:ascii="Century Gothic" w:hAnsi="Century Gothic" w:cs="Arial"/>
                <w:b/>
              </w:rPr>
            </w:pPr>
            <w:r>
              <w:rPr>
                <w:rFonts w:ascii="Century Gothic" w:hAnsi="Century Gothic" w:cs="Arial"/>
                <w:b/>
              </w:rPr>
              <w:t>UIT-T</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4B2614" w:rsidRPr="00611019" w:rsidRDefault="00E56462" w:rsidP="00F645E5">
            <w:pPr>
              <w:spacing w:before="2pt"/>
              <w:jc w:val="both"/>
              <w:rPr>
                <w:rFonts w:ascii="Century Gothic" w:hAnsi="Century Gothic" w:cs="Arial"/>
              </w:rPr>
            </w:pPr>
            <w:r>
              <w:rPr>
                <w:rFonts w:ascii="Century Gothic" w:hAnsi="Century Gothic" w:cs="Arial"/>
              </w:rPr>
              <w:t>International Telecommunication Union</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VLAN</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Red de Área Local Virtual (VLAN, por sus siglas en inglés)</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b/>
              </w:rPr>
            </w:pPr>
            <w:r>
              <w:rPr>
                <w:rFonts w:ascii="Century Gothic" w:hAnsi="Century Gothic" w:cs="Arial"/>
                <w:b/>
              </w:rPr>
              <w:t>VoIP</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705482" w:rsidRPr="00611019" w:rsidRDefault="00E56462" w:rsidP="00F645E5">
            <w:pPr>
              <w:spacing w:before="2pt"/>
              <w:jc w:val="both"/>
              <w:rPr>
                <w:rFonts w:ascii="Century Gothic" w:hAnsi="Century Gothic" w:cs="Arial"/>
              </w:rPr>
            </w:pPr>
            <w:r>
              <w:rPr>
                <w:rFonts w:ascii="Century Gothic" w:hAnsi="Century Gothic" w:cs="Arial"/>
              </w:rPr>
              <w:t>Voz sobre Protocolo de Internet (VoIP, por sus siglas en inglés)</w:t>
            </w:r>
          </w:p>
        </w:tc>
      </w:tr>
      <w:tr w:rsidR="0061711D" w:rsidTr="00AC7017">
        <w:trPr>
          <w:trHeight w:val="300"/>
          <w:jc w:val="center"/>
        </w:trPr>
        <w:tc>
          <w:tcPr>
            <w:tcW w:w="70.65pt" w:type="dxa"/>
            <w:tcBorders>
              <w:top w:val="single" w:sz="4" w:space="0" w:color="auto"/>
              <w:start w:val="single" w:sz="4" w:space="0" w:color="auto"/>
              <w:bottom w:val="single" w:sz="4" w:space="0" w:color="auto"/>
              <w:end w:val="single" w:sz="4" w:space="0" w:color="auto"/>
            </w:tcBorders>
            <w:shd w:val="clear" w:color="auto" w:fill="auto"/>
            <w:noWrap/>
            <w:vAlign w:val="center"/>
          </w:tcPr>
          <w:p w:rsidR="004D1C32" w:rsidRPr="00611019" w:rsidRDefault="00E56462" w:rsidP="00F645E5">
            <w:pPr>
              <w:spacing w:before="2pt"/>
              <w:jc w:val="both"/>
              <w:rPr>
                <w:rFonts w:ascii="Century Gothic" w:hAnsi="Century Gothic" w:cs="Arial"/>
                <w:b/>
              </w:rPr>
            </w:pPr>
            <w:r>
              <w:rPr>
                <w:rFonts w:ascii="Century Gothic" w:hAnsi="Century Gothic" w:cs="Arial"/>
                <w:b/>
              </w:rPr>
              <w:t xml:space="preserve">VPN </w:t>
            </w:r>
          </w:p>
        </w:tc>
        <w:tc>
          <w:tcPr>
            <w:tcW w:w="389.90pt" w:type="dxa"/>
            <w:tcBorders>
              <w:top w:val="single" w:sz="4" w:space="0" w:color="auto"/>
              <w:start w:val="single" w:sz="4" w:space="0" w:color="auto"/>
              <w:bottom w:val="single" w:sz="4" w:space="0" w:color="auto"/>
              <w:end w:val="single" w:sz="4" w:space="0" w:color="auto"/>
            </w:tcBorders>
            <w:shd w:val="clear" w:color="auto" w:fill="auto"/>
            <w:noWrap/>
            <w:vAlign w:val="center"/>
          </w:tcPr>
          <w:p w:rsidR="004D1C32" w:rsidRPr="00611019" w:rsidRDefault="00E56462" w:rsidP="00F645E5">
            <w:pPr>
              <w:spacing w:before="2pt"/>
              <w:jc w:val="both"/>
              <w:rPr>
                <w:rFonts w:ascii="Century Gothic" w:hAnsi="Century Gothic" w:cs="Arial"/>
              </w:rPr>
            </w:pPr>
            <w:r>
              <w:rPr>
                <w:rFonts w:ascii="Century Gothic" w:hAnsi="Century Gothic" w:cs="Arial"/>
                <w:color w:val="040C28"/>
              </w:rPr>
              <w:t>Red Privada Virtual (VPN, por sus siglas en inglés)</w:t>
            </w:r>
          </w:p>
        </w:tc>
      </w:tr>
    </w:tbl>
    <w:p w:rsidR="00E73C0B" w:rsidRPr="00611019" w:rsidRDefault="00E73C0B" w:rsidP="00035D2C">
      <w:pPr>
        <w:spacing w:before="3pt" w:after="3pt"/>
        <w:jc w:val="both"/>
        <w:rPr>
          <w:rFonts w:ascii="Century Gothic" w:eastAsia="Times New Roman" w:hAnsi="Century Gothic" w:cs="Arial"/>
          <w:szCs w:val="24"/>
          <w:lang w:eastAsia="es-ES"/>
        </w:rPr>
      </w:pPr>
    </w:p>
    <w:p w:rsidR="0061711D" w:rsidRDefault="00E56462">
      <w:pPr>
        <w:spacing w:before="3pt" w:after="3pt"/>
        <w:jc w:val="both"/>
        <w:rPr>
          <w:rFonts w:ascii="Century Gothic" w:eastAsia="Times New Roman" w:hAnsi="Century Gothic" w:cs="Arial"/>
          <w:szCs w:val="24"/>
          <w:lang w:eastAsia="es-ES"/>
        </w:rPr>
      </w:pPr>
      <w:r>
        <w:rPr>
          <w:rFonts w:ascii="Century Gothic" w:eastAsia="Times New Roman" w:hAnsi="Century Gothic" w:cs="Arial"/>
          <w:szCs w:val="24"/>
          <w:lang w:eastAsia="es-ES"/>
        </w:rPr>
        <w:lastRenderedPageBreak/>
        <w:t>Las definiciones y abreviaturas comprendidas en la presente Oferta podrán ser utilizadas indistintamente en singular o plural, en masculino o femenino, según corresponda.</w:t>
      </w:r>
    </w:p>
    <w:p w:rsidR="00AC7017" w:rsidRPr="00192B3D" w:rsidRDefault="00AC7017" w:rsidP="00192B3D">
      <w:bookmarkStart w:id="575" w:name="_Toc436840862"/>
      <w:bookmarkStart w:id="576" w:name="_Toc436846299"/>
      <w:bookmarkStart w:id="577" w:name="_Toc436848249"/>
      <w:bookmarkStart w:id="578" w:name="_Toc436856497"/>
      <w:bookmarkStart w:id="579" w:name="_Toc436862643"/>
      <w:bookmarkStart w:id="580" w:name="_Toc436866293"/>
      <w:bookmarkStart w:id="581" w:name="_Toc436870872"/>
      <w:bookmarkStart w:id="582" w:name="_Toc436875864"/>
      <w:bookmarkStart w:id="583" w:name="_Toc467248674"/>
      <w:bookmarkStart w:id="584" w:name="_Toc525904538"/>
      <w:bookmarkStart w:id="585" w:name="_Toc525913934"/>
      <w:bookmarkStart w:id="586" w:name="_Toc525919173"/>
      <w:bookmarkStart w:id="587" w:name="_Toc525919297"/>
      <w:bookmarkStart w:id="588" w:name="_Toc2957107"/>
      <w:bookmarkStart w:id="589" w:name="_Toc24473432"/>
      <w:bookmarkStart w:id="590" w:name="_Toc24477561"/>
      <w:bookmarkStart w:id="591" w:name="_Toc26281371"/>
      <w:bookmarkStart w:id="592" w:name="_Toc26284907"/>
      <w:bookmarkStart w:id="593" w:name="_Toc26903892"/>
      <w:bookmarkStart w:id="594" w:name="_Toc43913134"/>
      <w:bookmarkStart w:id="595" w:name="_Toc26980616"/>
      <w:bookmarkStart w:id="596" w:name="_Toc53488467"/>
      <w:bookmarkStart w:id="597" w:name="_Toc53490399"/>
      <w:bookmarkStart w:id="598" w:name="_Toc53498408"/>
      <w:bookmarkStart w:id="599" w:name="_Toc58578764"/>
      <w:bookmarkStart w:id="600" w:name="_Toc92973988"/>
      <w:bookmarkStart w:id="601" w:name="_Toc93052299"/>
      <w:bookmarkStart w:id="602" w:name="_Toc93056254"/>
      <w:bookmarkStart w:id="603" w:name="_Toc125393327"/>
      <w:bookmarkStart w:id="604" w:name="_Toc148702183"/>
      <w:bookmarkStart w:id="605" w:name="_Toc170381808"/>
      <w:bookmarkStart w:id="606" w:name="_Toc375583284"/>
      <w:bookmarkEnd w:id="568"/>
    </w:p>
    <w:p w:rsidR="00277ED2" w:rsidRPr="00EA4C9F" w:rsidRDefault="00E56462" w:rsidP="00035D2C">
      <w:pPr>
        <w:pStyle w:val="1TitPrin"/>
        <w:spacing w:after="6pt"/>
        <w:ind w:start="21.30pt" w:hanging="18pt"/>
        <w:rPr>
          <w:rFonts w:ascii="Century Gothic" w:hAnsi="Century Gothic" w:cs="Times New Roman"/>
          <w:u w:val="single"/>
          <w14:scene3d>
            <w14:camera w14:prst="orthographicFront"/>
            <w14:lightRig w14:rig="threePt" w14:dir="t">
              <w14:rot w14:lat="0" w14:lon="0" w14:rev="0"/>
            </w14:lightRig>
          </w14:scene3d>
        </w:rPr>
      </w:pPr>
      <w:r>
        <w:rPr>
          <w:rFonts w:ascii="Century Gothic" w:hAnsi="Century Gothic" w:cs="Times New Roman"/>
          <w:u w:val="single"/>
          <w14:scene3d>
            <w14:camera w14:prst="orthographicFront"/>
            <w14:lightRig w14:rig="threePt" w14:dir="t">
              <w14:rot w14:lat="0" w14:lon="0" w14:rev="0"/>
            </w14:lightRig>
          </w14:scene3d>
        </w:rPr>
        <w:t>1.</w:t>
      </w:r>
      <w:r>
        <w:rPr>
          <w:rFonts w:ascii="Century Gothic" w:hAnsi="Century Gothic" w:cs="Times New Roman"/>
          <w:u w:val="single"/>
          <w14:scene3d>
            <w14:camera w14:prst="orthographicFront"/>
            <w14:lightRig w14:rig="threePt" w14:dir="t">
              <w14:rot w14:lat="0" w14:lon="0" w14:rev="0"/>
            </w14:lightRig>
          </w14:scene3d>
        </w:rPr>
        <w:tab/>
        <w:t>Introducción y Generales</w:t>
      </w:r>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r>
        <w:rPr>
          <w:rFonts w:ascii="Century Gothic" w:hAnsi="Century Gothic" w:cs="Times New Roman"/>
          <w:u w:val="single"/>
          <w14:scene3d>
            <w14:camera w14:prst="orthographicFront"/>
            <w14:lightRig w14:rig="threePt" w14:dir="t">
              <w14:rot w14:lat="0" w14:lon="0" w14:rev="0"/>
            </w14:lightRig>
          </w14:scene3d>
        </w:rPr>
        <w:t>.</w:t>
      </w:r>
    </w:p>
    <w:p w:rsidR="00277ED2" w:rsidRPr="00611019" w:rsidRDefault="00E56462" w:rsidP="00035D2C">
      <w:pPr>
        <w:pStyle w:val="Texto1"/>
        <w:spacing w:after="6pt" w:line="13.80pt" w:lineRule="auto"/>
        <w:ind w:start="0pt"/>
        <w:rPr>
          <w:rFonts w:ascii="Century Gothic" w:hAnsi="Century Gothic" w:cs="Arial"/>
          <w:sz w:val="22"/>
          <w:lang w:val="es-MX"/>
        </w:rPr>
      </w:pPr>
      <w:r>
        <w:rPr>
          <w:rFonts w:ascii="Century Gothic" w:hAnsi="Century Gothic" w:cs="Arial"/>
          <w:sz w:val="22"/>
          <w:lang w:val="es-MX"/>
        </w:rPr>
        <w:t>La OREDA tiene como objetivo establecer los términos y condiciones para los Servicios de Desagregación, de tal forma que</w:t>
      </w:r>
      <w:r>
        <w:rPr>
          <w:rFonts w:ascii="Century Gothic" w:hAnsi="Century Gothic" w:cs="Arial"/>
          <w:sz w:val="22"/>
          <w:szCs w:val="22"/>
          <w:lang w:val="es-MX"/>
        </w:rPr>
        <w:t xml:space="preserve"> </w:t>
      </w:r>
      <w:r>
        <w:rPr>
          <w:rFonts w:ascii="Century Gothic" w:hAnsi="Century Gothic" w:cs="Arial"/>
          <w:sz w:val="22"/>
          <w:szCs w:val="22"/>
        </w:rPr>
        <w:t>los Concesionarios Solicitantes, o bien los Autorizados Solicitantes</w:t>
      </w:r>
      <w:r>
        <w:rPr>
          <w:rFonts w:ascii="Century Gothic" w:hAnsi="Century Gothic" w:cs="Arial"/>
          <w:sz w:val="22"/>
          <w:szCs w:val="22"/>
          <w:lang w:val="es-MX"/>
        </w:rPr>
        <w:t>, puedan</w:t>
      </w:r>
      <w:r>
        <w:rPr>
          <w:rFonts w:ascii="Century Gothic" w:hAnsi="Century Gothic" w:cs="Arial"/>
          <w:sz w:val="22"/>
          <w:lang w:val="es-MX"/>
        </w:rPr>
        <w:t xml:space="preserve"> proveer servicios de telecomunicaciones a sus </w:t>
      </w:r>
      <w:r>
        <w:rPr>
          <w:rFonts w:ascii="Century Gothic" w:hAnsi="Century Gothic" w:cs="Arial"/>
          <w:sz w:val="22"/>
          <w:szCs w:val="22"/>
          <w:lang w:val="es-MX"/>
        </w:rPr>
        <w:t>Usuarios Finales</w:t>
      </w:r>
      <w:r>
        <w:rPr>
          <w:rFonts w:ascii="Century Gothic" w:hAnsi="Century Gothic" w:cs="Arial"/>
          <w:sz w:val="22"/>
          <w:lang w:val="es-MX"/>
        </w:rPr>
        <w:t xml:space="preserve"> mediante los Servicios contenidos en esta OREDA. </w:t>
      </w:r>
    </w:p>
    <w:p w:rsidR="00277ED2" w:rsidRPr="00611019" w:rsidRDefault="00E56462" w:rsidP="00035D2C">
      <w:pPr>
        <w:pStyle w:val="Texto1"/>
        <w:spacing w:line="13.80pt" w:lineRule="auto"/>
        <w:ind w:start="0pt"/>
        <w:rPr>
          <w:rFonts w:ascii="Century Gothic" w:hAnsi="Century Gothic" w:cs="Arial"/>
          <w:sz w:val="22"/>
          <w:lang w:val="es-MX"/>
        </w:rPr>
      </w:pPr>
      <w:r>
        <w:rPr>
          <w:rFonts w:ascii="Century Gothic" w:hAnsi="Century Gothic" w:cs="Arial"/>
          <w:sz w:val="22"/>
          <w:lang w:val="es-MX"/>
        </w:rPr>
        <w:t>Los Servicios de Desagregación del Bucle Local</w:t>
      </w:r>
      <w:r>
        <w:rPr>
          <w:rFonts w:ascii="Century Gothic" w:hAnsi="Century Gothic" w:cs="Arial"/>
          <w:b/>
          <w:sz w:val="22"/>
          <w:lang w:val="es-MX"/>
        </w:rPr>
        <w:t xml:space="preserve"> </w:t>
      </w:r>
      <w:r>
        <w:rPr>
          <w:rFonts w:ascii="Century Gothic" w:hAnsi="Century Gothic" w:cs="Arial"/>
          <w:sz w:val="22"/>
          <w:lang w:val="es-MX"/>
        </w:rPr>
        <w:t>contenidos en la OREDA son:</w:t>
      </w:r>
    </w:p>
    <w:p w:rsidR="00277ED2" w:rsidRPr="00611019" w:rsidRDefault="00E56462">
      <w:pPr>
        <w:pStyle w:val="Prrafodelista"/>
        <w:numPr>
          <w:ilvl w:val="0"/>
          <w:numId w:val="199"/>
        </w:numPr>
        <w:ind w:start="35.45pt" w:hanging="21.25pt"/>
        <w:jc w:val="both"/>
        <w:rPr>
          <w:rFonts w:ascii="Century Gothic" w:hAnsi="Century Gothic" w:cs="Arial"/>
        </w:rPr>
      </w:pPr>
      <w:r>
        <w:rPr>
          <w:rFonts w:ascii="Century Gothic" w:hAnsi="Century Gothic" w:cs="Arial"/>
        </w:rPr>
        <w:t>Servicio de Acceso Indirecto al Bucle Local (SAIB); con concentración Local Regional y Nacional;</w:t>
      </w:r>
    </w:p>
    <w:p w:rsidR="00277ED2" w:rsidRPr="00611019" w:rsidRDefault="00E56462">
      <w:pPr>
        <w:pStyle w:val="Prrafodelista"/>
        <w:numPr>
          <w:ilvl w:val="0"/>
          <w:numId w:val="199"/>
        </w:numPr>
        <w:ind w:start="35.45pt" w:hanging="21.25pt"/>
        <w:jc w:val="both"/>
        <w:rPr>
          <w:rFonts w:ascii="Century Gothic" w:hAnsi="Century Gothic" w:cs="Arial"/>
        </w:rPr>
      </w:pPr>
      <w:r>
        <w:rPr>
          <w:rFonts w:ascii="Century Gothic" w:hAnsi="Century Gothic" w:cs="Arial"/>
        </w:rPr>
        <w:t>Servicios de Desagregación:</w:t>
      </w:r>
    </w:p>
    <w:p w:rsidR="00277ED2" w:rsidRPr="00611019" w:rsidRDefault="00E56462" w:rsidP="00F56183">
      <w:pPr>
        <w:ind w:start="56.70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Desagregación Total del Bucle (SDTBL);</w:t>
      </w:r>
    </w:p>
    <w:p w:rsidR="009538A5" w:rsidRPr="00AC7017" w:rsidRDefault="00AC7017" w:rsidP="00F56183">
      <w:pPr>
        <w:ind w:start="56.70pt" w:hanging="18pt"/>
        <w:jc w:val="both"/>
        <w:rPr>
          <w:rFonts w:ascii="Century Gothic" w:eastAsia="Calibri" w:hAnsi="Century Gothic" w:cs="Courier New"/>
        </w:rPr>
      </w:pPr>
      <w:r w:rsidRPr="00AC7017">
        <w:rPr>
          <w:rFonts w:ascii="Century Gothic" w:hAnsi="Century Gothic" w:cs="Courier New"/>
        </w:rPr>
        <w:t xml:space="preserve">o </w:t>
      </w:r>
      <w:r>
        <w:rPr>
          <w:rFonts w:ascii="Century Gothic" w:hAnsi="Century Gothic" w:cs="Courier New"/>
        </w:rPr>
        <w:tab/>
      </w:r>
      <w:r w:rsidR="00E56462" w:rsidRPr="00AC7017">
        <w:rPr>
          <w:rFonts w:ascii="Century Gothic" w:eastAsia="Calibri" w:hAnsi="Century Gothic" w:cs="Courier New"/>
        </w:rPr>
        <w:t>Desagregación Total de Fibra Óptica (SDTFO);</w:t>
      </w:r>
    </w:p>
    <w:p w:rsidR="00277ED2" w:rsidRPr="00611019" w:rsidRDefault="00E56462">
      <w:pPr>
        <w:pStyle w:val="Prrafodelista"/>
        <w:numPr>
          <w:ilvl w:val="0"/>
          <w:numId w:val="200"/>
        </w:numPr>
        <w:ind w:hanging="21.80pt"/>
        <w:jc w:val="both"/>
        <w:rPr>
          <w:rFonts w:ascii="Century Gothic" w:hAnsi="Century Gothic" w:cs="Arial"/>
        </w:rPr>
      </w:pPr>
      <w:r>
        <w:rPr>
          <w:rFonts w:ascii="Century Gothic" w:hAnsi="Century Gothic" w:cs="Arial"/>
        </w:rPr>
        <w:t>Coubicación para Desagregación (SCD);</w:t>
      </w:r>
    </w:p>
    <w:p w:rsidR="00D45705" w:rsidRPr="00611019" w:rsidRDefault="00D45705" w:rsidP="00035D2C">
      <w:pPr>
        <w:pStyle w:val="Prrafodelista"/>
        <w:ind w:start="36pt"/>
        <w:jc w:val="both"/>
        <w:rPr>
          <w:rFonts w:ascii="Century Gothic" w:hAnsi="Century Gothic" w:cs="Arial"/>
        </w:rPr>
      </w:pPr>
    </w:p>
    <w:p w:rsidR="00277ED2" w:rsidRPr="00611019" w:rsidRDefault="00E56462" w:rsidP="00035D2C">
      <w:pPr>
        <w:jc w:val="both"/>
        <w:rPr>
          <w:rFonts w:ascii="Century Gothic" w:hAnsi="Century Gothic" w:cs="Arial"/>
        </w:rPr>
      </w:pPr>
      <w:r>
        <w:rPr>
          <w:rFonts w:ascii="Century Gothic" w:hAnsi="Century Gothic" w:cs="Arial"/>
        </w:rPr>
        <w:t>En la presente Oferta se encuentran los Servicios Auxiliares</w:t>
      </w:r>
      <w:r>
        <w:rPr>
          <w:rFonts w:ascii="Century Gothic" w:hAnsi="Century Gothic" w:cs="Arial"/>
          <w:b/>
        </w:rPr>
        <w:t xml:space="preserve"> </w:t>
      </w:r>
      <w:r>
        <w:rPr>
          <w:rFonts w:ascii="Century Gothic" w:hAnsi="Century Gothic" w:cs="Arial"/>
        </w:rPr>
        <w:t>que sirven de apoyo a los Servicios de Desagregación:</w:t>
      </w:r>
    </w:p>
    <w:p w:rsidR="00277ED2" w:rsidRPr="00611019" w:rsidRDefault="00AC7017">
      <w:pPr>
        <w:pStyle w:val="Prrafodelista"/>
        <w:numPr>
          <w:ilvl w:val="0"/>
          <w:numId w:val="201"/>
        </w:numPr>
        <w:ind w:start="35.45pt" w:hanging="21.25pt"/>
        <w:jc w:val="both"/>
        <w:rPr>
          <w:rFonts w:ascii="Century Gothic" w:hAnsi="Century Gothic" w:cs="Arial"/>
        </w:rPr>
      </w:pPr>
      <w:r>
        <w:rPr>
          <w:rFonts w:ascii="Century Gothic" w:hAnsi="Century Gothic" w:cs="Arial"/>
        </w:rPr>
        <w:t xml:space="preserve">Servicio de </w:t>
      </w:r>
      <w:r w:rsidR="00E56462">
        <w:rPr>
          <w:rFonts w:ascii="Century Gothic" w:hAnsi="Century Gothic" w:cs="Arial"/>
        </w:rPr>
        <w:t>Concentración y Distribución Local, Regional y Nacional</w:t>
      </w:r>
    </w:p>
    <w:p w:rsidR="00277ED2" w:rsidRPr="00611019" w:rsidRDefault="00E56462">
      <w:pPr>
        <w:pStyle w:val="Prrafodelista"/>
        <w:numPr>
          <w:ilvl w:val="0"/>
          <w:numId w:val="201"/>
        </w:numPr>
        <w:ind w:start="35.45pt" w:hanging="21.25pt"/>
        <w:jc w:val="both"/>
        <w:rPr>
          <w:rFonts w:ascii="Century Gothic" w:hAnsi="Century Gothic" w:cs="Arial"/>
        </w:rPr>
      </w:pPr>
      <w:r>
        <w:rPr>
          <w:rFonts w:ascii="Century Gothic" w:hAnsi="Century Gothic" w:cs="Arial"/>
        </w:rPr>
        <w:t>Cableado de DFO-RED NACIONAL a DFO-CS</w:t>
      </w:r>
    </w:p>
    <w:p w:rsidR="00277ED2" w:rsidRPr="00611019" w:rsidRDefault="00E56462">
      <w:pPr>
        <w:pStyle w:val="Prrafodelista"/>
        <w:numPr>
          <w:ilvl w:val="0"/>
          <w:numId w:val="201"/>
        </w:numPr>
        <w:spacing w:after="6pt"/>
        <w:ind w:start="35.45pt" w:hanging="21.25pt"/>
        <w:jc w:val="both"/>
        <w:rPr>
          <w:rFonts w:ascii="Century Gothic" w:hAnsi="Century Gothic" w:cs="Arial"/>
        </w:rPr>
      </w:pPr>
      <w:r>
        <w:rPr>
          <w:rFonts w:ascii="Century Gothic" w:hAnsi="Century Gothic" w:cs="Arial"/>
        </w:rPr>
        <w:t>Cableado Multipar</w:t>
      </w:r>
    </w:p>
    <w:p w:rsidR="009538A5" w:rsidRPr="00611019" w:rsidRDefault="00E56462" w:rsidP="00035D2C">
      <w:pPr>
        <w:spacing w:after="6pt"/>
        <w:jc w:val="both"/>
        <w:rPr>
          <w:rFonts w:ascii="Century Gothic" w:hAnsi="Century Gothic"/>
        </w:rPr>
      </w:pPr>
      <w:r>
        <w:rPr>
          <w:rFonts w:ascii="Century Gothic" w:hAnsi="Century Gothic"/>
        </w:rPr>
        <w:t>Todos los Servicios de Desagregación se prestan en la Zona de Cobertura a nivel nacional, junto con sus Servicios Auxiliares asociados.</w:t>
      </w:r>
    </w:p>
    <w:p w:rsidR="00277ED2" w:rsidRPr="00611019" w:rsidRDefault="00E56462" w:rsidP="00035D2C">
      <w:pPr>
        <w:spacing w:after="6pt"/>
        <w:jc w:val="both"/>
        <w:rPr>
          <w:rFonts w:ascii="Century Gothic" w:hAnsi="Century Gothic" w:cs="Arial"/>
        </w:rPr>
      </w:pPr>
      <w:r>
        <w:rPr>
          <w:rFonts w:ascii="Century Gothic" w:hAnsi="Century Gothic" w:cs="Arial"/>
        </w:rPr>
        <w:t>El CS puede contratar el Servicio Opcional de Cableado Interior de Usuario Final dentro de las premisas del Usuario Final, ya sea para extensiones de CIC o de forma complementaria a cualquier Servicio contratado. Las condiciones particulares en que se prestará dicho Servicio se establecen en la sección “Servicio Opcional de Cableado Interior de Usuario Final” de este documento.</w:t>
      </w:r>
    </w:p>
    <w:p w:rsidR="00277ED2" w:rsidRPr="00611019" w:rsidRDefault="00E56462" w:rsidP="00035D2C">
      <w:pPr>
        <w:spacing w:after="6pt"/>
        <w:jc w:val="both"/>
        <w:rPr>
          <w:rFonts w:ascii="Century Gothic" w:hAnsi="Century Gothic" w:cs="Arial"/>
        </w:rPr>
      </w:pPr>
      <w:r>
        <w:rPr>
          <w:rFonts w:ascii="Century Gothic" w:hAnsi="Century Gothic" w:cs="Arial"/>
        </w:rPr>
        <w:t>RED NACIONAL a petición del CS puede proveer y/o instalar los Módem y/o ONT (blanco) en el domicilio del usuario, de conformidad con la siguiente tabla:</w:t>
      </w:r>
    </w:p>
    <w:tbl>
      <w:tblPr>
        <w:tblStyle w:val="Tablaconcuadrcula23"/>
        <w:tblW w:w="0pt" w:type="dxa"/>
        <w:jc w:val="center"/>
        <w:tblLook w:firstRow="1" w:lastRow="0" w:firstColumn="1" w:lastColumn="0" w:noHBand="0" w:noVBand="1"/>
      </w:tblPr>
      <w:tblGrid>
        <w:gridCol w:w="4931"/>
        <w:gridCol w:w="1985"/>
        <w:gridCol w:w="1882"/>
      </w:tblGrid>
      <w:tr w:rsidR="0061711D" w:rsidTr="00DF2CC2">
        <w:trPr>
          <w:jc w:val="center"/>
        </w:trPr>
        <w:tc>
          <w:tcPr>
            <w:tcW w:w="246.55pt" w:type="dxa"/>
            <w:shd w:val="clear" w:color="auto" w:fill="009AD9"/>
          </w:tcPr>
          <w:p w:rsidR="00497C7D" w:rsidRPr="00611019" w:rsidRDefault="00E56462" w:rsidP="00035D2C">
            <w:pPr>
              <w:spacing w:before="2pt" w:after="2pt"/>
              <w:jc w:val="center"/>
              <w:rPr>
                <w:rFonts w:ascii="Century Gothic" w:hAnsi="Century Gothic" w:cs="Arial"/>
                <w:b/>
                <w:color w:val="FFFFFF" w:themeColor="background1"/>
                <w:sz w:val="20"/>
                <w:szCs w:val="20"/>
                <w:lang w:eastAsia="es-ES"/>
              </w:rPr>
            </w:pPr>
            <w:r>
              <w:rPr>
                <w:rFonts w:ascii="Century Gothic" w:hAnsi="Century Gothic" w:cs="Arial"/>
                <w:b/>
                <w:color w:val="FFFFFF" w:themeColor="background1"/>
                <w:sz w:val="20"/>
                <w:szCs w:val="20"/>
                <w:lang w:eastAsia="es-ES"/>
              </w:rPr>
              <w:t>Servicio</w:t>
            </w:r>
          </w:p>
        </w:tc>
        <w:tc>
          <w:tcPr>
            <w:tcW w:w="99.25pt" w:type="dxa"/>
            <w:shd w:val="clear" w:color="auto" w:fill="009AD9"/>
          </w:tcPr>
          <w:p w:rsidR="00497C7D" w:rsidRPr="00611019" w:rsidRDefault="00E56462" w:rsidP="00035D2C">
            <w:pPr>
              <w:spacing w:before="2pt" w:after="2pt"/>
              <w:jc w:val="center"/>
              <w:rPr>
                <w:rFonts w:ascii="Century Gothic" w:hAnsi="Century Gothic" w:cs="Arial"/>
                <w:b/>
                <w:color w:val="FFFFFF" w:themeColor="background1"/>
                <w:sz w:val="20"/>
                <w:szCs w:val="20"/>
                <w:lang w:eastAsia="es-ES"/>
              </w:rPr>
            </w:pPr>
            <w:r>
              <w:rPr>
                <w:rFonts w:ascii="Century Gothic" w:hAnsi="Century Gothic" w:cs="Arial"/>
                <w:b/>
                <w:color w:val="FFFFFF" w:themeColor="background1"/>
                <w:sz w:val="20"/>
                <w:szCs w:val="20"/>
                <w:lang w:eastAsia="es-ES"/>
              </w:rPr>
              <w:t>Módem</w:t>
            </w:r>
          </w:p>
        </w:tc>
        <w:tc>
          <w:tcPr>
            <w:tcW w:w="94.10pt" w:type="dxa"/>
            <w:shd w:val="clear" w:color="auto" w:fill="009AD9"/>
          </w:tcPr>
          <w:p w:rsidR="00497C7D" w:rsidRPr="00611019" w:rsidRDefault="00E56462" w:rsidP="00035D2C">
            <w:pPr>
              <w:spacing w:before="2pt" w:after="2pt"/>
              <w:jc w:val="center"/>
              <w:rPr>
                <w:rFonts w:ascii="Century Gothic" w:hAnsi="Century Gothic" w:cs="Arial"/>
                <w:b/>
                <w:color w:val="FFFFFF" w:themeColor="background1"/>
                <w:sz w:val="20"/>
                <w:szCs w:val="20"/>
                <w:lang w:eastAsia="es-ES"/>
              </w:rPr>
            </w:pPr>
            <w:r>
              <w:rPr>
                <w:rFonts w:ascii="Century Gothic" w:hAnsi="Century Gothic" w:cs="Arial"/>
                <w:b/>
                <w:color w:val="FFFFFF" w:themeColor="background1"/>
                <w:sz w:val="20"/>
                <w:szCs w:val="20"/>
                <w:lang w:eastAsia="es-ES"/>
              </w:rPr>
              <w:t>ONT</w:t>
            </w:r>
          </w:p>
        </w:tc>
      </w:tr>
      <w:tr w:rsidR="0061711D" w:rsidTr="00DF2CC2">
        <w:trPr>
          <w:jc w:val="center"/>
        </w:trPr>
        <w:tc>
          <w:tcPr>
            <w:tcW w:w="246.55pt" w:type="dxa"/>
          </w:tcPr>
          <w:p w:rsidR="00497C7D" w:rsidRPr="00611019" w:rsidRDefault="00E56462" w:rsidP="00035D2C">
            <w:pPr>
              <w:spacing w:before="2pt" w:after="2pt"/>
              <w:rPr>
                <w:rFonts w:ascii="Century Gothic" w:hAnsi="Century Gothic" w:cs="Arial"/>
                <w:sz w:val="20"/>
                <w:szCs w:val="20"/>
                <w:lang w:eastAsia="es-ES"/>
              </w:rPr>
            </w:pPr>
            <w:r>
              <w:rPr>
                <w:rFonts w:ascii="Century Gothic" w:hAnsi="Century Gothic" w:cs="Arial"/>
                <w:sz w:val="20"/>
                <w:szCs w:val="20"/>
                <w:lang w:eastAsia="es-ES"/>
              </w:rPr>
              <w:t>SAIB</w:t>
            </w:r>
          </w:p>
        </w:tc>
        <w:tc>
          <w:tcPr>
            <w:tcW w:w="99.25pt" w:type="dxa"/>
          </w:tcPr>
          <w:p w:rsidR="00497C7D" w:rsidRPr="00611019" w:rsidRDefault="00E56462" w:rsidP="00035D2C">
            <w:pPr>
              <w:spacing w:before="2pt" w:after="2pt"/>
              <w:rPr>
                <w:rFonts w:ascii="Century Gothic" w:hAnsi="Century Gothic" w:cs="Arial"/>
                <w:sz w:val="20"/>
                <w:szCs w:val="20"/>
                <w:lang w:eastAsia="es-ES"/>
              </w:rPr>
            </w:pPr>
            <w:r>
              <w:rPr>
                <w:rFonts w:ascii="Century Gothic" w:hAnsi="Century Gothic" w:cs="Arial"/>
                <w:sz w:val="20"/>
                <w:szCs w:val="20"/>
                <w:lang w:eastAsia="es-ES"/>
              </w:rPr>
              <w:t>Proveer</w:t>
            </w:r>
          </w:p>
        </w:tc>
        <w:tc>
          <w:tcPr>
            <w:tcW w:w="94.10pt" w:type="dxa"/>
          </w:tcPr>
          <w:p w:rsidR="00497C7D" w:rsidRPr="00611019" w:rsidRDefault="00E56462" w:rsidP="00035D2C">
            <w:pPr>
              <w:spacing w:before="2pt" w:after="2pt"/>
              <w:rPr>
                <w:rFonts w:ascii="Century Gothic" w:hAnsi="Century Gothic" w:cs="Arial"/>
                <w:sz w:val="20"/>
                <w:szCs w:val="20"/>
                <w:lang w:eastAsia="es-ES"/>
              </w:rPr>
            </w:pPr>
            <w:r>
              <w:rPr>
                <w:rFonts w:ascii="Century Gothic" w:hAnsi="Century Gothic" w:cs="Arial"/>
                <w:sz w:val="20"/>
                <w:szCs w:val="20"/>
                <w:lang w:eastAsia="es-ES"/>
              </w:rPr>
              <w:t>Proveer/Instalar</w:t>
            </w:r>
          </w:p>
        </w:tc>
      </w:tr>
    </w:tbl>
    <w:p w:rsidR="00277ED2" w:rsidRPr="00611019" w:rsidRDefault="00E56462" w:rsidP="00035D2C">
      <w:pPr>
        <w:pStyle w:val="3TitTer"/>
        <w:jc w:val="center"/>
        <w:outlineLvl w:val="9"/>
        <w:rPr>
          <w:rFonts w:ascii="Century Gothic" w:hAnsi="Century Gothic"/>
          <w:szCs w:val="18"/>
        </w:rPr>
      </w:pPr>
      <w:r>
        <w:rPr>
          <w:rFonts w:ascii="Century Gothic" w:hAnsi="Century Gothic"/>
          <w:sz w:val="20"/>
          <w:szCs w:val="20"/>
        </w:rPr>
        <w:t xml:space="preserve">Casos </w:t>
      </w:r>
      <w:r>
        <w:rPr>
          <w:rFonts w:ascii="Century Gothic" w:hAnsi="Century Gothic"/>
          <w:sz w:val="20"/>
          <w:szCs w:val="16"/>
        </w:rPr>
        <w:t>de entrega de Módem</w:t>
      </w:r>
    </w:p>
    <w:p w:rsidR="00277ED2" w:rsidRPr="00611019" w:rsidRDefault="00E56462" w:rsidP="00035D2C">
      <w:pPr>
        <w:spacing w:after="6pt"/>
        <w:jc w:val="both"/>
        <w:rPr>
          <w:rFonts w:ascii="Century Gothic" w:hAnsi="Century Gothic" w:cs="Arial"/>
        </w:rPr>
      </w:pPr>
      <w:r>
        <w:rPr>
          <w:rFonts w:ascii="Century Gothic" w:hAnsi="Century Gothic" w:cs="Arial"/>
        </w:rPr>
        <w:t>Las condiciones particulares en que se presta dicho servicio se establecen en la sección “Módem y ONT del Usuario Final para SAIB” de esta Oferta.</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RED NACIONAL atenderá todas las solicitudes que le sean presentadas por los </w:t>
      </w:r>
      <w:r w:rsidR="00AC7017">
        <w:rPr>
          <w:rFonts w:ascii="Century Gothic" w:hAnsi="Century Gothic" w:cs="Arial"/>
        </w:rPr>
        <w:t>CS</w:t>
      </w:r>
      <w:r>
        <w:rPr>
          <w:rFonts w:ascii="Century Gothic" w:hAnsi="Century Gothic" w:cs="Arial"/>
        </w:rPr>
        <w:t xml:space="preserve"> relativas a la presente OREDA en los términos y condiciones estipulados, salvo cuando no sea factible su atención conforme a lo señalado en las secciones “Disponibilidad de </w:t>
      </w:r>
      <w:r>
        <w:rPr>
          <w:rFonts w:ascii="Century Gothic" w:hAnsi="Century Gothic" w:cs="Arial"/>
        </w:rPr>
        <w:lastRenderedPageBreak/>
        <w:t>recursos” y “Causales de suspensión temporal en la instalación de Servicios” de esta OREDA.</w:t>
      </w:r>
    </w:p>
    <w:p w:rsidR="00277ED2" w:rsidRPr="00611019" w:rsidRDefault="00E56462" w:rsidP="00035D2C">
      <w:pPr>
        <w:spacing w:after="6pt"/>
        <w:jc w:val="both"/>
        <w:rPr>
          <w:rFonts w:ascii="Century Gothic" w:hAnsi="Century Gothic" w:cs="Arial"/>
        </w:rPr>
      </w:pPr>
      <w:bookmarkStart w:id="607" w:name="_Hlk82545075"/>
      <w:bookmarkStart w:id="608" w:name="_Hlk82543979"/>
      <w:r>
        <w:rPr>
          <w:rFonts w:ascii="Century Gothic" w:hAnsi="Century Gothic" w:cs="Arial"/>
        </w:rPr>
        <w:t xml:space="preserve">En la provisión de los Servicios de Desagregación se deberá aplicar el principio de primeras entradas, primeras salidas (FIFO por sus siglas en inglés), desde la recepción de las solicitudes hasta la atención de las órdenes de trabajo de instalación, sin menoscabo de que por una provisión eficiente éstas puedan terminar en orden distinto, situación que se considera viable en casos de excepción por casos prioritarios tales como: dispersión geográfica de la fuerza de trabajo, optimización de tiempos y movimientos (distancia, concentración, geografía), capacidad del servicio contratado, permisos, eventos especiales, husos horarios en el país, disponibilidad de refacciones, casos fortuitos o causas de fuerza mayor, cambio de medio de transmisión, necesidades/horarios del CS y/o Usuario Final, complejidad inherente a cada paso, solicitud de un horario específico por parte de los </w:t>
      </w:r>
      <w:r w:rsidR="00AC7017">
        <w:rPr>
          <w:rFonts w:ascii="Century Gothic" w:hAnsi="Century Gothic" w:cs="Arial"/>
        </w:rPr>
        <w:t>CS</w:t>
      </w:r>
      <w:r>
        <w:rPr>
          <w:rFonts w:ascii="Century Gothic" w:hAnsi="Century Gothic" w:cs="Arial"/>
        </w:rPr>
        <w:t>, seguridad nacional</w:t>
      </w:r>
      <w:r w:rsidR="00AC7017">
        <w:rPr>
          <w:rFonts w:ascii="Century Gothic" w:hAnsi="Century Gothic" w:cs="Arial"/>
        </w:rPr>
        <w:t>,</w:t>
      </w:r>
      <w:r>
        <w:rPr>
          <w:rFonts w:ascii="Century Gothic" w:hAnsi="Century Gothic" w:cs="Arial"/>
        </w:rPr>
        <w:t xml:space="preserve"> obligaciones o necesidades gubernamentales. </w:t>
      </w:r>
    </w:p>
    <w:p w:rsidR="00EB27DB" w:rsidRPr="00611019" w:rsidRDefault="00E56462" w:rsidP="00035D2C">
      <w:pPr>
        <w:jc w:val="both"/>
        <w:rPr>
          <w:rFonts w:ascii="Century Gothic" w:hAnsi="Century Gothic" w:cs="Arial"/>
        </w:rPr>
      </w:pPr>
      <w:r>
        <w:rPr>
          <w:rFonts w:ascii="Century Gothic" w:hAnsi="Century Gothic" w:cs="Arial"/>
        </w:rPr>
        <w:t xml:space="preserve">Las excepciones deberán garantizar en todo momento que no se contravenga el principio de no discriminación en la provisión de los </w:t>
      </w:r>
      <w:bookmarkEnd w:id="607"/>
      <w:r>
        <w:rPr>
          <w:rFonts w:ascii="Century Gothic" w:hAnsi="Century Gothic" w:cs="Arial"/>
        </w:rPr>
        <w:t xml:space="preserve">Servicios de Desagregación. Para lo anterior, cuando el CS así lo solicite o cuando el Servicio de </w:t>
      </w:r>
      <w:r w:rsidR="00AC7017">
        <w:rPr>
          <w:rFonts w:ascii="Century Gothic" w:hAnsi="Century Gothic" w:cs="Arial"/>
        </w:rPr>
        <w:t xml:space="preserve">Desagregación </w:t>
      </w:r>
      <w:r>
        <w:rPr>
          <w:rFonts w:ascii="Century Gothic" w:hAnsi="Century Gothic" w:cs="Arial"/>
        </w:rPr>
        <w:t>no se haya entregado en tiempo conforme a la cita para instalación solicitada por el CS y los plazos establecidos en la presente OREDA para la habilitación de los Servicios, RED NACIONAL deberá proporcionar a través del SEG/SIPO, la información sobre el caso de excepción FIFO aplicable acompañado de su justificación para su consulta por parte del CS y del Instituto.</w:t>
      </w:r>
    </w:p>
    <w:p w:rsidR="00EB27DB" w:rsidRPr="00611019" w:rsidRDefault="00E56462" w:rsidP="00035D2C">
      <w:pPr>
        <w:pStyle w:val="3TitTer"/>
        <w:spacing w:before="12pt" w:after="6pt"/>
        <w:rPr>
          <w:rFonts w:ascii="Century Gothic" w:hAnsi="Century Gothic"/>
        </w:rPr>
      </w:pPr>
      <w:bookmarkStart w:id="609" w:name="_Toc92973989"/>
      <w:bookmarkStart w:id="610" w:name="_Toc93052300"/>
      <w:bookmarkStart w:id="611" w:name="_Toc93056255"/>
      <w:bookmarkStart w:id="612" w:name="_Toc125393328"/>
      <w:bookmarkStart w:id="613" w:name="_Toc148702184"/>
      <w:bookmarkStart w:id="614" w:name="_Toc170381809"/>
      <w:bookmarkEnd w:id="608"/>
      <w:r>
        <w:rPr>
          <w:rFonts w:ascii="Century Gothic" w:hAnsi="Century Gothic"/>
        </w:rPr>
        <w:t xml:space="preserve">1.1 </w:t>
      </w:r>
      <w:bookmarkStart w:id="615" w:name="_Toc436840863"/>
      <w:bookmarkStart w:id="616" w:name="_Toc436846300"/>
      <w:bookmarkStart w:id="617" w:name="_Toc436848250"/>
      <w:bookmarkStart w:id="618" w:name="_Toc436856498"/>
      <w:bookmarkStart w:id="619" w:name="_Toc436862644"/>
      <w:bookmarkStart w:id="620" w:name="_Toc436866294"/>
      <w:bookmarkStart w:id="621" w:name="_Toc436870873"/>
      <w:bookmarkStart w:id="622" w:name="_Toc436875865"/>
      <w:bookmarkStart w:id="623" w:name="_Toc467248675"/>
      <w:bookmarkStart w:id="624" w:name="_Toc525904539"/>
      <w:bookmarkStart w:id="625" w:name="_Toc525913935"/>
      <w:bookmarkStart w:id="626" w:name="_Toc525919174"/>
      <w:bookmarkStart w:id="627" w:name="_Toc525919298"/>
      <w:bookmarkStart w:id="628" w:name="_Toc2957108"/>
      <w:bookmarkStart w:id="629" w:name="_Toc24473433"/>
      <w:bookmarkStart w:id="630" w:name="_Toc24477562"/>
      <w:bookmarkStart w:id="631" w:name="_Toc26281372"/>
      <w:bookmarkStart w:id="632" w:name="_Toc26284908"/>
      <w:bookmarkStart w:id="633" w:name="_Toc26903893"/>
      <w:bookmarkStart w:id="634" w:name="_Toc43913135"/>
      <w:bookmarkStart w:id="635" w:name="_Toc26980617"/>
      <w:bookmarkStart w:id="636" w:name="_Toc53488468"/>
      <w:bookmarkStart w:id="637" w:name="_Toc53490400"/>
      <w:bookmarkStart w:id="638" w:name="_Toc53498409"/>
      <w:bookmarkStart w:id="639" w:name="_Toc58578765"/>
      <w:r>
        <w:rPr>
          <w:rFonts w:ascii="Century Gothic" w:hAnsi="Century Gothic"/>
        </w:rPr>
        <w:t>Prerrequisitos</w:t>
      </w:r>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r>
        <w:rPr>
          <w:rFonts w:ascii="Century Gothic" w:hAnsi="Century Gothic"/>
        </w:rPr>
        <w:t>.</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Para contratar los Servicios objeto de la OREDA el CS deberá: </w:t>
      </w:r>
    </w:p>
    <w:p w:rsidR="00277ED2" w:rsidRPr="00611019" w:rsidRDefault="00E56462">
      <w:pPr>
        <w:pStyle w:val="Prrafodelista"/>
        <w:numPr>
          <w:ilvl w:val="0"/>
          <w:numId w:val="195"/>
        </w:numPr>
        <w:spacing w:after="6pt"/>
        <w:jc w:val="both"/>
        <w:rPr>
          <w:rFonts w:ascii="Century Gothic" w:hAnsi="Century Gothic" w:cs="Arial"/>
        </w:rPr>
      </w:pPr>
      <w:r>
        <w:rPr>
          <w:rFonts w:ascii="Century Gothic" w:hAnsi="Century Gothic" w:cs="Arial"/>
        </w:rPr>
        <w:t>Ser titular de una concesión para operar redes públicas de telecomunicaciones o tener Concesión única otorgada por conducto de la Secretaría de Comunicaciones y Transportes o del Instituto Federal de Telecomunicaciones, la cual deberá estar vigente, o bien, estar debidamente facultado por el Instituto para prestar servicios de telecomunicaciones mediante una Autorización para comercializar servicios de telecomunicaciones.</w:t>
      </w:r>
    </w:p>
    <w:p w:rsidR="00277ED2" w:rsidRPr="00611019" w:rsidRDefault="00E56462">
      <w:pPr>
        <w:pStyle w:val="Prrafodelista"/>
        <w:numPr>
          <w:ilvl w:val="0"/>
          <w:numId w:val="202"/>
        </w:numPr>
        <w:spacing w:after="6pt"/>
        <w:jc w:val="both"/>
        <w:rPr>
          <w:rFonts w:ascii="Century Gothic" w:hAnsi="Century Gothic" w:cs="Arial"/>
        </w:rPr>
      </w:pPr>
      <w:bookmarkStart w:id="640" w:name="_Hlk34754263"/>
      <w:r>
        <w:rPr>
          <w:rFonts w:ascii="Century Gothic" w:hAnsi="Century Gothic" w:cs="Arial"/>
        </w:rPr>
        <w:t xml:space="preserve">Firmar el Convenio. RED NACIONAL deberá firmar el Convenio de Desagregación respectivo en un plazo no mayor a 20 días naturales contados a partir de la solicitud que el CS haya realizado a través del correo electrónico </w:t>
      </w:r>
      <w:hyperlink r:id="rId18" w:history="1">
        <w:r>
          <w:rPr>
            <w:rStyle w:val="Hipervnculo"/>
            <w:rFonts w:ascii="Century Gothic" w:hAnsi="Century Gothic"/>
            <w:color w:val="auto"/>
            <w:u w:val="none"/>
          </w:rPr>
          <w:t>CONVENIOSREDNACIONAL@rednacional.com</w:t>
        </w:r>
      </w:hyperlink>
      <w:r>
        <w:rPr>
          <w:rFonts w:ascii="Century Gothic" w:hAnsi="Century Gothic" w:cs="Arial"/>
        </w:rPr>
        <w:t>. La solicitud para la firma del CONVENIO podrá ser efectuada por el CS a partir del 31 de diciembre de 202</w:t>
      </w:r>
      <w:r w:rsidR="00A8737B">
        <w:rPr>
          <w:rFonts w:ascii="Century Gothic" w:hAnsi="Century Gothic" w:cs="Arial"/>
        </w:rPr>
        <w:t>5</w:t>
      </w:r>
      <w:r>
        <w:rPr>
          <w:rFonts w:ascii="Century Gothic" w:hAnsi="Century Gothic" w:cs="Arial"/>
        </w:rPr>
        <w:t>.</w:t>
      </w:r>
    </w:p>
    <w:p w:rsidR="00277ED2" w:rsidRPr="00611019" w:rsidRDefault="00E56462">
      <w:pPr>
        <w:pStyle w:val="Prrafodelista"/>
        <w:numPr>
          <w:ilvl w:val="0"/>
          <w:numId w:val="195"/>
        </w:numPr>
        <w:spacing w:after="6pt"/>
        <w:jc w:val="both"/>
        <w:rPr>
          <w:rFonts w:ascii="Century Gothic" w:hAnsi="Century Gothic" w:cs="Arial"/>
        </w:rPr>
      </w:pPr>
      <w:r>
        <w:rPr>
          <w:rFonts w:ascii="Century Gothic" w:hAnsi="Century Gothic" w:cs="Arial"/>
        </w:rPr>
        <w:t xml:space="preserve">Solicitar al correo </w:t>
      </w:r>
      <w:hyperlink r:id="rId19" w:history="1">
        <w:r>
          <w:rPr>
            <w:rStyle w:val="Hipervnculo"/>
            <w:rFonts w:ascii="Century Gothic" w:hAnsi="Century Gothic" w:cs="Arial"/>
            <w:color w:val="auto"/>
            <w:u w:val="none"/>
          </w:rPr>
          <w:t>OREDA@rednacional.com</w:t>
        </w:r>
      </w:hyperlink>
      <w:r>
        <w:rPr>
          <w:rFonts w:ascii="Century Gothic" w:hAnsi="Century Gothic" w:cs="Arial"/>
        </w:rPr>
        <w:t xml:space="preserve"> según corresponda, los usuarios y contraseñas para el acceso al sitio de internet de RED NACIONAL para consultar la información de los Servicios y de acceso al SEG/SIPO para la consulta de información y gestión de los Servicios de Desagregación.</w:t>
      </w:r>
    </w:p>
    <w:p w:rsidR="00277ED2" w:rsidRPr="00611019" w:rsidRDefault="00E56462">
      <w:pPr>
        <w:pStyle w:val="Prrafodelista"/>
        <w:numPr>
          <w:ilvl w:val="0"/>
          <w:numId w:val="195"/>
        </w:numPr>
        <w:spacing w:after="6pt"/>
        <w:jc w:val="both"/>
        <w:rPr>
          <w:rFonts w:ascii="Century Gothic" w:hAnsi="Century Gothic" w:cs="Arial"/>
        </w:rPr>
      </w:pPr>
      <w:r>
        <w:rPr>
          <w:rFonts w:ascii="Century Gothic" w:hAnsi="Century Gothic" w:cs="Arial"/>
        </w:rPr>
        <w:lastRenderedPageBreak/>
        <w:t xml:space="preserve">Solicitar la conectividad SEG/SIPO vía VPN, en los términos contenidos en el sitio de </w:t>
      </w:r>
      <w:r w:rsidR="00AC7017">
        <w:rPr>
          <w:rFonts w:ascii="Century Gothic" w:hAnsi="Century Gothic" w:cs="Arial"/>
        </w:rPr>
        <w:t xml:space="preserve">internet </w:t>
      </w:r>
      <w:r>
        <w:rPr>
          <w:rFonts w:ascii="Century Gothic" w:hAnsi="Century Gothic" w:cs="Arial"/>
        </w:rPr>
        <w:t xml:space="preserve">de RED NACIONAL. </w:t>
      </w:r>
    </w:p>
    <w:p w:rsidR="00035D2C" w:rsidRDefault="00E56462">
      <w:pPr>
        <w:pStyle w:val="Prrafodelista"/>
        <w:numPr>
          <w:ilvl w:val="0"/>
          <w:numId w:val="195"/>
        </w:numPr>
        <w:jc w:val="both"/>
        <w:rPr>
          <w:rFonts w:ascii="Century Gothic" w:hAnsi="Century Gothic" w:cs="Arial"/>
        </w:rPr>
      </w:pPr>
      <w:r>
        <w:rPr>
          <w:rFonts w:ascii="Century Gothic" w:hAnsi="Century Gothic" w:cs="Arial"/>
        </w:rPr>
        <w:t xml:space="preserve">Solicitar los Servicios mediante el SEG/SIPO. </w:t>
      </w:r>
    </w:p>
    <w:p w:rsidR="00035D2C" w:rsidRPr="00035D2C" w:rsidRDefault="00035D2C" w:rsidP="00035D2C">
      <w:pPr>
        <w:spacing w:before="12pt"/>
        <w:jc w:val="both"/>
        <w:rPr>
          <w:rFonts w:ascii="Century Gothic" w:hAnsi="Century Gothic" w:cs="Arial"/>
        </w:rPr>
      </w:pPr>
    </w:p>
    <w:p w:rsidR="00AE7787" w:rsidRDefault="00E56462" w:rsidP="00336B33">
      <w:pPr>
        <w:pStyle w:val="3TitTer"/>
        <w:spacing w:after="6pt"/>
        <w:rPr>
          <w:rStyle w:val="3TitTerCar"/>
          <w:rFonts w:ascii="Century Gothic" w:hAnsi="Century Gothic"/>
          <w:b/>
          <w:bCs/>
        </w:rPr>
      </w:pPr>
      <w:bookmarkStart w:id="641" w:name="_Toc436840864"/>
      <w:bookmarkStart w:id="642" w:name="_Toc436846301"/>
      <w:bookmarkStart w:id="643" w:name="_Toc436848251"/>
      <w:bookmarkStart w:id="644" w:name="_Toc436856499"/>
      <w:bookmarkStart w:id="645" w:name="_Toc436862645"/>
      <w:bookmarkStart w:id="646" w:name="_Toc436866295"/>
      <w:bookmarkStart w:id="647" w:name="_Toc436870874"/>
      <w:bookmarkStart w:id="648" w:name="_Toc436875866"/>
      <w:bookmarkStart w:id="649" w:name="_Toc467248676"/>
      <w:bookmarkStart w:id="650" w:name="_Toc525904540"/>
      <w:bookmarkStart w:id="651" w:name="_Toc525913936"/>
      <w:bookmarkStart w:id="652" w:name="_Toc525919175"/>
      <w:bookmarkStart w:id="653" w:name="_Toc525919299"/>
      <w:bookmarkStart w:id="654" w:name="_Toc2957109"/>
      <w:bookmarkStart w:id="655" w:name="_Toc24473434"/>
      <w:bookmarkStart w:id="656" w:name="_Toc24477563"/>
      <w:bookmarkStart w:id="657" w:name="_Toc26281373"/>
      <w:bookmarkStart w:id="658" w:name="_Toc26284909"/>
      <w:bookmarkStart w:id="659" w:name="_Toc26903894"/>
      <w:bookmarkStart w:id="660" w:name="_Toc43913136"/>
      <w:bookmarkStart w:id="661" w:name="_Toc26980618"/>
      <w:bookmarkStart w:id="662" w:name="_Toc53488469"/>
      <w:bookmarkStart w:id="663" w:name="_Toc53490401"/>
      <w:bookmarkStart w:id="664" w:name="_Toc53498410"/>
      <w:bookmarkStart w:id="665" w:name="_Toc58578766"/>
      <w:bookmarkStart w:id="666" w:name="_Toc92973990"/>
      <w:bookmarkStart w:id="667" w:name="_Toc93052301"/>
      <w:bookmarkStart w:id="668" w:name="_Toc93056256"/>
      <w:bookmarkStart w:id="669" w:name="_Toc125393329"/>
      <w:bookmarkStart w:id="670" w:name="_Toc148702185"/>
      <w:bookmarkStart w:id="671" w:name="_Toc170381810"/>
      <w:r>
        <w:rPr>
          <w:rFonts w:ascii="Century Gothic" w:hAnsi="Century Gothic"/>
        </w:rPr>
        <w:t>1</w:t>
      </w:r>
      <w:r>
        <w:rPr>
          <w:rStyle w:val="3TitTerCar"/>
          <w:rFonts w:ascii="Century Gothic" w:hAnsi="Century Gothic"/>
          <w:b/>
          <w:bCs/>
        </w:rPr>
        <w:t>.2 Pronóstico de servicio</w:t>
      </w:r>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r>
        <w:rPr>
          <w:rStyle w:val="3TitTerCar"/>
          <w:rFonts w:ascii="Century Gothic" w:hAnsi="Century Gothic"/>
          <w:b/>
          <w:bCs/>
        </w:rPr>
        <w:t>.</w:t>
      </w:r>
      <w:bookmarkEnd w:id="666"/>
      <w:bookmarkEnd w:id="667"/>
      <w:bookmarkEnd w:id="668"/>
      <w:bookmarkEnd w:id="669"/>
      <w:bookmarkEnd w:id="670"/>
      <w:bookmarkEnd w:id="671"/>
    </w:p>
    <w:p w:rsidR="00277ED2" w:rsidRDefault="00E56462" w:rsidP="00035D2C">
      <w:pPr>
        <w:pStyle w:val="IFTnormal"/>
        <w:rPr>
          <w:rFonts w:ascii="Century Gothic" w:hAnsi="Century Gothic"/>
        </w:rPr>
      </w:pPr>
      <w:r>
        <w:rPr>
          <w:rFonts w:ascii="Century Gothic" w:hAnsi="Century Gothic"/>
        </w:rPr>
        <w:t xml:space="preserve">El CS podrá entregar un pronóstico para los Servicios de Desagregación, teniendo en cuenta que el no entregar pronósticos no constituye una condicionante para la entrega de los Servicios y que al no entregar pronósticos para el SDTBL no se podrá garantizar que exista infraestructura desplegada para atender estas solicitudes por lo que deberá solicitarse por parte de los </w:t>
      </w:r>
      <w:r w:rsidR="00AC7017">
        <w:rPr>
          <w:rFonts w:ascii="Century Gothic" w:hAnsi="Century Gothic"/>
        </w:rPr>
        <w:t>CS</w:t>
      </w:r>
      <w:r>
        <w:rPr>
          <w:rFonts w:ascii="Century Gothic" w:hAnsi="Century Gothic"/>
        </w:rPr>
        <w:t xml:space="preserve"> un Trabajo Especial (en este sentido la entrega o no de pronósticos para SAIB o cualquier Servicio Auxiliar, no afectará los parámetros o indicadores de calidad de éstos).</w:t>
      </w:r>
    </w:p>
    <w:p w:rsidR="00035D2C" w:rsidRPr="00611019" w:rsidRDefault="00035D2C" w:rsidP="00035D2C">
      <w:pPr>
        <w:pStyle w:val="IFTnormal"/>
        <w:rPr>
          <w:rFonts w:ascii="Century Gothic" w:hAnsi="Century Gothic"/>
        </w:rPr>
      </w:pPr>
    </w:p>
    <w:p w:rsidR="00A11FC4" w:rsidRPr="00611019" w:rsidRDefault="00E56462" w:rsidP="00035D2C">
      <w:pPr>
        <w:pStyle w:val="IFTnormal"/>
        <w:rPr>
          <w:rFonts w:ascii="Century Gothic" w:hAnsi="Century Gothic"/>
        </w:rPr>
      </w:pPr>
      <w:r>
        <w:rPr>
          <w:rFonts w:ascii="Century Gothic" w:hAnsi="Century Gothic"/>
        </w:rPr>
        <w:t>La entrega de pronósticos permitirá garantizar el cumplimiento de los parámetros de calidad establecidos para estos Servicios de Desagregación.</w:t>
      </w:r>
    </w:p>
    <w:p w:rsidR="00A11FC4" w:rsidRPr="00611019" w:rsidRDefault="00A11FC4" w:rsidP="00035D2C">
      <w:pPr>
        <w:pStyle w:val="IFTnormal"/>
        <w:rPr>
          <w:rFonts w:ascii="Century Gothic" w:hAnsi="Century Gothic"/>
        </w:rPr>
      </w:pPr>
    </w:p>
    <w:p w:rsidR="00EB27DB" w:rsidRPr="00611019" w:rsidRDefault="00E56462" w:rsidP="00035D2C">
      <w:pPr>
        <w:pStyle w:val="IFTnormal"/>
        <w:spacing w:after="6pt"/>
        <w:rPr>
          <w:rFonts w:ascii="Century Gothic" w:hAnsi="Century Gothic"/>
        </w:rPr>
      </w:pPr>
      <w:r>
        <w:rPr>
          <w:rFonts w:ascii="Century Gothic" w:hAnsi="Century Gothic"/>
        </w:rPr>
        <w:t>En su caso, la entrega se realizará conforme a lo siguiente:</w:t>
      </w:r>
    </w:p>
    <w:tbl>
      <w:tblPr>
        <w:tblStyle w:val="TableGrid1"/>
        <w:tblW w:w="0pt" w:type="dxa"/>
        <w:tblInd w:w="63.55pt" w:type="dxa"/>
        <w:tblLook w:firstRow="1" w:lastRow="0" w:firstColumn="1" w:lastColumn="0" w:noHBand="0" w:noVBand="1"/>
      </w:tblPr>
      <w:tblGrid>
        <w:gridCol w:w="1985"/>
        <w:gridCol w:w="4961"/>
      </w:tblGrid>
      <w:tr w:rsidR="0061711D" w:rsidTr="00DF2CC2">
        <w:tc>
          <w:tcPr>
            <w:tcW w:w="99.25pt" w:type="dxa"/>
            <w:shd w:val="clear" w:color="auto" w:fill="009AD9"/>
          </w:tcPr>
          <w:p w:rsidR="00497C7D" w:rsidRPr="00611019" w:rsidRDefault="00E56462" w:rsidP="00035D2C">
            <w:pPr>
              <w:spacing w:before="2pt" w:after="2pt"/>
              <w:jc w:val="center"/>
              <w:rPr>
                <w:rFonts w:ascii="Century Gothic" w:hAnsi="Century Gothic" w:cs="Arial"/>
                <w:b/>
                <w:color w:val="FFFFFF" w:themeColor="background1"/>
              </w:rPr>
            </w:pPr>
            <w:r>
              <w:rPr>
                <w:rFonts w:ascii="Century Gothic" w:hAnsi="Century Gothic" w:cs="Arial"/>
                <w:b/>
                <w:color w:val="FFFFFF" w:themeColor="background1"/>
              </w:rPr>
              <w:t>Fecha límite</w:t>
            </w:r>
          </w:p>
        </w:tc>
        <w:tc>
          <w:tcPr>
            <w:tcW w:w="248.05pt" w:type="dxa"/>
            <w:shd w:val="clear" w:color="auto" w:fill="009AD9"/>
          </w:tcPr>
          <w:p w:rsidR="00497C7D" w:rsidRPr="00611019" w:rsidRDefault="00E56462" w:rsidP="00035D2C">
            <w:pPr>
              <w:spacing w:before="2pt" w:after="2pt"/>
              <w:jc w:val="center"/>
              <w:rPr>
                <w:rFonts w:ascii="Century Gothic" w:hAnsi="Century Gothic" w:cs="Arial"/>
                <w:b/>
                <w:color w:val="FFFFFF" w:themeColor="background1"/>
              </w:rPr>
            </w:pPr>
            <w:r>
              <w:rPr>
                <w:rFonts w:ascii="Century Gothic" w:hAnsi="Century Gothic" w:cs="Arial"/>
                <w:b/>
                <w:color w:val="FFFFFF" w:themeColor="background1"/>
              </w:rPr>
              <w:t>Periodo de aprovisionamiento</w:t>
            </w:r>
            <w:r>
              <w:rPr>
                <w:rFonts w:ascii="Century Gothic" w:hAnsi="Century Gothic" w:cs="Arial"/>
                <w:b/>
                <w:color w:val="FFFFFF" w:themeColor="background1"/>
                <w:vertAlign w:val="superscript"/>
              </w:rPr>
              <w:footnoteReference w:id="3"/>
            </w:r>
          </w:p>
        </w:tc>
      </w:tr>
      <w:tr w:rsidR="0061711D" w:rsidTr="00DF2CC2">
        <w:tc>
          <w:tcPr>
            <w:tcW w:w="99.25pt" w:type="dxa"/>
          </w:tcPr>
          <w:p w:rsidR="00497C7D" w:rsidRPr="00611019" w:rsidRDefault="00E56462" w:rsidP="00035D2C">
            <w:pPr>
              <w:spacing w:before="2pt" w:after="2pt"/>
              <w:rPr>
                <w:rFonts w:ascii="Century Gothic" w:hAnsi="Century Gothic" w:cs="Arial"/>
              </w:rPr>
            </w:pPr>
            <w:r>
              <w:rPr>
                <w:rFonts w:ascii="Century Gothic" w:hAnsi="Century Gothic" w:cs="Arial"/>
              </w:rPr>
              <w:t>30 de junio</w:t>
            </w:r>
          </w:p>
        </w:tc>
        <w:tc>
          <w:tcPr>
            <w:tcW w:w="248.05pt" w:type="dxa"/>
          </w:tcPr>
          <w:p w:rsidR="00497C7D" w:rsidRPr="00611019" w:rsidRDefault="00E56462" w:rsidP="00035D2C">
            <w:pPr>
              <w:spacing w:before="2pt" w:after="2pt"/>
              <w:rPr>
                <w:rFonts w:ascii="Century Gothic" w:hAnsi="Century Gothic" w:cs="Arial"/>
              </w:rPr>
            </w:pPr>
            <w:r>
              <w:rPr>
                <w:rFonts w:ascii="Century Gothic" w:hAnsi="Century Gothic" w:cs="Arial"/>
              </w:rPr>
              <w:t>Enero-junio del año inmediato posterior.</w:t>
            </w:r>
          </w:p>
        </w:tc>
      </w:tr>
      <w:tr w:rsidR="0061711D" w:rsidTr="00DF2CC2">
        <w:tc>
          <w:tcPr>
            <w:tcW w:w="99.25pt" w:type="dxa"/>
          </w:tcPr>
          <w:p w:rsidR="00497C7D" w:rsidRPr="00611019" w:rsidRDefault="00E56462" w:rsidP="00035D2C">
            <w:pPr>
              <w:spacing w:before="2pt" w:after="2pt"/>
              <w:rPr>
                <w:rFonts w:ascii="Century Gothic" w:hAnsi="Century Gothic" w:cs="Arial"/>
              </w:rPr>
            </w:pPr>
            <w:r>
              <w:rPr>
                <w:rFonts w:ascii="Century Gothic" w:hAnsi="Century Gothic" w:cs="Arial"/>
              </w:rPr>
              <w:t>31 de diciembre</w:t>
            </w:r>
          </w:p>
        </w:tc>
        <w:tc>
          <w:tcPr>
            <w:tcW w:w="248.05pt" w:type="dxa"/>
          </w:tcPr>
          <w:p w:rsidR="00497C7D" w:rsidRPr="00611019" w:rsidRDefault="00E56462" w:rsidP="00035D2C">
            <w:pPr>
              <w:spacing w:before="2pt" w:after="2pt"/>
              <w:rPr>
                <w:rFonts w:ascii="Century Gothic" w:hAnsi="Century Gothic" w:cs="Arial"/>
              </w:rPr>
            </w:pPr>
            <w:r>
              <w:rPr>
                <w:rFonts w:ascii="Century Gothic" w:hAnsi="Century Gothic" w:cs="Arial"/>
              </w:rPr>
              <w:t>Julio-diciembre del año inmediato posterior.</w:t>
            </w:r>
          </w:p>
        </w:tc>
      </w:tr>
    </w:tbl>
    <w:p w:rsidR="00497C7D" w:rsidRPr="00611019" w:rsidRDefault="00E56462" w:rsidP="00035D2C">
      <w:pPr>
        <w:spacing w:after="6pt"/>
        <w:jc w:val="center"/>
        <w:rPr>
          <w:rFonts w:ascii="Century Gothic" w:hAnsi="Century Gothic" w:cs="Arial"/>
          <w:b/>
          <w:sz w:val="20"/>
          <w:szCs w:val="20"/>
        </w:rPr>
      </w:pPr>
      <w:r>
        <w:rPr>
          <w:rFonts w:ascii="Century Gothic" w:hAnsi="Century Gothic" w:cs="Arial"/>
          <w:b/>
          <w:sz w:val="20"/>
          <w:szCs w:val="20"/>
        </w:rPr>
        <w:t>Fechas para pronósticos del servicio</w:t>
      </w:r>
    </w:p>
    <w:p w:rsidR="00035D2C" w:rsidRDefault="00035D2C" w:rsidP="00035D2C">
      <w:pPr>
        <w:jc w:val="both"/>
        <w:rPr>
          <w:rFonts w:ascii="Century Gothic" w:hAnsi="Century Gothic" w:cs="Arial"/>
        </w:rPr>
      </w:pPr>
    </w:p>
    <w:p w:rsidR="00497C7D" w:rsidRPr="00611019" w:rsidRDefault="00E56462" w:rsidP="00035D2C">
      <w:pPr>
        <w:spacing w:after="6pt"/>
        <w:jc w:val="both"/>
        <w:rPr>
          <w:rFonts w:ascii="Century Gothic" w:hAnsi="Century Gothic" w:cs="Arial"/>
        </w:rPr>
      </w:pPr>
      <w:r>
        <w:rPr>
          <w:rFonts w:ascii="Century Gothic" w:hAnsi="Century Gothic" w:cs="Arial"/>
        </w:rPr>
        <w:t xml:space="preserve">Asimismo, </w:t>
      </w:r>
      <w:r w:rsidR="00AC7017">
        <w:rPr>
          <w:rFonts w:ascii="Century Gothic" w:hAnsi="Century Gothic" w:cs="Arial"/>
        </w:rPr>
        <w:t>los</w:t>
      </w:r>
      <w:r>
        <w:rPr>
          <w:rFonts w:ascii="Century Gothic" w:hAnsi="Century Gothic" w:cs="Arial"/>
        </w:rPr>
        <w:t xml:space="preserve"> CS podrá</w:t>
      </w:r>
      <w:r w:rsidR="00AC7017">
        <w:rPr>
          <w:rFonts w:ascii="Century Gothic" w:hAnsi="Century Gothic" w:cs="Arial"/>
        </w:rPr>
        <w:t>n</w:t>
      </w:r>
      <w:r>
        <w:rPr>
          <w:rFonts w:ascii="Century Gothic" w:hAnsi="Century Gothic" w:cs="Arial"/>
        </w:rPr>
        <w:t xml:space="preserve"> ajustar sus pronósticos conforme a lo siguiente:</w:t>
      </w:r>
    </w:p>
    <w:tbl>
      <w:tblPr>
        <w:tblStyle w:val="Tablaconcuadrcula24"/>
        <w:tblW w:w="0pt" w:type="dxa"/>
        <w:jc w:val="center"/>
        <w:tblLayout w:type="fixed"/>
        <w:tblLook w:firstRow="0" w:lastRow="0" w:firstColumn="0" w:lastColumn="0" w:noHBand="0" w:noVBand="0"/>
      </w:tblPr>
      <w:tblGrid>
        <w:gridCol w:w="2082"/>
        <w:gridCol w:w="4846"/>
      </w:tblGrid>
      <w:tr w:rsidR="0061711D" w:rsidTr="00DF2CC2">
        <w:trPr>
          <w:tblHeader/>
          <w:jc w:val="center"/>
        </w:trPr>
        <w:tc>
          <w:tcPr>
            <w:tcW w:w="104.10pt" w:type="dxa"/>
            <w:shd w:val="clear" w:color="auto" w:fill="009AD9"/>
          </w:tcPr>
          <w:p w:rsidR="00497C7D" w:rsidRPr="00611019" w:rsidRDefault="00E56462" w:rsidP="00035D2C">
            <w:pPr>
              <w:spacing w:before="2pt" w:after="2pt"/>
              <w:jc w:val="center"/>
              <w:rPr>
                <w:rFonts w:ascii="Century Gothic" w:hAnsi="Century Gothic" w:cs="Arial"/>
                <w:b/>
                <w:color w:val="FFFFFF" w:themeColor="background1"/>
                <w:sz w:val="20"/>
                <w:szCs w:val="20"/>
                <w:lang w:eastAsia="es-ES"/>
              </w:rPr>
            </w:pPr>
            <w:r>
              <w:rPr>
                <w:rFonts w:ascii="Century Gothic" w:hAnsi="Century Gothic" w:cs="Arial"/>
                <w:b/>
                <w:color w:val="FFFFFF" w:themeColor="background1"/>
                <w:sz w:val="20"/>
                <w:szCs w:val="20"/>
                <w:lang w:eastAsia="es-ES"/>
              </w:rPr>
              <w:t>Fecha límite</w:t>
            </w:r>
          </w:p>
        </w:tc>
        <w:tc>
          <w:tcPr>
            <w:tcW w:w="242.30pt" w:type="dxa"/>
            <w:shd w:val="clear" w:color="auto" w:fill="009AD9"/>
          </w:tcPr>
          <w:p w:rsidR="00497C7D" w:rsidRPr="00611019" w:rsidRDefault="00E56462" w:rsidP="00035D2C">
            <w:pPr>
              <w:spacing w:before="2pt" w:after="2pt"/>
              <w:jc w:val="center"/>
              <w:rPr>
                <w:rFonts w:ascii="Century Gothic" w:hAnsi="Century Gothic" w:cs="Arial"/>
                <w:b/>
                <w:color w:val="FFFFFF" w:themeColor="background1"/>
                <w:sz w:val="20"/>
                <w:szCs w:val="20"/>
                <w:lang w:eastAsia="es-ES"/>
              </w:rPr>
            </w:pPr>
            <w:r>
              <w:rPr>
                <w:rFonts w:ascii="Century Gothic" w:hAnsi="Century Gothic" w:cs="Arial"/>
                <w:b/>
                <w:color w:val="FFFFFF" w:themeColor="background1"/>
                <w:sz w:val="20"/>
                <w:szCs w:val="20"/>
                <w:lang w:eastAsia="es-ES"/>
              </w:rPr>
              <w:t>Periodo de ajuste de pronóstico</w:t>
            </w:r>
          </w:p>
        </w:tc>
      </w:tr>
      <w:tr w:rsidR="0061711D" w:rsidTr="00DF2CC2">
        <w:trPr>
          <w:jc w:val="center"/>
        </w:trPr>
        <w:tc>
          <w:tcPr>
            <w:tcW w:w="104.10pt" w:type="dxa"/>
          </w:tcPr>
          <w:p w:rsidR="00497C7D" w:rsidRPr="00611019" w:rsidRDefault="00E56462" w:rsidP="00035D2C">
            <w:pPr>
              <w:spacing w:before="2pt" w:after="2pt"/>
              <w:rPr>
                <w:rFonts w:ascii="Century Gothic" w:hAnsi="Century Gothic" w:cs="Arial"/>
                <w:sz w:val="20"/>
                <w:szCs w:val="20"/>
                <w:lang w:eastAsia="es-ES"/>
              </w:rPr>
            </w:pPr>
            <w:r>
              <w:rPr>
                <w:rFonts w:ascii="Century Gothic" w:hAnsi="Century Gothic" w:cs="Arial"/>
                <w:sz w:val="20"/>
                <w:szCs w:val="20"/>
                <w:lang w:eastAsia="es-ES"/>
              </w:rPr>
              <w:t>30 de septiembre</w:t>
            </w:r>
          </w:p>
        </w:tc>
        <w:tc>
          <w:tcPr>
            <w:tcW w:w="242.30pt" w:type="dxa"/>
          </w:tcPr>
          <w:p w:rsidR="00497C7D" w:rsidRPr="00611019" w:rsidRDefault="00E56462" w:rsidP="00035D2C">
            <w:pPr>
              <w:spacing w:before="2pt" w:after="2pt"/>
              <w:rPr>
                <w:rFonts w:ascii="Century Gothic" w:hAnsi="Century Gothic" w:cs="Arial"/>
                <w:sz w:val="20"/>
                <w:szCs w:val="20"/>
                <w:lang w:eastAsia="es-ES"/>
              </w:rPr>
            </w:pPr>
            <w:r>
              <w:rPr>
                <w:rFonts w:ascii="Century Gothic" w:hAnsi="Century Gothic" w:cs="Arial"/>
                <w:sz w:val="20"/>
                <w:szCs w:val="20"/>
                <w:lang w:eastAsia="es-ES"/>
              </w:rPr>
              <w:t>Enero-junio del año inmediato posterior.</w:t>
            </w:r>
          </w:p>
        </w:tc>
      </w:tr>
      <w:tr w:rsidR="0061711D" w:rsidTr="00DF2CC2">
        <w:trPr>
          <w:jc w:val="center"/>
        </w:trPr>
        <w:tc>
          <w:tcPr>
            <w:tcW w:w="104.10pt" w:type="dxa"/>
          </w:tcPr>
          <w:p w:rsidR="00497C7D" w:rsidRPr="00611019" w:rsidRDefault="00E56462" w:rsidP="00035D2C">
            <w:pPr>
              <w:spacing w:before="2pt" w:after="2pt"/>
              <w:rPr>
                <w:rFonts w:ascii="Century Gothic" w:hAnsi="Century Gothic" w:cs="Arial"/>
                <w:sz w:val="20"/>
                <w:szCs w:val="20"/>
                <w:lang w:eastAsia="es-ES"/>
              </w:rPr>
            </w:pPr>
            <w:r>
              <w:rPr>
                <w:rFonts w:ascii="Century Gothic" w:hAnsi="Century Gothic" w:cs="Arial"/>
                <w:sz w:val="20"/>
                <w:szCs w:val="20"/>
                <w:lang w:eastAsia="es-ES"/>
              </w:rPr>
              <w:t>31 de marzo</w:t>
            </w:r>
          </w:p>
        </w:tc>
        <w:tc>
          <w:tcPr>
            <w:tcW w:w="242.30pt" w:type="dxa"/>
          </w:tcPr>
          <w:p w:rsidR="00497C7D" w:rsidRPr="00611019" w:rsidRDefault="00E56462" w:rsidP="00035D2C">
            <w:pPr>
              <w:spacing w:before="2pt" w:after="2pt"/>
              <w:rPr>
                <w:rFonts w:ascii="Century Gothic" w:hAnsi="Century Gothic" w:cs="Arial"/>
                <w:sz w:val="20"/>
                <w:szCs w:val="20"/>
                <w:lang w:eastAsia="es-ES"/>
              </w:rPr>
            </w:pPr>
            <w:r>
              <w:rPr>
                <w:rFonts w:ascii="Century Gothic" w:hAnsi="Century Gothic" w:cs="Arial"/>
                <w:sz w:val="20"/>
                <w:szCs w:val="20"/>
                <w:lang w:eastAsia="es-ES"/>
              </w:rPr>
              <w:t>Julio-diciembre del año corriente.</w:t>
            </w:r>
          </w:p>
        </w:tc>
      </w:tr>
    </w:tbl>
    <w:p w:rsidR="00497C7D" w:rsidRPr="00611019" w:rsidRDefault="00E56462" w:rsidP="00035D2C">
      <w:pPr>
        <w:spacing w:before="3pt" w:after="3pt"/>
        <w:jc w:val="center"/>
        <w:rPr>
          <w:rFonts w:ascii="Century Gothic" w:hAnsi="Century Gothic" w:cs="Arial"/>
          <w:b/>
          <w:sz w:val="20"/>
          <w:szCs w:val="20"/>
        </w:rPr>
      </w:pPr>
      <w:r>
        <w:rPr>
          <w:rFonts w:ascii="Century Gothic" w:hAnsi="Century Gothic" w:cs="Arial"/>
          <w:b/>
          <w:sz w:val="20"/>
          <w:szCs w:val="20"/>
        </w:rPr>
        <w:t>Fechas para ajustar los pronósticos del servicio</w:t>
      </w:r>
    </w:p>
    <w:p w:rsidR="005D4923" w:rsidRPr="00611019" w:rsidRDefault="005D4923" w:rsidP="00035D2C">
      <w:pPr>
        <w:jc w:val="both"/>
        <w:rPr>
          <w:rFonts w:ascii="Century Gothic" w:hAnsi="Century Gothic" w:cs="Arial"/>
        </w:rPr>
      </w:pPr>
    </w:p>
    <w:p w:rsidR="00277ED2" w:rsidRDefault="00E56462" w:rsidP="00035D2C">
      <w:pPr>
        <w:jc w:val="both"/>
        <w:rPr>
          <w:rFonts w:ascii="Century Gothic" w:hAnsi="Century Gothic" w:cs="Arial"/>
        </w:rPr>
      </w:pPr>
      <w:r>
        <w:rPr>
          <w:rFonts w:ascii="Century Gothic" w:hAnsi="Century Gothic" w:cs="Arial"/>
        </w:rPr>
        <w:t>Si los pronósticos no son entregados dentro de la fecha indicada, se considerarán como no entregados. Sin embargo, en ningún caso la provisión de los Servicios de Desagregación estará condicionada a la entrega de pronósticos.</w:t>
      </w:r>
    </w:p>
    <w:p w:rsidR="00035D2C" w:rsidRPr="00611019" w:rsidRDefault="00035D2C" w:rsidP="00035D2C">
      <w:pPr>
        <w:jc w:val="both"/>
        <w:rPr>
          <w:rFonts w:ascii="Century Gothic" w:hAnsi="Century Gothic" w:cs="Arial"/>
        </w:rPr>
      </w:pPr>
    </w:p>
    <w:p w:rsidR="00277ED2" w:rsidRPr="00611019" w:rsidRDefault="00E56462" w:rsidP="00035D2C">
      <w:pPr>
        <w:spacing w:after="6pt"/>
        <w:jc w:val="both"/>
        <w:rPr>
          <w:rFonts w:ascii="Century Gothic" w:hAnsi="Century Gothic" w:cs="Arial"/>
        </w:rPr>
      </w:pPr>
      <w:r>
        <w:rPr>
          <w:rFonts w:ascii="Century Gothic" w:hAnsi="Century Gothic" w:cs="Arial"/>
        </w:rPr>
        <w:t>La granularidad que deberán tener los pronósticos entregados por el CS será al menos la siguiente:</w:t>
      </w:r>
    </w:p>
    <w:tbl>
      <w:tblPr>
        <w:tblStyle w:val="Tablaconcuadrcula2"/>
        <w:tblW w:w="488.90pt" w:type="dxa"/>
        <w:jc w:val="center"/>
        <w:tblLayout w:type="fixed"/>
        <w:tblLook w:firstRow="0" w:lastRow="0" w:firstColumn="0" w:lastColumn="0" w:noHBand="0" w:noVBand="0"/>
      </w:tblPr>
      <w:tblGrid>
        <w:gridCol w:w="2690"/>
        <w:gridCol w:w="7088"/>
      </w:tblGrid>
      <w:tr w:rsidR="0061711D" w:rsidTr="00AC7017">
        <w:trPr>
          <w:tblHeader/>
          <w:jc w:val="center"/>
        </w:trPr>
        <w:tc>
          <w:tcPr>
            <w:tcW w:w="134.50pt" w:type="dxa"/>
            <w:shd w:val="clear" w:color="auto" w:fill="009AD9"/>
          </w:tcPr>
          <w:p w:rsidR="00497C7D" w:rsidRPr="00611019" w:rsidRDefault="00E56462" w:rsidP="00035D2C">
            <w:pPr>
              <w:pStyle w:val="TableTitle"/>
              <w:spacing w:before="2pt" w:after="2pt" w:line="13.80pt" w:lineRule="auto"/>
              <w:rPr>
                <w:rFonts w:ascii="Century Gothic" w:hAnsi="Century Gothic"/>
                <w:color w:val="FFFFFF" w:themeColor="background1"/>
                <w:sz w:val="20"/>
                <w:lang w:val="es-MX"/>
              </w:rPr>
            </w:pPr>
            <w:r>
              <w:rPr>
                <w:rFonts w:ascii="Century Gothic" w:hAnsi="Century Gothic"/>
                <w:color w:val="FFFFFF" w:themeColor="background1"/>
                <w:sz w:val="20"/>
                <w:lang w:val="es-MX"/>
              </w:rPr>
              <w:lastRenderedPageBreak/>
              <w:t>Servicio</w:t>
            </w:r>
          </w:p>
        </w:tc>
        <w:tc>
          <w:tcPr>
            <w:tcW w:w="354.40pt" w:type="dxa"/>
            <w:shd w:val="clear" w:color="auto" w:fill="009AD9"/>
          </w:tcPr>
          <w:p w:rsidR="00497C7D" w:rsidRPr="00611019" w:rsidRDefault="00E56462" w:rsidP="00035D2C">
            <w:pPr>
              <w:pStyle w:val="TableTitle"/>
              <w:spacing w:before="2pt" w:after="2pt" w:line="13.80pt" w:lineRule="auto"/>
              <w:rPr>
                <w:rFonts w:ascii="Century Gothic" w:hAnsi="Century Gothic"/>
                <w:color w:val="FFFFFF" w:themeColor="background1"/>
                <w:sz w:val="20"/>
                <w:lang w:val="es-MX"/>
              </w:rPr>
            </w:pPr>
            <w:r>
              <w:rPr>
                <w:rFonts w:ascii="Century Gothic" w:hAnsi="Century Gothic"/>
                <w:color w:val="FFFFFF" w:themeColor="background1"/>
                <w:sz w:val="20"/>
                <w:lang w:val="es-MX"/>
              </w:rPr>
              <w:t>Granularidad</w:t>
            </w:r>
          </w:p>
        </w:tc>
      </w:tr>
      <w:tr w:rsidR="0061711D" w:rsidTr="00AC7017">
        <w:trPr>
          <w:jc w:val="center"/>
        </w:trPr>
        <w:tc>
          <w:tcPr>
            <w:tcW w:w="134.50pt" w:type="dxa"/>
          </w:tcPr>
          <w:p w:rsidR="00497C7D" w:rsidRPr="00611019" w:rsidRDefault="00E56462" w:rsidP="00035D2C">
            <w:pPr>
              <w:pStyle w:val="Texto0"/>
              <w:spacing w:before="2pt" w:after="2pt" w:line="13.80pt" w:lineRule="auto"/>
              <w:ind w:firstLine="0pt"/>
              <w:jc w:val="start"/>
              <w:rPr>
                <w:rFonts w:ascii="Century Gothic" w:hAnsi="Century Gothic"/>
                <w:sz w:val="20"/>
                <w:lang w:val="es-MX"/>
              </w:rPr>
            </w:pPr>
            <w:r>
              <w:rPr>
                <w:rFonts w:ascii="Century Gothic" w:hAnsi="Century Gothic"/>
                <w:sz w:val="20"/>
                <w:lang w:val="es-MX"/>
              </w:rPr>
              <w:t xml:space="preserve">SDTBL </w:t>
            </w:r>
          </w:p>
        </w:tc>
        <w:tc>
          <w:tcPr>
            <w:tcW w:w="354.40pt" w:type="dxa"/>
          </w:tcPr>
          <w:p w:rsidR="00497C7D" w:rsidRPr="00611019" w:rsidRDefault="00E56462" w:rsidP="00035D2C">
            <w:pPr>
              <w:pStyle w:val="Texto0"/>
              <w:spacing w:before="2pt" w:after="2pt" w:line="13.80pt" w:lineRule="auto"/>
              <w:ind w:firstLine="0pt"/>
              <w:jc w:val="start"/>
              <w:rPr>
                <w:rFonts w:ascii="Century Gothic" w:hAnsi="Century Gothic"/>
                <w:sz w:val="20"/>
                <w:lang w:val="es-MX"/>
              </w:rPr>
            </w:pPr>
            <w:r>
              <w:rPr>
                <w:rFonts w:ascii="Century Gothic" w:hAnsi="Century Gothic"/>
                <w:sz w:val="20"/>
                <w:lang w:val="es-MX"/>
              </w:rPr>
              <w:t xml:space="preserve">Número de Bucles por Central Telefónica </w:t>
            </w:r>
          </w:p>
        </w:tc>
      </w:tr>
      <w:tr w:rsidR="00AC7017" w:rsidRPr="00AC7017" w:rsidTr="00AC7017">
        <w:trPr>
          <w:jc w:val="center"/>
        </w:trPr>
        <w:tc>
          <w:tcPr>
            <w:tcW w:w="134.50pt" w:type="dxa"/>
          </w:tcPr>
          <w:p w:rsidR="00AC7017" w:rsidRDefault="00AC7017" w:rsidP="00AC7017">
            <w:pPr>
              <w:pStyle w:val="Texto0"/>
              <w:spacing w:before="2pt" w:after="2pt" w:line="13.80pt" w:lineRule="auto"/>
              <w:ind w:firstLine="0pt"/>
              <w:jc w:val="start"/>
              <w:rPr>
                <w:rFonts w:ascii="Century Gothic" w:hAnsi="Century Gothic"/>
                <w:sz w:val="20"/>
                <w:lang w:val="es-MX"/>
              </w:rPr>
            </w:pPr>
          </w:p>
        </w:tc>
        <w:tc>
          <w:tcPr>
            <w:tcW w:w="354.40pt" w:type="dxa"/>
          </w:tcPr>
          <w:p w:rsidR="00AC7017" w:rsidRDefault="00AC7017" w:rsidP="00AC7017">
            <w:pPr>
              <w:pStyle w:val="Texto0"/>
              <w:spacing w:before="2pt" w:after="2pt" w:line="13.80pt" w:lineRule="auto"/>
              <w:ind w:firstLine="0pt"/>
              <w:jc w:val="start"/>
              <w:rPr>
                <w:rFonts w:ascii="Century Gothic" w:hAnsi="Century Gothic"/>
                <w:sz w:val="20"/>
                <w:lang w:val="es-MX"/>
              </w:rPr>
            </w:pPr>
          </w:p>
        </w:tc>
      </w:tr>
      <w:tr w:rsidR="00AC7017" w:rsidTr="00AC7017">
        <w:trPr>
          <w:jc w:val="center"/>
        </w:trPr>
        <w:tc>
          <w:tcPr>
            <w:tcW w:w="134.50pt" w:type="dxa"/>
            <w:vAlign w:val="center"/>
          </w:tcPr>
          <w:p w:rsidR="00AC7017" w:rsidRPr="00611019" w:rsidRDefault="00AC7017" w:rsidP="00AC7017">
            <w:pPr>
              <w:pStyle w:val="Texto0"/>
              <w:spacing w:before="2pt" w:after="2pt" w:line="13.80pt" w:lineRule="auto"/>
              <w:ind w:firstLine="0pt"/>
              <w:jc w:val="start"/>
              <w:rPr>
                <w:rFonts w:ascii="Century Gothic" w:hAnsi="Century Gothic"/>
                <w:sz w:val="20"/>
                <w:lang w:val="es-MX"/>
              </w:rPr>
            </w:pPr>
            <w:r>
              <w:rPr>
                <w:rFonts w:ascii="Century Gothic" w:hAnsi="Century Gothic"/>
                <w:sz w:val="20"/>
                <w:lang w:val="es-MX"/>
              </w:rPr>
              <w:t>SCD</w:t>
            </w:r>
          </w:p>
        </w:tc>
        <w:tc>
          <w:tcPr>
            <w:tcW w:w="354.40pt" w:type="dxa"/>
            <w:vAlign w:val="center"/>
          </w:tcPr>
          <w:p w:rsidR="00AC7017" w:rsidRPr="00611019" w:rsidRDefault="00AC7017" w:rsidP="00AC7017">
            <w:pPr>
              <w:pStyle w:val="Texto0"/>
              <w:spacing w:before="2pt" w:after="2pt" w:line="13.80pt" w:lineRule="auto"/>
              <w:ind w:firstLine="0pt"/>
              <w:jc w:val="start"/>
              <w:rPr>
                <w:rFonts w:ascii="Century Gothic" w:hAnsi="Century Gothic"/>
                <w:sz w:val="20"/>
                <w:lang w:val="es-MX"/>
              </w:rPr>
            </w:pPr>
            <w:r>
              <w:rPr>
                <w:rFonts w:ascii="Century Gothic" w:hAnsi="Century Gothic"/>
                <w:sz w:val="20"/>
                <w:lang w:val="es-MX"/>
              </w:rPr>
              <w:t>Por Central Telefónica</w:t>
            </w:r>
          </w:p>
        </w:tc>
      </w:tr>
    </w:tbl>
    <w:p w:rsidR="00497C7D" w:rsidRPr="00611019" w:rsidRDefault="00E56462" w:rsidP="00035D2C">
      <w:pPr>
        <w:spacing w:after="6pt"/>
        <w:jc w:val="center"/>
        <w:rPr>
          <w:rFonts w:ascii="Century Gothic" w:hAnsi="Century Gothic" w:cs="Arial"/>
          <w:b/>
          <w:sz w:val="20"/>
          <w:szCs w:val="20"/>
        </w:rPr>
      </w:pPr>
      <w:r>
        <w:rPr>
          <w:rFonts w:ascii="Century Gothic" w:hAnsi="Century Gothic" w:cs="Arial"/>
          <w:b/>
          <w:sz w:val="20"/>
          <w:szCs w:val="20"/>
        </w:rPr>
        <w:t>Granularidad de los Pronósticos</w:t>
      </w:r>
    </w:p>
    <w:bookmarkEnd w:id="640"/>
    <w:p w:rsidR="00277ED2" w:rsidRDefault="00E56462" w:rsidP="00035D2C">
      <w:pPr>
        <w:jc w:val="both"/>
        <w:rPr>
          <w:rFonts w:ascii="Century Gothic" w:hAnsi="Century Gothic" w:cs="Arial"/>
        </w:rPr>
      </w:pPr>
      <w:r>
        <w:rPr>
          <w:rFonts w:ascii="Century Gothic" w:hAnsi="Century Gothic" w:cs="Arial"/>
        </w:rPr>
        <w:t>En caso de que los Servicios solicitados excedan un 20% o más a los pronosticados, los Servicios excedentes serán instalados en el plazo definido por mutuo acuerdo bajo el esquema de fecha compromiso (</w:t>
      </w:r>
      <w:r>
        <w:rPr>
          <w:rFonts w:ascii="Century Gothic" w:hAnsi="Century Gothic" w:cs="Arial"/>
          <w:i/>
        </w:rPr>
        <w:t>Due Date</w:t>
      </w:r>
      <w:r>
        <w:rPr>
          <w:rFonts w:ascii="Century Gothic" w:hAnsi="Century Gothic" w:cs="Arial"/>
        </w:rPr>
        <w:t xml:space="preserve">), y delimitado a un máximo de 150% de los plazos originales de entrega. </w:t>
      </w:r>
    </w:p>
    <w:p w:rsidR="00277ED2" w:rsidRPr="00611019" w:rsidRDefault="00E56462" w:rsidP="00035D2C">
      <w:pPr>
        <w:spacing w:after="6pt"/>
        <w:jc w:val="both"/>
        <w:rPr>
          <w:rFonts w:ascii="Century Gothic" w:hAnsi="Century Gothic" w:cs="Arial"/>
        </w:rPr>
      </w:pPr>
      <w:r>
        <w:rPr>
          <w:rFonts w:ascii="Century Gothic" w:hAnsi="Century Gothic" w:cs="Arial"/>
        </w:rPr>
        <w:t>En caso de que los Servicios contratados en el año anterior de referencia N sean menores al 70% de lo pronosticado, el CS considerará en el pronóstico del año N+1 un volumen de Servicios no mayor al equivalente al 120% de los Servicios realmente contratados en el año N.</w:t>
      </w:r>
    </w:p>
    <w:p w:rsidR="00A76878" w:rsidRPr="00611019" w:rsidRDefault="00A76878" w:rsidP="00035D2C">
      <w:pPr>
        <w:spacing w:after="6pt"/>
        <w:jc w:val="both"/>
        <w:rPr>
          <w:rFonts w:ascii="Century Gothic" w:hAnsi="Century Gothic" w:cs="Arial"/>
        </w:rPr>
      </w:pPr>
    </w:p>
    <w:p w:rsidR="00277ED2" w:rsidRPr="00611019" w:rsidRDefault="00E56462" w:rsidP="00035D2C">
      <w:pPr>
        <w:pStyle w:val="3TitTer"/>
        <w:spacing w:after="6pt"/>
        <w:rPr>
          <w:rFonts w:ascii="Century Gothic" w:hAnsi="Century Gothic"/>
          <w:b w:val="0"/>
        </w:rPr>
      </w:pPr>
      <w:bookmarkStart w:id="672" w:name="_Toc436840866"/>
      <w:bookmarkStart w:id="673" w:name="_Toc436846303"/>
      <w:bookmarkStart w:id="674" w:name="_Toc436848253"/>
      <w:bookmarkStart w:id="675" w:name="_Toc436856501"/>
      <w:bookmarkStart w:id="676" w:name="_Toc436862647"/>
      <w:bookmarkStart w:id="677" w:name="_Toc436866297"/>
      <w:bookmarkStart w:id="678" w:name="_Toc436870876"/>
      <w:bookmarkStart w:id="679" w:name="_Toc436875868"/>
      <w:bookmarkStart w:id="680" w:name="_Toc467248678"/>
      <w:bookmarkStart w:id="681" w:name="_Toc525904542"/>
      <w:bookmarkStart w:id="682" w:name="_Toc525913938"/>
      <w:bookmarkStart w:id="683" w:name="_Toc525919177"/>
      <w:bookmarkStart w:id="684" w:name="_Toc525919301"/>
      <w:bookmarkStart w:id="685" w:name="_Toc2957111"/>
      <w:bookmarkStart w:id="686" w:name="_Toc24473436"/>
      <w:bookmarkStart w:id="687" w:name="_Toc24477565"/>
      <w:bookmarkStart w:id="688" w:name="_Toc26281374"/>
      <w:bookmarkStart w:id="689" w:name="_Toc26284910"/>
      <w:bookmarkStart w:id="690" w:name="_Toc26903895"/>
      <w:bookmarkStart w:id="691" w:name="_Toc43913137"/>
      <w:bookmarkStart w:id="692" w:name="_Toc26980619"/>
      <w:bookmarkStart w:id="693" w:name="_Toc53488470"/>
      <w:bookmarkStart w:id="694" w:name="_Toc53490402"/>
      <w:bookmarkStart w:id="695" w:name="_Toc53498411"/>
      <w:bookmarkStart w:id="696" w:name="_Toc58578767"/>
      <w:bookmarkStart w:id="697" w:name="_Toc92973991"/>
      <w:bookmarkStart w:id="698" w:name="_Toc93052302"/>
      <w:bookmarkStart w:id="699" w:name="_Toc93056257"/>
      <w:bookmarkStart w:id="700" w:name="_Toc125393330"/>
      <w:bookmarkStart w:id="701" w:name="_Toc148702186"/>
      <w:bookmarkStart w:id="702" w:name="_Toc170381811"/>
      <w:r>
        <w:rPr>
          <w:rFonts w:ascii="Century Gothic" w:hAnsi="Century Gothic"/>
        </w:rPr>
        <w:t>1</w:t>
      </w:r>
      <w:r>
        <w:rPr>
          <w:rFonts w:ascii="Century Gothic" w:hAnsi="Century Gothic"/>
          <w:b w:val="0"/>
        </w:rPr>
        <w:t>.</w:t>
      </w:r>
      <w:r>
        <w:rPr>
          <w:rStyle w:val="3TitTerCar"/>
          <w:rFonts w:ascii="Century Gothic" w:hAnsi="Century Gothic"/>
          <w:b/>
        </w:rPr>
        <w:t>3 Situación de la Acometida del Usuario Final</w:t>
      </w:r>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r>
        <w:rPr>
          <w:rStyle w:val="3TitTerCar"/>
          <w:rFonts w:ascii="Century Gothic" w:hAnsi="Century Gothic"/>
          <w:b/>
        </w:rPr>
        <w:t>.</w:t>
      </w:r>
    </w:p>
    <w:p w:rsidR="00277ED2" w:rsidRPr="00611019" w:rsidRDefault="00E56462" w:rsidP="00035D2C">
      <w:pPr>
        <w:pStyle w:val="Texto1"/>
        <w:spacing w:after="6pt" w:line="13.80pt" w:lineRule="auto"/>
        <w:ind w:start="0pt"/>
        <w:rPr>
          <w:rFonts w:ascii="Century Gothic" w:hAnsi="Century Gothic" w:cs="Arial"/>
          <w:sz w:val="22"/>
          <w:lang w:val="es-MX"/>
        </w:rPr>
      </w:pPr>
      <w:r>
        <w:rPr>
          <w:rFonts w:ascii="Century Gothic" w:hAnsi="Century Gothic" w:cs="Arial"/>
          <w:sz w:val="22"/>
          <w:lang w:val="es-MX"/>
        </w:rPr>
        <w:t xml:space="preserve">La acometida al domicilio del </w:t>
      </w:r>
      <w:r>
        <w:rPr>
          <w:rFonts w:ascii="Century Gothic" w:hAnsi="Century Gothic" w:cs="Arial"/>
          <w:sz w:val="22"/>
          <w:szCs w:val="22"/>
          <w:lang w:val="es-MX"/>
        </w:rPr>
        <w:t>Usuario Final</w:t>
      </w:r>
      <w:r>
        <w:rPr>
          <w:rFonts w:ascii="Century Gothic" w:hAnsi="Century Gothic" w:cs="Arial"/>
          <w:sz w:val="22"/>
          <w:lang w:val="es-MX"/>
        </w:rPr>
        <w:t xml:space="preserve"> constituye la parte común de los Servicios de Desagregación y presenta tres posibles escenarios. En la siguiente tabla se muestra el alcance del Servicio en estos casos:</w:t>
      </w:r>
    </w:p>
    <w:tbl>
      <w:tblPr>
        <w:tblStyle w:val="Tablaconcuadrcula2"/>
        <w:tblW w:w="101.0%" w:type="pct"/>
        <w:jc w:val="center"/>
        <w:tblLook w:firstRow="1" w:lastRow="0" w:firstColumn="1" w:lastColumn="0" w:noHBand="0" w:noVBand="0"/>
      </w:tblPr>
      <w:tblGrid>
        <w:gridCol w:w="2779"/>
        <w:gridCol w:w="3162"/>
        <w:gridCol w:w="3547"/>
      </w:tblGrid>
      <w:tr w:rsidR="0061711D" w:rsidTr="00497C7D">
        <w:trPr>
          <w:trHeight w:val="502"/>
          <w:tblHeader/>
          <w:jc w:val="center"/>
        </w:trPr>
        <w:tc>
          <w:tcPr>
            <w:tcW w:w="29.0%" w:type="pct"/>
            <w:shd w:val="clear" w:color="auto" w:fill="009AD9"/>
          </w:tcPr>
          <w:p w:rsidR="00277ED2" w:rsidRPr="00611019" w:rsidRDefault="00E56462" w:rsidP="00035D2C">
            <w:pPr>
              <w:pStyle w:val="Texto1"/>
              <w:spacing w:line="13.80pt" w:lineRule="auto"/>
              <w:ind w:start="0pt"/>
              <w:jc w:val="center"/>
              <w:rPr>
                <w:rFonts w:ascii="Century Gothic" w:hAnsi="Century Gothic" w:cs="Arial"/>
                <w:b/>
                <w:color w:val="FFFFFF" w:themeColor="background1"/>
                <w:sz w:val="20"/>
                <w:szCs w:val="18"/>
                <w:lang w:val="es-MX"/>
              </w:rPr>
            </w:pPr>
            <w:r>
              <w:rPr>
                <w:rFonts w:ascii="Century Gothic" w:hAnsi="Century Gothic" w:cs="Arial"/>
                <w:b/>
                <w:color w:val="FFFFFF" w:themeColor="background1"/>
                <w:sz w:val="20"/>
                <w:szCs w:val="18"/>
                <w:lang w:val="es-MX"/>
              </w:rPr>
              <w:t>Relación contractual actual del servicio</w:t>
            </w:r>
          </w:p>
        </w:tc>
        <w:tc>
          <w:tcPr>
            <w:tcW w:w="33.0%" w:type="pct"/>
            <w:shd w:val="clear" w:color="auto" w:fill="009AD9"/>
          </w:tcPr>
          <w:p w:rsidR="00277ED2" w:rsidRPr="00611019" w:rsidRDefault="00E56462" w:rsidP="00035D2C">
            <w:pPr>
              <w:pStyle w:val="Texto1"/>
              <w:spacing w:line="13.80pt" w:lineRule="auto"/>
              <w:ind w:start="0pt"/>
              <w:jc w:val="center"/>
              <w:rPr>
                <w:rFonts w:ascii="Century Gothic" w:hAnsi="Century Gothic" w:cs="Arial"/>
                <w:b/>
                <w:color w:val="FFFFFF" w:themeColor="background1"/>
                <w:sz w:val="20"/>
                <w:szCs w:val="18"/>
                <w:lang w:val="es-MX"/>
              </w:rPr>
            </w:pPr>
            <w:r>
              <w:rPr>
                <w:rFonts w:ascii="Century Gothic" w:hAnsi="Century Gothic" w:cs="Arial"/>
                <w:b/>
                <w:color w:val="FFFFFF" w:themeColor="background1"/>
                <w:sz w:val="20"/>
                <w:szCs w:val="18"/>
                <w:lang w:val="es-MX"/>
              </w:rPr>
              <w:t>Condición física de la acometida</w:t>
            </w:r>
          </w:p>
        </w:tc>
        <w:tc>
          <w:tcPr>
            <w:tcW w:w="37.0%" w:type="pct"/>
            <w:shd w:val="clear" w:color="auto" w:fill="009AD9"/>
          </w:tcPr>
          <w:p w:rsidR="00277ED2" w:rsidRPr="00611019" w:rsidRDefault="00E56462" w:rsidP="00035D2C">
            <w:pPr>
              <w:pStyle w:val="Texto1"/>
              <w:spacing w:line="13.80pt" w:lineRule="auto"/>
              <w:ind w:start="0pt"/>
              <w:jc w:val="center"/>
              <w:rPr>
                <w:rFonts w:ascii="Century Gothic" w:hAnsi="Century Gothic" w:cs="Arial"/>
                <w:b/>
                <w:color w:val="FFFFFF" w:themeColor="background1"/>
                <w:sz w:val="20"/>
                <w:szCs w:val="18"/>
                <w:lang w:val="es-MX"/>
              </w:rPr>
            </w:pPr>
            <w:r>
              <w:rPr>
                <w:rFonts w:ascii="Century Gothic" w:hAnsi="Century Gothic" w:cs="Arial"/>
                <w:b/>
                <w:color w:val="FFFFFF" w:themeColor="background1"/>
                <w:sz w:val="20"/>
                <w:szCs w:val="18"/>
                <w:lang w:val="es-MX"/>
              </w:rPr>
              <w:t>Responsabilidad de Red Nacional</w:t>
            </w:r>
          </w:p>
        </w:tc>
      </w:tr>
      <w:tr w:rsidR="0061711D" w:rsidTr="006D23EF">
        <w:trPr>
          <w:trHeight w:val="20"/>
          <w:jc w:val="center"/>
        </w:trPr>
        <w:tc>
          <w:tcPr>
            <w:tcW w:w="29.0%" w:type="pct"/>
            <w:vAlign w:val="center"/>
          </w:tcPr>
          <w:p w:rsidR="00277ED2" w:rsidRPr="00611019" w:rsidRDefault="00E56462" w:rsidP="00035D2C">
            <w:pPr>
              <w:spacing w:before="1pt" w:after="1pt"/>
              <w:jc w:val="both"/>
              <w:rPr>
                <w:rFonts w:ascii="Century Gothic" w:hAnsi="Century Gothic" w:cs="Arial"/>
                <w:sz w:val="18"/>
                <w:szCs w:val="18"/>
              </w:rPr>
            </w:pPr>
            <w:r>
              <w:rPr>
                <w:rFonts w:ascii="Century Gothic" w:hAnsi="Century Gothic" w:cs="Arial"/>
                <w:sz w:val="18"/>
                <w:szCs w:val="18"/>
              </w:rPr>
              <w:t>Existe servicio de desagregación activo.</w:t>
            </w:r>
          </w:p>
        </w:tc>
        <w:tc>
          <w:tcPr>
            <w:tcW w:w="33.0%" w:type="pct"/>
            <w:vAlign w:val="center"/>
          </w:tcPr>
          <w:p w:rsidR="00277ED2" w:rsidRPr="00611019" w:rsidRDefault="00E56462" w:rsidP="00035D2C">
            <w:pPr>
              <w:spacing w:before="1pt" w:after="1pt"/>
              <w:jc w:val="both"/>
              <w:rPr>
                <w:rFonts w:ascii="Century Gothic" w:hAnsi="Century Gothic" w:cs="Arial"/>
                <w:sz w:val="18"/>
                <w:szCs w:val="18"/>
              </w:rPr>
            </w:pPr>
            <w:r>
              <w:rPr>
                <w:rFonts w:ascii="Century Gothic" w:hAnsi="Century Gothic" w:cs="Arial"/>
                <w:sz w:val="18"/>
                <w:szCs w:val="18"/>
              </w:rPr>
              <w:t>Existe acometida directa a la casa o edificio del Usuario Final y permite brindar los Servicios solicitados por el CS.</w:t>
            </w:r>
          </w:p>
        </w:tc>
        <w:tc>
          <w:tcPr>
            <w:tcW w:w="37.0%" w:type="pct"/>
            <w:vAlign w:val="center"/>
          </w:tcPr>
          <w:p w:rsidR="00277ED2" w:rsidRPr="00611019" w:rsidRDefault="00E56462" w:rsidP="00035D2C">
            <w:pPr>
              <w:spacing w:before="1pt" w:after="1pt"/>
              <w:jc w:val="both"/>
              <w:rPr>
                <w:rFonts w:ascii="Century Gothic" w:hAnsi="Century Gothic" w:cs="Arial"/>
                <w:sz w:val="18"/>
                <w:szCs w:val="18"/>
              </w:rPr>
            </w:pPr>
            <w:r>
              <w:rPr>
                <w:rFonts w:ascii="Century Gothic" w:hAnsi="Century Gothic" w:cs="Arial"/>
                <w:sz w:val="18"/>
                <w:szCs w:val="18"/>
              </w:rPr>
              <w:t xml:space="preserve">El Servicio se entrega con la acometida actual. </w:t>
            </w:r>
          </w:p>
          <w:p w:rsidR="00D00E9C" w:rsidRPr="00611019" w:rsidRDefault="00E56462" w:rsidP="00035D2C">
            <w:pPr>
              <w:spacing w:before="1pt" w:after="1pt"/>
              <w:jc w:val="both"/>
              <w:rPr>
                <w:rFonts w:ascii="Century Gothic" w:hAnsi="Century Gothic" w:cs="Arial"/>
                <w:sz w:val="12"/>
                <w:szCs w:val="12"/>
              </w:rPr>
            </w:pPr>
            <w:r>
              <w:rPr>
                <w:rFonts w:ascii="Century Gothic" w:hAnsi="Century Gothic" w:cs="Arial"/>
                <w:sz w:val="18"/>
                <w:szCs w:val="18"/>
              </w:rPr>
              <w:t>El mantenimiento de la Acometida ya sea para su reparación o reemplazo será responsabilidad de RED NACIONAL</w:t>
            </w:r>
            <w:r>
              <w:rPr>
                <w:rFonts w:ascii="Century Gothic" w:hAnsi="Century Gothic" w:cs="Arial"/>
                <w:sz w:val="12"/>
                <w:szCs w:val="12"/>
              </w:rPr>
              <w:t>.</w:t>
            </w:r>
          </w:p>
        </w:tc>
      </w:tr>
      <w:tr w:rsidR="0061711D" w:rsidTr="006D23EF">
        <w:trPr>
          <w:trHeight w:val="20"/>
          <w:jc w:val="center"/>
        </w:trPr>
        <w:tc>
          <w:tcPr>
            <w:tcW w:w="29.0%" w:type="pct"/>
            <w:vAlign w:val="center"/>
          </w:tcPr>
          <w:p w:rsidR="00277ED2" w:rsidRPr="00611019" w:rsidRDefault="00E56462" w:rsidP="00035D2C">
            <w:pPr>
              <w:spacing w:before="1pt" w:after="1pt"/>
              <w:jc w:val="both"/>
              <w:rPr>
                <w:rFonts w:ascii="Century Gothic" w:hAnsi="Century Gothic" w:cs="Arial"/>
                <w:sz w:val="18"/>
                <w:szCs w:val="18"/>
              </w:rPr>
            </w:pPr>
            <w:r>
              <w:rPr>
                <w:rFonts w:ascii="Century Gothic" w:hAnsi="Century Gothic" w:cs="Arial"/>
                <w:sz w:val="18"/>
                <w:szCs w:val="18"/>
              </w:rPr>
              <w:t>No existe servicio activo al momento de la solicitud de desagregación, pero existen facilidades de Bucle</w:t>
            </w:r>
            <w:r w:rsidR="00AC7017">
              <w:rPr>
                <w:rFonts w:ascii="Century Gothic" w:hAnsi="Century Gothic" w:cs="Arial"/>
                <w:sz w:val="18"/>
                <w:szCs w:val="18"/>
              </w:rPr>
              <w:t xml:space="preserve"> o Sub-Bucle</w:t>
            </w:r>
            <w:r>
              <w:rPr>
                <w:rFonts w:ascii="Century Gothic" w:hAnsi="Century Gothic" w:cs="Arial"/>
                <w:sz w:val="18"/>
                <w:szCs w:val="18"/>
              </w:rPr>
              <w:t>.</w:t>
            </w:r>
          </w:p>
        </w:tc>
        <w:tc>
          <w:tcPr>
            <w:tcW w:w="33.0%" w:type="pct"/>
            <w:vAlign w:val="center"/>
          </w:tcPr>
          <w:p w:rsidR="00277ED2" w:rsidRPr="00611019" w:rsidRDefault="00E56462" w:rsidP="00035D2C">
            <w:pPr>
              <w:spacing w:before="1pt" w:after="1pt"/>
              <w:jc w:val="both"/>
              <w:rPr>
                <w:rFonts w:ascii="Century Gothic" w:hAnsi="Century Gothic" w:cs="Arial"/>
                <w:sz w:val="18"/>
                <w:szCs w:val="18"/>
              </w:rPr>
            </w:pPr>
            <w:r>
              <w:rPr>
                <w:rFonts w:ascii="Century Gothic" w:hAnsi="Century Gothic" w:cs="Arial"/>
                <w:sz w:val="18"/>
                <w:szCs w:val="18"/>
              </w:rPr>
              <w:t>No existe acometida directa a la casa o edificio del Usuario Final o la existente no permite brindar los Servicios solicitados por el CS.</w:t>
            </w:r>
          </w:p>
        </w:tc>
        <w:tc>
          <w:tcPr>
            <w:tcW w:w="37.0%" w:type="pct"/>
            <w:vAlign w:val="center"/>
          </w:tcPr>
          <w:p w:rsidR="0012177E" w:rsidRPr="00611019" w:rsidRDefault="0012177E" w:rsidP="0012177E">
            <w:pPr>
              <w:spacing w:before="1pt" w:after="1pt"/>
              <w:jc w:val="both"/>
              <w:rPr>
                <w:rFonts w:ascii="Century Gothic" w:hAnsi="Century Gothic" w:cs="Arial"/>
                <w:sz w:val="18"/>
                <w:szCs w:val="18"/>
              </w:rPr>
            </w:pPr>
            <w:r w:rsidRPr="0012177E">
              <w:rPr>
                <w:rFonts w:ascii="Century Gothic" w:hAnsi="Century Gothic" w:cs="Arial"/>
                <w:sz w:val="18"/>
                <w:szCs w:val="18"/>
              </w:rPr>
              <w:t>RED NACIONAL debe instalar la acometida hasta el PCT.</w:t>
            </w:r>
            <w:r>
              <w:rPr>
                <w:rFonts w:ascii="Century Gothic" w:hAnsi="Century Gothic" w:cs="Arial"/>
                <w:sz w:val="18"/>
                <w:szCs w:val="18"/>
              </w:rPr>
              <w:t xml:space="preserve"> </w:t>
            </w:r>
          </w:p>
          <w:p w:rsidR="00277ED2" w:rsidRPr="00611019" w:rsidRDefault="00E56462" w:rsidP="00035D2C">
            <w:pPr>
              <w:spacing w:before="1pt" w:after="1pt"/>
              <w:jc w:val="both"/>
              <w:rPr>
                <w:rFonts w:ascii="Century Gothic" w:hAnsi="Century Gothic" w:cs="Arial"/>
                <w:sz w:val="18"/>
                <w:szCs w:val="18"/>
              </w:rPr>
            </w:pPr>
            <w:r>
              <w:rPr>
                <w:rFonts w:ascii="Century Gothic" w:hAnsi="Century Gothic" w:cs="Arial"/>
                <w:sz w:val="18"/>
                <w:szCs w:val="18"/>
              </w:rPr>
              <w:t>El mantenimiento de la Acometida, ya sea para su reparación o reemplazo será responsabilidad de RED NACIONAL.</w:t>
            </w:r>
          </w:p>
        </w:tc>
      </w:tr>
      <w:tr w:rsidR="0061711D" w:rsidTr="006D23EF">
        <w:trPr>
          <w:trHeight w:val="20"/>
          <w:jc w:val="center"/>
        </w:trPr>
        <w:tc>
          <w:tcPr>
            <w:tcW w:w="29.0%" w:type="pct"/>
            <w:vAlign w:val="center"/>
          </w:tcPr>
          <w:p w:rsidR="00277ED2" w:rsidRPr="00611019" w:rsidRDefault="00E56462" w:rsidP="00035D2C">
            <w:pPr>
              <w:spacing w:before="1pt" w:after="1pt"/>
              <w:rPr>
                <w:rFonts w:ascii="Century Gothic" w:hAnsi="Century Gothic" w:cs="Arial"/>
                <w:sz w:val="18"/>
                <w:szCs w:val="18"/>
              </w:rPr>
            </w:pPr>
            <w:r>
              <w:rPr>
                <w:rFonts w:ascii="Century Gothic" w:hAnsi="Century Gothic" w:cs="Arial"/>
                <w:sz w:val="18"/>
                <w:szCs w:val="18"/>
              </w:rPr>
              <w:t>No existe servicio activo al momento de la solicitud de desagregación, pero existe acometida directa a la casa o edificio del Usuario Final.</w:t>
            </w:r>
          </w:p>
        </w:tc>
        <w:tc>
          <w:tcPr>
            <w:tcW w:w="33.0%" w:type="pct"/>
            <w:vAlign w:val="center"/>
          </w:tcPr>
          <w:p w:rsidR="00277ED2" w:rsidRPr="00611019" w:rsidRDefault="00E56462" w:rsidP="00035D2C">
            <w:pPr>
              <w:spacing w:before="1pt" w:after="1pt"/>
              <w:rPr>
                <w:rFonts w:ascii="Century Gothic" w:hAnsi="Century Gothic" w:cs="Arial"/>
                <w:sz w:val="18"/>
                <w:szCs w:val="18"/>
              </w:rPr>
            </w:pPr>
            <w:r>
              <w:rPr>
                <w:rFonts w:ascii="Century Gothic" w:hAnsi="Century Gothic" w:cs="Arial"/>
                <w:sz w:val="18"/>
                <w:szCs w:val="18"/>
              </w:rPr>
              <w:t>Existe acometida directa a la casa o edificio del Usuario Final y permite brindar los Servicios solicitados por el CS.</w:t>
            </w:r>
          </w:p>
        </w:tc>
        <w:tc>
          <w:tcPr>
            <w:tcW w:w="37.0%" w:type="pct"/>
            <w:vAlign w:val="center"/>
          </w:tcPr>
          <w:p w:rsidR="00D6145C" w:rsidRPr="00611019" w:rsidRDefault="00E56462" w:rsidP="00035D2C">
            <w:pPr>
              <w:spacing w:before="1pt" w:after="1pt"/>
              <w:rPr>
                <w:rFonts w:ascii="Century Gothic" w:hAnsi="Century Gothic" w:cs="Arial"/>
                <w:sz w:val="18"/>
                <w:szCs w:val="18"/>
              </w:rPr>
            </w:pPr>
            <w:r>
              <w:rPr>
                <w:rFonts w:ascii="Century Gothic" w:hAnsi="Century Gothic" w:cs="Arial"/>
                <w:sz w:val="18"/>
                <w:szCs w:val="18"/>
              </w:rPr>
              <w:t>El bucle se entrega con una acometida nueva.</w:t>
            </w:r>
          </w:p>
          <w:p w:rsidR="00277ED2" w:rsidRPr="00611019" w:rsidRDefault="00E56462" w:rsidP="00035D2C">
            <w:pPr>
              <w:spacing w:before="1pt" w:after="1pt"/>
              <w:rPr>
                <w:rFonts w:ascii="Century Gothic" w:hAnsi="Century Gothic" w:cs="Arial"/>
                <w:sz w:val="18"/>
                <w:szCs w:val="18"/>
              </w:rPr>
            </w:pPr>
            <w:r>
              <w:rPr>
                <w:rFonts w:ascii="Century Gothic" w:hAnsi="Century Gothic" w:cs="Arial"/>
                <w:sz w:val="18"/>
                <w:szCs w:val="18"/>
              </w:rPr>
              <w:t>El mantenimiento de la Acometida, ya sea para su reparación o reemplazo será responsabilidad de RED NACIONAL.</w:t>
            </w:r>
          </w:p>
        </w:tc>
      </w:tr>
    </w:tbl>
    <w:p w:rsidR="00277ED2" w:rsidRPr="00611019" w:rsidRDefault="00E56462" w:rsidP="00035D2C">
      <w:pPr>
        <w:spacing w:after="6pt"/>
        <w:jc w:val="center"/>
        <w:rPr>
          <w:rFonts w:ascii="Century Gothic" w:hAnsi="Century Gothic" w:cs="Arial"/>
          <w:b/>
          <w:sz w:val="20"/>
          <w:szCs w:val="20"/>
        </w:rPr>
      </w:pPr>
      <w:r>
        <w:rPr>
          <w:rFonts w:ascii="Century Gothic" w:hAnsi="Century Gothic" w:cs="Arial"/>
          <w:b/>
          <w:sz w:val="20"/>
          <w:szCs w:val="20"/>
        </w:rPr>
        <w:t>Situación de la acometida al Usuario Final</w:t>
      </w:r>
    </w:p>
    <w:p w:rsidR="00277ED2" w:rsidRPr="00611019" w:rsidRDefault="00E56462" w:rsidP="00035D2C">
      <w:pPr>
        <w:pStyle w:val="IFTnormal"/>
        <w:spacing w:after="6pt"/>
        <w:rPr>
          <w:rFonts w:ascii="Century Gothic" w:hAnsi="Century Gothic"/>
        </w:rPr>
      </w:pPr>
      <w:r>
        <w:rPr>
          <w:rFonts w:ascii="Century Gothic" w:hAnsi="Century Gothic"/>
        </w:rPr>
        <w:t>En los casos en que se necesite instalar la acometida, el alcance de este Servicio incluirá la instalación de la misma, por lo que el cableado deberá ser el suficiente para cubrir:</w:t>
      </w:r>
    </w:p>
    <w:p w:rsidR="00EB27DB" w:rsidRPr="00611019" w:rsidRDefault="00E56462" w:rsidP="00035D2C">
      <w:pPr>
        <w:pStyle w:val="IFTnormal"/>
        <w:rPr>
          <w:rFonts w:ascii="Century Gothic" w:hAnsi="Century Gothic"/>
        </w:rPr>
      </w:pPr>
      <w:r>
        <w:rPr>
          <w:rFonts w:ascii="Century Gothic" w:hAnsi="Century Gothic"/>
        </w:rPr>
        <w:lastRenderedPageBreak/>
        <w:t>Para acometida de cobre:</w:t>
      </w:r>
    </w:p>
    <w:p w:rsidR="00277ED2" w:rsidRPr="00611019" w:rsidRDefault="00E56462">
      <w:pPr>
        <w:pStyle w:val="Prrafodelista"/>
        <w:numPr>
          <w:ilvl w:val="0"/>
          <w:numId w:val="196"/>
        </w:numPr>
        <w:jc w:val="both"/>
        <w:rPr>
          <w:rFonts w:ascii="Century Gothic" w:hAnsi="Century Gothic" w:cs="Arial"/>
        </w:rPr>
      </w:pPr>
      <w:r>
        <w:rPr>
          <w:rFonts w:ascii="Century Gothic" w:hAnsi="Century Gothic" w:cs="Arial"/>
        </w:rPr>
        <w:t>Bajante</w:t>
      </w:r>
    </w:p>
    <w:p w:rsidR="00277ED2" w:rsidRPr="00611019" w:rsidRDefault="00E56462">
      <w:pPr>
        <w:pStyle w:val="Prrafodelista"/>
        <w:numPr>
          <w:ilvl w:val="0"/>
          <w:numId w:val="196"/>
        </w:numPr>
        <w:jc w:val="both"/>
        <w:rPr>
          <w:rFonts w:ascii="Century Gothic" w:hAnsi="Century Gothic" w:cs="Arial"/>
        </w:rPr>
      </w:pPr>
      <w:r>
        <w:rPr>
          <w:rFonts w:ascii="Century Gothic" w:hAnsi="Century Gothic" w:cs="Arial"/>
        </w:rPr>
        <w:t>DIT</w:t>
      </w:r>
    </w:p>
    <w:p w:rsidR="00277ED2" w:rsidRPr="00611019" w:rsidRDefault="00E56462">
      <w:pPr>
        <w:pStyle w:val="Prrafodelista"/>
        <w:numPr>
          <w:ilvl w:val="0"/>
          <w:numId w:val="196"/>
        </w:numPr>
        <w:spacing w:after="6pt"/>
        <w:jc w:val="both"/>
        <w:rPr>
          <w:rFonts w:ascii="Century Gothic" w:hAnsi="Century Gothic" w:cs="Arial"/>
        </w:rPr>
      </w:pPr>
      <w:r>
        <w:rPr>
          <w:rFonts w:ascii="Century Gothic" w:hAnsi="Century Gothic" w:cs="Arial"/>
        </w:rPr>
        <w:t>Roseta (en caso del Servicio Opcional de Cableado Interior)</w:t>
      </w:r>
    </w:p>
    <w:p w:rsidR="00277ED2" w:rsidRPr="00611019" w:rsidRDefault="00E56462" w:rsidP="00035D2C">
      <w:pPr>
        <w:pStyle w:val="IFTnormal"/>
        <w:rPr>
          <w:rFonts w:ascii="Century Gothic" w:hAnsi="Century Gothic"/>
        </w:rPr>
      </w:pPr>
      <w:r>
        <w:rPr>
          <w:rFonts w:ascii="Century Gothic" w:hAnsi="Century Gothic"/>
        </w:rPr>
        <w:t>Para acometida de fibra:</w:t>
      </w:r>
    </w:p>
    <w:p w:rsidR="00277ED2" w:rsidRPr="00611019" w:rsidRDefault="00E56462">
      <w:pPr>
        <w:pStyle w:val="Prrafodelista"/>
        <w:numPr>
          <w:ilvl w:val="0"/>
          <w:numId w:val="197"/>
        </w:numPr>
        <w:ind w:start="35.45pt"/>
        <w:jc w:val="both"/>
        <w:rPr>
          <w:rFonts w:ascii="Century Gothic" w:hAnsi="Century Gothic" w:cs="Arial"/>
        </w:rPr>
      </w:pPr>
      <w:r>
        <w:rPr>
          <w:rFonts w:ascii="Century Gothic" w:hAnsi="Century Gothic" w:cs="Arial"/>
        </w:rPr>
        <w:t>Bajante óptico</w:t>
      </w:r>
    </w:p>
    <w:p w:rsidR="00277ED2" w:rsidRPr="00611019" w:rsidRDefault="00E56462">
      <w:pPr>
        <w:pStyle w:val="Prrafodelista"/>
        <w:numPr>
          <w:ilvl w:val="0"/>
          <w:numId w:val="197"/>
        </w:numPr>
        <w:ind w:start="35.45pt"/>
        <w:jc w:val="both"/>
        <w:rPr>
          <w:rFonts w:ascii="Century Gothic" w:hAnsi="Century Gothic" w:cs="Arial"/>
        </w:rPr>
      </w:pPr>
      <w:r>
        <w:rPr>
          <w:rFonts w:ascii="Century Gothic" w:hAnsi="Century Gothic" w:cs="Arial"/>
        </w:rPr>
        <w:t xml:space="preserve">Jumper </w:t>
      </w:r>
    </w:p>
    <w:p w:rsidR="00277ED2" w:rsidRPr="00611019" w:rsidRDefault="00E56462">
      <w:pPr>
        <w:pStyle w:val="Prrafodelista"/>
        <w:numPr>
          <w:ilvl w:val="0"/>
          <w:numId w:val="197"/>
        </w:numPr>
        <w:ind w:start="35.45pt"/>
        <w:jc w:val="both"/>
        <w:rPr>
          <w:rFonts w:ascii="Century Gothic" w:hAnsi="Century Gothic" w:cs="Arial"/>
        </w:rPr>
      </w:pPr>
      <w:r>
        <w:rPr>
          <w:rFonts w:ascii="Century Gothic" w:hAnsi="Century Gothic" w:cs="Arial"/>
        </w:rPr>
        <w:t>DIT Óptico</w:t>
      </w:r>
    </w:p>
    <w:p w:rsidR="00277ED2" w:rsidRPr="00611019" w:rsidRDefault="00E56462">
      <w:pPr>
        <w:pStyle w:val="Prrafodelista"/>
        <w:numPr>
          <w:ilvl w:val="0"/>
          <w:numId w:val="197"/>
        </w:numPr>
        <w:ind w:start="35.45pt"/>
        <w:jc w:val="both"/>
        <w:rPr>
          <w:rFonts w:ascii="Century Gothic" w:hAnsi="Century Gothic" w:cs="Arial"/>
        </w:rPr>
      </w:pPr>
      <w:r>
        <w:rPr>
          <w:rFonts w:ascii="Century Gothic" w:hAnsi="Century Gothic" w:cs="Arial"/>
        </w:rPr>
        <w:t>Roseta Óptica (en caso del Servicio Opcional del Cableado Interior).</w:t>
      </w:r>
    </w:p>
    <w:p w:rsidR="003F5A24" w:rsidRPr="0012177E" w:rsidRDefault="00E56462" w:rsidP="00192B3D">
      <w:pPr>
        <w:spacing w:before="12pt"/>
        <w:jc w:val="both"/>
        <w:rPr>
          <w:rFonts w:ascii="Century Gothic" w:hAnsi="Century Gothic"/>
        </w:rPr>
      </w:pPr>
      <w:r>
        <w:rPr>
          <w:rFonts w:ascii="Century Gothic" w:hAnsi="Century Gothic" w:cs="Arial"/>
        </w:rPr>
        <w:t xml:space="preserve">Cuando RED NACIONAL instale la acometida o sea necesario que adecue la acometida existente, el CS deberá procurar que el usuario se encuentre en el domicilio y que éste permita el acceso a RED NACIONAL para la instalación del Servicio ya sea en cobre o fibra óptica. En caso de visita en falso se aplicará cobro al CS de acuerdo con lo establecido en esta Oferta. En caso de visita en falso o que no se instale la acometida por causas imputables a RED NACIONAL, ésta se hará acreedora a la pena correspondiente </w:t>
      </w:r>
      <w:r w:rsidRPr="00192B3D">
        <w:rPr>
          <w:rFonts w:ascii="Century Gothic" w:eastAsia="Calibri" w:hAnsi="Century Gothic" w:cs="Arial"/>
          <w:color w:val="000000"/>
        </w:rPr>
        <w:t>según lo estipulado en el Anexo B. Cuando se trate de un cambio de tecnología de cobre a fibra óptica, se considerará como un servicio opcional conforme a lo establecido en la sección denominada “Servicio Opcional de Cambio de Tecnología” incluida en esta Oferta, por lo que deberá pagarse la tarifa correspondiente.</w:t>
      </w:r>
      <w:bookmarkStart w:id="703" w:name="_Toc467248679"/>
      <w:bookmarkStart w:id="704" w:name="_Toc525904543"/>
      <w:bookmarkStart w:id="705" w:name="_Toc525913939"/>
      <w:bookmarkStart w:id="706" w:name="_Toc525919178"/>
      <w:bookmarkStart w:id="707" w:name="_Toc525919302"/>
      <w:bookmarkStart w:id="708" w:name="_Toc2957112"/>
      <w:bookmarkStart w:id="709" w:name="_Toc24473437"/>
      <w:bookmarkStart w:id="710" w:name="_Toc24477566"/>
      <w:bookmarkStart w:id="711" w:name="_Toc26281375"/>
      <w:bookmarkStart w:id="712" w:name="_Toc26284911"/>
      <w:bookmarkStart w:id="713" w:name="_Toc26903896"/>
      <w:bookmarkStart w:id="714" w:name="_Toc43913138"/>
      <w:bookmarkStart w:id="715" w:name="_Toc26980620"/>
      <w:bookmarkStart w:id="716" w:name="_Toc53488471"/>
      <w:bookmarkStart w:id="717" w:name="_Toc53490403"/>
      <w:bookmarkStart w:id="718" w:name="_Toc53498412"/>
      <w:bookmarkStart w:id="719" w:name="_Toc58578768"/>
      <w:bookmarkStart w:id="720" w:name="_Toc92973992"/>
      <w:bookmarkStart w:id="721" w:name="_Toc93052303"/>
      <w:bookmarkStart w:id="722" w:name="_Toc93056258"/>
      <w:bookmarkStart w:id="723" w:name="_Toc125393331"/>
      <w:bookmarkStart w:id="724" w:name="_Toc148702187"/>
      <w:bookmarkStart w:id="725" w:name="_Toc170381812"/>
      <w:bookmarkStart w:id="726" w:name="_Toc436840867"/>
      <w:bookmarkStart w:id="727" w:name="_Toc436846304"/>
      <w:bookmarkStart w:id="728" w:name="_Toc436848254"/>
      <w:bookmarkStart w:id="729" w:name="_Toc436856502"/>
      <w:bookmarkStart w:id="730" w:name="_Toc436862648"/>
      <w:bookmarkStart w:id="731" w:name="_Toc436866298"/>
      <w:bookmarkStart w:id="732" w:name="_Toc436870877"/>
      <w:bookmarkStart w:id="733" w:name="_Toc436875869"/>
    </w:p>
    <w:p w:rsidR="003F5A24" w:rsidRPr="00192B3D" w:rsidRDefault="003F5A24" w:rsidP="00192B3D"/>
    <w:p w:rsidR="00277ED2" w:rsidRPr="00611019" w:rsidRDefault="00E56462" w:rsidP="00035D2C">
      <w:pPr>
        <w:pStyle w:val="3TitTer"/>
        <w:spacing w:after="6pt"/>
        <w:rPr>
          <w:rFonts w:ascii="Century Gothic" w:hAnsi="Century Gothic"/>
        </w:rPr>
      </w:pPr>
      <w:r>
        <w:rPr>
          <w:rFonts w:ascii="Century Gothic" w:hAnsi="Century Gothic"/>
        </w:rPr>
        <w:t>1.4 Disponibilidad de recursos</w:t>
      </w:r>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r>
        <w:rPr>
          <w:rFonts w:ascii="Century Gothic" w:hAnsi="Century Gothic"/>
        </w:rPr>
        <w:t>.</w:t>
      </w:r>
    </w:p>
    <w:p w:rsidR="00277ED2" w:rsidRPr="00611019" w:rsidRDefault="00E56462" w:rsidP="00035D2C">
      <w:pPr>
        <w:pStyle w:val="Ttulo3"/>
        <w:spacing w:line="13.80pt" w:lineRule="auto"/>
        <w:ind w:start="0pt"/>
        <w:rPr>
          <w:rFonts w:ascii="Century Gothic" w:hAnsi="Century Gothic" w:cs="Arial"/>
        </w:rPr>
      </w:pPr>
      <w:bookmarkStart w:id="734" w:name="_Toc467248680"/>
      <w:bookmarkStart w:id="735" w:name="_Toc525904544"/>
      <w:bookmarkStart w:id="736" w:name="_Toc525913940"/>
      <w:bookmarkStart w:id="737" w:name="_Toc525919179"/>
      <w:bookmarkStart w:id="738" w:name="_Toc525919303"/>
      <w:bookmarkStart w:id="739" w:name="_Toc2957113"/>
      <w:bookmarkStart w:id="740" w:name="_Toc24473438"/>
      <w:bookmarkStart w:id="741" w:name="_Toc24477567"/>
      <w:bookmarkStart w:id="742" w:name="_Toc26281376"/>
      <w:bookmarkStart w:id="743" w:name="_Toc26284912"/>
      <w:bookmarkStart w:id="744" w:name="_Toc26903897"/>
      <w:bookmarkStart w:id="745" w:name="_Toc43913139"/>
      <w:bookmarkStart w:id="746" w:name="_Toc26980621"/>
      <w:bookmarkStart w:id="747" w:name="_Toc53488472"/>
      <w:bookmarkStart w:id="748" w:name="_Toc53490404"/>
      <w:bookmarkStart w:id="749" w:name="_Toc53498413"/>
      <w:bookmarkStart w:id="750" w:name="_Toc58578769"/>
      <w:bookmarkStart w:id="751" w:name="_Toc92973993"/>
      <w:bookmarkStart w:id="752" w:name="_Toc93052304"/>
      <w:bookmarkStart w:id="753" w:name="_Toc93056259"/>
      <w:bookmarkStart w:id="754" w:name="_Toc125393332"/>
      <w:bookmarkStart w:id="755" w:name="_Toc148702188"/>
      <w:bookmarkStart w:id="756" w:name="_Toc170381813"/>
      <w:r>
        <w:rPr>
          <w:rFonts w:ascii="Century Gothic" w:hAnsi="Century Gothic" w:cs="Arial"/>
        </w:rPr>
        <w:t>1.4.1.</w:t>
      </w:r>
      <w:r>
        <w:rPr>
          <w:rFonts w:ascii="Century Gothic" w:hAnsi="Century Gothic" w:cs="Arial"/>
        </w:rPr>
        <w:tab/>
        <w:t xml:space="preserve">Recursos de red asociados a los </w:t>
      </w:r>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r>
        <w:rPr>
          <w:rFonts w:ascii="Century Gothic" w:hAnsi="Century Gothic" w:cs="Arial"/>
        </w:rPr>
        <w:t>Servicios</w:t>
      </w:r>
      <w:bookmarkEnd w:id="756"/>
      <w:r>
        <w:rPr>
          <w:rFonts w:ascii="Century Gothic" w:hAnsi="Century Gothic" w:cs="Arial"/>
        </w:rPr>
        <w:t>.</w:t>
      </w:r>
    </w:p>
    <w:p w:rsidR="00277ED2" w:rsidRPr="00611019" w:rsidRDefault="00E56462" w:rsidP="00035D2C">
      <w:pPr>
        <w:pStyle w:val="IFTnormal"/>
        <w:spacing w:after="6pt"/>
        <w:rPr>
          <w:rFonts w:ascii="Century Gothic" w:hAnsi="Century Gothic"/>
        </w:rPr>
      </w:pPr>
      <w:r>
        <w:rPr>
          <w:rFonts w:ascii="Century Gothic" w:hAnsi="Century Gothic"/>
        </w:rPr>
        <w:t xml:space="preserve">RED NACIONAL prestará los Servicios de Desagregación sin que sea necesaria la revisión de disponibilidad de los recursos de red en todos los casos en que el Usuario Final cuente con servicio activo provisto a través de RED NACIONAL o exista acometida en el domicilio del Usuario Final que permita la prestación de los servicios. En estos casos y específicamente cuando se solicite SAIB (Local / Regional / Nacional), únicamente será necesaria la revisión de la cobertura del SCyD previamente contratado incluso si los </w:t>
      </w:r>
      <w:r w:rsidR="003B7654">
        <w:rPr>
          <w:rFonts w:ascii="Century Gothic" w:hAnsi="Century Gothic"/>
        </w:rPr>
        <w:t>CS</w:t>
      </w:r>
      <w:r>
        <w:rPr>
          <w:rFonts w:ascii="Century Gothic" w:hAnsi="Century Gothic"/>
        </w:rPr>
        <w:t xml:space="preserve"> solicitan velocidades de Internet iguales o menores a la velocidad máxima soportada por el bucle, de acuerdo con la información contenida en las bases de datos a las que los </w:t>
      </w:r>
      <w:r w:rsidR="003B7654">
        <w:rPr>
          <w:rFonts w:ascii="Century Gothic" w:hAnsi="Century Gothic"/>
        </w:rPr>
        <w:t>CS</w:t>
      </w:r>
      <w:r>
        <w:rPr>
          <w:rFonts w:ascii="Century Gothic" w:hAnsi="Century Gothic"/>
        </w:rPr>
        <w:t xml:space="preserve"> tendrán acceso según lo estipulado en la sección “Información relacionada con los Servicios” de la OREDA. En caso de que una velocidad máxima esté reportada en las bases de datos, </w:t>
      </w:r>
      <w:r>
        <w:rPr>
          <w:rFonts w:ascii="Century Gothic" w:hAnsi="Century Gothic"/>
          <w:spacing w:val="-3"/>
        </w:rPr>
        <w:t>RED NACIONAL</w:t>
      </w:r>
      <w:r>
        <w:rPr>
          <w:rFonts w:ascii="Century Gothic" w:hAnsi="Century Gothic"/>
        </w:rPr>
        <w:t xml:space="preserve"> se obliga a brindar este perfil de velocidad. </w:t>
      </w:r>
    </w:p>
    <w:p w:rsidR="006A0F3E" w:rsidRPr="00611019" w:rsidRDefault="00E56462" w:rsidP="00035D2C">
      <w:pPr>
        <w:pStyle w:val="IFTnormal"/>
        <w:spacing w:after="6pt"/>
        <w:rPr>
          <w:rFonts w:ascii="Century Gothic" w:hAnsi="Century Gothic"/>
        </w:rPr>
      </w:pPr>
      <w:r>
        <w:rPr>
          <w:rFonts w:ascii="Century Gothic" w:hAnsi="Century Gothic"/>
        </w:rPr>
        <w:t>En caso de que la información en el SEG/SIPO sea incorrecta o se niegue un servicio por causas de falla o ausencia de algún elemento o recurso de red previsto para los Servicios de Desagregación, se procederá a resolver su instalación mediante la búsqueda de alternativas de solución en los procesos de la sección de “Motivos de Objeción” de esta OREDA.</w:t>
      </w:r>
    </w:p>
    <w:p w:rsidR="006E0CEC" w:rsidRPr="00611019" w:rsidRDefault="00E56462" w:rsidP="00035D2C">
      <w:pPr>
        <w:pStyle w:val="Texto1"/>
        <w:spacing w:after="6pt" w:line="13.80pt" w:lineRule="auto"/>
        <w:ind w:start="0pt"/>
        <w:rPr>
          <w:rFonts w:ascii="Century Gothic" w:hAnsi="Century Gothic"/>
          <w:sz w:val="22"/>
          <w:szCs w:val="22"/>
        </w:rPr>
      </w:pPr>
      <w:r>
        <w:rPr>
          <w:rFonts w:ascii="Century Gothic" w:hAnsi="Century Gothic" w:cs="Arial"/>
          <w:sz w:val="22"/>
          <w:szCs w:val="22"/>
        </w:rPr>
        <w:lastRenderedPageBreak/>
        <w:t xml:space="preserve">En caso de que RED NACIONAL declare o notifique la no factibilidad y no pueda proporcionar los Servicios bajo las condiciones descritas en este apartado, el CS podrá solicitar a través del SEG/SIPO la ejecución de Trabajos Especiales que cumplan con los criterios y condiciones establecidas en la sección “Trabajos Especiales” de esta OREDA, los cuales le permitirán acceder a los Servicios solicitados. </w:t>
      </w:r>
    </w:p>
    <w:p w:rsidR="00277ED2" w:rsidRPr="00611019" w:rsidRDefault="00E56462" w:rsidP="00035D2C">
      <w:pPr>
        <w:pStyle w:val="IFTnormal"/>
        <w:spacing w:after="6pt"/>
        <w:rPr>
          <w:rFonts w:ascii="Century Gothic" w:hAnsi="Century Gothic"/>
        </w:rPr>
      </w:pPr>
      <w:r>
        <w:rPr>
          <w:rFonts w:ascii="Century Gothic" w:hAnsi="Century Gothic"/>
        </w:rPr>
        <w:t xml:space="preserve">RED NACIONAL también brindará los Servicios cuando no existan acometidas a los domicilios de los Usuarios Finales, pero se cuente con los recursos de red asociados para prestar los Servicios a dichos domicilios. </w:t>
      </w:r>
    </w:p>
    <w:p w:rsidR="00D7789A" w:rsidRPr="00611019" w:rsidRDefault="00E56462" w:rsidP="00035D2C">
      <w:pPr>
        <w:pStyle w:val="IFTnormal"/>
        <w:spacing w:after="6pt"/>
        <w:rPr>
          <w:rFonts w:ascii="Century Gothic" w:hAnsi="Century Gothic"/>
        </w:rPr>
      </w:pPr>
      <w:r>
        <w:rPr>
          <w:rFonts w:ascii="Century Gothic" w:hAnsi="Century Gothic"/>
        </w:rPr>
        <w:t xml:space="preserve">La ausencia de recursos de red será notificada a los </w:t>
      </w:r>
      <w:r w:rsidR="003B7654">
        <w:rPr>
          <w:rFonts w:ascii="Century Gothic" w:hAnsi="Century Gothic"/>
        </w:rPr>
        <w:t>CS</w:t>
      </w:r>
      <w:r>
        <w:rPr>
          <w:rFonts w:ascii="Century Gothic" w:hAnsi="Century Gothic"/>
        </w:rPr>
        <w:t xml:space="preserve"> mediante las siguientes etiquetas del SEG/SIPO:</w:t>
      </w:r>
    </w:p>
    <w:p w:rsidR="00277ED2" w:rsidRPr="00611019" w:rsidRDefault="00E56462">
      <w:pPr>
        <w:pStyle w:val="Prrafodelista"/>
        <w:numPr>
          <w:ilvl w:val="0"/>
          <w:numId w:val="198"/>
        </w:numPr>
        <w:ind w:start="42.55pt"/>
        <w:jc w:val="both"/>
        <w:rPr>
          <w:rFonts w:ascii="Century Gothic" w:hAnsi="Century Gothic" w:cs="Arial"/>
          <w:b/>
          <w:bCs/>
        </w:rPr>
      </w:pPr>
      <w:r>
        <w:rPr>
          <w:rFonts w:ascii="Century Gothic" w:hAnsi="Century Gothic" w:cs="Arial"/>
          <w:b/>
          <w:bCs/>
        </w:rPr>
        <w:t xml:space="preserve">SAIB: </w:t>
      </w:r>
    </w:p>
    <w:p w:rsidR="00277ED2" w:rsidRPr="00611019" w:rsidRDefault="00E56462" w:rsidP="00035D2C">
      <w:pPr>
        <w:ind w:start="56.70pt" w:hanging="17.85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 xml:space="preserve">No hay facilidades de Red Principal; </w:t>
      </w:r>
    </w:p>
    <w:p w:rsidR="00277ED2" w:rsidRPr="00611019" w:rsidRDefault="00E56462" w:rsidP="00035D2C">
      <w:pPr>
        <w:ind w:start="56.70pt" w:hanging="17.85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 xml:space="preserve">No hay facilidades de Red Secundaria; </w:t>
      </w:r>
    </w:p>
    <w:p w:rsidR="00277ED2" w:rsidRPr="00611019" w:rsidRDefault="00E56462" w:rsidP="00035D2C">
      <w:pPr>
        <w:ind w:start="56.70pt" w:hanging="17.85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 xml:space="preserve">No hay puerto disponible; </w:t>
      </w:r>
    </w:p>
    <w:p w:rsidR="00277ED2" w:rsidRPr="00611019" w:rsidRDefault="00E56462" w:rsidP="00035D2C">
      <w:pPr>
        <w:ind w:start="56.70pt" w:hanging="17.85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Calificación del Bucle (Distancia/Velocidad) inadecuada;</w:t>
      </w:r>
    </w:p>
    <w:p w:rsidR="00277ED2" w:rsidRDefault="00E56462" w:rsidP="00485034">
      <w:pPr>
        <w:ind w:start="56.70pt" w:hanging="17.85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No hay puerto SCyD contratado por el CS asociado al Servicio solicitado.</w:t>
      </w:r>
    </w:p>
    <w:p w:rsidR="004676F1" w:rsidRDefault="00220735" w:rsidP="009B282F">
      <w:pPr>
        <w:spacing w:after="6pt"/>
        <w:ind w:start="56.70pt" w:hanging="18pt"/>
        <w:jc w:val="both"/>
        <w:rPr>
          <w:rFonts w:ascii="Century Gothic" w:eastAsia="Calibri" w:hAnsi="Century Gothic" w:cs="Courier New"/>
        </w:rPr>
      </w:pPr>
      <w:r>
        <w:rPr>
          <w:rFonts w:ascii="Century Gothic" w:eastAsia="Calibri" w:hAnsi="Century Gothic" w:cs="Courier New"/>
        </w:rPr>
        <w:t>o</w:t>
      </w:r>
      <w:r>
        <w:rPr>
          <w:rFonts w:ascii="Century Gothic" w:eastAsia="Calibri" w:hAnsi="Century Gothic" w:cs="Courier New"/>
        </w:rPr>
        <w:tab/>
      </w:r>
      <w:r w:rsidR="009B282F">
        <w:rPr>
          <w:rFonts w:ascii="Century Gothic" w:eastAsia="Calibri" w:hAnsi="Century Gothic" w:cs="Courier New"/>
        </w:rPr>
        <w:t>Sin cobertura de SCyD (equipo de a</w:t>
      </w:r>
      <w:r w:rsidR="004676F1">
        <w:rPr>
          <w:rFonts w:ascii="Century Gothic" w:eastAsia="Calibri" w:hAnsi="Century Gothic" w:cs="Courier New"/>
        </w:rPr>
        <w:t>cceso no contratado</w:t>
      </w:r>
      <w:r w:rsidR="009B282F">
        <w:rPr>
          <w:rFonts w:ascii="Century Gothic" w:eastAsia="Calibri" w:hAnsi="Century Gothic" w:cs="Courier New"/>
        </w:rPr>
        <w:t>)</w:t>
      </w:r>
    </w:p>
    <w:p w:rsidR="00277ED2" w:rsidRPr="00611019" w:rsidRDefault="00E56462">
      <w:pPr>
        <w:pStyle w:val="Prrafodelista"/>
        <w:numPr>
          <w:ilvl w:val="0"/>
          <w:numId w:val="198"/>
        </w:numPr>
        <w:ind w:start="42.55pt"/>
        <w:jc w:val="both"/>
        <w:rPr>
          <w:rFonts w:ascii="Century Gothic" w:hAnsi="Century Gothic" w:cs="Arial"/>
          <w:b/>
          <w:bCs/>
        </w:rPr>
      </w:pPr>
      <w:r>
        <w:rPr>
          <w:rFonts w:ascii="Century Gothic" w:hAnsi="Century Gothic" w:cs="Arial"/>
          <w:b/>
          <w:bCs/>
        </w:rPr>
        <w:t xml:space="preserve">SDTBL: </w:t>
      </w:r>
    </w:p>
    <w:p w:rsidR="00277ED2" w:rsidRPr="00611019" w:rsidRDefault="00E56462" w:rsidP="00035D2C">
      <w:pPr>
        <w:ind w:start="56.70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 xml:space="preserve">No hay facilidades de Red Principal; </w:t>
      </w:r>
    </w:p>
    <w:p w:rsidR="00277ED2" w:rsidRPr="00611019" w:rsidRDefault="00E56462" w:rsidP="00035D2C">
      <w:pPr>
        <w:ind w:start="56.70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 xml:space="preserve">No hay facilidades de cableado multipar; </w:t>
      </w:r>
    </w:p>
    <w:p w:rsidR="00277ED2" w:rsidRPr="00611019" w:rsidRDefault="00E56462" w:rsidP="00035D2C">
      <w:pPr>
        <w:ind w:start="56.70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 xml:space="preserve">No hay facilidades de Red Secundaria; </w:t>
      </w:r>
    </w:p>
    <w:p w:rsidR="00277ED2" w:rsidRPr="00611019" w:rsidRDefault="00E56462" w:rsidP="00035D2C">
      <w:pPr>
        <w:spacing w:after="6pt"/>
        <w:ind w:start="56.70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No hay disponibilidad para este servicio, el porcentaje de ocupación es mayor al 70% (según condiciones del PGE).</w:t>
      </w:r>
    </w:p>
    <w:p w:rsidR="005E456F" w:rsidRPr="00611019" w:rsidRDefault="00E56462" w:rsidP="00035D2C">
      <w:pPr>
        <w:pStyle w:val="Texto1"/>
        <w:spacing w:after="6pt" w:line="13.80pt" w:lineRule="auto"/>
        <w:ind w:start="0pt"/>
        <w:rPr>
          <w:rFonts w:ascii="Century Gothic" w:hAnsi="Century Gothic" w:cs="Arial"/>
          <w:sz w:val="22"/>
          <w:lang w:val="es-MX"/>
        </w:rPr>
      </w:pPr>
      <w:r>
        <w:rPr>
          <w:rFonts w:ascii="Century Gothic" w:hAnsi="Century Gothic" w:cs="Arial"/>
          <w:sz w:val="22"/>
          <w:lang w:val="es-MX"/>
        </w:rPr>
        <w:t>Adicionalmente, tratándose de SAIB y el SDTBL, a través del SEG/SIPO se podrán incluir etiquetas adicionales que aporten mayor detalle del motivo de falta de recursos.</w:t>
      </w:r>
    </w:p>
    <w:p w:rsidR="00277ED2" w:rsidRPr="00611019" w:rsidRDefault="003B7654" w:rsidP="00035D2C">
      <w:pPr>
        <w:pStyle w:val="Texto1"/>
        <w:spacing w:after="6pt" w:line="13.80pt" w:lineRule="auto"/>
        <w:ind w:start="0pt"/>
        <w:rPr>
          <w:rFonts w:ascii="Century Gothic" w:hAnsi="Century Gothic" w:cs="Arial"/>
          <w:sz w:val="22"/>
          <w:lang w:val="es-MX"/>
        </w:rPr>
      </w:pPr>
      <w:r w:rsidRPr="003B7654">
        <w:rPr>
          <w:rFonts w:ascii="Century Gothic" w:hAnsi="Century Gothic" w:cs="Arial"/>
          <w:sz w:val="22"/>
          <w:lang w:val="es-MX"/>
        </w:rPr>
        <w:t>Para el caso de los siguientes Servicios, en caso de requerirse se solicitarán a los CS las referencias de los Servicios previos.</w:t>
      </w:r>
      <w:r w:rsidRPr="003B7654" w:rsidDel="00DC36D9">
        <w:rPr>
          <w:rFonts w:ascii="Century Gothic" w:hAnsi="Century Gothic" w:cs="Arial"/>
          <w:sz w:val="22"/>
          <w:lang w:val="es-MX"/>
        </w:rPr>
        <w:t xml:space="preserve"> </w:t>
      </w:r>
      <w:r w:rsidR="00E56462">
        <w:rPr>
          <w:rFonts w:ascii="Century Gothic" w:hAnsi="Century Gothic" w:cs="Arial"/>
          <w:sz w:val="22"/>
          <w:lang w:val="es-MX"/>
        </w:rPr>
        <w:t>Las razones por las cuales pudiera no haber factibilidad del Servicio son las siguientes:</w:t>
      </w:r>
    </w:p>
    <w:p w:rsidR="00277ED2" w:rsidRPr="00611019" w:rsidRDefault="00E56462">
      <w:pPr>
        <w:pStyle w:val="Prrafodelista"/>
        <w:numPr>
          <w:ilvl w:val="0"/>
          <w:numId w:val="198"/>
        </w:numPr>
        <w:ind w:start="42.55pt"/>
        <w:jc w:val="both"/>
        <w:rPr>
          <w:rFonts w:ascii="Century Gothic" w:hAnsi="Century Gothic" w:cs="Arial"/>
          <w:b/>
          <w:bCs/>
        </w:rPr>
      </w:pPr>
      <w:r>
        <w:rPr>
          <w:rFonts w:ascii="Century Gothic" w:hAnsi="Century Gothic" w:cs="Arial"/>
          <w:b/>
          <w:bCs/>
        </w:rPr>
        <w:t>SDTFO:</w:t>
      </w:r>
    </w:p>
    <w:p w:rsidR="00277ED2" w:rsidRPr="00611019" w:rsidRDefault="00E56462" w:rsidP="00035D2C">
      <w:pPr>
        <w:ind w:start="56.70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No cumple los parámetros de atenuación;</w:t>
      </w:r>
    </w:p>
    <w:p w:rsidR="00277ED2" w:rsidRPr="00611019" w:rsidRDefault="00E56462" w:rsidP="00035D2C">
      <w:pPr>
        <w:ind w:start="56.70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No existe ruta de fibra hacia el domicilio donde se solicita el servicio;</w:t>
      </w:r>
    </w:p>
    <w:p w:rsidR="00277ED2" w:rsidRPr="00611019" w:rsidRDefault="00E56462" w:rsidP="00035D2C">
      <w:pPr>
        <w:ind w:start="56.70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No existe coubicación asociada;</w:t>
      </w:r>
    </w:p>
    <w:p w:rsidR="00277ED2" w:rsidRPr="00611019" w:rsidRDefault="00E56462" w:rsidP="00035D2C">
      <w:pPr>
        <w:ind w:start="56.70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No existe Servicio de Cableado DFO-RED NACIONAL a DFO-CS;</w:t>
      </w:r>
    </w:p>
    <w:p w:rsidR="00277ED2" w:rsidRPr="00611019" w:rsidRDefault="00E56462" w:rsidP="00035D2C">
      <w:pPr>
        <w:ind w:start="56.70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No existen fibras disponibles;</w:t>
      </w:r>
    </w:p>
    <w:p w:rsidR="00277ED2" w:rsidRPr="00611019" w:rsidRDefault="00E56462" w:rsidP="00035D2C">
      <w:pPr>
        <w:spacing w:after="6pt"/>
        <w:ind w:start="56.70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No hay acometida.</w:t>
      </w:r>
    </w:p>
    <w:p w:rsidR="00277ED2" w:rsidRPr="00611019" w:rsidRDefault="00E56462">
      <w:pPr>
        <w:pStyle w:val="Prrafodelista"/>
        <w:numPr>
          <w:ilvl w:val="0"/>
          <w:numId w:val="198"/>
        </w:numPr>
        <w:ind w:start="42.55pt"/>
        <w:jc w:val="both"/>
        <w:rPr>
          <w:rFonts w:ascii="Century Gothic" w:hAnsi="Century Gothic" w:cs="Arial"/>
          <w:b/>
          <w:bCs/>
        </w:rPr>
      </w:pPr>
      <w:r>
        <w:rPr>
          <w:rFonts w:ascii="Century Gothic" w:hAnsi="Century Gothic" w:cs="Arial"/>
          <w:b/>
          <w:bCs/>
        </w:rPr>
        <w:t xml:space="preserve">Coubicación: </w:t>
      </w:r>
    </w:p>
    <w:p w:rsidR="00277ED2" w:rsidRPr="00611019" w:rsidRDefault="00E56462" w:rsidP="00035D2C">
      <w:pPr>
        <w:spacing w:after="6pt"/>
        <w:ind w:start="56.70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 xml:space="preserve">No existe disponibilidad de espacio; </w:t>
      </w:r>
    </w:p>
    <w:p w:rsidR="00277ED2" w:rsidRPr="00611019" w:rsidRDefault="00E56462">
      <w:pPr>
        <w:pStyle w:val="Prrafodelista"/>
        <w:numPr>
          <w:ilvl w:val="0"/>
          <w:numId w:val="198"/>
        </w:numPr>
        <w:ind w:start="42.55pt"/>
        <w:jc w:val="both"/>
        <w:rPr>
          <w:rFonts w:ascii="Century Gothic" w:hAnsi="Century Gothic" w:cs="Arial"/>
          <w:b/>
          <w:bCs/>
        </w:rPr>
      </w:pPr>
      <w:r>
        <w:rPr>
          <w:rFonts w:ascii="Century Gothic" w:hAnsi="Century Gothic" w:cs="Arial"/>
          <w:b/>
          <w:bCs/>
        </w:rPr>
        <w:t xml:space="preserve">Cableado Multipar: </w:t>
      </w:r>
    </w:p>
    <w:p w:rsidR="00277ED2" w:rsidRPr="00611019" w:rsidRDefault="00E56462" w:rsidP="00035D2C">
      <w:pPr>
        <w:ind w:start="56.70pt" w:hanging="17.85pt"/>
        <w:jc w:val="both"/>
        <w:rPr>
          <w:rFonts w:ascii="Century Gothic" w:hAnsi="Century Gothic" w:cs="Arial"/>
        </w:rPr>
      </w:pPr>
      <w:r>
        <w:rPr>
          <w:rFonts w:ascii="Century Gothic" w:eastAsia="Calibri" w:hAnsi="Century Gothic" w:cs="Courier New"/>
        </w:rPr>
        <w:lastRenderedPageBreak/>
        <w:t>o</w:t>
      </w:r>
      <w:r>
        <w:rPr>
          <w:rFonts w:ascii="Century Gothic" w:eastAsia="Calibri" w:hAnsi="Century Gothic" w:cs="Courier New"/>
        </w:rPr>
        <w:tab/>
      </w:r>
      <w:r>
        <w:rPr>
          <w:rFonts w:ascii="Century Gothic" w:hAnsi="Century Gothic" w:cs="Arial"/>
        </w:rPr>
        <w:t xml:space="preserve">No hay trayectoria disponible para la instalación de escalerillas; </w:t>
      </w:r>
    </w:p>
    <w:p w:rsidR="00277ED2" w:rsidRDefault="00E56462" w:rsidP="00035D2C">
      <w:pPr>
        <w:spacing w:after="6pt"/>
        <w:ind w:start="56.70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El número de tablillas en el DG está completo.</w:t>
      </w:r>
    </w:p>
    <w:p w:rsidR="00277ED2" w:rsidRPr="003B7654" w:rsidRDefault="003B7654">
      <w:pPr>
        <w:pStyle w:val="Prrafodelista"/>
        <w:numPr>
          <w:ilvl w:val="0"/>
          <w:numId w:val="198"/>
        </w:numPr>
        <w:ind w:start="42.55pt"/>
        <w:jc w:val="both"/>
        <w:rPr>
          <w:rFonts w:ascii="Century Gothic" w:hAnsi="Century Gothic" w:cs="Arial"/>
          <w:b/>
          <w:bCs/>
        </w:rPr>
      </w:pPr>
      <w:r>
        <w:rPr>
          <w:rFonts w:ascii="Century Gothic" w:hAnsi="Century Gothic" w:cs="Arial"/>
          <w:b/>
          <w:bCs/>
        </w:rPr>
        <w:t>S</w:t>
      </w:r>
      <w:r w:rsidR="00E56462" w:rsidRPr="003B7654">
        <w:rPr>
          <w:rFonts w:ascii="Century Gothic" w:hAnsi="Century Gothic" w:cs="Arial"/>
          <w:b/>
          <w:bCs/>
        </w:rPr>
        <w:t>CyD:</w:t>
      </w:r>
    </w:p>
    <w:p w:rsidR="00277ED2" w:rsidRPr="00611019" w:rsidRDefault="00E56462" w:rsidP="00035D2C">
      <w:pPr>
        <w:ind w:start="56.70pt" w:hanging="17.85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No existe disponibilidad de Puerto (pCAI).</w:t>
      </w:r>
    </w:p>
    <w:p w:rsidR="00277ED2" w:rsidRPr="00611019" w:rsidRDefault="00E56462" w:rsidP="00035D2C">
      <w:pPr>
        <w:spacing w:after="6pt"/>
        <w:ind w:start="56.70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No existe coubicación propia o de terceros asociada.</w:t>
      </w:r>
    </w:p>
    <w:p w:rsidR="00277ED2" w:rsidRPr="00611019" w:rsidRDefault="00E56462">
      <w:pPr>
        <w:pStyle w:val="Prrafodelista"/>
        <w:numPr>
          <w:ilvl w:val="0"/>
          <w:numId w:val="198"/>
        </w:numPr>
        <w:ind w:start="42.55pt"/>
        <w:jc w:val="both"/>
        <w:rPr>
          <w:rFonts w:ascii="Century Gothic" w:hAnsi="Century Gothic" w:cs="Arial"/>
          <w:b/>
          <w:bCs/>
        </w:rPr>
      </w:pPr>
      <w:r>
        <w:rPr>
          <w:rFonts w:ascii="Century Gothic" w:hAnsi="Century Gothic" w:cs="Arial"/>
          <w:b/>
          <w:bCs/>
        </w:rPr>
        <w:t>Cableado de DFO-RED NACIONAL a DFO-CS:</w:t>
      </w:r>
    </w:p>
    <w:p w:rsidR="00277ED2" w:rsidRPr="00611019" w:rsidRDefault="00E56462" w:rsidP="00035D2C">
      <w:pPr>
        <w:ind w:start="56.70pt" w:hanging="17.85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No hay referencia de una coubicación a fin de poder rematar el cableado y proporcionar el servicio.</w:t>
      </w:r>
    </w:p>
    <w:p w:rsidR="00277ED2" w:rsidRPr="00611019" w:rsidRDefault="00E56462" w:rsidP="00035D2C">
      <w:pPr>
        <w:spacing w:after="6pt"/>
        <w:ind w:start="56.70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No hay trayectoria disponible para la instalación de escalerillas/canaleta.</w:t>
      </w:r>
    </w:p>
    <w:p w:rsidR="00277ED2" w:rsidRPr="00611019" w:rsidRDefault="00E56462" w:rsidP="00035D2C">
      <w:pPr>
        <w:pStyle w:val="IFTnormal"/>
        <w:spacing w:after="6pt"/>
        <w:rPr>
          <w:rFonts w:ascii="Century Gothic" w:hAnsi="Century Gothic"/>
        </w:rPr>
      </w:pPr>
      <w:r>
        <w:rPr>
          <w:rFonts w:ascii="Century Gothic" w:hAnsi="Century Gothic"/>
        </w:rPr>
        <w:t xml:space="preserve">Asimismo, cada vez que se nieguen los Servicios por la falta de recursos de su red, RED NACIONAL indicará a los </w:t>
      </w:r>
      <w:r w:rsidR="003B7654">
        <w:rPr>
          <w:rFonts w:ascii="Century Gothic" w:hAnsi="Century Gothic"/>
        </w:rPr>
        <w:t>CS</w:t>
      </w:r>
      <w:r>
        <w:rPr>
          <w:rFonts w:ascii="Century Gothic" w:hAnsi="Century Gothic"/>
        </w:rPr>
        <w:t xml:space="preserve"> junto con la etiqueta del SEG/SIPO, la justificación de los elementos de red ausentes que no permitieron brindar el servicio. Para lo anterior a continuación se enlistan los recursos de red mínimos necesarios para la existencia de factibilidad técnica, es decir, la existencia de todos los recursos de red asociados para la prestación de los Servicios en los casos que no exista acometida en el domicilio del Usuario Final, así, para poder brindar los Servicios es necesario que exista disponibilidad de todos y cada uno de los siguientes recursos de red:</w:t>
      </w:r>
    </w:p>
    <w:p w:rsidR="00277ED2" w:rsidRPr="00611019" w:rsidRDefault="00E56462">
      <w:pPr>
        <w:pStyle w:val="Prrafodelista"/>
        <w:numPr>
          <w:ilvl w:val="0"/>
          <w:numId w:val="198"/>
        </w:numPr>
        <w:ind w:start="42.55pt"/>
        <w:jc w:val="both"/>
        <w:rPr>
          <w:rFonts w:ascii="Century Gothic" w:hAnsi="Century Gothic" w:cs="Arial"/>
          <w:b/>
          <w:bCs/>
        </w:rPr>
      </w:pPr>
      <w:r>
        <w:rPr>
          <w:rFonts w:ascii="Century Gothic" w:hAnsi="Century Gothic" w:cs="Arial"/>
          <w:b/>
          <w:bCs/>
        </w:rPr>
        <w:t xml:space="preserve">SAIB: </w:t>
      </w:r>
    </w:p>
    <w:p w:rsidR="00277ED2" w:rsidRPr="00611019" w:rsidRDefault="00E56462" w:rsidP="00035D2C">
      <w:pPr>
        <w:ind w:start="56.70pt" w:hanging="17.85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Equipos de acceso de Tecnología Ethernet.</w:t>
      </w:r>
    </w:p>
    <w:p w:rsidR="00277ED2" w:rsidRPr="00611019" w:rsidRDefault="00E56462" w:rsidP="00035D2C">
      <w:pPr>
        <w:ind w:start="56.70pt" w:hanging="17.85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Puerto de concentración de acceso indirecto, Equipo de acceso IPDSLAM, puerto IPDSLAM, par de cobre en red principal y par de cobre en red secundaria hasta la caja terminal que cumpla con los parámetros técnicos mínimos.</w:t>
      </w:r>
    </w:p>
    <w:p w:rsidR="00277ED2" w:rsidRPr="00611019" w:rsidRDefault="00E56462" w:rsidP="00035D2C">
      <w:pPr>
        <w:ind w:start="56.70pt" w:hanging="17.85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Puerto de concentración de acceso indirecto, Equipo de acceso TBA, puerto TBA, par de cobre en red secundaria hasta la caja terminal que cumpla con los parámetros técnicos mínimos.</w:t>
      </w:r>
    </w:p>
    <w:p w:rsidR="00277ED2" w:rsidRPr="00611019" w:rsidRDefault="00E56462" w:rsidP="00035D2C">
      <w:pPr>
        <w:spacing w:after="6pt"/>
        <w:ind w:start="56.70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Puerto de concentración, Equipo de acceso FTTH (</w:t>
      </w:r>
      <w:r w:rsidR="003F5A24">
        <w:rPr>
          <w:rFonts w:ascii="Century Gothic" w:hAnsi="Century Gothic" w:cs="Arial"/>
        </w:rPr>
        <w:t>x</w:t>
      </w:r>
      <w:r>
        <w:rPr>
          <w:rFonts w:ascii="Century Gothic" w:hAnsi="Century Gothic" w:cs="Arial"/>
        </w:rPr>
        <w:t>PON), Puerto disponible en equipo de acceso, bucle en red principal, red secundaria.</w:t>
      </w:r>
    </w:p>
    <w:p w:rsidR="00277ED2" w:rsidRPr="00611019" w:rsidRDefault="00E56462">
      <w:pPr>
        <w:pStyle w:val="Texto1"/>
        <w:numPr>
          <w:ilvl w:val="0"/>
          <w:numId w:val="198"/>
        </w:numPr>
        <w:spacing w:line="13.80pt" w:lineRule="auto"/>
        <w:ind w:start="42.55pt"/>
        <w:rPr>
          <w:rFonts w:ascii="Century Gothic" w:hAnsi="Century Gothic" w:cs="Arial"/>
          <w:sz w:val="22"/>
          <w:lang w:val="es-MX"/>
        </w:rPr>
      </w:pPr>
      <w:r>
        <w:rPr>
          <w:rFonts w:ascii="Century Gothic" w:hAnsi="Century Gothic" w:cs="Arial"/>
          <w:b/>
          <w:sz w:val="22"/>
          <w:lang w:val="es-MX"/>
        </w:rPr>
        <w:t>SDTBL:</w:t>
      </w:r>
      <w:r>
        <w:rPr>
          <w:rFonts w:ascii="Century Gothic" w:hAnsi="Century Gothic" w:cs="Arial"/>
          <w:sz w:val="22"/>
          <w:lang w:val="es-MX"/>
        </w:rPr>
        <w:t xml:space="preserve"> </w:t>
      </w:r>
    </w:p>
    <w:p w:rsidR="00277ED2" w:rsidRPr="00611019" w:rsidRDefault="00E56462" w:rsidP="00035D2C">
      <w:pPr>
        <w:ind w:start="56.70pt" w:hanging="17.85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Equipo y puerto del CS.</w:t>
      </w:r>
    </w:p>
    <w:p w:rsidR="00277ED2" w:rsidRPr="00611019" w:rsidRDefault="00E56462" w:rsidP="009863FD">
      <w:pPr>
        <w:ind w:start="56.70pt" w:hanging="17.85pt"/>
        <w:jc w:val="both"/>
        <w:rPr>
          <w:rFonts w:ascii="Century Gothic" w:hAnsi="Century Gothic" w:cs="Arial"/>
          <w:b/>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Par de cobre en red principal y par de cobre en red secundaria hasta la terminal que cumpla con los parámetros técnicos mínimos.</w:t>
      </w:r>
      <w:r w:rsidR="009863FD" w:rsidDel="009863FD">
        <w:rPr>
          <w:rFonts w:ascii="Century Gothic" w:hAnsi="Century Gothic" w:cs="Arial"/>
        </w:rPr>
        <w:t xml:space="preserve"> </w:t>
      </w:r>
      <w:r>
        <w:rPr>
          <w:rFonts w:ascii="Century Gothic" w:hAnsi="Century Gothic" w:cs="Arial"/>
          <w:b/>
        </w:rPr>
        <w:t>SDTFO:</w:t>
      </w:r>
    </w:p>
    <w:p w:rsidR="00277ED2" w:rsidRPr="00611019" w:rsidRDefault="00E56462" w:rsidP="00035D2C">
      <w:pPr>
        <w:ind w:start="56.70pt" w:hanging="17.85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Parámetros de atenuación en rango;</w:t>
      </w:r>
    </w:p>
    <w:p w:rsidR="00277ED2" w:rsidRPr="00611019" w:rsidRDefault="00E56462" w:rsidP="00035D2C">
      <w:pPr>
        <w:ind w:start="56.70pt" w:hanging="17.85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Ruta de fibra (segmentos) hacia el domicilio donde se solicita el Servicio;</w:t>
      </w:r>
    </w:p>
    <w:p w:rsidR="00277ED2" w:rsidRPr="00611019" w:rsidRDefault="00E56462" w:rsidP="00035D2C">
      <w:pPr>
        <w:ind w:start="56.70pt" w:hanging="17.85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Coubicación asociada;</w:t>
      </w:r>
    </w:p>
    <w:p w:rsidR="00277ED2" w:rsidRPr="00611019" w:rsidRDefault="00E56462" w:rsidP="00035D2C">
      <w:pPr>
        <w:ind w:start="56.70pt" w:hanging="17.85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Servicio de Cableado DFO-RED NACIONAL a DFO-CS;</w:t>
      </w:r>
    </w:p>
    <w:p w:rsidR="00277ED2" w:rsidRPr="00611019" w:rsidRDefault="00E56462" w:rsidP="00035D2C">
      <w:pPr>
        <w:ind w:start="56.70pt" w:hanging="17.85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Fibras disponibles;</w:t>
      </w:r>
    </w:p>
    <w:p w:rsidR="00277ED2" w:rsidRPr="00611019" w:rsidRDefault="00E56462" w:rsidP="00035D2C">
      <w:pPr>
        <w:spacing w:after="6pt"/>
        <w:ind w:start="56.70pt" w:hanging="18pt"/>
        <w:jc w:val="both"/>
        <w:rPr>
          <w:rFonts w:ascii="Century Gothic" w:hAnsi="Century Gothic" w:cs="Arial"/>
        </w:rPr>
      </w:pPr>
      <w:r w:rsidRPr="00B529D4">
        <w:rPr>
          <w:rFonts w:ascii="Century Gothic" w:eastAsia="Calibri" w:hAnsi="Century Gothic" w:cs="Courier New"/>
        </w:rPr>
        <w:t>o</w:t>
      </w:r>
      <w:r w:rsidRPr="00B529D4">
        <w:rPr>
          <w:rFonts w:ascii="Century Gothic" w:eastAsia="Calibri" w:hAnsi="Century Gothic" w:cs="Courier New"/>
        </w:rPr>
        <w:tab/>
      </w:r>
      <w:r w:rsidRPr="00B529D4">
        <w:rPr>
          <w:rFonts w:ascii="Century Gothic" w:hAnsi="Century Gothic" w:cs="Arial"/>
        </w:rPr>
        <w:t>Acometida.</w:t>
      </w:r>
    </w:p>
    <w:p w:rsidR="00277ED2" w:rsidRPr="00611019" w:rsidRDefault="00E56462">
      <w:pPr>
        <w:pStyle w:val="Texto1"/>
        <w:numPr>
          <w:ilvl w:val="0"/>
          <w:numId w:val="198"/>
        </w:numPr>
        <w:spacing w:after="6pt" w:line="13.80pt" w:lineRule="auto"/>
        <w:ind w:start="42.55pt"/>
        <w:rPr>
          <w:rFonts w:ascii="Century Gothic" w:hAnsi="Century Gothic" w:cs="Arial"/>
          <w:sz w:val="22"/>
          <w:lang w:val="es-MX"/>
        </w:rPr>
      </w:pPr>
      <w:r>
        <w:rPr>
          <w:rFonts w:ascii="Century Gothic" w:hAnsi="Century Gothic" w:cs="Arial"/>
          <w:b/>
          <w:sz w:val="22"/>
          <w:lang w:val="es-MX"/>
        </w:rPr>
        <w:lastRenderedPageBreak/>
        <w:t xml:space="preserve">Coubicación: </w:t>
      </w:r>
      <w:r>
        <w:rPr>
          <w:rFonts w:ascii="Century Gothic" w:hAnsi="Century Gothic" w:cs="Arial"/>
          <w:sz w:val="22"/>
          <w:lang w:val="es-MX"/>
        </w:rPr>
        <w:t>Disponibilidad de espacio, disponibilidad de energía eléctrica alterna y directa, equipo de aire acondicionado, material para construir la infraestructura de las escalerillas, canaletas, bajadas y ductos.</w:t>
      </w:r>
    </w:p>
    <w:p w:rsidR="00277ED2" w:rsidRPr="00611019" w:rsidRDefault="00E56462">
      <w:pPr>
        <w:pStyle w:val="Texto1"/>
        <w:numPr>
          <w:ilvl w:val="0"/>
          <w:numId w:val="198"/>
        </w:numPr>
        <w:spacing w:after="6pt" w:line="13.80pt" w:lineRule="auto"/>
        <w:ind w:start="42.55pt"/>
        <w:rPr>
          <w:rFonts w:ascii="Century Gothic" w:hAnsi="Century Gothic" w:cs="Arial"/>
          <w:sz w:val="22"/>
          <w:lang w:val="es-MX"/>
        </w:rPr>
      </w:pPr>
      <w:r>
        <w:rPr>
          <w:rFonts w:ascii="Century Gothic" w:hAnsi="Century Gothic" w:cs="Arial"/>
          <w:b/>
          <w:sz w:val="22"/>
          <w:lang w:val="es-MX"/>
        </w:rPr>
        <w:t>SCyD:</w:t>
      </w:r>
      <w:r>
        <w:rPr>
          <w:rFonts w:ascii="Century Gothic" w:hAnsi="Century Gothic" w:cs="Arial"/>
          <w:sz w:val="22"/>
          <w:lang w:val="es-MX"/>
        </w:rPr>
        <w:t xml:space="preserve"> Puertos (pCAI) que involucran interfaces Gbps (gigabits por segundo) en los equipos de transporte Ethernet, para las conexiones a los equipos de los </w:t>
      </w:r>
      <w:r w:rsidR="003B7654">
        <w:rPr>
          <w:rFonts w:ascii="Century Gothic" w:hAnsi="Century Gothic" w:cs="Arial"/>
          <w:sz w:val="22"/>
          <w:lang w:val="es-MX"/>
        </w:rPr>
        <w:t>CS</w:t>
      </w:r>
      <w:r>
        <w:rPr>
          <w:rFonts w:ascii="Century Gothic" w:hAnsi="Century Gothic" w:cs="Arial"/>
          <w:sz w:val="22"/>
          <w:lang w:val="es-MX"/>
        </w:rPr>
        <w:t>. La concentración local involucra interfaces de 1 Gbps; la concentración regional y nacional involucra interfaces de 1 y 10 Gbps</w:t>
      </w:r>
      <w:r w:rsidR="00220735">
        <w:rPr>
          <w:rFonts w:ascii="Century Gothic" w:hAnsi="Century Gothic" w:cs="Arial"/>
          <w:sz w:val="22"/>
          <w:lang w:val="es-MX"/>
        </w:rPr>
        <w:t>. Red Nacional podrá evaluar si se requiere de una interfaz de mayor capacidad</w:t>
      </w:r>
      <w:r>
        <w:rPr>
          <w:rFonts w:ascii="Century Gothic" w:hAnsi="Century Gothic" w:cs="Arial"/>
          <w:sz w:val="22"/>
          <w:lang w:val="es-MX"/>
        </w:rPr>
        <w:t>.</w:t>
      </w:r>
    </w:p>
    <w:p w:rsidR="00277ED2" w:rsidRDefault="00E56462">
      <w:pPr>
        <w:pStyle w:val="Texto1"/>
        <w:numPr>
          <w:ilvl w:val="0"/>
          <w:numId w:val="198"/>
        </w:numPr>
        <w:spacing w:after="6pt" w:line="13.80pt" w:lineRule="auto"/>
        <w:ind w:start="42.55pt"/>
        <w:rPr>
          <w:rFonts w:ascii="Century Gothic" w:hAnsi="Century Gothic" w:cs="Arial"/>
          <w:sz w:val="22"/>
          <w:lang w:val="es-MX"/>
        </w:rPr>
      </w:pPr>
      <w:r>
        <w:rPr>
          <w:rFonts w:ascii="Century Gothic" w:hAnsi="Century Gothic" w:cs="Arial"/>
          <w:b/>
          <w:sz w:val="22"/>
          <w:lang w:val="es-MX"/>
        </w:rPr>
        <w:t>Cableado Multipar:</w:t>
      </w:r>
      <w:r>
        <w:rPr>
          <w:rFonts w:ascii="Century Gothic" w:hAnsi="Century Gothic" w:cs="Arial"/>
          <w:sz w:val="22"/>
          <w:lang w:val="es-MX"/>
        </w:rPr>
        <w:t xml:space="preserve"> Espacio en </w:t>
      </w:r>
      <w:r>
        <w:rPr>
          <w:rFonts w:ascii="Century Gothic" w:hAnsi="Century Gothic" w:cs="Arial"/>
          <w:sz w:val="22"/>
          <w:szCs w:val="22"/>
          <w:lang w:val="es-MX"/>
        </w:rPr>
        <w:t>DG</w:t>
      </w:r>
      <w:r>
        <w:rPr>
          <w:rFonts w:ascii="Century Gothic" w:hAnsi="Century Gothic" w:cs="Arial"/>
          <w:sz w:val="22"/>
          <w:lang w:val="es-MX"/>
        </w:rPr>
        <w:t xml:space="preserve">, infraestructura de escalerilla para cable multipar entre las salas. </w:t>
      </w:r>
    </w:p>
    <w:p w:rsidR="00277ED2" w:rsidRPr="00611019" w:rsidRDefault="00E56462">
      <w:pPr>
        <w:pStyle w:val="Texto1"/>
        <w:numPr>
          <w:ilvl w:val="0"/>
          <w:numId w:val="198"/>
        </w:numPr>
        <w:spacing w:line="13.80pt" w:lineRule="auto"/>
        <w:ind w:start="42.55pt"/>
        <w:rPr>
          <w:rFonts w:ascii="Century Gothic" w:hAnsi="Century Gothic" w:cs="Arial"/>
          <w:b/>
          <w:sz w:val="22"/>
          <w:lang w:val="es-MX"/>
        </w:rPr>
      </w:pPr>
      <w:r>
        <w:rPr>
          <w:rFonts w:ascii="Century Gothic" w:hAnsi="Century Gothic" w:cs="Arial"/>
          <w:b/>
          <w:sz w:val="22"/>
          <w:lang w:val="es-MX"/>
        </w:rPr>
        <w:t>Cableado DFO-</w:t>
      </w:r>
      <w:r>
        <w:rPr>
          <w:rFonts w:ascii="Century Gothic" w:hAnsi="Century Gothic"/>
          <w:b/>
          <w:sz w:val="22"/>
          <w:szCs w:val="22"/>
        </w:rPr>
        <w:t>RED NACIONAL</w:t>
      </w:r>
      <w:r>
        <w:rPr>
          <w:rFonts w:ascii="Century Gothic" w:hAnsi="Century Gothic" w:cs="Arial"/>
          <w:b/>
          <w:sz w:val="22"/>
          <w:lang w:val="es-MX"/>
        </w:rPr>
        <w:t xml:space="preserve"> a DFO-CS: </w:t>
      </w:r>
      <w:r>
        <w:rPr>
          <w:rFonts w:ascii="Century Gothic" w:hAnsi="Century Gothic" w:cs="Arial"/>
          <w:sz w:val="22"/>
          <w:lang w:val="es-MX"/>
        </w:rPr>
        <w:t>Infraestructura de escalerilla/canaleta.</w:t>
      </w:r>
    </w:p>
    <w:p w:rsidR="00A76878" w:rsidRPr="00611019" w:rsidRDefault="00A76878" w:rsidP="00035D2C">
      <w:pPr>
        <w:spacing w:after="6pt"/>
        <w:jc w:val="both"/>
        <w:rPr>
          <w:rFonts w:ascii="Century Gothic" w:hAnsi="Century Gothic" w:cs="Arial"/>
        </w:rPr>
      </w:pPr>
    </w:p>
    <w:p w:rsidR="00277ED2" w:rsidRPr="00611019" w:rsidRDefault="00E56462" w:rsidP="00035D2C">
      <w:pPr>
        <w:pStyle w:val="Ttulo2"/>
        <w:spacing w:after="6pt"/>
        <w:rPr>
          <w:rFonts w:ascii="Century Gothic" w:hAnsi="Century Gothic"/>
        </w:rPr>
      </w:pPr>
      <w:bookmarkStart w:id="757" w:name="_Toc467248681"/>
      <w:bookmarkStart w:id="758" w:name="_Toc525904545"/>
      <w:bookmarkStart w:id="759" w:name="_Toc525913941"/>
      <w:bookmarkStart w:id="760" w:name="_Toc525919180"/>
      <w:bookmarkStart w:id="761" w:name="_Toc525919304"/>
      <w:bookmarkStart w:id="762" w:name="_Toc2957114"/>
      <w:bookmarkStart w:id="763" w:name="_Toc24473439"/>
      <w:bookmarkStart w:id="764" w:name="_Toc24477568"/>
      <w:bookmarkStart w:id="765" w:name="_Toc26281377"/>
      <w:bookmarkStart w:id="766" w:name="_Toc26284913"/>
      <w:bookmarkStart w:id="767" w:name="_Toc26903898"/>
      <w:bookmarkStart w:id="768" w:name="_Toc43913140"/>
      <w:bookmarkStart w:id="769" w:name="_Toc26980622"/>
      <w:bookmarkStart w:id="770" w:name="_Toc53488473"/>
      <w:bookmarkStart w:id="771" w:name="_Toc53490405"/>
      <w:bookmarkStart w:id="772" w:name="_Toc53498414"/>
      <w:bookmarkStart w:id="773" w:name="_Toc58578770"/>
      <w:bookmarkStart w:id="774" w:name="_Toc92973994"/>
      <w:bookmarkStart w:id="775" w:name="_Toc93052305"/>
      <w:bookmarkStart w:id="776" w:name="_Toc93056260"/>
      <w:bookmarkStart w:id="777" w:name="_Toc125393333"/>
      <w:bookmarkStart w:id="778" w:name="_Toc148702189"/>
      <w:bookmarkStart w:id="779" w:name="_Toc170381814"/>
      <w:bookmarkStart w:id="780" w:name="_Toc436840868"/>
      <w:bookmarkStart w:id="781" w:name="_Toc436846305"/>
      <w:bookmarkStart w:id="782" w:name="_Toc436848255"/>
      <w:bookmarkStart w:id="783" w:name="_Toc436856503"/>
      <w:bookmarkStart w:id="784" w:name="_Toc436862649"/>
      <w:bookmarkStart w:id="785" w:name="_Toc436866299"/>
      <w:bookmarkStart w:id="786" w:name="_Toc436870878"/>
      <w:bookmarkStart w:id="787" w:name="_Toc436875870"/>
      <w:r>
        <w:rPr>
          <w:rFonts w:ascii="Century Gothic" w:hAnsi="Century Gothic"/>
        </w:rPr>
        <w:t>1.5 Causales de suspensión temporal en la instalación de los Servicios</w:t>
      </w:r>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r>
        <w:rPr>
          <w:rFonts w:ascii="Century Gothic" w:hAnsi="Century Gothic"/>
        </w:rPr>
        <w:t>.</w:t>
      </w:r>
    </w:p>
    <w:p w:rsidR="00277ED2" w:rsidRPr="00611019" w:rsidRDefault="00E56462" w:rsidP="00035D2C">
      <w:pPr>
        <w:spacing w:after="6pt"/>
        <w:jc w:val="both"/>
        <w:rPr>
          <w:rFonts w:ascii="Century Gothic" w:hAnsi="Century Gothic" w:cs="Arial"/>
        </w:rPr>
      </w:pPr>
      <w:r>
        <w:rPr>
          <w:rFonts w:ascii="Century Gothic" w:hAnsi="Century Gothic"/>
        </w:rPr>
        <w:t>RED NACIONAL</w:t>
      </w:r>
      <w:r>
        <w:rPr>
          <w:rFonts w:ascii="Century Gothic" w:hAnsi="Century Gothic" w:cs="Arial"/>
        </w:rPr>
        <w:t xml:space="preserve"> podrá suspender temporalmente la entrega de los Servicios, y el CS a través del SEG/SIPO podrá visualizar la situación administrativa de la línea a desagregar. Las causales de suspensión temporal podrán ser por alguno de los motivos administrativos siguientes:</w:t>
      </w:r>
    </w:p>
    <w:p w:rsidR="00277ED2" w:rsidRPr="00611019" w:rsidRDefault="00E56462" w:rsidP="00035D2C">
      <w:pPr>
        <w:pStyle w:val="Texto1"/>
        <w:spacing w:line="13.80pt" w:lineRule="auto"/>
        <w:ind w:hanging="17.85pt"/>
        <w:rPr>
          <w:rFonts w:ascii="Century Gothic" w:hAnsi="Century Gothic" w:cs="Arial"/>
          <w:sz w:val="22"/>
          <w:lang w:val="es-MX"/>
        </w:rPr>
      </w:pPr>
      <w:r>
        <w:rPr>
          <w:rFonts w:ascii="Century Gothic" w:hAnsi="Century Gothic" w:cs="Arial"/>
          <w:sz w:val="22"/>
          <w:lang w:val="es-MX"/>
        </w:rPr>
        <w:t>•</w:t>
      </w:r>
      <w:r>
        <w:rPr>
          <w:rFonts w:ascii="Century Gothic" w:hAnsi="Century Gothic" w:cs="Arial"/>
          <w:sz w:val="22"/>
          <w:lang w:val="es-MX"/>
        </w:rPr>
        <w:tab/>
        <w:t>Que el número tenga una Orden de Servicio abierta por:</w:t>
      </w:r>
    </w:p>
    <w:p w:rsidR="00277ED2" w:rsidRPr="00611019" w:rsidRDefault="00E56462" w:rsidP="00035D2C">
      <w:pPr>
        <w:pStyle w:val="Texto1"/>
        <w:spacing w:line="13.80pt" w:lineRule="auto"/>
        <w:ind w:start="57.10pt" w:hanging="17.85pt"/>
        <w:rPr>
          <w:rFonts w:ascii="Century Gothic" w:hAnsi="Century Gothic" w:cs="Arial"/>
          <w:sz w:val="22"/>
          <w:lang w:val="es-MX"/>
        </w:rPr>
      </w:pPr>
      <w:bookmarkStart w:id="788" w:name="_Toc467248682"/>
      <w:bookmarkStart w:id="789" w:name="_Toc525904546"/>
      <w:bookmarkStart w:id="790" w:name="_Toc525913942"/>
      <w:bookmarkStart w:id="791" w:name="_Toc525919181"/>
      <w:bookmarkStart w:id="792" w:name="_Toc525919305"/>
      <w:r>
        <w:rPr>
          <w:rFonts w:ascii="Century Gothic" w:hAnsi="Century Gothic" w:cs="Arial"/>
          <w:sz w:val="22"/>
          <w:lang w:val="es-MX"/>
        </w:rPr>
        <w:t>­</w:t>
      </w:r>
      <w:r>
        <w:rPr>
          <w:rFonts w:ascii="Century Gothic" w:hAnsi="Century Gothic" w:cs="Arial"/>
          <w:sz w:val="22"/>
          <w:lang w:val="es-MX"/>
        </w:rPr>
        <w:tab/>
        <w:t>Baja de línea o servicio</w:t>
      </w:r>
    </w:p>
    <w:p w:rsidR="00277ED2" w:rsidRPr="00611019" w:rsidRDefault="00E56462" w:rsidP="00035D2C">
      <w:pPr>
        <w:pStyle w:val="Texto1"/>
        <w:spacing w:line="13.80pt" w:lineRule="auto"/>
        <w:ind w:start="57.10pt" w:hanging="17.85pt"/>
        <w:rPr>
          <w:rFonts w:ascii="Century Gothic" w:hAnsi="Century Gothic" w:cs="Arial"/>
          <w:sz w:val="22"/>
          <w:szCs w:val="22"/>
          <w:lang w:val="es-MX"/>
        </w:rPr>
      </w:pPr>
      <w:r>
        <w:rPr>
          <w:rFonts w:ascii="Century Gothic" w:hAnsi="Century Gothic" w:cs="Arial"/>
          <w:sz w:val="22"/>
          <w:szCs w:val="22"/>
          <w:lang w:val="es-MX"/>
        </w:rPr>
        <w:t>­</w:t>
      </w:r>
      <w:r>
        <w:rPr>
          <w:rFonts w:ascii="Century Gothic" w:hAnsi="Century Gothic" w:cs="Arial"/>
          <w:sz w:val="22"/>
          <w:szCs w:val="22"/>
          <w:lang w:val="es-MX"/>
        </w:rPr>
        <w:tab/>
      </w:r>
      <w:r>
        <w:rPr>
          <w:rFonts w:ascii="Century Gothic" w:hAnsi="Century Gothic" w:cs="Arial"/>
          <w:sz w:val="22"/>
          <w:szCs w:val="22"/>
        </w:rPr>
        <w:t>Cambio de domicilio</w:t>
      </w:r>
    </w:p>
    <w:p w:rsidR="00277ED2" w:rsidRPr="00611019" w:rsidRDefault="00E56462" w:rsidP="00035D2C">
      <w:pPr>
        <w:pStyle w:val="Texto1"/>
        <w:spacing w:line="13.80pt" w:lineRule="auto"/>
        <w:ind w:start="57.10pt" w:hanging="17.85pt"/>
        <w:rPr>
          <w:rFonts w:ascii="Century Gothic" w:hAnsi="Century Gothic" w:cs="Arial"/>
          <w:sz w:val="22"/>
          <w:lang w:val="es-MX"/>
        </w:rPr>
      </w:pPr>
      <w:r>
        <w:rPr>
          <w:rFonts w:ascii="Century Gothic" w:hAnsi="Century Gothic" w:cs="Arial"/>
          <w:sz w:val="22"/>
          <w:lang w:val="es-MX"/>
        </w:rPr>
        <w:t>­</w:t>
      </w:r>
      <w:r>
        <w:rPr>
          <w:rFonts w:ascii="Century Gothic" w:hAnsi="Century Gothic" w:cs="Arial"/>
          <w:sz w:val="22"/>
          <w:lang w:val="es-MX"/>
        </w:rPr>
        <w:tab/>
        <w:t>Desagregación con otro CS</w:t>
      </w:r>
      <w:bookmarkStart w:id="793" w:name="_Toc20486005"/>
      <w:bookmarkStart w:id="794" w:name="_Toc20492177"/>
      <w:bookmarkStart w:id="795" w:name="_Toc20494174"/>
    </w:p>
    <w:p w:rsidR="00277ED2" w:rsidRPr="00611019" w:rsidRDefault="00E56462" w:rsidP="00035D2C">
      <w:pPr>
        <w:pStyle w:val="Texto1"/>
        <w:spacing w:line="13.80pt" w:lineRule="auto"/>
        <w:ind w:start="57.10pt" w:hanging="17.85pt"/>
        <w:rPr>
          <w:rFonts w:ascii="Century Gothic" w:hAnsi="Century Gothic" w:cs="Arial"/>
          <w:sz w:val="22"/>
          <w:lang w:val="es-MX"/>
        </w:rPr>
      </w:pPr>
      <w:r>
        <w:rPr>
          <w:rFonts w:ascii="Century Gothic" w:hAnsi="Century Gothic" w:cs="Arial"/>
          <w:sz w:val="22"/>
          <w:lang w:val="es-MX"/>
        </w:rPr>
        <w:t>­</w:t>
      </w:r>
      <w:r>
        <w:rPr>
          <w:rFonts w:ascii="Century Gothic" w:hAnsi="Century Gothic" w:cs="Arial"/>
          <w:sz w:val="22"/>
          <w:lang w:val="es-MX"/>
        </w:rPr>
        <w:tab/>
        <w:t>Cambio de CS</w:t>
      </w:r>
    </w:p>
    <w:bookmarkEnd w:id="793"/>
    <w:bookmarkEnd w:id="794"/>
    <w:bookmarkEnd w:id="795"/>
    <w:p w:rsidR="00277ED2" w:rsidRPr="00611019" w:rsidRDefault="00E56462" w:rsidP="00035D2C">
      <w:pPr>
        <w:pStyle w:val="Texto1"/>
        <w:spacing w:after="6pt" w:line="13.80pt" w:lineRule="auto"/>
        <w:ind w:start="56.95pt" w:hanging="17.85pt"/>
        <w:rPr>
          <w:rFonts w:ascii="Century Gothic" w:hAnsi="Century Gothic" w:cs="Arial"/>
          <w:sz w:val="22"/>
          <w:lang w:val="es-MX"/>
        </w:rPr>
      </w:pPr>
      <w:r>
        <w:rPr>
          <w:rFonts w:ascii="Century Gothic" w:hAnsi="Century Gothic" w:cs="Arial"/>
          <w:sz w:val="22"/>
          <w:lang w:val="es-MX"/>
        </w:rPr>
        <w:t>­</w:t>
      </w:r>
      <w:r>
        <w:rPr>
          <w:rFonts w:ascii="Century Gothic" w:hAnsi="Century Gothic" w:cs="Arial"/>
          <w:sz w:val="22"/>
          <w:lang w:val="es-MX"/>
        </w:rPr>
        <w:tab/>
        <w:t>Alta</w:t>
      </w:r>
      <w:r>
        <w:rPr>
          <w:rFonts w:ascii="Century Gothic" w:hAnsi="Century Gothic" w:cs="Arial"/>
          <w:lang w:val="es-MX"/>
        </w:rPr>
        <w:t xml:space="preserve"> de </w:t>
      </w:r>
      <w:r>
        <w:rPr>
          <w:rFonts w:ascii="Century Gothic" w:hAnsi="Century Gothic" w:cs="Arial"/>
          <w:sz w:val="22"/>
          <w:lang w:val="es-MX"/>
        </w:rPr>
        <w:t>servicio</w:t>
      </w:r>
    </w:p>
    <w:p w:rsidR="009F333F" w:rsidRPr="00611019" w:rsidRDefault="009F333F" w:rsidP="00035D2C">
      <w:pPr>
        <w:pStyle w:val="Texto1"/>
        <w:spacing w:after="6pt" w:line="13.80pt" w:lineRule="auto"/>
        <w:rPr>
          <w:rFonts w:ascii="Century Gothic" w:hAnsi="Century Gothic" w:cs="Arial"/>
          <w:sz w:val="22"/>
          <w:lang w:val="es-MX"/>
        </w:rPr>
      </w:pPr>
    </w:p>
    <w:p w:rsidR="00450223" w:rsidRDefault="00E56462" w:rsidP="00035D2C">
      <w:pPr>
        <w:pStyle w:val="Ttulo3"/>
        <w:spacing w:line="13.80pt" w:lineRule="auto"/>
        <w:ind w:start="0pt"/>
        <w:rPr>
          <w:rFonts w:ascii="Century Gothic" w:hAnsi="Century Gothic" w:cs="Arial"/>
        </w:rPr>
      </w:pPr>
      <w:bookmarkStart w:id="796" w:name="_Toc92973995"/>
      <w:bookmarkStart w:id="797" w:name="_Toc93052306"/>
      <w:bookmarkStart w:id="798" w:name="_Toc93056261"/>
      <w:bookmarkStart w:id="799" w:name="_Toc125393334"/>
      <w:bookmarkStart w:id="800" w:name="_Toc148702190"/>
      <w:bookmarkStart w:id="801" w:name="_Toc170381815"/>
      <w:r>
        <w:rPr>
          <w:rFonts w:ascii="Century Gothic" w:hAnsi="Century Gothic" w:cs="Arial"/>
        </w:rPr>
        <w:t>1.5.1 Motivos de objeción</w:t>
      </w:r>
      <w:bookmarkEnd w:id="796"/>
      <w:bookmarkEnd w:id="797"/>
      <w:bookmarkEnd w:id="798"/>
      <w:bookmarkEnd w:id="799"/>
      <w:bookmarkEnd w:id="800"/>
      <w:bookmarkEnd w:id="801"/>
      <w:r>
        <w:rPr>
          <w:rFonts w:ascii="Century Gothic" w:hAnsi="Century Gothic" w:cs="Arial"/>
        </w:rPr>
        <w:t>.</w:t>
      </w:r>
    </w:p>
    <w:p w:rsidR="00EA4C9F" w:rsidRPr="00EA4C9F" w:rsidRDefault="00EA4C9F" w:rsidP="00EA4C9F">
      <w:pPr>
        <w:rPr>
          <w:sz w:val="8"/>
        </w:rPr>
      </w:pPr>
    </w:p>
    <w:p w:rsidR="00277ED2" w:rsidRPr="00611019" w:rsidRDefault="00E56462" w:rsidP="00035D2C">
      <w:pPr>
        <w:spacing w:after="6pt"/>
        <w:jc w:val="both"/>
        <w:rPr>
          <w:rFonts w:ascii="Century Gothic" w:hAnsi="Century Gothic" w:cs="Arial"/>
        </w:rPr>
      </w:pPr>
      <w:r>
        <w:rPr>
          <w:rFonts w:ascii="Century Gothic" w:hAnsi="Century Gothic" w:cs="Arial"/>
        </w:rPr>
        <w:t xml:space="preserve">Para los casos en que el SEG/SIPO permita contratar y agendar Servicios y en alguna etapa subsecuente del proceso de instalación se notifique una objeción técnica por falta de algún recurso de red, errores en la información del SEG/SIPO o alguna razón no justificada en la OREDA, </w:t>
      </w:r>
      <w:r>
        <w:rPr>
          <w:rFonts w:ascii="Century Gothic" w:hAnsi="Century Gothic"/>
        </w:rPr>
        <w:t>RED NACIONAL</w:t>
      </w:r>
      <w:r>
        <w:rPr>
          <w:rFonts w:ascii="Century Gothic" w:hAnsi="Century Gothic" w:cs="Arial"/>
        </w:rPr>
        <w:t xml:space="preserve"> notificará vía SEG/SIPO la causa de la objeción de manera detallada y la naturaleza del imprevisto. </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Cuando se objeten las solicitudes por razones técnicas, el CS podrá solicitar a través del SEG/SIPO un paro de reloj </w:t>
      </w:r>
      <w:bookmarkStart w:id="802" w:name="_Hlk153895164"/>
      <w:r>
        <w:rPr>
          <w:rFonts w:ascii="Century Gothic" w:hAnsi="Century Gothic" w:cs="Arial"/>
        </w:rPr>
        <w:t>a partir del aviso de la objeción técnica por parte de RED NACIONAL</w:t>
      </w:r>
      <w:bookmarkEnd w:id="802"/>
      <w:r>
        <w:rPr>
          <w:rFonts w:ascii="Century Gothic" w:hAnsi="Century Gothic" w:cs="Arial"/>
        </w:rPr>
        <w:t xml:space="preserve">, por lo que en este caso no implicará penalización para </w:t>
      </w:r>
      <w:r>
        <w:rPr>
          <w:rFonts w:ascii="Century Gothic" w:hAnsi="Century Gothic"/>
        </w:rPr>
        <w:t>RED NACIONAL</w:t>
      </w:r>
      <w:r>
        <w:rPr>
          <w:rFonts w:ascii="Century Gothic" w:hAnsi="Century Gothic" w:cs="Arial"/>
        </w:rPr>
        <w:t xml:space="preserve"> por excederse del plazo de instalación, y </w:t>
      </w:r>
      <w:r>
        <w:rPr>
          <w:rFonts w:ascii="Century Gothic" w:hAnsi="Century Gothic"/>
        </w:rPr>
        <w:t>RED NACIONAL</w:t>
      </w:r>
      <w:r>
        <w:rPr>
          <w:rFonts w:ascii="Century Gothic" w:hAnsi="Century Gothic" w:cs="Arial"/>
        </w:rPr>
        <w:t xml:space="preserve"> iniciará un proceso de revisión para determinar si existe una solución alternativa que permita la instalación y habilitación del Servicio que se notificará a través del SEG/SIPO para su seguimiento por el CS. </w:t>
      </w:r>
      <w:r>
        <w:rPr>
          <w:rFonts w:ascii="Century Gothic" w:hAnsi="Century Gothic"/>
        </w:rPr>
        <w:t xml:space="preserve">RED NACIONAL </w:t>
      </w:r>
      <w:r>
        <w:rPr>
          <w:rFonts w:ascii="Century Gothic" w:hAnsi="Century Gothic" w:cs="Arial"/>
        </w:rPr>
        <w:t xml:space="preserve">le informará al CS a través del SEG/SIPO si fue exitosa o no la búsqueda de </w:t>
      </w:r>
      <w:r>
        <w:rPr>
          <w:rFonts w:ascii="Century Gothic" w:hAnsi="Century Gothic" w:cs="Arial"/>
        </w:rPr>
        <w:lastRenderedPageBreak/>
        <w:t>solución, para que en caso de que la objeción técnica haya sido solucionada, el CS pueda reingresar y programar nuevamente la cita para la instalación del servicio.</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El plazo para que </w:t>
      </w:r>
      <w:r>
        <w:rPr>
          <w:rFonts w:ascii="Century Gothic" w:hAnsi="Century Gothic"/>
        </w:rPr>
        <w:t xml:space="preserve">RED NACIONAL </w:t>
      </w:r>
      <w:r>
        <w:rPr>
          <w:rFonts w:ascii="Century Gothic" w:hAnsi="Century Gothic" w:cs="Arial"/>
        </w:rPr>
        <w:t xml:space="preserve">notifique al CS </w:t>
      </w:r>
      <w:bookmarkStart w:id="803" w:name="_Hlk153895406"/>
      <w:r>
        <w:rPr>
          <w:rFonts w:ascii="Century Gothic" w:hAnsi="Century Gothic" w:cs="Arial"/>
        </w:rPr>
        <w:t>el resultado de la búsqueda efectuada y su implementación, ya sea que exista o no</w:t>
      </w:r>
      <w:bookmarkEnd w:id="803"/>
      <w:r>
        <w:rPr>
          <w:rFonts w:ascii="Century Gothic" w:hAnsi="Century Gothic" w:cs="Arial"/>
        </w:rPr>
        <w:t xml:space="preserve"> la alternativa de solución será de máximo 5 (cinco) días hábiles a partir de la solicitud de paro de reloj por parte del CS </w:t>
      </w:r>
      <w:r>
        <w:rPr>
          <w:rFonts w:ascii="Century Gothic" w:hAnsi="Century Gothic"/>
        </w:rPr>
        <w:t>conforme a las siguientes condiciones</w:t>
      </w:r>
      <w:r>
        <w:rPr>
          <w:rFonts w:ascii="Century Gothic" w:hAnsi="Century Gothic" w:cs="Arial"/>
        </w:rPr>
        <w:t>.</w:t>
      </w:r>
    </w:p>
    <w:p w:rsidR="00D05F3F" w:rsidRPr="00611019" w:rsidRDefault="00E56462" w:rsidP="00035D2C">
      <w:pPr>
        <w:spacing w:after="6pt"/>
        <w:jc w:val="both"/>
        <w:rPr>
          <w:rFonts w:ascii="Century Gothic" w:hAnsi="Century Gothic" w:cs="Arial"/>
        </w:rPr>
      </w:pPr>
      <w:bookmarkStart w:id="804" w:name="_Hlk153895520"/>
      <w:r>
        <w:rPr>
          <w:rFonts w:ascii="Century Gothic" w:hAnsi="Century Gothic" w:cs="Arial"/>
        </w:rPr>
        <w:t>En respuesta a la notificación de la objeción técnica por parte de RED NACIONAL, el CS contará con 3 (tres) días hábiles para solicitar por medio del SEG/SIPO el proceso de paro de reloj para la búsqueda de una solución alternativa. Si el CS no responde una vez transcurrido este plazo o responde rechazando la objeción y el paro de reloj, se cancelará la solicitud del Servicio en el SEG/SIPO. Este plazo de 3 (tres) días hábiles para recibir la solicitud de paro de reloj del CS se contabilizará aparte de los plazos para la búsqueda de la solución alternativa y su implementación.</w:t>
      </w:r>
    </w:p>
    <w:p w:rsidR="00D05F3F" w:rsidRPr="00611019" w:rsidRDefault="00E56462" w:rsidP="00035D2C">
      <w:pPr>
        <w:spacing w:after="6pt"/>
        <w:jc w:val="both"/>
        <w:rPr>
          <w:rFonts w:ascii="Century Gothic" w:hAnsi="Century Gothic" w:cs="Arial"/>
          <w:bCs/>
        </w:rPr>
      </w:pPr>
      <w:r>
        <w:rPr>
          <w:rFonts w:ascii="Century Gothic" w:hAnsi="Century Gothic" w:cs="Arial"/>
        </w:rPr>
        <w:t xml:space="preserve">Si después de </w:t>
      </w:r>
      <w:r>
        <w:rPr>
          <w:rFonts w:ascii="Century Gothic" w:hAnsi="Century Gothic" w:cs="Arial"/>
          <w:bCs/>
        </w:rPr>
        <w:t>3 (tres) días hábiles contados</w:t>
      </w:r>
      <w:r>
        <w:rPr>
          <w:rFonts w:ascii="Century Gothic" w:hAnsi="Century Gothic" w:cs="Arial"/>
        </w:rPr>
        <w:t xml:space="preserve"> a partir de que RED NACIONAL le haya notificado al CS que quedó implementada la solución alternativa, el CS no solicita una nueva fecha de reagendación para la habilitación del </w:t>
      </w:r>
      <w:r>
        <w:rPr>
          <w:rFonts w:ascii="Century Gothic" w:hAnsi="Century Gothic" w:cs="Arial"/>
          <w:bCs/>
        </w:rPr>
        <w:t>servicio solicitado</w:t>
      </w:r>
      <w:r>
        <w:rPr>
          <w:rFonts w:ascii="Century Gothic" w:hAnsi="Century Gothic" w:cs="Arial"/>
        </w:rPr>
        <w:t xml:space="preserve">, se cancelará la solicitud del CS en el SEG/SIPO, en el entendido de que no desea el </w:t>
      </w:r>
      <w:r>
        <w:rPr>
          <w:rFonts w:ascii="Century Gothic" w:hAnsi="Century Gothic" w:cs="Arial"/>
          <w:bCs/>
        </w:rPr>
        <w:t>servicio</w:t>
      </w:r>
      <w:r>
        <w:rPr>
          <w:rFonts w:ascii="Century Gothic" w:hAnsi="Century Gothic" w:cs="Arial"/>
        </w:rPr>
        <w:t>.</w:t>
      </w:r>
    </w:p>
    <w:p w:rsidR="00D05F3F" w:rsidRPr="00611019" w:rsidRDefault="00E56462" w:rsidP="00035D2C">
      <w:pPr>
        <w:spacing w:after="6pt"/>
        <w:jc w:val="both"/>
        <w:rPr>
          <w:rFonts w:ascii="Century Gothic" w:hAnsi="Century Gothic" w:cs="Arial"/>
        </w:rPr>
      </w:pPr>
      <w:r>
        <w:rPr>
          <w:rFonts w:ascii="Century Gothic" w:hAnsi="Century Gothic" w:cs="Arial"/>
        </w:rPr>
        <w:t>En caso de que el CS acepte el paro de reloj y el proceso de revisión para determinar una solución alternativa, pero no se encuentre solución para instalar el servicio, se debe considerar el servicio como objetado por RED NACIONAL para efectos de los indicadores de calidad de provisión de los Servicios.</w:t>
      </w:r>
    </w:p>
    <w:p w:rsidR="00D05F3F" w:rsidRPr="00611019" w:rsidRDefault="00E56462" w:rsidP="00035D2C">
      <w:pPr>
        <w:spacing w:after="6pt"/>
        <w:jc w:val="both"/>
        <w:rPr>
          <w:rFonts w:ascii="Century Gothic" w:hAnsi="Century Gothic" w:cs="Arial"/>
        </w:rPr>
      </w:pPr>
      <w:bookmarkStart w:id="805" w:name="_Hlk153895583"/>
      <w:bookmarkEnd w:id="804"/>
      <w:r>
        <w:rPr>
          <w:rFonts w:ascii="Century Gothic" w:hAnsi="Century Gothic" w:cs="Arial"/>
        </w:rPr>
        <w:t xml:space="preserve">Se establece un límite del diez por ciento (10%) por CS de las solicitudes de Servicios de desagregación que podrán ser consideradas como instaladas en tiempo una vez habilitadas mediante los procesos de paro de reloj y búsqueda de soluciones alternativas. El número de solicitudes que presenten objeciones técnicas excedentes de </w:t>
      </w:r>
      <w:r w:rsidRPr="00BB42F4">
        <w:rPr>
          <w:rFonts w:ascii="Century Gothic" w:hAnsi="Century Gothic" w:cs="Arial"/>
        </w:rPr>
        <w:t xml:space="preserve">este límite, aun cuando hayan sido habilitadas, se clasificarán como objetadas por RED NACIONAL para efectos de los indicadores de calidad de provisión de los Servicios, siempre que las mismas no se deriven de caso fortuito o de fuerza mayor (incluyendo los atribuibles a </w:t>
      </w:r>
      <w:r w:rsidR="00BB42F4">
        <w:rPr>
          <w:rFonts w:ascii="Century Gothic" w:hAnsi="Century Gothic" w:cs="Arial"/>
        </w:rPr>
        <w:t>t</w:t>
      </w:r>
      <w:r w:rsidRPr="00BB42F4">
        <w:rPr>
          <w:rFonts w:ascii="Century Gothic" w:hAnsi="Century Gothic" w:cs="Arial"/>
        </w:rPr>
        <w:t>erceros), o sean atribuibles al CS o al Usuario Final.</w:t>
      </w:r>
    </w:p>
    <w:bookmarkEnd w:id="805"/>
    <w:p w:rsidR="00277ED2" w:rsidRPr="00611019" w:rsidRDefault="00E56462" w:rsidP="00035D2C">
      <w:pPr>
        <w:spacing w:after="6pt"/>
        <w:jc w:val="both"/>
        <w:rPr>
          <w:rFonts w:ascii="Century Gothic" w:hAnsi="Century Gothic" w:cs="Arial"/>
        </w:rPr>
      </w:pPr>
      <w:r>
        <w:rPr>
          <w:rFonts w:ascii="Century Gothic" w:hAnsi="Century Gothic" w:cs="Arial"/>
        </w:rPr>
        <w:t xml:space="preserve">Cuando no sea posible entregar el Servicio en sitio por algún caso fortuito o de fuerza mayor, </w:t>
      </w:r>
      <w:r>
        <w:rPr>
          <w:rFonts w:ascii="Century Gothic" w:hAnsi="Century Gothic"/>
        </w:rPr>
        <w:t>RED NACIONAL</w:t>
      </w:r>
      <w:r>
        <w:rPr>
          <w:rFonts w:ascii="Century Gothic" w:hAnsi="Century Gothic" w:cs="Arial"/>
        </w:rPr>
        <w:t xml:space="preserve"> notificará vía SEG/SIPO al CS sobre dicha circunstancia. No será causal de suspensión o cancelación del Servicio cualquier condición, resultado de eventos imprevistos ajenos a </w:t>
      </w:r>
      <w:r>
        <w:rPr>
          <w:rFonts w:ascii="Century Gothic" w:hAnsi="Century Gothic"/>
        </w:rPr>
        <w:t xml:space="preserve">RED NACIONAL </w:t>
      </w:r>
      <w:r>
        <w:rPr>
          <w:rFonts w:ascii="Century Gothic" w:hAnsi="Century Gothic" w:cs="Arial"/>
        </w:rPr>
        <w:t xml:space="preserve">y al CS que no permita la habilitación y aprovisionamiento del Servicio en la fecha programada de habilitación. </w:t>
      </w:r>
      <w:r>
        <w:rPr>
          <w:rFonts w:ascii="Century Gothic" w:hAnsi="Century Gothic"/>
        </w:rPr>
        <w:t xml:space="preserve">RED NACIONAL </w:t>
      </w:r>
      <w:r>
        <w:rPr>
          <w:rFonts w:ascii="Century Gothic" w:hAnsi="Century Gothic" w:cs="Arial"/>
        </w:rPr>
        <w:t>notificará vía SEG/SIPO al CS dentro de las siguientes 24 hrs. la causa del imprevisto y reprogramarán en conjunto una nueva fecha para la instalación del servicio.</w:t>
      </w:r>
    </w:p>
    <w:p w:rsidR="00A76878" w:rsidRPr="00611019" w:rsidRDefault="00A76878" w:rsidP="00035D2C">
      <w:pPr>
        <w:spacing w:after="6pt"/>
        <w:jc w:val="both"/>
        <w:rPr>
          <w:rFonts w:ascii="Century Gothic" w:hAnsi="Century Gothic" w:cs="Arial"/>
        </w:rPr>
      </w:pPr>
    </w:p>
    <w:p w:rsidR="00277ED2" w:rsidRPr="00611019" w:rsidRDefault="00E56462" w:rsidP="00035D2C">
      <w:pPr>
        <w:pStyle w:val="Ttulo2"/>
        <w:spacing w:after="6pt"/>
        <w:rPr>
          <w:rFonts w:ascii="Century Gothic" w:hAnsi="Century Gothic"/>
        </w:rPr>
      </w:pPr>
      <w:bookmarkStart w:id="806" w:name="_Toc436840869"/>
      <w:bookmarkStart w:id="807" w:name="_Toc436846306"/>
      <w:bookmarkStart w:id="808" w:name="_Toc436848256"/>
      <w:bookmarkStart w:id="809" w:name="_Toc436856504"/>
      <w:bookmarkStart w:id="810" w:name="_Toc436862650"/>
      <w:bookmarkStart w:id="811" w:name="_Toc436866300"/>
      <w:bookmarkStart w:id="812" w:name="_Toc436870879"/>
      <w:bookmarkStart w:id="813" w:name="_Toc436875871"/>
      <w:bookmarkStart w:id="814" w:name="_Toc467248683"/>
      <w:bookmarkStart w:id="815" w:name="_Toc525904547"/>
      <w:bookmarkStart w:id="816" w:name="_Toc525913943"/>
      <w:bookmarkStart w:id="817" w:name="_Toc525919182"/>
      <w:bookmarkStart w:id="818" w:name="_Toc525919306"/>
      <w:bookmarkStart w:id="819" w:name="_Toc2957116"/>
      <w:bookmarkStart w:id="820" w:name="_Toc24473441"/>
      <w:bookmarkStart w:id="821" w:name="_Toc24477570"/>
      <w:bookmarkStart w:id="822" w:name="_Toc26281379"/>
      <w:bookmarkStart w:id="823" w:name="_Toc26284915"/>
      <w:bookmarkStart w:id="824" w:name="_Toc26903900"/>
      <w:bookmarkStart w:id="825" w:name="_Toc43913143"/>
      <w:bookmarkStart w:id="826" w:name="_Toc26980624"/>
      <w:bookmarkStart w:id="827" w:name="_Toc53488474"/>
      <w:bookmarkStart w:id="828" w:name="_Toc53490406"/>
      <w:bookmarkStart w:id="829" w:name="_Toc53498415"/>
      <w:bookmarkStart w:id="830" w:name="_Toc58578771"/>
      <w:bookmarkStart w:id="831" w:name="_Toc92973996"/>
      <w:bookmarkStart w:id="832" w:name="_Toc93052307"/>
      <w:bookmarkStart w:id="833" w:name="_Toc93056262"/>
      <w:bookmarkStart w:id="834" w:name="_Toc125393335"/>
      <w:bookmarkStart w:id="835" w:name="_Toc148702191"/>
      <w:bookmarkStart w:id="836" w:name="_Toc170381816"/>
      <w:bookmarkEnd w:id="780"/>
      <w:bookmarkEnd w:id="781"/>
      <w:bookmarkEnd w:id="782"/>
      <w:bookmarkEnd w:id="783"/>
      <w:bookmarkEnd w:id="784"/>
      <w:bookmarkEnd w:id="785"/>
      <w:bookmarkEnd w:id="786"/>
      <w:bookmarkEnd w:id="787"/>
      <w:bookmarkEnd w:id="788"/>
      <w:bookmarkEnd w:id="789"/>
      <w:bookmarkEnd w:id="790"/>
      <w:bookmarkEnd w:id="791"/>
      <w:bookmarkEnd w:id="792"/>
      <w:r>
        <w:rPr>
          <w:rFonts w:ascii="Century Gothic" w:hAnsi="Century Gothic"/>
        </w:rPr>
        <w:lastRenderedPageBreak/>
        <w:t>1.6 Procedimiento de calificación del bucle de cobre</w:t>
      </w:r>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r>
        <w:rPr>
          <w:rFonts w:ascii="Century Gothic" w:hAnsi="Century Gothic"/>
        </w:rPr>
        <w:t>.</w:t>
      </w:r>
    </w:p>
    <w:p w:rsidR="00277ED2" w:rsidRPr="00611019" w:rsidRDefault="00E56462" w:rsidP="00035D2C">
      <w:pPr>
        <w:spacing w:after="6pt"/>
        <w:jc w:val="both"/>
        <w:rPr>
          <w:rFonts w:ascii="Century Gothic" w:hAnsi="Century Gothic" w:cs="Arial"/>
        </w:rPr>
      </w:pPr>
      <w:r>
        <w:rPr>
          <w:rFonts w:ascii="Century Gothic" w:hAnsi="Century Gothic" w:cs="Arial"/>
        </w:rPr>
        <w:t>La determinación de la calificación en los bucles de cobre de la red se basa en pruebas que reflejan la velocidad máxima alcanzable por cada bucle, dicha determinación permite asignar la velocidad máxima de datos en un bucle.</w:t>
      </w:r>
    </w:p>
    <w:p w:rsidR="00277ED2" w:rsidRPr="00611019" w:rsidRDefault="00E56462" w:rsidP="00035D2C">
      <w:pPr>
        <w:pStyle w:val="IFTnormal"/>
        <w:spacing w:after="6pt"/>
        <w:rPr>
          <w:rFonts w:ascii="Century Gothic" w:hAnsi="Century Gothic"/>
        </w:rPr>
      </w:pPr>
      <w:r>
        <w:rPr>
          <w:rFonts w:ascii="Century Gothic" w:hAnsi="Century Gothic"/>
        </w:rPr>
        <w:t xml:space="preserve">RED NACIONAL realizará las pruebas técnicas requeridas por el CS (quien, en su caso, tiene la posibilidad de participar y coordinarse con RED NACIONAL para la realización y/o participación en las mismas) diferentes de las determinadas en la presente sección, sin que éstas retrasen o permitan la negación de la entrega de los Servicios de Desagregación. </w:t>
      </w:r>
    </w:p>
    <w:p w:rsidR="00277ED2" w:rsidRPr="00611019" w:rsidRDefault="00E56462" w:rsidP="00035D2C">
      <w:pPr>
        <w:jc w:val="both"/>
        <w:rPr>
          <w:rFonts w:ascii="Century Gothic" w:hAnsi="Century Gothic" w:cs="Arial"/>
        </w:rPr>
      </w:pPr>
      <w:r>
        <w:rPr>
          <w:rFonts w:ascii="Century Gothic" w:hAnsi="Century Gothic" w:cs="Arial"/>
        </w:rPr>
        <w:t>El procedimiento para la obtención de la calificación del bucle considera los siguientes escenarios: Bucle Activo y Bucle Nuevo.</w:t>
      </w:r>
    </w:p>
    <w:p w:rsidR="00A76878" w:rsidRPr="00611019" w:rsidRDefault="00A76878" w:rsidP="00035D2C">
      <w:pPr>
        <w:jc w:val="both"/>
        <w:rPr>
          <w:rFonts w:ascii="Century Gothic" w:hAnsi="Century Gothic" w:cs="Arial"/>
        </w:rPr>
      </w:pPr>
    </w:p>
    <w:p w:rsidR="00277ED2" w:rsidRPr="00611019" w:rsidRDefault="00E56462" w:rsidP="00035D2C">
      <w:pPr>
        <w:jc w:val="both"/>
        <w:rPr>
          <w:rFonts w:ascii="Century Gothic" w:hAnsi="Century Gothic" w:cs="Arial"/>
          <w:b/>
        </w:rPr>
      </w:pPr>
      <w:r>
        <w:rPr>
          <w:rFonts w:ascii="Century Gothic" w:hAnsi="Century Gothic" w:cs="Arial"/>
          <w:b/>
        </w:rPr>
        <w:t>Bucle Activo.</w:t>
      </w:r>
    </w:p>
    <w:p w:rsidR="00277ED2" w:rsidRPr="00611019" w:rsidRDefault="00E56462" w:rsidP="00035D2C">
      <w:pPr>
        <w:spacing w:after="6pt"/>
        <w:jc w:val="both"/>
        <w:rPr>
          <w:rFonts w:ascii="Century Gothic" w:hAnsi="Century Gothic" w:cs="Arial"/>
        </w:rPr>
      </w:pPr>
      <w:r>
        <w:rPr>
          <w:rFonts w:ascii="Century Gothic" w:hAnsi="Century Gothic" w:cs="Arial"/>
        </w:rPr>
        <w:t>Premisas: Usuario con servicio activo de datos y/o voz.</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Mecánica para calificar el bucle y determinar el ancho de banda por distancia: </w:t>
      </w:r>
    </w:p>
    <w:p w:rsidR="00277ED2" w:rsidRPr="00611019" w:rsidRDefault="00E56462" w:rsidP="00035D2C">
      <w:pPr>
        <w:spacing w:after="6pt"/>
        <w:ind w:start="28.35pt" w:hanging="28.35pt"/>
        <w:jc w:val="both"/>
        <w:rPr>
          <w:rFonts w:ascii="Century Gothic" w:hAnsi="Century Gothic" w:cs="Arial"/>
          <w:b/>
          <w:bCs/>
          <w:color w:val="403152"/>
          <w:lang w:eastAsia="es-MX"/>
        </w:rPr>
      </w:pPr>
      <w:r>
        <w:rPr>
          <w:rFonts w:ascii="Century Gothic" w:eastAsia="Calibri" w:hAnsi="Century Gothic" w:cs="Arial"/>
          <w:b/>
          <w:bCs/>
          <w:color w:val="403152"/>
          <w:lang w:eastAsia="es-MX"/>
        </w:rPr>
        <w:t>1)</w:t>
      </w:r>
      <w:r>
        <w:rPr>
          <w:rFonts w:ascii="Century Gothic" w:eastAsia="Calibri" w:hAnsi="Century Gothic" w:cs="Arial"/>
          <w:b/>
          <w:bCs/>
          <w:color w:val="403152"/>
          <w:lang w:eastAsia="es-MX"/>
        </w:rPr>
        <w:tab/>
      </w:r>
      <w:r>
        <w:rPr>
          <w:rFonts w:ascii="Century Gothic" w:hAnsi="Century Gothic" w:cs="Arial"/>
        </w:rPr>
        <w:t>Para determinar la distancia del bucle se realizará una prueba eléctrica utilizando las facilidades de Central Telefónica o las cabezas de prueba vigentes</w:t>
      </w:r>
      <w:r>
        <w:rPr>
          <w:rStyle w:val="Refdenotaalpie"/>
          <w:rFonts w:ascii="Century Gothic" w:hAnsi="Century Gothic" w:cs="Arial"/>
        </w:rPr>
        <w:footnoteReference w:id="4"/>
      </w:r>
      <w:r>
        <w:rPr>
          <w:rFonts w:ascii="Century Gothic" w:hAnsi="Century Gothic" w:cs="Arial"/>
        </w:rPr>
        <w:t>. Como ejemplo se muestran los resultados de una medición donde se observa la resistencia de aislamiento y capacitancia para un bucle en específico:</w:t>
      </w:r>
    </w:p>
    <w:tbl>
      <w:tblPr>
        <w:tblStyle w:val="Tabladelista3-nfasis12"/>
        <w:tblW w:w="0pt" w:type="dxa"/>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CellMar>
          <w:start w:w="2.80pt" w:type="dxa"/>
          <w:end w:w="2.80pt" w:type="dxa"/>
        </w:tblCellMar>
        <w:tblLook w:firstRow="1" w:lastRow="0" w:firstColumn="1" w:lastColumn="0" w:noHBand="0" w:noVBand="1"/>
      </w:tblPr>
      <w:tblGrid>
        <w:gridCol w:w="1097"/>
        <w:gridCol w:w="1098"/>
        <w:gridCol w:w="1098"/>
        <w:gridCol w:w="1027"/>
        <w:gridCol w:w="1349"/>
        <w:gridCol w:w="1349"/>
        <w:gridCol w:w="1349"/>
        <w:gridCol w:w="1027"/>
      </w:tblGrid>
      <w:tr w:rsidR="0061711D" w:rsidTr="0061711D">
        <w:trPr>
          <w:cnfStyle w:firstRow="1" w:lastRow="0" w:firstColumn="0" w:lastColumn="0" w:oddVBand="0" w:evenVBand="0" w:oddHBand="0" w:evenHBand="0" w:firstRowFirstColumn="0" w:firstRowLastColumn="0" w:lastRowFirstColumn="0" w:lastRowLastColumn="0"/>
        </w:trPr>
        <w:tc>
          <w:tcPr>
            <w:cnfStyle w:firstRow="0" w:lastRow="0" w:firstColumn="1" w:lastColumn="0" w:oddVBand="0" w:evenVBand="0" w:oddHBand="0" w:evenHBand="0" w:firstRowFirstColumn="1" w:firstRowLastColumn="0" w:lastRowFirstColumn="0" w:lastRowLastColumn="0"/>
            <w:tcW w:w="55.15pt" w:type="dxa"/>
            <w:shd w:val="clear" w:color="auto" w:fill="009AD9"/>
            <w:vAlign w:val="center"/>
          </w:tcPr>
          <w:p w:rsidR="00277ED2" w:rsidRPr="00611019" w:rsidRDefault="00E56462" w:rsidP="00035D2C">
            <w:pPr>
              <w:pStyle w:val="TableTitle"/>
              <w:spacing w:before="1pt" w:after="1pt" w:line="13.80pt" w:lineRule="auto"/>
              <w:rPr>
                <w:rFonts w:ascii="Century Gothic" w:hAnsi="Century Gothic"/>
                <w:b/>
                <w:color w:val="FFFFFF" w:themeColor="background1"/>
                <w:sz w:val="18"/>
                <w:szCs w:val="22"/>
                <w:lang w:val="es-MX"/>
              </w:rPr>
            </w:pPr>
            <w:r>
              <w:rPr>
                <w:rFonts w:ascii="Century Gothic" w:hAnsi="Century Gothic"/>
                <w:color w:val="FFFFFF" w:themeColor="background1"/>
                <w:sz w:val="18"/>
                <w:szCs w:val="22"/>
                <w:lang w:val="es-MX"/>
              </w:rPr>
              <w:t>Resistencia AB</w:t>
            </w:r>
          </w:p>
        </w:tc>
        <w:tc>
          <w:tcPr>
            <w:tcW w:w="55.15pt" w:type="dxa"/>
            <w:shd w:val="clear" w:color="auto" w:fill="009AD9"/>
            <w:vAlign w:val="center"/>
          </w:tcPr>
          <w:p w:rsidR="00277ED2" w:rsidRPr="00611019" w:rsidRDefault="00E56462" w:rsidP="00035D2C">
            <w:pPr>
              <w:pStyle w:val="TableTitle"/>
              <w:spacing w:before="1pt" w:after="1pt" w:line="13.80pt" w:lineRule="auto"/>
              <w:cnfStyle w:firstRow="1" w:lastRow="0" w:firstColumn="0" w:lastColumn="0" w:oddVBand="0" w:evenVBand="0" w:oddHBand="0" w:evenHBand="0" w:firstRowFirstColumn="0" w:firstRowLastColumn="0" w:lastRowFirstColumn="0" w:lastRowLastColumn="0"/>
              <w:rPr>
                <w:rFonts w:ascii="Century Gothic" w:hAnsi="Century Gothic"/>
                <w:b/>
                <w:color w:val="FFFFFF" w:themeColor="background1"/>
                <w:sz w:val="18"/>
                <w:szCs w:val="22"/>
                <w:lang w:val="es-MX"/>
              </w:rPr>
            </w:pPr>
            <w:r>
              <w:rPr>
                <w:rFonts w:ascii="Century Gothic" w:hAnsi="Century Gothic"/>
                <w:color w:val="FFFFFF" w:themeColor="background1"/>
                <w:sz w:val="18"/>
                <w:szCs w:val="22"/>
                <w:lang w:val="es-MX"/>
              </w:rPr>
              <w:t>Resistencia AT</w:t>
            </w:r>
          </w:p>
        </w:tc>
        <w:tc>
          <w:tcPr>
            <w:tcW w:w="55.20pt" w:type="dxa"/>
            <w:shd w:val="clear" w:color="auto" w:fill="009AD9"/>
            <w:vAlign w:val="center"/>
          </w:tcPr>
          <w:p w:rsidR="00277ED2" w:rsidRPr="00611019" w:rsidRDefault="00E56462" w:rsidP="00035D2C">
            <w:pPr>
              <w:pStyle w:val="TableTitle"/>
              <w:spacing w:before="1pt" w:after="1pt" w:line="13.80pt" w:lineRule="auto"/>
              <w:cnfStyle w:firstRow="1" w:lastRow="0" w:firstColumn="0" w:lastColumn="0" w:oddVBand="0" w:evenVBand="0" w:oddHBand="0" w:evenHBand="0" w:firstRowFirstColumn="0" w:firstRowLastColumn="0" w:lastRowFirstColumn="0" w:lastRowLastColumn="0"/>
              <w:rPr>
                <w:rFonts w:ascii="Century Gothic" w:hAnsi="Century Gothic"/>
                <w:b/>
                <w:color w:val="FFFFFF" w:themeColor="background1"/>
                <w:sz w:val="18"/>
                <w:szCs w:val="22"/>
                <w:lang w:val="es-MX"/>
              </w:rPr>
            </w:pPr>
            <w:r>
              <w:rPr>
                <w:rFonts w:ascii="Century Gothic" w:hAnsi="Century Gothic"/>
                <w:color w:val="FFFFFF" w:themeColor="background1"/>
                <w:sz w:val="18"/>
                <w:szCs w:val="22"/>
                <w:lang w:val="es-MX"/>
              </w:rPr>
              <w:t>Resistencia BT</w:t>
            </w:r>
          </w:p>
        </w:tc>
        <w:tc>
          <w:tcPr>
            <w:tcW w:w="55.20pt" w:type="dxa"/>
            <w:shd w:val="clear" w:color="auto" w:fill="009AD9"/>
            <w:vAlign w:val="center"/>
          </w:tcPr>
          <w:p w:rsidR="00277ED2" w:rsidRPr="00611019" w:rsidRDefault="00E56462" w:rsidP="00035D2C">
            <w:pPr>
              <w:pStyle w:val="TableTitle"/>
              <w:spacing w:before="1pt" w:after="1pt" w:line="13.80pt" w:lineRule="auto"/>
              <w:cnfStyle w:firstRow="1" w:lastRow="0" w:firstColumn="0" w:lastColumn="0" w:oddVBand="0" w:evenVBand="0" w:oddHBand="0" w:evenHBand="0" w:firstRowFirstColumn="0" w:firstRowLastColumn="0" w:lastRowFirstColumn="0" w:lastRowLastColumn="0"/>
              <w:rPr>
                <w:rFonts w:ascii="Century Gothic" w:hAnsi="Century Gothic"/>
                <w:b/>
                <w:color w:val="FFFFFF" w:themeColor="background1"/>
                <w:sz w:val="18"/>
                <w:szCs w:val="22"/>
                <w:lang w:val="es-MX"/>
              </w:rPr>
            </w:pPr>
            <w:r>
              <w:rPr>
                <w:rFonts w:ascii="Century Gothic" w:hAnsi="Century Gothic"/>
                <w:color w:val="FFFFFF" w:themeColor="background1"/>
                <w:sz w:val="18"/>
                <w:szCs w:val="22"/>
                <w:lang w:val="es-MX"/>
              </w:rPr>
              <w:t>Unidad</w:t>
            </w:r>
          </w:p>
        </w:tc>
        <w:tc>
          <w:tcPr>
            <w:tcW w:w="55.20pt" w:type="dxa"/>
            <w:shd w:val="clear" w:color="auto" w:fill="009AD9"/>
            <w:vAlign w:val="center"/>
          </w:tcPr>
          <w:p w:rsidR="00277ED2" w:rsidRPr="00611019" w:rsidRDefault="00E56462" w:rsidP="00035D2C">
            <w:pPr>
              <w:pStyle w:val="TableTitle"/>
              <w:spacing w:before="1pt" w:after="1pt" w:line="13.80pt" w:lineRule="auto"/>
              <w:cnfStyle w:firstRow="1" w:lastRow="0" w:firstColumn="0" w:lastColumn="0" w:oddVBand="0" w:evenVBand="0" w:oddHBand="0" w:evenHBand="0" w:firstRowFirstColumn="0" w:firstRowLastColumn="0" w:lastRowFirstColumn="0" w:lastRowLastColumn="0"/>
              <w:rPr>
                <w:rFonts w:ascii="Century Gothic" w:hAnsi="Century Gothic"/>
                <w:b/>
                <w:color w:val="FFFFFF" w:themeColor="background1"/>
                <w:sz w:val="18"/>
                <w:szCs w:val="22"/>
                <w:lang w:val="es-MX"/>
              </w:rPr>
            </w:pPr>
            <w:r>
              <w:rPr>
                <w:rFonts w:ascii="Century Gothic" w:hAnsi="Century Gothic"/>
                <w:color w:val="FFFFFF" w:themeColor="background1"/>
                <w:sz w:val="18"/>
                <w:szCs w:val="22"/>
                <w:lang w:val="es-MX"/>
              </w:rPr>
              <w:t>Capacitancia AB</w:t>
            </w:r>
          </w:p>
        </w:tc>
        <w:tc>
          <w:tcPr>
            <w:tcW w:w="55.20pt" w:type="dxa"/>
            <w:shd w:val="clear" w:color="auto" w:fill="009AD9"/>
            <w:vAlign w:val="center"/>
          </w:tcPr>
          <w:p w:rsidR="00277ED2" w:rsidRPr="00611019" w:rsidRDefault="00E56462" w:rsidP="00035D2C">
            <w:pPr>
              <w:pStyle w:val="TableTitle"/>
              <w:spacing w:before="1pt" w:after="1pt" w:line="13.80pt" w:lineRule="auto"/>
              <w:cnfStyle w:firstRow="1" w:lastRow="0" w:firstColumn="0" w:lastColumn="0" w:oddVBand="0" w:evenVBand="0" w:oddHBand="0" w:evenHBand="0" w:firstRowFirstColumn="0" w:firstRowLastColumn="0" w:lastRowFirstColumn="0" w:lastRowLastColumn="0"/>
              <w:rPr>
                <w:rFonts w:ascii="Century Gothic" w:hAnsi="Century Gothic"/>
                <w:b/>
                <w:color w:val="FFFFFF" w:themeColor="background1"/>
                <w:sz w:val="18"/>
                <w:szCs w:val="22"/>
                <w:lang w:val="es-MX"/>
              </w:rPr>
            </w:pPr>
            <w:r>
              <w:rPr>
                <w:rFonts w:ascii="Century Gothic" w:hAnsi="Century Gothic"/>
                <w:color w:val="FFFFFF" w:themeColor="background1"/>
                <w:sz w:val="18"/>
                <w:szCs w:val="22"/>
                <w:lang w:val="es-MX"/>
              </w:rPr>
              <w:t>Capacitancia AT</w:t>
            </w:r>
          </w:p>
        </w:tc>
        <w:tc>
          <w:tcPr>
            <w:tcW w:w="55.20pt" w:type="dxa"/>
            <w:shd w:val="clear" w:color="auto" w:fill="009AD9"/>
            <w:vAlign w:val="center"/>
          </w:tcPr>
          <w:p w:rsidR="00277ED2" w:rsidRPr="00611019" w:rsidRDefault="00E56462" w:rsidP="00035D2C">
            <w:pPr>
              <w:pStyle w:val="TableTitle"/>
              <w:spacing w:before="1pt" w:after="1pt" w:line="13.80pt" w:lineRule="auto"/>
              <w:cnfStyle w:firstRow="1" w:lastRow="0" w:firstColumn="0" w:lastColumn="0" w:oddVBand="0" w:evenVBand="0" w:oddHBand="0" w:evenHBand="0" w:firstRowFirstColumn="0" w:firstRowLastColumn="0" w:lastRowFirstColumn="0" w:lastRowLastColumn="0"/>
              <w:rPr>
                <w:rFonts w:ascii="Century Gothic" w:hAnsi="Century Gothic"/>
                <w:b/>
                <w:color w:val="FFFFFF" w:themeColor="background1"/>
                <w:sz w:val="18"/>
                <w:szCs w:val="22"/>
                <w:lang w:val="es-MX"/>
              </w:rPr>
            </w:pPr>
            <w:r>
              <w:rPr>
                <w:rFonts w:ascii="Century Gothic" w:hAnsi="Century Gothic"/>
                <w:color w:val="FFFFFF" w:themeColor="background1"/>
                <w:sz w:val="18"/>
                <w:szCs w:val="22"/>
                <w:lang w:val="es-MX"/>
              </w:rPr>
              <w:t>Capacitancia BT</w:t>
            </w:r>
          </w:p>
        </w:tc>
        <w:tc>
          <w:tcPr>
            <w:tcW w:w="55.20pt" w:type="dxa"/>
            <w:shd w:val="clear" w:color="auto" w:fill="009AD9"/>
            <w:vAlign w:val="center"/>
          </w:tcPr>
          <w:p w:rsidR="00277ED2" w:rsidRPr="00611019" w:rsidRDefault="00E56462" w:rsidP="00035D2C">
            <w:pPr>
              <w:pStyle w:val="TableTitle"/>
              <w:spacing w:before="1pt" w:after="1pt" w:line="13.80pt" w:lineRule="auto"/>
              <w:cnfStyle w:firstRow="1" w:lastRow="0" w:firstColumn="0" w:lastColumn="0" w:oddVBand="0" w:evenVBand="0" w:oddHBand="0" w:evenHBand="0" w:firstRowFirstColumn="0" w:firstRowLastColumn="0" w:lastRowFirstColumn="0" w:lastRowLastColumn="0"/>
              <w:rPr>
                <w:rFonts w:ascii="Century Gothic" w:hAnsi="Century Gothic"/>
                <w:b/>
                <w:color w:val="FFFFFF" w:themeColor="background1"/>
                <w:sz w:val="18"/>
                <w:szCs w:val="22"/>
                <w:lang w:val="es-MX"/>
              </w:rPr>
            </w:pPr>
            <w:r>
              <w:rPr>
                <w:rFonts w:ascii="Century Gothic" w:hAnsi="Century Gothic"/>
                <w:color w:val="FFFFFF" w:themeColor="background1"/>
                <w:sz w:val="18"/>
                <w:szCs w:val="22"/>
                <w:lang w:val="es-MX"/>
              </w:rPr>
              <w:t>Unidad</w:t>
            </w:r>
          </w:p>
        </w:tc>
      </w:tr>
      <w:tr w:rsidR="0061711D" w:rsidTr="0061711D">
        <w:trPr>
          <w:cnfStyle w:firstRow="0" w:lastRow="0" w:firstColumn="0" w:lastColumn="0" w:oddVBand="0" w:evenVBand="0" w:oddHBand="1" w:evenHBand="0" w:firstRowFirstColumn="0" w:firstRowLastColumn="0" w:lastRowFirstColumn="0" w:lastRowLastColumn="0"/>
        </w:trPr>
        <w:tc>
          <w:tcPr>
            <w:cnfStyle w:firstRow="0" w:lastRow="0" w:firstColumn="1" w:lastColumn="0" w:oddVBand="0" w:evenVBand="0" w:oddHBand="0" w:evenHBand="0" w:firstRowFirstColumn="0" w:firstRowLastColumn="0" w:lastRowFirstColumn="0" w:lastRowLastColumn="0"/>
            <w:tcW w:w="55.15pt" w:type="dxa"/>
            <w:vAlign w:val="center"/>
          </w:tcPr>
          <w:p w:rsidR="00277ED2" w:rsidRPr="00611019" w:rsidRDefault="00E56462" w:rsidP="00035D2C">
            <w:pPr>
              <w:spacing w:before="1pt" w:after="1pt"/>
              <w:jc w:val="center"/>
              <w:rPr>
                <w:rFonts w:ascii="Century Gothic" w:hAnsi="Century Gothic" w:cs="Arial"/>
                <w:b w:val="0"/>
                <w:bCs w:val="0"/>
                <w:sz w:val="16"/>
                <w:szCs w:val="16"/>
                <w:lang w:eastAsia="es-MX"/>
              </w:rPr>
            </w:pPr>
            <w:r>
              <w:rPr>
                <w:rFonts w:ascii="Century Gothic" w:hAnsi="Century Gothic" w:cs="Arial"/>
                <w:sz w:val="16"/>
                <w:szCs w:val="16"/>
                <w:lang w:eastAsia="es-MX"/>
              </w:rPr>
              <w:t>1.15</w:t>
            </w:r>
          </w:p>
        </w:tc>
        <w:tc>
          <w:tcPr>
            <w:tcW w:w="55.15pt" w:type="dxa"/>
            <w:vAlign w:val="center"/>
          </w:tcPr>
          <w:p w:rsidR="00277ED2" w:rsidRPr="00611019" w:rsidRDefault="00E56462" w:rsidP="00035D2C">
            <w:pPr>
              <w:spacing w:before="1pt" w:after="1pt"/>
              <w:jc w:val="center"/>
              <w:cnfStyle w:firstRow="0" w:lastRow="0" w:firstColumn="0" w:lastColumn="0" w:oddVBand="0" w:evenVBand="0" w:oddHBand="1" w:evenHBand="0" w:firstRowFirstColumn="0" w:firstRowLastColumn="0" w:lastRowFirstColumn="0" w:lastRowLastColumn="0"/>
              <w:rPr>
                <w:rFonts w:ascii="Century Gothic" w:hAnsi="Century Gothic" w:cs="Arial"/>
                <w:sz w:val="16"/>
                <w:szCs w:val="16"/>
                <w:lang w:eastAsia="es-MX"/>
              </w:rPr>
            </w:pPr>
            <w:r>
              <w:rPr>
                <w:rFonts w:ascii="Century Gothic" w:hAnsi="Century Gothic" w:cs="Arial"/>
                <w:sz w:val="16"/>
                <w:szCs w:val="16"/>
                <w:lang w:eastAsia="es-MX"/>
              </w:rPr>
              <w:t>1.19</w:t>
            </w:r>
          </w:p>
        </w:tc>
        <w:tc>
          <w:tcPr>
            <w:tcW w:w="55.20pt" w:type="dxa"/>
            <w:vAlign w:val="center"/>
          </w:tcPr>
          <w:p w:rsidR="00277ED2" w:rsidRPr="00611019" w:rsidRDefault="00E56462" w:rsidP="00035D2C">
            <w:pPr>
              <w:spacing w:before="1pt" w:after="1pt"/>
              <w:jc w:val="center"/>
              <w:cnfStyle w:firstRow="0" w:lastRow="0" w:firstColumn="0" w:lastColumn="0" w:oddVBand="0" w:evenVBand="0" w:oddHBand="1" w:evenHBand="0" w:firstRowFirstColumn="0" w:firstRowLastColumn="0" w:lastRowFirstColumn="0" w:lastRowLastColumn="0"/>
              <w:rPr>
                <w:rFonts w:ascii="Century Gothic" w:hAnsi="Century Gothic" w:cs="Arial"/>
                <w:sz w:val="16"/>
                <w:szCs w:val="16"/>
                <w:lang w:eastAsia="es-MX"/>
              </w:rPr>
            </w:pPr>
            <w:r>
              <w:rPr>
                <w:rFonts w:ascii="Century Gothic" w:hAnsi="Century Gothic" w:cs="Arial"/>
                <w:sz w:val="16"/>
                <w:szCs w:val="16"/>
                <w:lang w:eastAsia="es-MX"/>
              </w:rPr>
              <w:t>1.89</w:t>
            </w:r>
          </w:p>
        </w:tc>
        <w:tc>
          <w:tcPr>
            <w:tcW w:w="55.20pt" w:type="dxa"/>
            <w:vAlign w:val="center"/>
          </w:tcPr>
          <w:p w:rsidR="00277ED2" w:rsidRPr="00611019" w:rsidRDefault="00E56462" w:rsidP="00035D2C">
            <w:pPr>
              <w:spacing w:before="1pt" w:after="1pt"/>
              <w:jc w:val="center"/>
              <w:cnfStyle w:firstRow="0" w:lastRow="0" w:firstColumn="0" w:lastColumn="0" w:oddVBand="0" w:evenVBand="0" w:oddHBand="1" w:evenHBand="0" w:firstRowFirstColumn="0" w:firstRowLastColumn="0" w:lastRowFirstColumn="0" w:lastRowLastColumn="0"/>
              <w:rPr>
                <w:rFonts w:ascii="Century Gothic" w:hAnsi="Century Gothic" w:cs="Arial"/>
                <w:sz w:val="16"/>
                <w:szCs w:val="16"/>
                <w:lang w:eastAsia="es-MX"/>
              </w:rPr>
            </w:pPr>
            <w:r>
              <w:rPr>
                <w:rFonts w:ascii="Century Gothic" w:hAnsi="Century Gothic" w:cs="Arial"/>
                <w:sz w:val="16"/>
                <w:szCs w:val="16"/>
                <w:lang w:eastAsia="es-MX"/>
              </w:rPr>
              <w:t>Mohms</w:t>
            </w:r>
          </w:p>
        </w:tc>
        <w:tc>
          <w:tcPr>
            <w:tcW w:w="55.20pt" w:type="dxa"/>
            <w:vAlign w:val="center"/>
          </w:tcPr>
          <w:p w:rsidR="00277ED2" w:rsidRPr="00611019" w:rsidRDefault="00E56462" w:rsidP="00035D2C">
            <w:pPr>
              <w:spacing w:before="1pt" w:after="1pt"/>
              <w:jc w:val="center"/>
              <w:cnfStyle w:firstRow="0" w:lastRow="0" w:firstColumn="0" w:lastColumn="0" w:oddVBand="0" w:evenVBand="0" w:oddHBand="1" w:evenHBand="0" w:firstRowFirstColumn="0" w:firstRowLastColumn="0" w:lastRowFirstColumn="0" w:lastRowLastColumn="0"/>
              <w:rPr>
                <w:rFonts w:ascii="Century Gothic" w:hAnsi="Century Gothic" w:cs="Arial"/>
                <w:sz w:val="16"/>
                <w:szCs w:val="16"/>
                <w:lang w:eastAsia="es-MX"/>
              </w:rPr>
            </w:pPr>
            <w:r>
              <w:rPr>
                <w:rFonts w:ascii="Century Gothic" w:hAnsi="Century Gothic" w:cs="Arial"/>
                <w:sz w:val="16"/>
                <w:szCs w:val="16"/>
                <w:lang w:eastAsia="es-MX"/>
              </w:rPr>
              <w:t>51.88</w:t>
            </w:r>
          </w:p>
        </w:tc>
        <w:tc>
          <w:tcPr>
            <w:tcW w:w="55.20pt" w:type="dxa"/>
            <w:vAlign w:val="center"/>
          </w:tcPr>
          <w:p w:rsidR="00277ED2" w:rsidRPr="00611019" w:rsidRDefault="00E56462" w:rsidP="00035D2C">
            <w:pPr>
              <w:spacing w:before="1pt" w:after="1pt"/>
              <w:jc w:val="center"/>
              <w:cnfStyle w:firstRow="0" w:lastRow="0" w:firstColumn="0" w:lastColumn="0" w:oddVBand="0" w:evenVBand="0" w:oddHBand="1" w:evenHBand="0" w:firstRowFirstColumn="0" w:firstRowLastColumn="0" w:lastRowFirstColumn="0" w:lastRowLastColumn="0"/>
              <w:rPr>
                <w:rFonts w:ascii="Century Gothic" w:hAnsi="Century Gothic" w:cs="Arial"/>
                <w:sz w:val="16"/>
                <w:szCs w:val="16"/>
                <w:lang w:eastAsia="es-MX"/>
              </w:rPr>
            </w:pPr>
            <w:r>
              <w:rPr>
                <w:rFonts w:ascii="Century Gothic" w:hAnsi="Century Gothic" w:cs="Arial"/>
                <w:sz w:val="16"/>
                <w:szCs w:val="16"/>
                <w:lang w:eastAsia="es-MX"/>
              </w:rPr>
              <w:t>63.98</w:t>
            </w:r>
          </w:p>
        </w:tc>
        <w:tc>
          <w:tcPr>
            <w:tcW w:w="55.20pt" w:type="dxa"/>
            <w:vAlign w:val="center"/>
          </w:tcPr>
          <w:p w:rsidR="00277ED2" w:rsidRPr="00611019" w:rsidRDefault="00E56462" w:rsidP="00035D2C">
            <w:pPr>
              <w:spacing w:before="1pt" w:after="1pt"/>
              <w:jc w:val="center"/>
              <w:cnfStyle w:firstRow="0" w:lastRow="0" w:firstColumn="0" w:lastColumn="0" w:oddVBand="0" w:evenVBand="0" w:oddHBand="1" w:evenHBand="0" w:firstRowFirstColumn="0" w:firstRowLastColumn="0" w:lastRowFirstColumn="0" w:lastRowLastColumn="0"/>
              <w:rPr>
                <w:rFonts w:ascii="Century Gothic" w:hAnsi="Century Gothic" w:cs="Arial"/>
                <w:sz w:val="16"/>
                <w:szCs w:val="16"/>
                <w:lang w:eastAsia="es-MX"/>
              </w:rPr>
            </w:pPr>
            <w:r>
              <w:rPr>
                <w:rFonts w:ascii="Century Gothic" w:hAnsi="Century Gothic" w:cs="Arial"/>
                <w:sz w:val="16"/>
                <w:szCs w:val="16"/>
                <w:lang w:eastAsia="es-MX"/>
              </w:rPr>
              <w:t>64.6</w:t>
            </w:r>
          </w:p>
        </w:tc>
        <w:tc>
          <w:tcPr>
            <w:tcW w:w="55.20pt" w:type="dxa"/>
            <w:vAlign w:val="center"/>
          </w:tcPr>
          <w:p w:rsidR="00277ED2" w:rsidRPr="00611019" w:rsidRDefault="00E56462" w:rsidP="00035D2C">
            <w:pPr>
              <w:spacing w:before="1pt" w:after="1pt"/>
              <w:jc w:val="center"/>
              <w:cnfStyle w:firstRow="0" w:lastRow="0" w:firstColumn="0" w:lastColumn="0" w:oddVBand="0" w:evenVBand="0" w:oddHBand="1" w:evenHBand="0" w:firstRowFirstColumn="0" w:firstRowLastColumn="0" w:lastRowFirstColumn="0" w:lastRowLastColumn="0"/>
              <w:rPr>
                <w:rFonts w:ascii="Century Gothic" w:hAnsi="Century Gothic" w:cs="Arial"/>
                <w:sz w:val="16"/>
                <w:szCs w:val="16"/>
                <w:lang w:eastAsia="es-MX"/>
              </w:rPr>
            </w:pPr>
            <w:r>
              <w:rPr>
                <w:rFonts w:ascii="Century Gothic" w:hAnsi="Century Gothic" w:cs="Arial"/>
                <w:sz w:val="16"/>
                <w:szCs w:val="16"/>
                <w:lang w:eastAsia="es-MX"/>
              </w:rPr>
              <w:t>nF</w:t>
            </w:r>
          </w:p>
        </w:tc>
      </w:tr>
    </w:tbl>
    <w:p w:rsidR="00277ED2" w:rsidRPr="00611019" w:rsidRDefault="00E56462" w:rsidP="00035D2C">
      <w:pPr>
        <w:spacing w:after="6pt"/>
        <w:jc w:val="center"/>
        <w:rPr>
          <w:rFonts w:ascii="Century Gothic" w:hAnsi="Century Gothic" w:cs="Arial"/>
          <w:b/>
          <w:sz w:val="20"/>
          <w:szCs w:val="20"/>
        </w:rPr>
      </w:pPr>
      <w:r>
        <w:rPr>
          <w:rFonts w:ascii="Century Gothic" w:hAnsi="Century Gothic" w:cs="Arial"/>
          <w:b/>
          <w:sz w:val="20"/>
          <w:szCs w:val="20"/>
        </w:rPr>
        <w:t>Ejemplo de los parámetros para el servicio de voz en cobre</w:t>
      </w:r>
    </w:p>
    <w:p w:rsidR="00277ED2" w:rsidRPr="00611019" w:rsidRDefault="00E56462" w:rsidP="00035D2C">
      <w:pPr>
        <w:pStyle w:val="CondicionesFinales"/>
        <w:spacing w:after="6pt"/>
        <w:ind w:start="0pt" w:end="0pt"/>
        <w:rPr>
          <w:rFonts w:ascii="Century Gothic" w:hAnsi="Century Gothic"/>
          <w:color w:val="auto"/>
          <w:lang w:val="es-MX"/>
        </w:rPr>
      </w:pPr>
      <w:r>
        <w:rPr>
          <w:rFonts w:ascii="Century Gothic" w:hAnsi="Century Gothic"/>
          <w:color w:val="auto"/>
          <w:lang w:val="es-MX"/>
        </w:rPr>
        <w:t>Cada prueba realizada que implique el uso de un equipo de medición deberá ser ejecutada una vez confirmado el correcto funcionamiento de dicho equipo. Estos equipos deberán contar con su certificado o dictamen de calibración de acuerdo con las disposiciones aplicables.</w:t>
      </w:r>
    </w:p>
    <w:p w:rsidR="00277ED2" w:rsidRPr="00611019" w:rsidRDefault="00E56462" w:rsidP="00035D2C">
      <w:pPr>
        <w:pStyle w:val="CondicionesFinales"/>
        <w:tabs>
          <w:tab w:val="start" w:pos="425.25pt"/>
        </w:tabs>
        <w:spacing w:after="6pt"/>
        <w:ind w:start="0pt" w:end="0pt"/>
        <w:rPr>
          <w:rFonts w:ascii="Century Gothic" w:hAnsi="Century Gothic"/>
          <w:color w:val="auto"/>
          <w:lang w:val="es-MX"/>
        </w:rPr>
      </w:pPr>
      <w:r>
        <w:rPr>
          <w:rFonts w:ascii="Century Gothic" w:hAnsi="Century Gothic"/>
          <w:color w:val="auto"/>
          <w:lang w:val="es-MX"/>
        </w:rPr>
        <w:t>En el ejemplo la medición de la distancia se calcula con base en la siguiente fórmula:</w:t>
      </w:r>
    </w:p>
    <w:tbl>
      <w:tblPr>
        <w:tblpPr w:leftFromText="141" w:rightFromText="141" w:vertAnchor="text" w:horzAnchor="margin" w:tblpXSpec="center" w:tblpY="139"/>
        <w:tblW w:w="0pt" w:type="dxa"/>
        <w:tblCellMar>
          <w:start w:w="0pt" w:type="dxa"/>
          <w:end w:w="0pt" w:type="dxa"/>
        </w:tblCellMar>
        <w:tblLook w:firstRow="1" w:lastRow="0" w:firstColumn="1" w:lastColumn="0" w:noHBand="0" w:noVBand="1"/>
      </w:tblPr>
      <w:tblGrid>
        <w:gridCol w:w="2507"/>
        <w:gridCol w:w="3305"/>
      </w:tblGrid>
      <w:tr w:rsidR="0061711D" w:rsidRPr="00F645E5" w:rsidTr="00611019">
        <w:trPr>
          <w:cantSplit/>
        </w:trPr>
        <w:tc>
          <w:tcPr>
            <w:tcW w:w="125.35pt" w:type="dxa"/>
            <w:vMerge w:val="restart"/>
            <w:tcMar>
              <w:top w:w="0pt" w:type="dxa"/>
              <w:start w:w="3.50pt" w:type="dxa"/>
              <w:bottom w:w="0pt" w:type="dxa"/>
              <w:end w:w="3.50pt" w:type="dxa"/>
            </w:tcMar>
            <w:vAlign w:val="center"/>
            <w:hideMark/>
          </w:tcPr>
          <w:p w:rsidR="00277ED2" w:rsidRPr="00F645E5" w:rsidRDefault="00E56462" w:rsidP="00035D2C">
            <w:pPr>
              <w:spacing w:after="6pt"/>
              <w:rPr>
                <w:rFonts w:ascii="Century Gothic" w:hAnsi="Century Gothic" w:cs="Arial"/>
                <w:sz w:val="20"/>
                <w:szCs w:val="20"/>
              </w:rPr>
            </w:pPr>
            <w:r w:rsidRPr="00F645E5">
              <w:rPr>
                <w:rFonts w:ascii="Century Gothic" w:hAnsi="Century Gothic" w:cs="Arial"/>
                <w:b/>
                <w:i/>
                <w:sz w:val="20"/>
                <w:szCs w:val="20"/>
              </w:rPr>
              <w:t xml:space="preserve">Distancia (Km) = </w:t>
            </w:r>
          </w:p>
        </w:tc>
        <w:tc>
          <w:tcPr>
            <w:tcW w:w="165.25pt" w:type="dxa"/>
            <w:tcBorders>
              <w:top w:val="nil"/>
              <w:start w:val="nil"/>
              <w:bottom w:val="single" w:sz="18" w:space="0" w:color="auto"/>
              <w:end w:val="nil"/>
            </w:tcBorders>
            <w:tcMar>
              <w:top w:w="0pt" w:type="dxa"/>
              <w:start w:w="3.50pt" w:type="dxa"/>
              <w:bottom w:w="0pt" w:type="dxa"/>
              <w:end w:w="3.50pt" w:type="dxa"/>
            </w:tcMar>
            <w:vAlign w:val="center"/>
            <w:hideMark/>
          </w:tcPr>
          <w:p w:rsidR="00277ED2" w:rsidRPr="00F645E5" w:rsidRDefault="00E56462" w:rsidP="00035D2C">
            <w:pPr>
              <w:spacing w:after="6pt"/>
              <w:jc w:val="center"/>
              <w:rPr>
                <w:rFonts w:ascii="Century Gothic" w:hAnsi="Century Gothic" w:cs="Arial"/>
                <w:sz w:val="20"/>
                <w:szCs w:val="20"/>
              </w:rPr>
            </w:pPr>
            <w:r w:rsidRPr="00F645E5">
              <w:rPr>
                <w:rFonts w:ascii="Century Gothic" w:hAnsi="Century Gothic" w:cs="Arial"/>
                <w:b/>
                <w:i/>
                <w:sz w:val="20"/>
                <w:szCs w:val="20"/>
              </w:rPr>
              <w:t>MIN(Cat, Cbt)</w:t>
            </w:r>
          </w:p>
        </w:tc>
      </w:tr>
      <w:tr w:rsidR="0061711D" w:rsidRPr="00F645E5" w:rsidTr="00611019">
        <w:trPr>
          <w:cantSplit/>
        </w:trPr>
        <w:tc>
          <w:tcPr>
            <w:tcW w:w="0pt" w:type="dxa"/>
            <w:vMerge/>
            <w:vAlign w:val="center"/>
            <w:hideMark/>
          </w:tcPr>
          <w:p w:rsidR="00277ED2" w:rsidRPr="00F645E5" w:rsidRDefault="00277ED2" w:rsidP="00035D2C">
            <w:pPr>
              <w:spacing w:after="6pt"/>
              <w:rPr>
                <w:rFonts w:ascii="Century Gothic" w:hAnsi="Century Gothic" w:cs="Arial"/>
                <w:sz w:val="20"/>
                <w:szCs w:val="20"/>
              </w:rPr>
            </w:pPr>
          </w:p>
        </w:tc>
        <w:tc>
          <w:tcPr>
            <w:tcW w:w="165.25pt" w:type="dxa"/>
            <w:tcMar>
              <w:top w:w="0pt" w:type="dxa"/>
              <w:start w:w="3.50pt" w:type="dxa"/>
              <w:bottom w:w="0pt" w:type="dxa"/>
              <w:end w:w="3.50pt" w:type="dxa"/>
            </w:tcMar>
            <w:vAlign w:val="center"/>
            <w:hideMark/>
          </w:tcPr>
          <w:p w:rsidR="00277ED2" w:rsidRPr="00F645E5" w:rsidRDefault="00E56462" w:rsidP="00035D2C">
            <w:pPr>
              <w:spacing w:after="6pt"/>
              <w:jc w:val="center"/>
              <w:rPr>
                <w:rFonts w:ascii="Century Gothic" w:hAnsi="Century Gothic" w:cs="Arial"/>
                <w:sz w:val="20"/>
                <w:szCs w:val="20"/>
              </w:rPr>
            </w:pPr>
            <w:r w:rsidRPr="00F645E5">
              <w:rPr>
                <w:rFonts w:ascii="Century Gothic" w:hAnsi="Century Gothic" w:cs="Arial"/>
                <w:b/>
                <w:i/>
                <w:sz w:val="20"/>
                <w:szCs w:val="20"/>
              </w:rPr>
              <w:t>64 nF/Km</w:t>
            </w:r>
          </w:p>
        </w:tc>
      </w:tr>
    </w:tbl>
    <w:p w:rsidR="00277ED2" w:rsidRDefault="00277ED2" w:rsidP="00035D2C">
      <w:pPr>
        <w:pStyle w:val="Prrafodelista"/>
        <w:spacing w:after="6pt"/>
        <w:rPr>
          <w:rFonts w:ascii="Century Gothic" w:hAnsi="Century Gothic" w:cs="Arial"/>
        </w:rPr>
      </w:pPr>
    </w:p>
    <w:p w:rsidR="00611019" w:rsidRPr="00611019" w:rsidRDefault="00611019" w:rsidP="00035D2C">
      <w:pPr>
        <w:pStyle w:val="Prrafodelista"/>
        <w:spacing w:after="6pt"/>
        <w:rPr>
          <w:rFonts w:ascii="Century Gothic" w:hAnsi="Century Gothic" w:cs="Arial"/>
        </w:rPr>
      </w:pPr>
    </w:p>
    <w:p w:rsidR="00277ED2" w:rsidRPr="00611019" w:rsidRDefault="00277ED2" w:rsidP="00035D2C">
      <w:pPr>
        <w:pStyle w:val="Prrafodelista"/>
        <w:spacing w:after="6pt"/>
        <w:rPr>
          <w:rFonts w:ascii="Century Gothic" w:hAnsi="Century Gothic" w:cs="Arial"/>
        </w:rPr>
      </w:pPr>
    </w:p>
    <w:p w:rsidR="00277ED2" w:rsidRPr="00611019" w:rsidRDefault="00E56462" w:rsidP="00035D2C">
      <w:pPr>
        <w:pStyle w:val="IFTnormal"/>
        <w:ind w:firstLine="35.45pt"/>
        <w:rPr>
          <w:rFonts w:ascii="Century Gothic" w:hAnsi="Century Gothic"/>
          <w:sz w:val="20"/>
          <w:szCs w:val="20"/>
        </w:rPr>
      </w:pPr>
      <w:r>
        <w:rPr>
          <w:rFonts w:ascii="Century Gothic" w:hAnsi="Century Gothic"/>
          <w:sz w:val="20"/>
          <w:szCs w:val="20"/>
        </w:rPr>
        <w:t>Donde:</w:t>
      </w:r>
    </w:p>
    <w:p w:rsidR="00277ED2" w:rsidRPr="00611019" w:rsidRDefault="00E56462" w:rsidP="00035D2C">
      <w:pPr>
        <w:pStyle w:val="IFTnormal"/>
        <w:ind w:start="106.30pt"/>
        <w:rPr>
          <w:rFonts w:ascii="Century Gothic" w:hAnsi="Century Gothic"/>
          <w:sz w:val="20"/>
          <w:szCs w:val="20"/>
        </w:rPr>
      </w:pPr>
      <w:r>
        <w:rPr>
          <w:rFonts w:ascii="Century Gothic" w:hAnsi="Century Gothic"/>
          <w:sz w:val="20"/>
          <w:szCs w:val="20"/>
        </w:rPr>
        <w:t>Cat: Capacitancia del punto A a tierra. (nF)</w:t>
      </w:r>
    </w:p>
    <w:p w:rsidR="00277ED2" w:rsidRPr="00611019" w:rsidRDefault="00E56462" w:rsidP="00035D2C">
      <w:pPr>
        <w:pStyle w:val="IFTnormal"/>
        <w:ind w:start="106.30pt"/>
        <w:rPr>
          <w:rFonts w:ascii="Century Gothic" w:hAnsi="Century Gothic"/>
          <w:sz w:val="20"/>
          <w:szCs w:val="20"/>
        </w:rPr>
      </w:pPr>
      <w:r>
        <w:rPr>
          <w:rFonts w:ascii="Century Gothic" w:hAnsi="Century Gothic"/>
          <w:sz w:val="20"/>
          <w:szCs w:val="20"/>
        </w:rPr>
        <w:t>Cbt: Capacitancia del punto B a tierra. (nF)</w:t>
      </w:r>
    </w:p>
    <w:p w:rsidR="00277ED2" w:rsidRPr="00611019" w:rsidRDefault="00E56462" w:rsidP="00035D2C">
      <w:pPr>
        <w:pStyle w:val="IFTnormal"/>
        <w:ind w:start="106.30pt"/>
        <w:rPr>
          <w:rFonts w:ascii="Century Gothic" w:hAnsi="Century Gothic"/>
          <w:sz w:val="20"/>
          <w:szCs w:val="20"/>
        </w:rPr>
      </w:pPr>
      <w:r>
        <w:rPr>
          <w:rFonts w:ascii="Century Gothic" w:hAnsi="Century Gothic"/>
          <w:sz w:val="20"/>
          <w:szCs w:val="20"/>
        </w:rPr>
        <w:t>MIN (Cat, Cbt): Mínimo entre Cat y Cbt</w:t>
      </w:r>
    </w:p>
    <w:p w:rsidR="00277ED2" w:rsidRPr="00611019" w:rsidRDefault="00277ED2" w:rsidP="00035D2C">
      <w:pPr>
        <w:pStyle w:val="IFTnormal"/>
        <w:ind w:start="106.30pt"/>
        <w:rPr>
          <w:rFonts w:ascii="Century Gothic" w:hAnsi="Century Gothic"/>
          <w:sz w:val="20"/>
          <w:szCs w:val="20"/>
        </w:rPr>
      </w:pPr>
    </w:p>
    <w:p w:rsidR="00277ED2" w:rsidRPr="00611019" w:rsidRDefault="00E56462" w:rsidP="00035D2C">
      <w:pPr>
        <w:spacing w:after="6pt"/>
        <w:ind w:start="49.60pt" w:hanging="17.85pt"/>
        <w:jc w:val="both"/>
        <w:rPr>
          <w:rFonts w:ascii="Century Gothic" w:hAnsi="Century Gothic" w:cs="Arial"/>
        </w:rPr>
      </w:pPr>
      <w:r>
        <w:rPr>
          <w:rFonts w:ascii="Century Gothic" w:eastAsia="Calibri" w:hAnsi="Century Gothic" w:cs="Arial"/>
        </w:rPr>
        <w:t>a.</w:t>
      </w:r>
      <w:r>
        <w:rPr>
          <w:rFonts w:ascii="Century Gothic" w:eastAsia="Calibri" w:hAnsi="Century Gothic" w:cs="Arial"/>
        </w:rPr>
        <w:tab/>
      </w:r>
      <w:r>
        <w:rPr>
          <w:rFonts w:ascii="Century Gothic" w:hAnsi="Century Gothic" w:cs="Arial"/>
        </w:rPr>
        <w:t>Con base en el dato de distancia obtenido, los valores del ancho de banda alcanzable serán los indicados en la Tabla de “Relación entre distancia y velocidad máxima alcanzable por bucle”, que ejemplifica los datos para el caso de uso de tecnología ADSL2+.</w:t>
      </w:r>
    </w:p>
    <w:tbl>
      <w:tblPr>
        <w:tblStyle w:val="Tablaconcuadrcula2"/>
        <w:tblW w:w="0pt" w:type="dxa"/>
        <w:jc w:val="center"/>
        <w:tblLook w:firstRow="1" w:lastRow="0" w:firstColumn="1" w:lastColumn="0" w:noHBand="0" w:noVBand="1"/>
      </w:tblPr>
      <w:tblGrid>
        <w:gridCol w:w="2245"/>
        <w:gridCol w:w="1861"/>
        <w:gridCol w:w="1985"/>
        <w:gridCol w:w="2245"/>
      </w:tblGrid>
      <w:tr w:rsidR="0061711D" w:rsidTr="004415D9">
        <w:trPr>
          <w:trHeight w:val="20"/>
          <w:tblHeader/>
          <w:jc w:val="center"/>
        </w:trPr>
        <w:tc>
          <w:tcPr>
            <w:tcW w:w="112.25pt" w:type="dxa"/>
            <w:vMerge w:val="restart"/>
            <w:shd w:val="clear" w:color="auto" w:fill="009AD9"/>
          </w:tcPr>
          <w:p w:rsidR="00277ED2" w:rsidRPr="00611019" w:rsidRDefault="00E56462" w:rsidP="00035D2C">
            <w:pPr>
              <w:pStyle w:val="TableTitle"/>
              <w:spacing w:before="2pt" w:after="2pt" w:line="13.80pt" w:lineRule="auto"/>
              <w:rPr>
                <w:rFonts w:ascii="Century Gothic" w:hAnsi="Century Gothic"/>
                <w:color w:val="FFFFFF" w:themeColor="background1"/>
                <w:sz w:val="20"/>
                <w:lang w:val="es-MX"/>
              </w:rPr>
            </w:pPr>
            <w:r>
              <w:rPr>
                <w:rFonts w:ascii="Century Gothic" w:hAnsi="Century Gothic"/>
                <w:color w:val="FFFFFF" w:themeColor="background1"/>
                <w:sz w:val="20"/>
                <w:lang w:val="es-MX"/>
              </w:rPr>
              <w:t>Distancia Máxima (km)</w:t>
            </w:r>
          </w:p>
        </w:tc>
        <w:tc>
          <w:tcPr>
            <w:tcW w:w="192.30pt" w:type="dxa"/>
            <w:gridSpan w:val="2"/>
            <w:shd w:val="clear" w:color="auto" w:fill="009AD9"/>
          </w:tcPr>
          <w:p w:rsidR="00277ED2" w:rsidRPr="00611019" w:rsidRDefault="00E56462" w:rsidP="00035D2C">
            <w:pPr>
              <w:pStyle w:val="TableTitle"/>
              <w:spacing w:before="2pt" w:after="2pt" w:line="13.80pt" w:lineRule="auto"/>
              <w:rPr>
                <w:rFonts w:ascii="Century Gothic" w:hAnsi="Century Gothic"/>
                <w:color w:val="FFFFFF" w:themeColor="background1"/>
                <w:sz w:val="20"/>
                <w:lang w:val="es-MX"/>
              </w:rPr>
            </w:pPr>
            <w:r>
              <w:rPr>
                <w:rFonts w:ascii="Century Gothic" w:hAnsi="Century Gothic"/>
                <w:color w:val="FFFFFF" w:themeColor="background1"/>
                <w:sz w:val="20"/>
                <w:lang w:val="es-MX"/>
              </w:rPr>
              <w:t>Ancho de Banda ADSL2+</w:t>
            </w:r>
          </w:p>
        </w:tc>
        <w:tc>
          <w:tcPr>
            <w:tcW w:w="112.25pt" w:type="dxa"/>
            <w:vMerge w:val="restart"/>
            <w:shd w:val="clear" w:color="auto" w:fill="009AD9"/>
          </w:tcPr>
          <w:p w:rsidR="00277ED2" w:rsidRPr="00611019" w:rsidRDefault="00E56462" w:rsidP="00035D2C">
            <w:pPr>
              <w:pStyle w:val="TableTitle"/>
              <w:spacing w:before="2pt" w:after="2pt" w:line="13.80pt" w:lineRule="auto"/>
              <w:rPr>
                <w:rFonts w:ascii="Century Gothic" w:hAnsi="Century Gothic"/>
                <w:color w:val="FFFFFF" w:themeColor="background1"/>
                <w:sz w:val="20"/>
                <w:lang w:val="es-MX"/>
              </w:rPr>
            </w:pPr>
            <w:r>
              <w:rPr>
                <w:rFonts w:ascii="Century Gothic" w:hAnsi="Century Gothic"/>
                <w:color w:val="FFFFFF" w:themeColor="background1"/>
                <w:sz w:val="20"/>
                <w:lang w:val="es-MX"/>
              </w:rPr>
              <w:t>Velocidad máxima alcanzable por Bucle</w:t>
            </w:r>
          </w:p>
        </w:tc>
      </w:tr>
      <w:tr w:rsidR="0061711D" w:rsidTr="004415D9">
        <w:trPr>
          <w:trHeight w:val="20"/>
          <w:jc w:val="center"/>
        </w:trPr>
        <w:tc>
          <w:tcPr>
            <w:tcW w:w="112.25pt" w:type="dxa"/>
            <w:vMerge/>
          </w:tcPr>
          <w:p w:rsidR="00277ED2" w:rsidRPr="00611019" w:rsidRDefault="00277ED2" w:rsidP="00035D2C">
            <w:pPr>
              <w:spacing w:before="2pt" w:after="2pt"/>
              <w:jc w:val="both"/>
              <w:rPr>
                <w:rFonts w:ascii="Century Gothic" w:hAnsi="Century Gothic" w:cs="Arial"/>
                <w:b/>
                <w:sz w:val="20"/>
              </w:rPr>
            </w:pPr>
          </w:p>
        </w:tc>
        <w:tc>
          <w:tcPr>
            <w:tcW w:w="93.05pt" w:type="dxa"/>
            <w:shd w:val="clear" w:color="auto" w:fill="009AD9"/>
          </w:tcPr>
          <w:p w:rsidR="00277ED2" w:rsidRPr="00611019" w:rsidRDefault="00E56462" w:rsidP="00035D2C">
            <w:pPr>
              <w:spacing w:before="2pt" w:after="2pt"/>
              <w:jc w:val="center"/>
              <w:rPr>
                <w:rFonts w:ascii="Century Gothic" w:hAnsi="Century Gothic" w:cs="Arial"/>
                <w:b/>
                <w:color w:val="FFFFFF" w:themeColor="background1"/>
                <w:sz w:val="20"/>
              </w:rPr>
            </w:pPr>
            <w:r>
              <w:rPr>
                <w:rFonts w:ascii="Century Gothic" w:hAnsi="Century Gothic" w:cs="Arial"/>
                <w:b/>
                <w:color w:val="FFFFFF" w:themeColor="background1"/>
                <w:sz w:val="20"/>
              </w:rPr>
              <w:t>Upstream Max (Kbps)</w:t>
            </w:r>
          </w:p>
        </w:tc>
        <w:tc>
          <w:tcPr>
            <w:tcW w:w="99.25pt" w:type="dxa"/>
            <w:shd w:val="clear" w:color="auto" w:fill="009AD9"/>
          </w:tcPr>
          <w:p w:rsidR="00277ED2" w:rsidRPr="00611019" w:rsidRDefault="00E56462" w:rsidP="00035D2C">
            <w:pPr>
              <w:spacing w:before="2pt" w:after="2pt"/>
              <w:jc w:val="center"/>
              <w:rPr>
                <w:rFonts w:ascii="Century Gothic" w:hAnsi="Century Gothic" w:cs="Arial"/>
                <w:b/>
                <w:color w:val="FFFFFF" w:themeColor="background1"/>
                <w:sz w:val="20"/>
              </w:rPr>
            </w:pPr>
            <w:r>
              <w:rPr>
                <w:rFonts w:ascii="Century Gothic" w:hAnsi="Century Gothic" w:cs="Arial"/>
                <w:b/>
                <w:color w:val="FFFFFF" w:themeColor="background1"/>
                <w:sz w:val="20"/>
              </w:rPr>
              <w:t>Downstream Max (Kbps)</w:t>
            </w:r>
          </w:p>
        </w:tc>
        <w:tc>
          <w:tcPr>
            <w:tcW w:w="112.25pt" w:type="dxa"/>
            <w:vMerge/>
          </w:tcPr>
          <w:p w:rsidR="00277ED2" w:rsidRPr="00611019" w:rsidRDefault="00277ED2" w:rsidP="00035D2C">
            <w:pPr>
              <w:spacing w:before="2pt" w:after="2pt"/>
              <w:jc w:val="both"/>
              <w:rPr>
                <w:rFonts w:ascii="Century Gothic" w:hAnsi="Century Gothic" w:cs="Arial"/>
                <w:b/>
                <w:sz w:val="20"/>
              </w:rPr>
            </w:pPr>
          </w:p>
        </w:tc>
      </w:tr>
      <w:tr w:rsidR="0061711D" w:rsidTr="00277ED2">
        <w:trPr>
          <w:jc w:val="center"/>
        </w:trPr>
        <w:tc>
          <w:tcPr>
            <w:tcW w:w="112.25pt" w:type="dxa"/>
          </w:tcPr>
          <w:p w:rsidR="00277ED2" w:rsidRPr="00611019" w:rsidRDefault="00E56462" w:rsidP="00035D2C">
            <w:pPr>
              <w:spacing w:before="2pt" w:after="2pt"/>
              <w:jc w:val="center"/>
              <w:rPr>
                <w:rFonts w:ascii="Century Gothic" w:hAnsi="Century Gothic" w:cs="Arial"/>
                <w:sz w:val="20"/>
              </w:rPr>
            </w:pPr>
            <w:r>
              <w:rPr>
                <w:rFonts w:ascii="Century Gothic" w:hAnsi="Century Gothic" w:cs="Arial"/>
                <w:sz w:val="20"/>
              </w:rPr>
              <w:t>3.5</w:t>
            </w:r>
          </w:p>
        </w:tc>
        <w:tc>
          <w:tcPr>
            <w:tcW w:w="93.05pt" w:type="dxa"/>
          </w:tcPr>
          <w:p w:rsidR="00277ED2" w:rsidRPr="00611019" w:rsidRDefault="00E56462" w:rsidP="00035D2C">
            <w:pPr>
              <w:spacing w:before="2pt" w:after="2pt"/>
              <w:jc w:val="center"/>
              <w:rPr>
                <w:rFonts w:ascii="Century Gothic" w:hAnsi="Century Gothic" w:cs="Arial"/>
                <w:sz w:val="20"/>
              </w:rPr>
            </w:pPr>
            <w:r>
              <w:rPr>
                <w:rFonts w:ascii="Century Gothic" w:hAnsi="Century Gothic" w:cs="Arial"/>
                <w:sz w:val="20"/>
              </w:rPr>
              <w:t>128</w:t>
            </w:r>
          </w:p>
        </w:tc>
        <w:tc>
          <w:tcPr>
            <w:tcW w:w="99.25pt" w:type="dxa"/>
          </w:tcPr>
          <w:p w:rsidR="00277ED2" w:rsidRPr="00611019" w:rsidRDefault="00E56462" w:rsidP="00035D2C">
            <w:pPr>
              <w:spacing w:before="2pt" w:after="2pt"/>
              <w:jc w:val="center"/>
              <w:rPr>
                <w:rFonts w:ascii="Century Gothic" w:hAnsi="Century Gothic" w:cs="Arial"/>
                <w:sz w:val="20"/>
              </w:rPr>
            </w:pPr>
            <w:r>
              <w:rPr>
                <w:rFonts w:ascii="Century Gothic" w:hAnsi="Century Gothic" w:cs="Arial"/>
                <w:sz w:val="20"/>
              </w:rPr>
              <w:t>1024</w:t>
            </w:r>
          </w:p>
        </w:tc>
        <w:tc>
          <w:tcPr>
            <w:tcW w:w="112.25pt" w:type="dxa"/>
          </w:tcPr>
          <w:p w:rsidR="00277ED2" w:rsidRPr="00611019" w:rsidRDefault="00E56462" w:rsidP="00035D2C">
            <w:pPr>
              <w:spacing w:before="2pt" w:after="2pt"/>
              <w:jc w:val="center"/>
              <w:outlineLvl w:val="6"/>
              <w:rPr>
                <w:rFonts w:ascii="Century Gothic" w:hAnsi="Century Gothic" w:cs="Arial"/>
                <w:sz w:val="20"/>
              </w:rPr>
            </w:pPr>
            <w:r>
              <w:rPr>
                <w:rFonts w:ascii="Century Gothic" w:hAnsi="Century Gothic" w:cs="Arial"/>
                <w:sz w:val="20"/>
              </w:rPr>
              <w:t>Hasta 1 Mbps</w:t>
            </w:r>
          </w:p>
        </w:tc>
      </w:tr>
      <w:tr w:rsidR="0061711D" w:rsidTr="00277ED2">
        <w:trPr>
          <w:jc w:val="center"/>
        </w:trPr>
        <w:tc>
          <w:tcPr>
            <w:tcW w:w="112.25pt" w:type="dxa"/>
          </w:tcPr>
          <w:p w:rsidR="00277ED2" w:rsidRPr="00611019" w:rsidRDefault="00E56462" w:rsidP="00035D2C">
            <w:pPr>
              <w:spacing w:before="2pt" w:after="2pt"/>
              <w:jc w:val="center"/>
              <w:rPr>
                <w:rFonts w:ascii="Century Gothic" w:hAnsi="Century Gothic" w:cs="Arial"/>
                <w:sz w:val="20"/>
              </w:rPr>
            </w:pPr>
            <w:r>
              <w:rPr>
                <w:rFonts w:ascii="Century Gothic" w:hAnsi="Century Gothic" w:cs="Arial"/>
                <w:sz w:val="20"/>
              </w:rPr>
              <w:t>3.2</w:t>
            </w:r>
          </w:p>
        </w:tc>
        <w:tc>
          <w:tcPr>
            <w:tcW w:w="93.05pt" w:type="dxa"/>
          </w:tcPr>
          <w:p w:rsidR="00277ED2" w:rsidRPr="00611019" w:rsidRDefault="00E56462" w:rsidP="00035D2C">
            <w:pPr>
              <w:spacing w:before="2pt" w:after="2pt"/>
              <w:jc w:val="center"/>
              <w:rPr>
                <w:rFonts w:ascii="Century Gothic" w:hAnsi="Century Gothic" w:cs="Arial"/>
                <w:sz w:val="20"/>
              </w:rPr>
            </w:pPr>
            <w:r>
              <w:rPr>
                <w:rFonts w:ascii="Century Gothic" w:hAnsi="Century Gothic" w:cs="Arial"/>
                <w:sz w:val="20"/>
              </w:rPr>
              <w:t>384</w:t>
            </w:r>
          </w:p>
        </w:tc>
        <w:tc>
          <w:tcPr>
            <w:tcW w:w="99.25pt" w:type="dxa"/>
          </w:tcPr>
          <w:p w:rsidR="00277ED2" w:rsidRPr="00611019" w:rsidRDefault="00E56462" w:rsidP="00035D2C">
            <w:pPr>
              <w:spacing w:before="2pt" w:after="2pt"/>
              <w:jc w:val="center"/>
              <w:rPr>
                <w:rFonts w:ascii="Century Gothic" w:hAnsi="Century Gothic" w:cs="Arial"/>
                <w:sz w:val="20"/>
              </w:rPr>
            </w:pPr>
            <w:r>
              <w:rPr>
                <w:rFonts w:ascii="Century Gothic" w:hAnsi="Century Gothic" w:cs="Arial"/>
                <w:sz w:val="20"/>
              </w:rPr>
              <w:t>2048</w:t>
            </w:r>
          </w:p>
        </w:tc>
        <w:tc>
          <w:tcPr>
            <w:tcW w:w="112.25pt" w:type="dxa"/>
          </w:tcPr>
          <w:p w:rsidR="00277ED2" w:rsidRPr="00611019" w:rsidRDefault="00E56462" w:rsidP="00035D2C">
            <w:pPr>
              <w:spacing w:before="2pt" w:after="2pt"/>
              <w:jc w:val="center"/>
              <w:outlineLvl w:val="6"/>
              <w:rPr>
                <w:rFonts w:ascii="Century Gothic" w:hAnsi="Century Gothic" w:cs="Arial"/>
                <w:sz w:val="20"/>
              </w:rPr>
            </w:pPr>
            <w:r>
              <w:rPr>
                <w:rFonts w:ascii="Century Gothic" w:hAnsi="Century Gothic" w:cs="Arial"/>
                <w:sz w:val="20"/>
              </w:rPr>
              <w:t>Hasta 2 Mbps</w:t>
            </w:r>
          </w:p>
        </w:tc>
      </w:tr>
      <w:tr w:rsidR="0061711D" w:rsidTr="00277ED2">
        <w:trPr>
          <w:jc w:val="center"/>
        </w:trPr>
        <w:tc>
          <w:tcPr>
            <w:tcW w:w="112.25pt" w:type="dxa"/>
          </w:tcPr>
          <w:p w:rsidR="00277ED2" w:rsidRPr="00611019" w:rsidRDefault="00E56462" w:rsidP="00035D2C">
            <w:pPr>
              <w:spacing w:before="2pt" w:after="2pt"/>
              <w:jc w:val="center"/>
              <w:rPr>
                <w:rFonts w:ascii="Century Gothic" w:hAnsi="Century Gothic" w:cs="Arial"/>
                <w:sz w:val="20"/>
              </w:rPr>
            </w:pPr>
            <w:r>
              <w:rPr>
                <w:rFonts w:ascii="Century Gothic" w:hAnsi="Century Gothic" w:cs="Arial"/>
                <w:sz w:val="20"/>
              </w:rPr>
              <w:t>2.4</w:t>
            </w:r>
          </w:p>
        </w:tc>
        <w:tc>
          <w:tcPr>
            <w:tcW w:w="93.05pt" w:type="dxa"/>
          </w:tcPr>
          <w:p w:rsidR="00277ED2" w:rsidRPr="00611019" w:rsidRDefault="00E56462" w:rsidP="00035D2C">
            <w:pPr>
              <w:spacing w:before="2pt" w:after="2pt"/>
              <w:jc w:val="center"/>
              <w:rPr>
                <w:rFonts w:ascii="Century Gothic" w:hAnsi="Century Gothic" w:cs="Arial"/>
                <w:sz w:val="20"/>
              </w:rPr>
            </w:pPr>
            <w:r>
              <w:rPr>
                <w:rFonts w:ascii="Century Gothic" w:hAnsi="Century Gothic" w:cs="Arial"/>
                <w:sz w:val="20"/>
              </w:rPr>
              <w:t>384</w:t>
            </w:r>
          </w:p>
        </w:tc>
        <w:tc>
          <w:tcPr>
            <w:tcW w:w="99.25pt" w:type="dxa"/>
          </w:tcPr>
          <w:p w:rsidR="00277ED2" w:rsidRPr="00611019" w:rsidRDefault="00E56462" w:rsidP="00035D2C">
            <w:pPr>
              <w:spacing w:before="2pt" w:after="2pt"/>
              <w:jc w:val="center"/>
              <w:rPr>
                <w:rFonts w:ascii="Century Gothic" w:hAnsi="Century Gothic" w:cs="Arial"/>
                <w:sz w:val="20"/>
              </w:rPr>
            </w:pPr>
            <w:r>
              <w:rPr>
                <w:rFonts w:ascii="Century Gothic" w:hAnsi="Century Gothic" w:cs="Arial"/>
                <w:sz w:val="20"/>
              </w:rPr>
              <w:t>3648</w:t>
            </w:r>
          </w:p>
        </w:tc>
        <w:tc>
          <w:tcPr>
            <w:tcW w:w="112.25pt" w:type="dxa"/>
          </w:tcPr>
          <w:p w:rsidR="00277ED2" w:rsidRPr="00611019" w:rsidRDefault="00E56462" w:rsidP="00035D2C">
            <w:pPr>
              <w:spacing w:before="2pt" w:after="2pt"/>
              <w:jc w:val="center"/>
              <w:outlineLvl w:val="6"/>
              <w:rPr>
                <w:rFonts w:ascii="Century Gothic" w:hAnsi="Century Gothic" w:cs="Arial"/>
                <w:sz w:val="20"/>
              </w:rPr>
            </w:pPr>
            <w:r>
              <w:rPr>
                <w:rFonts w:ascii="Century Gothic" w:hAnsi="Century Gothic" w:cs="Arial"/>
                <w:sz w:val="20"/>
              </w:rPr>
              <w:t>Hasta 3 Mbps</w:t>
            </w:r>
          </w:p>
        </w:tc>
      </w:tr>
      <w:tr w:rsidR="0061711D" w:rsidTr="00277ED2">
        <w:trPr>
          <w:jc w:val="center"/>
        </w:trPr>
        <w:tc>
          <w:tcPr>
            <w:tcW w:w="112.25pt" w:type="dxa"/>
          </w:tcPr>
          <w:p w:rsidR="00277ED2" w:rsidRPr="00611019" w:rsidRDefault="00E56462" w:rsidP="00035D2C">
            <w:pPr>
              <w:spacing w:before="2pt" w:after="2pt"/>
              <w:jc w:val="center"/>
              <w:rPr>
                <w:rFonts w:ascii="Century Gothic" w:hAnsi="Century Gothic" w:cs="Arial"/>
                <w:sz w:val="20"/>
              </w:rPr>
            </w:pPr>
            <w:r>
              <w:rPr>
                <w:rFonts w:ascii="Century Gothic" w:hAnsi="Century Gothic" w:cs="Arial"/>
                <w:sz w:val="20"/>
              </w:rPr>
              <w:t>1.8</w:t>
            </w:r>
          </w:p>
        </w:tc>
        <w:tc>
          <w:tcPr>
            <w:tcW w:w="93.05pt" w:type="dxa"/>
          </w:tcPr>
          <w:p w:rsidR="00277ED2" w:rsidRPr="00611019" w:rsidRDefault="00E56462" w:rsidP="00035D2C">
            <w:pPr>
              <w:spacing w:before="2pt" w:after="2pt"/>
              <w:jc w:val="center"/>
              <w:rPr>
                <w:rFonts w:ascii="Century Gothic" w:hAnsi="Century Gothic" w:cs="Arial"/>
                <w:sz w:val="20"/>
              </w:rPr>
            </w:pPr>
            <w:r>
              <w:rPr>
                <w:rFonts w:ascii="Century Gothic" w:hAnsi="Century Gothic" w:cs="Arial"/>
                <w:sz w:val="20"/>
              </w:rPr>
              <w:t>768</w:t>
            </w:r>
          </w:p>
        </w:tc>
        <w:tc>
          <w:tcPr>
            <w:tcW w:w="99.25pt" w:type="dxa"/>
          </w:tcPr>
          <w:p w:rsidR="00277ED2" w:rsidRPr="00611019" w:rsidRDefault="00E56462" w:rsidP="00035D2C">
            <w:pPr>
              <w:spacing w:before="2pt" w:after="2pt"/>
              <w:jc w:val="center"/>
              <w:rPr>
                <w:rFonts w:ascii="Century Gothic" w:hAnsi="Century Gothic" w:cs="Arial"/>
                <w:sz w:val="20"/>
              </w:rPr>
            </w:pPr>
            <w:r>
              <w:rPr>
                <w:rFonts w:ascii="Century Gothic" w:hAnsi="Century Gothic" w:cs="Arial"/>
                <w:sz w:val="20"/>
              </w:rPr>
              <w:t>6016</w:t>
            </w:r>
          </w:p>
        </w:tc>
        <w:tc>
          <w:tcPr>
            <w:tcW w:w="112.25pt" w:type="dxa"/>
          </w:tcPr>
          <w:p w:rsidR="00277ED2" w:rsidRPr="00611019" w:rsidRDefault="00E56462" w:rsidP="00035D2C">
            <w:pPr>
              <w:spacing w:before="2pt" w:after="2pt"/>
              <w:jc w:val="center"/>
              <w:rPr>
                <w:rFonts w:ascii="Century Gothic" w:hAnsi="Century Gothic" w:cs="Arial"/>
                <w:sz w:val="20"/>
              </w:rPr>
            </w:pPr>
            <w:r>
              <w:rPr>
                <w:rFonts w:ascii="Century Gothic" w:hAnsi="Century Gothic" w:cs="Arial"/>
                <w:sz w:val="20"/>
              </w:rPr>
              <w:t>Hasta 5 Mbps</w:t>
            </w:r>
          </w:p>
        </w:tc>
      </w:tr>
      <w:tr w:rsidR="0061711D" w:rsidTr="00277ED2">
        <w:trPr>
          <w:jc w:val="center"/>
        </w:trPr>
        <w:tc>
          <w:tcPr>
            <w:tcW w:w="112.25pt" w:type="dxa"/>
          </w:tcPr>
          <w:p w:rsidR="00277ED2" w:rsidRPr="00611019" w:rsidRDefault="00E56462" w:rsidP="00035D2C">
            <w:pPr>
              <w:spacing w:before="2pt" w:after="2pt"/>
              <w:jc w:val="center"/>
              <w:rPr>
                <w:rFonts w:ascii="Century Gothic" w:hAnsi="Century Gothic" w:cs="Arial"/>
                <w:sz w:val="20"/>
              </w:rPr>
            </w:pPr>
            <w:r>
              <w:rPr>
                <w:rFonts w:ascii="Century Gothic" w:hAnsi="Century Gothic" w:cs="Arial"/>
                <w:sz w:val="20"/>
              </w:rPr>
              <w:t>1.5</w:t>
            </w:r>
          </w:p>
        </w:tc>
        <w:tc>
          <w:tcPr>
            <w:tcW w:w="93.05pt" w:type="dxa"/>
          </w:tcPr>
          <w:p w:rsidR="00277ED2" w:rsidRPr="00611019" w:rsidRDefault="00E56462" w:rsidP="00035D2C">
            <w:pPr>
              <w:spacing w:before="2pt" w:after="2pt"/>
              <w:jc w:val="center"/>
              <w:rPr>
                <w:rFonts w:ascii="Century Gothic" w:hAnsi="Century Gothic" w:cs="Arial"/>
                <w:sz w:val="20"/>
              </w:rPr>
            </w:pPr>
            <w:r>
              <w:rPr>
                <w:rFonts w:ascii="Century Gothic" w:hAnsi="Century Gothic" w:cs="Arial"/>
                <w:sz w:val="20"/>
              </w:rPr>
              <w:t>960</w:t>
            </w:r>
          </w:p>
        </w:tc>
        <w:tc>
          <w:tcPr>
            <w:tcW w:w="99.25pt" w:type="dxa"/>
          </w:tcPr>
          <w:p w:rsidR="00277ED2" w:rsidRPr="00611019" w:rsidRDefault="00E56462" w:rsidP="00035D2C">
            <w:pPr>
              <w:spacing w:before="2pt" w:after="2pt"/>
              <w:jc w:val="center"/>
              <w:rPr>
                <w:rFonts w:ascii="Century Gothic" w:hAnsi="Century Gothic" w:cs="Arial"/>
                <w:sz w:val="20"/>
              </w:rPr>
            </w:pPr>
            <w:r>
              <w:rPr>
                <w:rFonts w:ascii="Century Gothic" w:hAnsi="Century Gothic" w:cs="Arial"/>
                <w:sz w:val="20"/>
              </w:rPr>
              <w:t>12544</w:t>
            </w:r>
          </w:p>
        </w:tc>
        <w:tc>
          <w:tcPr>
            <w:tcW w:w="112.25pt" w:type="dxa"/>
          </w:tcPr>
          <w:p w:rsidR="00277ED2" w:rsidRPr="00611019" w:rsidRDefault="00E56462" w:rsidP="00035D2C">
            <w:pPr>
              <w:spacing w:before="2pt" w:after="2pt"/>
              <w:jc w:val="center"/>
              <w:rPr>
                <w:rFonts w:ascii="Century Gothic" w:hAnsi="Century Gothic" w:cs="Arial"/>
                <w:sz w:val="20"/>
              </w:rPr>
            </w:pPr>
            <w:r>
              <w:rPr>
                <w:rFonts w:ascii="Century Gothic" w:hAnsi="Century Gothic" w:cs="Arial"/>
                <w:sz w:val="20"/>
              </w:rPr>
              <w:t>Hasta 10 Mbps</w:t>
            </w:r>
          </w:p>
        </w:tc>
      </w:tr>
    </w:tbl>
    <w:p w:rsidR="00277ED2" w:rsidRPr="00611019" w:rsidRDefault="00E56462" w:rsidP="00035D2C">
      <w:pPr>
        <w:spacing w:before="3pt" w:after="10pt"/>
        <w:jc w:val="center"/>
        <w:rPr>
          <w:rFonts w:ascii="Century Gothic" w:hAnsi="Century Gothic" w:cs="Arial"/>
          <w:b/>
          <w:bCs/>
          <w:szCs w:val="24"/>
        </w:rPr>
      </w:pPr>
      <w:r>
        <w:rPr>
          <w:rFonts w:ascii="Century Gothic" w:hAnsi="Century Gothic" w:cs="Arial"/>
          <w:b/>
          <w:bCs/>
          <w:sz w:val="20"/>
        </w:rPr>
        <w:t>Relación entre distancia y velocidad máxima alcanzable por bucle</w:t>
      </w:r>
    </w:p>
    <w:p w:rsidR="00277ED2" w:rsidRPr="00611019" w:rsidRDefault="00E56462" w:rsidP="00035D2C">
      <w:pPr>
        <w:pStyle w:val="CondicionesFinales"/>
        <w:spacing w:after="6pt"/>
        <w:ind w:start="35.45pt" w:end="0pt"/>
        <w:rPr>
          <w:rFonts w:ascii="Century Gothic" w:hAnsi="Century Gothic"/>
          <w:color w:val="auto"/>
          <w:lang w:val="es-MX"/>
        </w:rPr>
      </w:pPr>
      <w:r>
        <w:rPr>
          <w:rFonts w:ascii="Century Gothic" w:hAnsi="Century Gothic"/>
          <w:color w:val="auto"/>
          <w:lang w:val="es-MX"/>
        </w:rPr>
        <w:t>Para cualquier otra de las tecnologías xDSL disponibles y vigentes se deberá utilizar la referencia de la recomendación de la UIT correspondiente.</w:t>
      </w:r>
    </w:p>
    <w:p w:rsidR="00B179EC" w:rsidRPr="00611019" w:rsidRDefault="00B179EC" w:rsidP="00035D2C">
      <w:pPr>
        <w:pStyle w:val="CondicionesFinales"/>
        <w:spacing w:after="6pt"/>
        <w:ind w:start="35.45pt" w:end="0pt"/>
        <w:rPr>
          <w:rFonts w:ascii="Century Gothic" w:hAnsi="Century Gothic"/>
          <w:color w:val="auto"/>
          <w:lang w:val="es-MX"/>
        </w:rPr>
      </w:pPr>
    </w:p>
    <w:p w:rsidR="00277ED2" w:rsidRPr="00611019" w:rsidRDefault="00E56462" w:rsidP="00035D2C">
      <w:pPr>
        <w:spacing w:after="6pt"/>
        <w:ind w:start="28.35pt" w:hanging="28.35pt"/>
        <w:jc w:val="both"/>
        <w:rPr>
          <w:rFonts w:ascii="Century Gothic" w:hAnsi="Century Gothic" w:cs="Arial"/>
        </w:rPr>
      </w:pPr>
      <w:r>
        <w:rPr>
          <w:rFonts w:ascii="Century Gothic" w:eastAsia="Calibri" w:hAnsi="Century Gothic" w:cs="Arial"/>
          <w:b/>
          <w:bCs/>
        </w:rPr>
        <w:t>2)</w:t>
      </w:r>
      <w:r>
        <w:rPr>
          <w:rFonts w:ascii="Century Gothic" w:eastAsia="Calibri" w:hAnsi="Century Gothic" w:cs="Arial"/>
        </w:rPr>
        <w:tab/>
      </w:r>
      <w:r>
        <w:rPr>
          <w:rFonts w:ascii="Century Gothic" w:hAnsi="Century Gothic" w:cs="Arial"/>
        </w:rPr>
        <w:t xml:space="preserve">Adicionalmente, el CS para poder contratar los Servicios de bucle </w:t>
      </w:r>
      <w:r w:rsidR="00715A90">
        <w:rPr>
          <w:rFonts w:ascii="Century Gothic" w:hAnsi="Century Gothic" w:cs="Arial"/>
        </w:rPr>
        <w:t xml:space="preserve">y sub-bucle </w:t>
      </w:r>
      <w:r>
        <w:rPr>
          <w:rFonts w:ascii="Century Gothic" w:hAnsi="Century Gothic" w:cs="Arial"/>
        </w:rPr>
        <w:t xml:space="preserve">también debe tomar en consideración que no se haya rebasado el porcentaje de penetración permitido por tecnologías existentes en la red secundaria y primaria para los servicios indicados en las reglas de penetración del PGE, conforme la siguiente tabla: </w:t>
      </w:r>
    </w:p>
    <w:tbl>
      <w:tblPr>
        <w:tblStyle w:val="Tablaconcuadrcula2"/>
        <w:tblW w:w="424.85pt" w:type="dxa"/>
        <w:jc w:val="center"/>
        <w:tblLook w:firstRow="1" w:lastRow="0" w:firstColumn="1" w:lastColumn="0" w:noHBand="0" w:noVBand="1"/>
      </w:tblPr>
      <w:tblGrid>
        <w:gridCol w:w="1051"/>
        <w:gridCol w:w="3240"/>
        <w:gridCol w:w="963"/>
        <w:gridCol w:w="1139"/>
        <w:gridCol w:w="1052"/>
        <w:gridCol w:w="1052"/>
      </w:tblGrid>
      <w:tr w:rsidR="0061711D" w:rsidTr="004415D9">
        <w:trPr>
          <w:tblHeader/>
          <w:jc w:val="center"/>
        </w:trPr>
        <w:tc>
          <w:tcPr>
            <w:tcW w:w="12.0%" w:type="pct"/>
            <w:shd w:val="clear" w:color="auto" w:fill="009AD9"/>
            <w:vAlign w:val="center"/>
            <w:hideMark/>
          </w:tcPr>
          <w:p w:rsidR="00277ED2" w:rsidRPr="00611019" w:rsidRDefault="00E56462" w:rsidP="00035D2C">
            <w:pPr>
              <w:spacing w:before="2pt" w:after="2pt"/>
              <w:jc w:val="center"/>
              <w:rPr>
                <w:rFonts w:ascii="Century Gothic" w:hAnsi="Century Gothic" w:cs="Arial"/>
                <w:b/>
                <w:color w:val="FFFFFF" w:themeColor="background1"/>
                <w:spacing w:val="-4"/>
                <w:sz w:val="18"/>
              </w:rPr>
            </w:pPr>
            <w:r>
              <w:rPr>
                <w:rFonts w:ascii="Century Gothic" w:hAnsi="Century Gothic" w:cs="Arial"/>
                <w:b/>
                <w:color w:val="FFFFFF" w:themeColor="background1"/>
                <w:spacing w:val="-4"/>
                <w:sz w:val="18"/>
              </w:rPr>
              <w:t>Número de Grupo</w:t>
            </w:r>
          </w:p>
        </w:tc>
        <w:tc>
          <w:tcPr>
            <w:tcW w:w="37.0%" w:type="pct"/>
            <w:shd w:val="clear" w:color="auto" w:fill="009AD9"/>
            <w:vAlign w:val="center"/>
            <w:hideMark/>
          </w:tcPr>
          <w:p w:rsidR="00277ED2" w:rsidRPr="00611019" w:rsidRDefault="00E56462" w:rsidP="00035D2C">
            <w:pPr>
              <w:spacing w:before="2pt" w:after="2pt"/>
              <w:jc w:val="center"/>
              <w:rPr>
                <w:rFonts w:ascii="Century Gothic" w:hAnsi="Century Gothic" w:cs="Arial"/>
                <w:b/>
                <w:color w:val="FFFFFF" w:themeColor="background1"/>
                <w:sz w:val="18"/>
              </w:rPr>
            </w:pPr>
            <w:r>
              <w:rPr>
                <w:rFonts w:ascii="Century Gothic" w:hAnsi="Century Gothic" w:cs="Arial"/>
                <w:b/>
                <w:color w:val="FFFFFF" w:themeColor="background1"/>
                <w:sz w:val="18"/>
              </w:rPr>
              <w:t>Clasificación</w:t>
            </w:r>
          </w:p>
        </w:tc>
        <w:tc>
          <w:tcPr>
            <w:tcW w:w="11.0%" w:type="pct"/>
            <w:shd w:val="clear" w:color="auto" w:fill="009AD9"/>
            <w:vAlign w:val="center"/>
            <w:hideMark/>
          </w:tcPr>
          <w:p w:rsidR="00277ED2" w:rsidRPr="00611019" w:rsidRDefault="00E56462" w:rsidP="00035D2C">
            <w:pPr>
              <w:spacing w:before="2pt" w:after="2pt"/>
              <w:jc w:val="center"/>
              <w:rPr>
                <w:rFonts w:ascii="Century Gothic" w:hAnsi="Century Gothic" w:cs="Arial"/>
                <w:b/>
                <w:color w:val="FFFFFF" w:themeColor="background1"/>
                <w:sz w:val="18"/>
              </w:rPr>
            </w:pPr>
            <w:r>
              <w:rPr>
                <w:rFonts w:ascii="Century Gothic" w:hAnsi="Century Gothic" w:cs="Arial"/>
                <w:b/>
                <w:color w:val="FFFFFF" w:themeColor="background1"/>
                <w:sz w:val="18"/>
              </w:rPr>
              <w:t>&lt;= 1 Km</w:t>
            </w:r>
          </w:p>
        </w:tc>
        <w:tc>
          <w:tcPr>
            <w:tcW w:w="13.0%" w:type="pct"/>
            <w:shd w:val="clear" w:color="auto" w:fill="009AD9"/>
            <w:vAlign w:val="center"/>
            <w:hideMark/>
          </w:tcPr>
          <w:p w:rsidR="00277ED2" w:rsidRPr="00611019" w:rsidRDefault="00E56462" w:rsidP="00035D2C">
            <w:pPr>
              <w:spacing w:before="2pt" w:after="2pt"/>
              <w:jc w:val="center"/>
              <w:rPr>
                <w:rFonts w:ascii="Century Gothic" w:hAnsi="Century Gothic" w:cs="Arial"/>
                <w:b/>
                <w:color w:val="FFFFFF" w:themeColor="background1"/>
                <w:sz w:val="18"/>
              </w:rPr>
            </w:pPr>
            <w:r>
              <w:rPr>
                <w:rFonts w:ascii="Century Gothic" w:hAnsi="Century Gothic" w:cs="Arial"/>
                <w:b/>
                <w:color w:val="FFFFFF" w:themeColor="background1"/>
                <w:sz w:val="18"/>
              </w:rPr>
              <w:t>&lt;= 2 Km</w:t>
            </w:r>
          </w:p>
        </w:tc>
        <w:tc>
          <w:tcPr>
            <w:tcW w:w="12.0%" w:type="pct"/>
            <w:shd w:val="clear" w:color="auto" w:fill="009AD9"/>
            <w:vAlign w:val="center"/>
            <w:hideMark/>
          </w:tcPr>
          <w:p w:rsidR="00277ED2" w:rsidRPr="00611019" w:rsidRDefault="00E56462" w:rsidP="00035D2C">
            <w:pPr>
              <w:spacing w:before="2pt" w:after="2pt"/>
              <w:jc w:val="center"/>
              <w:rPr>
                <w:rFonts w:ascii="Century Gothic" w:hAnsi="Century Gothic" w:cs="Arial"/>
                <w:b/>
                <w:color w:val="FFFFFF" w:themeColor="background1"/>
                <w:sz w:val="18"/>
              </w:rPr>
            </w:pPr>
            <w:r>
              <w:rPr>
                <w:rFonts w:ascii="Century Gothic" w:hAnsi="Century Gothic" w:cs="Arial"/>
                <w:b/>
                <w:color w:val="FFFFFF" w:themeColor="background1"/>
                <w:sz w:val="18"/>
              </w:rPr>
              <w:t>&lt;= 3 Km</w:t>
            </w:r>
          </w:p>
        </w:tc>
        <w:tc>
          <w:tcPr>
            <w:tcW w:w="12.0%" w:type="pct"/>
            <w:shd w:val="clear" w:color="auto" w:fill="009AD9"/>
            <w:vAlign w:val="center"/>
            <w:hideMark/>
          </w:tcPr>
          <w:p w:rsidR="00277ED2" w:rsidRPr="00611019" w:rsidRDefault="00E56462" w:rsidP="00035D2C">
            <w:pPr>
              <w:spacing w:before="2pt" w:after="2pt"/>
              <w:jc w:val="center"/>
              <w:rPr>
                <w:rFonts w:ascii="Century Gothic" w:hAnsi="Century Gothic" w:cs="Arial"/>
                <w:b/>
                <w:color w:val="FFFFFF" w:themeColor="background1"/>
                <w:sz w:val="18"/>
              </w:rPr>
            </w:pPr>
            <w:r>
              <w:rPr>
                <w:rFonts w:ascii="Century Gothic" w:hAnsi="Century Gothic" w:cs="Arial"/>
                <w:b/>
                <w:color w:val="FFFFFF" w:themeColor="background1"/>
                <w:sz w:val="18"/>
              </w:rPr>
              <w:t>&lt;= 4 Km</w:t>
            </w:r>
          </w:p>
        </w:tc>
      </w:tr>
      <w:tr w:rsidR="0061711D" w:rsidTr="004415D9">
        <w:trPr>
          <w:jc w:val="center"/>
        </w:trPr>
        <w:tc>
          <w:tcPr>
            <w:tcW w:w="12.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A</w:t>
            </w:r>
          </w:p>
        </w:tc>
        <w:tc>
          <w:tcPr>
            <w:tcW w:w="37.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Sistemas de Alimentación de Corriente Directa (DC)</w:t>
            </w:r>
          </w:p>
        </w:tc>
        <w:tc>
          <w:tcPr>
            <w:tcW w:w="11.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100%</w:t>
            </w:r>
          </w:p>
        </w:tc>
        <w:tc>
          <w:tcPr>
            <w:tcW w:w="13.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100%</w:t>
            </w:r>
          </w:p>
        </w:tc>
        <w:tc>
          <w:tcPr>
            <w:tcW w:w="12.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100%</w:t>
            </w:r>
          </w:p>
        </w:tc>
        <w:tc>
          <w:tcPr>
            <w:tcW w:w="12.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100%</w:t>
            </w:r>
          </w:p>
        </w:tc>
      </w:tr>
      <w:tr w:rsidR="0061711D" w:rsidTr="004415D9">
        <w:trPr>
          <w:jc w:val="center"/>
        </w:trPr>
        <w:tc>
          <w:tcPr>
            <w:tcW w:w="12.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1</w:t>
            </w:r>
          </w:p>
        </w:tc>
        <w:tc>
          <w:tcPr>
            <w:tcW w:w="37.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Servicios de Voz (POTS)</w:t>
            </w:r>
          </w:p>
        </w:tc>
        <w:tc>
          <w:tcPr>
            <w:tcW w:w="11.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100%</w:t>
            </w:r>
          </w:p>
        </w:tc>
        <w:tc>
          <w:tcPr>
            <w:tcW w:w="13.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100%</w:t>
            </w:r>
          </w:p>
        </w:tc>
        <w:tc>
          <w:tcPr>
            <w:tcW w:w="12.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100%</w:t>
            </w:r>
          </w:p>
        </w:tc>
        <w:tc>
          <w:tcPr>
            <w:tcW w:w="12.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100%</w:t>
            </w:r>
          </w:p>
        </w:tc>
      </w:tr>
      <w:tr w:rsidR="0061711D" w:rsidTr="004415D9">
        <w:trPr>
          <w:jc w:val="center"/>
        </w:trPr>
        <w:tc>
          <w:tcPr>
            <w:tcW w:w="12.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2</w:t>
            </w:r>
          </w:p>
        </w:tc>
        <w:tc>
          <w:tcPr>
            <w:tcW w:w="37.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Semi-Banda Ancha (ISDN)</w:t>
            </w:r>
          </w:p>
        </w:tc>
        <w:tc>
          <w:tcPr>
            <w:tcW w:w="11.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30%</w:t>
            </w:r>
          </w:p>
        </w:tc>
        <w:tc>
          <w:tcPr>
            <w:tcW w:w="13.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30%</w:t>
            </w:r>
          </w:p>
        </w:tc>
        <w:tc>
          <w:tcPr>
            <w:tcW w:w="12.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30%</w:t>
            </w:r>
          </w:p>
        </w:tc>
        <w:tc>
          <w:tcPr>
            <w:tcW w:w="12.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20%</w:t>
            </w:r>
          </w:p>
        </w:tc>
      </w:tr>
      <w:tr w:rsidR="0061711D" w:rsidTr="004415D9">
        <w:trPr>
          <w:jc w:val="center"/>
        </w:trPr>
        <w:tc>
          <w:tcPr>
            <w:tcW w:w="12.0%" w:type="pct"/>
            <w:vAlign w:val="center"/>
            <w:hideMark/>
          </w:tcPr>
          <w:p w:rsidR="00277ED2" w:rsidRPr="00611019" w:rsidRDefault="00E56462" w:rsidP="00035D2C">
            <w:pPr>
              <w:autoSpaceDE w:val="0"/>
              <w:autoSpaceDN w:val="0"/>
              <w:spacing w:before="2pt" w:after="2pt"/>
              <w:jc w:val="center"/>
              <w:rPr>
                <w:rFonts w:ascii="Century Gothic" w:hAnsi="Century Gothic" w:cs="Arial"/>
                <w:sz w:val="18"/>
              </w:rPr>
            </w:pPr>
            <w:r>
              <w:rPr>
                <w:rFonts w:ascii="Century Gothic" w:hAnsi="Century Gothic" w:cs="Arial"/>
                <w:sz w:val="18"/>
              </w:rPr>
              <w:t>3</w:t>
            </w:r>
          </w:p>
        </w:tc>
        <w:tc>
          <w:tcPr>
            <w:tcW w:w="37.0%" w:type="pct"/>
            <w:vAlign w:val="center"/>
            <w:hideMark/>
          </w:tcPr>
          <w:p w:rsidR="00277ED2" w:rsidRPr="00611019" w:rsidRDefault="00E56462" w:rsidP="00035D2C">
            <w:pPr>
              <w:autoSpaceDE w:val="0"/>
              <w:autoSpaceDN w:val="0"/>
              <w:spacing w:before="2pt" w:after="2pt"/>
              <w:jc w:val="center"/>
              <w:rPr>
                <w:rFonts w:ascii="Century Gothic" w:hAnsi="Century Gothic" w:cs="Arial"/>
                <w:sz w:val="18"/>
              </w:rPr>
            </w:pPr>
            <w:r>
              <w:rPr>
                <w:rFonts w:ascii="Century Gothic" w:hAnsi="Century Gothic" w:cs="Arial"/>
                <w:sz w:val="18"/>
              </w:rPr>
              <w:t>Banda Ancha Simétrica (SHDSL)</w:t>
            </w:r>
          </w:p>
        </w:tc>
        <w:tc>
          <w:tcPr>
            <w:tcW w:w="11.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30%</w:t>
            </w:r>
          </w:p>
        </w:tc>
        <w:tc>
          <w:tcPr>
            <w:tcW w:w="13.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30%</w:t>
            </w:r>
          </w:p>
        </w:tc>
        <w:tc>
          <w:tcPr>
            <w:tcW w:w="12.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20%</w:t>
            </w:r>
          </w:p>
        </w:tc>
        <w:tc>
          <w:tcPr>
            <w:tcW w:w="12.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20%</w:t>
            </w:r>
          </w:p>
        </w:tc>
      </w:tr>
      <w:tr w:rsidR="0061711D" w:rsidTr="004415D9">
        <w:trPr>
          <w:jc w:val="center"/>
        </w:trPr>
        <w:tc>
          <w:tcPr>
            <w:tcW w:w="12.0%" w:type="pct"/>
            <w:vAlign w:val="center"/>
            <w:hideMark/>
          </w:tcPr>
          <w:p w:rsidR="00277ED2" w:rsidRPr="00611019" w:rsidRDefault="00E56462" w:rsidP="00035D2C">
            <w:pPr>
              <w:autoSpaceDE w:val="0"/>
              <w:autoSpaceDN w:val="0"/>
              <w:spacing w:before="2pt" w:after="2pt"/>
              <w:jc w:val="center"/>
              <w:rPr>
                <w:rFonts w:ascii="Century Gothic" w:hAnsi="Century Gothic" w:cs="Arial"/>
                <w:sz w:val="18"/>
              </w:rPr>
            </w:pPr>
            <w:r>
              <w:rPr>
                <w:rFonts w:ascii="Century Gothic" w:hAnsi="Century Gothic" w:cs="Arial"/>
                <w:sz w:val="18"/>
              </w:rPr>
              <w:t>4</w:t>
            </w:r>
          </w:p>
        </w:tc>
        <w:tc>
          <w:tcPr>
            <w:tcW w:w="37.0%" w:type="pct"/>
            <w:vAlign w:val="center"/>
            <w:hideMark/>
          </w:tcPr>
          <w:p w:rsidR="00277ED2" w:rsidRPr="00611019" w:rsidRDefault="00E56462" w:rsidP="00035D2C">
            <w:pPr>
              <w:autoSpaceDE w:val="0"/>
              <w:autoSpaceDN w:val="0"/>
              <w:spacing w:before="2pt" w:after="2pt"/>
              <w:jc w:val="center"/>
              <w:rPr>
                <w:rFonts w:ascii="Century Gothic" w:hAnsi="Century Gothic" w:cs="Arial"/>
                <w:spacing w:val="-4"/>
                <w:sz w:val="18"/>
              </w:rPr>
            </w:pPr>
            <w:r>
              <w:rPr>
                <w:rFonts w:ascii="Century Gothic" w:hAnsi="Century Gothic" w:cs="Arial"/>
                <w:spacing w:val="-4"/>
                <w:sz w:val="18"/>
              </w:rPr>
              <w:t>Banda Ancha Asimétrica</w:t>
            </w:r>
          </w:p>
          <w:p w:rsidR="00277ED2" w:rsidRPr="00611019" w:rsidRDefault="00E56462" w:rsidP="00035D2C">
            <w:pPr>
              <w:spacing w:before="2pt" w:after="2pt"/>
              <w:jc w:val="center"/>
              <w:rPr>
                <w:rFonts w:ascii="Century Gothic" w:hAnsi="Century Gothic" w:cs="Arial"/>
                <w:sz w:val="18"/>
              </w:rPr>
            </w:pPr>
            <w:r>
              <w:rPr>
                <w:rFonts w:ascii="Century Gothic" w:hAnsi="Century Gothic" w:cs="Arial"/>
                <w:spacing w:val="-4"/>
                <w:sz w:val="18"/>
              </w:rPr>
              <w:t>Hasta 2.2 MHz (ADSL, ADSL2, ADSL2+)</w:t>
            </w:r>
          </w:p>
        </w:tc>
        <w:tc>
          <w:tcPr>
            <w:tcW w:w="11.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100%</w:t>
            </w:r>
          </w:p>
        </w:tc>
        <w:tc>
          <w:tcPr>
            <w:tcW w:w="13.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60%</w:t>
            </w:r>
          </w:p>
        </w:tc>
        <w:tc>
          <w:tcPr>
            <w:tcW w:w="12.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50%</w:t>
            </w:r>
          </w:p>
        </w:tc>
        <w:tc>
          <w:tcPr>
            <w:tcW w:w="12.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40%</w:t>
            </w:r>
          </w:p>
        </w:tc>
      </w:tr>
      <w:tr w:rsidR="0061711D" w:rsidTr="004415D9">
        <w:trPr>
          <w:jc w:val="center"/>
        </w:trPr>
        <w:tc>
          <w:tcPr>
            <w:tcW w:w="12.0%" w:type="pct"/>
            <w:vAlign w:val="center"/>
            <w:hideMark/>
          </w:tcPr>
          <w:p w:rsidR="00277ED2" w:rsidRPr="00611019" w:rsidRDefault="00E56462" w:rsidP="00035D2C">
            <w:pPr>
              <w:autoSpaceDE w:val="0"/>
              <w:autoSpaceDN w:val="0"/>
              <w:spacing w:before="2pt" w:after="2pt"/>
              <w:jc w:val="center"/>
              <w:rPr>
                <w:rFonts w:ascii="Century Gothic" w:hAnsi="Century Gothic" w:cs="Arial"/>
                <w:sz w:val="18"/>
              </w:rPr>
            </w:pPr>
            <w:r>
              <w:rPr>
                <w:rFonts w:ascii="Century Gothic" w:hAnsi="Century Gothic" w:cs="Arial"/>
                <w:sz w:val="18"/>
              </w:rPr>
              <w:t>5</w:t>
            </w:r>
          </w:p>
        </w:tc>
        <w:tc>
          <w:tcPr>
            <w:tcW w:w="37.0%" w:type="pct"/>
            <w:vAlign w:val="center"/>
            <w:hideMark/>
          </w:tcPr>
          <w:p w:rsidR="00277ED2" w:rsidRPr="00611019" w:rsidRDefault="00E56462" w:rsidP="00035D2C">
            <w:pPr>
              <w:autoSpaceDE w:val="0"/>
              <w:autoSpaceDN w:val="0"/>
              <w:spacing w:before="2pt" w:after="2pt"/>
              <w:jc w:val="center"/>
              <w:rPr>
                <w:rFonts w:ascii="Century Gothic" w:hAnsi="Century Gothic" w:cs="Arial"/>
                <w:sz w:val="18"/>
              </w:rPr>
            </w:pPr>
            <w:r>
              <w:rPr>
                <w:rFonts w:ascii="Century Gothic" w:hAnsi="Century Gothic" w:cs="Arial"/>
                <w:sz w:val="18"/>
              </w:rPr>
              <w:t>Banda Ancha Asimétrica</w:t>
            </w:r>
          </w:p>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Hasta 30 MHz (VDSL2)</w:t>
            </w:r>
          </w:p>
        </w:tc>
        <w:tc>
          <w:tcPr>
            <w:tcW w:w="11.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100%</w:t>
            </w:r>
          </w:p>
        </w:tc>
        <w:tc>
          <w:tcPr>
            <w:tcW w:w="13.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50%</w:t>
            </w:r>
          </w:p>
        </w:tc>
        <w:tc>
          <w:tcPr>
            <w:tcW w:w="12.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25%</w:t>
            </w:r>
          </w:p>
        </w:tc>
        <w:tc>
          <w:tcPr>
            <w:tcW w:w="12.0%" w:type="pct"/>
            <w:vAlign w:val="center"/>
            <w:hideMark/>
          </w:tcPr>
          <w:p w:rsidR="00277ED2" w:rsidRPr="00611019" w:rsidRDefault="00E56462" w:rsidP="00035D2C">
            <w:pPr>
              <w:spacing w:before="2pt" w:after="2pt"/>
              <w:jc w:val="center"/>
              <w:rPr>
                <w:rFonts w:ascii="Century Gothic" w:hAnsi="Century Gothic" w:cs="Arial"/>
                <w:sz w:val="18"/>
              </w:rPr>
            </w:pPr>
            <w:r>
              <w:rPr>
                <w:rFonts w:ascii="Century Gothic" w:hAnsi="Century Gothic" w:cs="Arial"/>
                <w:sz w:val="18"/>
              </w:rPr>
              <w:t>0%</w:t>
            </w:r>
          </w:p>
        </w:tc>
      </w:tr>
    </w:tbl>
    <w:p w:rsidR="00573F03" w:rsidRPr="00611019" w:rsidRDefault="00E56462" w:rsidP="00035D2C">
      <w:pPr>
        <w:spacing w:before="3pt" w:after="10pt"/>
        <w:contextualSpacing/>
        <w:jc w:val="center"/>
        <w:rPr>
          <w:rFonts w:ascii="Century Gothic" w:hAnsi="Century Gothic" w:cs="Arial"/>
          <w:b/>
          <w:bCs/>
          <w:sz w:val="20"/>
        </w:rPr>
      </w:pPr>
      <w:r>
        <w:rPr>
          <w:rFonts w:ascii="Century Gothic" w:hAnsi="Century Gothic" w:cs="Arial"/>
          <w:b/>
          <w:bCs/>
          <w:sz w:val="20"/>
        </w:rPr>
        <w:t xml:space="preserve">Porcentaje de Penetración de Tecnologías en una unidad básica de bucle, </w:t>
      </w:r>
      <w:r>
        <w:rPr>
          <w:rFonts w:ascii="Century Gothic" w:hAnsi="Century Gothic" w:cs="Arial"/>
          <w:b/>
          <w:bCs/>
          <w:sz w:val="20"/>
        </w:rPr>
        <w:br/>
        <w:t>de acuerdo con el PGE.</w:t>
      </w:r>
    </w:p>
    <w:p w:rsidR="00B179EC" w:rsidRPr="00611019" w:rsidRDefault="00B179EC" w:rsidP="00035D2C">
      <w:pPr>
        <w:pStyle w:val="xxxPiedeCuadroconnombre"/>
        <w:ind w:start="0pt"/>
        <w:rPr>
          <w:rFonts w:ascii="Century Gothic" w:hAnsi="Century Gothic"/>
        </w:rPr>
      </w:pPr>
    </w:p>
    <w:p w:rsidR="00277ED2" w:rsidRPr="00611019" w:rsidRDefault="00E56462" w:rsidP="00035D2C">
      <w:pPr>
        <w:spacing w:after="6pt"/>
        <w:ind w:start="21.25pt"/>
        <w:jc w:val="both"/>
        <w:rPr>
          <w:rFonts w:ascii="Century Gothic" w:hAnsi="Century Gothic" w:cs="Arial"/>
        </w:rPr>
      </w:pPr>
      <w:r>
        <w:rPr>
          <w:rFonts w:ascii="Century Gothic" w:hAnsi="Century Gothic" w:cs="Arial"/>
        </w:rPr>
        <w:lastRenderedPageBreak/>
        <w:t>Para las tecnologías digitales (Grupos 2 al 5) la penetración máxima a ser aplicada en un mismo cable multipar no podrá rebasar el 70% de ocupación en cualquier combinación de tecnologías de estos grupos.</w:t>
      </w:r>
    </w:p>
    <w:p w:rsidR="004A3924" w:rsidRPr="00611019" w:rsidRDefault="004A3924" w:rsidP="00EA4C9F">
      <w:pPr>
        <w:ind w:start="21.25pt"/>
        <w:jc w:val="both"/>
        <w:rPr>
          <w:rFonts w:ascii="Century Gothic" w:hAnsi="Century Gothic" w:cs="Arial"/>
        </w:rPr>
      </w:pPr>
    </w:p>
    <w:p w:rsidR="00277ED2" w:rsidRPr="00611019" w:rsidRDefault="00E56462" w:rsidP="00EA4C9F">
      <w:pPr>
        <w:jc w:val="both"/>
        <w:rPr>
          <w:rFonts w:ascii="Century Gothic" w:hAnsi="Century Gothic" w:cs="Arial"/>
          <w:b/>
        </w:rPr>
      </w:pPr>
      <w:r>
        <w:rPr>
          <w:rFonts w:ascii="Century Gothic" w:hAnsi="Century Gothic" w:cs="Arial"/>
          <w:b/>
        </w:rPr>
        <w:t>Bucle Nuevo.</w:t>
      </w:r>
    </w:p>
    <w:p w:rsidR="00277ED2" w:rsidRPr="00611019" w:rsidRDefault="00E56462" w:rsidP="00035D2C">
      <w:pPr>
        <w:spacing w:after="6pt"/>
        <w:rPr>
          <w:rFonts w:ascii="Century Gothic" w:hAnsi="Century Gothic" w:cs="Arial"/>
        </w:rPr>
      </w:pPr>
      <w:r>
        <w:rPr>
          <w:rFonts w:ascii="Century Gothic" w:hAnsi="Century Gothic" w:cs="Arial"/>
        </w:rPr>
        <w:t>Premisas: Usuario sin servicio activo de datos y/o voz.</w:t>
      </w:r>
    </w:p>
    <w:p w:rsidR="00277ED2" w:rsidRPr="00611019" w:rsidRDefault="00E56462" w:rsidP="00035D2C">
      <w:pPr>
        <w:spacing w:after="6pt"/>
        <w:jc w:val="both"/>
        <w:rPr>
          <w:rFonts w:ascii="Century Gothic" w:hAnsi="Century Gothic" w:cs="Arial"/>
        </w:rPr>
      </w:pPr>
      <w:r>
        <w:rPr>
          <w:rFonts w:ascii="Century Gothic" w:hAnsi="Century Gothic" w:cs="Arial"/>
        </w:rPr>
        <w:t>Mecánica para calificar el bucle y determinar el ancho de banda por distancia:</w:t>
      </w:r>
    </w:p>
    <w:p w:rsidR="00277ED2" w:rsidRPr="00611019" w:rsidRDefault="00E56462" w:rsidP="00035D2C">
      <w:pPr>
        <w:spacing w:after="6pt"/>
        <w:ind w:start="28.35pt" w:hanging="28.35pt"/>
        <w:jc w:val="both"/>
        <w:rPr>
          <w:rFonts w:ascii="Century Gothic" w:hAnsi="Century Gothic" w:cs="Arial"/>
        </w:rPr>
      </w:pPr>
      <w:r>
        <w:rPr>
          <w:rFonts w:ascii="Century Gothic" w:eastAsia="Calibri" w:hAnsi="Century Gothic" w:cs="Arial"/>
        </w:rPr>
        <w:t>1)</w:t>
      </w:r>
      <w:r>
        <w:rPr>
          <w:rFonts w:ascii="Century Gothic" w:eastAsia="Calibri" w:hAnsi="Century Gothic" w:cs="Arial"/>
        </w:rPr>
        <w:tab/>
      </w:r>
      <w:r>
        <w:rPr>
          <w:rFonts w:ascii="Century Gothic" w:hAnsi="Century Gothic" w:cs="Arial"/>
        </w:rPr>
        <w:t xml:space="preserve">Para obtener el dato de la distancia del bucle se toma como referencia la caja de distribución asociada al domicilio del Usuario Final. De esta forma la distancia se calcula considerando la distancia de la Central Telefónica a la caja de distribución de la construcción de red, adicionando </w:t>
      </w:r>
      <w:smartTag w:uri="urn:schemas-microsoft-com:office:smarttags" w:element="metricconverter">
        <w:smartTagPr>
          <w:attr w:name="ProductID" w:val="500 m"/>
        </w:smartTagPr>
        <w:r>
          <w:rPr>
            <w:rFonts w:ascii="Century Gothic" w:hAnsi="Century Gothic" w:cs="Arial"/>
          </w:rPr>
          <w:t>500 m</w:t>
        </w:r>
      </w:smartTag>
      <w:r>
        <w:rPr>
          <w:rFonts w:ascii="Century Gothic" w:hAnsi="Century Gothic" w:cs="Arial"/>
        </w:rPr>
        <w:t>etros correspondientes a la distancia promedio al domicilio del Usuario Final. Los valores del ancho de banda alcanzables serán los referidos en la Tabla de Relación entre distancia y velocidad máxima alcanzable por bucle.</w:t>
      </w:r>
    </w:p>
    <w:p w:rsidR="00277ED2" w:rsidRPr="00611019" w:rsidRDefault="00E56462" w:rsidP="00035D2C">
      <w:pPr>
        <w:pStyle w:val="CondicionesFinales"/>
        <w:spacing w:after="6pt"/>
        <w:ind w:start="0pt" w:end="0pt"/>
        <w:rPr>
          <w:rFonts w:ascii="Century Gothic" w:hAnsi="Century Gothic"/>
          <w:color w:val="auto"/>
          <w:lang w:val="es-MX"/>
        </w:rPr>
      </w:pPr>
      <w:r>
        <w:rPr>
          <w:rFonts w:ascii="Century Gothic" w:hAnsi="Century Gothic"/>
          <w:color w:val="auto"/>
          <w:lang w:val="es-MX"/>
        </w:rPr>
        <w:t xml:space="preserve">Adicional a esta información se indicará si existen pares vacantes para los servicios indicados en las reglas de penetración del PGE, conforme a la tabla de Proporción de Penetración de Tecnologías en una unidad básica de bucle, de acuerdo con el PGE. </w:t>
      </w:r>
      <w:bookmarkStart w:id="837" w:name="_Toc436840870"/>
      <w:bookmarkStart w:id="838" w:name="_Toc436846307"/>
      <w:bookmarkStart w:id="839" w:name="_Toc436848257"/>
      <w:bookmarkStart w:id="840" w:name="_Toc436856505"/>
      <w:bookmarkStart w:id="841" w:name="_Toc436862651"/>
      <w:bookmarkStart w:id="842" w:name="_Toc436866301"/>
      <w:bookmarkStart w:id="843" w:name="_Toc436870880"/>
      <w:bookmarkStart w:id="844" w:name="_Toc436875872"/>
      <w:bookmarkStart w:id="845" w:name="_Toc467248685"/>
      <w:bookmarkStart w:id="846" w:name="_Toc525904549"/>
      <w:bookmarkStart w:id="847" w:name="_Toc525913945"/>
      <w:bookmarkStart w:id="848" w:name="_Toc525919184"/>
      <w:bookmarkStart w:id="849" w:name="_Toc525919308"/>
      <w:bookmarkStart w:id="850" w:name="_Toc2957118"/>
    </w:p>
    <w:p w:rsidR="00B179EC" w:rsidRPr="00611019" w:rsidRDefault="00B179EC" w:rsidP="00035D2C">
      <w:pPr>
        <w:pStyle w:val="CondicionesFinales"/>
        <w:spacing w:after="6pt"/>
        <w:ind w:start="36pt" w:end="0pt"/>
        <w:rPr>
          <w:rFonts w:ascii="Century Gothic" w:hAnsi="Century Gothic"/>
          <w:color w:val="auto"/>
          <w:lang w:val="es-MX"/>
        </w:rPr>
      </w:pPr>
    </w:p>
    <w:p w:rsidR="00277ED2" w:rsidRPr="00611019" w:rsidRDefault="00E56462" w:rsidP="00035D2C">
      <w:pPr>
        <w:pStyle w:val="Ttulo2"/>
        <w:spacing w:after="6pt"/>
        <w:rPr>
          <w:rFonts w:ascii="Century Gothic" w:eastAsia="Calibri" w:hAnsi="Century Gothic"/>
        </w:rPr>
      </w:pPr>
      <w:bookmarkStart w:id="851" w:name="_Toc53488475"/>
      <w:bookmarkStart w:id="852" w:name="_Toc53490407"/>
      <w:bookmarkStart w:id="853" w:name="_Toc53498416"/>
      <w:bookmarkStart w:id="854" w:name="_Toc58578772"/>
      <w:bookmarkStart w:id="855" w:name="_Toc92973997"/>
      <w:bookmarkStart w:id="856" w:name="_Toc93052308"/>
      <w:bookmarkStart w:id="857" w:name="_Toc93056263"/>
      <w:bookmarkStart w:id="858" w:name="_Toc125393336"/>
      <w:bookmarkStart w:id="859" w:name="_Toc148702192"/>
      <w:bookmarkStart w:id="860" w:name="_Toc170381817"/>
      <w:r>
        <w:rPr>
          <w:rFonts w:ascii="Century Gothic" w:eastAsia="Calibri" w:hAnsi="Century Gothic"/>
        </w:rPr>
        <w:t>1.7 Solicitudes masivas</w:t>
      </w:r>
      <w:bookmarkEnd w:id="851"/>
      <w:bookmarkEnd w:id="852"/>
      <w:bookmarkEnd w:id="853"/>
      <w:bookmarkEnd w:id="854"/>
      <w:bookmarkEnd w:id="855"/>
      <w:bookmarkEnd w:id="856"/>
      <w:bookmarkEnd w:id="857"/>
      <w:bookmarkEnd w:id="858"/>
      <w:bookmarkEnd w:id="859"/>
      <w:bookmarkEnd w:id="860"/>
      <w:r>
        <w:rPr>
          <w:rFonts w:ascii="Century Gothic" w:eastAsia="Calibri" w:hAnsi="Century Gothic"/>
        </w:rPr>
        <w:t>.</w:t>
      </w:r>
    </w:p>
    <w:p w:rsidR="00277ED2" w:rsidRPr="00611019" w:rsidRDefault="00E56462" w:rsidP="00035D2C">
      <w:pPr>
        <w:pStyle w:val="IFTnormal"/>
        <w:spacing w:after="6pt"/>
        <w:rPr>
          <w:rFonts w:ascii="Century Gothic" w:hAnsi="Century Gothic"/>
        </w:rPr>
      </w:pPr>
      <w:r>
        <w:rPr>
          <w:rFonts w:ascii="Century Gothic" w:hAnsi="Century Gothic"/>
        </w:rPr>
        <w:t>Con la finalidad de hacer más eficiente el tratamiento administrativo y la prestación de los Servicios de Desagregación, se ofrece el uso de solicitudes masivas (a partir de 10), el cual atenderá cualquier tipo de movimiento (alta, baja, cambio y cancelación) en la cantidad y secuencia requerida por el CS.</w:t>
      </w:r>
    </w:p>
    <w:p w:rsidR="00277ED2" w:rsidRPr="00611019" w:rsidRDefault="00E56462" w:rsidP="00035D2C">
      <w:pPr>
        <w:pStyle w:val="IFTnormal"/>
        <w:spacing w:after="6pt"/>
        <w:rPr>
          <w:rFonts w:ascii="Century Gothic" w:hAnsi="Century Gothic"/>
        </w:rPr>
      </w:pPr>
      <w:r>
        <w:rPr>
          <w:rFonts w:ascii="Century Gothic" w:hAnsi="Century Gothic"/>
        </w:rPr>
        <w:t xml:space="preserve">Las solicitudes masivas se reflejarán en el SEG permitiendo la carga de archivos Excel conteniendo diversas solicitudes con la información requerida en los formatos de alta, baja, cambio o cancelación, con el fin de procesar cada registro de forma particular, asignando un número de folio a cada uno de ellos como si se hubiesen capturado de manera individual. Y en el SIPO deberá responder a las transacciones de los sistemas de los </w:t>
      </w:r>
      <w:r w:rsidR="00715A90">
        <w:rPr>
          <w:rFonts w:ascii="Century Gothic" w:hAnsi="Century Gothic"/>
        </w:rPr>
        <w:t>CS</w:t>
      </w:r>
      <w:r>
        <w:rPr>
          <w:rFonts w:ascii="Century Gothic" w:hAnsi="Century Gothic"/>
        </w:rPr>
        <w:t xml:space="preserve"> que soliciten varias contrataciones o transacciones atendiendo sucesivamente las múltiples peticiones que se generen.</w:t>
      </w:r>
    </w:p>
    <w:p w:rsidR="00277ED2" w:rsidRPr="00611019" w:rsidRDefault="00E56462" w:rsidP="00035D2C">
      <w:pPr>
        <w:pStyle w:val="IFTnormal"/>
        <w:spacing w:after="6pt"/>
        <w:rPr>
          <w:rFonts w:ascii="Century Gothic" w:hAnsi="Century Gothic"/>
        </w:rPr>
      </w:pPr>
      <w:r>
        <w:rPr>
          <w:rFonts w:ascii="Century Gothic" w:hAnsi="Century Gothic"/>
        </w:rPr>
        <w:t>Para lograr lo antes planteado, RED NACIONAL pondrá a disposición del CS de forma descargable en el SEG el formato base del archivo en Excel para que éste sea llenado con la información requerida en los formatos de alta, baja, cambio o cancelación. Así como la API que permite la atención sucesiva de las múltiples peticiones que se generen en el SIPO.</w:t>
      </w:r>
    </w:p>
    <w:p w:rsidR="00277ED2" w:rsidRPr="00611019" w:rsidRDefault="00E56462" w:rsidP="00035D2C">
      <w:pPr>
        <w:pStyle w:val="IFTnormal"/>
        <w:spacing w:after="6pt"/>
        <w:rPr>
          <w:rFonts w:ascii="Century Gothic" w:hAnsi="Century Gothic"/>
        </w:rPr>
      </w:pPr>
      <w:r>
        <w:rPr>
          <w:rFonts w:ascii="Century Gothic" w:hAnsi="Century Gothic"/>
        </w:rPr>
        <w:t xml:space="preserve">En el proceso de validación de las solicitudes masivas se debe indicar para cada registro lo siguiente: </w:t>
      </w:r>
    </w:p>
    <w:p w:rsidR="00277ED2" w:rsidRPr="00611019" w:rsidRDefault="00E56462">
      <w:pPr>
        <w:pStyle w:val="IFTnormal"/>
        <w:numPr>
          <w:ilvl w:val="0"/>
          <w:numId w:val="198"/>
        </w:numPr>
        <w:spacing w:after="6pt"/>
        <w:rPr>
          <w:rFonts w:ascii="Century Gothic" w:hAnsi="Century Gothic"/>
        </w:rPr>
      </w:pPr>
      <w:r>
        <w:rPr>
          <w:rFonts w:ascii="Century Gothic" w:hAnsi="Century Gothic"/>
        </w:rPr>
        <w:lastRenderedPageBreak/>
        <w:t>Si la solicitud es correcta, RED NACIONAL cambiará el folio previamente asignado por el NIS el cual será por usuario en caso de solicitudes masivas y proporcionará la fecha de habilitación del servicio.</w:t>
      </w:r>
    </w:p>
    <w:p w:rsidR="00277ED2" w:rsidRPr="00611019" w:rsidRDefault="00E56462">
      <w:pPr>
        <w:pStyle w:val="IFTnormal"/>
        <w:numPr>
          <w:ilvl w:val="0"/>
          <w:numId w:val="198"/>
        </w:numPr>
        <w:spacing w:after="6pt"/>
        <w:rPr>
          <w:rFonts w:ascii="Century Gothic" w:hAnsi="Century Gothic"/>
        </w:rPr>
      </w:pPr>
      <w:r>
        <w:rPr>
          <w:rFonts w:ascii="Century Gothic" w:hAnsi="Century Gothic"/>
        </w:rPr>
        <w:t>Si es incorrecta, RED NACIONAL devolverá al CS el archivo de Excel indicando el motivo de rechazo para cada registro, para que sea corregida y reenviada nuevamente a validación. En el entendido de que para los registros que se encuentren correctos, RED NACIONAL procederá conforme al punto inmediato anterior.</w:t>
      </w:r>
    </w:p>
    <w:p w:rsidR="003B1A36" w:rsidRPr="00611019" w:rsidRDefault="003B1A36" w:rsidP="00035D2C">
      <w:pPr>
        <w:pStyle w:val="IFTnormal"/>
        <w:spacing w:after="6pt"/>
        <w:ind w:start="35.45pt"/>
        <w:rPr>
          <w:rFonts w:ascii="Century Gothic" w:hAnsi="Century Gothic"/>
        </w:rPr>
      </w:pPr>
    </w:p>
    <w:p w:rsidR="00277ED2" w:rsidRPr="00611019" w:rsidRDefault="00E56462" w:rsidP="00035D2C">
      <w:pPr>
        <w:pStyle w:val="Ttulo2"/>
        <w:spacing w:after="6pt"/>
        <w:rPr>
          <w:rFonts w:ascii="Century Gothic" w:hAnsi="Century Gothic"/>
        </w:rPr>
      </w:pPr>
      <w:bookmarkStart w:id="861" w:name="_Toc24473442"/>
      <w:bookmarkStart w:id="862" w:name="_Toc24477571"/>
      <w:bookmarkStart w:id="863" w:name="_Toc26281380"/>
      <w:bookmarkStart w:id="864" w:name="_Toc26284916"/>
      <w:bookmarkStart w:id="865" w:name="_Toc26903901"/>
      <w:bookmarkStart w:id="866" w:name="_Toc26980625"/>
      <w:bookmarkStart w:id="867" w:name="_Toc24473443"/>
      <w:bookmarkStart w:id="868" w:name="_Toc24477572"/>
      <w:bookmarkStart w:id="869" w:name="_Toc26281381"/>
      <w:bookmarkStart w:id="870" w:name="_Toc26284917"/>
      <w:bookmarkStart w:id="871" w:name="_Toc26903902"/>
      <w:bookmarkStart w:id="872" w:name="_Toc43913144"/>
      <w:bookmarkStart w:id="873" w:name="_Toc26980626"/>
      <w:bookmarkStart w:id="874" w:name="_Toc53488476"/>
      <w:bookmarkStart w:id="875" w:name="_Toc53490408"/>
      <w:bookmarkStart w:id="876" w:name="_Toc53498417"/>
      <w:bookmarkStart w:id="877" w:name="_Toc58578773"/>
      <w:bookmarkStart w:id="878" w:name="_Toc92973998"/>
      <w:bookmarkStart w:id="879" w:name="_Toc93052309"/>
      <w:bookmarkStart w:id="880" w:name="_Toc93056264"/>
      <w:bookmarkStart w:id="881" w:name="_Toc125393337"/>
      <w:bookmarkStart w:id="882" w:name="_Toc148702193"/>
      <w:bookmarkStart w:id="883" w:name="_Toc170381818"/>
      <w:r>
        <w:rPr>
          <w:rFonts w:ascii="Century Gothic" w:hAnsi="Century Gothic"/>
        </w:rPr>
        <w:t>1.8</w:t>
      </w:r>
      <w:bookmarkEnd w:id="861"/>
      <w:bookmarkEnd w:id="862"/>
      <w:bookmarkEnd w:id="863"/>
      <w:bookmarkEnd w:id="864"/>
      <w:bookmarkEnd w:id="865"/>
      <w:bookmarkEnd w:id="866"/>
      <w:r>
        <w:rPr>
          <w:rFonts w:ascii="Century Gothic" w:hAnsi="Century Gothic"/>
        </w:rPr>
        <w:t xml:space="preserve"> Condiciones generales para la prestación de los Servicios</w:t>
      </w:r>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r>
        <w:rPr>
          <w:rFonts w:ascii="Century Gothic" w:hAnsi="Century Gothic"/>
        </w:rPr>
        <w:t>.</w:t>
      </w:r>
    </w:p>
    <w:p w:rsidR="00277ED2" w:rsidRPr="00611019" w:rsidRDefault="00E56462" w:rsidP="00035D2C">
      <w:pPr>
        <w:spacing w:after="6pt"/>
        <w:jc w:val="both"/>
        <w:rPr>
          <w:rFonts w:ascii="Century Gothic" w:hAnsi="Century Gothic" w:cs="Arial"/>
          <w:b/>
        </w:rPr>
      </w:pPr>
      <w:r>
        <w:rPr>
          <w:rFonts w:ascii="Century Gothic" w:hAnsi="Century Gothic" w:cs="Arial"/>
          <w:b/>
        </w:rPr>
        <w:t>Generales:</w:t>
      </w:r>
    </w:p>
    <w:p w:rsidR="00277ED2" w:rsidRPr="00611019" w:rsidRDefault="00E56462" w:rsidP="00035D2C">
      <w:pPr>
        <w:spacing w:after="6pt"/>
        <w:ind w:start="28.35pt" w:hanging="28.35pt"/>
        <w:jc w:val="both"/>
        <w:rPr>
          <w:rFonts w:ascii="Century Gothic" w:hAnsi="Century Gothic" w:cs="Arial"/>
        </w:rPr>
      </w:pPr>
      <w:r>
        <w:rPr>
          <w:rFonts w:ascii="Century Gothic" w:hAnsi="Century Gothic" w:cs="Arial"/>
        </w:rPr>
        <w:t>1.</w:t>
      </w:r>
      <w:r>
        <w:rPr>
          <w:rFonts w:ascii="Century Gothic" w:hAnsi="Century Gothic" w:cs="Arial"/>
        </w:rPr>
        <w:tab/>
        <w:t xml:space="preserve">Las Partes no serán responsables por cualquier incidencia o daño que se presente en la red pública de telecomunicaciones por Casos Fortuitos o Fuerza Mayor, por ende, cada CS será responsable del restablecimiento de sus servicios y de su red, por sus propios medios. En caso de que se presente un Caso Fortuito o Fuerza Mayor, el periodo de afectación no será considerado dentro de los parámetros de calidad del Servicio ni en la medición de tiempos de entrega y RED NACIONAL, una vez concluida la atención de la falla o habilitación, señalará mediante el SEG como parte de la etiqueta de objeción el tipo de Caso Fortuito o Fuerza Mayor que ocasionó la objeción.  </w:t>
      </w:r>
    </w:p>
    <w:p w:rsidR="00277ED2" w:rsidRPr="00611019" w:rsidRDefault="00E56462" w:rsidP="00035D2C">
      <w:pPr>
        <w:spacing w:after="6pt"/>
        <w:ind w:start="28.35pt" w:hanging="28.35pt"/>
        <w:jc w:val="both"/>
        <w:rPr>
          <w:rFonts w:ascii="Century Gothic" w:hAnsi="Century Gothic" w:cs="Arial"/>
        </w:rPr>
      </w:pPr>
      <w:r>
        <w:rPr>
          <w:rFonts w:ascii="Century Gothic" w:hAnsi="Century Gothic" w:cs="Arial"/>
        </w:rPr>
        <w:t>2.</w:t>
      </w:r>
      <w:r>
        <w:rPr>
          <w:rFonts w:ascii="Century Gothic" w:hAnsi="Century Gothic" w:cs="Arial"/>
        </w:rPr>
        <w:tab/>
        <w:t xml:space="preserve">Los tiempos de autorización de permisos por parte de la autoridad para la construcción de una obra civil no serán considerados dentro de los tiempos de entrega de </w:t>
      </w:r>
      <w:r>
        <w:rPr>
          <w:rFonts w:ascii="Century Gothic" w:hAnsi="Century Gothic"/>
        </w:rPr>
        <w:t>RED NACIONAL</w:t>
      </w:r>
      <w:r>
        <w:rPr>
          <w:rFonts w:ascii="Century Gothic" w:hAnsi="Century Gothic" w:cs="Arial"/>
        </w:rPr>
        <w:t>, siempre y cuando haya actuado con diligencia en la realización del trámite correspondiente.</w:t>
      </w:r>
    </w:p>
    <w:p w:rsidR="00277ED2" w:rsidRPr="00611019" w:rsidRDefault="00E56462" w:rsidP="00035D2C">
      <w:pPr>
        <w:spacing w:after="6pt"/>
        <w:ind w:start="28.35pt" w:hanging="28.35pt"/>
        <w:jc w:val="both"/>
        <w:rPr>
          <w:rFonts w:ascii="Century Gothic" w:hAnsi="Century Gothic" w:cs="Arial"/>
        </w:rPr>
      </w:pPr>
      <w:r>
        <w:rPr>
          <w:rFonts w:ascii="Century Gothic" w:hAnsi="Century Gothic" w:cs="Arial"/>
        </w:rPr>
        <w:t>3.</w:t>
      </w:r>
      <w:r>
        <w:rPr>
          <w:rFonts w:ascii="Century Gothic" w:hAnsi="Century Gothic" w:cs="Arial"/>
        </w:rPr>
        <w:tab/>
        <w:t xml:space="preserve">El encargado de realizar una obra civil, ya sea </w:t>
      </w:r>
      <w:r>
        <w:rPr>
          <w:rFonts w:ascii="Century Gothic" w:hAnsi="Century Gothic"/>
        </w:rPr>
        <w:t>RED NACIONAL</w:t>
      </w:r>
      <w:r>
        <w:rPr>
          <w:rFonts w:ascii="Century Gothic" w:hAnsi="Century Gothic" w:cs="Arial"/>
        </w:rPr>
        <w:t xml:space="preserve"> o el CS, será responsable de la tramitación de los permisos de dicha obra civil ante la autoridad competente. Para la medición del cumplimiento de los plazos de entrega no se considerarán los días de retraso atribuibles a los </w:t>
      </w:r>
      <w:r w:rsidR="00715A90">
        <w:rPr>
          <w:rFonts w:ascii="Century Gothic" w:hAnsi="Century Gothic" w:cs="Arial"/>
        </w:rPr>
        <w:t>CS</w:t>
      </w:r>
      <w:r>
        <w:rPr>
          <w:rFonts w:ascii="Century Gothic" w:hAnsi="Century Gothic" w:cs="Arial"/>
        </w:rPr>
        <w:t xml:space="preserve"> del servicio, ni los que deriven de una causa de fuerza mayor o caso fortuito, ni aquellos no imputables a </w:t>
      </w:r>
      <w:r>
        <w:rPr>
          <w:rFonts w:ascii="Century Gothic" w:hAnsi="Century Gothic"/>
        </w:rPr>
        <w:t>RED NACIONAL</w:t>
      </w:r>
      <w:r>
        <w:rPr>
          <w:rFonts w:ascii="Century Gothic" w:hAnsi="Century Gothic" w:cs="Arial"/>
        </w:rPr>
        <w:t xml:space="preserve"> o al CS.</w:t>
      </w:r>
    </w:p>
    <w:p w:rsidR="00277ED2" w:rsidRPr="00611019" w:rsidRDefault="00E56462" w:rsidP="00035D2C">
      <w:pPr>
        <w:spacing w:after="6pt"/>
        <w:ind w:start="28.35pt" w:hanging="28.35pt"/>
        <w:jc w:val="both"/>
        <w:rPr>
          <w:rFonts w:ascii="Century Gothic" w:hAnsi="Century Gothic" w:cs="Arial"/>
        </w:rPr>
      </w:pPr>
      <w:r>
        <w:rPr>
          <w:rFonts w:ascii="Century Gothic" w:hAnsi="Century Gothic" w:cs="Arial"/>
        </w:rPr>
        <w:t>4.</w:t>
      </w:r>
      <w:r>
        <w:rPr>
          <w:rFonts w:ascii="Century Gothic" w:hAnsi="Century Gothic" w:cs="Arial"/>
        </w:rPr>
        <w:tab/>
        <w:t xml:space="preserve">Es responsabilidad tanto de </w:t>
      </w:r>
      <w:r>
        <w:rPr>
          <w:rFonts w:ascii="Century Gothic" w:hAnsi="Century Gothic"/>
        </w:rPr>
        <w:t>RED NACIONAL</w:t>
      </w:r>
      <w:r>
        <w:rPr>
          <w:rFonts w:ascii="Century Gothic" w:hAnsi="Century Gothic" w:cs="Arial"/>
        </w:rPr>
        <w:t xml:space="preserve"> como del CS tomar las medidas precautorias necesarias en caso de fenómenos climatológicos, que pudieran afectar la prestación de los Servicios de Desagregación.</w:t>
      </w:r>
    </w:p>
    <w:p w:rsidR="003B1A36" w:rsidRPr="00611019" w:rsidRDefault="00E56462" w:rsidP="00035D2C">
      <w:pPr>
        <w:spacing w:after="6pt"/>
        <w:ind w:start="28.35pt" w:hanging="28.35pt"/>
        <w:jc w:val="both"/>
        <w:rPr>
          <w:rFonts w:ascii="Century Gothic" w:hAnsi="Century Gothic" w:cs="Arial"/>
        </w:rPr>
      </w:pPr>
      <w:r>
        <w:rPr>
          <w:rFonts w:ascii="Century Gothic" w:hAnsi="Century Gothic" w:cs="Arial"/>
        </w:rPr>
        <w:t>5.</w:t>
      </w:r>
      <w:r>
        <w:rPr>
          <w:rFonts w:ascii="Century Gothic" w:hAnsi="Century Gothic" w:cs="Arial"/>
        </w:rPr>
        <w:tab/>
      </w:r>
      <w:r>
        <w:rPr>
          <w:rFonts w:ascii="Century Gothic" w:hAnsi="Century Gothic"/>
        </w:rPr>
        <w:t>RED NACIONAL</w:t>
      </w:r>
      <w:r>
        <w:rPr>
          <w:rFonts w:ascii="Century Gothic" w:hAnsi="Century Gothic" w:cs="Arial"/>
        </w:rPr>
        <w:t xml:space="preserve"> no será responsable de la provisión de los servicios finales que el CS proporcione a sus Usuarios Finales a través de la red de acceso desplegada mediante los Servicios objeto del presente documento, con excepción del mantenimiento del Bucle</w:t>
      </w:r>
      <w:r w:rsidR="00715A90">
        <w:rPr>
          <w:rFonts w:ascii="Century Gothic" w:hAnsi="Century Gothic" w:cs="Arial"/>
        </w:rPr>
        <w:t xml:space="preserve"> y Sub-bucle Local</w:t>
      </w:r>
      <w:r>
        <w:rPr>
          <w:rFonts w:ascii="Century Gothic" w:hAnsi="Century Gothic" w:cs="Arial"/>
        </w:rPr>
        <w:t>, así como de la calidad del Servicio y seguridad del tráfico hasta el punto de entrega al CS.</w:t>
      </w:r>
    </w:p>
    <w:p w:rsidR="00277ED2" w:rsidRPr="00611019" w:rsidRDefault="00E56462" w:rsidP="00035D2C">
      <w:pPr>
        <w:spacing w:after="6pt"/>
        <w:ind w:start="28.35pt" w:hanging="28.35pt"/>
        <w:jc w:val="both"/>
        <w:rPr>
          <w:rFonts w:ascii="Century Gothic" w:hAnsi="Century Gothic" w:cs="Arial"/>
        </w:rPr>
      </w:pPr>
      <w:r>
        <w:rPr>
          <w:rFonts w:ascii="Century Gothic" w:hAnsi="Century Gothic" w:cs="Arial"/>
        </w:rPr>
        <w:lastRenderedPageBreak/>
        <w:t>6.</w:t>
      </w:r>
      <w:r>
        <w:rPr>
          <w:rFonts w:ascii="Century Gothic" w:hAnsi="Century Gothic" w:cs="Arial"/>
        </w:rPr>
        <w:tab/>
      </w:r>
      <w:r>
        <w:rPr>
          <w:rFonts w:ascii="Century Gothic" w:hAnsi="Century Gothic"/>
        </w:rPr>
        <w:t>RED NACIONAL</w:t>
      </w:r>
      <w:r>
        <w:rPr>
          <w:rFonts w:ascii="Century Gothic" w:hAnsi="Century Gothic" w:cs="Arial"/>
        </w:rPr>
        <w:t xml:space="preserve"> y el CS, según sea el caso, serán responsables de aquellas fallas que llegaran a ocasionar a los Usuarios Finales, con motivo de la incorrecta instalación del equipo sobre la red pública de telecomunicaciones y deberán cubrir los daños y fallas a la Parte afectada ocasionadas en la red pública de telecomunicaciones y en los equipos a través de los cuales presten servicios a los Usuarios Finales, asociados exclusivamente a la instalación del equipo.</w:t>
      </w:r>
    </w:p>
    <w:p w:rsidR="00277ED2" w:rsidRPr="00611019" w:rsidRDefault="00E56462" w:rsidP="00035D2C">
      <w:pPr>
        <w:spacing w:after="6pt"/>
        <w:ind w:start="28.35pt" w:hanging="28.35pt"/>
        <w:jc w:val="both"/>
        <w:rPr>
          <w:rFonts w:ascii="Century Gothic" w:hAnsi="Century Gothic" w:cs="Arial"/>
        </w:rPr>
      </w:pPr>
      <w:r>
        <w:rPr>
          <w:rFonts w:ascii="Century Gothic" w:hAnsi="Century Gothic" w:cs="Arial"/>
        </w:rPr>
        <w:t>7.</w:t>
      </w:r>
      <w:r>
        <w:rPr>
          <w:rFonts w:ascii="Century Gothic" w:hAnsi="Century Gothic" w:cs="Arial"/>
        </w:rPr>
        <w:tab/>
      </w:r>
      <w:r>
        <w:rPr>
          <w:rFonts w:ascii="Century Gothic" w:hAnsi="Century Gothic"/>
        </w:rPr>
        <w:t>RED NACIONAL</w:t>
      </w:r>
      <w:r>
        <w:rPr>
          <w:rFonts w:ascii="Century Gothic" w:hAnsi="Century Gothic" w:cs="Arial"/>
        </w:rPr>
        <w:t xml:space="preserve"> no será responsable cuando un CS solicite la baja de un servicio, y tal CS esté cursando tráfico en el momento de la baja.</w:t>
      </w:r>
    </w:p>
    <w:p w:rsidR="00277ED2" w:rsidRPr="00B529D4" w:rsidRDefault="00E56462" w:rsidP="00035D2C">
      <w:pPr>
        <w:spacing w:after="6pt"/>
        <w:ind w:start="28.35pt" w:hanging="28.35pt"/>
        <w:jc w:val="both"/>
        <w:rPr>
          <w:rFonts w:ascii="Century Gothic" w:hAnsi="Century Gothic" w:cs="Arial"/>
        </w:rPr>
      </w:pPr>
      <w:r>
        <w:rPr>
          <w:rFonts w:ascii="Century Gothic" w:eastAsia="Calibri" w:hAnsi="Century Gothic" w:cs="Arial"/>
        </w:rPr>
        <w:t>8.</w:t>
      </w:r>
      <w:r>
        <w:rPr>
          <w:rFonts w:ascii="Century Gothic" w:eastAsia="Calibri" w:hAnsi="Century Gothic" w:cs="Arial"/>
        </w:rPr>
        <w:tab/>
      </w:r>
      <w:r>
        <w:rPr>
          <w:rFonts w:ascii="Century Gothic" w:hAnsi="Century Gothic" w:cs="Arial"/>
        </w:rPr>
        <w:t xml:space="preserve">En el momento que </w:t>
      </w:r>
      <w:r>
        <w:rPr>
          <w:rFonts w:ascii="Century Gothic" w:hAnsi="Century Gothic"/>
        </w:rPr>
        <w:t>RED NACIONAL</w:t>
      </w:r>
      <w:r>
        <w:rPr>
          <w:rFonts w:ascii="Century Gothic" w:hAnsi="Century Gothic" w:cs="Arial"/>
        </w:rPr>
        <w:t xml:space="preserve"> considere necesario actualizar o modernizar los elementos de red con que opera actualmente, se obliga a avisar en el SEG/SIPO a los </w:t>
      </w:r>
      <w:r w:rsidR="00715A90">
        <w:rPr>
          <w:rFonts w:ascii="Century Gothic" w:hAnsi="Century Gothic" w:cs="Arial"/>
        </w:rPr>
        <w:t>CS</w:t>
      </w:r>
      <w:r>
        <w:rPr>
          <w:rFonts w:ascii="Century Gothic" w:hAnsi="Century Gothic" w:cs="Arial"/>
        </w:rPr>
        <w:t xml:space="preserve"> con seis meses de antelación en el caso de nueva tecnología o funcionalidades. Para el caso de actualizaciones de software de equipos terminales (módem / ONT) se avisará al CS vía SEG/SIPO con al menos 30 días naturales de antelación, lo cual no será necesario cuando se trate de mejoras para los </w:t>
      </w:r>
      <w:r w:rsidR="00715A90">
        <w:rPr>
          <w:rFonts w:ascii="Century Gothic" w:hAnsi="Century Gothic" w:cs="Arial"/>
        </w:rPr>
        <w:t>CS</w:t>
      </w:r>
      <w:r>
        <w:rPr>
          <w:rFonts w:ascii="Century Gothic" w:hAnsi="Century Gothic" w:cs="Arial"/>
        </w:rPr>
        <w:t xml:space="preserve"> y/o para los Usuarios Finales. Para el caso de cambio en los planes de equipamiento óptico si impiden la contratación o continuidad en el uso de los Servicios se informará al CS con un año </w:t>
      </w:r>
      <w:r w:rsidRPr="00B529D4">
        <w:rPr>
          <w:rFonts w:ascii="Century Gothic" w:hAnsi="Century Gothic" w:cs="Arial"/>
        </w:rPr>
        <w:t>de anticipación.</w:t>
      </w:r>
    </w:p>
    <w:p w:rsidR="003F5A24" w:rsidRPr="003F5A24" w:rsidRDefault="00E56462" w:rsidP="003F5A24">
      <w:pPr>
        <w:spacing w:after="6pt"/>
        <w:ind w:start="28.35pt" w:hanging="28.35pt"/>
        <w:jc w:val="both"/>
        <w:rPr>
          <w:rFonts w:ascii="Century Gothic" w:hAnsi="Century Gothic" w:cs="Arial"/>
        </w:rPr>
      </w:pPr>
      <w:r w:rsidRPr="00B529D4">
        <w:rPr>
          <w:rFonts w:ascii="Century Gothic" w:eastAsia="Calibri" w:hAnsi="Century Gothic" w:cs="Arial"/>
        </w:rPr>
        <w:t>9.</w:t>
      </w:r>
      <w:r w:rsidRPr="00B529D4">
        <w:rPr>
          <w:rFonts w:ascii="Century Gothic" w:eastAsia="Calibri" w:hAnsi="Century Gothic" w:cs="Arial"/>
        </w:rPr>
        <w:tab/>
      </w:r>
      <w:r w:rsidRPr="00B529D4">
        <w:rPr>
          <w:rFonts w:ascii="Century Gothic" w:hAnsi="Century Gothic" w:cs="Arial"/>
        </w:rPr>
        <w:t xml:space="preserve">Cuando </w:t>
      </w:r>
      <w:r w:rsidRPr="00B529D4">
        <w:rPr>
          <w:rFonts w:ascii="Century Gothic" w:hAnsi="Century Gothic"/>
        </w:rPr>
        <w:t>RED NACIONAL</w:t>
      </w:r>
      <w:r w:rsidRPr="00B529D4">
        <w:rPr>
          <w:rFonts w:ascii="Century Gothic" w:hAnsi="Century Gothic" w:cs="Arial"/>
        </w:rPr>
        <w:t xml:space="preserve"> reciba una notificación de cierre </w:t>
      </w:r>
      <w:r w:rsidRPr="00715A90">
        <w:rPr>
          <w:rFonts w:ascii="Century Gothic" w:hAnsi="Century Gothic" w:cs="Arial"/>
        </w:rPr>
        <w:t xml:space="preserve">de alguna Central Telefónica en la que ofrezca facilidades propiedad de terceros, </w:t>
      </w:r>
      <w:r w:rsidR="00715A90" w:rsidRPr="00715A90">
        <w:rPr>
          <w:rFonts w:ascii="Century Gothic" w:eastAsia="Calibri" w:hAnsi="Century Gothic" w:cs="Arial"/>
        </w:rPr>
        <w:t xml:space="preserve">autorizada con cuando menos 36 meses antes por parte del Instituto, </w:t>
      </w:r>
      <w:r w:rsidRPr="00715A90">
        <w:rPr>
          <w:rFonts w:ascii="Century Gothic" w:hAnsi="Century Gothic" w:cs="Arial"/>
        </w:rPr>
        <w:t xml:space="preserve">notificará </w:t>
      </w:r>
      <w:r w:rsidR="00715A90" w:rsidRPr="00715A90">
        <w:rPr>
          <w:rFonts w:ascii="Century Gothic" w:hAnsi="Century Gothic" w:cs="Arial"/>
        </w:rPr>
        <w:t xml:space="preserve">tanto </w:t>
      </w:r>
      <w:r w:rsidRPr="00715A90">
        <w:rPr>
          <w:rFonts w:ascii="Century Gothic" w:hAnsi="Century Gothic" w:cs="Arial"/>
        </w:rPr>
        <w:t xml:space="preserve">a los </w:t>
      </w:r>
      <w:r w:rsidR="00715A90" w:rsidRPr="00715A90">
        <w:rPr>
          <w:rFonts w:ascii="Century Gothic" w:hAnsi="Century Gothic" w:cs="Arial"/>
        </w:rPr>
        <w:t>CS</w:t>
      </w:r>
      <w:r w:rsidRPr="00715A90">
        <w:rPr>
          <w:rFonts w:ascii="Century Gothic" w:hAnsi="Century Gothic" w:cs="Arial"/>
        </w:rPr>
        <w:t xml:space="preserve"> con los que se tenga convenio firmado como al Instituto vía SEG/SIPO de</w:t>
      </w:r>
      <w:r w:rsidRPr="00B529D4">
        <w:rPr>
          <w:rFonts w:ascii="Century Gothic" w:hAnsi="Century Gothic" w:cs="Arial"/>
        </w:rPr>
        <w:t xml:space="preserve"> dicha situación</w:t>
      </w:r>
      <w:r w:rsidR="003F5A24">
        <w:rPr>
          <w:rFonts w:ascii="Century Gothic" w:hAnsi="Century Gothic" w:cs="Arial"/>
        </w:rPr>
        <w:t xml:space="preserve">, </w:t>
      </w:r>
      <w:r w:rsidR="003F5A24" w:rsidRPr="003F5A24">
        <w:rPr>
          <w:rFonts w:ascii="Century Gothic" w:hAnsi="Century Gothic" w:cs="Arial"/>
        </w:rPr>
        <w:t>pudiendo acordar con los CS con presencia física en dicha central un plazo menor para el cierre siempre y cuando sea autorizado por el Instituto, de no haber algún CS con presencia física en la central a cerrar, la notificación podrá realizarse en un plazo menor siempre y cuando sea autorizado por el Instituto</w:t>
      </w:r>
      <w:r w:rsidR="003F5A24" w:rsidRPr="003F5A24" w:rsidDel="00856718">
        <w:rPr>
          <w:rFonts w:ascii="Century Gothic" w:hAnsi="Century Gothic" w:cs="Arial"/>
        </w:rPr>
        <w:t>.</w:t>
      </w:r>
    </w:p>
    <w:p w:rsidR="00277ED2" w:rsidRPr="00611019" w:rsidRDefault="00E56462" w:rsidP="00035D2C">
      <w:pPr>
        <w:spacing w:after="6pt"/>
        <w:ind w:start="28.35pt" w:hanging="28.35pt"/>
        <w:jc w:val="both"/>
        <w:rPr>
          <w:rFonts w:ascii="Century Gothic" w:hAnsi="Century Gothic" w:cs="Arial"/>
          <w:lang w:val="es-ES"/>
        </w:rPr>
      </w:pPr>
      <w:r>
        <w:rPr>
          <w:rFonts w:ascii="Century Gothic" w:eastAsia="Calibri" w:hAnsi="Century Gothic" w:cs="Arial"/>
        </w:rPr>
        <w:t>10.</w:t>
      </w:r>
      <w:r>
        <w:rPr>
          <w:rFonts w:ascii="Century Gothic" w:eastAsia="Calibri" w:hAnsi="Century Gothic" w:cs="Arial"/>
        </w:rPr>
        <w:tab/>
      </w:r>
      <w:r>
        <w:rPr>
          <w:rFonts w:ascii="Century Gothic" w:hAnsi="Century Gothic" w:cs="Arial"/>
          <w:lang w:val="es-ES"/>
        </w:rPr>
        <w:t xml:space="preserve">Cuando una línea se encuentre activa al momento de habilitar la prestación de Servicios de Desagregación, las Partes coordinarán esfuerzos para evitar que presente interrupción como consecuencia de este proceso; para lo cual deberán evitar que el periodo sin servicio exceda de treinta minutos en el noventa y cinco por ciento de los casos, y ninguno superior a ciento veinte minutos, en lo que respecta a hechos imputables a </w:t>
      </w:r>
      <w:r>
        <w:rPr>
          <w:rFonts w:ascii="Century Gothic" w:hAnsi="Century Gothic"/>
        </w:rPr>
        <w:t>RED NACIONAL</w:t>
      </w:r>
      <w:r>
        <w:rPr>
          <w:rFonts w:ascii="Century Gothic" w:hAnsi="Century Gothic" w:cs="Arial"/>
          <w:lang w:val="es-ES"/>
        </w:rPr>
        <w:t>.</w:t>
      </w:r>
    </w:p>
    <w:p w:rsidR="00277ED2" w:rsidRPr="00611019" w:rsidRDefault="00E56462" w:rsidP="00035D2C">
      <w:pPr>
        <w:spacing w:after="6pt"/>
        <w:ind w:start="28.35pt" w:hanging="28.35pt"/>
        <w:jc w:val="both"/>
        <w:rPr>
          <w:rFonts w:ascii="Century Gothic" w:hAnsi="Century Gothic" w:cs="Arial"/>
        </w:rPr>
      </w:pPr>
      <w:r>
        <w:rPr>
          <w:rFonts w:ascii="Century Gothic" w:eastAsia="Calibri" w:hAnsi="Century Gothic" w:cs="Arial"/>
        </w:rPr>
        <w:t>11.</w:t>
      </w:r>
      <w:r>
        <w:rPr>
          <w:rFonts w:ascii="Century Gothic" w:eastAsia="Calibri" w:hAnsi="Century Gothic" w:cs="Arial"/>
        </w:rPr>
        <w:tab/>
      </w:r>
      <w:r>
        <w:rPr>
          <w:rFonts w:ascii="Century Gothic" w:hAnsi="Century Gothic" w:cs="Arial"/>
        </w:rPr>
        <w:t xml:space="preserve">En caso de que </w:t>
      </w:r>
      <w:r>
        <w:rPr>
          <w:rFonts w:ascii="Century Gothic" w:hAnsi="Century Gothic"/>
        </w:rPr>
        <w:t>RED NACIONAL</w:t>
      </w:r>
      <w:r>
        <w:rPr>
          <w:rFonts w:ascii="Century Gothic" w:hAnsi="Century Gothic" w:cs="Arial"/>
        </w:rPr>
        <w:t xml:space="preserve"> no realice la instalación o adecuación de la acometida derivado de razones asociadas al usuario, o al CS, dicha situación no será considerada dentro de los plazos. Cuando sea atribuible a </w:t>
      </w:r>
      <w:r>
        <w:rPr>
          <w:rFonts w:ascii="Century Gothic" w:hAnsi="Century Gothic"/>
        </w:rPr>
        <w:t>RED NACIONAL</w:t>
      </w:r>
      <w:r>
        <w:rPr>
          <w:rFonts w:ascii="Century Gothic" w:hAnsi="Century Gothic" w:cs="Arial"/>
        </w:rPr>
        <w:t xml:space="preserve"> será su responsabilidad ofrecer pruebas fehacientes que justifiquen las causas de que la instalación de la acometida o la adecuación de la misma no fuera posible.</w:t>
      </w:r>
    </w:p>
    <w:p w:rsidR="00EB4FFB" w:rsidRPr="00611019" w:rsidRDefault="00E56462" w:rsidP="00035D2C">
      <w:pPr>
        <w:spacing w:after="6pt"/>
        <w:ind w:start="28.35pt" w:hanging="28.35pt"/>
        <w:jc w:val="both"/>
        <w:rPr>
          <w:rFonts w:ascii="Century Gothic" w:hAnsi="Century Gothic" w:cs="Arial"/>
        </w:rPr>
      </w:pPr>
      <w:r>
        <w:rPr>
          <w:rFonts w:ascii="Century Gothic" w:eastAsia="Calibri" w:hAnsi="Century Gothic" w:cs="Arial"/>
        </w:rPr>
        <w:t>12.</w:t>
      </w:r>
      <w:r>
        <w:rPr>
          <w:rFonts w:ascii="Century Gothic" w:eastAsia="Calibri" w:hAnsi="Century Gothic" w:cs="Arial"/>
        </w:rPr>
        <w:tab/>
      </w:r>
      <w:r>
        <w:rPr>
          <w:rFonts w:ascii="Century Gothic" w:hAnsi="Century Gothic" w:cs="Arial"/>
        </w:rPr>
        <w:t xml:space="preserve">Los servicios proporcionados por terceros no forman parte de la OREDA, por lo que deberán ser facturados y cobrados por </w:t>
      </w:r>
      <w:r>
        <w:rPr>
          <w:rFonts w:ascii="Century Gothic" w:hAnsi="Century Gothic"/>
        </w:rPr>
        <w:t>RED NACIONAL</w:t>
      </w:r>
      <w:r>
        <w:rPr>
          <w:rFonts w:ascii="Century Gothic" w:hAnsi="Century Gothic" w:cs="Arial"/>
        </w:rPr>
        <w:t>.</w:t>
      </w:r>
    </w:p>
    <w:p w:rsidR="00277ED2" w:rsidRPr="00611019" w:rsidRDefault="00E56462" w:rsidP="00035D2C">
      <w:pPr>
        <w:spacing w:after="6pt"/>
        <w:ind w:start="28.35pt" w:hanging="28.35pt"/>
        <w:jc w:val="both"/>
        <w:rPr>
          <w:rFonts w:ascii="Century Gothic" w:hAnsi="Century Gothic" w:cs="Arial"/>
        </w:rPr>
      </w:pPr>
      <w:r>
        <w:rPr>
          <w:rFonts w:ascii="Century Gothic" w:eastAsia="Calibri" w:hAnsi="Century Gothic" w:cs="Arial"/>
        </w:rPr>
        <w:lastRenderedPageBreak/>
        <w:t>13.</w:t>
      </w:r>
      <w:r>
        <w:rPr>
          <w:rFonts w:ascii="Century Gothic" w:eastAsia="Calibri" w:hAnsi="Century Gothic" w:cs="Arial"/>
        </w:rPr>
        <w:tab/>
      </w:r>
      <w:r>
        <w:rPr>
          <w:rFonts w:ascii="Century Gothic" w:hAnsi="Century Gothic" w:cs="Arial"/>
        </w:rPr>
        <w:t xml:space="preserve">La información sobre cualquiera de los Servicios contratados por cada CS será utilizada por </w:t>
      </w:r>
      <w:r>
        <w:rPr>
          <w:rFonts w:ascii="Century Gothic" w:hAnsi="Century Gothic"/>
        </w:rPr>
        <w:t>RED NACIONAL</w:t>
      </w:r>
      <w:r>
        <w:rPr>
          <w:rFonts w:ascii="Century Gothic" w:hAnsi="Century Gothic" w:cs="Arial"/>
        </w:rPr>
        <w:t xml:space="preserve"> únicamente en lo concerniente a la prestación de Servicios, ya que </w:t>
      </w:r>
      <w:r>
        <w:rPr>
          <w:rFonts w:ascii="Century Gothic" w:hAnsi="Century Gothic"/>
        </w:rPr>
        <w:t>RED NACIONAL</w:t>
      </w:r>
      <w:r>
        <w:rPr>
          <w:rFonts w:ascii="Century Gothic" w:hAnsi="Century Gothic" w:cs="Arial"/>
        </w:rPr>
        <w:t xml:space="preserve"> reconoce que dicha información proporciona datos sensibles sobre intereses y estrategias de desarrollo comercial del CS. Por lo que no se hará del conocimiento de las áreas comerciales de otros concesionarios/autorizados.</w:t>
      </w:r>
    </w:p>
    <w:p w:rsidR="00277ED2" w:rsidRPr="00611019" w:rsidRDefault="00E56462" w:rsidP="00035D2C">
      <w:pPr>
        <w:spacing w:after="6pt"/>
        <w:ind w:start="28.35pt" w:hanging="28.35pt"/>
        <w:jc w:val="both"/>
        <w:rPr>
          <w:rFonts w:ascii="Century Gothic" w:hAnsi="Century Gothic" w:cs="Arial"/>
        </w:rPr>
      </w:pPr>
      <w:r>
        <w:rPr>
          <w:rFonts w:ascii="Century Gothic" w:eastAsia="Calibri" w:hAnsi="Century Gothic" w:cs="Arial"/>
        </w:rPr>
        <w:t>14.</w:t>
      </w:r>
      <w:r>
        <w:rPr>
          <w:rFonts w:ascii="Century Gothic" w:eastAsia="Calibri" w:hAnsi="Century Gothic" w:cs="Arial"/>
        </w:rPr>
        <w:tab/>
      </w:r>
      <w:r>
        <w:rPr>
          <w:rFonts w:ascii="Century Gothic" w:hAnsi="Century Gothic"/>
        </w:rPr>
        <w:t>RED NACIONAL</w:t>
      </w:r>
      <w:r>
        <w:rPr>
          <w:rFonts w:ascii="Century Gothic" w:hAnsi="Century Gothic" w:cs="Arial"/>
        </w:rPr>
        <w:t xml:space="preserve"> no será responsable por la planeación del dimensionamiento de los </w:t>
      </w:r>
      <w:r w:rsidR="00715A90">
        <w:rPr>
          <w:rFonts w:ascii="Century Gothic" w:hAnsi="Century Gothic" w:cs="Arial"/>
        </w:rPr>
        <w:t>P</w:t>
      </w:r>
      <w:r>
        <w:rPr>
          <w:rFonts w:ascii="Century Gothic" w:hAnsi="Century Gothic" w:cs="Arial"/>
        </w:rPr>
        <w:t>CAI que contrate el CS.</w:t>
      </w:r>
    </w:p>
    <w:p w:rsidR="00277ED2" w:rsidRPr="00611019" w:rsidRDefault="00E56462" w:rsidP="00035D2C">
      <w:pPr>
        <w:spacing w:after="6pt"/>
        <w:ind w:start="28.35pt" w:hanging="28.35pt"/>
        <w:jc w:val="both"/>
        <w:rPr>
          <w:rFonts w:ascii="Century Gothic" w:hAnsi="Century Gothic" w:cs="Arial"/>
        </w:rPr>
      </w:pPr>
      <w:r>
        <w:rPr>
          <w:rFonts w:ascii="Century Gothic" w:eastAsia="Calibri" w:hAnsi="Century Gothic" w:cs="Arial"/>
        </w:rPr>
        <w:t>15.</w:t>
      </w:r>
      <w:r>
        <w:rPr>
          <w:rFonts w:ascii="Century Gothic" w:eastAsia="Calibri" w:hAnsi="Century Gothic" w:cs="Arial"/>
        </w:rPr>
        <w:tab/>
      </w:r>
      <w:r>
        <w:rPr>
          <w:rFonts w:ascii="Century Gothic" w:hAnsi="Century Gothic" w:cs="Arial"/>
        </w:rPr>
        <w:t xml:space="preserve">Toda comunicación respecto de la solicitud de Servicios y de las incidencias entre </w:t>
      </w:r>
      <w:r>
        <w:rPr>
          <w:rFonts w:ascii="Century Gothic" w:hAnsi="Century Gothic"/>
        </w:rPr>
        <w:t>RED NACIONAL</w:t>
      </w:r>
      <w:r>
        <w:rPr>
          <w:rFonts w:ascii="Century Gothic" w:hAnsi="Century Gothic" w:cs="Arial"/>
        </w:rPr>
        <w:t xml:space="preserve"> y el CS se hará a través del SEG/SIPO (salvo las excepciones de comunicación para el uso de otros medios disponibles a todos los </w:t>
      </w:r>
      <w:r w:rsidR="00715A90">
        <w:rPr>
          <w:rFonts w:ascii="Century Gothic" w:hAnsi="Century Gothic" w:cs="Arial"/>
        </w:rPr>
        <w:t>CS</w:t>
      </w:r>
      <w:r>
        <w:rPr>
          <w:rFonts w:ascii="Century Gothic" w:hAnsi="Century Gothic" w:cs="Arial"/>
        </w:rPr>
        <w:t xml:space="preserve">). En caso de afectaciones críticas que no permitan el correcto funcionamiento de dichos sistemas, </w:t>
      </w:r>
      <w:r>
        <w:rPr>
          <w:rFonts w:ascii="Century Gothic" w:hAnsi="Century Gothic"/>
        </w:rPr>
        <w:t>RED NACIONAL</w:t>
      </w:r>
      <w:r>
        <w:rPr>
          <w:rFonts w:ascii="Century Gothic" w:hAnsi="Century Gothic" w:cs="Arial"/>
        </w:rPr>
        <w:t xml:space="preserve"> lo hará del conocimiento del CS dentro de la siguiente hora a partir de su identificación y pondrá a disposición del CS un medio alternativo de comunicación (incidencias 8004040735; seguimiento de incidencias: </w:t>
      </w:r>
      <w:hyperlink r:id="rId20" w:history="1">
        <w:r>
          <w:rPr>
            <w:rStyle w:val="Hipervnculo"/>
            <w:rFonts w:ascii="Century Gothic" w:hAnsi="Century Gothic" w:cs="Arial"/>
            <w:color w:val="auto"/>
            <w:u w:val="none"/>
          </w:rPr>
          <w:t>OREDA@rednacional.com</w:t>
        </w:r>
      </w:hyperlink>
      <w:r>
        <w:rPr>
          <w:rFonts w:ascii="Century Gothic" w:hAnsi="Century Gothic" w:cs="Arial"/>
        </w:rPr>
        <w:t>).</w:t>
      </w:r>
    </w:p>
    <w:p w:rsidR="00277ED2" w:rsidRPr="00611019" w:rsidRDefault="00E56462" w:rsidP="00035D2C">
      <w:pPr>
        <w:spacing w:after="6pt"/>
        <w:ind w:start="28.35pt" w:hanging="28.35pt"/>
        <w:jc w:val="both"/>
        <w:rPr>
          <w:rFonts w:ascii="Century Gothic" w:hAnsi="Century Gothic" w:cs="Arial"/>
        </w:rPr>
      </w:pPr>
      <w:r>
        <w:rPr>
          <w:rFonts w:ascii="Century Gothic" w:eastAsia="Calibri" w:hAnsi="Century Gothic" w:cs="Arial"/>
        </w:rPr>
        <w:t>16.</w:t>
      </w:r>
      <w:r>
        <w:rPr>
          <w:rFonts w:ascii="Century Gothic" w:eastAsia="Calibri" w:hAnsi="Century Gothic" w:cs="Arial"/>
        </w:rPr>
        <w:tab/>
      </w:r>
      <w:r>
        <w:rPr>
          <w:rFonts w:ascii="Century Gothic" w:hAnsi="Century Gothic" w:cs="Arial"/>
        </w:rPr>
        <w:t xml:space="preserve">Para el caso de la atención de fallas del SEG/SIPO, todas aquellas gestiones que se realicen para darle continuidad a los Servicios mediante cualquier medio alternativo generará un folio único y deberán ser registradas y notificadas a los </w:t>
      </w:r>
      <w:r w:rsidR="00715A90">
        <w:rPr>
          <w:rFonts w:ascii="Century Gothic" w:hAnsi="Century Gothic" w:cs="Arial"/>
        </w:rPr>
        <w:t>CS</w:t>
      </w:r>
      <w:r>
        <w:rPr>
          <w:rFonts w:ascii="Century Gothic" w:hAnsi="Century Gothic" w:cs="Arial"/>
        </w:rPr>
        <w:t xml:space="preserve"> por RED NACIONAL en el SEG/SIPO y al correo electrónico registrado por el CS en un plazo no mayor a 48 horas posteriores a su restablecimiento.</w:t>
      </w:r>
    </w:p>
    <w:p w:rsidR="003E282F" w:rsidRPr="00611019" w:rsidRDefault="00E56462" w:rsidP="00035D2C">
      <w:pPr>
        <w:spacing w:after="6pt"/>
        <w:ind w:start="28.35pt" w:hanging="28.35pt"/>
        <w:jc w:val="both"/>
        <w:rPr>
          <w:rFonts w:ascii="Century Gothic" w:hAnsi="Century Gothic" w:cs="Arial"/>
        </w:rPr>
      </w:pPr>
      <w:r>
        <w:rPr>
          <w:rFonts w:ascii="Century Gothic" w:eastAsia="Calibri" w:hAnsi="Century Gothic" w:cs="Arial"/>
        </w:rPr>
        <w:t>17.</w:t>
      </w:r>
      <w:r>
        <w:rPr>
          <w:rFonts w:ascii="Century Gothic" w:eastAsia="Calibri" w:hAnsi="Century Gothic" w:cs="Arial"/>
        </w:rPr>
        <w:tab/>
      </w:r>
      <w:r>
        <w:rPr>
          <w:rFonts w:ascii="Century Gothic" w:hAnsi="Century Gothic" w:cs="Arial"/>
        </w:rPr>
        <w:t xml:space="preserve">La prestación de los Servicios de Desagregación contenidos en la presente OREDA deberá ser proporcionada por </w:t>
      </w:r>
      <w:r>
        <w:rPr>
          <w:rFonts w:ascii="Century Gothic" w:hAnsi="Century Gothic"/>
        </w:rPr>
        <w:t>RED NACIONAL</w:t>
      </w:r>
      <w:r>
        <w:rPr>
          <w:rFonts w:ascii="Century Gothic" w:hAnsi="Century Gothic" w:cs="Arial"/>
        </w:rPr>
        <w:t xml:space="preserve"> indistintamente del segmento (residencial, comercial, empresarial o gubernamental) al que pertenezca el usuario del CS.</w:t>
      </w:r>
    </w:p>
    <w:p w:rsidR="002F3079" w:rsidRPr="00611019" w:rsidRDefault="00E56462" w:rsidP="00035D2C">
      <w:pPr>
        <w:pStyle w:val="Prrafodelista"/>
        <w:spacing w:after="6pt"/>
        <w:ind w:start="28.35pt" w:hanging="28.35pt"/>
        <w:jc w:val="both"/>
        <w:rPr>
          <w:rFonts w:ascii="Century Gothic" w:hAnsi="Century Gothic"/>
        </w:rPr>
      </w:pPr>
      <w:r>
        <w:rPr>
          <w:rFonts w:ascii="Century Gothic" w:hAnsi="Century Gothic"/>
        </w:rPr>
        <w:t xml:space="preserve">18. </w:t>
      </w:r>
      <w:r>
        <w:rPr>
          <w:rFonts w:ascii="Century Gothic" w:hAnsi="Century Gothic"/>
        </w:rPr>
        <w:tab/>
        <w:t xml:space="preserve">Cuando sea técnicamente viable, la infraestructura necesaria para la prestación de los Servicios de Desagregación podrá ser compartida por uno o más </w:t>
      </w:r>
      <w:r w:rsidR="00715A90">
        <w:rPr>
          <w:rFonts w:ascii="Century Gothic" w:hAnsi="Century Gothic"/>
        </w:rPr>
        <w:t>CS</w:t>
      </w:r>
      <w:r>
        <w:rPr>
          <w:rFonts w:ascii="Century Gothic" w:hAnsi="Century Gothic"/>
        </w:rPr>
        <w:t xml:space="preserve">, siendo decisión del </w:t>
      </w:r>
      <w:r w:rsidR="00715A90">
        <w:rPr>
          <w:rFonts w:ascii="Century Gothic" w:hAnsi="Century Gothic"/>
        </w:rPr>
        <w:t>CS</w:t>
      </w:r>
      <w:r>
        <w:rPr>
          <w:rFonts w:ascii="Century Gothic" w:hAnsi="Century Gothic"/>
        </w:rPr>
        <w:t xml:space="preserve"> que contrató el servicio, compartir la infraestructura con otros </w:t>
      </w:r>
      <w:r w:rsidR="00715A90">
        <w:rPr>
          <w:rFonts w:ascii="Century Gothic" w:hAnsi="Century Gothic"/>
        </w:rPr>
        <w:t>CS</w:t>
      </w:r>
      <w:r>
        <w:rPr>
          <w:rFonts w:ascii="Century Gothic" w:hAnsi="Century Gothic"/>
        </w:rPr>
        <w:t xml:space="preserve">. Los concesionarios o autorizados involucrados deberán dar aviso conjunto por escrito a RED NACIONAL de dicho acuerdo, sin embargo, la tramitación de cualquier acceso y permiso, así como la responsabilidad será del </w:t>
      </w:r>
      <w:r w:rsidR="00715A90">
        <w:rPr>
          <w:rFonts w:ascii="Century Gothic" w:hAnsi="Century Gothic"/>
        </w:rPr>
        <w:t>CS</w:t>
      </w:r>
      <w:r>
        <w:rPr>
          <w:rFonts w:ascii="Century Gothic" w:hAnsi="Century Gothic"/>
        </w:rPr>
        <w:t xml:space="preserve"> que contrató el Servicio.</w:t>
      </w:r>
    </w:p>
    <w:p w:rsidR="00736311" w:rsidRPr="00611019" w:rsidRDefault="00E56462" w:rsidP="00035D2C">
      <w:pPr>
        <w:pStyle w:val="Prrafodelista"/>
        <w:spacing w:after="6pt"/>
        <w:ind w:start="28.35pt" w:hanging="28.35pt"/>
        <w:contextualSpacing w:val="0"/>
        <w:jc w:val="both"/>
        <w:rPr>
          <w:rFonts w:ascii="Century Gothic" w:hAnsi="Century Gothic"/>
        </w:rPr>
      </w:pPr>
      <w:r>
        <w:rPr>
          <w:rFonts w:ascii="Century Gothic" w:hAnsi="Century Gothic"/>
        </w:rPr>
        <w:t xml:space="preserve">19. </w:t>
      </w:r>
      <w:r>
        <w:rPr>
          <w:rFonts w:ascii="Century Gothic" w:hAnsi="Century Gothic"/>
        </w:rPr>
        <w:tab/>
        <w:t>Cuando el CS lo requiera por escrito, RED NACIONAL permitirá la entrega del Tráfico del SAIB a un tercero, no obstante, el responsable del servicio seguirá siendo el CS que solicitó originalmente el mismo.</w:t>
      </w:r>
    </w:p>
    <w:p w:rsidR="00715A90" w:rsidRPr="00715A90" w:rsidRDefault="00715A90" w:rsidP="00715A90">
      <w:pPr>
        <w:pStyle w:val="Prrafodelista"/>
        <w:ind w:start="28.35pt" w:hanging="28.35pt"/>
        <w:jc w:val="both"/>
        <w:rPr>
          <w:rFonts w:ascii="Century Gothic" w:hAnsi="Century Gothic"/>
        </w:rPr>
      </w:pPr>
      <w:r w:rsidRPr="00715A90">
        <w:rPr>
          <w:rFonts w:ascii="Century Gothic" w:hAnsi="Century Gothic"/>
        </w:rPr>
        <w:t xml:space="preserve">20. </w:t>
      </w:r>
      <w:r w:rsidRPr="00715A90">
        <w:rPr>
          <w:rFonts w:ascii="Century Gothic" w:hAnsi="Century Gothic"/>
        </w:rPr>
        <w:tab/>
        <w:t xml:space="preserve">Para los casos de los servicios y procesos donde </w:t>
      </w:r>
      <w:r w:rsidR="003F5A24">
        <w:rPr>
          <w:rFonts w:ascii="Century Gothic" w:hAnsi="Century Gothic"/>
        </w:rPr>
        <w:t>el CS</w:t>
      </w:r>
      <w:r w:rsidRPr="00715A90">
        <w:rPr>
          <w:rFonts w:ascii="Century Gothic" w:hAnsi="Century Gothic"/>
        </w:rPr>
        <w:t xml:space="preserve"> requiera información detallada de las causas o motivos por las que se justifiquen excepciones, demoras, paros de reloj, o la imposibilidad de proveer un servicio, y no se proporcionen los motivos y la información detallada, los plazos o tiempo en el que se haya incurrido </w:t>
      </w:r>
      <w:r w:rsidRPr="00715A90">
        <w:rPr>
          <w:rFonts w:ascii="Century Gothic" w:hAnsi="Century Gothic"/>
        </w:rPr>
        <w:lastRenderedPageBreak/>
        <w:t xml:space="preserve">por dichas causas </w:t>
      </w:r>
      <w:r w:rsidR="003F5A24">
        <w:rPr>
          <w:rFonts w:ascii="Century Gothic" w:hAnsi="Century Gothic"/>
        </w:rPr>
        <w:t>(paro de reloj)</w:t>
      </w:r>
      <w:r w:rsidRPr="00715A90">
        <w:rPr>
          <w:rFonts w:ascii="Century Gothic" w:hAnsi="Century Gothic"/>
        </w:rPr>
        <w:t xml:space="preserve"> se </w:t>
      </w:r>
      <w:r w:rsidR="003F5A24">
        <w:rPr>
          <w:rFonts w:ascii="Century Gothic" w:hAnsi="Century Gothic"/>
        </w:rPr>
        <w:t>tendrá que</w:t>
      </w:r>
      <w:r w:rsidRPr="00715A90">
        <w:rPr>
          <w:rFonts w:ascii="Century Gothic" w:hAnsi="Century Gothic"/>
        </w:rPr>
        <w:t xml:space="preserve"> contabilizar o considerar para la medición de los plazos establecidos en los parámetros de calidad correspondientes.</w:t>
      </w:r>
    </w:p>
    <w:p w:rsidR="000F6838" w:rsidRPr="00611019" w:rsidRDefault="000F6838" w:rsidP="00035D2C">
      <w:pPr>
        <w:pStyle w:val="Prrafodelista"/>
        <w:spacing w:after="6pt"/>
        <w:ind w:start="28.35pt" w:hanging="28.35pt"/>
        <w:contextualSpacing w:val="0"/>
        <w:jc w:val="both"/>
        <w:rPr>
          <w:rFonts w:ascii="Century Gothic" w:hAnsi="Century Gothic"/>
        </w:rPr>
      </w:pPr>
    </w:p>
    <w:p w:rsidR="003E282F" w:rsidRPr="00611019" w:rsidRDefault="00E56462" w:rsidP="00035D2C">
      <w:pPr>
        <w:pStyle w:val="Ttulo2"/>
        <w:spacing w:after="6pt"/>
        <w:rPr>
          <w:rFonts w:ascii="Century Gothic" w:hAnsi="Century Gothic"/>
        </w:rPr>
      </w:pPr>
      <w:bookmarkStart w:id="884" w:name="_Toc92973999"/>
      <w:bookmarkStart w:id="885" w:name="_Toc93052310"/>
      <w:bookmarkStart w:id="886" w:name="_Toc93056265"/>
      <w:bookmarkStart w:id="887" w:name="_Toc125393338"/>
      <w:bookmarkStart w:id="888" w:name="_Toc148702194"/>
      <w:bookmarkStart w:id="889" w:name="_Toc170381819"/>
      <w:r>
        <w:rPr>
          <w:rFonts w:ascii="Century Gothic" w:hAnsi="Century Gothic"/>
        </w:rPr>
        <w:t>1.9</w:t>
      </w:r>
      <w:r>
        <w:rPr>
          <w:rFonts w:ascii="Century Gothic" w:hAnsi="Century Gothic"/>
        </w:rPr>
        <w:tab/>
      </w:r>
      <w:bookmarkEnd w:id="884"/>
      <w:bookmarkEnd w:id="885"/>
      <w:bookmarkEnd w:id="886"/>
      <w:r>
        <w:rPr>
          <w:rFonts w:ascii="Century Gothic" w:hAnsi="Century Gothic"/>
        </w:rPr>
        <w:t>Condiciones generales para la prestación de Servicios de Coubicación.</w:t>
      </w:r>
      <w:bookmarkEnd w:id="887"/>
      <w:bookmarkEnd w:id="888"/>
      <w:bookmarkEnd w:id="889"/>
    </w:p>
    <w:p w:rsidR="00277ED2" w:rsidRPr="00611019" w:rsidRDefault="00E56462" w:rsidP="00035D2C">
      <w:pPr>
        <w:spacing w:after="6pt"/>
        <w:jc w:val="both"/>
        <w:rPr>
          <w:rFonts w:ascii="Century Gothic" w:hAnsi="Century Gothic" w:cs="Arial"/>
        </w:rPr>
      </w:pPr>
      <w:r>
        <w:rPr>
          <w:rFonts w:ascii="Century Gothic" w:hAnsi="Century Gothic" w:cs="Arial"/>
        </w:rPr>
        <w:t>En los casos en que no exista capacidad para la prestación de Servicios de coubicación, se debe tener claramente identificada la problemática de espacio o de los recursos de red específicos necesarios para prestar los Servicios, así como una solución para prestar los Servicios de Desagregación cuando así se le solicite.</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El CS podrá requerir adecuaciones a cualquier Central Telefónica para el Servicio de coubicación, en cuyo caso la prestación de los Servicios deberá iniciar dentro de los seis meses posteriores al requerimiento, si un segundo </w:t>
      </w:r>
      <w:r w:rsidR="00114418">
        <w:rPr>
          <w:rFonts w:ascii="Century Gothic" w:hAnsi="Century Gothic" w:cs="Arial"/>
        </w:rPr>
        <w:t>CS</w:t>
      </w:r>
      <w:r>
        <w:rPr>
          <w:rFonts w:ascii="Century Gothic" w:hAnsi="Century Gothic" w:cs="Arial"/>
        </w:rPr>
        <w:t xml:space="preserve"> solicita adecuaciones a la misma Central Telefónica, </w:t>
      </w:r>
      <w:r>
        <w:rPr>
          <w:rFonts w:ascii="Century Gothic" w:hAnsi="Century Gothic"/>
        </w:rPr>
        <w:t>RED NACIONAL</w:t>
      </w:r>
      <w:r>
        <w:rPr>
          <w:rFonts w:ascii="Century Gothic" w:hAnsi="Century Gothic" w:cs="Arial"/>
        </w:rPr>
        <w:t xml:space="preserve"> indicará que ya está siendo adecuada. El segundo </w:t>
      </w:r>
      <w:r w:rsidR="00114418">
        <w:rPr>
          <w:rFonts w:ascii="Century Gothic" w:hAnsi="Century Gothic" w:cs="Arial"/>
        </w:rPr>
        <w:t>CS</w:t>
      </w:r>
      <w:r>
        <w:rPr>
          <w:rFonts w:ascii="Century Gothic" w:hAnsi="Century Gothic" w:cs="Arial"/>
        </w:rPr>
        <w:t xml:space="preserve"> podrá solicitar Servicios en el momento en el que </w:t>
      </w:r>
      <w:r>
        <w:rPr>
          <w:rFonts w:ascii="Century Gothic" w:hAnsi="Century Gothic"/>
        </w:rPr>
        <w:t>RED NACIONAL</w:t>
      </w:r>
      <w:r>
        <w:rPr>
          <w:rFonts w:ascii="Century Gothic" w:hAnsi="Century Gothic" w:cs="Arial"/>
        </w:rPr>
        <w:t xml:space="preserve"> indique que han finalizado las adecuaciones correspondientes. En caso de que después de tres meses de terminadas y notificadas las adecuaciones requeridas, los </w:t>
      </w:r>
      <w:r w:rsidR="00114418">
        <w:rPr>
          <w:rFonts w:ascii="Century Gothic" w:hAnsi="Century Gothic" w:cs="Arial"/>
        </w:rPr>
        <w:t>CS</w:t>
      </w:r>
      <w:r>
        <w:rPr>
          <w:rFonts w:ascii="Century Gothic" w:hAnsi="Century Gothic" w:cs="Arial"/>
        </w:rPr>
        <w:t xml:space="preserve"> no hayan solicitado Servicios, deberán restituir en partes iguales los gastos correspondientes, de acuerdo con el siguiente procedimiento:</w:t>
      </w:r>
    </w:p>
    <w:p w:rsidR="00277ED2" w:rsidRPr="00611019" w:rsidRDefault="00E56462" w:rsidP="00035D2C">
      <w:pPr>
        <w:pStyle w:val="Prrafodelista"/>
        <w:numPr>
          <w:ilvl w:val="0"/>
          <w:numId w:val="35"/>
        </w:numPr>
        <w:spacing w:after="6pt"/>
        <w:ind w:start="21.30pt"/>
        <w:contextualSpacing w:val="0"/>
        <w:jc w:val="both"/>
        <w:rPr>
          <w:rFonts w:ascii="Century Gothic" w:hAnsi="Century Gothic" w:cs="Arial"/>
        </w:rPr>
      </w:pPr>
      <w:r>
        <w:rPr>
          <w:rFonts w:ascii="Century Gothic" w:hAnsi="Century Gothic"/>
        </w:rPr>
        <w:t>RED NACIONAL</w:t>
      </w:r>
      <w:r>
        <w:rPr>
          <w:rFonts w:ascii="Century Gothic" w:hAnsi="Century Gothic" w:cs="Arial"/>
        </w:rPr>
        <w:t xml:space="preserve"> informará al Instituto y a los </w:t>
      </w:r>
      <w:r w:rsidR="00114418">
        <w:rPr>
          <w:rFonts w:ascii="Century Gothic" w:hAnsi="Century Gothic" w:cs="Arial"/>
        </w:rPr>
        <w:t>CS</w:t>
      </w:r>
      <w:r>
        <w:rPr>
          <w:rFonts w:ascii="Century Gothic" w:hAnsi="Century Gothic" w:cs="Arial"/>
        </w:rPr>
        <w:t xml:space="preserve"> dentro de los 30 días hábiles siguientes al término de los tres meses de terminadas las adecuaciones, cuando no hubiera recibido solicitudes de Servicios por parte de los </w:t>
      </w:r>
      <w:r w:rsidR="00114418">
        <w:rPr>
          <w:rFonts w:ascii="Century Gothic" w:hAnsi="Century Gothic" w:cs="Arial"/>
        </w:rPr>
        <w:t>CS</w:t>
      </w:r>
      <w:r>
        <w:rPr>
          <w:rFonts w:ascii="Century Gothic" w:hAnsi="Century Gothic" w:cs="Arial"/>
        </w:rPr>
        <w:t xml:space="preserve"> que le solicitaron la adecuación, para lo cual presentará los elementos que comprueben los gastos incurridos.</w:t>
      </w:r>
    </w:p>
    <w:p w:rsidR="00277ED2" w:rsidRPr="00611019" w:rsidRDefault="00E56462" w:rsidP="00035D2C">
      <w:pPr>
        <w:pStyle w:val="Prrafodelista"/>
        <w:numPr>
          <w:ilvl w:val="0"/>
          <w:numId w:val="35"/>
        </w:numPr>
        <w:spacing w:after="6pt"/>
        <w:ind w:start="21.30pt"/>
        <w:contextualSpacing w:val="0"/>
        <w:jc w:val="both"/>
        <w:rPr>
          <w:rFonts w:ascii="Century Gothic" w:hAnsi="Century Gothic" w:cs="Arial"/>
        </w:rPr>
      </w:pPr>
      <w:r>
        <w:rPr>
          <w:rFonts w:ascii="Century Gothic" w:hAnsi="Century Gothic" w:cs="Arial"/>
        </w:rPr>
        <w:t xml:space="preserve">El o los </w:t>
      </w:r>
      <w:r w:rsidR="00114418">
        <w:rPr>
          <w:rFonts w:ascii="Century Gothic" w:hAnsi="Century Gothic" w:cs="Arial"/>
        </w:rPr>
        <w:t>CS</w:t>
      </w:r>
      <w:r>
        <w:rPr>
          <w:rFonts w:ascii="Century Gothic" w:hAnsi="Century Gothic" w:cs="Arial"/>
        </w:rPr>
        <w:t xml:space="preserve"> que hubieran solicitado las adecuaciones deberán resarcir a RED NACIONAL los gastos incurridos, en un periodo máximo de 15 días hábiles después de haber recibido la notificación. </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Para que el CS solicite las adecuaciones a las Centrales Telefónicas o Instalaciones Equivalentes podrá solicitar información sobre las mismas sin necesidad de que exista un Convenio firmado por las Partes, según el procedimiento establecido en el apartado “Información relacionada con los Servicios”, referente a la información tipo “a” que contiene los elementos necesarios para que los </w:t>
      </w:r>
      <w:r w:rsidR="00114418">
        <w:rPr>
          <w:rFonts w:ascii="Century Gothic" w:hAnsi="Century Gothic" w:cs="Arial"/>
        </w:rPr>
        <w:t>CS</w:t>
      </w:r>
      <w:r>
        <w:rPr>
          <w:rFonts w:ascii="Century Gothic" w:hAnsi="Century Gothic" w:cs="Arial"/>
        </w:rPr>
        <w:t xml:space="preserve"> decidan solicitar adecuaciones, la información no será limitada a la ciudad o localidad donde se ubiquen ni a la disponibilidad de espacio para coubicación.</w:t>
      </w:r>
    </w:p>
    <w:p w:rsidR="00277ED2" w:rsidRPr="00611019" w:rsidRDefault="00E56462" w:rsidP="00035D2C">
      <w:pPr>
        <w:spacing w:after="6pt"/>
        <w:jc w:val="both"/>
        <w:rPr>
          <w:rFonts w:ascii="Century Gothic" w:hAnsi="Century Gothic" w:cs="Arial"/>
        </w:rPr>
      </w:pPr>
      <w:r>
        <w:rPr>
          <w:rFonts w:ascii="Century Gothic" w:hAnsi="Century Gothic" w:cs="Arial"/>
        </w:rPr>
        <w:t>La prestación de los Servicios en Centrales Telefónicas o Instalaciones Equivalentes será por la cobertura de las mismas, sin considerarse delimitaciones geopolíticas.</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Cuando una Central Telefónica o Instalación Equivalente sea acondicionada a solicitud de un </w:t>
      </w:r>
      <w:r w:rsidR="00114418">
        <w:rPr>
          <w:rFonts w:ascii="Century Gothic" w:hAnsi="Century Gothic" w:cs="Arial"/>
        </w:rPr>
        <w:t>CS</w:t>
      </w:r>
      <w:r>
        <w:rPr>
          <w:rFonts w:ascii="Century Gothic" w:hAnsi="Century Gothic" w:cs="Arial"/>
        </w:rPr>
        <w:t xml:space="preserve">, se notificará a los </w:t>
      </w:r>
      <w:r w:rsidR="00114418">
        <w:rPr>
          <w:rFonts w:ascii="Century Gothic" w:hAnsi="Century Gothic" w:cs="Arial"/>
        </w:rPr>
        <w:t>CS</w:t>
      </w:r>
      <w:r>
        <w:rPr>
          <w:rFonts w:ascii="Century Gothic" w:hAnsi="Century Gothic" w:cs="Arial"/>
        </w:rPr>
        <w:t xml:space="preserve"> y al Instituto mediante el SEG/SIPO. El listado será actualizado a más tardar un día hábil después de que fueron notificados los </w:t>
      </w:r>
      <w:r w:rsidR="00114418">
        <w:rPr>
          <w:rFonts w:ascii="Century Gothic" w:hAnsi="Century Gothic" w:cs="Arial"/>
        </w:rPr>
        <w:t>CS</w:t>
      </w:r>
      <w:r>
        <w:rPr>
          <w:rFonts w:ascii="Century Gothic" w:hAnsi="Century Gothic" w:cs="Arial"/>
        </w:rPr>
        <w:t xml:space="preserve"> y el Instituto.</w:t>
      </w:r>
    </w:p>
    <w:p w:rsidR="00736311" w:rsidRPr="00611019" w:rsidRDefault="00736311" w:rsidP="00035D2C">
      <w:pPr>
        <w:jc w:val="both"/>
        <w:rPr>
          <w:rFonts w:ascii="Century Gothic" w:hAnsi="Century Gothic" w:cs="Arial"/>
        </w:rPr>
      </w:pPr>
    </w:p>
    <w:p w:rsidR="00277ED2" w:rsidRPr="00611019" w:rsidRDefault="00E56462" w:rsidP="00035D2C">
      <w:pPr>
        <w:pStyle w:val="Ttulo2"/>
        <w:spacing w:after="6pt"/>
        <w:rPr>
          <w:rFonts w:ascii="Century Gothic" w:hAnsi="Century Gothic"/>
        </w:rPr>
      </w:pPr>
      <w:bookmarkStart w:id="890" w:name="_Toc436840872"/>
      <w:bookmarkStart w:id="891" w:name="_Toc436846309"/>
      <w:bookmarkStart w:id="892" w:name="_Toc436848259"/>
      <w:bookmarkStart w:id="893" w:name="_Toc436856507"/>
      <w:bookmarkStart w:id="894" w:name="_Toc436862653"/>
      <w:bookmarkStart w:id="895" w:name="_Toc436866303"/>
      <w:bookmarkStart w:id="896" w:name="_Toc436870882"/>
      <w:bookmarkStart w:id="897" w:name="_Toc436875874"/>
      <w:bookmarkStart w:id="898" w:name="_Toc467248687"/>
      <w:bookmarkStart w:id="899" w:name="_Toc525904551"/>
      <w:bookmarkStart w:id="900" w:name="_Toc525913947"/>
      <w:bookmarkStart w:id="901" w:name="_Toc525919186"/>
      <w:bookmarkStart w:id="902" w:name="_Toc525919310"/>
      <w:bookmarkStart w:id="903" w:name="_Toc2957120"/>
      <w:bookmarkStart w:id="904" w:name="_Toc24473446"/>
      <w:bookmarkStart w:id="905" w:name="_Toc24468544"/>
      <w:bookmarkStart w:id="906" w:name="_Toc24477574"/>
      <w:bookmarkStart w:id="907" w:name="_Toc26281383"/>
      <w:bookmarkStart w:id="908" w:name="_Toc26284919"/>
      <w:bookmarkStart w:id="909" w:name="_Toc26903904"/>
      <w:bookmarkStart w:id="910" w:name="_Toc43913146"/>
      <w:bookmarkStart w:id="911" w:name="_Toc26980628"/>
      <w:bookmarkStart w:id="912" w:name="_Toc53488478"/>
      <w:bookmarkStart w:id="913" w:name="_Toc53490410"/>
      <w:bookmarkStart w:id="914" w:name="_Toc53498419"/>
      <w:bookmarkStart w:id="915" w:name="_Toc58578775"/>
      <w:bookmarkStart w:id="916" w:name="_Toc92974000"/>
      <w:bookmarkStart w:id="917" w:name="_Toc93052311"/>
      <w:bookmarkStart w:id="918" w:name="_Toc93056266"/>
      <w:bookmarkStart w:id="919" w:name="_Toc125393339"/>
      <w:bookmarkStart w:id="920" w:name="_Toc148702195"/>
      <w:bookmarkStart w:id="921" w:name="_Toc170381820"/>
      <w:r>
        <w:rPr>
          <w:rFonts w:ascii="Century Gothic" w:hAnsi="Century Gothic"/>
        </w:rPr>
        <w:t>1.10 Pruebas de Primera Aplicación</w:t>
      </w:r>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r>
        <w:rPr>
          <w:rFonts w:ascii="Century Gothic" w:hAnsi="Century Gothic"/>
        </w:rPr>
        <w:t>.</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Cualquier </w:t>
      </w:r>
      <w:r w:rsidR="00114418">
        <w:rPr>
          <w:rFonts w:ascii="Century Gothic" w:hAnsi="Century Gothic" w:cs="Arial"/>
        </w:rPr>
        <w:t>CS</w:t>
      </w:r>
      <w:r>
        <w:rPr>
          <w:rFonts w:ascii="Century Gothic" w:hAnsi="Century Gothic" w:cs="Arial"/>
        </w:rPr>
        <w:t xml:space="preserve"> de manera individual o conjunta, previo al inicio de la prestación de Servicios, puede solicitar que se realicen pruebas generales de la viabilidad de la implementación y procedimientos, es decir una prueba integral del Servicio </w:t>
      </w:r>
      <w:r>
        <w:rPr>
          <w:rFonts w:ascii="Century Gothic" w:hAnsi="Century Gothic" w:cs="Arial"/>
          <w:i/>
        </w:rPr>
        <w:t>(First Office Application, FOA</w:t>
      </w:r>
      <w:r>
        <w:rPr>
          <w:rFonts w:ascii="Century Gothic" w:hAnsi="Century Gothic" w:cs="Arial"/>
        </w:rPr>
        <w:t>). Las pruebas para los Servicios de Desagregación estarán asociadas a la solicitud, contratación, instalación, configuración, gestión, protocolos, movimientos (altas, bajas y cambios) y facturación, o bien cualquier prueba que sea técnica y económicamente factible. Los gastos de las pruebas serán acordados entre las Partes; la duración de la prueba será de un máximo de dos periodos de facturación, excepto que se acuerde de manera distinta. Al finalizar las pruebas se entregará una copia de los resultados tanto al CS como al Instituto, además de que se harán disponibles en el SEG/SIPO.</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Dependiendo del alcance de la prueba podría requerirse la participación de </w:t>
      </w:r>
      <w:r>
        <w:rPr>
          <w:rFonts w:ascii="Century Gothic" w:hAnsi="Century Gothic"/>
        </w:rPr>
        <w:t>RED NACIONAL</w:t>
      </w:r>
      <w:r>
        <w:rPr>
          <w:rFonts w:ascii="Century Gothic" w:hAnsi="Century Gothic" w:cs="Arial"/>
        </w:rPr>
        <w:t xml:space="preserve"> y de la DM en conjunto con el CS, por lo que se deberá coordinar entre todos los involucrados la realización de las pruebas.</w:t>
      </w:r>
    </w:p>
    <w:p w:rsidR="00EA4C9F" w:rsidRPr="00611019" w:rsidRDefault="00EA4C9F" w:rsidP="00EA4C9F">
      <w:pPr>
        <w:jc w:val="both"/>
        <w:rPr>
          <w:rFonts w:ascii="Century Gothic" w:hAnsi="Century Gothic" w:cs="Arial"/>
        </w:rPr>
      </w:pPr>
    </w:p>
    <w:p w:rsidR="00277ED2" w:rsidRPr="00EA4C9F" w:rsidRDefault="00E56462" w:rsidP="00035D2C">
      <w:pPr>
        <w:pStyle w:val="1TitPrin"/>
        <w:spacing w:after="6pt"/>
        <w:ind w:start="21.30pt" w:hanging="18pt"/>
        <w:rPr>
          <w:rFonts w:ascii="Century Gothic" w:hAnsi="Century Gothic"/>
          <w:u w:val="single"/>
        </w:rPr>
      </w:pPr>
      <w:bookmarkStart w:id="922" w:name="_Toc436840873"/>
      <w:bookmarkStart w:id="923" w:name="_Toc436846310"/>
      <w:bookmarkStart w:id="924" w:name="_Toc436848260"/>
      <w:bookmarkStart w:id="925" w:name="_Toc436856508"/>
      <w:bookmarkStart w:id="926" w:name="_Toc436862654"/>
      <w:bookmarkStart w:id="927" w:name="_Toc436866304"/>
      <w:bookmarkStart w:id="928" w:name="_Toc436870883"/>
      <w:bookmarkStart w:id="929" w:name="_Toc436875875"/>
      <w:bookmarkStart w:id="930" w:name="_Toc467248688"/>
      <w:bookmarkStart w:id="931" w:name="_Toc525904552"/>
      <w:bookmarkStart w:id="932" w:name="_Toc525913948"/>
      <w:bookmarkStart w:id="933" w:name="_Toc525919187"/>
      <w:bookmarkStart w:id="934" w:name="_Toc525919311"/>
      <w:bookmarkStart w:id="935" w:name="_Toc2957121"/>
      <w:bookmarkStart w:id="936" w:name="_Toc24473447"/>
      <w:bookmarkStart w:id="937" w:name="_Toc24477575"/>
      <w:bookmarkStart w:id="938" w:name="_Toc26281384"/>
      <w:bookmarkStart w:id="939" w:name="_Toc26284920"/>
      <w:bookmarkStart w:id="940" w:name="_Toc26903905"/>
      <w:bookmarkStart w:id="941" w:name="_Toc43913147"/>
      <w:bookmarkStart w:id="942" w:name="_Toc26980629"/>
      <w:bookmarkStart w:id="943" w:name="_Toc53488479"/>
      <w:bookmarkStart w:id="944" w:name="_Toc53490411"/>
      <w:bookmarkStart w:id="945" w:name="_Toc53498420"/>
      <w:bookmarkStart w:id="946" w:name="_Toc58578776"/>
      <w:bookmarkStart w:id="947" w:name="_Toc92974001"/>
      <w:bookmarkStart w:id="948" w:name="_Toc93052312"/>
      <w:bookmarkStart w:id="949" w:name="_Toc93056267"/>
      <w:bookmarkStart w:id="950" w:name="_Toc125393340"/>
      <w:bookmarkStart w:id="951" w:name="_Toc148702196"/>
      <w:bookmarkStart w:id="952" w:name="_Toc170381821"/>
      <w:r>
        <w:rPr>
          <w:rFonts w:ascii="Century Gothic" w:hAnsi="Century Gothic" w:cs="Times New Roman"/>
          <w:u w:val="single"/>
          <w14:scene3d>
            <w14:camera w14:prst="orthographicFront"/>
            <w14:lightRig w14:rig="threePt" w14:dir="t">
              <w14:rot w14:lat="0" w14:lon="0" w14:rev="0"/>
            </w14:lightRig>
          </w14:scene3d>
        </w:rPr>
        <w:t>2.</w:t>
      </w:r>
      <w:r>
        <w:rPr>
          <w:rFonts w:ascii="Century Gothic" w:hAnsi="Century Gothic" w:cs="Times New Roman"/>
          <w:u w:val="single"/>
          <w14:scene3d>
            <w14:camera w14:prst="orthographicFront"/>
            <w14:lightRig w14:rig="threePt" w14:dir="t">
              <w14:rot w14:lat="0" w14:lon="0" w14:rev="0"/>
            </w14:lightRig>
          </w14:scene3d>
        </w:rPr>
        <w:tab/>
      </w:r>
      <w:r>
        <w:rPr>
          <w:rFonts w:ascii="Century Gothic" w:hAnsi="Century Gothic"/>
          <w:u w:val="single"/>
        </w:rPr>
        <w:t>Información relacionada con los Servicios</w:t>
      </w:r>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r>
        <w:rPr>
          <w:rFonts w:ascii="Century Gothic" w:hAnsi="Century Gothic"/>
          <w:u w:val="single"/>
        </w:rPr>
        <w:t>.</w:t>
      </w:r>
    </w:p>
    <w:p w:rsidR="00277ED2" w:rsidRPr="00611019" w:rsidRDefault="00E56462" w:rsidP="00035D2C">
      <w:pPr>
        <w:pStyle w:val="IFTnormal"/>
        <w:spacing w:after="6pt"/>
        <w:rPr>
          <w:rFonts w:ascii="Century Gothic" w:hAnsi="Century Gothic"/>
        </w:rPr>
      </w:pPr>
      <w:r>
        <w:rPr>
          <w:rFonts w:ascii="Century Gothic" w:hAnsi="Century Gothic"/>
        </w:rPr>
        <w:t xml:space="preserve">La información con la que cuenta RED NACIONAL se pone a disposición de los concesionarios a través de una interfaz en el sitio de Internet en el que RED NACIONAL publica su OREDA, o a través del SEG/SIPO, la cual debe cumplir con lo establecido en el Acuerdo de Separación Funcional respecto a su independencia. Todos los </w:t>
      </w:r>
      <w:r w:rsidR="00114418">
        <w:rPr>
          <w:rFonts w:ascii="Century Gothic" w:hAnsi="Century Gothic"/>
        </w:rPr>
        <w:t>CS</w:t>
      </w:r>
      <w:r>
        <w:rPr>
          <w:rFonts w:ascii="Century Gothic" w:hAnsi="Century Gothic"/>
        </w:rPr>
        <w:t>, accederán a los mismos sistemas y herramientas de consulta e información.</w:t>
      </w:r>
    </w:p>
    <w:p w:rsidR="00277ED2" w:rsidRPr="00611019" w:rsidRDefault="00E56462" w:rsidP="00035D2C">
      <w:pPr>
        <w:pStyle w:val="IFTnormal"/>
        <w:spacing w:after="6pt"/>
        <w:rPr>
          <w:rFonts w:ascii="Century Gothic" w:hAnsi="Century Gothic"/>
        </w:rPr>
      </w:pPr>
      <w:r>
        <w:rPr>
          <w:rFonts w:ascii="Century Gothic" w:hAnsi="Century Gothic"/>
        </w:rPr>
        <w:t xml:space="preserve">Dicha información corresponde a aquella con la que cuenta RED NACIONAL tanto en términos cuantitativos como cualitativos, y refleja la misma precisión en los datos que se usa en la operación de RED NACIONAL, en el entendido de que la información es modificada derivado de la operación diaria y está sujeta a la variabilidad propia del levantamiento de información. En el SEG/SIPO, los </w:t>
      </w:r>
      <w:r w:rsidR="00114418">
        <w:rPr>
          <w:rFonts w:ascii="Century Gothic" w:hAnsi="Century Gothic"/>
        </w:rPr>
        <w:t>CS</w:t>
      </w:r>
      <w:r>
        <w:rPr>
          <w:rFonts w:ascii="Century Gothic" w:hAnsi="Century Gothic"/>
        </w:rPr>
        <w:t xml:space="preserve"> tendrán acceso a la misma información con el mismo grado de variabilidad.</w:t>
      </w:r>
    </w:p>
    <w:p w:rsidR="00277ED2" w:rsidRPr="00611019" w:rsidRDefault="00E56462" w:rsidP="00035D2C">
      <w:pPr>
        <w:pStyle w:val="IFTnormal"/>
        <w:spacing w:after="6pt"/>
        <w:rPr>
          <w:rFonts w:ascii="Century Gothic" w:hAnsi="Century Gothic"/>
        </w:rPr>
      </w:pPr>
      <w:r>
        <w:rPr>
          <w:rFonts w:ascii="Century Gothic" w:hAnsi="Century Gothic"/>
        </w:rPr>
        <w:t xml:space="preserve">La información que se pone a disposición de los </w:t>
      </w:r>
      <w:r w:rsidR="00114418">
        <w:rPr>
          <w:rFonts w:ascii="Century Gothic" w:hAnsi="Century Gothic"/>
        </w:rPr>
        <w:t>CS</w:t>
      </w:r>
      <w:r>
        <w:rPr>
          <w:rFonts w:ascii="Century Gothic" w:hAnsi="Century Gothic"/>
        </w:rPr>
        <w:t xml:space="preserve"> para la elaboración de sus planes básicos de negocio que les permita determinar su interés en los Servicios de Desagregación, se clasifica en 3 tipos:</w:t>
      </w:r>
    </w:p>
    <w:p w:rsidR="00277ED2" w:rsidRPr="00611019" w:rsidRDefault="00E56462" w:rsidP="00035D2C">
      <w:pPr>
        <w:spacing w:after="6pt"/>
        <w:ind w:start="21.30pt" w:hanging="18pt"/>
        <w:jc w:val="both"/>
        <w:rPr>
          <w:rFonts w:ascii="Century Gothic" w:hAnsi="Century Gothic" w:cs="Arial"/>
        </w:rPr>
      </w:pPr>
      <w:r>
        <w:rPr>
          <w:rFonts w:ascii="Century Gothic" w:eastAsia="Times New Roman" w:hAnsi="Century Gothic" w:cs="Times New Roman"/>
        </w:rPr>
        <w:t>-</w:t>
      </w:r>
      <w:r>
        <w:rPr>
          <w:rFonts w:ascii="Century Gothic" w:eastAsia="Times New Roman" w:hAnsi="Century Gothic" w:cs="Times New Roman"/>
        </w:rPr>
        <w:tab/>
      </w:r>
      <w:r>
        <w:rPr>
          <w:rFonts w:ascii="Century Gothic" w:hAnsi="Century Gothic" w:cs="Arial"/>
          <w:b/>
        </w:rPr>
        <w:t>Información tipo “a”</w:t>
      </w:r>
      <w:r>
        <w:rPr>
          <w:rFonts w:ascii="Century Gothic" w:hAnsi="Century Gothic" w:cs="Arial"/>
        </w:rPr>
        <w:t>: información básica que será accesible a partir de la publicación de la OREDA mediante la consulta y descarga de bases de datos conformada por archivos actualizados antes de firmar el Convenio de Desagregación.</w:t>
      </w:r>
    </w:p>
    <w:p w:rsidR="00277ED2" w:rsidRPr="00611019" w:rsidRDefault="00E56462" w:rsidP="00035D2C">
      <w:pPr>
        <w:spacing w:after="6pt"/>
        <w:ind w:start="21.30pt" w:hanging="18pt"/>
        <w:jc w:val="both"/>
        <w:rPr>
          <w:rFonts w:ascii="Century Gothic" w:hAnsi="Century Gothic" w:cs="Arial"/>
        </w:rPr>
      </w:pPr>
      <w:r>
        <w:rPr>
          <w:rFonts w:ascii="Century Gothic" w:eastAsia="Times New Roman" w:hAnsi="Century Gothic" w:cs="Times New Roman"/>
        </w:rPr>
        <w:lastRenderedPageBreak/>
        <w:t>-</w:t>
      </w:r>
      <w:r>
        <w:rPr>
          <w:rFonts w:ascii="Century Gothic" w:eastAsia="Times New Roman" w:hAnsi="Century Gothic" w:cs="Times New Roman"/>
        </w:rPr>
        <w:tab/>
      </w:r>
      <w:r>
        <w:rPr>
          <w:rFonts w:ascii="Century Gothic" w:hAnsi="Century Gothic" w:cs="Arial"/>
          <w:b/>
        </w:rPr>
        <w:t>Información tipo “b”:</w:t>
      </w:r>
      <w:r>
        <w:rPr>
          <w:rFonts w:ascii="Century Gothic" w:hAnsi="Century Gothic" w:cs="Arial"/>
        </w:rPr>
        <w:t xml:space="preserve"> Información detallada accesible a partir de la publicación de la OREDA y después de firmar el Convenio de Desagregación asociada a la dirección de un domicilio en específico.</w:t>
      </w:r>
    </w:p>
    <w:p w:rsidR="00277ED2" w:rsidRPr="00611019" w:rsidRDefault="00E56462" w:rsidP="00035D2C">
      <w:pPr>
        <w:spacing w:after="6pt"/>
        <w:ind w:start="21.30pt" w:hanging="18pt"/>
        <w:jc w:val="both"/>
        <w:rPr>
          <w:rFonts w:ascii="Century Gothic" w:hAnsi="Century Gothic" w:cs="Arial"/>
        </w:rPr>
      </w:pPr>
      <w:r>
        <w:rPr>
          <w:rFonts w:ascii="Century Gothic" w:eastAsia="Times New Roman" w:hAnsi="Century Gothic" w:cs="Times New Roman"/>
        </w:rPr>
        <w:t>-</w:t>
      </w:r>
      <w:r>
        <w:rPr>
          <w:rFonts w:ascii="Century Gothic" w:eastAsia="Times New Roman" w:hAnsi="Century Gothic" w:cs="Times New Roman"/>
        </w:rPr>
        <w:tab/>
      </w:r>
      <w:r>
        <w:rPr>
          <w:rFonts w:ascii="Century Gothic" w:hAnsi="Century Gothic" w:cs="Arial"/>
          <w:b/>
        </w:rPr>
        <w:t xml:space="preserve">Información tipo “c”: </w:t>
      </w:r>
      <w:r>
        <w:rPr>
          <w:rFonts w:ascii="Century Gothic" w:hAnsi="Century Gothic" w:cs="Arial"/>
        </w:rPr>
        <w:t xml:space="preserve">Información detallada accesible a partir de la firma del Convenio de Desagregación, del Catálogo de Domicilios de </w:t>
      </w:r>
      <w:r>
        <w:rPr>
          <w:rFonts w:ascii="Century Gothic" w:hAnsi="Century Gothic"/>
        </w:rPr>
        <w:t xml:space="preserve">RED NACIONAL </w:t>
      </w:r>
      <w:r>
        <w:rPr>
          <w:rFonts w:ascii="Century Gothic" w:hAnsi="Century Gothic" w:cs="Arial"/>
        </w:rPr>
        <w:t xml:space="preserve">respecto de los domicilios asociados a la infraestructura de </w:t>
      </w:r>
      <w:r>
        <w:rPr>
          <w:rFonts w:ascii="Century Gothic" w:hAnsi="Century Gothic"/>
        </w:rPr>
        <w:t>RED NACIONAL</w:t>
      </w:r>
      <w:r>
        <w:rPr>
          <w:rFonts w:ascii="Century Gothic" w:hAnsi="Century Gothic" w:cs="Arial"/>
        </w:rPr>
        <w:t>.</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La información tipo “a”, tipo “b” y tipo “c” se pone a disposición de los </w:t>
      </w:r>
      <w:r w:rsidR="00114418">
        <w:rPr>
          <w:rFonts w:ascii="Century Gothic" w:hAnsi="Century Gothic" w:cs="Arial"/>
        </w:rPr>
        <w:t>CS</w:t>
      </w:r>
      <w:r>
        <w:rPr>
          <w:rFonts w:ascii="Century Gothic" w:hAnsi="Century Gothic" w:cs="Arial"/>
        </w:rPr>
        <w:t xml:space="preserve"> y los concesionarios/autorizados que lo soliciten, a través de la interfaz que se ha habilitado en el sitio de Internet donde se publica la OREDA, para lo cual se asignarán usuarios y contraseñas a solicitud. Los </w:t>
      </w:r>
      <w:r w:rsidR="00114418">
        <w:rPr>
          <w:rFonts w:ascii="Century Gothic" w:hAnsi="Century Gothic" w:cs="Arial"/>
        </w:rPr>
        <w:t>CS</w:t>
      </w:r>
      <w:r>
        <w:rPr>
          <w:rFonts w:ascii="Century Gothic" w:hAnsi="Century Gothic" w:cs="Arial"/>
        </w:rPr>
        <w:t xml:space="preserve"> también pueden acceder a la información a través del SEG/SIPO. Tanto en el SEG/SIPO como en las bases de datos aquí clasificadas como de tipo “a”, “b” y “c” los </w:t>
      </w:r>
      <w:r w:rsidR="00114418">
        <w:rPr>
          <w:rFonts w:ascii="Century Gothic" w:hAnsi="Century Gothic" w:cs="Arial"/>
        </w:rPr>
        <w:t>CS</w:t>
      </w:r>
      <w:r>
        <w:rPr>
          <w:rFonts w:ascii="Century Gothic" w:hAnsi="Century Gothic" w:cs="Arial"/>
        </w:rPr>
        <w:t xml:space="preserve"> tienen acceso en los mismos términos y condiciones a la información a la que </w:t>
      </w:r>
      <w:r>
        <w:rPr>
          <w:rFonts w:ascii="Century Gothic" w:hAnsi="Century Gothic"/>
        </w:rPr>
        <w:t>RED NACIONAL</w:t>
      </w:r>
      <w:r>
        <w:rPr>
          <w:rFonts w:ascii="Century Gothic" w:hAnsi="Century Gothic" w:cs="Arial"/>
        </w:rPr>
        <w:t xml:space="preserve"> tiene acceso sobre la infraestructura necesaria para brindar los Servicios de Desagregación, con las mismas herramientas, sistemas, procedimientos, etc.</w:t>
      </w:r>
    </w:p>
    <w:p w:rsidR="00277ED2" w:rsidRPr="00611019" w:rsidRDefault="00E56462" w:rsidP="00035D2C">
      <w:pPr>
        <w:spacing w:after="6pt"/>
        <w:jc w:val="both"/>
        <w:rPr>
          <w:rFonts w:ascii="Century Gothic" w:hAnsi="Century Gothic" w:cs="Arial"/>
        </w:rPr>
      </w:pPr>
      <w:r>
        <w:rPr>
          <w:rFonts w:ascii="Century Gothic" w:hAnsi="Century Gothic" w:cs="Arial"/>
        </w:rPr>
        <w:t>En virtud de que la información tipo “a” que se pone a disposición de los concesionarios/autorizados tiene carácter confidencial y no ha habido una firma de convenio, se tendrá que firmar un acuerdo de confidencialidad con cada concesionario/autorizado que la requiera, quedando estipulado que estará prohibida la reproducción parcial o total de la información, así como su publicación a través de cualquier medio. Para el caso de la información tipo “b” y tipo “c”, los concesionarios/autorizados tendrán que firmar previamente el Convenio de Desagregación, teniendo bajo éste el carácter de información confidencial. La información tipo “a” se actualizará mensualmente, la información tipo “b” se actualizará semanalmente, y la tipo “c” quincenalmente.</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La información tipo “a” y tipo “b” puede consultarse y descargarse a nivel Entidad Federativa a través de la interfaz que </w:t>
      </w:r>
      <w:r>
        <w:rPr>
          <w:rFonts w:ascii="Century Gothic" w:hAnsi="Century Gothic"/>
        </w:rPr>
        <w:t>RED NACIONAL</w:t>
      </w:r>
      <w:r>
        <w:rPr>
          <w:rFonts w:ascii="Century Gothic" w:hAnsi="Century Gothic" w:cs="Arial"/>
        </w:rPr>
        <w:t xml:space="preserve"> pone a disposición de los concesionarios y del Instituto a través del sitio de internet. La información tipo “c” podrá consultarse y descargarse por regiones geográficas. Aunado a esto, los </w:t>
      </w:r>
      <w:r w:rsidR="00114418">
        <w:rPr>
          <w:rFonts w:ascii="Century Gothic" w:hAnsi="Century Gothic" w:cs="Arial"/>
        </w:rPr>
        <w:t>CS</w:t>
      </w:r>
      <w:r>
        <w:rPr>
          <w:rFonts w:ascii="Century Gothic" w:hAnsi="Century Gothic" w:cs="Arial"/>
        </w:rPr>
        <w:t xml:space="preserve"> contarán con la opción de obtener mediante una sola descarga todas las bases de datos presentadas en esta sección mediante el SEG/SIPO.</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A efectos de que los concesionarios/autorizados puedan cumplir con los requisitos y contar con toda la información necesaria para el acceso y uso de la OREDA, </w:t>
      </w:r>
      <w:r>
        <w:rPr>
          <w:rFonts w:ascii="Century Gothic" w:hAnsi="Century Gothic"/>
        </w:rPr>
        <w:t>RED NACIONAL</w:t>
      </w:r>
      <w:r>
        <w:rPr>
          <w:rFonts w:ascii="Century Gothic" w:hAnsi="Century Gothic" w:cs="Arial"/>
        </w:rPr>
        <w:t xml:space="preserve"> pondrá a disposición en su sitio de Internet lo siguiente:</w:t>
      </w:r>
    </w:p>
    <w:p w:rsidR="00277ED2" w:rsidRPr="00611019" w:rsidRDefault="00E56462" w:rsidP="00035D2C">
      <w:pPr>
        <w:pStyle w:val="IFTnormal"/>
        <w:numPr>
          <w:ilvl w:val="0"/>
          <w:numId w:val="35"/>
        </w:numPr>
        <w:spacing w:after="6pt"/>
        <w:rPr>
          <w:rFonts w:ascii="Century Gothic" w:hAnsi="Century Gothic"/>
        </w:rPr>
      </w:pPr>
      <w:r>
        <w:rPr>
          <w:rFonts w:ascii="Century Gothic" w:hAnsi="Century Gothic"/>
        </w:rPr>
        <w:t>Convenio de Desagregación.</w:t>
      </w:r>
    </w:p>
    <w:p w:rsidR="00277ED2" w:rsidRPr="00611019" w:rsidRDefault="00E56462" w:rsidP="00035D2C">
      <w:pPr>
        <w:pStyle w:val="IFTnormal"/>
        <w:numPr>
          <w:ilvl w:val="0"/>
          <w:numId w:val="35"/>
        </w:numPr>
        <w:spacing w:after="6pt"/>
        <w:rPr>
          <w:rFonts w:ascii="Century Gothic" w:hAnsi="Century Gothic"/>
        </w:rPr>
      </w:pPr>
      <w:r>
        <w:rPr>
          <w:rFonts w:ascii="Century Gothic" w:hAnsi="Century Gothic"/>
        </w:rPr>
        <w:t>Acuerdo de confidencialidad para el acceso a todos los tipos de información.</w:t>
      </w:r>
    </w:p>
    <w:p w:rsidR="00277ED2" w:rsidRPr="00611019" w:rsidRDefault="00E56462" w:rsidP="00035D2C">
      <w:pPr>
        <w:pStyle w:val="IFTnormal"/>
        <w:numPr>
          <w:ilvl w:val="0"/>
          <w:numId w:val="35"/>
        </w:numPr>
        <w:spacing w:after="6pt"/>
        <w:rPr>
          <w:rFonts w:ascii="Century Gothic" w:hAnsi="Century Gothic"/>
        </w:rPr>
      </w:pPr>
      <w:r>
        <w:rPr>
          <w:rFonts w:ascii="Century Gothic" w:hAnsi="Century Gothic"/>
        </w:rPr>
        <w:lastRenderedPageBreak/>
        <w:t>Formato de solicitud para asignar usuario y contraseña para realizar la consulta de la información en la interface en el sitio de Internet de RED NACIONAL y para el acceso al SEG/SIPO.</w:t>
      </w:r>
    </w:p>
    <w:p w:rsidR="00277ED2" w:rsidRPr="00611019" w:rsidRDefault="00E56462" w:rsidP="00035D2C">
      <w:pPr>
        <w:pStyle w:val="IFTnormal"/>
        <w:numPr>
          <w:ilvl w:val="0"/>
          <w:numId w:val="35"/>
        </w:numPr>
        <w:spacing w:after="6pt"/>
        <w:rPr>
          <w:rFonts w:ascii="Century Gothic" w:hAnsi="Century Gothic"/>
        </w:rPr>
      </w:pPr>
      <w:r>
        <w:rPr>
          <w:rFonts w:ascii="Century Gothic" w:hAnsi="Century Gothic"/>
        </w:rPr>
        <w:t>Formatos para solicitar la conectividad SEG/SIPO vía VPN.</w:t>
      </w:r>
    </w:p>
    <w:p w:rsidR="00E575ED" w:rsidRPr="00611019" w:rsidRDefault="00E575ED" w:rsidP="00035D2C">
      <w:pPr>
        <w:pStyle w:val="IFTnormal"/>
        <w:ind w:start="36pt"/>
        <w:rPr>
          <w:rFonts w:ascii="Century Gothic" w:hAnsi="Century Gothic"/>
        </w:rPr>
      </w:pPr>
    </w:p>
    <w:p w:rsidR="00277ED2" w:rsidRPr="00611019" w:rsidRDefault="00E56462" w:rsidP="00035D2C">
      <w:pPr>
        <w:spacing w:after="6pt"/>
        <w:jc w:val="both"/>
        <w:rPr>
          <w:rFonts w:ascii="Century Gothic" w:hAnsi="Century Gothic" w:cs="Arial"/>
        </w:rPr>
      </w:pPr>
      <w:r>
        <w:rPr>
          <w:rFonts w:ascii="Century Gothic" w:hAnsi="Century Gothic" w:cs="Arial"/>
        </w:rPr>
        <w:t xml:space="preserve">El Instituto podrá solicitar la agregación de nuevas bases de datos, así como modificar los rubros especificados en cada una, total o parcialmente, si en el transcurso del tiempo el Instituto considera que no resulta eficiente su utilización y se comprueba que la disposición de la misma resulta insuficiente para que los </w:t>
      </w:r>
      <w:r w:rsidR="00114418">
        <w:rPr>
          <w:rFonts w:ascii="Century Gothic" w:hAnsi="Century Gothic" w:cs="Arial"/>
        </w:rPr>
        <w:t>CS</w:t>
      </w:r>
      <w:r>
        <w:rPr>
          <w:rFonts w:ascii="Century Gothic" w:hAnsi="Century Gothic" w:cs="Arial"/>
        </w:rPr>
        <w:t xml:space="preserve"> generen su modelo de negocio o genera desventajas competitivas para los </w:t>
      </w:r>
      <w:r w:rsidR="00114418">
        <w:rPr>
          <w:rFonts w:ascii="Century Gothic" w:hAnsi="Century Gothic" w:cs="Arial"/>
        </w:rPr>
        <w:t>CS</w:t>
      </w:r>
      <w:r>
        <w:rPr>
          <w:rFonts w:ascii="Century Gothic" w:hAnsi="Century Gothic" w:cs="Arial"/>
        </w:rPr>
        <w:t>.</w:t>
      </w:r>
    </w:p>
    <w:p w:rsidR="00736311" w:rsidRPr="00611019" w:rsidRDefault="00736311" w:rsidP="00035D2C">
      <w:pPr>
        <w:spacing w:after="6pt"/>
        <w:jc w:val="both"/>
        <w:rPr>
          <w:rFonts w:ascii="Century Gothic" w:hAnsi="Century Gothic" w:cs="Arial"/>
        </w:rPr>
      </w:pPr>
    </w:p>
    <w:p w:rsidR="00277ED2" w:rsidRPr="00611019" w:rsidRDefault="00E56462" w:rsidP="00035D2C">
      <w:pPr>
        <w:pStyle w:val="Ttulo2"/>
        <w:spacing w:after="6pt"/>
        <w:ind w:start="0pt" w:firstLine="0pt"/>
        <w:rPr>
          <w:rFonts w:ascii="Century Gothic" w:hAnsi="Century Gothic"/>
        </w:rPr>
      </w:pPr>
      <w:bookmarkStart w:id="953" w:name="_Toc53488480"/>
      <w:bookmarkStart w:id="954" w:name="_Toc53490412"/>
      <w:bookmarkStart w:id="955" w:name="_Toc53498421"/>
      <w:bookmarkStart w:id="956" w:name="_Toc58578777"/>
      <w:bookmarkStart w:id="957" w:name="_Toc92974002"/>
      <w:bookmarkStart w:id="958" w:name="_Toc93052313"/>
      <w:bookmarkStart w:id="959" w:name="_Toc93056268"/>
      <w:bookmarkStart w:id="960" w:name="_Toc125393341"/>
      <w:bookmarkStart w:id="961" w:name="_Toc148702197"/>
      <w:bookmarkStart w:id="962" w:name="_Toc170381822"/>
      <w:r>
        <w:rPr>
          <w:rFonts w:ascii="Century Gothic" w:hAnsi="Century Gothic"/>
        </w:rPr>
        <w:t>2.1 Procedimiento para solicitar usuario y contraseña para consultar información en la interfaz en la página en que se publique la OREDA y del SEG/SIPO</w:t>
      </w:r>
      <w:bookmarkEnd w:id="953"/>
      <w:bookmarkEnd w:id="954"/>
      <w:bookmarkEnd w:id="955"/>
      <w:bookmarkEnd w:id="956"/>
      <w:bookmarkEnd w:id="957"/>
      <w:bookmarkEnd w:id="958"/>
      <w:bookmarkEnd w:id="959"/>
      <w:bookmarkEnd w:id="960"/>
      <w:bookmarkEnd w:id="961"/>
      <w:bookmarkEnd w:id="962"/>
      <w:r>
        <w:rPr>
          <w:rFonts w:ascii="Century Gothic" w:hAnsi="Century Gothic"/>
        </w:rPr>
        <w:t>.</w:t>
      </w:r>
    </w:p>
    <w:p w:rsidR="00277ED2" w:rsidRPr="00611019" w:rsidRDefault="00E56462" w:rsidP="00035D2C">
      <w:pPr>
        <w:spacing w:after="6pt"/>
        <w:ind w:start="28.35pt" w:hanging="28.35pt"/>
        <w:jc w:val="both"/>
        <w:rPr>
          <w:rFonts w:ascii="Century Gothic" w:hAnsi="Century Gothic" w:cs="Arial"/>
        </w:rPr>
      </w:pPr>
      <w:r>
        <w:rPr>
          <w:rFonts w:ascii="Century Gothic" w:eastAsia="Calibri" w:hAnsi="Century Gothic" w:cs="Arial"/>
        </w:rPr>
        <w:t>I.</w:t>
      </w:r>
      <w:r>
        <w:rPr>
          <w:rFonts w:ascii="Century Gothic" w:eastAsia="Calibri" w:hAnsi="Century Gothic" w:cs="Arial"/>
        </w:rPr>
        <w:tab/>
      </w:r>
      <w:r>
        <w:rPr>
          <w:rFonts w:ascii="Century Gothic" w:hAnsi="Century Gothic" w:cs="Arial"/>
        </w:rPr>
        <w:t xml:space="preserve">El concesionario/autorizado o CS solicitará a </w:t>
      </w:r>
      <w:r>
        <w:rPr>
          <w:rFonts w:ascii="Century Gothic" w:hAnsi="Century Gothic"/>
        </w:rPr>
        <w:t>RED NACIONAL</w:t>
      </w:r>
      <w:r>
        <w:rPr>
          <w:rFonts w:ascii="Century Gothic" w:hAnsi="Century Gothic" w:cs="Arial"/>
        </w:rPr>
        <w:t xml:space="preserve"> vía correo electrónico a la dirección </w:t>
      </w:r>
      <w:hyperlink r:id="rId21" w:history="1">
        <w:r>
          <w:rPr>
            <w:rStyle w:val="Hipervnculo"/>
            <w:rFonts w:ascii="Century Gothic" w:hAnsi="Century Gothic" w:cs="Arial"/>
            <w:color w:val="auto"/>
            <w:u w:val="none"/>
          </w:rPr>
          <w:t>OREDA@rednacional.com</w:t>
        </w:r>
      </w:hyperlink>
      <w:r>
        <w:rPr>
          <w:rFonts w:ascii="Century Gothic" w:hAnsi="Century Gothic" w:cs="Arial"/>
        </w:rPr>
        <w:t xml:space="preserve">, que se le asigne un usuario y contraseña para la consulta de la información disponible en el sitio de internet de </w:t>
      </w:r>
      <w:r>
        <w:rPr>
          <w:rFonts w:ascii="Century Gothic" w:hAnsi="Century Gothic"/>
        </w:rPr>
        <w:t>RED NACIONAL</w:t>
      </w:r>
      <w:r>
        <w:rPr>
          <w:rFonts w:ascii="Century Gothic" w:hAnsi="Century Gothic" w:cs="Arial"/>
        </w:rPr>
        <w:t xml:space="preserve"> o en su caso, a través del SEG/SIPO. </w:t>
      </w:r>
    </w:p>
    <w:p w:rsidR="00277ED2" w:rsidRPr="00611019" w:rsidRDefault="00E56462" w:rsidP="00035D2C">
      <w:pPr>
        <w:spacing w:after="6pt"/>
        <w:ind w:start="28.35pt" w:hanging="28.35pt"/>
        <w:jc w:val="both"/>
        <w:rPr>
          <w:rFonts w:ascii="Century Gothic" w:hAnsi="Century Gothic" w:cs="Arial"/>
        </w:rPr>
      </w:pPr>
      <w:r>
        <w:rPr>
          <w:rFonts w:ascii="Century Gothic" w:eastAsia="Calibri" w:hAnsi="Century Gothic" w:cs="Arial"/>
        </w:rPr>
        <w:t>II.</w:t>
      </w:r>
      <w:r>
        <w:rPr>
          <w:rFonts w:ascii="Century Gothic" w:eastAsia="Calibri" w:hAnsi="Century Gothic" w:cs="Arial"/>
        </w:rPr>
        <w:tab/>
      </w:r>
      <w:r>
        <w:rPr>
          <w:rFonts w:ascii="Century Gothic" w:hAnsi="Century Gothic" w:cs="Arial"/>
        </w:rPr>
        <w:t xml:space="preserve">Para el acceso a través del sitio de Internet de </w:t>
      </w:r>
      <w:r>
        <w:rPr>
          <w:rFonts w:ascii="Century Gothic" w:hAnsi="Century Gothic"/>
        </w:rPr>
        <w:t>RED NACIONAL</w:t>
      </w:r>
      <w:r>
        <w:rPr>
          <w:rFonts w:ascii="Century Gothic" w:hAnsi="Century Gothic" w:cs="Arial"/>
        </w:rPr>
        <w:t xml:space="preserve"> y/o del SEG/SIPO para la consulta de la información tipo </w:t>
      </w:r>
      <w:r w:rsidR="00114418">
        <w:rPr>
          <w:rFonts w:ascii="Century Gothic" w:hAnsi="Century Gothic" w:cs="Arial"/>
        </w:rPr>
        <w:t>“</w:t>
      </w:r>
      <w:r>
        <w:rPr>
          <w:rFonts w:ascii="Century Gothic" w:hAnsi="Century Gothic" w:cs="Arial"/>
        </w:rPr>
        <w:t>a</w:t>
      </w:r>
      <w:r w:rsidR="00114418">
        <w:rPr>
          <w:rFonts w:ascii="Century Gothic" w:hAnsi="Century Gothic" w:cs="Arial"/>
        </w:rPr>
        <w:t>”</w:t>
      </w:r>
      <w:r>
        <w:rPr>
          <w:rFonts w:ascii="Century Gothic" w:hAnsi="Century Gothic" w:cs="Arial"/>
        </w:rPr>
        <w:t>, la solicitud debe acompañarse del formato de solicitud de usuario y contraseña, Acuerdo de confidencialidad firmado por su representante legal, copia del Título de Concesión (o Concesión Única) o de la Autorización para comercializar servicios de telecomunicaciones.</w:t>
      </w:r>
    </w:p>
    <w:p w:rsidR="00277ED2" w:rsidRPr="00611019" w:rsidRDefault="00E56462" w:rsidP="00035D2C">
      <w:pPr>
        <w:spacing w:after="6pt"/>
        <w:ind w:start="28.35pt" w:hanging="28.35pt"/>
        <w:jc w:val="both"/>
        <w:rPr>
          <w:rFonts w:ascii="Century Gothic" w:hAnsi="Century Gothic" w:cs="Arial"/>
        </w:rPr>
      </w:pPr>
      <w:r>
        <w:rPr>
          <w:rFonts w:ascii="Century Gothic" w:eastAsia="Calibri" w:hAnsi="Century Gothic" w:cs="Arial"/>
        </w:rPr>
        <w:t>III.</w:t>
      </w:r>
      <w:r>
        <w:rPr>
          <w:rFonts w:ascii="Century Gothic" w:eastAsia="Calibri" w:hAnsi="Century Gothic" w:cs="Arial"/>
        </w:rPr>
        <w:tab/>
      </w:r>
      <w:r>
        <w:rPr>
          <w:rFonts w:ascii="Century Gothic" w:hAnsi="Century Gothic" w:cs="Arial"/>
        </w:rPr>
        <w:t xml:space="preserve">Para el acceso a la información tipo “b” y tipo “c”, además de los requisitos del punto anterior se deberá tener firmado el Convenio de Desagregación. El CS deberá enviar una confirmación de la firma del Convenio de Desagregación a la misma dirección de correo electrónico. </w:t>
      </w:r>
      <w:r>
        <w:rPr>
          <w:rFonts w:ascii="Century Gothic" w:hAnsi="Century Gothic"/>
        </w:rPr>
        <w:t>RED NACIONAL</w:t>
      </w:r>
      <w:r>
        <w:rPr>
          <w:rFonts w:ascii="Century Gothic" w:hAnsi="Century Gothic" w:cs="Arial"/>
        </w:rPr>
        <w:t xml:space="preserve"> activará los usuarios y contraseñas del CS para todos los tipos de información.</w:t>
      </w:r>
    </w:p>
    <w:p w:rsidR="00277ED2" w:rsidRPr="00611019" w:rsidRDefault="00E56462" w:rsidP="00035D2C">
      <w:pPr>
        <w:spacing w:after="6pt"/>
        <w:ind w:start="28.35pt" w:hanging="28.35pt"/>
        <w:jc w:val="both"/>
        <w:rPr>
          <w:rFonts w:ascii="Century Gothic" w:hAnsi="Century Gothic"/>
        </w:rPr>
      </w:pPr>
      <w:r>
        <w:rPr>
          <w:rFonts w:ascii="Century Gothic" w:eastAsia="Calibri" w:hAnsi="Century Gothic" w:cs="Arial"/>
        </w:rPr>
        <w:t>IV.</w:t>
      </w:r>
      <w:r>
        <w:rPr>
          <w:rFonts w:ascii="Century Gothic" w:eastAsia="Calibri" w:hAnsi="Century Gothic" w:cs="Arial"/>
        </w:rPr>
        <w:tab/>
      </w:r>
      <w:r>
        <w:rPr>
          <w:rFonts w:ascii="Century Gothic" w:hAnsi="Century Gothic" w:cs="Arial"/>
        </w:rPr>
        <w:t xml:space="preserve">Para </w:t>
      </w:r>
      <w:r>
        <w:rPr>
          <w:rFonts w:ascii="Century Gothic" w:hAnsi="Century Gothic"/>
        </w:rPr>
        <w:t xml:space="preserve">ambos casos de acceso a la información tipo “a”, o de acceso a la información tipo “b” y “c”, o todas en conjunto, RED NACIONAL contestará vía correo electrónico a la misma dirección desde la que se hizo la petición, proporcionando usuario y contraseña para el acceso vía la interfaz en el sitio de Internet de RED NACIONAL o del SEG/SIPO, en un plazo máximo de tres días hábiles posteriores a la fecha del correo enviado por el CS con la información correspondiente. </w:t>
      </w:r>
    </w:p>
    <w:p w:rsidR="00211C43" w:rsidRPr="00611019" w:rsidRDefault="00211C43" w:rsidP="00035D2C">
      <w:pPr>
        <w:pStyle w:val="IFTnormal"/>
        <w:spacing w:after="6pt"/>
        <w:ind w:start="36pt"/>
        <w:rPr>
          <w:rFonts w:ascii="Century Gothic" w:hAnsi="Century Gothic"/>
        </w:rPr>
      </w:pPr>
    </w:p>
    <w:p w:rsidR="00277ED2" w:rsidRPr="00611019" w:rsidRDefault="00E56462" w:rsidP="00035D2C">
      <w:pPr>
        <w:pStyle w:val="Ttulo2"/>
        <w:spacing w:after="6pt"/>
        <w:ind w:start="0pt" w:firstLine="0pt"/>
        <w:rPr>
          <w:rFonts w:ascii="Century Gothic" w:hAnsi="Century Gothic"/>
        </w:rPr>
      </w:pPr>
      <w:bookmarkStart w:id="963" w:name="_Toc53488481"/>
      <w:bookmarkStart w:id="964" w:name="_Toc53490413"/>
      <w:bookmarkStart w:id="965" w:name="_Toc53498422"/>
      <w:bookmarkStart w:id="966" w:name="_Toc58578778"/>
      <w:bookmarkStart w:id="967" w:name="_Toc92974003"/>
      <w:bookmarkStart w:id="968" w:name="_Toc93052314"/>
      <w:bookmarkStart w:id="969" w:name="_Toc93056269"/>
      <w:bookmarkStart w:id="970" w:name="_Toc125393342"/>
      <w:bookmarkStart w:id="971" w:name="_Toc148702198"/>
      <w:bookmarkStart w:id="972" w:name="_Toc170381823"/>
      <w:r>
        <w:rPr>
          <w:rFonts w:ascii="Century Gothic" w:hAnsi="Century Gothic"/>
        </w:rPr>
        <w:lastRenderedPageBreak/>
        <w:t>2.2 Procedimiento de acceso al SEG/SIPO a través de la Red Privada Virtual VPN</w:t>
      </w:r>
      <w:bookmarkEnd w:id="963"/>
      <w:bookmarkEnd w:id="964"/>
      <w:bookmarkEnd w:id="965"/>
      <w:bookmarkEnd w:id="966"/>
      <w:bookmarkEnd w:id="967"/>
      <w:bookmarkEnd w:id="968"/>
      <w:bookmarkEnd w:id="969"/>
      <w:bookmarkEnd w:id="970"/>
      <w:bookmarkEnd w:id="971"/>
      <w:bookmarkEnd w:id="972"/>
      <w:r>
        <w:rPr>
          <w:rFonts w:ascii="Century Gothic" w:hAnsi="Century Gothic"/>
        </w:rPr>
        <w:t>.</w:t>
      </w:r>
    </w:p>
    <w:p w:rsidR="00277ED2" w:rsidRPr="00611019" w:rsidRDefault="00E56462" w:rsidP="00035D2C">
      <w:pPr>
        <w:spacing w:after="6pt"/>
        <w:jc w:val="both"/>
        <w:rPr>
          <w:rFonts w:ascii="Century Gothic" w:eastAsia="Times New Roman" w:hAnsi="Century Gothic" w:cs="Arial"/>
          <w:lang w:eastAsia="es-ES"/>
        </w:rPr>
      </w:pPr>
      <w:r>
        <w:rPr>
          <w:rFonts w:ascii="Century Gothic" w:eastAsia="Times New Roman" w:hAnsi="Century Gothic" w:cs="Arial"/>
          <w:lang w:eastAsia="es-ES"/>
        </w:rPr>
        <w:t xml:space="preserve">Para que los </w:t>
      </w:r>
      <w:r w:rsidR="00114418">
        <w:rPr>
          <w:rFonts w:ascii="Century Gothic" w:eastAsia="Times New Roman" w:hAnsi="Century Gothic" w:cs="Arial"/>
          <w:lang w:eastAsia="es-ES"/>
        </w:rPr>
        <w:t>CS</w:t>
      </w:r>
      <w:r>
        <w:rPr>
          <w:rFonts w:ascii="Century Gothic" w:eastAsia="Times New Roman" w:hAnsi="Century Gothic" w:cs="Arial"/>
          <w:lang w:eastAsia="es-ES"/>
        </w:rPr>
        <w:t xml:space="preserve"> accedan al SEG/SIPO a través de la VPN se deben considerar los siguientes puntos: </w:t>
      </w:r>
    </w:p>
    <w:p w:rsidR="00277ED2" w:rsidRPr="00611019" w:rsidRDefault="00E56462" w:rsidP="00035D2C">
      <w:pPr>
        <w:spacing w:after="6pt"/>
        <w:ind w:start="21.30pt" w:hanging="21.30pt"/>
        <w:jc w:val="both"/>
        <w:rPr>
          <w:rFonts w:ascii="Century Gothic" w:hAnsi="Century Gothic" w:cs="Arial"/>
          <w:bCs/>
        </w:rPr>
      </w:pPr>
      <w:r>
        <w:rPr>
          <w:rFonts w:ascii="Century Gothic" w:eastAsia="Calibri" w:hAnsi="Century Gothic" w:cs="Calibri"/>
          <w:bCs/>
        </w:rPr>
        <w:t>1.</w:t>
      </w:r>
      <w:r>
        <w:rPr>
          <w:rFonts w:ascii="Century Gothic" w:eastAsia="Calibri" w:hAnsi="Century Gothic" w:cs="Calibri"/>
          <w:bCs/>
        </w:rPr>
        <w:tab/>
      </w:r>
      <w:r>
        <w:rPr>
          <w:rFonts w:ascii="Century Gothic" w:hAnsi="Century Gothic" w:cs="Arial"/>
          <w:bCs/>
          <w:lang w:eastAsia="es-ES"/>
        </w:rPr>
        <w:t xml:space="preserve">El proceso de solicitud de conectividad SEG/SIPO se realizará simultáneamente con el proceso de la firma del Acuerdo de Confidencialidad, el Convenio de Desagregación y sus Anexos. El CS deberá obtener los formatos correspondientes del sitio de internet de </w:t>
      </w:r>
      <w:r>
        <w:rPr>
          <w:rFonts w:ascii="Century Gothic" w:hAnsi="Century Gothic"/>
        </w:rPr>
        <w:t>RED NACIONAL</w:t>
      </w:r>
      <w:r>
        <w:rPr>
          <w:rFonts w:ascii="Century Gothic" w:hAnsi="Century Gothic" w:cs="Arial"/>
          <w:bCs/>
          <w:lang w:eastAsia="es-ES"/>
        </w:rPr>
        <w:t xml:space="preserve"> o solicitarlos al correo electrónico </w:t>
      </w:r>
      <w:hyperlink r:id="rId22" w:history="1">
        <w:r>
          <w:rPr>
            <w:rStyle w:val="Hipervnculo"/>
            <w:rFonts w:ascii="Century Gothic" w:hAnsi="Century Gothic" w:cs="Arial"/>
            <w:bCs/>
            <w:color w:val="auto"/>
            <w:u w:val="none"/>
          </w:rPr>
          <w:t>atencioncs@rednacional.com</w:t>
        </w:r>
      </w:hyperlink>
      <w:r>
        <w:rPr>
          <w:rFonts w:ascii="Century Gothic" w:hAnsi="Century Gothic" w:cs="Arial"/>
          <w:bCs/>
        </w:rPr>
        <w:t>.</w:t>
      </w:r>
    </w:p>
    <w:p w:rsidR="00277ED2" w:rsidRPr="00611019" w:rsidRDefault="00E56462" w:rsidP="00035D2C">
      <w:pPr>
        <w:spacing w:after="6pt"/>
        <w:ind w:start="21.30pt" w:hanging="21.30pt"/>
        <w:jc w:val="both"/>
        <w:rPr>
          <w:rFonts w:ascii="Century Gothic" w:eastAsia="Times New Roman" w:hAnsi="Century Gothic" w:cs="Arial"/>
          <w:lang w:eastAsia="es-ES"/>
        </w:rPr>
      </w:pPr>
      <w:r>
        <w:rPr>
          <w:rFonts w:ascii="Century Gothic" w:eastAsia="Calibri" w:hAnsi="Century Gothic" w:cs="Calibri"/>
          <w:lang w:eastAsia="es-ES"/>
        </w:rPr>
        <w:t>2.</w:t>
      </w:r>
      <w:r>
        <w:rPr>
          <w:rFonts w:ascii="Century Gothic" w:eastAsia="Calibri" w:hAnsi="Century Gothic" w:cs="Calibri"/>
          <w:lang w:eastAsia="es-ES"/>
        </w:rPr>
        <w:tab/>
      </w:r>
      <w:r>
        <w:rPr>
          <w:rFonts w:ascii="Century Gothic" w:eastAsia="Times New Roman" w:hAnsi="Century Gothic" w:cs="Arial"/>
          <w:lang w:eastAsia="es-ES"/>
        </w:rPr>
        <w:t xml:space="preserve">El CS solicita al correo electrónico </w:t>
      </w:r>
      <w:hyperlink r:id="rId23" w:history="1">
        <w:r>
          <w:rPr>
            <w:rStyle w:val="Hipervnculo"/>
            <w:rFonts w:ascii="Century Gothic" w:eastAsia="Times New Roman" w:hAnsi="Century Gothic" w:cs="Arial"/>
            <w:color w:val="auto"/>
            <w:u w:val="none"/>
            <w:lang w:eastAsia="es-ES"/>
          </w:rPr>
          <w:t>atencioncs@rednacional.com</w:t>
        </w:r>
      </w:hyperlink>
      <w:r>
        <w:rPr>
          <w:rFonts w:ascii="Century Gothic" w:eastAsia="Times New Roman" w:hAnsi="Century Gothic" w:cs="Arial"/>
          <w:lang w:eastAsia="es-ES"/>
        </w:rPr>
        <w:t xml:space="preserve"> la conectividad SEG/SIPO vía VPN, de conformidad con los términos contenidos en la página de internet de RED NACIONAL.</w:t>
      </w:r>
    </w:p>
    <w:p w:rsidR="00736311" w:rsidRPr="00611019" w:rsidRDefault="00736311" w:rsidP="00035D2C">
      <w:pPr>
        <w:spacing w:after="6pt"/>
        <w:rPr>
          <w:rFonts w:ascii="Century Gothic" w:hAnsi="Century Gothic"/>
        </w:rPr>
      </w:pPr>
    </w:p>
    <w:p w:rsidR="00277ED2" w:rsidRPr="00611019" w:rsidRDefault="00E56462" w:rsidP="00035D2C">
      <w:pPr>
        <w:pStyle w:val="Ttulo2"/>
        <w:spacing w:after="6pt"/>
        <w:ind w:start="0pt" w:firstLine="0pt"/>
        <w:rPr>
          <w:rFonts w:ascii="Century Gothic" w:hAnsi="Century Gothic"/>
        </w:rPr>
      </w:pPr>
      <w:bookmarkStart w:id="973" w:name="_Toc58578779"/>
      <w:bookmarkStart w:id="974" w:name="_Toc92974004"/>
      <w:bookmarkStart w:id="975" w:name="_Toc93052315"/>
      <w:bookmarkStart w:id="976" w:name="_Toc93056270"/>
      <w:bookmarkStart w:id="977" w:name="_Toc125393343"/>
      <w:bookmarkStart w:id="978" w:name="_Toc148702199"/>
      <w:bookmarkStart w:id="979" w:name="_Toc170381824"/>
      <w:r>
        <w:rPr>
          <w:rFonts w:ascii="Century Gothic" w:hAnsi="Century Gothic"/>
        </w:rPr>
        <w:t>2.3. Descripción de las bases de datos, documentos e información a la que se tiene acceso</w:t>
      </w:r>
      <w:bookmarkEnd w:id="973"/>
      <w:bookmarkEnd w:id="974"/>
      <w:bookmarkEnd w:id="975"/>
      <w:bookmarkEnd w:id="976"/>
      <w:bookmarkEnd w:id="977"/>
      <w:bookmarkEnd w:id="978"/>
      <w:bookmarkEnd w:id="979"/>
      <w:r>
        <w:rPr>
          <w:rFonts w:ascii="Century Gothic" w:hAnsi="Century Gothic"/>
        </w:rPr>
        <w:t>.</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La información que se pone a disposición de los </w:t>
      </w:r>
      <w:r w:rsidR="00114418">
        <w:rPr>
          <w:rFonts w:ascii="Century Gothic" w:hAnsi="Century Gothic" w:cs="Arial"/>
        </w:rPr>
        <w:t xml:space="preserve">concesionarios/autorizados y </w:t>
      </w:r>
      <w:r>
        <w:rPr>
          <w:rFonts w:ascii="Century Gothic" w:hAnsi="Century Gothic" w:cs="Arial"/>
        </w:rPr>
        <w:t xml:space="preserve">CS a través de una interfaz en el sitio de Internet en el que </w:t>
      </w:r>
      <w:r>
        <w:rPr>
          <w:rFonts w:ascii="Century Gothic" w:hAnsi="Century Gothic"/>
        </w:rPr>
        <w:t>RED NACIONAL</w:t>
      </w:r>
      <w:r>
        <w:rPr>
          <w:rFonts w:ascii="Century Gothic" w:hAnsi="Century Gothic" w:cs="Arial"/>
        </w:rPr>
        <w:t xml:space="preserve"> publique su OREDA, se define en este numeral. Existe información que por su naturaleza se actualiza constantemente, por lo que, para esta información, así como para aquellos casos donde no se cuente con la misma, se realizará una carga inicial que se irá actualizando. Las bases de datos están relacionadas entre sí, a través de los siguientes campos llave: Nombre de la Central Telefónica o Instalación Equivalente; y Código identificador de la Central Telefónica o Instalación Equivalente (CLLI). Todas las bases de datos estarán disponibles en formato abierto y compatible que permita su descarga y consulta mediante programas o sistemas gestores de bases de datos relacionales (SQL) de uso común además de los especificados para cada tipo de información, y la estructura de la información presentada no deberá impedir su procesamiento de manera ágil. </w:t>
      </w:r>
    </w:p>
    <w:p w:rsidR="0047527A" w:rsidRPr="00611019" w:rsidRDefault="0047527A" w:rsidP="00035D2C">
      <w:pPr>
        <w:jc w:val="both"/>
        <w:rPr>
          <w:rFonts w:ascii="Century Gothic" w:hAnsi="Century Gothic" w:cs="Arial"/>
          <w:b/>
        </w:rPr>
      </w:pPr>
    </w:p>
    <w:p w:rsidR="00277ED2" w:rsidRPr="00611019" w:rsidRDefault="00E56462" w:rsidP="00035D2C">
      <w:pPr>
        <w:keepNext/>
        <w:spacing w:after="6pt"/>
        <w:jc w:val="both"/>
        <w:rPr>
          <w:rFonts w:ascii="Century Gothic" w:hAnsi="Century Gothic" w:cs="Arial"/>
          <w:b/>
        </w:rPr>
      </w:pPr>
      <w:r>
        <w:rPr>
          <w:rFonts w:ascii="Century Gothic" w:hAnsi="Century Gothic" w:cs="Arial"/>
          <w:b/>
        </w:rPr>
        <w:t>Información tipo “a”:</w:t>
      </w:r>
    </w:p>
    <w:p w:rsidR="00277ED2" w:rsidRPr="00611019" w:rsidRDefault="00E56462" w:rsidP="00035D2C">
      <w:pPr>
        <w:widowControl w:val="0"/>
        <w:spacing w:after="6pt"/>
        <w:jc w:val="both"/>
        <w:rPr>
          <w:rFonts w:ascii="Century Gothic" w:hAnsi="Century Gothic" w:cs="Arial"/>
        </w:rPr>
      </w:pPr>
      <w:r>
        <w:rPr>
          <w:rFonts w:ascii="Century Gothic" w:hAnsi="Century Gothic" w:cs="Arial"/>
        </w:rPr>
        <w:t>La información de las bases de datos debe estar disponible en formato .cvs o .xlsx, la fecha de actualización de estas bases se verá reflejada en la base consultada en la interfaz.</w:t>
      </w:r>
    </w:p>
    <w:p w:rsidR="00277ED2" w:rsidRPr="00611019" w:rsidRDefault="00E56462" w:rsidP="00035D2C">
      <w:pPr>
        <w:spacing w:after="6pt"/>
        <w:jc w:val="both"/>
        <w:rPr>
          <w:rFonts w:ascii="Century Gothic" w:hAnsi="Century Gothic" w:cs="Arial"/>
          <w:u w:val="single"/>
        </w:rPr>
      </w:pPr>
      <w:r>
        <w:rPr>
          <w:rFonts w:ascii="Century Gothic" w:hAnsi="Century Gothic" w:cs="Arial"/>
          <w:u w:val="single"/>
        </w:rPr>
        <w:t>BASE 1: Central Telefónica o Instalación Equivalente</w:t>
      </w:r>
    </w:p>
    <w:p w:rsidR="00277ED2" w:rsidRPr="00611019" w:rsidRDefault="00E56462" w:rsidP="00F56183">
      <w:pPr>
        <w:pStyle w:val="Prrafodelista"/>
        <w:numPr>
          <w:ilvl w:val="0"/>
          <w:numId w:val="36"/>
        </w:numPr>
        <w:spacing w:after="6pt"/>
        <w:jc w:val="both"/>
        <w:rPr>
          <w:rFonts w:ascii="Century Gothic" w:hAnsi="Century Gothic" w:cs="Arial"/>
        </w:rPr>
      </w:pPr>
      <w:r>
        <w:rPr>
          <w:rFonts w:ascii="Century Gothic" w:hAnsi="Century Gothic" w:cs="Arial"/>
        </w:rPr>
        <w:t>Nombre de la Central Telefónica o Instalación Equivalente.</w:t>
      </w:r>
    </w:p>
    <w:p w:rsidR="00277ED2" w:rsidRPr="00611019" w:rsidRDefault="00E56462" w:rsidP="00F56183">
      <w:pPr>
        <w:pStyle w:val="Prrafodelista"/>
        <w:numPr>
          <w:ilvl w:val="0"/>
          <w:numId w:val="36"/>
        </w:numPr>
        <w:spacing w:after="6pt"/>
        <w:jc w:val="both"/>
        <w:rPr>
          <w:rFonts w:ascii="Century Gothic" w:hAnsi="Century Gothic" w:cs="Arial"/>
        </w:rPr>
      </w:pPr>
      <w:r>
        <w:rPr>
          <w:rFonts w:ascii="Century Gothic" w:hAnsi="Century Gothic" w:cs="Arial"/>
        </w:rPr>
        <w:t>Siglas de la Central Telefónica o Instalación Equivalente.</w:t>
      </w:r>
    </w:p>
    <w:p w:rsidR="00277ED2" w:rsidRPr="00611019" w:rsidRDefault="00E56462" w:rsidP="00F56183">
      <w:pPr>
        <w:pStyle w:val="Prrafodelista"/>
        <w:numPr>
          <w:ilvl w:val="0"/>
          <w:numId w:val="36"/>
        </w:numPr>
        <w:spacing w:after="6pt"/>
        <w:jc w:val="both"/>
        <w:rPr>
          <w:rFonts w:ascii="Century Gothic" w:hAnsi="Century Gothic" w:cs="Arial"/>
        </w:rPr>
      </w:pPr>
      <w:r>
        <w:rPr>
          <w:rFonts w:ascii="Century Gothic" w:hAnsi="Century Gothic" w:cs="Arial"/>
        </w:rPr>
        <w:t>Código identificador de la Central Telefónica o Instalación Equivalente (CLLI).</w:t>
      </w:r>
    </w:p>
    <w:p w:rsidR="00277ED2" w:rsidRPr="00611019" w:rsidRDefault="00E56462" w:rsidP="00F56183">
      <w:pPr>
        <w:pStyle w:val="Prrafodelista"/>
        <w:numPr>
          <w:ilvl w:val="0"/>
          <w:numId w:val="36"/>
        </w:numPr>
        <w:spacing w:after="6pt"/>
        <w:jc w:val="both"/>
        <w:rPr>
          <w:rFonts w:ascii="Century Gothic" w:hAnsi="Century Gothic" w:cs="Arial"/>
        </w:rPr>
      </w:pPr>
      <w:r>
        <w:rPr>
          <w:rFonts w:ascii="Century Gothic" w:hAnsi="Century Gothic" w:cs="Arial"/>
        </w:rPr>
        <w:t>Tipo de tecnología en la Central Telefónica o Instalación Equivalente.*</w:t>
      </w:r>
    </w:p>
    <w:p w:rsidR="00277ED2" w:rsidRPr="00611019" w:rsidRDefault="00E56462" w:rsidP="00F56183">
      <w:pPr>
        <w:pStyle w:val="Prrafodelista"/>
        <w:numPr>
          <w:ilvl w:val="0"/>
          <w:numId w:val="36"/>
        </w:numPr>
        <w:spacing w:after="6pt"/>
        <w:jc w:val="both"/>
        <w:rPr>
          <w:rFonts w:ascii="Century Gothic" w:hAnsi="Century Gothic" w:cs="Arial"/>
        </w:rPr>
      </w:pPr>
      <w:r>
        <w:rPr>
          <w:rFonts w:ascii="Century Gothic" w:hAnsi="Century Gothic" w:cs="Arial"/>
        </w:rPr>
        <w:t>Tipo de Central Telefónica o Instalación Equivalente.*</w:t>
      </w:r>
    </w:p>
    <w:p w:rsidR="00277ED2" w:rsidRPr="00611019" w:rsidRDefault="00E56462" w:rsidP="00F56183">
      <w:pPr>
        <w:pStyle w:val="CondicionesFinales"/>
        <w:numPr>
          <w:ilvl w:val="0"/>
          <w:numId w:val="36"/>
        </w:numPr>
        <w:spacing w:after="6pt"/>
        <w:ind w:end="0pt"/>
        <w:rPr>
          <w:rFonts w:ascii="Century Gothic" w:hAnsi="Century Gothic"/>
          <w:color w:val="auto"/>
          <w:lang w:val="es-MX"/>
        </w:rPr>
      </w:pPr>
      <w:r>
        <w:rPr>
          <w:rFonts w:ascii="Century Gothic" w:hAnsi="Century Gothic"/>
          <w:color w:val="auto"/>
          <w:lang w:val="es-MX"/>
        </w:rPr>
        <w:lastRenderedPageBreak/>
        <w:t xml:space="preserve">Categorización por zona económica en la que se encuentran ubicadas las Centrales Telefónicas </w:t>
      </w:r>
      <w:r>
        <w:rPr>
          <w:rFonts w:ascii="Century Gothic" w:hAnsi="Century Gothic"/>
          <w:lang w:val="es-MX"/>
        </w:rPr>
        <w:t>o Instalación Equivalente</w:t>
      </w:r>
      <w:r>
        <w:rPr>
          <w:rFonts w:ascii="Century Gothic" w:hAnsi="Century Gothic"/>
          <w:color w:val="auto"/>
          <w:lang w:val="es-MX"/>
        </w:rPr>
        <w:t>: alta, media o baja.</w:t>
      </w:r>
    </w:p>
    <w:p w:rsidR="00277ED2" w:rsidRPr="00611019" w:rsidRDefault="00E56462" w:rsidP="00F56183">
      <w:pPr>
        <w:pStyle w:val="Prrafodelista"/>
        <w:numPr>
          <w:ilvl w:val="0"/>
          <w:numId w:val="36"/>
        </w:numPr>
        <w:spacing w:after="6pt"/>
        <w:jc w:val="both"/>
        <w:rPr>
          <w:rFonts w:ascii="Century Gothic" w:hAnsi="Century Gothic" w:cs="Arial"/>
        </w:rPr>
      </w:pPr>
      <w:r>
        <w:rPr>
          <w:rFonts w:ascii="Century Gothic" w:hAnsi="Century Gothic" w:cs="Arial"/>
        </w:rPr>
        <w:t>Estado de Acondicionamiento para Desagregación Total y Compartida del Bucle: acondicionadas, no acondicionadas y en proceso.</w:t>
      </w:r>
    </w:p>
    <w:p w:rsidR="00277ED2" w:rsidRPr="00611019" w:rsidRDefault="00E56462" w:rsidP="00F56183">
      <w:pPr>
        <w:pStyle w:val="Prrafodelista"/>
        <w:numPr>
          <w:ilvl w:val="0"/>
          <w:numId w:val="36"/>
        </w:numPr>
        <w:spacing w:after="6pt"/>
        <w:jc w:val="both"/>
        <w:rPr>
          <w:rFonts w:ascii="Century Gothic" w:hAnsi="Century Gothic" w:cs="Arial"/>
        </w:rPr>
      </w:pPr>
      <w:r>
        <w:rPr>
          <w:rFonts w:ascii="Century Gothic" w:hAnsi="Century Gothic" w:cs="Arial"/>
        </w:rPr>
        <w:t>Tipo de punto de acceso para desagregación: Local, Regional, Nacional.</w:t>
      </w:r>
    </w:p>
    <w:p w:rsidR="00277ED2" w:rsidRPr="00611019" w:rsidRDefault="00E56462" w:rsidP="00F56183">
      <w:pPr>
        <w:pStyle w:val="Prrafodelista"/>
        <w:numPr>
          <w:ilvl w:val="0"/>
          <w:numId w:val="36"/>
        </w:numPr>
        <w:spacing w:after="6pt"/>
        <w:jc w:val="both"/>
        <w:rPr>
          <w:rFonts w:ascii="Century Gothic" w:hAnsi="Century Gothic" w:cs="Arial"/>
        </w:rPr>
      </w:pPr>
      <w:r>
        <w:rPr>
          <w:rFonts w:ascii="Century Gothic" w:hAnsi="Century Gothic" w:cs="Arial"/>
        </w:rPr>
        <w:t>Listado de códigos identificadores de Caja de Distribución asociadas a Centrales Telefónicas o Instalaciones Equivalentes.</w:t>
      </w:r>
    </w:p>
    <w:p w:rsidR="00277ED2" w:rsidRPr="00611019" w:rsidRDefault="00E56462" w:rsidP="00F56183">
      <w:pPr>
        <w:pStyle w:val="Prrafodelista"/>
        <w:numPr>
          <w:ilvl w:val="0"/>
          <w:numId w:val="36"/>
        </w:numPr>
        <w:spacing w:after="6pt"/>
        <w:jc w:val="both"/>
        <w:rPr>
          <w:rFonts w:ascii="Century Gothic" w:hAnsi="Century Gothic" w:cs="Arial"/>
        </w:rPr>
      </w:pPr>
      <w:r>
        <w:rPr>
          <w:rFonts w:ascii="Century Gothic" w:hAnsi="Century Gothic" w:cs="Arial"/>
        </w:rPr>
        <w:t>Localización exacta: coordenadas geográficas (latitud y longitud) y dirección completa (Población, Municipio, Estado, calle, no. exterior, referencia (entre que calles).</w:t>
      </w:r>
    </w:p>
    <w:p w:rsidR="00277ED2" w:rsidRPr="00611019" w:rsidRDefault="00E56462" w:rsidP="00F56183">
      <w:pPr>
        <w:pStyle w:val="Prrafodelista"/>
        <w:numPr>
          <w:ilvl w:val="0"/>
          <w:numId w:val="36"/>
        </w:numPr>
        <w:spacing w:after="6pt"/>
        <w:jc w:val="both"/>
        <w:rPr>
          <w:rFonts w:ascii="Century Gothic" w:hAnsi="Century Gothic" w:cs="Arial"/>
        </w:rPr>
      </w:pPr>
      <w:r>
        <w:rPr>
          <w:rFonts w:ascii="Century Gothic" w:hAnsi="Century Gothic" w:cs="Arial"/>
        </w:rPr>
        <w:t>Número de pares de cobre instalados en cada Central Telefónica o Instalación Equivalente (Red Principal).</w:t>
      </w:r>
    </w:p>
    <w:p w:rsidR="00277ED2" w:rsidRPr="00611019" w:rsidRDefault="00E56462" w:rsidP="00F56183">
      <w:pPr>
        <w:pStyle w:val="Prrafodelista"/>
        <w:numPr>
          <w:ilvl w:val="0"/>
          <w:numId w:val="36"/>
        </w:numPr>
        <w:spacing w:after="6pt"/>
        <w:jc w:val="both"/>
        <w:rPr>
          <w:rFonts w:ascii="Century Gothic" w:hAnsi="Century Gothic" w:cs="Arial"/>
        </w:rPr>
      </w:pPr>
      <w:r>
        <w:rPr>
          <w:rFonts w:ascii="Century Gothic" w:hAnsi="Century Gothic" w:cs="Arial"/>
        </w:rPr>
        <w:t>Número de pares de cobre No Disponibles en cada Central Telefónica o Instalación Equivalente (Red Principal).</w:t>
      </w:r>
    </w:p>
    <w:p w:rsidR="00277ED2" w:rsidRPr="00611019" w:rsidRDefault="00E56462" w:rsidP="00F56183">
      <w:pPr>
        <w:pStyle w:val="Prrafodelista"/>
        <w:numPr>
          <w:ilvl w:val="0"/>
          <w:numId w:val="36"/>
        </w:numPr>
        <w:spacing w:after="6pt"/>
        <w:jc w:val="both"/>
        <w:rPr>
          <w:rFonts w:ascii="Century Gothic" w:hAnsi="Century Gothic" w:cs="Arial"/>
        </w:rPr>
      </w:pPr>
      <w:r>
        <w:rPr>
          <w:rFonts w:ascii="Century Gothic" w:hAnsi="Century Gothic" w:cs="Arial"/>
        </w:rPr>
        <w:t>Número de pares de cobre libres en cada Central Telefónica o Instalación Equivalente (Red Principal).</w:t>
      </w:r>
    </w:p>
    <w:p w:rsidR="00277ED2" w:rsidRPr="00611019" w:rsidRDefault="00E56462" w:rsidP="00F56183">
      <w:pPr>
        <w:pStyle w:val="Prrafodelista"/>
        <w:numPr>
          <w:ilvl w:val="0"/>
          <w:numId w:val="36"/>
        </w:numPr>
        <w:spacing w:after="6pt"/>
        <w:jc w:val="both"/>
        <w:rPr>
          <w:rFonts w:ascii="Century Gothic" w:hAnsi="Century Gothic" w:cs="Arial"/>
        </w:rPr>
      </w:pPr>
      <w:r>
        <w:rPr>
          <w:rFonts w:ascii="Century Gothic" w:hAnsi="Century Gothic" w:cs="Arial"/>
        </w:rPr>
        <w:t>Número de pares de cobre instalados en cada Central Telefónica o Instalación Equivalente (Red Secundaria).</w:t>
      </w:r>
    </w:p>
    <w:p w:rsidR="00277ED2" w:rsidRPr="00611019" w:rsidRDefault="00E56462" w:rsidP="00F56183">
      <w:pPr>
        <w:pStyle w:val="Prrafodelista"/>
        <w:numPr>
          <w:ilvl w:val="0"/>
          <w:numId w:val="36"/>
        </w:numPr>
        <w:spacing w:after="6pt"/>
        <w:jc w:val="both"/>
        <w:rPr>
          <w:rFonts w:ascii="Century Gothic" w:hAnsi="Century Gothic" w:cs="Arial"/>
        </w:rPr>
      </w:pPr>
      <w:r>
        <w:rPr>
          <w:rFonts w:ascii="Century Gothic" w:hAnsi="Century Gothic" w:cs="Arial"/>
        </w:rPr>
        <w:t>Número de pares de cobre No Disponibles en cada Central Telefónica o Instalación Equivalente (Red Secundaria).</w:t>
      </w:r>
    </w:p>
    <w:p w:rsidR="00277ED2" w:rsidRPr="00611019" w:rsidRDefault="00E56462" w:rsidP="00F56183">
      <w:pPr>
        <w:pStyle w:val="Prrafodelista"/>
        <w:numPr>
          <w:ilvl w:val="0"/>
          <w:numId w:val="36"/>
        </w:numPr>
        <w:spacing w:after="6pt"/>
        <w:jc w:val="both"/>
        <w:rPr>
          <w:rFonts w:ascii="Century Gothic" w:hAnsi="Century Gothic" w:cs="Arial"/>
        </w:rPr>
      </w:pPr>
      <w:r>
        <w:rPr>
          <w:rFonts w:ascii="Century Gothic" w:hAnsi="Century Gothic" w:cs="Arial"/>
        </w:rPr>
        <w:t>Número de Pares de cobre Libres en cada Central Telefónica o Instalación Equivalente (Red Secundaria).</w:t>
      </w:r>
    </w:p>
    <w:p w:rsidR="00277ED2" w:rsidRPr="00611019" w:rsidRDefault="00E56462" w:rsidP="00F56183">
      <w:pPr>
        <w:pStyle w:val="Prrafodelista"/>
        <w:numPr>
          <w:ilvl w:val="0"/>
          <w:numId w:val="36"/>
        </w:numPr>
        <w:spacing w:after="6pt"/>
        <w:jc w:val="both"/>
        <w:rPr>
          <w:rFonts w:ascii="Century Gothic" w:hAnsi="Century Gothic" w:cs="Arial"/>
        </w:rPr>
      </w:pPr>
      <w:r>
        <w:rPr>
          <w:rFonts w:ascii="Century Gothic" w:hAnsi="Century Gothic" w:cs="Arial"/>
        </w:rPr>
        <w:t>Cobertura de fibra óptica en número de casas pasadas en cada Central Telefónica o Instalación Equivalente.</w:t>
      </w:r>
    </w:p>
    <w:p w:rsidR="00277ED2" w:rsidRPr="00611019" w:rsidRDefault="00E56462" w:rsidP="00F56183">
      <w:pPr>
        <w:pStyle w:val="Prrafodelista"/>
        <w:numPr>
          <w:ilvl w:val="0"/>
          <w:numId w:val="36"/>
        </w:numPr>
        <w:spacing w:after="6pt"/>
        <w:jc w:val="both"/>
        <w:rPr>
          <w:rFonts w:ascii="Century Gothic" w:hAnsi="Century Gothic" w:cs="Arial"/>
        </w:rPr>
      </w:pPr>
      <w:r>
        <w:rPr>
          <w:rFonts w:ascii="Century Gothic" w:hAnsi="Century Gothic" w:cs="Arial"/>
        </w:rPr>
        <w:t>Número de Usuarios Finales atendidos con fibra óptica en cada Central Telefónica o Instalación Equivalente.</w:t>
      </w:r>
    </w:p>
    <w:p w:rsidR="00277ED2" w:rsidRPr="00611019" w:rsidRDefault="00E56462" w:rsidP="00F56183">
      <w:pPr>
        <w:pStyle w:val="Prrafodelista"/>
        <w:numPr>
          <w:ilvl w:val="0"/>
          <w:numId w:val="36"/>
        </w:numPr>
        <w:spacing w:after="6pt"/>
        <w:jc w:val="both"/>
        <w:rPr>
          <w:rFonts w:ascii="Century Gothic" w:hAnsi="Century Gothic" w:cs="Arial"/>
        </w:rPr>
      </w:pPr>
      <w:r>
        <w:rPr>
          <w:rFonts w:ascii="Century Gothic" w:hAnsi="Century Gothic" w:cs="Arial"/>
        </w:rPr>
        <w:t>Siglas del Nodo de Concentración de FTTH.</w:t>
      </w:r>
    </w:p>
    <w:p w:rsidR="00277ED2" w:rsidRPr="00611019" w:rsidRDefault="00E56462" w:rsidP="00F56183">
      <w:pPr>
        <w:pStyle w:val="Prrafodelista"/>
        <w:numPr>
          <w:ilvl w:val="0"/>
          <w:numId w:val="36"/>
        </w:numPr>
        <w:spacing w:after="6pt"/>
        <w:jc w:val="both"/>
        <w:rPr>
          <w:rFonts w:ascii="Century Gothic" w:hAnsi="Century Gothic" w:cs="Arial"/>
        </w:rPr>
      </w:pPr>
      <w:r>
        <w:rPr>
          <w:rFonts w:ascii="Century Gothic" w:hAnsi="Century Gothic" w:cs="Arial"/>
        </w:rPr>
        <w:t>Espacio disponible para coubicación (por modalidad</w:t>
      </w:r>
      <w:bookmarkStart w:id="980" w:name="_Hlk38018432"/>
      <w:r>
        <w:rPr>
          <w:rFonts w:ascii="Century Gothic" w:hAnsi="Century Gothic" w:cs="Arial"/>
        </w:rPr>
        <w:t xml:space="preserve">) en espacios de </w:t>
      </w:r>
      <w:r>
        <w:rPr>
          <w:rFonts w:ascii="Century Gothic" w:hAnsi="Century Gothic"/>
        </w:rPr>
        <w:t>RED NACIONAL</w:t>
      </w:r>
      <w:r>
        <w:rPr>
          <w:rFonts w:ascii="Century Gothic" w:hAnsi="Century Gothic" w:cs="Arial"/>
        </w:rPr>
        <w:t xml:space="preserve">. </w:t>
      </w:r>
    </w:p>
    <w:p w:rsidR="001040CD" w:rsidRPr="00611019" w:rsidRDefault="00E56462" w:rsidP="00035D2C">
      <w:pPr>
        <w:spacing w:after="6pt"/>
        <w:jc w:val="both"/>
        <w:rPr>
          <w:rFonts w:ascii="Century Gothic" w:hAnsi="Century Gothic" w:cs="Arial"/>
        </w:rPr>
      </w:pPr>
      <w:r>
        <w:rPr>
          <w:rFonts w:ascii="Century Gothic" w:hAnsi="Century Gothic" w:cs="Arial"/>
        </w:rPr>
        <w:t>*Actualización anual al 31 de diciembre de cada año.</w:t>
      </w:r>
    </w:p>
    <w:bookmarkEnd w:id="980"/>
    <w:p w:rsidR="001043C9" w:rsidRPr="00611019" w:rsidRDefault="001043C9" w:rsidP="00035D2C">
      <w:pPr>
        <w:keepNext/>
        <w:jc w:val="both"/>
        <w:rPr>
          <w:rFonts w:ascii="Century Gothic" w:hAnsi="Century Gothic" w:cs="Arial"/>
          <w:u w:val="single"/>
        </w:rPr>
      </w:pPr>
    </w:p>
    <w:p w:rsidR="00277ED2" w:rsidRPr="00611019" w:rsidRDefault="00E56462" w:rsidP="00035D2C">
      <w:pPr>
        <w:keepNext/>
        <w:spacing w:after="6pt"/>
        <w:jc w:val="both"/>
        <w:rPr>
          <w:rFonts w:ascii="Century Gothic" w:hAnsi="Century Gothic" w:cs="Arial"/>
          <w:u w:val="single"/>
        </w:rPr>
      </w:pPr>
      <w:r>
        <w:rPr>
          <w:rFonts w:ascii="Century Gothic" w:hAnsi="Century Gothic" w:cs="Arial"/>
          <w:u w:val="single"/>
        </w:rPr>
        <w:t>BASE 2: Cajas de Distribución (CD)</w:t>
      </w:r>
    </w:p>
    <w:p w:rsidR="00277ED2" w:rsidRPr="00611019" w:rsidRDefault="00E56462" w:rsidP="00F56183">
      <w:pPr>
        <w:pStyle w:val="Prrafodelista"/>
        <w:numPr>
          <w:ilvl w:val="0"/>
          <w:numId w:val="37"/>
        </w:numPr>
        <w:spacing w:after="6pt"/>
        <w:jc w:val="both"/>
        <w:rPr>
          <w:rFonts w:ascii="Century Gothic" w:hAnsi="Century Gothic" w:cs="Arial"/>
        </w:rPr>
      </w:pPr>
      <w:r>
        <w:rPr>
          <w:rFonts w:ascii="Century Gothic" w:hAnsi="Century Gothic" w:cs="Arial"/>
        </w:rPr>
        <w:t>Nombre de la Central Telefónica o Instalación Equivalente.</w:t>
      </w:r>
    </w:p>
    <w:p w:rsidR="00277ED2" w:rsidRPr="00611019" w:rsidRDefault="00E56462" w:rsidP="00F56183">
      <w:pPr>
        <w:pStyle w:val="Prrafodelista"/>
        <w:numPr>
          <w:ilvl w:val="0"/>
          <w:numId w:val="37"/>
        </w:numPr>
        <w:spacing w:after="6pt"/>
        <w:jc w:val="both"/>
        <w:rPr>
          <w:rFonts w:ascii="Century Gothic" w:hAnsi="Century Gothic" w:cs="Arial"/>
        </w:rPr>
      </w:pPr>
      <w:r>
        <w:rPr>
          <w:rFonts w:ascii="Century Gothic" w:hAnsi="Century Gothic" w:cs="Arial"/>
        </w:rPr>
        <w:t>Siglas de la Central Telefónica o Instalación Equivalente.</w:t>
      </w:r>
    </w:p>
    <w:p w:rsidR="00277ED2" w:rsidRPr="00611019" w:rsidRDefault="00E56462" w:rsidP="00F56183">
      <w:pPr>
        <w:pStyle w:val="Prrafodelista"/>
        <w:numPr>
          <w:ilvl w:val="0"/>
          <w:numId w:val="37"/>
        </w:numPr>
        <w:spacing w:after="6pt"/>
        <w:jc w:val="both"/>
        <w:rPr>
          <w:rFonts w:ascii="Century Gothic" w:hAnsi="Century Gothic" w:cs="Arial"/>
        </w:rPr>
      </w:pPr>
      <w:r>
        <w:rPr>
          <w:rFonts w:ascii="Century Gothic" w:hAnsi="Century Gothic" w:cs="Arial"/>
        </w:rPr>
        <w:t>Código identificador de la Central Telefónica o Instalación Equivalente (CLLI).</w:t>
      </w:r>
    </w:p>
    <w:p w:rsidR="00277ED2" w:rsidRPr="00611019" w:rsidRDefault="00E56462" w:rsidP="00F56183">
      <w:pPr>
        <w:pStyle w:val="Prrafodelista"/>
        <w:numPr>
          <w:ilvl w:val="0"/>
          <w:numId w:val="37"/>
        </w:numPr>
        <w:spacing w:after="6pt"/>
        <w:jc w:val="both"/>
        <w:rPr>
          <w:rFonts w:ascii="Century Gothic" w:hAnsi="Century Gothic" w:cs="Arial"/>
        </w:rPr>
      </w:pPr>
      <w:r>
        <w:rPr>
          <w:rFonts w:ascii="Century Gothic" w:hAnsi="Century Gothic" w:cs="Arial"/>
        </w:rPr>
        <w:t>Código identificador de Caja de Distribución (Distrito).</w:t>
      </w:r>
    </w:p>
    <w:p w:rsidR="00277ED2" w:rsidRPr="00611019" w:rsidRDefault="00E56462" w:rsidP="00F56183">
      <w:pPr>
        <w:pStyle w:val="Prrafodelista"/>
        <w:numPr>
          <w:ilvl w:val="0"/>
          <w:numId w:val="37"/>
        </w:numPr>
        <w:spacing w:after="6pt"/>
        <w:jc w:val="both"/>
        <w:rPr>
          <w:rFonts w:ascii="Century Gothic" w:hAnsi="Century Gothic" w:cs="Arial"/>
        </w:rPr>
      </w:pPr>
      <w:r>
        <w:rPr>
          <w:rFonts w:ascii="Century Gothic" w:hAnsi="Century Gothic" w:cs="Arial"/>
        </w:rPr>
        <w:t>Ubicación de Cajas de Distribución (latitud, longitud, Estado, Municipio, Localidad, Colonia, Calle)</w:t>
      </w:r>
    </w:p>
    <w:p w:rsidR="00277ED2" w:rsidRPr="00611019" w:rsidRDefault="00E56462" w:rsidP="00F56183">
      <w:pPr>
        <w:pStyle w:val="Prrafodelista"/>
        <w:numPr>
          <w:ilvl w:val="0"/>
          <w:numId w:val="37"/>
        </w:numPr>
        <w:spacing w:after="6pt"/>
        <w:jc w:val="both"/>
        <w:rPr>
          <w:rFonts w:ascii="Century Gothic" w:hAnsi="Century Gothic" w:cs="Arial"/>
        </w:rPr>
      </w:pPr>
      <w:r>
        <w:rPr>
          <w:rFonts w:ascii="Century Gothic" w:hAnsi="Century Gothic" w:cs="Arial"/>
        </w:rPr>
        <w:t>Número de pares Instalados en cada CD.</w:t>
      </w:r>
    </w:p>
    <w:p w:rsidR="00277ED2" w:rsidRPr="00611019" w:rsidRDefault="00E56462" w:rsidP="00F56183">
      <w:pPr>
        <w:pStyle w:val="Prrafodelista"/>
        <w:numPr>
          <w:ilvl w:val="0"/>
          <w:numId w:val="37"/>
        </w:numPr>
        <w:spacing w:after="6pt"/>
        <w:jc w:val="both"/>
        <w:rPr>
          <w:rFonts w:ascii="Century Gothic" w:hAnsi="Century Gothic" w:cs="Arial"/>
        </w:rPr>
      </w:pPr>
      <w:r>
        <w:rPr>
          <w:rFonts w:ascii="Century Gothic" w:hAnsi="Century Gothic" w:cs="Arial"/>
        </w:rPr>
        <w:t>Número de pares No Disponibles en cada CD.</w:t>
      </w:r>
    </w:p>
    <w:p w:rsidR="00277ED2" w:rsidRPr="00611019" w:rsidRDefault="00E56462" w:rsidP="00F56183">
      <w:pPr>
        <w:pStyle w:val="IFTnormal"/>
        <w:numPr>
          <w:ilvl w:val="0"/>
          <w:numId w:val="37"/>
        </w:numPr>
        <w:spacing w:after="6pt"/>
        <w:rPr>
          <w:rFonts w:ascii="Century Gothic" w:hAnsi="Century Gothic"/>
        </w:rPr>
      </w:pPr>
      <w:r>
        <w:rPr>
          <w:rFonts w:ascii="Century Gothic" w:hAnsi="Century Gothic"/>
        </w:rPr>
        <w:lastRenderedPageBreak/>
        <w:t>Número de pares disponibles en cada unidad básica (esta información será proporcionada cuando RED NACIONAL actualice la información de acuerdo con sus propias operaciones).</w:t>
      </w:r>
    </w:p>
    <w:p w:rsidR="00277ED2" w:rsidRPr="00611019" w:rsidRDefault="00E56462" w:rsidP="00F56183">
      <w:pPr>
        <w:pStyle w:val="IFTnormal"/>
        <w:numPr>
          <w:ilvl w:val="0"/>
          <w:numId w:val="37"/>
        </w:numPr>
        <w:spacing w:after="6pt"/>
        <w:rPr>
          <w:rFonts w:ascii="Century Gothic" w:hAnsi="Century Gothic"/>
        </w:rPr>
      </w:pPr>
      <w:r>
        <w:rPr>
          <w:rFonts w:ascii="Century Gothic" w:hAnsi="Century Gothic"/>
        </w:rPr>
        <w:t>Indicar si las Cajas de Distribución están asociadas a una TBA, mini DSLAM o equipo de acceso.</w:t>
      </w:r>
    </w:p>
    <w:p w:rsidR="00277ED2" w:rsidRPr="00611019" w:rsidRDefault="00E56462" w:rsidP="00F56183">
      <w:pPr>
        <w:pStyle w:val="CondicionesFinales"/>
        <w:numPr>
          <w:ilvl w:val="0"/>
          <w:numId w:val="37"/>
        </w:numPr>
        <w:spacing w:after="6pt"/>
        <w:ind w:end="0pt"/>
        <w:rPr>
          <w:rFonts w:ascii="Century Gothic" w:hAnsi="Century Gothic"/>
          <w:color w:val="auto"/>
          <w:lang w:val="es-MX"/>
        </w:rPr>
      </w:pPr>
      <w:r>
        <w:rPr>
          <w:rFonts w:ascii="Century Gothic" w:hAnsi="Century Gothic"/>
          <w:color w:val="auto"/>
          <w:lang w:val="es-MX"/>
        </w:rPr>
        <w:t>Código identificador de TBA, mini DSLAM o equipo de acceso asociado a la Caja de Distribución.</w:t>
      </w:r>
    </w:p>
    <w:p w:rsidR="00277ED2" w:rsidRPr="00611019" w:rsidRDefault="00E56462" w:rsidP="00F56183">
      <w:pPr>
        <w:pStyle w:val="CondicionesFinales"/>
        <w:numPr>
          <w:ilvl w:val="0"/>
          <w:numId w:val="37"/>
        </w:numPr>
        <w:spacing w:after="6pt"/>
        <w:ind w:end="0pt"/>
        <w:rPr>
          <w:rFonts w:ascii="Century Gothic" w:hAnsi="Century Gothic"/>
          <w:color w:val="auto"/>
          <w:lang w:val="es-MX"/>
        </w:rPr>
      </w:pPr>
      <w:r>
        <w:rPr>
          <w:rFonts w:ascii="Century Gothic" w:hAnsi="Century Gothic"/>
          <w:color w:val="auto"/>
          <w:lang w:val="es-MX"/>
        </w:rPr>
        <w:t>Archivo de representación vectorial de las vialidades asociadas y las calles, así como las colonias, atendidas por cada Caja de Distribución en un formato compatible con los sistemas de información geográfica.</w:t>
      </w:r>
    </w:p>
    <w:p w:rsidR="00277ED2" w:rsidRPr="00611019" w:rsidRDefault="00E56462" w:rsidP="00035D2C">
      <w:pPr>
        <w:spacing w:after="6pt"/>
        <w:jc w:val="both"/>
        <w:rPr>
          <w:rFonts w:ascii="Century Gothic" w:hAnsi="Century Gothic" w:cs="Arial"/>
          <w:u w:val="single"/>
        </w:rPr>
      </w:pPr>
      <w:r>
        <w:rPr>
          <w:rFonts w:ascii="Century Gothic" w:hAnsi="Century Gothic" w:cs="Arial"/>
          <w:u w:val="single"/>
        </w:rPr>
        <w:t>BASE 3: Área atendida por cobre</w:t>
      </w:r>
    </w:p>
    <w:p w:rsidR="00277ED2" w:rsidRPr="00611019" w:rsidRDefault="00E56462" w:rsidP="00F56183">
      <w:pPr>
        <w:pStyle w:val="Prrafodelista"/>
        <w:numPr>
          <w:ilvl w:val="0"/>
          <w:numId w:val="38"/>
        </w:numPr>
        <w:spacing w:after="6pt"/>
        <w:jc w:val="both"/>
        <w:rPr>
          <w:rFonts w:ascii="Century Gothic" w:hAnsi="Century Gothic" w:cs="Arial"/>
        </w:rPr>
      </w:pPr>
      <w:r>
        <w:rPr>
          <w:rFonts w:ascii="Century Gothic" w:hAnsi="Century Gothic" w:cs="Arial"/>
        </w:rPr>
        <w:t>Nombre de la Central Telefónica o Instalación Equivalente.</w:t>
      </w:r>
    </w:p>
    <w:p w:rsidR="00277ED2" w:rsidRPr="00611019" w:rsidRDefault="00E56462" w:rsidP="00F56183">
      <w:pPr>
        <w:pStyle w:val="Prrafodelista"/>
        <w:numPr>
          <w:ilvl w:val="0"/>
          <w:numId w:val="38"/>
        </w:numPr>
        <w:spacing w:after="6pt"/>
        <w:jc w:val="both"/>
        <w:rPr>
          <w:rFonts w:ascii="Century Gothic" w:hAnsi="Century Gothic" w:cs="Arial"/>
        </w:rPr>
      </w:pPr>
      <w:r>
        <w:rPr>
          <w:rFonts w:ascii="Century Gothic" w:hAnsi="Century Gothic" w:cs="Arial"/>
        </w:rPr>
        <w:t>Siglas de la Central Telefónica o Instalación Equivalente.</w:t>
      </w:r>
    </w:p>
    <w:p w:rsidR="00277ED2" w:rsidRPr="00611019" w:rsidRDefault="00E56462" w:rsidP="00F56183">
      <w:pPr>
        <w:pStyle w:val="Prrafodelista"/>
        <w:numPr>
          <w:ilvl w:val="0"/>
          <w:numId w:val="38"/>
        </w:numPr>
        <w:spacing w:after="6pt"/>
        <w:jc w:val="both"/>
        <w:rPr>
          <w:rFonts w:ascii="Century Gothic" w:hAnsi="Century Gothic" w:cs="Arial"/>
        </w:rPr>
      </w:pPr>
      <w:r>
        <w:rPr>
          <w:rFonts w:ascii="Century Gothic" w:hAnsi="Century Gothic" w:cs="Arial"/>
        </w:rPr>
        <w:t>Código identificador de la Central Telefónica o Instalación Equivalente (CLLI).</w:t>
      </w:r>
    </w:p>
    <w:p w:rsidR="00277ED2" w:rsidRPr="00611019" w:rsidRDefault="00E56462" w:rsidP="00F56183">
      <w:pPr>
        <w:pStyle w:val="Prrafodelista"/>
        <w:numPr>
          <w:ilvl w:val="0"/>
          <w:numId w:val="38"/>
        </w:numPr>
        <w:spacing w:after="6pt"/>
        <w:jc w:val="both"/>
        <w:rPr>
          <w:rFonts w:ascii="Century Gothic" w:hAnsi="Century Gothic" w:cs="Arial"/>
        </w:rPr>
      </w:pPr>
      <w:r>
        <w:rPr>
          <w:rFonts w:ascii="Century Gothic" w:hAnsi="Century Gothic" w:cs="Arial"/>
        </w:rPr>
        <w:t>Polígono vectorial de la zona de cobertura en formato compatible con los sistemas de información geográfica.</w:t>
      </w:r>
    </w:p>
    <w:p w:rsidR="00277ED2" w:rsidRPr="00611019" w:rsidRDefault="00E56462" w:rsidP="00F56183">
      <w:pPr>
        <w:pStyle w:val="Prrafodelista"/>
        <w:numPr>
          <w:ilvl w:val="0"/>
          <w:numId w:val="38"/>
        </w:numPr>
        <w:spacing w:after="6pt"/>
        <w:jc w:val="both"/>
        <w:rPr>
          <w:rFonts w:ascii="Century Gothic" w:hAnsi="Century Gothic" w:cs="Arial"/>
        </w:rPr>
      </w:pPr>
      <w:r>
        <w:rPr>
          <w:rFonts w:ascii="Century Gothic" w:hAnsi="Century Gothic" w:cs="Arial"/>
        </w:rPr>
        <w:t xml:space="preserve">Archivo de representación vectorial de las vialidades asociadas en un formato compatible con los sistemas de información geográfica. </w:t>
      </w:r>
    </w:p>
    <w:p w:rsidR="00277ED2" w:rsidRPr="00611019" w:rsidRDefault="00E56462" w:rsidP="00F56183">
      <w:pPr>
        <w:pStyle w:val="Prrafodelista"/>
        <w:numPr>
          <w:ilvl w:val="0"/>
          <w:numId w:val="38"/>
        </w:numPr>
        <w:spacing w:after="6pt"/>
        <w:jc w:val="both"/>
        <w:rPr>
          <w:rFonts w:ascii="Century Gothic" w:hAnsi="Century Gothic" w:cs="Arial"/>
        </w:rPr>
      </w:pPr>
      <w:r>
        <w:rPr>
          <w:rFonts w:ascii="Century Gothic" w:hAnsi="Century Gothic" w:cs="Arial"/>
        </w:rPr>
        <w:t>Colonias atendidas por cada Central Telefónica o Instalación Equivalente asociadas a despliegue de cobre.</w:t>
      </w:r>
    </w:p>
    <w:p w:rsidR="001040CD" w:rsidRPr="00611019" w:rsidRDefault="001040CD" w:rsidP="00035D2C">
      <w:pPr>
        <w:spacing w:after="6pt"/>
        <w:ind w:start="35.70pt" w:hanging="17.85pt"/>
        <w:jc w:val="both"/>
        <w:rPr>
          <w:rFonts w:ascii="Century Gothic" w:hAnsi="Century Gothic" w:cs="Arial"/>
        </w:rPr>
      </w:pPr>
    </w:p>
    <w:p w:rsidR="00277ED2" w:rsidRPr="00611019" w:rsidRDefault="00E56462" w:rsidP="00035D2C">
      <w:pPr>
        <w:spacing w:after="6pt"/>
        <w:jc w:val="both"/>
        <w:rPr>
          <w:rFonts w:ascii="Century Gothic" w:hAnsi="Century Gothic" w:cs="Arial"/>
          <w:u w:val="single"/>
        </w:rPr>
      </w:pPr>
      <w:r>
        <w:rPr>
          <w:rFonts w:ascii="Century Gothic" w:hAnsi="Century Gothic" w:cs="Arial"/>
          <w:u w:val="single"/>
        </w:rPr>
        <w:t>BASE 4: Área atendida por fibra óptica</w:t>
      </w:r>
    </w:p>
    <w:p w:rsidR="00277ED2" w:rsidRPr="00611019" w:rsidRDefault="00E56462" w:rsidP="00F56183">
      <w:pPr>
        <w:pStyle w:val="Prrafodelista"/>
        <w:numPr>
          <w:ilvl w:val="0"/>
          <w:numId w:val="39"/>
        </w:numPr>
        <w:spacing w:after="6pt"/>
        <w:jc w:val="both"/>
        <w:rPr>
          <w:rFonts w:ascii="Century Gothic" w:hAnsi="Century Gothic" w:cs="Arial"/>
        </w:rPr>
      </w:pPr>
      <w:bookmarkStart w:id="981" w:name="_Hlk83668824"/>
      <w:r>
        <w:rPr>
          <w:rFonts w:ascii="Century Gothic" w:hAnsi="Century Gothic" w:cs="Arial"/>
        </w:rPr>
        <w:t xml:space="preserve">Polígono vectorial de la zona de cobertura en formato compatible con los sistemas de información geográfica. </w:t>
      </w:r>
    </w:p>
    <w:bookmarkEnd w:id="981"/>
    <w:p w:rsidR="00277ED2" w:rsidRPr="00611019" w:rsidRDefault="00E56462" w:rsidP="00F56183">
      <w:pPr>
        <w:pStyle w:val="Prrafodelista"/>
        <w:numPr>
          <w:ilvl w:val="0"/>
          <w:numId w:val="39"/>
        </w:numPr>
        <w:spacing w:after="6pt"/>
        <w:jc w:val="both"/>
        <w:rPr>
          <w:rFonts w:ascii="Century Gothic" w:hAnsi="Century Gothic" w:cs="Arial"/>
        </w:rPr>
      </w:pPr>
      <w:r>
        <w:rPr>
          <w:rFonts w:ascii="Century Gothic" w:hAnsi="Century Gothic" w:cs="Arial"/>
        </w:rPr>
        <w:t xml:space="preserve">Archivo de representación vectorial de las vialidades asociadas en formato compatible con los sistemas de información geográfica. </w:t>
      </w:r>
    </w:p>
    <w:p w:rsidR="00211C43" w:rsidRPr="00611019" w:rsidRDefault="00211C43" w:rsidP="00035D2C">
      <w:pPr>
        <w:pStyle w:val="Prrafodelista"/>
        <w:spacing w:after="6pt"/>
        <w:ind w:start="36pt"/>
        <w:contextualSpacing w:val="0"/>
        <w:jc w:val="both"/>
        <w:rPr>
          <w:rFonts w:ascii="Century Gothic" w:hAnsi="Century Gothic" w:cs="Arial"/>
        </w:rPr>
      </w:pPr>
    </w:p>
    <w:p w:rsidR="00277ED2" w:rsidRPr="00611019" w:rsidRDefault="00E56462" w:rsidP="00035D2C">
      <w:pPr>
        <w:keepNext/>
        <w:spacing w:after="6pt"/>
        <w:jc w:val="both"/>
        <w:rPr>
          <w:rFonts w:ascii="Century Gothic" w:hAnsi="Century Gothic" w:cs="Arial"/>
        </w:rPr>
      </w:pPr>
      <w:r>
        <w:rPr>
          <w:rFonts w:ascii="Century Gothic" w:hAnsi="Century Gothic" w:cs="Arial"/>
          <w:u w:val="single"/>
        </w:rPr>
        <w:t>BASE 5: Unidades básicas</w:t>
      </w:r>
      <w:r>
        <w:rPr>
          <w:rFonts w:ascii="Century Gothic" w:hAnsi="Century Gothic" w:cs="Arial"/>
        </w:rPr>
        <w:t xml:space="preserve"> </w:t>
      </w:r>
    </w:p>
    <w:p w:rsidR="00277ED2" w:rsidRPr="00611019" w:rsidRDefault="00E56462" w:rsidP="00F56183">
      <w:pPr>
        <w:pStyle w:val="Prrafodelista"/>
        <w:numPr>
          <w:ilvl w:val="0"/>
          <w:numId w:val="40"/>
        </w:numPr>
        <w:spacing w:after="6pt"/>
        <w:jc w:val="both"/>
        <w:rPr>
          <w:rFonts w:ascii="Century Gothic" w:hAnsi="Century Gothic" w:cs="Arial"/>
        </w:rPr>
      </w:pPr>
      <w:r>
        <w:rPr>
          <w:rFonts w:ascii="Century Gothic" w:hAnsi="Century Gothic" w:cs="Arial"/>
        </w:rPr>
        <w:t>Nombre de la Central Telefónica o Instalación Equivalente.</w:t>
      </w:r>
    </w:p>
    <w:p w:rsidR="00277ED2" w:rsidRPr="00611019" w:rsidRDefault="00E56462" w:rsidP="00F56183">
      <w:pPr>
        <w:pStyle w:val="Prrafodelista"/>
        <w:numPr>
          <w:ilvl w:val="0"/>
          <w:numId w:val="40"/>
        </w:numPr>
        <w:spacing w:after="6pt"/>
        <w:jc w:val="both"/>
        <w:rPr>
          <w:rFonts w:ascii="Century Gothic" w:hAnsi="Century Gothic" w:cs="Arial"/>
        </w:rPr>
      </w:pPr>
      <w:r>
        <w:rPr>
          <w:rFonts w:ascii="Century Gothic" w:hAnsi="Century Gothic" w:cs="Arial"/>
        </w:rPr>
        <w:t>Siglas de la Central Telefónica o Instalación Equivalente.</w:t>
      </w:r>
    </w:p>
    <w:p w:rsidR="00277ED2" w:rsidRPr="00611019" w:rsidRDefault="00E56462" w:rsidP="00F56183">
      <w:pPr>
        <w:pStyle w:val="Prrafodelista"/>
        <w:numPr>
          <w:ilvl w:val="0"/>
          <w:numId w:val="40"/>
        </w:numPr>
        <w:spacing w:after="6pt"/>
        <w:jc w:val="both"/>
        <w:rPr>
          <w:rFonts w:ascii="Century Gothic" w:hAnsi="Century Gothic" w:cs="Arial"/>
        </w:rPr>
      </w:pPr>
      <w:r>
        <w:rPr>
          <w:rFonts w:ascii="Century Gothic" w:hAnsi="Century Gothic" w:cs="Arial"/>
        </w:rPr>
        <w:t>Código identificador de la Central Telefónica o Instalación Equivalente (CLLI).</w:t>
      </w:r>
    </w:p>
    <w:p w:rsidR="00277ED2" w:rsidRPr="00611019" w:rsidRDefault="00E56462" w:rsidP="00F56183">
      <w:pPr>
        <w:pStyle w:val="Prrafodelista"/>
        <w:numPr>
          <w:ilvl w:val="0"/>
          <w:numId w:val="40"/>
        </w:numPr>
        <w:spacing w:after="6pt"/>
        <w:jc w:val="both"/>
        <w:rPr>
          <w:rFonts w:ascii="Century Gothic" w:hAnsi="Century Gothic" w:cs="Arial"/>
        </w:rPr>
      </w:pPr>
      <w:r>
        <w:rPr>
          <w:rFonts w:ascii="Century Gothic" w:hAnsi="Century Gothic" w:cs="Arial"/>
        </w:rPr>
        <w:t>Código identificador de cada unidad básica.</w:t>
      </w:r>
    </w:p>
    <w:p w:rsidR="00277ED2" w:rsidRPr="00611019" w:rsidRDefault="00E56462" w:rsidP="00F56183">
      <w:pPr>
        <w:pStyle w:val="Prrafodelista"/>
        <w:numPr>
          <w:ilvl w:val="0"/>
          <w:numId w:val="40"/>
        </w:numPr>
        <w:spacing w:after="6pt"/>
        <w:jc w:val="both"/>
        <w:rPr>
          <w:rFonts w:ascii="Century Gothic" w:hAnsi="Century Gothic" w:cs="Arial"/>
        </w:rPr>
      </w:pPr>
      <w:r>
        <w:rPr>
          <w:rFonts w:ascii="Century Gothic" w:hAnsi="Century Gothic" w:cs="Arial"/>
        </w:rPr>
        <w:t>Tipo de unidad básica (10 pares/50 pares).</w:t>
      </w:r>
    </w:p>
    <w:p w:rsidR="00277ED2" w:rsidRPr="00611019" w:rsidRDefault="00E56462" w:rsidP="00F56183">
      <w:pPr>
        <w:pStyle w:val="CondicionesFinales"/>
        <w:numPr>
          <w:ilvl w:val="0"/>
          <w:numId w:val="40"/>
        </w:numPr>
        <w:spacing w:after="6pt"/>
        <w:ind w:end="0pt"/>
        <w:rPr>
          <w:rFonts w:ascii="Century Gothic" w:hAnsi="Century Gothic"/>
          <w:color w:val="auto"/>
          <w:lang w:val="es-MX"/>
        </w:rPr>
      </w:pPr>
      <w:r>
        <w:rPr>
          <w:rFonts w:ascii="Century Gothic" w:hAnsi="Century Gothic"/>
          <w:color w:val="auto"/>
          <w:lang w:val="es-MX"/>
        </w:rPr>
        <w:t>Tipo de equipo de acceso asociado a la unidad básica (relacionable con la lista de especificaciones).</w:t>
      </w:r>
    </w:p>
    <w:p w:rsidR="00277ED2" w:rsidRPr="00611019" w:rsidRDefault="00E56462" w:rsidP="00F56183">
      <w:pPr>
        <w:pStyle w:val="Prrafodelista"/>
        <w:numPr>
          <w:ilvl w:val="0"/>
          <w:numId w:val="40"/>
        </w:numPr>
        <w:spacing w:after="6pt"/>
        <w:jc w:val="both"/>
        <w:rPr>
          <w:rFonts w:ascii="Century Gothic" w:hAnsi="Century Gothic" w:cs="Arial"/>
        </w:rPr>
      </w:pPr>
      <w:r>
        <w:rPr>
          <w:rFonts w:ascii="Century Gothic" w:hAnsi="Century Gothic" w:cs="Arial"/>
        </w:rPr>
        <w:t>Tecnología de acceso (ADSL, ADSL2, ADSL2+, VDSL, VDSL2, entre otras) asociados a la unidad básica.</w:t>
      </w:r>
    </w:p>
    <w:p w:rsidR="00277ED2" w:rsidRPr="00611019" w:rsidRDefault="00E56462" w:rsidP="00F56183">
      <w:pPr>
        <w:pStyle w:val="Prrafodelista"/>
        <w:numPr>
          <w:ilvl w:val="0"/>
          <w:numId w:val="40"/>
        </w:numPr>
        <w:spacing w:after="6pt"/>
        <w:jc w:val="both"/>
        <w:rPr>
          <w:rFonts w:ascii="Century Gothic" w:hAnsi="Century Gothic" w:cs="Arial"/>
        </w:rPr>
      </w:pPr>
      <w:r>
        <w:rPr>
          <w:rFonts w:ascii="Century Gothic" w:hAnsi="Century Gothic" w:cs="Arial"/>
        </w:rPr>
        <w:lastRenderedPageBreak/>
        <w:t xml:space="preserve">Lista con las especificaciones de los tipos de equipos de acceso en la red de cobre (consultables en el SEG/SIPO). </w:t>
      </w:r>
    </w:p>
    <w:p w:rsidR="00EA7E5E" w:rsidRPr="00611019" w:rsidRDefault="00EA7E5E" w:rsidP="00035D2C">
      <w:pPr>
        <w:pStyle w:val="Prrafodelista"/>
        <w:spacing w:after="6pt"/>
        <w:ind w:start="39.25pt"/>
        <w:jc w:val="both"/>
        <w:rPr>
          <w:rFonts w:ascii="Century Gothic" w:hAnsi="Century Gothic" w:cs="Arial"/>
        </w:rPr>
      </w:pPr>
    </w:p>
    <w:p w:rsidR="00EA7E5E" w:rsidRPr="00611019" w:rsidRDefault="00E56462" w:rsidP="00035D2C">
      <w:pPr>
        <w:keepNext/>
        <w:spacing w:after="6pt"/>
        <w:jc w:val="both"/>
        <w:rPr>
          <w:rFonts w:ascii="Century Gothic" w:hAnsi="Century Gothic" w:cs="Arial"/>
          <w:u w:val="single"/>
        </w:rPr>
      </w:pPr>
      <w:r>
        <w:rPr>
          <w:rFonts w:ascii="Century Gothic" w:hAnsi="Century Gothic" w:cs="Arial"/>
          <w:u w:val="single"/>
        </w:rPr>
        <w:t>BASE 5 bis: Unidades básicas</w:t>
      </w:r>
      <w:r>
        <w:rPr>
          <w:rFonts w:ascii="Century Gothic" w:eastAsia="Calibri" w:hAnsi="Century Gothic" w:cs="Arial"/>
          <w:u w:val="single"/>
        </w:rPr>
        <w:t>; lista de equipos IPDSLAM en distritos de cobre</w:t>
      </w:r>
    </w:p>
    <w:p w:rsidR="00EA7E5E" w:rsidRPr="00611019" w:rsidRDefault="00E56462" w:rsidP="00035D2C">
      <w:pPr>
        <w:pStyle w:val="Prrafodelista"/>
        <w:numPr>
          <w:ilvl w:val="0"/>
          <w:numId w:val="40"/>
        </w:numPr>
        <w:spacing w:after="6pt"/>
        <w:jc w:val="both"/>
        <w:rPr>
          <w:rFonts w:ascii="Century Gothic" w:hAnsi="Century Gothic" w:cs="Arial"/>
        </w:rPr>
      </w:pPr>
      <w:r>
        <w:rPr>
          <w:rFonts w:ascii="Century Gothic" w:hAnsi="Century Gothic" w:cs="Arial"/>
        </w:rPr>
        <w:t>Código identificador de la Central Telefónica o Instalación Equivalente (CLLI) que puede atender a la terminal.</w:t>
      </w:r>
    </w:p>
    <w:p w:rsidR="00EA7E5E" w:rsidRPr="00611019" w:rsidRDefault="00E56462" w:rsidP="00035D2C">
      <w:pPr>
        <w:pStyle w:val="Prrafodelista"/>
        <w:numPr>
          <w:ilvl w:val="0"/>
          <w:numId w:val="40"/>
        </w:numPr>
        <w:spacing w:after="6pt"/>
        <w:jc w:val="both"/>
        <w:rPr>
          <w:rFonts w:ascii="Century Gothic" w:hAnsi="Century Gothic" w:cs="Arial"/>
        </w:rPr>
      </w:pPr>
      <w:r>
        <w:rPr>
          <w:rFonts w:ascii="Century Gothic" w:hAnsi="Century Gothic" w:cs="Arial"/>
        </w:rPr>
        <w:t>Código identificador del equipo de acceso DSLAM que atiende el distrito relacionado con la terminal.</w:t>
      </w:r>
    </w:p>
    <w:p w:rsidR="00EA7E5E" w:rsidRPr="00611019" w:rsidRDefault="00E56462" w:rsidP="00035D2C">
      <w:pPr>
        <w:pStyle w:val="Prrafodelista"/>
        <w:numPr>
          <w:ilvl w:val="0"/>
          <w:numId w:val="40"/>
        </w:numPr>
        <w:spacing w:after="6pt"/>
        <w:jc w:val="both"/>
        <w:rPr>
          <w:rFonts w:ascii="Century Gothic" w:hAnsi="Century Gothic" w:cs="Arial"/>
        </w:rPr>
      </w:pPr>
      <w:r>
        <w:rPr>
          <w:rFonts w:ascii="Century Gothic" w:hAnsi="Century Gothic" w:cs="Arial"/>
        </w:rPr>
        <w:t>Marca/fabricante, modelo del equipo de acceso DSLAM.</w:t>
      </w:r>
    </w:p>
    <w:p w:rsidR="00EA7E5E" w:rsidRPr="00611019" w:rsidRDefault="00E56462" w:rsidP="00035D2C">
      <w:pPr>
        <w:pStyle w:val="Prrafodelista"/>
        <w:numPr>
          <w:ilvl w:val="0"/>
          <w:numId w:val="40"/>
        </w:numPr>
        <w:spacing w:after="6pt"/>
        <w:jc w:val="both"/>
        <w:rPr>
          <w:rFonts w:ascii="Century Gothic" w:hAnsi="Century Gothic" w:cs="Arial"/>
        </w:rPr>
      </w:pPr>
      <w:r>
        <w:rPr>
          <w:rFonts w:ascii="Century Gothic" w:hAnsi="Century Gothic" w:cs="Arial"/>
        </w:rPr>
        <w:t>Código Identificador del Nodo de Conexión de Acceso Indirecto (NCAI) asociado al equipo de acceso DSLAM.</w:t>
      </w:r>
    </w:p>
    <w:p w:rsidR="00EA7E5E" w:rsidRPr="00611019" w:rsidRDefault="00E56462" w:rsidP="00035D2C">
      <w:pPr>
        <w:pStyle w:val="Prrafodelista"/>
        <w:numPr>
          <w:ilvl w:val="0"/>
          <w:numId w:val="40"/>
        </w:numPr>
        <w:spacing w:after="6pt"/>
        <w:jc w:val="both"/>
        <w:rPr>
          <w:rFonts w:ascii="Century Gothic" w:hAnsi="Century Gothic" w:cs="Arial"/>
        </w:rPr>
      </w:pPr>
      <w:r>
        <w:rPr>
          <w:rFonts w:ascii="Century Gothic" w:hAnsi="Century Gothic" w:cs="Arial"/>
        </w:rPr>
        <w:t>Código Identificador de NCAI Regionales que atienden el distrito correspondiente.</w:t>
      </w:r>
    </w:p>
    <w:p w:rsidR="00EA7E5E" w:rsidRPr="00611019" w:rsidRDefault="00E56462" w:rsidP="00035D2C">
      <w:pPr>
        <w:pStyle w:val="Prrafodelista"/>
        <w:numPr>
          <w:ilvl w:val="0"/>
          <w:numId w:val="40"/>
        </w:numPr>
        <w:spacing w:after="6pt"/>
        <w:jc w:val="both"/>
        <w:rPr>
          <w:rFonts w:ascii="Century Gothic" w:hAnsi="Century Gothic" w:cs="Arial"/>
        </w:rPr>
      </w:pPr>
      <w:r>
        <w:rPr>
          <w:rFonts w:ascii="Century Gothic" w:hAnsi="Century Gothic" w:cs="Arial"/>
        </w:rPr>
        <w:t>Código Identificador de NCAI Nacionales que atienden el distrito correspondiente.</w:t>
      </w:r>
    </w:p>
    <w:p w:rsidR="00EA7E5E" w:rsidRPr="00611019" w:rsidRDefault="00E56462" w:rsidP="00035D2C">
      <w:pPr>
        <w:pStyle w:val="Prrafodelista"/>
        <w:numPr>
          <w:ilvl w:val="0"/>
          <w:numId w:val="40"/>
        </w:numPr>
        <w:spacing w:after="6pt"/>
        <w:jc w:val="both"/>
        <w:rPr>
          <w:rFonts w:ascii="Century Gothic" w:hAnsi="Century Gothic" w:cs="Arial"/>
        </w:rPr>
      </w:pPr>
      <w:r>
        <w:rPr>
          <w:rFonts w:ascii="Century Gothic" w:hAnsi="Century Gothic" w:cs="Arial"/>
        </w:rPr>
        <w:t>Tipo de Punto de Concentración (Local, Regional, Nacional y No NCAI).</w:t>
      </w:r>
    </w:p>
    <w:p w:rsidR="00EA7E5E" w:rsidRPr="00611019" w:rsidRDefault="00EA7E5E" w:rsidP="00035D2C">
      <w:pPr>
        <w:pStyle w:val="Prrafodelista"/>
        <w:spacing w:after="6pt"/>
        <w:ind w:start="39.25pt"/>
        <w:jc w:val="both"/>
        <w:rPr>
          <w:rFonts w:ascii="Century Gothic" w:hAnsi="Century Gothic" w:cs="Arial"/>
        </w:rPr>
      </w:pPr>
    </w:p>
    <w:p w:rsidR="00EA7E5E" w:rsidRPr="00611019" w:rsidRDefault="00E56462" w:rsidP="00035D2C">
      <w:pPr>
        <w:spacing w:after="6pt"/>
        <w:jc w:val="both"/>
        <w:rPr>
          <w:rFonts w:ascii="Century Gothic" w:hAnsi="Century Gothic" w:cs="Arial"/>
          <w:u w:val="single"/>
        </w:rPr>
      </w:pPr>
      <w:r>
        <w:rPr>
          <w:rFonts w:ascii="Century Gothic" w:hAnsi="Century Gothic" w:cs="Arial"/>
          <w:u w:val="single"/>
        </w:rPr>
        <w:t>BASE 5 ter: Lista de equipos OLT en distritos de fibra óptica</w:t>
      </w:r>
    </w:p>
    <w:p w:rsidR="00EA7E5E" w:rsidRPr="00611019" w:rsidRDefault="00E56462">
      <w:pPr>
        <w:pStyle w:val="Prrafodelista"/>
        <w:numPr>
          <w:ilvl w:val="0"/>
          <w:numId w:val="203"/>
        </w:numPr>
        <w:spacing w:after="6pt"/>
        <w:jc w:val="both"/>
        <w:rPr>
          <w:rFonts w:ascii="Century Gothic" w:hAnsi="Century Gothic" w:cs="Arial"/>
        </w:rPr>
      </w:pPr>
      <w:r>
        <w:rPr>
          <w:rFonts w:ascii="Century Gothic" w:hAnsi="Century Gothic" w:cs="Arial"/>
        </w:rPr>
        <w:t>Código Identificador de la Central Telefónica o Instalación Equivalente (CLLI) que puede atender a la terminal óptica.</w:t>
      </w:r>
    </w:p>
    <w:p w:rsidR="00EA7E5E" w:rsidRPr="00611019" w:rsidRDefault="00E56462">
      <w:pPr>
        <w:pStyle w:val="Prrafodelista"/>
        <w:numPr>
          <w:ilvl w:val="0"/>
          <w:numId w:val="203"/>
        </w:numPr>
        <w:spacing w:after="6pt"/>
        <w:jc w:val="both"/>
        <w:rPr>
          <w:rFonts w:ascii="Century Gothic" w:hAnsi="Century Gothic" w:cs="Arial"/>
        </w:rPr>
      </w:pPr>
      <w:r>
        <w:rPr>
          <w:rFonts w:ascii="Century Gothic" w:hAnsi="Century Gothic" w:cs="Arial"/>
        </w:rPr>
        <w:t>Código identificador del equipo de acceso OLT que atiende el distrito óptico relacionado con la terminal óptica.</w:t>
      </w:r>
    </w:p>
    <w:p w:rsidR="00EA7E5E" w:rsidRPr="00611019" w:rsidRDefault="00E56462">
      <w:pPr>
        <w:pStyle w:val="Prrafodelista"/>
        <w:numPr>
          <w:ilvl w:val="0"/>
          <w:numId w:val="203"/>
        </w:numPr>
        <w:spacing w:after="6pt"/>
        <w:jc w:val="both"/>
        <w:rPr>
          <w:rFonts w:ascii="Century Gothic" w:hAnsi="Century Gothic" w:cs="Arial"/>
        </w:rPr>
      </w:pPr>
      <w:r>
        <w:rPr>
          <w:rFonts w:ascii="Century Gothic" w:hAnsi="Century Gothic" w:cs="Arial"/>
        </w:rPr>
        <w:t>Marca/fabricante, modelo del equipo de acceso OLT.</w:t>
      </w:r>
    </w:p>
    <w:p w:rsidR="00EA7E5E" w:rsidRPr="00611019" w:rsidRDefault="00E56462">
      <w:pPr>
        <w:pStyle w:val="Prrafodelista"/>
        <w:numPr>
          <w:ilvl w:val="0"/>
          <w:numId w:val="203"/>
        </w:numPr>
        <w:spacing w:after="6pt"/>
        <w:jc w:val="both"/>
        <w:rPr>
          <w:rFonts w:ascii="Century Gothic" w:hAnsi="Century Gothic" w:cs="Arial"/>
        </w:rPr>
      </w:pPr>
      <w:r>
        <w:rPr>
          <w:rFonts w:ascii="Century Gothic" w:hAnsi="Century Gothic" w:cs="Arial"/>
        </w:rPr>
        <w:t>Código Identificador del Nodo de Conexión de Acceso Indirecto (NCAI) asociado al equipo de acceso OLT.</w:t>
      </w:r>
    </w:p>
    <w:p w:rsidR="00EA7E5E" w:rsidRPr="00611019" w:rsidRDefault="00E56462">
      <w:pPr>
        <w:pStyle w:val="Prrafodelista"/>
        <w:numPr>
          <w:ilvl w:val="0"/>
          <w:numId w:val="203"/>
        </w:numPr>
        <w:spacing w:after="6pt"/>
        <w:jc w:val="both"/>
        <w:rPr>
          <w:rFonts w:ascii="Century Gothic" w:hAnsi="Century Gothic" w:cs="Arial"/>
        </w:rPr>
      </w:pPr>
      <w:r>
        <w:rPr>
          <w:rFonts w:ascii="Century Gothic" w:hAnsi="Century Gothic" w:cs="Arial"/>
        </w:rPr>
        <w:t>Código Identificador de NCAI Regionales que atienden el distrito óptico correspondiente.</w:t>
      </w:r>
    </w:p>
    <w:p w:rsidR="00EA7E5E" w:rsidRPr="00611019" w:rsidRDefault="00E56462">
      <w:pPr>
        <w:pStyle w:val="Prrafodelista"/>
        <w:numPr>
          <w:ilvl w:val="0"/>
          <w:numId w:val="203"/>
        </w:numPr>
        <w:spacing w:after="6pt"/>
        <w:jc w:val="both"/>
        <w:rPr>
          <w:rFonts w:ascii="Century Gothic" w:hAnsi="Century Gothic" w:cs="Arial"/>
        </w:rPr>
      </w:pPr>
      <w:r>
        <w:rPr>
          <w:rFonts w:ascii="Century Gothic" w:hAnsi="Century Gothic" w:cs="Arial"/>
        </w:rPr>
        <w:t>Código Identificador de NCAI Nacionales que atienden el distrito óptico correspondiente.</w:t>
      </w:r>
    </w:p>
    <w:p w:rsidR="00EA7E5E" w:rsidRPr="00611019" w:rsidRDefault="00E56462">
      <w:pPr>
        <w:pStyle w:val="Prrafodelista"/>
        <w:numPr>
          <w:ilvl w:val="0"/>
          <w:numId w:val="203"/>
        </w:numPr>
        <w:spacing w:after="6pt"/>
        <w:jc w:val="both"/>
        <w:rPr>
          <w:rFonts w:ascii="Century Gothic" w:hAnsi="Century Gothic" w:cs="Arial"/>
        </w:rPr>
      </w:pPr>
      <w:r>
        <w:rPr>
          <w:rFonts w:ascii="Century Gothic" w:hAnsi="Century Gothic" w:cs="Arial"/>
        </w:rPr>
        <w:t>Tipo de Punto de Concentración (Local, Regional, Nacional y No NCAI).</w:t>
      </w:r>
    </w:p>
    <w:p w:rsidR="005D4923" w:rsidRDefault="005D4923" w:rsidP="00035D2C">
      <w:pPr>
        <w:jc w:val="both"/>
        <w:rPr>
          <w:rFonts w:ascii="Century Gothic" w:hAnsi="Century Gothic" w:cs="Arial"/>
          <w:u w:val="single"/>
        </w:rPr>
      </w:pPr>
    </w:p>
    <w:p w:rsidR="00277ED2" w:rsidRPr="00611019" w:rsidRDefault="00E56462" w:rsidP="00035D2C">
      <w:pPr>
        <w:spacing w:after="6pt"/>
        <w:jc w:val="both"/>
        <w:rPr>
          <w:rFonts w:ascii="Century Gothic" w:hAnsi="Century Gothic" w:cs="Arial"/>
          <w:u w:val="single"/>
        </w:rPr>
      </w:pPr>
      <w:r>
        <w:rPr>
          <w:rFonts w:ascii="Century Gothic" w:hAnsi="Century Gothic" w:cs="Arial"/>
          <w:u w:val="single"/>
        </w:rPr>
        <w:t>BASE 6: Información para el SAIB</w:t>
      </w:r>
    </w:p>
    <w:p w:rsidR="00277ED2" w:rsidRPr="00611019" w:rsidRDefault="00E56462" w:rsidP="00F56183">
      <w:pPr>
        <w:pStyle w:val="Prrafodelista"/>
        <w:numPr>
          <w:ilvl w:val="0"/>
          <w:numId w:val="41"/>
        </w:numPr>
        <w:spacing w:after="6pt"/>
        <w:jc w:val="both"/>
        <w:rPr>
          <w:rFonts w:ascii="Century Gothic" w:hAnsi="Century Gothic" w:cs="Arial"/>
        </w:rPr>
      </w:pPr>
      <w:r>
        <w:rPr>
          <w:rFonts w:ascii="Century Gothic" w:hAnsi="Century Gothic" w:cs="Arial"/>
        </w:rPr>
        <w:t>Nombre de la Central Telefónica o Instalación Equivalente donde están dados de alta los puntos de concentración.</w:t>
      </w:r>
    </w:p>
    <w:p w:rsidR="00277ED2" w:rsidRPr="00611019" w:rsidRDefault="00E56462" w:rsidP="00F56183">
      <w:pPr>
        <w:pStyle w:val="Prrafodelista"/>
        <w:numPr>
          <w:ilvl w:val="0"/>
          <w:numId w:val="41"/>
        </w:numPr>
        <w:spacing w:after="6pt"/>
        <w:jc w:val="both"/>
        <w:rPr>
          <w:rFonts w:ascii="Century Gothic" w:hAnsi="Century Gothic" w:cs="Arial"/>
        </w:rPr>
      </w:pPr>
      <w:r>
        <w:rPr>
          <w:rFonts w:ascii="Century Gothic" w:hAnsi="Century Gothic" w:cs="Arial"/>
        </w:rPr>
        <w:t>Siglas de la Central Telefónica o Instalación Equivalente.</w:t>
      </w:r>
    </w:p>
    <w:p w:rsidR="00277ED2" w:rsidRPr="00611019" w:rsidRDefault="00E56462" w:rsidP="00F56183">
      <w:pPr>
        <w:pStyle w:val="Prrafodelista"/>
        <w:numPr>
          <w:ilvl w:val="0"/>
          <w:numId w:val="41"/>
        </w:numPr>
        <w:spacing w:after="6pt"/>
        <w:jc w:val="both"/>
        <w:rPr>
          <w:rFonts w:ascii="Century Gothic" w:hAnsi="Century Gothic" w:cs="Arial"/>
        </w:rPr>
      </w:pPr>
      <w:r>
        <w:rPr>
          <w:rFonts w:ascii="Century Gothic" w:hAnsi="Century Gothic" w:cs="Arial"/>
        </w:rPr>
        <w:t>Código identificador de la Central Telefónica o Instalación Equivalente (CLLI).</w:t>
      </w:r>
    </w:p>
    <w:p w:rsidR="00277ED2" w:rsidRPr="00611019" w:rsidRDefault="00E56462" w:rsidP="00F56183">
      <w:pPr>
        <w:pStyle w:val="Prrafodelista"/>
        <w:numPr>
          <w:ilvl w:val="0"/>
          <w:numId w:val="41"/>
        </w:numPr>
        <w:spacing w:after="6pt"/>
        <w:jc w:val="both"/>
        <w:rPr>
          <w:rFonts w:ascii="Century Gothic" w:hAnsi="Century Gothic" w:cs="Arial"/>
        </w:rPr>
      </w:pPr>
      <w:r>
        <w:rPr>
          <w:rFonts w:ascii="Century Gothic" w:hAnsi="Century Gothic" w:cs="Arial"/>
        </w:rPr>
        <w:t>Tipo de puntos de concentración (local, regional, nacional, No NCAI).</w:t>
      </w:r>
    </w:p>
    <w:p w:rsidR="00277ED2" w:rsidRPr="00611019" w:rsidRDefault="00E56462" w:rsidP="00F56183">
      <w:pPr>
        <w:pStyle w:val="Prrafodelista"/>
        <w:numPr>
          <w:ilvl w:val="0"/>
          <w:numId w:val="41"/>
        </w:numPr>
        <w:spacing w:after="6pt"/>
        <w:jc w:val="both"/>
        <w:rPr>
          <w:rFonts w:ascii="Century Gothic" w:hAnsi="Century Gothic" w:cs="Arial"/>
        </w:rPr>
      </w:pPr>
      <w:r>
        <w:rPr>
          <w:rFonts w:ascii="Century Gothic" w:hAnsi="Century Gothic" w:cs="Arial"/>
        </w:rPr>
        <w:t>Tecnología disponible para el PCAI.</w:t>
      </w:r>
    </w:p>
    <w:p w:rsidR="00277ED2" w:rsidRPr="00611019" w:rsidRDefault="00E56462" w:rsidP="00F56183">
      <w:pPr>
        <w:pStyle w:val="Prrafodelista"/>
        <w:numPr>
          <w:ilvl w:val="0"/>
          <w:numId w:val="41"/>
        </w:numPr>
        <w:spacing w:after="6pt"/>
        <w:jc w:val="both"/>
        <w:rPr>
          <w:rFonts w:ascii="Century Gothic" w:hAnsi="Century Gothic" w:cs="Arial"/>
        </w:rPr>
      </w:pPr>
      <w:r>
        <w:rPr>
          <w:rFonts w:ascii="Century Gothic" w:hAnsi="Century Gothic" w:cs="Arial"/>
        </w:rPr>
        <w:lastRenderedPageBreak/>
        <w:t>Centrales Telefónicas o Instalaciones Equivalentes asociadas a cada punto de concentración (Punto de Concentración Local PCL, Punto de Concentración Regional PCR, Punto de Concentración Nacional PCN).</w:t>
      </w:r>
    </w:p>
    <w:p w:rsidR="00277ED2" w:rsidRPr="00611019" w:rsidRDefault="00E56462" w:rsidP="00F56183">
      <w:pPr>
        <w:pStyle w:val="Prrafodelista"/>
        <w:numPr>
          <w:ilvl w:val="0"/>
          <w:numId w:val="41"/>
        </w:numPr>
        <w:spacing w:after="6pt"/>
        <w:jc w:val="both"/>
        <w:rPr>
          <w:rFonts w:ascii="Century Gothic" w:hAnsi="Century Gothic" w:cs="Arial"/>
        </w:rPr>
      </w:pPr>
      <w:r>
        <w:rPr>
          <w:rFonts w:ascii="Century Gothic" w:hAnsi="Century Gothic" w:cs="Arial"/>
        </w:rPr>
        <w:t>Código identificador del NCAI asociado.</w:t>
      </w:r>
    </w:p>
    <w:p w:rsidR="001040CD" w:rsidRPr="00611019" w:rsidRDefault="001040CD" w:rsidP="00035D2C">
      <w:pPr>
        <w:ind w:start="36pt" w:hanging="18pt"/>
        <w:jc w:val="both"/>
        <w:rPr>
          <w:rFonts w:ascii="Century Gothic" w:hAnsi="Century Gothic" w:cs="Arial"/>
        </w:rPr>
      </w:pPr>
    </w:p>
    <w:p w:rsidR="00277ED2" w:rsidRPr="00611019" w:rsidRDefault="00E56462" w:rsidP="00035D2C">
      <w:pPr>
        <w:keepNext/>
        <w:spacing w:after="6pt"/>
        <w:jc w:val="both"/>
        <w:rPr>
          <w:rFonts w:ascii="Century Gothic" w:hAnsi="Century Gothic" w:cs="Arial"/>
          <w:u w:val="single"/>
        </w:rPr>
      </w:pPr>
      <w:r>
        <w:rPr>
          <w:rFonts w:ascii="Century Gothic" w:hAnsi="Century Gothic" w:cs="Arial"/>
          <w:u w:val="single"/>
        </w:rPr>
        <w:t>BASE 6.1: Información para el SCyD/Número de Puertos por Capacidad, Instalados y Libres</w:t>
      </w:r>
    </w:p>
    <w:p w:rsidR="00277ED2" w:rsidRPr="00611019" w:rsidRDefault="00E56462" w:rsidP="00F56183">
      <w:pPr>
        <w:pStyle w:val="Prrafodelista"/>
        <w:numPr>
          <w:ilvl w:val="0"/>
          <w:numId w:val="42"/>
        </w:numPr>
        <w:spacing w:after="6pt"/>
        <w:jc w:val="both"/>
        <w:rPr>
          <w:rFonts w:ascii="Century Gothic" w:hAnsi="Century Gothic" w:cs="Arial"/>
        </w:rPr>
      </w:pPr>
      <w:r>
        <w:rPr>
          <w:rFonts w:ascii="Century Gothic" w:hAnsi="Century Gothic" w:cs="Arial"/>
        </w:rPr>
        <w:t>Nombre de la Central Telefónica o Instalación Equivalente donde están dados de alta los puntos de concentración.</w:t>
      </w:r>
    </w:p>
    <w:p w:rsidR="00277ED2" w:rsidRPr="00611019" w:rsidRDefault="00E56462" w:rsidP="00F56183">
      <w:pPr>
        <w:pStyle w:val="Prrafodelista"/>
        <w:numPr>
          <w:ilvl w:val="0"/>
          <w:numId w:val="42"/>
        </w:numPr>
        <w:spacing w:after="6pt"/>
        <w:jc w:val="both"/>
        <w:rPr>
          <w:rFonts w:ascii="Century Gothic" w:hAnsi="Century Gothic" w:cs="Arial"/>
        </w:rPr>
      </w:pPr>
      <w:r>
        <w:rPr>
          <w:rFonts w:ascii="Century Gothic" w:hAnsi="Century Gothic" w:cs="Arial"/>
        </w:rPr>
        <w:t>Siglas de la Central Telefónica o Instalación Equivalente.</w:t>
      </w:r>
    </w:p>
    <w:p w:rsidR="00277ED2" w:rsidRPr="00611019" w:rsidRDefault="00E56462" w:rsidP="00F56183">
      <w:pPr>
        <w:pStyle w:val="Prrafodelista"/>
        <w:numPr>
          <w:ilvl w:val="0"/>
          <w:numId w:val="42"/>
        </w:numPr>
        <w:spacing w:after="6pt"/>
        <w:jc w:val="both"/>
        <w:rPr>
          <w:rFonts w:ascii="Century Gothic" w:hAnsi="Century Gothic" w:cs="Arial"/>
        </w:rPr>
      </w:pPr>
      <w:r>
        <w:rPr>
          <w:rFonts w:ascii="Century Gothic" w:hAnsi="Century Gothic" w:cs="Arial"/>
        </w:rPr>
        <w:t>Código identificador de la Central Telefónica o Instalación Equivalente (CLLI).</w:t>
      </w:r>
    </w:p>
    <w:p w:rsidR="00277ED2" w:rsidRPr="00611019" w:rsidRDefault="00E56462" w:rsidP="00F56183">
      <w:pPr>
        <w:pStyle w:val="Prrafodelista"/>
        <w:numPr>
          <w:ilvl w:val="0"/>
          <w:numId w:val="42"/>
        </w:numPr>
        <w:spacing w:after="6pt"/>
        <w:jc w:val="both"/>
        <w:rPr>
          <w:rFonts w:ascii="Century Gothic" w:hAnsi="Century Gothic" w:cs="Arial"/>
        </w:rPr>
      </w:pPr>
      <w:r>
        <w:rPr>
          <w:rFonts w:ascii="Century Gothic" w:hAnsi="Century Gothic" w:cs="Arial"/>
        </w:rPr>
        <w:t>Tipo de punto de concentración (local, regional, nacional, No NCAI).</w:t>
      </w:r>
    </w:p>
    <w:p w:rsidR="001043C9" w:rsidRPr="00611019" w:rsidRDefault="00E56462" w:rsidP="00035D2C">
      <w:pPr>
        <w:pStyle w:val="Prrafodelista"/>
        <w:numPr>
          <w:ilvl w:val="0"/>
          <w:numId w:val="46"/>
        </w:numPr>
        <w:spacing w:after="6pt"/>
        <w:jc w:val="both"/>
        <w:rPr>
          <w:rFonts w:ascii="Century Gothic" w:hAnsi="Century Gothic" w:cs="Arial"/>
        </w:rPr>
      </w:pPr>
      <w:r>
        <w:rPr>
          <w:rFonts w:ascii="Century Gothic" w:hAnsi="Century Gothic" w:cs="Arial"/>
        </w:rPr>
        <w:t>Código Identificador del Equipo de Agregación/Distribución (Nombre Oficial del Equipo)</w:t>
      </w:r>
      <w:r>
        <w:rPr>
          <w:rStyle w:val="Refdenotaalpie"/>
          <w:rFonts w:ascii="Century Gothic" w:hAnsi="Century Gothic" w:cs="Arial"/>
        </w:rPr>
        <w:footnoteReference w:id="5"/>
      </w:r>
      <w:r>
        <w:rPr>
          <w:rFonts w:ascii="Century Gothic" w:hAnsi="Century Gothic" w:cs="Arial"/>
        </w:rPr>
        <w:t>.</w:t>
      </w:r>
    </w:p>
    <w:p w:rsidR="001043C9" w:rsidRPr="00611019" w:rsidRDefault="00E56462" w:rsidP="00035D2C">
      <w:pPr>
        <w:pStyle w:val="Prrafodelista"/>
        <w:numPr>
          <w:ilvl w:val="0"/>
          <w:numId w:val="46"/>
        </w:numPr>
        <w:spacing w:after="6pt"/>
        <w:jc w:val="both"/>
        <w:rPr>
          <w:rFonts w:ascii="Century Gothic" w:hAnsi="Century Gothic" w:cs="Arial"/>
        </w:rPr>
      </w:pPr>
      <w:r>
        <w:rPr>
          <w:rFonts w:ascii="Century Gothic" w:hAnsi="Century Gothic" w:cs="Arial"/>
        </w:rPr>
        <w:t>Tipo de punto de concentración del equipo de Agregación/Distribución: Local, Regional, Nacional, No NCAI.</w:t>
      </w:r>
    </w:p>
    <w:p w:rsidR="00277ED2" w:rsidRPr="00611019" w:rsidRDefault="00E56462" w:rsidP="00F56183">
      <w:pPr>
        <w:pStyle w:val="Prrafodelista"/>
        <w:numPr>
          <w:ilvl w:val="0"/>
          <w:numId w:val="42"/>
        </w:numPr>
        <w:spacing w:after="6pt"/>
        <w:jc w:val="both"/>
        <w:rPr>
          <w:rFonts w:ascii="Century Gothic" w:hAnsi="Century Gothic" w:cs="Arial"/>
        </w:rPr>
      </w:pPr>
      <w:r>
        <w:rPr>
          <w:rFonts w:ascii="Century Gothic" w:hAnsi="Century Gothic" w:cs="Arial"/>
        </w:rPr>
        <w:t>Puertos Instalados 1 Gb.</w:t>
      </w:r>
    </w:p>
    <w:p w:rsidR="00277ED2" w:rsidRPr="00611019" w:rsidRDefault="00E56462" w:rsidP="00F56183">
      <w:pPr>
        <w:pStyle w:val="Prrafodelista"/>
        <w:numPr>
          <w:ilvl w:val="0"/>
          <w:numId w:val="42"/>
        </w:numPr>
        <w:spacing w:after="6pt"/>
        <w:jc w:val="both"/>
        <w:rPr>
          <w:rFonts w:ascii="Century Gothic" w:hAnsi="Century Gothic" w:cs="Arial"/>
        </w:rPr>
      </w:pPr>
      <w:r>
        <w:rPr>
          <w:rFonts w:ascii="Century Gothic" w:hAnsi="Century Gothic" w:cs="Arial"/>
        </w:rPr>
        <w:t>Puertos Instalados 10 Gb.</w:t>
      </w:r>
    </w:p>
    <w:p w:rsidR="00277ED2" w:rsidRPr="00611019" w:rsidRDefault="00E56462" w:rsidP="00F56183">
      <w:pPr>
        <w:pStyle w:val="Prrafodelista"/>
        <w:numPr>
          <w:ilvl w:val="0"/>
          <w:numId w:val="42"/>
        </w:numPr>
        <w:spacing w:after="6pt"/>
        <w:jc w:val="both"/>
        <w:rPr>
          <w:rFonts w:ascii="Century Gothic" w:hAnsi="Century Gothic" w:cs="Arial"/>
        </w:rPr>
      </w:pPr>
      <w:r>
        <w:rPr>
          <w:rFonts w:ascii="Century Gothic" w:hAnsi="Century Gothic" w:cs="Arial"/>
        </w:rPr>
        <w:t>Puertos libres 1 Gb.</w:t>
      </w:r>
    </w:p>
    <w:p w:rsidR="00277ED2" w:rsidRPr="00611019" w:rsidRDefault="00E56462" w:rsidP="00F56183">
      <w:pPr>
        <w:pStyle w:val="Prrafodelista"/>
        <w:numPr>
          <w:ilvl w:val="0"/>
          <w:numId w:val="42"/>
        </w:numPr>
        <w:spacing w:after="6pt"/>
        <w:jc w:val="both"/>
        <w:rPr>
          <w:rFonts w:ascii="Century Gothic" w:hAnsi="Century Gothic" w:cs="Arial"/>
        </w:rPr>
      </w:pPr>
      <w:r>
        <w:rPr>
          <w:rFonts w:ascii="Century Gothic" w:hAnsi="Century Gothic" w:cs="Arial"/>
        </w:rPr>
        <w:t>Puertos libres 10 Gb.</w:t>
      </w:r>
    </w:p>
    <w:p w:rsidR="001040CD" w:rsidRPr="00611019" w:rsidRDefault="001040CD" w:rsidP="00035D2C">
      <w:pPr>
        <w:ind w:start="36pt" w:hanging="18pt"/>
        <w:jc w:val="both"/>
        <w:rPr>
          <w:rFonts w:ascii="Century Gothic" w:hAnsi="Century Gothic" w:cs="Arial"/>
        </w:rPr>
      </w:pPr>
    </w:p>
    <w:p w:rsidR="00277ED2" w:rsidRPr="00611019" w:rsidRDefault="00E56462" w:rsidP="00035D2C">
      <w:pPr>
        <w:spacing w:after="6pt"/>
        <w:jc w:val="both"/>
        <w:rPr>
          <w:rFonts w:ascii="Century Gothic" w:hAnsi="Century Gothic" w:cs="Arial"/>
          <w:u w:val="single"/>
        </w:rPr>
      </w:pPr>
      <w:r>
        <w:rPr>
          <w:rFonts w:ascii="Century Gothic" w:hAnsi="Century Gothic" w:cs="Arial"/>
          <w:u w:val="single"/>
        </w:rPr>
        <w:t>BASE 6.2: Información para el SAIB/Puntos de Concentración Nacional</w:t>
      </w:r>
    </w:p>
    <w:p w:rsidR="00277ED2" w:rsidRPr="00611019" w:rsidRDefault="00E56462" w:rsidP="00F56183">
      <w:pPr>
        <w:pStyle w:val="Prrafodelista"/>
        <w:numPr>
          <w:ilvl w:val="0"/>
          <w:numId w:val="43"/>
        </w:numPr>
        <w:spacing w:after="6pt"/>
        <w:jc w:val="both"/>
        <w:rPr>
          <w:rFonts w:ascii="Century Gothic" w:hAnsi="Century Gothic" w:cs="Arial"/>
        </w:rPr>
      </w:pPr>
      <w:r>
        <w:rPr>
          <w:rFonts w:ascii="Century Gothic" w:hAnsi="Century Gothic" w:cs="Arial"/>
        </w:rPr>
        <w:t>Punto de Concentración Nacional (PCN).</w:t>
      </w:r>
    </w:p>
    <w:p w:rsidR="00277ED2" w:rsidRPr="00611019" w:rsidRDefault="00E56462" w:rsidP="00F56183">
      <w:pPr>
        <w:pStyle w:val="Prrafodelista"/>
        <w:numPr>
          <w:ilvl w:val="0"/>
          <w:numId w:val="43"/>
        </w:numPr>
        <w:spacing w:after="6pt"/>
        <w:jc w:val="both"/>
        <w:rPr>
          <w:rFonts w:ascii="Century Gothic" w:hAnsi="Century Gothic" w:cs="Arial"/>
        </w:rPr>
      </w:pPr>
      <w:r>
        <w:rPr>
          <w:rFonts w:ascii="Century Gothic" w:hAnsi="Century Gothic" w:cs="Arial"/>
        </w:rPr>
        <w:t>Siglas Punto de Concentración Nacional (PCN).</w:t>
      </w:r>
    </w:p>
    <w:p w:rsidR="00277ED2" w:rsidRPr="00611019" w:rsidRDefault="00E56462" w:rsidP="00F56183">
      <w:pPr>
        <w:pStyle w:val="Prrafodelista"/>
        <w:numPr>
          <w:ilvl w:val="0"/>
          <w:numId w:val="43"/>
        </w:numPr>
        <w:spacing w:after="6pt"/>
        <w:jc w:val="both"/>
        <w:rPr>
          <w:rFonts w:ascii="Century Gothic" w:hAnsi="Century Gothic" w:cs="Arial"/>
        </w:rPr>
      </w:pPr>
      <w:r>
        <w:rPr>
          <w:rFonts w:ascii="Century Gothic" w:hAnsi="Century Gothic" w:cs="Arial"/>
        </w:rPr>
        <w:t>Nombre de Punto de Concentración Regional asociado al PCN.</w:t>
      </w:r>
    </w:p>
    <w:p w:rsidR="00277ED2" w:rsidRPr="00611019" w:rsidRDefault="00E56462" w:rsidP="00F56183">
      <w:pPr>
        <w:pStyle w:val="Prrafodelista"/>
        <w:numPr>
          <w:ilvl w:val="0"/>
          <w:numId w:val="43"/>
        </w:numPr>
        <w:spacing w:after="6pt"/>
        <w:jc w:val="both"/>
        <w:rPr>
          <w:rFonts w:ascii="Century Gothic" w:hAnsi="Century Gothic" w:cs="Arial"/>
        </w:rPr>
      </w:pPr>
      <w:r>
        <w:rPr>
          <w:rFonts w:ascii="Century Gothic" w:hAnsi="Century Gothic" w:cs="Arial"/>
        </w:rPr>
        <w:t>Siglas Punto de Concentración Regional (PCR).</w:t>
      </w:r>
    </w:p>
    <w:p w:rsidR="001040CD" w:rsidRPr="00611019" w:rsidRDefault="001040CD" w:rsidP="00035D2C">
      <w:pPr>
        <w:ind w:start="36pt" w:hanging="18pt"/>
        <w:jc w:val="both"/>
        <w:rPr>
          <w:rFonts w:ascii="Century Gothic" w:hAnsi="Century Gothic" w:cs="Arial"/>
        </w:rPr>
      </w:pPr>
    </w:p>
    <w:p w:rsidR="00277ED2" w:rsidRPr="00611019" w:rsidRDefault="00E56462" w:rsidP="00035D2C">
      <w:pPr>
        <w:spacing w:after="6pt"/>
        <w:jc w:val="both"/>
        <w:rPr>
          <w:rFonts w:ascii="Century Gothic" w:hAnsi="Century Gothic" w:cs="Arial"/>
          <w:u w:val="single"/>
        </w:rPr>
      </w:pPr>
      <w:r>
        <w:rPr>
          <w:rFonts w:ascii="Century Gothic" w:hAnsi="Century Gothic" w:cs="Arial"/>
          <w:u w:val="single"/>
        </w:rPr>
        <w:t>BASE 6.3: Información para el SAIB/Puntos de Concentración Regional</w:t>
      </w:r>
    </w:p>
    <w:p w:rsidR="00277ED2" w:rsidRPr="00611019" w:rsidRDefault="00E56462" w:rsidP="00F56183">
      <w:pPr>
        <w:pStyle w:val="Prrafodelista"/>
        <w:numPr>
          <w:ilvl w:val="0"/>
          <w:numId w:val="44"/>
        </w:numPr>
        <w:spacing w:after="6pt"/>
        <w:jc w:val="both"/>
        <w:rPr>
          <w:rFonts w:ascii="Century Gothic" w:hAnsi="Century Gothic" w:cs="Arial"/>
        </w:rPr>
      </w:pPr>
      <w:r>
        <w:rPr>
          <w:rFonts w:ascii="Century Gothic" w:hAnsi="Century Gothic" w:cs="Arial"/>
        </w:rPr>
        <w:t>Punto de Concentración Regional (PCR).</w:t>
      </w:r>
    </w:p>
    <w:p w:rsidR="00277ED2" w:rsidRPr="00611019" w:rsidRDefault="00E56462" w:rsidP="00F56183">
      <w:pPr>
        <w:pStyle w:val="Prrafodelista"/>
        <w:numPr>
          <w:ilvl w:val="0"/>
          <w:numId w:val="44"/>
        </w:numPr>
        <w:spacing w:after="6pt"/>
        <w:jc w:val="both"/>
        <w:rPr>
          <w:rFonts w:ascii="Century Gothic" w:hAnsi="Century Gothic" w:cs="Arial"/>
        </w:rPr>
      </w:pPr>
      <w:r>
        <w:rPr>
          <w:rFonts w:ascii="Century Gothic" w:hAnsi="Century Gothic" w:cs="Arial"/>
        </w:rPr>
        <w:t>Siglas Punto de Concentración Regional (PCR).</w:t>
      </w:r>
    </w:p>
    <w:p w:rsidR="00277ED2" w:rsidRPr="00611019" w:rsidRDefault="00E56462" w:rsidP="00F56183">
      <w:pPr>
        <w:pStyle w:val="Prrafodelista"/>
        <w:numPr>
          <w:ilvl w:val="0"/>
          <w:numId w:val="44"/>
        </w:numPr>
        <w:spacing w:after="6pt"/>
        <w:jc w:val="both"/>
        <w:rPr>
          <w:rFonts w:ascii="Century Gothic" w:hAnsi="Century Gothic" w:cs="Arial"/>
        </w:rPr>
      </w:pPr>
      <w:r>
        <w:rPr>
          <w:rFonts w:ascii="Century Gothic" w:hAnsi="Century Gothic" w:cs="Arial"/>
        </w:rPr>
        <w:t>Nombre de Punto de Concentración Local asociado al PCR.</w:t>
      </w:r>
    </w:p>
    <w:p w:rsidR="00277ED2" w:rsidRPr="00611019" w:rsidRDefault="00E56462" w:rsidP="00F56183">
      <w:pPr>
        <w:pStyle w:val="Prrafodelista"/>
        <w:numPr>
          <w:ilvl w:val="0"/>
          <w:numId w:val="44"/>
        </w:numPr>
        <w:spacing w:after="6pt"/>
        <w:jc w:val="both"/>
        <w:rPr>
          <w:rFonts w:ascii="Century Gothic" w:hAnsi="Century Gothic" w:cs="Arial"/>
        </w:rPr>
      </w:pPr>
      <w:r>
        <w:rPr>
          <w:rFonts w:ascii="Century Gothic" w:hAnsi="Century Gothic" w:cs="Arial"/>
        </w:rPr>
        <w:t>Siglas Punto de Concentración Local (PCL).</w:t>
      </w:r>
    </w:p>
    <w:p w:rsidR="00277ED2" w:rsidRPr="00611019" w:rsidRDefault="00E56462" w:rsidP="00F56183">
      <w:pPr>
        <w:pStyle w:val="Prrafodelista"/>
        <w:numPr>
          <w:ilvl w:val="0"/>
          <w:numId w:val="44"/>
        </w:numPr>
        <w:spacing w:after="6pt"/>
        <w:jc w:val="both"/>
        <w:rPr>
          <w:rFonts w:ascii="Century Gothic" w:hAnsi="Century Gothic" w:cs="Arial"/>
        </w:rPr>
      </w:pPr>
      <w:r>
        <w:rPr>
          <w:rFonts w:ascii="Century Gothic" w:hAnsi="Century Gothic" w:cs="Arial"/>
        </w:rPr>
        <w:t>Código identificador del NCAI, Región.</w:t>
      </w:r>
    </w:p>
    <w:p w:rsidR="00BB626A" w:rsidRPr="00611019" w:rsidRDefault="00BB626A" w:rsidP="00035D2C">
      <w:pPr>
        <w:spacing w:after="6pt"/>
        <w:ind w:start="21.30pt"/>
        <w:jc w:val="both"/>
        <w:rPr>
          <w:rFonts w:ascii="Century Gothic" w:hAnsi="Century Gothic" w:cs="Arial"/>
        </w:rPr>
      </w:pPr>
    </w:p>
    <w:p w:rsidR="00277ED2" w:rsidRPr="00611019" w:rsidRDefault="00E56462" w:rsidP="00035D2C">
      <w:pPr>
        <w:keepNext/>
        <w:spacing w:after="6pt"/>
        <w:jc w:val="both"/>
        <w:rPr>
          <w:rFonts w:ascii="Century Gothic" w:hAnsi="Century Gothic" w:cs="Arial"/>
          <w:u w:val="single"/>
        </w:rPr>
      </w:pPr>
      <w:r>
        <w:rPr>
          <w:rFonts w:ascii="Century Gothic" w:hAnsi="Century Gothic" w:cs="Arial"/>
          <w:u w:val="single"/>
        </w:rPr>
        <w:t>BASE 6.4: Información para el SAIB/Puntos de Concentración Local.</w:t>
      </w:r>
    </w:p>
    <w:p w:rsidR="00277ED2" w:rsidRPr="00611019" w:rsidRDefault="00E56462" w:rsidP="00F56183">
      <w:pPr>
        <w:pStyle w:val="Prrafodelista"/>
        <w:numPr>
          <w:ilvl w:val="0"/>
          <w:numId w:val="45"/>
        </w:numPr>
        <w:spacing w:after="6pt"/>
        <w:jc w:val="both"/>
        <w:rPr>
          <w:rFonts w:ascii="Century Gothic" w:hAnsi="Century Gothic" w:cs="Arial"/>
        </w:rPr>
      </w:pPr>
      <w:r>
        <w:rPr>
          <w:rFonts w:ascii="Century Gothic" w:hAnsi="Century Gothic" w:cs="Arial"/>
        </w:rPr>
        <w:t>Punto de Concentración Local (PCL).</w:t>
      </w:r>
    </w:p>
    <w:p w:rsidR="00277ED2" w:rsidRPr="00611019" w:rsidRDefault="00E56462" w:rsidP="00F56183">
      <w:pPr>
        <w:pStyle w:val="Prrafodelista"/>
        <w:numPr>
          <w:ilvl w:val="0"/>
          <w:numId w:val="45"/>
        </w:numPr>
        <w:spacing w:after="6pt"/>
        <w:jc w:val="both"/>
        <w:rPr>
          <w:rFonts w:ascii="Century Gothic" w:hAnsi="Century Gothic" w:cs="Arial"/>
        </w:rPr>
      </w:pPr>
      <w:r>
        <w:rPr>
          <w:rFonts w:ascii="Century Gothic" w:hAnsi="Century Gothic" w:cs="Arial"/>
        </w:rPr>
        <w:lastRenderedPageBreak/>
        <w:t>Siglas Punto de Concentración Regional (PCR).</w:t>
      </w:r>
    </w:p>
    <w:p w:rsidR="00277ED2" w:rsidRPr="00611019" w:rsidRDefault="00E56462" w:rsidP="00F56183">
      <w:pPr>
        <w:pStyle w:val="Prrafodelista"/>
        <w:numPr>
          <w:ilvl w:val="0"/>
          <w:numId w:val="45"/>
        </w:numPr>
        <w:spacing w:after="6pt"/>
        <w:jc w:val="both"/>
        <w:rPr>
          <w:rFonts w:ascii="Century Gothic" w:hAnsi="Century Gothic" w:cs="Arial"/>
        </w:rPr>
      </w:pPr>
      <w:r>
        <w:rPr>
          <w:rFonts w:ascii="Century Gothic" w:hAnsi="Century Gothic" w:cs="Arial"/>
        </w:rPr>
        <w:t>Nombre de la Central Asociada al PCL.</w:t>
      </w:r>
    </w:p>
    <w:p w:rsidR="00277ED2" w:rsidRPr="00611019" w:rsidRDefault="00E56462" w:rsidP="00F56183">
      <w:pPr>
        <w:pStyle w:val="Prrafodelista"/>
        <w:numPr>
          <w:ilvl w:val="0"/>
          <w:numId w:val="45"/>
        </w:numPr>
        <w:spacing w:after="6pt"/>
        <w:jc w:val="both"/>
        <w:rPr>
          <w:rFonts w:ascii="Century Gothic" w:hAnsi="Century Gothic" w:cs="Arial"/>
        </w:rPr>
      </w:pPr>
      <w:r>
        <w:rPr>
          <w:rFonts w:ascii="Century Gothic" w:hAnsi="Century Gothic" w:cs="Arial"/>
        </w:rPr>
        <w:t>Siglas Punto de Concentración Local (PCL).</w:t>
      </w:r>
    </w:p>
    <w:p w:rsidR="00277ED2" w:rsidRPr="00611019" w:rsidRDefault="00E56462" w:rsidP="00F56183">
      <w:pPr>
        <w:pStyle w:val="Prrafodelista"/>
        <w:numPr>
          <w:ilvl w:val="0"/>
          <w:numId w:val="45"/>
        </w:numPr>
        <w:spacing w:after="6pt"/>
        <w:jc w:val="both"/>
        <w:rPr>
          <w:rFonts w:ascii="Century Gothic" w:hAnsi="Century Gothic" w:cs="Arial"/>
        </w:rPr>
      </w:pPr>
      <w:r>
        <w:rPr>
          <w:rFonts w:ascii="Century Gothic" w:hAnsi="Century Gothic" w:cs="Arial"/>
        </w:rPr>
        <w:t>Código identificador del NCAI, Región.</w:t>
      </w:r>
    </w:p>
    <w:p w:rsidR="001040CD" w:rsidRPr="00611019" w:rsidRDefault="001040CD" w:rsidP="00035D2C">
      <w:pPr>
        <w:ind w:start="35.70pt" w:hanging="17.85pt"/>
        <w:jc w:val="both"/>
        <w:rPr>
          <w:rFonts w:ascii="Century Gothic" w:hAnsi="Century Gothic" w:cs="Arial"/>
        </w:rPr>
      </w:pPr>
    </w:p>
    <w:p w:rsidR="00277ED2" w:rsidRPr="00611019" w:rsidRDefault="00E56462" w:rsidP="00035D2C">
      <w:pPr>
        <w:spacing w:after="6pt"/>
        <w:jc w:val="both"/>
        <w:rPr>
          <w:rFonts w:ascii="Century Gothic" w:hAnsi="Century Gothic" w:cs="Arial"/>
          <w:b/>
        </w:rPr>
      </w:pPr>
      <w:r>
        <w:rPr>
          <w:rFonts w:ascii="Century Gothic" w:hAnsi="Century Gothic" w:cs="Arial"/>
          <w:b/>
        </w:rPr>
        <w:t>Información tipo “b”:</w:t>
      </w:r>
    </w:p>
    <w:p w:rsidR="00277ED2" w:rsidRDefault="00E56462" w:rsidP="00035D2C">
      <w:pPr>
        <w:spacing w:after="6pt"/>
        <w:jc w:val="both"/>
        <w:rPr>
          <w:rFonts w:ascii="Century Gothic" w:hAnsi="Century Gothic" w:cs="Arial"/>
        </w:rPr>
      </w:pPr>
      <w:r>
        <w:rPr>
          <w:rFonts w:ascii="Century Gothic" w:hAnsi="Century Gothic" w:cs="Arial"/>
        </w:rPr>
        <w:t>Esta información debe ser accesible al CS en forma de consulta por dirección para búsquedas por calle y número. Esta información deberá ser proporcionada indistintamente del segmento, residencial o comercial, al que pertenezca el usuario del bucle local independientemente de su tecnología, o la arquitectura de su red (como punto a punto, o punto a multipunto (</w:t>
      </w:r>
      <w:r w:rsidR="003F5A24">
        <w:rPr>
          <w:rFonts w:ascii="Century Gothic" w:hAnsi="Century Gothic" w:cs="Arial"/>
        </w:rPr>
        <w:t>x</w:t>
      </w:r>
      <w:r>
        <w:rPr>
          <w:rFonts w:ascii="Century Gothic" w:hAnsi="Century Gothic" w:cs="Arial"/>
        </w:rPr>
        <w:t>PON), en el caso de la fibra óptica).</w:t>
      </w:r>
    </w:p>
    <w:p w:rsidR="00EA4C9F" w:rsidRDefault="00E56462" w:rsidP="00EA4C9F">
      <w:pPr>
        <w:pStyle w:val="IFTnormal"/>
        <w:rPr>
          <w:rFonts w:ascii="Century Gothic" w:hAnsi="Century Gothic"/>
        </w:rPr>
      </w:pPr>
      <w:r>
        <w:rPr>
          <w:rFonts w:ascii="Century Gothic" w:hAnsi="Century Gothic"/>
          <w:b/>
        </w:rPr>
        <w:t>Información relacionada a una dirección</w:t>
      </w:r>
      <w:r>
        <w:rPr>
          <w:rFonts w:ascii="Century Gothic" w:hAnsi="Century Gothic"/>
        </w:rPr>
        <w:t xml:space="preserve">. </w:t>
      </w:r>
    </w:p>
    <w:p w:rsidR="00EA4C9F" w:rsidRPr="00EA4C9F" w:rsidRDefault="00EA4C9F" w:rsidP="00EA4C9F">
      <w:pPr>
        <w:pStyle w:val="IFTnormal"/>
        <w:rPr>
          <w:rFonts w:ascii="Century Gothic" w:hAnsi="Century Gothic"/>
          <w:sz w:val="8"/>
        </w:rPr>
      </w:pPr>
    </w:p>
    <w:p w:rsidR="00277ED2" w:rsidRDefault="00E56462" w:rsidP="00EA4C9F">
      <w:pPr>
        <w:pStyle w:val="IFTnormal"/>
        <w:rPr>
          <w:rFonts w:ascii="Century Gothic" w:hAnsi="Century Gothic"/>
        </w:rPr>
      </w:pPr>
      <w:r>
        <w:rPr>
          <w:rFonts w:ascii="Century Gothic" w:hAnsi="Century Gothic"/>
        </w:rPr>
        <w:t>El CS proporcionará en la interfaz la entidad federativa, municipio, localidad, código postal, colonia, calle y número para poder consultar la información correspondiente. Para ello RED NACIONAL proporcionará la misma secuencia y mecanismo de búsqueda que emplea para la gestión de sus propias operaciones.</w:t>
      </w:r>
    </w:p>
    <w:p w:rsidR="00EA4C9F" w:rsidRPr="00EA4C9F" w:rsidRDefault="00EA4C9F" w:rsidP="00EA4C9F">
      <w:pPr>
        <w:pStyle w:val="IFTnormal"/>
        <w:rPr>
          <w:rFonts w:ascii="Century Gothic" w:hAnsi="Century Gothic"/>
          <w:sz w:val="8"/>
        </w:rPr>
      </w:pPr>
    </w:p>
    <w:p w:rsidR="00277ED2" w:rsidRPr="00611019" w:rsidRDefault="00E56462" w:rsidP="00035D2C">
      <w:pPr>
        <w:pStyle w:val="IFTnormal"/>
        <w:spacing w:after="6pt"/>
        <w:rPr>
          <w:rFonts w:ascii="Century Gothic" w:hAnsi="Century Gothic"/>
        </w:rPr>
      </w:pPr>
      <w:r>
        <w:rPr>
          <w:rFonts w:ascii="Century Gothic" w:hAnsi="Century Gothic"/>
        </w:rPr>
        <w:t>En caso de que la infraestructura con la que cuenta RED NACIONAL para brindar servicios de telecomunicaciones en la dirección consultada sea cobre, se accederá a la siguiente información:</w:t>
      </w:r>
    </w:p>
    <w:p w:rsidR="00277ED2" w:rsidRPr="00611019" w:rsidRDefault="00E56462" w:rsidP="00F56183">
      <w:pPr>
        <w:pStyle w:val="Prrafodelista"/>
        <w:numPr>
          <w:ilvl w:val="0"/>
          <w:numId w:val="47"/>
        </w:numPr>
        <w:ind w:start="28.35pt" w:hanging="14.15pt"/>
        <w:jc w:val="both"/>
        <w:rPr>
          <w:rFonts w:ascii="Century Gothic" w:hAnsi="Century Gothic" w:cs="Arial"/>
        </w:rPr>
      </w:pPr>
      <w:r>
        <w:rPr>
          <w:rFonts w:ascii="Century Gothic" w:hAnsi="Century Gothic" w:cs="Arial"/>
        </w:rPr>
        <w:t>Código identificador de la terminal principal que puede atender la ubicación ingresada</w:t>
      </w:r>
    </w:p>
    <w:p w:rsidR="00277ED2" w:rsidRPr="00611019" w:rsidRDefault="00E56462" w:rsidP="00035D2C">
      <w:pPr>
        <w:ind w:start="72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Porcentaje de uso crítico de la terminal;</w:t>
      </w:r>
    </w:p>
    <w:p w:rsidR="00277ED2" w:rsidRPr="00611019" w:rsidRDefault="00E56462" w:rsidP="00035D2C">
      <w:pPr>
        <w:ind w:start="72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Porcentaje de uso actual de la terminal;</w:t>
      </w:r>
    </w:p>
    <w:p w:rsidR="00277ED2" w:rsidRPr="00611019" w:rsidRDefault="00E56462" w:rsidP="00035D2C">
      <w:pPr>
        <w:ind w:start="72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Pares ocupados de la terminal;</w:t>
      </w:r>
    </w:p>
    <w:p w:rsidR="00277ED2" w:rsidRPr="00611019" w:rsidRDefault="00E56462" w:rsidP="00035D2C">
      <w:pPr>
        <w:ind w:start="72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Pares libres de la terminal;</w:t>
      </w:r>
    </w:p>
    <w:p w:rsidR="00277ED2" w:rsidRPr="00611019" w:rsidRDefault="00E56462" w:rsidP="00035D2C">
      <w:pPr>
        <w:ind w:start="72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Distancia en metros de la terminal a la Central Telefónica;</w:t>
      </w:r>
    </w:p>
    <w:p w:rsidR="00277ED2" w:rsidRPr="00611019" w:rsidRDefault="00E56462" w:rsidP="00035D2C">
      <w:pPr>
        <w:ind w:start="72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Facilidades de línea telefónica;</w:t>
      </w:r>
    </w:p>
    <w:p w:rsidR="00277ED2" w:rsidRPr="00611019" w:rsidRDefault="00E56462" w:rsidP="00035D2C">
      <w:pPr>
        <w:ind w:start="72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Facilidades de dispositivos;</w:t>
      </w:r>
    </w:p>
    <w:p w:rsidR="00277ED2" w:rsidRPr="00611019" w:rsidRDefault="00E56462" w:rsidP="00035D2C">
      <w:pPr>
        <w:ind w:start="72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Facilidades de red;</w:t>
      </w:r>
    </w:p>
    <w:p w:rsidR="00277ED2" w:rsidRPr="00611019" w:rsidRDefault="00E56462" w:rsidP="00035D2C">
      <w:pPr>
        <w:ind w:start="72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Facilidades de internet (velocidad máxima soportada según la calificación del Bucle Local);</w:t>
      </w:r>
    </w:p>
    <w:p w:rsidR="00277ED2" w:rsidRPr="00611019" w:rsidRDefault="00E56462" w:rsidP="00035D2C">
      <w:pPr>
        <w:spacing w:after="6pt"/>
        <w:ind w:start="72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Facilidades de red secundaria (en caso de existir facilidades, deberán mostrarse para la red secundaria todos los campos establecidos para la red principal en la interfaz);</w:t>
      </w:r>
    </w:p>
    <w:p w:rsidR="00277ED2" w:rsidRPr="00611019" w:rsidRDefault="00E56462" w:rsidP="00F56183">
      <w:pPr>
        <w:pStyle w:val="Prrafodelista"/>
        <w:numPr>
          <w:ilvl w:val="0"/>
          <w:numId w:val="48"/>
        </w:numPr>
        <w:spacing w:after="6pt"/>
        <w:ind w:start="28.35pt" w:hanging="14.15pt"/>
        <w:jc w:val="both"/>
        <w:rPr>
          <w:rFonts w:ascii="Century Gothic" w:hAnsi="Century Gothic" w:cs="Arial"/>
        </w:rPr>
      </w:pPr>
      <w:r>
        <w:rPr>
          <w:rFonts w:ascii="Century Gothic" w:hAnsi="Century Gothic" w:cs="Arial"/>
        </w:rPr>
        <w:t>Código Identificador de Centrales Telefónicas o Instalaciones Equivalentes que pueden atender a la terminal;</w:t>
      </w:r>
    </w:p>
    <w:p w:rsidR="00277ED2" w:rsidRPr="00611019" w:rsidRDefault="00E56462" w:rsidP="00F56183">
      <w:pPr>
        <w:pStyle w:val="Prrafodelista"/>
        <w:numPr>
          <w:ilvl w:val="0"/>
          <w:numId w:val="48"/>
        </w:numPr>
        <w:spacing w:after="6pt"/>
        <w:ind w:start="28.35pt" w:hanging="14.15pt"/>
        <w:jc w:val="both"/>
        <w:rPr>
          <w:rFonts w:ascii="Century Gothic" w:hAnsi="Century Gothic" w:cs="Arial"/>
        </w:rPr>
      </w:pPr>
      <w:r>
        <w:rPr>
          <w:rFonts w:ascii="Century Gothic" w:hAnsi="Century Gothic" w:cs="Arial"/>
        </w:rPr>
        <w:t>Código Identificador del Distrito que atiende la terminal;</w:t>
      </w:r>
    </w:p>
    <w:p w:rsidR="00277ED2" w:rsidRPr="00611019" w:rsidRDefault="00E56462" w:rsidP="00F56183">
      <w:pPr>
        <w:pStyle w:val="Prrafodelista"/>
        <w:numPr>
          <w:ilvl w:val="0"/>
          <w:numId w:val="48"/>
        </w:numPr>
        <w:spacing w:after="6pt"/>
        <w:ind w:start="28.35pt" w:hanging="14.15pt"/>
        <w:jc w:val="both"/>
        <w:rPr>
          <w:rFonts w:ascii="Century Gothic" w:hAnsi="Century Gothic" w:cs="Arial"/>
        </w:rPr>
      </w:pPr>
      <w:r>
        <w:rPr>
          <w:rFonts w:ascii="Century Gothic" w:hAnsi="Century Gothic" w:cs="Arial"/>
        </w:rPr>
        <w:t>Código identificador del equipo de acceso DSLAM que atiende el distrito relacionado con la terminal;</w:t>
      </w:r>
    </w:p>
    <w:p w:rsidR="00277ED2" w:rsidRPr="00611019" w:rsidRDefault="00E56462" w:rsidP="00F56183">
      <w:pPr>
        <w:pStyle w:val="Prrafodelista"/>
        <w:numPr>
          <w:ilvl w:val="0"/>
          <w:numId w:val="48"/>
        </w:numPr>
        <w:spacing w:after="6pt"/>
        <w:ind w:start="28.35pt" w:hanging="14.15pt"/>
        <w:jc w:val="both"/>
        <w:rPr>
          <w:rFonts w:ascii="Century Gothic" w:hAnsi="Century Gothic" w:cs="Arial"/>
        </w:rPr>
      </w:pPr>
      <w:r>
        <w:rPr>
          <w:rFonts w:ascii="Century Gothic" w:hAnsi="Century Gothic" w:cs="Arial"/>
        </w:rPr>
        <w:lastRenderedPageBreak/>
        <w:t>Marca/fabricante, modelo del equipo de acceso DSLAM;</w:t>
      </w:r>
    </w:p>
    <w:p w:rsidR="00277ED2" w:rsidRPr="00611019" w:rsidRDefault="00E56462" w:rsidP="00F56183">
      <w:pPr>
        <w:pStyle w:val="Prrafodelista"/>
        <w:numPr>
          <w:ilvl w:val="0"/>
          <w:numId w:val="48"/>
        </w:numPr>
        <w:spacing w:after="6pt"/>
        <w:ind w:start="28.35pt" w:hanging="14.15pt"/>
        <w:jc w:val="both"/>
        <w:rPr>
          <w:rFonts w:ascii="Century Gothic" w:hAnsi="Century Gothic" w:cs="Arial"/>
        </w:rPr>
      </w:pPr>
      <w:r>
        <w:rPr>
          <w:rFonts w:ascii="Century Gothic" w:hAnsi="Century Gothic" w:cs="Arial"/>
        </w:rPr>
        <w:t>Código Identificador del Nodo de Conexión de Acceso Indirecto (NCAI) asociado al equipo de acceso DSLAM;</w:t>
      </w:r>
    </w:p>
    <w:p w:rsidR="00277ED2" w:rsidRPr="00611019" w:rsidRDefault="00E56462" w:rsidP="00F56183">
      <w:pPr>
        <w:pStyle w:val="Prrafodelista"/>
        <w:numPr>
          <w:ilvl w:val="0"/>
          <w:numId w:val="48"/>
        </w:numPr>
        <w:spacing w:after="6pt"/>
        <w:ind w:start="28.35pt" w:hanging="14.15pt"/>
        <w:jc w:val="both"/>
        <w:rPr>
          <w:rFonts w:ascii="Century Gothic" w:hAnsi="Century Gothic" w:cs="Arial"/>
        </w:rPr>
      </w:pPr>
      <w:r>
        <w:rPr>
          <w:rFonts w:ascii="Century Gothic" w:hAnsi="Century Gothic" w:cs="Arial"/>
        </w:rPr>
        <w:t>Código Identificador de NCAI Regionales que atienden el distrito correspondiente; y</w:t>
      </w:r>
    </w:p>
    <w:p w:rsidR="00277ED2" w:rsidRPr="00611019" w:rsidRDefault="00E56462" w:rsidP="00F56183">
      <w:pPr>
        <w:pStyle w:val="Prrafodelista"/>
        <w:numPr>
          <w:ilvl w:val="0"/>
          <w:numId w:val="48"/>
        </w:numPr>
        <w:spacing w:after="6pt"/>
        <w:ind w:start="28.35pt" w:hanging="14.15pt"/>
        <w:jc w:val="both"/>
        <w:rPr>
          <w:rFonts w:ascii="Century Gothic" w:hAnsi="Century Gothic" w:cs="Arial"/>
        </w:rPr>
      </w:pPr>
      <w:r>
        <w:rPr>
          <w:rFonts w:ascii="Century Gothic" w:hAnsi="Century Gothic" w:cs="Arial"/>
        </w:rPr>
        <w:t>Código Identificador de NCAI Nacionales que atienden el distrito correspondiente.</w:t>
      </w:r>
    </w:p>
    <w:p w:rsidR="00277ED2" w:rsidRPr="00611019" w:rsidRDefault="00E56462" w:rsidP="00035D2C">
      <w:pPr>
        <w:pStyle w:val="IFTnormal"/>
        <w:spacing w:after="6pt"/>
        <w:rPr>
          <w:rFonts w:ascii="Century Gothic" w:hAnsi="Century Gothic"/>
        </w:rPr>
      </w:pPr>
      <w:r>
        <w:rPr>
          <w:rFonts w:ascii="Century Gothic" w:hAnsi="Century Gothic"/>
        </w:rPr>
        <w:t>En caso de que la infraestructura con la que cuenta RED NACIONAL para brindar servicios de telecomunicaciones al domicilio consultado además de cobre cuente con fibra óptica, o cuando sólo se cuente con infraestructura de fibra para la dirección correspondiente, se incluirá, además del listado anterior, la siguiente información:</w:t>
      </w:r>
    </w:p>
    <w:p w:rsidR="00277ED2" w:rsidRPr="00611019" w:rsidRDefault="00E56462" w:rsidP="00F56183">
      <w:pPr>
        <w:pStyle w:val="Prrafodelista"/>
        <w:numPr>
          <w:ilvl w:val="0"/>
          <w:numId w:val="49"/>
        </w:numPr>
        <w:ind w:start="28.35pt"/>
        <w:jc w:val="both"/>
        <w:rPr>
          <w:rFonts w:ascii="Century Gothic" w:hAnsi="Century Gothic" w:cs="Arial"/>
        </w:rPr>
      </w:pPr>
      <w:r>
        <w:rPr>
          <w:rFonts w:ascii="Century Gothic" w:hAnsi="Century Gothic" w:cs="Arial"/>
        </w:rPr>
        <w:t>Código identificador de la terminal óptica que puede atender la ubicación ingresada</w:t>
      </w:r>
    </w:p>
    <w:p w:rsidR="00277ED2" w:rsidRPr="00611019" w:rsidRDefault="00E56462" w:rsidP="00035D2C">
      <w:pPr>
        <w:ind w:start="72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Bucles disponibles en la terminal óptica;</w:t>
      </w:r>
    </w:p>
    <w:p w:rsidR="00277ED2" w:rsidRPr="00611019" w:rsidRDefault="00E56462" w:rsidP="00F56183">
      <w:pPr>
        <w:pStyle w:val="Prrafodelista"/>
        <w:numPr>
          <w:ilvl w:val="0"/>
          <w:numId w:val="50"/>
        </w:numPr>
        <w:jc w:val="both"/>
        <w:rPr>
          <w:rFonts w:ascii="Century Gothic" w:hAnsi="Century Gothic" w:cs="Arial"/>
        </w:rPr>
      </w:pPr>
      <w:r>
        <w:rPr>
          <w:rFonts w:ascii="Century Gothic" w:hAnsi="Century Gothic" w:cs="Arial"/>
        </w:rPr>
        <w:t>Indicar si los Bucles Locales están disponibles punto a punto o punto a multipunto.</w:t>
      </w:r>
    </w:p>
    <w:p w:rsidR="00277ED2" w:rsidRPr="00611019" w:rsidRDefault="00E56462" w:rsidP="00035D2C">
      <w:pPr>
        <w:ind w:start="72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Facilidades de dispositivos;</w:t>
      </w:r>
    </w:p>
    <w:p w:rsidR="00277ED2" w:rsidRPr="00611019" w:rsidRDefault="00E56462" w:rsidP="00035D2C">
      <w:pPr>
        <w:ind w:start="72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Facilidades de red;</w:t>
      </w:r>
    </w:p>
    <w:p w:rsidR="00277ED2" w:rsidRPr="00611019" w:rsidRDefault="00E56462" w:rsidP="00035D2C">
      <w:pPr>
        <w:spacing w:after="6pt"/>
        <w:ind w:start="72pt" w:hanging="18pt"/>
        <w:jc w:val="both"/>
        <w:rPr>
          <w:rFonts w:ascii="Century Gothic" w:hAnsi="Century Gothic" w:cs="Arial"/>
        </w:rPr>
      </w:pPr>
      <w:r>
        <w:rPr>
          <w:rFonts w:ascii="Century Gothic" w:eastAsia="Calibri" w:hAnsi="Century Gothic" w:cs="Courier New"/>
        </w:rPr>
        <w:t>o</w:t>
      </w:r>
      <w:r>
        <w:rPr>
          <w:rFonts w:ascii="Century Gothic" w:eastAsia="Calibri" w:hAnsi="Century Gothic" w:cs="Courier New"/>
        </w:rPr>
        <w:tab/>
      </w:r>
      <w:r>
        <w:rPr>
          <w:rFonts w:ascii="Century Gothic" w:hAnsi="Century Gothic" w:cs="Arial"/>
        </w:rPr>
        <w:t>Facilidades de internet (velocidad máxima soportada);</w:t>
      </w:r>
    </w:p>
    <w:p w:rsidR="00277ED2" w:rsidRPr="00611019" w:rsidRDefault="00E56462" w:rsidP="00F56183">
      <w:pPr>
        <w:pStyle w:val="Prrafodelista"/>
        <w:numPr>
          <w:ilvl w:val="0"/>
          <w:numId w:val="51"/>
        </w:numPr>
        <w:spacing w:after="6pt"/>
        <w:ind w:start="28.35pt"/>
        <w:jc w:val="both"/>
        <w:rPr>
          <w:rFonts w:ascii="Century Gothic" w:hAnsi="Century Gothic" w:cs="Arial"/>
        </w:rPr>
      </w:pPr>
      <w:r>
        <w:rPr>
          <w:rFonts w:ascii="Century Gothic" w:hAnsi="Century Gothic" w:cs="Arial"/>
        </w:rPr>
        <w:t>Código Identificador de Centrales Telefónicas o Instalaciones Equivalentes que pueden atender a la terminal óptica;</w:t>
      </w:r>
    </w:p>
    <w:p w:rsidR="00277ED2" w:rsidRPr="00611019" w:rsidRDefault="00E56462" w:rsidP="00F56183">
      <w:pPr>
        <w:pStyle w:val="Prrafodelista"/>
        <w:numPr>
          <w:ilvl w:val="0"/>
          <w:numId w:val="51"/>
        </w:numPr>
        <w:spacing w:after="6pt"/>
        <w:ind w:start="28.35pt"/>
        <w:jc w:val="both"/>
        <w:rPr>
          <w:rFonts w:ascii="Century Gothic" w:hAnsi="Century Gothic" w:cs="Arial"/>
        </w:rPr>
      </w:pPr>
      <w:r>
        <w:rPr>
          <w:rFonts w:ascii="Century Gothic" w:hAnsi="Century Gothic" w:cs="Arial"/>
        </w:rPr>
        <w:t>Código Identificador del distrito óptico que atiende la terminal óptica;</w:t>
      </w:r>
    </w:p>
    <w:p w:rsidR="00277ED2" w:rsidRPr="00611019" w:rsidRDefault="00E56462" w:rsidP="00F56183">
      <w:pPr>
        <w:pStyle w:val="Prrafodelista"/>
        <w:numPr>
          <w:ilvl w:val="0"/>
          <w:numId w:val="51"/>
        </w:numPr>
        <w:spacing w:after="6pt"/>
        <w:ind w:start="28.35pt"/>
        <w:jc w:val="both"/>
        <w:rPr>
          <w:rFonts w:ascii="Century Gothic" w:hAnsi="Century Gothic" w:cs="Arial"/>
        </w:rPr>
      </w:pPr>
      <w:r>
        <w:rPr>
          <w:rFonts w:ascii="Century Gothic" w:hAnsi="Century Gothic" w:cs="Arial"/>
        </w:rPr>
        <w:t>Código identificador del equipo de acceso OLT que atiende el distrito óptico relacionado con la terminal óptica;</w:t>
      </w:r>
    </w:p>
    <w:p w:rsidR="00277ED2" w:rsidRPr="00611019" w:rsidRDefault="00E56462" w:rsidP="00F56183">
      <w:pPr>
        <w:pStyle w:val="Prrafodelista"/>
        <w:numPr>
          <w:ilvl w:val="0"/>
          <w:numId w:val="52"/>
        </w:numPr>
        <w:spacing w:after="6pt"/>
        <w:ind w:start="28.35pt"/>
        <w:jc w:val="both"/>
        <w:rPr>
          <w:rFonts w:ascii="Century Gothic" w:hAnsi="Century Gothic" w:cs="Arial"/>
        </w:rPr>
      </w:pPr>
      <w:r>
        <w:rPr>
          <w:rFonts w:ascii="Century Gothic" w:hAnsi="Century Gothic" w:cs="Arial"/>
        </w:rPr>
        <w:t>Marca/fabricante, modelo del equipo de acceso OLT;</w:t>
      </w:r>
    </w:p>
    <w:p w:rsidR="00277ED2" w:rsidRPr="00611019" w:rsidRDefault="00E56462" w:rsidP="00F56183">
      <w:pPr>
        <w:pStyle w:val="Prrafodelista"/>
        <w:numPr>
          <w:ilvl w:val="0"/>
          <w:numId w:val="53"/>
        </w:numPr>
        <w:spacing w:after="6pt"/>
        <w:ind w:start="28.35pt"/>
        <w:jc w:val="both"/>
        <w:rPr>
          <w:rFonts w:ascii="Century Gothic" w:hAnsi="Century Gothic" w:cs="Arial"/>
        </w:rPr>
      </w:pPr>
      <w:r>
        <w:rPr>
          <w:rFonts w:ascii="Century Gothic" w:hAnsi="Century Gothic" w:cs="Arial"/>
        </w:rPr>
        <w:t xml:space="preserve">Código Identificador del Nodo de Conexión de Acceso Indirecto (NCAI) asociado al equipo de acceso OLT; </w:t>
      </w:r>
    </w:p>
    <w:p w:rsidR="00277ED2" w:rsidRPr="00611019" w:rsidRDefault="00E56462" w:rsidP="00F56183">
      <w:pPr>
        <w:pStyle w:val="Prrafodelista"/>
        <w:numPr>
          <w:ilvl w:val="0"/>
          <w:numId w:val="53"/>
        </w:numPr>
        <w:spacing w:after="6pt"/>
        <w:ind w:start="28.35pt"/>
        <w:jc w:val="both"/>
        <w:rPr>
          <w:rFonts w:ascii="Century Gothic" w:hAnsi="Century Gothic" w:cs="Arial"/>
        </w:rPr>
      </w:pPr>
      <w:r>
        <w:rPr>
          <w:rFonts w:ascii="Century Gothic" w:hAnsi="Century Gothic" w:cs="Arial"/>
        </w:rPr>
        <w:t>Código Identificador de NCAI Regionales que atienden el distrito óptico correspondiente; y</w:t>
      </w:r>
    </w:p>
    <w:p w:rsidR="00277ED2" w:rsidRPr="00611019" w:rsidRDefault="00E56462" w:rsidP="00F56183">
      <w:pPr>
        <w:pStyle w:val="Prrafodelista"/>
        <w:numPr>
          <w:ilvl w:val="0"/>
          <w:numId w:val="53"/>
        </w:numPr>
        <w:spacing w:after="6pt"/>
        <w:ind w:start="28.35pt"/>
        <w:jc w:val="both"/>
        <w:rPr>
          <w:rFonts w:ascii="Century Gothic" w:hAnsi="Century Gothic" w:cs="Arial"/>
        </w:rPr>
      </w:pPr>
      <w:r>
        <w:rPr>
          <w:rFonts w:ascii="Century Gothic" w:hAnsi="Century Gothic" w:cs="Arial"/>
        </w:rPr>
        <w:t>Código Identificador de NCAI Nacionales que atienden el distrito óptico correspondiente.</w:t>
      </w:r>
    </w:p>
    <w:p w:rsidR="00277ED2" w:rsidRPr="00611019" w:rsidRDefault="00E56462" w:rsidP="00035D2C">
      <w:pPr>
        <w:spacing w:after="6pt"/>
        <w:jc w:val="both"/>
        <w:rPr>
          <w:rFonts w:ascii="Century Gothic" w:hAnsi="Century Gothic" w:cs="Arial"/>
          <w:b/>
        </w:rPr>
      </w:pPr>
      <w:r>
        <w:rPr>
          <w:rFonts w:ascii="Century Gothic" w:hAnsi="Century Gothic" w:cs="Arial"/>
          <w:b/>
        </w:rPr>
        <w:t>Información tipo “c”:</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La información de las bases de datos debe estar disponible para los </w:t>
      </w:r>
      <w:r w:rsidR="00114418">
        <w:rPr>
          <w:rFonts w:ascii="Century Gothic" w:hAnsi="Century Gothic" w:cs="Arial"/>
        </w:rPr>
        <w:t>CS</w:t>
      </w:r>
      <w:r>
        <w:rPr>
          <w:rFonts w:ascii="Century Gothic" w:hAnsi="Century Gothic" w:cs="Arial"/>
        </w:rPr>
        <w:t xml:space="preserve"> en formato .txt, o cualquier formato abierto y compatible que permita su descarga y consulta mediante programas o sistemas gestores de bases de datos relacionales (SQL) de uso común para que la información sea funcional en su presentación, la fecha de actualización de estas bases se verá reflejada en la página principal de la base consultada en la interfaz. La información contiene todo el Catálogo de domicilios de </w:t>
      </w:r>
      <w:r>
        <w:rPr>
          <w:rFonts w:ascii="Century Gothic" w:hAnsi="Century Gothic"/>
        </w:rPr>
        <w:t>RED NACIONAL</w:t>
      </w:r>
      <w:r>
        <w:rPr>
          <w:rFonts w:ascii="Century Gothic" w:hAnsi="Century Gothic" w:cs="Arial"/>
        </w:rPr>
        <w:t>, dividido en regiones geográficas. Las regiones geográficas deberán estar disponibles para su consulta por Estado o Entidad Federativa, por Municipio y por Alcaldía en el caso de la Ciudad de México.</w:t>
      </w:r>
    </w:p>
    <w:p w:rsidR="00277ED2" w:rsidRPr="00611019" w:rsidRDefault="00E56462" w:rsidP="00035D2C">
      <w:pPr>
        <w:spacing w:after="3pt"/>
        <w:jc w:val="both"/>
        <w:rPr>
          <w:rFonts w:ascii="Century Gothic" w:hAnsi="Century Gothic" w:cs="Arial"/>
        </w:rPr>
      </w:pPr>
      <w:r>
        <w:rPr>
          <w:rFonts w:ascii="Century Gothic" w:hAnsi="Century Gothic" w:cs="Arial"/>
        </w:rPr>
        <w:lastRenderedPageBreak/>
        <w:t>La información tipo “c”, contendrá lo siguiente:</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ID Estado</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Estado</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ID Ciudad</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Ciudad</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ID Municipio</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Municipio</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ID Delegación</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Delegación</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ID Colonia</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Colonia</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Calle</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ID Subtítulo</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Subtítulo</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ID Orientación</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Orientación</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Número</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Subdescripción</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Entre Calle 1</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Entre Calle 2</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Lote</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Manzana</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ID Calificador</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Calificador</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Subnúmero</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ID Edificio</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Edificio</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Departamento</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Terminal Preferente</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Distrito</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Código Postal</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Código del Estado</w:t>
      </w:r>
    </w:p>
    <w:p w:rsidR="00277ED2"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Región</w:t>
      </w:r>
    </w:p>
    <w:p w:rsidR="00160A77" w:rsidRPr="00611019" w:rsidRDefault="00E56462" w:rsidP="00F56183">
      <w:pPr>
        <w:pStyle w:val="Prrafodelista"/>
        <w:numPr>
          <w:ilvl w:val="0"/>
          <w:numId w:val="54"/>
        </w:numPr>
        <w:tabs>
          <w:tab w:val="start" w:pos="28.35pt"/>
        </w:tabs>
        <w:spacing w:after="3pt"/>
        <w:ind w:start="35.45pt" w:hanging="28.35pt"/>
        <w:jc w:val="both"/>
        <w:rPr>
          <w:rFonts w:ascii="Century Gothic" w:hAnsi="Century Gothic" w:cs="Arial"/>
        </w:rPr>
      </w:pPr>
      <w:r>
        <w:rPr>
          <w:rFonts w:ascii="Century Gothic" w:hAnsi="Century Gothic" w:cs="Arial"/>
        </w:rPr>
        <w:t>ID de Domicilio RED NACIONAL/ID de domicilio RED NOROESTE</w:t>
      </w:r>
    </w:p>
    <w:p w:rsidR="005D4923" w:rsidRPr="00611019" w:rsidRDefault="005D4923" w:rsidP="00035D2C">
      <w:pPr>
        <w:pStyle w:val="Prrafodelista"/>
        <w:tabs>
          <w:tab w:val="start" w:pos="28.35pt"/>
        </w:tabs>
        <w:spacing w:after="3pt"/>
        <w:ind w:start="35.45pt"/>
        <w:jc w:val="both"/>
        <w:rPr>
          <w:rFonts w:ascii="Century Gothic" w:hAnsi="Century Gothic" w:cs="Arial"/>
        </w:rPr>
      </w:pPr>
    </w:p>
    <w:p w:rsidR="00277ED2" w:rsidRPr="00611019" w:rsidRDefault="00E56462" w:rsidP="00035D2C">
      <w:pPr>
        <w:spacing w:after="6pt"/>
        <w:jc w:val="both"/>
        <w:rPr>
          <w:rFonts w:ascii="Century Gothic" w:hAnsi="Century Gothic" w:cs="Arial"/>
        </w:rPr>
      </w:pPr>
      <w:r>
        <w:rPr>
          <w:rFonts w:ascii="Century Gothic" w:hAnsi="Century Gothic" w:cs="Arial"/>
        </w:rPr>
        <w:t xml:space="preserve">Sin perjuicio de la existencia de las bases de datos tipo “a”, tipo “b” y tipo “c”, en el SEG/SIPO, los </w:t>
      </w:r>
      <w:r w:rsidR="00114418">
        <w:rPr>
          <w:rFonts w:ascii="Century Gothic" w:hAnsi="Century Gothic" w:cs="Arial"/>
        </w:rPr>
        <w:t>CS</w:t>
      </w:r>
      <w:r>
        <w:rPr>
          <w:rFonts w:ascii="Century Gothic" w:hAnsi="Century Gothic" w:cs="Arial"/>
        </w:rPr>
        <w:t xml:space="preserve"> tendrán acceso a la misma información de infraestructura a la que tiene acceso </w:t>
      </w:r>
      <w:r>
        <w:rPr>
          <w:rFonts w:ascii="Century Gothic" w:hAnsi="Century Gothic"/>
        </w:rPr>
        <w:t>RED NACIONAL</w:t>
      </w:r>
      <w:r>
        <w:rPr>
          <w:rFonts w:ascii="Century Gothic" w:hAnsi="Century Gothic" w:cs="Arial"/>
        </w:rPr>
        <w:t xml:space="preserve"> bajo los mismos términos y condiciones que aplica en su operación, información que podrá incluir además de la contenida en las bases antes mencionadas, cualquier otra que estime sea relevante para la correcta prestación de </w:t>
      </w:r>
      <w:r>
        <w:rPr>
          <w:rFonts w:ascii="Century Gothic" w:hAnsi="Century Gothic" w:cs="Arial"/>
        </w:rPr>
        <w:lastRenderedPageBreak/>
        <w:t xml:space="preserve">los Servicios, incluyendo al menos, además de los catálogos de infraestructura, acceso a la verificación de factibilidad para brindar Servicios a una dirección especifica. </w:t>
      </w:r>
    </w:p>
    <w:p w:rsidR="001040CD" w:rsidRPr="00611019" w:rsidRDefault="001040CD" w:rsidP="00035D2C">
      <w:pPr>
        <w:jc w:val="both"/>
        <w:rPr>
          <w:rFonts w:ascii="Century Gothic" w:hAnsi="Century Gothic" w:cs="Arial"/>
        </w:rPr>
      </w:pPr>
    </w:p>
    <w:p w:rsidR="00277ED2" w:rsidRPr="00611019" w:rsidRDefault="00E56462" w:rsidP="00035D2C">
      <w:pPr>
        <w:pStyle w:val="Ttulo2"/>
        <w:spacing w:after="6pt"/>
        <w:rPr>
          <w:rFonts w:ascii="Century Gothic" w:hAnsi="Century Gothic"/>
        </w:rPr>
      </w:pPr>
      <w:bookmarkStart w:id="982" w:name="_Toc436840875"/>
      <w:bookmarkStart w:id="983" w:name="_Toc436846312"/>
      <w:bookmarkStart w:id="984" w:name="_Toc436848262"/>
      <w:bookmarkStart w:id="985" w:name="_Toc436856510"/>
      <w:bookmarkStart w:id="986" w:name="_Toc436862656"/>
      <w:bookmarkStart w:id="987" w:name="_Toc436866306"/>
      <w:bookmarkStart w:id="988" w:name="_Toc436870885"/>
      <w:bookmarkStart w:id="989" w:name="_Toc436875877"/>
      <w:bookmarkStart w:id="990" w:name="_Toc467248690"/>
      <w:bookmarkStart w:id="991" w:name="_Toc525904554"/>
      <w:bookmarkStart w:id="992" w:name="_Toc525913950"/>
      <w:bookmarkStart w:id="993" w:name="_Toc525919189"/>
      <w:bookmarkStart w:id="994" w:name="_Toc525919313"/>
      <w:bookmarkStart w:id="995" w:name="_Toc24473449"/>
      <w:bookmarkStart w:id="996" w:name="_Toc24477577"/>
      <w:bookmarkStart w:id="997" w:name="_Toc26281386"/>
      <w:bookmarkStart w:id="998" w:name="_Toc26284922"/>
      <w:bookmarkStart w:id="999" w:name="_Toc26903907"/>
      <w:bookmarkStart w:id="1000" w:name="_Toc43913149"/>
      <w:bookmarkStart w:id="1001" w:name="_Toc26980631"/>
      <w:bookmarkStart w:id="1002" w:name="_Toc53488483"/>
      <w:bookmarkStart w:id="1003" w:name="_Toc53490415"/>
      <w:bookmarkStart w:id="1004" w:name="_Toc53498423"/>
      <w:bookmarkStart w:id="1005" w:name="_Toc58578780"/>
      <w:bookmarkStart w:id="1006" w:name="_Toc92974005"/>
      <w:bookmarkStart w:id="1007" w:name="_Toc93052316"/>
      <w:bookmarkStart w:id="1008" w:name="_Toc93056271"/>
      <w:bookmarkStart w:id="1009" w:name="_Toc125393344"/>
      <w:bookmarkStart w:id="1010" w:name="_Toc148702200"/>
      <w:bookmarkStart w:id="1011" w:name="_Toc170381825"/>
      <w:r>
        <w:rPr>
          <w:rFonts w:ascii="Century Gothic" w:hAnsi="Century Gothic"/>
        </w:rPr>
        <w:t>2.4</w:t>
      </w:r>
      <w:bookmarkStart w:id="1012" w:name="_Toc2957123"/>
      <w:r>
        <w:rPr>
          <w:rFonts w:ascii="Century Gothic" w:hAnsi="Century Gothic"/>
        </w:rPr>
        <w:t xml:space="preserve"> Procedimiento de acceso a la información contenida en el sitio de Internet</w:t>
      </w:r>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r>
        <w:rPr>
          <w:rFonts w:ascii="Century Gothic" w:hAnsi="Century Gothic"/>
        </w:rPr>
        <w:t>.</w:t>
      </w:r>
    </w:p>
    <w:p w:rsidR="00277ED2" w:rsidRPr="00611019" w:rsidRDefault="00E56462" w:rsidP="00035D2C">
      <w:pPr>
        <w:pStyle w:val="Texto1"/>
        <w:spacing w:after="6pt" w:line="13.80pt" w:lineRule="auto"/>
        <w:ind w:start="0pt"/>
        <w:rPr>
          <w:rFonts w:ascii="Century Gothic" w:hAnsi="Century Gothic" w:cs="Arial"/>
          <w:sz w:val="22"/>
          <w:szCs w:val="22"/>
          <w:lang w:val="es-MX"/>
        </w:rPr>
      </w:pPr>
      <w:r>
        <w:rPr>
          <w:rFonts w:ascii="Century Gothic" w:hAnsi="Century Gothic" w:cs="Arial"/>
          <w:sz w:val="22"/>
          <w:szCs w:val="22"/>
          <w:lang w:val="es-MX"/>
        </w:rPr>
        <w:t xml:space="preserve">Para el acceso a la información a través de la interfaz en el sitio de Internet de </w:t>
      </w:r>
      <w:r>
        <w:rPr>
          <w:rFonts w:ascii="Century Gothic" w:hAnsi="Century Gothic"/>
          <w:sz w:val="22"/>
          <w:szCs w:val="22"/>
        </w:rPr>
        <w:t>RED NACIONAL</w:t>
      </w:r>
      <w:r>
        <w:rPr>
          <w:rFonts w:ascii="Century Gothic" w:hAnsi="Century Gothic" w:cs="Arial"/>
          <w:sz w:val="22"/>
          <w:szCs w:val="22"/>
          <w:lang w:val="es-MX"/>
        </w:rPr>
        <w:t>, el CS deberá contar con el usuario y contraseña descritos en el punto 3.1.</w:t>
      </w:r>
    </w:p>
    <w:p w:rsidR="00277ED2" w:rsidRPr="00611019" w:rsidRDefault="00E56462" w:rsidP="00035D2C">
      <w:pPr>
        <w:pStyle w:val="Texto1"/>
        <w:spacing w:after="6pt" w:line="13.80pt" w:lineRule="auto"/>
        <w:ind w:start="0pt"/>
        <w:rPr>
          <w:rFonts w:ascii="Century Gothic" w:hAnsi="Century Gothic" w:cs="Arial"/>
          <w:sz w:val="22"/>
          <w:szCs w:val="22"/>
          <w:lang w:val="es-MX"/>
        </w:rPr>
      </w:pPr>
      <w:r>
        <w:rPr>
          <w:rFonts w:ascii="Century Gothic" w:hAnsi="Century Gothic" w:cs="Arial"/>
          <w:sz w:val="22"/>
          <w:szCs w:val="22"/>
          <w:lang w:val="es-MX"/>
        </w:rPr>
        <w:t>Los pasos para ingresar al Sitio y realizar consultas serán los siguientes:</w:t>
      </w:r>
    </w:p>
    <w:p w:rsidR="00277ED2" w:rsidRPr="00611019" w:rsidRDefault="00E56462" w:rsidP="00035D2C">
      <w:pPr>
        <w:pStyle w:val="Texto1"/>
        <w:spacing w:after="6pt" w:line="13.80pt" w:lineRule="auto"/>
        <w:ind w:start="21.30pt" w:hanging="21.30pt"/>
        <w:rPr>
          <w:rFonts w:ascii="Century Gothic" w:hAnsi="Century Gothic" w:cs="Arial"/>
          <w:sz w:val="22"/>
          <w:szCs w:val="22"/>
          <w:lang w:val="es-MX"/>
        </w:rPr>
      </w:pPr>
      <w:r>
        <w:rPr>
          <w:rFonts w:ascii="Century Gothic" w:hAnsi="Century Gothic" w:cs="Arial"/>
          <w:sz w:val="22"/>
          <w:szCs w:val="22"/>
          <w:lang w:val="es-MX"/>
        </w:rPr>
        <w:t>1.</w:t>
      </w:r>
      <w:r>
        <w:rPr>
          <w:rFonts w:ascii="Century Gothic" w:hAnsi="Century Gothic" w:cs="Arial"/>
          <w:sz w:val="22"/>
          <w:szCs w:val="22"/>
          <w:lang w:val="es-MX"/>
        </w:rPr>
        <w:tab/>
        <w:t xml:space="preserve">Entrar al sitio </w:t>
      </w:r>
      <w:hyperlink r:id="rId24" w:history="1">
        <w:r>
          <w:rPr>
            <w:rStyle w:val="Hipervnculo"/>
            <w:rFonts w:ascii="Century Gothic" w:hAnsi="Century Gothic" w:cs="Arial"/>
            <w:color w:val="auto"/>
            <w:sz w:val="22"/>
            <w:szCs w:val="22"/>
            <w:u w:val="none"/>
            <w:lang w:val="es-MX"/>
          </w:rPr>
          <w:t>http://www.rednacional.com/</w:t>
        </w:r>
      </w:hyperlink>
      <w:r>
        <w:rPr>
          <w:rStyle w:val="Hipervnculo"/>
          <w:rFonts w:ascii="Century Gothic" w:hAnsi="Century Gothic" w:cs="Arial"/>
          <w:sz w:val="22"/>
          <w:szCs w:val="22"/>
          <w:lang w:val="es-MX"/>
        </w:rPr>
        <w:t>.</w:t>
      </w:r>
    </w:p>
    <w:p w:rsidR="00277ED2" w:rsidRPr="00611019" w:rsidRDefault="00E56462" w:rsidP="00035D2C">
      <w:pPr>
        <w:pStyle w:val="Texto1"/>
        <w:spacing w:after="6pt" w:line="13.80pt" w:lineRule="auto"/>
        <w:ind w:start="21.30pt" w:hanging="21.30pt"/>
        <w:rPr>
          <w:rFonts w:ascii="Century Gothic" w:hAnsi="Century Gothic" w:cs="Arial"/>
          <w:sz w:val="22"/>
          <w:szCs w:val="22"/>
          <w:lang w:val="es-MX"/>
        </w:rPr>
      </w:pPr>
      <w:r>
        <w:rPr>
          <w:rFonts w:ascii="Century Gothic" w:hAnsi="Century Gothic" w:cs="Arial"/>
          <w:sz w:val="22"/>
          <w:szCs w:val="22"/>
          <w:lang w:val="es-MX"/>
        </w:rPr>
        <w:t>2.</w:t>
      </w:r>
      <w:r>
        <w:rPr>
          <w:rFonts w:ascii="Century Gothic" w:hAnsi="Century Gothic" w:cs="Arial"/>
          <w:sz w:val="22"/>
          <w:szCs w:val="22"/>
          <w:lang w:val="es-MX"/>
        </w:rPr>
        <w:tab/>
        <w:t>Seleccionar el apartado “Ofertas de Referencia”.</w:t>
      </w:r>
    </w:p>
    <w:p w:rsidR="00277ED2" w:rsidRPr="00611019" w:rsidRDefault="00E56462" w:rsidP="00035D2C">
      <w:pPr>
        <w:pStyle w:val="Texto1"/>
        <w:spacing w:after="6pt" w:line="13.80pt" w:lineRule="auto"/>
        <w:ind w:start="21.30pt" w:hanging="21.30pt"/>
        <w:rPr>
          <w:rFonts w:ascii="Century Gothic" w:hAnsi="Century Gothic" w:cs="Arial"/>
          <w:sz w:val="22"/>
          <w:szCs w:val="22"/>
          <w:lang w:val="es-MX"/>
        </w:rPr>
      </w:pPr>
      <w:r>
        <w:rPr>
          <w:rFonts w:ascii="Century Gothic" w:hAnsi="Century Gothic" w:cs="Arial"/>
          <w:sz w:val="22"/>
          <w:szCs w:val="22"/>
          <w:lang w:val="es-MX"/>
        </w:rPr>
        <w:t>3.</w:t>
      </w:r>
      <w:r>
        <w:rPr>
          <w:rFonts w:ascii="Century Gothic" w:hAnsi="Century Gothic" w:cs="Arial"/>
          <w:sz w:val="22"/>
          <w:szCs w:val="22"/>
          <w:lang w:val="es-MX"/>
        </w:rPr>
        <w:tab/>
        <w:t>Seleccionar la sección “Consulta de Información de Desagregación”.</w:t>
      </w:r>
    </w:p>
    <w:p w:rsidR="00277ED2" w:rsidRPr="00611019" w:rsidRDefault="00E56462" w:rsidP="00035D2C">
      <w:pPr>
        <w:pStyle w:val="Texto1"/>
        <w:spacing w:after="6pt" w:line="13.80pt" w:lineRule="auto"/>
        <w:ind w:start="21.30pt" w:hanging="21.30pt"/>
        <w:rPr>
          <w:rFonts w:ascii="Century Gothic" w:hAnsi="Century Gothic" w:cs="Arial"/>
          <w:sz w:val="22"/>
          <w:szCs w:val="22"/>
          <w:lang w:val="es-MX"/>
        </w:rPr>
      </w:pPr>
      <w:r>
        <w:rPr>
          <w:rFonts w:ascii="Century Gothic" w:hAnsi="Century Gothic" w:cs="Arial"/>
          <w:sz w:val="22"/>
          <w:szCs w:val="22"/>
          <w:lang w:val="es-MX"/>
        </w:rPr>
        <w:t>4.</w:t>
      </w:r>
      <w:r>
        <w:rPr>
          <w:rFonts w:ascii="Century Gothic" w:hAnsi="Century Gothic" w:cs="Arial"/>
          <w:sz w:val="22"/>
          <w:szCs w:val="22"/>
          <w:lang w:val="es-MX"/>
        </w:rPr>
        <w:tab/>
        <w:t xml:space="preserve">Ingresar las credenciales (Usuario y Contraseña) que le fueron otorgadas por </w:t>
      </w:r>
      <w:r>
        <w:rPr>
          <w:rFonts w:ascii="Century Gothic" w:hAnsi="Century Gothic"/>
          <w:sz w:val="22"/>
          <w:szCs w:val="22"/>
        </w:rPr>
        <w:t>RED NACIONAL</w:t>
      </w:r>
      <w:r>
        <w:rPr>
          <w:rFonts w:ascii="Century Gothic" w:hAnsi="Century Gothic" w:cs="Arial"/>
          <w:sz w:val="22"/>
          <w:szCs w:val="22"/>
          <w:lang w:val="es-MX"/>
        </w:rPr>
        <w:t>.</w:t>
      </w:r>
    </w:p>
    <w:p w:rsidR="00277ED2" w:rsidRPr="00611019" w:rsidRDefault="00E56462" w:rsidP="00035D2C">
      <w:pPr>
        <w:pStyle w:val="Texto1"/>
        <w:spacing w:after="6pt" w:line="13.80pt" w:lineRule="auto"/>
        <w:ind w:start="21.30pt" w:hanging="21.30pt"/>
        <w:rPr>
          <w:rFonts w:ascii="Century Gothic" w:hAnsi="Century Gothic" w:cs="Arial"/>
          <w:sz w:val="22"/>
          <w:szCs w:val="22"/>
          <w:lang w:val="es-MX"/>
        </w:rPr>
      </w:pPr>
      <w:r>
        <w:rPr>
          <w:rFonts w:ascii="Century Gothic" w:hAnsi="Century Gothic" w:cs="Arial"/>
          <w:sz w:val="22"/>
          <w:szCs w:val="22"/>
          <w:lang w:val="es-MX"/>
        </w:rPr>
        <w:t>5.</w:t>
      </w:r>
      <w:r>
        <w:rPr>
          <w:rFonts w:ascii="Century Gothic" w:hAnsi="Century Gothic" w:cs="Arial"/>
          <w:sz w:val="22"/>
          <w:szCs w:val="22"/>
          <w:lang w:val="es-MX"/>
        </w:rPr>
        <w:tab/>
        <w:t>El CS deberá seleccionar el tipo de información en la cual está interesado.</w:t>
      </w:r>
    </w:p>
    <w:p w:rsidR="00277ED2" w:rsidRPr="00611019" w:rsidRDefault="00E56462" w:rsidP="00035D2C">
      <w:pPr>
        <w:pStyle w:val="Texto1"/>
        <w:spacing w:after="6pt" w:line="13.80pt" w:lineRule="auto"/>
        <w:ind w:start="21.30pt" w:hanging="21.30pt"/>
        <w:rPr>
          <w:rFonts w:ascii="Century Gothic" w:hAnsi="Century Gothic" w:cs="Arial"/>
          <w:sz w:val="22"/>
          <w:szCs w:val="22"/>
          <w:lang w:val="es-MX"/>
        </w:rPr>
      </w:pPr>
      <w:r>
        <w:rPr>
          <w:rFonts w:ascii="Century Gothic" w:hAnsi="Century Gothic" w:cs="Arial"/>
          <w:sz w:val="22"/>
          <w:szCs w:val="22"/>
          <w:lang w:val="es-MX"/>
        </w:rPr>
        <w:t>6.</w:t>
      </w:r>
      <w:r>
        <w:rPr>
          <w:rFonts w:ascii="Century Gothic" w:hAnsi="Century Gothic" w:cs="Arial"/>
          <w:sz w:val="22"/>
          <w:szCs w:val="22"/>
          <w:lang w:val="es-MX"/>
        </w:rPr>
        <w:tab/>
        <w:t>En la página de internet se desplegará la información solicitada</w:t>
      </w:r>
      <w:bookmarkStart w:id="1013" w:name="_Toc436840877"/>
      <w:bookmarkStart w:id="1014" w:name="_Toc436846314"/>
      <w:bookmarkStart w:id="1015" w:name="_Toc436848264"/>
      <w:bookmarkStart w:id="1016" w:name="_Toc436856512"/>
      <w:bookmarkStart w:id="1017" w:name="_Toc436862658"/>
      <w:bookmarkStart w:id="1018" w:name="_Toc436866308"/>
      <w:bookmarkStart w:id="1019" w:name="_Toc436870887"/>
      <w:bookmarkStart w:id="1020" w:name="_Toc436875879"/>
      <w:bookmarkStart w:id="1021" w:name="_Toc467248692"/>
      <w:bookmarkStart w:id="1022" w:name="_Toc525904556"/>
      <w:bookmarkStart w:id="1023" w:name="_Toc525913952"/>
      <w:bookmarkStart w:id="1024" w:name="_Toc525919191"/>
      <w:bookmarkStart w:id="1025" w:name="_Toc525919315"/>
      <w:r>
        <w:rPr>
          <w:rFonts w:ascii="Century Gothic" w:hAnsi="Century Gothic" w:cs="Arial"/>
          <w:sz w:val="22"/>
          <w:szCs w:val="22"/>
          <w:lang w:val="es-MX"/>
        </w:rPr>
        <w:t>.</w:t>
      </w:r>
    </w:p>
    <w:p w:rsidR="008573DC" w:rsidRPr="00611019" w:rsidRDefault="008573DC" w:rsidP="00035D2C">
      <w:pPr>
        <w:pStyle w:val="Texto1"/>
        <w:spacing w:after="6pt" w:line="13.80pt" w:lineRule="auto"/>
        <w:ind w:start="21.30pt" w:hanging="21.30pt"/>
        <w:rPr>
          <w:rFonts w:ascii="Century Gothic" w:hAnsi="Century Gothic" w:cs="Arial"/>
          <w:sz w:val="22"/>
          <w:szCs w:val="22"/>
          <w:lang w:val="es-MX"/>
        </w:rPr>
      </w:pPr>
    </w:p>
    <w:p w:rsidR="00277ED2" w:rsidRPr="00611019" w:rsidRDefault="00E56462" w:rsidP="00035D2C">
      <w:pPr>
        <w:pStyle w:val="Ttulo2"/>
        <w:spacing w:after="6pt"/>
        <w:rPr>
          <w:rFonts w:ascii="Century Gothic" w:hAnsi="Century Gothic"/>
        </w:rPr>
      </w:pPr>
      <w:bookmarkStart w:id="1026" w:name="_Toc24473450"/>
      <w:bookmarkStart w:id="1027" w:name="_Toc24477578"/>
      <w:bookmarkStart w:id="1028" w:name="_Toc26281387"/>
      <w:bookmarkStart w:id="1029" w:name="_Toc26284923"/>
      <w:bookmarkStart w:id="1030" w:name="_Toc26903908"/>
      <w:bookmarkStart w:id="1031" w:name="_Toc43913150"/>
      <w:bookmarkStart w:id="1032" w:name="_Toc26980632"/>
      <w:bookmarkStart w:id="1033" w:name="_Toc53488484"/>
      <w:bookmarkStart w:id="1034" w:name="_Toc53490416"/>
      <w:bookmarkStart w:id="1035" w:name="_Toc53498424"/>
      <w:bookmarkStart w:id="1036" w:name="_Toc58578781"/>
      <w:bookmarkStart w:id="1037" w:name="_Toc92974006"/>
      <w:bookmarkStart w:id="1038" w:name="_Toc93052317"/>
      <w:bookmarkStart w:id="1039" w:name="_Toc93056272"/>
      <w:bookmarkStart w:id="1040" w:name="_Toc125393345"/>
      <w:bookmarkStart w:id="1041" w:name="_Toc148702201"/>
      <w:bookmarkStart w:id="1042" w:name="_Toc170381826"/>
      <w:bookmarkStart w:id="1043" w:name="_Hlk34752889"/>
      <w:bookmarkStart w:id="1044" w:name="_Hlk34755839"/>
      <w:r>
        <w:rPr>
          <w:rFonts w:ascii="Century Gothic" w:hAnsi="Century Gothic"/>
        </w:rPr>
        <w:t>2.5</w:t>
      </w:r>
      <w:bookmarkStart w:id="1045" w:name="_Toc2957125"/>
      <w:r>
        <w:rPr>
          <w:rFonts w:ascii="Century Gothic" w:hAnsi="Century Gothic"/>
        </w:rPr>
        <w:t xml:space="preserve"> Procedimiento de acceso a la información contenida en el SEG/SIPO</w:t>
      </w:r>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5"/>
      <w:r>
        <w:rPr>
          <w:rFonts w:ascii="Century Gothic" w:hAnsi="Century Gothic"/>
        </w:rPr>
        <w:t>.</w:t>
      </w:r>
    </w:p>
    <w:p w:rsidR="00277ED2" w:rsidRPr="00611019" w:rsidRDefault="00E56462" w:rsidP="00035D2C">
      <w:pPr>
        <w:spacing w:after="6pt"/>
        <w:jc w:val="both"/>
        <w:rPr>
          <w:rFonts w:ascii="Century Gothic" w:hAnsi="Century Gothic" w:cs="Arial"/>
        </w:rPr>
      </w:pPr>
      <w:r>
        <w:rPr>
          <w:rFonts w:ascii="Century Gothic" w:hAnsi="Century Gothic" w:cs="Arial"/>
        </w:rPr>
        <w:t>La información consultada a través del SEG/SIPO debe ser la misma que la establecida en la interfaz, y para acceder a la misma el procedimiento será el siguiente:</w:t>
      </w:r>
    </w:p>
    <w:p w:rsidR="00277ED2" w:rsidRPr="00611019" w:rsidRDefault="00E56462" w:rsidP="00035D2C">
      <w:pPr>
        <w:spacing w:after="6pt"/>
        <w:ind w:start="21.30pt" w:hanging="17.85pt"/>
        <w:jc w:val="both"/>
        <w:rPr>
          <w:rFonts w:ascii="Century Gothic" w:hAnsi="Century Gothic" w:cs="Arial"/>
        </w:rPr>
      </w:pPr>
      <w:r>
        <w:rPr>
          <w:rFonts w:ascii="Century Gothic" w:eastAsia="Calibri" w:hAnsi="Century Gothic" w:cs="Arial"/>
        </w:rPr>
        <w:t>1)</w:t>
      </w:r>
      <w:r>
        <w:rPr>
          <w:rFonts w:ascii="Century Gothic" w:eastAsia="Calibri" w:hAnsi="Century Gothic" w:cs="Arial"/>
        </w:rPr>
        <w:tab/>
      </w:r>
      <w:r>
        <w:rPr>
          <w:rFonts w:ascii="Century Gothic" w:hAnsi="Century Gothic" w:cs="Arial"/>
        </w:rPr>
        <w:t xml:space="preserve">El CS deberá ingresar al SEG/SIPO con su usuario y contraseña asignados por parte de </w:t>
      </w:r>
      <w:r>
        <w:rPr>
          <w:rFonts w:ascii="Century Gothic" w:hAnsi="Century Gothic"/>
        </w:rPr>
        <w:t>RED NACIONAL</w:t>
      </w:r>
      <w:r>
        <w:rPr>
          <w:rFonts w:ascii="Century Gothic" w:hAnsi="Century Gothic" w:cs="Arial"/>
        </w:rPr>
        <w:t>.</w:t>
      </w:r>
    </w:p>
    <w:p w:rsidR="00277ED2" w:rsidRPr="00611019" w:rsidRDefault="00E56462" w:rsidP="00035D2C">
      <w:pPr>
        <w:spacing w:after="6pt"/>
        <w:ind w:start="21.30pt" w:hanging="17.85pt"/>
        <w:jc w:val="both"/>
        <w:rPr>
          <w:rFonts w:ascii="Century Gothic" w:hAnsi="Century Gothic" w:cs="Arial"/>
        </w:rPr>
      </w:pPr>
      <w:r>
        <w:rPr>
          <w:rFonts w:ascii="Century Gothic" w:eastAsia="Calibri" w:hAnsi="Century Gothic" w:cs="Arial"/>
        </w:rPr>
        <w:t>2)</w:t>
      </w:r>
      <w:r>
        <w:rPr>
          <w:rFonts w:ascii="Century Gothic" w:eastAsia="Calibri" w:hAnsi="Century Gothic" w:cs="Arial"/>
        </w:rPr>
        <w:tab/>
      </w:r>
      <w:r>
        <w:rPr>
          <w:rFonts w:ascii="Century Gothic" w:hAnsi="Century Gothic" w:cs="Arial"/>
        </w:rPr>
        <w:t>Para consultar información, se despliega una barra con diferentes opciones (íconos), y el CS deberá seleccionar el módulo Documentación, y elegir la opción Bases de Datos (BD Oreda).</w:t>
      </w:r>
    </w:p>
    <w:p w:rsidR="00277ED2" w:rsidRPr="00611019" w:rsidRDefault="00E56462" w:rsidP="00035D2C">
      <w:pPr>
        <w:spacing w:after="6pt"/>
        <w:ind w:start="42.55pt" w:hanging="17.85pt"/>
        <w:jc w:val="both"/>
        <w:rPr>
          <w:rFonts w:ascii="Century Gothic" w:hAnsi="Century Gothic" w:cs="Arial"/>
        </w:rPr>
      </w:pPr>
      <w:r>
        <w:rPr>
          <w:rFonts w:ascii="Century Gothic" w:eastAsia="Calibri" w:hAnsi="Century Gothic" w:cs="Arial"/>
        </w:rPr>
        <w:t>a.</w:t>
      </w:r>
      <w:r>
        <w:rPr>
          <w:rFonts w:ascii="Century Gothic" w:eastAsia="Calibri" w:hAnsi="Century Gothic" w:cs="Arial"/>
        </w:rPr>
        <w:tab/>
      </w:r>
      <w:r>
        <w:rPr>
          <w:rFonts w:ascii="Century Gothic" w:hAnsi="Century Gothic" w:cs="Arial"/>
        </w:rPr>
        <w:t>Se desplegarán las distintas categorías de información disponibles</w:t>
      </w:r>
    </w:p>
    <w:p w:rsidR="00277ED2" w:rsidRPr="00611019" w:rsidRDefault="00E56462" w:rsidP="00035D2C">
      <w:pPr>
        <w:spacing w:after="6pt"/>
        <w:ind w:start="42.55pt" w:hanging="17.85pt"/>
        <w:jc w:val="both"/>
        <w:rPr>
          <w:rFonts w:ascii="Century Gothic" w:hAnsi="Century Gothic" w:cs="Arial"/>
        </w:rPr>
      </w:pPr>
      <w:r>
        <w:rPr>
          <w:rFonts w:ascii="Century Gothic" w:eastAsia="Calibri" w:hAnsi="Century Gothic" w:cs="Arial"/>
        </w:rPr>
        <w:t>b.</w:t>
      </w:r>
      <w:r>
        <w:rPr>
          <w:rFonts w:ascii="Century Gothic" w:eastAsia="Calibri" w:hAnsi="Century Gothic" w:cs="Arial"/>
        </w:rPr>
        <w:tab/>
      </w:r>
      <w:r>
        <w:rPr>
          <w:rFonts w:ascii="Century Gothic" w:hAnsi="Century Gothic" w:cs="Arial"/>
        </w:rPr>
        <w:t>El CS seleccionará la categoría de interés</w:t>
      </w:r>
    </w:p>
    <w:p w:rsidR="00211C43" w:rsidRPr="00611019" w:rsidRDefault="00E56462" w:rsidP="00035D2C">
      <w:pPr>
        <w:spacing w:after="6pt"/>
        <w:ind w:start="21.30pt" w:hanging="17.85pt"/>
        <w:jc w:val="both"/>
        <w:rPr>
          <w:rFonts w:ascii="Century Gothic" w:hAnsi="Century Gothic" w:cs="Arial"/>
        </w:rPr>
      </w:pPr>
      <w:r>
        <w:rPr>
          <w:rFonts w:ascii="Century Gothic" w:eastAsia="Calibri" w:hAnsi="Century Gothic" w:cs="Arial"/>
        </w:rPr>
        <w:t>3)</w:t>
      </w:r>
      <w:r>
        <w:rPr>
          <w:rFonts w:ascii="Century Gothic" w:eastAsia="Calibri" w:hAnsi="Century Gothic" w:cs="Arial"/>
        </w:rPr>
        <w:tab/>
      </w:r>
      <w:r>
        <w:rPr>
          <w:rFonts w:ascii="Century Gothic" w:hAnsi="Century Gothic" w:cs="Arial"/>
        </w:rPr>
        <w:t>El Sistema proporcionará la información solicitada por el CS.</w:t>
      </w:r>
      <w:bookmarkStart w:id="1046" w:name="_Toc436840878"/>
      <w:bookmarkStart w:id="1047" w:name="_Toc436846315"/>
      <w:bookmarkStart w:id="1048" w:name="_Toc436848265"/>
      <w:bookmarkStart w:id="1049" w:name="_Toc436856513"/>
      <w:bookmarkStart w:id="1050" w:name="_Toc436862659"/>
      <w:bookmarkStart w:id="1051" w:name="_Toc436866309"/>
      <w:bookmarkStart w:id="1052" w:name="_Toc436870888"/>
      <w:bookmarkStart w:id="1053" w:name="_Toc436875880"/>
      <w:bookmarkStart w:id="1054" w:name="_Toc467248693"/>
      <w:bookmarkStart w:id="1055" w:name="_Toc525904557"/>
      <w:bookmarkStart w:id="1056" w:name="_Toc525913953"/>
      <w:bookmarkStart w:id="1057" w:name="_Toc525919192"/>
      <w:bookmarkStart w:id="1058" w:name="_Toc525919316"/>
      <w:bookmarkStart w:id="1059" w:name="_Toc24473451"/>
      <w:bookmarkStart w:id="1060" w:name="_Toc24477579"/>
      <w:bookmarkStart w:id="1061" w:name="_Toc26281388"/>
      <w:bookmarkStart w:id="1062" w:name="_Toc26284924"/>
      <w:bookmarkStart w:id="1063" w:name="_Toc26903909"/>
      <w:bookmarkStart w:id="1064" w:name="_Toc26980633"/>
      <w:bookmarkStart w:id="1065" w:name="_Toc43913151"/>
      <w:bookmarkStart w:id="1066" w:name="_Toc53488485"/>
      <w:bookmarkStart w:id="1067" w:name="_Toc53490417"/>
      <w:bookmarkStart w:id="1068" w:name="_Toc53498425"/>
      <w:bookmarkStart w:id="1069" w:name="_Toc58578782"/>
    </w:p>
    <w:p w:rsidR="00277ED2" w:rsidRPr="00611019" w:rsidRDefault="00E56462" w:rsidP="00F645E5">
      <w:pPr>
        <w:pStyle w:val="Ttulo2"/>
        <w:spacing w:after="6pt"/>
        <w:ind w:start="0pt" w:firstLine="0pt"/>
        <w:rPr>
          <w:rFonts w:ascii="Century Gothic" w:hAnsi="Century Gothic"/>
        </w:rPr>
      </w:pPr>
      <w:bookmarkStart w:id="1070" w:name="_Toc92974007"/>
      <w:bookmarkStart w:id="1071" w:name="_Toc93052318"/>
      <w:bookmarkStart w:id="1072" w:name="_Toc93056273"/>
      <w:bookmarkStart w:id="1073" w:name="_Toc125393346"/>
      <w:bookmarkStart w:id="1074" w:name="_Toc148702202"/>
      <w:bookmarkStart w:id="1075" w:name="_Toc170381827"/>
      <w:r>
        <w:rPr>
          <w:rFonts w:ascii="Century Gothic" w:hAnsi="Century Gothic"/>
        </w:rPr>
        <w:t xml:space="preserve">2.6 </w:t>
      </w:r>
      <w:bookmarkStart w:id="1076" w:name="_Toc2957126"/>
      <w:r>
        <w:rPr>
          <w:rFonts w:ascii="Century Gothic" w:hAnsi="Century Gothic"/>
        </w:rPr>
        <w:t>Procedimiento de acceso a la información de forma presencial</w:t>
      </w:r>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6"/>
      <w:r>
        <w:rPr>
          <w:rFonts w:ascii="Century Gothic" w:hAnsi="Century Gothic"/>
        </w:rPr>
        <w:t xml:space="preserve"> y a través del medio alternativo.</w:t>
      </w:r>
      <w:bookmarkEnd w:id="1073"/>
      <w:bookmarkEnd w:id="1074"/>
      <w:bookmarkEnd w:id="1075"/>
    </w:p>
    <w:p w:rsidR="00277ED2" w:rsidRPr="00611019" w:rsidRDefault="00E56462" w:rsidP="00035D2C">
      <w:pPr>
        <w:pStyle w:val="Texto1"/>
        <w:spacing w:after="6pt" w:line="13.80pt" w:lineRule="auto"/>
        <w:ind w:start="0pt"/>
        <w:rPr>
          <w:rFonts w:ascii="Century Gothic" w:hAnsi="Century Gothic" w:cs="Arial"/>
          <w:sz w:val="22"/>
          <w:szCs w:val="22"/>
          <w:lang w:val="es-MX"/>
        </w:rPr>
      </w:pPr>
      <w:r>
        <w:rPr>
          <w:rFonts w:ascii="Century Gothic" w:hAnsi="Century Gothic" w:cs="Arial"/>
          <w:sz w:val="22"/>
          <w:szCs w:val="22"/>
          <w:lang w:val="es-MX"/>
        </w:rPr>
        <w:t>Este procedimiento aplicará en caso de que el acceso vía el sitio de Internet no esté operando adecuadamente, cuando el CS lo requiera, así como medio alternativo en caso de que el SEG/SIPO no se encuentre disponible; por lo que para acceder a la información se deberá llevar a cabo el siguiente procedimiento:</w:t>
      </w:r>
    </w:p>
    <w:p w:rsidR="00277ED2" w:rsidRPr="00611019" w:rsidRDefault="00E56462" w:rsidP="00035D2C">
      <w:pPr>
        <w:pStyle w:val="Texto1"/>
        <w:spacing w:after="6pt" w:line="13.80pt" w:lineRule="auto"/>
        <w:ind w:start="21.30pt" w:hanging="18pt"/>
        <w:rPr>
          <w:rFonts w:ascii="Century Gothic" w:hAnsi="Century Gothic" w:cs="Arial"/>
          <w:sz w:val="22"/>
          <w:szCs w:val="22"/>
          <w:lang w:val="es-MX"/>
        </w:rPr>
      </w:pPr>
      <w:r>
        <w:rPr>
          <w:rFonts w:ascii="Century Gothic" w:hAnsi="Century Gothic" w:cs="Arial"/>
          <w:sz w:val="22"/>
          <w:szCs w:val="22"/>
          <w:lang w:val="es-MX"/>
        </w:rPr>
        <w:t>1.</w:t>
      </w:r>
      <w:r>
        <w:rPr>
          <w:rFonts w:ascii="Century Gothic" w:hAnsi="Century Gothic" w:cs="Arial"/>
          <w:sz w:val="22"/>
          <w:szCs w:val="22"/>
          <w:lang w:val="es-MX"/>
        </w:rPr>
        <w:tab/>
        <w:t xml:space="preserve">El responsable del CS deberá acudir a las instalaciones de </w:t>
      </w:r>
      <w:r>
        <w:rPr>
          <w:rFonts w:ascii="Century Gothic" w:hAnsi="Century Gothic"/>
          <w:sz w:val="22"/>
          <w:szCs w:val="22"/>
        </w:rPr>
        <w:t>RED NACIONAL</w:t>
      </w:r>
      <w:r>
        <w:rPr>
          <w:rFonts w:ascii="Century Gothic" w:hAnsi="Century Gothic" w:cs="Arial"/>
          <w:sz w:val="22"/>
          <w:szCs w:val="22"/>
          <w:lang w:val="es-MX"/>
        </w:rPr>
        <w:t xml:space="preserve"> ubicadas en Río Lerma 256 primer piso, Colonia Cuauhtémoc, Demarcación Territorial </w:t>
      </w:r>
      <w:r>
        <w:rPr>
          <w:rFonts w:ascii="Century Gothic" w:hAnsi="Century Gothic" w:cs="Arial"/>
          <w:sz w:val="22"/>
          <w:szCs w:val="22"/>
          <w:lang w:val="es-MX"/>
        </w:rPr>
        <w:lastRenderedPageBreak/>
        <w:t xml:space="preserve">Cuauhtémoc, CP. 06500, CDMX, en un horario de 09:00 a 14:00 y de 16:00 a 19:00 horas de lunes a viernes, e identificarse </w:t>
      </w:r>
      <w:bookmarkStart w:id="1077" w:name="_Hlk34753496"/>
      <w:r>
        <w:rPr>
          <w:rFonts w:ascii="Century Gothic" w:hAnsi="Century Gothic" w:cs="Arial"/>
          <w:sz w:val="22"/>
          <w:szCs w:val="22"/>
          <w:lang w:val="es-MX"/>
        </w:rPr>
        <w:t>adecuadamente, mostrando una identificación oficial, la credencial vigente de su empresa, y una carta firmada por el representante legal del CS, en la cual se le autorice para solicitar y recibir acceso a consulta de información presencial, la cual se acompañará del acta notarial en el que conste la personalidad del representante legal del CS.</w:t>
      </w:r>
    </w:p>
    <w:p w:rsidR="00277ED2" w:rsidRPr="00611019" w:rsidRDefault="00E56462" w:rsidP="00035D2C">
      <w:pPr>
        <w:pStyle w:val="Texto1"/>
        <w:spacing w:after="6pt" w:line="13.80pt" w:lineRule="auto"/>
        <w:ind w:start="21.30pt" w:hanging="18pt"/>
        <w:rPr>
          <w:rFonts w:ascii="Century Gothic" w:hAnsi="Century Gothic" w:cs="Arial"/>
          <w:sz w:val="22"/>
          <w:szCs w:val="22"/>
          <w:lang w:val="es-MX"/>
        </w:rPr>
      </w:pPr>
      <w:r>
        <w:rPr>
          <w:rFonts w:ascii="Century Gothic" w:hAnsi="Century Gothic" w:cs="Arial"/>
          <w:sz w:val="22"/>
          <w:szCs w:val="22"/>
          <w:lang w:val="es-MX"/>
        </w:rPr>
        <w:t>2.</w:t>
      </w:r>
      <w:r>
        <w:rPr>
          <w:rFonts w:ascii="Century Gothic" w:hAnsi="Century Gothic" w:cs="Arial"/>
          <w:sz w:val="22"/>
          <w:szCs w:val="22"/>
          <w:lang w:val="es-MX"/>
        </w:rPr>
        <w:tab/>
        <w:t xml:space="preserve">Una vez acreditada la identidad y autorización del Responsable del CS, éste deberá llenar el formato de solicitud de información y entregarlo al personal de </w:t>
      </w:r>
      <w:r>
        <w:rPr>
          <w:rFonts w:ascii="Century Gothic" w:hAnsi="Century Gothic"/>
          <w:sz w:val="22"/>
          <w:szCs w:val="22"/>
        </w:rPr>
        <w:t>RED NACIONAL</w:t>
      </w:r>
      <w:r>
        <w:rPr>
          <w:rFonts w:ascii="Century Gothic" w:hAnsi="Century Gothic" w:cs="Arial"/>
          <w:sz w:val="22"/>
          <w:szCs w:val="22"/>
          <w:lang w:val="es-MX"/>
        </w:rPr>
        <w:t xml:space="preserve"> para efectuar la validación. La solicitud de información podrá contemplar la totalidad de la información de las bases de datos establecidas en esta sección de la OREDA.</w:t>
      </w:r>
    </w:p>
    <w:p w:rsidR="005D58D9" w:rsidRPr="00611019" w:rsidRDefault="00E56462" w:rsidP="00035D2C">
      <w:pPr>
        <w:pStyle w:val="Texto1"/>
        <w:spacing w:after="6pt" w:line="13.80pt" w:lineRule="auto"/>
        <w:ind w:start="21.30pt" w:hanging="18pt"/>
        <w:rPr>
          <w:rFonts w:ascii="Century Gothic" w:hAnsi="Century Gothic" w:cs="Arial"/>
          <w:sz w:val="22"/>
          <w:szCs w:val="22"/>
          <w:lang w:val="es-MX"/>
        </w:rPr>
      </w:pPr>
      <w:r>
        <w:rPr>
          <w:rFonts w:ascii="Century Gothic" w:hAnsi="Century Gothic" w:cs="Arial"/>
          <w:sz w:val="22"/>
          <w:szCs w:val="22"/>
          <w:lang w:val="es-MX"/>
        </w:rPr>
        <w:t>3.</w:t>
      </w:r>
      <w:r>
        <w:rPr>
          <w:rFonts w:ascii="Century Gothic" w:hAnsi="Century Gothic" w:cs="Arial"/>
          <w:sz w:val="22"/>
          <w:szCs w:val="22"/>
          <w:lang w:val="es-MX"/>
        </w:rPr>
        <w:tab/>
        <w:t>Cubierto el punto anterior, el CS puede elegir alguna de las siguientes opciones:</w:t>
      </w:r>
    </w:p>
    <w:p w:rsidR="00277ED2" w:rsidRPr="00611019" w:rsidRDefault="00E56462" w:rsidP="00F56183">
      <w:pPr>
        <w:pStyle w:val="Texto1"/>
        <w:numPr>
          <w:ilvl w:val="0"/>
          <w:numId w:val="55"/>
        </w:numPr>
        <w:spacing w:after="6pt" w:line="13.80pt" w:lineRule="auto"/>
        <w:rPr>
          <w:rFonts w:ascii="Century Gothic" w:hAnsi="Century Gothic" w:cs="Arial"/>
          <w:sz w:val="22"/>
          <w:szCs w:val="22"/>
          <w:lang w:val="es-MX"/>
        </w:rPr>
      </w:pPr>
      <w:r>
        <w:rPr>
          <w:rFonts w:ascii="Century Gothic" w:hAnsi="Century Gothic" w:cs="Arial"/>
          <w:sz w:val="22"/>
          <w:szCs w:val="22"/>
          <w:lang w:val="es-MX"/>
        </w:rPr>
        <w:t xml:space="preserve">En un día hábil </w:t>
      </w:r>
      <w:r>
        <w:rPr>
          <w:rFonts w:ascii="Century Gothic" w:hAnsi="Century Gothic"/>
          <w:sz w:val="22"/>
          <w:szCs w:val="22"/>
        </w:rPr>
        <w:t>RED NACIONAL</w:t>
      </w:r>
      <w:r>
        <w:rPr>
          <w:rFonts w:ascii="Century Gothic" w:hAnsi="Century Gothic" w:cs="Arial"/>
          <w:sz w:val="22"/>
          <w:szCs w:val="22"/>
          <w:lang w:val="es-MX"/>
        </w:rPr>
        <w:t xml:space="preserve"> de acuerdo con la solicitud del CS, entregará la información solicitada mediante discos compactos o unidades de almacenamiento digital. </w:t>
      </w:r>
    </w:p>
    <w:p w:rsidR="00277ED2" w:rsidRPr="00611019" w:rsidRDefault="00E56462" w:rsidP="00F56183">
      <w:pPr>
        <w:pStyle w:val="Texto1"/>
        <w:numPr>
          <w:ilvl w:val="0"/>
          <w:numId w:val="55"/>
        </w:numPr>
        <w:spacing w:line="13.80pt" w:lineRule="auto"/>
        <w:rPr>
          <w:rFonts w:ascii="Century Gothic" w:hAnsi="Century Gothic" w:cs="Arial"/>
          <w:sz w:val="22"/>
          <w:szCs w:val="22"/>
        </w:rPr>
      </w:pPr>
      <w:bookmarkStart w:id="1078" w:name="_Toc525904559"/>
      <w:bookmarkStart w:id="1079" w:name="_Toc525913955"/>
      <w:bookmarkStart w:id="1080" w:name="_Toc525919194"/>
      <w:bookmarkStart w:id="1081" w:name="_Toc525919318"/>
      <w:bookmarkStart w:id="1082" w:name="_Toc24473453"/>
      <w:bookmarkStart w:id="1083" w:name="_Toc24477581"/>
      <w:bookmarkStart w:id="1084" w:name="_Toc26281390"/>
      <w:bookmarkStart w:id="1085" w:name="_Toc26284926"/>
      <w:bookmarkStart w:id="1086" w:name="_Toc26903911"/>
      <w:bookmarkStart w:id="1087" w:name="_Toc43913152"/>
      <w:bookmarkStart w:id="1088" w:name="_Toc26980635"/>
      <w:bookmarkStart w:id="1089" w:name="_Hlk34756091"/>
      <w:bookmarkEnd w:id="1043"/>
      <w:bookmarkEnd w:id="1044"/>
      <w:r>
        <w:rPr>
          <w:rFonts w:ascii="Century Gothic" w:hAnsi="Century Gothic"/>
          <w:sz w:val="22"/>
          <w:szCs w:val="22"/>
        </w:rPr>
        <w:t xml:space="preserve">RED NACIONAL </w:t>
      </w:r>
      <w:r>
        <w:rPr>
          <w:rFonts w:ascii="Century Gothic" w:hAnsi="Century Gothic" w:cs="Arial"/>
          <w:sz w:val="22"/>
          <w:szCs w:val="22"/>
        </w:rPr>
        <w:t xml:space="preserve">facilitará un equipo de cómputo para que el CS realice la consulta de información en modo local con el mismo usuario y contraseña que el CS utiliza en la interfaz de consulta a través del sitio de internet de </w:t>
      </w:r>
      <w:r>
        <w:rPr>
          <w:rFonts w:ascii="Century Gothic" w:hAnsi="Century Gothic"/>
          <w:sz w:val="22"/>
          <w:szCs w:val="22"/>
        </w:rPr>
        <w:t>RED NACIONAL</w:t>
      </w:r>
      <w:r>
        <w:rPr>
          <w:rFonts w:ascii="Century Gothic" w:hAnsi="Century Gothic" w:cs="Arial"/>
          <w:sz w:val="22"/>
          <w:szCs w:val="22"/>
        </w:rPr>
        <w:t xml:space="preserve">. </w:t>
      </w:r>
      <w:bookmarkEnd w:id="1077"/>
      <w:bookmarkEnd w:id="1078"/>
      <w:bookmarkEnd w:id="1079"/>
      <w:bookmarkEnd w:id="1080"/>
      <w:bookmarkEnd w:id="1081"/>
      <w:bookmarkEnd w:id="1082"/>
      <w:bookmarkEnd w:id="1083"/>
      <w:bookmarkEnd w:id="1084"/>
      <w:bookmarkEnd w:id="1085"/>
      <w:bookmarkEnd w:id="1086"/>
      <w:bookmarkEnd w:id="1087"/>
      <w:bookmarkEnd w:id="1088"/>
      <w:bookmarkEnd w:id="1089"/>
    </w:p>
    <w:p w:rsidR="005D4923" w:rsidRDefault="005D4923" w:rsidP="00EA4C9F">
      <w:pPr>
        <w:pStyle w:val="Texto1"/>
        <w:spacing w:line="13.80pt" w:lineRule="auto"/>
        <w:rPr>
          <w:rFonts w:ascii="Century Gothic" w:hAnsi="Century Gothic" w:cs="Arial"/>
          <w:sz w:val="22"/>
          <w:szCs w:val="22"/>
        </w:rPr>
      </w:pPr>
    </w:p>
    <w:p w:rsidR="00277ED2" w:rsidRPr="00EA4C9F" w:rsidRDefault="00E56462" w:rsidP="00035D2C">
      <w:pPr>
        <w:pStyle w:val="1TitPrin"/>
        <w:spacing w:after="6pt"/>
        <w:ind w:start="21.30pt" w:hanging="21.30pt"/>
        <w:rPr>
          <w:rFonts w:ascii="Century Gothic" w:hAnsi="Century Gothic"/>
          <w:u w:val="single"/>
        </w:rPr>
      </w:pPr>
      <w:bookmarkStart w:id="1090" w:name="_Toc396337588"/>
      <w:bookmarkStart w:id="1091" w:name="_Toc436840880"/>
      <w:bookmarkStart w:id="1092" w:name="_Toc436846317"/>
      <w:bookmarkStart w:id="1093" w:name="_Toc436848267"/>
      <w:bookmarkStart w:id="1094" w:name="_Toc436856515"/>
      <w:bookmarkStart w:id="1095" w:name="_Toc436862661"/>
      <w:bookmarkStart w:id="1096" w:name="_Toc436866311"/>
      <w:bookmarkStart w:id="1097" w:name="_Toc436870890"/>
      <w:bookmarkStart w:id="1098" w:name="_Toc436875882"/>
      <w:bookmarkStart w:id="1099" w:name="_Toc467248695"/>
      <w:bookmarkStart w:id="1100" w:name="_Toc525904560"/>
      <w:bookmarkStart w:id="1101" w:name="_Toc525913956"/>
      <w:bookmarkStart w:id="1102" w:name="_Toc525919195"/>
      <w:bookmarkStart w:id="1103" w:name="_Toc525919319"/>
      <w:bookmarkStart w:id="1104" w:name="_Toc2957130"/>
      <w:bookmarkStart w:id="1105" w:name="_Toc92974009"/>
      <w:bookmarkStart w:id="1106" w:name="_Toc93052320"/>
      <w:bookmarkStart w:id="1107" w:name="_Toc93056275"/>
      <w:bookmarkStart w:id="1108" w:name="_Toc125393347"/>
      <w:bookmarkStart w:id="1109" w:name="_Toc148702203"/>
      <w:bookmarkStart w:id="1110" w:name="_Toc170381828"/>
      <w:r>
        <w:rPr>
          <w:rFonts w:ascii="Century Gothic" w:hAnsi="Century Gothic" w:cs="Times New Roman"/>
          <w:u w:val="single"/>
          <w14:scene3d>
            <w14:camera w14:prst="orthographicFront"/>
            <w14:lightRig w14:rig="threePt" w14:dir="t">
              <w14:rot w14:lat="0" w14:lon="0" w14:rev="0"/>
            </w14:lightRig>
          </w14:scene3d>
        </w:rPr>
        <w:t>3.</w:t>
      </w:r>
      <w:r>
        <w:rPr>
          <w:rFonts w:ascii="Century Gothic" w:hAnsi="Century Gothic" w:cs="Times New Roman"/>
          <w:u w:val="single"/>
          <w14:scene3d>
            <w14:camera w14:prst="orthographicFront"/>
            <w14:lightRig w14:rig="threePt" w14:dir="t">
              <w14:rot w14:lat="0" w14:lon="0" w14:rev="0"/>
            </w14:lightRig>
          </w14:scene3d>
        </w:rPr>
        <w:tab/>
      </w:r>
      <w:r>
        <w:rPr>
          <w:rFonts w:ascii="Century Gothic" w:hAnsi="Century Gothic"/>
          <w:u w:val="single"/>
        </w:rPr>
        <w:t xml:space="preserve"> </w:t>
      </w:r>
      <w:bookmarkStart w:id="1111" w:name="_Toc396337591"/>
      <w:bookmarkStart w:id="1112" w:name="_Toc436840889"/>
      <w:bookmarkStart w:id="1113" w:name="_Toc436846326"/>
      <w:bookmarkStart w:id="1114" w:name="_Toc436848276"/>
      <w:bookmarkStart w:id="1115" w:name="_Toc436856524"/>
      <w:bookmarkStart w:id="1116" w:name="_Toc436862670"/>
      <w:bookmarkStart w:id="1117" w:name="_Toc436866320"/>
      <w:bookmarkStart w:id="1118" w:name="_Toc436870899"/>
      <w:bookmarkStart w:id="1119" w:name="_Toc436875891"/>
      <w:bookmarkStart w:id="1120" w:name="RANGE!A4:F19"/>
      <w:bookmarkStart w:id="1121" w:name="_Toc436840895"/>
      <w:bookmarkStart w:id="1122" w:name="_Toc436846332"/>
      <w:bookmarkStart w:id="1123" w:name="_Toc436848282"/>
      <w:bookmarkStart w:id="1124" w:name="_Toc436856530"/>
      <w:bookmarkStart w:id="1125" w:name="_Toc436862676"/>
      <w:bookmarkStart w:id="1126" w:name="_Toc436866326"/>
      <w:bookmarkStart w:id="1127" w:name="_Toc436870905"/>
      <w:bookmarkStart w:id="1128" w:name="_Toc436875897"/>
      <w:bookmarkStart w:id="1129" w:name="_Toc467248709"/>
      <w:bookmarkStart w:id="1130" w:name="_Toc525904588"/>
      <w:bookmarkStart w:id="1131" w:name="_Toc525913984"/>
      <w:bookmarkStart w:id="1132" w:name="_Toc525919223"/>
      <w:bookmarkStart w:id="1133" w:name="_Toc525919347"/>
      <w:bookmarkStart w:id="1134" w:name="_Toc2957157"/>
      <w:bookmarkStart w:id="1135" w:name="_Toc24473454"/>
      <w:bookmarkStart w:id="1136" w:name="_Toc24477582"/>
      <w:bookmarkStart w:id="1137" w:name="_Toc26281391"/>
      <w:bookmarkStart w:id="1138" w:name="_Toc26284927"/>
      <w:bookmarkStart w:id="1139" w:name="_Toc26903912"/>
      <w:bookmarkStart w:id="1140" w:name="_Toc43913153"/>
      <w:bookmarkStart w:id="1141" w:name="_Toc26980636"/>
      <w:bookmarkStart w:id="1142" w:name="_Toc53488487"/>
      <w:bookmarkStart w:id="1143" w:name="_Toc53490419"/>
      <w:bookmarkStart w:id="1144" w:name="_Toc53498427"/>
      <w:bookmarkStart w:id="1145" w:name="_Toc58578784"/>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11"/>
      <w:bookmarkEnd w:id="1112"/>
      <w:bookmarkEnd w:id="1113"/>
      <w:bookmarkEnd w:id="1114"/>
      <w:bookmarkEnd w:id="1115"/>
      <w:bookmarkEnd w:id="1116"/>
      <w:bookmarkEnd w:id="1117"/>
      <w:bookmarkEnd w:id="1118"/>
      <w:bookmarkEnd w:id="1119"/>
      <w:bookmarkEnd w:id="1120"/>
      <w:r>
        <w:rPr>
          <w:rFonts w:ascii="Century Gothic" w:hAnsi="Century Gothic"/>
          <w:u w:val="single"/>
        </w:rPr>
        <w:t>Servicio de Acceso Indirecto al Bucle</w:t>
      </w:r>
      <w:bookmarkStart w:id="1146" w:name="_Toc436840896"/>
      <w:bookmarkStart w:id="1147" w:name="_Toc436846333"/>
      <w:bookmarkStart w:id="1148" w:name="_Toc436848283"/>
      <w:bookmarkStart w:id="1149" w:name="_Toc436856531"/>
      <w:bookmarkStart w:id="1150" w:name="_Toc436862677"/>
      <w:bookmarkStart w:id="1151" w:name="_Toc436866327"/>
      <w:bookmarkStart w:id="1152" w:name="_Toc436870906"/>
      <w:bookmarkStart w:id="1153" w:name="_Toc436875898"/>
      <w:bookmarkStart w:id="1154" w:name="_Toc467248710"/>
      <w:bookmarkStart w:id="1155" w:name="_Toc525904589"/>
      <w:bookmarkStart w:id="1156" w:name="_Toc525913985"/>
      <w:bookmarkStart w:id="1157" w:name="_Toc525919224"/>
      <w:bookmarkStart w:id="1158" w:name="_Toc525919348"/>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r>
        <w:rPr>
          <w:rFonts w:ascii="Century Gothic" w:hAnsi="Century Gothic"/>
          <w:u w:val="single"/>
        </w:rPr>
        <w:t xml:space="preserve"> Local</w:t>
      </w:r>
      <w:bookmarkEnd w:id="1105"/>
      <w:bookmarkEnd w:id="1106"/>
      <w:bookmarkEnd w:id="1107"/>
      <w:bookmarkEnd w:id="1108"/>
      <w:bookmarkEnd w:id="1109"/>
      <w:bookmarkEnd w:id="1110"/>
      <w:bookmarkEnd w:id="1135"/>
      <w:bookmarkEnd w:id="1136"/>
      <w:bookmarkEnd w:id="1137"/>
      <w:bookmarkEnd w:id="1138"/>
      <w:bookmarkEnd w:id="1139"/>
      <w:bookmarkEnd w:id="1140"/>
      <w:bookmarkEnd w:id="1141"/>
      <w:bookmarkEnd w:id="1142"/>
      <w:bookmarkEnd w:id="1143"/>
      <w:bookmarkEnd w:id="1144"/>
      <w:bookmarkEnd w:id="1145"/>
      <w:r>
        <w:rPr>
          <w:rFonts w:ascii="Century Gothic" w:hAnsi="Century Gothic"/>
          <w:u w:val="single"/>
        </w:rPr>
        <w:t>.</w:t>
      </w:r>
    </w:p>
    <w:p w:rsidR="00277ED2" w:rsidRPr="00611019" w:rsidRDefault="00E56462" w:rsidP="00035D2C">
      <w:pPr>
        <w:pStyle w:val="Ttulo2"/>
        <w:spacing w:after="6pt"/>
        <w:rPr>
          <w:rFonts w:ascii="Century Gothic" w:hAnsi="Century Gothic"/>
        </w:rPr>
      </w:pPr>
      <w:bookmarkStart w:id="1159" w:name="_Toc2957158"/>
      <w:bookmarkStart w:id="1160" w:name="_Toc24473455"/>
      <w:bookmarkStart w:id="1161" w:name="_Toc24477583"/>
      <w:bookmarkStart w:id="1162" w:name="_Toc26281392"/>
      <w:bookmarkStart w:id="1163" w:name="_Toc26284928"/>
      <w:bookmarkStart w:id="1164" w:name="_Toc26903913"/>
      <w:bookmarkStart w:id="1165" w:name="_Toc43913154"/>
      <w:bookmarkStart w:id="1166" w:name="_Toc26980637"/>
      <w:bookmarkStart w:id="1167" w:name="_Toc53488488"/>
      <w:bookmarkStart w:id="1168" w:name="_Toc53490420"/>
      <w:bookmarkStart w:id="1169" w:name="_Toc53498428"/>
      <w:bookmarkStart w:id="1170" w:name="_Toc58578785"/>
      <w:bookmarkStart w:id="1171" w:name="_Toc92974010"/>
      <w:bookmarkStart w:id="1172" w:name="_Toc93052321"/>
      <w:bookmarkStart w:id="1173" w:name="_Toc93056276"/>
      <w:bookmarkStart w:id="1174" w:name="_Toc125393348"/>
      <w:bookmarkStart w:id="1175" w:name="_Toc148702204"/>
      <w:bookmarkStart w:id="1176" w:name="_Toc170381829"/>
      <w:r>
        <w:rPr>
          <w:rFonts w:ascii="Century Gothic" w:hAnsi="Century Gothic"/>
        </w:rPr>
        <w:t>3.1 Descripción del Servicio de Acceso Indirecto al Bucle</w:t>
      </w:r>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r>
        <w:rPr>
          <w:rFonts w:ascii="Century Gothic" w:hAnsi="Century Gothic"/>
        </w:rPr>
        <w:t xml:space="preserve"> Local</w:t>
      </w:r>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p>
    <w:p w:rsidR="00277ED2" w:rsidRPr="00611019" w:rsidRDefault="00E56462" w:rsidP="00035D2C">
      <w:pPr>
        <w:spacing w:after="6pt"/>
        <w:jc w:val="both"/>
        <w:rPr>
          <w:rFonts w:ascii="Century Gothic" w:hAnsi="Century Gothic" w:cs="Arial"/>
        </w:rPr>
      </w:pPr>
      <w:r>
        <w:rPr>
          <w:rFonts w:ascii="Century Gothic" w:hAnsi="Century Gothic" w:cs="Arial"/>
        </w:rPr>
        <w:t xml:space="preserve">El Servicio de Acceso Indirecto al Bucle Local es aquel mediante el cual </w:t>
      </w:r>
      <w:r>
        <w:rPr>
          <w:rFonts w:ascii="Century Gothic" w:hAnsi="Century Gothic"/>
        </w:rPr>
        <w:t>RED NACIONAL</w:t>
      </w:r>
      <w:r>
        <w:rPr>
          <w:rFonts w:ascii="Century Gothic" w:hAnsi="Century Gothic" w:cs="Arial"/>
        </w:rPr>
        <w:t xml:space="preserve"> pone a disposición del CS capacidad de transmisión entre el Usuario Final y un Punto de Interconexión con la red del CS, de tal forma que se permita la provisión de Servicios de telecomunicaciones a un Usuario Final que se conecta a la red pública de telecomunicaciones mediante una acometida</w:t>
      </w:r>
      <w:r w:rsidR="00515EFB">
        <w:rPr>
          <w:rFonts w:ascii="Century Gothic" w:hAnsi="Century Gothic" w:cs="Arial"/>
        </w:rPr>
        <w:t xml:space="preserve"> </w:t>
      </w:r>
      <w:r w:rsidR="00515EFB" w:rsidRPr="0012177E">
        <w:rPr>
          <w:rFonts w:ascii="Century Gothic" w:hAnsi="Century Gothic" w:cs="Arial"/>
        </w:rPr>
        <w:t>de Red Nacional</w:t>
      </w:r>
      <w:r>
        <w:rPr>
          <w:rFonts w:ascii="Century Gothic" w:hAnsi="Century Gothic" w:cs="Arial"/>
        </w:rPr>
        <w:t xml:space="preserve">. El SAIB será ofrecido por </w:t>
      </w:r>
      <w:r>
        <w:rPr>
          <w:rFonts w:ascii="Century Gothic" w:hAnsi="Century Gothic"/>
        </w:rPr>
        <w:t>RED NACIONAL</w:t>
      </w:r>
      <w:r>
        <w:rPr>
          <w:rFonts w:ascii="Century Gothic" w:hAnsi="Century Gothic" w:cs="Arial"/>
        </w:rPr>
        <w:t xml:space="preserve"> de manera que permita al CS disponer del tráfico de datos originado por el usuario, ya sea por medio de cobre o fibra óptica, desde el Punto de Conexión Terminal en el sitio del Usuario Final, transportando el tráfico hasta una Central Telefónica o Instalación Equivalente donde radican los equipos de acceso realizando la conexión al DFO de </w:t>
      </w:r>
      <w:r>
        <w:rPr>
          <w:rFonts w:ascii="Century Gothic" w:hAnsi="Century Gothic"/>
        </w:rPr>
        <w:t>RED NACIONAL</w:t>
      </w:r>
      <w:r>
        <w:rPr>
          <w:rFonts w:ascii="Century Gothic" w:hAnsi="Century Gothic" w:cs="Arial"/>
        </w:rPr>
        <w:t>.</w:t>
      </w:r>
    </w:p>
    <w:p w:rsidR="00277ED2" w:rsidRPr="00611019" w:rsidRDefault="00E56462" w:rsidP="00035D2C">
      <w:pPr>
        <w:spacing w:after="6pt"/>
        <w:jc w:val="both"/>
        <w:rPr>
          <w:rFonts w:ascii="Century Gothic" w:hAnsi="Century Gothic" w:cs="Arial"/>
        </w:rPr>
      </w:pPr>
      <w:r>
        <w:rPr>
          <w:rFonts w:ascii="Century Gothic" w:hAnsi="Century Gothic" w:cs="Arial"/>
        </w:rPr>
        <w:t>El SAIB se compone de dos conjuntos de funcionalidades:</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El primer conjunto de funcionalidades se realiza a través de </w:t>
      </w:r>
      <w:r>
        <w:rPr>
          <w:rFonts w:ascii="Century Gothic" w:hAnsi="Century Gothic"/>
        </w:rPr>
        <w:t>RED NACIONAL</w:t>
      </w:r>
      <w:r>
        <w:rPr>
          <w:rFonts w:ascii="Century Gothic" w:hAnsi="Century Gothic" w:cs="Arial"/>
        </w:rPr>
        <w:t xml:space="preserve"> y se relaciona con la conexión del usuario y la componen el transporte de los datos originados por el equipo terminal del usuario sea este un modem xDSL o un ONT entregados en el </w:t>
      </w:r>
      <w:r>
        <w:rPr>
          <w:rFonts w:ascii="Century Gothic" w:hAnsi="Century Gothic" w:cs="Arial"/>
          <w:bCs/>
        </w:rPr>
        <w:t>PCT,</w:t>
      </w:r>
      <w:r>
        <w:rPr>
          <w:rFonts w:ascii="Century Gothic" w:hAnsi="Century Gothic" w:cs="Arial"/>
        </w:rPr>
        <w:t xml:space="preserve"> y transportados mediante un bucle de cobre o de fibra óptica hasta la Central Telefónica o Instalación Equivalente donde radican los equipos de acceso DSLAM </w:t>
      </w:r>
      <w:r>
        <w:rPr>
          <w:rFonts w:ascii="Century Gothic" w:hAnsi="Century Gothic" w:cs="Arial"/>
          <w:bCs/>
        </w:rPr>
        <w:t>o módulos OLT,</w:t>
      </w:r>
      <w:r>
        <w:rPr>
          <w:rFonts w:ascii="Century Gothic" w:hAnsi="Century Gothic" w:cs="Arial"/>
        </w:rPr>
        <w:t xml:space="preserve"> </w:t>
      </w:r>
      <w:r>
        <w:rPr>
          <w:rFonts w:ascii="Century Gothic" w:hAnsi="Century Gothic" w:cs="Arial"/>
        </w:rPr>
        <w:lastRenderedPageBreak/>
        <w:t>así como las funciones de interacción entre ambos equipos necesarias para establecer y garantizar dicha transmisión con una calidad definida correspondiente al perfil del Servicio y a las características y naturaleza del bucle.</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Estas funcionalidades incluyen la recepción y posterior entrega en el puerto Ethernet del equipo de acceso (xDSL/OLT) de las señales enviadas por el módem en el domicilio del usuario de acuerdo con la interfaz de Capa 2 (según el tipo de acceso xDSL o </w:t>
      </w:r>
      <w:r w:rsidR="00097306">
        <w:rPr>
          <w:rFonts w:ascii="Century Gothic" w:hAnsi="Century Gothic" w:cs="Arial"/>
        </w:rPr>
        <w:t>x</w:t>
      </w:r>
      <w:r>
        <w:rPr>
          <w:rFonts w:ascii="Century Gothic" w:hAnsi="Century Gothic" w:cs="Arial"/>
        </w:rPr>
        <w:t>PON).</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El segundo conjunto de funcionalidades corresponden a la agregación en sentido ascendente y desagregación en el descendente de los flujos del tráfico de datos provenientes de los distintos equipos de los Usuarios Finales que llegan a los diferentes equipos de acceso de </w:t>
      </w:r>
      <w:r>
        <w:rPr>
          <w:rFonts w:ascii="Century Gothic" w:hAnsi="Century Gothic"/>
        </w:rPr>
        <w:t>RED NACIONAL</w:t>
      </w:r>
      <w:r>
        <w:rPr>
          <w:rFonts w:ascii="Century Gothic" w:hAnsi="Century Gothic" w:cs="Arial"/>
        </w:rPr>
        <w:t xml:space="preserve"> para su organización en VLAN y su posterior transporte y entrega a nivel de Capa 2 (Ethernet) en un pCAI</w:t>
      </w:r>
      <w:r>
        <w:rPr>
          <w:rFonts w:ascii="Century Gothic" w:hAnsi="Century Gothic" w:cs="Arial"/>
          <w:bCs/>
        </w:rPr>
        <w:t>,</w:t>
      </w:r>
      <w:r>
        <w:rPr>
          <w:rFonts w:ascii="Century Gothic" w:hAnsi="Century Gothic" w:cs="Arial"/>
        </w:rPr>
        <w:t xml:space="preserve"> ubicado en un NCAI elegido por el CS y al que accede a través del correspondiente distribuidor de fibra óptica, denominado SCyD.</w:t>
      </w:r>
    </w:p>
    <w:p w:rsidR="00277ED2" w:rsidRPr="00611019" w:rsidRDefault="00E56462" w:rsidP="00035D2C">
      <w:pPr>
        <w:spacing w:after="6pt"/>
        <w:jc w:val="both"/>
        <w:rPr>
          <w:rFonts w:ascii="Century Gothic" w:hAnsi="Century Gothic" w:cs="Arial"/>
          <w:b/>
        </w:rPr>
      </w:pPr>
      <w:r>
        <w:rPr>
          <w:rFonts w:ascii="Century Gothic" w:hAnsi="Century Gothic" w:cs="Arial"/>
        </w:rPr>
        <w:t xml:space="preserve">En la siguiente imagen se muestran las funcionalidades que integran el SAIB que permiten la entrega del tráfico de datos del usuario al CS. </w:t>
      </w:r>
    </w:p>
    <w:p w:rsidR="00277ED2" w:rsidRPr="00611019" w:rsidRDefault="00E56462" w:rsidP="00035D2C">
      <w:pPr>
        <w:pStyle w:val="Textoindependiente"/>
        <w:jc w:val="center"/>
        <w:rPr>
          <w:rFonts w:ascii="Century Gothic" w:hAnsi="Century Gothic" w:cs="Arial"/>
          <w:b/>
        </w:rPr>
      </w:pPr>
      <w:r>
        <w:rPr>
          <w:rFonts w:ascii="Century Gothic" w:hAnsi="Century Gothic" w:cs="Arial"/>
          <w:b/>
          <w:noProof/>
          <w:lang w:eastAsia="es-MX"/>
        </w:rPr>
        <w:drawing>
          <wp:inline distT="0" distB="0" distL="0" distR="0" wp14:anchorId="12D0C479" wp14:editId="6E0E00BD">
            <wp:extent cx="5612765" cy="2686050"/>
            <wp:effectExtent l="0" t="0" r="6985" b="0"/>
            <wp:docPr id="13" name="Imagen 13" descr="C:\Users\msgalean\AppData\Local\Microsoft\Windows\INetCache\Content.Outlook\7BU8MDP6\SAIB diagrama sin central en el título.png"/>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577" name="Picture 1" descr="C:\Users\msgalean\AppData\Local\Microsoft\Windows\INetCache\Content.Outlook\7BU8MDP6\SAIB diagrama sin central en el título.png"/>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bwMode="auto">
                    <a:xfrm>
                      <a:off x="0" y="0"/>
                      <a:ext cx="5614080" cy="2686679"/>
                    </a:xfrm>
                    <a:prstGeom prst="rect">
                      <a:avLst/>
                    </a:prstGeom>
                    <a:noFill/>
                    <a:ln>
                      <a:noFill/>
                    </a:ln>
                  </pic:spPr>
                </pic:pic>
              </a:graphicData>
            </a:graphic>
          </wp:inline>
        </w:drawing>
      </w:r>
    </w:p>
    <w:p w:rsidR="00277ED2" w:rsidRPr="00611019" w:rsidRDefault="00E56462" w:rsidP="00035D2C">
      <w:pPr>
        <w:spacing w:after="6pt"/>
        <w:jc w:val="center"/>
        <w:rPr>
          <w:rFonts w:ascii="Century Gothic" w:hAnsi="Century Gothic" w:cs="Arial"/>
          <w:b/>
          <w:bCs/>
          <w:sz w:val="20"/>
          <w:szCs w:val="20"/>
        </w:rPr>
      </w:pPr>
      <w:r>
        <w:rPr>
          <w:rFonts w:ascii="Century Gothic" w:hAnsi="Century Gothic" w:cs="Arial"/>
          <w:b/>
          <w:bCs/>
          <w:sz w:val="20"/>
          <w:szCs w:val="20"/>
        </w:rPr>
        <w:t>Funcionalidades del SAIB</w:t>
      </w:r>
    </w:p>
    <w:p w:rsidR="00277ED2" w:rsidRPr="00611019" w:rsidRDefault="00E56462" w:rsidP="00035D2C">
      <w:pPr>
        <w:spacing w:after="6pt"/>
        <w:jc w:val="both"/>
        <w:rPr>
          <w:rFonts w:ascii="Century Gothic" w:hAnsi="Century Gothic" w:cs="Arial"/>
        </w:rPr>
      </w:pPr>
      <w:r>
        <w:rPr>
          <w:rFonts w:ascii="Century Gothic" w:hAnsi="Century Gothic" w:cs="Arial"/>
        </w:rPr>
        <w:t>El SCyD recibe una señal Ethernet que integra los flujos de datos agregados de cada uno de los usuarios identificados por la misma VLAN correspondientes a cada uno de los equipos de acceso y los agrega a los que provienen del resto de los equipos de acceso de la Central Telefónica o Instalación Equivalente o de otras Centrales Telefónicas de la misma área de agregación local para entregarlos a un puerto de un NCAI local o en su caso transportarlos y agregarlos en un NCAI regional o nacional según el nivel de agregación que corresponda al pCAI solicitado por el CS.</w:t>
      </w:r>
    </w:p>
    <w:p w:rsidR="00277ED2" w:rsidRPr="00611019" w:rsidRDefault="00E56462" w:rsidP="00035D2C">
      <w:pPr>
        <w:spacing w:after="6pt"/>
        <w:jc w:val="both"/>
        <w:rPr>
          <w:rFonts w:ascii="Century Gothic" w:hAnsi="Century Gothic" w:cs="Arial"/>
        </w:rPr>
      </w:pPr>
      <w:r>
        <w:rPr>
          <w:rFonts w:ascii="Century Gothic" w:hAnsi="Century Gothic"/>
        </w:rPr>
        <w:t>RED NACIONAL</w:t>
      </w:r>
      <w:r>
        <w:rPr>
          <w:rFonts w:ascii="Century Gothic" w:hAnsi="Century Gothic" w:cs="Arial"/>
        </w:rPr>
        <w:t xml:space="preserve"> pone a disposición del CS el SCyD por lo cual el CS deberá observar los criterios establecidos para la solicitud de los Servicios de acuerdo con la zona de </w:t>
      </w:r>
      <w:r>
        <w:rPr>
          <w:rFonts w:ascii="Century Gothic" w:hAnsi="Century Gothic" w:cs="Arial"/>
        </w:rPr>
        <w:lastRenderedPageBreak/>
        <w:t xml:space="preserve">cobertura y nivel de agregación correspondiente. También el CS podrá utilizar enlaces propios o arrendados para la conducción del tráfico proveniente de los diferentes puntos de concentración, a otro punto de interés del CS. </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Las políticas comerciales bajo las cuales se prestará a los </w:t>
      </w:r>
      <w:r w:rsidR="00114418">
        <w:rPr>
          <w:rFonts w:ascii="Century Gothic" w:hAnsi="Century Gothic" w:cs="Arial"/>
        </w:rPr>
        <w:t>CS</w:t>
      </w:r>
      <w:r>
        <w:rPr>
          <w:rFonts w:ascii="Century Gothic" w:hAnsi="Century Gothic" w:cs="Arial"/>
        </w:rPr>
        <w:t xml:space="preserve"> este Servicio estarán sujetas a los SLA, perfiles y anchos de banda en términos no discriminatorios.</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A través de las consultas de información el CS contará con los mismos elementos con los que cuentan todos los </w:t>
      </w:r>
      <w:r w:rsidR="00114418">
        <w:rPr>
          <w:rFonts w:ascii="Century Gothic" w:hAnsi="Century Gothic" w:cs="Arial"/>
        </w:rPr>
        <w:t>CS</w:t>
      </w:r>
      <w:r>
        <w:rPr>
          <w:rFonts w:ascii="Century Gothic" w:hAnsi="Century Gothic" w:cs="Arial"/>
        </w:rPr>
        <w:t xml:space="preserve"> para determinar los posibles perfiles de velocidad que podría solicitar para sus Usuarios Finales, incluyendo las características técnicas de los equipos de acceso (DSLAM-OLT) y las condiciones de los bucles.</w:t>
      </w:r>
    </w:p>
    <w:p w:rsidR="00277ED2" w:rsidRPr="00611019" w:rsidRDefault="00E56462" w:rsidP="00035D2C">
      <w:pPr>
        <w:pStyle w:val="IFTnormal"/>
        <w:spacing w:after="6pt"/>
        <w:rPr>
          <w:rFonts w:ascii="Century Gothic" w:hAnsi="Century Gothic"/>
        </w:rPr>
      </w:pPr>
      <w:r>
        <w:rPr>
          <w:rFonts w:ascii="Century Gothic" w:hAnsi="Century Gothic"/>
        </w:rPr>
        <w:t>Dadas las limitantes técnicas y tecnológicas de la red de RED NACIONAL, cuando el SAIB sea provisto sobre accesos de FTTH o TBA (también conocidas como FTTC), no podrá proveerse el servicio de línea telefónica tradicional (Conmutación por establecimientos de Circuitos y Multiplexación por División de Tiempo).</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Los perfiles de los servicios de datos que podrá proporcionar el CS dependerán del medio de acceso desplegado hacia el domicilio del usuario, así como de las condiciones de la red. Es decir, la calificación de bucle en xDSL y los criterios técnicos serán los mismos para todos los </w:t>
      </w:r>
      <w:r w:rsidR="00114418">
        <w:rPr>
          <w:rFonts w:ascii="Century Gothic" w:hAnsi="Century Gothic" w:cs="Arial"/>
        </w:rPr>
        <w:t>CS</w:t>
      </w:r>
      <w:r>
        <w:rPr>
          <w:rFonts w:ascii="Century Gothic" w:hAnsi="Century Gothic" w:cs="Arial"/>
        </w:rPr>
        <w:t xml:space="preserve">. Para </w:t>
      </w:r>
      <w:r w:rsidR="00097306">
        <w:rPr>
          <w:rFonts w:ascii="Century Gothic" w:hAnsi="Century Gothic" w:cs="Arial"/>
        </w:rPr>
        <w:t>x</w:t>
      </w:r>
      <w:r>
        <w:rPr>
          <w:rFonts w:ascii="Century Gothic" w:hAnsi="Century Gothic" w:cs="Arial"/>
        </w:rPr>
        <w:t>PON la calificación del bucle no es necesaria puesto que la velocidad configurada es asegurada por las características técnicas de la fibra óptica.</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El SAIB contempla las siguientes características: </w:t>
      </w:r>
    </w:p>
    <w:p w:rsidR="00277ED2" w:rsidRPr="00611019" w:rsidRDefault="00E56462" w:rsidP="00F56183">
      <w:pPr>
        <w:pStyle w:val="Prrafodelista"/>
        <w:numPr>
          <w:ilvl w:val="0"/>
          <w:numId w:val="56"/>
        </w:numPr>
        <w:ind w:start="28.35pt"/>
        <w:jc w:val="both"/>
        <w:rPr>
          <w:rFonts w:ascii="Century Gothic" w:hAnsi="Century Gothic" w:cs="Arial"/>
        </w:rPr>
      </w:pPr>
      <w:r>
        <w:rPr>
          <w:rFonts w:ascii="Century Gothic" w:hAnsi="Century Gothic" w:cs="Arial"/>
        </w:rPr>
        <w:t>Servicio mayorista de acceso indirecto con entrega local, regional o nacional en puertos de Acceso Indirecto pCAI.</w:t>
      </w:r>
    </w:p>
    <w:p w:rsidR="00277ED2" w:rsidRPr="00611019" w:rsidRDefault="00E56462" w:rsidP="00F56183">
      <w:pPr>
        <w:pStyle w:val="CondicionesFinales"/>
        <w:numPr>
          <w:ilvl w:val="0"/>
          <w:numId w:val="56"/>
        </w:numPr>
        <w:ind w:start="28.35pt" w:end="0pt"/>
        <w:rPr>
          <w:rFonts w:ascii="Century Gothic" w:hAnsi="Century Gothic"/>
          <w:color w:val="auto"/>
          <w:lang w:val="es-MX"/>
        </w:rPr>
      </w:pPr>
      <w:r>
        <w:rPr>
          <w:rFonts w:ascii="Century Gothic" w:hAnsi="Century Gothic"/>
          <w:color w:val="auto"/>
          <w:lang w:val="es-MX"/>
        </w:rPr>
        <w:t>Tres calidades de tráfico para un mismo servicio, basadas en la prioridad de las tramas marcadas con P-bit=5, P-bit=2, P-bit=1 y P-bit=0, es decir, VoIP, Datos críticos, Datos Generales y BE (</w:t>
      </w:r>
      <w:r>
        <w:rPr>
          <w:rFonts w:ascii="Century Gothic" w:hAnsi="Century Gothic"/>
          <w:i/>
          <w:color w:val="auto"/>
          <w:lang w:val="es-MX"/>
        </w:rPr>
        <w:t>best effort</w:t>
      </w:r>
      <w:r>
        <w:rPr>
          <w:rFonts w:ascii="Century Gothic" w:hAnsi="Century Gothic"/>
          <w:color w:val="auto"/>
          <w:lang w:val="es-MX"/>
        </w:rPr>
        <w:t>) respectivamente, en las siguientes modalidades</w:t>
      </w:r>
      <w:r>
        <w:rPr>
          <w:rStyle w:val="Refdenotaalpie"/>
          <w:rFonts w:ascii="Century Gothic" w:hAnsi="Century Gothic"/>
          <w:color w:val="auto"/>
          <w:lang w:val="es-MX"/>
        </w:rPr>
        <w:footnoteReference w:id="6"/>
      </w:r>
      <w:r>
        <w:rPr>
          <w:rFonts w:ascii="Century Gothic" w:hAnsi="Century Gothic"/>
          <w:color w:val="auto"/>
          <w:lang w:val="es-MX"/>
        </w:rPr>
        <w:t>:</w:t>
      </w:r>
    </w:p>
    <w:p w:rsidR="00277ED2" w:rsidRPr="00611019" w:rsidRDefault="00E56462" w:rsidP="008A330C">
      <w:pPr>
        <w:pStyle w:val="CondicionesFinales"/>
        <w:ind w:start="63.80pt" w:end="0pt" w:hanging="18pt"/>
        <w:rPr>
          <w:rFonts w:ascii="Century Gothic" w:hAnsi="Century Gothic"/>
          <w:color w:val="auto"/>
          <w:lang w:val="en-US"/>
        </w:rPr>
      </w:pPr>
      <w:r>
        <w:rPr>
          <w:rFonts w:ascii="Century Gothic" w:hAnsi="Century Gothic"/>
          <w:color w:val="auto"/>
          <w:lang w:val="en-US"/>
        </w:rPr>
        <w:t>a.</w:t>
      </w:r>
      <w:r>
        <w:rPr>
          <w:rFonts w:ascii="Century Gothic" w:hAnsi="Century Gothic"/>
          <w:color w:val="auto"/>
          <w:lang w:val="en-US"/>
        </w:rPr>
        <w:tab/>
        <w:t>P-bit= 0</w:t>
      </w:r>
    </w:p>
    <w:p w:rsidR="00277ED2" w:rsidRPr="00611019" w:rsidRDefault="00E56462" w:rsidP="008A330C">
      <w:pPr>
        <w:pStyle w:val="CondicionesFinales"/>
        <w:ind w:start="63.80pt" w:end="0pt" w:hanging="18pt"/>
        <w:rPr>
          <w:rFonts w:ascii="Century Gothic" w:hAnsi="Century Gothic"/>
          <w:color w:val="auto"/>
          <w:lang w:val="en-US"/>
        </w:rPr>
      </w:pPr>
      <w:r>
        <w:rPr>
          <w:rFonts w:ascii="Century Gothic" w:hAnsi="Century Gothic"/>
          <w:color w:val="auto"/>
          <w:lang w:val="en-US"/>
        </w:rPr>
        <w:t>b.</w:t>
      </w:r>
      <w:r>
        <w:rPr>
          <w:rFonts w:ascii="Century Gothic" w:hAnsi="Century Gothic"/>
          <w:color w:val="auto"/>
          <w:lang w:val="en-US"/>
        </w:rPr>
        <w:tab/>
        <w:t>P-bits= 0, 5</w:t>
      </w:r>
    </w:p>
    <w:p w:rsidR="00277ED2" w:rsidRPr="00611019" w:rsidRDefault="00E56462" w:rsidP="008A330C">
      <w:pPr>
        <w:pStyle w:val="CondicionesFinales"/>
        <w:ind w:start="63.80pt" w:end="0pt" w:hanging="18pt"/>
        <w:rPr>
          <w:rFonts w:ascii="Century Gothic" w:hAnsi="Century Gothic"/>
          <w:color w:val="auto"/>
          <w:lang w:val="en-US"/>
        </w:rPr>
      </w:pPr>
      <w:r>
        <w:rPr>
          <w:rFonts w:ascii="Century Gothic" w:hAnsi="Century Gothic"/>
          <w:color w:val="auto"/>
          <w:lang w:val="en-US"/>
        </w:rPr>
        <w:t>c.</w:t>
      </w:r>
      <w:r>
        <w:rPr>
          <w:rFonts w:ascii="Century Gothic" w:hAnsi="Century Gothic"/>
          <w:color w:val="auto"/>
          <w:lang w:val="en-US"/>
        </w:rPr>
        <w:tab/>
        <w:t>P-bit= 1</w:t>
      </w:r>
    </w:p>
    <w:p w:rsidR="00277ED2" w:rsidRDefault="00E56462" w:rsidP="008A330C">
      <w:pPr>
        <w:pStyle w:val="CondicionesFinales"/>
        <w:ind w:start="63.80pt" w:end="0pt" w:hanging="17.85pt"/>
        <w:rPr>
          <w:rFonts w:ascii="Century Gothic" w:hAnsi="Century Gothic"/>
          <w:color w:val="auto"/>
          <w:lang w:val="en-US"/>
        </w:rPr>
      </w:pPr>
      <w:r>
        <w:rPr>
          <w:rFonts w:ascii="Century Gothic" w:hAnsi="Century Gothic"/>
          <w:color w:val="auto"/>
          <w:lang w:val="en-US"/>
        </w:rPr>
        <w:t>d.</w:t>
      </w:r>
      <w:r>
        <w:rPr>
          <w:rFonts w:ascii="Century Gothic" w:hAnsi="Century Gothic"/>
          <w:color w:val="auto"/>
          <w:lang w:val="en-US"/>
        </w:rPr>
        <w:tab/>
        <w:t>P-bits= 1, 2 y 5</w:t>
      </w:r>
    </w:p>
    <w:p w:rsidR="008A330C" w:rsidRPr="008A330C" w:rsidRDefault="008A330C" w:rsidP="008A330C">
      <w:pPr>
        <w:pStyle w:val="CondicionesFinales"/>
        <w:ind w:start="63.80pt" w:end="0pt" w:hanging="17.85pt"/>
        <w:rPr>
          <w:rFonts w:ascii="Century Gothic" w:hAnsi="Century Gothic"/>
          <w:color w:val="auto"/>
          <w:sz w:val="8"/>
          <w:lang w:val="en-US"/>
        </w:rPr>
      </w:pPr>
    </w:p>
    <w:p w:rsidR="00277ED2" w:rsidRPr="00611019" w:rsidRDefault="00E56462" w:rsidP="00F56183">
      <w:pPr>
        <w:pStyle w:val="CondicionesFinales"/>
        <w:numPr>
          <w:ilvl w:val="0"/>
          <w:numId w:val="57"/>
        </w:numPr>
        <w:spacing w:after="6pt"/>
        <w:ind w:start="28.35pt" w:end="0pt"/>
        <w:rPr>
          <w:rFonts w:ascii="Century Gothic" w:hAnsi="Century Gothic"/>
          <w:color w:val="auto"/>
          <w:lang w:val="es-MX"/>
        </w:rPr>
      </w:pPr>
      <w:r>
        <w:rPr>
          <w:rFonts w:ascii="Century Gothic" w:hAnsi="Century Gothic"/>
          <w:color w:val="auto"/>
          <w:lang w:val="es-MX"/>
        </w:rPr>
        <w:t xml:space="preserve">El equipo que instale el CS para los SAIB tipo c y d deberá indicar la VLAN que pretende utilizar para ofrecer el servicio. </w:t>
      </w:r>
      <w:r>
        <w:rPr>
          <w:rFonts w:ascii="Century Gothic" w:hAnsi="Century Gothic"/>
          <w:spacing w:val="-3"/>
        </w:rPr>
        <w:t>RED NACIONAL</w:t>
      </w:r>
      <w:r>
        <w:rPr>
          <w:rFonts w:ascii="Century Gothic" w:hAnsi="Century Gothic"/>
          <w:color w:val="auto"/>
          <w:lang w:val="es-MX"/>
        </w:rPr>
        <w:t xml:space="preserve"> asignará una VLAN de manera que el CS pueda configurarla marcando el tráfico con los P-bits CoS 1 para el tipo c y CoS 5, 2 y 1 para el SAIB tipo d.</w:t>
      </w:r>
    </w:p>
    <w:p w:rsidR="00277ED2" w:rsidRPr="00611019" w:rsidRDefault="00E56462" w:rsidP="00F56183">
      <w:pPr>
        <w:pStyle w:val="CondicionesFinales"/>
        <w:numPr>
          <w:ilvl w:val="0"/>
          <w:numId w:val="57"/>
        </w:numPr>
        <w:spacing w:after="6pt"/>
        <w:ind w:start="28.35pt" w:end="0pt"/>
        <w:rPr>
          <w:rFonts w:ascii="Century Gothic" w:hAnsi="Century Gothic"/>
          <w:color w:val="auto"/>
          <w:lang w:val="es-MX"/>
        </w:rPr>
      </w:pPr>
      <w:r>
        <w:rPr>
          <w:rFonts w:ascii="Century Gothic" w:hAnsi="Century Gothic"/>
          <w:color w:val="auto"/>
          <w:lang w:val="es-MX"/>
        </w:rPr>
        <w:t xml:space="preserve">Con la finalidad de que el CS pueda utilizar el equipo de su elección para marcar el tráfico con los P-bits CoS 1 para el SAIB tipo c; y, CoS 5, 2 y 1 para el SAIB tipo d se debe considerar la configuración de la ONT en modo </w:t>
      </w:r>
      <w:r>
        <w:rPr>
          <w:rFonts w:ascii="Century Gothic" w:hAnsi="Century Gothic"/>
          <w:i/>
          <w:color w:val="auto"/>
          <w:lang w:val="es-MX"/>
        </w:rPr>
        <w:t>bridge</w:t>
      </w:r>
      <w:r>
        <w:rPr>
          <w:rFonts w:ascii="Century Gothic" w:hAnsi="Century Gothic"/>
          <w:color w:val="auto"/>
          <w:lang w:val="es-MX"/>
        </w:rPr>
        <w:t xml:space="preserve"> de forma que la ONT no interfiera con los servicios que el CS ofrecerá. En caso de que el CS solicite </w:t>
      </w:r>
      <w:r>
        <w:rPr>
          <w:rFonts w:ascii="Century Gothic" w:hAnsi="Century Gothic"/>
          <w:color w:val="auto"/>
          <w:lang w:val="es-MX"/>
        </w:rPr>
        <w:lastRenderedPageBreak/>
        <w:t xml:space="preserve">ONT blanca, ésta se entregará con el instructivo para que el CS pueda configurarla en modo </w:t>
      </w:r>
      <w:r>
        <w:rPr>
          <w:rFonts w:ascii="Century Gothic" w:hAnsi="Century Gothic"/>
          <w:i/>
          <w:iCs/>
          <w:color w:val="auto"/>
          <w:lang w:val="es-MX"/>
        </w:rPr>
        <w:t>bridge</w:t>
      </w:r>
      <w:r>
        <w:rPr>
          <w:rFonts w:ascii="Century Gothic" w:hAnsi="Century Gothic"/>
          <w:color w:val="auto"/>
          <w:lang w:val="es-MX"/>
        </w:rPr>
        <w:t xml:space="preserve"> al momento en que aprovisione su servicio final. </w:t>
      </w:r>
    </w:p>
    <w:p w:rsidR="00277ED2" w:rsidRPr="00611019" w:rsidRDefault="00E56462" w:rsidP="00F56183">
      <w:pPr>
        <w:pStyle w:val="CondicionesFinales"/>
        <w:numPr>
          <w:ilvl w:val="0"/>
          <w:numId w:val="57"/>
        </w:numPr>
        <w:spacing w:after="6pt"/>
        <w:ind w:start="28.35pt" w:end="0pt"/>
        <w:rPr>
          <w:rFonts w:ascii="Century Gothic" w:hAnsi="Century Gothic"/>
          <w:color w:val="auto"/>
          <w:lang w:val="es-MX"/>
        </w:rPr>
      </w:pPr>
      <w:r>
        <w:rPr>
          <w:rFonts w:ascii="Century Gothic" w:hAnsi="Century Gothic"/>
          <w:color w:val="auto"/>
          <w:lang w:val="es-MX"/>
        </w:rPr>
        <w:t>El tráfico soportado es Unicast</w:t>
      </w:r>
      <w:r>
        <w:rPr>
          <w:rStyle w:val="Refdenotaalpie"/>
          <w:rFonts w:ascii="Century Gothic" w:hAnsi="Century Gothic"/>
          <w:color w:val="auto"/>
          <w:lang w:val="es-MX"/>
        </w:rPr>
        <w:footnoteReference w:id="7"/>
      </w:r>
      <w:r>
        <w:rPr>
          <w:rFonts w:ascii="Century Gothic" w:hAnsi="Century Gothic"/>
          <w:color w:val="auto"/>
          <w:lang w:val="es-MX"/>
        </w:rPr>
        <w:t>.</w:t>
      </w:r>
    </w:p>
    <w:p w:rsidR="00277ED2" w:rsidRPr="00611019" w:rsidRDefault="00E56462" w:rsidP="00F56183">
      <w:pPr>
        <w:pStyle w:val="CondicionesFinales"/>
        <w:numPr>
          <w:ilvl w:val="0"/>
          <w:numId w:val="57"/>
        </w:numPr>
        <w:spacing w:after="6pt"/>
        <w:ind w:start="28.35pt" w:end="0pt"/>
        <w:rPr>
          <w:rFonts w:ascii="Century Gothic" w:hAnsi="Century Gothic"/>
          <w:color w:val="auto"/>
          <w:lang w:val="es-MX"/>
        </w:rPr>
      </w:pPr>
      <w:r>
        <w:rPr>
          <w:rFonts w:ascii="Century Gothic" w:hAnsi="Century Gothic"/>
          <w:color w:val="auto"/>
          <w:lang w:val="es-MX"/>
        </w:rPr>
        <w:t xml:space="preserve">Acceso de usuario con un ancho de banda definido en contratación y de conformidad con los perfiles de servicio especificados en el SEG/SIPO. </w:t>
      </w:r>
    </w:p>
    <w:p w:rsidR="00277ED2" w:rsidRPr="00611019" w:rsidRDefault="00E56462" w:rsidP="00F56183">
      <w:pPr>
        <w:pStyle w:val="CondicionesFinales"/>
        <w:numPr>
          <w:ilvl w:val="0"/>
          <w:numId w:val="57"/>
        </w:numPr>
        <w:spacing w:after="6pt"/>
        <w:ind w:start="28.35pt" w:end="0pt"/>
        <w:rPr>
          <w:rFonts w:ascii="Century Gothic" w:hAnsi="Century Gothic"/>
          <w:color w:val="auto"/>
          <w:lang w:val="es-MX"/>
        </w:rPr>
      </w:pPr>
      <w:r>
        <w:rPr>
          <w:rFonts w:ascii="Century Gothic" w:hAnsi="Century Gothic"/>
          <w:color w:val="auto"/>
          <w:lang w:val="es-MX"/>
        </w:rPr>
        <w:t xml:space="preserve">Interfaces Ethernet entre equipo de usuario y equipo de acceso (xDSL/OLT) así como entre equipos de </w:t>
      </w:r>
      <w:r>
        <w:rPr>
          <w:rFonts w:ascii="Century Gothic" w:hAnsi="Century Gothic"/>
        </w:rPr>
        <w:t>RED NACIONAL</w:t>
      </w:r>
      <w:r>
        <w:rPr>
          <w:rFonts w:ascii="Century Gothic" w:hAnsi="Century Gothic"/>
          <w:color w:val="auto"/>
          <w:lang w:val="es-MX"/>
        </w:rPr>
        <w:t xml:space="preserve"> y del CS en ambos lados del pCAI.</w:t>
      </w:r>
    </w:p>
    <w:p w:rsidR="00277ED2" w:rsidRPr="00611019" w:rsidRDefault="00E56462" w:rsidP="00F56183">
      <w:pPr>
        <w:pStyle w:val="CondicionesFinales"/>
        <w:numPr>
          <w:ilvl w:val="0"/>
          <w:numId w:val="57"/>
        </w:numPr>
        <w:spacing w:after="6pt"/>
        <w:ind w:start="28.35pt" w:end="0pt"/>
        <w:rPr>
          <w:rFonts w:ascii="Century Gothic" w:hAnsi="Century Gothic"/>
          <w:color w:val="auto"/>
          <w:lang w:val="es-MX"/>
        </w:rPr>
      </w:pPr>
      <w:r>
        <w:rPr>
          <w:rFonts w:ascii="Century Gothic" w:hAnsi="Century Gothic"/>
          <w:color w:val="auto"/>
          <w:lang w:val="es-MX"/>
        </w:rPr>
        <w:t xml:space="preserve">Tráfico ascendente (usuario-red) conformado por el equipo del Usuario Final  para adecuarse a las características del servicio y calidades contratadas y sobre el que el equipo de acceso ejerce las funciones de control conforme con las características del Servicio contratado. </w:t>
      </w:r>
    </w:p>
    <w:p w:rsidR="00277ED2" w:rsidRPr="00611019" w:rsidRDefault="00E56462" w:rsidP="00F56183">
      <w:pPr>
        <w:pStyle w:val="CondicionesFinales"/>
        <w:numPr>
          <w:ilvl w:val="0"/>
          <w:numId w:val="57"/>
        </w:numPr>
        <w:spacing w:after="6pt"/>
        <w:ind w:start="28.35pt" w:end="0pt"/>
        <w:rPr>
          <w:rFonts w:ascii="Century Gothic" w:hAnsi="Century Gothic"/>
          <w:color w:val="auto"/>
          <w:lang w:val="es-MX"/>
        </w:rPr>
      </w:pPr>
      <w:r>
        <w:rPr>
          <w:rFonts w:ascii="Century Gothic" w:hAnsi="Century Gothic"/>
          <w:color w:val="auto"/>
          <w:lang w:val="es-MX"/>
        </w:rPr>
        <w:t xml:space="preserve">Tráfico descendente (red-usuario) conformado por el equipo de borde de red (equipo del CS). </w:t>
      </w:r>
    </w:p>
    <w:p w:rsidR="00277ED2" w:rsidRPr="00611019" w:rsidRDefault="00E56462" w:rsidP="00F56183">
      <w:pPr>
        <w:pStyle w:val="CondicionesFinales"/>
        <w:numPr>
          <w:ilvl w:val="0"/>
          <w:numId w:val="57"/>
        </w:numPr>
        <w:spacing w:after="6pt"/>
        <w:ind w:start="28.35pt" w:end="0pt"/>
        <w:rPr>
          <w:rFonts w:ascii="Century Gothic" w:hAnsi="Century Gothic"/>
          <w:color w:val="auto"/>
          <w:lang w:val="es-MX"/>
        </w:rPr>
      </w:pPr>
      <w:r>
        <w:rPr>
          <w:rFonts w:ascii="Century Gothic" w:hAnsi="Century Gothic"/>
          <w:color w:val="auto"/>
          <w:lang w:val="es-MX"/>
        </w:rPr>
        <w:t xml:space="preserve">Medio de acceso a Usuarios Finales (cobre, fibra óptica e híbrido [TBA]). </w:t>
      </w:r>
    </w:p>
    <w:p w:rsidR="00277ED2" w:rsidRPr="00611019" w:rsidRDefault="00E56462" w:rsidP="00035D2C">
      <w:pPr>
        <w:pStyle w:val="IFTnormal"/>
        <w:spacing w:after="6pt"/>
        <w:rPr>
          <w:rFonts w:ascii="Century Gothic" w:hAnsi="Century Gothic"/>
        </w:rPr>
      </w:pPr>
      <w:r>
        <w:rPr>
          <w:rFonts w:ascii="Century Gothic" w:hAnsi="Century Gothic"/>
        </w:rPr>
        <w:t>Las tecnologías de acceso sobre las que se ofrecerá el Servicio son las siguientes:</w:t>
      </w:r>
    </w:p>
    <w:p w:rsidR="008A330C" w:rsidRDefault="00E56462" w:rsidP="00F56183">
      <w:pPr>
        <w:pStyle w:val="CondicionesFinales"/>
        <w:numPr>
          <w:ilvl w:val="0"/>
          <w:numId w:val="58"/>
        </w:numPr>
        <w:ind w:start="28.35pt" w:end="0pt"/>
        <w:rPr>
          <w:rFonts w:ascii="Century Gothic" w:hAnsi="Century Gothic"/>
          <w:color w:val="auto"/>
          <w:lang w:val="es-MX"/>
        </w:rPr>
      </w:pPr>
      <w:r>
        <w:rPr>
          <w:rFonts w:ascii="Century Gothic" w:hAnsi="Century Gothic"/>
          <w:color w:val="auto"/>
          <w:lang w:val="es-MX"/>
        </w:rPr>
        <w:t>xDSL/POTS.</w:t>
      </w:r>
    </w:p>
    <w:p w:rsidR="00277ED2" w:rsidRPr="008A330C" w:rsidRDefault="00E56462" w:rsidP="00F56183">
      <w:pPr>
        <w:pStyle w:val="CondicionesFinales"/>
        <w:numPr>
          <w:ilvl w:val="0"/>
          <w:numId w:val="58"/>
        </w:numPr>
        <w:ind w:start="28.35pt" w:end="0pt"/>
        <w:rPr>
          <w:rFonts w:ascii="Century Gothic" w:hAnsi="Century Gothic"/>
          <w:color w:val="auto"/>
          <w:lang w:val="es-MX"/>
        </w:rPr>
      </w:pPr>
      <w:r>
        <w:rPr>
          <w:rFonts w:ascii="Century Gothic" w:hAnsi="Century Gothic"/>
          <w:color w:val="auto"/>
          <w:lang w:val="es-MX"/>
        </w:rPr>
        <w:t>FTTH con tecnología xPON.</w:t>
      </w:r>
    </w:p>
    <w:p w:rsidR="00277ED2" w:rsidRPr="00611019" w:rsidRDefault="00E56462" w:rsidP="00F56183">
      <w:pPr>
        <w:pStyle w:val="CondicionesFinales"/>
        <w:numPr>
          <w:ilvl w:val="0"/>
          <w:numId w:val="58"/>
        </w:numPr>
        <w:ind w:start="28.35pt" w:end="0pt"/>
        <w:rPr>
          <w:rFonts w:ascii="Century Gothic" w:hAnsi="Century Gothic"/>
          <w:color w:val="auto"/>
          <w:lang w:val="es-MX"/>
        </w:rPr>
      </w:pPr>
      <w:r>
        <w:rPr>
          <w:rFonts w:ascii="Century Gothic" w:hAnsi="Century Gothic"/>
          <w:color w:val="auto"/>
          <w:lang w:val="es-MX"/>
        </w:rPr>
        <w:t>Cualquier otra que RED NACIONAL tenga instalada en su red y soporte el servicio.</w:t>
      </w:r>
    </w:p>
    <w:p w:rsidR="00F645E5" w:rsidRDefault="00F645E5" w:rsidP="00035D2C">
      <w:pPr>
        <w:pStyle w:val="IFTnormal"/>
        <w:rPr>
          <w:rFonts w:ascii="Century Gothic" w:hAnsi="Century Gothic"/>
          <w:b/>
        </w:rPr>
      </w:pPr>
    </w:p>
    <w:p w:rsidR="00277ED2" w:rsidRPr="00611019" w:rsidRDefault="00E56462" w:rsidP="00035D2C">
      <w:pPr>
        <w:pStyle w:val="IFTnormal"/>
        <w:rPr>
          <w:rFonts w:ascii="Century Gothic" w:hAnsi="Century Gothic"/>
          <w:b/>
        </w:rPr>
      </w:pPr>
      <w:r>
        <w:rPr>
          <w:rFonts w:ascii="Century Gothic" w:hAnsi="Century Gothic"/>
          <w:b/>
        </w:rPr>
        <w:t>Opciones de comercialización. Velocidades y calidades de tráfico comercializables.</w:t>
      </w:r>
    </w:p>
    <w:p w:rsidR="00F645E5" w:rsidRDefault="00F645E5" w:rsidP="00F645E5">
      <w:pPr>
        <w:pStyle w:val="IFTnormal"/>
        <w:rPr>
          <w:rFonts w:ascii="Century Gothic" w:hAnsi="Century Gothic"/>
        </w:rPr>
      </w:pPr>
    </w:p>
    <w:p w:rsidR="00211C43" w:rsidRPr="00611019" w:rsidRDefault="00E56462" w:rsidP="00035D2C">
      <w:pPr>
        <w:pStyle w:val="IFTnormal"/>
        <w:spacing w:after="6pt"/>
        <w:rPr>
          <w:rFonts w:ascii="Century Gothic" w:hAnsi="Century Gothic"/>
        </w:rPr>
      </w:pPr>
      <w:r>
        <w:rPr>
          <w:rFonts w:ascii="Century Gothic" w:hAnsi="Century Gothic"/>
        </w:rPr>
        <w:t xml:space="preserve">Los tipos de servicio SAIB que podrán ser contratados por los </w:t>
      </w:r>
      <w:r w:rsidR="00114418">
        <w:rPr>
          <w:rFonts w:ascii="Century Gothic" w:hAnsi="Century Gothic"/>
        </w:rPr>
        <w:t>CS</w:t>
      </w:r>
      <w:r>
        <w:rPr>
          <w:rFonts w:ascii="Century Gothic" w:hAnsi="Century Gothic"/>
        </w:rPr>
        <w:t xml:space="preserve"> serán los siguientes:</w:t>
      </w:r>
    </w:p>
    <w:tbl>
      <w:tblPr>
        <w:tblW w:w="98.0%" w:type="pct"/>
        <w:tblInd w:w="5.40pt" w:type="dxa"/>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0"/>
      </w:tblPr>
      <w:tblGrid>
        <w:gridCol w:w="2818"/>
        <w:gridCol w:w="3194"/>
        <w:gridCol w:w="3194"/>
      </w:tblGrid>
      <w:tr w:rsidR="0061711D" w:rsidTr="00223141">
        <w:trPr>
          <w:trHeight w:val="502"/>
          <w:tblHeader/>
        </w:trPr>
        <w:tc>
          <w:tcPr>
            <w:tcW w:w="30.0%" w:type="pct"/>
            <w:shd w:val="clear" w:color="auto" w:fill="009AD9"/>
            <w:vAlign w:val="center"/>
          </w:tcPr>
          <w:p w:rsidR="00277ED2" w:rsidRPr="00611019" w:rsidRDefault="00E56462" w:rsidP="00035D2C">
            <w:pPr>
              <w:spacing w:before="2pt" w:after="2pt"/>
              <w:jc w:val="center"/>
              <w:rPr>
                <w:rFonts w:ascii="Century Gothic" w:hAnsi="Century Gothic" w:cs="Arial"/>
                <w:b/>
                <w:color w:val="FFFFFF" w:themeColor="background1"/>
                <w:sz w:val="20"/>
                <w:lang w:eastAsia="es-MX"/>
              </w:rPr>
            </w:pPr>
            <w:r>
              <w:rPr>
                <w:rFonts w:ascii="Century Gothic" w:hAnsi="Century Gothic" w:cs="Arial"/>
                <w:b/>
                <w:color w:val="FFFFFF" w:themeColor="background1"/>
                <w:sz w:val="20"/>
                <w:lang w:eastAsia="es-MX"/>
              </w:rPr>
              <w:t>Tipo de servicio.</w:t>
            </w:r>
          </w:p>
        </w:tc>
        <w:tc>
          <w:tcPr>
            <w:tcW w:w="34.0%" w:type="pct"/>
            <w:shd w:val="clear" w:color="auto" w:fill="009AD9"/>
            <w:vAlign w:val="center"/>
          </w:tcPr>
          <w:p w:rsidR="00277ED2" w:rsidRPr="00611019" w:rsidRDefault="00E56462" w:rsidP="00035D2C">
            <w:pPr>
              <w:spacing w:before="2pt" w:after="2pt"/>
              <w:jc w:val="center"/>
              <w:rPr>
                <w:rFonts w:ascii="Century Gothic" w:hAnsi="Century Gothic" w:cs="Arial"/>
                <w:b/>
                <w:color w:val="FFFFFF" w:themeColor="background1"/>
                <w:sz w:val="20"/>
                <w:lang w:eastAsia="es-MX"/>
              </w:rPr>
            </w:pPr>
            <w:r>
              <w:rPr>
                <w:rFonts w:ascii="Century Gothic" w:hAnsi="Century Gothic" w:cs="Arial"/>
                <w:b/>
                <w:color w:val="FFFFFF" w:themeColor="background1"/>
                <w:sz w:val="20"/>
                <w:lang w:eastAsia="es-MX"/>
              </w:rPr>
              <w:t>Tecnología de bucle.</w:t>
            </w:r>
          </w:p>
        </w:tc>
        <w:tc>
          <w:tcPr>
            <w:tcW w:w="34.0%" w:type="pct"/>
            <w:shd w:val="clear" w:color="auto" w:fill="009AD9"/>
            <w:vAlign w:val="center"/>
          </w:tcPr>
          <w:p w:rsidR="00277ED2" w:rsidRPr="00611019" w:rsidRDefault="00E56462" w:rsidP="00035D2C">
            <w:pPr>
              <w:spacing w:before="2pt" w:after="2pt"/>
              <w:jc w:val="center"/>
              <w:rPr>
                <w:rFonts w:ascii="Century Gothic" w:hAnsi="Century Gothic" w:cs="Arial"/>
                <w:b/>
                <w:color w:val="FFFFFF" w:themeColor="background1"/>
                <w:sz w:val="20"/>
                <w:lang w:eastAsia="es-MX"/>
              </w:rPr>
            </w:pPr>
            <w:r>
              <w:rPr>
                <w:rFonts w:ascii="Century Gothic" w:hAnsi="Century Gothic" w:cs="Arial"/>
                <w:b/>
                <w:color w:val="FFFFFF" w:themeColor="background1"/>
                <w:sz w:val="20"/>
                <w:lang w:eastAsia="es-MX"/>
              </w:rPr>
              <w:t>Calidad de servicio.</w:t>
            </w:r>
          </w:p>
        </w:tc>
      </w:tr>
      <w:tr w:rsidR="0061711D" w:rsidTr="00277ED2">
        <w:trPr>
          <w:cantSplit/>
          <w:trHeight w:val="502"/>
        </w:trPr>
        <w:tc>
          <w:tcPr>
            <w:tcW w:w="30.0%" w:type="pct"/>
            <w:shd w:val="clear" w:color="auto" w:fill="auto"/>
            <w:vAlign w:val="center"/>
          </w:tcPr>
          <w:p w:rsidR="00277ED2" w:rsidRPr="00611019" w:rsidRDefault="00E56462" w:rsidP="00035D2C">
            <w:pPr>
              <w:spacing w:before="3pt" w:after="3pt"/>
              <w:rPr>
                <w:rFonts w:ascii="Century Gothic" w:hAnsi="Century Gothic" w:cs="Arial"/>
                <w:sz w:val="20"/>
                <w:szCs w:val="20"/>
              </w:rPr>
            </w:pPr>
            <w:r>
              <w:rPr>
                <w:rFonts w:ascii="Century Gothic" w:hAnsi="Century Gothic" w:cs="Arial"/>
                <w:sz w:val="20"/>
                <w:szCs w:val="20"/>
              </w:rPr>
              <w:t>Servicio de datos asimétrico</w:t>
            </w:r>
          </w:p>
        </w:tc>
        <w:tc>
          <w:tcPr>
            <w:tcW w:w="34.0%" w:type="pct"/>
            <w:shd w:val="clear" w:color="auto" w:fill="auto"/>
            <w:vAlign w:val="center"/>
          </w:tcPr>
          <w:p w:rsidR="00277ED2" w:rsidRPr="00611019" w:rsidRDefault="00E56462" w:rsidP="00035D2C">
            <w:pPr>
              <w:spacing w:before="3pt" w:after="3pt"/>
              <w:rPr>
                <w:rFonts w:ascii="Century Gothic" w:hAnsi="Century Gothic" w:cs="Arial"/>
                <w:sz w:val="20"/>
                <w:szCs w:val="20"/>
              </w:rPr>
            </w:pPr>
            <w:r>
              <w:rPr>
                <w:rFonts w:ascii="Century Gothic" w:hAnsi="Century Gothic" w:cs="Arial"/>
                <w:sz w:val="20"/>
                <w:szCs w:val="20"/>
              </w:rPr>
              <w:t>Bucle de cobre/ FO xPON-FTTH/ FO xPON-FTTN</w:t>
            </w:r>
          </w:p>
        </w:tc>
        <w:tc>
          <w:tcPr>
            <w:tcW w:w="34.0%" w:type="pct"/>
            <w:shd w:val="clear" w:color="auto" w:fill="auto"/>
            <w:vAlign w:val="center"/>
          </w:tcPr>
          <w:p w:rsidR="00277ED2" w:rsidRPr="00611019" w:rsidRDefault="00E56462" w:rsidP="00035D2C">
            <w:pPr>
              <w:spacing w:before="3pt" w:after="3pt"/>
              <w:rPr>
                <w:rFonts w:ascii="Century Gothic" w:hAnsi="Century Gothic" w:cs="Arial"/>
                <w:sz w:val="20"/>
                <w:szCs w:val="20"/>
              </w:rPr>
            </w:pPr>
            <w:r>
              <w:rPr>
                <w:rFonts w:ascii="Century Gothic" w:hAnsi="Century Gothic" w:cs="Arial"/>
                <w:sz w:val="20"/>
                <w:szCs w:val="20"/>
              </w:rPr>
              <w:t>Calidad: BE</w:t>
            </w:r>
          </w:p>
        </w:tc>
      </w:tr>
      <w:tr w:rsidR="0061711D" w:rsidTr="00277ED2">
        <w:trPr>
          <w:cantSplit/>
          <w:trHeight w:val="196"/>
        </w:trPr>
        <w:tc>
          <w:tcPr>
            <w:tcW w:w="30.0%" w:type="pct"/>
            <w:shd w:val="clear" w:color="auto" w:fill="auto"/>
            <w:vAlign w:val="center"/>
          </w:tcPr>
          <w:p w:rsidR="00277ED2" w:rsidRPr="00611019" w:rsidRDefault="00E56462" w:rsidP="00035D2C">
            <w:pPr>
              <w:spacing w:before="3pt" w:after="3pt"/>
              <w:rPr>
                <w:rFonts w:ascii="Century Gothic" w:hAnsi="Century Gothic" w:cs="Arial"/>
                <w:sz w:val="20"/>
                <w:szCs w:val="20"/>
              </w:rPr>
            </w:pPr>
            <w:r>
              <w:rPr>
                <w:rFonts w:ascii="Century Gothic" w:hAnsi="Century Gothic" w:cs="Arial"/>
                <w:sz w:val="20"/>
                <w:szCs w:val="20"/>
              </w:rPr>
              <w:t>Servicio de datos con doble calidad asimétrica</w:t>
            </w:r>
          </w:p>
        </w:tc>
        <w:tc>
          <w:tcPr>
            <w:tcW w:w="34.0%" w:type="pct"/>
            <w:shd w:val="clear" w:color="auto" w:fill="auto"/>
            <w:vAlign w:val="center"/>
          </w:tcPr>
          <w:p w:rsidR="00277ED2" w:rsidRPr="00611019" w:rsidRDefault="00E56462" w:rsidP="00035D2C">
            <w:pPr>
              <w:spacing w:before="3pt" w:after="3pt"/>
              <w:rPr>
                <w:rFonts w:ascii="Century Gothic" w:hAnsi="Century Gothic" w:cs="Arial"/>
                <w:sz w:val="20"/>
                <w:szCs w:val="20"/>
              </w:rPr>
            </w:pPr>
            <w:r>
              <w:rPr>
                <w:rFonts w:ascii="Century Gothic" w:hAnsi="Century Gothic" w:cs="Arial"/>
                <w:sz w:val="20"/>
                <w:szCs w:val="20"/>
              </w:rPr>
              <w:t>Bucle de cobre/ FO xPON-FTTH/ FO xPON-FTTN</w:t>
            </w:r>
          </w:p>
        </w:tc>
        <w:tc>
          <w:tcPr>
            <w:tcW w:w="34.0%" w:type="pct"/>
            <w:shd w:val="clear" w:color="auto" w:fill="auto"/>
            <w:vAlign w:val="center"/>
          </w:tcPr>
          <w:p w:rsidR="00277ED2" w:rsidRPr="00611019" w:rsidRDefault="00E56462" w:rsidP="00035D2C">
            <w:pPr>
              <w:spacing w:before="3pt" w:after="3pt"/>
              <w:rPr>
                <w:rFonts w:ascii="Century Gothic" w:hAnsi="Century Gothic" w:cs="Arial"/>
                <w:sz w:val="20"/>
                <w:szCs w:val="20"/>
              </w:rPr>
            </w:pPr>
            <w:r>
              <w:rPr>
                <w:rFonts w:ascii="Century Gothic" w:hAnsi="Century Gothic" w:cs="Arial"/>
                <w:sz w:val="20"/>
                <w:szCs w:val="20"/>
              </w:rPr>
              <w:t>Calidad doble: VoIP/BE</w:t>
            </w:r>
          </w:p>
        </w:tc>
      </w:tr>
      <w:tr w:rsidR="0061711D" w:rsidTr="00277ED2">
        <w:trPr>
          <w:cantSplit/>
          <w:trHeight w:val="196"/>
        </w:trPr>
        <w:tc>
          <w:tcPr>
            <w:tcW w:w="30.0%" w:type="pct"/>
            <w:shd w:val="clear" w:color="auto" w:fill="auto"/>
            <w:vAlign w:val="center"/>
          </w:tcPr>
          <w:p w:rsidR="00277ED2" w:rsidRPr="00611019" w:rsidRDefault="00E56462" w:rsidP="00035D2C">
            <w:pPr>
              <w:spacing w:before="3pt" w:after="3pt"/>
              <w:rPr>
                <w:rFonts w:ascii="Century Gothic" w:hAnsi="Century Gothic" w:cs="Arial"/>
                <w:sz w:val="20"/>
                <w:szCs w:val="20"/>
              </w:rPr>
            </w:pPr>
            <w:r>
              <w:rPr>
                <w:rFonts w:ascii="Century Gothic" w:hAnsi="Century Gothic" w:cs="Arial"/>
                <w:sz w:val="20"/>
                <w:szCs w:val="20"/>
              </w:rPr>
              <w:t>Servicio de datos con triple calidad asimétrica</w:t>
            </w:r>
          </w:p>
        </w:tc>
        <w:tc>
          <w:tcPr>
            <w:tcW w:w="34.0%" w:type="pct"/>
            <w:shd w:val="clear" w:color="auto" w:fill="auto"/>
            <w:vAlign w:val="center"/>
          </w:tcPr>
          <w:p w:rsidR="00277ED2" w:rsidRPr="00611019" w:rsidRDefault="00E56462" w:rsidP="00035D2C">
            <w:pPr>
              <w:spacing w:before="3pt" w:after="3pt"/>
              <w:rPr>
                <w:rFonts w:ascii="Century Gothic" w:hAnsi="Century Gothic" w:cs="Arial"/>
                <w:sz w:val="20"/>
                <w:szCs w:val="20"/>
              </w:rPr>
            </w:pPr>
            <w:r>
              <w:rPr>
                <w:rFonts w:ascii="Century Gothic" w:hAnsi="Century Gothic" w:cs="Arial"/>
                <w:sz w:val="20"/>
                <w:szCs w:val="20"/>
              </w:rPr>
              <w:t>Bucle de cobre*</w:t>
            </w:r>
          </w:p>
        </w:tc>
        <w:tc>
          <w:tcPr>
            <w:tcW w:w="34.0%" w:type="pct"/>
            <w:shd w:val="clear" w:color="auto" w:fill="auto"/>
            <w:vAlign w:val="center"/>
          </w:tcPr>
          <w:p w:rsidR="00277ED2" w:rsidRPr="00611019" w:rsidRDefault="00E56462" w:rsidP="00035D2C">
            <w:pPr>
              <w:spacing w:before="3pt" w:after="3pt"/>
              <w:rPr>
                <w:rFonts w:ascii="Century Gothic" w:hAnsi="Century Gothic" w:cs="Arial"/>
                <w:sz w:val="20"/>
                <w:szCs w:val="20"/>
              </w:rPr>
            </w:pPr>
            <w:r>
              <w:rPr>
                <w:rFonts w:ascii="Century Gothic" w:hAnsi="Century Gothic" w:cs="Arial"/>
                <w:sz w:val="20"/>
                <w:szCs w:val="20"/>
              </w:rPr>
              <w:t>Calidad triple: VoIP/Datos Críticos/ Datos Generales</w:t>
            </w:r>
          </w:p>
        </w:tc>
      </w:tr>
      <w:tr w:rsidR="0061711D" w:rsidTr="00277ED2">
        <w:trPr>
          <w:cantSplit/>
          <w:trHeight w:val="196"/>
        </w:trPr>
        <w:tc>
          <w:tcPr>
            <w:tcW w:w="30.0%" w:type="pct"/>
            <w:shd w:val="clear" w:color="auto" w:fill="auto"/>
            <w:vAlign w:val="center"/>
          </w:tcPr>
          <w:p w:rsidR="00277ED2" w:rsidRPr="00611019" w:rsidRDefault="00E56462" w:rsidP="00035D2C">
            <w:pPr>
              <w:spacing w:before="3pt" w:after="3pt"/>
              <w:rPr>
                <w:rFonts w:ascii="Century Gothic" w:hAnsi="Century Gothic" w:cs="Arial"/>
                <w:sz w:val="20"/>
                <w:szCs w:val="20"/>
              </w:rPr>
            </w:pPr>
            <w:r>
              <w:rPr>
                <w:rFonts w:ascii="Century Gothic" w:hAnsi="Century Gothic" w:cs="Arial"/>
                <w:sz w:val="20"/>
                <w:szCs w:val="20"/>
              </w:rPr>
              <w:t>Servicio de datos Simétrico</w:t>
            </w:r>
          </w:p>
        </w:tc>
        <w:tc>
          <w:tcPr>
            <w:tcW w:w="34.0%" w:type="pct"/>
            <w:shd w:val="clear" w:color="auto" w:fill="auto"/>
            <w:vAlign w:val="center"/>
          </w:tcPr>
          <w:p w:rsidR="00277ED2" w:rsidRPr="00611019" w:rsidRDefault="00E56462" w:rsidP="00035D2C">
            <w:pPr>
              <w:spacing w:before="3pt" w:after="3pt"/>
              <w:rPr>
                <w:rFonts w:ascii="Century Gothic" w:hAnsi="Century Gothic" w:cs="Arial"/>
                <w:sz w:val="20"/>
                <w:szCs w:val="20"/>
              </w:rPr>
            </w:pPr>
            <w:r>
              <w:rPr>
                <w:rFonts w:ascii="Century Gothic" w:hAnsi="Century Gothic" w:cs="Arial"/>
                <w:sz w:val="20"/>
                <w:szCs w:val="20"/>
              </w:rPr>
              <w:t xml:space="preserve">FO </w:t>
            </w:r>
            <w:r w:rsidR="00097306">
              <w:rPr>
                <w:rFonts w:ascii="Century Gothic" w:hAnsi="Century Gothic" w:cs="Arial"/>
                <w:sz w:val="20"/>
                <w:szCs w:val="20"/>
              </w:rPr>
              <w:t>x</w:t>
            </w:r>
            <w:r>
              <w:rPr>
                <w:rFonts w:ascii="Century Gothic" w:hAnsi="Century Gothic" w:cs="Arial"/>
                <w:sz w:val="20"/>
                <w:szCs w:val="20"/>
              </w:rPr>
              <w:t>PON-FTTH</w:t>
            </w:r>
          </w:p>
        </w:tc>
        <w:tc>
          <w:tcPr>
            <w:tcW w:w="34.0%" w:type="pct"/>
            <w:shd w:val="clear" w:color="auto" w:fill="auto"/>
            <w:vAlign w:val="center"/>
          </w:tcPr>
          <w:p w:rsidR="00277ED2" w:rsidRPr="00611019" w:rsidRDefault="00E56462" w:rsidP="00035D2C">
            <w:pPr>
              <w:spacing w:before="3pt" w:after="3pt"/>
              <w:rPr>
                <w:rFonts w:ascii="Century Gothic" w:hAnsi="Century Gothic" w:cs="Arial"/>
                <w:sz w:val="20"/>
                <w:szCs w:val="20"/>
              </w:rPr>
            </w:pPr>
            <w:r>
              <w:rPr>
                <w:rFonts w:ascii="Century Gothic" w:hAnsi="Century Gothic" w:cs="Arial"/>
                <w:sz w:val="20"/>
                <w:szCs w:val="20"/>
              </w:rPr>
              <w:t>Calidad: BE</w:t>
            </w:r>
          </w:p>
        </w:tc>
      </w:tr>
      <w:tr w:rsidR="0061711D" w:rsidTr="00277ED2">
        <w:trPr>
          <w:cantSplit/>
          <w:trHeight w:val="196"/>
        </w:trPr>
        <w:tc>
          <w:tcPr>
            <w:tcW w:w="30.0%" w:type="pct"/>
            <w:shd w:val="clear" w:color="auto" w:fill="auto"/>
            <w:vAlign w:val="center"/>
          </w:tcPr>
          <w:p w:rsidR="00277ED2" w:rsidRPr="00611019" w:rsidRDefault="00E56462" w:rsidP="00035D2C">
            <w:pPr>
              <w:spacing w:before="3pt" w:after="3pt"/>
              <w:rPr>
                <w:rFonts w:ascii="Century Gothic" w:hAnsi="Century Gothic" w:cs="Arial"/>
                <w:sz w:val="20"/>
                <w:szCs w:val="20"/>
              </w:rPr>
            </w:pPr>
            <w:r>
              <w:rPr>
                <w:rFonts w:ascii="Century Gothic" w:hAnsi="Century Gothic" w:cs="Arial"/>
                <w:sz w:val="20"/>
                <w:szCs w:val="20"/>
              </w:rPr>
              <w:lastRenderedPageBreak/>
              <w:t>Servicio de datos con doble calidad simétrica</w:t>
            </w:r>
          </w:p>
        </w:tc>
        <w:tc>
          <w:tcPr>
            <w:tcW w:w="34.0%" w:type="pct"/>
            <w:shd w:val="clear" w:color="auto" w:fill="auto"/>
            <w:vAlign w:val="center"/>
          </w:tcPr>
          <w:p w:rsidR="00277ED2" w:rsidRPr="00611019" w:rsidRDefault="00E56462" w:rsidP="00035D2C">
            <w:pPr>
              <w:spacing w:before="3pt" w:after="3pt"/>
              <w:rPr>
                <w:rFonts w:ascii="Century Gothic" w:hAnsi="Century Gothic" w:cs="Arial"/>
                <w:sz w:val="20"/>
                <w:szCs w:val="20"/>
              </w:rPr>
            </w:pPr>
            <w:r>
              <w:rPr>
                <w:rFonts w:ascii="Century Gothic" w:hAnsi="Century Gothic" w:cs="Arial"/>
                <w:sz w:val="20"/>
                <w:szCs w:val="20"/>
              </w:rPr>
              <w:t xml:space="preserve">FO </w:t>
            </w:r>
            <w:r w:rsidR="00097306">
              <w:rPr>
                <w:rFonts w:ascii="Century Gothic" w:hAnsi="Century Gothic" w:cs="Arial"/>
                <w:sz w:val="20"/>
                <w:szCs w:val="20"/>
              </w:rPr>
              <w:t>x</w:t>
            </w:r>
            <w:r>
              <w:rPr>
                <w:rFonts w:ascii="Century Gothic" w:hAnsi="Century Gothic" w:cs="Arial"/>
                <w:sz w:val="20"/>
                <w:szCs w:val="20"/>
              </w:rPr>
              <w:t>PON-FTTH</w:t>
            </w:r>
          </w:p>
        </w:tc>
        <w:tc>
          <w:tcPr>
            <w:tcW w:w="34.0%" w:type="pct"/>
            <w:shd w:val="clear" w:color="auto" w:fill="auto"/>
            <w:vAlign w:val="center"/>
          </w:tcPr>
          <w:p w:rsidR="00277ED2" w:rsidRPr="00611019" w:rsidRDefault="00E56462" w:rsidP="00035D2C">
            <w:pPr>
              <w:spacing w:before="3pt" w:after="3pt"/>
              <w:rPr>
                <w:rFonts w:ascii="Century Gothic" w:hAnsi="Century Gothic" w:cs="Arial"/>
                <w:sz w:val="20"/>
                <w:szCs w:val="20"/>
              </w:rPr>
            </w:pPr>
            <w:r>
              <w:rPr>
                <w:rFonts w:ascii="Century Gothic" w:hAnsi="Century Gothic" w:cs="Arial"/>
                <w:sz w:val="20"/>
                <w:szCs w:val="20"/>
              </w:rPr>
              <w:t>Calidad doble: VoIP/BE</w:t>
            </w:r>
          </w:p>
        </w:tc>
      </w:tr>
      <w:tr w:rsidR="0061711D" w:rsidTr="00277ED2">
        <w:trPr>
          <w:cantSplit/>
          <w:trHeight w:val="196"/>
        </w:trPr>
        <w:tc>
          <w:tcPr>
            <w:tcW w:w="30.0%" w:type="pct"/>
            <w:shd w:val="clear" w:color="auto" w:fill="auto"/>
          </w:tcPr>
          <w:p w:rsidR="00277ED2" w:rsidRPr="00611019" w:rsidRDefault="00E56462" w:rsidP="00035D2C">
            <w:pPr>
              <w:spacing w:before="3pt" w:after="3pt"/>
              <w:rPr>
                <w:rFonts w:ascii="Century Gothic" w:hAnsi="Century Gothic" w:cs="Arial"/>
                <w:sz w:val="20"/>
                <w:szCs w:val="20"/>
              </w:rPr>
            </w:pPr>
            <w:r>
              <w:rPr>
                <w:rFonts w:ascii="Century Gothic" w:hAnsi="Century Gothic" w:cs="Arial"/>
                <w:sz w:val="20"/>
                <w:szCs w:val="20"/>
              </w:rPr>
              <w:t>Servicio de datos con calidad simétrica</w:t>
            </w:r>
          </w:p>
        </w:tc>
        <w:tc>
          <w:tcPr>
            <w:tcW w:w="34.0%" w:type="pct"/>
            <w:shd w:val="clear" w:color="auto" w:fill="auto"/>
          </w:tcPr>
          <w:p w:rsidR="00277ED2" w:rsidRPr="00611019" w:rsidRDefault="00E56462" w:rsidP="00035D2C">
            <w:pPr>
              <w:spacing w:before="3pt" w:after="3pt"/>
              <w:rPr>
                <w:rFonts w:ascii="Century Gothic" w:hAnsi="Century Gothic" w:cs="Arial"/>
                <w:sz w:val="20"/>
                <w:szCs w:val="20"/>
              </w:rPr>
            </w:pPr>
            <w:r>
              <w:rPr>
                <w:rFonts w:ascii="Century Gothic" w:hAnsi="Century Gothic" w:cs="Arial"/>
                <w:sz w:val="20"/>
                <w:szCs w:val="20"/>
              </w:rPr>
              <w:t xml:space="preserve">FO </w:t>
            </w:r>
            <w:r w:rsidR="00097306">
              <w:rPr>
                <w:rFonts w:ascii="Century Gothic" w:hAnsi="Century Gothic" w:cs="Arial"/>
                <w:sz w:val="20"/>
                <w:szCs w:val="20"/>
              </w:rPr>
              <w:t>x</w:t>
            </w:r>
            <w:r>
              <w:rPr>
                <w:rFonts w:ascii="Century Gothic" w:hAnsi="Century Gothic" w:cs="Arial"/>
                <w:sz w:val="20"/>
                <w:szCs w:val="20"/>
              </w:rPr>
              <w:t>PON-FTTH</w:t>
            </w:r>
          </w:p>
        </w:tc>
        <w:tc>
          <w:tcPr>
            <w:tcW w:w="34.0%" w:type="pct"/>
            <w:shd w:val="clear" w:color="auto" w:fill="auto"/>
          </w:tcPr>
          <w:p w:rsidR="00277ED2" w:rsidRPr="00611019" w:rsidRDefault="00E56462" w:rsidP="00035D2C">
            <w:pPr>
              <w:spacing w:before="3pt" w:after="3pt"/>
              <w:rPr>
                <w:rFonts w:ascii="Century Gothic" w:hAnsi="Century Gothic" w:cs="Arial"/>
                <w:sz w:val="20"/>
                <w:szCs w:val="20"/>
              </w:rPr>
            </w:pPr>
            <w:r>
              <w:rPr>
                <w:rFonts w:ascii="Century Gothic" w:hAnsi="Century Gothic" w:cs="Arial"/>
                <w:sz w:val="20"/>
                <w:szCs w:val="20"/>
              </w:rPr>
              <w:t>Calidad: Datos Generales</w:t>
            </w:r>
          </w:p>
        </w:tc>
      </w:tr>
      <w:tr w:rsidR="0061711D" w:rsidTr="00277ED2">
        <w:trPr>
          <w:cantSplit/>
          <w:trHeight w:val="196"/>
        </w:trPr>
        <w:tc>
          <w:tcPr>
            <w:tcW w:w="30.0%" w:type="pct"/>
            <w:shd w:val="clear" w:color="auto" w:fill="auto"/>
          </w:tcPr>
          <w:p w:rsidR="00277ED2" w:rsidRPr="00611019" w:rsidRDefault="00E56462" w:rsidP="00035D2C">
            <w:pPr>
              <w:spacing w:before="3pt" w:after="3pt"/>
              <w:rPr>
                <w:rFonts w:ascii="Century Gothic" w:hAnsi="Century Gothic" w:cs="Arial"/>
                <w:sz w:val="20"/>
                <w:szCs w:val="20"/>
              </w:rPr>
            </w:pPr>
            <w:r>
              <w:rPr>
                <w:rFonts w:ascii="Century Gothic" w:hAnsi="Century Gothic" w:cs="Arial"/>
                <w:sz w:val="20"/>
                <w:szCs w:val="20"/>
              </w:rPr>
              <w:t>Servicio de datos con triple calidad simétrica</w:t>
            </w:r>
          </w:p>
        </w:tc>
        <w:tc>
          <w:tcPr>
            <w:tcW w:w="34.0%" w:type="pct"/>
            <w:shd w:val="clear" w:color="auto" w:fill="auto"/>
          </w:tcPr>
          <w:p w:rsidR="00277ED2" w:rsidRPr="00611019" w:rsidRDefault="00E56462" w:rsidP="00035D2C">
            <w:pPr>
              <w:spacing w:before="3pt" w:after="3pt"/>
              <w:rPr>
                <w:rFonts w:ascii="Century Gothic" w:hAnsi="Century Gothic" w:cs="Arial"/>
                <w:sz w:val="20"/>
                <w:szCs w:val="20"/>
              </w:rPr>
            </w:pPr>
            <w:r>
              <w:rPr>
                <w:rFonts w:ascii="Century Gothic" w:hAnsi="Century Gothic" w:cs="Arial"/>
                <w:sz w:val="20"/>
                <w:szCs w:val="20"/>
              </w:rPr>
              <w:t xml:space="preserve">FO </w:t>
            </w:r>
            <w:r w:rsidR="00097306">
              <w:rPr>
                <w:rFonts w:ascii="Century Gothic" w:hAnsi="Century Gothic" w:cs="Arial"/>
                <w:sz w:val="20"/>
                <w:szCs w:val="20"/>
              </w:rPr>
              <w:t>x</w:t>
            </w:r>
            <w:r>
              <w:rPr>
                <w:rFonts w:ascii="Century Gothic" w:hAnsi="Century Gothic" w:cs="Arial"/>
                <w:sz w:val="20"/>
                <w:szCs w:val="20"/>
              </w:rPr>
              <w:t>PON-FTTH</w:t>
            </w:r>
          </w:p>
        </w:tc>
        <w:tc>
          <w:tcPr>
            <w:tcW w:w="34.0%" w:type="pct"/>
            <w:shd w:val="clear" w:color="auto" w:fill="auto"/>
          </w:tcPr>
          <w:p w:rsidR="00277ED2" w:rsidRPr="00611019" w:rsidRDefault="00E56462" w:rsidP="00035D2C">
            <w:pPr>
              <w:spacing w:before="3pt" w:after="3pt"/>
              <w:rPr>
                <w:rFonts w:ascii="Century Gothic" w:hAnsi="Century Gothic" w:cs="Arial"/>
                <w:sz w:val="20"/>
                <w:szCs w:val="20"/>
              </w:rPr>
            </w:pPr>
            <w:r>
              <w:rPr>
                <w:rFonts w:ascii="Century Gothic" w:hAnsi="Century Gothic" w:cs="Arial"/>
                <w:sz w:val="20"/>
                <w:szCs w:val="20"/>
              </w:rPr>
              <w:t>Calidad triple: VoIP/Datos Críticos/Datos Generales</w:t>
            </w:r>
          </w:p>
        </w:tc>
      </w:tr>
    </w:tbl>
    <w:p w:rsidR="00277ED2" w:rsidRPr="00611019" w:rsidRDefault="00E56462" w:rsidP="00F645E5">
      <w:pPr>
        <w:pStyle w:val="xxxxNotadeCuadro"/>
        <w:ind w:firstLine="0pt"/>
      </w:pPr>
      <w:r>
        <w:t>Nota: En la totalidad de los SAIB, el tráfico de VoIP tiene asignado un máximo de 35% de la velocidad de upstream (Subida)</w:t>
      </w:r>
      <w:r>
        <w:rPr>
          <w:rFonts w:cs="Arial"/>
          <w:color w:val="5B9BD5"/>
          <w:sz w:val="20"/>
        </w:rPr>
        <w:t xml:space="preserve"> </w:t>
      </w:r>
      <w:r>
        <w:t>y de downstream (bajada).</w:t>
      </w:r>
    </w:p>
    <w:p w:rsidR="00277ED2" w:rsidRPr="00611019" w:rsidRDefault="00E56462" w:rsidP="00F645E5">
      <w:pPr>
        <w:pStyle w:val="xxxxNotadeCuadro"/>
      </w:pPr>
      <w:r>
        <w:t>*</w:t>
      </w:r>
      <w:r>
        <w:tab/>
        <w:t>En este Servicio el máximo ancho de banda será de 3 Mbps.</w:t>
      </w:r>
    </w:p>
    <w:p w:rsidR="008C28CD" w:rsidRPr="00611019" w:rsidRDefault="008C28CD" w:rsidP="00035D2C">
      <w:pPr>
        <w:pStyle w:val="IFTnormal"/>
        <w:rPr>
          <w:rFonts w:ascii="Century Gothic" w:hAnsi="Century Gothic"/>
          <w:b/>
        </w:rPr>
      </w:pPr>
    </w:p>
    <w:p w:rsidR="00211C43" w:rsidRPr="00611019" w:rsidRDefault="00E56462" w:rsidP="00035D2C">
      <w:pPr>
        <w:pStyle w:val="IFTnormal"/>
        <w:spacing w:after="6pt"/>
        <w:rPr>
          <w:rFonts w:ascii="Century Gothic" w:hAnsi="Century Gothic"/>
        </w:rPr>
      </w:pPr>
      <w:r>
        <w:rPr>
          <w:rFonts w:ascii="Century Gothic" w:hAnsi="Century Gothic"/>
          <w:b/>
        </w:rPr>
        <w:t>Perfiles del servicio.</w:t>
      </w:r>
    </w:p>
    <w:p w:rsidR="00277ED2" w:rsidRPr="00611019" w:rsidRDefault="00E56462" w:rsidP="00035D2C">
      <w:pPr>
        <w:pStyle w:val="IFTnormal"/>
        <w:spacing w:after="6pt"/>
        <w:rPr>
          <w:rFonts w:ascii="Century Gothic" w:hAnsi="Century Gothic"/>
        </w:rPr>
      </w:pPr>
      <w:r>
        <w:rPr>
          <w:rFonts w:ascii="Century Gothic" w:hAnsi="Century Gothic"/>
        </w:rPr>
        <w:t xml:space="preserve">Los perfiles de Servicio ofrecidos para el SAIB serán los que se encuentren vigentes, así como los que RED NACIONAL incorpore, incluidos aquellos a solicitud de los </w:t>
      </w:r>
      <w:r w:rsidR="00114418">
        <w:rPr>
          <w:rFonts w:ascii="Century Gothic" w:hAnsi="Century Gothic"/>
        </w:rPr>
        <w:t>CS</w:t>
      </w:r>
      <w:r>
        <w:rPr>
          <w:rFonts w:ascii="Century Gothic" w:hAnsi="Century Gothic"/>
        </w:rPr>
        <w:t xml:space="preserve">, serán puestos a disposición de todos los </w:t>
      </w:r>
      <w:r w:rsidR="00114418">
        <w:rPr>
          <w:rFonts w:ascii="Century Gothic" w:hAnsi="Century Gothic"/>
        </w:rPr>
        <w:t>CS</w:t>
      </w:r>
      <w:r>
        <w:rPr>
          <w:rFonts w:ascii="Century Gothic" w:hAnsi="Century Gothic"/>
        </w:rPr>
        <w:t xml:space="preserve"> en los mismos términos y condiciones. </w:t>
      </w:r>
    </w:p>
    <w:p w:rsidR="00277ED2" w:rsidRPr="00611019" w:rsidRDefault="00E56462" w:rsidP="00035D2C">
      <w:pPr>
        <w:pStyle w:val="IFTnormal"/>
        <w:spacing w:after="6pt"/>
        <w:rPr>
          <w:rFonts w:ascii="Century Gothic" w:hAnsi="Century Gothic"/>
        </w:rPr>
      </w:pPr>
      <w:r>
        <w:rPr>
          <w:rFonts w:ascii="Century Gothic" w:hAnsi="Century Gothic"/>
        </w:rPr>
        <w:t>Los perfiles de Servicio disponibles se verán reflejados en el “Anexo A Tarifas” y deberán estar publicados en su totalidad en el SEG/SIPO.</w:t>
      </w:r>
    </w:p>
    <w:p w:rsidR="00277ED2" w:rsidRPr="00611019" w:rsidRDefault="00E56462" w:rsidP="00035D2C">
      <w:pPr>
        <w:pStyle w:val="IFTnormal"/>
        <w:spacing w:after="6pt"/>
        <w:rPr>
          <w:rFonts w:ascii="Century Gothic" w:hAnsi="Century Gothic"/>
        </w:rPr>
      </w:pPr>
      <w:r>
        <w:rPr>
          <w:rFonts w:ascii="Century Gothic" w:hAnsi="Century Gothic"/>
        </w:rPr>
        <w:t xml:space="preserve">El CS podrá solicitar el cambio de perfil que estará sujeto a su factibilidad técnica. No obstante, para garantizar la definición de los mismos, su control de calidad y la garantía de sus prestaciones dichos perfiles cumplirán con los siguientes criterios y condiciones de prestación. </w:t>
      </w:r>
    </w:p>
    <w:p w:rsidR="00277ED2" w:rsidRPr="00611019" w:rsidRDefault="00E56462" w:rsidP="00035D2C">
      <w:pPr>
        <w:pStyle w:val="IFTnormal"/>
        <w:spacing w:after="6pt"/>
        <w:rPr>
          <w:rFonts w:ascii="Century Gothic" w:hAnsi="Century Gothic"/>
        </w:rPr>
      </w:pPr>
      <w:r>
        <w:rPr>
          <w:rFonts w:ascii="Century Gothic" w:hAnsi="Century Gothic"/>
        </w:rPr>
        <w:t xml:space="preserve">Cuando pretenda dar de baja algún perfil RED NACIONAL deberá dar aviso al Instituto con cuando menos 30 días naturales de anticipación y confirmar que ningún CS está haciendo uso de ese perfil. Una vez dado de baja el perfil, RED NACIONAL dará aviso a los </w:t>
      </w:r>
      <w:r w:rsidR="00114418">
        <w:rPr>
          <w:rFonts w:ascii="Century Gothic" w:hAnsi="Century Gothic"/>
        </w:rPr>
        <w:t>CS</w:t>
      </w:r>
      <w:r>
        <w:rPr>
          <w:rFonts w:ascii="Century Gothic" w:hAnsi="Century Gothic"/>
        </w:rPr>
        <w:t xml:space="preserve"> a través del SEG/SIPO y en el portal de internet.</w:t>
      </w:r>
    </w:p>
    <w:p w:rsidR="00277ED2" w:rsidRPr="00611019" w:rsidRDefault="00E56462" w:rsidP="00035D2C">
      <w:pPr>
        <w:pStyle w:val="IFTnormal"/>
        <w:spacing w:after="6pt"/>
        <w:rPr>
          <w:rFonts w:ascii="Century Gothic" w:hAnsi="Century Gothic"/>
        </w:rPr>
      </w:pPr>
      <w:r>
        <w:rPr>
          <w:rFonts w:ascii="Century Gothic" w:hAnsi="Century Gothic"/>
        </w:rPr>
        <w:t xml:space="preserve">Las políticas comerciales que se prestarán a los </w:t>
      </w:r>
      <w:r w:rsidR="00114418">
        <w:rPr>
          <w:rFonts w:ascii="Century Gothic" w:hAnsi="Century Gothic"/>
        </w:rPr>
        <w:t>CS</w:t>
      </w:r>
      <w:r>
        <w:rPr>
          <w:rFonts w:ascii="Century Gothic" w:hAnsi="Century Gothic"/>
        </w:rPr>
        <w:t xml:space="preserve"> en este Servicio estarán sujetas a los SLA especificados en esta sección. </w:t>
      </w:r>
    </w:p>
    <w:p w:rsidR="00277ED2" w:rsidRPr="00611019" w:rsidRDefault="00E56462" w:rsidP="00035D2C">
      <w:pPr>
        <w:pStyle w:val="IFTnormal"/>
        <w:spacing w:after="6pt"/>
        <w:rPr>
          <w:rFonts w:ascii="Century Gothic" w:hAnsi="Century Gothic"/>
        </w:rPr>
      </w:pPr>
      <w:r>
        <w:rPr>
          <w:rFonts w:ascii="Century Gothic" w:hAnsi="Century Gothic"/>
        </w:rPr>
        <w:t>La velocidad de sincronía se establece entre el módem del Usuario Final y el puerto de acceso del equipo en la Central Telefónica. Dependiendo de la condición física del medio de acceso la señal puede sufrir atenuación y como consecuencia puede existir una disminución en la velocidad, por ello se establecerá un umbral de tolerancia entre la velocidad de sincronización en subida y bajada y las nominales del 20%.</w:t>
      </w:r>
    </w:p>
    <w:p w:rsidR="00277ED2" w:rsidRPr="00611019" w:rsidRDefault="00E56462" w:rsidP="00035D2C">
      <w:pPr>
        <w:pStyle w:val="IFTnormal"/>
        <w:spacing w:after="6pt"/>
        <w:rPr>
          <w:rFonts w:ascii="Century Gothic" w:hAnsi="Century Gothic"/>
        </w:rPr>
      </w:pPr>
      <w:r>
        <w:rPr>
          <w:rFonts w:ascii="Century Gothic" w:hAnsi="Century Gothic"/>
        </w:rPr>
        <w:t xml:space="preserve">Para el SAIB sobre un bucle de fibra óptica, para todos los perfiles siempre y cuando se encuentren dentro del rango del equipo de red de acceso (OLT), la velocidad no se verá afectada. </w:t>
      </w:r>
    </w:p>
    <w:p w:rsidR="00277ED2" w:rsidRPr="00611019" w:rsidRDefault="00E56462" w:rsidP="00035D2C">
      <w:pPr>
        <w:pStyle w:val="IFTnormal"/>
        <w:spacing w:after="6pt"/>
        <w:rPr>
          <w:rFonts w:ascii="Century Gothic" w:hAnsi="Century Gothic"/>
        </w:rPr>
      </w:pPr>
      <w:r>
        <w:rPr>
          <w:rFonts w:ascii="Century Gothic" w:hAnsi="Century Gothic"/>
        </w:rPr>
        <w:t xml:space="preserve">Los </w:t>
      </w:r>
      <w:r w:rsidR="00114418">
        <w:rPr>
          <w:rFonts w:ascii="Century Gothic" w:hAnsi="Century Gothic"/>
        </w:rPr>
        <w:t>CS</w:t>
      </w:r>
      <w:r>
        <w:rPr>
          <w:rFonts w:ascii="Century Gothic" w:hAnsi="Century Gothic"/>
        </w:rPr>
        <w:t xml:space="preserve"> podrán solicitar a RED NACIONAL la creación de nuevos perfiles, de acuerdo con las políticas autorizadas por el Instituto, que se incluyen en el anexo H de la Oferta, y que </w:t>
      </w:r>
      <w:r>
        <w:rPr>
          <w:rFonts w:ascii="Century Gothic" w:hAnsi="Century Gothic"/>
        </w:rPr>
        <w:lastRenderedPageBreak/>
        <w:t xml:space="preserve">estarán disponibles a los </w:t>
      </w:r>
      <w:r w:rsidR="00114418">
        <w:rPr>
          <w:rFonts w:ascii="Century Gothic" w:hAnsi="Century Gothic"/>
        </w:rPr>
        <w:t>CS</w:t>
      </w:r>
      <w:r>
        <w:rPr>
          <w:rFonts w:ascii="Century Gothic" w:hAnsi="Century Gothic"/>
        </w:rPr>
        <w:t xml:space="preserve"> en la interfaz del sitio de Internet de RED NACIONAL y a través del SEG. </w:t>
      </w:r>
    </w:p>
    <w:p w:rsidR="00277ED2" w:rsidRPr="00611019" w:rsidRDefault="00E56462" w:rsidP="00035D2C">
      <w:pPr>
        <w:pStyle w:val="IFTnormal"/>
        <w:spacing w:after="6pt"/>
        <w:rPr>
          <w:rFonts w:ascii="Century Gothic" w:hAnsi="Century Gothic"/>
        </w:rPr>
      </w:pPr>
      <w:r>
        <w:rPr>
          <w:rFonts w:ascii="Century Gothic" w:hAnsi="Century Gothic"/>
        </w:rPr>
        <w:t xml:space="preserve">Cualquier perfil con características diferentes a las especificadas actualmente (en términos de velocidad de subida y bajada, calidad o nueva tecnología) que fuera implementada por RED NACIONAL en sus Servicios estará disponible para los </w:t>
      </w:r>
      <w:r w:rsidR="00114418">
        <w:rPr>
          <w:rFonts w:ascii="Century Gothic" w:hAnsi="Century Gothic"/>
        </w:rPr>
        <w:t>CS</w:t>
      </w:r>
      <w:r>
        <w:rPr>
          <w:rFonts w:ascii="Century Gothic" w:hAnsi="Century Gothic"/>
        </w:rPr>
        <w:t xml:space="preserve">. Para ello, </w:t>
      </w:r>
      <w:r>
        <w:rPr>
          <w:rFonts w:ascii="Century Gothic" w:hAnsi="Century Gothic"/>
          <w:spacing w:val="-3"/>
        </w:rPr>
        <w:t>RED NACIONAL</w:t>
      </w:r>
      <w:r>
        <w:rPr>
          <w:rFonts w:ascii="Century Gothic" w:hAnsi="Century Gothic"/>
        </w:rPr>
        <w:t xml:space="preserve"> publicará los correspondientes perfiles disponibles para el SAIB en su portal de internet y actualizará la información en el SEG/SIPO, así como enviar un aviso a los </w:t>
      </w:r>
      <w:r w:rsidR="00114418">
        <w:rPr>
          <w:rFonts w:ascii="Century Gothic" w:hAnsi="Century Gothic"/>
        </w:rPr>
        <w:t>CS</w:t>
      </w:r>
      <w:r>
        <w:rPr>
          <w:rFonts w:ascii="Century Gothic" w:hAnsi="Century Gothic"/>
        </w:rPr>
        <w:t xml:space="preserve"> y al Instituto en cuanto estén disponibles para su contratación.</w:t>
      </w:r>
    </w:p>
    <w:p w:rsidR="00277ED2" w:rsidRPr="00611019" w:rsidRDefault="00E56462" w:rsidP="00035D2C">
      <w:pPr>
        <w:pStyle w:val="IFTnormal"/>
        <w:spacing w:after="6pt"/>
        <w:rPr>
          <w:rFonts w:ascii="Century Gothic" w:hAnsi="Century Gothic"/>
        </w:rPr>
      </w:pPr>
      <w:r>
        <w:rPr>
          <w:rFonts w:ascii="Century Gothic" w:hAnsi="Century Gothic"/>
        </w:rPr>
        <w:t>La especificación de cualquier perfil disponible para SAIB será la siguiente:</w:t>
      </w:r>
    </w:p>
    <w:p w:rsidR="00277ED2" w:rsidRPr="00611019" w:rsidRDefault="00E56462" w:rsidP="00F56183">
      <w:pPr>
        <w:pStyle w:val="IFTnormal"/>
        <w:numPr>
          <w:ilvl w:val="0"/>
          <w:numId w:val="59"/>
        </w:numPr>
        <w:ind w:start="42.55pt"/>
        <w:rPr>
          <w:rFonts w:ascii="Century Gothic" w:hAnsi="Century Gothic"/>
        </w:rPr>
      </w:pPr>
      <w:r>
        <w:rPr>
          <w:rFonts w:ascii="Century Gothic" w:hAnsi="Century Gothic"/>
        </w:rPr>
        <w:t>Velocidad nominal de bajada.</w:t>
      </w:r>
    </w:p>
    <w:p w:rsidR="00277ED2" w:rsidRPr="00611019" w:rsidRDefault="00E56462" w:rsidP="00F56183">
      <w:pPr>
        <w:pStyle w:val="IFTnormal"/>
        <w:numPr>
          <w:ilvl w:val="0"/>
          <w:numId w:val="59"/>
        </w:numPr>
        <w:ind w:start="42.55pt"/>
        <w:rPr>
          <w:rFonts w:ascii="Century Gothic" w:hAnsi="Century Gothic"/>
        </w:rPr>
      </w:pPr>
      <w:r>
        <w:rPr>
          <w:rFonts w:ascii="Century Gothic" w:hAnsi="Century Gothic"/>
        </w:rPr>
        <w:t>Velocidad nominal de subida.</w:t>
      </w:r>
    </w:p>
    <w:p w:rsidR="00277ED2" w:rsidRPr="00611019" w:rsidRDefault="00E56462" w:rsidP="00F56183">
      <w:pPr>
        <w:pStyle w:val="IFTnormal"/>
        <w:numPr>
          <w:ilvl w:val="0"/>
          <w:numId w:val="59"/>
        </w:numPr>
        <w:ind w:start="42.55pt"/>
        <w:rPr>
          <w:rFonts w:ascii="Century Gothic" w:hAnsi="Century Gothic"/>
        </w:rPr>
      </w:pPr>
      <w:r>
        <w:rPr>
          <w:rFonts w:ascii="Century Gothic" w:hAnsi="Century Gothic"/>
        </w:rPr>
        <w:t>Tipo de servicio (Datos, tipo de calidad).</w:t>
      </w:r>
    </w:p>
    <w:p w:rsidR="00277ED2" w:rsidRPr="00611019" w:rsidRDefault="00E56462" w:rsidP="00F56183">
      <w:pPr>
        <w:pStyle w:val="IFTnormal"/>
        <w:numPr>
          <w:ilvl w:val="0"/>
          <w:numId w:val="59"/>
        </w:numPr>
        <w:ind w:start="42.55pt"/>
        <w:rPr>
          <w:rFonts w:ascii="Century Gothic" w:hAnsi="Century Gothic"/>
        </w:rPr>
      </w:pPr>
      <w:r>
        <w:rPr>
          <w:rFonts w:ascii="Century Gothic" w:hAnsi="Century Gothic"/>
        </w:rPr>
        <w:t>Calidad (BE, VoIP, Datos Críticos, Datos Generales).</w:t>
      </w:r>
    </w:p>
    <w:p w:rsidR="00211C43" w:rsidRPr="00611019" w:rsidRDefault="00211C43" w:rsidP="00035D2C">
      <w:pPr>
        <w:pStyle w:val="IFTnormal"/>
        <w:spacing w:after="6pt"/>
        <w:ind w:start="36pt"/>
        <w:rPr>
          <w:rFonts w:ascii="Century Gothic" w:hAnsi="Century Gothic"/>
        </w:rPr>
      </w:pPr>
    </w:p>
    <w:p w:rsidR="00277ED2" w:rsidRPr="00611019" w:rsidRDefault="00E56462" w:rsidP="00035D2C">
      <w:pPr>
        <w:pStyle w:val="Ttulo2"/>
        <w:spacing w:after="0pt"/>
        <w:rPr>
          <w:rFonts w:ascii="Century Gothic" w:hAnsi="Century Gothic"/>
        </w:rPr>
      </w:pPr>
      <w:bookmarkStart w:id="1177" w:name="_Toc436840897"/>
      <w:bookmarkStart w:id="1178" w:name="_Toc436846334"/>
      <w:bookmarkStart w:id="1179" w:name="_Toc436848284"/>
      <w:bookmarkStart w:id="1180" w:name="_Toc436856532"/>
      <w:bookmarkStart w:id="1181" w:name="_Toc436862678"/>
      <w:bookmarkStart w:id="1182" w:name="_Toc436866328"/>
      <w:bookmarkStart w:id="1183" w:name="_Toc436870907"/>
      <w:bookmarkStart w:id="1184" w:name="_Toc436875899"/>
      <w:bookmarkStart w:id="1185" w:name="_Toc467248711"/>
      <w:bookmarkStart w:id="1186" w:name="_Toc525904590"/>
      <w:bookmarkStart w:id="1187" w:name="_Toc525913986"/>
      <w:bookmarkStart w:id="1188" w:name="_Toc525919225"/>
      <w:bookmarkStart w:id="1189" w:name="_Toc525919349"/>
      <w:bookmarkStart w:id="1190" w:name="_Toc2957159"/>
      <w:bookmarkStart w:id="1191" w:name="_Toc24473456"/>
      <w:bookmarkStart w:id="1192" w:name="_Toc24477584"/>
      <w:bookmarkStart w:id="1193" w:name="_Toc26281393"/>
      <w:bookmarkStart w:id="1194" w:name="_Toc26284929"/>
      <w:bookmarkStart w:id="1195" w:name="_Toc26903914"/>
      <w:bookmarkStart w:id="1196" w:name="_Toc43913155"/>
      <w:bookmarkStart w:id="1197" w:name="_Toc26980638"/>
      <w:bookmarkStart w:id="1198" w:name="_Toc53488489"/>
      <w:bookmarkStart w:id="1199" w:name="_Toc53490421"/>
      <w:bookmarkStart w:id="1200" w:name="_Toc53498429"/>
      <w:bookmarkStart w:id="1201" w:name="_Toc58578786"/>
      <w:bookmarkStart w:id="1202" w:name="_Toc92974011"/>
      <w:bookmarkStart w:id="1203" w:name="_Toc93052322"/>
      <w:bookmarkStart w:id="1204" w:name="_Toc93056277"/>
      <w:bookmarkStart w:id="1205" w:name="_Toc125393349"/>
      <w:bookmarkStart w:id="1206" w:name="_Toc148702205"/>
      <w:bookmarkStart w:id="1207" w:name="_Toc170381830"/>
      <w:r>
        <w:rPr>
          <w:rFonts w:ascii="Century Gothic" w:hAnsi="Century Gothic"/>
        </w:rPr>
        <w:t>3.2 Módem y ONT del Usuario Final para SAIB</w:t>
      </w:r>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r>
        <w:rPr>
          <w:rFonts w:ascii="Century Gothic" w:hAnsi="Century Gothic"/>
        </w:rPr>
        <w:t>.</w:t>
      </w:r>
    </w:p>
    <w:p w:rsidR="00542C46" w:rsidRPr="00611019" w:rsidRDefault="00542C46" w:rsidP="00035D2C">
      <w:pPr>
        <w:rPr>
          <w:sz w:val="8"/>
        </w:rPr>
      </w:pPr>
    </w:p>
    <w:p w:rsidR="00277ED2" w:rsidRPr="00721B79" w:rsidRDefault="00E56462" w:rsidP="00035D2C">
      <w:pPr>
        <w:pStyle w:val="IFTnormal"/>
        <w:spacing w:after="6pt"/>
        <w:rPr>
          <w:rFonts w:ascii="Century Gothic" w:hAnsi="Century Gothic"/>
          <w:b/>
          <w:u w:val="single"/>
        </w:rPr>
      </w:pPr>
      <w:r w:rsidRPr="00721B79">
        <w:rPr>
          <w:rFonts w:ascii="Century Gothic" w:hAnsi="Century Gothic"/>
        </w:rPr>
        <w:t xml:space="preserve">La instalación y configuración de los equipos de Usuario Final (Módems y ONT), así como las actuaciones en el domicilio del Usuario Final necesarias para la activación del Servicio serán realizadas por el CS. Para ello el CS podrá adquirir los módems con cualquier proveedor ofreciendo RED NACIONAL a requerimiento del CS el Servicio de interoperabilidad de módems para comprobar que los mismos operan correctamente en la red. Asimismo, el CS podrá adquirir los módems con RED NACIONAL en las condiciones descritas más adelante. </w:t>
      </w:r>
    </w:p>
    <w:p w:rsidR="00277ED2" w:rsidRPr="00611019" w:rsidRDefault="00E56462" w:rsidP="00035D2C">
      <w:pPr>
        <w:pStyle w:val="IFTnormal"/>
        <w:spacing w:after="6pt"/>
        <w:rPr>
          <w:rFonts w:ascii="Century Gothic" w:hAnsi="Century Gothic"/>
        </w:rPr>
      </w:pPr>
      <w:r w:rsidRPr="00721B79">
        <w:rPr>
          <w:rFonts w:ascii="Century Gothic" w:hAnsi="Century Gothic"/>
        </w:rPr>
        <w:t>Para el caso de las ONT, el CS podrá adquirir estos equipos compatibles con los equipos de acceso de la red de RED NACIONAL a cualquier proveedor. En este caso, el CS deberá presentar a RED NACIONAL la certificación del fabricante</w:t>
      </w:r>
      <w:r>
        <w:rPr>
          <w:rFonts w:ascii="Century Gothic" w:hAnsi="Century Gothic"/>
        </w:rPr>
        <w:t xml:space="preserve"> de la compatibilidad de la ONT con el correspondiente equipo de acceso de RED NACIONAL. Los equipos de acceso (DSLAM, TBA u OLT) serán identificados por RED NACIONAL a través del SEG/SIPO, señalando marca y modelo. Asimismo, dichos datos serán visibles en el SEG/SIPO para cada servicio una vez instalados. </w:t>
      </w:r>
    </w:p>
    <w:p w:rsidR="00277ED2" w:rsidRPr="00611019" w:rsidRDefault="00E56462" w:rsidP="00035D2C">
      <w:pPr>
        <w:pStyle w:val="IFTnormal"/>
        <w:spacing w:after="6pt"/>
        <w:rPr>
          <w:rFonts w:ascii="Century Gothic" w:hAnsi="Century Gothic"/>
        </w:rPr>
      </w:pPr>
      <w:r>
        <w:rPr>
          <w:rFonts w:ascii="Century Gothic" w:hAnsi="Century Gothic"/>
        </w:rPr>
        <w:t>De no poderse realizar una instalación aún y cuando el CS cuente con un equipo terminal de terceros, que cuente con la certificación del fabricante de la compatibilidad de la ONT con el correspondiente equipo de acceso de RED NACIONAL y que hayan hecho uso del Servicio de interoperabilidad, RED NACIONAL será responsable de proporcionar un equipo terminal que sea compatible con las características del equipo de acceso al que se encontrará asociado.</w:t>
      </w:r>
    </w:p>
    <w:p w:rsidR="00277ED2" w:rsidRPr="00611019" w:rsidRDefault="00E56462" w:rsidP="00035D2C">
      <w:pPr>
        <w:jc w:val="both"/>
        <w:rPr>
          <w:rFonts w:ascii="Century Gothic" w:hAnsi="Century Gothic" w:cs="Arial"/>
        </w:rPr>
      </w:pPr>
      <w:r>
        <w:rPr>
          <w:rFonts w:ascii="Century Gothic" w:hAnsi="Century Gothic" w:cs="Arial"/>
        </w:rPr>
        <w:t xml:space="preserve">Para los Módems y ONT, el CS deberá atender lo establecido en el apartado “Autoconfiguración de credenciales de CS” adelante descrito. </w:t>
      </w:r>
    </w:p>
    <w:p w:rsidR="008C28CD" w:rsidRPr="00611019" w:rsidRDefault="008C28CD" w:rsidP="00035D2C">
      <w:pPr>
        <w:jc w:val="both"/>
        <w:rPr>
          <w:rFonts w:ascii="Century Gothic" w:hAnsi="Century Gothic" w:cs="Arial"/>
        </w:rPr>
      </w:pPr>
    </w:p>
    <w:p w:rsidR="00277ED2" w:rsidRPr="00611019" w:rsidRDefault="00E56462" w:rsidP="00035D2C">
      <w:pPr>
        <w:pStyle w:val="IFTnormal"/>
        <w:spacing w:after="6pt"/>
        <w:rPr>
          <w:rFonts w:ascii="Century Gothic" w:hAnsi="Century Gothic"/>
          <w:b/>
        </w:rPr>
      </w:pPr>
      <w:r>
        <w:rPr>
          <w:rFonts w:ascii="Century Gothic" w:hAnsi="Century Gothic"/>
          <w:b/>
        </w:rPr>
        <w:t>Estándares y especificaciones.</w:t>
      </w:r>
    </w:p>
    <w:p w:rsidR="00277ED2" w:rsidRPr="00611019" w:rsidRDefault="00E56462" w:rsidP="00035D2C">
      <w:pPr>
        <w:pStyle w:val="IFTnormal"/>
        <w:spacing w:after="6pt"/>
        <w:rPr>
          <w:rFonts w:ascii="Century Gothic" w:hAnsi="Century Gothic"/>
        </w:rPr>
      </w:pPr>
      <w:r>
        <w:rPr>
          <w:rFonts w:ascii="Century Gothic" w:hAnsi="Century Gothic"/>
        </w:rPr>
        <w:lastRenderedPageBreak/>
        <w:t xml:space="preserve">Además, RED NACIONAL pondrá a disposición de los </w:t>
      </w:r>
      <w:r w:rsidR="00721B79">
        <w:rPr>
          <w:rFonts w:ascii="Century Gothic" w:hAnsi="Century Gothic"/>
        </w:rPr>
        <w:t>CS</w:t>
      </w:r>
      <w:r>
        <w:rPr>
          <w:rFonts w:ascii="Century Gothic" w:hAnsi="Century Gothic"/>
        </w:rPr>
        <w:t xml:space="preserve"> a través del SEG/SIPO toda la información sobre sus equipos de acceso, así como los estándares, especificaciones, fichas técnicas y referencias que deben cumplir los equipos y cualquier otra información necesaria para que los </w:t>
      </w:r>
      <w:r w:rsidR="00721B79">
        <w:rPr>
          <w:rFonts w:ascii="Century Gothic" w:hAnsi="Century Gothic"/>
        </w:rPr>
        <w:t>CS</w:t>
      </w:r>
      <w:r>
        <w:rPr>
          <w:rFonts w:ascii="Century Gothic" w:hAnsi="Century Gothic"/>
        </w:rPr>
        <w:t xml:space="preserve"> puedan solicitar los equipos de</w:t>
      </w:r>
      <w:r w:rsidR="00721B79">
        <w:rPr>
          <w:rFonts w:ascii="Century Gothic" w:hAnsi="Century Gothic"/>
        </w:rPr>
        <w:t>l</w:t>
      </w:r>
      <w:r>
        <w:rPr>
          <w:rFonts w:ascii="Century Gothic" w:hAnsi="Century Gothic"/>
        </w:rPr>
        <w:t xml:space="preserve"> Usuario Final (módems y ONT), de forma que sean compatibles e interoperables con los DSLAM/OLT de RED NACIONAL con proveedores de su elección y así efectuar las adquisiciones oportunas. </w:t>
      </w:r>
    </w:p>
    <w:p w:rsidR="00F645E5" w:rsidRDefault="00E56462" w:rsidP="00035D2C">
      <w:pPr>
        <w:pStyle w:val="IFTnormal"/>
        <w:spacing w:after="6pt"/>
        <w:rPr>
          <w:rFonts w:ascii="Century Gothic" w:hAnsi="Century Gothic"/>
        </w:rPr>
      </w:pPr>
      <w:r>
        <w:rPr>
          <w:rFonts w:ascii="Century Gothic" w:hAnsi="Century Gothic"/>
        </w:rPr>
        <w:t xml:space="preserve">Cualquier equipo módem homologado por RED NACIONAL, respecto a dichos estándares y configurados con dichos parámetros deberá poder conectarse e interoperar con la red de RED NACIONAL, por lo que las pruebas de interoperabilidad solo tendrán carácter de opcionales en caso de que lo solicite el CS. </w:t>
      </w:r>
    </w:p>
    <w:p w:rsidR="00F645E5" w:rsidRDefault="00F645E5" w:rsidP="00035D2C">
      <w:pPr>
        <w:pStyle w:val="IFTnormal"/>
        <w:spacing w:after="6pt"/>
        <w:rPr>
          <w:rFonts w:ascii="Century Gothic" w:hAnsi="Century Gothic"/>
        </w:rPr>
      </w:pPr>
    </w:p>
    <w:p w:rsidR="00277ED2" w:rsidRPr="00611019" w:rsidRDefault="00E56462" w:rsidP="00035D2C">
      <w:pPr>
        <w:pStyle w:val="IFTnormal"/>
        <w:spacing w:after="6pt"/>
        <w:rPr>
          <w:rFonts w:ascii="Century Gothic" w:hAnsi="Century Gothic"/>
        </w:rPr>
      </w:pPr>
      <w:r>
        <w:rPr>
          <w:rFonts w:ascii="Century Gothic" w:hAnsi="Century Gothic"/>
        </w:rPr>
        <w:t>De igual forma RED NACIONAL publicará en el SEG/SIPO la lista de equipos (módem/ONT) homologados y compatibles con las plataformas de su red de acceso xDSL tanto de cobre como FTTH especificando sus marcas, modelos, versiones y referencias de manuales de operación, así como proveedores. Adicionalmente, la lista de equipos que RED NACIONAL publicará en el SEG/SIPO contemplará los dispositivos (módem/ONT) que han sido aprobados y rechazados mediante pruebas de interoperabilidad.</w:t>
      </w:r>
    </w:p>
    <w:p w:rsidR="00277ED2" w:rsidRDefault="00E56462" w:rsidP="008A330C">
      <w:pPr>
        <w:pStyle w:val="IFTnormal"/>
        <w:rPr>
          <w:rFonts w:ascii="Century Gothic" w:hAnsi="Century Gothic"/>
        </w:rPr>
      </w:pPr>
      <w:r>
        <w:rPr>
          <w:rFonts w:ascii="Century Gothic" w:hAnsi="Century Gothic"/>
        </w:rPr>
        <w:t xml:space="preserve">Esta información se mantendrá accesible y actualizada respecto a cualquier cambio de configuración, actualizaciones de software o cambio tecnológico introducido en la red. Dichos cambios en su caso deberán garantizar que soportan los equipos instalados por los </w:t>
      </w:r>
      <w:r w:rsidR="00721B79">
        <w:rPr>
          <w:rFonts w:ascii="Century Gothic" w:hAnsi="Century Gothic"/>
        </w:rPr>
        <w:t>CS</w:t>
      </w:r>
      <w:r>
        <w:rPr>
          <w:rFonts w:ascii="Century Gothic" w:hAnsi="Century Gothic"/>
        </w:rPr>
        <w:t xml:space="preserve">. </w:t>
      </w:r>
    </w:p>
    <w:p w:rsidR="008A330C" w:rsidRDefault="008A330C" w:rsidP="008A330C">
      <w:pPr>
        <w:pStyle w:val="IFTnormal"/>
        <w:rPr>
          <w:rFonts w:ascii="Century Gothic" w:hAnsi="Century Gothic"/>
        </w:rPr>
      </w:pPr>
    </w:p>
    <w:p w:rsidR="00277ED2" w:rsidRPr="00611019" w:rsidRDefault="00E56462" w:rsidP="00035D2C">
      <w:pPr>
        <w:jc w:val="both"/>
        <w:rPr>
          <w:rFonts w:ascii="Century Gothic" w:hAnsi="Century Gothic"/>
          <w:b/>
        </w:rPr>
      </w:pPr>
      <w:r>
        <w:rPr>
          <w:rFonts w:ascii="Century Gothic" w:hAnsi="Century Gothic" w:cs="Arial"/>
          <w:b/>
        </w:rPr>
        <w:t xml:space="preserve">Módems y ONT suministrados por </w:t>
      </w:r>
      <w:r>
        <w:rPr>
          <w:rFonts w:ascii="Century Gothic" w:hAnsi="Century Gothic"/>
          <w:b/>
        </w:rPr>
        <w:t>RED NACIONAL.</w:t>
      </w:r>
    </w:p>
    <w:p w:rsidR="00872AE8" w:rsidRPr="00611019" w:rsidRDefault="00872AE8" w:rsidP="00035D2C">
      <w:pPr>
        <w:jc w:val="both"/>
        <w:rPr>
          <w:rFonts w:ascii="Century Gothic" w:hAnsi="Century Gothic" w:cs="Arial"/>
          <w:b/>
          <w:sz w:val="8"/>
        </w:rPr>
      </w:pPr>
    </w:p>
    <w:p w:rsidR="00F645E5" w:rsidRDefault="00E56462" w:rsidP="008A330C">
      <w:pPr>
        <w:jc w:val="both"/>
        <w:rPr>
          <w:rFonts w:ascii="Century Gothic" w:hAnsi="Century Gothic" w:cs="Arial"/>
        </w:rPr>
      </w:pPr>
      <w:r>
        <w:rPr>
          <w:rFonts w:ascii="Century Gothic" w:hAnsi="Century Gothic" w:cs="Arial"/>
        </w:rPr>
        <w:t xml:space="preserve">En caso de suministro por </w:t>
      </w:r>
      <w:r>
        <w:rPr>
          <w:rFonts w:ascii="Century Gothic" w:hAnsi="Century Gothic"/>
        </w:rPr>
        <w:t>RED NACIONAL</w:t>
      </w:r>
      <w:r>
        <w:rPr>
          <w:rFonts w:ascii="Century Gothic" w:hAnsi="Century Gothic" w:cs="Arial"/>
        </w:rPr>
        <w:t xml:space="preserve"> de los equipos del Usuario Final, </w:t>
      </w:r>
      <w:r>
        <w:rPr>
          <w:rFonts w:ascii="Century Gothic" w:hAnsi="Century Gothic"/>
        </w:rPr>
        <w:t>RED NACIONAL</w:t>
      </w:r>
      <w:r>
        <w:rPr>
          <w:rFonts w:ascii="Century Gothic" w:hAnsi="Century Gothic" w:cs="Arial"/>
        </w:rPr>
        <w:t xml:space="preserve"> pondrá a disposición de los </w:t>
      </w:r>
      <w:r w:rsidR="00721B79">
        <w:rPr>
          <w:rFonts w:ascii="Century Gothic" w:hAnsi="Century Gothic" w:cs="Arial"/>
        </w:rPr>
        <w:t>CS</w:t>
      </w:r>
      <w:r>
        <w:rPr>
          <w:rFonts w:ascii="Century Gothic" w:hAnsi="Century Gothic" w:cs="Arial"/>
        </w:rPr>
        <w:t xml:space="preserve"> módems y ONT blancos (es decir, equipos sin ningún logotipo o marca de algún </w:t>
      </w:r>
      <w:r w:rsidR="00721B79">
        <w:rPr>
          <w:rFonts w:ascii="Century Gothic" w:hAnsi="Century Gothic" w:cs="Arial"/>
        </w:rPr>
        <w:t>CS</w:t>
      </w:r>
      <w:r>
        <w:rPr>
          <w:rFonts w:ascii="Century Gothic" w:hAnsi="Century Gothic" w:cs="Arial"/>
        </w:rPr>
        <w:t xml:space="preserve">), susceptibles de ser configurados de acuerdo con las indicaciones de los </w:t>
      </w:r>
      <w:r w:rsidR="00721B79">
        <w:rPr>
          <w:rFonts w:ascii="Century Gothic" w:hAnsi="Century Gothic" w:cs="Arial"/>
        </w:rPr>
        <w:t>CS</w:t>
      </w:r>
      <w:r>
        <w:rPr>
          <w:rFonts w:ascii="Century Gothic" w:hAnsi="Century Gothic" w:cs="Arial"/>
        </w:rPr>
        <w:t xml:space="preserve"> en lo relativo a los parámetros del servicio de datos y de capa 2 relativos a parámetros del </w:t>
      </w:r>
      <w:r w:rsidR="00721B79">
        <w:rPr>
          <w:rFonts w:ascii="Century Gothic" w:hAnsi="Century Gothic" w:cs="Arial"/>
        </w:rPr>
        <w:t>Usuario Final y</w:t>
      </w:r>
      <w:r>
        <w:rPr>
          <w:rFonts w:ascii="Century Gothic" w:hAnsi="Century Gothic" w:cs="Arial"/>
        </w:rPr>
        <w:t xml:space="preserve"> de prioridad del Servicio. </w:t>
      </w:r>
    </w:p>
    <w:p w:rsidR="00F645E5" w:rsidRDefault="00F645E5" w:rsidP="008A330C">
      <w:pPr>
        <w:jc w:val="both"/>
        <w:rPr>
          <w:rFonts w:ascii="Century Gothic" w:hAnsi="Century Gothic" w:cs="Arial"/>
        </w:rPr>
      </w:pPr>
    </w:p>
    <w:p w:rsidR="00277ED2" w:rsidRDefault="00E56462" w:rsidP="008A330C">
      <w:pPr>
        <w:jc w:val="both"/>
        <w:rPr>
          <w:rFonts w:ascii="Century Gothic" w:hAnsi="Century Gothic" w:cs="Arial"/>
        </w:rPr>
      </w:pPr>
      <w:r>
        <w:rPr>
          <w:rFonts w:ascii="Century Gothic" w:hAnsi="Century Gothic" w:cs="Arial"/>
        </w:rPr>
        <w:t xml:space="preserve">Para ello </w:t>
      </w:r>
      <w:r>
        <w:rPr>
          <w:rFonts w:ascii="Century Gothic" w:hAnsi="Century Gothic"/>
        </w:rPr>
        <w:t>RED NACIONAL</w:t>
      </w:r>
      <w:r>
        <w:rPr>
          <w:rFonts w:ascii="Century Gothic" w:hAnsi="Century Gothic" w:cs="Arial"/>
        </w:rPr>
        <w:t xml:space="preserve"> pondrá a disposición de los CS un inventario de equipos terminales blancos que corresponda a 1.2 veces las ventas de los equipos terminales blancos del último año, los cuales se proporcionarán a los </w:t>
      </w:r>
      <w:r w:rsidR="00721B79">
        <w:rPr>
          <w:rFonts w:ascii="Century Gothic" w:hAnsi="Century Gothic" w:cs="Arial"/>
        </w:rPr>
        <w:t>CS</w:t>
      </w:r>
      <w:r>
        <w:rPr>
          <w:rFonts w:ascii="Century Gothic" w:hAnsi="Century Gothic" w:cs="Arial"/>
        </w:rPr>
        <w:t xml:space="preserve"> hasta agotar existencias, por lo cual para que los </w:t>
      </w:r>
      <w:r w:rsidR="00721B79">
        <w:rPr>
          <w:rFonts w:ascii="Century Gothic" w:hAnsi="Century Gothic" w:cs="Arial"/>
        </w:rPr>
        <w:t>CS</w:t>
      </w:r>
      <w:r>
        <w:rPr>
          <w:rFonts w:ascii="Century Gothic" w:hAnsi="Century Gothic" w:cs="Arial"/>
        </w:rPr>
        <w:t xml:space="preserve"> puedan garantizar la disponibilidad de los equipos adicionales blancos que requieran, deberán proporcionar un pronóstico vinculante</w:t>
      </w:r>
      <w:r>
        <w:rPr>
          <w:rStyle w:val="Refdenotaalpie"/>
          <w:rFonts w:ascii="Century Gothic" w:hAnsi="Century Gothic" w:cs="Arial"/>
        </w:rPr>
        <w:footnoteReference w:id="8"/>
      </w:r>
      <w:r>
        <w:rPr>
          <w:rFonts w:ascii="Century Gothic" w:hAnsi="Century Gothic" w:cs="Arial"/>
        </w:rPr>
        <w:t xml:space="preserve">, el cual deberá ser entregado con al menos cuatro meses de anticipación, a fin de que </w:t>
      </w:r>
      <w:r>
        <w:rPr>
          <w:rFonts w:ascii="Century Gothic" w:hAnsi="Century Gothic"/>
        </w:rPr>
        <w:lastRenderedPageBreak/>
        <w:t>RED NACIONAL</w:t>
      </w:r>
      <w:r>
        <w:rPr>
          <w:rFonts w:ascii="Century Gothic" w:hAnsi="Century Gothic" w:cs="Arial"/>
        </w:rPr>
        <w:t xml:space="preserve"> cuente con el tiempo suficiente para la compra y gestión de los equipos requeridos.</w:t>
      </w:r>
    </w:p>
    <w:p w:rsidR="00F645E5" w:rsidRDefault="00F645E5" w:rsidP="00F645E5">
      <w:pPr>
        <w:rPr>
          <w:rFonts w:ascii="Century Gothic" w:hAnsi="Century Gothic" w:cs="Arial"/>
        </w:rPr>
      </w:pPr>
    </w:p>
    <w:p w:rsidR="00277ED2" w:rsidRDefault="00E56462" w:rsidP="00F645E5">
      <w:pPr>
        <w:rPr>
          <w:rFonts w:ascii="Century Gothic" w:hAnsi="Century Gothic" w:cs="Arial"/>
        </w:rPr>
      </w:pPr>
      <w:r>
        <w:rPr>
          <w:rFonts w:ascii="Century Gothic" w:hAnsi="Century Gothic" w:cs="Arial"/>
        </w:rPr>
        <w:t>El formato para la entrega de pronósticos de equipo terminal es el siguiente:</w:t>
      </w:r>
    </w:p>
    <w:p w:rsidR="00F645E5" w:rsidRPr="00611019" w:rsidRDefault="00F645E5" w:rsidP="008A330C">
      <w:pPr>
        <w:jc w:val="center"/>
        <w:rPr>
          <w:rFonts w:ascii="Century Gothic" w:hAnsi="Century Gothic" w:cs="Arial"/>
        </w:rPr>
      </w:pPr>
    </w:p>
    <w:p w:rsidR="005D4923" w:rsidRPr="00611019" w:rsidRDefault="00E56462" w:rsidP="00035D2C">
      <w:pPr>
        <w:spacing w:after="6pt"/>
        <w:jc w:val="center"/>
        <w:rPr>
          <w:rFonts w:ascii="Century Gothic" w:hAnsi="Century Gothic" w:cs="Arial"/>
        </w:rPr>
      </w:pPr>
      <w:r>
        <w:rPr>
          <w:rFonts w:ascii="Century Gothic" w:hAnsi="Century Gothic" w:cs="Arial"/>
          <w:noProof/>
          <w:lang w:eastAsia="es-MX"/>
        </w:rPr>
        <w:drawing>
          <wp:anchor distT="0" distB="0" distL="114300" distR="114300" simplePos="0" relativeHeight="251660288" behindDoc="0" locked="0" layoutInCell="1" allowOverlap="1" wp14:anchorId="2A3F4800" wp14:editId="58B9ECDC">
            <wp:simplePos x="0" y="0"/>
            <wp:positionH relativeFrom="column">
              <wp:posOffset>623570</wp:posOffset>
            </wp:positionH>
            <wp:positionV relativeFrom="paragraph">
              <wp:posOffset>15240</wp:posOffset>
            </wp:positionV>
            <wp:extent cx="4566885" cy="5105400"/>
            <wp:effectExtent l="0" t="0" r="5715" b="0"/>
            <wp:wrapNone/>
            <wp:docPr id="4" name="Imagen 4"/>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578"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4568174" cy="5106841"/>
                    </a:xfrm>
                    <a:prstGeom prst="rect">
                      <a:avLst/>
                    </a:prstGeom>
                    <a:noFill/>
                  </pic:spPr>
                </pic:pic>
              </a:graphicData>
            </a:graphic>
            <wp14:sizeRelH relativeFrom="page">
              <wp14:pctWidth>0%</wp14:pctWidth>
            </wp14:sizeRelH>
            <wp14:sizeRelV relativeFrom="page">
              <wp14:pctHeight>0%</wp14:pctHeight>
            </wp14:sizeRelV>
          </wp:anchor>
        </w:drawing>
      </w:r>
    </w:p>
    <w:p w:rsidR="00E87E4F" w:rsidRPr="00611019" w:rsidRDefault="00E87E4F" w:rsidP="00035D2C">
      <w:pPr>
        <w:spacing w:after="6pt"/>
        <w:jc w:val="center"/>
        <w:rPr>
          <w:rFonts w:ascii="Century Gothic" w:hAnsi="Century Gothic" w:cs="Arial"/>
        </w:rPr>
      </w:pPr>
    </w:p>
    <w:p w:rsidR="00E87E4F" w:rsidRPr="00611019" w:rsidRDefault="00E87E4F" w:rsidP="00035D2C">
      <w:pPr>
        <w:spacing w:after="6pt"/>
        <w:jc w:val="center"/>
        <w:rPr>
          <w:rFonts w:ascii="Century Gothic" w:hAnsi="Century Gothic" w:cs="Arial"/>
        </w:rPr>
      </w:pPr>
    </w:p>
    <w:p w:rsidR="00E87E4F" w:rsidRPr="00611019" w:rsidRDefault="00E87E4F" w:rsidP="00035D2C">
      <w:pPr>
        <w:spacing w:after="6pt"/>
        <w:jc w:val="center"/>
        <w:rPr>
          <w:rFonts w:ascii="Century Gothic" w:hAnsi="Century Gothic" w:cs="Arial"/>
        </w:rPr>
      </w:pPr>
    </w:p>
    <w:p w:rsidR="00E87E4F" w:rsidRPr="00611019" w:rsidRDefault="00E87E4F" w:rsidP="00035D2C">
      <w:pPr>
        <w:spacing w:after="6pt"/>
        <w:jc w:val="center"/>
        <w:rPr>
          <w:rFonts w:ascii="Century Gothic" w:hAnsi="Century Gothic" w:cs="Arial"/>
        </w:rPr>
      </w:pPr>
    </w:p>
    <w:p w:rsidR="00E87E4F" w:rsidRPr="00611019" w:rsidRDefault="00E87E4F" w:rsidP="00035D2C">
      <w:pPr>
        <w:spacing w:after="6pt"/>
        <w:jc w:val="center"/>
        <w:rPr>
          <w:rFonts w:ascii="Century Gothic" w:hAnsi="Century Gothic" w:cs="Arial"/>
        </w:rPr>
      </w:pPr>
    </w:p>
    <w:p w:rsidR="00E87E4F" w:rsidRPr="00611019" w:rsidRDefault="00E87E4F" w:rsidP="00035D2C">
      <w:pPr>
        <w:spacing w:after="6pt"/>
        <w:jc w:val="center"/>
        <w:rPr>
          <w:rFonts w:ascii="Century Gothic" w:hAnsi="Century Gothic" w:cs="Arial"/>
        </w:rPr>
      </w:pPr>
    </w:p>
    <w:p w:rsidR="00E87E4F" w:rsidRPr="00611019" w:rsidRDefault="00E87E4F" w:rsidP="00035D2C">
      <w:pPr>
        <w:spacing w:after="6pt"/>
        <w:jc w:val="center"/>
        <w:rPr>
          <w:rFonts w:ascii="Century Gothic" w:hAnsi="Century Gothic" w:cs="Arial"/>
        </w:rPr>
      </w:pPr>
    </w:p>
    <w:p w:rsidR="00E87E4F" w:rsidRPr="00611019" w:rsidRDefault="00E87E4F" w:rsidP="00035D2C">
      <w:pPr>
        <w:spacing w:after="6pt"/>
        <w:jc w:val="center"/>
        <w:rPr>
          <w:rFonts w:ascii="Century Gothic" w:hAnsi="Century Gothic" w:cs="Arial"/>
        </w:rPr>
      </w:pPr>
    </w:p>
    <w:p w:rsidR="00E87E4F" w:rsidRPr="00611019" w:rsidRDefault="00E87E4F" w:rsidP="00035D2C">
      <w:pPr>
        <w:spacing w:after="6pt"/>
        <w:jc w:val="center"/>
        <w:rPr>
          <w:rFonts w:ascii="Century Gothic" w:hAnsi="Century Gothic" w:cs="Arial"/>
        </w:rPr>
      </w:pPr>
    </w:p>
    <w:p w:rsidR="00E87E4F" w:rsidRPr="00611019" w:rsidRDefault="00E87E4F" w:rsidP="00035D2C">
      <w:pPr>
        <w:spacing w:after="6pt"/>
        <w:jc w:val="center"/>
        <w:rPr>
          <w:rFonts w:ascii="Century Gothic" w:hAnsi="Century Gothic" w:cs="Arial"/>
        </w:rPr>
      </w:pPr>
    </w:p>
    <w:p w:rsidR="00E87E4F" w:rsidRPr="00611019" w:rsidRDefault="00E87E4F" w:rsidP="00035D2C">
      <w:pPr>
        <w:spacing w:after="6pt"/>
        <w:jc w:val="center"/>
        <w:rPr>
          <w:rFonts w:ascii="Century Gothic" w:hAnsi="Century Gothic" w:cs="Arial"/>
        </w:rPr>
      </w:pPr>
    </w:p>
    <w:p w:rsidR="00E87E4F" w:rsidRDefault="00E87E4F" w:rsidP="00035D2C">
      <w:pPr>
        <w:spacing w:after="6pt"/>
        <w:jc w:val="center"/>
        <w:rPr>
          <w:rFonts w:ascii="Century Gothic" w:hAnsi="Century Gothic" w:cs="Arial"/>
        </w:rPr>
      </w:pPr>
    </w:p>
    <w:p w:rsidR="008A330C" w:rsidRDefault="008A330C" w:rsidP="00035D2C">
      <w:pPr>
        <w:spacing w:after="6pt"/>
        <w:jc w:val="center"/>
        <w:rPr>
          <w:rFonts w:ascii="Century Gothic" w:hAnsi="Century Gothic" w:cs="Arial"/>
        </w:rPr>
      </w:pPr>
    </w:p>
    <w:p w:rsidR="008A330C" w:rsidRDefault="008A330C" w:rsidP="00035D2C">
      <w:pPr>
        <w:spacing w:after="6pt"/>
        <w:jc w:val="center"/>
        <w:rPr>
          <w:rFonts w:ascii="Century Gothic" w:hAnsi="Century Gothic" w:cs="Arial"/>
        </w:rPr>
      </w:pPr>
    </w:p>
    <w:p w:rsidR="008A330C" w:rsidRDefault="008A330C" w:rsidP="00035D2C">
      <w:pPr>
        <w:spacing w:after="6pt"/>
        <w:jc w:val="center"/>
        <w:rPr>
          <w:rFonts w:ascii="Century Gothic" w:hAnsi="Century Gothic" w:cs="Arial"/>
        </w:rPr>
      </w:pPr>
    </w:p>
    <w:p w:rsidR="008A330C" w:rsidRDefault="008A330C" w:rsidP="00035D2C">
      <w:pPr>
        <w:spacing w:after="6pt"/>
        <w:jc w:val="center"/>
        <w:rPr>
          <w:rFonts w:ascii="Century Gothic" w:hAnsi="Century Gothic" w:cs="Arial"/>
        </w:rPr>
      </w:pPr>
    </w:p>
    <w:p w:rsidR="008A330C" w:rsidRPr="00611019" w:rsidRDefault="008A330C" w:rsidP="00035D2C">
      <w:pPr>
        <w:spacing w:after="6pt"/>
        <w:jc w:val="center"/>
        <w:rPr>
          <w:rFonts w:ascii="Century Gothic" w:hAnsi="Century Gothic" w:cs="Arial"/>
        </w:rPr>
      </w:pPr>
    </w:p>
    <w:p w:rsidR="00721B79" w:rsidRDefault="00721B79" w:rsidP="00035D2C">
      <w:pPr>
        <w:spacing w:after="6pt"/>
        <w:jc w:val="both"/>
        <w:rPr>
          <w:rFonts w:ascii="Century Gothic" w:hAnsi="Century Gothic" w:cs="Arial"/>
        </w:rPr>
      </w:pPr>
    </w:p>
    <w:p w:rsidR="00097306" w:rsidRDefault="00097306" w:rsidP="00035D2C">
      <w:pPr>
        <w:spacing w:after="6pt"/>
        <w:jc w:val="both"/>
        <w:rPr>
          <w:rFonts w:ascii="Century Gothic" w:hAnsi="Century Gothic" w:cs="Arial"/>
        </w:rPr>
      </w:pPr>
    </w:p>
    <w:p w:rsidR="00097306" w:rsidRDefault="00097306" w:rsidP="00035D2C">
      <w:pPr>
        <w:spacing w:after="6pt"/>
        <w:jc w:val="both"/>
        <w:rPr>
          <w:rFonts w:ascii="Century Gothic" w:hAnsi="Century Gothic" w:cs="Arial"/>
        </w:rPr>
      </w:pPr>
    </w:p>
    <w:p w:rsidR="00277ED2" w:rsidRPr="00611019" w:rsidRDefault="00E56462" w:rsidP="00035D2C">
      <w:pPr>
        <w:spacing w:after="6pt"/>
        <w:jc w:val="both"/>
        <w:rPr>
          <w:rFonts w:ascii="Century Gothic" w:hAnsi="Century Gothic" w:cs="Arial"/>
        </w:rPr>
      </w:pPr>
      <w:r>
        <w:rPr>
          <w:rFonts w:ascii="Century Gothic" w:hAnsi="Century Gothic" w:cs="Arial"/>
        </w:rPr>
        <w:t xml:space="preserve">Los </w:t>
      </w:r>
      <w:r w:rsidR="00721B79">
        <w:rPr>
          <w:rFonts w:ascii="Century Gothic" w:hAnsi="Century Gothic" w:cs="Arial"/>
        </w:rPr>
        <w:t>CS</w:t>
      </w:r>
      <w:r>
        <w:rPr>
          <w:rFonts w:ascii="Century Gothic" w:hAnsi="Century Gothic" w:cs="Arial"/>
        </w:rPr>
        <w:t xml:space="preserve"> desde la solicitud de los Servicios podrán solicitar que los módems</w:t>
      </w:r>
      <w:r w:rsidR="00721B79">
        <w:rPr>
          <w:rFonts w:ascii="Century Gothic" w:hAnsi="Century Gothic" w:cs="Arial"/>
        </w:rPr>
        <w:t xml:space="preserve"> y </w:t>
      </w:r>
      <w:r>
        <w:rPr>
          <w:rFonts w:ascii="Century Gothic" w:hAnsi="Century Gothic" w:cs="Arial"/>
        </w:rPr>
        <w:t xml:space="preserve">ONT sean entregados, instalados, configurados y activados en el domicilio del </w:t>
      </w:r>
      <w:r>
        <w:rPr>
          <w:rFonts w:ascii="Century Gothic" w:hAnsi="Century Gothic"/>
        </w:rPr>
        <w:t>Usuario Final</w:t>
      </w:r>
      <w:r>
        <w:rPr>
          <w:rFonts w:ascii="Century Gothic" w:hAnsi="Century Gothic" w:cs="Arial"/>
        </w:rPr>
        <w:t xml:space="preserve">. </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En el caso de ONT/módem para Usuarios Finales nuevos, es necesario que los mismos se encuentren en el domicilio del </w:t>
      </w:r>
      <w:r>
        <w:rPr>
          <w:rFonts w:ascii="Century Gothic" w:hAnsi="Century Gothic"/>
        </w:rPr>
        <w:t>Usuario Final</w:t>
      </w:r>
      <w:r>
        <w:rPr>
          <w:rFonts w:ascii="Century Gothic" w:hAnsi="Century Gothic" w:cs="Arial"/>
        </w:rPr>
        <w:t xml:space="preserve"> al momento de la instalación del servicio. En los casos en que no se requiera la presencia del técnico de </w:t>
      </w:r>
      <w:r>
        <w:rPr>
          <w:rFonts w:ascii="Century Gothic" w:hAnsi="Century Gothic"/>
        </w:rPr>
        <w:t>RED NACIONAL</w:t>
      </w:r>
      <w:r>
        <w:rPr>
          <w:rFonts w:ascii="Century Gothic" w:hAnsi="Century Gothic" w:cs="Arial"/>
        </w:rPr>
        <w:t xml:space="preserve"> para la instalación, el CS podrá contratar la entrega del equipo por el técnico (con el cargo respectivo), o en su caso el CS podrá enviar el equipo terminal por el medio que </w:t>
      </w:r>
      <w:r>
        <w:rPr>
          <w:rFonts w:ascii="Century Gothic" w:hAnsi="Century Gothic" w:cs="Arial"/>
        </w:rPr>
        <w:lastRenderedPageBreak/>
        <w:t>considere pertinente. Es requisito técnico que las ONT correspondan al mismo comercializador (marca o proveedor) que las OLT, debido que las ONT no son interoperables entre distintos proveedores. Para lo cual se pone a disposición del CS un listado en el SEG/SIPO que indica todos los ONT compatibles, así como los que han aprobado o han sido rechazados mediante pruebas de interoperabilidad.</w:t>
      </w:r>
    </w:p>
    <w:p w:rsidR="00277ED2" w:rsidRPr="00611019" w:rsidRDefault="00E56462" w:rsidP="00035D2C">
      <w:pPr>
        <w:spacing w:after="6pt"/>
        <w:jc w:val="both"/>
        <w:rPr>
          <w:rFonts w:ascii="Century Gothic" w:hAnsi="Century Gothic" w:cs="Arial"/>
        </w:rPr>
      </w:pPr>
      <w:r>
        <w:rPr>
          <w:rFonts w:ascii="Century Gothic" w:hAnsi="Century Gothic"/>
        </w:rPr>
        <w:t>RED NACIONAL</w:t>
      </w:r>
      <w:r>
        <w:rPr>
          <w:rFonts w:ascii="Century Gothic" w:hAnsi="Century Gothic" w:cs="Arial"/>
        </w:rPr>
        <w:t xml:space="preserve"> deberá informar al CS el modelo y número de serie de cada módem u ONT que entregue en el SEG/SIPO una vez instalado el servicio.</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A solicitud del CS, en el caso de Usuarios Finales nuevos y ONT blancas, se podrán suministrar por parte de personal de </w:t>
      </w:r>
      <w:r>
        <w:rPr>
          <w:rFonts w:ascii="Century Gothic" w:hAnsi="Century Gothic"/>
        </w:rPr>
        <w:t>RED NACIONAL</w:t>
      </w:r>
      <w:r>
        <w:rPr>
          <w:rFonts w:ascii="Century Gothic" w:hAnsi="Century Gothic" w:cs="Arial"/>
        </w:rPr>
        <w:t xml:space="preserve"> al momento de la instalación del Servicio o deberán estar disponibles en el domicilio del usuario si son de adquisición del CS a fin de validar la conectividad, la configuración en todo caso la hace el CS.</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Para los Módems y ONT, el CS deberá atender lo establecido en el apartado “Autoconfiguración de credenciales de CS” adelante descrito. </w:t>
      </w:r>
    </w:p>
    <w:p w:rsidR="00277ED2" w:rsidRDefault="00E56462" w:rsidP="008A330C">
      <w:pPr>
        <w:pStyle w:val="IFTnormal"/>
        <w:rPr>
          <w:rFonts w:ascii="Century Gothic" w:hAnsi="Century Gothic"/>
        </w:rPr>
      </w:pPr>
      <w:r>
        <w:rPr>
          <w:rFonts w:ascii="Century Gothic" w:hAnsi="Century Gothic"/>
        </w:rPr>
        <w:t>En resumen, los escenarios para la entrega o instalación del módem u ONT para el servicio de SAIB son los siguientes:</w:t>
      </w:r>
    </w:p>
    <w:p w:rsidR="008A330C" w:rsidRPr="00611019" w:rsidRDefault="008A330C" w:rsidP="008A330C">
      <w:pPr>
        <w:pStyle w:val="IFTnormal"/>
        <w:rPr>
          <w:rFonts w:ascii="Century Gothic" w:hAnsi="Century Gothic"/>
        </w:rPr>
      </w:pPr>
    </w:p>
    <w:tbl>
      <w:tblPr>
        <w:tblStyle w:val="Tabladecuadrcula4-nfasis111"/>
        <w:tblW w:w="460.55pt" w:type="dxa"/>
        <w:tblInd w:w="5.65pt" w:type="dxa"/>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1"/>
      </w:tblPr>
      <w:tblGrid>
        <w:gridCol w:w="2859"/>
        <w:gridCol w:w="6352"/>
      </w:tblGrid>
      <w:tr w:rsidR="0061711D" w:rsidTr="0061711D">
        <w:trPr>
          <w:cnfStyle w:firstRow="1" w:lastRow="0" w:firstColumn="0" w:lastColumn="0" w:oddVBand="0" w:evenVBand="0" w:oddHBand="0" w:evenHBand="0" w:firstRowFirstColumn="0" w:firstRowLastColumn="0" w:lastRowFirstColumn="0" w:lastRowLastColumn="0"/>
          <w:trHeight w:hRule="exact" w:val="510"/>
        </w:trPr>
        <w:tc>
          <w:tcPr>
            <w:cnfStyle w:firstRow="0" w:lastRow="0" w:firstColumn="1" w:lastColumn="0" w:oddVBand="0" w:evenVBand="0" w:oddHBand="0" w:evenHBand="0" w:firstRowFirstColumn="0" w:firstRowLastColumn="0" w:lastRowFirstColumn="0" w:lastRowLastColumn="0"/>
            <w:tcW w:w="142.95pt" w:type="dxa"/>
            <w:tcBorders>
              <w:top w:val="none" w:sz="0" w:space="0" w:color="auto"/>
              <w:start w:val="none" w:sz="0" w:space="0" w:color="auto"/>
              <w:bottom w:val="none" w:sz="0" w:space="0" w:color="auto"/>
              <w:end w:val="none" w:sz="0" w:space="0" w:color="auto"/>
            </w:tcBorders>
            <w:shd w:val="clear" w:color="auto" w:fill="009AD9"/>
            <w:vAlign w:val="center"/>
          </w:tcPr>
          <w:p w:rsidR="00277ED2" w:rsidRPr="00611019" w:rsidRDefault="00E56462" w:rsidP="00035D2C">
            <w:pPr>
              <w:spacing w:before="2pt" w:after="2pt"/>
              <w:jc w:val="center"/>
              <w:rPr>
                <w:rFonts w:ascii="Century Gothic" w:hAnsi="Century Gothic" w:cs="Arial"/>
                <w:color w:val="FFFFFF" w:themeColor="background1"/>
                <w:sz w:val="20"/>
              </w:rPr>
            </w:pPr>
            <w:r>
              <w:rPr>
                <w:rFonts w:ascii="Century Gothic" w:hAnsi="Century Gothic" w:cs="Arial"/>
                <w:color w:val="FFFFFF" w:themeColor="background1"/>
                <w:sz w:val="20"/>
              </w:rPr>
              <w:t>Equipo Terminal</w:t>
            </w:r>
          </w:p>
        </w:tc>
        <w:tc>
          <w:tcPr>
            <w:tcW w:w="317.50pt" w:type="dxa"/>
            <w:tcBorders>
              <w:top w:val="none" w:sz="0" w:space="0" w:color="auto"/>
              <w:start w:val="none" w:sz="0" w:space="0" w:color="auto"/>
              <w:bottom w:val="none" w:sz="0" w:space="0" w:color="auto"/>
              <w:end w:val="none" w:sz="0" w:space="0" w:color="auto"/>
            </w:tcBorders>
            <w:shd w:val="clear" w:color="auto" w:fill="009AD9"/>
            <w:vAlign w:val="center"/>
          </w:tcPr>
          <w:p w:rsidR="00277ED2" w:rsidRPr="00611019" w:rsidRDefault="00E56462" w:rsidP="00035D2C">
            <w:pPr>
              <w:spacing w:before="2pt" w:after="2pt"/>
              <w:jc w:val="center"/>
              <w:cnfStyle w:firstRow="1" w:lastRow="0" w:firstColumn="0" w:lastColumn="0" w:oddVBand="0" w:evenVBand="0" w:oddHBand="0" w:evenHBand="0" w:firstRowFirstColumn="0" w:firstRowLastColumn="0" w:lastRowFirstColumn="0" w:lastRowLastColumn="0"/>
              <w:rPr>
                <w:rFonts w:ascii="Century Gothic" w:hAnsi="Century Gothic" w:cs="Arial"/>
                <w:color w:val="FFFFFF" w:themeColor="background1"/>
                <w:sz w:val="20"/>
              </w:rPr>
            </w:pPr>
            <w:r>
              <w:rPr>
                <w:rFonts w:ascii="Century Gothic" w:hAnsi="Century Gothic" w:cs="Arial"/>
                <w:color w:val="FFFFFF" w:themeColor="background1"/>
                <w:sz w:val="20"/>
              </w:rPr>
              <w:t>Modalidad de entrega</w:t>
            </w:r>
          </w:p>
        </w:tc>
      </w:tr>
      <w:tr w:rsidR="0061711D" w:rsidTr="0061711D">
        <w:trPr>
          <w:cnfStyle w:firstRow="0" w:lastRow="0" w:firstColumn="0" w:lastColumn="0" w:oddVBand="0" w:evenVBand="0" w:oddHBand="1" w:evenHBand="0" w:firstRowFirstColumn="0" w:firstRowLastColumn="0" w:lastRowFirstColumn="0" w:lastRowLastColumn="0"/>
          <w:trHeight w:hRule="exact" w:val="510"/>
        </w:trPr>
        <w:tc>
          <w:tcPr>
            <w:cnfStyle w:firstRow="0" w:lastRow="0" w:firstColumn="1" w:lastColumn="0" w:oddVBand="0" w:evenVBand="0" w:oddHBand="0" w:evenHBand="0" w:firstRowFirstColumn="0" w:firstRowLastColumn="0" w:lastRowFirstColumn="0" w:lastRowLastColumn="0"/>
            <w:tcW w:w="460.55pt" w:type="dxa"/>
            <w:gridSpan w:val="2"/>
            <w:shd w:val="clear" w:color="auto" w:fill="B7C2D1"/>
            <w:vAlign w:val="center"/>
          </w:tcPr>
          <w:p w:rsidR="00277ED2" w:rsidRPr="00611019" w:rsidRDefault="00E56462" w:rsidP="00035D2C">
            <w:pPr>
              <w:jc w:val="center"/>
              <w:rPr>
                <w:rFonts w:ascii="Century Gothic" w:eastAsia="Calibri" w:hAnsi="Century Gothic" w:cs="Arial"/>
                <w:b w:val="0"/>
                <w:sz w:val="20"/>
                <w:szCs w:val="20"/>
              </w:rPr>
            </w:pPr>
            <w:r>
              <w:rPr>
                <w:rFonts w:ascii="Century Gothic" w:hAnsi="Century Gothic" w:cs="Arial"/>
                <w:sz w:val="20"/>
                <w:szCs w:val="20"/>
              </w:rPr>
              <w:t>Equipo Blanco de RED NACIONAL (Módem / ONT)</w:t>
            </w:r>
            <w:r>
              <w:rPr>
                <w:rStyle w:val="Refdenotaalpie"/>
                <w:rFonts w:ascii="Century Gothic" w:hAnsi="Century Gothic" w:cs="Arial"/>
                <w:sz w:val="20"/>
                <w:szCs w:val="20"/>
              </w:rPr>
              <w:t xml:space="preserve"> </w:t>
            </w:r>
            <w:r>
              <w:rPr>
                <w:rStyle w:val="Refdenotaalpie"/>
                <w:rFonts w:ascii="Century Gothic" w:hAnsi="Century Gothic" w:cs="Arial"/>
                <w:sz w:val="20"/>
                <w:szCs w:val="20"/>
              </w:rPr>
              <w:footnoteReference w:id="9"/>
            </w:r>
          </w:p>
        </w:tc>
      </w:tr>
      <w:tr w:rsidR="0061711D" w:rsidTr="0061711D">
        <w:trPr>
          <w:trHeight w:hRule="exact" w:val="510"/>
        </w:trPr>
        <w:tc>
          <w:tcPr>
            <w:cnfStyle w:firstRow="0" w:lastRow="0" w:firstColumn="1" w:lastColumn="0" w:oddVBand="0" w:evenVBand="0" w:oddHBand="0" w:evenHBand="0" w:firstRowFirstColumn="0" w:firstRowLastColumn="0" w:lastRowFirstColumn="0" w:lastRowLastColumn="0"/>
            <w:tcW w:w="142.95pt" w:type="dxa"/>
            <w:vAlign w:val="center"/>
          </w:tcPr>
          <w:p w:rsidR="00277ED2" w:rsidRPr="00611019" w:rsidRDefault="00E56462" w:rsidP="00035D2C">
            <w:pPr>
              <w:jc w:val="center"/>
              <w:rPr>
                <w:rFonts w:ascii="Century Gothic" w:eastAsia="Calibri" w:hAnsi="Century Gothic" w:cs="Arial"/>
                <w:sz w:val="20"/>
                <w:szCs w:val="20"/>
              </w:rPr>
            </w:pPr>
            <w:r>
              <w:rPr>
                <w:rFonts w:ascii="Century Gothic" w:hAnsi="Century Gothic" w:cs="Arial"/>
                <w:sz w:val="20"/>
                <w:szCs w:val="20"/>
              </w:rPr>
              <w:t>Módem Blanco</w:t>
            </w:r>
          </w:p>
        </w:tc>
        <w:tc>
          <w:tcPr>
            <w:tcW w:w="317.50pt" w:type="dxa"/>
            <w:shd w:val="clear" w:color="auto" w:fill="auto"/>
            <w:vAlign w:val="center"/>
          </w:tcPr>
          <w:p w:rsidR="00277ED2" w:rsidRPr="00611019"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eastAsia="Calibri" w:hAnsi="Century Gothic" w:cs="Arial"/>
                <w:sz w:val="20"/>
                <w:szCs w:val="20"/>
              </w:rPr>
            </w:pPr>
            <w:r>
              <w:rPr>
                <w:rFonts w:ascii="Century Gothic" w:eastAsia="Calibri" w:hAnsi="Century Gothic" w:cs="Arial"/>
                <w:bCs/>
                <w:sz w:val="20"/>
                <w:szCs w:val="20"/>
              </w:rPr>
              <w:t>El técnico</w:t>
            </w:r>
            <w:r>
              <w:rPr>
                <w:rFonts w:ascii="Century Gothic" w:hAnsi="Century Gothic" w:cs="Arial"/>
                <w:sz w:val="20"/>
                <w:szCs w:val="20"/>
              </w:rPr>
              <w:t xml:space="preserve"> de RED NACIONAL entrega el Módem Blanco al </w:t>
            </w:r>
            <w:r>
              <w:rPr>
                <w:rFonts w:ascii="Century Gothic" w:hAnsi="Century Gothic" w:cs="Arial"/>
                <w:bCs/>
                <w:sz w:val="20"/>
                <w:szCs w:val="20"/>
              </w:rPr>
              <w:t>Usuario Final</w:t>
            </w:r>
            <w:r>
              <w:rPr>
                <w:rFonts w:ascii="Century Gothic" w:hAnsi="Century Gothic" w:cs="Arial"/>
                <w:sz w:val="20"/>
                <w:szCs w:val="20"/>
              </w:rPr>
              <w:t>.</w:t>
            </w:r>
          </w:p>
        </w:tc>
      </w:tr>
      <w:tr w:rsidR="0061711D" w:rsidTr="0061711D">
        <w:trPr>
          <w:cnfStyle w:firstRow="0" w:lastRow="0" w:firstColumn="0" w:lastColumn="0" w:oddVBand="0" w:evenVBand="0" w:oddHBand="1" w:evenHBand="0" w:firstRowFirstColumn="0" w:firstRowLastColumn="0" w:lastRowFirstColumn="0" w:lastRowLastColumn="0"/>
          <w:trHeight w:hRule="exact" w:val="510"/>
        </w:trPr>
        <w:tc>
          <w:tcPr>
            <w:cnfStyle w:firstRow="0" w:lastRow="0" w:firstColumn="1" w:lastColumn="0" w:oddVBand="0" w:evenVBand="0" w:oddHBand="0" w:evenHBand="0" w:firstRowFirstColumn="0" w:firstRowLastColumn="0" w:lastRowFirstColumn="0" w:lastRowLastColumn="0"/>
            <w:tcW w:w="142.95pt" w:type="dxa"/>
            <w:vAlign w:val="center"/>
          </w:tcPr>
          <w:p w:rsidR="00277ED2" w:rsidRPr="00611019" w:rsidRDefault="00E56462" w:rsidP="00035D2C">
            <w:pPr>
              <w:jc w:val="center"/>
              <w:rPr>
                <w:rFonts w:ascii="Century Gothic" w:eastAsia="Calibri" w:hAnsi="Century Gothic" w:cs="Arial"/>
                <w:sz w:val="20"/>
                <w:szCs w:val="20"/>
              </w:rPr>
            </w:pPr>
            <w:r>
              <w:rPr>
                <w:rFonts w:ascii="Century Gothic" w:hAnsi="Century Gothic" w:cs="Arial"/>
                <w:sz w:val="20"/>
                <w:szCs w:val="20"/>
              </w:rPr>
              <w:t>ONT Blanco</w:t>
            </w:r>
          </w:p>
        </w:tc>
        <w:tc>
          <w:tcPr>
            <w:tcW w:w="317.50pt" w:type="dxa"/>
            <w:vAlign w:val="center"/>
          </w:tcPr>
          <w:p w:rsidR="00277ED2" w:rsidRPr="00611019"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eastAsia="Calibri" w:hAnsi="Century Gothic" w:cs="Arial"/>
                <w:sz w:val="20"/>
                <w:szCs w:val="20"/>
              </w:rPr>
            </w:pPr>
            <w:r>
              <w:rPr>
                <w:rFonts w:ascii="Century Gothic" w:hAnsi="Century Gothic" w:cs="Arial"/>
                <w:sz w:val="20"/>
                <w:szCs w:val="20"/>
              </w:rPr>
              <w:t xml:space="preserve">El técnico de RED NACIONAL entrega el ONT al </w:t>
            </w:r>
            <w:r>
              <w:rPr>
                <w:rFonts w:ascii="Century Gothic" w:hAnsi="Century Gothic" w:cs="Arial"/>
                <w:bCs/>
                <w:sz w:val="20"/>
                <w:szCs w:val="20"/>
              </w:rPr>
              <w:t>Usuario Final</w:t>
            </w:r>
            <w:r>
              <w:rPr>
                <w:rFonts w:ascii="Century Gothic" w:hAnsi="Century Gothic" w:cs="Arial"/>
                <w:sz w:val="20"/>
                <w:szCs w:val="20"/>
              </w:rPr>
              <w:t>.</w:t>
            </w:r>
          </w:p>
        </w:tc>
      </w:tr>
      <w:tr w:rsidR="0061711D" w:rsidTr="0061711D">
        <w:trPr>
          <w:trHeight w:hRule="exact" w:val="510"/>
        </w:trPr>
        <w:tc>
          <w:tcPr>
            <w:cnfStyle w:firstRow="0" w:lastRow="0" w:firstColumn="1" w:lastColumn="0" w:oddVBand="0" w:evenVBand="0" w:oddHBand="0" w:evenHBand="0" w:firstRowFirstColumn="0" w:firstRowLastColumn="0" w:lastRowFirstColumn="0" w:lastRowLastColumn="0"/>
            <w:tcW w:w="460.55pt" w:type="dxa"/>
            <w:gridSpan w:val="2"/>
            <w:shd w:val="clear" w:color="auto" w:fill="B7C2D1"/>
            <w:vAlign w:val="center"/>
          </w:tcPr>
          <w:p w:rsidR="00277ED2" w:rsidRPr="00611019" w:rsidRDefault="00E56462" w:rsidP="00035D2C">
            <w:pPr>
              <w:jc w:val="center"/>
              <w:rPr>
                <w:rFonts w:ascii="Century Gothic" w:eastAsia="Calibri" w:hAnsi="Century Gothic" w:cs="Arial"/>
                <w:b w:val="0"/>
                <w:sz w:val="20"/>
                <w:szCs w:val="20"/>
              </w:rPr>
            </w:pPr>
            <w:r>
              <w:rPr>
                <w:rFonts w:ascii="Century Gothic" w:hAnsi="Century Gothic" w:cs="Arial"/>
                <w:sz w:val="20"/>
                <w:szCs w:val="20"/>
              </w:rPr>
              <w:t>Equipo de Proveedor Alterno (Módem / ONT)</w:t>
            </w:r>
          </w:p>
        </w:tc>
      </w:tr>
      <w:tr w:rsidR="0061711D" w:rsidTr="0061711D">
        <w:trPr>
          <w:cnfStyle w:firstRow="0" w:lastRow="0" w:firstColumn="0" w:lastColumn="0" w:oddVBand="0" w:evenVBand="0" w:oddHBand="1" w:evenHBand="0" w:firstRowFirstColumn="0" w:firstRowLastColumn="0" w:lastRowFirstColumn="0" w:lastRowLastColumn="0"/>
          <w:trHeight w:hRule="exact" w:val="510"/>
        </w:trPr>
        <w:tc>
          <w:tcPr>
            <w:cnfStyle w:firstRow="0" w:lastRow="0" w:firstColumn="1" w:lastColumn="0" w:oddVBand="0" w:evenVBand="0" w:oddHBand="0" w:evenHBand="0" w:firstRowFirstColumn="0" w:firstRowLastColumn="0" w:lastRowFirstColumn="0" w:lastRowLastColumn="0"/>
            <w:tcW w:w="142.95pt" w:type="dxa"/>
            <w:vAlign w:val="center"/>
          </w:tcPr>
          <w:p w:rsidR="00277ED2" w:rsidRPr="00611019" w:rsidRDefault="00E56462" w:rsidP="00035D2C">
            <w:pPr>
              <w:jc w:val="center"/>
              <w:rPr>
                <w:rFonts w:ascii="Century Gothic" w:eastAsia="Calibri" w:hAnsi="Century Gothic" w:cs="Arial"/>
                <w:sz w:val="20"/>
                <w:szCs w:val="20"/>
              </w:rPr>
            </w:pPr>
            <w:r>
              <w:rPr>
                <w:rFonts w:ascii="Century Gothic" w:hAnsi="Century Gothic" w:cs="Arial"/>
                <w:sz w:val="20"/>
                <w:szCs w:val="20"/>
              </w:rPr>
              <w:t>Módem Proveedor Alterno</w:t>
            </w:r>
          </w:p>
        </w:tc>
        <w:tc>
          <w:tcPr>
            <w:tcW w:w="317.50pt" w:type="dxa"/>
            <w:vAlign w:val="center"/>
          </w:tcPr>
          <w:p w:rsidR="00277ED2" w:rsidRPr="00611019"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eastAsia="Calibri" w:hAnsi="Century Gothic" w:cs="Arial"/>
                <w:sz w:val="20"/>
                <w:szCs w:val="20"/>
              </w:rPr>
            </w:pPr>
            <w:r>
              <w:rPr>
                <w:rFonts w:ascii="Century Gothic" w:hAnsi="Century Gothic" w:cs="Arial"/>
                <w:sz w:val="20"/>
                <w:szCs w:val="20"/>
              </w:rPr>
              <w:t xml:space="preserve">CS entrega e instala el módem al </w:t>
            </w:r>
            <w:r>
              <w:rPr>
                <w:rFonts w:ascii="Century Gothic" w:hAnsi="Century Gothic" w:cs="Arial"/>
                <w:bCs/>
                <w:sz w:val="20"/>
                <w:szCs w:val="20"/>
              </w:rPr>
              <w:t>Usuario Final</w:t>
            </w:r>
            <w:r>
              <w:rPr>
                <w:rFonts w:ascii="Century Gothic" w:hAnsi="Century Gothic" w:cs="Arial"/>
                <w:sz w:val="20"/>
                <w:szCs w:val="20"/>
              </w:rPr>
              <w:t>.</w:t>
            </w:r>
          </w:p>
        </w:tc>
      </w:tr>
      <w:tr w:rsidR="0061711D" w:rsidTr="0061711D">
        <w:trPr>
          <w:trHeight w:hRule="exact" w:val="510"/>
        </w:trPr>
        <w:tc>
          <w:tcPr>
            <w:cnfStyle w:firstRow="0" w:lastRow="0" w:firstColumn="1" w:lastColumn="0" w:oddVBand="0" w:evenVBand="0" w:oddHBand="0" w:evenHBand="0" w:firstRowFirstColumn="0" w:firstRowLastColumn="0" w:lastRowFirstColumn="0" w:lastRowLastColumn="0"/>
            <w:tcW w:w="142.95pt" w:type="dxa"/>
            <w:vAlign w:val="center"/>
          </w:tcPr>
          <w:p w:rsidR="00277ED2" w:rsidRPr="00611019" w:rsidRDefault="00E56462" w:rsidP="00035D2C">
            <w:pPr>
              <w:jc w:val="center"/>
              <w:rPr>
                <w:rFonts w:ascii="Century Gothic" w:eastAsia="Calibri" w:hAnsi="Century Gothic" w:cs="Arial"/>
                <w:sz w:val="20"/>
                <w:szCs w:val="20"/>
              </w:rPr>
            </w:pPr>
            <w:r>
              <w:rPr>
                <w:rFonts w:ascii="Century Gothic" w:hAnsi="Century Gothic" w:cs="Arial"/>
                <w:sz w:val="20"/>
                <w:szCs w:val="20"/>
              </w:rPr>
              <w:t xml:space="preserve"> ONT Proveedor Alterno</w:t>
            </w:r>
          </w:p>
        </w:tc>
        <w:tc>
          <w:tcPr>
            <w:tcW w:w="317.50pt" w:type="dxa"/>
            <w:shd w:val="clear" w:color="auto" w:fill="auto"/>
            <w:vAlign w:val="center"/>
          </w:tcPr>
          <w:p w:rsidR="00277ED2" w:rsidRPr="00611019"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eastAsia="Calibri" w:hAnsi="Century Gothic" w:cs="Arial"/>
                <w:sz w:val="20"/>
                <w:szCs w:val="20"/>
              </w:rPr>
            </w:pPr>
            <w:r>
              <w:rPr>
                <w:rFonts w:ascii="Century Gothic" w:hAnsi="Century Gothic" w:cs="Arial"/>
                <w:sz w:val="20"/>
                <w:szCs w:val="20"/>
              </w:rPr>
              <w:t xml:space="preserve">Coordinación de instalación al </w:t>
            </w:r>
            <w:r>
              <w:rPr>
                <w:rFonts w:ascii="Century Gothic" w:hAnsi="Century Gothic" w:cs="Arial"/>
                <w:bCs/>
                <w:sz w:val="20"/>
                <w:szCs w:val="20"/>
              </w:rPr>
              <w:t>Usuario Final:</w:t>
            </w:r>
          </w:p>
        </w:tc>
      </w:tr>
    </w:tbl>
    <w:p w:rsidR="008C28CD" w:rsidRDefault="008C28CD" w:rsidP="00035D2C">
      <w:pPr>
        <w:pStyle w:val="IFTnormal"/>
        <w:rPr>
          <w:rFonts w:ascii="Century Gothic" w:hAnsi="Century Gothic"/>
          <w:b/>
        </w:rPr>
      </w:pPr>
    </w:p>
    <w:p w:rsidR="00097306" w:rsidRPr="00611019" w:rsidRDefault="00097306" w:rsidP="00035D2C">
      <w:pPr>
        <w:pStyle w:val="IFTnormal"/>
        <w:rPr>
          <w:rFonts w:ascii="Century Gothic" w:hAnsi="Century Gothic"/>
          <w:b/>
        </w:rPr>
      </w:pPr>
    </w:p>
    <w:p w:rsidR="00277ED2" w:rsidRPr="00611019" w:rsidRDefault="00E56462" w:rsidP="00035D2C">
      <w:pPr>
        <w:pStyle w:val="IFTnormal"/>
        <w:rPr>
          <w:rFonts w:ascii="Century Gothic" w:hAnsi="Century Gothic"/>
          <w:b/>
          <w:sz w:val="16"/>
        </w:rPr>
      </w:pPr>
      <w:r>
        <w:rPr>
          <w:rFonts w:ascii="Century Gothic" w:hAnsi="Century Gothic"/>
          <w:b/>
        </w:rPr>
        <w:t>Mantenimiento y aplicación de garantías.</w:t>
      </w:r>
    </w:p>
    <w:p w:rsidR="00277ED2" w:rsidRPr="00611019" w:rsidRDefault="00E56462" w:rsidP="00035D2C">
      <w:pPr>
        <w:pStyle w:val="IFTnormal"/>
        <w:rPr>
          <w:rFonts w:ascii="Century Gothic" w:hAnsi="Century Gothic"/>
        </w:rPr>
      </w:pPr>
      <w:r>
        <w:rPr>
          <w:rFonts w:ascii="Century Gothic" w:hAnsi="Century Gothic"/>
        </w:rPr>
        <w:t>Para el caso de fallas atribuibles a los módems u ONT blancos, y derivado de que la propiedad de los mismos será del CS, RED NACIONAL otorgará un periodo de garantía de un año. En caso de ser necesario el reemplazo del equipo, la entrega será vía técnico de RED NACIONAL al momento de la atención de la falla, siempre y cuando se encuentre dentro del periodo de garantía.</w:t>
      </w:r>
    </w:p>
    <w:p w:rsidR="000C6CAF" w:rsidRPr="00611019" w:rsidRDefault="000C6CAF" w:rsidP="00035D2C">
      <w:pPr>
        <w:pStyle w:val="IFTnormal"/>
        <w:rPr>
          <w:rFonts w:ascii="Century Gothic" w:hAnsi="Century Gothic"/>
        </w:rPr>
      </w:pPr>
    </w:p>
    <w:p w:rsidR="00211C43" w:rsidRPr="00611019" w:rsidRDefault="00E56462" w:rsidP="00035D2C">
      <w:pPr>
        <w:pStyle w:val="IFTnormal"/>
        <w:spacing w:after="6pt"/>
        <w:rPr>
          <w:rFonts w:ascii="Century Gothic" w:hAnsi="Century Gothic"/>
        </w:rPr>
      </w:pPr>
      <w:r>
        <w:rPr>
          <w:rFonts w:ascii="Century Gothic" w:hAnsi="Century Gothic"/>
          <w:b/>
        </w:rPr>
        <w:lastRenderedPageBreak/>
        <w:t>Compra de módems por lote.</w:t>
      </w:r>
    </w:p>
    <w:p w:rsidR="00277ED2" w:rsidRPr="00611019" w:rsidRDefault="00E56462" w:rsidP="00035D2C">
      <w:pPr>
        <w:pStyle w:val="IFTnormal"/>
        <w:spacing w:after="6pt"/>
        <w:rPr>
          <w:rFonts w:ascii="Century Gothic" w:hAnsi="Century Gothic"/>
        </w:rPr>
      </w:pPr>
      <w:r>
        <w:rPr>
          <w:rFonts w:ascii="Century Gothic" w:hAnsi="Century Gothic"/>
        </w:rPr>
        <w:t>Asimismo, el CS o en su caso un grupo de éstos podrá comprar los módems y las ONT blancos a RED NACIONAL, de conformidad con lo establecido en el Anexo A</w:t>
      </w:r>
      <w:r>
        <w:rPr>
          <w:rStyle w:val="Refdenotaalpie"/>
          <w:rFonts w:ascii="Century Gothic" w:hAnsi="Century Gothic"/>
        </w:rPr>
        <w:footnoteReference w:id="10"/>
      </w:r>
      <w:r>
        <w:rPr>
          <w:rFonts w:ascii="Century Gothic" w:hAnsi="Century Gothic"/>
        </w:rPr>
        <w:t xml:space="preserve">. El CS deberá considerar que los módems y las ONT serán provistos en un plazo máximo de 14 (catorce semanas) posterior a la solicitud de compra. El CS deberá indicar en la solicitud el punto de distribución donde recogerá o recibirá el lote de los equipos para que el CS defina su propia logística de mensajería o entrega a sus Usuarios Finales. Para este tipo de entrega se acordará con el CS el intercambio de módems correspondientes a la garantía. </w:t>
      </w:r>
    </w:p>
    <w:p w:rsidR="00277ED2" w:rsidRPr="00611019" w:rsidRDefault="00E56462" w:rsidP="00035D2C">
      <w:pPr>
        <w:pStyle w:val="IFTnormal"/>
        <w:spacing w:after="6pt"/>
        <w:rPr>
          <w:rFonts w:ascii="Century Gothic" w:hAnsi="Century Gothic"/>
        </w:rPr>
      </w:pPr>
      <w:r>
        <w:rPr>
          <w:rFonts w:ascii="Century Gothic" w:hAnsi="Century Gothic"/>
        </w:rPr>
        <w:t xml:space="preserve">En el momento que sea necesario actualizar o modernizar los elementos de red con que opera actualmente RED NACIONAL, se obliga a notificar al CS a través del SEG/SIPO con seis meses de antelación en el caso de nueva tecnología o funcionalidades. </w:t>
      </w:r>
    </w:p>
    <w:p w:rsidR="00211C43" w:rsidRPr="00611019" w:rsidRDefault="00E56462" w:rsidP="00035D2C">
      <w:pPr>
        <w:pStyle w:val="IFTnormal"/>
        <w:rPr>
          <w:rFonts w:ascii="Century Gothic" w:hAnsi="Century Gothic"/>
        </w:rPr>
      </w:pPr>
      <w:r>
        <w:rPr>
          <w:rFonts w:ascii="Century Gothic" w:hAnsi="Century Gothic"/>
        </w:rPr>
        <w:t xml:space="preserve">Por los mismos medios </w:t>
      </w:r>
      <w:bookmarkStart w:id="1208" w:name="_Hlk44247783"/>
      <w:r>
        <w:rPr>
          <w:rFonts w:ascii="Century Gothic" w:hAnsi="Century Gothic"/>
        </w:rPr>
        <w:t>RED NACIONAL notificará de actualizaciones de software de equipos terminales (módems /ONT) que impacten en la provisión del Servicio con 30 días naturales de antelació</w:t>
      </w:r>
      <w:bookmarkEnd w:id="1208"/>
      <w:r>
        <w:rPr>
          <w:rFonts w:ascii="Century Gothic" w:hAnsi="Century Gothic"/>
        </w:rPr>
        <w:t xml:space="preserve">n. En ambos casos este plazo contabilizará respecto de la fecha de inicio de la comercialización de los Servicios o afectación a las terminales por los cambios antes mencionados. </w:t>
      </w:r>
    </w:p>
    <w:p w:rsidR="00E87E4F" w:rsidRPr="00611019" w:rsidRDefault="00E87E4F" w:rsidP="00035D2C">
      <w:pPr>
        <w:pStyle w:val="IFTnormal"/>
        <w:rPr>
          <w:rFonts w:ascii="Century Gothic" w:hAnsi="Century Gothic"/>
          <w:b/>
        </w:rPr>
      </w:pPr>
    </w:p>
    <w:p w:rsidR="00225543" w:rsidRPr="00611019" w:rsidRDefault="00E56462" w:rsidP="00035D2C">
      <w:pPr>
        <w:pStyle w:val="IFTnormal"/>
        <w:spacing w:after="6pt"/>
        <w:rPr>
          <w:rFonts w:ascii="Century Gothic" w:hAnsi="Century Gothic"/>
        </w:rPr>
      </w:pPr>
      <w:r>
        <w:rPr>
          <w:rFonts w:ascii="Century Gothic" w:hAnsi="Century Gothic"/>
          <w:b/>
        </w:rPr>
        <w:t>Servicio de Interoperabilidad del módem.</w:t>
      </w:r>
    </w:p>
    <w:p w:rsidR="00277ED2" w:rsidRPr="00611019" w:rsidRDefault="00E56462" w:rsidP="00035D2C">
      <w:pPr>
        <w:spacing w:after="6pt"/>
        <w:jc w:val="both"/>
        <w:rPr>
          <w:rFonts w:ascii="Century Gothic" w:hAnsi="Century Gothic" w:cs="Arial"/>
        </w:rPr>
      </w:pPr>
      <w:r>
        <w:rPr>
          <w:rFonts w:ascii="Century Gothic" w:hAnsi="Century Gothic"/>
        </w:rPr>
        <w:t xml:space="preserve">RED NACIONAL </w:t>
      </w:r>
      <w:r>
        <w:rPr>
          <w:rFonts w:ascii="Century Gothic" w:hAnsi="Century Gothic" w:cs="Arial"/>
        </w:rPr>
        <w:t>implementará un Servicio de interoperabilidad de carácter opcional, a fin de validar la compatibilidad con los equipos de acceso DSLAM, TBA y OLT susceptibles de soportar el servicio de desagregación SAIB. A través de este servicio se realizarán pruebas en un ambiente de laboratorio respecto al funcionamiento y conectividad DSL/FTTN-</w:t>
      </w:r>
      <w:r w:rsidR="00097306">
        <w:rPr>
          <w:rFonts w:ascii="Century Gothic" w:hAnsi="Century Gothic" w:cs="Arial"/>
        </w:rPr>
        <w:t>x</w:t>
      </w:r>
      <w:r>
        <w:rPr>
          <w:rFonts w:ascii="Century Gothic" w:hAnsi="Century Gothic" w:cs="Arial"/>
        </w:rPr>
        <w:t>PON/FTTH-</w:t>
      </w:r>
      <w:r w:rsidR="00097306">
        <w:rPr>
          <w:rFonts w:ascii="Century Gothic" w:hAnsi="Century Gothic" w:cs="Arial"/>
        </w:rPr>
        <w:t>x</w:t>
      </w:r>
      <w:r>
        <w:rPr>
          <w:rFonts w:ascii="Century Gothic" w:hAnsi="Century Gothic" w:cs="Arial"/>
        </w:rPr>
        <w:t xml:space="preserve">PON y cualquier otro que </w:t>
      </w:r>
      <w:r>
        <w:rPr>
          <w:rFonts w:ascii="Century Gothic" w:hAnsi="Century Gothic"/>
        </w:rPr>
        <w:t xml:space="preserve">RED NACIONAL </w:t>
      </w:r>
      <w:r>
        <w:rPr>
          <w:rFonts w:ascii="Century Gothic" w:hAnsi="Century Gothic" w:cs="Arial"/>
        </w:rPr>
        <w:t xml:space="preserve">tenga en operación, donde se verificará que el módem/ONT bajo prueba sea interoperable con los equipos de la red de acceso y para las tecnologías que tenga activas </w:t>
      </w:r>
      <w:r>
        <w:rPr>
          <w:rFonts w:ascii="Century Gothic" w:hAnsi="Century Gothic"/>
        </w:rPr>
        <w:t>RED NACIONAL</w:t>
      </w:r>
      <w:r>
        <w:rPr>
          <w:rFonts w:ascii="Century Gothic" w:hAnsi="Century Gothic" w:cs="Arial"/>
        </w:rPr>
        <w:t>.</w:t>
      </w:r>
    </w:p>
    <w:p w:rsidR="00225543" w:rsidRPr="00611019" w:rsidRDefault="00E56462" w:rsidP="00035D2C">
      <w:pPr>
        <w:spacing w:after="6pt"/>
        <w:jc w:val="both"/>
        <w:rPr>
          <w:rFonts w:ascii="Century Gothic" w:hAnsi="Century Gothic" w:cs="Arial"/>
        </w:rPr>
      </w:pPr>
      <w:r>
        <w:rPr>
          <w:rFonts w:ascii="Century Gothic" w:hAnsi="Century Gothic" w:cs="Arial"/>
        </w:rPr>
        <w:t xml:space="preserve">Las pruebas que serán realizadas y los parámetros que serán verificados durante la revisión de los equipos, serán suministradas a los </w:t>
      </w:r>
      <w:r w:rsidR="00721B79">
        <w:rPr>
          <w:rFonts w:ascii="Century Gothic" w:hAnsi="Century Gothic" w:cs="Arial"/>
        </w:rPr>
        <w:t>CS</w:t>
      </w:r>
      <w:r>
        <w:rPr>
          <w:rFonts w:ascii="Century Gothic" w:hAnsi="Century Gothic" w:cs="Arial"/>
        </w:rPr>
        <w:t xml:space="preserve"> por </w:t>
      </w:r>
      <w:r>
        <w:rPr>
          <w:rFonts w:ascii="Century Gothic" w:hAnsi="Century Gothic"/>
        </w:rPr>
        <w:t>RED NACIONAL</w:t>
      </w:r>
      <w:r>
        <w:rPr>
          <w:rFonts w:ascii="Century Gothic" w:hAnsi="Century Gothic" w:cs="Arial"/>
        </w:rPr>
        <w:t xml:space="preserve"> y estarán basados en las recomendaciones internacionales de UIT-T (serie G) que definen las tecnologías DSL y serán al menos: el reporte de atenuación (ATTN), margen señal a ruido (SNRM), máxima velocidad y tiempo de sincronía, con base a la distancia y el diseño de cada perfil de línea. </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Las pruebas se realizarán a cada modelo de módem de cada marca que sea ingresado para el Servicio de interoperabilidad. Para evitar repetir las pruebas sobre el mismo </w:t>
      </w:r>
      <w:r>
        <w:rPr>
          <w:rFonts w:ascii="Century Gothic" w:hAnsi="Century Gothic" w:cs="Arial"/>
        </w:rPr>
        <w:lastRenderedPageBreak/>
        <w:t xml:space="preserve">equipo </w:t>
      </w:r>
      <w:r>
        <w:rPr>
          <w:rFonts w:ascii="Century Gothic" w:hAnsi="Century Gothic"/>
        </w:rPr>
        <w:t>RED NACIONAL</w:t>
      </w:r>
      <w:r>
        <w:rPr>
          <w:rFonts w:ascii="Century Gothic" w:hAnsi="Century Gothic" w:cs="Arial"/>
        </w:rPr>
        <w:t xml:space="preserve"> publicará en el SEG/SIPO todos los modelos de equipos comprobados y el resultado de las pruebas realizadas.</w:t>
      </w:r>
    </w:p>
    <w:p w:rsidR="00277ED2" w:rsidRPr="00611019" w:rsidRDefault="00E56462" w:rsidP="00035D2C">
      <w:pPr>
        <w:jc w:val="both"/>
        <w:rPr>
          <w:rFonts w:ascii="Century Gothic" w:hAnsi="Century Gothic" w:cs="Arial"/>
        </w:rPr>
      </w:pPr>
      <w:r>
        <w:rPr>
          <w:rFonts w:ascii="Century Gothic" w:hAnsi="Century Gothic" w:cs="Arial"/>
        </w:rPr>
        <w:t xml:space="preserve">Los módems que el CS ingrese para el procedimiento de interoperabilidad deberán cumplir con las condiciones mínimas establecidas en la presente sección y en el Anexo “Requerimientos mínimos para la interoperabilidad de los Módems de los </w:t>
      </w:r>
      <w:r w:rsidR="00721B79">
        <w:rPr>
          <w:rFonts w:ascii="Century Gothic" w:hAnsi="Century Gothic" w:cs="Arial"/>
        </w:rPr>
        <w:t>CS</w:t>
      </w:r>
      <w:r>
        <w:rPr>
          <w:rFonts w:ascii="Century Gothic" w:hAnsi="Century Gothic" w:cs="Arial"/>
        </w:rPr>
        <w:t xml:space="preserve"> con la red de acceso xDSL”. Los requerimientos, parámetros e información necesaria para las pruebas de interoperabilidad de los equipos ONT, </w:t>
      </w:r>
      <w:r>
        <w:rPr>
          <w:rFonts w:ascii="Century Gothic" w:hAnsi="Century Gothic"/>
        </w:rPr>
        <w:t>RED NACIONAL</w:t>
      </w:r>
      <w:r>
        <w:rPr>
          <w:rFonts w:ascii="Century Gothic" w:hAnsi="Century Gothic" w:cs="Arial"/>
        </w:rPr>
        <w:t xml:space="preserve"> los publicará en el SEG/SIPO.</w:t>
      </w:r>
    </w:p>
    <w:p w:rsidR="00E87E4F" w:rsidRPr="00611019" w:rsidRDefault="00E87E4F" w:rsidP="00035D2C">
      <w:pPr>
        <w:jc w:val="both"/>
        <w:rPr>
          <w:rFonts w:ascii="Century Gothic" w:hAnsi="Century Gothic" w:cs="Arial"/>
          <w:b/>
        </w:rPr>
      </w:pPr>
    </w:p>
    <w:p w:rsidR="00277ED2" w:rsidRPr="00611019" w:rsidRDefault="00E56462" w:rsidP="00035D2C">
      <w:pPr>
        <w:jc w:val="both"/>
        <w:rPr>
          <w:rFonts w:ascii="Century Gothic" w:hAnsi="Century Gothic" w:cs="Arial"/>
          <w:b/>
        </w:rPr>
      </w:pPr>
      <w:r>
        <w:rPr>
          <w:rFonts w:ascii="Century Gothic" w:hAnsi="Century Gothic" w:cs="Arial"/>
          <w:b/>
        </w:rPr>
        <w:t>Procedimiento de interoperabilidad del módem.</w:t>
      </w:r>
    </w:p>
    <w:p w:rsidR="00277ED2" w:rsidRPr="00611019" w:rsidRDefault="00E56462" w:rsidP="00035D2C">
      <w:pPr>
        <w:pStyle w:val="IFTnormal"/>
        <w:spacing w:after="6pt"/>
        <w:rPr>
          <w:rFonts w:ascii="Century Gothic" w:hAnsi="Century Gothic"/>
        </w:rPr>
      </w:pPr>
      <w:r>
        <w:rPr>
          <w:rFonts w:ascii="Century Gothic" w:hAnsi="Century Gothic"/>
        </w:rPr>
        <w:t>En caso de que el CS así lo requiera aplicará el siguiente procedimiento:</w:t>
      </w:r>
    </w:p>
    <w:p w:rsidR="00277ED2" w:rsidRPr="00611019" w:rsidRDefault="00E56462" w:rsidP="00035D2C">
      <w:pPr>
        <w:spacing w:after="6pt"/>
        <w:ind w:start="28.35pt" w:hanging="28.35pt"/>
        <w:jc w:val="both"/>
        <w:rPr>
          <w:rFonts w:ascii="Century Gothic" w:hAnsi="Century Gothic" w:cs="Arial"/>
        </w:rPr>
      </w:pPr>
      <w:r>
        <w:rPr>
          <w:rFonts w:ascii="Century Gothic" w:eastAsia="Times New Roman" w:hAnsi="Century Gothic" w:cs="Arial"/>
        </w:rPr>
        <w:t>1)</w:t>
      </w:r>
      <w:r>
        <w:rPr>
          <w:rFonts w:ascii="Century Gothic" w:eastAsia="Times New Roman" w:hAnsi="Century Gothic" w:cs="Arial"/>
        </w:rPr>
        <w:tab/>
      </w:r>
      <w:r>
        <w:rPr>
          <w:rFonts w:ascii="Century Gothic" w:hAnsi="Century Gothic" w:cs="Arial"/>
        </w:rPr>
        <w:t>El CS deberá presentar solicitud por tipo o modelo de módem/ONT a través del SEG/SIPO.</w:t>
      </w:r>
    </w:p>
    <w:p w:rsidR="00277ED2" w:rsidRPr="00611019" w:rsidRDefault="00E56462" w:rsidP="00035D2C">
      <w:pPr>
        <w:autoSpaceDE w:val="0"/>
        <w:autoSpaceDN w:val="0"/>
        <w:adjustRightInd w:val="0"/>
        <w:spacing w:after="6pt"/>
        <w:ind w:start="28.35pt" w:hanging="28.35pt"/>
        <w:jc w:val="both"/>
        <w:rPr>
          <w:rFonts w:ascii="Century Gothic" w:hAnsi="Century Gothic" w:cs="Arial"/>
        </w:rPr>
      </w:pPr>
      <w:r>
        <w:rPr>
          <w:rFonts w:ascii="Century Gothic" w:eastAsia="Times New Roman" w:hAnsi="Century Gothic" w:cs="Arial"/>
        </w:rPr>
        <w:t>2)</w:t>
      </w:r>
      <w:r>
        <w:rPr>
          <w:rFonts w:ascii="Century Gothic" w:eastAsia="Times New Roman" w:hAnsi="Century Gothic" w:cs="Arial"/>
        </w:rPr>
        <w:tab/>
      </w:r>
      <w:r>
        <w:rPr>
          <w:rFonts w:ascii="Century Gothic" w:hAnsi="Century Gothic" w:cs="Arial"/>
        </w:rPr>
        <w:t>La solicitud del CS será validada en un plazo máximo de un día natural, se dará seguimiento a la solicitud con un folio hasta que se asigne un NIS. Si la solicitud no cumple con la información correspondiente, será devuelta al CS y se reiniciará el procedimiento.</w:t>
      </w:r>
    </w:p>
    <w:p w:rsidR="00211C43" w:rsidRPr="00611019" w:rsidRDefault="00E56462" w:rsidP="00035D2C">
      <w:pPr>
        <w:autoSpaceDE w:val="0"/>
        <w:autoSpaceDN w:val="0"/>
        <w:adjustRightInd w:val="0"/>
        <w:spacing w:after="6pt"/>
        <w:ind w:start="28.35pt" w:hanging="28.35pt"/>
        <w:jc w:val="both"/>
        <w:rPr>
          <w:rFonts w:ascii="Century Gothic" w:hAnsi="Century Gothic" w:cs="Arial"/>
        </w:rPr>
      </w:pPr>
      <w:r>
        <w:rPr>
          <w:rFonts w:ascii="Century Gothic" w:eastAsia="Times New Roman" w:hAnsi="Century Gothic" w:cs="Arial"/>
        </w:rPr>
        <w:t>3)</w:t>
      </w:r>
      <w:r>
        <w:rPr>
          <w:rFonts w:ascii="Century Gothic" w:eastAsia="Times New Roman" w:hAnsi="Century Gothic" w:cs="Arial"/>
        </w:rPr>
        <w:tab/>
      </w:r>
      <w:r>
        <w:rPr>
          <w:rFonts w:ascii="Century Gothic" w:hAnsi="Century Gothic" w:cs="Arial"/>
        </w:rPr>
        <w:t xml:space="preserve">Al momento de la validación de la solicitud, una vez aceptada, </w:t>
      </w:r>
      <w:r>
        <w:rPr>
          <w:rFonts w:ascii="Century Gothic" w:hAnsi="Century Gothic"/>
        </w:rPr>
        <w:t>RED NACIONAL</w:t>
      </w:r>
      <w:r>
        <w:rPr>
          <w:rFonts w:ascii="Century Gothic" w:hAnsi="Century Gothic" w:cs="Arial"/>
        </w:rPr>
        <w:t xml:space="preserve"> en un plazo no mayor a tres días hábiles notificará al CS la fecha</w:t>
      </w:r>
      <w:r>
        <w:rPr>
          <w:rStyle w:val="Refdenotaalpie"/>
          <w:rFonts w:ascii="Century Gothic" w:hAnsi="Century Gothic" w:cs="Arial"/>
        </w:rPr>
        <w:footnoteReference w:id="11"/>
      </w:r>
      <w:r>
        <w:rPr>
          <w:rFonts w:ascii="Century Gothic" w:hAnsi="Century Gothic" w:cs="Arial"/>
        </w:rPr>
        <w:t xml:space="preserve"> en la que podrá ingresar el módem/ONT a Laboratorio de </w:t>
      </w:r>
      <w:r>
        <w:rPr>
          <w:rFonts w:ascii="Century Gothic" w:hAnsi="Century Gothic"/>
        </w:rPr>
        <w:t>RED NACIONAL</w:t>
      </w:r>
      <w:r>
        <w:rPr>
          <w:rFonts w:ascii="Century Gothic" w:hAnsi="Century Gothic" w:cs="Arial"/>
        </w:rPr>
        <w:t xml:space="preserve"> para iniciar las pruebas. Una vez que se haya recibido el módem/ONT, el Laboratorio llevará a cabo las pruebas de interoperabilidad, y en un plazo máximo de 20 días hábiles dará respuesta al CS. </w:t>
      </w:r>
    </w:p>
    <w:p w:rsidR="00277ED2" w:rsidRPr="00611019" w:rsidRDefault="00E56462" w:rsidP="00035D2C">
      <w:pPr>
        <w:pStyle w:val="Prrafodelista"/>
        <w:autoSpaceDE w:val="0"/>
        <w:autoSpaceDN w:val="0"/>
        <w:adjustRightInd w:val="0"/>
        <w:spacing w:after="6pt"/>
        <w:ind w:start="0pt"/>
        <w:contextualSpacing w:val="0"/>
        <w:jc w:val="both"/>
        <w:rPr>
          <w:rFonts w:ascii="Century Gothic" w:hAnsi="Century Gothic" w:cs="Arial"/>
        </w:rPr>
      </w:pPr>
      <w:r>
        <w:rPr>
          <w:rFonts w:ascii="Century Gothic" w:hAnsi="Century Gothic" w:cs="Arial"/>
        </w:rPr>
        <w:t>La respuesta será de acuerdo con lo siguiente:</w:t>
      </w:r>
    </w:p>
    <w:p w:rsidR="00277ED2" w:rsidRPr="00611019" w:rsidRDefault="00E56462" w:rsidP="00035D2C">
      <w:pPr>
        <w:autoSpaceDE w:val="0"/>
        <w:autoSpaceDN w:val="0"/>
        <w:adjustRightInd w:val="0"/>
        <w:spacing w:after="6pt"/>
        <w:ind w:start="28.35pt" w:hanging="28.35pt"/>
        <w:jc w:val="both"/>
        <w:rPr>
          <w:rFonts w:ascii="Century Gothic" w:hAnsi="Century Gothic" w:cs="Arial"/>
        </w:rPr>
      </w:pPr>
      <w:r>
        <w:rPr>
          <w:rFonts w:ascii="Century Gothic" w:eastAsia="Calibri" w:hAnsi="Century Gothic" w:cs="Arial"/>
        </w:rPr>
        <w:t>a.</w:t>
      </w:r>
      <w:r>
        <w:rPr>
          <w:rFonts w:ascii="Century Gothic" w:eastAsia="Calibri" w:hAnsi="Century Gothic" w:cs="Arial"/>
        </w:rPr>
        <w:tab/>
      </w:r>
      <w:r>
        <w:rPr>
          <w:rFonts w:ascii="Century Gothic" w:hAnsi="Century Gothic" w:cs="Arial"/>
        </w:rPr>
        <w:t>Si el módem/ONT es interoperable, se notificará al CS y se integrará a la lista de módems interoperables.</w:t>
      </w:r>
    </w:p>
    <w:p w:rsidR="00277ED2" w:rsidRPr="00611019" w:rsidRDefault="00E56462" w:rsidP="00035D2C">
      <w:pPr>
        <w:autoSpaceDE w:val="0"/>
        <w:autoSpaceDN w:val="0"/>
        <w:adjustRightInd w:val="0"/>
        <w:spacing w:after="6pt"/>
        <w:ind w:start="28.35pt" w:hanging="28.35pt"/>
        <w:jc w:val="both"/>
        <w:rPr>
          <w:rFonts w:ascii="Century Gothic" w:hAnsi="Century Gothic" w:cs="Arial"/>
        </w:rPr>
      </w:pPr>
      <w:r>
        <w:rPr>
          <w:rFonts w:ascii="Century Gothic" w:eastAsia="Calibri" w:hAnsi="Century Gothic" w:cs="Arial"/>
        </w:rPr>
        <w:t>b.</w:t>
      </w:r>
      <w:r>
        <w:rPr>
          <w:rFonts w:ascii="Century Gothic" w:eastAsia="Calibri" w:hAnsi="Century Gothic" w:cs="Arial"/>
        </w:rPr>
        <w:tab/>
      </w:r>
      <w:r>
        <w:rPr>
          <w:rFonts w:ascii="Century Gothic" w:hAnsi="Century Gothic" w:cs="Arial"/>
        </w:rPr>
        <w:t>Si el módem/ONT no pasa la prueba, se enviará respuesta</w:t>
      </w:r>
      <w:r>
        <w:rPr>
          <w:rStyle w:val="Refdenotaalpie"/>
          <w:rFonts w:ascii="Century Gothic" w:hAnsi="Century Gothic" w:cs="Arial"/>
        </w:rPr>
        <w:footnoteReference w:id="12"/>
      </w:r>
      <w:r>
        <w:rPr>
          <w:rFonts w:ascii="Century Gothic" w:hAnsi="Century Gothic" w:cs="Arial"/>
        </w:rPr>
        <w:t xml:space="preserve"> incluyendo descripción pormenorizada del incumplimiento. Con el objetivo de que el CS pueda realizar los ajustes necesarios al módem/ONT, podrá reingresarlo por una sola ocasión siempre que la misma no exceda el plazo de 20 días hábiles, posterior a lo cual se considerará como una nueva solicitud de interoperabilidad.</w:t>
      </w:r>
    </w:p>
    <w:p w:rsidR="00277ED2" w:rsidRPr="00611019" w:rsidRDefault="00E56462" w:rsidP="00035D2C">
      <w:pPr>
        <w:spacing w:after="6pt"/>
        <w:jc w:val="both"/>
        <w:rPr>
          <w:rFonts w:ascii="Century Gothic" w:hAnsi="Century Gothic" w:cs="Arial"/>
          <w:b/>
        </w:rPr>
      </w:pPr>
      <w:r>
        <w:rPr>
          <w:rFonts w:ascii="Century Gothic" w:hAnsi="Century Gothic" w:cs="Arial"/>
          <w:b/>
        </w:rPr>
        <w:t>Procedimiento de Conciliación en caso de que el módem/ONT del CS presente fallas sin haber utilizado el Servicio de interoperabilidad.</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En caso de que el CS no presentara solicitud previa para el Servicio de interoperabilidad de los módems y éstos cumplan con las especificaciones y criterios definidos por </w:t>
      </w:r>
      <w:r>
        <w:rPr>
          <w:rFonts w:ascii="Century Gothic" w:hAnsi="Century Gothic"/>
        </w:rPr>
        <w:t xml:space="preserve">RED </w:t>
      </w:r>
      <w:r>
        <w:rPr>
          <w:rFonts w:ascii="Century Gothic" w:hAnsi="Century Gothic"/>
        </w:rPr>
        <w:lastRenderedPageBreak/>
        <w:t>NACIONAL</w:t>
      </w:r>
      <w:r>
        <w:rPr>
          <w:rFonts w:ascii="Century Gothic" w:hAnsi="Century Gothic" w:cs="Arial"/>
        </w:rPr>
        <w:t>, pero llegaran a presentar falla durante la operación, se procederá considerando lo siguiente:</w:t>
      </w:r>
    </w:p>
    <w:p w:rsidR="00277ED2" w:rsidRPr="00611019" w:rsidRDefault="00E56462" w:rsidP="00035D2C">
      <w:pPr>
        <w:spacing w:after="6pt"/>
        <w:ind w:start="28.35pt" w:hanging="28.35pt"/>
        <w:jc w:val="both"/>
        <w:rPr>
          <w:rFonts w:ascii="Century Gothic" w:hAnsi="Century Gothic" w:cs="Arial"/>
        </w:rPr>
      </w:pPr>
      <w:r>
        <w:rPr>
          <w:rFonts w:ascii="Century Gothic" w:hAnsi="Century Gothic" w:cs="Arial"/>
        </w:rPr>
        <w:t>1)</w:t>
      </w:r>
      <w:r>
        <w:rPr>
          <w:rFonts w:ascii="Century Gothic" w:hAnsi="Century Gothic" w:cs="Arial"/>
        </w:rPr>
        <w:tab/>
        <w:t xml:space="preserve">De conformidad con el Anexo C (Fallas), </w:t>
      </w:r>
      <w:r>
        <w:rPr>
          <w:rFonts w:ascii="Century Gothic" w:hAnsi="Century Gothic"/>
        </w:rPr>
        <w:t xml:space="preserve">RED NACIONAL </w:t>
      </w:r>
      <w:r>
        <w:rPr>
          <w:rFonts w:ascii="Century Gothic" w:hAnsi="Century Gothic" w:cs="Arial"/>
        </w:rPr>
        <w:t xml:space="preserve">proporcionará un módem/ONT a los Usuarios Finales del CS afectados en un plazo máximo de dos días hábiles, de manera temporal o permanente a solicitud del CS, debiendo cubrir el CS el costo del equipo terminal proporcionado. </w:t>
      </w:r>
    </w:p>
    <w:p w:rsidR="00277ED2" w:rsidRPr="00611019" w:rsidRDefault="00E56462" w:rsidP="00035D2C">
      <w:pPr>
        <w:spacing w:after="6pt"/>
        <w:ind w:start="28.35pt" w:hanging="28.35pt"/>
        <w:jc w:val="both"/>
        <w:rPr>
          <w:rFonts w:ascii="Century Gothic" w:hAnsi="Century Gothic" w:cs="Arial"/>
        </w:rPr>
      </w:pPr>
      <w:r>
        <w:rPr>
          <w:rFonts w:ascii="Century Gothic" w:hAnsi="Century Gothic" w:cs="Arial"/>
        </w:rPr>
        <w:t>2)</w:t>
      </w:r>
      <w:r>
        <w:rPr>
          <w:rFonts w:ascii="Century Gothic" w:hAnsi="Century Gothic" w:cs="Arial"/>
        </w:rPr>
        <w:tab/>
        <w:t xml:space="preserve">A solicitud del CS, </w:t>
      </w:r>
      <w:r>
        <w:rPr>
          <w:rFonts w:ascii="Century Gothic" w:hAnsi="Century Gothic"/>
        </w:rPr>
        <w:t>RED NACIONAL</w:t>
      </w:r>
      <w:r>
        <w:rPr>
          <w:rFonts w:ascii="Century Gothic" w:hAnsi="Century Gothic" w:cs="Arial"/>
        </w:rPr>
        <w:t xml:space="preserve"> realizará pruebas de interoperabilidad en el (los) módem/ONT en donde se detectó la falla.</w:t>
      </w:r>
    </w:p>
    <w:p w:rsidR="00277ED2" w:rsidRPr="00611019" w:rsidRDefault="00E56462" w:rsidP="00035D2C">
      <w:pPr>
        <w:spacing w:after="6pt"/>
        <w:ind w:start="28.35pt" w:hanging="28.35pt"/>
        <w:jc w:val="both"/>
        <w:rPr>
          <w:rFonts w:ascii="Century Gothic" w:hAnsi="Century Gothic" w:cs="Arial"/>
        </w:rPr>
      </w:pPr>
      <w:r>
        <w:rPr>
          <w:rFonts w:ascii="Century Gothic" w:hAnsi="Century Gothic" w:cs="Arial"/>
        </w:rPr>
        <w:t>3)</w:t>
      </w:r>
      <w:r>
        <w:rPr>
          <w:rFonts w:ascii="Century Gothic" w:hAnsi="Century Gothic" w:cs="Arial"/>
        </w:rPr>
        <w:tab/>
        <w:t xml:space="preserve">En un plazo máximo de 20 días hábiles </w:t>
      </w:r>
      <w:r>
        <w:rPr>
          <w:rFonts w:ascii="Century Gothic" w:hAnsi="Century Gothic"/>
        </w:rPr>
        <w:t>RED NACIONAL</w:t>
      </w:r>
      <w:r>
        <w:rPr>
          <w:rFonts w:ascii="Century Gothic" w:hAnsi="Century Gothic" w:cs="Arial"/>
        </w:rPr>
        <w:t xml:space="preserve"> notificará al CS los ajustes que debe realizar al (a los) módem/ONT. Posterior a haber realizado los ajustes necesarios, el CS deberá reingresar el módem/ONT a fin de comprobar que opere dentro de parámetros aceptables; dicho reingreso será por una única ocasión siempre que la misma no exceda el plazo de 20 días hábiles a partir de la notificación de los ajustes, posterior a lo cual se considerará como una nueva solicitud de interoperabilidad.</w:t>
      </w:r>
    </w:p>
    <w:p w:rsidR="00277ED2" w:rsidRPr="00611019" w:rsidRDefault="00E56462" w:rsidP="00035D2C">
      <w:pPr>
        <w:spacing w:after="6pt"/>
        <w:ind w:start="28.35pt" w:hanging="28.35pt"/>
        <w:jc w:val="both"/>
        <w:rPr>
          <w:rFonts w:ascii="Century Gothic" w:hAnsi="Century Gothic" w:cs="Arial"/>
        </w:rPr>
      </w:pPr>
      <w:r>
        <w:rPr>
          <w:rFonts w:ascii="Century Gothic" w:hAnsi="Century Gothic" w:cs="Arial"/>
        </w:rPr>
        <w:t>4)</w:t>
      </w:r>
      <w:r>
        <w:rPr>
          <w:rFonts w:ascii="Century Gothic" w:hAnsi="Century Gothic" w:cs="Arial"/>
        </w:rPr>
        <w:tab/>
        <w:t xml:space="preserve">En caso de que </w:t>
      </w:r>
      <w:r>
        <w:rPr>
          <w:rFonts w:ascii="Century Gothic" w:hAnsi="Century Gothic"/>
        </w:rPr>
        <w:t>RED NACIONAL</w:t>
      </w:r>
      <w:r>
        <w:rPr>
          <w:rFonts w:ascii="Century Gothic" w:hAnsi="Century Gothic" w:cs="Arial"/>
        </w:rPr>
        <w:t xml:space="preserve"> sea responsable por la falla, se realizarán los ajustes necesarios a fin de corregirla en un plazo máximo de 20 días hábiles a partir de los resultados de la prueba de interoperabilidad. </w:t>
      </w:r>
      <w:r>
        <w:rPr>
          <w:rFonts w:ascii="Century Gothic" w:hAnsi="Century Gothic"/>
        </w:rPr>
        <w:t xml:space="preserve">RED NACIONAL </w:t>
      </w:r>
      <w:r>
        <w:rPr>
          <w:rFonts w:ascii="Century Gothic" w:hAnsi="Century Gothic" w:cs="Arial"/>
        </w:rPr>
        <w:t xml:space="preserve">comunicará al CS los resultados dentro de este mismo plazo, debiéndose publicar en el SEG/SIPO las correcciones realizadas para conocimiento de todas las partes involucradas. Esta información debe comprender la descripción detallada de las pruebas de interoperabilidad, los parámetros que se utilizaron, los valores requeridos para su aceptación y las correcciones realizadas por </w:t>
      </w:r>
      <w:r>
        <w:rPr>
          <w:rFonts w:ascii="Century Gothic" w:hAnsi="Century Gothic"/>
        </w:rPr>
        <w:t>RED NACIONAL</w:t>
      </w:r>
      <w:r>
        <w:rPr>
          <w:rFonts w:ascii="Century Gothic" w:hAnsi="Century Gothic" w:cs="Arial"/>
        </w:rPr>
        <w:t xml:space="preserve"> en su red.</w:t>
      </w:r>
    </w:p>
    <w:p w:rsidR="000C6CAF" w:rsidRPr="00611019" w:rsidRDefault="00E56462" w:rsidP="00035D2C">
      <w:pPr>
        <w:ind w:start="28.35pt" w:hanging="28.35pt"/>
        <w:jc w:val="both"/>
        <w:rPr>
          <w:rFonts w:ascii="Century Gothic" w:hAnsi="Century Gothic" w:cs="Arial"/>
        </w:rPr>
      </w:pPr>
      <w:r>
        <w:rPr>
          <w:rFonts w:ascii="Century Gothic" w:hAnsi="Century Gothic" w:cs="Arial"/>
        </w:rPr>
        <w:t>5)</w:t>
      </w:r>
      <w:r>
        <w:rPr>
          <w:rFonts w:ascii="Century Gothic" w:hAnsi="Century Gothic" w:cs="Arial"/>
        </w:rPr>
        <w:tab/>
        <w:t xml:space="preserve">En caso de que </w:t>
      </w:r>
      <w:r>
        <w:rPr>
          <w:rFonts w:ascii="Century Gothic" w:hAnsi="Century Gothic"/>
        </w:rPr>
        <w:t>RED NACIONAL</w:t>
      </w:r>
      <w:r>
        <w:rPr>
          <w:rFonts w:ascii="Century Gothic" w:hAnsi="Century Gothic" w:cs="Arial"/>
        </w:rPr>
        <w:t xml:space="preserve"> sea responsable por la falla como resultado de las pruebas de interoperabilidad, no procederá el cobro al CS del equipo terminal proporcionado para atender la falla inicial referida en el numeral “1” de este procedimiento.</w:t>
      </w:r>
    </w:p>
    <w:p w:rsidR="008C28CD" w:rsidRDefault="008C28CD" w:rsidP="00035D2C">
      <w:pPr>
        <w:ind w:start="28.35pt" w:hanging="28.35pt"/>
        <w:jc w:val="both"/>
        <w:rPr>
          <w:rFonts w:ascii="Century Gothic" w:hAnsi="Century Gothic" w:cs="Arial"/>
        </w:rPr>
      </w:pPr>
    </w:p>
    <w:p w:rsidR="00225543" w:rsidRPr="00611019" w:rsidRDefault="00E56462" w:rsidP="00035D2C">
      <w:pPr>
        <w:pStyle w:val="IFTnormal"/>
        <w:rPr>
          <w:rFonts w:ascii="Century Gothic" w:hAnsi="Century Gothic"/>
          <w:b/>
        </w:rPr>
      </w:pPr>
      <w:bookmarkStart w:id="1209" w:name="_Hlk517113917"/>
      <w:bookmarkStart w:id="1210" w:name="_Toc436840898"/>
      <w:bookmarkStart w:id="1211" w:name="_Toc436846335"/>
      <w:bookmarkStart w:id="1212" w:name="_Toc436848285"/>
      <w:bookmarkStart w:id="1213" w:name="_Toc436856533"/>
      <w:bookmarkStart w:id="1214" w:name="_Toc436862679"/>
      <w:bookmarkStart w:id="1215" w:name="_Toc436866329"/>
      <w:bookmarkStart w:id="1216" w:name="_Toc436870908"/>
      <w:bookmarkStart w:id="1217" w:name="_Toc436875900"/>
      <w:bookmarkStart w:id="1218" w:name="_Toc467248712"/>
      <w:r>
        <w:rPr>
          <w:rFonts w:ascii="Century Gothic" w:hAnsi="Century Gothic"/>
          <w:b/>
        </w:rPr>
        <w:t>Autoconfiguración de credenciales de CS.</w:t>
      </w:r>
    </w:p>
    <w:p w:rsidR="00277ED2" w:rsidRPr="00611019" w:rsidRDefault="00E56462" w:rsidP="00035D2C">
      <w:pPr>
        <w:pStyle w:val="IFTnormal"/>
        <w:spacing w:after="6pt"/>
        <w:rPr>
          <w:rFonts w:ascii="Century Gothic" w:hAnsi="Century Gothic"/>
        </w:rPr>
      </w:pPr>
      <w:r>
        <w:rPr>
          <w:rFonts w:ascii="Century Gothic" w:hAnsi="Century Gothic"/>
        </w:rPr>
        <w:t>El CS tendrá tres posibilidades para autoconfigurar sus credenciales de los módems u ONT blancas que ya están homologadas</w:t>
      </w:r>
      <w:r>
        <w:rPr>
          <w:rStyle w:val="Refdenotaalpie"/>
          <w:rFonts w:ascii="Century Gothic" w:hAnsi="Century Gothic"/>
        </w:rPr>
        <w:footnoteReference w:id="13"/>
      </w:r>
      <w:r>
        <w:rPr>
          <w:rFonts w:ascii="Century Gothic" w:hAnsi="Century Gothic"/>
        </w:rPr>
        <w:t xml:space="preserve"> para interoperar con la red de RED NACIONAL</w:t>
      </w:r>
      <w:r>
        <w:rPr>
          <w:rStyle w:val="Refdenotaalpie"/>
          <w:rFonts w:ascii="Century Gothic" w:hAnsi="Century Gothic"/>
        </w:rPr>
        <w:footnoteReference w:id="14"/>
      </w:r>
      <w:r>
        <w:rPr>
          <w:rFonts w:ascii="Century Gothic" w:hAnsi="Century Gothic"/>
        </w:rPr>
        <w:t>:</w:t>
      </w:r>
    </w:p>
    <w:p w:rsidR="008C28CD" w:rsidRPr="00611019" w:rsidRDefault="00E56462" w:rsidP="00F645E5">
      <w:pPr>
        <w:pStyle w:val="IFTnormal"/>
        <w:ind w:start="28.35pt" w:hanging="28.35pt"/>
        <w:rPr>
          <w:rFonts w:ascii="Century Gothic" w:hAnsi="Century Gothic"/>
        </w:rPr>
      </w:pPr>
      <w:r>
        <w:rPr>
          <w:rFonts w:ascii="Century Gothic" w:hAnsi="Century Gothic"/>
        </w:rPr>
        <w:lastRenderedPageBreak/>
        <w:t>1)</w:t>
      </w:r>
      <w:r>
        <w:rPr>
          <w:rFonts w:ascii="Century Gothic" w:hAnsi="Century Gothic"/>
        </w:rPr>
        <w:tab/>
      </w:r>
      <w:r>
        <w:rPr>
          <w:rFonts w:ascii="Century Gothic" w:hAnsi="Century Gothic"/>
          <w:u w:val="single"/>
        </w:rPr>
        <w:t>Carga previa de credenciales por parte del CS:</w:t>
      </w:r>
      <w:r>
        <w:rPr>
          <w:rFonts w:ascii="Century Gothic" w:hAnsi="Century Gothic"/>
        </w:rPr>
        <w:t xml:space="preserve"> es necesario que el CS que desee esta alternativa, solicite directamente al proveedor de los módems/ONT la carga de sus credenciales, así como demás configuraciones y direcciones de red que considere necesarias, para que de forma automática el Usuario Final pueda descargar las configuraciones propias del CS, y que de ese modo se pueda autenticar en su AAA sin necesidad de realizar una llamada telefónica al momento de la instalación. De ese modo se ofrecerá un mismo proceso universal para todos los </w:t>
      </w:r>
      <w:r w:rsidR="009224EF">
        <w:rPr>
          <w:rFonts w:ascii="Century Gothic" w:hAnsi="Century Gothic"/>
        </w:rPr>
        <w:t>CS</w:t>
      </w:r>
      <w:r>
        <w:rPr>
          <w:rFonts w:ascii="Century Gothic" w:hAnsi="Century Gothic"/>
        </w:rPr>
        <w:t xml:space="preserve"> (incluida RED NACIONAL) en lo que a autoconfiguración de sus credenciales se refiere. Para lo cual será necesario que el CS prevea la compra de sus propios módems con los proveedores, así como la administración y gestión de los mismos.</w:t>
      </w:r>
    </w:p>
    <w:p w:rsidR="00277ED2" w:rsidRPr="00611019" w:rsidRDefault="00E56462" w:rsidP="00F645E5">
      <w:pPr>
        <w:pStyle w:val="IFTnormal"/>
        <w:spacing w:after="6pt"/>
        <w:ind w:start="28.35pt"/>
        <w:rPr>
          <w:rFonts w:ascii="Century Gothic" w:hAnsi="Century Gothic"/>
        </w:rPr>
      </w:pPr>
      <w:r>
        <w:rPr>
          <w:rFonts w:ascii="Century Gothic" w:hAnsi="Century Gothic"/>
        </w:rPr>
        <w:t>De lo contrario, es decir de no entregar el CS sus configuraciones al proveedor de módems/ONT, el CS tendrá la posibilidad de</w:t>
      </w:r>
      <w:r>
        <w:rPr>
          <w:rStyle w:val="Refdenotaalpie"/>
          <w:rFonts w:ascii="Century Gothic" w:hAnsi="Century Gothic"/>
        </w:rPr>
        <w:footnoteReference w:id="15"/>
      </w:r>
      <w:r>
        <w:rPr>
          <w:rFonts w:ascii="Century Gothic" w:hAnsi="Century Gothic"/>
        </w:rPr>
        <w:t>:</w:t>
      </w:r>
    </w:p>
    <w:p w:rsidR="00277ED2" w:rsidRPr="00611019" w:rsidRDefault="00E56462" w:rsidP="00F645E5">
      <w:pPr>
        <w:pStyle w:val="IFTnormal"/>
        <w:spacing w:after="6pt"/>
        <w:ind w:start="28.35pt" w:hanging="18pt"/>
        <w:rPr>
          <w:rFonts w:ascii="Century Gothic" w:hAnsi="Century Gothic"/>
        </w:rPr>
      </w:pPr>
      <w:r>
        <w:rPr>
          <w:rFonts w:ascii="Century Gothic" w:hAnsi="Century Gothic"/>
        </w:rPr>
        <w:t>2)</w:t>
      </w:r>
      <w:r>
        <w:rPr>
          <w:rFonts w:ascii="Century Gothic" w:hAnsi="Century Gothic"/>
        </w:rPr>
        <w:tab/>
      </w:r>
      <w:r>
        <w:rPr>
          <w:rFonts w:ascii="Century Gothic" w:hAnsi="Century Gothic"/>
          <w:u w:val="single"/>
        </w:rPr>
        <w:t>Carga previa de credenciales por parte de RED NACIONAL:</w:t>
      </w:r>
      <w:r>
        <w:rPr>
          <w:rFonts w:ascii="Century Gothic" w:hAnsi="Century Gothic"/>
        </w:rPr>
        <w:t xml:space="preserve"> El CS tendrá que entregar sus credenciales, así como demás configuraciones y direcciones de red que considere necesarias, a RED NACIONAL para que se realice la carga de las mismas a través del proveedor de RED NACIONAL, correspondientes a un lote de módems/ONT blancos, de forma que cuando el CS los distribuya a sus Usuarios Finales, se puedan autenticar en el AAA del CS sin necesidad de realizar una llamada telefónica.</w:t>
      </w:r>
    </w:p>
    <w:p w:rsidR="00277ED2" w:rsidRPr="00611019" w:rsidRDefault="00E56462" w:rsidP="00035D2C">
      <w:pPr>
        <w:pStyle w:val="IFTnormal"/>
        <w:spacing w:after="6pt"/>
        <w:ind w:start="28.35pt" w:hanging="18pt"/>
        <w:rPr>
          <w:rFonts w:ascii="Century Gothic" w:hAnsi="Century Gothic"/>
        </w:rPr>
      </w:pPr>
      <w:r>
        <w:rPr>
          <w:rFonts w:ascii="Century Gothic" w:hAnsi="Century Gothic"/>
        </w:rPr>
        <w:t>3)</w:t>
      </w:r>
      <w:r>
        <w:rPr>
          <w:rFonts w:ascii="Century Gothic" w:hAnsi="Century Gothic"/>
        </w:rPr>
        <w:tab/>
      </w:r>
      <w:r>
        <w:rPr>
          <w:rFonts w:ascii="Century Gothic" w:hAnsi="Century Gothic"/>
          <w:u w:val="single"/>
        </w:rPr>
        <w:t>Carga individual:</w:t>
      </w:r>
      <w:r>
        <w:rPr>
          <w:rFonts w:ascii="Century Gothic" w:hAnsi="Century Gothic"/>
        </w:rPr>
        <w:t xml:space="preserve"> Se tendrán que seguir los procedimientos ya descritos en el punto correspondiente del procedimiento de alta del servicio SAIB que implican la llamada telefónica del CS al momento de la instalación, para proporcionar el número de serie del equipo y el número de servicio que permitan la activación y sincronía.</w:t>
      </w:r>
    </w:p>
    <w:bookmarkEnd w:id="1209"/>
    <w:p w:rsidR="00277ED2" w:rsidRPr="00611019" w:rsidRDefault="00E56462" w:rsidP="00035D2C">
      <w:pPr>
        <w:spacing w:after="6pt"/>
        <w:jc w:val="both"/>
        <w:rPr>
          <w:rFonts w:ascii="Century Gothic" w:hAnsi="Century Gothic" w:cs="Arial"/>
        </w:rPr>
      </w:pPr>
      <w:r>
        <w:rPr>
          <w:rFonts w:ascii="Century Gothic" w:hAnsi="Century Gothic" w:cs="Arial"/>
        </w:rPr>
        <w:t>Con la finalidad de permitir la autoconfiguración y administración remota por parte del CS, los módems/ONT deberán seguir las siguientes referencias internacionales:</w:t>
      </w:r>
    </w:p>
    <w:p w:rsidR="00277ED2" w:rsidRPr="00611019" w:rsidRDefault="00E56462" w:rsidP="00F56183">
      <w:pPr>
        <w:pStyle w:val="IFTnormal"/>
        <w:numPr>
          <w:ilvl w:val="0"/>
          <w:numId w:val="60"/>
        </w:numPr>
        <w:spacing w:after="6pt"/>
        <w:ind w:start="28.35pt"/>
        <w:rPr>
          <w:rFonts w:ascii="Century Gothic" w:hAnsi="Century Gothic"/>
          <w:lang w:val="en-US"/>
        </w:rPr>
      </w:pPr>
      <w:r>
        <w:rPr>
          <w:rFonts w:ascii="Century Gothic" w:hAnsi="Century Gothic"/>
          <w:lang w:val="en-US"/>
        </w:rPr>
        <w:t>TR-069 del Broadband forum: CPE WAN Management Protocol (CWMP).</w:t>
      </w:r>
    </w:p>
    <w:p w:rsidR="00277ED2" w:rsidRPr="00611019" w:rsidRDefault="00E56462" w:rsidP="00F56183">
      <w:pPr>
        <w:pStyle w:val="IFTnormal"/>
        <w:numPr>
          <w:ilvl w:val="0"/>
          <w:numId w:val="60"/>
        </w:numPr>
        <w:spacing w:after="6pt"/>
        <w:ind w:start="28.35pt"/>
        <w:rPr>
          <w:rFonts w:ascii="Century Gothic" w:hAnsi="Century Gothic"/>
          <w:lang w:val="en-US"/>
        </w:rPr>
      </w:pPr>
      <w:r>
        <w:rPr>
          <w:rFonts w:ascii="Century Gothic" w:hAnsi="Century Gothic"/>
          <w:lang w:val="en-US"/>
        </w:rPr>
        <w:t>TR-142 del Broadband forum: Framework for TR-069 enabled PON devices.</w:t>
      </w:r>
    </w:p>
    <w:bookmarkEnd w:id="1210"/>
    <w:bookmarkEnd w:id="1211"/>
    <w:bookmarkEnd w:id="1212"/>
    <w:bookmarkEnd w:id="1213"/>
    <w:bookmarkEnd w:id="1214"/>
    <w:bookmarkEnd w:id="1215"/>
    <w:bookmarkEnd w:id="1216"/>
    <w:bookmarkEnd w:id="1217"/>
    <w:bookmarkEnd w:id="1218"/>
    <w:p w:rsidR="00EC2B9A" w:rsidRPr="00611019" w:rsidRDefault="00EC2B9A" w:rsidP="00035D2C">
      <w:pPr>
        <w:jc w:val="both"/>
        <w:rPr>
          <w:rFonts w:ascii="Century Gothic" w:hAnsi="Century Gothic" w:cs="Arial"/>
          <w:sz w:val="20"/>
          <w:szCs w:val="20"/>
          <w:lang w:val="en-US"/>
        </w:rPr>
      </w:pPr>
    </w:p>
    <w:p w:rsidR="00277ED2" w:rsidRPr="00611019" w:rsidRDefault="00E56462" w:rsidP="00035D2C">
      <w:pPr>
        <w:adjustRightInd w:val="0"/>
        <w:jc w:val="both"/>
        <w:rPr>
          <w:rFonts w:ascii="Century Gothic" w:hAnsi="Century Gothic" w:cs="Arial"/>
          <w:b/>
        </w:rPr>
      </w:pPr>
      <w:r>
        <w:rPr>
          <w:rFonts w:ascii="Century Gothic" w:hAnsi="Century Gothic" w:cs="Arial"/>
          <w:b/>
        </w:rPr>
        <w:t>3.3 Parámetros e Indicadores de Calidad para Pruebas del Servicio.</w:t>
      </w:r>
    </w:p>
    <w:p w:rsidR="00277ED2" w:rsidRPr="00611019" w:rsidRDefault="00E56462" w:rsidP="00035D2C">
      <w:pPr>
        <w:pStyle w:val="IFTnormal"/>
        <w:rPr>
          <w:rFonts w:ascii="Century Gothic" w:hAnsi="Century Gothic"/>
        </w:rPr>
      </w:pPr>
      <w:r>
        <w:rPr>
          <w:rFonts w:ascii="Century Gothic" w:hAnsi="Century Gothic"/>
        </w:rPr>
        <w:t xml:space="preserve">Para la entrega, continuidad de Servicio y atención de fallas de conexiones de usuario. </w:t>
      </w:r>
    </w:p>
    <w:p w:rsidR="00277ED2" w:rsidRPr="00611019" w:rsidRDefault="00E56462" w:rsidP="00035D2C">
      <w:pPr>
        <w:spacing w:after="6pt"/>
        <w:jc w:val="both"/>
        <w:rPr>
          <w:rFonts w:ascii="Century Gothic" w:hAnsi="Century Gothic" w:cs="Arial"/>
        </w:rPr>
      </w:pPr>
      <w:r>
        <w:rPr>
          <w:rFonts w:ascii="Century Gothic" w:hAnsi="Century Gothic" w:cs="Arial"/>
        </w:rPr>
        <w:t>Valores y parámetros eléctricos de resistencia de aislamiento y capacitancia para accesos de cobre:</w:t>
      </w:r>
    </w:p>
    <w:tbl>
      <w:tblPr>
        <w:tblW w:w="446.40pt" w:type="dxa"/>
        <w:jc w:val="cente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0"/>
      </w:tblPr>
      <w:tblGrid>
        <w:gridCol w:w="1838"/>
        <w:gridCol w:w="4112"/>
        <w:gridCol w:w="2978"/>
      </w:tblGrid>
      <w:tr w:rsidR="0061711D" w:rsidTr="00223141">
        <w:trPr>
          <w:tblHeader/>
          <w:jc w:val="center"/>
        </w:trPr>
        <w:tc>
          <w:tcPr>
            <w:tcW w:w="91.90pt" w:type="dxa"/>
            <w:shd w:val="clear" w:color="auto" w:fill="009AD9"/>
            <w:vAlign w:val="center"/>
          </w:tcPr>
          <w:p w:rsidR="00277ED2" w:rsidRPr="00611019" w:rsidRDefault="00E56462" w:rsidP="00035D2C">
            <w:pPr>
              <w:pStyle w:val="IFTnormal"/>
              <w:jc w:val="center"/>
              <w:rPr>
                <w:rFonts w:ascii="Century Gothic" w:hAnsi="Century Gothic"/>
                <w:b/>
                <w:color w:val="FFFFFF" w:themeColor="background1"/>
                <w:sz w:val="20"/>
                <w:szCs w:val="20"/>
              </w:rPr>
            </w:pPr>
            <w:r>
              <w:rPr>
                <w:rFonts w:ascii="Century Gothic" w:hAnsi="Century Gothic"/>
                <w:b/>
                <w:color w:val="FFFFFF" w:themeColor="background1"/>
                <w:sz w:val="20"/>
                <w:szCs w:val="20"/>
              </w:rPr>
              <w:lastRenderedPageBreak/>
              <w:t>Parámetro</w:t>
            </w:r>
          </w:p>
        </w:tc>
        <w:tc>
          <w:tcPr>
            <w:tcW w:w="205.55pt" w:type="dxa"/>
            <w:shd w:val="clear" w:color="auto" w:fill="009AD9"/>
            <w:vAlign w:val="center"/>
          </w:tcPr>
          <w:p w:rsidR="00277ED2" w:rsidRPr="00611019" w:rsidRDefault="00E56462" w:rsidP="00035D2C">
            <w:pPr>
              <w:pStyle w:val="IFTnormal"/>
              <w:jc w:val="center"/>
              <w:rPr>
                <w:rFonts w:ascii="Century Gothic" w:hAnsi="Century Gothic"/>
                <w:b/>
                <w:color w:val="FFFFFF" w:themeColor="background1"/>
                <w:sz w:val="20"/>
                <w:szCs w:val="20"/>
              </w:rPr>
            </w:pPr>
            <w:r>
              <w:rPr>
                <w:rFonts w:ascii="Century Gothic" w:hAnsi="Century Gothic"/>
                <w:b/>
                <w:color w:val="FFFFFF" w:themeColor="background1"/>
                <w:sz w:val="20"/>
                <w:szCs w:val="20"/>
              </w:rPr>
              <w:t>Medición entre puntos (hilos) y tierra</w:t>
            </w:r>
          </w:p>
        </w:tc>
        <w:tc>
          <w:tcPr>
            <w:tcW w:w="148.85pt" w:type="dxa"/>
            <w:shd w:val="clear" w:color="auto" w:fill="009AD9"/>
            <w:vAlign w:val="center"/>
          </w:tcPr>
          <w:p w:rsidR="00277ED2" w:rsidRPr="00611019" w:rsidRDefault="00E56462" w:rsidP="00035D2C">
            <w:pPr>
              <w:pStyle w:val="IFTnormal"/>
              <w:jc w:val="center"/>
              <w:rPr>
                <w:rFonts w:ascii="Century Gothic" w:hAnsi="Century Gothic"/>
                <w:b/>
                <w:color w:val="FFFFFF" w:themeColor="background1"/>
                <w:sz w:val="20"/>
                <w:szCs w:val="20"/>
              </w:rPr>
            </w:pPr>
            <w:r>
              <w:rPr>
                <w:rFonts w:ascii="Century Gothic" w:hAnsi="Century Gothic"/>
                <w:b/>
                <w:color w:val="FFFFFF" w:themeColor="background1"/>
                <w:sz w:val="20"/>
                <w:szCs w:val="20"/>
              </w:rPr>
              <w:t>Valor Aceptable</w:t>
            </w:r>
          </w:p>
        </w:tc>
      </w:tr>
      <w:tr w:rsidR="0061711D" w:rsidTr="00277ED2">
        <w:trPr>
          <w:jc w:val="center"/>
        </w:trPr>
        <w:tc>
          <w:tcPr>
            <w:tcW w:w="91.90pt" w:type="dxa"/>
            <w:vMerge w:val="restart"/>
            <w:vAlign w:val="center"/>
          </w:tcPr>
          <w:p w:rsidR="00277ED2" w:rsidRPr="00611019" w:rsidRDefault="00E56462" w:rsidP="00035D2C">
            <w:pPr>
              <w:spacing w:before="2pt" w:after="2pt"/>
              <w:jc w:val="both"/>
              <w:rPr>
                <w:rFonts w:ascii="Century Gothic" w:hAnsi="Century Gothic" w:cs="Arial"/>
                <w:sz w:val="20"/>
                <w:szCs w:val="20"/>
              </w:rPr>
            </w:pPr>
            <w:r>
              <w:rPr>
                <w:rFonts w:ascii="Century Gothic" w:hAnsi="Century Gothic" w:cs="Arial"/>
                <w:sz w:val="20"/>
                <w:szCs w:val="20"/>
              </w:rPr>
              <w:t>Resistencia de aislamiento</w:t>
            </w:r>
          </w:p>
        </w:tc>
        <w:tc>
          <w:tcPr>
            <w:tcW w:w="205.55pt" w:type="dxa"/>
          </w:tcPr>
          <w:p w:rsidR="00277ED2" w:rsidRPr="00611019" w:rsidRDefault="00E56462" w:rsidP="00035D2C">
            <w:pPr>
              <w:spacing w:before="2pt" w:after="2pt"/>
              <w:jc w:val="both"/>
              <w:rPr>
                <w:rFonts w:ascii="Century Gothic" w:hAnsi="Century Gothic" w:cs="Arial"/>
                <w:sz w:val="20"/>
                <w:szCs w:val="20"/>
              </w:rPr>
            </w:pPr>
            <w:r>
              <w:rPr>
                <w:rFonts w:ascii="Century Gothic" w:hAnsi="Century Gothic" w:cs="Arial"/>
                <w:sz w:val="20"/>
                <w:szCs w:val="20"/>
              </w:rPr>
              <w:t>a-b</w:t>
            </w:r>
          </w:p>
        </w:tc>
        <w:tc>
          <w:tcPr>
            <w:tcW w:w="148.85pt" w:type="dxa"/>
            <w:vMerge w:val="restart"/>
            <w:vAlign w:val="center"/>
          </w:tcPr>
          <w:p w:rsidR="00277ED2" w:rsidRPr="00611019" w:rsidRDefault="00E56462" w:rsidP="00035D2C">
            <w:pPr>
              <w:spacing w:before="2pt" w:after="2pt"/>
              <w:jc w:val="both"/>
              <w:rPr>
                <w:rFonts w:ascii="Century Gothic" w:hAnsi="Century Gothic" w:cs="Arial"/>
                <w:sz w:val="20"/>
                <w:szCs w:val="20"/>
              </w:rPr>
            </w:pPr>
            <w:r>
              <w:rPr>
                <w:rFonts w:ascii="Century Gothic" w:hAnsi="Century Gothic" w:cs="Arial"/>
                <w:sz w:val="20"/>
                <w:szCs w:val="20"/>
              </w:rPr>
              <w:t>Mayor a 1 Mohms</w:t>
            </w:r>
          </w:p>
        </w:tc>
      </w:tr>
      <w:tr w:rsidR="0061711D" w:rsidTr="00277ED2">
        <w:trPr>
          <w:jc w:val="center"/>
        </w:trPr>
        <w:tc>
          <w:tcPr>
            <w:tcW w:w="91.90pt" w:type="dxa"/>
            <w:vMerge/>
            <w:vAlign w:val="center"/>
          </w:tcPr>
          <w:p w:rsidR="00277ED2" w:rsidRPr="00611019" w:rsidRDefault="00277ED2" w:rsidP="00035D2C">
            <w:pPr>
              <w:spacing w:before="2pt" w:after="2pt"/>
              <w:jc w:val="both"/>
              <w:rPr>
                <w:rFonts w:ascii="Century Gothic" w:hAnsi="Century Gothic" w:cs="Arial"/>
                <w:sz w:val="20"/>
                <w:szCs w:val="20"/>
              </w:rPr>
            </w:pPr>
          </w:p>
        </w:tc>
        <w:tc>
          <w:tcPr>
            <w:tcW w:w="205.55pt" w:type="dxa"/>
          </w:tcPr>
          <w:p w:rsidR="00277ED2" w:rsidRPr="00611019" w:rsidRDefault="00E56462" w:rsidP="00035D2C">
            <w:pPr>
              <w:spacing w:before="2pt" w:after="2pt"/>
              <w:jc w:val="both"/>
              <w:rPr>
                <w:rFonts w:ascii="Century Gothic" w:hAnsi="Century Gothic" w:cs="Arial"/>
                <w:sz w:val="20"/>
                <w:szCs w:val="20"/>
              </w:rPr>
            </w:pPr>
            <w:r>
              <w:rPr>
                <w:rFonts w:ascii="Century Gothic" w:hAnsi="Century Gothic" w:cs="Arial"/>
                <w:sz w:val="20"/>
                <w:szCs w:val="20"/>
              </w:rPr>
              <w:t>a-tierra</w:t>
            </w:r>
          </w:p>
        </w:tc>
        <w:tc>
          <w:tcPr>
            <w:tcW w:w="148.85pt" w:type="dxa"/>
            <w:vMerge/>
            <w:vAlign w:val="center"/>
          </w:tcPr>
          <w:p w:rsidR="00277ED2" w:rsidRPr="00611019" w:rsidRDefault="00277ED2" w:rsidP="00035D2C">
            <w:pPr>
              <w:spacing w:before="2pt" w:after="2pt"/>
              <w:jc w:val="both"/>
              <w:rPr>
                <w:rFonts w:ascii="Century Gothic" w:hAnsi="Century Gothic" w:cs="Arial"/>
                <w:sz w:val="20"/>
                <w:szCs w:val="20"/>
              </w:rPr>
            </w:pPr>
          </w:p>
        </w:tc>
      </w:tr>
      <w:tr w:rsidR="0061711D" w:rsidTr="00277ED2">
        <w:trPr>
          <w:jc w:val="center"/>
        </w:trPr>
        <w:tc>
          <w:tcPr>
            <w:tcW w:w="91.90pt" w:type="dxa"/>
            <w:vMerge/>
            <w:vAlign w:val="center"/>
          </w:tcPr>
          <w:p w:rsidR="00277ED2" w:rsidRPr="00611019" w:rsidRDefault="00277ED2" w:rsidP="00035D2C">
            <w:pPr>
              <w:spacing w:before="2pt" w:after="2pt"/>
              <w:jc w:val="both"/>
              <w:rPr>
                <w:rFonts w:ascii="Century Gothic" w:hAnsi="Century Gothic" w:cs="Arial"/>
                <w:sz w:val="20"/>
                <w:szCs w:val="20"/>
              </w:rPr>
            </w:pPr>
          </w:p>
        </w:tc>
        <w:tc>
          <w:tcPr>
            <w:tcW w:w="205.55pt" w:type="dxa"/>
          </w:tcPr>
          <w:p w:rsidR="00277ED2" w:rsidRPr="00611019" w:rsidRDefault="00E56462" w:rsidP="00035D2C">
            <w:pPr>
              <w:spacing w:before="2pt" w:after="2pt"/>
              <w:jc w:val="both"/>
              <w:rPr>
                <w:rFonts w:ascii="Century Gothic" w:hAnsi="Century Gothic" w:cs="Arial"/>
                <w:sz w:val="20"/>
                <w:szCs w:val="20"/>
              </w:rPr>
            </w:pPr>
            <w:r>
              <w:rPr>
                <w:rFonts w:ascii="Century Gothic" w:hAnsi="Century Gothic" w:cs="Arial"/>
                <w:sz w:val="20"/>
                <w:szCs w:val="20"/>
              </w:rPr>
              <w:t>b-tierra</w:t>
            </w:r>
          </w:p>
        </w:tc>
        <w:tc>
          <w:tcPr>
            <w:tcW w:w="148.85pt" w:type="dxa"/>
            <w:vMerge/>
            <w:vAlign w:val="center"/>
          </w:tcPr>
          <w:p w:rsidR="00277ED2" w:rsidRPr="00611019" w:rsidRDefault="00277ED2" w:rsidP="00035D2C">
            <w:pPr>
              <w:spacing w:before="2pt" w:after="2pt"/>
              <w:jc w:val="both"/>
              <w:rPr>
                <w:rFonts w:ascii="Century Gothic" w:hAnsi="Century Gothic" w:cs="Arial"/>
                <w:sz w:val="20"/>
                <w:szCs w:val="20"/>
              </w:rPr>
            </w:pPr>
          </w:p>
        </w:tc>
      </w:tr>
      <w:tr w:rsidR="0061711D" w:rsidTr="00277ED2">
        <w:trPr>
          <w:trHeight w:val="275"/>
          <w:jc w:val="center"/>
        </w:trPr>
        <w:tc>
          <w:tcPr>
            <w:tcW w:w="91.90pt" w:type="dxa"/>
            <w:vMerge w:val="restart"/>
            <w:vAlign w:val="center"/>
          </w:tcPr>
          <w:p w:rsidR="00277ED2" w:rsidRPr="00611019" w:rsidRDefault="00E56462" w:rsidP="00035D2C">
            <w:pPr>
              <w:spacing w:before="2pt" w:after="2pt"/>
              <w:jc w:val="both"/>
              <w:rPr>
                <w:rFonts w:ascii="Century Gothic" w:hAnsi="Century Gothic" w:cs="Arial"/>
                <w:sz w:val="20"/>
                <w:szCs w:val="20"/>
              </w:rPr>
            </w:pPr>
            <w:r>
              <w:rPr>
                <w:rFonts w:ascii="Century Gothic" w:hAnsi="Century Gothic" w:cs="Arial"/>
                <w:sz w:val="20"/>
                <w:szCs w:val="20"/>
              </w:rPr>
              <w:t xml:space="preserve">Capacitancia </w:t>
            </w:r>
          </w:p>
        </w:tc>
        <w:tc>
          <w:tcPr>
            <w:tcW w:w="205.55pt" w:type="dxa"/>
          </w:tcPr>
          <w:p w:rsidR="00277ED2" w:rsidRPr="00611019" w:rsidRDefault="00E56462" w:rsidP="00035D2C">
            <w:pPr>
              <w:spacing w:before="2pt" w:after="2pt"/>
              <w:jc w:val="both"/>
              <w:rPr>
                <w:rFonts w:ascii="Century Gothic" w:hAnsi="Century Gothic" w:cs="Arial"/>
                <w:sz w:val="20"/>
                <w:szCs w:val="20"/>
              </w:rPr>
            </w:pPr>
            <w:r>
              <w:rPr>
                <w:rFonts w:ascii="Century Gothic" w:hAnsi="Century Gothic" w:cs="Arial"/>
                <w:sz w:val="20"/>
                <w:szCs w:val="20"/>
              </w:rPr>
              <w:t>a-b</w:t>
            </w:r>
          </w:p>
        </w:tc>
        <w:tc>
          <w:tcPr>
            <w:tcW w:w="148.85pt" w:type="dxa"/>
          </w:tcPr>
          <w:p w:rsidR="00277ED2" w:rsidRPr="00611019" w:rsidRDefault="00E56462" w:rsidP="00035D2C">
            <w:pPr>
              <w:spacing w:before="2pt" w:after="2pt"/>
              <w:jc w:val="both"/>
              <w:rPr>
                <w:rFonts w:ascii="Century Gothic" w:hAnsi="Century Gothic" w:cs="Arial"/>
                <w:sz w:val="20"/>
                <w:szCs w:val="20"/>
              </w:rPr>
            </w:pPr>
            <w:r>
              <w:rPr>
                <w:rFonts w:ascii="Century Gothic" w:hAnsi="Century Gothic" w:cs="Arial"/>
                <w:sz w:val="20"/>
                <w:szCs w:val="20"/>
              </w:rPr>
              <w:t>52.5 nF /km ±5%</w:t>
            </w:r>
          </w:p>
        </w:tc>
      </w:tr>
      <w:tr w:rsidR="0061711D" w:rsidTr="00277ED2">
        <w:trPr>
          <w:trHeight w:val="275"/>
          <w:jc w:val="center"/>
        </w:trPr>
        <w:tc>
          <w:tcPr>
            <w:tcW w:w="91.90pt" w:type="dxa"/>
            <w:vMerge/>
            <w:vAlign w:val="center"/>
          </w:tcPr>
          <w:p w:rsidR="00277ED2" w:rsidRPr="00611019" w:rsidRDefault="00277ED2" w:rsidP="00035D2C">
            <w:pPr>
              <w:spacing w:before="2pt" w:after="2pt"/>
              <w:jc w:val="both"/>
              <w:rPr>
                <w:rFonts w:ascii="Century Gothic" w:hAnsi="Century Gothic" w:cs="Arial"/>
                <w:sz w:val="20"/>
                <w:szCs w:val="20"/>
              </w:rPr>
            </w:pPr>
          </w:p>
        </w:tc>
        <w:tc>
          <w:tcPr>
            <w:tcW w:w="205.55pt" w:type="dxa"/>
          </w:tcPr>
          <w:p w:rsidR="00277ED2" w:rsidRPr="00611019" w:rsidRDefault="00E56462" w:rsidP="00035D2C">
            <w:pPr>
              <w:spacing w:before="2pt" w:after="2pt"/>
              <w:jc w:val="both"/>
              <w:rPr>
                <w:rFonts w:ascii="Century Gothic" w:hAnsi="Century Gothic" w:cs="Arial"/>
                <w:sz w:val="20"/>
                <w:szCs w:val="20"/>
              </w:rPr>
            </w:pPr>
            <w:r>
              <w:rPr>
                <w:rFonts w:ascii="Century Gothic" w:hAnsi="Century Gothic" w:cs="Arial"/>
                <w:sz w:val="20"/>
                <w:szCs w:val="20"/>
              </w:rPr>
              <w:t>a-tierra</w:t>
            </w:r>
          </w:p>
        </w:tc>
        <w:tc>
          <w:tcPr>
            <w:tcW w:w="148.85pt" w:type="dxa"/>
          </w:tcPr>
          <w:p w:rsidR="00277ED2" w:rsidRPr="00611019" w:rsidRDefault="00E56462" w:rsidP="00035D2C">
            <w:pPr>
              <w:spacing w:before="2pt" w:after="2pt"/>
              <w:jc w:val="both"/>
              <w:rPr>
                <w:rFonts w:ascii="Century Gothic" w:hAnsi="Century Gothic" w:cs="Arial"/>
                <w:sz w:val="20"/>
                <w:szCs w:val="20"/>
              </w:rPr>
            </w:pPr>
            <w:r>
              <w:rPr>
                <w:rFonts w:ascii="Century Gothic" w:hAnsi="Century Gothic" w:cs="Arial"/>
                <w:sz w:val="20"/>
                <w:szCs w:val="20"/>
              </w:rPr>
              <w:t>64 nF/Km ± 10 %</w:t>
            </w:r>
          </w:p>
        </w:tc>
      </w:tr>
      <w:tr w:rsidR="0061711D" w:rsidTr="00277ED2">
        <w:trPr>
          <w:trHeight w:val="275"/>
          <w:jc w:val="center"/>
        </w:trPr>
        <w:tc>
          <w:tcPr>
            <w:tcW w:w="91.90pt" w:type="dxa"/>
            <w:vMerge/>
            <w:vAlign w:val="center"/>
          </w:tcPr>
          <w:p w:rsidR="00277ED2" w:rsidRPr="00611019" w:rsidRDefault="00277ED2" w:rsidP="00035D2C">
            <w:pPr>
              <w:spacing w:before="2pt" w:after="2pt"/>
              <w:jc w:val="both"/>
              <w:rPr>
                <w:rFonts w:ascii="Century Gothic" w:hAnsi="Century Gothic" w:cs="Arial"/>
                <w:sz w:val="20"/>
                <w:szCs w:val="20"/>
              </w:rPr>
            </w:pPr>
          </w:p>
        </w:tc>
        <w:tc>
          <w:tcPr>
            <w:tcW w:w="205.55pt" w:type="dxa"/>
          </w:tcPr>
          <w:p w:rsidR="00277ED2" w:rsidRPr="00611019" w:rsidRDefault="00E56462" w:rsidP="00035D2C">
            <w:pPr>
              <w:spacing w:before="2pt" w:after="2pt"/>
              <w:jc w:val="both"/>
              <w:rPr>
                <w:rFonts w:ascii="Century Gothic" w:hAnsi="Century Gothic" w:cs="Arial"/>
                <w:sz w:val="20"/>
                <w:szCs w:val="20"/>
              </w:rPr>
            </w:pPr>
            <w:r>
              <w:rPr>
                <w:rFonts w:ascii="Century Gothic" w:hAnsi="Century Gothic" w:cs="Arial"/>
                <w:sz w:val="20"/>
                <w:szCs w:val="20"/>
              </w:rPr>
              <w:t>b-tierra</w:t>
            </w:r>
          </w:p>
        </w:tc>
        <w:tc>
          <w:tcPr>
            <w:tcW w:w="148.85pt" w:type="dxa"/>
          </w:tcPr>
          <w:p w:rsidR="00277ED2" w:rsidRPr="00611019" w:rsidRDefault="00E56462" w:rsidP="00035D2C">
            <w:pPr>
              <w:spacing w:before="2pt" w:after="2pt"/>
              <w:jc w:val="both"/>
              <w:rPr>
                <w:rFonts w:ascii="Century Gothic" w:hAnsi="Century Gothic" w:cs="Arial"/>
                <w:sz w:val="20"/>
                <w:szCs w:val="20"/>
              </w:rPr>
            </w:pPr>
            <w:r>
              <w:rPr>
                <w:rFonts w:ascii="Century Gothic" w:hAnsi="Century Gothic" w:cs="Arial"/>
                <w:sz w:val="20"/>
                <w:szCs w:val="20"/>
              </w:rPr>
              <w:t>64 nF/Km ± 10 %</w:t>
            </w:r>
          </w:p>
        </w:tc>
      </w:tr>
    </w:tbl>
    <w:p w:rsidR="00277ED2" w:rsidRPr="00611019" w:rsidRDefault="00E56462" w:rsidP="00035D2C">
      <w:pPr>
        <w:pStyle w:val="xxxPiedeCuadroconnombre"/>
        <w:spacing w:before="0pt" w:after="6pt"/>
        <w:jc w:val="center"/>
        <w:rPr>
          <w:rFonts w:ascii="Century Gothic" w:hAnsi="Century Gothic"/>
          <w:szCs w:val="20"/>
        </w:rPr>
      </w:pPr>
      <w:r>
        <w:rPr>
          <w:rFonts w:ascii="Century Gothic" w:hAnsi="Century Gothic"/>
          <w:szCs w:val="20"/>
        </w:rPr>
        <w:t>Valores aceptables de resistencia y capacitancia</w:t>
      </w:r>
    </w:p>
    <w:p w:rsidR="00750421" w:rsidRPr="00611019" w:rsidRDefault="00750421" w:rsidP="00035D2C">
      <w:pPr>
        <w:pStyle w:val="xxxPiedeCuadroconnombre"/>
        <w:spacing w:before="0pt"/>
        <w:ind w:start="0pt"/>
        <w:jc w:val="both"/>
        <w:rPr>
          <w:rFonts w:ascii="Century Gothic" w:hAnsi="Century Gothic"/>
          <w:sz w:val="22"/>
        </w:rPr>
      </w:pPr>
    </w:p>
    <w:p w:rsidR="00277ED2" w:rsidRPr="00611019" w:rsidRDefault="00E56462" w:rsidP="00035D2C">
      <w:pPr>
        <w:adjustRightInd w:val="0"/>
        <w:jc w:val="both"/>
        <w:rPr>
          <w:rFonts w:ascii="Century Gothic" w:hAnsi="Century Gothic" w:cs="Arial"/>
        </w:rPr>
      </w:pPr>
      <w:r>
        <w:rPr>
          <w:rFonts w:ascii="Century Gothic" w:hAnsi="Century Gothic" w:cs="Arial"/>
          <w:b/>
        </w:rPr>
        <w:t>Sincronía DSL (para SAIB en cobre):</w:t>
      </w:r>
    </w:p>
    <w:p w:rsidR="00277ED2" w:rsidRPr="00611019" w:rsidRDefault="00E56462" w:rsidP="00035D2C">
      <w:pPr>
        <w:pStyle w:val="IFTnormal"/>
        <w:spacing w:after="6pt"/>
        <w:rPr>
          <w:rFonts w:ascii="Century Gothic" w:hAnsi="Century Gothic"/>
        </w:rPr>
      </w:pPr>
      <w:r>
        <w:rPr>
          <w:rFonts w:ascii="Century Gothic" w:hAnsi="Century Gothic"/>
        </w:rPr>
        <w:t xml:space="preserve">Se hará una prueba de sincronía entre el equipo de medición (simulando el módem) y el DSLAM, cuyos valores deberán encontrase dentro de los umbrales de aceptación establecidos en esta sección. Estos valores servirán de referencia a efectos de continuidad de Servicio y reparación de fallas junto con los parámetros de aceptación de la prueba de provisión del pCAI según la recomendación Y.1564 de la ITU-T. </w:t>
      </w:r>
    </w:p>
    <w:p w:rsidR="00277ED2" w:rsidRPr="00611019" w:rsidRDefault="00E56462" w:rsidP="00035D2C">
      <w:pPr>
        <w:jc w:val="both"/>
        <w:rPr>
          <w:rFonts w:ascii="Century Gothic" w:hAnsi="Century Gothic" w:cs="Arial"/>
        </w:rPr>
      </w:pPr>
      <w:r>
        <w:rPr>
          <w:rFonts w:ascii="Century Gothic" w:hAnsi="Century Gothic" w:cs="Arial"/>
        </w:rPr>
        <w:t xml:space="preserve">Valores y parámetros ópticas para accesos </w:t>
      </w:r>
      <w:r w:rsidR="00097306">
        <w:rPr>
          <w:rFonts w:ascii="Century Gothic" w:hAnsi="Century Gothic" w:cs="Arial"/>
        </w:rPr>
        <w:t>x</w:t>
      </w:r>
      <w:r>
        <w:rPr>
          <w:rFonts w:ascii="Century Gothic" w:hAnsi="Century Gothic" w:cs="Arial"/>
        </w:rPr>
        <w:t>PON:</w:t>
      </w:r>
    </w:p>
    <w:p w:rsidR="00BC5F20" w:rsidRPr="00611019" w:rsidRDefault="00BC5F20" w:rsidP="00035D2C">
      <w:pPr>
        <w:jc w:val="both"/>
        <w:rPr>
          <w:rFonts w:ascii="Century Gothic" w:hAnsi="Century Gothic" w:cs="Arial"/>
        </w:rPr>
      </w:pPr>
    </w:p>
    <w:tbl>
      <w:tblPr>
        <w:tblW w:w="0pt" w:type="dxa"/>
        <w:jc w:val="cente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0"/>
      </w:tblPr>
      <w:tblGrid>
        <w:gridCol w:w="3036"/>
        <w:gridCol w:w="3186"/>
      </w:tblGrid>
      <w:tr w:rsidR="0061711D" w:rsidTr="00223141">
        <w:trPr>
          <w:jc w:val="center"/>
        </w:trPr>
        <w:tc>
          <w:tcPr>
            <w:tcW w:w="151.80pt" w:type="dxa"/>
            <w:shd w:val="clear" w:color="auto" w:fill="009AD9"/>
            <w:vAlign w:val="center"/>
          </w:tcPr>
          <w:p w:rsidR="00277ED2" w:rsidRPr="00611019" w:rsidRDefault="00E56462" w:rsidP="00035D2C">
            <w:pPr>
              <w:pStyle w:val="IFTnormal"/>
              <w:jc w:val="center"/>
              <w:rPr>
                <w:rFonts w:ascii="Century Gothic" w:hAnsi="Century Gothic"/>
                <w:b/>
                <w:color w:val="FFFFFF" w:themeColor="background1"/>
                <w:sz w:val="20"/>
                <w:szCs w:val="20"/>
              </w:rPr>
            </w:pPr>
            <w:r>
              <w:rPr>
                <w:rFonts w:ascii="Century Gothic" w:hAnsi="Century Gothic"/>
                <w:b/>
                <w:color w:val="FFFFFF" w:themeColor="background1"/>
                <w:sz w:val="20"/>
                <w:szCs w:val="20"/>
              </w:rPr>
              <w:t>Parámetro</w:t>
            </w:r>
          </w:p>
        </w:tc>
        <w:tc>
          <w:tcPr>
            <w:tcW w:w="159.30pt" w:type="dxa"/>
            <w:shd w:val="clear" w:color="auto" w:fill="009AD9"/>
            <w:vAlign w:val="center"/>
          </w:tcPr>
          <w:p w:rsidR="00277ED2" w:rsidRPr="00611019" w:rsidRDefault="00E56462" w:rsidP="00035D2C">
            <w:pPr>
              <w:pStyle w:val="IFTnormal"/>
              <w:jc w:val="center"/>
              <w:rPr>
                <w:rFonts w:ascii="Century Gothic" w:hAnsi="Century Gothic"/>
                <w:b/>
                <w:color w:val="FFFFFF" w:themeColor="background1"/>
                <w:sz w:val="20"/>
                <w:szCs w:val="20"/>
              </w:rPr>
            </w:pPr>
            <w:r>
              <w:rPr>
                <w:rFonts w:ascii="Century Gothic" w:hAnsi="Century Gothic"/>
                <w:b/>
                <w:color w:val="FFFFFF" w:themeColor="background1"/>
                <w:sz w:val="20"/>
                <w:szCs w:val="20"/>
              </w:rPr>
              <w:t>Valor Aceptable</w:t>
            </w:r>
          </w:p>
        </w:tc>
      </w:tr>
      <w:tr w:rsidR="0061711D" w:rsidTr="00277ED2">
        <w:trPr>
          <w:trHeight w:val="275"/>
          <w:jc w:val="center"/>
        </w:trPr>
        <w:tc>
          <w:tcPr>
            <w:tcW w:w="151.80pt" w:type="dxa"/>
            <w:vAlign w:val="center"/>
          </w:tcPr>
          <w:p w:rsidR="00277ED2" w:rsidRPr="00611019" w:rsidRDefault="00E56462" w:rsidP="00035D2C">
            <w:pPr>
              <w:spacing w:before="2pt" w:after="2pt"/>
              <w:jc w:val="both"/>
              <w:rPr>
                <w:rFonts w:ascii="Century Gothic" w:hAnsi="Century Gothic" w:cs="Arial"/>
                <w:sz w:val="20"/>
                <w:szCs w:val="20"/>
              </w:rPr>
            </w:pPr>
            <w:r>
              <w:rPr>
                <w:rFonts w:ascii="Century Gothic" w:hAnsi="Century Gothic" w:cs="Arial"/>
                <w:sz w:val="20"/>
                <w:szCs w:val="20"/>
              </w:rPr>
              <w:t>Potencia óptica</w:t>
            </w:r>
          </w:p>
        </w:tc>
        <w:tc>
          <w:tcPr>
            <w:tcW w:w="159.30pt" w:type="dxa"/>
          </w:tcPr>
          <w:p w:rsidR="00277ED2" w:rsidRPr="00611019" w:rsidRDefault="00E56462" w:rsidP="00035D2C">
            <w:pPr>
              <w:spacing w:before="2pt" w:after="2pt"/>
              <w:jc w:val="both"/>
              <w:rPr>
                <w:rFonts w:ascii="Century Gothic" w:hAnsi="Century Gothic" w:cs="Arial"/>
                <w:sz w:val="20"/>
                <w:szCs w:val="20"/>
              </w:rPr>
            </w:pPr>
            <w:r>
              <w:rPr>
                <w:rFonts w:ascii="Century Gothic" w:hAnsi="Century Gothic" w:cs="Arial"/>
                <w:sz w:val="20"/>
                <w:szCs w:val="20"/>
              </w:rPr>
              <w:t>Mayor a -27 dBm</w:t>
            </w:r>
          </w:p>
          <w:p w:rsidR="00277ED2" w:rsidRPr="00611019" w:rsidRDefault="00E56462" w:rsidP="00035D2C">
            <w:pPr>
              <w:spacing w:before="2pt" w:after="2pt"/>
              <w:jc w:val="both"/>
              <w:rPr>
                <w:rFonts w:ascii="Century Gothic" w:hAnsi="Century Gothic" w:cs="Arial"/>
                <w:sz w:val="20"/>
                <w:szCs w:val="20"/>
              </w:rPr>
            </w:pPr>
            <w:r>
              <w:rPr>
                <w:rFonts w:ascii="Century Gothic" w:hAnsi="Century Gothic" w:cs="Arial"/>
                <w:sz w:val="20"/>
                <w:szCs w:val="20"/>
              </w:rPr>
              <w:t>Menor a -15 dBm</w:t>
            </w:r>
          </w:p>
        </w:tc>
      </w:tr>
    </w:tbl>
    <w:p w:rsidR="00277ED2" w:rsidRPr="00611019" w:rsidRDefault="00E56462" w:rsidP="00035D2C">
      <w:pPr>
        <w:pStyle w:val="xxxPiedeCuadroconnombre"/>
        <w:ind w:start="0pt"/>
        <w:jc w:val="center"/>
        <w:rPr>
          <w:rFonts w:ascii="Century Gothic" w:hAnsi="Century Gothic"/>
          <w:szCs w:val="20"/>
        </w:rPr>
      </w:pPr>
      <w:r>
        <w:rPr>
          <w:rFonts w:ascii="Century Gothic" w:hAnsi="Century Gothic"/>
          <w:szCs w:val="20"/>
        </w:rPr>
        <w:t>Valores aceptables de potencia</w:t>
      </w:r>
    </w:p>
    <w:p w:rsidR="00750421" w:rsidRPr="00611019" w:rsidRDefault="00750421" w:rsidP="00035D2C">
      <w:pPr>
        <w:pStyle w:val="IFTnormal"/>
        <w:rPr>
          <w:rFonts w:ascii="Century Gothic" w:hAnsi="Century Gothic"/>
          <w:b/>
        </w:rPr>
      </w:pPr>
    </w:p>
    <w:p w:rsidR="00750421" w:rsidRPr="00611019" w:rsidRDefault="00E56462" w:rsidP="00035D2C">
      <w:pPr>
        <w:pStyle w:val="IFTnormal"/>
        <w:rPr>
          <w:rFonts w:ascii="Century Gothic" w:hAnsi="Century Gothic"/>
          <w:b/>
        </w:rPr>
      </w:pPr>
      <w:r>
        <w:rPr>
          <w:rFonts w:ascii="Century Gothic" w:hAnsi="Century Gothic"/>
          <w:b/>
        </w:rPr>
        <w:t xml:space="preserve">Sincronía (para SAIB en </w:t>
      </w:r>
      <w:r w:rsidR="00097306">
        <w:rPr>
          <w:rFonts w:ascii="Century Gothic" w:hAnsi="Century Gothic"/>
          <w:b/>
        </w:rPr>
        <w:t>x</w:t>
      </w:r>
      <w:r>
        <w:rPr>
          <w:rFonts w:ascii="Century Gothic" w:hAnsi="Century Gothic"/>
          <w:b/>
        </w:rPr>
        <w:t xml:space="preserve">PON): </w:t>
      </w:r>
    </w:p>
    <w:p w:rsidR="00277ED2" w:rsidRPr="00611019" w:rsidRDefault="00E56462" w:rsidP="00035D2C">
      <w:pPr>
        <w:spacing w:after="6pt"/>
        <w:jc w:val="both"/>
        <w:rPr>
          <w:rFonts w:ascii="Century Gothic" w:hAnsi="Century Gothic" w:cs="Arial"/>
        </w:rPr>
      </w:pPr>
      <w:r>
        <w:rPr>
          <w:rFonts w:ascii="Century Gothic" w:hAnsi="Century Gothic" w:cs="Arial"/>
        </w:rPr>
        <w:t>Se hará una prueba de sincronía entre la ONT y la OLT antes de la entrega del Servicio cuyos valores deberán encontrarse dentro de los umbrales de aceptación establecidos en esta sección. Estos valores servirán de referencia a efectos de continuidad de Servicio y reparación de fallas junto con los parámetros de aceptación de la prueba de provisión del pCAI en el servicio SCyD de acuerdo con la recomendación Y.1564 de la ITU-T.</w:t>
      </w:r>
    </w:p>
    <w:p w:rsidR="00277ED2" w:rsidRPr="00611019" w:rsidRDefault="00E56462" w:rsidP="00035D2C">
      <w:pPr>
        <w:pStyle w:val="Ttulo2"/>
        <w:spacing w:after="0pt"/>
        <w:rPr>
          <w:rFonts w:ascii="Century Gothic" w:hAnsi="Century Gothic"/>
        </w:rPr>
      </w:pPr>
      <w:bookmarkStart w:id="1219" w:name="_Toc436840902"/>
      <w:bookmarkStart w:id="1220" w:name="_Toc436846339"/>
      <w:bookmarkStart w:id="1221" w:name="_Toc436848289"/>
      <w:bookmarkStart w:id="1222" w:name="_Toc436856537"/>
      <w:bookmarkStart w:id="1223" w:name="_Toc436862683"/>
      <w:bookmarkStart w:id="1224" w:name="_Toc436866333"/>
      <w:bookmarkStart w:id="1225" w:name="_Toc436870912"/>
      <w:bookmarkStart w:id="1226" w:name="_Toc436875904"/>
      <w:bookmarkStart w:id="1227" w:name="_Toc467248717"/>
      <w:bookmarkStart w:id="1228" w:name="_Toc525904595"/>
      <w:bookmarkStart w:id="1229" w:name="_Toc525913991"/>
      <w:bookmarkStart w:id="1230" w:name="_Toc525919230"/>
      <w:bookmarkStart w:id="1231" w:name="_Toc525919354"/>
      <w:bookmarkStart w:id="1232" w:name="_Toc2957164"/>
      <w:bookmarkStart w:id="1233" w:name="_Toc24473460"/>
      <w:bookmarkStart w:id="1234" w:name="_Toc24477588"/>
      <w:bookmarkStart w:id="1235" w:name="_Toc26281397"/>
      <w:bookmarkStart w:id="1236" w:name="_Toc26284933"/>
      <w:bookmarkStart w:id="1237" w:name="_Toc26903918"/>
      <w:bookmarkStart w:id="1238" w:name="_Toc43913159"/>
      <w:bookmarkStart w:id="1239" w:name="_Toc26980642"/>
      <w:bookmarkStart w:id="1240" w:name="_Toc53498433"/>
      <w:bookmarkStart w:id="1241" w:name="_Toc53488493"/>
      <w:bookmarkStart w:id="1242" w:name="_Toc53490425"/>
      <w:bookmarkStart w:id="1243" w:name="_Toc58578790"/>
      <w:bookmarkStart w:id="1244" w:name="_Toc92974015"/>
      <w:bookmarkStart w:id="1245" w:name="_Toc93052326"/>
      <w:bookmarkStart w:id="1246" w:name="_Toc93056281"/>
      <w:bookmarkStart w:id="1247" w:name="_Toc125393350"/>
      <w:bookmarkStart w:id="1248" w:name="_Toc148702206"/>
      <w:bookmarkStart w:id="1249" w:name="_Toc170381831"/>
      <w:r>
        <w:rPr>
          <w:rFonts w:ascii="Century Gothic" w:hAnsi="Century Gothic"/>
        </w:rPr>
        <w:t>3.</w:t>
      </w:r>
      <w:r w:rsidR="000511F0">
        <w:rPr>
          <w:rFonts w:ascii="Century Gothic" w:hAnsi="Century Gothic"/>
        </w:rPr>
        <w:t>3</w:t>
      </w:r>
      <w:r>
        <w:rPr>
          <w:rFonts w:ascii="Century Gothic" w:hAnsi="Century Gothic"/>
        </w:rPr>
        <w:t xml:space="preserve"> Procedimiento de pruebas de entrega del SAIB</w:t>
      </w:r>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r>
        <w:rPr>
          <w:rFonts w:ascii="Century Gothic" w:hAnsi="Century Gothic"/>
        </w:rPr>
        <w:t>.</w:t>
      </w:r>
    </w:p>
    <w:p w:rsidR="00542C46" w:rsidRPr="00611019" w:rsidRDefault="00542C46" w:rsidP="00035D2C">
      <w:pPr>
        <w:rPr>
          <w:sz w:val="8"/>
        </w:rPr>
      </w:pPr>
    </w:p>
    <w:p w:rsidR="00277ED2" w:rsidRPr="00611019" w:rsidRDefault="00E56462" w:rsidP="00035D2C">
      <w:pPr>
        <w:pStyle w:val="IFTnormal"/>
        <w:rPr>
          <w:rFonts w:ascii="Century Gothic" w:hAnsi="Century Gothic"/>
        </w:rPr>
      </w:pPr>
      <w:r>
        <w:rPr>
          <w:rFonts w:ascii="Century Gothic" w:hAnsi="Century Gothic"/>
        </w:rPr>
        <w:t>Las pruebas de entrega deberán realizarse para comprobar la instalación y habilitación del SAIB de tal forma que el CS pueda proveer los servicios de telecomunicaciones especificados a sus Usuarios Finales.</w:t>
      </w:r>
    </w:p>
    <w:p w:rsidR="00277ED2" w:rsidRPr="00611019" w:rsidRDefault="00E56462" w:rsidP="00035D2C">
      <w:pPr>
        <w:pStyle w:val="IFTnormal"/>
        <w:spacing w:after="6pt"/>
        <w:rPr>
          <w:rFonts w:ascii="Century Gothic" w:hAnsi="Century Gothic"/>
        </w:rPr>
      </w:pPr>
      <w:r>
        <w:rPr>
          <w:rFonts w:ascii="Century Gothic" w:hAnsi="Century Gothic"/>
        </w:rPr>
        <w:t xml:space="preserve">La parte de la prueba de entrega correspondiente a la conexión al usuario de los Servicios cuyo medio de acceso sea el par de cobre se realiza mediante la medición de los parámetros de velocidad de sincronía entre el módem y el DSLAM y cuyos valores deberán encontrase dentro de los umbrales de aceptación establecidos en la sección 4.5 Parámetros e indicadores de calidad para SAIB. </w:t>
      </w:r>
    </w:p>
    <w:p w:rsidR="00277ED2" w:rsidRPr="00611019" w:rsidRDefault="00E56462" w:rsidP="00035D2C">
      <w:pPr>
        <w:jc w:val="both"/>
        <w:rPr>
          <w:rFonts w:ascii="Century Gothic" w:hAnsi="Century Gothic" w:cs="Arial"/>
        </w:rPr>
      </w:pPr>
      <w:r>
        <w:rPr>
          <w:rFonts w:ascii="Century Gothic" w:hAnsi="Century Gothic" w:cs="Arial"/>
        </w:rPr>
        <w:lastRenderedPageBreak/>
        <w:t>La parte de la prueba de entrega correspondiente a la conexión al usuario de los Servicios cuyo medio de acceso sea fibra óptica se realiza mediante la medición de los parámetros de velocidad de sincronización y potencia óptica cuyo valor deberá encontrarse dentro de los umbrales de aceptación establecidos en la sección 4.5 Parámetros e indicadores de calidad para SAIB.</w:t>
      </w:r>
    </w:p>
    <w:p w:rsidR="00D27AFC" w:rsidRPr="00611019" w:rsidRDefault="00D27AFC" w:rsidP="00035D2C">
      <w:pPr>
        <w:jc w:val="both"/>
        <w:rPr>
          <w:rFonts w:ascii="Century Gothic" w:hAnsi="Century Gothic" w:cs="Arial"/>
        </w:rPr>
      </w:pPr>
    </w:p>
    <w:p w:rsidR="00277ED2" w:rsidRPr="00611019" w:rsidRDefault="00E56462" w:rsidP="00035D2C">
      <w:pPr>
        <w:jc w:val="both"/>
        <w:rPr>
          <w:rFonts w:ascii="Century Gothic" w:hAnsi="Century Gothic" w:cs="Arial"/>
          <w:b/>
        </w:rPr>
      </w:pPr>
      <w:r>
        <w:rPr>
          <w:rFonts w:ascii="Century Gothic" w:hAnsi="Century Gothic" w:cs="Arial"/>
          <w:b/>
        </w:rPr>
        <w:t>Metodología.</w:t>
      </w:r>
    </w:p>
    <w:p w:rsidR="00542C46" w:rsidRPr="00611019" w:rsidRDefault="00542C46" w:rsidP="00035D2C">
      <w:pPr>
        <w:jc w:val="both"/>
        <w:rPr>
          <w:rFonts w:ascii="Century Gothic" w:hAnsi="Century Gothic" w:cs="Arial"/>
          <w:sz w:val="8"/>
        </w:rPr>
      </w:pPr>
    </w:p>
    <w:p w:rsidR="00277ED2" w:rsidRPr="00611019" w:rsidRDefault="00E56462" w:rsidP="00035D2C">
      <w:pPr>
        <w:jc w:val="both"/>
        <w:rPr>
          <w:rFonts w:ascii="Century Gothic" w:hAnsi="Century Gothic" w:cs="Arial"/>
        </w:rPr>
      </w:pPr>
      <w:r>
        <w:rPr>
          <w:rFonts w:ascii="Century Gothic" w:hAnsi="Century Gothic" w:cs="Arial"/>
        </w:rPr>
        <w:t>Para el caso de Acceso Indirecto al Bucle se tienen 2 escenarios según el medio de transmisión:</w:t>
      </w:r>
    </w:p>
    <w:p w:rsidR="00D27AFC" w:rsidRPr="00611019" w:rsidRDefault="00D27AFC" w:rsidP="00035D2C">
      <w:pPr>
        <w:jc w:val="both"/>
        <w:rPr>
          <w:rFonts w:ascii="Century Gothic" w:hAnsi="Century Gothic" w:cs="Arial"/>
        </w:rPr>
      </w:pPr>
    </w:p>
    <w:p w:rsidR="00277ED2" w:rsidRPr="00611019" w:rsidRDefault="00E56462" w:rsidP="00035D2C">
      <w:pPr>
        <w:spacing w:after="6pt"/>
        <w:ind w:start="21.30pt" w:hanging="18pt"/>
        <w:jc w:val="both"/>
        <w:rPr>
          <w:rFonts w:ascii="Century Gothic" w:hAnsi="Century Gothic" w:cs="Arial"/>
        </w:rPr>
      </w:pPr>
      <w:r>
        <w:rPr>
          <w:rFonts w:ascii="Century Gothic" w:eastAsia="Calibri" w:hAnsi="Century Gothic" w:cs="Arial"/>
        </w:rPr>
        <w:t>a)</w:t>
      </w:r>
      <w:r>
        <w:rPr>
          <w:rFonts w:ascii="Century Gothic" w:eastAsia="Calibri" w:hAnsi="Century Gothic" w:cs="Arial"/>
        </w:rPr>
        <w:tab/>
      </w:r>
      <w:r>
        <w:rPr>
          <w:rFonts w:ascii="Century Gothic" w:hAnsi="Century Gothic" w:cs="Arial"/>
        </w:rPr>
        <w:t>En el caso que el medio de acceso sea cobre se valida la sincronía xDSL mediante el indicador led del equipo de medición y la medición de los parámetros de velocidades de subida y bajada.</w:t>
      </w:r>
    </w:p>
    <w:p w:rsidR="00277ED2" w:rsidRPr="00611019" w:rsidRDefault="00E56462" w:rsidP="00035D2C">
      <w:pPr>
        <w:pStyle w:val="Textoindependiente"/>
        <w:rPr>
          <w:rFonts w:ascii="Century Gothic" w:hAnsi="Century Gothic" w:cs="Arial"/>
        </w:rPr>
      </w:pPr>
      <w:r>
        <w:rPr>
          <w:rFonts w:ascii="Century Gothic" w:hAnsi="Century Gothic" w:cs="Arial"/>
        </w:rPr>
        <w:t>Cobre</w:t>
      </w:r>
    </w:p>
    <w:tbl>
      <w:tblPr>
        <w:tblW w:w="0pt" w:type="dxa"/>
        <w:jc w:val="cente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0"/>
      </w:tblPr>
      <w:tblGrid>
        <w:gridCol w:w="2080"/>
        <w:gridCol w:w="2163"/>
        <w:gridCol w:w="1529"/>
        <w:gridCol w:w="1529"/>
        <w:gridCol w:w="1529"/>
      </w:tblGrid>
      <w:tr w:rsidR="0061711D" w:rsidTr="00223141">
        <w:trPr>
          <w:jc w:val="center"/>
        </w:trPr>
        <w:tc>
          <w:tcPr>
            <w:tcW w:w="104pt" w:type="dxa"/>
            <w:shd w:val="clear" w:color="auto" w:fill="009AD9"/>
            <w:vAlign w:val="center"/>
          </w:tcPr>
          <w:p w:rsidR="00277ED2" w:rsidRPr="00611019" w:rsidRDefault="00E56462" w:rsidP="00035D2C">
            <w:pPr>
              <w:pStyle w:val="IFTnormal"/>
              <w:spacing w:before="2pt" w:after="2pt"/>
              <w:rPr>
                <w:rFonts w:ascii="Century Gothic" w:hAnsi="Century Gothic"/>
                <w:b/>
                <w:color w:val="FFFFFF" w:themeColor="background1"/>
                <w:sz w:val="20"/>
                <w:szCs w:val="20"/>
              </w:rPr>
            </w:pPr>
            <w:r>
              <w:rPr>
                <w:rFonts w:ascii="Century Gothic" w:hAnsi="Century Gothic"/>
                <w:b/>
                <w:color w:val="FFFFFF" w:themeColor="background1"/>
                <w:sz w:val="20"/>
                <w:szCs w:val="20"/>
              </w:rPr>
              <w:t>Orden de Servicio</w:t>
            </w:r>
          </w:p>
        </w:tc>
        <w:tc>
          <w:tcPr>
            <w:tcW w:w="108.15pt" w:type="dxa"/>
            <w:shd w:val="clear" w:color="auto" w:fill="009AD9"/>
            <w:vAlign w:val="center"/>
          </w:tcPr>
          <w:p w:rsidR="00277ED2" w:rsidRPr="00611019" w:rsidRDefault="00E56462" w:rsidP="00035D2C">
            <w:pPr>
              <w:pStyle w:val="IFTnormal"/>
              <w:spacing w:before="2pt" w:after="2pt"/>
              <w:rPr>
                <w:rFonts w:ascii="Century Gothic" w:hAnsi="Century Gothic"/>
                <w:b/>
                <w:color w:val="FFFFFF" w:themeColor="background1"/>
                <w:sz w:val="20"/>
                <w:szCs w:val="20"/>
              </w:rPr>
            </w:pPr>
            <w:r>
              <w:rPr>
                <w:rFonts w:ascii="Century Gothic" w:hAnsi="Century Gothic"/>
                <w:b/>
                <w:color w:val="FFFFFF" w:themeColor="background1"/>
                <w:sz w:val="20"/>
                <w:szCs w:val="20"/>
              </w:rPr>
              <w:t>ID SIPO</w:t>
            </w:r>
          </w:p>
        </w:tc>
        <w:tc>
          <w:tcPr>
            <w:tcW w:w="76.45pt" w:type="dxa"/>
            <w:shd w:val="clear" w:color="auto" w:fill="009AD9"/>
            <w:vAlign w:val="center"/>
          </w:tcPr>
          <w:p w:rsidR="00277ED2" w:rsidRPr="00611019" w:rsidRDefault="00E56462" w:rsidP="00035D2C">
            <w:pPr>
              <w:pStyle w:val="IFTnormal"/>
              <w:spacing w:before="2pt" w:after="2pt"/>
              <w:rPr>
                <w:rFonts w:ascii="Century Gothic" w:hAnsi="Century Gothic"/>
                <w:b/>
                <w:color w:val="FFFFFF" w:themeColor="background1"/>
                <w:sz w:val="20"/>
                <w:szCs w:val="20"/>
              </w:rPr>
            </w:pPr>
            <w:r>
              <w:rPr>
                <w:rFonts w:ascii="Century Gothic" w:hAnsi="Century Gothic"/>
                <w:b/>
                <w:color w:val="FFFFFF" w:themeColor="background1"/>
                <w:sz w:val="20"/>
                <w:szCs w:val="20"/>
              </w:rPr>
              <w:t>V Subida</w:t>
            </w:r>
          </w:p>
        </w:tc>
        <w:tc>
          <w:tcPr>
            <w:tcW w:w="76.45pt" w:type="dxa"/>
            <w:shd w:val="clear" w:color="auto" w:fill="009AD9"/>
            <w:vAlign w:val="center"/>
          </w:tcPr>
          <w:p w:rsidR="00277ED2" w:rsidRPr="00611019" w:rsidRDefault="00E56462" w:rsidP="00035D2C">
            <w:pPr>
              <w:pStyle w:val="IFTnormal"/>
              <w:spacing w:before="2pt" w:after="2pt"/>
              <w:rPr>
                <w:rFonts w:ascii="Century Gothic" w:hAnsi="Century Gothic"/>
                <w:b/>
                <w:color w:val="FFFFFF" w:themeColor="background1"/>
                <w:sz w:val="20"/>
                <w:szCs w:val="20"/>
              </w:rPr>
            </w:pPr>
            <w:r>
              <w:rPr>
                <w:rFonts w:ascii="Century Gothic" w:hAnsi="Century Gothic"/>
                <w:b/>
                <w:color w:val="FFFFFF" w:themeColor="background1"/>
                <w:sz w:val="20"/>
                <w:szCs w:val="20"/>
              </w:rPr>
              <w:t>V Bajada</w:t>
            </w:r>
          </w:p>
        </w:tc>
        <w:tc>
          <w:tcPr>
            <w:tcW w:w="76.45pt" w:type="dxa"/>
            <w:shd w:val="clear" w:color="auto" w:fill="009AD9"/>
            <w:vAlign w:val="center"/>
          </w:tcPr>
          <w:p w:rsidR="00277ED2" w:rsidRPr="00611019" w:rsidRDefault="00E56462" w:rsidP="00035D2C">
            <w:pPr>
              <w:pStyle w:val="IFTnormal"/>
              <w:spacing w:before="2pt" w:after="2pt"/>
              <w:rPr>
                <w:rFonts w:ascii="Century Gothic" w:hAnsi="Century Gothic"/>
                <w:b/>
                <w:color w:val="FFFFFF" w:themeColor="background1"/>
                <w:sz w:val="20"/>
                <w:szCs w:val="20"/>
              </w:rPr>
            </w:pPr>
            <w:r>
              <w:rPr>
                <w:rFonts w:ascii="Century Gothic" w:hAnsi="Century Gothic"/>
                <w:b/>
                <w:color w:val="FFFFFF" w:themeColor="background1"/>
                <w:sz w:val="20"/>
                <w:szCs w:val="20"/>
              </w:rPr>
              <w:t>Unidad</w:t>
            </w:r>
          </w:p>
        </w:tc>
      </w:tr>
      <w:tr w:rsidR="0061711D" w:rsidTr="00277ED2">
        <w:trPr>
          <w:trHeight w:val="275"/>
          <w:jc w:val="center"/>
        </w:trPr>
        <w:tc>
          <w:tcPr>
            <w:tcW w:w="104pt" w:type="dxa"/>
            <w:vAlign w:val="center"/>
          </w:tcPr>
          <w:p w:rsidR="00277ED2" w:rsidRPr="00611019" w:rsidRDefault="00E56462" w:rsidP="00035D2C">
            <w:pPr>
              <w:spacing w:before="2pt" w:after="2pt"/>
              <w:jc w:val="center"/>
              <w:rPr>
                <w:rFonts w:ascii="Century Gothic" w:hAnsi="Century Gothic" w:cs="Arial"/>
                <w:sz w:val="20"/>
                <w:szCs w:val="20"/>
              </w:rPr>
            </w:pPr>
            <w:r>
              <w:rPr>
                <w:rFonts w:ascii="Century Gothic" w:hAnsi="Century Gothic" w:cs="Arial"/>
                <w:sz w:val="20"/>
                <w:szCs w:val="20"/>
              </w:rPr>
              <w:t>50534304</w:t>
            </w:r>
          </w:p>
        </w:tc>
        <w:tc>
          <w:tcPr>
            <w:tcW w:w="108.15pt" w:type="dxa"/>
            <w:vAlign w:val="center"/>
          </w:tcPr>
          <w:p w:rsidR="00277ED2" w:rsidRPr="00611019" w:rsidRDefault="00E56462" w:rsidP="00035D2C">
            <w:pPr>
              <w:spacing w:before="2pt" w:after="2pt"/>
              <w:jc w:val="center"/>
              <w:rPr>
                <w:rFonts w:ascii="Century Gothic" w:hAnsi="Century Gothic" w:cs="Arial"/>
                <w:sz w:val="20"/>
                <w:szCs w:val="20"/>
              </w:rPr>
            </w:pPr>
            <w:r>
              <w:rPr>
                <w:rFonts w:ascii="Century Gothic" w:hAnsi="Century Gothic" w:cs="Arial"/>
                <w:sz w:val="20"/>
                <w:szCs w:val="20"/>
              </w:rPr>
              <w:t>3111814654</w:t>
            </w:r>
          </w:p>
        </w:tc>
        <w:tc>
          <w:tcPr>
            <w:tcW w:w="76.45pt" w:type="dxa"/>
            <w:vAlign w:val="center"/>
          </w:tcPr>
          <w:p w:rsidR="00277ED2" w:rsidRPr="00611019" w:rsidRDefault="00E56462" w:rsidP="00035D2C">
            <w:pPr>
              <w:spacing w:before="2pt" w:after="2pt"/>
              <w:jc w:val="center"/>
              <w:rPr>
                <w:rFonts w:ascii="Century Gothic" w:hAnsi="Century Gothic" w:cs="Arial"/>
                <w:sz w:val="20"/>
                <w:szCs w:val="20"/>
              </w:rPr>
            </w:pPr>
            <w:r>
              <w:rPr>
                <w:rFonts w:ascii="Century Gothic" w:hAnsi="Century Gothic" w:cs="Arial"/>
                <w:sz w:val="20"/>
                <w:szCs w:val="20"/>
              </w:rPr>
              <w:t>460</w:t>
            </w:r>
          </w:p>
        </w:tc>
        <w:tc>
          <w:tcPr>
            <w:tcW w:w="76.45pt" w:type="dxa"/>
            <w:vAlign w:val="center"/>
          </w:tcPr>
          <w:p w:rsidR="00277ED2" w:rsidRPr="00611019" w:rsidRDefault="00E56462" w:rsidP="00035D2C">
            <w:pPr>
              <w:spacing w:before="2pt" w:after="2pt"/>
              <w:jc w:val="center"/>
              <w:rPr>
                <w:rFonts w:ascii="Century Gothic" w:hAnsi="Century Gothic" w:cs="Arial"/>
                <w:sz w:val="20"/>
                <w:szCs w:val="20"/>
              </w:rPr>
            </w:pPr>
            <w:r>
              <w:rPr>
                <w:rFonts w:ascii="Century Gothic" w:hAnsi="Century Gothic" w:cs="Arial"/>
                <w:sz w:val="20"/>
                <w:szCs w:val="20"/>
              </w:rPr>
              <w:t>16832</w:t>
            </w:r>
          </w:p>
        </w:tc>
        <w:tc>
          <w:tcPr>
            <w:tcW w:w="76.45pt" w:type="dxa"/>
            <w:vAlign w:val="center"/>
          </w:tcPr>
          <w:p w:rsidR="00277ED2" w:rsidRPr="00611019" w:rsidRDefault="00E56462" w:rsidP="00035D2C">
            <w:pPr>
              <w:spacing w:before="2pt" w:after="2pt"/>
              <w:jc w:val="center"/>
              <w:rPr>
                <w:rFonts w:ascii="Century Gothic" w:hAnsi="Century Gothic" w:cs="Arial"/>
                <w:sz w:val="20"/>
                <w:szCs w:val="20"/>
              </w:rPr>
            </w:pPr>
            <w:r>
              <w:rPr>
                <w:rFonts w:ascii="Century Gothic" w:hAnsi="Century Gothic" w:cs="Arial"/>
                <w:sz w:val="20"/>
                <w:szCs w:val="20"/>
              </w:rPr>
              <w:t>Kbps</w:t>
            </w:r>
          </w:p>
        </w:tc>
      </w:tr>
    </w:tbl>
    <w:p w:rsidR="00277ED2" w:rsidRPr="00611019" w:rsidRDefault="00E56462" w:rsidP="00035D2C">
      <w:pPr>
        <w:pStyle w:val="xxxPiedeCuadroconnombre"/>
        <w:spacing w:before="0pt" w:after="6pt"/>
        <w:jc w:val="center"/>
        <w:rPr>
          <w:rFonts w:ascii="Century Gothic" w:hAnsi="Century Gothic"/>
          <w:b w:val="0"/>
          <w:szCs w:val="20"/>
        </w:rPr>
      </w:pPr>
      <w:r>
        <w:rPr>
          <w:rFonts w:ascii="Century Gothic" w:hAnsi="Century Gothic"/>
          <w:szCs w:val="20"/>
        </w:rPr>
        <w:t>Ejemplo de parámetros para el servicio de datos en cobre</w:t>
      </w:r>
    </w:p>
    <w:p w:rsidR="00277ED2" w:rsidRPr="00611019" w:rsidRDefault="00E56462" w:rsidP="00035D2C">
      <w:pPr>
        <w:jc w:val="both"/>
        <w:rPr>
          <w:rFonts w:ascii="Century Gothic" w:hAnsi="Century Gothic" w:cs="Arial"/>
        </w:rPr>
      </w:pPr>
      <w:r>
        <w:rPr>
          <w:rFonts w:ascii="Century Gothic" w:hAnsi="Century Gothic" w:cs="Arial"/>
        </w:rPr>
        <w:t xml:space="preserve">En caso de que la prueba remota de datos sobre cobre no pueda ejecutarse, el técnico realiza mediciones en el domicilio del </w:t>
      </w:r>
      <w:r>
        <w:rPr>
          <w:rFonts w:ascii="Century Gothic" w:hAnsi="Century Gothic"/>
        </w:rPr>
        <w:t>Usuario Final</w:t>
      </w:r>
      <w:r>
        <w:rPr>
          <w:rFonts w:ascii="Century Gothic" w:hAnsi="Century Gothic" w:cs="Arial"/>
        </w:rPr>
        <w:t xml:space="preserve"> (PCT) con los equipos de medición empleados por </w:t>
      </w:r>
      <w:r>
        <w:rPr>
          <w:rFonts w:ascii="Century Gothic" w:hAnsi="Century Gothic"/>
        </w:rPr>
        <w:t>RED NACIONAL</w:t>
      </w:r>
      <w:r>
        <w:rPr>
          <w:rFonts w:ascii="Century Gothic" w:hAnsi="Century Gothic" w:cs="Arial"/>
        </w:rPr>
        <w:t xml:space="preserve"> a fin de consultar velocidades de subida y bajada cuando el medio de transmisión es cobre, de conformidad con la tabla de parámetros eléctricos. </w:t>
      </w:r>
    </w:p>
    <w:p w:rsidR="00750421" w:rsidRPr="00611019" w:rsidRDefault="00750421" w:rsidP="00035D2C">
      <w:pPr>
        <w:jc w:val="both"/>
        <w:rPr>
          <w:rFonts w:ascii="Century Gothic" w:hAnsi="Century Gothic" w:cs="Arial"/>
        </w:rPr>
      </w:pPr>
    </w:p>
    <w:p w:rsidR="00225543" w:rsidRPr="00611019" w:rsidRDefault="00E56462" w:rsidP="00035D2C">
      <w:pPr>
        <w:ind w:start="14.20pt" w:hanging="14.15pt"/>
        <w:jc w:val="both"/>
        <w:rPr>
          <w:rFonts w:ascii="Century Gothic" w:hAnsi="Century Gothic" w:cs="Arial"/>
        </w:rPr>
      </w:pPr>
      <w:r>
        <w:rPr>
          <w:rFonts w:ascii="Century Gothic" w:eastAsia="Calibri" w:hAnsi="Century Gothic" w:cs="Arial"/>
        </w:rPr>
        <w:t>b)</w:t>
      </w:r>
      <w:r>
        <w:rPr>
          <w:rFonts w:ascii="Century Gothic" w:eastAsia="Calibri" w:hAnsi="Century Gothic" w:cs="Arial"/>
        </w:rPr>
        <w:tab/>
      </w:r>
      <w:r>
        <w:rPr>
          <w:rFonts w:ascii="Century Gothic" w:hAnsi="Century Gothic" w:cs="Arial"/>
        </w:rPr>
        <w:t xml:space="preserve">Para el caso de que el medio de transmisión sea por fibra óptica se mide la potencia óptica de recepción. </w:t>
      </w:r>
    </w:p>
    <w:p w:rsidR="00D27AFC" w:rsidRPr="00611019" w:rsidRDefault="00D27AFC" w:rsidP="00035D2C">
      <w:pPr>
        <w:ind w:start="14.20pt" w:hanging="14.15pt"/>
        <w:jc w:val="both"/>
        <w:rPr>
          <w:rFonts w:ascii="Century Gothic" w:hAnsi="Century Gothic" w:cs="Arial"/>
        </w:rPr>
      </w:pPr>
    </w:p>
    <w:p w:rsidR="00277ED2" w:rsidRPr="00611019" w:rsidRDefault="00E56462" w:rsidP="00035D2C">
      <w:pPr>
        <w:spacing w:after="6pt"/>
        <w:jc w:val="both"/>
        <w:rPr>
          <w:rFonts w:ascii="Century Gothic" w:hAnsi="Century Gothic" w:cs="Arial"/>
        </w:rPr>
      </w:pPr>
      <w:r>
        <w:rPr>
          <w:rFonts w:ascii="Century Gothic" w:hAnsi="Century Gothic" w:cs="Arial"/>
        </w:rPr>
        <w:t xml:space="preserve">Para el caso de fibra óptica si la prueba remota no puede ejecutarse, el técnico desconectará la ONT del PCT y con el equipo de medición de potencia óptica empleado en </w:t>
      </w:r>
      <w:r>
        <w:rPr>
          <w:rFonts w:ascii="Century Gothic" w:hAnsi="Century Gothic" w:cs="Arial"/>
          <w:spacing w:val="-3"/>
        </w:rPr>
        <w:t>RED NACIONAL</w:t>
      </w:r>
      <w:r>
        <w:rPr>
          <w:rFonts w:ascii="Century Gothic" w:hAnsi="Century Gothic" w:cs="Arial"/>
        </w:rPr>
        <w:t xml:space="preserve"> registrará la potencia de recepción en el PCT la cual deberá estar en el rango de -15 a -27 dBm. Este parámetro está basado en el estándar G.984.2 de la UIT-T y considera una prueba funcional entre la OLT y el PCT en el equipo de medición.</w:t>
      </w:r>
    </w:p>
    <w:p w:rsidR="00277ED2" w:rsidRPr="00611019" w:rsidRDefault="00E56462" w:rsidP="00035D2C">
      <w:pPr>
        <w:spacing w:after="6pt"/>
        <w:jc w:val="both"/>
        <w:rPr>
          <w:rFonts w:ascii="Century Gothic" w:hAnsi="Century Gothic" w:cs="Arial"/>
        </w:rPr>
      </w:pPr>
      <w:r>
        <w:rPr>
          <w:rFonts w:ascii="Century Gothic" w:hAnsi="Century Gothic" w:cs="Arial"/>
        </w:rPr>
        <w:t>Una vez asegurados los parámetros correctos, en automático se reportarán los resultados de las pruebas para el servicio de datos en el SEG/SIPO, para que el CS pueda consultarlos.</w:t>
      </w:r>
    </w:p>
    <w:p w:rsidR="009D73DF" w:rsidRPr="00611019" w:rsidRDefault="00E56462" w:rsidP="00035D2C">
      <w:pPr>
        <w:pStyle w:val="Textoindependiente"/>
        <w:rPr>
          <w:rFonts w:ascii="Century Gothic" w:hAnsi="Century Gothic" w:cs="Arial"/>
        </w:rPr>
      </w:pPr>
      <w:r>
        <w:rPr>
          <w:rFonts w:ascii="Century Gothic" w:hAnsi="Century Gothic" w:cs="Arial"/>
        </w:rPr>
        <w:t>Fibra Óptica</w:t>
      </w:r>
    </w:p>
    <w:tbl>
      <w:tblPr>
        <w:tblpPr w:leftFromText="141" w:rightFromText="141" w:vertAnchor="text" w:horzAnchor="page" w:tblpX="2773" w:tblpY="-5"/>
        <w:tblW w:w="0pt" w:type="dxa"/>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0"/>
      </w:tblPr>
      <w:tblGrid>
        <w:gridCol w:w="2080"/>
        <w:gridCol w:w="2163"/>
        <w:gridCol w:w="1529"/>
        <w:gridCol w:w="1529"/>
      </w:tblGrid>
      <w:tr w:rsidR="0061711D" w:rsidTr="00223141">
        <w:tc>
          <w:tcPr>
            <w:tcW w:w="104pt" w:type="dxa"/>
            <w:shd w:val="clear" w:color="auto" w:fill="009AD9"/>
            <w:vAlign w:val="center"/>
          </w:tcPr>
          <w:p w:rsidR="00277ED2" w:rsidRPr="00611019" w:rsidRDefault="00E56462" w:rsidP="00035D2C">
            <w:pPr>
              <w:pStyle w:val="IFTnormal"/>
              <w:spacing w:before="2pt" w:after="2pt"/>
              <w:rPr>
                <w:rFonts w:ascii="Century Gothic" w:hAnsi="Century Gothic"/>
                <w:b/>
                <w:color w:val="FFFFFF" w:themeColor="background1"/>
                <w:sz w:val="20"/>
                <w:szCs w:val="20"/>
              </w:rPr>
            </w:pPr>
            <w:r>
              <w:rPr>
                <w:rFonts w:ascii="Century Gothic" w:hAnsi="Century Gothic"/>
                <w:b/>
                <w:color w:val="FFFFFF" w:themeColor="background1"/>
                <w:sz w:val="20"/>
                <w:szCs w:val="20"/>
              </w:rPr>
              <w:t>Orden de Servicio</w:t>
            </w:r>
          </w:p>
        </w:tc>
        <w:tc>
          <w:tcPr>
            <w:tcW w:w="108.15pt" w:type="dxa"/>
            <w:shd w:val="clear" w:color="auto" w:fill="009AD9"/>
            <w:vAlign w:val="center"/>
          </w:tcPr>
          <w:p w:rsidR="00277ED2" w:rsidRPr="00611019" w:rsidRDefault="00E56462" w:rsidP="00035D2C">
            <w:pPr>
              <w:pStyle w:val="IFTnormal"/>
              <w:spacing w:before="2pt" w:after="2pt"/>
              <w:rPr>
                <w:rFonts w:ascii="Century Gothic" w:hAnsi="Century Gothic"/>
                <w:b/>
                <w:color w:val="FFFFFF" w:themeColor="background1"/>
                <w:sz w:val="20"/>
                <w:szCs w:val="20"/>
              </w:rPr>
            </w:pPr>
            <w:r>
              <w:rPr>
                <w:rFonts w:ascii="Century Gothic" w:hAnsi="Century Gothic"/>
                <w:b/>
                <w:color w:val="FFFFFF" w:themeColor="background1"/>
                <w:sz w:val="20"/>
                <w:szCs w:val="20"/>
              </w:rPr>
              <w:t>ID SIPO</w:t>
            </w:r>
          </w:p>
        </w:tc>
        <w:tc>
          <w:tcPr>
            <w:tcW w:w="76.45pt" w:type="dxa"/>
            <w:shd w:val="clear" w:color="auto" w:fill="009AD9"/>
            <w:vAlign w:val="center"/>
          </w:tcPr>
          <w:p w:rsidR="00277ED2" w:rsidRPr="00611019" w:rsidRDefault="00E56462" w:rsidP="00035D2C">
            <w:pPr>
              <w:pStyle w:val="IFTnormal"/>
              <w:spacing w:before="2pt" w:after="2pt"/>
              <w:rPr>
                <w:rFonts w:ascii="Century Gothic" w:hAnsi="Century Gothic"/>
                <w:b/>
                <w:color w:val="FFFFFF" w:themeColor="background1"/>
                <w:sz w:val="20"/>
                <w:szCs w:val="20"/>
              </w:rPr>
            </w:pPr>
            <w:r>
              <w:rPr>
                <w:rFonts w:ascii="Century Gothic" w:hAnsi="Century Gothic"/>
                <w:b/>
                <w:color w:val="FFFFFF" w:themeColor="background1"/>
                <w:sz w:val="20"/>
                <w:szCs w:val="20"/>
              </w:rPr>
              <w:t>Potencia</w:t>
            </w:r>
          </w:p>
        </w:tc>
        <w:tc>
          <w:tcPr>
            <w:tcW w:w="76.45pt" w:type="dxa"/>
            <w:shd w:val="clear" w:color="auto" w:fill="009AD9"/>
            <w:vAlign w:val="center"/>
          </w:tcPr>
          <w:p w:rsidR="00277ED2" w:rsidRPr="00611019" w:rsidRDefault="00E56462" w:rsidP="00035D2C">
            <w:pPr>
              <w:pStyle w:val="IFTnormal"/>
              <w:spacing w:before="2pt" w:after="2pt"/>
              <w:rPr>
                <w:rFonts w:ascii="Century Gothic" w:hAnsi="Century Gothic"/>
                <w:b/>
                <w:color w:val="FFFFFF" w:themeColor="background1"/>
                <w:sz w:val="20"/>
                <w:szCs w:val="20"/>
              </w:rPr>
            </w:pPr>
            <w:r>
              <w:rPr>
                <w:rFonts w:ascii="Century Gothic" w:hAnsi="Century Gothic"/>
                <w:b/>
                <w:color w:val="FFFFFF" w:themeColor="background1"/>
                <w:sz w:val="20"/>
                <w:szCs w:val="20"/>
              </w:rPr>
              <w:t>Unidad</w:t>
            </w:r>
          </w:p>
        </w:tc>
      </w:tr>
      <w:tr w:rsidR="0061711D" w:rsidTr="00277ED2">
        <w:trPr>
          <w:trHeight w:val="275"/>
        </w:trPr>
        <w:tc>
          <w:tcPr>
            <w:tcW w:w="104pt" w:type="dxa"/>
            <w:vAlign w:val="center"/>
          </w:tcPr>
          <w:p w:rsidR="00277ED2" w:rsidRPr="00611019" w:rsidRDefault="00E56462" w:rsidP="00035D2C">
            <w:pPr>
              <w:spacing w:before="2pt" w:after="2pt"/>
              <w:jc w:val="both"/>
              <w:rPr>
                <w:rFonts w:ascii="Century Gothic" w:hAnsi="Century Gothic" w:cs="Arial"/>
                <w:sz w:val="20"/>
                <w:szCs w:val="20"/>
              </w:rPr>
            </w:pPr>
            <w:r>
              <w:rPr>
                <w:rFonts w:ascii="Century Gothic" w:hAnsi="Century Gothic" w:cs="Arial"/>
                <w:sz w:val="20"/>
                <w:szCs w:val="20"/>
              </w:rPr>
              <w:t>47309889</w:t>
            </w:r>
          </w:p>
        </w:tc>
        <w:tc>
          <w:tcPr>
            <w:tcW w:w="108.15pt" w:type="dxa"/>
            <w:vAlign w:val="center"/>
          </w:tcPr>
          <w:p w:rsidR="00277ED2" w:rsidRPr="00611019" w:rsidRDefault="00E56462" w:rsidP="00035D2C">
            <w:pPr>
              <w:spacing w:before="2pt" w:after="2pt"/>
              <w:jc w:val="both"/>
              <w:rPr>
                <w:rFonts w:ascii="Century Gothic" w:hAnsi="Century Gothic" w:cs="Arial"/>
                <w:sz w:val="20"/>
                <w:szCs w:val="20"/>
              </w:rPr>
            </w:pPr>
            <w:r>
              <w:rPr>
                <w:rFonts w:ascii="Century Gothic" w:hAnsi="Century Gothic" w:cs="Arial"/>
                <w:sz w:val="20"/>
                <w:szCs w:val="20"/>
              </w:rPr>
              <w:t>5559203297</w:t>
            </w:r>
          </w:p>
        </w:tc>
        <w:tc>
          <w:tcPr>
            <w:tcW w:w="76.45pt" w:type="dxa"/>
            <w:vAlign w:val="center"/>
          </w:tcPr>
          <w:p w:rsidR="00277ED2" w:rsidRPr="00611019" w:rsidRDefault="00E56462" w:rsidP="00035D2C">
            <w:pPr>
              <w:spacing w:before="2pt" w:after="2pt"/>
              <w:jc w:val="both"/>
              <w:rPr>
                <w:rFonts w:ascii="Century Gothic" w:hAnsi="Century Gothic" w:cs="Arial"/>
                <w:sz w:val="20"/>
                <w:szCs w:val="20"/>
              </w:rPr>
            </w:pPr>
            <w:r>
              <w:rPr>
                <w:rFonts w:ascii="Century Gothic" w:hAnsi="Century Gothic" w:cs="Arial"/>
                <w:sz w:val="20"/>
                <w:szCs w:val="20"/>
              </w:rPr>
              <w:t>-18.1</w:t>
            </w:r>
          </w:p>
        </w:tc>
        <w:tc>
          <w:tcPr>
            <w:tcW w:w="76.45pt" w:type="dxa"/>
            <w:vAlign w:val="center"/>
          </w:tcPr>
          <w:p w:rsidR="00277ED2" w:rsidRPr="00611019" w:rsidRDefault="00E56462" w:rsidP="00035D2C">
            <w:pPr>
              <w:spacing w:before="2pt" w:after="2pt"/>
              <w:jc w:val="both"/>
              <w:rPr>
                <w:rFonts w:ascii="Century Gothic" w:hAnsi="Century Gothic" w:cs="Arial"/>
                <w:sz w:val="20"/>
                <w:szCs w:val="20"/>
              </w:rPr>
            </w:pPr>
            <w:r>
              <w:rPr>
                <w:rFonts w:ascii="Century Gothic" w:hAnsi="Century Gothic" w:cs="Arial"/>
                <w:sz w:val="20"/>
                <w:szCs w:val="20"/>
              </w:rPr>
              <w:t>dBm</w:t>
            </w:r>
          </w:p>
        </w:tc>
      </w:tr>
    </w:tbl>
    <w:p w:rsidR="00277ED2" w:rsidRPr="00611019" w:rsidRDefault="00277ED2" w:rsidP="00035D2C">
      <w:pPr>
        <w:spacing w:after="10pt"/>
        <w:jc w:val="center"/>
        <w:rPr>
          <w:rFonts w:ascii="Century Gothic" w:hAnsi="Century Gothic" w:cs="Arial"/>
        </w:rPr>
      </w:pPr>
    </w:p>
    <w:p w:rsidR="00277ED2" w:rsidRPr="00611019" w:rsidRDefault="00277ED2" w:rsidP="00035D2C">
      <w:pPr>
        <w:spacing w:after="6pt"/>
        <w:rPr>
          <w:rFonts w:ascii="Century Gothic" w:hAnsi="Century Gothic" w:cs="Arial"/>
        </w:rPr>
      </w:pPr>
    </w:p>
    <w:p w:rsidR="00277ED2" w:rsidRDefault="00E56462" w:rsidP="00035D2C">
      <w:pPr>
        <w:pStyle w:val="xxxPiedeCuadroconnombre"/>
        <w:spacing w:before="0pt" w:after="6pt"/>
        <w:ind w:start="35.50pt" w:firstLine="21.20pt"/>
        <w:jc w:val="center"/>
        <w:rPr>
          <w:rFonts w:ascii="Century Gothic" w:hAnsi="Century Gothic"/>
          <w:szCs w:val="20"/>
        </w:rPr>
      </w:pPr>
      <w:r>
        <w:rPr>
          <w:rFonts w:ascii="Century Gothic" w:hAnsi="Century Gothic"/>
          <w:szCs w:val="20"/>
        </w:rPr>
        <w:lastRenderedPageBreak/>
        <w:t>Ejemplo de parámetros para el servicio de datos en fibra</w:t>
      </w:r>
      <w:bookmarkStart w:id="1250" w:name="_Toc436840903"/>
      <w:bookmarkStart w:id="1251" w:name="_Toc436846340"/>
      <w:bookmarkStart w:id="1252" w:name="_Toc436848290"/>
      <w:bookmarkStart w:id="1253" w:name="_Toc436856538"/>
      <w:bookmarkStart w:id="1254" w:name="_Toc436862684"/>
      <w:bookmarkStart w:id="1255" w:name="_Toc436866334"/>
      <w:bookmarkStart w:id="1256" w:name="_Toc436870913"/>
      <w:bookmarkStart w:id="1257" w:name="_Toc436875905"/>
    </w:p>
    <w:p w:rsidR="009224EF" w:rsidRPr="00611019" w:rsidRDefault="009224EF" w:rsidP="00035D2C">
      <w:pPr>
        <w:pStyle w:val="xxxPiedeCuadroconnombre"/>
        <w:spacing w:before="0pt" w:after="6pt"/>
        <w:ind w:start="35.50pt" w:firstLine="21.20pt"/>
        <w:jc w:val="center"/>
        <w:rPr>
          <w:rFonts w:ascii="Century Gothic" w:hAnsi="Century Gothic"/>
          <w:szCs w:val="20"/>
        </w:rPr>
      </w:pPr>
    </w:p>
    <w:p w:rsidR="00277ED2" w:rsidRPr="00611019" w:rsidRDefault="00E56462" w:rsidP="00035D2C">
      <w:pPr>
        <w:pStyle w:val="Ttulo2"/>
        <w:spacing w:after="6pt"/>
        <w:ind w:start="35.50pt" w:hanging="35.50pt"/>
        <w:rPr>
          <w:rFonts w:ascii="Century Gothic" w:hAnsi="Century Gothic"/>
        </w:rPr>
      </w:pPr>
      <w:bookmarkStart w:id="1258" w:name="_Toc525904597"/>
      <w:bookmarkStart w:id="1259" w:name="_Toc525913993"/>
      <w:bookmarkStart w:id="1260" w:name="_Toc525919232"/>
      <w:bookmarkStart w:id="1261" w:name="_Toc525919356"/>
      <w:bookmarkStart w:id="1262" w:name="_Toc2957166"/>
      <w:bookmarkStart w:id="1263" w:name="_Toc24473461"/>
      <w:bookmarkStart w:id="1264" w:name="_Toc24477589"/>
      <w:bookmarkStart w:id="1265" w:name="_Toc26281398"/>
      <w:bookmarkStart w:id="1266" w:name="_Toc26284934"/>
      <w:bookmarkStart w:id="1267" w:name="_Toc26903919"/>
      <w:bookmarkStart w:id="1268" w:name="_Toc43913160"/>
      <w:bookmarkStart w:id="1269" w:name="_Toc26980643"/>
      <w:bookmarkStart w:id="1270" w:name="_Toc53488494"/>
      <w:bookmarkStart w:id="1271" w:name="_Toc53490426"/>
      <w:bookmarkStart w:id="1272" w:name="_Toc53498434"/>
      <w:bookmarkStart w:id="1273" w:name="_Toc58578791"/>
      <w:bookmarkStart w:id="1274" w:name="_Toc92974016"/>
      <w:bookmarkStart w:id="1275" w:name="_Toc93052327"/>
      <w:bookmarkStart w:id="1276" w:name="_Toc93056282"/>
      <w:bookmarkStart w:id="1277" w:name="_Toc125393351"/>
      <w:bookmarkStart w:id="1278" w:name="_Toc148702207"/>
      <w:bookmarkStart w:id="1279" w:name="_Toc170381832"/>
      <w:bookmarkStart w:id="1280" w:name="_Toc467248719"/>
      <w:bookmarkEnd w:id="1250"/>
      <w:bookmarkEnd w:id="1251"/>
      <w:bookmarkEnd w:id="1252"/>
      <w:bookmarkEnd w:id="1253"/>
      <w:bookmarkEnd w:id="1254"/>
      <w:bookmarkEnd w:id="1255"/>
      <w:bookmarkEnd w:id="1256"/>
      <w:bookmarkEnd w:id="1257"/>
      <w:r>
        <w:rPr>
          <w:rFonts w:ascii="Century Gothic" w:hAnsi="Century Gothic"/>
        </w:rPr>
        <w:t>3.</w:t>
      </w:r>
      <w:r w:rsidR="000511F0">
        <w:rPr>
          <w:rFonts w:ascii="Century Gothic" w:hAnsi="Century Gothic"/>
        </w:rPr>
        <w:t>4</w:t>
      </w:r>
      <w:r>
        <w:rPr>
          <w:rFonts w:ascii="Century Gothic" w:hAnsi="Century Gothic"/>
        </w:rPr>
        <w:t xml:space="preserve"> </w:t>
      </w:r>
      <w:r>
        <w:rPr>
          <w:rFonts w:ascii="Century Gothic" w:hAnsi="Century Gothic"/>
        </w:rPr>
        <w:tab/>
        <w:t xml:space="preserve">Puntos de Concentración para el SAIB a través del </w:t>
      </w:r>
      <w:r w:rsidR="009224EF" w:rsidRPr="009224EF">
        <w:rPr>
          <w:rFonts w:ascii="Century Gothic" w:hAnsi="Century Gothic"/>
        </w:rPr>
        <w:t>Servicio de Concentración y Distribución</w:t>
      </w:r>
      <w:r w:rsidR="009224EF">
        <w:rPr>
          <w:rFonts w:ascii="Century Gothic" w:hAnsi="Century Gothic"/>
        </w:rPr>
        <w:t xml:space="preserve"> (</w:t>
      </w:r>
      <w:r>
        <w:rPr>
          <w:rFonts w:ascii="Century Gothic" w:hAnsi="Century Gothic"/>
        </w:rPr>
        <w:t>SCyD</w:t>
      </w:r>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r w:rsidR="009224EF">
        <w:rPr>
          <w:rFonts w:ascii="Century Gothic" w:hAnsi="Century Gothic"/>
        </w:rPr>
        <w:t>)</w:t>
      </w:r>
      <w:r>
        <w:rPr>
          <w:rFonts w:ascii="Century Gothic" w:hAnsi="Century Gothic"/>
        </w:rPr>
        <w:t>.</w:t>
      </w:r>
    </w:p>
    <w:p w:rsidR="00277ED2" w:rsidRPr="00611019" w:rsidRDefault="00E56462" w:rsidP="00035D2C">
      <w:pPr>
        <w:spacing w:after="6pt"/>
        <w:jc w:val="both"/>
        <w:rPr>
          <w:rFonts w:ascii="Century Gothic" w:hAnsi="Century Gothic" w:cs="Arial"/>
        </w:rPr>
      </w:pPr>
      <w:r>
        <w:rPr>
          <w:rFonts w:ascii="Century Gothic" w:hAnsi="Century Gothic"/>
        </w:rPr>
        <w:t>RED NACIONAL</w:t>
      </w:r>
      <w:r>
        <w:rPr>
          <w:rFonts w:ascii="Century Gothic" w:hAnsi="Century Gothic" w:cs="Arial"/>
        </w:rPr>
        <w:t xml:space="preserve"> definirá los sitios para la entrega del tráfico del SAIB tomando en cuenta los criterios de eficiencia, factibilidad técnica, competencia y minimización de costos. A través de las consultas de información que el CS podrá realizar de conformidad con lo señalado en la sección “Información relacionada con los Servicios” de la OREDA, el CS podrá conocer los puntos de concentración para la entrega de tráfico del SAIB a través del SCyD.</w:t>
      </w:r>
    </w:p>
    <w:p w:rsidR="00277ED2" w:rsidRPr="00611019" w:rsidRDefault="00E56462" w:rsidP="00035D2C">
      <w:pPr>
        <w:autoSpaceDE w:val="0"/>
        <w:autoSpaceDN w:val="0"/>
        <w:adjustRightInd w:val="0"/>
        <w:spacing w:after="6pt"/>
        <w:jc w:val="both"/>
        <w:rPr>
          <w:rFonts w:ascii="Century Gothic" w:hAnsi="Century Gothic" w:cs="Arial"/>
        </w:rPr>
      </w:pPr>
      <w:r>
        <w:rPr>
          <w:rFonts w:ascii="Century Gothic" w:hAnsi="Century Gothic" w:cs="Arial"/>
        </w:rPr>
        <w:t>La información de la estructura de los puntos de entrega conforme a sus niveles de agregación se describe en el SCyD.</w:t>
      </w:r>
    </w:p>
    <w:p w:rsidR="000F6838" w:rsidRDefault="000F6838" w:rsidP="008A330C">
      <w:pPr>
        <w:autoSpaceDE w:val="0"/>
        <w:autoSpaceDN w:val="0"/>
        <w:adjustRightInd w:val="0"/>
        <w:jc w:val="both"/>
        <w:rPr>
          <w:rFonts w:ascii="Century Gothic" w:hAnsi="Century Gothic" w:cs="Arial"/>
        </w:rPr>
      </w:pPr>
    </w:p>
    <w:p w:rsidR="00277ED2" w:rsidRPr="008A330C" w:rsidRDefault="00E56462" w:rsidP="00035D2C">
      <w:pPr>
        <w:pStyle w:val="1TitPrin"/>
        <w:spacing w:after="6pt"/>
        <w:ind w:start="35.70pt" w:hanging="17.85pt"/>
        <w:rPr>
          <w:rFonts w:ascii="Century Gothic" w:hAnsi="Century Gothic"/>
          <w:bCs/>
          <w:u w:val="single"/>
        </w:rPr>
      </w:pPr>
      <w:bookmarkStart w:id="1281" w:name="_Toc436840904"/>
      <w:bookmarkStart w:id="1282" w:name="_Toc436846341"/>
      <w:bookmarkStart w:id="1283" w:name="_Toc436848291"/>
      <w:bookmarkStart w:id="1284" w:name="_Toc436856539"/>
      <w:bookmarkStart w:id="1285" w:name="_Toc436862685"/>
      <w:bookmarkStart w:id="1286" w:name="_Toc436866335"/>
      <w:bookmarkStart w:id="1287" w:name="_Toc436870914"/>
      <w:bookmarkStart w:id="1288" w:name="_Toc436875906"/>
      <w:bookmarkStart w:id="1289" w:name="_Toc467248730"/>
      <w:bookmarkStart w:id="1290" w:name="_Toc525904615"/>
      <w:bookmarkStart w:id="1291" w:name="_Toc525914011"/>
      <w:bookmarkStart w:id="1292" w:name="_Toc525919250"/>
      <w:bookmarkStart w:id="1293" w:name="_Toc525919374"/>
      <w:bookmarkStart w:id="1294" w:name="_Toc2957184"/>
      <w:bookmarkStart w:id="1295" w:name="_Toc24473476"/>
      <w:bookmarkStart w:id="1296" w:name="_Toc24477604"/>
      <w:bookmarkStart w:id="1297" w:name="_Toc26281413"/>
      <w:bookmarkStart w:id="1298" w:name="_Toc26284949"/>
      <w:bookmarkStart w:id="1299" w:name="_Toc26903934"/>
      <w:bookmarkStart w:id="1300" w:name="_Toc43913176"/>
      <w:bookmarkStart w:id="1301" w:name="_Toc26980658"/>
      <w:bookmarkStart w:id="1302" w:name="_Toc53488510"/>
      <w:bookmarkStart w:id="1303" w:name="_Toc53490442"/>
      <w:bookmarkStart w:id="1304" w:name="_Toc53498450"/>
      <w:bookmarkStart w:id="1305" w:name="_Toc58578807"/>
      <w:bookmarkStart w:id="1306" w:name="_Toc92974032"/>
      <w:bookmarkStart w:id="1307" w:name="_Toc93052343"/>
      <w:bookmarkStart w:id="1308" w:name="_Toc93056298"/>
      <w:bookmarkStart w:id="1309" w:name="_Toc125393352"/>
      <w:bookmarkStart w:id="1310" w:name="_Toc148702208"/>
      <w:bookmarkStart w:id="1311" w:name="_Toc170381833"/>
      <w:bookmarkEnd w:id="1280"/>
      <w:r>
        <w:rPr>
          <w:rFonts w:ascii="Century Gothic" w:hAnsi="Century Gothic" w:cs="Times New Roman"/>
          <w:u w:val="single"/>
          <w14:scene3d>
            <w14:camera w14:prst="orthographicFront"/>
            <w14:lightRig w14:rig="threePt" w14:dir="t">
              <w14:rot w14:lat="0" w14:lon="0" w14:rev="0"/>
            </w14:lightRig>
          </w14:scene3d>
        </w:rPr>
        <w:t>4.</w:t>
      </w:r>
      <w:r>
        <w:rPr>
          <w:rFonts w:ascii="Century Gothic" w:hAnsi="Century Gothic" w:cs="Times New Roman"/>
          <w:u w:val="single"/>
          <w14:scene3d>
            <w14:camera w14:prst="orthographicFront"/>
            <w14:lightRig w14:rig="threePt" w14:dir="t">
              <w14:rot w14:lat="0" w14:lon="0" w14:rev="0"/>
            </w14:lightRig>
          </w14:scene3d>
        </w:rPr>
        <w:tab/>
      </w:r>
      <w:r>
        <w:rPr>
          <w:rFonts w:ascii="Century Gothic" w:hAnsi="Century Gothic"/>
          <w:bCs/>
          <w:u w:val="single"/>
        </w:rPr>
        <w:t>Servicios de Desagregación</w:t>
      </w:r>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r>
        <w:rPr>
          <w:rFonts w:ascii="Century Gothic" w:hAnsi="Century Gothic"/>
          <w:bCs/>
          <w:u w:val="single"/>
        </w:rPr>
        <w:t>.</w:t>
      </w:r>
    </w:p>
    <w:p w:rsidR="00277ED2" w:rsidRPr="00611019" w:rsidRDefault="00E56462" w:rsidP="00035D2C">
      <w:pPr>
        <w:pStyle w:val="IFTnormal"/>
        <w:spacing w:after="6pt"/>
        <w:rPr>
          <w:rFonts w:ascii="Century Gothic" w:hAnsi="Century Gothic"/>
        </w:rPr>
      </w:pPr>
      <w:r>
        <w:rPr>
          <w:rFonts w:ascii="Century Gothic" w:hAnsi="Century Gothic"/>
        </w:rPr>
        <w:t>RED NACIONAL proporcionará estos Servicios en términos y condiciones no discriminatorios.</w:t>
      </w:r>
    </w:p>
    <w:p w:rsidR="00277ED2" w:rsidRPr="00611019" w:rsidRDefault="00E56462" w:rsidP="00035D2C">
      <w:pPr>
        <w:pStyle w:val="IFTnormal"/>
        <w:spacing w:after="6pt"/>
        <w:rPr>
          <w:rFonts w:ascii="Century Gothic" w:hAnsi="Century Gothic"/>
        </w:rPr>
      </w:pPr>
      <w:r>
        <w:rPr>
          <w:rFonts w:ascii="Century Gothic" w:hAnsi="Century Gothic"/>
        </w:rPr>
        <w:t xml:space="preserve">En estos Servicios, el CS es el responsable de la configuración de la velocidad de acceso a Internet sobre la línea del Usuario Final, no obstante, la velocidad que el CS podrá ofrecer dependerá de las condiciones físicas del Bucle Local de RED NACIONAL, y de que dicha oferta no afecte los servicios que otros CS proporcionen a través del mismo cable multipar. A petición del CS y en coordinación con éste, RED NACIONAL realizará las pruebas técnicas establecidas en esta Oferta sin que ello signifique un retraso en la entrega de los Servicios. </w:t>
      </w:r>
    </w:p>
    <w:p w:rsidR="00277ED2" w:rsidRDefault="00E56462" w:rsidP="00035D2C">
      <w:pPr>
        <w:pStyle w:val="IFTnormal"/>
        <w:spacing w:after="6pt"/>
        <w:rPr>
          <w:rFonts w:ascii="Century Gothic" w:hAnsi="Century Gothic"/>
        </w:rPr>
      </w:pPr>
      <w:r>
        <w:rPr>
          <w:rFonts w:ascii="Century Gothic" w:hAnsi="Century Gothic"/>
        </w:rPr>
        <w:t xml:space="preserve">Las Partes son responsables de cumplir con el PGE que constituye el Anexo D, denominado “Plan de Gestión del Espectro de Frecuencias de Desagregación” de esta oferta, así como de proporcionar la información solicitada en los formatos correspondientes para la contratación de estos servicios, con el objeto de minimizar las interferencias entre los servicios. Por tanto, en caso de presentarse alguna interferencia se procederá como está establecido en el propio PGE aprobado por el Instituto. </w:t>
      </w:r>
    </w:p>
    <w:p w:rsidR="009224EF" w:rsidRPr="009224EF" w:rsidRDefault="009224EF" w:rsidP="009224EF">
      <w:pPr>
        <w:pStyle w:val="IFTnormal"/>
        <w:rPr>
          <w:rFonts w:ascii="Century Gothic" w:hAnsi="Century Gothic"/>
        </w:rPr>
      </w:pPr>
      <w:r w:rsidRPr="009224EF">
        <w:rPr>
          <w:rFonts w:ascii="Century Gothic" w:hAnsi="Century Gothic"/>
        </w:rPr>
        <w:t xml:space="preserve">A fin de coadyuvar a que </w:t>
      </w:r>
      <w:bookmarkStart w:id="1312" w:name="_Hlk177155006"/>
      <w:r w:rsidRPr="009224EF">
        <w:rPr>
          <w:rFonts w:ascii="Century Gothic" w:hAnsi="Century Gothic"/>
        </w:rPr>
        <w:t xml:space="preserve">el servicio al Usuario Final no sea suspendido por más de 30 minutos en el 95% de los casos, y en ningún caso se excedan los 120 minutos </w:t>
      </w:r>
      <w:bookmarkEnd w:id="1312"/>
      <w:r w:rsidRPr="009224EF">
        <w:rPr>
          <w:rFonts w:ascii="Century Gothic" w:hAnsi="Century Gothic"/>
        </w:rPr>
        <w:t>por lo que respecta a hechos imputables a RED NACIONAL.</w:t>
      </w:r>
    </w:p>
    <w:p w:rsidR="009224EF" w:rsidRDefault="009224EF" w:rsidP="009224EF">
      <w:pPr>
        <w:pStyle w:val="IFTnormal"/>
        <w:rPr>
          <w:rFonts w:ascii="Century Gothic" w:hAnsi="Century Gothic"/>
        </w:rPr>
      </w:pPr>
    </w:p>
    <w:p w:rsidR="00277ED2" w:rsidRPr="00611019" w:rsidRDefault="00E56462" w:rsidP="00035D2C">
      <w:pPr>
        <w:pStyle w:val="IFTnormal"/>
        <w:spacing w:after="6pt"/>
        <w:rPr>
          <w:rFonts w:ascii="Century Gothic" w:hAnsi="Century Gothic"/>
        </w:rPr>
      </w:pPr>
      <w:r>
        <w:rPr>
          <w:rFonts w:ascii="Century Gothic" w:hAnsi="Century Gothic"/>
        </w:rPr>
        <w:t>RED NACIONAL informará al CS el momento en que realice el puente hacia la tablilla horizontal</w:t>
      </w:r>
      <w:r w:rsidR="009224EF">
        <w:rPr>
          <w:rFonts w:ascii="Century Gothic" w:hAnsi="Century Gothic"/>
        </w:rPr>
        <w:t xml:space="preserve"> </w:t>
      </w:r>
      <w:r>
        <w:rPr>
          <w:rFonts w:ascii="Century Gothic" w:hAnsi="Century Gothic"/>
        </w:rPr>
        <w:t>y el CS será responsable de tener activos los servicios (un número telefónico y el servicio de internet) y los equipos terminales necesarios para proporcionar los servicios de telecomunicaciones.</w:t>
      </w:r>
    </w:p>
    <w:p w:rsidR="00277ED2" w:rsidRPr="00611019" w:rsidRDefault="00E56462" w:rsidP="00035D2C">
      <w:pPr>
        <w:pStyle w:val="IFTnormal"/>
        <w:spacing w:after="6pt"/>
        <w:rPr>
          <w:rFonts w:ascii="Century Gothic" w:hAnsi="Century Gothic"/>
        </w:rPr>
      </w:pPr>
      <w:r>
        <w:rPr>
          <w:rFonts w:ascii="Century Gothic" w:hAnsi="Century Gothic"/>
        </w:rPr>
        <w:lastRenderedPageBreak/>
        <w:t xml:space="preserve">Cuando el usuario tenga un servicio activo se mantendrán las condiciones técnicas del bucle en caso de que no sea técnicamente factible habilitar al usuario con las especificaciones del CS, de acuerdo con lo establecido en el PGE. </w:t>
      </w:r>
    </w:p>
    <w:p w:rsidR="00277ED2" w:rsidRPr="00611019" w:rsidRDefault="00E56462" w:rsidP="00035D2C">
      <w:pPr>
        <w:pStyle w:val="IFTnormal"/>
        <w:spacing w:after="6pt"/>
        <w:rPr>
          <w:rFonts w:ascii="Century Gothic" w:hAnsi="Century Gothic"/>
        </w:rPr>
      </w:pPr>
      <w:r w:rsidRPr="00747945">
        <w:rPr>
          <w:rFonts w:ascii="Century Gothic" w:hAnsi="Century Gothic"/>
        </w:rPr>
        <w:t xml:space="preserve">En el caso de Usuarios Finales nuevos, el CS será responsable de notificar al usuario </w:t>
      </w:r>
      <w:r w:rsidR="00515EFB" w:rsidRPr="00747945">
        <w:rPr>
          <w:rFonts w:ascii="Century Gothic" w:hAnsi="Century Gothic"/>
        </w:rPr>
        <w:t xml:space="preserve">que </w:t>
      </w:r>
      <w:r w:rsidRPr="00747945">
        <w:rPr>
          <w:rFonts w:ascii="Century Gothic" w:hAnsi="Century Gothic"/>
        </w:rPr>
        <w:t>RED NACIONAL instalará la acometida hasta su domicilio.</w:t>
      </w:r>
      <w:r>
        <w:rPr>
          <w:rFonts w:ascii="Century Gothic" w:hAnsi="Century Gothic"/>
        </w:rPr>
        <w:t xml:space="preserve"> </w:t>
      </w:r>
    </w:p>
    <w:p w:rsidR="00277ED2" w:rsidRPr="00611019" w:rsidRDefault="00E56462" w:rsidP="00035D2C">
      <w:pPr>
        <w:pStyle w:val="IFTnormal"/>
        <w:spacing w:after="6pt"/>
        <w:rPr>
          <w:rFonts w:ascii="Century Gothic" w:hAnsi="Century Gothic"/>
        </w:rPr>
      </w:pPr>
      <w:r>
        <w:rPr>
          <w:rFonts w:ascii="Century Gothic" w:hAnsi="Century Gothic"/>
        </w:rPr>
        <w:t xml:space="preserve">La Información relativa a las Centrales Telefónicas o cajas de distribución acondicionadas y disponibles para la Desagregación se encontrará disponible conforme se describe en la sección “Información relacionada con los Servicios” de esta Oferta. </w:t>
      </w:r>
    </w:p>
    <w:p w:rsidR="00277ED2" w:rsidRPr="00611019" w:rsidRDefault="00E56462" w:rsidP="00035D2C">
      <w:pPr>
        <w:pStyle w:val="IFTnormal"/>
        <w:spacing w:after="6pt"/>
        <w:rPr>
          <w:rFonts w:ascii="Century Gothic" w:hAnsi="Century Gothic"/>
        </w:rPr>
      </w:pPr>
      <w:r>
        <w:rPr>
          <w:rFonts w:ascii="Century Gothic" w:hAnsi="Century Gothic"/>
        </w:rPr>
        <w:t>La provisión del módem y el cableado interior, así como el mantenimiento de los mismos, serán responsabilidad del CS. Asimismo, a solicitud del CS, RED NACIONAL proporcionará el Servicio Opcional de Cableado Interior para el domicilio del suscriptor, con un cargo específico en todos los Servicios de Desagregación que correspondan, RED NACIONAL realizará estas actividades en términos y condiciones no discriminatorios.</w:t>
      </w:r>
    </w:p>
    <w:p w:rsidR="00606F15" w:rsidRPr="00606F15" w:rsidRDefault="00606F15" w:rsidP="00606F15">
      <w:pPr>
        <w:keepNext/>
        <w:spacing w:after="6pt" w:line="13.20pt" w:lineRule="auto"/>
        <w:ind w:start="21.30pt" w:hanging="21.30pt"/>
        <w:jc w:val="both"/>
        <w:outlineLvl w:val="1"/>
        <w:rPr>
          <w:rFonts w:ascii="Century Gothic" w:eastAsia="Calibri" w:hAnsi="Century Gothic" w:cs="Arial"/>
          <w:b/>
          <w:bCs/>
        </w:rPr>
      </w:pPr>
      <w:bookmarkStart w:id="1313" w:name="_Toc436840905"/>
      <w:bookmarkStart w:id="1314" w:name="_Toc436846342"/>
      <w:bookmarkStart w:id="1315" w:name="_Toc436848292"/>
      <w:bookmarkStart w:id="1316" w:name="_Toc436856540"/>
      <w:bookmarkStart w:id="1317" w:name="_Toc436862686"/>
      <w:bookmarkStart w:id="1318" w:name="_Toc436866336"/>
      <w:bookmarkStart w:id="1319" w:name="_Toc436870915"/>
      <w:bookmarkStart w:id="1320" w:name="_Toc436875907"/>
      <w:bookmarkStart w:id="1321" w:name="_Toc467248731"/>
      <w:bookmarkStart w:id="1322" w:name="_Toc525904616"/>
      <w:bookmarkStart w:id="1323" w:name="_Toc525914012"/>
      <w:bookmarkStart w:id="1324" w:name="_Toc525919251"/>
      <w:bookmarkStart w:id="1325" w:name="_Toc525919375"/>
      <w:bookmarkStart w:id="1326" w:name="_Toc2957185"/>
      <w:bookmarkStart w:id="1327" w:name="_Toc24477605"/>
      <w:bookmarkStart w:id="1328" w:name="_Toc24473477"/>
      <w:bookmarkStart w:id="1329" w:name="_Toc26281414"/>
      <w:bookmarkStart w:id="1330" w:name="_Toc26284950"/>
      <w:bookmarkStart w:id="1331" w:name="_Toc26903935"/>
      <w:bookmarkStart w:id="1332" w:name="_Toc43913177"/>
      <w:bookmarkStart w:id="1333" w:name="_Toc26980659"/>
      <w:bookmarkStart w:id="1334" w:name="_Toc53488511"/>
      <w:bookmarkStart w:id="1335" w:name="_Toc53490443"/>
      <w:bookmarkStart w:id="1336" w:name="_Toc53498451"/>
      <w:bookmarkStart w:id="1337" w:name="_Toc58578808"/>
      <w:bookmarkStart w:id="1338" w:name="_Toc92974033"/>
      <w:bookmarkStart w:id="1339" w:name="_Toc93052344"/>
      <w:bookmarkStart w:id="1340" w:name="_Toc93056299"/>
      <w:bookmarkStart w:id="1341" w:name="_Toc107502258"/>
      <w:bookmarkStart w:id="1342" w:name="_Toc184301516"/>
      <w:bookmarkStart w:id="1343" w:name="_Hlk186208377"/>
      <w:r w:rsidRPr="00606F15">
        <w:rPr>
          <w:rFonts w:ascii="Century Gothic" w:eastAsia="Calibri" w:hAnsi="Century Gothic" w:cs="Arial"/>
          <w:b/>
          <w:bCs/>
        </w:rPr>
        <w:t xml:space="preserve">4.1 Servicio de Desagregación Total del Bucle Local </w:t>
      </w:r>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p>
    <w:p w:rsidR="00606F15" w:rsidRPr="00606F15" w:rsidRDefault="00606F15" w:rsidP="00606F15">
      <w:pPr>
        <w:spacing w:after="6pt" w:line="13.20pt" w:lineRule="auto"/>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t xml:space="preserve">En el SDTBL RED NACIONAL provee el Bucle Local al CS, de tal manera que este último pueda hacer uso de la capacidad de transmisión completa, entregando RED NACIONAL el circuito en el espacio para coubicación del CS. El CS podrá acceder al Bucle Local de cobre en toda su trayectoria física y podrá disponer de las frecuencias del bucle indicadas en el PGE, con el fin de brindar servicios a través del mismo cable de la red principal y de la red secundaria a la que pertenece el bucle desagregado. </w:t>
      </w:r>
    </w:p>
    <w:p w:rsidR="00606F15" w:rsidRPr="00606F15" w:rsidRDefault="00606F15" w:rsidP="00606F15">
      <w:pPr>
        <w:spacing w:after="6pt" w:line="13.20pt" w:lineRule="auto"/>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t xml:space="preserve">Para poder acceder a un Usuario Final vía esta modalidad de desagregación son necesarios dos servicios: el servicio en la sección de acceso (SDTBL) y el servicio de entrega del circuito hasta el espacio para coubicación del CS (Servicio Auxiliar de Cableado Multipar). El SDTBL comprende la conexión desde el PCT ubicado en el </w:t>
      </w:r>
      <w:r w:rsidRPr="00E515EF">
        <w:rPr>
          <w:rFonts w:ascii="Century Gothic" w:eastAsia="Calibri" w:hAnsi="Century Gothic" w:cs="Arial"/>
          <w:color w:val="000000"/>
          <w:lang w:val="es-ES_tradnl" w:eastAsia="es-ES"/>
        </w:rPr>
        <w:t>domicilio del usuario, la acometida, caja terminal, red secundaria, red principal y remate</w:t>
      </w:r>
      <w:r w:rsidRPr="00606F15">
        <w:rPr>
          <w:rFonts w:ascii="Century Gothic" w:eastAsia="Calibri" w:hAnsi="Century Gothic" w:cs="Arial"/>
          <w:color w:val="000000"/>
          <w:lang w:val="es-ES_tradnl" w:eastAsia="es-ES"/>
        </w:rPr>
        <w:t xml:space="preserve"> del par de cobre en la tablilla vertical del DG ubicado en la Central Telefónica o Instalación Equivalente. La sección de entrega del circuito hasta el espacio para coubicación del CS (Servicio Auxiliar de Cableado Multipar) comprende el puente entre la tablilla vertical y horizontal del DG, el cableado multipar instalado entre la tablilla horizontal en el DG y el espacio para coubicación del CS, cuando sea necesario la instalación de escalerillas y los elementos necesarios para el tendido del cableado multipar.</w:t>
      </w:r>
    </w:p>
    <w:p w:rsidR="00606F15" w:rsidRPr="00606F15" w:rsidRDefault="00606F15" w:rsidP="00606F15">
      <w:pPr>
        <w:spacing w:after="6pt" w:line="13.20pt" w:lineRule="auto"/>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t>La siguiente figura muestra el esquema del SDTBL y el Servicio Auxiliar de Cableado Multipar.</w:t>
      </w:r>
    </w:p>
    <w:p w:rsidR="00606F15" w:rsidRPr="00D65548" w:rsidRDefault="00606F15" w:rsidP="00606F15">
      <w:pPr>
        <w:tabs>
          <w:tab w:val="start" w:pos="219.75pt"/>
        </w:tabs>
        <w:spacing w:after="6pt" w:line="13.20pt" w:lineRule="auto"/>
        <w:jc w:val="center"/>
        <w:rPr>
          <w:rFonts w:ascii="Century Gothic" w:eastAsia="Calibri" w:hAnsi="Century Gothic" w:cs="Arial"/>
          <w:b/>
          <w:sz w:val="20"/>
          <w:szCs w:val="20"/>
        </w:rPr>
      </w:pPr>
      <w:r w:rsidRPr="00606F15">
        <w:rPr>
          <w:rFonts w:ascii="Century Gothic" w:eastAsia="Calibri" w:hAnsi="Century Gothic" w:cs="Arial"/>
          <w:noProof/>
          <w:lang w:eastAsia="es-MX"/>
        </w:rPr>
        <w:lastRenderedPageBreak/>
        <w:drawing>
          <wp:inline distT="0" distB="0" distL="0" distR="0" wp14:anchorId="6FC08AFC" wp14:editId="48A0E84C">
            <wp:extent cx="4724400" cy="2409825"/>
            <wp:effectExtent l="57150" t="57150" r="114300" b="123825"/>
            <wp:docPr id="479" name="Imagen 479" descr="Diagrama&#10;&#10;Descripción generada automáticamente"/>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479" name="Imagen 479" descr="Diagrama&#10;&#10;Descripción generada automáticamente"/>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724400" cy="2409825"/>
                    </a:xfrm>
                    <a:prstGeom prst="rect">
                      <a:avLst/>
                    </a:prstGeom>
                    <a:ln w="12700" cap="sq">
                      <a:solidFill>
                        <a:srgbClr val="000000"/>
                      </a:solidFill>
                      <a:prstDash val="solid"/>
                      <a:miter lim="800%"/>
                    </a:ln>
                    <a:effectLst>
                      <a:outerShdw blurRad="50800" dist="38100" dir="2700000" algn="tl" rotWithShape="0">
                        <a:srgbClr val="000000">
                          <a:alpha val="43%"/>
                        </a:srgbClr>
                      </a:outerShdw>
                    </a:effectLst>
                  </pic:spPr>
                </pic:pic>
              </a:graphicData>
            </a:graphic>
          </wp:inline>
        </w:drawing>
      </w:r>
    </w:p>
    <w:p w:rsidR="00606F15" w:rsidRPr="00D65548" w:rsidRDefault="00606F15" w:rsidP="00606F15">
      <w:pPr>
        <w:tabs>
          <w:tab w:val="start" w:pos="219.75pt"/>
        </w:tabs>
        <w:spacing w:line="13.20pt" w:lineRule="auto"/>
        <w:jc w:val="center"/>
        <w:rPr>
          <w:rFonts w:ascii="Century Gothic" w:eastAsia="Calibri" w:hAnsi="Century Gothic" w:cs="Arial"/>
          <w:b/>
          <w:sz w:val="20"/>
          <w:szCs w:val="20"/>
        </w:rPr>
      </w:pPr>
      <w:r w:rsidRPr="00606F15">
        <w:rPr>
          <w:rFonts w:ascii="Century Gothic" w:eastAsia="Calibri" w:hAnsi="Century Gothic" w:cs="Arial"/>
          <w:b/>
          <w:sz w:val="20"/>
          <w:szCs w:val="20"/>
        </w:rPr>
        <w:t xml:space="preserve">Servicio de Desagregación Total del Bucle Local y </w:t>
      </w:r>
    </w:p>
    <w:p w:rsidR="00606F15" w:rsidRPr="00606F15" w:rsidRDefault="00606F15" w:rsidP="00606F15">
      <w:pPr>
        <w:tabs>
          <w:tab w:val="start" w:pos="219.75pt"/>
        </w:tabs>
        <w:spacing w:line="13.20pt" w:lineRule="auto"/>
        <w:jc w:val="center"/>
        <w:rPr>
          <w:rFonts w:ascii="Century Gothic" w:eastAsia="Calibri" w:hAnsi="Century Gothic" w:cs="Arial"/>
          <w:b/>
          <w:sz w:val="20"/>
          <w:szCs w:val="20"/>
        </w:rPr>
      </w:pPr>
      <w:r w:rsidRPr="00606F15">
        <w:rPr>
          <w:rFonts w:ascii="Century Gothic" w:eastAsia="Calibri" w:hAnsi="Century Gothic" w:cs="Arial"/>
          <w:b/>
          <w:sz w:val="20"/>
          <w:szCs w:val="20"/>
        </w:rPr>
        <w:t>Servicio Auxiliar de Cableado Multipar</w:t>
      </w:r>
    </w:p>
    <w:p w:rsidR="00606F15" w:rsidRPr="00606F15" w:rsidRDefault="00606F15" w:rsidP="00606F15">
      <w:pPr>
        <w:spacing w:before="12pt" w:after="6pt" w:line="13.20pt" w:lineRule="auto"/>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t>Para que el SDTBL se lleve a cabo de forma efectiva es necesario que previamente a que RED NACIONAL entregue el circuito al CS, se deba contar con los siguientes elementos:</w:t>
      </w:r>
    </w:p>
    <w:p w:rsidR="00606F15" w:rsidRPr="00606F15" w:rsidRDefault="00606F15">
      <w:pPr>
        <w:numPr>
          <w:ilvl w:val="0"/>
          <w:numId w:val="254"/>
        </w:numPr>
        <w:spacing w:after="6pt" w:line="13.20pt" w:lineRule="auto"/>
        <w:ind w:end="2.55pt"/>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t>Un espacio para coubicación donde el CS coloque su infraestructura de tal forma que RED NACIONAL pueda hacer la entrega del circuito de la Central o Instalación Equivalente a la cual pertenece el bucle a desagregar, conforme a lo establecido en la sección “Servicio de Coubicación para Desagregación del Bucle (SCD)” de la presente oferta.</w:t>
      </w:r>
    </w:p>
    <w:p w:rsidR="00606F15" w:rsidRPr="00606F15" w:rsidRDefault="00606F15">
      <w:pPr>
        <w:numPr>
          <w:ilvl w:val="0"/>
          <w:numId w:val="254"/>
        </w:numPr>
        <w:spacing w:after="6pt" w:line="13.20pt" w:lineRule="auto"/>
        <w:ind w:end="2.55pt"/>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t>Cableado multipar entre la tablilla horizontal instalada por RED NACIONAL en el DG y el espacio para coubicación del CS, donde ubique su infraestructura en la Central o Instalación Equivalente a la cual pertenece el bucle a desagregar.</w:t>
      </w:r>
    </w:p>
    <w:p w:rsidR="00606F15" w:rsidRPr="00606F15" w:rsidRDefault="00606F15">
      <w:pPr>
        <w:numPr>
          <w:ilvl w:val="0"/>
          <w:numId w:val="254"/>
        </w:numPr>
        <w:spacing w:after="6pt" w:line="13.20pt" w:lineRule="auto"/>
        <w:ind w:end="0.90pt"/>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t>Infraestructura necesaria por parte del CS para recibir el bucle desagregado.</w:t>
      </w:r>
    </w:p>
    <w:p w:rsidR="00606F15" w:rsidRPr="00606F15" w:rsidRDefault="00606F15" w:rsidP="00606F15">
      <w:pPr>
        <w:spacing w:after="6pt" w:line="13.20pt" w:lineRule="auto"/>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t xml:space="preserve">A solicitud del CS, RED NACIONAL instalará el cableado multipar correspondiente a la sección de entrega del circuito, el cual comprende la instalación de tablilla horizontal en el DG, tendido de cable multipar (en caso necesario escalerillas y los elementos requeridos para el tendido del cableado multipar) entre la tablilla horizontal instalada en el DG y el espacio para coubicación de equipos y dispositivos del CS, necesarios para acceder a los Servicios de Desagregación, dejándose en punta el cableado y entregando RED NACIONAL la identificación de las posiciones de los pares en la tablilla. El etiquetado de la identificación del cableado multipar se llevará a cabo conforme a lo establecido en la “Guía para el etiquetado de cable multipar Instalado dentro de una Central Telefónica”. </w:t>
      </w:r>
    </w:p>
    <w:p w:rsidR="00606F15" w:rsidRPr="00606F15" w:rsidRDefault="00606F15" w:rsidP="00606F15">
      <w:pPr>
        <w:spacing w:after="6pt" w:line="13.20pt" w:lineRule="auto"/>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t>Las especificaciones técnicas del cable a suministrar son aquellas que se describen en el Servicio Auxiliar de Cableado Multipar.</w:t>
      </w:r>
    </w:p>
    <w:p w:rsidR="00606F15" w:rsidRPr="00606F15" w:rsidRDefault="00606F15" w:rsidP="00606F15">
      <w:pPr>
        <w:spacing w:after="6pt" w:line="13.20pt" w:lineRule="auto"/>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lastRenderedPageBreak/>
        <w:t>La solicitud del Servicio Auxiliar de Cableado Multipar se llevará a cabo conforme al procedimiento de contratación, modificación y baja del cableado multipar debiéndose pagar las contraprestaciones que correspondan en términos de la presente Oferta.</w:t>
      </w:r>
    </w:p>
    <w:p w:rsidR="00606F15" w:rsidRPr="00606F15" w:rsidRDefault="00606F15" w:rsidP="00606F15">
      <w:pPr>
        <w:spacing w:after="6pt" w:line="13.20pt" w:lineRule="auto"/>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t xml:space="preserve">En caso de que el CS requiera tendido de cable multipar para una Ubicación Distante, RED NACIONAL lo proporcionará en términos de la Oferta de Compartición de Infraestructura Pasiva </w:t>
      </w:r>
      <w:bookmarkStart w:id="1344" w:name="_Hlk83905709"/>
      <w:r w:rsidRPr="00606F15">
        <w:rPr>
          <w:rFonts w:ascii="Century Gothic" w:eastAsia="Calibri" w:hAnsi="Century Gothic" w:cs="Arial"/>
          <w:color w:val="000000"/>
          <w:lang w:val="es-ES_tradnl" w:eastAsia="es-ES"/>
        </w:rPr>
        <w:t xml:space="preserve">(Servicio de Tendido de Cable sobre Infraestructura Desagregada), </w:t>
      </w:r>
      <w:bookmarkEnd w:id="1344"/>
      <w:r w:rsidRPr="00606F15">
        <w:rPr>
          <w:rFonts w:ascii="Century Gothic" w:eastAsia="Calibri" w:hAnsi="Century Gothic" w:cs="Arial"/>
          <w:color w:val="000000"/>
          <w:lang w:val="es-ES_tradnl" w:eastAsia="es-ES"/>
        </w:rPr>
        <w:t>que al efecto haya autorizado el Instituto, para lo cual el CS deberá enviar junto con su solicitud el NIS de Referencia correspondiente al Servicio de tendido de cable y el Acta de Entrega de Servicio obtenida a través de los procedimientos establecidos.</w:t>
      </w:r>
    </w:p>
    <w:p w:rsidR="00606F15" w:rsidRPr="00606F15" w:rsidRDefault="00606F15" w:rsidP="00606F15">
      <w:pPr>
        <w:spacing w:after="6pt" w:line="13.20pt" w:lineRule="auto"/>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t>Para la entrega del circuito y habilitación del SDTBL, RED NACIONAL realizará el puente entre las tablillas verticales y tablillas horizontales. El puente consiste en la conexión entre la tablilla vertical donde se conecta el par procedente del Usuario Final y la tablilla horizontal donde se remata el cableado multipar que va al espacio para coubicación. Al momento del puente RED NACIONAL y el CS se deberán coordinar para identificar los pares a conectar en el puente, de tal forma que el CS pueda identificar en el cableado multipar a qué par corresponde el circuito entregado.</w:t>
      </w:r>
    </w:p>
    <w:p w:rsidR="00606F15" w:rsidRPr="00606F15" w:rsidRDefault="00606F15" w:rsidP="00606F15">
      <w:pPr>
        <w:spacing w:after="6pt" w:line="13.20pt" w:lineRule="auto"/>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t>Las actividades que RED NACIONAL realizará en el SDTBL para la entrega y eficiente prestación del Servicio consisten en:</w:t>
      </w:r>
    </w:p>
    <w:p w:rsidR="00606F15" w:rsidRPr="00606F15" w:rsidRDefault="00606F15" w:rsidP="00606F15">
      <w:pPr>
        <w:spacing w:after="6pt" w:line="13.20pt" w:lineRule="auto"/>
        <w:ind w:firstLine="35.40pt"/>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t>-</w:t>
      </w:r>
      <w:r w:rsidRPr="00606F15">
        <w:rPr>
          <w:rFonts w:ascii="Century Gothic" w:eastAsia="Calibri" w:hAnsi="Century Gothic" w:cs="Arial"/>
          <w:color w:val="000000"/>
          <w:lang w:val="es-ES_tradnl" w:eastAsia="es-ES"/>
        </w:rPr>
        <w:tab/>
        <w:t xml:space="preserve">Puenteo entre las tablillas verticales y tablillas horizontales. </w:t>
      </w:r>
    </w:p>
    <w:p w:rsidR="00606F15" w:rsidRPr="00606F15" w:rsidRDefault="00606F15" w:rsidP="00606F15">
      <w:pPr>
        <w:spacing w:line="13.20pt" w:lineRule="auto"/>
        <w:ind w:start="68.05pt" w:hanging="32.65pt"/>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t>-</w:t>
      </w:r>
      <w:r w:rsidRPr="00606F15">
        <w:rPr>
          <w:rFonts w:ascii="Century Gothic" w:eastAsia="Calibri" w:hAnsi="Century Gothic" w:cs="Arial"/>
          <w:color w:val="000000"/>
          <w:lang w:val="es-ES_tradnl" w:eastAsia="es-ES"/>
        </w:rPr>
        <w:tab/>
        <w:t>Instalación del PCT en el domicilio del usuario, en el caso de que el Bucle Local correspondiente al par de cobre no disponga de PCT.</w:t>
      </w:r>
    </w:p>
    <w:p w:rsidR="00606F15" w:rsidRPr="00606F15" w:rsidRDefault="00606F15" w:rsidP="00606F15">
      <w:pPr>
        <w:spacing w:line="13.20pt" w:lineRule="auto"/>
        <w:jc w:val="both"/>
        <w:rPr>
          <w:rFonts w:ascii="Century Gothic" w:eastAsia="Calibri" w:hAnsi="Century Gothic" w:cs="Arial"/>
          <w:color w:val="000000"/>
          <w:lang w:val="es-ES_tradnl" w:eastAsia="es-ES"/>
        </w:rPr>
      </w:pPr>
    </w:p>
    <w:p w:rsidR="00606F15" w:rsidRPr="00606F15" w:rsidRDefault="00606F15" w:rsidP="00606F15">
      <w:pPr>
        <w:spacing w:line="13.20pt" w:lineRule="auto"/>
        <w:jc w:val="both"/>
        <w:rPr>
          <w:rFonts w:ascii="Century Gothic" w:eastAsia="Calibri" w:hAnsi="Century Gothic" w:cs="Arial"/>
          <w:color w:val="000000"/>
          <w:lang w:val="es-ES_tradnl" w:eastAsia="es-ES"/>
        </w:rPr>
      </w:pPr>
      <w:r w:rsidRPr="00606F15">
        <w:rPr>
          <w:rFonts w:ascii="Century Gothic" w:eastAsia="Calibri" w:hAnsi="Century Gothic" w:cs="Arial"/>
          <w:b/>
          <w:color w:val="000000"/>
          <w:lang w:val="es-ES_tradnl" w:eastAsia="es-ES"/>
        </w:rPr>
        <w:t>Responsabilidad de RED NACIONAL y recursos asociados al SDTBL y Cableado Multipar.</w:t>
      </w:r>
    </w:p>
    <w:p w:rsidR="00606F15" w:rsidRPr="00606F15" w:rsidRDefault="00606F15" w:rsidP="00606F15">
      <w:pPr>
        <w:spacing w:after="6pt" w:line="13.20pt" w:lineRule="auto"/>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t xml:space="preserve">RED NACIONAL será responsable del mantenimiento del SDTBL desde el PCT hasta las conexiones de entrega en el espacio para la colocación de equipos y dispositivos del CS, conforme a lo establecido en el “Servicio de Coubicación para Desagregación del Bucle (SCD)” de la presente Oferta, en su caso, punto de presencia (incluye el puente entre la tablilla horizontal y la tablilla vertical donde se conecta el par procedente del Usuario Final y el cableado multipar que va a la coubicación del CS). </w:t>
      </w:r>
    </w:p>
    <w:p w:rsidR="00606F15" w:rsidRPr="00606F15" w:rsidRDefault="00606F15" w:rsidP="00606F15">
      <w:pPr>
        <w:spacing w:after="6pt" w:line="13.20pt" w:lineRule="auto"/>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t xml:space="preserve">El tipo de mantenimiento a realizar estará en función del segmento del Bucle Local y hasta el punto de entrega del circuito identificado con daño. Por otra parte, las actividades primordiales a seguir son: </w:t>
      </w:r>
    </w:p>
    <w:p w:rsidR="00606F15" w:rsidRPr="00606F15" w:rsidRDefault="00606F15" w:rsidP="00606F15">
      <w:pPr>
        <w:spacing w:after="6pt" w:line="13.20pt" w:lineRule="auto"/>
        <w:ind w:start="56.70pt" w:hanging="28.35pt"/>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t>1)</w:t>
      </w:r>
      <w:r w:rsidRPr="00606F15">
        <w:rPr>
          <w:rFonts w:ascii="Century Gothic" w:eastAsia="Calibri" w:hAnsi="Century Gothic" w:cs="Arial"/>
          <w:color w:val="000000"/>
          <w:lang w:val="es-ES_tradnl" w:eastAsia="es-ES"/>
        </w:rPr>
        <w:tab/>
        <w:t>Ubicación del daño</w:t>
      </w:r>
    </w:p>
    <w:p w:rsidR="00606F15" w:rsidRPr="00606F15" w:rsidRDefault="00606F15" w:rsidP="00606F15">
      <w:pPr>
        <w:spacing w:after="6pt" w:line="13.20pt" w:lineRule="auto"/>
        <w:ind w:start="56.70pt" w:hanging="28.35pt"/>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t>2)</w:t>
      </w:r>
      <w:r w:rsidRPr="00606F15">
        <w:rPr>
          <w:rFonts w:ascii="Century Gothic" w:eastAsia="Calibri" w:hAnsi="Century Gothic" w:cs="Arial"/>
          <w:color w:val="000000"/>
          <w:lang w:val="es-ES_tradnl" w:eastAsia="es-ES"/>
        </w:rPr>
        <w:tab/>
        <w:t xml:space="preserve">Cuando el daño se localiza en el Bucle Local: </w:t>
      </w:r>
    </w:p>
    <w:p w:rsidR="00606F15" w:rsidRPr="00606F15" w:rsidRDefault="00606F15" w:rsidP="00606F15">
      <w:pPr>
        <w:spacing w:after="6pt" w:line="13.20pt" w:lineRule="auto"/>
        <w:ind w:start="78pt" w:hanging="17.85pt"/>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t>a.</w:t>
      </w:r>
      <w:r w:rsidRPr="00606F15">
        <w:rPr>
          <w:rFonts w:ascii="Century Gothic" w:eastAsia="Calibri" w:hAnsi="Century Gothic" w:cs="Arial"/>
          <w:color w:val="000000"/>
          <w:lang w:val="es-ES_tradnl" w:eastAsia="es-ES"/>
        </w:rPr>
        <w:tab/>
        <w:t>Identificación de un par de cobre libre en buen estado eléctrico y físico.</w:t>
      </w:r>
    </w:p>
    <w:p w:rsidR="00606F15" w:rsidRPr="00606F15" w:rsidRDefault="00606F15" w:rsidP="00606F15">
      <w:pPr>
        <w:spacing w:after="6pt" w:line="13.20pt" w:lineRule="auto"/>
        <w:ind w:start="78pt" w:hanging="17.85pt"/>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t>b.</w:t>
      </w:r>
      <w:r w:rsidRPr="00606F15">
        <w:rPr>
          <w:rFonts w:ascii="Century Gothic" w:eastAsia="Calibri" w:hAnsi="Century Gothic" w:cs="Arial"/>
          <w:color w:val="000000"/>
          <w:lang w:val="es-ES_tradnl" w:eastAsia="es-ES"/>
        </w:rPr>
        <w:tab/>
        <w:t xml:space="preserve">Reasignación del SDTBL al par libre en buen estado eléctrico y físico, debiendo </w:t>
      </w:r>
      <w:r w:rsidRPr="00606F15">
        <w:rPr>
          <w:rFonts w:ascii="Century Gothic" w:eastAsia="Calibri" w:hAnsi="Century Gothic" w:cs="Arial"/>
          <w:color w:val="000000"/>
          <w:spacing w:val="-3"/>
          <w:lang w:val="es-ES_tradnl" w:eastAsia="es-ES"/>
        </w:rPr>
        <w:t>RED NACIONAL</w:t>
      </w:r>
      <w:r w:rsidRPr="00606F15" w:rsidDel="00AD2E01">
        <w:rPr>
          <w:rFonts w:ascii="Century Gothic" w:eastAsia="Calibri" w:hAnsi="Century Gothic" w:cs="Arial"/>
          <w:color w:val="000000"/>
          <w:lang w:val="es-ES_tradnl" w:eastAsia="es-ES"/>
        </w:rPr>
        <w:t xml:space="preserve"> </w:t>
      </w:r>
      <w:r w:rsidRPr="00606F15">
        <w:rPr>
          <w:rFonts w:ascii="Century Gothic" w:eastAsia="Calibri" w:hAnsi="Century Gothic" w:cs="Arial"/>
          <w:color w:val="000000"/>
          <w:lang w:val="es-ES_tradnl" w:eastAsia="es-ES"/>
        </w:rPr>
        <w:t>notificar al CS la nueva posición de la tablilla.</w:t>
      </w:r>
    </w:p>
    <w:p w:rsidR="00606F15" w:rsidRPr="00606F15" w:rsidRDefault="00606F15" w:rsidP="00606F15">
      <w:pPr>
        <w:spacing w:after="6pt" w:line="13.20pt" w:lineRule="auto"/>
        <w:ind w:start="78pt" w:hanging="17.85pt"/>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lastRenderedPageBreak/>
        <w:t>c.</w:t>
      </w:r>
      <w:r w:rsidRPr="00606F15">
        <w:rPr>
          <w:rFonts w:ascii="Century Gothic" w:eastAsia="Calibri" w:hAnsi="Century Gothic" w:cs="Arial"/>
          <w:color w:val="000000"/>
          <w:lang w:val="es-ES_tradnl" w:eastAsia="es-ES"/>
        </w:rPr>
        <w:tab/>
        <w:t xml:space="preserve">Cuando no exista un par libre en buen estado eléctrico y físico, </w:t>
      </w:r>
      <w:r w:rsidRPr="00606F15">
        <w:rPr>
          <w:rFonts w:ascii="Century Gothic" w:eastAsia="Calibri" w:hAnsi="Century Gothic" w:cs="Arial"/>
          <w:color w:val="000000"/>
          <w:spacing w:val="-3"/>
          <w:lang w:val="es-ES_tradnl" w:eastAsia="es-ES"/>
        </w:rPr>
        <w:t>RED NACIONAL</w:t>
      </w:r>
      <w:r w:rsidRPr="00606F15" w:rsidDel="00AD2E01">
        <w:rPr>
          <w:rFonts w:ascii="Century Gothic" w:eastAsia="Calibri" w:hAnsi="Century Gothic" w:cs="Arial"/>
          <w:color w:val="000000"/>
          <w:lang w:val="es-ES_tradnl" w:eastAsia="es-ES"/>
        </w:rPr>
        <w:t xml:space="preserve"> </w:t>
      </w:r>
      <w:r w:rsidRPr="00606F15">
        <w:rPr>
          <w:rFonts w:ascii="Century Gothic" w:eastAsia="Calibri" w:hAnsi="Century Gothic" w:cs="Arial"/>
          <w:color w:val="000000"/>
          <w:lang w:val="es-ES_tradnl" w:eastAsia="es-ES"/>
        </w:rPr>
        <w:t xml:space="preserve">procederá con la localización del daño para su reparación. </w:t>
      </w:r>
    </w:p>
    <w:p w:rsidR="00606F15" w:rsidRPr="00606F15" w:rsidRDefault="00606F15" w:rsidP="00606F15">
      <w:pPr>
        <w:spacing w:after="6pt" w:line="13.20pt" w:lineRule="auto"/>
        <w:ind w:start="56.70pt" w:hanging="28.35pt"/>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t>3)</w:t>
      </w:r>
      <w:r w:rsidRPr="00606F15">
        <w:rPr>
          <w:rFonts w:ascii="Century Gothic" w:eastAsia="Calibri" w:hAnsi="Century Gothic" w:cs="Arial"/>
          <w:color w:val="000000"/>
          <w:lang w:val="es-ES_tradnl" w:eastAsia="es-ES"/>
        </w:rPr>
        <w:tab/>
        <w:t>Cuando el daño se localice en el puente entre la tablilla horizontal y la tablilla vertical del DG, se reparará el elemento dañado o será sustituido.</w:t>
      </w:r>
    </w:p>
    <w:p w:rsidR="00606F15" w:rsidRPr="00606F15" w:rsidRDefault="00606F15" w:rsidP="00606F15">
      <w:pPr>
        <w:spacing w:after="6pt" w:line="13.20pt" w:lineRule="auto"/>
        <w:ind w:start="56.70pt" w:hanging="28.35pt"/>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t>4)</w:t>
      </w:r>
      <w:r w:rsidRPr="00606F15">
        <w:rPr>
          <w:rFonts w:ascii="Century Gothic" w:eastAsia="Calibri" w:hAnsi="Century Gothic" w:cs="Arial"/>
          <w:color w:val="000000"/>
          <w:lang w:val="es-ES_tradnl" w:eastAsia="es-ES"/>
        </w:rPr>
        <w:tab/>
        <w:t>Cuando el daño se localice en el cableado multipar que va entre el DG y el espacio para la colocación de infraestructura del CS, se reparará el elemento dañado o será sustituido.</w:t>
      </w:r>
    </w:p>
    <w:p w:rsidR="00606F15" w:rsidRPr="00606F15" w:rsidRDefault="00606F15" w:rsidP="00606F15">
      <w:pPr>
        <w:spacing w:after="6pt" w:line="13.20pt" w:lineRule="auto"/>
        <w:ind w:start="56.70pt" w:hanging="28.35pt"/>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t>5)</w:t>
      </w:r>
      <w:r w:rsidRPr="00606F15">
        <w:rPr>
          <w:rFonts w:ascii="Century Gothic" w:eastAsia="Calibri" w:hAnsi="Century Gothic" w:cs="Arial"/>
          <w:color w:val="000000"/>
          <w:lang w:val="es-ES_tradnl" w:eastAsia="es-ES"/>
        </w:rPr>
        <w:tab/>
        <w:t>Cuando el daño se localice en las tablillas verticales u horizontales del DG se reparará el daño.</w:t>
      </w:r>
    </w:p>
    <w:p w:rsidR="00606F15" w:rsidRPr="00606F15" w:rsidRDefault="00606F15" w:rsidP="00606F15">
      <w:pPr>
        <w:spacing w:after="6pt" w:line="13.20pt" w:lineRule="auto"/>
        <w:ind w:start="56.70pt" w:hanging="28.35pt"/>
        <w:jc w:val="both"/>
        <w:rPr>
          <w:rFonts w:ascii="Century Gothic" w:eastAsia="Calibri" w:hAnsi="Century Gothic" w:cs="Arial"/>
          <w:color w:val="000000"/>
          <w:lang w:val="es-ES_tradnl" w:eastAsia="es-ES"/>
        </w:rPr>
      </w:pPr>
      <w:r w:rsidRPr="00606F15">
        <w:rPr>
          <w:rFonts w:ascii="Century Gothic" w:eastAsia="Calibri" w:hAnsi="Century Gothic" w:cs="Arial"/>
          <w:color w:val="000000"/>
          <w:lang w:val="es-ES_tradnl" w:eastAsia="es-ES"/>
        </w:rPr>
        <w:t>6)</w:t>
      </w:r>
      <w:r w:rsidRPr="00606F15">
        <w:rPr>
          <w:rFonts w:ascii="Century Gothic" w:eastAsia="Calibri" w:hAnsi="Century Gothic" w:cs="Arial"/>
          <w:color w:val="000000"/>
          <w:lang w:val="es-ES_tradnl" w:eastAsia="es-ES"/>
        </w:rPr>
        <w:tab/>
        <w:t>Cuando el daño se localice en el par procedente del Usuario Final, el elemento dañado se reparará o será sustituido.</w:t>
      </w:r>
    </w:p>
    <w:p w:rsidR="00606F15" w:rsidRPr="00606F15" w:rsidRDefault="00606F15" w:rsidP="00606F15">
      <w:pPr>
        <w:spacing w:after="6pt" w:line="13.20pt" w:lineRule="auto"/>
        <w:ind w:start="36pt"/>
        <w:jc w:val="both"/>
        <w:rPr>
          <w:rFonts w:ascii="Century Gothic" w:eastAsia="Calibri" w:hAnsi="Century Gothic" w:cs="Arial"/>
          <w:color w:val="000000"/>
          <w:lang w:val="es-ES_tradnl" w:eastAsia="es-ES"/>
        </w:rPr>
      </w:pPr>
    </w:p>
    <w:p w:rsidR="008A6791" w:rsidRPr="00611019" w:rsidRDefault="008A6791" w:rsidP="00035D2C">
      <w:pPr>
        <w:pStyle w:val="IFTnormal"/>
        <w:spacing w:after="6pt"/>
        <w:rPr>
          <w:rFonts w:ascii="Century Gothic" w:hAnsi="Century Gothic"/>
        </w:rPr>
      </w:pPr>
      <w:bookmarkStart w:id="1345" w:name="_Toc525904619"/>
      <w:bookmarkStart w:id="1346" w:name="_Toc525914015"/>
      <w:bookmarkStart w:id="1347" w:name="_Toc525919254"/>
      <w:bookmarkStart w:id="1348" w:name="_Toc525919378"/>
      <w:bookmarkStart w:id="1349" w:name="_Toc20217682"/>
      <w:bookmarkStart w:id="1350" w:name="_Toc20224864"/>
      <w:bookmarkStart w:id="1351" w:name="_Toc20241251"/>
      <w:bookmarkStart w:id="1352" w:name="_Toc20242796"/>
      <w:bookmarkStart w:id="1353" w:name="_Toc20328704"/>
      <w:bookmarkStart w:id="1354" w:name="_Toc20390216"/>
      <w:bookmarkStart w:id="1355" w:name="_Toc20468867"/>
      <w:bookmarkStart w:id="1356" w:name="_Toc20486078"/>
      <w:bookmarkStart w:id="1357" w:name="_Toc20492251"/>
      <w:bookmarkStart w:id="1358" w:name="_Toc20494247"/>
      <w:bookmarkStart w:id="1359" w:name="_Toc21520764"/>
      <w:bookmarkStart w:id="1360" w:name="_Toc26281417"/>
      <w:bookmarkStart w:id="1361" w:name="_Toc26284953"/>
      <w:bookmarkStart w:id="1362" w:name="_Toc26903938"/>
      <w:bookmarkStart w:id="1363" w:name="_Toc43913180"/>
      <w:bookmarkStart w:id="1364" w:name="_Toc26980662"/>
      <w:bookmarkStart w:id="1365" w:name="_Toc53488514"/>
      <w:bookmarkStart w:id="1366" w:name="_Toc53490446"/>
      <w:bookmarkStart w:id="1367" w:name="_Toc53498454"/>
      <w:bookmarkStart w:id="1368" w:name="_Toc58578811"/>
      <w:bookmarkStart w:id="1369" w:name="_Toc436840908"/>
      <w:bookmarkStart w:id="1370" w:name="_Toc436846345"/>
      <w:bookmarkStart w:id="1371" w:name="_Toc436848295"/>
      <w:bookmarkStart w:id="1372" w:name="_Toc436856543"/>
      <w:bookmarkStart w:id="1373" w:name="_Toc436862689"/>
      <w:bookmarkStart w:id="1374" w:name="_Toc436866339"/>
      <w:bookmarkStart w:id="1375" w:name="_Toc436870918"/>
      <w:bookmarkStart w:id="1376" w:name="_Toc436875910"/>
      <w:bookmarkStart w:id="1377" w:name="_Toc467248735"/>
      <w:bookmarkStart w:id="1378" w:name="_Toc525904620"/>
      <w:bookmarkStart w:id="1379" w:name="_Toc525914016"/>
      <w:bookmarkStart w:id="1380" w:name="_Toc525919255"/>
      <w:bookmarkStart w:id="1381" w:name="_Toc525919379"/>
      <w:bookmarkStart w:id="1382" w:name="_Toc2957189"/>
      <w:bookmarkEnd w:id="1343"/>
    </w:p>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p w:rsidR="00277ED2" w:rsidRPr="00611019" w:rsidRDefault="00E56462" w:rsidP="00035D2C">
      <w:pPr>
        <w:pStyle w:val="IFTnormal"/>
        <w:keepNext/>
        <w:spacing w:after="6pt"/>
        <w:rPr>
          <w:rFonts w:ascii="Century Gothic" w:hAnsi="Century Gothic"/>
          <w:b/>
        </w:rPr>
      </w:pPr>
      <w:r>
        <w:rPr>
          <w:rFonts w:ascii="Century Gothic" w:hAnsi="Century Gothic"/>
          <w:b/>
        </w:rPr>
        <w:t>Parámetros e Indicadores de Calidad para Pruebas del Servicio.</w:t>
      </w:r>
    </w:p>
    <w:p w:rsidR="00542C46" w:rsidRPr="00611019" w:rsidRDefault="00E56462" w:rsidP="00035D2C">
      <w:pPr>
        <w:pStyle w:val="IFTnormal"/>
        <w:rPr>
          <w:rFonts w:ascii="Century Gothic" w:hAnsi="Century Gothic"/>
          <w:b/>
        </w:rPr>
      </w:pPr>
      <w:r>
        <w:rPr>
          <w:rFonts w:ascii="Century Gothic" w:hAnsi="Century Gothic"/>
          <w:b/>
        </w:rPr>
        <w:t>Resistencia y Capacitancia.</w:t>
      </w:r>
    </w:p>
    <w:p w:rsidR="00542C46" w:rsidRPr="00611019" w:rsidRDefault="00542C46" w:rsidP="00035D2C">
      <w:pPr>
        <w:pStyle w:val="IFTnormal"/>
        <w:rPr>
          <w:rFonts w:ascii="Century Gothic" w:hAnsi="Century Gothic"/>
          <w:b/>
          <w:sz w:val="8"/>
        </w:rPr>
      </w:pPr>
    </w:p>
    <w:p w:rsidR="00277ED2" w:rsidRPr="00611019" w:rsidRDefault="00E56462" w:rsidP="00035D2C">
      <w:pPr>
        <w:pStyle w:val="IFTnormal"/>
        <w:rPr>
          <w:rFonts w:ascii="Century Gothic" w:hAnsi="Century Gothic"/>
        </w:rPr>
      </w:pPr>
      <w:r>
        <w:rPr>
          <w:rFonts w:ascii="Century Gothic" w:hAnsi="Century Gothic"/>
        </w:rPr>
        <w:t xml:space="preserve">En el proceso de aprovisionamiento y en el proceso de reparación de fallas para líneas de cobre, se realiza la medición de los parámetros eléctricos indicados en la tabla siguiente, esto se realiza entre la línea de cobre y tierra. </w:t>
      </w:r>
    </w:p>
    <w:p w:rsidR="00621444" w:rsidRPr="00611019" w:rsidRDefault="00621444" w:rsidP="00035D2C">
      <w:pPr>
        <w:pStyle w:val="IFTnormal"/>
        <w:spacing w:after="6pt"/>
        <w:rPr>
          <w:rFonts w:ascii="Century Gothic" w:hAnsi="Century Gothic"/>
        </w:rPr>
      </w:pPr>
    </w:p>
    <w:tbl>
      <w:tblPr>
        <w:tblStyle w:val="Tablaconcuadrcula2"/>
        <w:tblW w:w="340.20pt" w:type="dxa"/>
        <w:jc w:val="center"/>
        <w:tblLook w:firstRow="1" w:lastRow="0" w:firstColumn="1" w:lastColumn="0" w:noHBand="0" w:noVBand="0"/>
      </w:tblPr>
      <w:tblGrid>
        <w:gridCol w:w="2689"/>
        <w:gridCol w:w="2146"/>
        <w:gridCol w:w="1969"/>
      </w:tblGrid>
      <w:tr w:rsidR="0061711D" w:rsidTr="00F769B5">
        <w:trPr>
          <w:trHeight w:val="451"/>
          <w:jc w:val="center"/>
        </w:trPr>
        <w:tc>
          <w:tcPr>
            <w:tcW w:w="134.45pt" w:type="dxa"/>
            <w:shd w:val="clear" w:color="auto" w:fill="009AD9"/>
          </w:tcPr>
          <w:p w:rsidR="00277ED2" w:rsidRPr="00611019" w:rsidRDefault="00E56462" w:rsidP="00035D2C">
            <w:pPr>
              <w:pStyle w:val="IFTnormal"/>
              <w:spacing w:before="2pt" w:after="2pt"/>
              <w:jc w:val="center"/>
              <w:rPr>
                <w:rFonts w:ascii="Century Gothic" w:hAnsi="Century Gothic"/>
                <w:b/>
                <w:color w:val="FFFFFF" w:themeColor="background1"/>
                <w:sz w:val="20"/>
                <w:szCs w:val="20"/>
              </w:rPr>
            </w:pPr>
            <w:r>
              <w:rPr>
                <w:rFonts w:ascii="Century Gothic" w:hAnsi="Century Gothic"/>
                <w:b/>
                <w:color w:val="FFFFFF" w:themeColor="background1"/>
                <w:sz w:val="20"/>
                <w:szCs w:val="20"/>
              </w:rPr>
              <w:t>Parámetro</w:t>
            </w:r>
          </w:p>
        </w:tc>
        <w:tc>
          <w:tcPr>
            <w:tcW w:w="107.30pt" w:type="dxa"/>
            <w:shd w:val="clear" w:color="auto" w:fill="009AD9"/>
          </w:tcPr>
          <w:p w:rsidR="00277ED2" w:rsidRPr="00611019" w:rsidRDefault="00E56462" w:rsidP="00035D2C">
            <w:pPr>
              <w:pStyle w:val="IFTnormal"/>
              <w:spacing w:before="2pt" w:after="2pt"/>
              <w:jc w:val="center"/>
              <w:rPr>
                <w:rFonts w:ascii="Century Gothic" w:hAnsi="Century Gothic"/>
                <w:b/>
                <w:color w:val="FFFFFF" w:themeColor="background1"/>
                <w:sz w:val="20"/>
                <w:szCs w:val="20"/>
              </w:rPr>
            </w:pPr>
            <w:r>
              <w:rPr>
                <w:rFonts w:ascii="Century Gothic" w:hAnsi="Century Gothic"/>
                <w:b/>
                <w:color w:val="FFFFFF" w:themeColor="background1"/>
                <w:sz w:val="20"/>
                <w:szCs w:val="20"/>
              </w:rPr>
              <w:t>Medición entre puntos (hilos)</w:t>
            </w:r>
          </w:p>
        </w:tc>
        <w:tc>
          <w:tcPr>
            <w:tcW w:w="98.45pt" w:type="dxa"/>
            <w:shd w:val="clear" w:color="auto" w:fill="009AD9"/>
          </w:tcPr>
          <w:p w:rsidR="00277ED2" w:rsidRPr="00611019" w:rsidRDefault="00E56462" w:rsidP="00035D2C">
            <w:pPr>
              <w:pStyle w:val="IFTnormal"/>
              <w:spacing w:before="2pt" w:after="2pt"/>
              <w:jc w:val="center"/>
              <w:rPr>
                <w:rFonts w:ascii="Century Gothic" w:hAnsi="Century Gothic"/>
                <w:b/>
                <w:color w:val="FFFFFF" w:themeColor="background1"/>
                <w:sz w:val="20"/>
                <w:szCs w:val="20"/>
              </w:rPr>
            </w:pPr>
            <w:r>
              <w:rPr>
                <w:rFonts w:ascii="Century Gothic" w:hAnsi="Century Gothic"/>
                <w:b/>
                <w:color w:val="FFFFFF" w:themeColor="background1"/>
                <w:sz w:val="20"/>
                <w:szCs w:val="20"/>
              </w:rPr>
              <w:t>Valor Aceptable</w:t>
            </w:r>
          </w:p>
        </w:tc>
      </w:tr>
      <w:tr w:rsidR="0061711D" w:rsidTr="00277ED2">
        <w:trPr>
          <w:jc w:val="center"/>
        </w:trPr>
        <w:tc>
          <w:tcPr>
            <w:tcW w:w="134.45pt" w:type="dxa"/>
            <w:vMerge w:val="restart"/>
          </w:tcPr>
          <w:p w:rsidR="00277ED2" w:rsidRPr="00611019" w:rsidRDefault="00E56462" w:rsidP="00035D2C">
            <w:pPr>
              <w:spacing w:before="2pt" w:after="2pt"/>
              <w:jc w:val="center"/>
              <w:rPr>
                <w:rFonts w:ascii="Century Gothic" w:hAnsi="Century Gothic" w:cs="Arial"/>
                <w:b/>
                <w:sz w:val="20"/>
                <w:szCs w:val="20"/>
              </w:rPr>
            </w:pPr>
            <w:r>
              <w:rPr>
                <w:rFonts w:ascii="Century Gothic" w:hAnsi="Century Gothic" w:cs="Arial"/>
                <w:b/>
                <w:sz w:val="20"/>
                <w:szCs w:val="20"/>
              </w:rPr>
              <w:t>Resistencia de aislamiento</w:t>
            </w:r>
          </w:p>
        </w:tc>
        <w:tc>
          <w:tcPr>
            <w:tcW w:w="107.30pt" w:type="dxa"/>
          </w:tcPr>
          <w:p w:rsidR="00277ED2" w:rsidRPr="00611019" w:rsidRDefault="00E56462" w:rsidP="00035D2C">
            <w:pPr>
              <w:spacing w:before="2pt" w:after="2pt"/>
              <w:jc w:val="center"/>
              <w:rPr>
                <w:rFonts w:ascii="Century Gothic" w:hAnsi="Century Gothic" w:cs="Arial"/>
                <w:sz w:val="20"/>
                <w:szCs w:val="20"/>
              </w:rPr>
            </w:pPr>
            <w:r>
              <w:rPr>
                <w:rFonts w:ascii="Century Gothic" w:hAnsi="Century Gothic" w:cs="Arial"/>
                <w:sz w:val="20"/>
                <w:szCs w:val="20"/>
              </w:rPr>
              <w:t>a-b</w:t>
            </w:r>
          </w:p>
        </w:tc>
        <w:tc>
          <w:tcPr>
            <w:tcW w:w="98.45pt" w:type="dxa"/>
            <w:vMerge w:val="restart"/>
          </w:tcPr>
          <w:p w:rsidR="00277ED2" w:rsidRPr="00611019" w:rsidRDefault="00E56462" w:rsidP="00035D2C">
            <w:pPr>
              <w:spacing w:before="2pt" w:after="2pt"/>
              <w:jc w:val="end"/>
              <w:rPr>
                <w:rFonts w:ascii="Century Gothic" w:hAnsi="Century Gothic" w:cs="Arial"/>
                <w:sz w:val="20"/>
                <w:szCs w:val="20"/>
              </w:rPr>
            </w:pPr>
            <w:r>
              <w:rPr>
                <w:rFonts w:ascii="Century Gothic" w:hAnsi="Century Gothic" w:cs="Arial"/>
                <w:sz w:val="20"/>
                <w:szCs w:val="20"/>
              </w:rPr>
              <w:t>Mayor a 1 Mohms</w:t>
            </w:r>
          </w:p>
        </w:tc>
      </w:tr>
      <w:tr w:rsidR="0061711D" w:rsidTr="00277ED2">
        <w:trPr>
          <w:jc w:val="center"/>
        </w:trPr>
        <w:tc>
          <w:tcPr>
            <w:tcW w:w="134.45pt" w:type="dxa"/>
            <w:vMerge/>
          </w:tcPr>
          <w:p w:rsidR="00277ED2" w:rsidRPr="00611019" w:rsidRDefault="00277ED2" w:rsidP="00035D2C">
            <w:pPr>
              <w:spacing w:before="2pt" w:after="2pt"/>
              <w:rPr>
                <w:rFonts w:ascii="Century Gothic" w:hAnsi="Century Gothic" w:cs="Arial"/>
                <w:b/>
                <w:sz w:val="20"/>
                <w:szCs w:val="20"/>
              </w:rPr>
            </w:pPr>
          </w:p>
        </w:tc>
        <w:tc>
          <w:tcPr>
            <w:tcW w:w="107.30pt" w:type="dxa"/>
          </w:tcPr>
          <w:p w:rsidR="00277ED2" w:rsidRPr="00611019" w:rsidRDefault="00E56462" w:rsidP="00035D2C">
            <w:pPr>
              <w:spacing w:before="2pt" w:after="2pt"/>
              <w:jc w:val="center"/>
              <w:rPr>
                <w:rFonts w:ascii="Century Gothic" w:hAnsi="Century Gothic" w:cs="Arial"/>
                <w:sz w:val="20"/>
                <w:szCs w:val="20"/>
              </w:rPr>
            </w:pPr>
            <w:r>
              <w:rPr>
                <w:rFonts w:ascii="Century Gothic" w:hAnsi="Century Gothic" w:cs="Arial"/>
                <w:sz w:val="20"/>
                <w:szCs w:val="20"/>
              </w:rPr>
              <w:t>a-tierra</w:t>
            </w:r>
          </w:p>
        </w:tc>
        <w:tc>
          <w:tcPr>
            <w:tcW w:w="98.45pt" w:type="dxa"/>
            <w:vMerge/>
          </w:tcPr>
          <w:p w:rsidR="00277ED2" w:rsidRPr="00611019" w:rsidRDefault="00277ED2" w:rsidP="00035D2C">
            <w:pPr>
              <w:spacing w:before="2pt" w:after="2pt"/>
              <w:jc w:val="center"/>
              <w:rPr>
                <w:rFonts w:ascii="Century Gothic" w:hAnsi="Century Gothic" w:cs="Arial"/>
                <w:sz w:val="20"/>
                <w:szCs w:val="20"/>
              </w:rPr>
            </w:pPr>
          </w:p>
        </w:tc>
      </w:tr>
      <w:tr w:rsidR="0061711D" w:rsidTr="00277ED2">
        <w:trPr>
          <w:jc w:val="center"/>
        </w:trPr>
        <w:tc>
          <w:tcPr>
            <w:tcW w:w="134.45pt" w:type="dxa"/>
            <w:vMerge/>
          </w:tcPr>
          <w:p w:rsidR="00277ED2" w:rsidRPr="00611019" w:rsidRDefault="00277ED2" w:rsidP="00035D2C">
            <w:pPr>
              <w:spacing w:before="2pt" w:after="2pt"/>
              <w:rPr>
                <w:rFonts w:ascii="Century Gothic" w:hAnsi="Century Gothic" w:cs="Arial"/>
                <w:b/>
                <w:sz w:val="20"/>
                <w:szCs w:val="20"/>
              </w:rPr>
            </w:pPr>
          </w:p>
        </w:tc>
        <w:tc>
          <w:tcPr>
            <w:tcW w:w="107.30pt" w:type="dxa"/>
          </w:tcPr>
          <w:p w:rsidR="00277ED2" w:rsidRPr="00611019" w:rsidRDefault="00E56462" w:rsidP="00035D2C">
            <w:pPr>
              <w:spacing w:before="2pt" w:after="2pt"/>
              <w:jc w:val="center"/>
              <w:rPr>
                <w:rFonts w:ascii="Century Gothic" w:hAnsi="Century Gothic" w:cs="Arial"/>
                <w:sz w:val="20"/>
                <w:szCs w:val="20"/>
              </w:rPr>
            </w:pPr>
            <w:r>
              <w:rPr>
                <w:rFonts w:ascii="Century Gothic" w:hAnsi="Century Gothic" w:cs="Arial"/>
                <w:sz w:val="20"/>
                <w:szCs w:val="20"/>
              </w:rPr>
              <w:t>b-tierra</w:t>
            </w:r>
          </w:p>
        </w:tc>
        <w:tc>
          <w:tcPr>
            <w:tcW w:w="98.45pt" w:type="dxa"/>
            <w:vMerge/>
          </w:tcPr>
          <w:p w:rsidR="00277ED2" w:rsidRPr="00611019" w:rsidRDefault="00277ED2" w:rsidP="00035D2C">
            <w:pPr>
              <w:spacing w:before="2pt" w:after="2pt"/>
              <w:jc w:val="center"/>
              <w:rPr>
                <w:rFonts w:ascii="Century Gothic" w:hAnsi="Century Gothic" w:cs="Arial"/>
                <w:sz w:val="20"/>
                <w:szCs w:val="20"/>
              </w:rPr>
            </w:pPr>
          </w:p>
        </w:tc>
      </w:tr>
      <w:tr w:rsidR="0061711D" w:rsidTr="00277ED2">
        <w:trPr>
          <w:trHeight w:val="275"/>
          <w:jc w:val="center"/>
        </w:trPr>
        <w:tc>
          <w:tcPr>
            <w:tcW w:w="134.45pt" w:type="dxa"/>
            <w:vMerge w:val="restart"/>
          </w:tcPr>
          <w:p w:rsidR="00277ED2" w:rsidRPr="00611019" w:rsidRDefault="00E56462" w:rsidP="00035D2C">
            <w:pPr>
              <w:spacing w:before="2pt" w:after="2pt"/>
              <w:jc w:val="center"/>
              <w:rPr>
                <w:rFonts w:ascii="Century Gothic" w:hAnsi="Century Gothic" w:cs="Arial"/>
                <w:b/>
                <w:sz w:val="20"/>
                <w:szCs w:val="20"/>
              </w:rPr>
            </w:pPr>
            <w:r>
              <w:rPr>
                <w:rFonts w:ascii="Century Gothic" w:hAnsi="Century Gothic" w:cs="Arial"/>
                <w:b/>
                <w:sz w:val="20"/>
                <w:szCs w:val="20"/>
              </w:rPr>
              <w:t xml:space="preserve">Capacitancia </w:t>
            </w:r>
          </w:p>
        </w:tc>
        <w:tc>
          <w:tcPr>
            <w:tcW w:w="107.30pt" w:type="dxa"/>
          </w:tcPr>
          <w:p w:rsidR="00277ED2" w:rsidRPr="00611019" w:rsidRDefault="00E56462" w:rsidP="00035D2C">
            <w:pPr>
              <w:spacing w:before="2pt" w:after="2pt"/>
              <w:jc w:val="center"/>
              <w:rPr>
                <w:rFonts w:ascii="Century Gothic" w:hAnsi="Century Gothic" w:cs="Arial"/>
                <w:sz w:val="20"/>
                <w:szCs w:val="20"/>
              </w:rPr>
            </w:pPr>
            <w:r>
              <w:rPr>
                <w:rFonts w:ascii="Century Gothic" w:hAnsi="Century Gothic" w:cs="Arial"/>
                <w:sz w:val="20"/>
                <w:szCs w:val="20"/>
              </w:rPr>
              <w:t>a-b</w:t>
            </w:r>
          </w:p>
        </w:tc>
        <w:tc>
          <w:tcPr>
            <w:tcW w:w="98.45pt" w:type="dxa"/>
          </w:tcPr>
          <w:p w:rsidR="00277ED2" w:rsidRPr="00611019" w:rsidRDefault="00E56462" w:rsidP="00035D2C">
            <w:pPr>
              <w:spacing w:before="2pt" w:after="2pt"/>
              <w:jc w:val="end"/>
              <w:rPr>
                <w:rFonts w:ascii="Century Gothic" w:hAnsi="Century Gothic" w:cs="Arial"/>
                <w:sz w:val="20"/>
                <w:szCs w:val="20"/>
              </w:rPr>
            </w:pPr>
            <w:r>
              <w:rPr>
                <w:rFonts w:ascii="Century Gothic" w:hAnsi="Century Gothic" w:cs="Arial"/>
                <w:sz w:val="20"/>
                <w:szCs w:val="20"/>
              </w:rPr>
              <w:t>52.5 nF/ Km ± 5 %</w:t>
            </w:r>
          </w:p>
        </w:tc>
      </w:tr>
      <w:tr w:rsidR="0061711D" w:rsidTr="00277ED2">
        <w:trPr>
          <w:trHeight w:val="263"/>
          <w:jc w:val="center"/>
        </w:trPr>
        <w:tc>
          <w:tcPr>
            <w:tcW w:w="134.45pt" w:type="dxa"/>
            <w:vMerge/>
          </w:tcPr>
          <w:p w:rsidR="00277ED2" w:rsidRPr="00611019" w:rsidRDefault="00277ED2" w:rsidP="00035D2C">
            <w:pPr>
              <w:spacing w:before="2pt" w:after="2pt"/>
              <w:jc w:val="center"/>
              <w:rPr>
                <w:rFonts w:ascii="Century Gothic" w:hAnsi="Century Gothic" w:cs="Arial"/>
                <w:sz w:val="20"/>
                <w:szCs w:val="20"/>
              </w:rPr>
            </w:pPr>
          </w:p>
        </w:tc>
        <w:tc>
          <w:tcPr>
            <w:tcW w:w="107.30pt" w:type="dxa"/>
          </w:tcPr>
          <w:p w:rsidR="00277ED2" w:rsidRPr="00611019" w:rsidRDefault="00E56462" w:rsidP="00035D2C">
            <w:pPr>
              <w:spacing w:before="2pt" w:after="2pt"/>
              <w:jc w:val="center"/>
              <w:rPr>
                <w:rFonts w:ascii="Century Gothic" w:hAnsi="Century Gothic" w:cs="Arial"/>
                <w:sz w:val="20"/>
                <w:szCs w:val="20"/>
              </w:rPr>
            </w:pPr>
            <w:r>
              <w:rPr>
                <w:rFonts w:ascii="Century Gothic" w:hAnsi="Century Gothic" w:cs="Arial"/>
                <w:sz w:val="20"/>
                <w:szCs w:val="20"/>
              </w:rPr>
              <w:t>a-tierra</w:t>
            </w:r>
          </w:p>
        </w:tc>
        <w:tc>
          <w:tcPr>
            <w:tcW w:w="98.45pt" w:type="dxa"/>
          </w:tcPr>
          <w:p w:rsidR="00277ED2" w:rsidRPr="00611019" w:rsidRDefault="00E56462" w:rsidP="00035D2C">
            <w:pPr>
              <w:spacing w:before="2pt" w:after="2pt"/>
              <w:jc w:val="end"/>
              <w:rPr>
                <w:rFonts w:ascii="Century Gothic" w:hAnsi="Century Gothic" w:cs="Arial"/>
                <w:sz w:val="20"/>
                <w:szCs w:val="20"/>
              </w:rPr>
            </w:pPr>
            <w:r>
              <w:rPr>
                <w:rFonts w:ascii="Century Gothic" w:hAnsi="Century Gothic" w:cs="Arial"/>
                <w:sz w:val="20"/>
                <w:szCs w:val="20"/>
              </w:rPr>
              <w:t>64 nF/Km ± 10 %</w:t>
            </w:r>
          </w:p>
        </w:tc>
      </w:tr>
      <w:tr w:rsidR="0061711D" w:rsidTr="00277ED2">
        <w:trPr>
          <w:jc w:val="center"/>
        </w:trPr>
        <w:tc>
          <w:tcPr>
            <w:tcW w:w="134.45pt" w:type="dxa"/>
            <w:vMerge/>
          </w:tcPr>
          <w:p w:rsidR="00277ED2" w:rsidRPr="00611019" w:rsidRDefault="00277ED2" w:rsidP="00035D2C">
            <w:pPr>
              <w:spacing w:before="2pt" w:after="2pt"/>
              <w:rPr>
                <w:rFonts w:ascii="Century Gothic" w:hAnsi="Century Gothic" w:cs="Arial"/>
                <w:sz w:val="20"/>
                <w:szCs w:val="20"/>
              </w:rPr>
            </w:pPr>
          </w:p>
        </w:tc>
        <w:tc>
          <w:tcPr>
            <w:tcW w:w="107.30pt" w:type="dxa"/>
          </w:tcPr>
          <w:p w:rsidR="00277ED2" w:rsidRPr="00611019" w:rsidRDefault="00E56462" w:rsidP="00035D2C">
            <w:pPr>
              <w:spacing w:before="2pt" w:after="2pt"/>
              <w:jc w:val="center"/>
              <w:rPr>
                <w:rFonts w:ascii="Century Gothic" w:hAnsi="Century Gothic" w:cs="Arial"/>
                <w:sz w:val="20"/>
                <w:szCs w:val="20"/>
              </w:rPr>
            </w:pPr>
            <w:r>
              <w:rPr>
                <w:rFonts w:ascii="Century Gothic" w:hAnsi="Century Gothic" w:cs="Arial"/>
                <w:sz w:val="20"/>
                <w:szCs w:val="20"/>
              </w:rPr>
              <w:t>b-tierra</w:t>
            </w:r>
          </w:p>
        </w:tc>
        <w:tc>
          <w:tcPr>
            <w:tcW w:w="98.45pt" w:type="dxa"/>
          </w:tcPr>
          <w:p w:rsidR="00277ED2" w:rsidRPr="00611019" w:rsidRDefault="00E56462" w:rsidP="00035D2C">
            <w:pPr>
              <w:spacing w:before="2pt" w:after="2pt"/>
              <w:jc w:val="end"/>
              <w:rPr>
                <w:rFonts w:ascii="Century Gothic" w:hAnsi="Century Gothic" w:cs="Arial"/>
                <w:sz w:val="20"/>
                <w:szCs w:val="20"/>
              </w:rPr>
            </w:pPr>
            <w:r>
              <w:rPr>
                <w:rFonts w:ascii="Century Gothic" w:hAnsi="Century Gothic" w:cs="Arial"/>
                <w:sz w:val="20"/>
                <w:szCs w:val="20"/>
              </w:rPr>
              <w:t>64 nF/Km ± 10 %</w:t>
            </w:r>
          </w:p>
        </w:tc>
      </w:tr>
    </w:tbl>
    <w:p w:rsidR="00277ED2" w:rsidRPr="00611019" w:rsidRDefault="00E56462" w:rsidP="00035D2C">
      <w:pPr>
        <w:spacing w:after="6pt"/>
        <w:ind w:start="0.35pt"/>
        <w:jc w:val="center"/>
        <w:rPr>
          <w:rFonts w:ascii="Century Gothic" w:hAnsi="Century Gothic" w:cs="Arial"/>
          <w:b/>
          <w:bCs/>
        </w:rPr>
      </w:pPr>
      <w:r>
        <w:rPr>
          <w:rFonts w:ascii="Century Gothic" w:hAnsi="Century Gothic" w:cs="Arial"/>
          <w:b/>
          <w:bCs/>
          <w:sz w:val="18"/>
          <w:szCs w:val="18"/>
        </w:rPr>
        <w:t>Valores aceptables de resistencia y capacitancia</w:t>
      </w:r>
    </w:p>
    <w:p w:rsidR="00771D09" w:rsidRPr="00611019" w:rsidRDefault="00771D09" w:rsidP="008A330C">
      <w:pPr>
        <w:pStyle w:val="IFTnormal"/>
        <w:rPr>
          <w:rFonts w:ascii="Century Gothic" w:hAnsi="Century Gothic"/>
        </w:rPr>
      </w:pPr>
    </w:p>
    <w:p w:rsidR="00277ED2" w:rsidRPr="00611019" w:rsidRDefault="00E56462" w:rsidP="008A330C">
      <w:pPr>
        <w:pStyle w:val="IFTnormal"/>
        <w:rPr>
          <w:rFonts w:ascii="Century Gothic" w:hAnsi="Century Gothic"/>
        </w:rPr>
      </w:pPr>
      <w:r>
        <w:rPr>
          <w:rFonts w:ascii="Century Gothic" w:hAnsi="Century Gothic"/>
        </w:rPr>
        <w:t>Para los casos de servicios de acceso a internet, una vez validado el cobre se realiza la verificación de la sincronía con el equipo de pruebas correspondiente. Misma que consiste en conectar el equipo DSL para constatar que se active la indicación de sincronía DSL.</w:t>
      </w:r>
    </w:p>
    <w:p w:rsidR="00277ED2" w:rsidRPr="00611019" w:rsidRDefault="00E56462" w:rsidP="00035D2C">
      <w:pPr>
        <w:pStyle w:val="IFTnormal"/>
        <w:spacing w:after="3pt"/>
        <w:rPr>
          <w:rFonts w:ascii="Century Gothic" w:hAnsi="Century Gothic"/>
        </w:rPr>
      </w:pPr>
      <w:r>
        <w:rPr>
          <w:rFonts w:ascii="Century Gothic" w:hAnsi="Century Gothic"/>
        </w:rPr>
        <w:t>De lo anterior, se tiene que, si los resultados de las mediciones se encuentran dentro los rangos mostrados, el Servicio opera de forma adecuada, de lo contrario, es posible caracterizar las siguientes fallas:</w:t>
      </w:r>
    </w:p>
    <w:p w:rsidR="00277ED2" w:rsidRPr="00611019" w:rsidRDefault="00E56462">
      <w:pPr>
        <w:pStyle w:val="Prrafodelista"/>
        <w:numPr>
          <w:ilvl w:val="0"/>
          <w:numId w:val="61"/>
        </w:numPr>
        <w:spacing w:after="3pt"/>
        <w:jc w:val="both"/>
        <w:rPr>
          <w:rFonts w:ascii="Century Gothic" w:hAnsi="Century Gothic" w:cs="Arial"/>
        </w:rPr>
      </w:pPr>
      <w:r>
        <w:rPr>
          <w:rFonts w:ascii="Century Gothic" w:hAnsi="Century Gothic" w:cs="Arial"/>
        </w:rPr>
        <w:lastRenderedPageBreak/>
        <w:t>Fallas Resistivas (bajo aislamiento)</w:t>
      </w:r>
    </w:p>
    <w:p w:rsidR="00277ED2" w:rsidRPr="00611019" w:rsidRDefault="00E56462">
      <w:pPr>
        <w:pStyle w:val="Prrafodelista"/>
        <w:numPr>
          <w:ilvl w:val="0"/>
          <w:numId w:val="61"/>
        </w:numPr>
        <w:spacing w:after="3pt"/>
        <w:jc w:val="both"/>
        <w:rPr>
          <w:rFonts w:ascii="Century Gothic" w:hAnsi="Century Gothic" w:cs="Arial"/>
        </w:rPr>
      </w:pPr>
      <w:r>
        <w:rPr>
          <w:rFonts w:ascii="Century Gothic" w:hAnsi="Century Gothic" w:cs="Arial"/>
        </w:rPr>
        <w:t>Cortos</w:t>
      </w:r>
    </w:p>
    <w:p w:rsidR="00277ED2" w:rsidRPr="00611019" w:rsidRDefault="00E56462">
      <w:pPr>
        <w:pStyle w:val="Prrafodelista"/>
        <w:numPr>
          <w:ilvl w:val="0"/>
          <w:numId w:val="61"/>
        </w:numPr>
        <w:spacing w:after="3pt"/>
        <w:jc w:val="both"/>
        <w:rPr>
          <w:rFonts w:ascii="Century Gothic" w:hAnsi="Century Gothic" w:cs="Arial"/>
        </w:rPr>
      </w:pPr>
      <w:r>
        <w:rPr>
          <w:rFonts w:ascii="Century Gothic" w:hAnsi="Century Gothic" w:cs="Arial"/>
        </w:rPr>
        <w:t>Tierras</w:t>
      </w:r>
    </w:p>
    <w:p w:rsidR="00277ED2" w:rsidRPr="00611019" w:rsidRDefault="00E56462">
      <w:pPr>
        <w:pStyle w:val="Prrafodelista"/>
        <w:numPr>
          <w:ilvl w:val="0"/>
          <w:numId w:val="61"/>
        </w:numPr>
        <w:spacing w:after="3pt"/>
        <w:jc w:val="both"/>
        <w:rPr>
          <w:rFonts w:ascii="Century Gothic" w:hAnsi="Century Gothic" w:cs="Arial"/>
        </w:rPr>
      </w:pPr>
      <w:r>
        <w:rPr>
          <w:rFonts w:ascii="Century Gothic" w:hAnsi="Century Gothic" w:cs="Arial"/>
        </w:rPr>
        <w:t>Desbalance capacitivo</w:t>
      </w:r>
    </w:p>
    <w:p w:rsidR="00277ED2" w:rsidRPr="00E510DF" w:rsidRDefault="00E56462">
      <w:pPr>
        <w:pStyle w:val="Prrafodelista"/>
        <w:numPr>
          <w:ilvl w:val="0"/>
          <w:numId w:val="61"/>
        </w:numPr>
        <w:spacing w:after="3pt"/>
        <w:jc w:val="both"/>
        <w:rPr>
          <w:rFonts w:ascii="Century Gothic" w:eastAsiaTheme="minorHAnsi" w:hAnsi="Century Gothic" w:cs="Arial"/>
        </w:rPr>
      </w:pPr>
      <w:r w:rsidRPr="00E510DF">
        <w:rPr>
          <w:rFonts w:ascii="Century Gothic" w:eastAsiaTheme="minorHAnsi" w:hAnsi="Century Gothic" w:cs="Arial"/>
        </w:rPr>
        <w:t>Abiertos (discontinuidad parcial o total del hilo)</w:t>
      </w:r>
    </w:p>
    <w:p w:rsidR="00606F15" w:rsidRPr="00E510DF" w:rsidRDefault="00606F15" w:rsidP="00E510DF">
      <w:bookmarkStart w:id="1383" w:name="_Toc436840917"/>
      <w:bookmarkStart w:id="1384" w:name="_Toc436846354"/>
      <w:bookmarkStart w:id="1385" w:name="_Toc436848304"/>
      <w:bookmarkStart w:id="1386" w:name="_Toc436856552"/>
      <w:bookmarkStart w:id="1387" w:name="_Toc436862698"/>
      <w:bookmarkStart w:id="1388" w:name="_Toc436866348"/>
      <w:bookmarkStart w:id="1389" w:name="_Toc436870927"/>
      <w:bookmarkStart w:id="1390" w:name="_Toc436875919"/>
      <w:bookmarkStart w:id="1391" w:name="_Toc467248742"/>
      <w:bookmarkStart w:id="1392" w:name="_Toc525904627"/>
      <w:bookmarkStart w:id="1393" w:name="_Toc525914023"/>
      <w:bookmarkStart w:id="1394" w:name="_Toc525919262"/>
      <w:bookmarkStart w:id="1395" w:name="_Toc525919386"/>
      <w:bookmarkStart w:id="1396" w:name="_Toc2957196"/>
      <w:bookmarkStart w:id="1397" w:name="_Toc24477614"/>
      <w:bookmarkStart w:id="1398" w:name="_Toc24473486"/>
      <w:bookmarkStart w:id="1399" w:name="_Toc26281425"/>
      <w:bookmarkStart w:id="1400" w:name="_Toc26284961"/>
      <w:bookmarkStart w:id="1401" w:name="_Toc26903946"/>
      <w:bookmarkStart w:id="1402" w:name="_Toc43913188"/>
      <w:bookmarkStart w:id="1403" w:name="_Toc26980670"/>
      <w:bookmarkStart w:id="1404" w:name="_Toc53488524"/>
      <w:bookmarkStart w:id="1405" w:name="_Toc53490456"/>
      <w:bookmarkStart w:id="1406" w:name="_Toc53498464"/>
      <w:bookmarkStart w:id="1407" w:name="_Toc58578821"/>
      <w:bookmarkStart w:id="1408" w:name="_Toc92974046"/>
      <w:bookmarkStart w:id="1409" w:name="_Toc93052357"/>
      <w:bookmarkStart w:id="1410" w:name="_Toc93056312"/>
      <w:bookmarkStart w:id="1411" w:name="_Toc125393359"/>
      <w:bookmarkStart w:id="1412" w:name="_Toc148702215"/>
      <w:bookmarkStart w:id="1413" w:name="_Toc170381837"/>
    </w:p>
    <w:p w:rsidR="00277ED2" w:rsidRPr="00611019" w:rsidRDefault="00E56462" w:rsidP="00035D2C">
      <w:pPr>
        <w:pStyle w:val="Ttulo2"/>
        <w:spacing w:after="0pt"/>
        <w:ind w:start="0pt" w:firstLine="0pt"/>
        <w:rPr>
          <w:rFonts w:ascii="Century Gothic" w:hAnsi="Century Gothic"/>
        </w:rPr>
      </w:pPr>
      <w:r>
        <w:rPr>
          <w:rFonts w:ascii="Century Gothic" w:hAnsi="Century Gothic"/>
        </w:rPr>
        <w:t>4.</w:t>
      </w:r>
      <w:r w:rsidR="004C6D1E">
        <w:rPr>
          <w:rFonts w:ascii="Century Gothic" w:hAnsi="Century Gothic"/>
        </w:rPr>
        <w:t>2</w:t>
      </w:r>
      <w:r>
        <w:rPr>
          <w:rFonts w:ascii="Century Gothic" w:hAnsi="Century Gothic"/>
        </w:rPr>
        <w:t xml:space="preserve"> Procedimiento para la realización de pruebas de la entrega del SDTBL</w:t>
      </w:r>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p>
    <w:p w:rsidR="00542C46" w:rsidRPr="00611019" w:rsidRDefault="00542C46" w:rsidP="00035D2C">
      <w:pPr>
        <w:rPr>
          <w:sz w:val="8"/>
        </w:rPr>
      </w:pPr>
    </w:p>
    <w:p w:rsidR="00277ED2" w:rsidRPr="00611019" w:rsidRDefault="00E56462" w:rsidP="00035D2C">
      <w:pPr>
        <w:jc w:val="both"/>
        <w:rPr>
          <w:rFonts w:ascii="Century Gothic" w:hAnsi="Century Gothic" w:cs="Arial"/>
        </w:rPr>
      </w:pPr>
      <w:r>
        <w:rPr>
          <w:rFonts w:ascii="Century Gothic" w:hAnsi="Century Gothic" w:cs="Arial"/>
        </w:rPr>
        <w:t>La prueba de entrega de los Servicios cuyo medio de acceso sea el par de cobre se realiza mediante la medición de los parámetros eléctricos de resistencia de aislamiento y capacitancia y cuyo valor deberá encontrase dentro de los umbrales de aceptación establecidos en la sección de Parámetros e indicadores de calidad.</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El técnico debe realizar las diversas pruebas que los equipos de medición empleados por </w:t>
      </w:r>
      <w:r>
        <w:rPr>
          <w:rFonts w:ascii="Century Gothic" w:hAnsi="Century Gothic"/>
        </w:rPr>
        <w:t>RED NACIONAL</w:t>
      </w:r>
      <w:r>
        <w:rPr>
          <w:rFonts w:ascii="Century Gothic" w:hAnsi="Century Gothic" w:cs="Arial"/>
        </w:rPr>
        <w:t xml:space="preserve"> permiten (indicar el nombre del equipo y modelo en el momento que se realizan las pruebas).</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Cada prueba realizada que implique el uso de un equipo de medición deberá ser ejecutada una vez confirmado el correcto funcionamiento de dicho equipo. Estos equipos deberán contar con su certificado o dictamen de calibración de acuerdo con las disposiciones aplicables. </w:t>
      </w:r>
    </w:p>
    <w:p w:rsidR="00445CC2" w:rsidRDefault="00445CC2" w:rsidP="00035D2C">
      <w:pPr>
        <w:jc w:val="both"/>
        <w:rPr>
          <w:rFonts w:ascii="Century Gothic" w:hAnsi="Century Gothic" w:cs="Arial"/>
        </w:rPr>
      </w:pPr>
    </w:p>
    <w:p w:rsidR="00277ED2" w:rsidRPr="00611019" w:rsidRDefault="00E56462" w:rsidP="00035D2C">
      <w:pPr>
        <w:jc w:val="both"/>
        <w:rPr>
          <w:rFonts w:ascii="Century Gothic" w:hAnsi="Century Gothic" w:cs="Arial"/>
          <w:b/>
        </w:rPr>
      </w:pPr>
      <w:r>
        <w:rPr>
          <w:rFonts w:ascii="Century Gothic" w:hAnsi="Century Gothic" w:cs="Arial"/>
          <w:b/>
        </w:rPr>
        <w:t>Metodología.</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La medición de los parámetros indicados se realizará mediante un técnico quién realizará las mediciones en el domicilio del </w:t>
      </w:r>
      <w:r>
        <w:rPr>
          <w:rFonts w:ascii="Century Gothic" w:hAnsi="Century Gothic"/>
        </w:rPr>
        <w:t>Usuario Final</w:t>
      </w:r>
      <w:r>
        <w:rPr>
          <w:rFonts w:ascii="Century Gothic" w:hAnsi="Century Gothic" w:cs="Arial"/>
        </w:rPr>
        <w:t xml:space="preserve"> (PCT) a fin de validar los parámetros eléctricos. Al término de la ejecución se registrarán los valores en el formato de la imagen a continuación, indicando el cumplimiento de acuerdo a la tabla de Parámetros Eléctricos de esta OREDA.</w:t>
      </w:r>
    </w:p>
    <w:p w:rsidR="00277ED2" w:rsidRPr="00611019" w:rsidRDefault="00277ED2" w:rsidP="00035D2C">
      <w:pPr>
        <w:spacing w:after="6pt"/>
        <w:jc w:val="both"/>
        <w:rPr>
          <w:rFonts w:ascii="Century Gothic" w:hAnsi="Century Gothic" w:cs="Arial"/>
          <w:sz w:val="16"/>
        </w:rPr>
      </w:pPr>
    </w:p>
    <w:tbl>
      <w:tblPr>
        <w:tblStyle w:val="Tablaconcuadrcula2"/>
        <w:tblW w:w="490.15pt" w:type="dxa"/>
        <w:jc w:val="center"/>
        <w:tblLayout w:type="fixed"/>
        <w:tblLook w:firstRow="1" w:lastRow="0" w:firstColumn="1" w:lastColumn="0" w:noHBand="0" w:noVBand="1"/>
      </w:tblPr>
      <w:tblGrid>
        <w:gridCol w:w="1130"/>
        <w:gridCol w:w="994"/>
        <w:gridCol w:w="992"/>
        <w:gridCol w:w="709"/>
        <w:gridCol w:w="1134"/>
        <w:gridCol w:w="1134"/>
        <w:gridCol w:w="1134"/>
        <w:gridCol w:w="702"/>
        <w:gridCol w:w="1009"/>
        <w:gridCol w:w="865"/>
      </w:tblGrid>
      <w:tr w:rsidR="0061711D" w:rsidTr="00381326">
        <w:trPr>
          <w:trHeight w:val="20"/>
          <w:jc w:val="center"/>
        </w:trPr>
        <w:tc>
          <w:tcPr>
            <w:tcW w:w="56.45pt" w:type="dxa"/>
            <w:shd w:val="clear" w:color="auto" w:fill="009AD9"/>
            <w:vAlign w:val="center"/>
          </w:tcPr>
          <w:p w:rsidR="00277ED2" w:rsidRPr="00611019" w:rsidRDefault="00E56462" w:rsidP="00035D2C">
            <w:pPr>
              <w:pStyle w:val="IFTnormal"/>
              <w:spacing w:before="2pt" w:after="2pt"/>
              <w:jc w:val="center"/>
              <w:rPr>
                <w:rFonts w:ascii="Century Gothic" w:hAnsi="Century Gothic"/>
                <w:b/>
                <w:color w:val="FFFFFF" w:themeColor="background1"/>
                <w:sz w:val="12"/>
                <w:szCs w:val="20"/>
              </w:rPr>
            </w:pPr>
            <w:r>
              <w:rPr>
                <w:rFonts w:ascii="Century Gothic" w:hAnsi="Century Gothic"/>
                <w:b/>
                <w:color w:val="FFFFFF" w:themeColor="background1"/>
                <w:sz w:val="12"/>
                <w:szCs w:val="20"/>
              </w:rPr>
              <w:t>Resistencia AB:</w:t>
            </w:r>
          </w:p>
        </w:tc>
        <w:tc>
          <w:tcPr>
            <w:tcW w:w="49.65pt" w:type="dxa"/>
            <w:shd w:val="clear" w:color="auto" w:fill="009AD9"/>
            <w:vAlign w:val="center"/>
          </w:tcPr>
          <w:p w:rsidR="00277ED2" w:rsidRPr="00611019" w:rsidRDefault="00E56462" w:rsidP="00035D2C">
            <w:pPr>
              <w:pStyle w:val="IFTnormal"/>
              <w:spacing w:before="2pt" w:after="2pt"/>
              <w:jc w:val="center"/>
              <w:rPr>
                <w:rFonts w:ascii="Century Gothic" w:hAnsi="Century Gothic"/>
                <w:b/>
                <w:color w:val="FFFFFF" w:themeColor="background1"/>
                <w:sz w:val="12"/>
                <w:szCs w:val="20"/>
              </w:rPr>
            </w:pPr>
            <w:r>
              <w:rPr>
                <w:rFonts w:ascii="Century Gothic" w:hAnsi="Century Gothic"/>
                <w:b/>
                <w:color w:val="FFFFFF" w:themeColor="background1"/>
                <w:sz w:val="12"/>
                <w:szCs w:val="20"/>
              </w:rPr>
              <w:t>Resistencia AT:</w:t>
            </w:r>
          </w:p>
        </w:tc>
        <w:tc>
          <w:tcPr>
            <w:tcW w:w="49.60pt" w:type="dxa"/>
            <w:shd w:val="clear" w:color="auto" w:fill="009AD9"/>
            <w:vAlign w:val="center"/>
          </w:tcPr>
          <w:p w:rsidR="00277ED2" w:rsidRPr="00611019" w:rsidRDefault="00E56462" w:rsidP="00035D2C">
            <w:pPr>
              <w:pStyle w:val="IFTnormal"/>
              <w:spacing w:before="2pt" w:after="2pt"/>
              <w:jc w:val="center"/>
              <w:rPr>
                <w:rFonts w:ascii="Century Gothic" w:hAnsi="Century Gothic"/>
                <w:b/>
                <w:color w:val="FFFFFF" w:themeColor="background1"/>
                <w:sz w:val="12"/>
                <w:szCs w:val="20"/>
              </w:rPr>
            </w:pPr>
            <w:r>
              <w:rPr>
                <w:rFonts w:ascii="Century Gothic" w:hAnsi="Century Gothic"/>
                <w:b/>
                <w:color w:val="FFFFFF" w:themeColor="background1"/>
                <w:sz w:val="12"/>
                <w:szCs w:val="20"/>
              </w:rPr>
              <w:t>Resistencia BT:</w:t>
            </w:r>
          </w:p>
        </w:tc>
        <w:tc>
          <w:tcPr>
            <w:tcW w:w="35.45pt" w:type="dxa"/>
            <w:shd w:val="clear" w:color="auto" w:fill="009AD9"/>
            <w:vAlign w:val="center"/>
          </w:tcPr>
          <w:p w:rsidR="00277ED2" w:rsidRPr="00611019" w:rsidRDefault="00E56462" w:rsidP="00035D2C">
            <w:pPr>
              <w:pStyle w:val="IFTnormal"/>
              <w:spacing w:before="2pt" w:after="2pt"/>
              <w:jc w:val="center"/>
              <w:rPr>
                <w:rFonts w:ascii="Century Gothic" w:hAnsi="Century Gothic"/>
                <w:b/>
                <w:color w:val="FFFFFF" w:themeColor="background1"/>
                <w:sz w:val="12"/>
                <w:szCs w:val="20"/>
              </w:rPr>
            </w:pPr>
            <w:r>
              <w:rPr>
                <w:rFonts w:ascii="Century Gothic" w:hAnsi="Century Gothic"/>
                <w:b/>
                <w:color w:val="FFFFFF" w:themeColor="background1"/>
                <w:sz w:val="12"/>
                <w:szCs w:val="20"/>
              </w:rPr>
              <w:t>Unidad</w:t>
            </w:r>
          </w:p>
        </w:tc>
        <w:tc>
          <w:tcPr>
            <w:tcW w:w="56.70pt" w:type="dxa"/>
            <w:shd w:val="clear" w:color="auto" w:fill="009AD9"/>
            <w:vAlign w:val="center"/>
          </w:tcPr>
          <w:p w:rsidR="00277ED2" w:rsidRPr="00611019" w:rsidRDefault="00E56462" w:rsidP="00035D2C">
            <w:pPr>
              <w:pStyle w:val="IFTnormal"/>
              <w:spacing w:before="2pt" w:after="2pt"/>
              <w:jc w:val="center"/>
              <w:rPr>
                <w:rFonts w:ascii="Century Gothic" w:hAnsi="Century Gothic"/>
                <w:b/>
                <w:color w:val="FFFFFF" w:themeColor="background1"/>
                <w:sz w:val="12"/>
                <w:szCs w:val="20"/>
              </w:rPr>
            </w:pPr>
            <w:r>
              <w:rPr>
                <w:rFonts w:ascii="Century Gothic" w:hAnsi="Century Gothic"/>
                <w:b/>
                <w:color w:val="FFFFFF" w:themeColor="background1"/>
                <w:sz w:val="12"/>
                <w:szCs w:val="20"/>
              </w:rPr>
              <w:t>Capacitancia AB:</w:t>
            </w:r>
          </w:p>
        </w:tc>
        <w:tc>
          <w:tcPr>
            <w:tcW w:w="56.70pt" w:type="dxa"/>
            <w:shd w:val="clear" w:color="auto" w:fill="009AD9"/>
            <w:vAlign w:val="center"/>
          </w:tcPr>
          <w:p w:rsidR="00277ED2" w:rsidRPr="00611019" w:rsidRDefault="00E56462" w:rsidP="00035D2C">
            <w:pPr>
              <w:pStyle w:val="IFTnormal"/>
              <w:spacing w:before="2pt" w:after="2pt"/>
              <w:jc w:val="center"/>
              <w:rPr>
                <w:rFonts w:ascii="Century Gothic" w:hAnsi="Century Gothic"/>
                <w:b/>
                <w:color w:val="FFFFFF" w:themeColor="background1"/>
                <w:sz w:val="12"/>
                <w:szCs w:val="20"/>
              </w:rPr>
            </w:pPr>
            <w:r>
              <w:rPr>
                <w:rFonts w:ascii="Century Gothic" w:hAnsi="Century Gothic"/>
                <w:b/>
                <w:color w:val="FFFFFF" w:themeColor="background1"/>
                <w:sz w:val="12"/>
                <w:szCs w:val="20"/>
              </w:rPr>
              <w:t>Capacitancia AT:</w:t>
            </w:r>
          </w:p>
        </w:tc>
        <w:tc>
          <w:tcPr>
            <w:tcW w:w="56.70pt" w:type="dxa"/>
            <w:shd w:val="clear" w:color="auto" w:fill="009AD9"/>
            <w:vAlign w:val="center"/>
          </w:tcPr>
          <w:p w:rsidR="00277ED2" w:rsidRPr="00611019" w:rsidRDefault="00E56462" w:rsidP="00035D2C">
            <w:pPr>
              <w:pStyle w:val="IFTnormal"/>
              <w:spacing w:before="2pt" w:after="2pt"/>
              <w:jc w:val="center"/>
              <w:rPr>
                <w:rFonts w:ascii="Century Gothic" w:hAnsi="Century Gothic"/>
                <w:b/>
                <w:color w:val="FFFFFF" w:themeColor="background1"/>
                <w:sz w:val="12"/>
                <w:szCs w:val="20"/>
              </w:rPr>
            </w:pPr>
            <w:r>
              <w:rPr>
                <w:rFonts w:ascii="Century Gothic" w:hAnsi="Century Gothic"/>
                <w:b/>
                <w:color w:val="FFFFFF" w:themeColor="background1"/>
                <w:sz w:val="12"/>
                <w:szCs w:val="20"/>
              </w:rPr>
              <w:t>Capacitancia BT:</w:t>
            </w:r>
          </w:p>
        </w:tc>
        <w:tc>
          <w:tcPr>
            <w:tcW w:w="35.10pt" w:type="dxa"/>
            <w:shd w:val="clear" w:color="auto" w:fill="009AD9"/>
            <w:vAlign w:val="center"/>
          </w:tcPr>
          <w:p w:rsidR="00277ED2" w:rsidRPr="00611019" w:rsidRDefault="00E56462" w:rsidP="00035D2C">
            <w:pPr>
              <w:pStyle w:val="IFTnormal"/>
              <w:spacing w:before="2pt" w:after="2pt"/>
              <w:jc w:val="center"/>
              <w:rPr>
                <w:rFonts w:ascii="Century Gothic" w:hAnsi="Century Gothic"/>
                <w:b/>
                <w:color w:val="FFFFFF" w:themeColor="background1"/>
                <w:sz w:val="12"/>
                <w:szCs w:val="20"/>
              </w:rPr>
            </w:pPr>
            <w:r>
              <w:rPr>
                <w:rFonts w:ascii="Century Gothic" w:hAnsi="Century Gothic"/>
                <w:b/>
                <w:color w:val="FFFFFF" w:themeColor="background1"/>
                <w:sz w:val="12"/>
                <w:szCs w:val="20"/>
              </w:rPr>
              <w:t>Unidad</w:t>
            </w:r>
          </w:p>
        </w:tc>
        <w:tc>
          <w:tcPr>
            <w:tcW w:w="50.45pt" w:type="dxa"/>
            <w:shd w:val="clear" w:color="auto" w:fill="009AD9"/>
            <w:vAlign w:val="center"/>
          </w:tcPr>
          <w:p w:rsidR="00277ED2" w:rsidRPr="00611019" w:rsidRDefault="00E56462" w:rsidP="00035D2C">
            <w:pPr>
              <w:pStyle w:val="IFTnormal"/>
              <w:spacing w:before="2pt" w:after="2pt"/>
              <w:jc w:val="center"/>
              <w:rPr>
                <w:rFonts w:ascii="Century Gothic" w:hAnsi="Century Gothic"/>
                <w:b/>
                <w:color w:val="FFFFFF" w:themeColor="background1"/>
                <w:sz w:val="12"/>
                <w:szCs w:val="20"/>
              </w:rPr>
            </w:pPr>
            <w:r>
              <w:rPr>
                <w:rFonts w:ascii="Century Gothic" w:hAnsi="Century Gothic"/>
                <w:b/>
                <w:color w:val="FFFFFF" w:themeColor="background1"/>
                <w:sz w:val="12"/>
                <w:szCs w:val="20"/>
              </w:rPr>
              <w:t>Distancia</w:t>
            </w:r>
          </w:p>
        </w:tc>
        <w:tc>
          <w:tcPr>
            <w:tcW w:w="43.25pt" w:type="dxa"/>
            <w:shd w:val="clear" w:color="auto" w:fill="009AD9"/>
            <w:vAlign w:val="center"/>
          </w:tcPr>
          <w:p w:rsidR="00277ED2" w:rsidRPr="00611019" w:rsidRDefault="00E56462" w:rsidP="00035D2C">
            <w:pPr>
              <w:pStyle w:val="IFTnormal"/>
              <w:spacing w:before="2pt" w:after="2pt"/>
              <w:jc w:val="center"/>
              <w:rPr>
                <w:rFonts w:ascii="Century Gothic" w:hAnsi="Century Gothic"/>
                <w:b/>
                <w:color w:val="FFFFFF" w:themeColor="background1"/>
                <w:sz w:val="12"/>
                <w:szCs w:val="20"/>
              </w:rPr>
            </w:pPr>
            <w:r>
              <w:rPr>
                <w:rFonts w:ascii="Century Gothic" w:hAnsi="Century Gothic"/>
                <w:b/>
                <w:color w:val="FFFFFF" w:themeColor="background1"/>
                <w:sz w:val="12"/>
                <w:szCs w:val="20"/>
              </w:rPr>
              <w:t>Unidad</w:t>
            </w:r>
          </w:p>
        </w:tc>
      </w:tr>
      <w:tr w:rsidR="0061711D" w:rsidTr="00381326">
        <w:trPr>
          <w:trHeight w:val="341"/>
          <w:jc w:val="center"/>
        </w:trPr>
        <w:tc>
          <w:tcPr>
            <w:tcW w:w="56.45pt" w:type="dxa"/>
            <w:vAlign w:val="center"/>
          </w:tcPr>
          <w:p w:rsidR="00277ED2" w:rsidRPr="00611019" w:rsidRDefault="00E56462" w:rsidP="00035D2C">
            <w:pPr>
              <w:spacing w:before="2pt" w:after="2pt"/>
              <w:jc w:val="center"/>
              <w:rPr>
                <w:rFonts w:ascii="Century Gothic" w:hAnsi="Century Gothic" w:cs="Arial"/>
                <w:sz w:val="14"/>
              </w:rPr>
            </w:pPr>
            <w:r>
              <w:rPr>
                <w:rFonts w:ascii="Century Gothic" w:hAnsi="Century Gothic" w:cs="Arial"/>
                <w:sz w:val="14"/>
              </w:rPr>
              <w:t>1.15</w:t>
            </w:r>
          </w:p>
        </w:tc>
        <w:tc>
          <w:tcPr>
            <w:tcW w:w="49.65pt" w:type="dxa"/>
            <w:vAlign w:val="center"/>
          </w:tcPr>
          <w:p w:rsidR="00277ED2" w:rsidRPr="00611019" w:rsidRDefault="00E56462" w:rsidP="00035D2C">
            <w:pPr>
              <w:spacing w:before="2pt" w:after="2pt"/>
              <w:jc w:val="center"/>
              <w:rPr>
                <w:rFonts w:ascii="Century Gothic" w:hAnsi="Century Gothic" w:cs="Arial"/>
                <w:sz w:val="14"/>
              </w:rPr>
            </w:pPr>
            <w:r>
              <w:rPr>
                <w:rFonts w:ascii="Century Gothic" w:hAnsi="Century Gothic" w:cs="Arial"/>
                <w:sz w:val="14"/>
              </w:rPr>
              <w:t>1.19</w:t>
            </w:r>
          </w:p>
        </w:tc>
        <w:tc>
          <w:tcPr>
            <w:tcW w:w="49.60pt" w:type="dxa"/>
            <w:vAlign w:val="center"/>
          </w:tcPr>
          <w:p w:rsidR="00277ED2" w:rsidRPr="00611019" w:rsidRDefault="00E56462" w:rsidP="00035D2C">
            <w:pPr>
              <w:spacing w:before="2pt" w:after="2pt"/>
              <w:jc w:val="center"/>
              <w:rPr>
                <w:rFonts w:ascii="Century Gothic" w:hAnsi="Century Gothic" w:cs="Arial"/>
                <w:sz w:val="14"/>
              </w:rPr>
            </w:pPr>
            <w:r>
              <w:rPr>
                <w:rFonts w:ascii="Century Gothic" w:hAnsi="Century Gothic" w:cs="Arial"/>
                <w:sz w:val="14"/>
              </w:rPr>
              <w:t>1.89</w:t>
            </w:r>
          </w:p>
        </w:tc>
        <w:tc>
          <w:tcPr>
            <w:tcW w:w="35.45pt" w:type="dxa"/>
            <w:vAlign w:val="center"/>
          </w:tcPr>
          <w:p w:rsidR="00277ED2" w:rsidRPr="00611019" w:rsidRDefault="00E56462" w:rsidP="00035D2C">
            <w:pPr>
              <w:spacing w:before="2pt" w:after="2pt"/>
              <w:jc w:val="center"/>
              <w:rPr>
                <w:rFonts w:ascii="Century Gothic" w:hAnsi="Century Gothic" w:cs="Arial"/>
                <w:sz w:val="14"/>
              </w:rPr>
            </w:pPr>
            <w:r>
              <w:rPr>
                <w:rFonts w:ascii="Century Gothic" w:hAnsi="Century Gothic" w:cs="Arial"/>
                <w:sz w:val="14"/>
              </w:rPr>
              <w:t>Mohms</w:t>
            </w:r>
          </w:p>
        </w:tc>
        <w:tc>
          <w:tcPr>
            <w:tcW w:w="56.70pt" w:type="dxa"/>
            <w:vAlign w:val="center"/>
          </w:tcPr>
          <w:p w:rsidR="00277ED2" w:rsidRPr="00611019" w:rsidRDefault="00E56462" w:rsidP="00035D2C">
            <w:pPr>
              <w:spacing w:before="2pt" w:after="2pt"/>
              <w:jc w:val="center"/>
              <w:rPr>
                <w:rFonts w:ascii="Century Gothic" w:hAnsi="Century Gothic" w:cs="Arial"/>
                <w:sz w:val="14"/>
              </w:rPr>
            </w:pPr>
            <w:r>
              <w:rPr>
                <w:rFonts w:ascii="Century Gothic" w:hAnsi="Century Gothic" w:cs="Arial"/>
                <w:sz w:val="14"/>
              </w:rPr>
              <w:t>51.88</w:t>
            </w:r>
          </w:p>
        </w:tc>
        <w:tc>
          <w:tcPr>
            <w:tcW w:w="56.70pt" w:type="dxa"/>
            <w:vAlign w:val="center"/>
          </w:tcPr>
          <w:p w:rsidR="00277ED2" w:rsidRPr="00611019" w:rsidRDefault="00E56462" w:rsidP="00035D2C">
            <w:pPr>
              <w:spacing w:before="2pt" w:after="2pt"/>
              <w:jc w:val="center"/>
              <w:rPr>
                <w:rFonts w:ascii="Century Gothic" w:hAnsi="Century Gothic" w:cs="Arial"/>
                <w:sz w:val="14"/>
              </w:rPr>
            </w:pPr>
            <w:r>
              <w:rPr>
                <w:rFonts w:ascii="Century Gothic" w:hAnsi="Century Gothic" w:cs="Arial"/>
                <w:sz w:val="14"/>
              </w:rPr>
              <w:t>63.98</w:t>
            </w:r>
          </w:p>
        </w:tc>
        <w:tc>
          <w:tcPr>
            <w:tcW w:w="56.70pt" w:type="dxa"/>
            <w:vAlign w:val="center"/>
          </w:tcPr>
          <w:p w:rsidR="00277ED2" w:rsidRPr="00611019" w:rsidRDefault="00E56462" w:rsidP="00035D2C">
            <w:pPr>
              <w:spacing w:before="2pt" w:after="2pt"/>
              <w:jc w:val="center"/>
              <w:rPr>
                <w:rFonts w:ascii="Century Gothic" w:hAnsi="Century Gothic" w:cs="Arial"/>
                <w:sz w:val="14"/>
              </w:rPr>
            </w:pPr>
            <w:r>
              <w:rPr>
                <w:rFonts w:ascii="Century Gothic" w:hAnsi="Century Gothic" w:cs="Arial"/>
                <w:sz w:val="14"/>
              </w:rPr>
              <w:t>64.6</w:t>
            </w:r>
          </w:p>
        </w:tc>
        <w:tc>
          <w:tcPr>
            <w:tcW w:w="35.10pt" w:type="dxa"/>
            <w:vAlign w:val="center"/>
          </w:tcPr>
          <w:p w:rsidR="00277ED2" w:rsidRPr="00611019" w:rsidRDefault="00E56462" w:rsidP="00035D2C">
            <w:pPr>
              <w:spacing w:before="2pt" w:after="2pt"/>
              <w:jc w:val="center"/>
              <w:rPr>
                <w:rFonts w:ascii="Century Gothic" w:hAnsi="Century Gothic" w:cs="Arial"/>
                <w:sz w:val="14"/>
              </w:rPr>
            </w:pPr>
            <w:r>
              <w:rPr>
                <w:rFonts w:ascii="Century Gothic" w:hAnsi="Century Gothic" w:cs="Arial"/>
                <w:sz w:val="14"/>
              </w:rPr>
              <w:t>_nF</w:t>
            </w:r>
          </w:p>
        </w:tc>
        <w:tc>
          <w:tcPr>
            <w:tcW w:w="50.45pt" w:type="dxa"/>
            <w:vAlign w:val="center"/>
          </w:tcPr>
          <w:p w:rsidR="00277ED2" w:rsidRPr="00611019" w:rsidRDefault="00E56462" w:rsidP="00035D2C">
            <w:pPr>
              <w:spacing w:before="2pt" w:after="2pt"/>
              <w:jc w:val="center"/>
              <w:rPr>
                <w:rFonts w:ascii="Century Gothic" w:hAnsi="Century Gothic" w:cs="Arial"/>
                <w:sz w:val="14"/>
              </w:rPr>
            </w:pPr>
            <w:r>
              <w:rPr>
                <w:rFonts w:ascii="Century Gothic" w:hAnsi="Century Gothic" w:cs="Arial"/>
                <w:sz w:val="14"/>
              </w:rPr>
              <w:t>1.74</w:t>
            </w:r>
          </w:p>
        </w:tc>
        <w:tc>
          <w:tcPr>
            <w:tcW w:w="43.25pt" w:type="dxa"/>
            <w:vAlign w:val="center"/>
          </w:tcPr>
          <w:p w:rsidR="00277ED2" w:rsidRPr="00611019" w:rsidRDefault="00E56462" w:rsidP="00035D2C">
            <w:pPr>
              <w:spacing w:before="2pt" w:after="2pt"/>
              <w:jc w:val="center"/>
              <w:rPr>
                <w:rFonts w:ascii="Century Gothic" w:hAnsi="Century Gothic" w:cs="Arial"/>
                <w:sz w:val="14"/>
              </w:rPr>
            </w:pPr>
            <w:r>
              <w:rPr>
                <w:rFonts w:ascii="Century Gothic" w:hAnsi="Century Gothic" w:cs="Arial"/>
                <w:sz w:val="14"/>
              </w:rPr>
              <w:t>Km</w:t>
            </w:r>
          </w:p>
        </w:tc>
      </w:tr>
    </w:tbl>
    <w:p w:rsidR="00277ED2" w:rsidRPr="00611019" w:rsidRDefault="00E56462" w:rsidP="00035D2C">
      <w:pPr>
        <w:pStyle w:val="xxxPiedeCuadroconnombre"/>
        <w:spacing w:before="0pt" w:after="6pt"/>
        <w:jc w:val="center"/>
        <w:rPr>
          <w:rFonts w:ascii="Century Gothic" w:hAnsi="Century Gothic"/>
          <w:sz w:val="18"/>
        </w:rPr>
      </w:pPr>
      <w:r>
        <w:rPr>
          <w:rFonts w:ascii="Century Gothic" w:hAnsi="Century Gothic"/>
        </w:rPr>
        <w:t>Ejemplo de parámetros para el servicio de voz en cobre</w:t>
      </w:r>
      <w:bookmarkStart w:id="1414" w:name="_Toc467248744"/>
      <w:bookmarkStart w:id="1415" w:name="_Toc436840919"/>
      <w:bookmarkStart w:id="1416" w:name="_Toc436846356"/>
      <w:bookmarkStart w:id="1417" w:name="_Toc436848306"/>
      <w:bookmarkStart w:id="1418" w:name="_Toc436856554"/>
      <w:bookmarkStart w:id="1419" w:name="_Toc436862700"/>
      <w:bookmarkStart w:id="1420" w:name="_Toc436866350"/>
      <w:bookmarkStart w:id="1421" w:name="_Toc436870929"/>
      <w:bookmarkStart w:id="1422" w:name="_Toc436875921"/>
      <w:bookmarkEnd w:id="606"/>
    </w:p>
    <w:p w:rsidR="00D27AFC" w:rsidRDefault="00D27AFC" w:rsidP="00035D2C">
      <w:pPr>
        <w:pStyle w:val="IFTnormal"/>
        <w:spacing w:after="6pt"/>
        <w:rPr>
          <w:rFonts w:ascii="Century Gothic" w:hAnsi="Century Gothic"/>
          <w:sz w:val="20"/>
        </w:rPr>
      </w:pPr>
      <w:bookmarkStart w:id="1423" w:name="_Toc20241261"/>
      <w:bookmarkStart w:id="1424" w:name="_Toc20242806"/>
      <w:bookmarkStart w:id="1425" w:name="_Toc20328714"/>
      <w:bookmarkStart w:id="1426" w:name="_Toc20390226"/>
      <w:bookmarkStart w:id="1427" w:name="_Toc20468877"/>
      <w:bookmarkStart w:id="1428" w:name="_Toc20486088"/>
      <w:bookmarkStart w:id="1429" w:name="_Toc20492261"/>
      <w:bookmarkStart w:id="1430" w:name="_Toc20494257"/>
      <w:bookmarkStart w:id="1431" w:name="_Toc21520773"/>
      <w:bookmarkStart w:id="1432" w:name="_Toc436840936"/>
      <w:bookmarkStart w:id="1433" w:name="_Toc436846373"/>
      <w:bookmarkStart w:id="1434" w:name="_Toc436848323"/>
      <w:bookmarkStart w:id="1435" w:name="_Toc436856571"/>
      <w:bookmarkStart w:id="1436" w:name="_Toc436862717"/>
      <w:bookmarkStart w:id="1437" w:name="_Toc436866367"/>
      <w:bookmarkStart w:id="1438" w:name="_Toc436870946"/>
      <w:bookmarkStart w:id="1439" w:name="_Toc436875938"/>
      <w:bookmarkStart w:id="1440" w:name="_Toc465676795"/>
      <w:bookmarkStart w:id="1441" w:name="_Toc525904635"/>
      <w:bookmarkStart w:id="1442" w:name="_Toc525914031"/>
      <w:bookmarkStart w:id="1443" w:name="_Toc525919270"/>
      <w:bookmarkStart w:id="1444" w:name="_Toc525919394"/>
      <w:bookmarkStart w:id="1445" w:name="_Toc2957204"/>
      <w:bookmarkStart w:id="1446" w:name="_Toc24473504"/>
      <w:bookmarkStart w:id="1447" w:name="_Toc24477632"/>
      <w:bookmarkStart w:id="1448" w:name="_Toc26281439"/>
      <w:bookmarkStart w:id="1449" w:name="_Toc26284975"/>
      <w:bookmarkStart w:id="1450" w:name="_Toc467248749"/>
      <w:bookmarkStart w:id="1451" w:name="_Toc436840923"/>
      <w:bookmarkStart w:id="1452" w:name="_Toc436846360"/>
      <w:bookmarkStart w:id="1453" w:name="_Toc436848310"/>
      <w:bookmarkStart w:id="1454" w:name="_Toc436856558"/>
      <w:bookmarkStart w:id="1455" w:name="_Toc436862704"/>
      <w:bookmarkStart w:id="1456" w:name="_Toc436866354"/>
      <w:bookmarkStart w:id="1457" w:name="_Toc436870933"/>
      <w:bookmarkStart w:id="1458" w:name="_Toc436875925"/>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p>
    <w:p w:rsidR="00807666" w:rsidRPr="00E510DF" w:rsidRDefault="00807666" w:rsidP="00E510DF">
      <w:pPr>
        <w:spacing w:after="6pt"/>
        <w:jc w:val="both"/>
        <w:outlineLvl w:val="0"/>
        <w:rPr>
          <w:rFonts w:ascii="Century Gothic" w:eastAsia="Calibri" w:hAnsi="Century Gothic" w:cs="Arial"/>
          <w:b/>
          <w:color w:val="000000"/>
          <w:u w:val="single"/>
          <w:lang w:val="es-ES" w:eastAsia="es-ES"/>
          <w14:scene3d>
            <w14:camera w14:prst="orthographicFront"/>
            <w14:lightRig w14:rig="threePt" w14:dir="t">
              <w14:rot w14:lat="0" w14:lon="0" w14:rev="0"/>
            </w14:lightRig>
          </w14:scene3d>
        </w:rPr>
      </w:pPr>
      <w:bookmarkStart w:id="1459" w:name="_Toc177993011"/>
      <w:bookmarkStart w:id="1460" w:name="_Toc107502272"/>
      <w:bookmarkStart w:id="1461" w:name="_Hlk120201645"/>
      <w:bookmarkStart w:id="1462" w:name="_Toc24473498"/>
      <w:bookmarkStart w:id="1463" w:name="_Toc24477626"/>
      <w:bookmarkStart w:id="1464" w:name="_Toc24483892"/>
      <w:bookmarkStart w:id="1465" w:name="_Toc26273126"/>
      <w:bookmarkStart w:id="1466" w:name="_Toc26284523"/>
      <w:bookmarkStart w:id="1467" w:name="_Toc26286278"/>
      <w:bookmarkStart w:id="1468" w:name="_Toc26903960"/>
      <w:bookmarkStart w:id="1469" w:name="_Toc43913202"/>
      <w:bookmarkStart w:id="1470" w:name="_Toc26980684"/>
      <w:bookmarkStart w:id="1471" w:name="_Toc53488538"/>
      <w:bookmarkStart w:id="1472" w:name="_Toc53490470"/>
      <w:bookmarkStart w:id="1473" w:name="_Toc53498478"/>
      <w:bookmarkStart w:id="1474" w:name="_Toc58578835"/>
      <w:bookmarkStart w:id="1475" w:name="_Toc92974061"/>
      <w:bookmarkStart w:id="1476" w:name="_Toc93052372"/>
      <w:bookmarkStart w:id="1477" w:name="_Toc93056327"/>
      <w:r w:rsidRPr="00A52660">
        <w:rPr>
          <w:rFonts w:ascii="Century Gothic" w:eastAsia="Calibri" w:hAnsi="Century Gothic" w:cs="Arial"/>
          <w:b/>
          <w:color w:val="000000"/>
          <w:u w:val="single"/>
          <w:lang w:val="es-ES" w:eastAsia="es-ES"/>
          <w14:scene3d>
            <w14:camera w14:prst="orthographicFront"/>
            <w14:lightRig w14:rig="threePt" w14:dir="t">
              <w14:rot w14:lat="0" w14:lon="0" w14:rev="0"/>
            </w14:lightRig>
          </w14:scene3d>
        </w:rPr>
        <w:t xml:space="preserve">6. </w:t>
      </w:r>
      <w:bookmarkStart w:id="1478" w:name="_Hlk177154829"/>
      <w:r w:rsidRPr="00A52660">
        <w:rPr>
          <w:rFonts w:ascii="Century Gothic" w:eastAsia="Calibri" w:hAnsi="Century Gothic" w:cs="Arial"/>
          <w:b/>
          <w:color w:val="000000"/>
          <w:u w:val="single"/>
          <w:lang w:val="es-ES" w:eastAsia="es-ES"/>
          <w14:scene3d>
            <w14:camera w14:prst="orthographicFront"/>
            <w14:lightRig w14:rig="threePt" w14:dir="t">
              <w14:rot w14:lat="0" w14:lon="0" w14:rev="0"/>
            </w14:lightRig>
          </w14:scene3d>
        </w:rPr>
        <w:t>Procedimientos de Contratación, Plazos de Entrega y Parámetros de Calidad para SAIB</w:t>
      </w:r>
      <w:r w:rsidR="004C6D1E" w:rsidRPr="00A52660">
        <w:rPr>
          <w:rFonts w:ascii="Century Gothic" w:eastAsia="Calibri" w:hAnsi="Century Gothic" w:cs="Arial"/>
          <w:b/>
          <w:color w:val="000000"/>
          <w:u w:val="single"/>
          <w:lang w:val="es-ES" w:eastAsia="es-ES"/>
          <w14:scene3d>
            <w14:camera w14:prst="orthographicFront"/>
            <w14:lightRig w14:rig="threePt" w14:dir="t">
              <w14:rot w14:lat="0" w14:lon="0" w14:rev="0"/>
            </w14:lightRig>
          </w14:scene3d>
        </w:rPr>
        <w:t xml:space="preserve"> y el</w:t>
      </w:r>
      <w:r w:rsidRPr="00A52660">
        <w:rPr>
          <w:rFonts w:ascii="Century Gothic" w:eastAsia="Calibri" w:hAnsi="Century Gothic" w:cs="Arial"/>
          <w:b/>
          <w:color w:val="000000"/>
          <w:u w:val="single"/>
          <w:lang w:val="es-ES" w:eastAsia="es-ES"/>
          <w14:scene3d>
            <w14:camera w14:prst="orthographicFront"/>
            <w14:lightRig w14:rig="threePt" w14:dir="t">
              <w14:rot w14:lat="0" w14:lon="0" w14:rev="0"/>
            </w14:lightRig>
          </w14:scene3d>
        </w:rPr>
        <w:t xml:space="preserve"> SDTBL</w:t>
      </w:r>
      <w:bookmarkEnd w:id="1478"/>
      <w:r w:rsidRPr="00A52660">
        <w:rPr>
          <w:rFonts w:ascii="Century Gothic" w:eastAsia="Calibri" w:hAnsi="Century Gothic" w:cs="Arial"/>
          <w:b/>
          <w:color w:val="000000"/>
          <w:u w:val="single"/>
          <w:lang w:val="es-ES" w:eastAsia="es-ES"/>
          <w14:scene3d>
            <w14:camera w14:prst="orthographicFront"/>
            <w14:lightRig w14:rig="threePt" w14:dir="t">
              <w14:rot w14:lat="0" w14:lon="0" w14:rev="0"/>
            </w14:lightRig>
          </w14:scene3d>
        </w:rPr>
        <w:t>.</w:t>
      </w:r>
      <w:bookmarkEnd w:id="1459"/>
      <w:bookmarkEnd w:id="1460"/>
      <w:bookmarkEnd w:id="1461"/>
    </w:p>
    <w:p w:rsidR="00E15E52" w:rsidRPr="00807666" w:rsidRDefault="00E15E52" w:rsidP="00035D2C">
      <w:pPr>
        <w:rPr>
          <w:lang w:val="es-ES"/>
        </w:rPr>
      </w:pPr>
    </w:p>
    <w:p w:rsidR="0090207A" w:rsidRPr="00611019" w:rsidRDefault="00E56462" w:rsidP="00035D2C">
      <w:pPr>
        <w:keepNext/>
        <w:spacing w:after="6pt"/>
        <w:ind w:start="56.70pt" w:hanging="56.70pt"/>
        <w:jc w:val="both"/>
        <w:outlineLvl w:val="1"/>
        <w:rPr>
          <w:rFonts w:ascii="Century Gothic" w:eastAsia="Times New Roman" w:hAnsi="Century Gothic" w:cs="Arial"/>
          <w:b/>
          <w:bCs/>
        </w:rPr>
      </w:pPr>
      <w:bookmarkStart w:id="1479" w:name="_Toc107502273"/>
      <w:bookmarkStart w:id="1480" w:name="_Toc115739132"/>
      <w:bookmarkStart w:id="1481" w:name="_Toc125393368"/>
      <w:bookmarkStart w:id="1482" w:name="_Toc148702224"/>
      <w:bookmarkStart w:id="1483" w:name="_Toc170381846"/>
      <w:r>
        <w:rPr>
          <w:rFonts w:ascii="Century Gothic" w:eastAsia="Times New Roman" w:hAnsi="Century Gothic" w:cs="Arial"/>
          <w:b/>
          <w:bCs/>
        </w:rPr>
        <w:t>6.1 Procedimientos de contratación, modificación y baja</w:t>
      </w:r>
      <w:bookmarkEnd w:id="1479"/>
      <w:bookmarkEnd w:id="1480"/>
      <w:bookmarkEnd w:id="1481"/>
      <w:bookmarkEnd w:id="1482"/>
      <w:bookmarkEnd w:id="1483"/>
      <w:r>
        <w:rPr>
          <w:rFonts w:ascii="Century Gothic" w:eastAsia="Times New Roman" w:hAnsi="Century Gothic" w:cs="Arial"/>
          <w:b/>
          <w:bCs/>
        </w:rPr>
        <w:t>.</w:t>
      </w:r>
    </w:p>
    <w:p w:rsidR="0090207A" w:rsidRPr="00611019" w:rsidRDefault="00E56462" w:rsidP="00035D2C">
      <w:pPr>
        <w:jc w:val="both"/>
        <w:rPr>
          <w:rFonts w:ascii="Century Gothic" w:eastAsia="Calibri" w:hAnsi="Century Gothic" w:cs="Times New Roman"/>
        </w:rPr>
      </w:pPr>
      <w:r>
        <w:rPr>
          <w:rFonts w:ascii="Century Gothic" w:eastAsia="Calibri" w:hAnsi="Century Gothic" w:cs="Times New Roman"/>
        </w:rPr>
        <w:t xml:space="preserve">Queda establecido que, mediante el envío de la solicitud, el CS consiente en efectuar el pago por las actividades a realizar, así como por los elementos de cobro que conforman el servicio, en el momento que se indique en el procedimiento. Asimismo, si el CS rechaza el Servicio o decide no continuar con el procedimiento, deberá liquidar el </w:t>
      </w:r>
      <w:r>
        <w:rPr>
          <w:rFonts w:ascii="Century Gothic" w:eastAsia="Calibri" w:hAnsi="Century Gothic" w:cs="Times New Roman"/>
        </w:rPr>
        <w:lastRenderedPageBreak/>
        <w:t>monto generado por las actividades realizadas hasta el momento que decidió terminar el procedimiento (si la solicitud es cancelada con al menos tres días de anticipación a la programación de la habilitación, no aplicará cobro alguno).</w:t>
      </w:r>
    </w:p>
    <w:p w:rsidR="00EA1FBC" w:rsidRPr="00611019" w:rsidRDefault="00EA1FBC" w:rsidP="00035D2C">
      <w:pPr>
        <w:jc w:val="both"/>
        <w:rPr>
          <w:rFonts w:ascii="Century Gothic" w:eastAsia="Calibri" w:hAnsi="Century Gothic" w:cs="Times New Roman"/>
        </w:rPr>
      </w:pPr>
    </w:p>
    <w:p w:rsidR="00EA1FBC" w:rsidRPr="00611019" w:rsidRDefault="00E56462" w:rsidP="00035D2C">
      <w:pPr>
        <w:jc w:val="both"/>
        <w:rPr>
          <w:rFonts w:cs="Arial"/>
        </w:rPr>
      </w:pPr>
      <w:r>
        <w:rPr>
          <w:rFonts w:ascii="Century Gothic" w:eastAsia="Calibri" w:hAnsi="Century Gothic" w:cs="Times New Roman"/>
        </w:rPr>
        <w:t xml:space="preserve">Los datos del </w:t>
      </w:r>
      <w:r>
        <w:rPr>
          <w:rFonts w:ascii="Century Gothic" w:hAnsi="Century Gothic"/>
        </w:rPr>
        <w:t>Usuario Final</w:t>
      </w:r>
      <w:r>
        <w:rPr>
          <w:rFonts w:ascii="Century Gothic" w:eastAsia="Calibri" w:hAnsi="Century Gothic" w:cs="Times New Roman"/>
        </w:rPr>
        <w:t xml:space="preserve"> proporcionados por el CS podrán ser utilizados por RED NACIONAL, en caso de que sea necesario ponerse en contacto con el </w:t>
      </w:r>
      <w:r>
        <w:rPr>
          <w:rFonts w:ascii="Century Gothic" w:hAnsi="Century Gothic"/>
        </w:rPr>
        <w:t>Usuario Final</w:t>
      </w:r>
      <w:r>
        <w:rPr>
          <w:rFonts w:ascii="Century Gothic" w:eastAsia="Calibri" w:hAnsi="Century Gothic" w:cs="Times New Roman"/>
        </w:rPr>
        <w:t xml:space="preserve"> del CS solo el día programada para la instalación del servicio, para validar, entregar o cualquier otra interacción requerida para garantizar oportunamente la habilitación del Servicio, los cuales tratados por RED NACIONAL con carácter de confidencialidad, atendiendo a los criterios establecidos en la Ley Federal de Protección de Datos Personales en Posesión de Los Particulares</w:t>
      </w:r>
      <w:r>
        <w:rPr>
          <w:rFonts w:cs="Arial"/>
        </w:rPr>
        <w:t>.</w:t>
      </w:r>
      <w:r>
        <w:rPr>
          <w:rStyle w:val="Refdenotaalpie"/>
          <w:rFonts w:ascii="Century Gothic" w:eastAsia="Calibri" w:hAnsi="Century Gothic" w:cs="Arial"/>
        </w:rPr>
        <w:footnoteReference w:id="16"/>
      </w:r>
    </w:p>
    <w:p w:rsidR="0090207A" w:rsidRPr="00611019" w:rsidRDefault="0090207A" w:rsidP="00035D2C">
      <w:pPr>
        <w:jc w:val="both"/>
        <w:rPr>
          <w:rFonts w:ascii="Century Gothic" w:eastAsia="Calibri" w:hAnsi="Century Gothic" w:cs="Times New Roman"/>
        </w:rPr>
      </w:pPr>
    </w:p>
    <w:p w:rsidR="0090207A" w:rsidRPr="00611019" w:rsidRDefault="00E56462" w:rsidP="00035D2C">
      <w:pPr>
        <w:spacing w:after="12pt"/>
        <w:jc w:val="both"/>
        <w:rPr>
          <w:rFonts w:ascii="Century Gothic" w:eastAsia="Calibri" w:hAnsi="Century Gothic" w:cs="Arial"/>
          <w:color w:val="000000"/>
          <w:lang w:val="es-ES_tradnl" w:eastAsia="es-ES"/>
        </w:rPr>
      </w:pPr>
      <w:bookmarkStart w:id="1484" w:name="_Hlk114748806"/>
      <w:r>
        <w:rPr>
          <w:rFonts w:ascii="Century Gothic" w:eastAsia="Calibri" w:hAnsi="Century Gothic" w:cs="Arial"/>
          <w:b/>
          <w:color w:val="000000"/>
          <w:lang w:val="es-ES_tradnl" w:eastAsia="es-ES"/>
        </w:rPr>
        <w:t>Procedimiento de contratación y entrega (Alta).</w:t>
      </w:r>
    </w:p>
    <w:p w:rsidR="00022DF6" w:rsidRPr="00611019" w:rsidRDefault="00E56462" w:rsidP="00035D2C">
      <w:pPr>
        <w:spacing w:after="6pt"/>
        <w:jc w:val="both"/>
        <w:rPr>
          <w:rFonts w:ascii="Century Gothic" w:hAnsi="Century Gothic" w:cs="Times New Roman"/>
          <w:b/>
        </w:rPr>
      </w:pPr>
      <w:bookmarkStart w:id="1485" w:name="_Toc125393369"/>
      <w:bookmarkStart w:id="1486" w:name="_Toc148702225"/>
      <w:bookmarkEnd w:id="1484"/>
      <w:r>
        <w:rPr>
          <w:rFonts w:ascii="Century Gothic" w:eastAsia="Calibri" w:hAnsi="Century Gothic" w:cs="Times New Roman"/>
        </w:rPr>
        <w:t>El objetivo y alcance de este procedimiento es definir los pasos y actividades a desarrollar por parte de RED NACIONAL y del CS, a fin de realizar la contratación y entrega de los Servicios. Las fases en que se divide este procedimiento son: (i) Envío, validación y Análisis de Factibilidad Técnica de la solicitud a fin de que a través del SEG/SIPO sea verificado que el CS ingresó los datos correctos y que la red de RED NACIONAL cuenta con los elementos para brindar el Servicio solicitado; y (ii) Habilitación y aprovisionamiento del Servicio solicitado, que detonará los procesos de pruebas de entrega y facturación.</w:t>
      </w:r>
      <w:bookmarkEnd w:id="1485"/>
      <w:bookmarkEnd w:id="1486"/>
    </w:p>
    <w:tbl>
      <w:tblPr>
        <w:tblW w:w="99.0%" w:type="pct"/>
        <w:jc w:val="cente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1"/>
      </w:tblPr>
      <w:tblGrid>
        <w:gridCol w:w="3101"/>
        <w:gridCol w:w="6199"/>
      </w:tblGrid>
      <w:tr w:rsidR="0061711D" w:rsidTr="0090207A">
        <w:trPr>
          <w:tblHeader/>
          <w:jc w:val="center"/>
        </w:trPr>
        <w:tc>
          <w:tcPr>
            <w:tcW w:w="33.0%" w:type="pct"/>
            <w:tcBorders>
              <w:top w:val="single" w:sz="4" w:space="0" w:color="auto"/>
              <w:start w:val="single" w:sz="4" w:space="0" w:color="auto"/>
              <w:bottom w:val="single" w:sz="4" w:space="0" w:color="auto"/>
              <w:end w:val="single" w:sz="4" w:space="0" w:color="auto"/>
            </w:tcBorders>
            <w:shd w:val="clear" w:color="auto" w:fill="009AD9"/>
            <w:hideMark/>
          </w:tcPr>
          <w:p w:rsidR="0090207A" w:rsidRPr="00611019" w:rsidRDefault="00E56462" w:rsidP="00035D2C">
            <w:pPr>
              <w:spacing w:before="2pt" w:after="2pt"/>
              <w:jc w:val="center"/>
              <w:rPr>
                <w:rFonts w:ascii="Century Gothic" w:eastAsia="Calibri" w:hAnsi="Century Gothic" w:cs="Times New Roman"/>
                <w:color w:val="FFFFFF" w:themeColor="background1"/>
                <w:sz w:val="20"/>
                <w:szCs w:val="20"/>
              </w:rPr>
            </w:pPr>
            <w:r>
              <w:rPr>
                <w:rFonts w:ascii="Century Gothic" w:eastAsia="Calibri" w:hAnsi="Century Gothic" w:cs="Times New Roman"/>
                <w:b/>
                <w:color w:val="FFFFFF" w:themeColor="background1"/>
                <w:sz w:val="20"/>
                <w:szCs w:val="20"/>
              </w:rPr>
              <w:t>Etapa</w:t>
            </w:r>
          </w:p>
        </w:tc>
        <w:tc>
          <w:tcPr>
            <w:tcW w:w="66.0%" w:type="pct"/>
            <w:tcBorders>
              <w:top w:val="single" w:sz="4" w:space="0" w:color="auto"/>
              <w:start w:val="single" w:sz="4" w:space="0" w:color="auto"/>
              <w:bottom w:val="single" w:sz="4" w:space="0" w:color="auto"/>
              <w:end w:val="single" w:sz="4" w:space="0" w:color="auto"/>
            </w:tcBorders>
            <w:shd w:val="clear" w:color="auto" w:fill="009AD9"/>
            <w:hideMark/>
          </w:tcPr>
          <w:p w:rsidR="0090207A" w:rsidRPr="00611019" w:rsidRDefault="00E56462" w:rsidP="00035D2C">
            <w:pPr>
              <w:spacing w:before="2pt" w:after="2pt"/>
              <w:jc w:val="center"/>
              <w:rPr>
                <w:rFonts w:ascii="Century Gothic" w:eastAsia="Calibri" w:hAnsi="Century Gothic" w:cs="Times New Roman"/>
                <w:color w:val="FFFFFF" w:themeColor="background1"/>
                <w:sz w:val="20"/>
                <w:szCs w:val="20"/>
              </w:rPr>
            </w:pPr>
            <w:r>
              <w:rPr>
                <w:rFonts w:ascii="Century Gothic" w:eastAsia="Calibri" w:hAnsi="Century Gothic" w:cs="Times New Roman"/>
                <w:b/>
                <w:color w:val="FFFFFF" w:themeColor="background1"/>
                <w:sz w:val="20"/>
                <w:szCs w:val="20"/>
              </w:rPr>
              <w:t>Descripción</w:t>
            </w:r>
          </w:p>
        </w:tc>
      </w:tr>
      <w:tr w:rsidR="0061711D" w:rsidTr="0090207A">
        <w:trPr>
          <w:jc w:val="center"/>
        </w:trPr>
        <w:tc>
          <w:tcPr>
            <w:tcW w:w="33.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1pt" w:after="2pt"/>
              <w:jc w:val="both"/>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Envío, Validación y Factibilidad Técnica de la solicitud</w:t>
            </w:r>
          </w:p>
        </w:tc>
        <w:tc>
          <w:tcPr>
            <w:tcW w:w="66.0%" w:type="pct"/>
            <w:tcBorders>
              <w:top w:val="single" w:sz="4" w:space="0" w:color="auto"/>
              <w:start w:val="single" w:sz="4" w:space="0" w:color="auto"/>
              <w:bottom w:val="single" w:sz="4" w:space="0" w:color="auto"/>
              <w:end w:val="single" w:sz="4" w:space="0" w:color="auto"/>
            </w:tcBorders>
          </w:tcPr>
          <w:p w:rsidR="0090207A" w:rsidRPr="00611019" w:rsidRDefault="00E56462" w:rsidP="00035D2C">
            <w:p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CS deberá presentar sus solicitudes a través del SEG/SIPO, realizando en línea la validación y el análisis de Factibilidad Técnica del domicilio requerido (podrá capturarlas de forma individual o masiva), determinando si existen los recursos técnicos y facilidades para habilitar los Servicios solicitados y seleccionando la siguiente información, según el Servicio solicitado:</w:t>
            </w:r>
          </w:p>
          <w:p w:rsidR="0090207A" w:rsidRPr="00611019" w:rsidRDefault="0090207A" w:rsidP="00035D2C">
            <w:pPr>
              <w:spacing w:before="1pt" w:after="2pt"/>
              <w:jc w:val="both"/>
              <w:rPr>
                <w:rFonts w:ascii="Century Gothic" w:eastAsia="Calibri" w:hAnsi="Century Gothic" w:cs="Arial"/>
                <w:color w:val="000000"/>
                <w:sz w:val="20"/>
                <w:szCs w:val="20"/>
                <w:lang w:val="es-ES_tradnl" w:eastAsia="es-ES"/>
              </w:rPr>
            </w:pPr>
          </w:p>
          <w:p w:rsidR="0090207A" w:rsidRPr="00611019" w:rsidRDefault="00E56462" w:rsidP="00035D2C">
            <w:pPr>
              <w:spacing w:before="1pt" w:after="2pt"/>
              <w:jc w:val="both"/>
              <w:rPr>
                <w:rFonts w:ascii="Century Gothic" w:eastAsia="Calibri" w:hAnsi="Century Gothic" w:cs="Arial"/>
                <w:color w:val="000000"/>
                <w:sz w:val="20"/>
                <w:szCs w:val="20"/>
                <w:u w:val="single"/>
                <w:lang w:val="es-ES_tradnl" w:eastAsia="es-ES"/>
              </w:rPr>
            </w:pPr>
            <w:r>
              <w:rPr>
                <w:rFonts w:ascii="Century Gothic" w:eastAsia="Calibri" w:hAnsi="Century Gothic" w:cs="Arial"/>
                <w:color w:val="000000"/>
                <w:sz w:val="20"/>
                <w:szCs w:val="20"/>
                <w:u w:val="single"/>
                <w:lang w:val="es-ES_tradnl" w:eastAsia="es-ES"/>
              </w:rPr>
              <w:t>Para SAIB:</w:t>
            </w:r>
          </w:p>
          <w:p w:rsidR="0090207A" w:rsidRPr="00611019" w:rsidRDefault="00E56462">
            <w:pPr>
              <w:numPr>
                <w:ilvl w:val="0"/>
                <w:numId w:val="68"/>
              </w:num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La modalidad de SAIB a contratar</w:t>
            </w:r>
            <w:r>
              <w:rPr>
                <w:rFonts w:ascii="Century Gothic" w:eastAsia="Calibri" w:hAnsi="Century Gothic" w:cs="Arial"/>
                <w:color w:val="000000"/>
                <w:sz w:val="20"/>
                <w:szCs w:val="20"/>
                <w:vertAlign w:val="superscript"/>
                <w:lang w:val="es-ES_tradnl" w:eastAsia="es-ES"/>
              </w:rPr>
              <w:footnoteReference w:id="17"/>
            </w:r>
            <w:r>
              <w:rPr>
                <w:rFonts w:ascii="Century Gothic" w:eastAsia="Calibri" w:hAnsi="Century Gothic" w:cs="Arial"/>
                <w:color w:val="000000"/>
                <w:sz w:val="20"/>
                <w:szCs w:val="20"/>
                <w:lang w:val="es-ES_tradnl" w:eastAsia="es-ES"/>
              </w:rPr>
              <w:t>.</w:t>
            </w:r>
          </w:p>
          <w:p w:rsidR="0090207A" w:rsidRPr="00611019" w:rsidRDefault="00E56462">
            <w:pPr>
              <w:numPr>
                <w:ilvl w:val="0"/>
                <w:numId w:val="68"/>
              </w:num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Módem/ONT, según corresponda, provisto por RED NACIONAL (blanco)</w:t>
            </w:r>
          </w:p>
          <w:p w:rsidR="0090207A" w:rsidRPr="00611019" w:rsidRDefault="00E56462">
            <w:pPr>
              <w:numPr>
                <w:ilvl w:val="2"/>
                <w:numId w:val="69"/>
              </w:num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Técnico</w:t>
            </w:r>
          </w:p>
          <w:p w:rsidR="0090207A" w:rsidRPr="00611019" w:rsidRDefault="00E56462">
            <w:pPr>
              <w:numPr>
                <w:ilvl w:val="0"/>
                <w:numId w:val="70"/>
              </w:num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Módem/ONT*, según corresponda, provisto por CS</w:t>
            </w:r>
          </w:p>
          <w:p w:rsidR="0090207A" w:rsidRPr="00611019" w:rsidRDefault="00E56462" w:rsidP="00035D2C">
            <w:pPr>
              <w:spacing w:before="1pt" w:after="2pt"/>
              <w:ind w:start="20.85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lastRenderedPageBreak/>
              <w:t>* El modem/ONT deberá estar en el domicilio del usuario el día de la instalación</w:t>
            </w:r>
          </w:p>
          <w:p w:rsidR="0090207A" w:rsidRPr="00611019" w:rsidRDefault="0090207A" w:rsidP="00035D2C">
            <w:pPr>
              <w:spacing w:before="1pt" w:after="2pt"/>
              <w:jc w:val="both"/>
              <w:rPr>
                <w:rFonts w:ascii="Century Gothic" w:eastAsia="Calibri" w:hAnsi="Century Gothic" w:cs="Arial"/>
                <w:color w:val="000000"/>
                <w:sz w:val="20"/>
                <w:szCs w:val="20"/>
                <w:lang w:val="es-ES_tradnl" w:eastAsia="es-ES"/>
              </w:rPr>
            </w:pPr>
          </w:p>
          <w:p w:rsidR="0090207A" w:rsidRPr="00611019" w:rsidRDefault="00E56462" w:rsidP="00035D2C">
            <w:p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No existe el escenario de reutilización de módem/ONT, es decir, equipos existentes.</w:t>
            </w:r>
          </w:p>
          <w:p w:rsidR="0090207A" w:rsidRPr="00611019" w:rsidRDefault="0090207A" w:rsidP="00035D2C">
            <w:pPr>
              <w:spacing w:before="1pt" w:after="2pt"/>
              <w:jc w:val="both"/>
              <w:rPr>
                <w:rFonts w:ascii="Century Gothic" w:eastAsia="Calibri" w:hAnsi="Century Gothic" w:cs="Arial"/>
                <w:color w:val="000000"/>
                <w:sz w:val="20"/>
                <w:szCs w:val="20"/>
                <w:lang w:val="es-ES_tradnl" w:eastAsia="es-ES"/>
              </w:rPr>
            </w:pPr>
          </w:p>
          <w:p w:rsidR="0090207A" w:rsidRPr="00611019" w:rsidRDefault="00E56462" w:rsidP="00035D2C">
            <w:p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RED Nacional confirmará al CS, marca y modelo de la OLT. Por su parte el CS en caso de instalación de la ONT por RED NACIONAL le comunicará los parámetros de configuración que correspondan.</w:t>
            </w:r>
          </w:p>
          <w:p w:rsidR="0090207A" w:rsidRPr="00611019" w:rsidRDefault="0090207A" w:rsidP="00035D2C">
            <w:pPr>
              <w:spacing w:before="1pt" w:after="2pt"/>
              <w:jc w:val="both"/>
              <w:rPr>
                <w:rFonts w:ascii="Century Gothic" w:eastAsia="Calibri" w:hAnsi="Century Gothic" w:cs="Arial"/>
                <w:color w:val="000000"/>
                <w:sz w:val="20"/>
                <w:szCs w:val="20"/>
                <w:lang w:val="es-ES_tradnl" w:eastAsia="es-ES"/>
              </w:rPr>
            </w:pPr>
          </w:p>
          <w:p w:rsidR="0090207A" w:rsidRPr="00611019" w:rsidRDefault="00807666" w:rsidP="00035D2C">
            <w:pPr>
              <w:spacing w:before="1pt" w:after="2pt"/>
              <w:jc w:val="both"/>
              <w:rPr>
                <w:rFonts w:ascii="Century Gothic" w:eastAsia="Calibri" w:hAnsi="Century Gothic" w:cs="Arial"/>
                <w:color w:val="000000"/>
                <w:sz w:val="20"/>
                <w:szCs w:val="20"/>
                <w:u w:val="single"/>
                <w:lang w:val="es-ES_tradnl" w:eastAsia="es-ES"/>
              </w:rPr>
            </w:pPr>
            <w:r w:rsidRPr="00807666">
              <w:rPr>
                <w:rFonts w:ascii="Century Gothic" w:eastAsia="Calibri" w:hAnsi="Century Gothic" w:cs="Arial"/>
                <w:color w:val="000000"/>
                <w:sz w:val="20"/>
                <w:szCs w:val="20"/>
                <w:lang w:eastAsia="es-ES"/>
              </w:rPr>
              <w:t xml:space="preserve">Para </w:t>
            </w:r>
            <w:r w:rsidRPr="00807666">
              <w:rPr>
                <w:rFonts w:ascii="Century Gothic" w:eastAsia="Calibri" w:hAnsi="Century Gothic" w:cs="Arial"/>
                <w:color w:val="000000"/>
                <w:sz w:val="20"/>
                <w:szCs w:val="20"/>
                <w:u w:val="single"/>
                <w:lang w:eastAsia="es-ES"/>
              </w:rPr>
              <w:t>SDTBL</w:t>
            </w:r>
            <w:r>
              <w:rPr>
                <w:rFonts w:ascii="Century Gothic" w:eastAsia="Calibri" w:hAnsi="Century Gothic" w:cs="Arial"/>
                <w:color w:val="000000"/>
                <w:sz w:val="20"/>
                <w:szCs w:val="20"/>
                <w:u w:val="single"/>
                <w:lang w:eastAsia="es-ES"/>
              </w:rPr>
              <w:t>:</w:t>
            </w:r>
          </w:p>
          <w:p w:rsidR="0090207A" w:rsidRPr="00611019" w:rsidRDefault="00E56462" w:rsidP="00035D2C">
            <w:pPr>
              <w:spacing w:before="1pt" w:after="2pt"/>
              <w:ind w:start="20.85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Como parte de la información necesaria para el Análisis de Factibilidad Técnica RED NACIONAL deberá mostrar en el SEG/SIPO los parámetros de configuración espectral. En el caso de los Servicios sobre cobre la factibilidad técnica también considerará verificar que se cumpla con el PGE.</w:t>
            </w:r>
          </w:p>
          <w:p w:rsidR="0090207A" w:rsidRPr="00611019" w:rsidRDefault="0090207A" w:rsidP="00035D2C">
            <w:pPr>
              <w:spacing w:before="1pt" w:after="2pt"/>
              <w:jc w:val="both"/>
              <w:rPr>
                <w:rFonts w:ascii="Century Gothic" w:eastAsia="Calibri" w:hAnsi="Century Gothic" w:cs="Arial"/>
                <w:color w:val="000000"/>
                <w:sz w:val="20"/>
                <w:szCs w:val="20"/>
                <w:lang w:val="es-ES_tradnl" w:eastAsia="es-ES"/>
              </w:rPr>
            </w:pPr>
          </w:p>
          <w:p w:rsidR="00807666" w:rsidRPr="00807666" w:rsidRDefault="00807666" w:rsidP="00807666">
            <w:pPr>
              <w:spacing w:before="1pt" w:after="2pt"/>
              <w:jc w:val="both"/>
              <w:rPr>
                <w:rFonts w:ascii="Century Gothic" w:eastAsia="Calibri" w:hAnsi="Century Gothic" w:cs="Arial"/>
                <w:color w:val="000000"/>
                <w:sz w:val="20"/>
                <w:szCs w:val="20"/>
                <w:u w:val="single"/>
                <w:lang w:val="es-ES_tradnl" w:eastAsia="es-ES"/>
              </w:rPr>
            </w:pPr>
            <w:r w:rsidRPr="00807666">
              <w:rPr>
                <w:rFonts w:ascii="Century Gothic" w:eastAsia="Calibri" w:hAnsi="Century Gothic" w:cs="Arial"/>
                <w:color w:val="000000"/>
                <w:sz w:val="20"/>
                <w:szCs w:val="20"/>
                <w:u w:val="single"/>
                <w:lang w:val="es-ES_tradnl" w:eastAsia="es-ES"/>
              </w:rPr>
              <w:t>A continuación para todos los Servicios (SAIB</w:t>
            </w:r>
            <w:r w:rsidR="004C6D1E">
              <w:rPr>
                <w:rFonts w:ascii="Century Gothic" w:eastAsia="Calibri" w:hAnsi="Century Gothic" w:cs="Arial"/>
                <w:color w:val="000000"/>
                <w:sz w:val="20"/>
                <w:szCs w:val="20"/>
                <w:u w:val="single"/>
                <w:lang w:val="es-ES_tradnl" w:eastAsia="es-ES"/>
              </w:rPr>
              <w:t xml:space="preserve"> y</w:t>
            </w:r>
            <w:r w:rsidRPr="00807666">
              <w:rPr>
                <w:rFonts w:ascii="Century Gothic" w:eastAsia="Calibri" w:hAnsi="Century Gothic" w:cs="Arial"/>
                <w:color w:val="000000"/>
                <w:sz w:val="20"/>
                <w:szCs w:val="20"/>
                <w:u w:val="single"/>
                <w:lang w:val="es-ES_tradnl" w:eastAsia="es-ES"/>
              </w:rPr>
              <w:t xml:space="preserve"> SDTBL) se deberá: </w:t>
            </w:r>
          </w:p>
          <w:p w:rsidR="0090207A" w:rsidRPr="00611019" w:rsidRDefault="00E56462">
            <w:pPr>
              <w:numPr>
                <w:ilvl w:val="0"/>
                <w:numId w:val="71"/>
              </w:num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Seleccionar programación de cita con alguna de las siguientes opciones para la atención del Servicio en el procedimiento de citas para la instalación del servicio:</w:t>
            </w:r>
          </w:p>
          <w:p w:rsidR="0090207A" w:rsidRPr="00611019" w:rsidRDefault="00E56462">
            <w:pPr>
              <w:numPr>
                <w:ilvl w:val="0"/>
                <w:numId w:val="71"/>
              </w:num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 xml:space="preserve">Fecha y rango horario. </w:t>
            </w:r>
          </w:p>
          <w:p w:rsidR="0090207A" w:rsidRDefault="00E56462">
            <w:pPr>
              <w:numPr>
                <w:ilvl w:val="0"/>
                <w:numId w:val="71"/>
              </w:num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Fecha y hora especifica.</w:t>
            </w:r>
          </w:p>
          <w:p w:rsidR="0090207A" w:rsidRPr="00747945" w:rsidRDefault="00E56462">
            <w:pPr>
              <w:numPr>
                <w:ilvl w:val="0"/>
                <w:numId w:val="71"/>
              </w:numPr>
              <w:tabs>
                <w:tab w:val="start" w:pos="11.50pt"/>
              </w:tabs>
              <w:spacing w:before="1pt" w:after="2pt"/>
              <w:jc w:val="both"/>
              <w:rPr>
                <w:rFonts w:ascii="Century Gothic" w:eastAsia="Calibri" w:hAnsi="Century Gothic" w:cs="Arial"/>
                <w:color w:val="000000"/>
                <w:sz w:val="20"/>
                <w:szCs w:val="20"/>
                <w:lang w:val="es-ES_tradnl" w:eastAsia="es-ES"/>
              </w:rPr>
            </w:pPr>
            <w:r w:rsidRPr="00747945">
              <w:rPr>
                <w:rFonts w:ascii="Century Gothic" w:eastAsia="Calibri" w:hAnsi="Century Gothic" w:cs="Arial"/>
                <w:color w:val="000000"/>
                <w:sz w:val="20"/>
                <w:szCs w:val="20"/>
                <w:lang w:val="es-ES_tradnl" w:eastAsia="es-ES"/>
              </w:rPr>
              <w:t>Seleccionar quién proporcionará el cableado interior en el domicilio del Usuario Final:</w:t>
            </w:r>
          </w:p>
          <w:p w:rsidR="0090207A" w:rsidRPr="00611019" w:rsidRDefault="00E56462">
            <w:pPr>
              <w:numPr>
                <w:ilvl w:val="0"/>
                <w:numId w:val="70"/>
              </w:numPr>
              <w:tabs>
                <w:tab w:val="start" w:pos="11.50pt"/>
              </w:tabs>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RED NACIONAL</w:t>
            </w:r>
          </w:p>
          <w:p w:rsidR="0090207A" w:rsidRPr="00611019" w:rsidRDefault="00E56462">
            <w:pPr>
              <w:numPr>
                <w:ilvl w:val="0"/>
                <w:numId w:val="70"/>
              </w:numPr>
              <w:tabs>
                <w:tab w:val="start" w:pos="11.50pt"/>
              </w:tabs>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CS</w:t>
            </w:r>
          </w:p>
          <w:p w:rsidR="0090207A" w:rsidRPr="00611019" w:rsidRDefault="0090207A" w:rsidP="00035D2C">
            <w:pPr>
              <w:tabs>
                <w:tab w:val="start" w:pos="11.50pt"/>
              </w:tabs>
              <w:spacing w:before="1pt" w:after="2pt"/>
              <w:ind w:start="72pt" w:hanging="18pt"/>
              <w:jc w:val="both"/>
              <w:rPr>
                <w:rFonts w:ascii="Century Gothic" w:eastAsia="Calibri" w:hAnsi="Century Gothic" w:cs="Arial"/>
                <w:color w:val="000000"/>
                <w:sz w:val="20"/>
                <w:szCs w:val="20"/>
                <w:lang w:val="es-ES_tradnl" w:eastAsia="es-ES"/>
              </w:rPr>
            </w:pPr>
          </w:p>
          <w:p w:rsidR="0090207A" w:rsidRPr="00611019" w:rsidRDefault="00E56462" w:rsidP="00035D2C">
            <w:p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 xml:space="preserve">Una vez enviada la solicitud el SEG/SIPO asignará de forma automática un Folio y la confirmación de la fecha de habilitación del Servicio de acuerdo a lo seleccionado por el CS. </w:t>
            </w:r>
          </w:p>
          <w:p w:rsidR="0090207A" w:rsidRPr="00611019" w:rsidRDefault="0090207A" w:rsidP="00035D2C">
            <w:pPr>
              <w:spacing w:before="1pt" w:after="2pt"/>
              <w:jc w:val="both"/>
              <w:rPr>
                <w:rFonts w:ascii="Century Gothic" w:eastAsia="Calibri" w:hAnsi="Century Gothic" w:cs="Arial"/>
                <w:color w:val="000000"/>
                <w:sz w:val="20"/>
                <w:szCs w:val="20"/>
                <w:lang w:val="es-ES_tradnl" w:eastAsia="es-ES"/>
              </w:rPr>
            </w:pPr>
          </w:p>
          <w:p w:rsidR="0090207A" w:rsidRPr="00611019" w:rsidRDefault="00E56462" w:rsidP="00035D2C">
            <w:p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 xml:space="preserve">Para el caso de </w:t>
            </w:r>
            <w:r>
              <w:rPr>
                <w:rFonts w:ascii="Century Gothic" w:hAnsi="Century Gothic"/>
              </w:rPr>
              <w:t>Usuario Final</w:t>
            </w:r>
            <w:r>
              <w:rPr>
                <w:rFonts w:ascii="Century Gothic" w:eastAsia="Calibri" w:hAnsi="Century Gothic" w:cs="Arial"/>
                <w:color w:val="000000"/>
                <w:sz w:val="20"/>
                <w:szCs w:val="20"/>
                <w:lang w:val="es-ES_tradnl" w:eastAsia="es-ES"/>
              </w:rPr>
              <w:t xml:space="preserve"> nuevo sin domicilio registrado en la base de datos, el SEG/SIPO permitirá concluir con el procedimiento de Alta como Usuario Nuevo, asimismo se </w:t>
            </w:r>
            <w:r>
              <w:rPr>
                <w:rFonts w:ascii="Century Gothic" w:eastAsia="Calibri" w:hAnsi="Century Gothic" w:cs="Arial"/>
                <w:color w:val="000000"/>
                <w:sz w:val="20"/>
                <w:szCs w:val="20"/>
                <w:lang w:val="es-ES_tradnl" w:eastAsia="es-ES"/>
              </w:rPr>
              <w:lastRenderedPageBreak/>
              <w:t xml:space="preserve">registrará el domicilio en la base de datos en un plazo máximo de 48 horas. </w:t>
            </w:r>
          </w:p>
          <w:p w:rsidR="0090207A" w:rsidRPr="00611019" w:rsidRDefault="0090207A" w:rsidP="00035D2C">
            <w:pPr>
              <w:spacing w:before="1pt" w:after="2pt"/>
              <w:jc w:val="both"/>
              <w:rPr>
                <w:rFonts w:ascii="Century Gothic" w:eastAsia="Calibri" w:hAnsi="Century Gothic" w:cs="Arial"/>
                <w:color w:val="000000"/>
                <w:sz w:val="20"/>
                <w:szCs w:val="20"/>
                <w:lang w:val="es-ES_tradnl" w:eastAsia="es-ES"/>
              </w:rPr>
            </w:pPr>
          </w:p>
          <w:p w:rsidR="0090207A" w:rsidRPr="00611019" w:rsidRDefault="00E56462" w:rsidP="00035D2C">
            <w:p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En caso de no existir facilidades de acuerdo con lo previsto en el apartado de Recursos de red de esta OREDA, a través del SEG/SIPO RED NACIONAL notificará al CS la justificación</w:t>
            </w:r>
            <w:r>
              <w:rPr>
                <w:rFonts w:ascii="Century Gothic" w:eastAsia="Calibri" w:hAnsi="Century Gothic" w:cs="Arial"/>
                <w:color w:val="FF0000"/>
                <w:sz w:val="20"/>
                <w:szCs w:val="20"/>
                <w:lang w:val="es-ES_tradnl" w:eastAsia="es-ES"/>
              </w:rPr>
              <w:t xml:space="preserve"> </w:t>
            </w:r>
            <w:r>
              <w:rPr>
                <w:rFonts w:ascii="Century Gothic" w:eastAsia="Calibri" w:hAnsi="Century Gothic" w:cs="Arial"/>
                <w:color w:val="000000"/>
                <w:sz w:val="20"/>
                <w:szCs w:val="20"/>
                <w:lang w:val="es-ES_tradnl" w:eastAsia="es-ES"/>
              </w:rPr>
              <w:t xml:space="preserve">correspondiente. </w:t>
            </w:r>
          </w:p>
          <w:p w:rsidR="0090207A" w:rsidRPr="00611019" w:rsidRDefault="0090207A" w:rsidP="00035D2C">
            <w:pPr>
              <w:spacing w:before="1pt" w:after="2pt"/>
              <w:jc w:val="both"/>
              <w:rPr>
                <w:rFonts w:ascii="Century Gothic" w:eastAsia="Calibri" w:hAnsi="Century Gothic" w:cs="Arial"/>
                <w:color w:val="000000"/>
                <w:sz w:val="20"/>
                <w:szCs w:val="20"/>
                <w:lang w:val="es-ES_tradnl" w:eastAsia="es-ES"/>
              </w:rPr>
            </w:pPr>
          </w:p>
          <w:p w:rsidR="0061711D" w:rsidRDefault="0061711D">
            <w:p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CS podrá solicitar el Trabajo Especial aplicando el procedimiento correspondiente de esta OREDA.</w:t>
            </w:r>
          </w:p>
        </w:tc>
      </w:tr>
      <w:tr w:rsidR="0061711D" w:rsidTr="0090207A">
        <w:trPr>
          <w:jc w:val="center"/>
        </w:trPr>
        <w:tc>
          <w:tcPr>
            <w:tcW w:w="33.0%" w:type="pct"/>
            <w:tcBorders>
              <w:top w:val="single" w:sz="4" w:space="0" w:color="auto"/>
              <w:start w:val="single" w:sz="4" w:space="0" w:color="auto"/>
              <w:bottom w:val="single" w:sz="4" w:space="0" w:color="auto"/>
              <w:end w:val="single" w:sz="4" w:space="0" w:color="auto"/>
            </w:tcBorders>
            <w:hideMark/>
          </w:tcPr>
          <w:p w:rsidR="0090207A" w:rsidRPr="00747945" w:rsidRDefault="00E56462" w:rsidP="00035D2C">
            <w:pPr>
              <w:spacing w:before="1pt" w:after="2pt"/>
              <w:rPr>
                <w:rFonts w:ascii="Century Gothic" w:eastAsia="Calibri" w:hAnsi="Century Gothic" w:cs="Arial"/>
                <w:b/>
                <w:color w:val="000000"/>
                <w:sz w:val="20"/>
                <w:szCs w:val="20"/>
                <w:lang w:val="es-ES_tradnl" w:eastAsia="es-ES"/>
              </w:rPr>
            </w:pPr>
            <w:r w:rsidRPr="00747945">
              <w:rPr>
                <w:rFonts w:ascii="Century Gothic" w:eastAsia="Calibri" w:hAnsi="Century Gothic" w:cs="Arial"/>
                <w:b/>
                <w:color w:val="000000"/>
                <w:sz w:val="20"/>
                <w:szCs w:val="20"/>
                <w:lang w:val="es-ES_tradnl" w:eastAsia="es-ES"/>
              </w:rPr>
              <w:lastRenderedPageBreak/>
              <w:t>Habilitación y aprovisionamiento del Servicio</w:t>
            </w:r>
          </w:p>
        </w:tc>
        <w:tc>
          <w:tcPr>
            <w:tcW w:w="66.0%" w:type="pct"/>
            <w:tcBorders>
              <w:top w:val="single" w:sz="4" w:space="0" w:color="auto"/>
              <w:start w:val="single" w:sz="4" w:space="0" w:color="auto"/>
              <w:bottom w:val="single" w:sz="4" w:space="0" w:color="auto"/>
              <w:end w:val="single" w:sz="4" w:space="0" w:color="auto"/>
            </w:tcBorders>
          </w:tcPr>
          <w:p w:rsidR="0090207A" w:rsidRPr="00747945" w:rsidRDefault="00E56462" w:rsidP="00035D2C">
            <w:pPr>
              <w:spacing w:before="1pt" w:after="2pt"/>
              <w:jc w:val="both"/>
              <w:rPr>
                <w:rFonts w:ascii="Century Gothic" w:eastAsia="Calibri" w:hAnsi="Century Gothic" w:cs="Arial"/>
                <w:color w:val="000000"/>
                <w:sz w:val="20"/>
                <w:szCs w:val="20"/>
                <w:lang w:val="es-ES_tradnl" w:eastAsia="es-ES"/>
              </w:rPr>
            </w:pPr>
            <w:r w:rsidRPr="00747945">
              <w:rPr>
                <w:rFonts w:ascii="Century Gothic" w:eastAsia="Calibri" w:hAnsi="Century Gothic" w:cs="Arial"/>
                <w:color w:val="000000"/>
                <w:sz w:val="20"/>
                <w:szCs w:val="20"/>
                <w:lang w:val="es-ES_tradnl" w:eastAsia="es-ES"/>
              </w:rPr>
              <w:t>RED NACIONAL llevará a cabo las actuaciones necesarias para habilitar la acometida o el servicio</w:t>
            </w:r>
            <w:r w:rsidRPr="00747945">
              <w:rPr>
                <w:rFonts w:ascii="Century Gothic" w:eastAsia="Calibri" w:hAnsi="Century Gothic" w:cs="Arial"/>
                <w:color w:val="000000"/>
                <w:sz w:val="20"/>
                <w:szCs w:val="20"/>
                <w:vertAlign w:val="superscript"/>
                <w:lang w:val="es-ES_tradnl" w:eastAsia="es-ES"/>
              </w:rPr>
              <w:footnoteReference w:id="18"/>
            </w:r>
            <w:r w:rsidRPr="00747945">
              <w:rPr>
                <w:rFonts w:ascii="Century Gothic" w:eastAsia="Calibri" w:hAnsi="Century Gothic" w:cs="Arial"/>
                <w:color w:val="000000"/>
                <w:sz w:val="20"/>
                <w:szCs w:val="20"/>
                <w:lang w:val="es-ES_tradnl" w:eastAsia="es-ES"/>
              </w:rPr>
              <w:t xml:space="preserve"> el día confirmado por el CS en el plazo establecido para tal efecto en la sección de Plazos de la presente OREDA.</w:t>
            </w:r>
          </w:p>
          <w:p w:rsidR="0090207A" w:rsidRPr="00747945" w:rsidRDefault="0090207A" w:rsidP="00035D2C">
            <w:pPr>
              <w:spacing w:before="1pt" w:after="2pt"/>
              <w:jc w:val="both"/>
              <w:rPr>
                <w:rFonts w:ascii="Century Gothic" w:eastAsia="Calibri" w:hAnsi="Century Gothic" w:cs="Arial"/>
                <w:color w:val="000000"/>
                <w:sz w:val="20"/>
                <w:szCs w:val="20"/>
                <w:lang w:val="es-ES_tradnl" w:eastAsia="es-ES"/>
              </w:rPr>
            </w:pPr>
          </w:p>
          <w:p w:rsidR="0090207A" w:rsidRPr="00747945" w:rsidRDefault="00E56462" w:rsidP="00035D2C">
            <w:pPr>
              <w:spacing w:before="1pt" w:after="2pt"/>
              <w:jc w:val="both"/>
              <w:rPr>
                <w:rFonts w:ascii="Century Gothic" w:eastAsia="Calibri" w:hAnsi="Century Gothic" w:cs="Arial"/>
                <w:color w:val="000000"/>
                <w:sz w:val="20"/>
                <w:szCs w:val="20"/>
                <w:lang w:val="es-ES_tradnl" w:eastAsia="es-ES"/>
              </w:rPr>
            </w:pPr>
            <w:r w:rsidRPr="00747945">
              <w:rPr>
                <w:rFonts w:ascii="Century Gothic" w:eastAsia="Calibri" w:hAnsi="Century Gothic" w:cs="Arial"/>
                <w:color w:val="000000"/>
                <w:sz w:val="20"/>
                <w:szCs w:val="20"/>
                <w:lang w:val="es-ES_tradnl" w:eastAsia="es-ES"/>
              </w:rPr>
              <w:t xml:space="preserve">Para SAIB se requiere la habilitación presencial de RED NACIONAL y el CS en el domicilio del </w:t>
            </w:r>
            <w:r w:rsidRPr="00747945">
              <w:rPr>
                <w:rFonts w:ascii="Century Gothic" w:hAnsi="Century Gothic"/>
              </w:rPr>
              <w:t>Usuario Final</w:t>
            </w:r>
            <w:r w:rsidRPr="00747945">
              <w:rPr>
                <w:rFonts w:ascii="Century Gothic" w:eastAsia="Calibri" w:hAnsi="Century Gothic" w:cs="Arial"/>
                <w:color w:val="000000"/>
                <w:sz w:val="20"/>
                <w:szCs w:val="20"/>
                <w:lang w:val="es-ES_tradnl" w:eastAsia="es-ES"/>
              </w:rPr>
              <w:t>.</w:t>
            </w:r>
          </w:p>
          <w:p w:rsidR="0090207A" w:rsidRPr="00747945" w:rsidRDefault="0090207A" w:rsidP="00035D2C">
            <w:pPr>
              <w:spacing w:before="1pt" w:after="2pt"/>
              <w:jc w:val="both"/>
              <w:rPr>
                <w:rFonts w:ascii="Century Gothic" w:eastAsia="Calibri" w:hAnsi="Century Gothic" w:cs="Arial"/>
                <w:color w:val="000000"/>
                <w:sz w:val="20"/>
                <w:szCs w:val="20"/>
                <w:lang w:val="es-ES_tradnl" w:eastAsia="es-ES"/>
              </w:rPr>
            </w:pPr>
          </w:p>
          <w:p w:rsidR="00807666" w:rsidRPr="00747945" w:rsidRDefault="00807666" w:rsidP="00807666">
            <w:pPr>
              <w:spacing w:before="1pt" w:after="2pt"/>
              <w:jc w:val="both"/>
              <w:rPr>
                <w:rFonts w:ascii="Century Gothic" w:eastAsia="Calibri" w:hAnsi="Century Gothic" w:cs="Arial"/>
                <w:color w:val="000000"/>
                <w:sz w:val="20"/>
                <w:szCs w:val="20"/>
                <w:u w:val="single"/>
                <w:lang w:val="es-ES_tradnl" w:eastAsia="es-ES"/>
              </w:rPr>
            </w:pPr>
            <w:r w:rsidRPr="00747945">
              <w:rPr>
                <w:rFonts w:ascii="Century Gothic" w:eastAsia="Calibri" w:hAnsi="Century Gothic" w:cs="Arial"/>
                <w:color w:val="000000"/>
                <w:sz w:val="20"/>
                <w:szCs w:val="20"/>
                <w:u w:val="single"/>
                <w:lang w:val="es-ES_tradnl" w:eastAsia="es-ES"/>
              </w:rPr>
              <w:t xml:space="preserve">A continuación, para todos los Servicios (SAIB, SDTBL) se habilitará el Servicio en función de lo siguiente: </w:t>
            </w:r>
          </w:p>
          <w:p w:rsidR="0090207A" w:rsidRPr="00747945" w:rsidRDefault="00E56462">
            <w:pPr>
              <w:numPr>
                <w:ilvl w:val="0"/>
                <w:numId w:val="72"/>
              </w:numPr>
              <w:spacing w:before="1pt" w:after="2pt"/>
              <w:jc w:val="both"/>
              <w:rPr>
                <w:rFonts w:ascii="Century Gothic" w:eastAsia="Calibri" w:hAnsi="Century Gothic" w:cs="Arial"/>
                <w:color w:val="000000"/>
                <w:sz w:val="20"/>
                <w:szCs w:val="20"/>
                <w:lang w:val="es-ES_tradnl" w:eastAsia="es-ES"/>
              </w:rPr>
            </w:pPr>
            <w:r w:rsidRPr="00747945">
              <w:rPr>
                <w:rFonts w:ascii="Century Gothic" w:eastAsia="Calibri" w:hAnsi="Century Gothic" w:cs="Arial"/>
                <w:b/>
                <w:color w:val="000000"/>
                <w:sz w:val="20"/>
                <w:szCs w:val="20"/>
                <w:lang w:val="es-ES_tradnl" w:eastAsia="es-ES"/>
              </w:rPr>
              <w:t xml:space="preserve">Acometida Existente </w:t>
            </w:r>
            <w:r w:rsidRPr="00747945">
              <w:rPr>
                <w:rFonts w:ascii="Century Gothic" w:eastAsia="Calibri" w:hAnsi="Century Gothic" w:cs="Arial"/>
                <w:color w:val="000000"/>
                <w:sz w:val="20"/>
                <w:szCs w:val="20"/>
                <w:lang w:val="es-ES_tradnl" w:eastAsia="es-ES"/>
              </w:rPr>
              <w:t>(servicios activos) Se probará y en caso de ser posible, se reutilizará.</w:t>
            </w:r>
          </w:p>
          <w:p w:rsidR="0090207A" w:rsidRPr="00747945" w:rsidRDefault="00E56462">
            <w:pPr>
              <w:numPr>
                <w:ilvl w:val="0"/>
                <w:numId w:val="72"/>
              </w:numPr>
              <w:spacing w:before="1pt" w:after="2pt"/>
              <w:jc w:val="both"/>
              <w:rPr>
                <w:rFonts w:ascii="Century Gothic" w:eastAsia="Calibri" w:hAnsi="Century Gothic" w:cs="Arial"/>
                <w:color w:val="000000"/>
                <w:sz w:val="20"/>
                <w:szCs w:val="20"/>
                <w:lang w:val="es-ES_tradnl" w:eastAsia="es-ES"/>
              </w:rPr>
            </w:pPr>
            <w:r w:rsidRPr="00747945">
              <w:rPr>
                <w:rFonts w:ascii="Century Gothic" w:eastAsia="Calibri" w:hAnsi="Century Gothic" w:cs="Arial"/>
                <w:b/>
                <w:color w:val="000000"/>
                <w:sz w:val="20"/>
                <w:szCs w:val="20"/>
                <w:lang w:val="es-ES_tradnl" w:eastAsia="es-ES"/>
              </w:rPr>
              <w:t>Sin Acometida</w:t>
            </w:r>
            <w:r w:rsidRPr="00747945">
              <w:rPr>
                <w:rFonts w:ascii="Century Gothic" w:eastAsia="Calibri" w:hAnsi="Century Gothic" w:cs="Arial"/>
                <w:color w:val="000000"/>
                <w:sz w:val="20"/>
                <w:szCs w:val="20"/>
                <w:lang w:val="es-ES_tradnl" w:eastAsia="es-ES"/>
              </w:rPr>
              <w:t xml:space="preserve"> </w:t>
            </w:r>
          </w:p>
          <w:p w:rsidR="0090207A" w:rsidRPr="00747945" w:rsidRDefault="00E56462" w:rsidP="00035D2C">
            <w:pPr>
              <w:spacing w:before="1pt" w:after="2pt"/>
              <w:ind w:start="54pt" w:hanging="18pt"/>
              <w:jc w:val="both"/>
              <w:rPr>
                <w:rFonts w:ascii="Century Gothic" w:eastAsia="Calibri" w:hAnsi="Century Gothic" w:cs="Arial"/>
                <w:color w:val="000000"/>
                <w:sz w:val="20"/>
                <w:szCs w:val="20"/>
                <w:lang w:val="es-ES_tradnl" w:eastAsia="es-ES"/>
              </w:rPr>
            </w:pPr>
            <w:r w:rsidRPr="00747945">
              <w:rPr>
                <w:rFonts w:ascii="Century Gothic" w:eastAsia="Calibri" w:hAnsi="Century Gothic" w:cs="Arial"/>
                <w:color w:val="000000"/>
                <w:sz w:val="20"/>
                <w:szCs w:val="20"/>
                <w:lang w:val="es-ES_tradnl" w:eastAsia="es-ES"/>
              </w:rPr>
              <w:t>o</w:t>
            </w:r>
            <w:r w:rsidRPr="00747945">
              <w:rPr>
                <w:rFonts w:ascii="Century Gothic" w:eastAsia="Calibri" w:hAnsi="Century Gothic" w:cs="Arial"/>
                <w:color w:val="000000"/>
                <w:sz w:val="20"/>
                <w:szCs w:val="20"/>
                <w:lang w:val="es-ES_tradnl" w:eastAsia="es-ES"/>
              </w:rPr>
              <w:tab/>
              <w:t>Si existen recursos de red que pudieran ser utilizados, se probará la acometida y se reemplazará en caso de ser necesario o se instalará la nueva acometida.</w:t>
            </w:r>
          </w:p>
          <w:p w:rsidR="0090207A" w:rsidRPr="00747945" w:rsidRDefault="00E56462">
            <w:pPr>
              <w:numPr>
                <w:ilvl w:val="0"/>
                <w:numId w:val="73"/>
              </w:numPr>
              <w:spacing w:before="1pt" w:after="2pt"/>
              <w:jc w:val="both"/>
              <w:rPr>
                <w:rFonts w:ascii="Century Gothic" w:eastAsia="Calibri" w:hAnsi="Century Gothic" w:cs="Arial"/>
                <w:b/>
                <w:color w:val="000000"/>
                <w:sz w:val="20"/>
                <w:szCs w:val="20"/>
                <w:lang w:val="es-ES_tradnl" w:eastAsia="es-ES"/>
              </w:rPr>
            </w:pPr>
            <w:r w:rsidRPr="00747945">
              <w:rPr>
                <w:rFonts w:ascii="Century Gothic" w:eastAsia="Calibri" w:hAnsi="Century Gothic" w:cs="Arial"/>
                <w:b/>
                <w:color w:val="000000"/>
                <w:sz w:val="20"/>
                <w:szCs w:val="20"/>
                <w:lang w:val="es-ES_tradnl" w:eastAsia="es-ES"/>
              </w:rPr>
              <w:t xml:space="preserve">Cableado Interior. </w:t>
            </w:r>
            <w:r w:rsidRPr="00747945">
              <w:rPr>
                <w:rFonts w:ascii="Century Gothic" w:eastAsia="Calibri" w:hAnsi="Century Gothic" w:cs="Arial"/>
                <w:color w:val="000000"/>
                <w:sz w:val="20"/>
                <w:szCs w:val="20"/>
                <w:lang w:val="es-ES_tradnl" w:eastAsia="es-ES"/>
              </w:rPr>
              <w:t>Se instalará sólo si fue solicitado por el CS</w:t>
            </w:r>
            <w:r w:rsidR="00A66021" w:rsidRPr="00747945">
              <w:rPr>
                <w:rFonts w:ascii="Century Gothic" w:eastAsia="Calibri" w:hAnsi="Century Gothic" w:cs="Arial"/>
                <w:color w:val="000000"/>
                <w:sz w:val="20"/>
                <w:szCs w:val="20"/>
                <w:lang w:val="es-ES_tradnl" w:eastAsia="es-ES"/>
              </w:rPr>
              <w:t>.</w:t>
            </w:r>
          </w:p>
          <w:p w:rsidR="0090207A" w:rsidRPr="00747945" w:rsidRDefault="00E56462" w:rsidP="00035D2C">
            <w:pPr>
              <w:spacing w:before="1pt" w:after="2pt"/>
              <w:jc w:val="both"/>
              <w:rPr>
                <w:rFonts w:ascii="Century Gothic" w:eastAsia="Calibri" w:hAnsi="Century Gothic" w:cs="Arial"/>
                <w:color w:val="000000"/>
                <w:sz w:val="20"/>
                <w:szCs w:val="20"/>
                <w:lang w:val="es-ES_tradnl" w:eastAsia="es-ES"/>
              </w:rPr>
            </w:pPr>
            <w:r w:rsidRPr="00747945">
              <w:rPr>
                <w:rFonts w:ascii="Century Gothic" w:eastAsia="Calibri" w:hAnsi="Century Gothic" w:cs="Arial"/>
                <w:color w:val="000000"/>
                <w:sz w:val="20"/>
                <w:szCs w:val="20"/>
                <w:lang w:val="es-ES_tradnl" w:eastAsia="es-ES"/>
              </w:rPr>
              <w:t>En caso de que se requiera la instalación de un módem/ONT:</w:t>
            </w:r>
          </w:p>
          <w:p w:rsidR="0090207A" w:rsidRPr="00747945" w:rsidRDefault="00E56462">
            <w:pPr>
              <w:numPr>
                <w:ilvl w:val="0"/>
                <w:numId w:val="73"/>
              </w:numPr>
              <w:spacing w:before="1pt" w:after="2pt"/>
              <w:jc w:val="both"/>
              <w:rPr>
                <w:rFonts w:ascii="Century Gothic" w:eastAsia="Calibri" w:hAnsi="Century Gothic" w:cs="Arial"/>
                <w:color w:val="000000"/>
                <w:sz w:val="20"/>
                <w:szCs w:val="20"/>
                <w:lang w:val="es-ES_tradnl" w:eastAsia="es-ES"/>
              </w:rPr>
            </w:pPr>
            <w:r w:rsidRPr="00747945">
              <w:rPr>
                <w:rFonts w:ascii="Century Gothic" w:eastAsia="Calibri" w:hAnsi="Century Gothic" w:cs="Arial"/>
                <w:color w:val="000000"/>
                <w:sz w:val="20"/>
                <w:szCs w:val="20"/>
                <w:lang w:val="es-ES_tradnl" w:eastAsia="es-ES"/>
              </w:rPr>
              <w:t>El CS deberá conectar el módem/ONT al PCT. RED NACIONAL se encargará de instalar la ONT.</w:t>
            </w:r>
          </w:p>
          <w:p w:rsidR="0090207A" w:rsidRPr="00747945" w:rsidRDefault="00E56462">
            <w:pPr>
              <w:numPr>
                <w:ilvl w:val="0"/>
                <w:numId w:val="73"/>
              </w:numPr>
              <w:spacing w:before="1pt" w:after="2pt" w:line="12pt" w:lineRule="auto"/>
              <w:jc w:val="both"/>
              <w:rPr>
                <w:rFonts w:eastAsia="Calibri" w:cs="Arial"/>
                <w:color w:val="000000"/>
                <w:lang w:val="es-ES_tradnl" w:eastAsia="es-ES"/>
              </w:rPr>
            </w:pPr>
            <w:r w:rsidRPr="00747945">
              <w:rPr>
                <w:rFonts w:ascii="Century Gothic" w:eastAsia="Calibri" w:hAnsi="Century Gothic" w:cs="Arial"/>
                <w:color w:val="000000"/>
                <w:sz w:val="20"/>
                <w:szCs w:val="20"/>
                <w:lang w:val="es-ES_tradnl" w:eastAsia="es-ES"/>
              </w:rPr>
              <w:t xml:space="preserve">El CS llamará al 800-4040735 opción 1 en el que proporcionará el número de serie del módem y el número de línea/suscriptor, para la activación y sincronía en la red de RED NACIONAL. Para el caso de la ONT suministrará los datos requeridos de la ONT. </w:t>
            </w:r>
          </w:p>
          <w:p w:rsidR="0061711D" w:rsidRPr="00747945" w:rsidRDefault="0061711D">
            <w:pPr>
              <w:spacing w:before="1pt" w:after="2pt"/>
              <w:jc w:val="both"/>
              <w:rPr>
                <w:rFonts w:ascii="Century Gothic" w:eastAsia="Calibri" w:hAnsi="Century Gothic" w:cs="Arial"/>
                <w:color w:val="000000"/>
                <w:sz w:val="20"/>
                <w:szCs w:val="20"/>
                <w:lang w:val="es-ES_tradnl" w:eastAsia="es-ES"/>
              </w:rPr>
            </w:pPr>
          </w:p>
        </w:tc>
      </w:tr>
      <w:tr w:rsidR="0061711D" w:rsidTr="0090207A">
        <w:trPr>
          <w:jc w:val="center"/>
        </w:trPr>
        <w:tc>
          <w:tcPr>
            <w:tcW w:w="33.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1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Una vez instalado el servicio.</w:t>
            </w:r>
          </w:p>
        </w:tc>
        <w:tc>
          <w:tcPr>
            <w:tcW w:w="66.0%" w:type="pct"/>
            <w:tcBorders>
              <w:top w:val="single" w:sz="4" w:space="0" w:color="auto"/>
              <w:start w:val="single" w:sz="4" w:space="0" w:color="auto"/>
              <w:bottom w:val="single" w:sz="4" w:space="0" w:color="auto"/>
              <w:end w:val="single" w:sz="4" w:space="0" w:color="auto"/>
            </w:tcBorders>
          </w:tcPr>
          <w:p w:rsidR="0090207A" w:rsidRPr="00611019" w:rsidRDefault="00E56462" w:rsidP="00035D2C">
            <w:p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RED NACIONAL notifica vía SEG/SIPO la instalación exitosa.</w:t>
            </w:r>
          </w:p>
        </w:tc>
      </w:tr>
      <w:tr w:rsidR="0061711D" w:rsidTr="0090207A">
        <w:trPr>
          <w:cantSplit/>
          <w:jc w:val="center"/>
        </w:trPr>
        <w:tc>
          <w:tcPr>
            <w:tcW w:w="33.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1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lastRenderedPageBreak/>
              <w:t>Pruebas de Aceptación del Servicio</w:t>
            </w:r>
          </w:p>
        </w:tc>
        <w:tc>
          <w:tcPr>
            <w:tcW w:w="66.0%" w:type="pct"/>
            <w:tcBorders>
              <w:top w:val="single" w:sz="4" w:space="0" w:color="auto"/>
              <w:start w:val="single" w:sz="4" w:space="0" w:color="auto"/>
              <w:bottom w:val="single" w:sz="4" w:space="0" w:color="auto"/>
              <w:end w:val="single" w:sz="4" w:space="0" w:color="auto"/>
            </w:tcBorders>
          </w:tcPr>
          <w:p w:rsidR="0090207A" w:rsidRPr="00611019" w:rsidRDefault="00E56462" w:rsidP="00035D2C">
            <w:p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Una vez habilitado el Servicio que corresponda, RED NACIONAL realizará las pruebas de entrega para validar que el Servicio ha sido instalado y habilitado de conformidad, los resultados serán almacenados en el SEG/SIPO, para que el CS pueda consultarlos.</w:t>
            </w:r>
          </w:p>
          <w:p w:rsidR="0090207A" w:rsidRPr="00611019" w:rsidRDefault="00E56462" w:rsidP="00035D2C">
            <w:p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 xml:space="preserve"> </w:t>
            </w:r>
          </w:p>
          <w:p w:rsidR="0090207A" w:rsidRPr="00611019" w:rsidRDefault="00E56462" w:rsidP="00035D2C">
            <w:p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 xml:space="preserve">Para el caso de SAIB, RED NACIONAL realizará el acompañamiento para realizar pruebas conjuntas con el CS en la entrega del primer SAIB contratado para cada nuevo puerto de SCyD. </w:t>
            </w:r>
          </w:p>
          <w:p w:rsidR="0090207A" w:rsidRPr="00611019" w:rsidRDefault="0090207A" w:rsidP="00035D2C">
            <w:pPr>
              <w:spacing w:before="1pt" w:after="2pt"/>
              <w:jc w:val="both"/>
              <w:rPr>
                <w:rFonts w:ascii="Century Gothic" w:eastAsia="Calibri" w:hAnsi="Century Gothic" w:cs="Arial"/>
                <w:color w:val="000000"/>
                <w:sz w:val="20"/>
                <w:szCs w:val="20"/>
                <w:lang w:val="es-ES_tradnl" w:eastAsia="es-ES"/>
              </w:rPr>
            </w:pPr>
          </w:p>
          <w:p w:rsidR="0090207A" w:rsidRPr="00611019" w:rsidRDefault="00E56462" w:rsidP="00035D2C">
            <w:p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 xml:space="preserve">Para el SAIB, RED NACIONAL no podrá dar por liquidado el servicio si el </w:t>
            </w:r>
            <w:r>
              <w:rPr>
                <w:rFonts w:ascii="Century Gothic" w:hAnsi="Century Gothic"/>
              </w:rPr>
              <w:t>Usuario Final</w:t>
            </w:r>
            <w:r>
              <w:rPr>
                <w:rFonts w:ascii="Century Gothic" w:eastAsia="Calibri" w:hAnsi="Century Gothic" w:cs="Arial"/>
                <w:color w:val="000000"/>
                <w:sz w:val="20"/>
                <w:szCs w:val="20"/>
                <w:lang w:val="es-ES_tradnl" w:eastAsia="es-ES"/>
              </w:rPr>
              <w:t xml:space="preserve"> no tiene el servicio, independientemente de si se instaló o no. </w:t>
            </w:r>
            <w:r>
              <w:rPr>
                <w:rFonts w:ascii="Century Gothic" w:eastAsia="Calibri" w:hAnsi="Century Gothic" w:cs="Arial"/>
                <w:color w:val="000000"/>
                <w:sz w:val="20"/>
                <w:szCs w:val="20"/>
                <w:lang w:val="es-ES_tradnl" w:eastAsia="es-ES"/>
              </w:rPr>
              <w:br/>
              <w:t xml:space="preserve">Para el caso de </w:t>
            </w:r>
            <w:r w:rsidR="00807666" w:rsidRPr="00807666">
              <w:rPr>
                <w:rFonts w:ascii="Century Gothic" w:eastAsia="Calibri" w:hAnsi="Century Gothic" w:cs="Arial"/>
                <w:color w:val="000000"/>
                <w:sz w:val="20"/>
                <w:szCs w:val="20"/>
                <w:lang w:eastAsia="es-ES"/>
              </w:rPr>
              <w:t xml:space="preserve">SDTBL, </w:t>
            </w:r>
            <w:r>
              <w:rPr>
                <w:rFonts w:ascii="Century Gothic" w:eastAsia="Calibri" w:hAnsi="Century Gothic" w:cs="Arial"/>
                <w:color w:val="000000"/>
                <w:sz w:val="20"/>
                <w:szCs w:val="20"/>
                <w:lang w:val="es-ES_tradnl" w:eastAsia="es-ES"/>
              </w:rPr>
              <w:t>el CS tendrá un tiempo máximo de 30 minutos una vez notificada la ejecución del puente y deberá comunicarse al 800 4040 735 opción 1 para asegurarse que el Servicio está operando de manera correcta o reportar cualquier anomalía, de lo contrario se entenderá que el Servicio está operando correctamente.</w:t>
            </w:r>
          </w:p>
          <w:p w:rsidR="0090207A" w:rsidRPr="00611019" w:rsidRDefault="0090207A" w:rsidP="00035D2C">
            <w:pPr>
              <w:spacing w:before="1pt" w:after="2pt"/>
              <w:jc w:val="both"/>
              <w:rPr>
                <w:rFonts w:ascii="Century Gothic" w:eastAsia="Calibri" w:hAnsi="Century Gothic" w:cs="Arial"/>
                <w:color w:val="000000"/>
                <w:sz w:val="20"/>
                <w:szCs w:val="20"/>
                <w:lang w:val="es-ES_tradnl" w:eastAsia="es-ES"/>
              </w:rPr>
            </w:pPr>
          </w:p>
          <w:p w:rsidR="0061711D" w:rsidRDefault="0061711D">
            <w:p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Los plazos máximos para la activación del Servicio por parte de RED NACIONAL están sujetos a los establecidos en la sección de Parámetros e indicadores de Calidad</w:t>
            </w:r>
          </w:p>
        </w:tc>
      </w:tr>
      <w:tr w:rsidR="0061711D" w:rsidTr="0090207A">
        <w:trPr>
          <w:jc w:val="center"/>
        </w:trPr>
        <w:tc>
          <w:tcPr>
            <w:tcW w:w="33.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1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Facturación</w:t>
            </w:r>
          </w:p>
        </w:tc>
        <w:tc>
          <w:tcPr>
            <w:tcW w:w="66.0%" w:type="pct"/>
            <w:tcBorders>
              <w:top w:val="single" w:sz="4" w:space="0" w:color="auto"/>
              <w:start w:val="single" w:sz="4" w:space="0" w:color="auto"/>
              <w:bottom w:val="single" w:sz="4" w:space="0" w:color="auto"/>
              <w:end w:val="single" w:sz="4" w:space="0" w:color="auto"/>
            </w:tcBorders>
          </w:tcPr>
          <w:p w:rsidR="0090207A" w:rsidRPr="00611019" w:rsidRDefault="00E56462" w:rsidP="00035D2C">
            <w:p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Al corte del mes se realizará la facturación aplicable al Servicio:</w:t>
            </w:r>
          </w:p>
          <w:p w:rsidR="0090207A" w:rsidRPr="00611019" w:rsidRDefault="00E56462">
            <w:pPr>
              <w:numPr>
                <w:ilvl w:val="0"/>
                <w:numId w:val="74"/>
              </w:num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Se incluirán los gastos de instalación y/o habilitación y de la renta mensual correspondiente de acuerdo con los precios establecidos en el anexo de Tarifas correspondiente de esta OREDA.</w:t>
            </w:r>
          </w:p>
          <w:p w:rsidR="0090207A" w:rsidRPr="00611019" w:rsidRDefault="00E56462">
            <w:pPr>
              <w:numPr>
                <w:ilvl w:val="0"/>
                <w:numId w:val="74"/>
              </w:num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CS contará con la posibilidad de solicitar ajustes o aclaraciones respecto a los conceptos y Servicios incluidos en su factura.</w:t>
            </w:r>
          </w:p>
        </w:tc>
      </w:tr>
    </w:tbl>
    <w:p w:rsidR="0090207A" w:rsidRPr="00611019" w:rsidRDefault="00E56462" w:rsidP="00035D2C">
      <w:pPr>
        <w:rPr>
          <w:rFonts w:ascii="Times New Roman" w:eastAsia="Calibri" w:hAnsi="Times New Roman" w:cs="Times New Roman"/>
          <w:sz w:val="24"/>
          <w:szCs w:val="24"/>
          <w:lang w:eastAsia="es-MX"/>
        </w:rPr>
      </w:pPr>
      <w:r>
        <w:rPr>
          <w:rFonts w:ascii="Century Gothic" w:eastAsia="Calibri" w:hAnsi="Century Gothic" w:cs="Times New Roman"/>
          <w:sz w:val="20"/>
          <w:szCs w:val="20"/>
          <w:lang w:val="es-ES"/>
        </w:rPr>
        <w:t>Notas</w:t>
      </w:r>
      <w:r>
        <w:rPr>
          <w:rFonts w:ascii="Century Gothic" w:eastAsia="Calibri" w:hAnsi="Century Gothic" w:cs="Times New Roman"/>
          <w:sz w:val="20"/>
          <w:szCs w:val="20"/>
        </w:rPr>
        <w:t>: el CS deberá tomar en cuenta que no existe el esquema de rentas parciales sino sólo de rentas mensuales, por lo que no será posible realizar cobros parciales de los Servicios.</w:t>
      </w:r>
      <w:r>
        <w:rPr>
          <w:rFonts w:ascii="Times New Roman" w:eastAsia="Calibri" w:hAnsi="Times New Roman" w:cs="Times New Roman"/>
          <w:sz w:val="24"/>
          <w:szCs w:val="24"/>
          <w:lang w:eastAsia="es-MX"/>
        </w:rPr>
        <w:t xml:space="preserve"> </w:t>
      </w:r>
    </w:p>
    <w:p w:rsidR="0040284F" w:rsidRPr="00611019" w:rsidRDefault="0040284F" w:rsidP="00035D2C">
      <w:pPr>
        <w:rPr>
          <w:rFonts w:ascii="Times New Roman" w:eastAsia="Calibri" w:hAnsi="Times New Roman" w:cs="Times New Roman"/>
          <w:sz w:val="24"/>
          <w:szCs w:val="24"/>
          <w:lang w:eastAsia="es-MX"/>
        </w:rPr>
      </w:pP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La configuración del módem/ONT, cuando aplique, y la provisión de los servicios de datos, son responsabilidad del CS. A tal efecto y cuando RED NACIONAL sea la encargada de la instalación de la ONT el CS le suministrará los parámetros de configuración que correspondan.</w:t>
      </w:r>
    </w:p>
    <w:p w:rsidR="00544B11" w:rsidRPr="00544B11" w:rsidRDefault="00544B11" w:rsidP="00544B11">
      <w:pPr>
        <w:jc w:val="both"/>
        <w:rPr>
          <w:rFonts w:ascii="Century Gothic" w:eastAsia="Calibri" w:hAnsi="Century Gothic" w:cs="Arial"/>
          <w:color w:val="000000"/>
          <w:lang w:val="es-ES_tradnl" w:eastAsia="es-ES"/>
        </w:rPr>
      </w:pPr>
      <w:r w:rsidRPr="00544B11">
        <w:rPr>
          <w:rFonts w:ascii="Century Gothic" w:eastAsia="Calibri" w:hAnsi="Century Gothic" w:cs="Arial"/>
          <w:color w:val="000000"/>
          <w:lang w:val="es-ES_tradnl" w:eastAsia="es-ES"/>
        </w:rPr>
        <w:t xml:space="preserve">Asimismo, se debe considerar que el cambio de CS deberá ser transparente para el Usuario Final, es decir, en caso de afectación del Servicio deberá considerar como </w:t>
      </w:r>
      <w:r w:rsidRPr="00544B11">
        <w:rPr>
          <w:rFonts w:ascii="Century Gothic" w:eastAsia="Calibri" w:hAnsi="Century Gothic" w:cs="Arial"/>
          <w:color w:val="000000"/>
          <w:lang w:val="es-ES_tradnl" w:eastAsia="es-ES"/>
        </w:rPr>
        <w:lastRenderedPageBreak/>
        <w:t>máximo un plazo de 30 minutos por lo que respecta a hechos imputables a RED NACIONAL, la información respecto a la entrega del Servicio incluido si hubo o no afectación y el tiempo de la misma deberá quedar respaldada en el SEG/SIPO. Será responsabilidad del nuevo CS el cambio de módem/ONT en los términos de la presente oferta.</w:t>
      </w:r>
    </w:p>
    <w:p w:rsidR="00544B11" w:rsidRPr="00544B11" w:rsidRDefault="00544B11" w:rsidP="00544B11">
      <w:pPr>
        <w:jc w:val="both"/>
        <w:rPr>
          <w:rFonts w:ascii="Century Gothic" w:eastAsia="Calibri" w:hAnsi="Century Gothic" w:cs="Arial"/>
          <w:color w:val="000000"/>
          <w:lang w:val="es-ES_tradnl" w:eastAsia="es-ES"/>
        </w:rPr>
      </w:pPr>
      <w:r w:rsidRPr="00544B11">
        <w:rPr>
          <w:rFonts w:ascii="Century Gothic" w:eastAsia="Calibri" w:hAnsi="Century Gothic" w:cs="Arial"/>
          <w:color w:val="000000"/>
          <w:lang w:val="es-ES_tradnl" w:eastAsia="es-ES"/>
        </w:rPr>
        <w:t xml:space="preserve">Para garantizar la continuidad del servicio telefónico, cuando así aplique, el CS deberá otorgar un número telefónico en el que desee recibir el Servicio al momento de la desagregación efectiva. </w:t>
      </w:r>
    </w:p>
    <w:p w:rsidR="0090207A" w:rsidRPr="00611019" w:rsidRDefault="0090207A" w:rsidP="008A330C">
      <w:pPr>
        <w:jc w:val="both"/>
        <w:rPr>
          <w:rFonts w:ascii="Century Gothic" w:eastAsia="Calibri" w:hAnsi="Century Gothic" w:cs="Arial"/>
          <w:color w:val="000000"/>
          <w:lang w:val="es-ES_tradnl" w:eastAsia="es-ES"/>
        </w:rPr>
      </w:pPr>
    </w:p>
    <w:p w:rsidR="0090207A" w:rsidRPr="00611019" w:rsidRDefault="00E56462" w:rsidP="00035D2C">
      <w:pPr>
        <w:jc w:val="both"/>
        <w:rPr>
          <w:rFonts w:ascii="Century Gothic" w:eastAsia="Calibri" w:hAnsi="Century Gothic" w:cs="Arial"/>
          <w:b/>
          <w:color w:val="000000"/>
          <w:lang w:val="es-ES_tradnl" w:eastAsia="es-ES"/>
        </w:rPr>
      </w:pPr>
      <w:bookmarkStart w:id="1487" w:name="_Hlk114827397"/>
      <w:r>
        <w:rPr>
          <w:rFonts w:ascii="Century Gothic" w:eastAsia="Calibri" w:hAnsi="Century Gothic" w:cs="Arial"/>
          <w:b/>
          <w:color w:val="000000"/>
          <w:lang w:val="es-ES_tradnl" w:eastAsia="es-ES"/>
        </w:rPr>
        <w:t>Citas para la instalación de Servicios:</w:t>
      </w:r>
    </w:p>
    <w:bookmarkEnd w:id="1487"/>
    <w:p w:rsidR="0090207A" w:rsidRPr="00611019" w:rsidRDefault="00E56462" w:rsidP="00035D2C">
      <w:p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Este procedimiento indica la forma en la que se agendarán las citas para atender Servicios que requieran la presencia de un técnico de RED NACIONAL en el domicilio del Usuario Final.</w:t>
      </w:r>
    </w:p>
    <w:p w:rsidR="0090207A" w:rsidRPr="00611019" w:rsidRDefault="0090207A" w:rsidP="00035D2C">
      <w:pPr>
        <w:jc w:val="both"/>
        <w:rPr>
          <w:rFonts w:ascii="Century Gothic" w:eastAsia="Calibri" w:hAnsi="Century Gothic" w:cs="Arial"/>
          <w:color w:val="000000"/>
          <w:lang w:val="es-ES_tradnl" w:eastAsia="es-ES"/>
        </w:rPr>
      </w:pPr>
    </w:p>
    <w:tbl>
      <w:tblPr>
        <w:tblW w:w="0pt" w:type="dxa"/>
        <w:jc w:val="cente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1"/>
      </w:tblPr>
      <w:tblGrid>
        <w:gridCol w:w="3249"/>
        <w:gridCol w:w="5579"/>
      </w:tblGrid>
      <w:tr w:rsidR="0061711D" w:rsidTr="0090207A">
        <w:trPr>
          <w:tblHeader/>
          <w:jc w:val="center"/>
        </w:trPr>
        <w:tc>
          <w:tcPr>
            <w:tcW w:w="162.45pt" w:type="dxa"/>
            <w:tcBorders>
              <w:top w:val="single" w:sz="4" w:space="0" w:color="auto"/>
              <w:start w:val="single" w:sz="4" w:space="0" w:color="auto"/>
              <w:bottom w:val="single" w:sz="4" w:space="0" w:color="auto"/>
              <w:end w:val="single" w:sz="4" w:space="0" w:color="auto"/>
            </w:tcBorders>
            <w:shd w:val="clear" w:color="auto" w:fill="009AD9"/>
            <w:hideMark/>
          </w:tcPr>
          <w:p w:rsidR="0090207A" w:rsidRPr="00611019" w:rsidRDefault="00E56462" w:rsidP="00035D2C">
            <w:pPr>
              <w:spacing w:before="2pt" w:after="2pt"/>
              <w:jc w:val="center"/>
              <w:rPr>
                <w:rFonts w:ascii="Century Gothic" w:eastAsia="Calibri" w:hAnsi="Century Gothic" w:cs="Arial"/>
                <w:b/>
                <w:color w:val="FFFFFF" w:themeColor="background1"/>
                <w:sz w:val="20"/>
                <w:szCs w:val="20"/>
                <w:lang w:val="es-ES_tradnl" w:eastAsia="es-ES"/>
              </w:rPr>
            </w:pPr>
            <w:r>
              <w:rPr>
                <w:rFonts w:ascii="Century Gothic" w:eastAsia="Calibri" w:hAnsi="Century Gothic" w:cs="Arial"/>
                <w:b/>
                <w:color w:val="FFFFFF" w:themeColor="background1"/>
                <w:sz w:val="20"/>
                <w:szCs w:val="20"/>
                <w:lang w:val="es-ES_tradnl" w:eastAsia="es-ES"/>
              </w:rPr>
              <w:t>Actividad</w:t>
            </w:r>
          </w:p>
        </w:tc>
        <w:tc>
          <w:tcPr>
            <w:tcW w:w="278.95pt" w:type="dxa"/>
            <w:tcBorders>
              <w:top w:val="single" w:sz="4" w:space="0" w:color="auto"/>
              <w:start w:val="single" w:sz="4" w:space="0" w:color="auto"/>
              <w:bottom w:val="single" w:sz="4" w:space="0" w:color="auto"/>
              <w:end w:val="single" w:sz="4" w:space="0" w:color="auto"/>
            </w:tcBorders>
            <w:shd w:val="clear" w:color="auto" w:fill="009AD9"/>
            <w:hideMark/>
          </w:tcPr>
          <w:p w:rsidR="0090207A" w:rsidRPr="00611019" w:rsidRDefault="00E56462" w:rsidP="00035D2C">
            <w:pPr>
              <w:spacing w:before="2pt" w:after="2pt"/>
              <w:jc w:val="center"/>
              <w:rPr>
                <w:rFonts w:ascii="Century Gothic" w:eastAsia="Calibri" w:hAnsi="Century Gothic" w:cs="Arial"/>
                <w:b/>
                <w:color w:val="FFFFFF" w:themeColor="background1"/>
                <w:sz w:val="20"/>
                <w:szCs w:val="20"/>
                <w:lang w:val="es-ES_tradnl" w:eastAsia="es-ES"/>
              </w:rPr>
            </w:pPr>
            <w:r>
              <w:rPr>
                <w:rFonts w:ascii="Century Gothic" w:eastAsia="Calibri" w:hAnsi="Century Gothic" w:cs="Arial"/>
                <w:b/>
                <w:color w:val="FFFFFF" w:themeColor="background1"/>
                <w:sz w:val="20"/>
                <w:szCs w:val="20"/>
                <w:lang w:val="es-ES_tradnl" w:eastAsia="es-ES"/>
              </w:rPr>
              <w:t>Descripción</w:t>
            </w:r>
          </w:p>
        </w:tc>
      </w:tr>
      <w:tr w:rsidR="0061711D" w:rsidTr="0090207A">
        <w:trPr>
          <w:trHeight w:val="783"/>
          <w:jc w:val="center"/>
        </w:trPr>
        <w:tc>
          <w:tcPr>
            <w:tcW w:w="162.45pt" w:type="dxa"/>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Programación de visita</w:t>
            </w:r>
          </w:p>
        </w:tc>
        <w:tc>
          <w:tcPr>
            <w:tcW w:w="278.95pt" w:type="dxa"/>
            <w:tcBorders>
              <w:top w:val="single" w:sz="4" w:space="0" w:color="auto"/>
              <w:start w:val="single" w:sz="4" w:space="0" w:color="auto"/>
              <w:bottom w:val="single" w:sz="4" w:space="0" w:color="auto"/>
              <w:end w:val="single" w:sz="4" w:space="0" w:color="auto"/>
            </w:tcBorders>
          </w:tcPr>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bookmarkStart w:id="1488" w:name="_Hlk114827563"/>
            <w:r>
              <w:rPr>
                <w:rFonts w:ascii="Century Gothic" w:eastAsia="Calibri" w:hAnsi="Century Gothic" w:cs="Arial"/>
                <w:color w:val="000000"/>
                <w:spacing w:val="-3"/>
                <w:sz w:val="20"/>
                <w:szCs w:val="20"/>
                <w:lang w:val="es-ES_tradnl" w:eastAsia="es-ES"/>
              </w:rPr>
              <w:t>RED NACIONAL</w:t>
            </w:r>
            <w:r>
              <w:rPr>
                <w:rFonts w:ascii="Century Gothic" w:eastAsia="Calibri" w:hAnsi="Century Gothic" w:cs="Arial"/>
                <w:color w:val="000000"/>
                <w:sz w:val="20"/>
                <w:szCs w:val="20"/>
                <w:lang w:val="es-ES_tradnl" w:eastAsia="es-ES"/>
              </w:rPr>
              <w:t xml:space="preserve"> desplegará un calendario con alguna de las siguientes opciones para la atención del Servicio en el procedimiento de citas para la instalación del servicio con las fechas, horarios y rangos de horario disponibles para la instalación una vez confirmada la Factibilidad Técnica, únicamente se tendrá la posibilidad de variar la hora de llegada en un rango de 120 minutos.</w:t>
            </w:r>
          </w:p>
          <w:p w:rsidR="0090207A" w:rsidRPr="00611019" w:rsidRDefault="0090207A" w:rsidP="00035D2C">
            <w:pPr>
              <w:spacing w:before="2pt" w:after="2pt"/>
              <w:jc w:val="both"/>
              <w:rPr>
                <w:rFonts w:ascii="Century Gothic" w:eastAsia="Calibri" w:hAnsi="Century Gothic" w:cs="Arial"/>
                <w:color w:val="000000"/>
                <w:sz w:val="20"/>
                <w:szCs w:val="20"/>
                <w:lang w:val="es-ES_tradnl" w:eastAsia="es-ES"/>
              </w:rPr>
            </w:pPr>
          </w:p>
          <w:p w:rsidR="0090207A" w:rsidRPr="00611019" w:rsidRDefault="00E56462">
            <w:pPr>
              <w:numPr>
                <w:ilvl w:val="0"/>
                <w:numId w:val="71"/>
              </w:num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 xml:space="preserve">Fecha y rango horario. </w:t>
            </w:r>
          </w:p>
          <w:p w:rsidR="0090207A" w:rsidRPr="00611019" w:rsidRDefault="00E56462">
            <w:pPr>
              <w:numPr>
                <w:ilvl w:val="0"/>
                <w:numId w:val="71"/>
              </w:numPr>
              <w:spacing w:before="1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Fecha y hora especifica.</w:t>
            </w:r>
          </w:p>
          <w:bookmarkEnd w:id="1488"/>
          <w:p w:rsidR="0090207A" w:rsidRPr="00611019" w:rsidRDefault="0090207A" w:rsidP="00035D2C">
            <w:pPr>
              <w:spacing w:before="2pt" w:after="2pt"/>
              <w:jc w:val="both"/>
              <w:rPr>
                <w:rFonts w:ascii="Century Gothic" w:eastAsia="Calibri" w:hAnsi="Century Gothic" w:cs="Arial"/>
                <w:color w:val="000000"/>
                <w:sz w:val="20"/>
                <w:szCs w:val="20"/>
                <w:lang w:val="es-ES_tradnl" w:eastAsia="es-ES"/>
              </w:rPr>
            </w:pPr>
          </w:p>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 xml:space="preserve">En caso de seleccionar las citas por Fecha y hora específica, se considera que aplica como excepción a regla de FIFO. </w:t>
            </w:r>
          </w:p>
          <w:p w:rsidR="0090207A" w:rsidRPr="00611019" w:rsidRDefault="0090207A" w:rsidP="00035D2C">
            <w:pPr>
              <w:spacing w:before="2pt" w:after="2pt"/>
              <w:jc w:val="both"/>
              <w:rPr>
                <w:rFonts w:ascii="Century Gothic" w:eastAsia="Calibri" w:hAnsi="Century Gothic" w:cs="Arial"/>
                <w:color w:val="000000"/>
                <w:sz w:val="20"/>
                <w:szCs w:val="20"/>
                <w:lang w:val="es-ES_tradnl" w:eastAsia="es-ES"/>
              </w:rPr>
            </w:pPr>
          </w:p>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A efectos de asegurar la instalación se deberá establecer una comunicación entre los controladores (o “dispatchers”, como comúnmente se les denomina entre los operadores) de ambas partes (CS y RED NACIONAL) para orientar a los técnicos durante todo el proceso de instalación. Ver procedimiento de comunicación entre los dispatchers.</w:t>
            </w:r>
          </w:p>
        </w:tc>
      </w:tr>
      <w:tr w:rsidR="0061711D" w:rsidTr="0090207A">
        <w:trPr>
          <w:jc w:val="center"/>
        </w:trPr>
        <w:tc>
          <w:tcPr>
            <w:tcW w:w="162.45pt" w:type="dxa"/>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Confirmación de visita</w:t>
            </w:r>
          </w:p>
        </w:tc>
        <w:tc>
          <w:tcPr>
            <w:tcW w:w="278.95pt" w:type="dxa"/>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 xml:space="preserve">El CS confirma fecha y horario o rango de horario proporcionados por </w:t>
            </w:r>
            <w:r>
              <w:rPr>
                <w:rFonts w:ascii="Century Gothic" w:eastAsia="Calibri" w:hAnsi="Century Gothic" w:cs="Arial"/>
                <w:color w:val="000000"/>
                <w:spacing w:val="-3"/>
                <w:sz w:val="20"/>
                <w:szCs w:val="20"/>
                <w:lang w:val="es-ES_tradnl" w:eastAsia="es-ES"/>
              </w:rPr>
              <w:t>RED NACIONAL</w:t>
            </w:r>
            <w:r>
              <w:rPr>
                <w:rFonts w:ascii="Century Gothic" w:eastAsia="Calibri" w:hAnsi="Century Gothic" w:cs="Arial"/>
                <w:color w:val="000000"/>
                <w:sz w:val="20"/>
                <w:szCs w:val="20"/>
                <w:lang w:val="es-ES_tradnl" w:eastAsia="es-ES"/>
              </w:rPr>
              <w:t xml:space="preserve"> en el SEG/SIPO o sugiere un nuevo horario y/o fecha para la instalación.</w:t>
            </w:r>
          </w:p>
        </w:tc>
      </w:tr>
      <w:tr w:rsidR="0061711D" w:rsidTr="0090207A">
        <w:trPr>
          <w:jc w:val="center"/>
        </w:trPr>
        <w:tc>
          <w:tcPr>
            <w:tcW w:w="162.45pt" w:type="dxa"/>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lastRenderedPageBreak/>
              <w:t>Reprogramación de visita</w:t>
            </w:r>
          </w:p>
        </w:tc>
        <w:tc>
          <w:tcPr>
            <w:tcW w:w="278.95pt" w:type="dxa"/>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 xml:space="preserve">El CS contará con un plazo de </w:t>
            </w:r>
            <w:r w:rsidR="006B0D6F">
              <w:rPr>
                <w:rFonts w:ascii="Century Gothic" w:eastAsia="Calibri" w:hAnsi="Century Gothic" w:cs="Arial"/>
                <w:color w:val="000000"/>
                <w:sz w:val="20"/>
                <w:szCs w:val="20"/>
                <w:lang w:val="es-ES_tradnl" w:eastAsia="es-ES"/>
              </w:rPr>
              <w:t>6</w:t>
            </w:r>
            <w:r>
              <w:rPr>
                <w:rFonts w:ascii="Century Gothic" w:eastAsia="Calibri" w:hAnsi="Century Gothic" w:cs="Arial"/>
                <w:color w:val="000000"/>
                <w:sz w:val="20"/>
                <w:szCs w:val="20"/>
                <w:lang w:val="es-ES_tradnl" w:eastAsia="es-ES"/>
              </w:rPr>
              <w:t>0 días naturales para agendar y reprogramar la instalación a partir de la primera cita acordada para lo cual deberá dar aviso a RED NACIONAL conforme a lo siguiente:</w:t>
            </w:r>
          </w:p>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w:t>
            </w:r>
            <w:r w:rsidR="00F645E5">
              <w:rPr>
                <w:rFonts w:ascii="Century Gothic" w:eastAsia="Calibri" w:hAnsi="Century Gothic" w:cs="Arial"/>
                <w:color w:val="000000"/>
                <w:sz w:val="20"/>
                <w:szCs w:val="20"/>
                <w:lang w:val="es-ES_tradnl" w:eastAsia="es-ES"/>
              </w:rPr>
              <w:t xml:space="preserve"> </w:t>
            </w:r>
            <w:r>
              <w:rPr>
                <w:rFonts w:ascii="Century Gothic" w:eastAsia="Calibri" w:hAnsi="Century Gothic" w:cs="Arial"/>
                <w:color w:val="000000"/>
                <w:sz w:val="20"/>
                <w:szCs w:val="20"/>
                <w:lang w:val="es-ES_tradnl" w:eastAsia="es-ES"/>
              </w:rPr>
              <w:t xml:space="preserve">Si el aviso se realiza con al menos 36 horas de anticipación se reagendará sin cargo al CS. </w:t>
            </w:r>
          </w:p>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w:t>
            </w:r>
            <w:r w:rsidR="00F645E5">
              <w:rPr>
                <w:rFonts w:ascii="Century Gothic" w:eastAsia="Calibri" w:hAnsi="Century Gothic" w:cs="Arial"/>
                <w:color w:val="000000"/>
                <w:sz w:val="20"/>
                <w:szCs w:val="20"/>
                <w:lang w:val="es-ES_tradnl" w:eastAsia="es-ES"/>
              </w:rPr>
              <w:t xml:space="preserve"> </w:t>
            </w:r>
            <w:r>
              <w:rPr>
                <w:rFonts w:ascii="Century Gothic" w:eastAsia="Calibri" w:hAnsi="Century Gothic" w:cs="Arial"/>
                <w:color w:val="000000"/>
                <w:sz w:val="20"/>
                <w:szCs w:val="20"/>
                <w:lang w:val="es-ES_tradnl" w:eastAsia="es-ES"/>
              </w:rPr>
              <w:t xml:space="preserve">Si el aviso se realiza el día previo al de instalación se reagendará y se procederá con un cargo del 50% de la Visita en falso. </w:t>
            </w:r>
          </w:p>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w:t>
            </w:r>
            <w:r w:rsidR="00F645E5">
              <w:rPr>
                <w:rFonts w:ascii="Century Gothic" w:eastAsia="Calibri" w:hAnsi="Century Gothic" w:cs="Arial"/>
                <w:color w:val="000000"/>
                <w:sz w:val="20"/>
                <w:szCs w:val="20"/>
                <w:lang w:val="es-ES_tradnl" w:eastAsia="es-ES"/>
              </w:rPr>
              <w:t xml:space="preserve"> </w:t>
            </w:r>
            <w:r>
              <w:rPr>
                <w:rFonts w:ascii="Century Gothic" w:eastAsia="Calibri" w:hAnsi="Century Gothic" w:cs="Arial"/>
                <w:color w:val="000000"/>
                <w:sz w:val="20"/>
                <w:szCs w:val="20"/>
                <w:lang w:val="es-ES_tradnl" w:eastAsia="es-ES"/>
              </w:rPr>
              <w:t xml:space="preserve">Si el aviso se realiza el mismo día de la instalación o no se encuentra al </w:t>
            </w:r>
            <w:r>
              <w:rPr>
                <w:rFonts w:ascii="Century Gothic" w:hAnsi="Century Gothic"/>
              </w:rPr>
              <w:t xml:space="preserve">Usuario Final </w:t>
            </w:r>
            <w:r>
              <w:rPr>
                <w:rFonts w:ascii="Century Gothic" w:eastAsia="Calibri" w:hAnsi="Century Gothic" w:cs="Arial"/>
                <w:color w:val="000000"/>
                <w:sz w:val="20"/>
                <w:szCs w:val="20"/>
                <w:lang w:val="es-ES_tradnl" w:eastAsia="es-ES"/>
              </w:rPr>
              <w:t>se reagendará y procederá con el cargo por Visita en falso.</w:t>
            </w:r>
          </w:p>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Si el Servicio se instala el día acordado, no se requerirá reagendación, ni aplicará penalización por visita en falso.</w:t>
            </w:r>
          </w:p>
        </w:tc>
      </w:tr>
      <w:tr w:rsidR="0061711D" w:rsidTr="0090207A">
        <w:trPr>
          <w:jc w:val="center"/>
        </w:trPr>
        <w:tc>
          <w:tcPr>
            <w:tcW w:w="162.45pt" w:type="dxa"/>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Visita en falso</w:t>
            </w:r>
          </w:p>
        </w:tc>
        <w:tc>
          <w:tcPr>
            <w:tcW w:w="278.95pt" w:type="dxa"/>
            <w:tcBorders>
              <w:top w:val="single" w:sz="4" w:space="0" w:color="auto"/>
              <w:start w:val="single" w:sz="4" w:space="0" w:color="auto"/>
              <w:bottom w:val="single" w:sz="4" w:space="0" w:color="auto"/>
              <w:end w:val="single" w:sz="4" w:space="0" w:color="auto"/>
            </w:tcBorders>
          </w:tcPr>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b/>
                <w:color w:val="000000"/>
                <w:sz w:val="20"/>
                <w:szCs w:val="20"/>
                <w:lang w:val="es-ES_tradnl" w:eastAsia="es-ES"/>
              </w:rPr>
              <w:t>Atribuible a CS o Usuario Final</w:t>
            </w:r>
            <w:r>
              <w:rPr>
                <w:rFonts w:ascii="Century Gothic" w:eastAsia="Calibri" w:hAnsi="Century Gothic" w:cs="Arial"/>
                <w:color w:val="000000"/>
                <w:sz w:val="20"/>
                <w:szCs w:val="20"/>
                <w:lang w:val="es-ES_tradnl" w:eastAsia="es-ES"/>
              </w:rPr>
              <w:t>. En caso de que RED NACIONAL se presente en el domicilio del Usuario Final y no sea factible probar la acometida y habilitar el Servicio por razones asociadas al usuario o al CS, RED NACIONAL desde el sitio (fuera del domicilio) contactará al CS para informar que el usuario no lo atendió o no se encontró en el domicilio, RED NACIONAL esperará al menos 30 minutos para realizar la prueba y habilitar el servicio, el CS tendrá ese tiempo para solucionar la situación con su usuario. Si durante este periodo no fue posible ejecutar la prueba de la acometida y habilitación del servicio, el CS deberá:</w:t>
            </w:r>
          </w:p>
          <w:p w:rsidR="00D27AFC" w:rsidRPr="00611019" w:rsidRDefault="00D27AFC" w:rsidP="00035D2C">
            <w:pPr>
              <w:jc w:val="both"/>
              <w:rPr>
                <w:rFonts w:ascii="Century Gothic" w:eastAsia="Calibri" w:hAnsi="Century Gothic" w:cs="Arial"/>
                <w:color w:val="000000"/>
                <w:sz w:val="20"/>
                <w:szCs w:val="20"/>
                <w:lang w:val="es-ES_tradnl" w:eastAsia="es-ES"/>
              </w:rPr>
            </w:pPr>
          </w:p>
          <w:p w:rsidR="0090207A" w:rsidRPr="00611019" w:rsidRDefault="00E56462">
            <w:pPr>
              <w:numPr>
                <w:ilvl w:val="0"/>
                <w:numId w:val="75"/>
              </w:numPr>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Pagar la penalización correspondiente señalada en el Anexo “B”.</w:t>
            </w:r>
          </w:p>
          <w:p w:rsidR="0090207A" w:rsidRPr="00611019" w:rsidRDefault="00E56462" w:rsidP="00035D2C">
            <w:pPr>
              <w:spacing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Además, en un plazo máximo de 48 horas deberá indicar alguna de las siguientes acciones:</w:t>
            </w:r>
          </w:p>
          <w:p w:rsidR="0090207A" w:rsidRPr="00611019" w:rsidRDefault="00E56462">
            <w:pPr>
              <w:numPr>
                <w:ilvl w:val="0"/>
                <w:numId w:val="75"/>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Indicar si desea realizar la reprogramación de la prueba y habilitación del servicio.</w:t>
            </w:r>
          </w:p>
          <w:p w:rsidR="0090207A" w:rsidRPr="00611019" w:rsidRDefault="00E56462">
            <w:pPr>
              <w:numPr>
                <w:ilvl w:val="0"/>
                <w:numId w:val="75"/>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Cancelar la solicitud en caso de que desee rechazar el servicio.</w:t>
            </w:r>
          </w:p>
          <w:p w:rsidR="0090207A" w:rsidRPr="00611019" w:rsidRDefault="0090207A" w:rsidP="00035D2C">
            <w:pPr>
              <w:spacing w:before="2pt" w:after="2pt"/>
              <w:ind w:start="36pt" w:hanging="18pt"/>
              <w:jc w:val="both"/>
              <w:rPr>
                <w:rFonts w:ascii="Century Gothic" w:eastAsia="Calibri" w:hAnsi="Century Gothic" w:cs="Arial"/>
                <w:color w:val="000000"/>
                <w:sz w:val="20"/>
                <w:szCs w:val="20"/>
                <w:lang w:val="es-ES_tradnl" w:eastAsia="es-ES"/>
              </w:rPr>
            </w:pPr>
          </w:p>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bookmarkStart w:id="1489" w:name="_Hlk114839575"/>
            <w:r>
              <w:rPr>
                <w:rFonts w:ascii="Century Gothic" w:eastAsia="Calibri" w:hAnsi="Century Gothic" w:cs="Arial"/>
                <w:b/>
                <w:color w:val="000000"/>
                <w:sz w:val="20"/>
                <w:szCs w:val="20"/>
                <w:lang w:val="es-ES_tradnl" w:eastAsia="es-ES"/>
              </w:rPr>
              <w:t>Atribuible a RED NACIONAL.</w:t>
            </w:r>
            <w:r>
              <w:rPr>
                <w:rFonts w:ascii="Century Gothic" w:eastAsia="Calibri" w:hAnsi="Century Gothic" w:cs="Arial"/>
                <w:color w:val="000000"/>
                <w:sz w:val="20"/>
                <w:szCs w:val="20"/>
                <w:lang w:val="es-ES_tradnl" w:eastAsia="es-ES"/>
              </w:rPr>
              <w:t xml:space="preserve"> Si no se presenta su técnico o debido a que por causas atribuibles a </w:t>
            </w:r>
            <w:r>
              <w:rPr>
                <w:rFonts w:ascii="Century Gothic" w:eastAsia="Calibri" w:hAnsi="Century Gothic" w:cs="Arial"/>
                <w:color w:val="000000"/>
                <w:spacing w:val="-3"/>
                <w:sz w:val="20"/>
                <w:szCs w:val="20"/>
                <w:lang w:val="es-ES_tradnl" w:eastAsia="es-ES"/>
              </w:rPr>
              <w:t>RED NACIONAL</w:t>
            </w:r>
            <w:r>
              <w:rPr>
                <w:rFonts w:ascii="Century Gothic" w:eastAsia="Calibri" w:hAnsi="Century Gothic" w:cs="Arial"/>
                <w:color w:val="000000"/>
                <w:sz w:val="20"/>
                <w:szCs w:val="20"/>
                <w:lang w:val="es-ES_tradnl" w:eastAsia="es-ES"/>
              </w:rPr>
              <w:t xml:space="preserve"> </w:t>
            </w:r>
            <w:bookmarkStart w:id="1490" w:name="_Hlk121405648"/>
            <w:r>
              <w:rPr>
                <w:rFonts w:ascii="Century Gothic" w:eastAsia="Calibri" w:hAnsi="Century Gothic" w:cs="Arial"/>
                <w:color w:val="000000"/>
                <w:sz w:val="20"/>
                <w:szCs w:val="20"/>
                <w:lang w:val="es-ES_tradnl" w:eastAsia="es-ES"/>
              </w:rPr>
              <w:t>no fue posible realizar la prueba de la acometida y habilitación del servicio</w:t>
            </w:r>
            <w:bookmarkEnd w:id="1490"/>
            <w:r>
              <w:rPr>
                <w:rFonts w:ascii="Century Gothic" w:eastAsia="Calibri" w:hAnsi="Century Gothic" w:cs="Arial"/>
                <w:color w:val="000000"/>
                <w:sz w:val="20"/>
                <w:szCs w:val="20"/>
                <w:lang w:val="es-ES_tradnl" w:eastAsia="es-ES"/>
              </w:rPr>
              <w:t xml:space="preserve">, se informará al CS a través del </w:t>
            </w:r>
            <w:r>
              <w:rPr>
                <w:rFonts w:ascii="Century Gothic" w:eastAsia="Calibri" w:hAnsi="Century Gothic" w:cs="Arial"/>
                <w:color w:val="000000"/>
                <w:sz w:val="20"/>
                <w:szCs w:val="20"/>
                <w:lang w:val="es-ES_tradnl" w:eastAsia="es-ES"/>
              </w:rPr>
              <w:lastRenderedPageBreak/>
              <w:t>SEG/SIPO la justificación de los motivos descritos en el apartado 1 de esta OREDA, y RED NACIONAL deberá:</w:t>
            </w:r>
          </w:p>
          <w:p w:rsidR="0090207A" w:rsidRPr="00611019" w:rsidRDefault="0090207A" w:rsidP="00035D2C">
            <w:pPr>
              <w:spacing w:before="2pt" w:after="2pt"/>
              <w:jc w:val="both"/>
              <w:rPr>
                <w:rFonts w:ascii="Century Gothic" w:eastAsia="Calibri" w:hAnsi="Century Gothic" w:cs="Arial"/>
                <w:color w:val="000000"/>
                <w:sz w:val="20"/>
                <w:szCs w:val="20"/>
                <w:lang w:val="es-ES_tradnl" w:eastAsia="es-ES"/>
              </w:rPr>
            </w:pPr>
          </w:p>
          <w:p w:rsidR="0090207A" w:rsidRPr="00611019" w:rsidRDefault="00E56462">
            <w:pPr>
              <w:numPr>
                <w:ilvl w:val="0"/>
                <w:numId w:val="76"/>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Pagar la penalización correspondiente señalada en el Anexo “B”.</w:t>
            </w:r>
          </w:p>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bookmarkStart w:id="1491" w:name="_Hlk114839641"/>
            <w:r>
              <w:rPr>
                <w:rFonts w:ascii="Century Gothic" w:eastAsia="Calibri" w:hAnsi="Century Gothic" w:cs="Arial"/>
                <w:color w:val="000000"/>
                <w:sz w:val="20"/>
                <w:szCs w:val="20"/>
                <w:lang w:val="es-ES_tradnl" w:eastAsia="es-ES"/>
              </w:rPr>
              <w:t>Además, deberá realizar alguna de las siguientes acciones:</w:t>
            </w:r>
          </w:p>
          <w:p w:rsidR="00D27AFC" w:rsidRPr="00611019" w:rsidRDefault="00D27AFC" w:rsidP="00035D2C">
            <w:pPr>
              <w:jc w:val="both"/>
              <w:rPr>
                <w:rFonts w:ascii="Century Gothic" w:eastAsia="Calibri" w:hAnsi="Century Gothic" w:cs="Arial"/>
                <w:color w:val="000000"/>
                <w:sz w:val="20"/>
                <w:szCs w:val="20"/>
                <w:lang w:val="es-ES_tradnl" w:eastAsia="es-ES"/>
              </w:rPr>
            </w:pPr>
          </w:p>
          <w:p w:rsidR="0090207A" w:rsidRPr="00611019" w:rsidRDefault="00E56462">
            <w:pPr>
              <w:numPr>
                <w:ilvl w:val="0"/>
                <w:numId w:val="76"/>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Otorgar un plazo máximo de 48 horas, plazo en el cual el CS deberá indicar una nueva fecha para concluir la habilitación del servicio o cancelar la solicitud en caso de que desee rechazar el servicio.</w:t>
            </w:r>
          </w:p>
          <w:p w:rsidR="0090207A" w:rsidRPr="00611019" w:rsidRDefault="00E56462">
            <w:pPr>
              <w:numPr>
                <w:ilvl w:val="0"/>
                <w:numId w:val="76"/>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Declarar la no factibilidad técnica del servicio</w:t>
            </w:r>
            <w:bookmarkEnd w:id="1491"/>
            <w:r>
              <w:rPr>
                <w:rFonts w:ascii="Century Gothic" w:eastAsia="Calibri" w:hAnsi="Century Gothic" w:cs="Arial"/>
                <w:color w:val="000000"/>
                <w:sz w:val="20"/>
                <w:szCs w:val="20"/>
                <w:lang w:val="es-ES_tradnl" w:eastAsia="es-ES"/>
              </w:rPr>
              <w:t>.</w:t>
            </w:r>
            <w:bookmarkEnd w:id="1489"/>
          </w:p>
          <w:p w:rsidR="0090207A" w:rsidRPr="00611019" w:rsidRDefault="0090207A" w:rsidP="00035D2C">
            <w:pPr>
              <w:contextualSpacing/>
              <w:rPr>
                <w:rFonts w:ascii="Century Gothic" w:eastAsia="Calibri" w:hAnsi="Century Gothic" w:cs="Times New Roman"/>
                <w:sz w:val="20"/>
                <w:szCs w:val="20"/>
              </w:rPr>
            </w:pPr>
          </w:p>
          <w:p w:rsidR="0090207A" w:rsidRPr="00611019" w:rsidRDefault="00E56462" w:rsidP="00035D2C">
            <w:pPr>
              <w:jc w:val="both"/>
              <w:rPr>
                <w:rFonts w:ascii="Century Gothic" w:hAnsi="Century Gothic" w:cs="Arial"/>
                <w:color w:val="000000"/>
                <w:sz w:val="20"/>
                <w:szCs w:val="20"/>
                <w:lang w:val="es-ES_tradnl" w:eastAsia="es-ES"/>
              </w:rPr>
            </w:pPr>
            <w:r>
              <w:rPr>
                <w:rFonts w:ascii="Century Gothic" w:hAnsi="Century Gothic" w:cs="Arial"/>
                <w:b/>
                <w:color w:val="000000"/>
                <w:sz w:val="20"/>
                <w:szCs w:val="20"/>
                <w:lang w:val="es-ES_tradnl" w:eastAsia="es-ES"/>
              </w:rPr>
              <w:t>Límite de Reprogramación.</w:t>
            </w:r>
            <w:r>
              <w:rPr>
                <w:rFonts w:ascii="Century Gothic" w:hAnsi="Century Gothic" w:cs="Arial"/>
                <w:color w:val="000000"/>
                <w:sz w:val="20"/>
                <w:szCs w:val="20"/>
                <w:lang w:val="es-ES_tradnl" w:eastAsia="es-ES"/>
              </w:rPr>
              <w:t xml:space="preserve"> Si no fue posible la instalación de la acometida y/o el Servicio durante los 60 días naturales a partir de la primera fecha programada de instalación por razones asociadas al usuario, el CS deberá:</w:t>
            </w:r>
          </w:p>
          <w:p w:rsidR="00D27AFC" w:rsidRPr="00611019" w:rsidRDefault="00D27AFC" w:rsidP="00035D2C">
            <w:pPr>
              <w:contextualSpacing/>
              <w:jc w:val="both"/>
              <w:rPr>
                <w:rFonts w:ascii="Century Gothic" w:eastAsia="Calibri" w:hAnsi="Century Gothic" w:cs="Arial"/>
                <w:color w:val="000000"/>
                <w:sz w:val="20"/>
                <w:szCs w:val="20"/>
                <w:lang w:val="es-ES_tradnl" w:eastAsia="es-ES"/>
              </w:rPr>
            </w:pPr>
          </w:p>
          <w:p w:rsidR="0090207A" w:rsidRPr="00611019" w:rsidRDefault="00E56462">
            <w:pPr>
              <w:numPr>
                <w:ilvl w:val="0"/>
                <w:numId w:val="77"/>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Reingresar la solicitud en caso de que desee programar nuevamente la instalación.</w:t>
            </w:r>
          </w:p>
          <w:p w:rsidR="0090207A" w:rsidRPr="00611019" w:rsidRDefault="00E56462">
            <w:pPr>
              <w:numPr>
                <w:ilvl w:val="0"/>
                <w:numId w:val="77"/>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Cancelar la solicitud en caso de que desee rechazar el servicio.</w:t>
            </w:r>
          </w:p>
          <w:p w:rsidR="00D27AFC" w:rsidRPr="00611019" w:rsidRDefault="00D27AFC" w:rsidP="00035D2C">
            <w:pPr>
              <w:spacing w:before="2pt" w:after="2pt"/>
              <w:ind w:start="54pt"/>
              <w:jc w:val="both"/>
              <w:rPr>
                <w:rFonts w:ascii="Century Gothic" w:eastAsia="Calibri" w:hAnsi="Century Gothic" w:cs="Arial"/>
                <w:color w:val="000000"/>
                <w:sz w:val="20"/>
                <w:szCs w:val="20"/>
                <w:lang w:val="es-ES_tradnl" w:eastAsia="es-ES"/>
              </w:rPr>
            </w:pPr>
          </w:p>
          <w:p w:rsidR="0090207A"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En caso de visita en falso se registrarán en el SEG/SIPO las causas y evidencias, así como a quien fue atribuible.</w:t>
            </w:r>
          </w:p>
          <w:p w:rsidR="00A66021" w:rsidRPr="00A66021" w:rsidRDefault="00A66021" w:rsidP="00A66021">
            <w:pPr>
              <w:spacing w:before="2pt" w:after="2pt"/>
              <w:jc w:val="both"/>
              <w:rPr>
                <w:rFonts w:ascii="Century Gothic" w:eastAsia="Calibri" w:hAnsi="Century Gothic" w:cs="Arial"/>
                <w:b/>
                <w:color w:val="000000"/>
                <w:sz w:val="20"/>
                <w:szCs w:val="20"/>
                <w:lang w:eastAsia="es-ES"/>
              </w:rPr>
            </w:pPr>
          </w:p>
          <w:p w:rsidR="00A66021" w:rsidRPr="00A66021" w:rsidRDefault="00A66021" w:rsidP="00A66021">
            <w:pPr>
              <w:spacing w:before="2pt" w:after="2pt"/>
              <w:jc w:val="both"/>
              <w:rPr>
                <w:rFonts w:ascii="Century Gothic" w:eastAsia="Calibri" w:hAnsi="Century Gothic" w:cs="Arial"/>
                <w:bCs/>
                <w:i/>
                <w:color w:val="000000"/>
                <w:sz w:val="20"/>
                <w:szCs w:val="20"/>
                <w:lang w:val="es-ES_tradnl" w:eastAsia="es-ES"/>
              </w:rPr>
            </w:pPr>
            <w:r w:rsidRPr="00A66021">
              <w:rPr>
                <w:rFonts w:ascii="Century Gothic" w:eastAsia="Calibri" w:hAnsi="Century Gothic" w:cs="Arial"/>
                <w:b/>
                <w:color w:val="000000"/>
                <w:sz w:val="20"/>
                <w:szCs w:val="20"/>
                <w:lang w:eastAsia="es-ES"/>
              </w:rPr>
              <w:t xml:space="preserve">Atribuible a casos fortuitos o de fuerza mayor. </w:t>
            </w:r>
            <w:r w:rsidRPr="00A66021">
              <w:rPr>
                <w:rFonts w:ascii="Century Gothic" w:eastAsia="Calibri" w:hAnsi="Century Gothic" w:cs="Arial"/>
                <w:bCs/>
                <w:color w:val="000000"/>
                <w:sz w:val="20"/>
                <w:szCs w:val="20"/>
                <w:lang w:eastAsia="es-ES"/>
              </w:rPr>
              <w:t>En caso de que no haya sido posible realizar la prueba y habilitación del servicio por causas de caso fortuito o de fuerza mayor, no se cobrará penalización alguna a ninguna de las partes. Una vez solventado el caso fortuito o de fuerza mayor se deberá realizar lo siguiente:</w:t>
            </w:r>
            <w:r w:rsidRPr="00A66021">
              <w:rPr>
                <w:rFonts w:ascii="Century Gothic" w:eastAsia="Calibri" w:hAnsi="Century Gothic" w:cs="Arial"/>
                <w:bCs/>
                <w:color w:val="000000"/>
                <w:sz w:val="20"/>
                <w:szCs w:val="20"/>
                <w:lang w:eastAsia="es-ES"/>
              </w:rPr>
              <w:cr/>
            </w:r>
          </w:p>
          <w:p w:rsidR="00A66021" w:rsidRPr="00611019" w:rsidRDefault="00A66021">
            <w:pPr>
              <w:numPr>
                <w:ilvl w:val="0"/>
                <w:numId w:val="253"/>
              </w:numPr>
              <w:spacing w:before="2pt" w:after="2pt"/>
              <w:jc w:val="both"/>
              <w:rPr>
                <w:rFonts w:ascii="Century Gothic" w:eastAsia="Calibri" w:hAnsi="Century Gothic" w:cs="Arial"/>
                <w:color w:val="000000"/>
                <w:sz w:val="20"/>
                <w:szCs w:val="20"/>
                <w:lang w:val="es-ES_tradnl" w:eastAsia="es-ES"/>
              </w:rPr>
            </w:pPr>
            <w:r w:rsidRPr="00A66021">
              <w:rPr>
                <w:rFonts w:ascii="Century Gothic" w:eastAsia="Calibri" w:hAnsi="Century Gothic" w:cs="Arial"/>
                <w:bCs/>
                <w:color w:val="000000"/>
                <w:sz w:val="20"/>
                <w:szCs w:val="20"/>
                <w:lang w:eastAsia="es-ES"/>
              </w:rPr>
              <w:t>El CS deberá indicar una nueva fecha para concluir la habilitación del servicio o cancelar la solicitud en caso de que desee rechazar el servicio</w:t>
            </w:r>
            <w:r w:rsidRPr="00A66021">
              <w:rPr>
                <w:rFonts w:ascii="Century Gothic" w:eastAsia="Calibri" w:hAnsi="Century Gothic" w:cs="Arial"/>
                <w:bCs/>
                <w:i/>
                <w:color w:val="000000"/>
                <w:sz w:val="20"/>
                <w:szCs w:val="20"/>
                <w:lang w:val="es-ES_tradnl" w:eastAsia="es-ES"/>
              </w:rPr>
              <w:t>.</w:t>
            </w:r>
          </w:p>
        </w:tc>
      </w:tr>
    </w:tbl>
    <w:p w:rsidR="0090207A" w:rsidRPr="00611019" w:rsidRDefault="00E56462" w:rsidP="00035D2C">
      <w:pPr>
        <w:tabs>
          <w:tab w:val="start" w:pos="14.20pt"/>
        </w:tabs>
        <w:spacing w:after="3pt"/>
        <w:ind w:start="14.20pt" w:hanging="14.20pt"/>
        <w:jc w:val="both"/>
        <w:rPr>
          <w:rFonts w:ascii="Century Gothic" w:eastAsia="Calibri" w:hAnsi="Century Gothic" w:cs="Times New Roman"/>
          <w:sz w:val="18"/>
          <w:szCs w:val="14"/>
          <w:lang w:val="es-ES" w:eastAsia="es-ES"/>
        </w:rPr>
      </w:pPr>
      <w:r>
        <w:rPr>
          <w:rFonts w:ascii="Century Gothic" w:eastAsia="Calibri" w:hAnsi="Century Gothic" w:cs="Times New Roman"/>
          <w:sz w:val="18"/>
          <w:szCs w:val="14"/>
          <w:lang w:val="es-ES" w:eastAsia="es-ES"/>
        </w:rPr>
        <w:lastRenderedPageBreak/>
        <w:t>Nota: el registro, modificación y confirmación de fechas y horarios de atención se hará a través del SEG/SIPO.</w:t>
      </w:r>
    </w:p>
    <w:p w:rsidR="0040284F" w:rsidRPr="00611019" w:rsidRDefault="0040284F" w:rsidP="00035D2C">
      <w:pPr>
        <w:tabs>
          <w:tab w:val="start" w:pos="14.20pt"/>
        </w:tabs>
        <w:spacing w:after="3pt"/>
        <w:ind w:start="14.20pt" w:hanging="14.20pt"/>
        <w:jc w:val="both"/>
        <w:rPr>
          <w:rFonts w:ascii="Century Gothic" w:eastAsia="Calibri" w:hAnsi="Century Gothic" w:cs="Times New Roman"/>
          <w:sz w:val="18"/>
          <w:szCs w:val="14"/>
          <w:lang w:val="es-ES" w:eastAsia="es-ES"/>
        </w:rPr>
      </w:pP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b/>
          <w:color w:val="000000"/>
          <w:lang w:val="es-ES_tradnl" w:eastAsia="es-ES"/>
        </w:rPr>
        <w:t>Procedimiento de comunicación entre los dispatchers.</w:t>
      </w:r>
    </w:p>
    <w:tbl>
      <w:tblPr>
        <w:tblW w:w="0pt" w:type="dxa"/>
        <w:jc w:val="cente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shd w:val="clear" w:color="auto" w:fill="DEEAF6" w:themeFill="accent1" w:themeFillTint="33"/>
        <w:tblLook w:firstRow="1" w:lastRow="0" w:firstColumn="1" w:lastColumn="0" w:noHBand="0" w:noVBand="1"/>
      </w:tblPr>
      <w:tblGrid>
        <w:gridCol w:w="3249"/>
        <w:gridCol w:w="5579"/>
      </w:tblGrid>
      <w:tr w:rsidR="0061711D" w:rsidTr="0090207A">
        <w:trPr>
          <w:tblHeader/>
          <w:jc w:val="center"/>
        </w:trPr>
        <w:tc>
          <w:tcPr>
            <w:tcW w:w="162.45pt" w:type="dxa"/>
            <w:tcBorders>
              <w:top w:val="single" w:sz="4" w:space="0" w:color="auto"/>
              <w:start w:val="single" w:sz="4" w:space="0" w:color="auto"/>
              <w:bottom w:val="single" w:sz="4" w:space="0" w:color="auto"/>
              <w:end w:val="single" w:sz="4" w:space="0" w:color="auto"/>
            </w:tcBorders>
            <w:shd w:val="clear" w:color="auto" w:fill="009AD9"/>
            <w:hideMark/>
          </w:tcPr>
          <w:p w:rsidR="0090207A" w:rsidRPr="00611019" w:rsidRDefault="00E56462" w:rsidP="00035D2C">
            <w:pPr>
              <w:spacing w:before="2pt" w:after="2pt"/>
              <w:jc w:val="center"/>
              <w:rPr>
                <w:rFonts w:ascii="Century Gothic" w:eastAsia="Calibri" w:hAnsi="Century Gothic" w:cs="Times New Roman"/>
                <w:b/>
                <w:color w:val="FFFFFF" w:themeColor="background1"/>
                <w:sz w:val="20"/>
                <w:szCs w:val="20"/>
              </w:rPr>
            </w:pPr>
            <w:r>
              <w:rPr>
                <w:rFonts w:ascii="Century Gothic" w:eastAsia="Calibri" w:hAnsi="Century Gothic" w:cs="Times New Roman"/>
                <w:b/>
                <w:color w:val="FFFFFF" w:themeColor="background1"/>
                <w:sz w:val="20"/>
                <w:szCs w:val="20"/>
              </w:rPr>
              <w:t>Actividad</w:t>
            </w:r>
          </w:p>
        </w:tc>
        <w:tc>
          <w:tcPr>
            <w:tcW w:w="278.95pt" w:type="dxa"/>
            <w:tcBorders>
              <w:top w:val="single" w:sz="4" w:space="0" w:color="auto"/>
              <w:start w:val="single" w:sz="4" w:space="0" w:color="auto"/>
              <w:bottom w:val="single" w:sz="4" w:space="0" w:color="auto"/>
              <w:end w:val="single" w:sz="4" w:space="0" w:color="auto"/>
            </w:tcBorders>
            <w:shd w:val="clear" w:color="auto" w:fill="009AD9"/>
            <w:hideMark/>
          </w:tcPr>
          <w:p w:rsidR="0090207A" w:rsidRPr="00611019" w:rsidRDefault="00E56462" w:rsidP="00035D2C">
            <w:pPr>
              <w:spacing w:before="2pt" w:after="2pt"/>
              <w:jc w:val="center"/>
              <w:rPr>
                <w:rFonts w:ascii="Century Gothic" w:eastAsia="Calibri" w:hAnsi="Century Gothic" w:cs="Times New Roman"/>
                <w:b/>
                <w:color w:val="FFFFFF" w:themeColor="background1"/>
                <w:sz w:val="20"/>
                <w:szCs w:val="20"/>
              </w:rPr>
            </w:pPr>
            <w:r>
              <w:rPr>
                <w:rFonts w:ascii="Century Gothic" w:eastAsia="Calibri" w:hAnsi="Century Gothic" w:cs="Times New Roman"/>
                <w:b/>
                <w:color w:val="FFFFFF" w:themeColor="background1"/>
                <w:sz w:val="20"/>
                <w:szCs w:val="20"/>
              </w:rPr>
              <w:t>Descripción</w:t>
            </w:r>
          </w:p>
        </w:tc>
      </w:tr>
      <w:tr w:rsidR="0061711D" w:rsidTr="0090207A">
        <w:trPr>
          <w:jc w:val="center"/>
        </w:trPr>
        <w:tc>
          <w:tcPr>
            <w:tcW w:w="162.45pt" w:type="dxa"/>
            <w:tcBorders>
              <w:top w:val="single" w:sz="4" w:space="0" w:color="auto"/>
              <w:start w:val="single" w:sz="4" w:space="0" w:color="auto"/>
              <w:bottom w:val="single" w:sz="4" w:space="0" w:color="auto"/>
              <w:end w:val="single" w:sz="4" w:space="0" w:color="auto"/>
            </w:tcBorders>
            <w:shd w:val="clear" w:color="auto" w:fill="auto"/>
            <w:hideMark/>
          </w:tcPr>
          <w:p w:rsidR="0090207A" w:rsidRPr="00611019" w:rsidRDefault="00E56462" w:rsidP="00035D2C">
            <w:pPr>
              <w:spacing w:before="2pt" w:after="2pt"/>
              <w:jc w:val="both"/>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Durante la visita.</w:t>
            </w:r>
          </w:p>
        </w:tc>
        <w:tc>
          <w:tcPr>
            <w:tcW w:w="278.95pt" w:type="dxa"/>
            <w:tcBorders>
              <w:top w:val="single" w:sz="4" w:space="0" w:color="auto"/>
              <w:start w:val="single" w:sz="4" w:space="0" w:color="auto"/>
              <w:bottom w:val="single" w:sz="4" w:space="0" w:color="auto"/>
              <w:end w:val="single" w:sz="4" w:space="0" w:color="auto"/>
            </w:tcBorders>
            <w:shd w:val="clear" w:color="auto" w:fill="auto"/>
            <w:hideMark/>
          </w:tcPr>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técnico de RED NACIONAL se presentará a la hora acordada en el sitio de instalación.</w:t>
            </w:r>
          </w:p>
          <w:p w:rsidR="0090207A" w:rsidRPr="00611019" w:rsidRDefault="00E56462">
            <w:pPr>
              <w:numPr>
                <w:ilvl w:val="0"/>
                <w:numId w:val="78"/>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Si el técnico de RED NACIONAL se presenta a tiempo, el técnico procede con la instalación del servicio.</w:t>
            </w:r>
          </w:p>
          <w:p w:rsidR="0090207A" w:rsidRPr="00611019" w:rsidRDefault="00E56462">
            <w:pPr>
              <w:numPr>
                <w:ilvl w:val="0"/>
                <w:numId w:val="78"/>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Si a los 45 minutos posteriores de la hora acordada el técnico de RED NACIONAL no se presenta en el sitio de instalación, el CS se podrá comunicar a través de la línea indicada por RED NACIONAL con los dispatchers notificando que no se ha presentado el técnico.</w:t>
            </w:r>
          </w:p>
        </w:tc>
      </w:tr>
      <w:tr w:rsidR="0061711D" w:rsidTr="0090207A">
        <w:trPr>
          <w:jc w:val="center"/>
        </w:trPr>
        <w:tc>
          <w:tcPr>
            <w:tcW w:w="162.45pt" w:type="dxa"/>
            <w:tcBorders>
              <w:top w:val="single" w:sz="4" w:space="0" w:color="auto"/>
              <w:start w:val="single" w:sz="4" w:space="0" w:color="auto"/>
              <w:bottom w:val="single" w:sz="4" w:space="0" w:color="auto"/>
              <w:end w:val="single" w:sz="4" w:space="0" w:color="auto"/>
            </w:tcBorders>
            <w:shd w:val="clear" w:color="auto" w:fill="auto"/>
            <w:hideMark/>
          </w:tcPr>
          <w:p w:rsidR="0090207A" w:rsidRPr="00611019" w:rsidRDefault="00E56462" w:rsidP="00035D2C">
            <w:pPr>
              <w:spacing w:before="2pt" w:after="2pt"/>
              <w:jc w:val="both"/>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Comunicación entre dispatchers.</w:t>
            </w:r>
          </w:p>
        </w:tc>
        <w:tc>
          <w:tcPr>
            <w:tcW w:w="278.95pt" w:type="dxa"/>
            <w:tcBorders>
              <w:top w:val="single" w:sz="4" w:space="0" w:color="auto"/>
              <w:start w:val="single" w:sz="4" w:space="0" w:color="auto"/>
              <w:bottom w:val="single" w:sz="4" w:space="0" w:color="auto"/>
              <w:end w:val="single" w:sz="4" w:space="0" w:color="auto"/>
            </w:tcBorders>
            <w:shd w:val="clear" w:color="auto" w:fill="auto"/>
            <w:hideMark/>
          </w:tcPr>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área de atención a CS de RED NACIONAL, realizará las gestiones necesarias para llevar a cabo la instalación del Servicio el mismo día.</w:t>
            </w:r>
          </w:p>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Dentro de los siguientes 15 minutos, RED NACIONAL realiza las gestiones internas para la instalación del Servicio el mismo día.</w:t>
            </w:r>
          </w:p>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RED NACIONAL dará respuesta al CS a través del número telefónico indicado por el CS para coordinar la hora de llegada del técnico de RED NACIONAL.</w:t>
            </w:r>
          </w:p>
        </w:tc>
      </w:tr>
      <w:tr w:rsidR="0061711D" w:rsidTr="0090207A">
        <w:trPr>
          <w:jc w:val="center"/>
        </w:trPr>
        <w:tc>
          <w:tcPr>
            <w:tcW w:w="162.45pt" w:type="dxa"/>
            <w:tcBorders>
              <w:top w:val="single" w:sz="4" w:space="0" w:color="auto"/>
              <w:start w:val="single" w:sz="4" w:space="0" w:color="auto"/>
              <w:bottom w:val="single" w:sz="4" w:space="0" w:color="auto"/>
              <w:end w:val="single" w:sz="4" w:space="0" w:color="auto"/>
            </w:tcBorders>
            <w:shd w:val="clear" w:color="auto" w:fill="auto"/>
            <w:hideMark/>
          </w:tcPr>
          <w:p w:rsidR="0090207A" w:rsidRPr="00611019" w:rsidRDefault="00E56462" w:rsidP="00035D2C">
            <w:pPr>
              <w:spacing w:before="2pt" w:after="2pt"/>
              <w:jc w:val="both"/>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Aceptación de la reprogramación de hora de instalación.</w:t>
            </w:r>
          </w:p>
        </w:tc>
        <w:tc>
          <w:tcPr>
            <w:tcW w:w="278.95pt" w:type="dxa"/>
            <w:tcBorders>
              <w:top w:val="single" w:sz="4" w:space="0" w:color="auto"/>
              <w:start w:val="single" w:sz="4" w:space="0" w:color="auto"/>
              <w:bottom w:val="single" w:sz="4" w:space="0" w:color="auto"/>
              <w:end w:val="single" w:sz="4" w:space="0" w:color="auto"/>
            </w:tcBorders>
            <w:shd w:val="clear" w:color="auto" w:fill="auto"/>
          </w:tcPr>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b/>
                <w:color w:val="000000"/>
                <w:sz w:val="20"/>
                <w:szCs w:val="20"/>
                <w:lang w:val="es-ES_tradnl" w:eastAsia="es-ES"/>
              </w:rPr>
              <w:t>Si el CS acepta la nueva hora de instalación</w:t>
            </w:r>
            <w:r>
              <w:rPr>
                <w:rFonts w:ascii="Century Gothic" w:eastAsia="Calibri" w:hAnsi="Century Gothic" w:cs="Arial"/>
                <w:color w:val="000000"/>
                <w:sz w:val="20"/>
                <w:szCs w:val="20"/>
                <w:lang w:val="es-ES_tradnl" w:eastAsia="es-ES"/>
              </w:rPr>
              <w:t>, el técnico de RED NACIONAL se presentará a la nueva hora acordada y procederá con la instalación del servicio. Posteriormente debe notificar vía SEG como Instalación exitosa.</w:t>
            </w:r>
          </w:p>
          <w:p w:rsidR="0061711D" w:rsidRDefault="0061711D">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b/>
                <w:color w:val="000000"/>
                <w:sz w:val="20"/>
                <w:szCs w:val="20"/>
                <w:lang w:val="es-ES_tradnl" w:eastAsia="es-ES"/>
              </w:rPr>
              <w:t xml:space="preserve">Si el CS no acepta la hora propuesta por RED NACIONAL </w:t>
            </w:r>
            <w:r>
              <w:rPr>
                <w:rFonts w:ascii="Century Gothic" w:eastAsia="Calibri" w:hAnsi="Century Gothic" w:cs="Arial"/>
                <w:color w:val="000000"/>
                <w:sz w:val="20"/>
                <w:szCs w:val="20"/>
                <w:lang w:val="es-ES_tradnl" w:eastAsia="es-ES"/>
              </w:rPr>
              <w:t>se reagendará la instalación bajo común acuerdo del CS y RED NACIONAL y se notificará la nueva fecha y hora en el módulo de reagendaciones del SEG/SIPO y se retoma el proceso de instalación.</w:t>
            </w:r>
          </w:p>
        </w:tc>
      </w:tr>
    </w:tbl>
    <w:p w:rsidR="0090207A" w:rsidRPr="00611019" w:rsidRDefault="0090207A" w:rsidP="00035D2C">
      <w:pPr>
        <w:spacing w:after="6pt"/>
        <w:jc w:val="both"/>
        <w:rPr>
          <w:rFonts w:ascii="Century Gothic" w:eastAsia="Calibri" w:hAnsi="Century Gothic" w:cs="Arial"/>
          <w:color w:val="000000"/>
          <w:lang w:val="es-ES_tradnl" w:eastAsia="es-ES"/>
        </w:rPr>
      </w:pPr>
    </w:p>
    <w:p w:rsidR="0090207A" w:rsidRPr="00611019" w:rsidRDefault="00E56462" w:rsidP="00035D2C">
      <w:pPr>
        <w:jc w:val="both"/>
        <w:rPr>
          <w:rFonts w:ascii="Century Gothic" w:eastAsia="Calibri" w:hAnsi="Century Gothic" w:cs="Arial"/>
          <w:b/>
          <w:color w:val="000000"/>
          <w:lang w:val="es-ES_tradnl" w:eastAsia="es-ES"/>
        </w:rPr>
      </w:pPr>
      <w:r>
        <w:rPr>
          <w:rFonts w:ascii="Century Gothic" w:eastAsia="Calibri" w:hAnsi="Century Gothic" w:cs="Arial"/>
          <w:b/>
          <w:color w:val="000000"/>
          <w:lang w:val="es-ES_tradnl" w:eastAsia="es-ES"/>
        </w:rPr>
        <w:t>Procedimiento de modificación de perfil y/o cambio de calidad de SAIB.</w:t>
      </w:r>
    </w:p>
    <w:p w:rsidR="00D27AFC" w:rsidRPr="00611019" w:rsidRDefault="00D27AFC" w:rsidP="00035D2C">
      <w:pPr>
        <w:jc w:val="both"/>
        <w:rPr>
          <w:rFonts w:ascii="Century Gothic" w:eastAsia="Calibri" w:hAnsi="Century Gothic" w:cs="Arial"/>
          <w:color w:val="000000"/>
          <w:sz w:val="8"/>
          <w:lang w:val="es-ES_tradnl" w:eastAsia="es-ES"/>
        </w:rPr>
      </w:pP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El objetivo y alcance de este procedimiento es definir los pasos y actividades a desarrollar por parte de RED NACIONAL y del CS, a fin de realizar la modificación de los perfiles y/o de calidad del SAIB a petición del CS; las fases en que se divide este procedimiento son: </w:t>
      </w:r>
      <w:r>
        <w:rPr>
          <w:rFonts w:ascii="Century Gothic" w:eastAsia="Calibri" w:hAnsi="Century Gothic" w:cs="Arial"/>
          <w:b/>
          <w:color w:val="000000"/>
          <w:lang w:val="es-ES_tradnl" w:eastAsia="es-ES"/>
        </w:rPr>
        <w:t>(i)</w:t>
      </w:r>
      <w:r>
        <w:rPr>
          <w:rFonts w:ascii="Century Gothic" w:eastAsia="Calibri" w:hAnsi="Century Gothic" w:cs="Arial"/>
          <w:color w:val="000000"/>
          <w:lang w:val="es-ES_tradnl" w:eastAsia="es-ES"/>
        </w:rPr>
        <w:t xml:space="preserve"> Envío, validación y Análisis de Factibilidad técnica de la solicitud </w:t>
      </w:r>
      <w:r>
        <w:rPr>
          <w:rFonts w:ascii="Century Gothic" w:eastAsia="Calibri" w:hAnsi="Century Gothic" w:cs="Arial"/>
          <w:color w:val="000000"/>
          <w:lang w:val="es-ES_tradnl" w:eastAsia="es-ES"/>
        </w:rPr>
        <w:lastRenderedPageBreak/>
        <w:t xml:space="preserve">a fin de que a través del SEG/SIPO el CS pueda verificar que el perfil y/o calidad solicitado es compatible con la modificación del bucle requerido; y </w:t>
      </w:r>
      <w:r>
        <w:rPr>
          <w:rFonts w:ascii="Century Gothic" w:eastAsia="Calibri" w:hAnsi="Century Gothic" w:cs="Arial"/>
          <w:b/>
          <w:color w:val="000000"/>
          <w:lang w:val="es-ES_tradnl" w:eastAsia="es-ES"/>
        </w:rPr>
        <w:t>(ii)</w:t>
      </w:r>
      <w:r>
        <w:rPr>
          <w:rFonts w:ascii="Century Gothic" w:eastAsia="Calibri" w:hAnsi="Century Gothic" w:cs="Arial"/>
          <w:color w:val="000000"/>
          <w:lang w:val="es-ES_tradnl" w:eastAsia="es-ES"/>
        </w:rPr>
        <w:t xml:space="preserve"> Habilitación y aprovisionamiento del Servicio con la modificación solicitada, que detonará los procesos de pruebas de entrega y facturación.</w:t>
      </w:r>
    </w:p>
    <w:tbl>
      <w:tblPr>
        <w:tblW w:w="101.0%" w:type="pct"/>
        <w:jc w:val="cente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1"/>
      </w:tblPr>
      <w:tblGrid>
        <w:gridCol w:w="3450"/>
        <w:gridCol w:w="6038"/>
      </w:tblGrid>
      <w:tr w:rsidR="0061711D" w:rsidTr="0090207A">
        <w:trPr>
          <w:tblHeader/>
          <w:jc w:val="center"/>
        </w:trPr>
        <w:tc>
          <w:tcPr>
            <w:tcW w:w="36.0%" w:type="pct"/>
            <w:tcBorders>
              <w:top w:val="single" w:sz="4" w:space="0" w:color="auto"/>
              <w:start w:val="single" w:sz="4" w:space="0" w:color="auto"/>
              <w:bottom w:val="single" w:sz="4" w:space="0" w:color="auto"/>
              <w:end w:val="single" w:sz="4" w:space="0" w:color="auto"/>
            </w:tcBorders>
            <w:shd w:val="clear" w:color="auto" w:fill="009AD9"/>
            <w:hideMark/>
          </w:tcPr>
          <w:p w:rsidR="0090207A" w:rsidRPr="00611019" w:rsidRDefault="00E56462" w:rsidP="00035D2C">
            <w:pPr>
              <w:jc w:val="center"/>
              <w:rPr>
                <w:rFonts w:ascii="Century Gothic" w:eastAsia="Calibri" w:hAnsi="Century Gothic" w:cs="Arial"/>
                <w:b/>
                <w:color w:val="FFFFFF" w:themeColor="background1"/>
                <w:sz w:val="20"/>
                <w:szCs w:val="20"/>
                <w:lang w:val="es-ES_tradnl" w:eastAsia="es-ES"/>
              </w:rPr>
            </w:pPr>
            <w:r>
              <w:rPr>
                <w:rFonts w:ascii="Century Gothic" w:eastAsia="Calibri" w:hAnsi="Century Gothic" w:cs="Arial"/>
                <w:b/>
                <w:color w:val="FFFFFF" w:themeColor="background1"/>
                <w:sz w:val="20"/>
                <w:szCs w:val="20"/>
                <w:lang w:val="es-ES_tradnl" w:eastAsia="es-ES"/>
              </w:rPr>
              <w:t>Etapa</w:t>
            </w:r>
          </w:p>
        </w:tc>
        <w:tc>
          <w:tcPr>
            <w:tcW w:w="63.0%" w:type="pct"/>
            <w:tcBorders>
              <w:top w:val="single" w:sz="4" w:space="0" w:color="auto"/>
              <w:start w:val="single" w:sz="4" w:space="0" w:color="auto"/>
              <w:bottom w:val="single" w:sz="4" w:space="0" w:color="auto"/>
              <w:end w:val="single" w:sz="4" w:space="0" w:color="auto"/>
            </w:tcBorders>
            <w:shd w:val="clear" w:color="auto" w:fill="009AD9"/>
            <w:hideMark/>
          </w:tcPr>
          <w:p w:rsidR="0090207A" w:rsidRPr="00611019" w:rsidRDefault="00E56462" w:rsidP="00035D2C">
            <w:pPr>
              <w:jc w:val="center"/>
              <w:rPr>
                <w:rFonts w:ascii="Century Gothic" w:eastAsia="Calibri" w:hAnsi="Century Gothic" w:cs="Arial"/>
                <w:b/>
                <w:color w:val="FFFFFF" w:themeColor="background1"/>
                <w:sz w:val="20"/>
                <w:szCs w:val="20"/>
                <w:lang w:val="es-ES_tradnl" w:eastAsia="es-ES"/>
              </w:rPr>
            </w:pPr>
            <w:r>
              <w:rPr>
                <w:rFonts w:ascii="Century Gothic" w:eastAsia="Calibri" w:hAnsi="Century Gothic" w:cs="Arial"/>
                <w:b/>
                <w:color w:val="FFFFFF" w:themeColor="background1"/>
                <w:sz w:val="20"/>
                <w:szCs w:val="20"/>
                <w:lang w:val="es-ES_tradnl" w:eastAsia="es-ES"/>
              </w:rPr>
              <w:t>Descripción</w:t>
            </w:r>
          </w:p>
        </w:tc>
      </w:tr>
      <w:tr w:rsidR="0061711D" w:rsidTr="00381326">
        <w:trPr>
          <w:trHeight w:val="2362"/>
          <w:jc w:val="center"/>
        </w:trPr>
        <w:tc>
          <w:tcPr>
            <w:tcW w:w="36.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Envío, Validación y Factibilidad Técnica de la solicitud</w:t>
            </w:r>
          </w:p>
        </w:tc>
        <w:tc>
          <w:tcPr>
            <w:tcW w:w="63.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CS deberá presentar sus solicitudes a través del SEG/SIPO, realizando en línea la validación y el análisis de Factibilidad Técnica de la modificación (podrá capturarlas de forma individual o masiva), determinando si existen los recursos técnicos y facilidades para ejecutar los cambios solicitados, especificando el NIS de Referencia del Servicio a modificar:</w:t>
            </w:r>
          </w:p>
          <w:p w:rsidR="0090207A" w:rsidRPr="00611019" w:rsidRDefault="00E56462">
            <w:pPr>
              <w:numPr>
                <w:ilvl w:val="0"/>
                <w:numId w:val="79"/>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Seleccionar nuevo perfil de datos y/o calidad.</w:t>
            </w:r>
          </w:p>
          <w:p w:rsidR="0090207A" w:rsidRPr="00611019" w:rsidRDefault="00E56462" w:rsidP="00035D2C">
            <w:pPr>
              <w:spacing w:before="2pt" w:after="2pt"/>
              <w:jc w:val="both"/>
              <w:rPr>
                <w:rFonts w:ascii="Century Gothic" w:hAnsi="Century Gothic" w:cs="Arial"/>
                <w:color w:val="000000"/>
                <w:sz w:val="20"/>
                <w:szCs w:val="20"/>
                <w:lang w:val="es-ES_tradnl" w:eastAsia="es-ES"/>
              </w:rPr>
            </w:pPr>
            <w:r>
              <w:rPr>
                <w:rFonts w:ascii="Century Gothic" w:hAnsi="Century Gothic" w:cs="Arial"/>
                <w:color w:val="000000"/>
                <w:sz w:val="20"/>
                <w:szCs w:val="20"/>
                <w:lang w:val="es-ES_tradnl" w:eastAsia="es-ES"/>
              </w:rPr>
              <w:t>Una vez enviada la solicitud el SEG/SIPO asignará de forma automática un folio.</w:t>
            </w:r>
          </w:p>
        </w:tc>
      </w:tr>
      <w:tr w:rsidR="0061711D" w:rsidTr="0090207A">
        <w:trPr>
          <w:jc w:val="center"/>
        </w:trPr>
        <w:tc>
          <w:tcPr>
            <w:tcW w:w="36.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Habilitación y aprovisionamiento del Servicio</w:t>
            </w:r>
          </w:p>
        </w:tc>
        <w:tc>
          <w:tcPr>
            <w:tcW w:w="63.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 xml:space="preserve">RED NACIONAL llevará a cabo las actividades necesarias para modificar el Servicio en el plazo establecido para tal efecto en la sección de Plazos de este Servicio en la presente OREDA. </w:t>
            </w:r>
          </w:p>
          <w:p w:rsidR="0090207A" w:rsidRPr="00611019" w:rsidRDefault="00E56462" w:rsidP="00035D2C">
            <w:pPr>
              <w:spacing w:before="2pt" w:after="2pt"/>
              <w:ind w:start="35.40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En caso de requerirse el cambio de acometida por cambio de tecnología para poder alcanzar la velocidad solicitada por el CS, se habilitará el Servicio en el plazo establecido en la sección de Plazos de este Servicio en la presente OREDA.</w:t>
            </w:r>
          </w:p>
        </w:tc>
      </w:tr>
      <w:tr w:rsidR="0061711D" w:rsidTr="0090207A">
        <w:trPr>
          <w:jc w:val="center"/>
        </w:trPr>
        <w:tc>
          <w:tcPr>
            <w:tcW w:w="36.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Pruebas de Aceptación del Servicio</w:t>
            </w:r>
          </w:p>
        </w:tc>
        <w:tc>
          <w:tcPr>
            <w:tcW w:w="63.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Una vez ejecutado el cambio, se llevarán a cabo las pruebas correspondientes para validar que el Servicio ha sido habilitado de conformidad con lo requerido por el CS</w:t>
            </w:r>
            <w:r>
              <w:rPr>
                <w:rFonts w:ascii="Century Gothic" w:eastAsia="Calibri" w:hAnsi="Century Gothic" w:cs="Arial"/>
                <w:color w:val="000000"/>
                <w:sz w:val="20"/>
                <w:szCs w:val="20"/>
                <w:vertAlign w:val="superscript"/>
                <w:lang w:val="es-ES_tradnl" w:eastAsia="es-ES"/>
              </w:rPr>
              <w:footnoteReference w:id="19"/>
            </w:r>
            <w:r>
              <w:rPr>
                <w:rFonts w:ascii="Century Gothic" w:eastAsia="Calibri" w:hAnsi="Century Gothic" w:cs="Arial"/>
                <w:color w:val="000000"/>
                <w:sz w:val="20"/>
                <w:szCs w:val="20"/>
                <w:lang w:val="es-ES_tradnl" w:eastAsia="es-ES"/>
              </w:rPr>
              <w:t>, así como en caso de que se haya requerido cambio de tecnología.</w:t>
            </w:r>
          </w:p>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En caso de cambios administrativos, el CS podrá reportar en cualquier momento si se presenta una incidencia relacionada con la modificación solicitada.</w:t>
            </w:r>
          </w:p>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Los resultados de las pruebas realizadas se registrarán en el SEG para su consulta por el CS.</w:t>
            </w:r>
          </w:p>
        </w:tc>
      </w:tr>
      <w:tr w:rsidR="0061711D" w:rsidTr="0090207A">
        <w:trPr>
          <w:jc w:val="center"/>
        </w:trPr>
        <w:tc>
          <w:tcPr>
            <w:tcW w:w="36.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Facturación</w:t>
            </w:r>
          </w:p>
        </w:tc>
        <w:tc>
          <w:tcPr>
            <w:tcW w:w="63.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Al corte del mes se realizará la facturación aplicable al servicio:</w:t>
            </w:r>
          </w:p>
          <w:p w:rsidR="0090207A" w:rsidRPr="00611019" w:rsidRDefault="00E56462">
            <w:pPr>
              <w:numPr>
                <w:ilvl w:val="0"/>
                <w:numId w:val="79"/>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Se incluirán los gastos del cambio y la renta mensual correspondiente.</w:t>
            </w:r>
          </w:p>
          <w:p w:rsidR="0090207A" w:rsidRPr="00611019" w:rsidRDefault="00E56462">
            <w:pPr>
              <w:numPr>
                <w:ilvl w:val="0"/>
                <w:numId w:val="79"/>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CS contará con la posibilidad de solicitar ajustes o aclaraciones respecto a los conceptos y Servicios incluidos en su factura.</w:t>
            </w:r>
          </w:p>
        </w:tc>
      </w:tr>
    </w:tbl>
    <w:p w:rsidR="0090207A" w:rsidRPr="00611019" w:rsidRDefault="0090207A" w:rsidP="00035D2C">
      <w:pPr>
        <w:jc w:val="both"/>
        <w:rPr>
          <w:rFonts w:ascii="Century Gothic" w:eastAsia="Calibri" w:hAnsi="Century Gothic" w:cs="Arial"/>
          <w:b/>
          <w:color w:val="000000"/>
          <w:lang w:val="es-ES_tradnl" w:eastAsia="es-ES"/>
        </w:rPr>
      </w:pPr>
    </w:p>
    <w:p w:rsidR="0090207A" w:rsidRPr="00611019" w:rsidRDefault="00E56462" w:rsidP="00035D2C">
      <w:pPr>
        <w:jc w:val="both"/>
        <w:rPr>
          <w:rFonts w:ascii="Century Gothic" w:eastAsia="Calibri" w:hAnsi="Century Gothic" w:cs="Arial"/>
          <w:b/>
          <w:color w:val="000000"/>
          <w:lang w:val="es-ES_tradnl" w:eastAsia="es-ES"/>
        </w:rPr>
      </w:pPr>
      <w:r>
        <w:rPr>
          <w:rFonts w:ascii="Century Gothic" w:eastAsia="Calibri" w:hAnsi="Century Gothic" w:cs="Arial"/>
          <w:b/>
          <w:color w:val="000000"/>
          <w:lang w:val="es-ES_tradnl" w:eastAsia="es-ES"/>
        </w:rPr>
        <w:lastRenderedPageBreak/>
        <w:t>Procedimiento de baja.</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El objetivo y alcance de este procedimiento es definir los pasos y actividades a desarrollar por parte de RED NACIONAL y del CS, a fin de realizar la baja de los Servicios; las fases en que se divide este procedimiento son: </w:t>
      </w:r>
      <w:r>
        <w:rPr>
          <w:rFonts w:ascii="Century Gothic" w:eastAsia="Calibri" w:hAnsi="Century Gothic" w:cs="Arial"/>
          <w:b/>
          <w:color w:val="000000"/>
          <w:lang w:val="es-ES_tradnl" w:eastAsia="es-ES"/>
        </w:rPr>
        <w:t>(i)</w:t>
      </w:r>
      <w:r>
        <w:rPr>
          <w:rFonts w:ascii="Century Gothic" w:eastAsia="Calibri" w:hAnsi="Century Gothic" w:cs="Arial"/>
          <w:color w:val="000000"/>
          <w:lang w:val="es-ES_tradnl" w:eastAsia="es-ES"/>
        </w:rPr>
        <w:t xml:space="preserve"> Envío y validación de la solicitud para que el CS manifieste su intención de dar de baja Servicios, verificando a través del SEG/SIPO que la solicitud cuenta con todos los elementos; y </w:t>
      </w:r>
      <w:r>
        <w:rPr>
          <w:rFonts w:ascii="Century Gothic" w:eastAsia="Calibri" w:hAnsi="Century Gothic" w:cs="Arial"/>
          <w:b/>
          <w:color w:val="000000"/>
          <w:lang w:val="es-ES_tradnl" w:eastAsia="es-ES"/>
        </w:rPr>
        <w:t>(ii)</w:t>
      </w:r>
      <w:r>
        <w:rPr>
          <w:rFonts w:ascii="Century Gothic" w:eastAsia="Calibri" w:hAnsi="Century Gothic" w:cs="Arial"/>
          <w:color w:val="000000"/>
          <w:lang w:val="es-ES_tradnl" w:eastAsia="es-ES"/>
        </w:rPr>
        <w:t xml:space="preserve"> Baja del(los) servicio(s) y de la facturación correspondiente.</w:t>
      </w:r>
    </w:p>
    <w:tbl>
      <w:tblPr>
        <w:tblW w:w="101.0%" w:type="pct"/>
        <w:jc w:val="cente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1"/>
      </w:tblPr>
      <w:tblGrid>
        <w:gridCol w:w="3450"/>
        <w:gridCol w:w="6038"/>
      </w:tblGrid>
      <w:tr w:rsidR="0061711D" w:rsidTr="0090207A">
        <w:trPr>
          <w:tblHeader/>
          <w:jc w:val="center"/>
        </w:trPr>
        <w:tc>
          <w:tcPr>
            <w:tcW w:w="36.0%" w:type="pct"/>
            <w:tcBorders>
              <w:top w:val="single" w:sz="4" w:space="0" w:color="auto"/>
              <w:start w:val="single" w:sz="4" w:space="0" w:color="auto"/>
              <w:bottom w:val="single" w:sz="4" w:space="0" w:color="auto"/>
              <w:end w:val="single" w:sz="4" w:space="0" w:color="auto"/>
            </w:tcBorders>
            <w:shd w:val="clear" w:color="auto" w:fill="009AD9"/>
            <w:hideMark/>
          </w:tcPr>
          <w:p w:rsidR="0090207A" w:rsidRPr="00611019" w:rsidRDefault="00E56462" w:rsidP="00035D2C">
            <w:pPr>
              <w:spacing w:before="2pt" w:after="2pt"/>
              <w:jc w:val="center"/>
              <w:rPr>
                <w:rFonts w:ascii="Century Gothic" w:eastAsia="Calibri" w:hAnsi="Century Gothic" w:cs="Times New Roman"/>
                <w:b/>
                <w:color w:val="FFFFFF" w:themeColor="background1"/>
                <w:sz w:val="20"/>
                <w:szCs w:val="20"/>
              </w:rPr>
            </w:pPr>
            <w:r>
              <w:rPr>
                <w:rFonts w:ascii="Century Gothic" w:eastAsia="Calibri" w:hAnsi="Century Gothic" w:cs="Times New Roman"/>
                <w:b/>
                <w:color w:val="FFFFFF" w:themeColor="background1"/>
                <w:sz w:val="20"/>
                <w:szCs w:val="20"/>
              </w:rPr>
              <w:t>Etapa</w:t>
            </w:r>
          </w:p>
        </w:tc>
        <w:tc>
          <w:tcPr>
            <w:tcW w:w="63.0%" w:type="pct"/>
            <w:tcBorders>
              <w:top w:val="single" w:sz="4" w:space="0" w:color="auto"/>
              <w:start w:val="single" w:sz="4" w:space="0" w:color="auto"/>
              <w:bottom w:val="single" w:sz="4" w:space="0" w:color="auto"/>
              <w:end w:val="single" w:sz="4" w:space="0" w:color="auto"/>
            </w:tcBorders>
            <w:shd w:val="clear" w:color="auto" w:fill="009AD9"/>
            <w:hideMark/>
          </w:tcPr>
          <w:p w:rsidR="0090207A" w:rsidRPr="00611019" w:rsidRDefault="00E56462" w:rsidP="00035D2C">
            <w:pPr>
              <w:spacing w:before="2pt" w:after="2pt"/>
              <w:jc w:val="center"/>
              <w:rPr>
                <w:rFonts w:ascii="Century Gothic" w:eastAsia="Calibri" w:hAnsi="Century Gothic" w:cs="Times New Roman"/>
                <w:b/>
                <w:color w:val="FFFFFF" w:themeColor="background1"/>
                <w:sz w:val="20"/>
                <w:szCs w:val="20"/>
              </w:rPr>
            </w:pPr>
            <w:r>
              <w:rPr>
                <w:rFonts w:ascii="Century Gothic" w:eastAsia="Calibri" w:hAnsi="Century Gothic" w:cs="Times New Roman"/>
                <w:b/>
                <w:color w:val="FFFFFF" w:themeColor="background1"/>
                <w:sz w:val="20"/>
                <w:szCs w:val="20"/>
              </w:rPr>
              <w:t>Descripción</w:t>
            </w:r>
          </w:p>
        </w:tc>
      </w:tr>
      <w:tr w:rsidR="0061711D" w:rsidTr="0090207A">
        <w:trPr>
          <w:trHeight w:val="1774"/>
          <w:jc w:val="center"/>
        </w:trPr>
        <w:tc>
          <w:tcPr>
            <w:tcW w:w="36.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Envío y Validación de la solicitud</w:t>
            </w:r>
          </w:p>
        </w:tc>
        <w:tc>
          <w:tcPr>
            <w:tcW w:w="63.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CS deberá presentar sus solicitudes a través del SEG/SIPO (podrá capturarlas de forma individual o masiva), validando en línea el NIS de Referencia del Servicio en operación.</w:t>
            </w:r>
          </w:p>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Una vez validados los campos correspondientes en el SEG/SIPO, se asignará de forma automática el folio de seguimiento.</w:t>
            </w:r>
          </w:p>
        </w:tc>
      </w:tr>
      <w:tr w:rsidR="0061711D" w:rsidTr="0090207A">
        <w:trPr>
          <w:trHeight w:val="925"/>
          <w:jc w:val="center"/>
        </w:trPr>
        <w:tc>
          <w:tcPr>
            <w:tcW w:w="36.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Times New Roman"/>
                <w:b/>
                <w:sz w:val="20"/>
                <w:szCs w:val="20"/>
              </w:rPr>
            </w:pPr>
            <w:r>
              <w:rPr>
                <w:rFonts w:ascii="Century Gothic" w:eastAsia="Calibri" w:hAnsi="Century Gothic" w:cs="Times New Roman"/>
                <w:b/>
                <w:sz w:val="20"/>
                <w:szCs w:val="20"/>
              </w:rPr>
              <w:t>Ejecución de baja</w:t>
            </w:r>
          </w:p>
        </w:tc>
        <w:tc>
          <w:tcPr>
            <w:tcW w:w="63.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Una vez asignado el folio RED NACIONAL procederá a dar de baja el Servicio en el plazo establecido para tal efecto en la sección de Plazos de este Servicio en la presente OREDA, así como la facturación asociada a partir de la solicitud.</w:t>
            </w:r>
          </w:p>
        </w:tc>
      </w:tr>
    </w:tbl>
    <w:p w:rsidR="0090207A" w:rsidRPr="00611019" w:rsidRDefault="00E56462" w:rsidP="00035D2C">
      <w:pPr>
        <w:spacing w:after="6pt"/>
        <w:jc w:val="both"/>
        <w:rPr>
          <w:rFonts w:ascii="Century Gothic" w:eastAsia="Calibri" w:hAnsi="Century Gothic" w:cs="Times New Roman"/>
          <w:sz w:val="20"/>
          <w:szCs w:val="20"/>
        </w:rPr>
      </w:pPr>
      <w:r>
        <w:rPr>
          <w:rFonts w:ascii="Century Gothic" w:eastAsia="Calibri" w:hAnsi="Century Gothic" w:cs="Times New Roman"/>
          <w:sz w:val="20"/>
          <w:szCs w:val="20"/>
        </w:rPr>
        <w:t>Nota: El CS deberá tomar en cuenta que no existe el esquema de rentas parciales únicamente el de rentas mensuales, por lo que no será posible realizar cobros parciales de los Servicios.</w:t>
      </w:r>
    </w:p>
    <w:p w:rsidR="0090207A" w:rsidRPr="00611019" w:rsidRDefault="0090207A" w:rsidP="00035D2C">
      <w:pPr>
        <w:spacing w:after="6pt"/>
        <w:jc w:val="both"/>
        <w:rPr>
          <w:rFonts w:ascii="Century Gothic" w:eastAsia="Calibri" w:hAnsi="Century Gothic" w:cs="Arial"/>
          <w:b/>
          <w:color w:val="000000"/>
          <w:lang w:val="es-ES_tradnl" w:eastAsia="es-ES"/>
        </w:rPr>
      </w:pPr>
    </w:p>
    <w:p w:rsidR="0090207A" w:rsidRPr="00611019" w:rsidRDefault="00E56462" w:rsidP="00035D2C">
      <w:pPr>
        <w:spacing w:after="6pt"/>
        <w:jc w:val="both"/>
        <w:rPr>
          <w:rFonts w:ascii="Century Gothic" w:eastAsia="Calibri" w:hAnsi="Century Gothic" w:cs="Arial"/>
          <w:b/>
          <w:color w:val="000000"/>
          <w:lang w:val="es-ES_tradnl" w:eastAsia="es-ES"/>
        </w:rPr>
      </w:pPr>
      <w:r>
        <w:rPr>
          <w:rFonts w:ascii="Century Gothic" w:eastAsia="Calibri" w:hAnsi="Century Gothic" w:cs="Arial"/>
          <w:b/>
          <w:color w:val="000000"/>
          <w:lang w:val="es-ES_tradnl" w:eastAsia="es-ES"/>
        </w:rPr>
        <w:t>Procedimiento de cancelación de solicitud de habilitación en proceso de implementación.</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El objetivo y alcance de este procedimiento aplica para los casos en que el CS hubiera solicitado una habilitación o un cambio de domicilio y decide cancelarlo antes de que se hubiera concluido el movimiento solicitado; las fases en que se divide este procedimiento son: </w:t>
      </w:r>
      <w:r>
        <w:rPr>
          <w:rFonts w:ascii="Century Gothic" w:eastAsia="Calibri" w:hAnsi="Century Gothic" w:cs="Arial"/>
          <w:b/>
          <w:color w:val="000000"/>
          <w:lang w:val="es-ES_tradnl" w:eastAsia="es-ES"/>
        </w:rPr>
        <w:t>(i)</w:t>
      </w:r>
      <w:r>
        <w:rPr>
          <w:rFonts w:ascii="Century Gothic" w:eastAsia="Calibri" w:hAnsi="Century Gothic" w:cs="Arial"/>
          <w:color w:val="000000"/>
          <w:lang w:val="es-ES_tradnl" w:eastAsia="es-ES"/>
        </w:rPr>
        <w:t xml:space="preserve"> Solicitud para que el CS manifieste su intención de cancelar el Servicio previamente solicitado, y la validación a través del SEG/SIPO que la solicitud cuenta con todos los elementos; y </w:t>
      </w:r>
      <w:r>
        <w:rPr>
          <w:rFonts w:ascii="Century Gothic" w:eastAsia="Calibri" w:hAnsi="Century Gothic" w:cs="Arial"/>
          <w:b/>
          <w:color w:val="000000"/>
          <w:lang w:val="es-ES_tradnl" w:eastAsia="es-ES"/>
        </w:rPr>
        <w:t>(ii)</w:t>
      </w:r>
      <w:r>
        <w:rPr>
          <w:rFonts w:ascii="Century Gothic" w:eastAsia="Calibri" w:hAnsi="Century Gothic" w:cs="Arial"/>
          <w:color w:val="000000"/>
          <w:lang w:val="es-ES_tradnl" w:eastAsia="es-ES"/>
        </w:rPr>
        <w:t xml:space="preserve"> Cancelación del (los) servicio(s).</w:t>
      </w:r>
    </w:p>
    <w:tbl>
      <w:tblPr>
        <w:tblW w:w="99.0%" w:type="pct"/>
        <w:jc w:val="cente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1"/>
      </w:tblPr>
      <w:tblGrid>
        <w:gridCol w:w="2349"/>
        <w:gridCol w:w="6951"/>
      </w:tblGrid>
      <w:tr w:rsidR="0061711D" w:rsidTr="0090207A">
        <w:trPr>
          <w:tblHeader/>
          <w:jc w:val="center"/>
        </w:trPr>
        <w:tc>
          <w:tcPr>
            <w:tcW w:w="25.0%" w:type="pct"/>
            <w:tcBorders>
              <w:top w:val="single" w:sz="4" w:space="0" w:color="auto"/>
              <w:start w:val="single" w:sz="4" w:space="0" w:color="auto"/>
              <w:bottom w:val="single" w:sz="4" w:space="0" w:color="auto"/>
              <w:end w:val="single" w:sz="4" w:space="0" w:color="auto"/>
            </w:tcBorders>
            <w:shd w:val="clear" w:color="auto" w:fill="009AD9"/>
            <w:hideMark/>
          </w:tcPr>
          <w:p w:rsidR="0090207A" w:rsidRPr="00611019" w:rsidRDefault="00E56462" w:rsidP="00035D2C">
            <w:pPr>
              <w:jc w:val="center"/>
              <w:rPr>
                <w:rFonts w:ascii="Century Gothic" w:eastAsia="Calibri" w:hAnsi="Century Gothic" w:cs="Arial"/>
                <w:b/>
                <w:color w:val="FFFFFF" w:themeColor="background1"/>
                <w:sz w:val="20"/>
                <w:szCs w:val="20"/>
                <w:lang w:val="es-ES_tradnl" w:eastAsia="es-ES"/>
              </w:rPr>
            </w:pPr>
            <w:r>
              <w:rPr>
                <w:rFonts w:ascii="Century Gothic" w:eastAsia="Calibri" w:hAnsi="Century Gothic" w:cs="Arial"/>
                <w:b/>
                <w:color w:val="FFFFFF" w:themeColor="background1"/>
                <w:sz w:val="20"/>
                <w:szCs w:val="20"/>
                <w:lang w:val="es-ES_tradnl" w:eastAsia="es-ES"/>
              </w:rPr>
              <w:t>Etapa</w:t>
            </w:r>
          </w:p>
        </w:tc>
        <w:tc>
          <w:tcPr>
            <w:tcW w:w="74.0%" w:type="pct"/>
            <w:tcBorders>
              <w:top w:val="single" w:sz="4" w:space="0" w:color="auto"/>
              <w:start w:val="single" w:sz="4" w:space="0" w:color="auto"/>
              <w:bottom w:val="single" w:sz="4" w:space="0" w:color="auto"/>
              <w:end w:val="single" w:sz="4" w:space="0" w:color="auto"/>
            </w:tcBorders>
            <w:shd w:val="clear" w:color="auto" w:fill="009AD9"/>
            <w:hideMark/>
          </w:tcPr>
          <w:p w:rsidR="0090207A" w:rsidRPr="00611019" w:rsidRDefault="00E56462" w:rsidP="00035D2C">
            <w:pPr>
              <w:jc w:val="center"/>
              <w:rPr>
                <w:rFonts w:ascii="Century Gothic" w:eastAsia="Calibri" w:hAnsi="Century Gothic" w:cs="Arial"/>
                <w:b/>
                <w:color w:val="FFFFFF" w:themeColor="background1"/>
                <w:sz w:val="20"/>
                <w:szCs w:val="20"/>
                <w:lang w:val="es-ES_tradnl" w:eastAsia="es-ES"/>
              </w:rPr>
            </w:pPr>
            <w:r>
              <w:rPr>
                <w:rFonts w:ascii="Century Gothic" w:eastAsia="Calibri" w:hAnsi="Century Gothic" w:cs="Arial"/>
                <w:b/>
                <w:color w:val="FFFFFF" w:themeColor="background1"/>
                <w:sz w:val="20"/>
                <w:szCs w:val="20"/>
                <w:lang w:val="es-ES_tradnl" w:eastAsia="es-ES"/>
              </w:rPr>
              <w:t>Descripción</w:t>
            </w:r>
          </w:p>
        </w:tc>
      </w:tr>
      <w:tr w:rsidR="0061711D" w:rsidTr="0090207A">
        <w:trPr>
          <w:jc w:val="center"/>
        </w:trPr>
        <w:tc>
          <w:tcPr>
            <w:tcW w:w="25.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Times New Roman"/>
                <w:b/>
                <w:sz w:val="20"/>
                <w:szCs w:val="20"/>
              </w:rPr>
            </w:pPr>
            <w:r>
              <w:rPr>
                <w:rFonts w:ascii="Century Gothic" w:eastAsia="Calibri" w:hAnsi="Century Gothic" w:cs="Times New Roman"/>
                <w:b/>
                <w:sz w:val="20"/>
                <w:szCs w:val="20"/>
              </w:rPr>
              <w:t>Envío y Validación de solicitud</w:t>
            </w:r>
          </w:p>
        </w:tc>
        <w:tc>
          <w:tcPr>
            <w:tcW w:w="74.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CS deberá ingresar la solicitud a través del SEG/SIPO indicando el NIS de Referencia del Servicio que desea cancelar.</w:t>
            </w:r>
          </w:p>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Una vez validados los campos correspondientes en el SEG/SIPO, se asignará de forma automática el folio de seguimiento.</w:t>
            </w:r>
          </w:p>
        </w:tc>
      </w:tr>
      <w:tr w:rsidR="0061711D" w:rsidTr="0090207A">
        <w:trPr>
          <w:jc w:val="center"/>
        </w:trPr>
        <w:tc>
          <w:tcPr>
            <w:tcW w:w="25.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Times New Roman"/>
                <w:b/>
                <w:sz w:val="20"/>
                <w:szCs w:val="20"/>
              </w:rPr>
            </w:pPr>
            <w:r>
              <w:rPr>
                <w:rFonts w:ascii="Century Gothic" w:eastAsia="Calibri" w:hAnsi="Century Gothic" w:cs="Times New Roman"/>
                <w:b/>
                <w:sz w:val="20"/>
                <w:szCs w:val="20"/>
              </w:rPr>
              <w:t>Cancelación del (los) Servicio (s)</w:t>
            </w:r>
          </w:p>
        </w:tc>
        <w:tc>
          <w:tcPr>
            <w:tcW w:w="74.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Se cancela el seguimiento a la solicitud, no aplicará cobro alguno si la notificación de cancelación se hace con un mínimo de tres días hábiles de anticipación a la fecha confirmada de la habilitación del servicio.</w:t>
            </w:r>
          </w:p>
        </w:tc>
      </w:tr>
    </w:tbl>
    <w:p w:rsidR="0090207A" w:rsidRPr="00611019" w:rsidRDefault="0090207A" w:rsidP="00035D2C">
      <w:pPr>
        <w:jc w:val="both"/>
        <w:rPr>
          <w:rFonts w:ascii="Century Gothic" w:eastAsia="Calibri" w:hAnsi="Century Gothic" w:cs="Arial"/>
          <w:b/>
          <w:color w:val="000000"/>
          <w:lang w:val="es-ES_tradnl" w:eastAsia="es-ES"/>
        </w:rPr>
      </w:pPr>
    </w:p>
    <w:p w:rsidR="00D27AFC" w:rsidRPr="00611019" w:rsidRDefault="00E56462" w:rsidP="00035D2C">
      <w:pPr>
        <w:jc w:val="both"/>
        <w:rPr>
          <w:rFonts w:ascii="Century Gothic" w:eastAsia="Calibri" w:hAnsi="Century Gothic" w:cs="Arial"/>
          <w:b/>
          <w:color w:val="000000"/>
          <w:lang w:val="es-ES_tradnl" w:eastAsia="es-ES"/>
        </w:rPr>
      </w:pPr>
      <w:r>
        <w:rPr>
          <w:rFonts w:ascii="Century Gothic" w:eastAsia="Calibri" w:hAnsi="Century Gothic" w:cs="Arial"/>
          <w:b/>
          <w:color w:val="000000"/>
          <w:lang w:val="es-ES_tradnl" w:eastAsia="es-ES"/>
        </w:rPr>
        <w:lastRenderedPageBreak/>
        <w:t>Procedimiento de Cambio de modalidad de Desagregación.</w:t>
      </w:r>
    </w:p>
    <w:p w:rsidR="00D27AFC" w:rsidRPr="00611019" w:rsidRDefault="00D27AFC" w:rsidP="00035D2C">
      <w:pPr>
        <w:jc w:val="both"/>
        <w:rPr>
          <w:rFonts w:ascii="Century Gothic" w:eastAsia="Calibri" w:hAnsi="Century Gothic" w:cs="Arial"/>
          <w:color w:val="000000"/>
          <w:sz w:val="8"/>
          <w:lang w:val="es-ES_tradnl" w:eastAsia="es-ES"/>
        </w:rPr>
      </w:pPr>
    </w:p>
    <w:p w:rsidR="0090207A" w:rsidRPr="00611019" w:rsidRDefault="00E56462" w:rsidP="00035D2C">
      <w:p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En caso de que el CS requiera modificaciones para cambiar a un Servicio distinto de desagregación, deberá presentar su solicitud en el formato correspondiente al nuevo Servicio solicitado y el formato de baja del Servicio existente. La factibilidad del cambio de modalidad dependerá de que se cumplan las condiciones para ofrecer el Servicio de destino y la habilitación del Servicio de destino se llevará a cabo como está establecido en los procedimientos respectivos materia de esta Oferta. </w:t>
      </w:r>
      <w:r w:rsidR="00544B11" w:rsidRPr="00544B11">
        <w:rPr>
          <w:rFonts w:ascii="Century Gothic" w:eastAsia="Calibri" w:hAnsi="Century Gothic" w:cs="Arial"/>
          <w:color w:val="000000"/>
          <w:lang w:eastAsia="es-ES"/>
        </w:rPr>
        <w:t>Asimismo, se debe considerar que el cambio de desagregación de una modalidad a otra deberá ser transparente para el Usuario Final, es decir, en caso de afectación del Servicio deberá considerarse como máximo un plazo de 30 minutos por lo que respecta a hechos imputables a RED NACIONAL, la información respecto a la entrega del Servicio incluido si hubo o no afectación y el tiempo de la misma deberá quedar respaldada en el SEG/SIPO</w:t>
      </w:r>
      <w:r w:rsidR="00544B11">
        <w:rPr>
          <w:rFonts w:ascii="Century Gothic" w:eastAsia="Calibri" w:hAnsi="Century Gothic" w:cs="Arial"/>
          <w:color w:val="000000"/>
          <w:lang w:eastAsia="es-ES"/>
        </w:rPr>
        <w:t>.</w:t>
      </w:r>
    </w:p>
    <w:p w:rsidR="0040284F" w:rsidRPr="00611019" w:rsidRDefault="0040284F" w:rsidP="00035D2C">
      <w:pPr>
        <w:jc w:val="both"/>
        <w:rPr>
          <w:rFonts w:ascii="Century Gothic" w:eastAsia="Calibri" w:hAnsi="Century Gothic" w:cs="Arial"/>
          <w:color w:val="000000"/>
          <w:lang w:val="es-ES_tradnl" w:eastAsia="es-ES"/>
        </w:rPr>
      </w:pPr>
    </w:p>
    <w:p w:rsidR="00D27AFC" w:rsidRPr="00611019" w:rsidRDefault="00E56462" w:rsidP="00035D2C">
      <w:pPr>
        <w:jc w:val="both"/>
        <w:rPr>
          <w:rFonts w:ascii="Century Gothic" w:eastAsia="Calibri" w:hAnsi="Century Gothic" w:cs="Arial"/>
          <w:b/>
          <w:color w:val="000000"/>
          <w:lang w:val="es-ES_tradnl" w:eastAsia="es-ES"/>
        </w:rPr>
      </w:pPr>
      <w:r>
        <w:rPr>
          <w:rFonts w:ascii="Century Gothic" w:eastAsia="Calibri" w:hAnsi="Century Gothic" w:cs="Arial"/>
          <w:b/>
          <w:color w:val="000000"/>
          <w:lang w:val="es-ES_tradnl" w:eastAsia="es-ES"/>
        </w:rPr>
        <w:t>Procedimiento de Cambio de Domicilio.</w:t>
      </w:r>
    </w:p>
    <w:p w:rsidR="00D27AFC" w:rsidRPr="00611019" w:rsidRDefault="00D27AFC" w:rsidP="00035D2C">
      <w:pPr>
        <w:jc w:val="both"/>
        <w:rPr>
          <w:rFonts w:ascii="Century Gothic" w:eastAsia="Calibri" w:hAnsi="Century Gothic" w:cs="Arial"/>
          <w:color w:val="000000"/>
          <w:sz w:val="8"/>
          <w:lang w:val="es-ES_tradnl" w:eastAsia="es-ES"/>
        </w:rPr>
      </w:pPr>
    </w:p>
    <w:p w:rsidR="0090207A" w:rsidRPr="00611019" w:rsidRDefault="00E56462" w:rsidP="00035D2C">
      <w:pPr>
        <w:jc w:val="both"/>
        <w:rPr>
          <w:rFonts w:ascii="Century Gothic" w:eastAsia="Calibri" w:hAnsi="Century Gothic" w:cs="Arial"/>
          <w:b/>
          <w:color w:val="000000"/>
          <w:lang w:val="es-ES_tradnl" w:eastAsia="es-ES"/>
        </w:rPr>
      </w:pPr>
      <w:r>
        <w:rPr>
          <w:rFonts w:ascii="Century Gothic" w:eastAsia="Calibri" w:hAnsi="Century Gothic" w:cs="Arial"/>
          <w:color w:val="000000"/>
          <w:lang w:val="es-ES_tradnl" w:eastAsia="es-ES"/>
        </w:rPr>
        <w:t>Aplican los movimientos de baja y alta del Servicio conforme a los procedimientos correspondientes y dicho cambio será atendido conforme las políticas actuales de los Servicios.</w:t>
      </w:r>
    </w:p>
    <w:p w:rsidR="0090207A" w:rsidRPr="00611019" w:rsidRDefault="0090207A" w:rsidP="00035D2C">
      <w:pPr>
        <w:jc w:val="both"/>
        <w:rPr>
          <w:rFonts w:ascii="Century Gothic" w:eastAsia="Calibri" w:hAnsi="Century Gothic" w:cs="Arial"/>
          <w:color w:val="000000"/>
          <w:lang w:val="es-ES_tradnl" w:eastAsia="es-ES"/>
        </w:rPr>
      </w:pPr>
    </w:p>
    <w:p w:rsidR="0090207A" w:rsidRPr="00611019" w:rsidRDefault="00E56462" w:rsidP="00035D2C">
      <w:pPr>
        <w:jc w:val="both"/>
        <w:rPr>
          <w:rFonts w:ascii="Century Gothic" w:eastAsia="Calibri" w:hAnsi="Century Gothic" w:cs="Arial"/>
          <w:b/>
          <w:color w:val="000000"/>
          <w:lang w:val="es-ES_tradnl" w:eastAsia="es-ES"/>
        </w:rPr>
      </w:pPr>
      <w:r>
        <w:rPr>
          <w:rFonts w:ascii="Century Gothic" w:eastAsia="Calibri" w:hAnsi="Century Gothic" w:cs="Arial"/>
          <w:b/>
          <w:color w:val="000000"/>
          <w:lang w:val="es-ES_tradnl" w:eastAsia="es-ES"/>
        </w:rPr>
        <w:t>Procedimiento de Cambio de CS.</w:t>
      </w:r>
    </w:p>
    <w:p w:rsidR="00D27AFC" w:rsidRPr="00611019" w:rsidRDefault="00D27AFC" w:rsidP="00035D2C">
      <w:pPr>
        <w:jc w:val="both"/>
        <w:rPr>
          <w:rFonts w:ascii="Century Gothic" w:eastAsia="Calibri" w:hAnsi="Century Gothic" w:cs="Arial"/>
          <w:b/>
          <w:color w:val="000000"/>
          <w:sz w:val="8"/>
          <w:lang w:val="es-ES_tradnl" w:eastAsia="es-ES"/>
        </w:rPr>
      </w:pPr>
    </w:p>
    <w:p w:rsidR="0090207A" w:rsidRPr="00611019" w:rsidRDefault="00E56462" w:rsidP="00035D2C">
      <w:p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En caso de que el CS (receptor) requiera un servicio </w:t>
      </w:r>
      <w:r w:rsidR="00DA0B9C">
        <w:rPr>
          <w:rFonts w:ascii="Century Gothic" w:eastAsia="Calibri" w:hAnsi="Century Gothic" w:cs="Arial"/>
          <w:color w:val="000000"/>
          <w:lang w:val="es-ES_tradnl" w:eastAsia="es-ES"/>
        </w:rPr>
        <w:t xml:space="preserve">mayorista </w:t>
      </w:r>
      <w:r>
        <w:rPr>
          <w:rFonts w:ascii="Century Gothic" w:eastAsia="Calibri" w:hAnsi="Century Gothic" w:cs="Arial"/>
          <w:color w:val="000000"/>
          <w:lang w:val="es-ES_tradnl" w:eastAsia="es-ES"/>
        </w:rPr>
        <w:t xml:space="preserve">activo provisto </w:t>
      </w:r>
      <w:r w:rsidR="00DA0B9C">
        <w:rPr>
          <w:rFonts w:ascii="Century Gothic" w:eastAsia="Calibri" w:hAnsi="Century Gothic" w:cs="Arial"/>
          <w:color w:val="000000"/>
          <w:lang w:val="es-ES_tradnl" w:eastAsia="es-ES"/>
        </w:rPr>
        <w:t xml:space="preserve">actualmente a </w:t>
      </w:r>
      <w:r>
        <w:rPr>
          <w:rFonts w:ascii="Century Gothic" w:eastAsia="Calibri" w:hAnsi="Century Gothic" w:cs="Arial"/>
          <w:color w:val="000000"/>
          <w:lang w:val="es-ES_tradnl" w:eastAsia="es-ES"/>
        </w:rPr>
        <w:t>otro CS (donador) a través de la red de RED NACIONAL, el CS deberá presentar su solicitud en el SEG/SIPO, cuya factibilidad dependerá de que el CS (receptor) cuente con la cobertura necesaria contratada para poder aprovisionar el servicio.</w:t>
      </w:r>
    </w:p>
    <w:p w:rsidR="0090207A" w:rsidRPr="00611019" w:rsidRDefault="0090207A" w:rsidP="00035D2C">
      <w:pPr>
        <w:spacing w:after="6pt"/>
        <w:jc w:val="both"/>
        <w:rPr>
          <w:rFonts w:ascii="Century Gothic" w:eastAsia="Calibri" w:hAnsi="Century Gothic" w:cs="Arial"/>
          <w:color w:val="000000"/>
          <w:lang w:val="es-ES_tradnl" w:eastAsia="es-ES"/>
        </w:rPr>
      </w:pPr>
    </w:p>
    <w:p w:rsidR="0090207A" w:rsidRPr="00611019" w:rsidRDefault="00E56462" w:rsidP="00035D2C">
      <w:pPr>
        <w:jc w:val="both"/>
        <w:outlineLvl w:val="1"/>
        <w:rPr>
          <w:rFonts w:ascii="Century Gothic" w:eastAsia="Times New Roman" w:hAnsi="Century Gothic" w:cs="Arial"/>
          <w:b/>
          <w:bCs/>
        </w:rPr>
      </w:pPr>
      <w:bookmarkStart w:id="1492" w:name="_Toc107502274"/>
      <w:bookmarkStart w:id="1493" w:name="_Toc115739133"/>
      <w:bookmarkStart w:id="1494" w:name="_Toc125393370"/>
      <w:bookmarkStart w:id="1495" w:name="_Toc148702226"/>
      <w:bookmarkStart w:id="1496" w:name="_Toc170381847"/>
      <w:r>
        <w:rPr>
          <w:rFonts w:ascii="Century Gothic" w:eastAsia="Times New Roman" w:hAnsi="Century Gothic" w:cs="Arial"/>
          <w:b/>
          <w:bCs/>
        </w:rPr>
        <w:t>6.2 Plazos de Entrega</w:t>
      </w:r>
      <w:bookmarkEnd w:id="1492"/>
      <w:bookmarkEnd w:id="1493"/>
      <w:bookmarkEnd w:id="1494"/>
      <w:bookmarkEnd w:id="1495"/>
      <w:bookmarkEnd w:id="1496"/>
      <w:r>
        <w:rPr>
          <w:rFonts w:ascii="Century Gothic" w:eastAsia="Times New Roman" w:hAnsi="Century Gothic" w:cs="Arial"/>
          <w:b/>
          <w:bCs/>
        </w:rPr>
        <w:t>.</w:t>
      </w:r>
    </w:p>
    <w:p w:rsidR="0090207A" w:rsidRPr="00611019" w:rsidRDefault="0090207A" w:rsidP="00035D2C">
      <w:pPr>
        <w:jc w:val="both"/>
        <w:rPr>
          <w:rFonts w:ascii="Century Gothic" w:eastAsia="Calibri" w:hAnsi="Century Gothic" w:cs="Arial"/>
          <w:color w:val="000000"/>
          <w:sz w:val="8"/>
          <w:lang w:val="es-ES_tradnl" w:eastAsia="es-ES"/>
        </w:rPr>
      </w:pPr>
    </w:p>
    <w:p w:rsidR="0090207A" w:rsidRPr="00611019" w:rsidRDefault="00E56462">
      <w:pPr>
        <w:numPr>
          <w:ilvl w:val="0"/>
          <w:numId w:val="80"/>
        </w:numPr>
        <w:spacing w:after="6pt"/>
        <w:ind w:start="21.30pt" w:hanging="21.30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Validación de la solicitud junto con validación de la factibilidad en máximo un día natural.</w:t>
      </w:r>
    </w:p>
    <w:p w:rsidR="0090207A" w:rsidRPr="00611019" w:rsidRDefault="00E56462">
      <w:pPr>
        <w:numPr>
          <w:ilvl w:val="0"/>
          <w:numId w:val="80"/>
        </w:numPr>
        <w:spacing w:after="6pt"/>
        <w:ind w:start="21.30pt" w:hanging="21.30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Entrega del Servicio (habilitación) con o sin acometida: máximo seis días hábiles que se contabilizarán a partir de la solicitud del Servicio con el módem/ONT blanco que el CS provea.</w:t>
      </w:r>
    </w:p>
    <w:p w:rsidR="0090207A" w:rsidRPr="00611019" w:rsidRDefault="00E56462">
      <w:pPr>
        <w:numPr>
          <w:ilvl w:val="0"/>
          <w:numId w:val="80"/>
        </w:numPr>
        <w:spacing w:after="6pt"/>
        <w:ind w:start="21.30pt" w:hanging="21.30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Entrega del Servicio (habilitación) con o sin acometida: máximo ocho días hábiles que se contabilizarán a partir de la solicitud del Servicio en el que RED NACIONAL deba entregar algún equipo a solicitud del CS.</w:t>
      </w:r>
    </w:p>
    <w:p w:rsidR="0090207A" w:rsidRPr="00611019" w:rsidRDefault="00E56462">
      <w:pPr>
        <w:numPr>
          <w:ilvl w:val="0"/>
          <w:numId w:val="80"/>
        </w:numPr>
        <w:spacing w:after="6pt"/>
        <w:ind w:start="21.30pt" w:hanging="21.30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Entrega del Servicio Local, Regional o Nacional para cambio de velocidad sin cambio de tecnología o cambio de calidad: máximo tres días hábiles.</w:t>
      </w:r>
    </w:p>
    <w:p w:rsidR="0090207A" w:rsidRPr="00611019" w:rsidRDefault="00E56462">
      <w:pPr>
        <w:numPr>
          <w:ilvl w:val="0"/>
          <w:numId w:val="80"/>
        </w:numPr>
        <w:spacing w:after="6pt"/>
        <w:ind w:start="21.30pt" w:hanging="21.30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lastRenderedPageBreak/>
        <w:t>Entrega del Servicio para cambio de velocidad con cambio de tecnología: máximo ocho días hábiles.</w:t>
      </w:r>
    </w:p>
    <w:p w:rsidR="0090207A" w:rsidRPr="00611019" w:rsidRDefault="00E56462">
      <w:pPr>
        <w:numPr>
          <w:ilvl w:val="0"/>
          <w:numId w:val="81"/>
        </w:numPr>
        <w:spacing w:after="6pt"/>
        <w:ind w:start="21.30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Entrega de Servicio por cambio de modalidad: máximo 6 días hábiles que se contabilizaran a partir de la solicitud del Servicio con el módem/ONT Blanco que el CS provea. </w:t>
      </w:r>
    </w:p>
    <w:p w:rsidR="0090207A" w:rsidRPr="00611019" w:rsidRDefault="00E56462">
      <w:pPr>
        <w:numPr>
          <w:ilvl w:val="0"/>
          <w:numId w:val="81"/>
        </w:numPr>
        <w:spacing w:after="6pt"/>
        <w:ind w:start="21.30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Entrega de Servicio por cambio de modalidad: máximo 8 días hábiles que se contabilizaran a partir de la solicitud del Servicio en el que RED NACIONAL deba entregar algún equipo a solicitud del CS. </w:t>
      </w:r>
    </w:p>
    <w:p w:rsidR="0090207A" w:rsidRPr="00611019" w:rsidRDefault="00E56462">
      <w:pPr>
        <w:numPr>
          <w:ilvl w:val="0"/>
          <w:numId w:val="81"/>
        </w:numPr>
        <w:spacing w:after="6pt"/>
        <w:ind w:start="21.30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Baja del Servicio: máximo un día hábil.</w:t>
      </w:r>
    </w:p>
    <w:p w:rsidR="0090207A" w:rsidRPr="00611019" w:rsidRDefault="0090207A" w:rsidP="00035D2C">
      <w:pPr>
        <w:jc w:val="both"/>
        <w:rPr>
          <w:rFonts w:ascii="Century Gothic" w:eastAsia="Calibri" w:hAnsi="Century Gothic" w:cs="Arial"/>
          <w:color w:val="000000"/>
          <w:lang w:val="es-ES_tradnl" w:eastAsia="es-ES"/>
        </w:rPr>
      </w:pPr>
    </w:p>
    <w:p w:rsidR="0090207A" w:rsidRPr="00611019" w:rsidRDefault="00E56462" w:rsidP="00035D2C">
      <w:pPr>
        <w:spacing w:after="6pt"/>
        <w:jc w:val="both"/>
        <w:outlineLvl w:val="1"/>
        <w:rPr>
          <w:rFonts w:ascii="Century Gothic" w:eastAsia="Times New Roman" w:hAnsi="Century Gothic" w:cs="Arial"/>
          <w:b/>
          <w:bCs/>
        </w:rPr>
      </w:pPr>
      <w:bookmarkStart w:id="1497" w:name="_Toc107502275"/>
      <w:bookmarkStart w:id="1498" w:name="_Toc115739134"/>
      <w:bookmarkStart w:id="1499" w:name="_Toc125393371"/>
      <w:bookmarkStart w:id="1500" w:name="_Toc148702227"/>
      <w:bookmarkStart w:id="1501" w:name="_Toc170381848"/>
      <w:bookmarkStart w:id="1502" w:name="_Hlk120201666"/>
      <w:r>
        <w:rPr>
          <w:rFonts w:ascii="Century Gothic" w:eastAsia="Times New Roman" w:hAnsi="Century Gothic" w:cs="Arial"/>
          <w:b/>
          <w:bCs/>
        </w:rPr>
        <w:t>6.3 Parámetros e indicadores de calidad</w:t>
      </w:r>
      <w:bookmarkEnd w:id="1497"/>
      <w:bookmarkEnd w:id="1498"/>
      <w:bookmarkEnd w:id="1499"/>
      <w:bookmarkEnd w:id="1500"/>
      <w:bookmarkEnd w:id="1501"/>
      <w:r>
        <w:rPr>
          <w:rFonts w:ascii="Century Gothic" w:eastAsia="Times New Roman" w:hAnsi="Century Gothic" w:cs="Arial"/>
          <w:b/>
          <w:bCs/>
        </w:rPr>
        <w:t>.</w:t>
      </w:r>
    </w:p>
    <w:bookmarkEnd w:id="1502"/>
    <w:p w:rsidR="0090207A" w:rsidRPr="00611019" w:rsidRDefault="00E56462" w:rsidP="00035D2C">
      <w:pPr>
        <w:jc w:val="both"/>
        <w:rPr>
          <w:rFonts w:ascii="Century Gothic" w:eastAsia="Calibri" w:hAnsi="Century Gothic" w:cs="Times New Roman"/>
        </w:rPr>
      </w:pPr>
      <w:r>
        <w:rPr>
          <w:rFonts w:ascii="Century Gothic" w:eastAsia="Calibri" w:hAnsi="Century Gothic" w:cs="Times New Roman"/>
        </w:rPr>
        <w:t xml:space="preserve">En esta sección se muestran los parámetros e indicadores de calidad referentes a la provisión, continuidad y atención de fallas de los Servicios </w:t>
      </w:r>
      <w:r w:rsidR="00544B11" w:rsidRPr="00544B11">
        <w:rPr>
          <w:rFonts w:ascii="Century Gothic" w:eastAsia="Calibri" w:hAnsi="Century Gothic" w:cs="Times New Roman"/>
        </w:rPr>
        <w:t>SAIB</w:t>
      </w:r>
      <w:r w:rsidR="004C6D1E">
        <w:rPr>
          <w:rFonts w:ascii="Century Gothic" w:eastAsia="Calibri" w:hAnsi="Century Gothic" w:cs="Times New Roman"/>
        </w:rPr>
        <w:t xml:space="preserve"> y</w:t>
      </w:r>
      <w:r w:rsidR="00544B11" w:rsidRPr="00544B11">
        <w:rPr>
          <w:rFonts w:ascii="Century Gothic" w:eastAsia="Calibri" w:hAnsi="Century Gothic" w:cs="Times New Roman"/>
        </w:rPr>
        <w:t xml:space="preserve"> SDTBL</w:t>
      </w:r>
      <w:r>
        <w:rPr>
          <w:rFonts w:ascii="Century Gothic" w:eastAsia="Calibri" w:hAnsi="Century Gothic" w:cs="Times New Roman"/>
        </w:rPr>
        <w:t xml:space="preserve">. Estos parámetros e indicadores se medirán con una periodicidad trimestral por cada uno de los </w:t>
      </w:r>
      <w:r w:rsidR="00544B11">
        <w:rPr>
          <w:rFonts w:ascii="Century Gothic" w:eastAsia="Calibri" w:hAnsi="Century Gothic" w:cs="Times New Roman"/>
        </w:rPr>
        <w:t>CS</w:t>
      </w:r>
      <w:r>
        <w:rPr>
          <w:rFonts w:ascii="Century Gothic" w:eastAsia="Calibri" w:hAnsi="Century Gothic" w:cs="Times New Roman"/>
        </w:rPr>
        <w:t>.</w:t>
      </w:r>
    </w:p>
    <w:p w:rsidR="0090207A" w:rsidRPr="00611019" w:rsidRDefault="0090207A" w:rsidP="00035D2C">
      <w:pPr>
        <w:jc w:val="both"/>
        <w:rPr>
          <w:rFonts w:ascii="Century Gothic" w:eastAsia="Calibri" w:hAnsi="Century Gothic" w:cs="Times New Roman"/>
        </w:rPr>
      </w:pPr>
    </w:p>
    <w:p w:rsidR="0090207A" w:rsidRPr="00611019" w:rsidRDefault="00E56462" w:rsidP="00035D2C">
      <w:pPr>
        <w:jc w:val="both"/>
        <w:rPr>
          <w:rFonts w:ascii="Century Gothic" w:eastAsia="Calibri" w:hAnsi="Century Gothic" w:cs="Times New Roman"/>
          <w:b/>
        </w:rPr>
      </w:pPr>
      <w:r>
        <w:rPr>
          <w:rFonts w:ascii="Century Gothic" w:eastAsia="Calibri" w:hAnsi="Century Gothic" w:cs="Times New Roman"/>
          <w:b/>
        </w:rPr>
        <w:t>Parámetros e Indicadores para la Provisión del Servicio.</w:t>
      </w:r>
    </w:p>
    <w:p w:rsidR="00542C46" w:rsidRPr="00611019" w:rsidRDefault="00542C46" w:rsidP="00035D2C">
      <w:pPr>
        <w:jc w:val="both"/>
        <w:rPr>
          <w:rFonts w:ascii="Century Gothic" w:eastAsia="Calibri" w:hAnsi="Century Gothic" w:cs="Times New Roman"/>
          <w:b/>
          <w:sz w:val="8"/>
        </w:rPr>
      </w:pPr>
    </w:p>
    <w:p w:rsidR="0090207A" w:rsidRPr="00611019" w:rsidRDefault="00E56462" w:rsidP="00035D2C">
      <w:pPr>
        <w:jc w:val="both"/>
        <w:rPr>
          <w:rFonts w:ascii="Century Gothic" w:eastAsia="Calibri" w:hAnsi="Century Gothic" w:cs="Times New Roman"/>
        </w:rPr>
      </w:pPr>
      <w:r>
        <w:rPr>
          <w:rFonts w:ascii="Century Gothic" w:eastAsia="Calibri" w:hAnsi="Century Gothic" w:cs="Times New Roman"/>
        </w:rPr>
        <w:t>En lo referente a la provisión de los Servicios (validación de la solicitud, verificación de factibilidad y habilitación), se tienen los siguientes indicadores:</w:t>
      </w:r>
    </w:p>
    <w:p w:rsidR="0090207A" w:rsidRPr="00611019" w:rsidRDefault="00E56462">
      <w:pPr>
        <w:numPr>
          <w:ilvl w:val="0"/>
          <w:numId w:val="82"/>
        </w:numPr>
        <w:spacing w:after="6pt"/>
        <w:contextualSpacing/>
        <w:jc w:val="both"/>
        <w:rPr>
          <w:rFonts w:ascii="Century Gothic" w:eastAsia="Calibri" w:hAnsi="Century Gothic" w:cs="Times New Roman"/>
        </w:rPr>
      </w:pPr>
      <w:r>
        <w:rPr>
          <w:rFonts w:ascii="Century Gothic" w:eastAsia="Calibri" w:hAnsi="Century Gothic" w:cs="Times New Roman"/>
        </w:rPr>
        <w:t>Validación de la solicitud junto con validación de la factibilidad: 95% de las solicitudes en máximo un día natural. El 5% restante validada en un máximo de dos días naturales a partir de la solicitud.</w:t>
      </w:r>
    </w:p>
    <w:p w:rsidR="0090207A" w:rsidRPr="00611019" w:rsidRDefault="00E56462">
      <w:pPr>
        <w:numPr>
          <w:ilvl w:val="0"/>
          <w:numId w:val="82"/>
        </w:numPr>
        <w:spacing w:after="6pt"/>
        <w:contextualSpacing/>
        <w:jc w:val="both"/>
        <w:rPr>
          <w:rFonts w:ascii="Century Gothic" w:eastAsia="Calibri" w:hAnsi="Century Gothic" w:cs="Times New Roman"/>
        </w:rPr>
      </w:pPr>
      <w:r>
        <w:rPr>
          <w:rFonts w:ascii="Century Gothic" w:eastAsia="Calibri" w:hAnsi="Century Gothic" w:cs="Times New Roman"/>
        </w:rPr>
        <w:t xml:space="preserve">Habilitación con el módem/ONT blanco provisto por el CS en tiempo, con o sin acometida: 90% en un máximo de </w:t>
      </w:r>
      <w:r>
        <w:rPr>
          <w:rFonts w:ascii="Century Gothic" w:eastAsia="Calibri" w:hAnsi="Century Gothic" w:cs="Arial"/>
        </w:rPr>
        <w:t>seis</w:t>
      </w:r>
      <w:r>
        <w:rPr>
          <w:rFonts w:ascii="Century Gothic" w:eastAsia="Calibri" w:hAnsi="Century Gothic" w:cs="Times New Roman"/>
        </w:rPr>
        <w:t xml:space="preserve"> días hábiles. El 10% restante en un máximo de </w:t>
      </w:r>
      <w:r>
        <w:rPr>
          <w:rFonts w:ascii="Century Gothic" w:eastAsia="Calibri" w:hAnsi="Century Gothic" w:cs="Arial"/>
        </w:rPr>
        <w:t>ocho</w:t>
      </w:r>
      <w:r>
        <w:rPr>
          <w:rFonts w:ascii="Century Gothic" w:eastAsia="Calibri" w:hAnsi="Century Gothic" w:cs="Times New Roman"/>
        </w:rPr>
        <w:t xml:space="preserve"> días hábiles a partir de la solicitud.</w:t>
      </w:r>
    </w:p>
    <w:p w:rsidR="0090207A" w:rsidRPr="00611019" w:rsidRDefault="00E56462">
      <w:pPr>
        <w:numPr>
          <w:ilvl w:val="0"/>
          <w:numId w:val="82"/>
        </w:numPr>
        <w:spacing w:after="6pt"/>
        <w:contextualSpacing/>
        <w:jc w:val="both"/>
        <w:rPr>
          <w:rFonts w:ascii="Century Gothic" w:eastAsia="Calibri" w:hAnsi="Century Gothic" w:cs="Times New Roman"/>
        </w:rPr>
      </w:pPr>
      <w:r>
        <w:rPr>
          <w:rFonts w:ascii="Century Gothic" w:eastAsia="Calibri" w:hAnsi="Century Gothic" w:cs="Times New Roman"/>
        </w:rPr>
        <w:t xml:space="preserve">Habilitación con entrega de módem/ONT por parte de RED NACIONAL en tiempo, con o sin acometida: 90% en un máximo de </w:t>
      </w:r>
      <w:r>
        <w:rPr>
          <w:rFonts w:ascii="Century Gothic" w:eastAsia="Calibri" w:hAnsi="Century Gothic" w:cs="Arial"/>
        </w:rPr>
        <w:t>ocho</w:t>
      </w:r>
      <w:r>
        <w:rPr>
          <w:rFonts w:ascii="Century Gothic" w:eastAsia="Calibri" w:hAnsi="Century Gothic" w:cs="Times New Roman"/>
        </w:rPr>
        <w:t xml:space="preserve"> días hábiles. El 10% restante en un máximo de </w:t>
      </w:r>
      <w:r>
        <w:rPr>
          <w:rFonts w:ascii="Century Gothic" w:eastAsia="Calibri" w:hAnsi="Century Gothic" w:cs="Arial"/>
        </w:rPr>
        <w:t>diez</w:t>
      </w:r>
      <w:r>
        <w:rPr>
          <w:rFonts w:ascii="Century Gothic" w:eastAsia="Calibri" w:hAnsi="Century Gothic" w:cs="Times New Roman"/>
        </w:rPr>
        <w:t xml:space="preserve"> días hábiles a partir de la solicitud.</w:t>
      </w:r>
    </w:p>
    <w:p w:rsidR="0090207A" w:rsidRPr="00611019" w:rsidRDefault="0090207A" w:rsidP="00035D2C">
      <w:pPr>
        <w:ind w:start="21.30pt" w:hanging="18pt"/>
        <w:jc w:val="both"/>
        <w:rPr>
          <w:rFonts w:ascii="Century Gothic" w:eastAsia="Calibri" w:hAnsi="Century Gothic" w:cs="Times New Roman"/>
        </w:rPr>
      </w:pPr>
    </w:p>
    <w:p w:rsidR="0090207A" w:rsidRPr="00611019" w:rsidRDefault="00B36674" w:rsidP="00035D2C">
      <w:pPr>
        <w:jc w:val="both"/>
        <w:rPr>
          <w:rFonts w:ascii="Century Gothic" w:eastAsia="Calibri" w:hAnsi="Century Gothic" w:cs="Arial"/>
          <w:color w:val="000000"/>
          <w:lang w:val="es-ES_tradnl" w:eastAsia="es-ES"/>
        </w:rPr>
      </w:pPr>
      <w:r w:rsidRPr="00B36674">
        <w:rPr>
          <w:rFonts w:ascii="Century Gothic" w:eastAsia="Calibri" w:hAnsi="Century Gothic" w:cs="Arial"/>
          <w:color w:val="000000"/>
          <w:lang w:eastAsia="es-ES"/>
        </w:rPr>
        <w:t>Para el caso de SDTBL</w:t>
      </w:r>
      <w:r w:rsidR="00E56462">
        <w:rPr>
          <w:rFonts w:ascii="Century Gothic" w:eastAsia="Calibri" w:hAnsi="Century Gothic" w:cs="Arial"/>
          <w:color w:val="000000"/>
          <w:lang w:val="es-ES_tradnl" w:eastAsia="es-ES"/>
        </w:rPr>
        <w:t>, se deberá considerar el siguiente escenario, en caso de que el CS haya entregado pronóstico</w:t>
      </w:r>
      <w:r w:rsidR="00E56462">
        <w:rPr>
          <w:rFonts w:ascii="Century Gothic" w:eastAsia="Calibri" w:hAnsi="Century Gothic" w:cs="Arial"/>
          <w:lang w:eastAsia="es-ES"/>
        </w:rPr>
        <w:t>:</w:t>
      </w:r>
      <w:r w:rsidR="00E56462">
        <w:rPr>
          <w:rFonts w:ascii="Century Gothic" w:eastAsia="Calibri" w:hAnsi="Century Gothic" w:cs="Arial"/>
          <w:vertAlign w:val="superscript"/>
          <w:lang w:eastAsia="es-ES"/>
        </w:rPr>
        <w:footnoteReference w:id="20"/>
      </w:r>
    </w:p>
    <w:p w:rsidR="0090207A" w:rsidRPr="00611019" w:rsidRDefault="0090207A" w:rsidP="00035D2C">
      <w:pPr>
        <w:adjustRightInd w:val="0"/>
        <w:jc w:val="both"/>
        <w:rPr>
          <w:rFonts w:ascii="Century Gothic" w:eastAsia="Times New Roman" w:hAnsi="Century Gothic" w:cs="Arial"/>
          <w:bCs/>
          <w:u w:val="single"/>
          <w:lang w:eastAsia="es-ES"/>
        </w:rPr>
      </w:pPr>
    </w:p>
    <w:p w:rsidR="0090207A" w:rsidRPr="00611019" w:rsidRDefault="00E56462">
      <w:pPr>
        <w:numPr>
          <w:ilvl w:val="0"/>
          <w:numId w:val="83"/>
        </w:num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Habilitación en tiempo, sin entrega de equipo: 95% en un máximo de seis días hábiles. El 5% restante en un máximo de ocho días hábiles.</w:t>
      </w:r>
    </w:p>
    <w:p w:rsidR="0090207A" w:rsidRPr="00611019" w:rsidRDefault="00E56462">
      <w:pPr>
        <w:numPr>
          <w:ilvl w:val="0"/>
          <w:numId w:val="83"/>
        </w:num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Habilitación en tiempo, con entrega de equipo: 95% en un máximo de ocho días hábiles. El 5% restante en un máximo de diez días hábiles.</w:t>
      </w:r>
    </w:p>
    <w:p w:rsidR="0090207A" w:rsidRPr="00611019" w:rsidRDefault="0090207A" w:rsidP="00035D2C">
      <w:pPr>
        <w:jc w:val="both"/>
        <w:rPr>
          <w:rFonts w:ascii="Century Gothic" w:eastAsia="Calibri" w:hAnsi="Century Gothic" w:cs="Times New Roman"/>
          <w:lang w:val="es-ES_tradnl"/>
        </w:rPr>
      </w:pPr>
    </w:p>
    <w:p w:rsidR="00542C46" w:rsidRPr="00611019" w:rsidRDefault="00E56462" w:rsidP="00035D2C">
      <w:pPr>
        <w:jc w:val="both"/>
        <w:rPr>
          <w:rFonts w:ascii="Century Gothic" w:eastAsia="Calibri" w:hAnsi="Century Gothic" w:cs="Times New Roman"/>
          <w:b/>
        </w:rPr>
      </w:pPr>
      <w:r>
        <w:rPr>
          <w:rFonts w:ascii="Century Gothic" w:eastAsia="Calibri" w:hAnsi="Century Gothic" w:cs="Times New Roman"/>
          <w:b/>
        </w:rPr>
        <w:t>Metodología.</w:t>
      </w:r>
    </w:p>
    <w:p w:rsidR="00542C46" w:rsidRPr="00611019" w:rsidRDefault="00542C46" w:rsidP="00035D2C">
      <w:pPr>
        <w:jc w:val="both"/>
        <w:rPr>
          <w:rFonts w:ascii="Century Gothic" w:eastAsia="Calibri" w:hAnsi="Century Gothic" w:cs="Times New Roman"/>
          <w:b/>
          <w:sz w:val="8"/>
        </w:rPr>
      </w:pPr>
    </w:p>
    <w:p w:rsidR="0090207A" w:rsidRPr="00611019" w:rsidRDefault="00E56462" w:rsidP="00035D2C">
      <w:pPr>
        <w:jc w:val="both"/>
        <w:rPr>
          <w:rFonts w:ascii="Century Gothic" w:eastAsia="Calibri" w:hAnsi="Century Gothic" w:cs="Times New Roman"/>
        </w:rPr>
      </w:pPr>
      <w:r>
        <w:rPr>
          <w:rFonts w:ascii="Century Gothic" w:eastAsia="Calibri" w:hAnsi="Century Gothic" w:cs="Times New Roman"/>
        </w:rPr>
        <w:t xml:space="preserve">Para realizar la medición de los indicadores presentados, se descontarán los plazos de entrega señalados en la sección “Plazos de Entrega” de este documento de los días totales utilizados para la realización de dicha actividad, considerando como inicio del proceso el día en que se solicitó el Servicio por parte del CS. </w:t>
      </w:r>
    </w:p>
    <w:p w:rsidR="0090207A" w:rsidRPr="00611019" w:rsidRDefault="00E56462" w:rsidP="00035D2C">
      <w:pPr>
        <w:jc w:val="both"/>
        <w:rPr>
          <w:rFonts w:ascii="Century Gothic" w:eastAsia="Calibri" w:hAnsi="Century Gothic" w:cs="Times New Roman"/>
        </w:rPr>
      </w:pPr>
      <w:r>
        <w:rPr>
          <w:rFonts w:ascii="Century Gothic" w:eastAsia="Calibri" w:hAnsi="Century Gothic" w:cs="Times New Roman"/>
        </w:rPr>
        <w:t>El horario de atención es 24 horas, sin embargo, para realizar las mediciones de estos indicadores, se considerarán las solicitudes ingresadas en un horario hábil de lunes a viernes de 9:00 a 17:00 horas, así como sábados en un horario de 9:00 a 14:00 hrs. Aquellos que se reciban después de estos horarios y los del sábado, se contabilizarán para el día hábil siguiente.</w:t>
      </w:r>
    </w:p>
    <w:p w:rsidR="0090207A" w:rsidRPr="00611019" w:rsidRDefault="0090207A" w:rsidP="00035D2C">
      <w:pPr>
        <w:jc w:val="both"/>
        <w:rPr>
          <w:rFonts w:ascii="Century Gothic" w:eastAsia="Calibri" w:hAnsi="Century Gothic" w:cs="Times New Roman"/>
        </w:rPr>
      </w:pPr>
    </w:p>
    <w:p w:rsidR="00542C46" w:rsidRDefault="00E56462" w:rsidP="008A330C">
      <w:pPr>
        <w:jc w:val="both"/>
        <w:rPr>
          <w:rFonts w:ascii="Century Gothic" w:eastAsia="Calibri" w:hAnsi="Century Gothic" w:cs="Times New Roman"/>
          <w:b/>
        </w:rPr>
      </w:pPr>
      <w:r>
        <w:rPr>
          <w:rFonts w:ascii="Century Gothic" w:eastAsia="Calibri" w:hAnsi="Century Gothic" w:cs="Times New Roman"/>
          <w:b/>
        </w:rPr>
        <w:t>Parámetros para Reparación de Fallas.</w:t>
      </w:r>
    </w:p>
    <w:p w:rsidR="008A330C" w:rsidRPr="008A330C" w:rsidRDefault="008A330C" w:rsidP="008A330C">
      <w:pPr>
        <w:jc w:val="both"/>
        <w:rPr>
          <w:rFonts w:ascii="Century Gothic" w:eastAsia="Calibri" w:hAnsi="Century Gothic" w:cs="Times New Roman"/>
          <w:b/>
          <w:sz w:val="8"/>
        </w:rPr>
      </w:pPr>
    </w:p>
    <w:p w:rsidR="0090207A" w:rsidRPr="00611019" w:rsidRDefault="00E56462" w:rsidP="008A330C">
      <w:pPr>
        <w:jc w:val="both"/>
        <w:rPr>
          <w:rFonts w:ascii="Century Gothic" w:eastAsia="Calibri" w:hAnsi="Century Gothic" w:cs="Times New Roman"/>
          <w:b/>
        </w:rPr>
      </w:pPr>
      <w:r>
        <w:rPr>
          <w:rFonts w:ascii="Century Gothic" w:eastAsia="Calibri" w:hAnsi="Century Gothic" w:cs="Arial"/>
          <w:color w:val="000000"/>
          <w:lang w:val="es-ES_tradnl" w:eastAsia="es-ES"/>
        </w:rPr>
        <w:t xml:space="preserve">En cuanto a los parámetros de calidad asociados a la reparación de fallas, se tiene el siguiente alcance: </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Total de reparaciones atendidas por CS: </w:t>
      </w:r>
    </w:p>
    <w:p w:rsidR="0090207A" w:rsidRPr="00611019" w:rsidRDefault="00E56462">
      <w:pPr>
        <w:numPr>
          <w:ilvl w:val="0"/>
          <w:numId w:val="84"/>
        </w:num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Dentro del día hábil siguiente a la recepción de la queja, del total de reportes levantados por CS. Objetivo 85 %.</w:t>
      </w:r>
    </w:p>
    <w:p w:rsidR="0090207A" w:rsidRPr="00611019" w:rsidRDefault="00E56462">
      <w:pPr>
        <w:numPr>
          <w:ilvl w:val="0"/>
          <w:numId w:val="84"/>
        </w:num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Dentro de los tres días hábiles siguientes a la recepción de la queja, del total de reportes levantados por CS. Objetivo 95%.</w:t>
      </w:r>
    </w:p>
    <w:p w:rsidR="0090207A" w:rsidRPr="00611019" w:rsidRDefault="00E56462">
      <w:pPr>
        <w:numPr>
          <w:ilvl w:val="0"/>
          <w:numId w:val="84"/>
        </w:numPr>
        <w:spacing w:after="6pt"/>
        <w:ind w:start="35.45pt" w:hanging="17.85pt"/>
        <w:contextualSpacing/>
        <w:jc w:val="both"/>
        <w:rPr>
          <w:rFonts w:ascii="Century Gothic" w:eastAsia="Calibri" w:hAnsi="Century Gothic" w:cs="Arial"/>
          <w:color w:val="000000"/>
          <w:lang w:val="es-ES_tradnl" w:eastAsia="es-ES"/>
        </w:rPr>
      </w:pPr>
      <w:bookmarkStart w:id="1503" w:name="_Hlk121406022"/>
      <w:bookmarkStart w:id="1504" w:name="_Hlk120200774"/>
      <w:r>
        <w:rPr>
          <w:rFonts w:ascii="Century Gothic" w:eastAsia="Calibri" w:hAnsi="Century Gothic" w:cs="Arial"/>
          <w:color w:val="000000"/>
          <w:lang w:val="es-ES_tradnl" w:eastAsia="es-ES"/>
        </w:rPr>
        <w:t xml:space="preserve">El plazo para la reparación de fallas para el 5% de reportes restante será de 20 días hábiles o será establecido de mutuo acuerdo entre el CS y RED NACIONAL; este acuerdo del plazo fijado deberá ser reflejado en el SEG/SIPO, incluyendo a ambas partes, tanto a RED NACIONAL como al CS que reporte la falla. El mutuo acuerdo deberá realizarse dentro de los cinco días hábiles a partir del reporte de la falla, considerando que no se pudo atender dentro de los primeros tres días hábiles para contabilizarse dentro del 95% del parámetro de calidad. </w:t>
      </w:r>
      <w:bookmarkEnd w:id="1503"/>
      <w:bookmarkEnd w:id="1504"/>
    </w:p>
    <w:p w:rsidR="004E5C39" w:rsidRPr="00611019" w:rsidRDefault="004E5C39" w:rsidP="00035D2C">
      <w:pPr>
        <w:ind w:start="3.30pt"/>
        <w:jc w:val="both"/>
        <w:rPr>
          <w:rFonts w:ascii="Century Gothic" w:eastAsia="Calibri" w:hAnsi="Century Gothic" w:cs="Arial"/>
          <w:color w:val="000000"/>
          <w:lang w:val="es-ES_tradnl" w:eastAsia="es-ES"/>
        </w:rPr>
      </w:pPr>
    </w:p>
    <w:p w:rsidR="0090207A" w:rsidRPr="00611019" w:rsidRDefault="00E56462" w:rsidP="00035D2C">
      <w:pPr>
        <w:ind w:start="3.30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Para realizar las mediciones de estos indicadores, se considerarán los reportes de queja levantados por CS en un horario de 9:00 a 17:00 horas de lunes a viernes, aquellos que se reciban después de ese horario, se contabilizarán para el día hábil siguiente. </w:t>
      </w:r>
    </w:p>
    <w:p w:rsidR="00B36674" w:rsidRPr="00611019" w:rsidRDefault="00B36674" w:rsidP="00035D2C">
      <w:pPr>
        <w:ind w:start="3.30pt"/>
        <w:jc w:val="both"/>
        <w:rPr>
          <w:rFonts w:ascii="Century Gothic" w:eastAsia="Calibri" w:hAnsi="Century Gothic" w:cs="Arial"/>
          <w:color w:val="000000"/>
          <w:lang w:val="es-ES_tradnl" w:eastAsia="es-ES"/>
        </w:rPr>
      </w:pPr>
    </w:p>
    <w:p w:rsidR="0090207A" w:rsidRPr="00611019" w:rsidRDefault="00E56462" w:rsidP="00035D2C">
      <w:pPr>
        <w:autoSpaceDE w:val="0"/>
        <w:autoSpaceDN w:val="0"/>
        <w:adjustRightInd w:val="0"/>
        <w:jc w:val="both"/>
        <w:rPr>
          <w:rFonts w:ascii="Century Gothic" w:eastAsia="Calibri" w:hAnsi="Century Gothic" w:cs="Times New Roman"/>
        </w:rPr>
      </w:pPr>
      <w:r>
        <w:rPr>
          <w:rFonts w:ascii="Century Gothic" w:eastAsia="Calibri" w:hAnsi="Century Gothic" w:cs="Times New Roman"/>
        </w:rPr>
        <w:t xml:space="preserve">El indicador “Tiempo de Resolución” se refiere al tiempo transcurrido desde la apertura por el CS de una reclamación hasta que la reclamación ha sido resuelta satisfactoriamente (incluye la aceptación, por parte del mismo y el cierre de la incidencia). </w:t>
      </w:r>
    </w:p>
    <w:p w:rsidR="0090207A" w:rsidRPr="00611019" w:rsidRDefault="0090207A" w:rsidP="00035D2C">
      <w:pPr>
        <w:autoSpaceDE w:val="0"/>
        <w:autoSpaceDN w:val="0"/>
        <w:adjustRightInd w:val="0"/>
        <w:jc w:val="both"/>
        <w:rPr>
          <w:rFonts w:ascii="Century Gothic" w:eastAsia="Calibri" w:hAnsi="Century Gothic" w:cs="Times New Roman"/>
          <w:b/>
        </w:rPr>
      </w:pPr>
    </w:p>
    <w:p w:rsidR="0090207A" w:rsidRDefault="00E56462" w:rsidP="008A330C">
      <w:pPr>
        <w:autoSpaceDE w:val="0"/>
        <w:autoSpaceDN w:val="0"/>
        <w:adjustRightInd w:val="0"/>
        <w:jc w:val="both"/>
        <w:rPr>
          <w:rFonts w:ascii="Century Gothic" w:eastAsia="Calibri" w:hAnsi="Century Gothic" w:cs="Times New Roman"/>
          <w:b/>
        </w:rPr>
      </w:pPr>
      <w:r>
        <w:rPr>
          <w:rFonts w:ascii="Century Gothic" w:eastAsia="Calibri" w:hAnsi="Century Gothic" w:cs="Times New Roman"/>
          <w:b/>
        </w:rPr>
        <w:t>Metodología.</w:t>
      </w:r>
    </w:p>
    <w:p w:rsidR="008A330C" w:rsidRPr="008A330C" w:rsidRDefault="008A330C" w:rsidP="008A330C">
      <w:pPr>
        <w:autoSpaceDE w:val="0"/>
        <w:autoSpaceDN w:val="0"/>
        <w:adjustRightInd w:val="0"/>
        <w:jc w:val="both"/>
        <w:rPr>
          <w:rFonts w:ascii="Century Gothic" w:eastAsia="Calibri" w:hAnsi="Century Gothic" w:cs="Times New Roman"/>
          <w:b/>
          <w:sz w:val="8"/>
        </w:rPr>
      </w:pPr>
    </w:p>
    <w:p w:rsidR="0090207A" w:rsidRPr="00611019" w:rsidRDefault="00E56462" w:rsidP="008A330C">
      <w:pPr>
        <w:autoSpaceDE w:val="0"/>
        <w:autoSpaceDN w:val="0"/>
        <w:adjustRightInd w:val="0"/>
        <w:jc w:val="both"/>
        <w:rPr>
          <w:rFonts w:ascii="Century Gothic" w:eastAsia="Calibri" w:hAnsi="Century Gothic" w:cs="Times New Roman"/>
        </w:rPr>
      </w:pPr>
      <w:r>
        <w:rPr>
          <w:rFonts w:ascii="Century Gothic" w:eastAsia="Calibri" w:hAnsi="Century Gothic" w:cs="Times New Roman"/>
        </w:rPr>
        <w:t xml:space="preserve">Los indicadores de reparación de fallas se calculan de la siguiente forma, y se mide para reparaciones en uno, tres y diez días hábiles posteriores a la recepción de la queja: </w:t>
      </w:r>
    </w:p>
    <w:p w:rsidR="0090207A" w:rsidRPr="00611019" w:rsidRDefault="0090207A" w:rsidP="008A330C">
      <w:pPr>
        <w:autoSpaceDE w:val="0"/>
        <w:autoSpaceDN w:val="0"/>
        <w:adjustRightInd w:val="0"/>
        <w:jc w:val="both"/>
        <w:rPr>
          <w:rFonts w:ascii="Century Gothic" w:eastAsia="Calibri" w:hAnsi="Century Gothic" w:cs="Times New Roman"/>
        </w:rPr>
      </w:pPr>
    </w:p>
    <w:p w:rsidR="0090207A" w:rsidRDefault="00E56462" w:rsidP="00035D2C">
      <w:pPr>
        <w:spacing w:after="6pt"/>
        <w:jc w:val="both"/>
        <w:rPr>
          <w:rFonts w:ascii="Century Gothic" w:eastAsia="Calibri" w:hAnsi="Century Gothic" w:cs="Times New Roman"/>
        </w:rPr>
      </w:pPr>
      <w:r>
        <w:rPr>
          <w:rFonts w:ascii="Century Gothic" w:eastAsia="Calibri" w:hAnsi="Century Gothic" w:cs="Times New Roman"/>
          <w:b/>
        </w:rPr>
        <w:lastRenderedPageBreak/>
        <w:t xml:space="preserve">Reparación de fallas: </w:t>
      </w:r>
      <w:r>
        <w:rPr>
          <w:rFonts w:ascii="Century Gothic" w:eastAsia="Calibri" w:hAnsi="Century Gothic" w:cs="Times New Roman"/>
        </w:rPr>
        <w:t>porcentaje de las fallas reportadas por CS, que son atendidas dentro del plazo a medir (uno, tres, diez días hábiles siguientes a la recepción de la queja), durante el trimestre.</w:t>
      </w:r>
    </w:p>
    <w:p w:rsidR="008A330C" w:rsidRPr="00611019" w:rsidRDefault="008A330C" w:rsidP="00035D2C">
      <w:pPr>
        <w:spacing w:after="6pt"/>
        <w:jc w:val="both"/>
        <w:rPr>
          <w:rFonts w:ascii="Century Gothic" w:eastAsia="Calibri" w:hAnsi="Century Gothic" w:cs="Times New Roman"/>
        </w:rPr>
      </w:pPr>
    </w:p>
    <w:p w:rsidR="0090207A" w:rsidRPr="00611019" w:rsidRDefault="00E56462" w:rsidP="00035D2C">
      <w:pPr>
        <w:autoSpaceDE w:val="0"/>
        <w:autoSpaceDN w:val="0"/>
        <w:adjustRightInd w:val="0"/>
        <w:spacing w:after="10pt"/>
        <w:jc w:val="center"/>
        <w:rPr>
          <w:rFonts w:ascii="Century Gothic" w:eastAsia="Calibri" w:hAnsi="Century Gothic" w:cs="Times New Roman"/>
          <w:sz w:val="20"/>
          <w:szCs w:val="20"/>
        </w:rPr>
      </w:pPr>
      <w:r>
        <w:rPr>
          <w:rFonts w:ascii="Century Gothic" w:eastAsia="Calibri" w:hAnsi="Century Gothic" w:cs="Times New Roman"/>
          <w:i/>
          <w:sz w:val="20"/>
          <w:szCs w:val="20"/>
        </w:rPr>
        <w:t xml:space="preserve">Reparación de Fallas por CS </w:t>
      </w:r>
      <w:r>
        <w:rPr>
          <w:rFonts w:ascii="Century Gothic" w:eastAsia="Calibri" w:hAnsi="Century Gothic" w:cs="Times New Roman"/>
          <w:sz w:val="20"/>
          <w:szCs w:val="20"/>
        </w:rPr>
        <w:t xml:space="preserve">= </w:t>
      </w:r>
      <w:r>
        <w:rPr>
          <w:rFonts w:ascii="Century Gothic" w:eastAsia="Calibri" w:hAnsi="Century Gothic" w:cs="Times New Roman"/>
          <w:noProof/>
          <w:sz w:val="20"/>
          <w:szCs w:val="20"/>
          <w:lang w:eastAsia="es-MX"/>
        </w:rPr>
        <w:drawing>
          <wp:inline distT="0" distB="0" distL="0" distR="0" wp14:anchorId="689D9AD1" wp14:editId="01492410">
            <wp:extent cx="3081991" cy="255297"/>
            <wp:effectExtent l="0" t="0" r="0" b="0"/>
            <wp:docPr id="100181" name="Formula Image 1" descr="Formula:Fallas efectivas reparadas en el plazo a medir en días hábilesFallas Efectivas x 100"/>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583" name=""/>
                    <pic:cNvPicPr>
                      <a:picLocks noChangeAspect="1"/>
                    </pic:cNvPicPr>
                  </pic:nvPicPr>
                  <pic:blipFill>
                    <a:blip r:embed="rId28"/>
                    <a:stretch>
                      <a:fillRect/>
                    </a:stretch>
                  </pic:blipFill>
                  <pic:spPr>
                    <a:xfrm>
                      <a:off x="0" y="0"/>
                      <a:ext cx="3081991" cy="255297"/>
                    </a:xfrm>
                    <a:prstGeom prst="rect">
                      <a:avLst/>
                    </a:prstGeom>
                  </pic:spPr>
                </pic:pic>
              </a:graphicData>
            </a:graphic>
          </wp:inline>
        </w:drawing>
      </w:r>
    </w:p>
    <w:p w:rsidR="00E15E52" w:rsidRPr="00611019" w:rsidRDefault="00E15E52" w:rsidP="00035D2C">
      <w:pPr>
        <w:autoSpaceDE w:val="0"/>
        <w:autoSpaceDN w:val="0"/>
        <w:adjustRightInd w:val="0"/>
        <w:jc w:val="both"/>
        <w:rPr>
          <w:rFonts w:ascii="Century Gothic" w:eastAsia="Calibri" w:hAnsi="Century Gothic" w:cs="Times New Roman"/>
        </w:rPr>
      </w:pPr>
    </w:p>
    <w:p w:rsidR="0090207A" w:rsidRPr="00611019" w:rsidRDefault="00E56462" w:rsidP="00035D2C">
      <w:pPr>
        <w:autoSpaceDE w:val="0"/>
        <w:autoSpaceDN w:val="0"/>
        <w:adjustRightInd w:val="0"/>
        <w:jc w:val="both"/>
        <w:rPr>
          <w:rFonts w:ascii="Century Gothic" w:eastAsia="Calibri" w:hAnsi="Century Gothic" w:cs="Times New Roman"/>
        </w:rPr>
      </w:pPr>
      <w:r>
        <w:rPr>
          <w:rFonts w:ascii="Century Gothic" w:eastAsia="Calibri" w:hAnsi="Century Gothic" w:cs="Times New Roman"/>
        </w:rPr>
        <w:t xml:space="preserve">Donde: </w:t>
      </w:r>
    </w:p>
    <w:p w:rsidR="0090207A" w:rsidRPr="00611019" w:rsidRDefault="00E56462" w:rsidP="00035D2C">
      <w:pPr>
        <w:spacing w:after="6pt"/>
        <w:jc w:val="both"/>
        <w:rPr>
          <w:rFonts w:ascii="Century Gothic" w:eastAsia="Calibri" w:hAnsi="Century Gothic" w:cs="Times New Roman"/>
        </w:rPr>
      </w:pPr>
      <w:r>
        <w:rPr>
          <w:rFonts w:ascii="Century Gothic" w:eastAsia="Calibri" w:hAnsi="Century Gothic" w:cs="Times New Roman"/>
          <w:i/>
        </w:rPr>
        <w:t xml:space="preserve">Fallas efectivas reparadas por CS en el plazo a medir (días hábiles) = </w:t>
      </w:r>
      <w:r>
        <w:rPr>
          <w:rFonts w:ascii="Century Gothic" w:eastAsia="Calibri" w:hAnsi="Century Gothic" w:cs="Times New Roman"/>
        </w:rPr>
        <w:t xml:space="preserve">Es la cantidad de fallas reparadas por CS dentro del plazo que interesa medir, en este caso serán uno, tres y diez días hábiles siguientes a la recepción de la queja. En esta variable se eliminan las quejas debidas a fallas provocadas por fenómenos no previsibles o de fuerza mayor, además de las fallas en la red bajo responsabilidad del </w:t>
      </w:r>
      <w:r>
        <w:rPr>
          <w:rFonts w:ascii="Century Gothic" w:hAnsi="Century Gothic"/>
        </w:rPr>
        <w:t>Usuario Final</w:t>
      </w:r>
      <w:r>
        <w:rPr>
          <w:rFonts w:ascii="Century Gothic" w:eastAsia="Calibri" w:hAnsi="Century Gothic" w:cs="Times New Roman"/>
        </w:rPr>
        <w:t xml:space="preserve"> o de terceros.</w:t>
      </w:r>
    </w:p>
    <w:p w:rsidR="0090207A" w:rsidRPr="00611019" w:rsidRDefault="00E56462" w:rsidP="00035D2C">
      <w:pPr>
        <w:jc w:val="both"/>
        <w:rPr>
          <w:rFonts w:ascii="Century Gothic" w:eastAsia="Calibri" w:hAnsi="Century Gothic" w:cs="Times New Roman"/>
        </w:rPr>
      </w:pPr>
      <w:r>
        <w:rPr>
          <w:rFonts w:ascii="Century Gothic" w:eastAsia="Calibri" w:hAnsi="Century Gothic" w:cs="Times New Roman"/>
          <w:i/>
        </w:rPr>
        <w:t>Fallas Efectivas</w:t>
      </w:r>
      <w:r>
        <w:rPr>
          <w:rFonts w:ascii="Century Gothic" w:eastAsia="Calibri" w:hAnsi="Century Gothic" w:cs="Times New Roman"/>
        </w:rPr>
        <w:t xml:space="preserve"> = Cantidad de reportes de fallas recibidos por CS excepto las quejas debidas a fallas provocadas por fenómenos no previsibles o de fuerza mayor, además de las fallas en la red bajo responsabilidad del </w:t>
      </w:r>
      <w:r>
        <w:rPr>
          <w:rFonts w:ascii="Century Gothic" w:hAnsi="Century Gothic"/>
        </w:rPr>
        <w:t>Usuario Final</w:t>
      </w:r>
      <w:r>
        <w:rPr>
          <w:rFonts w:ascii="Century Gothic" w:eastAsia="Calibri" w:hAnsi="Century Gothic" w:cs="Times New Roman"/>
        </w:rPr>
        <w:t xml:space="preserve"> o de terceros.</w:t>
      </w:r>
    </w:p>
    <w:p w:rsidR="0090207A" w:rsidRPr="00611019" w:rsidRDefault="0090207A" w:rsidP="00035D2C">
      <w:pPr>
        <w:adjustRightInd w:val="0"/>
        <w:jc w:val="both"/>
        <w:rPr>
          <w:rFonts w:ascii="Century Gothic" w:eastAsia="Calibri" w:hAnsi="Century Gothic" w:cs="Times New Roman"/>
          <w:b/>
          <w:color w:val="000000"/>
        </w:rPr>
      </w:pPr>
    </w:p>
    <w:p w:rsidR="0090207A" w:rsidRDefault="00E56462" w:rsidP="00035D2C">
      <w:pPr>
        <w:adjustRightInd w:val="0"/>
        <w:jc w:val="both"/>
        <w:rPr>
          <w:rFonts w:ascii="Century Gothic" w:eastAsia="Calibri" w:hAnsi="Century Gothic" w:cs="Times New Roman"/>
          <w:b/>
          <w:color w:val="000000"/>
        </w:rPr>
      </w:pPr>
      <w:r>
        <w:rPr>
          <w:rFonts w:ascii="Century Gothic" w:eastAsia="Calibri" w:hAnsi="Century Gothic" w:cs="Times New Roman"/>
          <w:b/>
          <w:color w:val="000000"/>
        </w:rPr>
        <w:t>Indicador para Disponibilidad.</w:t>
      </w:r>
    </w:p>
    <w:p w:rsidR="008A330C" w:rsidRPr="008A330C" w:rsidRDefault="008A330C" w:rsidP="00035D2C">
      <w:pPr>
        <w:adjustRightInd w:val="0"/>
        <w:jc w:val="both"/>
        <w:rPr>
          <w:rFonts w:ascii="Century Gothic" w:eastAsia="Calibri" w:hAnsi="Century Gothic" w:cs="Times New Roman"/>
          <w:b/>
          <w:color w:val="000000"/>
          <w:sz w:val="8"/>
        </w:rPr>
      </w:pPr>
    </w:p>
    <w:p w:rsidR="0090207A" w:rsidRPr="00611019" w:rsidRDefault="00E56462" w:rsidP="00035D2C">
      <w:pPr>
        <w:adjustRightInd w:val="0"/>
        <w:jc w:val="both"/>
        <w:rPr>
          <w:rFonts w:ascii="Century Gothic" w:eastAsia="Calibri" w:hAnsi="Century Gothic" w:cs="Times New Roman"/>
          <w:color w:val="000000"/>
        </w:rPr>
      </w:pPr>
      <w:r>
        <w:rPr>
          <w:rFonts w:ascii="Century Gothic" w:eastAsia="Calibri" w:hAnsi="Century Gothic" w:cs="Times New Roman"/>
          <w:color w:val="000000"/>
        </w:rPr>
        <w:t>El indicador de disponibilidad establece el porcentaje del tiempo durante el cual el Servicio se encuentra en operación normal respecto del tiempo total de medición. La meta de cumplimiento de este indicador es del 99.5% al trimestre, siempre que no se contrapongan a los parámetros de reparación de fallas.</w:t>
      </w:r>
    </w:p>
    <w:p w:rsidR="0090207A" w:rsidRPr="00611019" w:rsidRDefault="0090207A" w:rsidP="00035D2C">
      <w:pPr>
        <w:adjustRightInd w:val="0"/>
        <w:jc w:val="both"/>
        <w:rPr>
          <w:rFonts w:ascii="Century Gothic" w:eastAsia="Calibri" w:hAnsi="Century Gothic" w:cs="Times New Roman"/>
          <w:b/>
          <w:color w:val="000000"/>
        </w:rPr>
      </w:pPr>
    </w:p>
    <w:p w:rsidR="008A330C" w:rsidRDefault="00E56462" w:rsidP="008A330C">
      <w:pPr>
        <w:adjustRightInd w:val="0"/>
        <w:jc w:val="both"/>
        <w:rPr>
          <w:rFonts w:ascii="Century Gothic" w:eastAsia="Calibri" w:hAnsi="Century Gothic" w:cs="Times New Roman"/>
          <w:b/>
          <w:color w:val="000000"/>
        </w:rPr>
      </w:pPr>
      <w:r>
        <w:rPr>
          <w:rFonts w:ascii="Century Gothic" w:eastAsia="Calibri" w:hAnsi="Century Gothic" w:cs="Times New Roman"/>
          <w:b/>
          <w:color w:val="000000"/>
        </w:rPr>
        <w:t>Metodología.</w:t>
      </w:r>
    </w:p>
    <w:p w:rsidR="008A330C" w:rsidRPr="008A330C" w:rsidRDefault="008A330C" w:rsidP="008A330C">
      <w:pPr>
        <w:adjustRightInd w:val="0"/>
        <w:jc w:val="both"/>
        <w:rPr>
          <w:rFonts w:ascii="Century Gothic" w:eastAsia="Calibri" w:hAnsi="Century Gothic" w:cs="Times New Roman"/>
          <w:b/>
          <w:color w:val="000000"/>
          <w:sz w:val="8"/>
        </w:rPr>
      </w:pPr>
    </w:p>
    <w:p w:rsidR="0090207A" w:rsidRPr="00611019" w:rsidRDefault="00E56462" w:rsidP="008A330C">
      <w:pPr>
        <w:adjustRightInd w:val="0"/>
        <w:jc w:val="both"/>
        <w:rPr>
          <w:rFonts w:ascii="Century Gothic" w:eastAsia="Calibri" w:hAnsi="Century Gothic" w:cs="Times New Roman"/>
          <w:color w:val="000000"/>
        </w:rPr>
      </w:pPr>
      <w:r>
        <w:rPr>
          <w:rFonts w:ascii="Century Gothic" w:eastAsia="Calibri" w:hAnsi="Century Gothic" w:cs="Times New Roman"/>
          <w:color w:val="000000"/>
        </w:rPr>
        <w:t>El indicador se calcula por cada CS, considerando las Horas Totales menos el Tiempo Fuera de Servicio, de la referencia reportada, entre el período de medición:</w:t>
      </w:r>
    </w:p>
    <w:p w:rsidR="0090207A" w:rsidRPr="00611019" w:rsidRDefault="00E56462" w:rsidP="00B36674">
      <w:pPr>
        <w:spacing w:before="18pt" w:after="18pt"/>
        <w:jc w:val="center"/>
        <w:rPr>
          <w:rFonts w:ascii="Century Gothic" w:eastAsia="Calibri" w:hAnsi="Century Gothic" w:cs="Times New Roman"/>
          <w:i/>
        </w:rPr>
      </w:pPr>
      <w:r w:rsidRPr="00B36674">
        <w:rPr>
          <w:rFonts w:ascii="Century Gothic" w:eastAsia="Calibri" w:hAnsi="Century Gothic" w:cs="Times New Roman"/>
          <w:i/>
          <w:noProof/>
          <w:sz w:val="18"/>
          <w:szCs w:val="18"/>
          <w:lang w:eastAsia="es-MX"/>
        </w:rPr>
        <w:drawing>
          <wp:inline distT="0" distB="0" distL="0" distR="0" wp14:anchorId="6DF92F02" wp14:editId="0B8D5E96">
            <wp:extent cx="4228491" cy="350858"/>
            <wp:effectExtent l="0" t="0" r="0" b="0"/>
            <wp:docPr id="100179" name="Formula Image 5" descr="Formula:Disponibilidad = Horas Totales - Tiempo Fuera de ServicioHoras Totales×100"/>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584" name=""/>
                    <pic:cNvPicPr>
                      <a:picLocks noChangeAspect="1"/>
                    </pic:cNvPicPr>
                  </pic:nvPicPr>
                  <pic:blipFill>
                    <a:blip r:embed="rId29"/>
                    <a:stretch>
                      <a:fillRect/>
                    </a:stretch>
                  </pic:blipFill>
                  <pic:spPr>
                    <a:xfrm>
                      <a:off x="0" y="0"/>
                      <a:ext cx="4228491" cy="350858"/>
                    </a:xfrm>
                    <a:prstGeom prst="rect">
                      <a:avLst/>
                    </a:prstGeom>
                  </pic:spPr>
                </pic:pic>
              </a:graphicData>
            </a:graphic>
          </wp:inline>
        </w:drawing>
      </w:r>
    </w:p>
    <w:p w:rsidR="0090207A" w:rsidRPr="00611019" w:rsidRDefault="00E56462" w:rsidP="00035D2C">
      <w:pPr>
        <w:jc w:val="both"/>
        <w:rPr>
          <w:rFonts w:ascii="Century Gothic" w:eastAsia="Calibri" w:hAnsi="Century Gothic" w:cs="Times New Roman"/>
        </w:rPr>
      </w:pPr>
      <w:r>
        <w:rPr>
          <w:rFonts w:ascii="Century Gothic" w:eastAsia="Calibri" w:hAnsi="Century Gothic" w:cs="Times New Roman"/>
        </w:rPr>
        <w:t>Donde:</w:t>
      </w:r>
    </w:p>
    <w:p w:rsidR="0090207A" w:rsidRPr="00611019" w:rsidRDefault="00E56462" w:rsidP="00035D2C">
      <w:pPr>
        <w:jc w:val="both"/>
        <w:rPr>
          <w:rFonts w:ascii="Century Gothic" w:eastAsia="Calibri" w:hAnsi="Century Gothic" w:cs="Times New Roman"/>
        </w:rPr>
      </w:pPr>
      <w:r>
        <w:rPr>
          <w:rFonts w:ascii="Century Gothic" w:eastAsia="Calibri" w:hAnsi="Century Gothic" w:cs="Times New Roman"/>
        </w:rPr>
        <w:t>Las Horas Totales son equivalentes al período de medición de las líneas o Servicios contratados y los Tiempos Fuera de Servicio que deben computarse son tanto las horas originadas por mantenimiento programado como el no programado.</w:t>
      </w:r>
    </w:p>
    <w:p w:rsidR="00E15E52" w:rsidRPr="00611019" w:rsidRDefault="00E15E52" w:rsidP="008A330C">
      <w:pPr>
        <w:spacing w:after="12pt"/>
      </w:pPr>
      <w:bookmarkStart w:id="1505" w:name="_Toc107502276"/>
      <w:bookmarkStart w:id="1506" w:name="_Toc115739135"/>
      <w:bookmarkStart w:id="1507" w:name="_Toc125393372"/>
      <w:bookmarkStart w:id="1508" w:name="_Toc148702228"/>
      <w:bookmarkStart w:id="1509" w:name="_Toc170381849"/>
    </w:p>
    <w:p w:rsidR="0090207A" w:rsidRPr="008A330C" w:rsidRDefault="00E56462" w:rsidP="00035D2C">
      <w:pPr>
        <w:spacing w:after="6pt"/>
        <w:jc w:val="both"/>
        <w:outlineLvl w:val="0"/>
        <w:rPr>
          <w:rFonts w:ascii="Century Gothic" w:eastAsia="Calibri" w:hAnsi="Century Gothic" w:cs="Arial"/>
          <w:b/>
          <w:color w:val="000000"/>
          <w:u w:val="single"/>
          <w:lang w:val="es-ES" w:eastAsia="es-ES"/>
          <w14:scene3d>
            <w14:camera w14:prst="orthographicFront"/>
            <w14:lightRig w14:rig="threePt" w14:dir="t">
              <w14:rot w14:lat="0" w14:lon="0" w14:rev="0"/>
            </w14:lightRig>
          </w14:scene3d>
        </w:rPr>
      </w:pPr>
      <w:r>
        <w:rPr>
          <w:rFonts w:ascii="Century Gothic" w:eastAsia="Calibri" w:hAnsi="Century Gothic" w:cs="Arial"/>
          <w:b/>
          <w:color w:val="000000"/>
          <w:u w:val="single"/>
          <w:lang w:val="es-ES" w:eastAsia="es-ES"/>
          <w14:scene3d>
            <w14:camera w14:prst="orthographicFront"/>
            <w14:lightRig w14:rig="threePt" w14:dir="t">
              <w14:rot w14:lat="0" w14:lon="0" w14:rev="0"/>
            </w14:lightRig>
          </w14:scene3d>
        </w:rPr>
        <w:t>7. Servicio de Desagregación Total de Fibra Óptica (SDTFO)</w:t>
      </w:r>
      <w:bookmarkEnd w:id="1505"/>
      <w:bookmarkEnd w:id="1506"/>
      <w:bookmarkEnd w:id="1507"/>
      <w:bookmarkEnd w:id="1508"/>
      <w:bookmarkEnd w:id="1509"/>
      <w:r>
        <w:rPr>
          <w:rFonts w:ascii="Century Gothic" w:eastAsia="Calibri" w:hAnsi="Century Gothic" w:cs="Arial"/>
          <w:b/>
          <w:color w:val="000000"/>
          <w:u w:val="single"/>
          <w:lang w:val="es-ES" w:eastAsia="es-ES"/>
          <w14:scene3d>
            <w14:camera w14:prst="orthographicFront"/>
            <w14:lightRig w14:rig="threePt" w14:dir="t">
              <w14:rot w14:lat="0" w14:lon="0" w14:rev="0"/>
            </w14:lightRig>
          </w14:scene3d>
        </w:rPr>
        <w:t>.</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Por medio del siguiente Servicio el CS podrá acceder al bucle de fibra óptica de RED NACIONAL en su modalidad punto a punto.</w:t>
      </w:r>
    </w:p>
    <w:p w:rsidR="0090207A" w:rsidRPr="00611019" w:rsidRDefault="0090207A" w:rsidP="00035D2C">
      <w:pPr>
        <w:jc w:val="both"/>
        <w:rPr>
          <w:rFonts w:ascii="Century Gothic" w:eastAsia="Calibri" w:hAnsi="Century Gothic" w:cs="Arial"/>
          <w:color w:val="000000"/>
          <w:lang w:val="es-ES_tradnl" w:eastAsia="es-ES"/>
        </w:rPr>
      </w:pPr>
    </w:p>
    <w:p w:rsidR="0090207A" w:rsidRPr="00611019" w:rsidRDefault="00E56462" w:rsidP="00035D2C">
      <w:pPr>
        <w:keepNext/>
        <w:jc w:val="both"/>
        <w:rPr>
          <w:rFonts w:ascii="Century Gothic" w:eastAsia="Calibri" w:hAnsi="Century Gothic" w:cs="Times New Roman"/>
          <w:b/>
        </w:rPr>
      </w:pPr>
      <w:r>
        <w:rPr>
          <w:rFonts w:ascii="Century Gothic" w:eastAsia="Calibri" w:hAnsi="Century Gothic" w:cs="Times New Roman"/>
          <w:b/>
        </w:rPr>
        <w:t>Descripción del servicio.</w:t>
      </w:r>
    </w:p>
    <w:p w:rsidR="00E15E52" w:rsidRPr="00611019" w:rsidRDefault="00E15E52" w:rsidP="00035D2C">
      <w:pPr>
        <w:keepNext/>
        <w:jc w:val="both"/>
        <w:rPr>
          <w:rFonts w:ascii="Century Gothic" w:eastAsia="Calibri" w:hAnsi="Century Gothic" w:cs="Times New Roman"/>
          <w:b/>
          <w:sz w:val="8"/>
        </w:rPr>
      </w:pPr>
    </w:p>
    <w:p w:rsidR="0090207A" w:rsidRPr="00611019" w:rsidRDefault="00E56462" w:rsidP="00035D2C">
      <w:pPr>
        <w:jc w:val="both"/>
        <w:rPr>
          <w:rFonts w:ascii="Century Gothic" w:eastAsia="Calibri" w:hAnsi="Century Gothic" w:cs="Times New Roman"/>
        </w:rPr>
      </w:pPr>
      <w:r>
        <w:rPr>
          <w:rFonts w:ascii="Century Gothic" w:eastAsia="Calibri" w:hAnsi="Century Gothic" w:cs="Times New Roman"/>
        </w:rPr>
        <w:t>El Servicio de desagregación física de fibra óptica obscura es aquel mediante el cual RED NACIONAL pone a disposición del CS la fibra óptica de su red local de fibra óptica bajo una configuración punto a punto, de tal forma que se permita la provisión de servicios de telecomunicaciones a los Usuarios Finales que se conectan a la red pública de telecomunicaciones de RED NACIONAL.</w:t>
      </w:r>
    </w:p>
    <w:p w:rsidR="0090207A" w:rsidRPr="00611019" w:rsidRDefault="00E56462" w:rsidP="00035D2C">
      <w:pPr>
        <w:spacing w:after="6pt"/>
        <w:jc w:val="both"/>
        <w:rPr>
          <w:rFonts w:ascii="Century Gothic" w:eastAsia="Calibri" w:hAnsi="Century Gothic" w:cs="Times New Roman"/>
        </w:rPr>
      </w:pPr>
      <w:r>
        <w:rPr>
          <w:rFonts w:ascii="Century Gothic" w:eastAsia="Calibri" w:hAnsi="Century Gothic" w:cs="Times New Roman"/>
        </w:rPr>
        <w:t xml:space="preserve">El acceso físico será ofrecido por RED NACIONAL de manera que permita al CS disponer de la fibra óptica en configuración punto a punto, desde el PCT o equipo en el sitio del Usuario Final, hasta la Central Telefónica o Instalación Equivalente desde la cual se tenga acceso a la línea de fibra óptica.  </w:t>
      </w:r>
    </w:p>
    <w:p w:rsidR="0090207A" w:rsidRPr="00611019" w:rsidRDefault="00E56462" w:rsidP="00B36674">
      <w:pPr>
        <w:jc w:val="both"/>
        <w:rPr>
          <w:rFonts w:ascii="Century Gothic" w:eastAsia="Calibri" w:hAnsi="Century Gothic" w:cs="Times New Roman"/>
        </w:rPr>
      </w:pPr>
      <w:r>
        <w:rPr>
          <w:rFonts w:ascii="Century Gothic" w:eastAsia="Calibri" w:hAnsi="Century Gothic" w:cs="Times New Roman"/>
        </w:rPr>
        <w:t xml:space="preserve">Los </w:t>
      </w:r>
      <w:r w:rsidR="00B36674">
        <w:rPr>
          <w:rFonts w:ascii="Century Gothic" w:eastAsia="Calibri" w:hAnsi="Century Gothic" w:cs="Times New Roman"/>
        </w:rPr>
        <w:t>CS</w:t>
      </w:r>
      <w:r>
        <w:rPr>
          <w:rFonts w:ascii="Century Gothic" w:eastAsia="Calibri" w:hAnsi="Century Gothic" w:cs="Times New Roman"/>
        </w:rPr>
        <w:t xml:space="preserve"> pueden establecer el acceso terminando las secciones de fibra óptica a través de:</w:t>
      </w:r>
    </w:p>
    <w:p w:rsidR="0090207A" w:rsidRPr="00611019" w:rsidRDefault="00E56462" w:rsidP="00B36674">
      <w:pPr>
        <w:ind w:start="21.30pt" w:hanging="21.30pt"/>
        <w:jc w:val="both"/>
        <w:rPr>
          <w:rFonts w:ascii="Century Gothic" w:eastAsia="Calibri" w:hAnsi="Century Gothic" w:cs="Times New Roman"/>
        </w:rPr>
      </w:pPr>
      <w:r>
        <w:rPr>
          <w:rFonts w:ascii="Century Gothic" w:eastAsia="Calibri" w:hAnsi="Century Gothic" w:cs="Times New Roman"/>
        </w:rPr>
        <w:t>1.</w:t>
      </w:r>
      <w:r>
        <w:rPr>
          <w:rFonts w:ascii="Century Gothic" w:eastAsia="Calibri" w:hAnsi="Century Gothic" w:cs="Times New Roman"/>
        </w:rPr>
        <w:tab/>
        <w:t xml:space="preserve">La interconexión con sus propias fibras alimentadoras en el DFO; </w:t>
      </w:r>
    </w:p>
    <w:p w:rsidR="0090207A" w:rsidRPr="00611019" w:rsidRDefault="00E56462" w:rsidP="00B36674">
      <w:pPr>
        <w:ind w:start="21.30pt" w:hanging="21.30pt"/>
        <w:jc w:val="both"/>
        <w:rPr>
          <w:rFonts w:ascii="Century Gothic" w:eastAsia="Calibri" w:hAnsi="Century Gothic" w:cs="Times New Roman"/>
        </w:rPr>
      </w:pPr>
      <w:r>
        <w:rPr>
          <w:rFonts w:ascii="Century Gothic" w:eastAsia="Calibri" w:hAnsi="Century Gothic" w:cs="Times New Roman"/>
        </w:rPr>
        <w:t>2.</w:t>
      </w:r>
      <w:r>
        <w:rPr>
          <w:rFonts w:ascii="Century Gothic" w:eastAsia="Calibri" w:hAnsi="Century Gothic" w:cs="Times New Roman"/>
        </w:rPr>
        <w:tab/>
        <w:t xml:space="preserve">La instalación de sus propios DFOs y Divisores de Señal en las Coubicaciones; </w:t>
      </w:r>
    </w:p>
    <w:p w:rsidR="0090207A" w:rsidRPr="00611019" w:rsidRDefault="00E56462" w:rsidP="00B36674">
      <w:pPr>
        <w:ind w:start="21.30pt" w:hanging="21.30pt"/>
        <w:jc w:val="both"/>
        <w:rPr>
          <w:rFonts w:ascii="Century Gothic" w:eastAsia="Calibri" w:hAnsi="Century Gothic" w:cs="Times New Roman"/>
        </w:rPr>
      </w:pPr>
      <w:r>
        <w:rPr>
          <w:rFonts w:ascii="Century Gothic" w:eastAsia="Calibri" w:hAnsi="Century Gothic" w:cs="Times New Roman"/>
        </w:rPr>
        <w:t>3.</w:t>
      </w:r>
      <w:r>
        <w:rPr>
          <w:rFonts w:ascii="Century Gothic" w:eastAsia="Calibri" w:hAnsi="Century Gothic" w:cs="Times New Roman"/>
        </w:rPr>
        <w:tab/>
        <w:t xml:space="preserve">La instalación de sus propios equipos (OLT y </w:t>
      </w:r>
      <w:r>
        <w:rPr>
          <w:rFonts w:ascii="Century Gothic" w:eastAsia="Calibri" w:hAnsi="Century Gothic" w:cs="Times New Roman"/>
          <w:i/>
        </w:rPr>
        <w:t>switch</w:t>
      </w:r>
      <w:r>
        <w:rPr>
          <w:rFonts w:ascii="Century Gothic" w:eastAsia="Calibri" w:hAnsi="Century Gothic" w:cs="Times New Roman"/>
        </w:rPr>
        <w:t xml:space="preserve"> de transporte) en las Coubicaciones;</w:t>
      </w:r>
    </w:p>
    <w:p w:rsidR="0090207A" w:rsidRPr="00611019" w:rsidRDefault="00E56462" w:rsidP="00035D2C">
      <w:pPr>
        <w:adjustRightInd w:val="0"/>
        <w:spacing w:after="6pt"/>
        <w:jc w:val="center"/>
        <w:rPr>
          <w:rFonts w:ascii="Century Gothic" w:eastAsia="Calibri" w:hAnsi="Century Gothic" w:cs="Times New Roman"/>
        </w:rPr>
      </w:pPr>
      <w:r>
        <w:rPr>
          <w:rFonts w:ascii="Century Gothic" w:eastAsia="Calibri" w:hAnsi="Century Gothic" w:cs="Times New Roman"/>
          <w:noProof/>
          <w:lang w:eastAsia="es-MX"/>
        </w:rPr>
        <w:drawing>
          <wp:inline distT="0" distB="0" distL="0" distR="0" wp14:anchorId="49724D13" wp14:editId="4103AEAA">
            <wp:extent cx="4019404" cy="2394966"/>
            <wp:effectExtent l="19050" t="19050" r="19685" b="24765"/>
            <wp:docPr id="19" name="Imagen 18" descr="Diagrama&#10;&#10;Descripción generada automáticamente"/>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585" name="Imagen 18" descr="Diagrama&#10;&#10;Descripción generada automáticamente"/>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4029509" cy="2400987"/>
                    </a:xfrm>
                    <a:prstGeom prst="rect">
                      <a:avLst/>
                    </a:prstGeom>
                    <a:noFill/>
                    <a:ln w="9525">
                      <a:solidFill>
                        <a:srgbClr val="000000"/>
                      </a:solidFill>
                      <a:miter lim="800%"/>
                      <a:headEnd/>
                      <a:tailEnd/>
                    </a:ln>
                    <a:effectLst/>
                  </pic:spPr>
                </pic:pic>
              </a:graphicData>
            </a:graphic>
          </wp:inline>
        </w:drawing>
      </w:r>
    </w:p>
    <w:p w:rsidR="0090207A" w:rsidRPr="00611019" w:rsidRDefault="00E56462" w:rsidP="00035D2C">
      <w:pPr>
        <w:spacing w:after="6pt"/>
        <w:jc w:val="center"/>
        <w:rPr>
          <w:rFonts w:ascii="Century Gothic" w:eastAsia="Calibri" w:hAnsi="Century Gothic" w:cs="Arial"/>
          <w:b/>
          <w:sz w:val="20"/>
          <w:szCs w:val="20"/>
        </w:rPr>
      </w:pPr>
      <w:r>
        <w:rPr>
          <w:rFonts w:ascii="Century Gothic" w:eastAsia="Calibri" w:hAnsi="Century Gothic" w:cs="Arial"/>
          <w:b/>
          <w:sz w:val="20"/>
          <w:szCs w:val="20"/>
        </w:rPr>
        <w:t>Servicio de Desagregación Total de Fibra Óptica</w:t>
      </w:r>
    </w:p>
    <w:p w:rsidR="0090207A" w:rsidRPr="00611019" w:rsidRDefault="00E56462" w:rsidP="00035D2C">
      <w:pPr>
        <w:spacing w:after="6pt"/>
        <w:jc w:val="both"/>
        <w:rPr>
          <w:rFonts w:ascii="Century Gothic" w:eastAsia="Calibri" w:hAnsi="Century Gothic" w:cs="Times New Roman"/>
        </w:rPr>
      </w:pPr>
      <w:r>
        <w:rPr>
          <w:rFonts w:ascii="Century Gothic" w:eastAsia="Calibri" w:hAnsi="Century Gothic" w:cs="Times New Roman"/>
        </w:rPr>
        <w:t xml:space="preserve">RED NACIONAL pondrá a disposición de los </w:t>
      </w:r>
      <w:r w:rsidR="00B36674">
        <w:rPr>
          <w:rFonts w:ascii="Century Gothic" w:eastAsia="Calibri" w:hAnsi="Century Gothic" w:cs="Times New Roman"/>
        </w:rPr>
        <w:t>CS</w:t>
      </w:r>
      <w:r>
        <w:rPr>
          <w:rFonts w:ascii="Century Gothic" w:eastAsia="Calibri" w:hAnsi="Century Gothic" w:cs="Times New Roman"/>
        </w:rPr>
        <w:t xml:space="preserve"> en el SEG/SIPO toda información sobre los estándares, disponibilidad (indicando aquellos Bucles Locales que se encuentran disponibles punto a punto), especificaciones y referencias de la fibra óptica que utiliza para sus operaciones. </w:t>
      </w:r>
    </w:p>
    <w:p w:rsidR="0090207A" w:rsidRPr="00611019" w:rsidRDefault="00E56462" w:rsidP="00035D2C">
      <w:pPr>
        <w:spacing w:after="6pt"/>
        <w:jc w:val="both"/>
        <w:rPr>
          <w:rFonts w:ascii="Century Gothic" w:eastAsia="Calibri" w:hAnsi="Century Gothic" w:cs="Times New Roman"/>
        </w:rPr>
      </w:pPr>
      <w:r>
        <w:rPr>
          <w:rFonts w:ascii="Century Gothic" w:eastAsia="Calibri" w:hAnsi="Century Gothic" w:cs="Times New Roman"/>
        </w:rPr>
        <w:t>Esta información se mantendrá accesible y actualizada respecto a cualquier cambio.</w:t>
      </w:r>
    </w:p>
    <w:p w:rsidR="0090207A" w:rsidRPr="00611019" w:rsidRDefault="00E56462" w:rsidP="00035D2C">
      <w:pPr>
        <w:jc w:val="both"/>
        <w:rPr>
          <w:rFonts w:ascii="Century Gothic" w:eastAsia="Calibri" w:hAnsi="Century Gothic" w:cs="Times New Roman"/>
        </w:rPr>
      </w:pPr>
      <w:r>
        <w:rPr>
          <w:rFonts w:ascii="Century Gothic" w:eastAsia="Calibri" w:hAnsi="Century Gothic" w:cs="Times New Roman"/>
        </w:rPr>
        <w:t>Para efectos de procedimientos de contratación, modificación y baja se utilizarán en lo aplicable los “Procedimientos de contratación, modificación y baja de</w:t>
      </w:r>
      <w:r w:rsidR="00720125">
        <w:rPr>
          <w:rFonts w:ascii="Century Gothic" w:eastAsia="Calibri" w:hAnsi="Century Gothic" w:cs="Times New Roman"/>
        </w:rPr>
        <w:t xml:space="preserve">l </w:t>
      </w:r>
      <w:r>
        <w:rPr>
          <w:rFonts w:ascii="Century Gothic" w:eastAsia="Calibri" w:hAnsi="Century Gothic" w:cs="Times New Roman"/>
        </w:rPr>
        <w:t>Servicio SDTBL”.</w:t>
      </w:r>
    </w:p>
    <w:p w:rsidR="0090207A" w:rsidRPr="00611019" w:rsidRDefault="0090207A" w:rsidP="00035D2C">
      <w:pPr>
        <w:spacing w:after="6pt"/>
        <w:jc w:val="both"/>
        <w:rPr>
          <w:rFonts w:ascii="Century Gothic" w:eastAsia="Calibri" w:hAnsi="Century Gothic" w:cs="Times New Roman"/>
        </w:rPr>
      </w:pPr>
    </w:p>
    <w:p w:rsidR="0090207A" w:rsidRPr="00611019" w:rsidRDefault="00E56462" w:rsidP="00035D2C">
      <w:pPr>
        <w:keepNext/>
        <w:spacing w:after="10pt"/>
        <w:ind w:start="56.70pt" w:hanging="56.70pt"/>
        <w:jc w:val="both"/>
        <w:outlineLvl w:val="1"/>
        <w:rPr>
          <w:rFonts w:ascii="Century Gothic" w:eastAsia="Times New Roman" w:hAnsi="Century Gothic" w:cs="Arial"/>
          <w:b/>
          <w:bCs/>
        </w:rPr>
      </w:pPr>
      <w:bookmarkStart w:id="1510" w:name="_Toc107502277"/>
      <w:bookmarkStart w:id="1511" w:name="_Toc115739136"/>
      <w:bookmarkStart w:id="1512" w:name="_Toc125393373"/>
      <w:bookmarkStart w:id="1513" w:name="_Toc148702229"/>
      <w:bookmarkStart w:id="1514" w:name="_Toc170381850"/>
      <w:r>
        <w:rPr>
          <w:rFonts w:ascii="Century Gothic" w:eastAsia="Times New Roman" w:hAnsi="Century Gothic" w:cs="Arial"/>
          <w:b/>
          <w:bCs/>
        </w:rPr>
        <w:lastRenderedPageBreak/>
        <w:t>7.1 Procedimiento de contratación y entrega del SDTFO (alta)</w:t>
      </w:r>
      <w:bookmarkEnd w:id="1510"/>
      <w:bookmarkEnd w:id="1511"/>
      <w:bookmarkEnd w:id="1512"/>
      <w:bookmarkEnd w:id="1513"/>
      <w:bookmarkEnd w:id="1514"/>
      <w:r>
        <w:rPr>
          <w:rFonts w:ascii="Century Gothic" w:eastAsia="Times New Roman" w:hAnsi="Century Gothic" w:cs="Arial"/>
          <w:b/>
          <w:bCs/>
        </w:rPr>
        <w:t>.</w:t>
      </w:r>
    </w:p>
    <w:tbl>
      <w:tblPr>
        <w:tblStyle w:val="Tablaconcuadrcula"/>
        <w:tblW w:w="99.0%" w:type="pct"/>
        <w:jc w:val="center"/>
        <w:tblLook w:firstRow="1" w:lastRow="0" w:firstColumn="1" w:lastColumn="0" w:noHBand="0" w:noVBand="1"/>
      </w:tblPr>
      <w:tblGrid>
        <w:gridCol w:w="2537"/>
        <w:gridCol w:w="6763"/>
      </w:tblGrid>
      <w:tr w:rsidR="0061711D" w:rsidTr="0090207A">
        <w:trPr>
          <w:tblHeader/>
          <w:jc w:val="center"/>
        </w:trPr>
        <w:tc>
          <w:tcPr>
            <w:tcW w:w="27.0%" w:type="pct"/>
            <w:tcBorders>
              <w:top w:val="single" w:sz="4" w:space="0" w:color="auto"/>
              <w:start w:val="single" w:sz="4" w:space="0" w:color="auto"/>
              <w:bottom w:val="single" w:sz="4" w:space="0" w:color="auto"/>
              <w:end w:val="single" w:sz="4" w:space="0" w:color="auto"/>
            </w:tcBorders>
            <w:shd w:val="clear" w:color="auto" w:fill="009AD9"/>
            <w:hideMark/>
          </w:tcPr>
          <w:p w:rsidR="0090207A" w:rsidRPr="00611019" w:rsidRDefault="00E56462" w:rsidP="00035D2C">
            <w:pPr>
              <w:spacing w:before="2pt" w:after="2pt"/>
              <w:jc w:val="center"/>
              <w:rPr>
                <w:rFonts w:ascii="Century Gothic" w:eastAsia="Calibri" w:hAnsi="Century Gothic" w:cs="Arial"/>
                <w:b/>
                <w:color w:val="FFFFFF" w:themeColor="background1"/>
                <w:szCs w:val="18"/>
                <w:lang w:val="es-ES_tradnl"/>
              </w:rPr>
            </w:pPr>
            <w:r>
              <w:rPr>
                <w:rFonts w:ascii="Century Gothic" w:eastAsia="Calibri" w:hAnsi="Century Gothic" w:cs="Arial"/>
                <w:b/>
                <w:color w:val="FFFFFF" w:themeColor="background1"/>
                <w:szCs w:val="18"/>
                <w:lang w:val="es-ES_tradnl"/>
              </w:rPr>
              <w:t>Etapa</w:t>
            </w:r>
          </w:p>
        </w:tc>
        <w:tc>
          <w:tcPr>
            <w:tcW w:w="72.0%" w:type="pct"/>
            <w:tcBorders>
              <w:top w:val="single" w:sz="4" w:space="0" w:color="auto"/>
              <w:start w:val="single" w:sz="4" w:space="0" w:color="auto"/>
              <w:bottom w:val="single" w:sz="4" w:space="0" w:color="auto"/>
              <w:end w:val="single" w:sz="4" w:space="0" w:color="auto"/>
            </w:tcBorders>
            <w:shd w:val="clear" w:color="auto" w:fill="009AD9"/>
            <w:hideMark/>
          </w:tcPr>
          <w:p w:rsidR="0090207A" w:rsidRPr="00611019" w:rsidRDefault="00E56462" w:rsidP="00035D2C">
            <w:pPr>
              <w:spacing w:before="2pt" w:after="2pt"/>
              <w:jc w:val="center"/>
              <w:rPr>
                <w:rFonts w:ascii="Century Gothic" w:eastAsia="Calibri" w:hAnsi="Century Gothic" w:cs="Arial"/>
                <w:b/>
                <w:color w:val="FFFFFF" w:themeColor="background1"/>
                <w:szCs w:val="18"/>
                <w:lang w:val="es-ES_tradnl"/>
              </w:rPr>
            </w:pPr>
            <w:r>
              <w:rPr>
                <w:rFonts w:ascii="Century Gothic" w:eastAsia="Calibri" w:hAnsi="Century Gothic" w:cs="Arial"/>
                <w:b/>
                <w:color w:val="FFFFFF" w:themeColor="background1"/>
                <w:szCs w:val="18"/>
                <w:lang w:val="es-ES_tradnl"/>
              </w:rPr>
              <w:t>Descripción</w:t>
            </w:r>
          </w:p>
        </w:tc>
      </w:tr>
      <w:tr w:rsidR="0061711D" w:rsidTr="00E15E52">
        <w:trPr>
          <w:trHeight w:val="1889"/>
          <w:jc w:val="center"/>
        </w:trPr>
        <w:tc>
          <w:tcPr>
            <w:tcW w:w="27.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rPr>
                <w:rFonts w:ascii="Century Gothic" w:eastAsia="Calibri" w:hAnsi="Century Gothic" w:cs="Arial"/>
                <w:b/>
                <w:color w:val="000000"/>
                <w:szCs w:val="18"/>
                <w:lang w:val="es-ES_tradnl"/>
              </w:rPr>
            </w:pPr>
            <w:r>
              <w:rPr>
                <w:rFonts w:ascii="Century Gothic" w:eastAsia="Calibri" w:hAnsi="Century Gothic" w:cs="Arial"/>
                <w:b/>
                <w:color w:val="000000"/>
                <w:szCs w:val="18"/>
                <w:lang w:val="es-ES_tradnl"/>
              </w:rPr>
              <w:t>Envío, Validación, Visita Técnica y Factibilidad Técnica de la solicitud.</w:t>
            </w:r>
          </w:p>
        </w:tc>
        <w:tc>
          <w:tcPr>
            <w:tcW w:w="72.0%" w:type="pct"/>
            <w:tcBorders>
              <w:top w:val="single" w:sz="4" w:space="0" w:color="auto"/>
              <w:start w:val="single" w:sz="4" w:space="0" w:color="auto"/>
              <w:bottom w:val="single" w:sz="4" w:space="0" w:color="auto"/>
              <w:end w:val="single" w:sz="4" w:space="0" w:color="auto"/>
            </w:tcBorders>
          </w:tcPr>
          <w:p w:rsidR="0090207A" w:rsidRPr="00611019" w:rsidRDefault="00E56462" w:rsidP="00035D2C">
            <w:pPr>
              <w:spacing w:before="2pt" w:after="2pt"/>
              <w:jc w:val="both"/>
              <w:rPr>
                <w:rFonts w:ascii="Century Gothic" w:eastAsia="Calibri" w:hAnsi="Century Gothic" w:cs="Arial"/>
                <w:color w:val="000000"/>
                <w:szCs w:val="18"/>
                <w:lang w:val="es-ES_tradnl"/>
              </w:rPr>
            </w:pPr>
            <w:r>
              <w:rPr>
                <w:rFonts w:ascii="Century Gothic" w:eastAsia="Calibri" w:hAnsi="Century Gothic" w:cs="Arial"/>
                <w:color w:val="000000"/>
                <w:szCs w:val="18"/>
                <w:lang w:val="es-ES_tradnl"/>
              </w:rPr>
              <w:t>El CS deberá presentar sus solicitudes de Servicios a través del SEG/SIPO, RED NACIONAL tendrá el plazo que para tal efecto se define en la sección de Plazos de este Servicio en la presente OREDA para realizar la revisión y validación de la información recibida incluyendo lo siguiente:</w:t>
            </w:r>
          </w:p>
          <w:p w:rsidR="0090207A" w:rsidRPr="00611019" w:rsidRDefault="0090207A" w:rsidP="00035D2C">
            <w:pPr>
              <w:spacing w:before="2pt" w:after="2pt"/>
              <w:jc w:val="both"/>
              <w:rPr>
                <w:rFonts w:ascii="Century Gothic" w:eastAsia="Calibri" w:hAnsi="Century Gothic" w:cs="Arial"/>
                <w:color w:val="000000"/>
                <w:szCs w:val="18"/>
                <w:lang w:val="es-ES_tradnl"/>
              </w:rPr>
            </w:pPr>
          </w:p>
          <w:p w:rsidR="0090207A" w:rsidRPr="00611019" w:rsidRDefault="00E56462">
            <w:pPr>
              <w:numPr>
                <w:ilvl w:val="0"/>
                <w:numId w:val="85"/>
              </w:numPr>
              <w:tabs>
                <w:tab w:val="start" w:pos="11.50pt"/>
              </w:tabs>
              <w:spacing w:before="2pt" w:after="2pt"/>
              <w:jc w:val="both"/>
              <w:rPr>
                <w:rFonts w:ascii="Century Gothic" w:eastAsia="Calibri" w:hAnsi="Century Gothic" w:cs="Arial"/>
                <w:color w:val="000000"/>
                <w:szCs w:val="18"/>
                <w:lang w:val="es-ES_tradnl"/>
              </w:rPr>
            </w:pPr>
            <w:r>
              <w:rPr>
                <w:rFonts w:ascii="Century Gothic" w:eastAsia="Calibri" w:hAnsi="Century Gothic" w:cs="Arial"/>
                <w:color w:val="000000"/>
                <w:szCs w:val="18"/>
                <w:lang w:val="es-ES_tradnl"/>
              </w:rPr>
              <w:t>Domicilio donde se requiere el servicio.</w:t>
            </w:r>
          </w:p>
          <w:p w:rsidR="0090207A" w:rsidRPr="00611019" w:rsidRDefault="00E56462">
            <w:pPr>
              <w:numPr>
                <w:ilvl w:val="0"/>
                <w:numId w:val="85"/>
              </w:numPr>
              <w:tabs>
                <w:tab w:val="start" w:pos="11.50pt"/>
              </w:tabs>
              <w:spacing w:before="2pt" w:after="2pt"/>
              <w:jc w:val="both"/>
              <w:rPr>
                <w:rFonts w:ascii="Century Gothic" w:eastAsia="Calibri" w:hAnsi="Century Gothic" w:cs="Arial"/>
                <w:color w:val="000000"/>
                <w:szCs w:val="18"/>
                <w:lang w:val="es-ES_tradnl"/>
              </w:rPr>
            </w:pPr>
            <w:r>
              <w:rPr>
                <w:rFonts w:ascii="Century Gothic" w:eastAsia="Calibri" w:hAnsi="Century Gothic" w:cs="Arial"/>
                <w:color w:val="000000"/>
                <w:szCs w:val="18"/>
                <w:lang w:val="es-ES_tradnl"/>
              </w:rPr>
              <w:t>Referencia de la coubicación en la que se entregará el servicio.</w:t>
            </w:r>
          </w:p>
          <w:p w:rsidR="0090207A" w:rsidRPr="00611019" w:rsidRDefault="00E56462">
            <w:pPr>
              <w:numPr>
                <w:ilvl w:val="0"/>
                <w:numId w:val="85"/>
              </w:numPr>
              <w:tabs>
                <w:tab w:val="start" w:pos="11.50pt"/>
              </w:tabs>
              <w:spacing w:before="2pt" w:after="2pt"/>
              <w:jc w:val="both"/>
              <w:rPr>
                <w:rFonts w:ascii="Century Gothic" w:eastAsia="Calibri" w:hAnsi="Century Gothic" w:cs="Arial"/>
                <w:color w:val="000000"/>
                <w:szCs w:val="18"/>
                <w:lang w:val="es-ES_tradnl"/>
              </w:rPr>
            </w:pPr>
            <w:r>
              <w:rPr>
                <w:rFonts w:ascii="Century Gothic" w:eastAsia="Calibri" w:hAnsi="Century Gothic" w:cs="Arial"/>
                <w:color w:val="000000"/>
                <w:szCs w:val="18"/>
                <w:lang w:val="es-ES_tradnl"/>
              </w:rPr>
              <w:t>Referencia del cableado DFO-RED NACIONAL a DFO-CS.</w:t>
            </w:r>
          </w:p>
          <w:p w:rsidR="0090207A" w:rsidRPr="00611019" w:rsidRDefault="00E56462">
            <w:pPr>
              <w:numPr>
                <w:ilvl w:val="0"/>
                <w:numId w:val="85"/>
              </w:numPr>
              <w:tabs>
                <w:tab w:val="start" w:pos="11.50pt"/>
              </w:tabs>
              <w:spacing w:before="2pt" w:after="2pt"/>
              <w:jc w:val="both"/>
              <w:rPr>
                <w:rFonts w:ascii="Century Gothic" w:eastAsia="Calibri" w:hAnsi="Century Gothic" w:cs="Arial"/>
                <w:color w:val="000000"/>
                <w:szCs w:val="18"/>
                <w:lang w:val="es-ES_tradnl"/>
              </w:rPr>
            </w:pPr>
            <w:r>
              <w:rPr>
                <w:rFonts w:ascii="Century Gothic" w:eastAsia="Calibri" w:hAnsi="Century Gothic" w:cs="Arial"/>
                <w:color w:val="000000"/>
                <w:szCs w:val="18"/>
                <w:lang w:val="es-ES_tradnl"/>
              </w:rPr>
              <w:t>Cantidad de hilos de fibra óptica que requiere</w:t>
            </w:r>
          </w:p>
          <w:p w:rsidR="0090207A" w:rsidRPr="00611019" w:rsidRDefault="0090207A" w:rsidP="00035D2C">
            <w:pPr>
              <w:tabs>
                <w:tab w:val="start" w:pos="11.50pt"/>
              </w:tabs>
              <w:spacing w:before="2pt" w:after="2pt"/>
              <w:ind w:start="36pt"/>
              <w:jc w:val="both"/>
              <w:rPr>
                <w:rFonts w:ascii="Century Gothic" w:eastAsia="Calibri" w:hAnsi="Century Gothic" w:cs="Arial"/>
                <w:color w:val="000000"/>
                <w:szCs w:val="18"/>
                <w:lang w:val="es-ES_tradnl"/>
              </w:rPr>
            </w:pPr>
          </w:p>
          <w:p w:rsidR="0090207A" w:rsidRPr="00611019" w:rsidRDefault="00E56462" w:rsidP="00035D2C">
            <w:pPr>
              <w:spacing w:before="2pt" w:after="2pt"/>
              <w:jc w:val="both"/>
              <w:rPr>
                <w:rFonts w:ascii="Century Gothic" w:eastAsia="Calibri" w:hAnsi="Century Gothic" w:cs="Arial"/>
                <w:color w:val="000000"/>
                <w:szCs w:val="18"/>
                <w:lang w:val="es-ES_tradnl"/>
              </w:rPr>
            </w:pPr>
            <w:r>
              <w:rPr>
                <w:rFonts w:ascii="Century Gothic" w:eastAsia="Calibri" w:hAnsi="Century Gothic" w:cs="Arial"/>
                <w:color w:val="000000"/>
                <w:szCs w:val="18"/>
                <w:lang w:val="es-ES_tradnl"/>
              </w:rPr>
              <w:t>Una vez aceptada la solicitud por RED NACIONAL, el SEG/SIPO asignará de forma automática el Folio, si la información no es correcta, se rechaza la solicitud y se informa al CS el motivo.</w:t>
            </w:r>
          </w:p>
          <w:p w:rsidR="0090207A" w:rsidRPr="00611019" w:rsidRDefault="00E56462" w:rsidP="00035D2C">
            <w:pPr>
              <w:spacing w:before="2pt" w:after="2pt"/>
              <w:jc w:val="both"/>
              <w:rPr>
                <w:rFonts w:ascii="Century Gothic" w:eastAsia="Calibri" w:hAnsi="Century Gothic" w:cs="Arial"/>
                <w:color w:val="000000"/>
                <w:szCs w:val="18"/>
                <w:lang w:val="es-ES_tradnl"/>
              </w:rPr>
            </w:pPr>
            <w:r>
              <w:rPr>
                <w:rFonts w:ascii="Century Gothic" w:eastAsia="Calibri" w:hAnsi="Century Gothic" w:cs="Arial"/>
                <w:color w:val="000000"/>
                <w:szCs w:val="18"/>
                <w:lang w:val="es-ES_tradnl"/>
              </w:rPr>
              <w:t xml:space="preserve">El CS, o en su caso RED NACIONAL, conseguirá el acceso al sitio del </w:t>
            </w:r>
            <w:r>
              <w:rPr>
                <w:rFonts w:ascii="Century Gothic" w:hAnsi="Century Gothic"/>
              </w:rPr>
              <w:t>Usuario Final</w:t>
            </w:r>
            <w:r>
              <w:rPr>
                <w:rFonts w:ascii="Century Gothic" w:eastAsia="Calibri" w:hAnsi="Century Gothic" w:cs="Arial"/>
                <w:color w:val="000000"/>
                <w:szCs w:val="18"/>
                <w:lang w:val="es-ES_tradnl"/>
              </w:rPr>
              <w:t xml:space="preserve"> para poder realizar la visita técnica; hasta en tanto no se tenga confirmada la cita para llevar a cabo esta actividad, se mantendrá un paro de reloj hasta la fecha efectiva de la visita técnica.</w:t>
            </w:r>
          </w:p>
          <w:p w:rsidR="0090207A" w:rsidRPr="00611019" w:rsidRDefault="00E56462" w:rsidP="00035D2C">
            <w:pPr>
              <w:spacing w:before="2pt" w:after="2pt"/>
              <w:jc w:val="both"/>
              <w:rPr>
                <w:rFonts w:ascii="Century Gothic" w:eastAsia="Calibri" w:hAnsi="Century Gothic" w:cs="Arial"/>
                <w:color w:val="000000"/>
                <w:szCs w:val="18"/>
                <w:lang w:val="es-ES_tradnl"/>
              </w:rPr>
            </w:pPr>
            <w:r>
              <w:rPr>
                <w:rFonts w:ascii="Century Gothic" w:eastAsia="Calibri" w:hAnsi="Century Gothic" w:cs="Arial"/>
                <w:color w:val="000000"/>
                <w:szCs w:val="18"/>
                <w:lang w:val="es-ES_tradnl"/>
              </w:rPr>
              <w:t xml:space="preserve">RED NACIONAL tendrá el plazo que para tal efecto se define en la sección de Plazos de este Servicio en la presente OREDA a partir de la visita técnica para efectuar el análisis y determinar si hay Factibilidad, en caso negativo, se le informan al CS, vía el SEG/SIPO, los motivos que imposibilitan proporcionar el Servicio (SDTFO); en caso de que se confirme la Factibilidad Técnica, </w:t>
            </w:r>
            <w:r>
              <w:rPr>
                <w:rFonts w:ascii="Century Gothic" w:eastAsia="Calibri" w:hAnsi="Century Gothic" w:cs="Arial"/>
                <w:color w:val="000000"/>
                <w:spacing w:val="-3"/>
                <w:szCs w:val="18"/>
                <w:lang w:val="es-ES_tradnl"/>
              </w:rPr>
              <w:t>RED NACIONAL</w:t>
            </w:r>
            <w:r>
              <w:rPr>
                <w:rFonts w:ascii="Century Gothic" w:eastAsia="Calibri" w:hAnsi="Century Gothic" w:cs="Arial"/>
                <w:color w:val="000000"/>
                <w:szCs w:val="18"/>
                <w:lang w:val="es-ES_tradnl"/>
              </w:rPr>
              <w:t xml:space="preserve"> en el plazo definido para tal efecto en la sección de Plazos de este Servicio en la presente OREDA, elaborará el proyecto de construcción y, en caso de que el CS lo haya solicitado, el proyecto y cotización del trabajo especial asociado a la instalación del jumper óptico al interior del sitio del </w:t>
            </w:r>
            <w:r>
              <w:rPr>
                <w:rFonts w:ascii="Century Gothic" w:hAnsi="Century Gothic"/>
              </w:rPr>
              <w:t>Usuario Final</w:t>
            </w:r>
            <w:r>
              <w:rPr>
                <w:rFonts w:ascii="Century Gothic" w:eastAsia="Calibri" w:hAnsi="Century Gothic" w:cs="Arial"/>
                <w:color w:val="000000"/>
                <w:szCs w:val="18"/>
                <w:lang w:val="es-ES_tradnl"/>
              </w:rPr>
              <w:t>; se enviará la cotización</w:t>
            </w:r>
            <w:r>
              <w:rPr>
                <w:rFonts w:ascii="Century Gothic" w:eastAsia="Calibri" w:hAnsi="Century Gothic" w:cs="Arial"/>
                <w:color w:val="000000"/>
                <w:szCs w:val="18"/>
                <w:vertAlign w:val="superscript"/>
                <w:lang w:val="es-ES_tradnl"/>
              </w:rPr>
              <w:footnoteReference w:id="21"/>
            </w:r>
            <w:r>
              <w:rPr>
                <w:rFonts w:ascii="Century Gothic" w:eastAsia="Calibri" w:hAnsi="Century Gothic" w:cs="Arial"/>
                <w:color w:val="000000"/>
                <w:szCs w:val="18"/>
                <w:lang w:val="es-ES_tradnl"/>
              </w:rPr>
              <w:t xml:space="preserve"> correspondiente al CS para su autorización. El CS tendrá un plazo máximo de cinco días hábiles para aceptar la cotización vía SEG/SIPO, en caso de no recibir respuesta, se entenderá que no ha resultado de su interés, se dará por terminado el proceso y se emitirá la factura correspondiente por la elaboración del proyecto</w:t>
            </w:r>
            <w:r>
              <w:rPr>
                <w:rFonts w:ascii="Century Gothic" w:eastAsia="Calibri" w:hAnsi="Century Gothic" w:cs="Arial"/>
                <w:color w:val="000000"/>
                <w:szCs w:val="18"/>
                <w:vertAlign w:val="superscript"/>
                <w:lang w:val="es-ES_tradnl"/>
              </w:rPr>
              <w:footnoteReference w:id="22"/>
            </w:r>
            <w:r>
              <w:rPr>
                <w:rFonts w:ascii="Century Gothic" w:eastAsia="Calibri" w:hAnsi="Century Gothic" w:cs="Arial"/>
                <w:color w:val="000000"/>
                <w:szCs w:val="18"/>
                <w:lang w:val="es-ES_tradnl"/>
              </w:rPr>
              <w:t>.</w:t>
            </w:r>
          </w:p>
        </w:tc>
      </w:tr>
      <w:tr w:rsidR="0061711D" w:rsidTr="00E15E52">
        <w:trPr>
          <w:trHeight w:val="2409"/>
          <w:jc w:val="center"/>
        </w:trPr>
        <w:tc>
          <w:tcPr>
            <w:tcW w:w="27.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rPr>
                <w:rFonts w:ascii="Century Gothic" w:eastAsia="Calibri" w:hAnsi="Century Gothic" w:cs="Arial"/>
                <w:b/>
                <w:color w:val="000000"/>
                <w:szCs w:val="18"/>
                <w:lang w:val="es-ES_tradnl"/>
              </w:rPr>
            </w:pPr>
            <w:r>
              <w:rPr>
                <w:rFonts w:ascii="Century Gothic" w:eastAsia="Calibri" w:hAnsi="Century Gothic" w:cs="Arial"/>
                <w:b/>
                <w:color w:val="000000"/>
                <w:szCs w:val="18"/>
                <w:lang w:val="es-ES_tradnl"/>
              </w:rPr>
              <w:lastRenderedPageBreak/>
              <w:t>Habilitación y aprovisionamiento del Servicio</w:t>
            </w:r>
          </w:p>
        </w:tc>
        <w:tc>
          <w:tcPr>
            <w:tcW w:w="72.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Arial"/>
                <w:color w:val="000000"/>
                <w:szCs w:val="18"/>
                <w:lang w:val="es-ES_tradnl"/>
              </w:rPr>
            </w:pPr>
            <w:r>
              <w:rPr>
                <w:rFonts w:ascii="Century Gothic" w:eastAsia="Calibri" w:hAnsi="Century Gothic" w:cs="Arial"/>
                <w:color w:val="000000"/>
                <w:szCs w:val="18"/>
                <w:lang w:val="es-ES_tradnl"/>
              </w:rPr>
              <w:t xml:space="preserve">Una vez autorizada la cotización, RED NACIONAL llevará a cabo las actuaciones necesarias para habilitar el servicio, incluyendo las pruebas correspondientes, en el plazo que se define para tal efecto en la sección de Plazos de este Servicio en la presente OREDA y notificará al CS a través del SEG/SIPO. Para hacer la habilitación en el sitio del </w:t>
            </w:r>
            <w:r>
              <w:rPr>
                <w:rFonts w:ascii="Century Gothic" w:hAnsi="Century Gothic"/>
              </w:rPr>
              <w:t>Usuario Final</w:t>
            </w:r>
            <w:r>
              <w:rPr>
                <w:rFonts w:ascii="Century Gothic" w:eastAsia="Calibri" w:hAnsi="Century Gothic" w:cs="Arial"/>
                <w:color w:val="000000"/>
                <w:szCs w:val="18"/>
                <w:lang w:val="es-ES_tradnl"/>
              </w:rPr>
              <w:t>, el CS debe proporcionar el acceso al sitio. Para hacer la entrega del Servicio debe estar presente el CS durante las pruebas para recepción del servicio.</w:t>
            </w:r>
          </w:p>
        </w:tc>
      </w:tr>
      <w:tr w:rsidR="0061711D" w:rsidTr="00E15E52">
        <w:trPr>
          <w:trHeight w:val="1113"/>
          <w:jc w:val="center"/>
        </w:trPr>
        <w:tc>
          <w:tcPr>
            <w:tcW w:w="27.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rPr>
                <w:rFonts w:ascii="Century Gothic" w:eastAsia="Calibri" w:hAnsi="Century Gothic" w:cs="Arial"/>
                <w:b/>
                <w:color w:val="000000"/>
                <w:szCs w:val="18"/>
                <w:lang w:val="es-ES_tradnl"/>
              </w:rPr>
            </w:pPr>
            <w:r>
              <w:rPr>
                <w:rFonts w:ascii="Century Gothic" w:eastAsia="Calibri" w:hAnsi="Century Gothic" w:cs="Arial"/>
                <w:b/>
                <w:color w:val="000000"/>
                <w:szCs w:val="18"/>
                <w:lang w:val="es-ES_tradnl"/>
              </w:rPr>
              <w:t>Facturación</w:t>
            </w:r>
          </w:p>
        </w:tc>
        <w:tc>
          <w:tcPr>
            <w:tcW w:w="72.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Arial"/>
                <w:color w:val="000000"/>
                <w:szCs w:val="18"/>
                <w:lang w:val="es-ES_tradnl"/>
              </w:rPr>
            </w:pPr>
            <w:r>
              <w:rPr>
                <w:rFonts w:ascii="Century Gothic" w:eastAsia="Calibri" w:hAnsi="Century Gothic" w:cs="Arial"/>
                <w:color w:val="000000"/>
                <w:szCs w:val="18"/>
                <w:lang w:val="es-ES_tradnl"/>
              </w:rPr>
              <w:t>Al corte del mes se realizará la facturación aplicable al servicio:</w:t>
            </w:r>
          </w:p>
          <w:p w:rsidR="0090207A" w:rsidRPr="00611019" w:rsidRDefault="00E56462">
            <w:pPr>
              <w:numPr>
                <w:ilvl w:val="0"/>
                <w:numId w:val="86"/>
              </w:numPr>
              <w:spacing w:before="2pt" w:after="2pt"/>
              <w:jc w:val="both"/>
              <w:rPr>
                <w:rFonts w:ascii="Century Gothic" w:eastAsia="Calibri" w:hAnsi="Century Gothic" w:cs="Arial"/>
                <w:color w:val="000000"/>
                <w:szCs w:val="18"/>
                <w:lang w:val="es-ES_tradnl"/>
              </w:rPr>
            </w:pPr>
            <w:r>
              <w:rPr>
                <w:rFonts w:ascii="Century Gothic" w:eastAsia="Calibri" w:hAnsi="Century Gothic" w:cs="Arial"/>
                <w:color w:val="000000"/>
                <w:szCs w:val="18"/>
                <w:lang w:val="es-ES_tradnl"/>
              </w:rPr>
              <w:t>Se incluirán los gastos de instalación y la renta mensual correspondiente.</w:t>
            </w:r>
          </w:p>
        </w:tc>
      </w:tr>
    </w:tbl>
    <w:p w:rsidR="0090207A" w:rsidRPr="00611019" w:rsidRDefault="0090207A" w:rsidP="00035D2C">
      <w:pPr>
        <w:spacing w:after="6pt"/>
        <w:rPr>
          <w:rFonts w:ascii="Century Gothic" w:eastAsia="Calibri" w:hAnsi="Century Gothic" w:cs="Times New Roman"/>
          <w:b/>
        </w:rPr>
      </w:pPr>
    </w:p>
    <w:p w:rsidR="0090207A" w:rsidRPr="00611019" w:rsidRDefault="00E56462" w:rsidP="00035D2C">
      <w:pPr>
        <w:spacing w:after="6pt"/>
        <w:rPr>
          <w:rFonts w:ascii="Century Gothic" w:eastAsia="Calibri" w:hAnsi="Century Gothic" w:cs="Times New Roman"/>
          <w:b/>
        </w:rPr>
      </w:pPr>
      <w:r>
        <w:rPr>
          <w:rFonts w:ascii="Century Gothic" w:eastAsia="Calibri" w:hAnsi="Century Gothic" w:cs="Times New Roman"/>
          <w:b/>
        </w:rPr>
        <w:t>Procedimiento de Baja del SDTFO.</w:t>
      </w:r>
    </w:p>
    <w:tbl>
      <w:tblPr>
        <w:tblStyle w:val="Tablaconcuadrcula"/>
        <w:tblW w:w="100.0%" w:type="pct"/>
        <w:jc w:val="center"/>
        <w:tblLook w:firstRow="1" w:lastRow="0" w:firstColumn="1" w:lastColumn="0" w:noHBand="0" w:noVBand="1"/>
      </w:tblPr>
      <w:tblGrid>
        <w:gridCol w:w="2563"/>
        <w:gridCol w:w="6831"/>
      </w:tblGrid>
      <w:tr w:rsidR="0061711D" w:rsidTr="00F645E5">
        <w:trPr>
          <w:tblHeader/>
          <w:jc w:val="center"/>
        </w:trPr>
        <w:tc>
          <w:tcPr>
            <w:tcW w:w="27.0%" w:type="pct"/>
            <w:tcBorders>
              <w:top w:val="single" w:sz="4" w:space="0" w:color="auto"/>
              <w:start w:val="single" w:sz="4" w:space="0" w:color="auto"/>
              <w:bottom w:val="single" w:sz="4" w:space="0" w:color="auto"/>
              <w:end w:val="single" w:sz="4" w:space="0" w:color="auto"/>
            </w:tcBorders>
            <w:shd w:val="clear" w:color="auto" w:fill="009AD9"/>
            <w:hideMark/>
          </w:tcPr>
          <w:p w:rsidR="0090207A" w:rsidRPr="00611019" w:rsidRDefault="00E56462" w:rsidP="00035D2C">
            <w:pPr>
              <w:spacing w:before="2pt" w:after="2pt"/>
              <w:jc w:val="center"/>
              <w:rPr>
                <w:rFonts w:ascii="Century Gothic" w:eastAsia="Calibri" w:hAnsi="Century Gothic" w:cs="Arial"/>
                <w:b/>
                <w:color w:val="FFFFFF" w:themeColor="background1"/>
                <w:szCs w:val="18"/>
                <w:lang w:val="es-ES_tradnl"/>
              </w:rPr>
            </w:pPr>
            <w:r>
              <w:rPr>
                <w:rFonts w:ascii="Century Gothic" w:eastAsia="Calibri" w:hAnsi="Century Gothic" w:cs="Arial"/>
                <w:b/>
                <w:color w:val="FFFFFF" w:themeColor="background1"/>
                <w:szCs w:val="18"/>
                <w:lang w:val="es-ES_tradnl"/>
              </w:rPr>
              <w:t>Etapa</w:t>
            </w:r>
          </w:p>
        </w:tc>
        <w:tc>
          <w:tcPr>
            <w:tcW w:w="72.0%" w:type="pct"/>
            <w:tcBorders>
              <w:top w:val="single" w:sz="4" w:space="0" w:color="auto"/>
              <w:start w:val="single" w:sz="4" w:space="0" w:color="auto"/>
              <w:bottom w:val="single" w:sz="4" w:space="0" w:color="auto"/>
              <w:end w:val="single" w:sz="4" w:space="0" w:color="auto"/>
            </w:tcBorders>
            <w:shd w:val="clear" w:color="auto" w:fill="009AD9"/>
            <w:hideMark/>
          </w:tcPr>
          <w:p w:rsidR="0090207A" w:rsidRPr="00611019" w:rsidRDefault="00E56462" w:rsidP="00035D2C">
            <w:pPr>
              <w:spacing w:before="2pt" w:after="2pt"/>
              <w:jc w:val="center"/>
              <w:rPr>
                <w:rFonts w:ascii="Century Gothic" w:eastAsia="Calibri" w:hAnsi="Century Gothic" w:cs="Arial"/>
                <w:b/>
                <w:color w:val="FFFFFF" w:themeColor="background1"/>
                <w:szCs w:val="18"/>
                <w:lang w:val="es-ES_tradnl"/>
              </w:rPr>
            </w:pPr>
            <w:r>
              <w:rPr>
                <w:rFonts w:ascii="Century Gothic" w:eastAsia="Calibri" w:hAnsi="Century Gothic" w:cs="Arial"/>
                <w:b/>
                <w:color w:val="FFFFFF" w:themeColor="background1"/>
                <w:szCs w:val="18"/>
                <w:lang w:val="es-ES_tradnl"/>
              </w:rPr>
              <w:t>Descripción</w:t>
            </w:r>
          </w:p>
        </w:tc>
      </w:tr>
      <w:tr w:rsidR="0061711D" w:rsidTr="00F645E5">
        <w:trPr>
          <w:trHeight w:val="1870"/>
          <w:jc w:val="center"/>
        </w:trPr>
        <w:tc>
          <w:tcPr>
            <w:tcW w:w="27.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Arial"/>
                <w:b/>
                <w:color w:val="000000"/>
                <w:szCs w:val="18"/>
                <w:lang w:val="es-ES_tradnl"/>
              </w:rPr>
            </w:pPr>
            <w:r>
              <w:rPr>
                <w:rFonts w:ascii="Century Gothic" w:eastAsia="Calibri" w:hAnsi="Century Gothic" w:cs="Arial"/>
                <w:b/>
                <w:color w:val="000000"/>
                <w:szCs w:val="18"/>
                <w:lang w:val="es-ES_tradnl"/>
              </w:rPr>
              <w:t>Envío y Validación de solicitud</w:t>
            </w:r>
          </w:p>
        </w:tc>
        <w:tc>
          <w:tcPr>
            <w:tcW w:w="72.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Arial"/>
                <w:color w:val="000000"/>
                <w:szCs w:val="18"/>
                <w:lang w:val="es-ES_tradnl"/>
              </w:rPr>
            </w:pPr>
            <w:r>
              <w:rPr>
                <w:rFonts w:ascii="Century Gothic" w:eastAsia="Calibri" w:hAnsi="Century Gothic" w:cs="Arial"/>
                <w:color w:val="000000"/>
                <w:szCs w:val="18"/>
                <w:lang w:val="es-ES_tradnl"/>
              </w:rPr>
              <w:t xml:space="preserve">El CS deberá presentar sus solicitudes a través del SEG/SIPO validando en línea el NIS de Referencia del Servicio en operación. Se asignará de forma automática el Folio de la Baja. </w:t>
            </w:r>
          </w:p>
          <w:p w:rsidR="0090207A" w:rsidRPr="00611019" w:rsidRDefault="00E56462" w:rsidP="00035D2C">
            <w:pPr>
              <w:spacing w:before="2pt" w:after="2pt"/>
              <w:jc w:val="both"/>
              <w:rPr>
                <w:rFonts w:ascii="Century Gothic" w:eastAsia="Calibri" w:hAnsi="Century Gothic" w:cs="Arial"/>
                <w:color w:val="000000"/>
                <w:szCs w:val="18"/>
                <w:lang w:val="es-ES_tradnl"/>
              </w:rPr>
            </w:pPr>
            <w:r>
              <w:rPr>
                <w:rFonts w:ascii="Century Gothic" w:eastAsia="Calibri" w:hAnsi="Century Gothic" w:cs="Arial"/>
                <w:color w:val="000000"/>
                <w:szCs w:val="18"/>
                <w:lang w:val="es-ES_tradnl"/>
              </w:rPr>
              <w:t>RED NACIONAL tendrá dos días para realizar la validación de la Solicitud de Baja.</w:t>
            </w:r>
          </w:p>
        </w:tc>
      </w:tr>
      <w:tr w:rsidR="0061711D" w:rsidTr="00F645E5">
        <w:trPr>
          <w:trHeight w:val="1543"/>
          <w:jc w:val="center"/>
        </w:trPr>
        <w:tc>
          <w:tcPr>
            <w:tcW w:w="27.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hAnsi="Century Gothic"/>
                <w:b/>
                <w:szCs w:val="18"/>
              </w:rPr>
            </w:pPr>
            <w:r>
              <w:rPr>
                <w:rFonts w:ascii="Century Gothic" w:eastAsia="Calibri" w:hAnsi="Century Gothic"/>
                <w:b/>
                <w:szCs w:val="18"/>
              </w:rPr>
              <w:t>Ejecución de baja</w:t>
            </w:r>
          </w:p>
        </w:tc>
        <w:tc>
          <w:tcPr>
            <w:tcW w:w="72.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Arial"/>
                <w:color w:val="000000"/>
                <w:szCs w:val="18"/>
                <w:lang w:val="es-ES_tradnl"/>
              </w:rPr>
            </w:pPr>
            <w:r>
              <w:rPr>
                <w:rFonts w:ascii="Century Gothic" w:eastAsia="Calibri" w:hAnsi="Century Gothic" w:cs="Arial"/>
                <w:color w:val="000000"/>
                <w:szCs w:val="18"/>
                <w:lang w:val="es-ES_tradnl"/>
              </w:rPr>
              <w:t>Una vez validada la solicitud, RED NACIONAL procederá a dar de baja el Servicio en el plazo establecido para tal efecto en la sección de Plazos de este Servicio en la presente OREDA, así como la facturación al CS asociada a partir de la solicitud.</w:t>
            </w:r>
          </w:p>
        </w:tc>
      </w:tr>
    </w:tbl>
    <w:p w:rsidR="008A330C" w:rsidRPr="00611019" w:rsidRDefault="008A330C" w:rsidP="00035D2C">
      <w:pPr>
        <w:spacing w:after="6pt"/>
        <w:rPr>
          <w:rFonts w:ascii="Century Gothic" w:eastAsia="Calibri" w:hAnsi="Century Gothic" w:cs="Times New Roman"/>
          <w:b/>
        </w:rPr>
      </w:pPr>
    </w:p>
    <w:p w:rsidR="0090207A" w:rsidRPr="00611019" w:rsidRDefault="00E56462" w:rsidP="00035D2C">
      <w:pPr>
        <w:spacing w:after="6pt"/>
        <w:rPr>
          <w:rFonts w:ascii="Century Gothic" w:eastAsia="Calibri" w:hAnsi="Century Gothic" w:cs="Times New Roman"/>
          <w:b/>
        </w:rPr>
      </w:pPr>
      <w:r>
        <w:rPr>
          <w:rFonts w:ascii="Century Gothic" w:eastAsia="Calibri" w:hAnsi="Century Gothic" w:cs="Times New Roman"/>
          <w:b/>
        </w:rPr>
        <w:t>Procedimiento de Cancelación del SDTFO.</w:t>
      </w:r>
    </w:p>
    <w:tbl>
      <w:tblPr>
        <w:tblStyle w:val="Tablaconcuadrcula"/>
        <w:tblW w:w="99.0%" w:type="pct"/>
        <w:jc w:val="center"/>
        <w:tblLook w:firstRow="1" w:lastRow="0" w:firstColumn="1" w:lastColumn="0" w:noHBand="0" w:noVBand="1"/>
      </w:tblPr>
      <w:tblGrid>
        <w:gridCol w:w="2349"/>
        <w:gridCol w:w="6951"/>
      </w:tblGrid>
      <w:tr w:rsidR="0061711D" w:rsidTr="00204BC4">
        <w:trPr>
          <w:tblHeader/>
          <w:jc w:val="center"/>
        </w:trPr>
        <w:tc>
          <w:tcPr>
            <w:tcW w:w="25.0%" w:type="pct"/>
            <w:tcBorders>
              <w:top w:val="single" w:sz="4" w:space="0" w:color="auto"/>
              <w:start w:val="single" w:sz="4" w:space="0" w:color="auto"/>
              <w:bottom w:val="single" w:sz="4" w:space="0" w:color="auto"/>
              <w:end w:val="single" w:sz="4" w:space="0" w:color="auto"/>
            </w:tcBorders>
            <w:shd w:val="clear" w:color="auto" w:fill="009AD9"/>
            <w:hideMark/>
          </w:tcPr>
          <w:p w:rsidR="0090207A" w:rsidRPr="00611019" w:rsidRDefault="00E56462" w:rsidP="00035D2C">
            <w:pPr>
              <w:spacing w:before="2pt" w:after="2pt"/>
              <w:jc w:val="center"/>
              <w:rPr>
                <w:rFonts w:ascii="Century Gothic" w:eastAsia="Calibri" w:hAnsi="Century Gothic" w:cs="Arial"/>
                <w:b/>
                <w:color w:val="FFFFFF" w:themeColor="background1"/>
                <w:szCs w:val="18"/>
                <w:lang w:val="es-ES_tradnl"/>
              </w:rPr>
            </w:pPr>
            <w:r>
              <w:rPr>
                <w:rFonts w:ascii="Century Gothic" w:eastAsia="Calibri" w:hAnsi="Century Gothic" w:cs="Arial"/>
                <w:b/>
                <w:color w:val="FFFFFF" w:themeColor="background1"/>
                <w:szCs w:val="18"/>
                <w:lang w:val="es-ES_tradnl"/>
              </w:rPr>
              <w:t>Etapa</w:t>
            </w:r>
          </w:p>
        </w:tc>
        <w:tc>
          <w:tcPr>
            <w:tcW w:w="74.0%" w:type="pct"/>
            <w:tcBorders>
              <w:top w:val="single" w:sz="4" w:space="0" w:color="auto"/>
              <w:start w:val="single" w:sz="4" w:space="0" w:color="auto"/>
              <w:bottom w:val="single" w:sz="4" w:space="0" w:color="auto"/>
              <w:end w:val="single" w:sz="4" w:space="0" w:color="auto"/>
            </w:tcBorders>
            <w:shd w:val="clear" w:color="auto" w:fill="009AD9"/>
            <w:hideMark/>
          </w:tcPr>
          <w:p w:rsidR="0090207A" w:rsidRPr="00611019" w:rsidRDefault="00E56462" w:rsidP="00035D2C">
            <w:pPr>
              <w:spacing w:before="2pt" w:after="2pt"/>
              <w:jc w:val="center"/>
              <w:rPr>
                <w:rFonts w:ascii="Century Gothic" w:eastAsia="Calibri" w:hAnsi="Century Gothic" w:cs="Arial"/>
                <w:b/>
                <w:color w:val="FFFFFF" w:themeColor="background1"/>
                <w:szCs w:val="18"/>
                <w:lang w:val="es-ES_tradnl"/>
              </w:rPr>
            </w:pPr>
            <w:r>
              <w:rPr>
                <w:rFonts w:ascii="Century Gothic" w:eastAsia="Calibri" w:hAnsi="Century Gothic" w:cs="Arial"/>
                <w:b/>
                <w:color w:val="FFFFFF" w:themeColor="background1"/>
                <w:szCs w:val="18"/>
                <w:lang w:val="es-ES_tradnl"/>
              </w:rPr>
              <w:t>Descripción</w:t>
            </w:r>
          </w:p>
        </w:tc>
      </w:tr>
      <w:tr w:rsidR="0061711D" w:rsidTr="00204BC4">
        <w:trPr>
          <w:jc w:val="center"/>
        </w:trPr>
        <w:tc>
          <w:tcPr>
            <w:tcW w:w="25.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Arial"/>
                <w:b/>
                <w:color w:val="000000"/>
                <w:szCs w:val="18"/>
                <w:lang w:val="es-ES_tradnl"/>
              </w:rPr>
            </w:pPr>
            <w:r>
              <w:rPr>
                <w:rFonts w:ascii="Century Gothic" w:eastAsia="Calibri" w:hAnsi="Century Gothic" w:cs="Arial"/>
                <w:b/>
                <w:color w:val="000000"/>
                <w:szCs w:val="18"/>
                <w:lang w:val="es-ES_tradnl"/>
              </w:rPr>
              <w:t>Envío y Validación de solicitud</w:t>
            </w:r>
          </w:p>
        </w:tc>
        <w:tc>
          <w:tcPr>
            <w:tcW w:w="74.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Arial"/>
                <w:color w:val="000000"/>
                <w:szCs w:val="18"/>
                <w:lang w:val="es-ES_tradnl"/>
              </w:rPr>
            </w:pPr>
            <w:r>
              <w:rPr>
                <w:rFonts w:ascii="Century Gothic" w:eastAsia="Calibri" w:hAnsi="Century Gothic" w:cs="Arial"/>
                <w:color w:val="000000"/>
                <w:szCs w:val="18"/>
                <w:lang w:val="es-ES_tradnl"/>
              </w:rPr>
              <w:t>El CS deberá presentar sus solicitudes a través del SEG/SIPO validando el NIS de Referencia del Servicio que desea cancelar.</w:t>
            </w:r>
          </w:p>
          <w:p w:rsidR="0090207A" w:rsidRPr="00611019" w:rsidRDefault="00E56462" w:rsidP="00035D2C">
            <w:pPr>
              <w:spacing w:before="2pt" w:after="2pt"/>
              <w:jc w:val="both"/>
              <w:rPr>
                <w:rFonts w:ascii="Century Gothic" w:eastAsia="Calibri" w:hAnsi="Century Gothic" w:cs="Arial"/>
                <w:color w:val="000000"/>
                <w:szCs w:val="18"/>
                <w:lang w:val="es-ES_tradnl"/>
              </w:rPr>
            </w:pPr>
            <w:r>
              <w:rPr>
                <w:rFonts w:ascii="Century Gothic" w:eastAsia="Calibri" w:hAnsi="Century Gothic" w:cs="Arial"/>
                <w:color w:val="000000"/>
                <w:szCs w:val="18"/>
                <w:lang w:val="es-ES_tradnl"/>
              </w:rPr>
              <w:t>Una vez enviada la solicitud, el SEG/SIPO asignará de forma automática el Folio y se suspenderán los trabajos asociados a la habilitación y aprovisionamiento del servicio.</w:t>
            </w:r>
          </w:p>
        </w:tc>
      </w:tr>
      <w:tr w:rsidR="0061711D" w:rsidTr="00204BC4">
        <w:trPr>
          <w:jc w:val="center"/>
        </w:trPr>
        <w:tc>
          <w:tcPr>
            <w:tcW w:w="25.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hAnsi="Century Gothic"/>
                <w:b/>
                <w:szCs w:val="18"/>
              </w:rPr>
            </w:pPr>
            <w:r>
              <w:rPr>
                <w:rFonts w:ascii="Century Gothic" w:eastAsia="Calibri" w:hAnsi="Century Gothic"/>
                <w:b/>
                <w:szCs w:val="18"/>
              </w:rPr>
              <w:t>Cancelación del (los) Servicio (s)</w:t>
            </w:r>
          </w:p>
        </w:tc>
        <w:tc>
          <w:tcPr>
            <w:tcW w:w="74.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jc w:val="both"/>
              <w:rPr>
                <w:rFonts w:ascii="Century Gothic" w:eastAsia="Calibri" w:hAnsi="Century Gothic" w:cs="Arial"/>
                <w:color w:val="000000"/>
                <w:szCs w:val="18"/>
                <w:lang w:val="es-ES_tradnl"/>
              </w:rPr>
            </w:pPr>
            <w:r>
              <w:rPr>
                <w:rFonts w:ascii="Century Gothic" w:eastAsia="Calibri" w:hAnsi="Century Gothic" w:cs="Arial"/>
                <w:color w:val="000000"/>
                <w:szCs w:val="18"/>
                <w:lang w:val="es-ES_tradnl"/>
              </w:rPr>
              <w:t>Se cancelará el seguimiento a la solicitud y no aplicará cobro alguno si la notificación de cancelación se hace con un mínimo de tres días de anticipación a la fecha confirmada de la visita técnica.</w:t>
            </w:r>
          </w:p>
        </w:tc>
      </w:tr>
    </w:tbl>
    <w:p w:rsidR="00204BC4" w:rsidRDefault="00204BC4" w:rsidP="00204BC4">
      <w:pPr>
        <w:autoSpaceDE w:val="0"/>
        <w:autoSpaceDN w:val="0"/>
        <w:adjustRightInd w:val="0"/>
        <w:spacing w:after="6pt"/>
        <w:jc w:val="both"/>
        <w:rPr>
          <w:rFonts w:ascii="Century Gothic" w:eastAsia="Calibri" w:hAnsi="Century Gothic" w:cs="Times New Roman"/>
          <w:b/>
        </w:rPr>
      </w:pPr>
    </w:p>
    <w:p w:rsidR="0090207A" w:rsidRPr="00611019" w:rsidRDefault="00E56462" w:rsidP="00204BC4">
      <w:pPr>
        <w:autoSpaceDE w:val="0"/>
        <w:autoSpaceDN w:val="0"/>
        <w:adjustRightInd w:val="0"/>
        <w:spacing w:after="6pt"/>
        <w:jc w:val="both"/>
        <w:rPr>
          <w:rFonts w:ascii="Century Gothic" w:eastAsia="Calibri" w:hAnsi="Century Gothic" w:cs="Times New Roman"/>
          <w:b/>
        </w:rPr>
      </w:pPr>
      <w:r>
        <w:rPr>
          <w:rFonts w:ascii="Century Gothic" w:eastAsia="Calibri" w:hAnsi="Century Gothic" w:cs="Times New Roman"/>
          <w:b/>
        </w:rPr>
        <w:lastRenderedPageBreak/>
        <w:t>Parámetros de Calidad.</w:t>
      </w:r>
    </w:p>
    <w:p w:rsidR="0090207A" w:rsidRPr="00611019" w:rsidRDefault="00E56462">
      <w:pPr>
        <w:numPr>
          <w:ilvl w:val="0"/>
          <w:numId w:val="87"/>
        </w:numPr>
        <w:autoSpaceDE w:val="0"/>
        <w:autoSpaceDN w:val="0"/>
        <w:adjustRightInd w:val="0"/>
        <w:spacing w:after="6pt"/>
        <w:contextualSpacing/>
        <w:jc w:val="both"/>
        <w:rPr>
          <w:rFonts w:ascii="Century Gothic" w:eastAsia="Calibri" w:hAnsi="Century Gothic" w:cs="Times New Roman"/>
        </w:rPr>
      </w:pPr>
      <w:r>
        <w:rPr>
          <w:rFonts w:ascii="Century Gothic" w:eastAsia="Calibri" w:hAnsi="Century Gothic" w:cs="Times New Roman"/>
        </w:rPr>
        <w:t>RED NACIONAL ofrecerá al menos los siguientes parámetros técnicos que garanticen una operación eficiente del recurso de fibra óptica obscura desagregada, los cuales están basados en pruebas por inserción (no intrusivas) que reflejan la Atenuación Total del enlace en ambos sentidos, comprendida entre el Origen (DFO RED NACIONAL) – Destino (sitio del Usuario Final) y Destino (sitio del Usuario Final) – Origen (DFO RED NACIONAL).</w:t>
      </w:r>
    </w:p>
    <w:p w:rsidR="0090207A" w:rsidRPr="00611019" w:rsidRDefault="00E56462">
      <w:pPr>
        <w:numPr>
          <w:ilvl w:val="0"/>
          <w:numId w:val="87"/>
        </w:numPr>
        <w:autoSpaceDE w:val="0"/>
        <w:autoSpaceDN w:val="0"/>
        <w:adjustRightInd w:val="0"/>
        <w:contextualSpacing/>
        <w:jc w:val="both"/>
        <w:rPr>
          <w:rFonts w:ascii="Century Gothic" w:eastAsia="Calibri" w:hAnsi="Century Gothic" w:cs="Times New Roman"/>
        </w:rPr>
      </w:pPr>
      <w:r>
        <w:rPr>
          <w:rFonts w:ascii="Century Gothic" w:eastAsia="Calibri" w:hAnsi="Century Gothic" w:cs="Times New Roman"/>
        </w:rPr>
        <w:t>Los parámetros de calidad en la Red de Acceso de fibra óptica Punto a Punto son:</w:t>
      </w:r>
    </w:p>
    <w:p w:rsidR="0090207A" w:rsidRPr="00611019" w:rsidRDefault="00E56462">
      <w:pPr>
        <w:numPr>
          <w:ilvl w:val="0"/>
          <w:numId w:val="87"/>
        </w:numPr>
        <w:autoSpaceDE w:val="0"/>
        <w:autoSpaceDN w:val="0"/>
        <w:adjustRightInd w:val="0"/>
        <w:contextualSpacing/>
        <w:jc w:val="both"/>
        <w:rPr>
          <w:rFonts w:ascii="Century Gothic" w:eastAsia="Calibri" w:hAnsi="Century Gothic" w:cs="Times New Roman"/>
        </w:rPr>
      </w:pPr>
      <w:r>
        <w:rPr>
          <w:rFonts w:ascii="Century Gothic" w:eastAsia="Calibri" w:hAnsi="Century Gothic" w:cs="Times New Roman"/>
        </w:rPr>
        <w:t>Atenuación máxima por kilómetro en hilo de fibra entre:</w:t>
      </w:r>
    </w:p>
    <w:p w:rsidR="0090207A" w:rsidRPr="00611019" w:rsidRDefault="00E56462">
      <w:pPr>
        <w:numPr>
          <w:ilvl w:val="1"/>
          <w:numId w:val="87"/>
        </w:numPr>
        <w:autoSpaceDE w:val="0"/>
        <w:autoSpaceDN w:val="0"/>
        <w:adjustRightInd w:val="0"/>
        <w:contextualSpacing/>
        <w:jc w:val="both"/>
        <w:rPr>
          <w:rFonts w:ascii="Century Gothic" w:eastAsia="Calibri" w:hAnsi="Century Gothic" w:cs="Times New Roman"/>
        </w:rPr>
      </w:pPr>
      <w:r>
        <w:rPr>
          <w:rFonts w:ascii="Century Gothic" w:eastAsia="Calibri" w:hAnsi="Century Gothic" w:cs="Times New Roman"/>
        </w:rPr>
        <w:t>Entre 0.35 y 0.50 dB/Km para lambda 1310 nm</w:t>
      </w:r>
    </w:p>
    <w:p w:rsidR="0090207A" w:rsidRPr="00611019" w:rsidRDefault="00E56462">
      <w:pPr>
        <w:numPr>
          <w:ilvl w:val="1"/>
          <w:numId w:val="87"/>
        </w:numPr>
        <w:autoSpaceDE w:val="0"/>
        <w:autoSpaceDN w:val="0"/>
        <w:adjustRightInd w:val="0"/>
        <w:spacing w:after="6pt"/>
        <w:contextualSpacing/>
        <w:jc w:val="both"/>
        <w:rPr>
          <w:rFonts w:ascii="Century Gothic" w:eastAsia="Calibri" w:hAnsi="Century Gothic" w:cs="Times New Roman"/>
        </w:rPr>
      </w:pPr>
      <w:r>
        <w:rPr>
          <w:rFonts w:ascii="Century Gothic" w:eastAsia="Calibri" w:hAnsi="Century Gothic" w:cs="Times New Roman"/>
        </w:rPr>
        <w:t>Entre 0.15 y 0.35 dB/Km para lambda 1550 nm</w:t>
      </w:r>
    </w:p>
    <w:p w:rsidR="0090207A" w:rsidRPr="00611019" w:rsidRDefault="00E56462">
      <w:pPr>
        <w:numPr>
          <w:ilvl w:val="0"/>
          <w:numId w:val="87"/>
        </w:numPr>
        <w:autoSpaceDE w:val="0"/>
        <w:autoSpaceDN w:val="0"/>
        <w:adjustRightInd w:val="0"/>
        <w:spacing w:after="6pt"/>
        <w:contextualSpacing/>
        <w:jc w:val="both"/>
        <w:rPr>
          <w:rFonts w:ascii="Century Gothic" w:eastAsia="Calibri" w:hAnsi="Century Gothic" w:cs="Times New Roman"/>
        </w:rPr>
      </w:pPr>
      <w:r>
        <w:rPr>
          <w:rFonts w:ascii="Century Gothic" w:eastAsia="Calibri" w:hAnsi="Century Gothic" w:cs="Times New Roman"/>
        </w:rPr>
        <w:t>La prueba por inserción se realiza a partir del DFO de RED NACIONAL, hasta el punto de entrega físico de la fibra óptica (sitio del Usuario Final). Es importante mencionar la necesidad de estar continuados los hilos de fibra óptica por desagregar en el Punto de empalme principal (PEP) o Punto de empalme Secundario (PES) en topologías Anillo y BUS, con la Fibra óptica que remata en el domicilio del Usuario Final.</w:t>
      </w:r>
    </w:p>
    <w:p w:rsidR="0090207A" w:rsidRPr="00611019" w:rsidRDefault="00E56462">
      <w:pPr>
        <w:numPr>
          <w:ilvl w:val="0"/>
          <w:numId w:val="87"/>
        </w:numPr>
        <w:autoSpaceDE w:val="0"/>
        <w:autoSpaceDN w:val="0"/>
        <w:adjustRightInd w:val="0"/>
        <w:spacing w:after="6pt"/>
        <w:contextualSpacing/>
        <w:jc w:val="both"/>
        <w:rPr>
          <w:rFonts w:ascii="Century Gothic" w:eastAsia="Calibri" w:hAnsi="Century Gothic" w:cs="Times New Roman"/>
        </w:rPr>
      </w:pPr>
      <w:r>
        <w:rPr>
          <w:rFonts w:ascii="Century Gothic" w:eastAsia="Calibri" w:hAnsi="Century Gothic" w:cs="Times New Roman"/>
        </w:rPr>
        <w:t>La prueba de Atenuación Total se realizará con la Longitud de Onda de 1310 ηm y la de 1550 ηm, sobre cada hilo de fibra óptica proporcionada al CS y en ambas direcciones.</w:t>
      </w:r>
    </w:p>
    <w:p w:rsidR="0090207A" w:rsidRPr="00611019" w:rsidRDefault="00E56462">
      <w:pPr>
        <w:numPr>
          <w:ilvl w:val="0"/>
          <w:numId w:val="87"/>
        </w:numPr>
        <w:autoSpaceDE w:val="0"/>
        <w:autoSpaceDN w:val="0"/>
        <w:adjustRightInd w:val="0"/>
        <w:spacing w:after="6pt"/>
        <w:contextualSpacing/>
        <w:jc w:val="both"/>
        <w:rPr>
          <w:rFonts w:ascii="Century Gothic" w:eastAsia="Calibri" w:hAnsi="Century Gothic" w:cs="Times New Roman"/>
        </w:rPr>
      </w:pPr>
      <w:r>
        <w:rPr>
          <w:rFonts w:ascii="Century Gothic" w:eastAsia="Calibri" w:hAnsi="Century Gothic" w:cs="Times New Roman"/>
        </w:rPr>
        <w:t>RED NACIONAL es la responsable de realizar las pruebas de Atenuación Total de los hilos de fibra óptica proporcionados al CS.</w:t>
      </w:r>
    </w:p>
    <w:p w:rsidR="0090207A" w:rsidRPr="00611019" w:rsidRDefault="00E56462">
      <w:pPr>
        <w:numPr>
          <w:ilvl w:val="0"/>
          <w:numId w:val="87"/>
        </w:numPr>
        <w:autoSpaceDE w:val="0"/>
        <w:autoSpaceDN w:val="0"/>
        <w:adjustRightInd w:val="0"/>
        <w:contextualSpacing/>
        <w:jc w:val="both"/>
        <w:rPr>
          <w:rFonts w:ascii="Century Gothic" w:eastAsia="Calibri" w:hAnsi="Century Gothic" w:cs="Times New Roman"/>
        </w:rPr>
      </w:pPr>
      <w:r>
        <w:rPr>
          <w:rFonts w:ascii="Century Gothic" w:eastAsia="Calibri" w:hAnsi="Century Gothic" w:cs="Times New Roman"/>
        </w:rPr>
        <w:t>El indicador de Atenuación Total está en función de:</w:t>
      </w:r>
    </w:p>
    <w:p w:rsidR="0090207A" w:rsidRPr="00611019" w:rsidRDefault="00E56462" w:rsidP="00035D2C">
      <w:pPr>
        <w:autoSpaceDE w:val="0"/>
        <w:autoSpaceDN w:val="0"/>
        <w:adjustRightInd w:val="0"/>
        <w:ind w:start="56.70pt" w:hanging="17.85pt"/>
        <w:jc w:val="both"/>
        <w:rPr>
          <w:rFonts w:ascii="Century Gothic" w:eastAsia="Calibri" w:hAnsi="Century Gothic" w:cs="Times New Roman"/>
        </w:rPr>
      </w:pPr>
      <w:r>
        <w:rPr>
          <w:rFonts w:ascii="Century Gothic" w:eastAsia="Calibri" w:hAnsi="Century Gothic" w:cs="Times New Roman"/>
        </w:rPr>
        <w:t>o</w:t>
      </w:r>
      <w:r>
        <w:rPr>
          <w:rFonts w:ascii="Century Gothic" w:eastAsia="Calibri" w:hAnsi="Century Gothic" w:cs="Times New Roman"/>
        </w:rPr>
        <w:tab/>
        <w:t xml:space="preserve">La distancia comprendida desde el Distribuidor de Fibra Óptica (DFO) del CS ubicado en la sala de coubicación, hasta el PCT ubicado en el domicilio del </w:t>
      </w:r>
      <w:r>
        <w:rPr>
          <w:rFonts w:ascii="Century Gothic" w:hAnsi="Century Gothic"/>
        </w:rPr>
        <w:t>Usuario Final</w:t>
      </w:r>
      <w:r>
        <w:rPr>
          <w:rFonts w:ascii="Century Gothic" w:eastAsia="Calibri" w:hAnsi="Century Gothic" w:cs="Times New Roman"/>
        </w:rPr>
        <w:t>.</w:t>
      </w:r>
    </w:p>
    <w:p w:rsidR="0090207A" w:rsidRPr="00611019" w:rsidRDefault="00E56462" w:rsidP="00035D2C">
      <w:pPr>
        <w:autoSpaceDE w:val="0"/>
        <w:autoSpaceDN w:val="0"/>
        <w:adjustRightInd w:val="0"/>
        <w:ind w:start="56.70pt" w:hanging="17.85pt"/>
        <w:jc w:val="both"/>
        <w:rPr>
          <w:rFonts w:ascii="Century Gothic" w:eastAsia="Calibri" w:hAnsi="Century Gothic" w:cs="Times New Roman"/>
        </w:rPr>
      </w:pPr>
      <w:r>
        <w:rPr>
          <w:rFonts w:ascii="Century Gothic" w:eastAsia="Calibri" w:hAnsi="Century Gothic" w:cs="Times New Roman"/>
        </w:rPr>
        <w:t>o</w:t>
      </w:r>
      <w:r>
        <w:rPr>
          <w:rFonts w:ascii="Century Gothic" w:eastAsia="Calibri" w:hAnsi="Century Gothic" w:cs="Times New Roman"/>
        </w:rPr>
        <w:tab/>
        <w:t>El tipo de estándar de la fibra óptica.</w:t>
      </w:r>
    </w:p>
    <w:p w:rsidR="0090207A" w:rsidRPr="00611019" w:rsidRDefault="00E56462" w:rsidP="00035D2C">
      <w:pPr>
        <w:autoSpaceDE w:val="0"/>
        <w:autoSpaceDN w:val="0"/>
        <w:adjustRightInd w:val="0"/>
        <w:ind w:start="56.70pt" w:hanging="17.85pt"/>
        <w:jc w:val="both"/>
        <w:rPr>
          <w:rFonts w:ascii="Century Gothic" w:eastAsia="Calibri" w:hAnsi="Century Gothic" w:cs="Times New Roman"/>
        </w:rPr>
      </w:pPr>
      <w:r>
        <w:rPr>
          <w:rFonts w:ascii="Century Gothic" w:eastAsia="Calibri" w:hAnsi="Century Gothic" w:cs="Times New Roman"/>
        </w:rPr>
        <w:t>o</w:t>
      </w:r>
      <w:r>
        <w:rPr>
          <w:rFonts w:ascii="Century Gothic" w:eastAsia="Calibri" w:hAnsi="Century Gothic" w:cs="Times New Roman"/>
        </w:rPr>
        <w:tab/>
        <w:t>Cantidad de fusiones entre hilos de la Red de Acceso de fibra óptica.</w:t>
      </w:r>
    </w:p>
    <w:p w:rsidR="0090207A" w:rsidRPr="00611019" w:rsidRDefault="00E56462" w:rsidP="00035D2C">
      <w:pPr>
        <w:autoSpaceDE w:val="0"/>
        <w:autoSpaceDN w:val="0"/>
        <w:adjustRightInd w:val="0"/>
        <w:ind w:start="56.70pt" w:hanging="17.85pt"/>
        <w:jc w:val="both"/>
        <w:rPr>
          <w:rFonts w:ascii="Century Gothic" w:eastAsia="Calibri" w:hAnsi="Century Gothic" w:cs="Times New Roman"/>
        </w:rPr>
      </w:pPr>
      <w:r>
        <w:rPr>
          <w:rFonts w:ascii="Century Gothic" w:eastAsia="Calibri" w:hAnsi="Century Gothic" w:cs="Times New Roman"/>
        </w:rPr>
        <w:t>o</w:t>
      </w:r>
      <w:r>
        <w:rPr>
          <w:rFonts w:ascii="Century Gothic" w:eastAsia="Calibri" w:hAnsi="Century Gothic" w:cs="Times New Roman"/>
        </w:rPr>
        <w:tab/>
        <w:t>Cantidad de Cables de parcheo.</w:t>
      </w:r>
    </w:p>
    <w:p w:rsidR="0090207A" w:rsidRPr="00611019" w:rsidRDefault="00E56462" w:rsidP="00035D2C">
      <w:pPr>
        <w:ind w:start="56.70pt" w:hanging="17.85pt"/>
        <w:jc w:val="both"/>
        <w:rPr>
          <w:rFonts w:ascii="Century Gothic" w:eastAsia="Calibri" w:hAnsi="Century Gothic" w:cs="Times New Roman"/>
        </w:rPr>
      </w:pPr>
      <w:r>
        <w:rPr>
          <w:rFonts w:ascii="Century Gothic" w:eastAsia="Calibri" w:hAnsi="Century Gothic" w:cs="Times New Roman"/>
        </w:rPr>
        <w:t>o</w:t>
      </w:r>
      <w:r>
        <w:rPr>
          <w:rFonts w:ascii="Century Gothic" w:eastAsia="Calibri" w:hAnsi="Century Gothic" w:cs="Times New Roman"/>
        </w:rPr>
        <w:tab/>
        <w:t>Cantidad de Conectores ópticos.</w:t>
      </w:r>
    </w:p>
    <w:p w:rsidR="00B77495" w:rsidRPr="00611019" w:rsidRDefault="00B77495" w:rsidP="00204BC4">
      <w:pPr>
        <w:ind w:start="56.70pt" w:hanging="17.85pt"/>
        <w:jc w:val="both"/>
        <w:rPr>
          <w:rFonts w:ascii="Century Gothic" w:eastAsia="Calibri" w:hAnsi="Century Gothic" w:cs="Times New Roman"/>
        </w:rPr>
      </w:pPr>
    </w:p>
    <w:p w:rsidR="0090207A" w:rsidRPr="00611019" w:rsidRDefault="00E56462" w:rsidP="00035D2C">
      <w:pPr>
        <w:keepNext/>
        <w:ind w:start="56.70pt" w:hanging="56.70pt"/>
        <w:jc w:val="both"/>
        <w:outlineLvl w:val="1"/>
        <w:rPr>
          <w:rFonts w:ascii="Century Gothic" w:eastAsia="Times New Roman" w:hAnsi="Century Gothic" w:cs="Arial"/>
          <w:b/>
          <w:bCs/>
        </w:rPr>
      </w:pPr>
      <w:bookmarkStart w:id="1515" w:name="_Toc107502278"/>
      <w:bookmarkStart w:id="1516" w:name="_Toc115739137"/>
      <w:bookmarkStart w:id="1517" w:name="_Toc125393374"/>
      <w:bookmarkStart w:id="1518" w:name="_Toc148702230"/>
      <w:bookmarkStart w:id="1519" w:name="_Toc170381851"/>
      <w:r>
        <w:rPr>
          <w:rFonts w:ascii="Century Gothic" w:eastAsia="Times New Roman" w:hAnsi="Century Gothic" w:cs="Arial"/>
          <w:b/>
          <w:bCs/>
        </w:rPr>
        <w:t>7.2 Plazos de Entrega del SDTFO</w:t>
      </w:r>
      <w:bookmarkEnd w:id="1515"/>
      <w:bookmarkEnd w:id="1516"/>
      <w:bookmarkEnd w:id="1517"/>
      <w:bookmarkEnd w:id="1518"/>
      <w:bookmarkEnd w:id="1519"/>
      <w:r>
        <w:rPr>
          <w:rFonts w:ascii="Century Gothic" w:eastAsia="Times New Roman" w:hAnsi="Century Gothic" w:cs="Arial"/>
          <w:b/>
          <w:bCs/>
        </w:rPr>
        <w:t>.</w:t>
      </w:r>
    </w:p>
    <w:p w:rsidR="0090207A" w:rsidRPr="00611019" w:rsidRDefault="00E56462" w:rsidP="00204BC4">
      <w:pPr>
        <w:numPr>
          <w:ilvl w:val="0"/>
          <w:numId w:val="88"/>
        </w:numPr>
        <w:ind w:start="35.70pt" w:hanging="17.85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Validación de la solicitud en máximo dos días naturales.</w:t>
      </w:r>
    </w:p>
    <w:p w:rsidR="0090207A" w:rsidRPr="00611019" w:rsidRDefault="00E56462" w:rsidP="00204BC4">
      <w:pPr>
        <w:numPr>
          <w:ilvl w:val="0"/>
          <w:numId w:val="88"/>
        </w:numPr>
        <w:ind w:start="35.70pt" w:hanging="17.85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Análisis y verificación de la factibilidad en máximo seis días hábiles.</w:t>
      </w:r>
    </w:p>
    <w:p w:rsidR="0090207A" w:rsidRPr="00611019" w:rsidRDefault="00E56462" w:rsidP="00204BC4">
      <w:pPr>
        <w:numPr>
          <w:ilvl w:val="0"/>
          <w:numId w:val="88"/>
        </w:numPr>
        <w:ind w:start="35.70pt" w:hanging="17.85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Elaboración del proyecto de construcción y, en su caso, del proyecto y cotización del trabajo especial, en máximo siete días hábiles.</w:t>
      </w:r>
    </w:p>
    <w:p w:rsidR="0090207A" w:rsidRPr="00611019" w:rsidRDefault="00E56462" w:rsidP="00204BC4">
      <w:pPr>
        <w:numPr>
          <w:ilvl w:val="0"/>
          <w:numId w:val="88"/>
        </w:numPr>
        <w:ind w:start="35.70pt" w:hanging="17.85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Habilitación del servicio, incluyendo las pruebas correspondientes, en máximo siete días hábiles.</w:t>
      </w:r>
    </w:p>
    <w:p w:rsidR="0090207A" w:rsidRPr="00611019" w:rsidRDefault="00E56462" w:rsidP="00204BC4">
      <w:pPr>
        <w:numPr>
          <w:ilvl w:val="0"/>
          <w:numId w:val="88"/>
        </w:numPr>
        <w:ind w:start="35.70pt" w:hanging="17.85pt"/>
        <w:jc w:val="both"/>
        <w:rPr>
          <w:rFonts w:ascii="Century Gothic" w:eastAsia="Calibri" w:hAnsi="Century Gothic" w:cs="Arial"/>
          <w:i/>
          <w:color w:val="000000"/>
          <w:lang w:val="es-ES_tradnl" w:eastAsia="es-ES"/>
        </w:rPr>
      </w:pPr>
      <w:r>
        <w:rPr>
          <w:rFonts w:ascii="Century Gothic" w:eastAsia="Calibri" w:hAnsi="Century Gothic" w:cs="Arial"/>
          <w:color w:val="000000"/>
          <w:lang w:val="es-ES_tradnl" w:eastAsia="es-ES"/>
        </w:rPr>
        <w:t>Baja del servicio: en máximo cinco días hábiles.</w:t>
      </w:r>
    </w:p>
    <w:p w:rsidR="0090207A" w:rsidRPr="00611019" w:rsidRDefault="0090207A" w:rsidP="00204BC4">
      <w:pPr>
        <w:ind w:start="36pt"/>
        <w:jc w:val="both"/>
        <w:rPr>
          <w:rFonts w:ascii="Century Gothic" w:eastAsia="Calibri" w:hAnsi="Century Gothic" w:cs="Arial"/>
          <w:i/>
          <w:color w:val="000000"/>
          <w:lang w:val="es-ES_tradnl" w:eastAsia="es-ES"/>
        </w:rPr>
      </w:pPr>
    </w:p>
    <w:p w:rsidR="0090207A" w:rsidRPr="00611019" w:rsidRDefault="00E56462" w:rsidP="00204BC4">
      <w:pPr>
        <w:keepNext/>
        <w:spacing w:after="6pt"/>
        <w:ind w:start="56.70pt" w:hanging="56.70pt"/>
        <w:jc w:val="both"/>
        <w:outlineLvl w:val="1"/>
        <w:rPr>
          <w:rFonts w:ascii="Century Gothic" w:eastAsia="Times New Roman" w:hAnsi="Century Gothic" w:cs="Arial"/>
          <w:b/>
          <w:bCs/>
        </w:rPr>
      </w:pPr>
      <w:bookmarkStart w:id="1520" w:name="_Toc107502279"/>
      <w:bookmarkStart w:id="1521" w:name="_Toc115739138"/>
      <w:bookmarkStart w:id="1522" w:name="_Toc125393375"/>
      <w:bookmarkStart w:id="1523" w:name="_Toc148702231"/>
      <w:bookmarkStart w:id="1524" w:name="_Toc170381852"/>
      <w:r>
        <w:rPr>
          <w:rFonts w:ascii="Century Gothic" w:eastAsia="Times New Roman" w:hAnsi="Century Gothic" w:cs="Arial"/>
          <w:b/>
          <w:bCs/>
        </w:rPr>
        <w:lastRenderedPageBreak/>
        <w:t>7.3 Parámetros e indicadores para provisión del SDTFO</w:t>
      </w:r>
      <w:bookmarkEnd w:id="1520"/>
      <w:bookmarkEnd w:id="1521"/>
      <w:bookmarkEnd w:id="1522"/>
      <w:bookmarkEnd w:id="1523"/>
      <w:bookmarkEnd w:id="1524"/>
      <w:r>
        <w:rPr>
          <w:rFonts w:ascii="Century Gothic" w:eastAsia="Times New Roman" w:hAnsi="Century Gothic" w:cs="Arial"/>
          <w:b/>
          <w:bCs/>
        </w:rPr>
        <w:t>.</w:t>
      </w:r>
    </w:p>
    <w:p w:rsidR="0090207A" w:rsidRPr="00611019" w:rsidRDefault="00E56462" w:rsidP="00204BC4">
      <w:pPr>
        <w:spacing w:after="6pt"/>
        <w:jc w:val="both"/>
        <w:rPr>
          <w:rFonts w:ascii="Century Gothic" w:eastAsia="Calibri" w:hAnsi="Century Gothic" w:cs="Times New Roman"/>
        </w:rPr>
      </w:pPr>
      <w:r>
        <w:rPr>
          <w:rFonts w:ascii="Century Gothic" w:eastAsia="Calibri" w:hAnsi="Century Gothic" w:cs="Times New Roman"/>
        </w:rPr>
        <w:t>En lo referente a la provisión del Servicio (validación de la solicitud, verificación de factibilidad y habilitación), se tienen los siguientes indicadores:</w:t>
      </w:r>
    </w:p>
    <w:p w:rsidR="0090207A" w:rsidRPr="00611019" w:rsidRDefault="00E56462">
      <w:pPr>
        <w:numPr>
          <w:ilvl w:val="0"/>
          <w:numId w:val="89"/>
        </w:numPr>
        <w:spacing w:after="6pt"/>
        <w:contextualSpacing/>
        <w:jc w:val="both"/>
        <w:rPr>
          <w:rFonts w:ascii="Century Gothic" w:eastAsia="Calibri" w:hAnsi="Century Gothic" w:cs="Times New Roman"/>
        </w:rPr>
      </w:pPr>
      <w:r>
        <w:rPr>
          <w:rFonts w:ascii="Century Gothic" w:eastAsia="Calibri" w:hAnsi="Century Gothic" w:cs="Times New Roman"/>
        </w:rPr>
        <w:t>Validación de la solicitud: 95% de las solicitudes en máximo dos días naturales. El 5% restante validada en un máximo de tres días naturales a partir de la solicitud.</w:t>
      </w:r>
    </w:p>
    <w:p w:rsidR="0090207A" w:rsidRPr="00611019" w:rsidRDefault="00E56462">
      <w:pPr>
        <w:numPr>
          <w:ilvl w:val="0"/>
          <w:numId w:val="89"/>
        </w:numPr>
        <w:spacing w:after="6pt"/>
        <w:contextualSpacing/>
        <w:jc w:val="both"/>
        <w:rPr>
          <w:rFonts w:ascii="Century Gothic" w:eastAsia="Calibri" w:hAnsi="Century Gothic" w:cs="Times New Roman"/>
        </w:rPr>
      </w:pPr>
      <w:r>
        <w:rPr>
          <w:rFonts w:ascii="Century Gothic" w:eastAsia="Calibri" w:hAnsi="Century Gothic" w:cs="Times New Roman"/>
        </w:rPr>
        <w:t>Análisis y verificación de la factibilidad: 90% de las solicitudes en máximo seis días hábiles. El 10% restante validada en un máximo de ocho días hábiles.</w:t>
      </w:r>
    </w:p>
    <w:p w:rsidR="0090207A" w:rsidRPr="00611019" w:rsidRDefault="00E56462">
      <w:pPr>
        <w:numPr>
          <w:ilvl w:val="0"/>
          <w:numId w:val="89"/>
        </w:numPr>
        <w:spacing w:after="6pt"/>
        <w:contextualSpacing/>
        <w:jc w:val="both"/>
        <w:rPr>
          <w:rFonts w:ascii="Century Gothic" w:eastAsia="Calibri" w:hAnsi="Century Gothic" w:cs="Times New Roman"/>
        </w:rPr>
      </w:pPr>
      <w:r>
        <w:rPr>
          <w:rFonts w:ascii="Century Gothic" w:eastAsia="Calibri" w:hAnsi="Century Gothic" w:cs="Times New Roman"/>
        </w:rPr>
        <w:t>Elaboración del proyecto de construcción y, en su caso, del proyecto y cotización del trabajo especial: 90% de las solicitudes en máximo siete días hábiles. El 10% restante validada en un máximo de nueve días hábiles.</w:t>
      </w:r>
    </w:p>
    <w:p w:rsidR="0090207A" w:rsidRPr="00611019" w:rsidRDefault="00E56462">
      <w:pPr>
        <w:numPr>
          <w:ilvl w:val="0"/>
          <w:numId w:val="89"/>
        </w:numPr>
        <w:contextualSpacing/>
        <w:jc w:val="both"/>
        <w:rPr>
          <w:rFonts w:ascii="Century Gothic" w:eastAsia="Calibri" w:hAnsi="Century Gothic" w:cs="Times New Roman"/>
        </w:rPr>
      </w:pPr>
      <w:r>
        <w:rPr>
          <w:rFonts w:ascii="Century Gothic" w:eastAsia="Calibri" w:hAnsi="Century Gothic" w:cs="Times New Roman"/>
        </w:rPr>
        <w:t>Habilitación del servicio, incluyendo las pruebas correspondientes: 90% en máximo siete días hábiles. El 10% restante validada en un máximo de nueve días hábiles.</w:t>
      </w:r>
    </w:p>
    <w:p w:rsidR="0090207A" w:rsidRPr="008A330C" w:rsidRDefault="00E56462" w:rsidP="008A330C">
      <w:pPr>
        <w:spacing w:after="6pt"/>
        <w:jc w:val="both"/>
        <w:outlineLvl w:val="0"/>
        <w:rPr>
          <w:rFonts w:ascii="Century Gothic" w:eastAsia="Calibri" w:hAnsi="Century Gothic" w:cs="Arial"/>
          <w:b/>
          <w:color w:val="000000"/>
          <w:u w:val="single"/>
          <w:lang w:val="es-ES" w:eastAsia="es-ES"/>
        </w:rPr>
      </w:pPr>
      <w:bookmarkStart w:id="1525" w:name="_Toc115739139"/>
      <w:bookmarkStart w:id="1526" w:name="_Toc107502280"/>
      <w:bookmarkStart w:id="1527" w:name="_Toc125393376"/>
      <w:bookmarkStart w:id="1528" w:name="_Toc148702232"/>
      <w:bookmarkStart w:id="1529" w:name="_Toc170381853"/>
      <w:r>
        <w:rPr>
          <w:rFonts w:ascii="Century Gothic" w:eastAsia="Calibri" w:hAnsi="Century Gothic" w:cs="Arial"/>
          <w:b/>
          <w:color w:val="000000"/>
          <w:u w:val="single"/>
          <w:lang w:val="es-ES" w:eastAsia="es-ES"/>
          <w14:scene3d>
            <w14:camera w14:prst="orthographicFront"/>
            <w14:lightRig w14:rig="threePt" w14:dir="t">
              <w14:rot w14:lat="0" w14:lon="0" w14:rev="0"/>
            </w14:lightRig>
          </w14:scene3d>
        </w:rPr>
        <w:t xml:space="preserve">8. </w:t>
      </w:r>
      <w:bookmarkStart w:id="1530" w:name="_Hlk115100551"/>
      <w:r>
        <w:rPr>
          <w:rFonts w:ascii="Century Gothic" w:eastAsia="Calibri" w:hAnsi="Century Gothic" w:cs="Arial"/>
          <w:b/>
          <w:color w:val="000000"/>
          <w:u w:val="single"/>
          <w:lang w:val="es-ES" w:eastAsia="es-ES"/>
        </w:rPr>
        <w:t>Servicio de Concentración y Distribución</w:t>
      </w:r>
      <w:bookmarkEnd w:id="1525"/>
      <w:bookmarkEnd w:id="1526"/>
      <w:bookmarkEnd w:id="1527"/>
      <w:bookmarkEnd w:id="1528"/>
      <w:bookmarkEnd w:id="1530"/>
      <w:r>
        <w:rPr>
          <w:rFonts w:ascii="Century Gothic" w:eastAsia="Calibri" w:hAnsi="Century Gothic" w:cs="Arial"/>
          <w:b/>
          <w:color w:val="000000"/>
          <w:u w:val="single"/>
          <w:lang w:val="es-ES" w:eastAsia="es-ES"/>
        </w:rPr>
        <w:t xml:space="preserve"> (SCyD)</w:t>
      </w:r>
      <w:bookmarkEnd w:id="1529"/>
      <w:r>
        <w:rPr>
          <w:rFonts w:ascii="Century Gothic" w:eastAsia="Calibri" w:hAnsi="Century Gothic" w:cs="Arial"/>
          <w:b/>
          <w:color w:val="000000"/>
          <w:u w:val="single"/>
          <w:lang w:val="es-ES" w:eastAsia="es-ES"/>
        </w:rPr>
        <w:t>.</w:t>
      </w:r>
    </w:p>
    <w:p w:rsidR="0090207A" w:rsidRDefault="00E56462" w:rsidP="008A330C">
      <w:pPr>
        <w:jc w:val="both"/>
        <w:rPr>
          <w:rFonts w:ascii="Century Gothic" w:eastAsia="Calibri" w:hAnsi="Century Gothic" w:cs="Arial"/>
          <w:b/>
          <w:color w:val="000000"/>
          <w:lang w:val="es-ES_tradnl" w:eastAsia="es-ES"/>
        </w:rPr>
      </w:pPr>
      <w:r>
        <w:rPr>
          <w:rFonts w:ascii="Century Gothic" w:eastAsia="Calibri" w:hAnsi="Century Gothic" w:cs="Arial"/>
          <w:b/>
          <w:color w:val="000000"/>
          <w:lang w:val="es-ES_tradnl" w:eastAsia="es-ES"/>
        </w:rPr>
        <w:t>Red de agregación Ethernet.</w:t>
      </w:r>
    </w:p>
    <w:p w:rsidR="008A330C" w:rsidRPr="008A330C" w:rsidRDefault="008A330C" w:rsidP="008A330C">
      <w:pPr>
        <w:jc w:val="both"/>
        <w:rPr>
          <w:rFonts w:ascii="Century Gothic" w:eastAsia="Calibri" w:hAnsi="Century Gothic" w:cs="Arial"/>
          <w:b/>
          <w:color w:val="000000"/>
          <w:sz w:val="8"/>
          <w:lang w:val="es-ES_tradnl" w:eastAsia="es-ES"/>
        </w:rPr>
      </w:pPr>
    </w:p>
    <w:p w:rsidR="0090207A" w:rsidRPr="008A330C" w:rsidRDefault="00E56462" w:rsidP="008A330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spacing w:val="-4"/>
          <w:lang w:val="es-ES_tradnl" w:eastAsia="es-ES"/>
        </w:rPr>
        <w:t xml:space="preserve">La red de agregación Ethernet la constituyen los puertos Ethernet de los diferentes equipos de acceso (DSLAM y/o OLT) en su lado de red junto con el conjunto de sistemas de transmisión, conmutación y enrutamiento organizados en nodos. Dicha red agrega los flujos de tráfico recibidos de los distintos usuarios etiquetados e identificados mediante sus VLAN de CS (C-VLAN) y los agrega de acuerdo con el estándar IEEE 802.1Q (Q in Q), etiquetándolos mediante las correspondientes VLAN de servicio (S-VLAN) para su posterior transporte y entrega a nivel de Capa 2, desde el puerto de salida del equipo de acceso al </w:t>
      </w:r>
      <w:r>
        <w:rPr>
          <w:rFonts w:ascii="Century Gothic" w:eastAsia="Calibri" w:hAnsi="Century Gothic" w:cs="Arial"/>
          <w:color w:val="000000"/>
          <w:lang w:val="es-ES_tradnl" w:eastAsia="es-ES"/>
        </w:rPr>
        <w:t xml:space="preserve">pCAI, ubicado en el NCAI elegido por el CS. </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La misma red y mediante el mismo sistema (Q in Q) se encarga de la distribución y entrega en sentido descendente de dichos flujos de tráfico desde dicho puerto (pCAI) hasta cada uno de los equipos de acceso donde se eliminarán las etiquetas de las S-VLAN y se entregarán las C-VLAN a los equipos terminales conectados en los PCT de los sitios de los Usuarios Finales.</w:t>
      </w:r>
    </w:p>
    <w:p w:rsidR="0090207A" w:rsidRPr="00611019" w:rsidRDefault="00E56462" w:rsidP="00035D2C">
      <w:pPr>
        <w:spacing w:after="6pt"/>
        <w:jc w:val="both"/>
        <w:rPr>
          <w:rFonts w:ascii="Century Gothic" w:eastAsia="Calibri" w:hAnsi="Century Gothic" w:cs="Times New Roman"/>
        </w:rPr>
      </w:pPr>
      <w:r>
        <w:rPr>
          <w:rFonts w:ascii="Century Gothic" w:eastAsia="Calibri" w:hAnsi="Century Gothic" w:cs="Times New Roman"/>
        </w:rPr>
        <w:t xml:space="preserve">El SCyD permite la agregación del tráfico de SAIB generado por los Usuarios Finales y la entrega del mismo a los </w:t>
      </w:r>
      <w:r w:rsidR="00B36674">
        <w:rPr>
          <w:rFonts w:ascii="Century Gothic" w:eastAsia="Calibri" w:hAnsi="Century Gothic" w:cs="Times New Roman"/>
        </w:rPr>
        <w:t>CS</w:t>
      </w:r>
      <w:r>
        <w:rPr>
          <w:rFonts w:ascii="Century Gothic" w:eastAsia="Calibri" w:hAnsi="Century Gothic" w:cs="Times New Roman"/>
        </w:rPr>
        <w:t>. Dicha agregación se puede llevar a cabo en tres niveles: Local, Regional y Nacional.</w:t>
      </w:r>
    </w:p>
    <w:p w:rsidR="0090207A" w:rsidRPr="00611019" w:rsidRDefault="00E56462" w:rsidP="00035D2C">
      <w:pPr>
        <w:spacing w:after="6pt"/>
        <w:jc w:val="both"/>
        <w:rPr>
          <w:rFonts w:ascii="Century Gothic" w:eastAsia="Calibri" w:hAnsi="Century Gothic" w:cs="Times New Roman"/>
        </w:rPr>
      </w:pPr>
      <w:r>
        <w:rPr>
          <w:rFonts w:ascii="Century Gothic" w:eastAsia="Calibri" w:hAnsi="Century Gothic" w:cs="Times New Roman"/>
        </w:rPr>
        <w:t>La configuración mínima de la red de agregación para su uso por un CS incluye un conjunto de funcionalidades que permiten la administración del tráfico, al menos un NCAI, y al menos un pCAI que físicamente se ubica en un Punto de Concentración local, regional o nacional, así como las VLAN respectivas por cada pCAI habilitado en el punto de concentración siendo el resto ampliaciones y/o cambios. En el momento de la contratación el CS deberá indicar el nivel de agregación (local, regional y nacional), y los pCAI deseados que correspondan a dicho pCAI en cada nivel de agregación.</w:t>
      </w:r>
    </w:p>
    <w:p w:rsidR="0090207A" w:rsidRPr="00611019" w:rsidRDefault="00E56462" w:rsidP="00035D2C">
      <w:pPr>
        <w:spacing w:after="6pt"/>
        <w:jc w:val="both"/>
        <w:rPr>
          <w:rFonts w:ascii="Century Gothic" w:eastAsia="Calibri" w:hAnsi="Century Gothic" w:cs="Times New Roman"/>
        </w:rPr>
      </w:pPr>
      <w:r>
        <w:rPr>
          <w:rFonts w:ascii="Century Gothic" w:eastAsia="Calibri" w:hAnsi="Century Gothic" w:cs="Times New Roman"/>
        </w:rPr>
        <w:lastRenderedPageBreak/>
        <w:t xml:space="preserve">El CS definirá los NCAI en que deberán habilitarse los pCAI para el intercambio de tráfico del SAIB. En cada NCAI, RED NACIONAL habilitará el puerto o puertos de interconexión para la correcta prestación del SAIB contratado por el CS. Por su parte el CS hará lo propio en su lado de la red. El dimensionamiento de estos puertos será el necesario para soportar el tráfico intercambiado de acuerdo </w:t>
      </w:r>
      <w:r>
        <w:rPr>
          <w:rFonts w:ascii="Century Gothic" w:eastAsia="Calibri" w:hAnsi="Century Gothic" w:cs="Arial"/>
        </w:rPr>
        <w:t>con</w:t>
      </w:r>
      <w:r>
        <w:rPr>
          <w:rFonts w:ascii="Century Gothic" w:eastAsia="Calibri" w:hAnsi="Century Gothic" w:cs="Times New Roman"/>
        </w:rPr>
        <w:t xml:space="preserve"> la calidad provista por la red. </w:t>
      </w:r>
    </w:p>
    <w:p w:rsidR="0090207A" w:rsidRPr="00611019" w:rsidRDefault="00E56462" w:rsidP="00035D2C">
      <w:pPr>
        <w:spacing w:after="6pt"/>
        <w:jc w:val="both"/>
        <w:rPr>
          <w:rFonts w:ascii="Century Gothic" w:eastAsia="Calibri" w:hAnsi="Century Gothic" w:cs="Arial"/>
          <w:color w:val="000000"/>
          <w:lang w:val="es-ES_tradnl" w:eastAsia="es-ES"/>
        </w:rPr>
      </w:pPr>
      <w:bookmarkStart w:id="1531" w:name="_Hlk115103479"/>
      <w:r>
        <w:rPr>
          <w:rFonts w:ascii="Century Gothic" w:eastAsia="Calibri" w:hAnsi="Century Gothic" w:cs="Arial"/>
          <w:color w:val="000000"/>
          <w:lang w:val="es-ES_tradnl" w:eastAsia="es-ES"/>
        </w:rPr>
        <w:t xml:space="preserve">En el caso en que un CS desee contratar un nuevo puerto en un mismo nodo de concentración y con el mismo nivel de agregación y los puertos previamente contratados no cubran al menos 70% de la capacidad contratada, la solicitud será procedente siempre y cuando se garantice por parte del CS que se utilizará el 70% de la capacidad del puerto previamente contratado en máximo 3 meses a partir de la solicitud del nuevo puerto, de lo contrario se procederá a la baja de los nuevos puertos contratados, debiendo correr a cargo del CS los costos incurridos en su deshabilitación así como los costos por migrar los Servicios SAIB activos al otro puerto que no alcanzó el 70% de su ocupación. </w:t>
      </w:r>
      <w:bookmarkEnd w:id="1531"/>
      <w:r>
        <w:rPr>
          <w:rFonts w:ascii="Century Gothic" w:eastAsia="Calibri" w:hAnsi="Century Gothic" w:cs="Arial"/>
          <w:color w:val="000000"/>
          <w:lang w:val="es-ES_tradnl" w:eastAsia="es-ES"/>
        </w:rPr>
        <w:t>RED NACIONAL y el CS definirán la cantidad de Usuarios Finales que se concentrarán en cada pCAI, la unidad de contratación es el perfil asociado al usuario (velocidad de transmisión), la capacidad en Megabits utilizada por dicho perfil en cada puerto de interconexión será la que corresponda a los parámetros de calidad establecidos para el servicio.</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Cada NCAI corresponde a un equipo de agregación de la red de transporte el cual tiene conectados diferentes equipos de la red de acceso (xDSL y</w:t>
      </w:r>
      <w:r w:rsidR="00766B5C">
        <w:rPr>
          <w:rFonts w:ascii="Century Gothic" w:eastAsia="Calibri" w:hAnsi="Century Gothic" w:cs="Arial"/>
          <w:color w:val="000000"/>
          <w:lang w:val="es-ES_tradnl" w:eastAsia="es-ES"/>
        </w:rPr>
        <w:t>/o</w:t>
      </w:r>
      <w:r>
        <w:rPr>
          <w:rFonts w:ascii="Century Gothic" w:eastAsia="Calibri" w:hAnsi="Century Gothic" w:cs="Arial"/>
          <w:color w:val="000000"/>
          <w:lang w:val="es-ES_tradnl" w:eastAsia="es-ES"/>
        </w:rPr>
        <w:t xml:space="preserve"> </w:t>
      </w:r>
      <w:r w:rsidR="00A66021">
        <w:rPr>
          <w:rFonts w:ascii="Century Gothic" w:eastAsia="Calibri" w:hAnsi="Century Gothic" w:cs="Arial"/>
          <w:color w:val="000000"/>
          <w:lang w:val="es-ES_tradnl" w:eastAsia="es-ES"/>
        </w:rPr>
        <w:t>x</w:t>
      </w:r>
      <w:r>
        <w:rPr>
          <w:rFonts w:ascii="Century Gothic" w:eastAsia="Calibri" w:hAnsi="Century Gothic" w:cs="Arial"/>
          <w:color w:val="000000"/>
          <w:lang w:val="es-ES_tradnl" w:eastAsia="es-ES"/>
        </w:rPr>
        <w:t>PON). En cada equipo de acceso se establece un enlace lógico por medio de una S-VLAN, que se utiliza para transportar el tráfico del SAIB hasta el punto de conexión a un equipo del CS, de tal forma que cuando se solicita un NCAI se establecen conexiones lógicas (S-VLAN) de todos y cada uno de los equipos de acceso conectados al NCAI y son concentradas en un pCAI.</w:t>
      </w:r>
    </w:p>
    <w:p w:rsidR="0090207A" w:rsidRPr="00611019" w:rsidRDefault="00E56462" w:rsidP="00035D2C">
      <w:pPr>
        <w:autoSpaceDE w:val="0"/>
        <w:autoSpaceDN w:val="0"/>
        <w:adjustRightInd w:val="0"/>
        <w:spacing w:after="6pt"/>
        <w:jc w:val="both"/>
        <w:rPr>
          <w:rFonts w:ascii="Century Gothic" w:eastAsia="Calibri" w:hAnsi="Century Gothic" w:cs="Times New Roman"/>
        </w:rPr>
      </w:pPr>
      <w:r>
        <w:rPr>
          <w:rFonts w:ascii="Century Gothic" w:eastAsia="Calibri" w:hAnsi="Century Gothic" w:cs="Times New Roman"/>
        </w:rPr>
        <w:t>La planeación del dimensionamiento de los pCAI será efectuada por RED NACIONAL y el CS administrará la capacidad del pCAI de conformidad con esta Oferta y de la calidad del Servicio comprometida y medida mediante los correspondientes parámetros de calidad.</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En una misma Central Telefónica pueden existir uno o más NCAI, que a su vez pueden, en algunos casos, pertenecer a diferentes dominios administrativos. Esto obedece a la topología de la red de RED NACIONAL. Cada NCAI constituye un nodo de concentración local, regional o nacional. Cada nodo pertenece a un único dominio administrativo por lo que los tráficos no pueden ser entregados en un dominio administrativo distinto.</w:t>
      </w:r>
    </w:p>
    <w:p w:rsidR="0090207A" w:rsidRPr="00611019" w:rsidRDefault="00E56462" w:rsidP="00035D2C">
      <w:pPr>
        <w:autoSpaceDE w:val="0"/>
        <w:autoSpaceDN w:val="0"/>
        <w:adjustRightInd w:val="0"/>
        <w:spacing w:after="6pt"/>
        <w:jc w:val="both"/>
        <w:rPr>
          <w:rFonts w:ascii="Century Gothic" w:eastAsia="Calibri" w:hAnsi="Century Gothic" w:cs="Times New Roman"/>
        </w:rPr>
      </w:pPr>
      <w:r>
        <w:rPr>
          <w:rFonts w:ascii="Century Gothic" w:eastAsia="Calibri" w:hAnsi="Century Gothic" w:cs="Times New Roman"/>
        </w:rPr>
        <w:t xml:space="preserve">RED NACIONAL de conformidad con lo establecido en la sección “Información Relacionada con los Servicios” de esta OREDA proporcionará a los </w:t>
      </w:r>
      <w:r w:rsidR="00B36674">
        <w:rPr>
          <w:rFonts w:ascii="Century Gothic" w:eastAsia="Calibri" w:hAnsi="Century Gothic" w:cs="Times New Roman"/>
        </w:rPr>
        <w:t>CS</w:t>
      </w:r>
      <w:r>
        <w:rPr>
          <w:rFonts w:ascii="Century Gothic" w:eastAsia="Calibri" w:hAnsi="Century Gothic" w:cs="Times New Roman"/>
        </w:rPr>
        <w:t xml:space="preserve"> la información relativa a los NCAI y los dominios Ethernet a los que pertenecen, así como el nivel de concentración local, regional y nacional al que están asociados. Adicionalmente, para mayor entendimiento de dicha información el CS puede consultar la descripción de la </w:t>
      </w:r>
      <w:r>
        <w:rPr>
          <w:rFonts w:ascii="Century Gothic" w:eastAsia="Calibri" w:hAnsi="Century Gothic" w:cs="Times New Roman"/>
        </w:rPr>
        <w:lastRenderedPageBreak/>
        <w:t xml:space="preserve">forma o estructura de los listados de las Centrales Telefónicas o Instalaciones Equivalentes a través del SEG/SIPO. </w:t>
      </w:r>
    </w:p>
    <w:p w:rsidR="0090207A" w:rsidRPr="00611019" w:rsidRDefault="00E56462" w:rsidP="00035D2C">
      <w:pPr>
        <w:autoSpaceDE w:val="0"/>
        <w:autoSpaceDN w:val="0"/>
        <w:adjustRightInd w:val="0"/>
        <w:spacing w:after="6pt"/>
        <w:jc w:val="both"/>
        <w:rPr>
          <w:rFonts w:ascii="Century Gothic" w:eastAsia="Calibri" w:hAnsi="Century Gothic" w:cs="Times New Roman"/>
          <w:lang w:val="es-ES_tradnl"/>
        </w:rPr>
      </w:pPr>
      <w:r>
        <w:rPr>
          <w:rFonts w:ascii="Century Gothic" w:eastAsia="Calibri" w:hAnsi="Century Gothic" w:cs="Times New Roman"/>
        </w:rPr>
        <w:t xml:space="preserve">En complemento a la información y a efectos de asegurar la correcta contratación del SCyD por parte de los </w:t>
      </w:r>
      <w:r w:rsidR="006760FC">
        <w:rPr>
          <w:rFonts w:ascii="Century Gothic" w:eastAsia="Calibri" w:hAnsi="Century Gothic" w:cs="Times New Roman"/>
        </w:rPr>
        <w:t>CS</w:t>
      </w:r>
      <w:r>
        <w:rPr>
          <w:rFonts w:ascii="Century Gothic" w:eastAsia="Calibri" w:hAnsi="Century Gothic" w:cs="Times New Roman"/>
        </w:rPr>
        <w:t xml:space="preserve"> dentro de una Central o Instalación Equivalente, RED NACIONAL debe habilitar en el SEG/SIPO la identificación del NCAI deseado mediante la búsqueda de domicilios que permita determinar si el CS tiene contratada la cobertura de SCyD para atender ese domicilio, o en su caso, indicarle qué NCAI debe contratar para que se le pueda aprovisionar el Servicio en el domicilio de interés. </w:t>
      </w:r>
    </w:p>
    <w:p w:rsidR="0090207A" w:rsidRPr="00611019" w:rsidRDefault="00E56462" w:rsidP="00035D2C">
      <w:pPr>
        <w:autoSpaceDE w:val="0"/>
        <w:autoSpaceDN w:val="0"/>
        <w:adjustRightInd w:val="0"/>
        <w:spacing w:after="6pt"/>
        <w:jc w:val="both"/>
        <w:rPr>
          <w:rFonts w:ascii="Century Gothic" w:eastAsia="Calibri" w:hAnsi="Century Gothic" w:cs="Times New Roman"/>
        </w:rPr>
      </w:pPr>
      <w:r>
        <w:rPr>
          <w:rFonts w:ascii="Century Gothic" w:eastAsia="Calibri" w:hAnsi="Century Gothic" w:cs="Times New Roman"/>
        </w:rPr>
        <w:t xml:space="preserve">El uso de la infraestructura y el mantenimiento asociado que se realizará para el SAIB abarca desde el PCT, los equipos de acceso, el pCAI correspondiente, la conexión del DFO de RED NACIONAL hasta el DFO del CS o donde RED NACIONAL entrega en punta el Servicio a solicitud del CS, utilizando los medios de transmisión de la red de RED NACIONAL. Los equipos de la red de transmisión asociados a los pCAI, así como los puntos de concentración local, regional y nacional, realizándose de acuerdo con estándares certificados por organismos internacionales de estandarización para el correcto establecimiento, uso y mantenimiento de redes de tecnología Ethernet. En el SEG/SIPO se pondrá a disposición de los </w:t>
      </w:r>
      <w:r w:rsidR="006760FC">
        <w:rPr>
          <w:rFonts w:ascii="Century Gothic" w:eastAsia="Calibri" w:hAnsi="Century Gothic" w:cs="Times New Roman"/>
        </w:rPr>
        <w:t>CS</w:t>
      </w:r>
      <w:r>
        <w:rPr>
          <w:rFonts w:ascii="Century Gothic" w:eastAsia="Calibri" w:hAnsi="Century Gothic" w:cs="Times New Roman"/>
        </w:rPr>
        <w:t xml:space="preserve"> las especificaciones técnicas, guías de uso y manuales de configuración y programación de todos los equipos que constituyen la red de agregación Ethernet relacionados con el SAIB.</w:t>
      </w:r>
    </w:p>
    <w:p w:rsidR="0090207A" w:rsidRPr="00611019" w:rsidRDefault="00E56462" w:rsidP="00035D2C">
      <w:pPr>
        <w:autoSpaceDE w:val="0"/>
        <w:autoSpaceDN w:val="0"/>
        <w:adjustRightInd w:val="0"/>
        <w:spacing w:after="6pt"/>
        <w:jc w:val="both"/>
        <w:rPr>
          <w:rFonts w:ascii="Century Gothic" w:eastAsia="Calibri" w:hAnsi="Century Gothic" w:cs="Times New Roman"/>
        </w:rPr>
      </w:pPr>
      <w:r>
        <w:rPr>
          <w:rFonts w:ascii="Century Gothic" w:eastAsia="Calibri" w:hAnsi="Century Gothic" w:cs="Times New Roman"/>
        </w:rPr>
        <w:t xml:space="preserve">Cuando el CS solicite que el SCyD se entregue en Ubicación Distante se realizará bajo las condiciones del Servicio de Tendido de Cable sobre infraestructura desagregada de la Oferta de Referencia de Compartición de Infraestructura Pasiva. </w:t>
      </w:r>
    </w:p>
    <w:p w:rsidR="0090207A" w:rsidRPr="00611019" w:rsidRDefault="00E56462" w:rsidP="00035D2C">
      <w:pPr>
        <w:autoSpaceDE w:val="0"/>
        <w:autoSpaceDN w:val="0"/>
        <w:adjustRightInd w:val="0"/>
        <w:spacing w:after="6pt"/>
        <w:jc w:val="both"/>
        <w:rPr>
          <w:rFonts w:ascii="Century Gothic" w:eastAsia="Calibri" w:hAnsi="Century Gothic" w:cs="Times New Roman"/>
        </w:rPr>
      </w:pPr>
      <w:r>
        <w:rPr>
          <w:rFonts w:ascii="Century Gothic" w:eastAsia="Calibri" w:hAnsi="Century Gothic" w:cs="Times New Roman"/>
        </w:rPr>
        <w:t xml:space="preserve">RED NACIONAL podrá habilitar nuevos equipos de acceso en los diferentes NCAI, situación que será notificada a los </w:t>
      </w:r>
      <w:r w:rsidR="006760FC">
        <w:rPr>
          <w:rFonts w:ascii="Century Gothic" w:eastAsia="Calibri" w:hAnsi="Century Gothic" w:cs="Times New Roman"/>
        </w:rPr>
        <w:t>CS</w:t>
      </w:r>
      <w:r>
        <w:rPr>
          <w:rFonts w:ascii="Century Gothic" w:eastAsia="Calibri" w:hAnsi="Century Gothic" w:cs="Times New Roman"/>
        </w:rPr>
        <w:t xml:space="preserve"> a través del SEG/SIPO para que a su solicitud las S-VLAN de los nuevos equipos sean contratadas en sus pCAI, o bien el CS podrá optar por solicitar a RED NACIONAL que cada vez que un nuevo equipo de acceso sea habilitado, dicha habilitación se realice de manera automática,  bajo la contraprestación correspondiente.</w:t>
      </w:r>
    </w:p>
    <w:p w:rsidR="0090207A" w:rsidRPr="00611019" w:rsidRDefault="00E56462" w:rsidP="00035D2C">
      <w:pPr>
        <w:autoSpaceDE w:val="0"/>
        <w:autoSpaceDN w:val="0"/>
        <w:adjustRightInd w:val="0"/>
        <w:spacing w:after="6pt"/>
        <w:jc w:val="both"/>
        <w:rPr>
          <w:rFonts w:ascii="Century Gothic" w:eastAsia="Calibri" w:hAnsi="Century Gothic" w:cs="Times New Roman"/>
        </w:rPr>
      </w:pPr>
      <w:r>
        <w:rPr>
          <w:rFonts w:ascii="Century Gothic" w:eastAsia="Calibri" w:hAnsi="Century Gothic" w:cs="Times New Roman"/>
        </w:rPr>
        <w:t xml:space="preserve">Para la entrega de tráfico SAIB a sitios que se encuentren en Ubicación Distante, los </w:t>
      </w:r>
      <w:r w:rsidR="006760FC">
        <w:rPr>
          <w:rFonts w:ascii="Century Gothic" w:eastAsia="Calibri" w:hAnsi="Century Gothic" w:cs="Times New Roman"/>
        </w:rPr>
        <w:t>CS</w:t>
      </w:r>
      <w:r>
        <w:rPr>
          <w:rFonts w:ascii="Century Gothic" w:eastAsia="Calibri" w:hAnsi="Century Gothic" w:cs="Times New Roman"/>
        </w:rPr>
        <w:t xml:space="preserve"> podrán utilizar enlaces de transporte propios o arrendados.</w:t>
      </w:r>
    </w:p>
    <w:p w:rsidR="0090207A" w:rsidRPr="00611019" w:rsidRDefault="00E56462" w:rsidP="00035D2C">
      <w:pPr>
        <w:autoSpaceDE w:val="0"/>
        <w:autoSpaceDN w:val="0"/>
        <w:adjustRightInd w:val="0"/>
        <w:spacing w:after="6pt"/>
        <w:jc w:val="both"/>
        <w:rPr>
          <w:rFonts w:ascii="Century Gothic" w:eastAsia="Calibri" w:hAnsi="Century Gothic" w:cs="Times New Roman"/>
        </w:rPr>
      </w:pPr>
      <w:r>
        <w:rPr>
          <w:rFonts w:ascii="Century Gothic" w:eastAsia="Calibri" w:hAnsi="Century Gothic" w:cs="Times New Roman"/>
        </w:rPr>
        <w:t xml:space="preserve">En caso de requerir el transporte o entrega de tráfico de datos entre NCAI del nivel local ubicados en Centrales o Instalaciones Equivalentes diferentes y que no se comuniquen entre ellos, es decir que no pertenezcan al mismo dominio administrativo Ethernet, el CS podrá elegir entre la utilización de los Servicios de enlaces dedicados (propios o arrendados) o solicitar la entrega en un pCAI de un NCAI que tenga la capacidad de agregación del tráfico de dichos nodos, es decir, en un NCAI de nivel de agregación superior Regional. </w:t>
      </w:r>
    </w:p>
    <w:p w:rsidR="0090207A" w:rsidRPr="00611019" w:rsidRDefault="00E56462" w:rsidP="00035D2C">
      <w:pPr>
        <w:autoSpaceDE w:val="0"/>
        <w:autoSpaceDN w:val="0"/>
        <w:adjustRightInd w:val="0"/>
        <w:spacing w:after="6pt"/>
        <w:jc w:val="both"/>
        <w:rPr>
          <w:rFonts w:ascii="Century Gothic" w:eastAsia="Calibri" w:hAnsi="Century Gothic" w:cs="Times New Roman"/>
        </w:rPr>
      </w:pPr>
      <w:r>
        <w:rPr>
          <w:rFonts w:ascii="Century Gothic" w:eastAsia="Calibri" w:hAnsi="Century Gothic" w:cs="Times New Roman"/>
        </w:rPr>
        <w:t xml:space="preserve">En caso de que los NCAI del mismo nivel que no se comuniquen entre ellos con dominios administrativos diferentes se encuentren en la misma Central Telefónica o Instalación </w:t>
      </w:r>
      <w:r>
        <w:rPr>
          <w:rFonts w:ascii="Century Gothic" w:eastAsia="Calibri" w:hAnsi="Century Gothic" w:cs="Times New Roman"/>
        </w:rPr>
        <w:lastRenderedPageBreak/>
        <w:t xml:space="preserve">Equivalente, a solicitud del CS RED NACIONAL deberá agregar el tráfico de dichos NCAI en un solo NCAI de nivel de agregación superior Regional previamente contratado sin necesidad de contratar algún enlace. </w:t>
      </w:r>
    </w:p>
    <w:p w:rsidR="0090207A" w:rsidRPr="00611019" w:rsidRDefault="00E56462" w:rsidP="00035D2C">
      <w:pPr>
        <w:autoSpaceDE w:val="0"/>
        <w:autoSpaceDN w:val="0"/>
        <w:adjustRightInd w:val="0"/>
        <w:spacing w:after="6pt"/>
        <w:jc w:val="both"/>
        <w:rPr>
          <w:rFonts w:ascii="Century Gothic" w:eastAsia="Calibri" w:hAnsi="Century Gothic" w:cs="Times New Roman"/>
        </w:rPr>
      </w:pPr>
      <w:r>
        <w:rPr>
          <w:rFonts w:ascii="Century Gothic" w:eastAsia="Calibri" w:hAnsi="Century Gothic" w:cs="Times New Roman"/>
        </w:rPr>
        <w:t xml:space="preserve">La conexión entre los puntos de presencia de los </w:t>
      </w:r>
      <w:r w:rsidR="006760FC">
        <w:rPr>
          <w:rFonts w:ascii="Century Gothic" w:eastAsia="Calibri" w:hAnsi="Century Gothic" w:cs="Times New Roman"/>
        </w:rPr>
        <w:t>CS</w:t>
      </w:r>
      <w:r>
        <w:rPr>
          <w:rFonts w:ascii="Century Gothic" w:eastAsia="Calibri" w:hAnsi="Century Gothic" w:cs="Times New Roman"/>
        </w:rPr>
        <w:t xml:space="preserve"> y los NCAI podrá llevarse a cabo mediante infraestructuras de terceros. RED NACIONAL ofrecerá asimismo el transporte de la señal para los </w:t>
      </w:r>
      <w:r w:rsidR="006760FC">
        <w:rPr>
          <w:rFonts w:ascii="Century Gothic" w:eastAsia="Calibri" w:hAnsi="Century Gothic" w:cs="Times New Roman"/>
        </w:rPr>
        <w:t>CS</w:t>
      </w:r>
      <w:r>
        <w:rPr>
          <w:rFonts w:ascii="Century Gothic" w:eastAsia="Calibri" w:hAnsi="Century Gothic" w:cs="Times New Roman"/>
        </w:rPr>
        <w:t xml:space="preserve"> interesados. Se podrá acordar entre varios CS la compartición de infraestructuras de transporte sin autorización previa de RED NACIONAL.</w:t>
      </w:r>
    </w:p>
    <w:p w:rsidR="0090207A" w:rsidRPr="00611019" w:rsidRDefault="00E56462" w:rsidP="00035D2C">
      <w:pPr>
        <w:autoSpaceDE w:val="0"/>
        <w:autoSpaceDN w:val="0"/>
        <w:adjustRightInd w:val="0"/>
        <w:spacing w:after="6pt"/>
        <w:jc w:val="both"/>
        <w:rPr>
          <w:rFonts w:ascii="Century Gothic" w:eastAsia="Calibri" w:hAnsi="Century Gothic" w:cs="Times New Roman"/>
        </w:rPr>
      </w:pPr>
      <w:r>
        <w:rPr>
          <w:rFonts w:ascii="Century Gothic" w:eastAsia="Calibri" w:hAnsi="Century Gothic" w:cs="Times New Roman"/>
        </w:rPr>
        <w:t>El transporte entre niveles de agregación se podrá realizar mediante la configuración de VLAN por troncal. En caso de saturación de la troncal RED NACIONAL podrá facilitar la agregación de varias troncales agrupadas para la conducción de tráfico a efectos de optimizar el uso de la red evitando establecer interfaces paralelas. Si varios NCAI locales reportan o están dentro de un dominio administrativo de nivel regional se establece solo un canal de transporte para llevar el tráfico de los mismos y se entrega en un solo pCAI al siguiente nivel. Este mismo esquema aplica para el transporte y entrega del tráfico de nivel regional al nacional.</w:t>
      </w:r>
    </w:p>
    <w:p w:rsidR="0090207A" w:rsidRPr="00611019" w:rsidRDefault="00E56462" w:rsidP="00035D2C">
      <w:pPr>
        <w:autoSpaceDE w:val="0"/>
        <w:autoSpaceDN w:val="0"/>
        <w:adjustRightInd w:val="0"/>
        <w:spacing w:after="6pt"/>
        <w:jc w:val="both"/>
        <w:rPr>
          <w:rFonts w:ascii="Century Gothic" w:eastAsia="Calibri" w:hAnsi="Century Gothic" w:cs="Times New Roman"/>
        </w:rPr>
      </w:pPr>
      <w:r>
        <w:rPr>
          <w:rFonts w:ascii="Century Gothic" w:eastAsia="Calibri" w:hAnsi="Century Gothic" w:cs="Times New Roman"/>
        </w:rPr>
        <w:t>En la siguiente imagen se muestran los elementos que intervienen la red de agregación Ethernet, a fin de que el CS pueda identificar el plan de S-VLAN y sus dominios administrativos en los NCAI, así como su alcance hasta los puertos de entrega pCAI:</w:t>
      </w:r>
    </w:p>
    <w:p w:rsidR="0090207A" w:rsidRPr="00611019" w:rsidRDefault="00E56462" w:rsidP="00035D2C">
      <w:pPr>
        <w:autoSpaceDE w:val="0"/>
        <w:autoSpaceDN w:val="0"/>
        <w:adjustRightInd w:val="0"/>
        <w:spacing w:after="6pt"/>
        <w:jc w:val="center"/>
        <w:rPr>
          <w:rFonts w:ascii="Century Gothic" w:eastAsia="Calibri" w:hAnsi="Century Gothic" w:cs="Times New Roman"/>
          <w:i/>
        </w:rPr>
      </w:pPr>
      <w:r>
        <w:rPr>
          <w:rFonts w:ascii="Century Gothic" w:eastAsia="Calibri" w:hAnsi="Century Gothic" w:cs="Times New Roman"/>
          <w:i/>
          <w:noProof/>
          <w:lang w:eastAsia="es-MX"/>
        </w:rPr>
        <w:drawing>
          <wp:inline distT="0" distB="0" distL="0" distR="0" wp14:anchorId="455084A7" wp14:editId="3CFDCCCA">
            <wp:extent cx="5029200" cy="2781300"/>
            <wp:effectExtent l="19050" t="19050" r="19050" b="19050"/>
            <wp:docPr id="20" name="Picture 2" descr="Diagrama&#10;&#10;Descripción generada automáticamente"/>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586" name="Picture 2" descr="Diagrama&#10;&#10;Descripción generada automáticamente"/>
                    <pic:cNvPicPr>
                      <a:picLocks noChangeAspect="1" noChangeArrowheads="1"/>
                    </pic:cNvPicPr>
                  </pic:nvPicPr>
                  <pic:blipFill>
                    <a:blip r:embed="rId31">
                      <a:extLst>
                        <a:ext uri="{28A0092B-C50C-407E-A947-70E740481C1C}">
                          <a14:useLocalDpi xmlns:a14="http://schemas.microsoft.com/office/drawing/2010/main" val="0"/>
                        </a:ext>
                      </a:extLst>
                    </a:blip>
                    <a:stretch>
                      <a:fillRect/>
                    </a:stretch>
                  </pic:blipFill>
                  <pic:spPr bwMode="auto">
                    <a:xfrm>
                      <a:off x="0" y="0"/>
                      <a:ext cx="5029200" cy="2781300"/>
                    </a:xfrm>
                    <a:prstGeom prst="rect">
                      <a:avLst/>
                    </a:prstGeom>
                    <a:noFill/>
                    <a:ln w="9525">
                      <a:solidFill>
                        <a:srgbClr val="000000"/>
                      </a:solidFill>
                      <a:miter lim="800%"/>
                      <a:headEnd/>
                      <a:tailEnd/>
                    </a:ln>
                    <a:effectLst/>
                  </pic:spPr>
                </pic:pic>
              </a:graphicData>
            </a:graphic>
          </wp:inline>
        </w:drawing>
      </w:r>
      <w:r>
        <w:rPr>
          <w:rFonts w:ascii="Century Gothic" w:eastAsia="Calibri" w:hAnsi="Century Gothic" w:cs="Times New Roman"/>
          <w:i/>
        </w:rPr>
        <w:t xml:space="preserve"> </w:t>
      </w:r>
    </w:p>
    <w:p w:rsidR="0090207A" w:rsidRPr="00611019" w:rsidRDefault="00E56462" w:rsidP="00035D2C">
      <w:pPr>
        <w:spacing w:after="6pt"/>
        <w:jc w:val="center"/>
        <w:rPr>
          <w:rFonts w:ascii="Century Gothic" w:eastAsia="Calibri" w:hAnsi="Century Gothic" w:cs="Arial"/>
          <w:b/>
          <w:sz w:val="20"/>
        </w:rPr>
      </w:pPr>
      <w:r>
        <w:rPr>
          <w:rFonts w:ascii="Century Gothic" w:eastAsia="Calibri" w:hAnsi="Century Gothic" w:cs="Arial"/>
          <w:b/>
          <w:sz w:val="20"/>
        </w:rPr>
        <w:t>Diagrama de red con los elementos que intervienen en el SCyD y niveles de agregación</w:t>
      </w:r>
      <w:r>
        <w:rPr>
          <w:rFonts w:ascii="Century Gothic" w:eastAsia="Calibri" w:hAnsi="Century Gothic" w:cs="Arial"/>
          <w:b/>
          <w:sz w:val="20"/>
          <w:vertAlign w:val="superscript"/>
        </w:rPr>
        <w:footnoteReference w:id="23"/>
      </w:r>
    </w:p>
    <w:p w:rsidR="0090207A" w:rsidRDefault="0090207A" w:rsidP="00035D2C">
      <w:pPr>
        <w:jc w:val="both"/>
        <w:rPr>
          <w:rFonts w:ascii="Century Gothic" w:eastAsia="Calibri" w:hAnsi="Century Gothic" w:cs="Arial"/>
          <w:b/>
          <w:color w:val="000000"/>
          <w:lang w:eastAsia="es-ES"/>
        </w:rPr>
      </w:pPr>
    </w:p>
    <w:p w:rsidR="00CD754A" w:rsidRPr="00611019" w:rsidRDefault="00E56462" w:rsidP="00035D2C">
      <w:pPr>
        <w:jc w:val="both"/>
        <w:rPr>
          <w:rFonts w:ascii="Century Gothic" w:eastAsia="Calibri" w:hAnsi="Century Gothic" w:cs="Arial"/>
          <w:color w:val="000000"/>
          <w:lang w:val="es-ES_tradnl" w:eastAsia="es-ES"/>
        </w:rPr>
      </w:pPr>
      <w:r>
        <w:rPr>
          <w:rFonts w:ascii="Century Gothic" w:eastAsia="Calibri" w:hAnsi="Century Gothic" w:cs="Arial"/>
          <w:b/>
          <w:color w:val="000000"/>
          <w:lang w:val="es-ES_tradnl" w:eastAsia="es-ES"/>
        </w:rPr>
        <w:t>Información técnica sobre las infraestructuras del SAIB.</w:t>
      </w:r>
      <w:r>
        <w:rPr>
          <w:rFonts w:ascii="Century Gothic" w:eastAsia="Calibri" w:hAnsi="Century Gothic" w:cs="Arial"/>
          <w:color w:val="000000"/>
          <w:lang w:val="es-ES_tradnl" w:eastAsia="es-ES"/>
        </w:rPr>
        <w:t xml:space="preserve"> </w:t>
      </w:r>
    </w:p>
    <w:p w:rsidR="00CD754A" w:rsidRPr="00611019" w:rsidRDefault="00CD754A" w:rsidP="00035D2C">
      <w:pPr>
        <w:jc w:val="both"/>
        <w:rPr>
          <w:rFonts w:ascii="Century Gothic" w:eastAsia="Calibri" w:hAnsi="Century Gothic" w:cs="Arial"/>
          <w:color w:val="000000"/>
          <w:sz w:val="8"/>
          <w:lang w:val="es-ES_tradnl" w:eastAsia="es-ES"/>
        </w:rPr>
      </w:pPr>
    </w:p>
    <w:p w:rsidR="0090207A" w:rsidRPr="00611019" w:rsidRDefault="00E56462" w:rsidP="00035D2C">
      <w:p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Las descripciones y listados detallados de todos los elementos que intervienen y son necesarios para la contratación del SAIB, los relacionados con los Dominios </w:t>
      </w:r>
      <w:r>
        <w:rPr>
          <w:rFonts w:ascii="Century Gothic" w:eastAsia="Calibri" w:hAnsi="Century Gothic" w:cs="Arial"/>
          <w:color w:val="000000"/>
          <w:lang w:val="es-ES_tradnl" w:eastAsia="es-ES"/>
        </w:rPr>
        <w:lastRenderedPageBreak/>
        <w:t xml:space="preserve">Administrativos de la red, los NCAI, los pCAI, los equipos de acceso (DSLAM/OLT) que reportan o pertenecen a cada NCAI y los mapas de cobertura de los Usuarios Finales conectados a dichos equipos están disponibles de conformidad con la sección de la OREDA “Información relacionada con los Servicios” para su consulta en el SEG/SIPO. </w:t>
      </w:r>
      <w:r>
        <w:rPr>
          <w:rFonts w:ascii="Century Gothic" w:eastAsia="Calibri" w:hAnsi="Century Gothic" w:cs="Arial"/>
          <w:color w:val="000000"/>
          <w:spacing w:val="-3"/>
          <w:lang w:val="es-ES_tradnl" w:eastAsia="es-ES"/>
        </w:rPr>
        <w:t>RED NACIONAL</w:t>
      </w:r>
      <w:r>
        <w:rPr>
          <w:rFonts w:ascii="Century Gothic" w:eastAsia="Calibri" w:hAnsi="Century Gothic" w:cs="Arial"/>
          <w:color w:val="000000"/>
          <w:lang w:val="es-ES_tradnl" w:eastAsia="es-ES"/>
        </w:rPr>
        <w:t xml:space="preserve"> será responsable de actualizar esta información a medida que se realicen cambios en la estructura, o en la arquitectura local, regional o nacional de la Red de Agregación Ethernet y de los recursos asociados, dominios administrativos y planes de las VLAN.</w:t>
      </w:r>
    </w:p>
    <w:p w:rsidR="0090207A" w:rsidRPr="00611019" w:rsidRDefault="0090207A" w:rsidP="00035D2C">
      <w:pPr>
        <w:spacing w:after="6pt"/>
        <w:jc w:val="both"/>
        <w:rPr>
          <w:rFonts w:ascii="Century Gothic" w:eastAsia="Calibri" w:hAnsi="Century Gothic" w:cs="Arial"/>
          <w:color w:val="000000"/>
          <w:lang w:val="es-ES_tradnl" w:eastAsia="es-ES"/>
        </w:rPr>
      </w:pPr>
    </w:p>
    <w:p w:rsidR="0090207A" w:rsidRPr="00611019" w:rsidRDefault="00E56462" w:rsidP="00035D2C">
      <w:pPr>
        <w:keepNext/>
        <w:ind w:start="56.70pt" w:hanging="56.70pt"/>
        <w:jc w:val="both"/>
        <w:outlineLvl w:val="1"/>
        <w:rPr>
          <w:rFonts w:ascii="Century Gothic" w:eastAsia="Times New Roman" w:hAnsi="Century Gothic" w:cs="Arial"/>
          <w:b/>
          <w:bCs/>
        </w:rPr>
      </w:pPr>
      <w:bookmarkStart w:id="1532" w:name="_Toc107502281"/>
      <w:bookmarkStart w:id="1533" w:name="_Toc115739140"/>
      <w:bookmarkStart w:id="1534" w:name="_Toc125393377"/>
      <w:bookmarkStart w:id="1535" w:name="_Toc148702233"/>
      <w:bookmarkStart w:id="1536" w:name="_Toc170381854"/>
      <w:r>
        <w:rPr>
          <w:rFonts w:ascii="Century Gothic" w:eastAsia="Times New Roman" w:hAnsi="Century Gothic" w:cs="Arial"/>
          <w:b/>
          <w:bCs/>
        </w:rPr>
        <w:t xml:space="preserve">8.1 </w:t>
      </w:r>
      <w:bookmarkEnd w:id="1532"/>
      <w:bookmarkEnd w:id="1533"/>
      <w:bookmarkEnd w:id="1534"/>
      <w:bookmarkEnd w:id="1535"/>
      <w:r w:rsidR="006760FC">
        <w:rPr>
          <w:rFonts w:ascii="Century Gothic" w:eastAsia="Times New Roman" w:hAnsi="Century Gothic" w:cs="Arial"/>
          <w:b/>
          <w:bCs/>
        </w:rPr>
        <w:t>Servicio de Concentración y Distribución Local (</w:t>
      </w:r>
      <w:r>
        <w:rPr>
          <w:rFonts w:ascii="Century Gothic" w:eastAsia="Times New Roman" w:hAnsi="Century Gothic" w:cs="Arial"/>
          <w:b/>
          <w:bCs/>
        </w:rPr>
        <w:t>SCyD</w:t>
      </w:r>
      <w:r w:rsidR="006760FC">
        <w:rPr>
          <w:rFonts w:ascii="Century Gothic" w:eastAsia="Times New Roman" w:hAnsi="Century Gothic" w:cs="Arial"/>
          <w:b/>
          <w:bCs/>
        </w:rPr>
        <w:t>-</w:t>
      </w:r>
      <w:r>
        <w:rPr>
          <w:rFonts w:ascii="Century Gothic" w:eastAsia="Times New Roman" w:hAnsi="Century Gothic" w:cs="Arial"/>
          <w:b/>
          <w:bCs/>
        </w:rPr>
        <w:t>L</w:t>
      </w:r>
      <w:bookmarkEnd w:id="1536"/>
      <w:r w:rsidR="006760FC">
        <w:rPr>
          <w:rFonts w:ascii="Century Gothic" w:eastAsia="Times New Roman" w:hAnsi="Century Gothic" w:cs="Arial"/>
          <w:b/>
          <w:bCs/>
        </w:rPr>
        <w:t>)</w:t>
      </w:r>
      <w:r>
        <w:rPr>
          <w:rFonts w:ascii="Century Gothic" w:eastAsia="Times New Roman" w:hAnsi="Century Gothic" w:cs="Arial"/>
          <w:b/>
          <w:bCs/>
        </w:rPr>
        <w:t>.</w:t>
      </w:r>
    </w:p>
    <w:p w:rsidR="00CD754A" w:rsidRPr="00F56287" w:rsidRDefault="00CD754A" w:rsidP="00035D2C">
      <w:pPr>
        <w:rPr>
          <w:sz w:val="8"/>
        </w:rPr>
      </w:pPr>
    </w:p>
    <w:p w:rsidR="0090207A" w:rsidRPr="00611019" w:rsidRDefault="00E56462" w:rsidP="00035D2C">
      <w:p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La agregación a nivel local consiste en concentrar los flujos del tráfico de datos provenientes de los equipos de acceso xDSL (DSLAM) y </w:t>
      </w:r>
      <w:r w:rsidR="00A66021">
        <w:rPr>
          <w:rFonts w:ascii="Century Gothic" w:eastAsia="Calibri" w:hAnsi="Century Gothic" w:cs="Arial"/>
          <w:color w:val="000000"/>
          <w:lang w:val="es-ES_tradnl" w:eastAsia="es-ES"/>
        </w:rPr>
        <w:t>x</w:t>
      </w:r>
      <w:r>
        <w:rPr>
          <w:rFonts w:ascii="Century Gothic" w:eastAsia="Calibri" w:hAnsi="Century Gothic" w:cs="Arial"/>
          <w:color w:val="000000"/>
          <w:lang w:val="es-ES_tradnl" w:eastAsia="es-ES"/>
        </w:rPr>
        <w:t>PON (OLT) que conectan físicamente al Usuario Final dentro de una zona de cobertura y entregarlos a través de uno o más puertos de conexión de los Nodos de agregación local (NCAI-L).</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El tráfico de datos generado por los Usuarios Finales se transporta en la red de agregación Ethernet a través de S-VLAN, de acuerdo con el plan de VLAN indicada en la presente OREDA. Esta red de agregación base integra desde los puertos de los equipos de acceso (DSLAM y OLT) hasta los pCAI, ubicados en un NCAI-L. El puerto es físico e individual para cada CS realizando la conexión del DFO de RED NACIONAL hasta el DFO del CS en donde se entrega en punta el Servicio a solicitud del CS. </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La red de agregación local está conformada por un NCAI, al menos un pCAI y el conjunto de los medios de transmisión que permiten la Concentración y Distribución de los equipos de acceso conectados a dicho NCAI. La zona de cobertura asociada será la correspondiente a los Usuarios Finales conectados a los equipos de acceso conectados al NCAI y aparece descrita de conformidad con la sección de Información relacionada con los Servicios para su consulta mediante el SEG/SIPO. </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Cuando un CS solicita un pCAI en un NCAI-L se realiza la configuración de las S-VLAN desde los equipos de Acceso de un NCAI hasta el pCAI, es decir, se configuran los equipos de acceso conectados al NCAI.</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El CS podrá solicitar todos los NCAI-L de una misma Central Telefónica para lograr la cobertura total del edificio, o podrá solicitar sólo NCAI-L específicos del mismo edificio de acuerdo con su interés de cobertura, para lo cual RED NACIONAL pondrá a disposición de los </w:t>
      </w:r>
      <w:r w:rsidR="006760FC">
        <w:rPr>
          <w:rFonts w:ascii="Century Gothic" w:eastAsia="Calibri" w:hAnsi="Century Gothic" w:cs="Arial"/>
          <w:color w:val="000000"/>
          <w:lang w:val="es-ES_tradnl" w:eastAsia="es-ES"/>
        </w:rPr>
        <w:t>CS</w:t>
      </w:r>
      <w:r>
        <w:rPr>
          <w:rFonts w:ascii="Century Gothic" w:eastAsia="Calibri" w:hAnsi="Century Gothic" w:cs="Arial"/>
          <w:color w:val="000000"/>
          <w:lang w:val="es-ES_tradnl" w:eastAsia="es-ES"/>
        </w:rPr>
        <w:t xml:space="preserve"> en el SEG/SIPO los mapas coberturas de los NCAI que se encuentren dentro de las Centrales Telefónicas. El CS podrá ampliar o reducir los NCAI-L a través del procedimiento de ampliación/eliminación de cobertura por NCAI, en el mismo nivel de agregación.</w:t>
      </w:r>
    </w:p>
    <w:p w:rsidR="0090207A" w:rsidRPr="00611019" w:rsidRDefault="00E56462" w:rsidP="00035D2C">
      <w:pPr>
        <w:keepNext/>
        <w:spacing w:after="6pt"/>
        <w:ind w:start="56.70pt" w:hanging="56.70pt"/>
        <w:jc w:val="both"/>
        <w:outlineLvl w:val="1"/>
        <w:rPr>
          <w:rFonts w:ascii="Century Gothic" w:eastAsia="Times New Roman" w:hAnsi="Century Gothic" w:cs="Arial"/>
          <w:b/>
          <w:bCs/>
        </w:rPr>
      </w:pPr>
      <w:bookmarkStart w:id="1537" w:name="_Toc107502282"/>
      <w:bookmarkStart w:id="1538" w:name="_Toc115739141"/>
      <w:bookmarkStart w:id="1539" w:name="_Toc125393378"/>
      <w:bookmarkStart w:id="1540" w:name="_Toc148702234"/>
      <w:bookmarkStart w:id="1541" w:name="_Toc170381855"/>
      <w:r>
        <w:rPr>
          <w:rFonts w:ascii="Century Gothic" w:eastAsia="Times New Roman" w:hAnsi="Century Gothic" w:cs="Arial"/>
          <w:b/>
          <w:bCs/>
        </w:rPr>
        <w:lastRenderedPageBreak/>
        <w:t xml:space="preserve">8.2 </w:t>
      </w:r>
      <w:bookmarkEnd w:id="1537"/>
      <w:bookmarkEnd w:id="1538"/>
      <w:bookmarkEnd w:id="1539"/>
      <w:bookmarkEnd w:id="1540"/>
      <w:r w:rsidR="006760FC">
        <w:rPr>
          <w:rFonts w:ascii="Century Gothic" w:eastAsia="Times New Roman" w:hAnsi="Century Gothic" w:cs="Arial"/>
          <w:b/>
          <w:bCs/>
        </w:rPr>
        <w:t>Servicio de Concentración y Distribución Regional (</w:t>
      </w:r>
      <w:r>
        <w:rPr>
          <w:rFonts w:ascii="Century Gothic" w:eastAsia="Times New Roman" w:hAnsi="Century Gothic" w:cs="Arial"/>
          <w:b/>
          <w:bCs/>
        </w:rPr>
        <w:t>SCyD-R</w:t>
      </w:r>
      <w:bookmarkEnd w:id="1541"/>
      <w:r w:rsidR="006760FC">
        <w:rPr>
          <w:rFonts w:ascii="Century Gothic" w:eastAsia="Times New Roman" w:hAnsi="Century Gothic" w:cs="Arial"/>
          <w:b/>
          <w:bCs/>
        </w:rPr>
        <w:t>)</w:t>
      </w:r>
      <w:r>
        <w:rPr>
          <w:rFonts w:ascii="Century Gothic" w:eastAsia="Times New Roman" w:hAnsi="Century Gothic" w:cs="Arial"/>
          <w:b/>
          <w:bCs/>
        </w:rPr>
        <w:t>.</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La agregación a nivel regional se realiza mediante la conducción y concentración del tráfico de SAIB procedente de NCAI-L de diferentes zonas de cobertura pertenecientes a una misma región, siendo esta última un mismo dominio administrativo. </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Cuando el CS solicita un pCAI en un nodo regional (NCAI-R) se realizará la configuración de las S-VLAN desde los equipos de Acceso hasta el pCAI en el nodo regional (NCAI-R), es decir, se configuran todos los equipos de acceso existentes de los NCAI -L elegidos por el CS en esa región.</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El CS podrá solicitar todos los NCAI-L de una región para lograr la cobertura total de la misma, o podrá solicitar NCAI específicos de la región de acuerdo con su interés de cobertura. Posterior a la habilitación del SCyD-R el CS podrá ampliar o reducir la cobertura a través del procedimiento de ampliación/eliminación de cobertura por NCAI, en el mismo nivel de agregación.</w:t>
      </w:r>
    </w:p>
    <w:p w:rsidR="0090207A" w:rsidRPr="00611019" w:rsidRDefault="0090207A" w:rsidP="00035D2C">
      <w:pPr>
        <w:spacing w:after="6pt"/>
        <w:jc w:val="both"/>
        <w:rPr>
          <w:rFonts w:ascii="Century Gothic" w:eastAsia="Calibri" w:hAnsi="Century Gothic" w:cs="Arial"/>
          <w:color w:val="000000"/>
          <w:lang w:val="es-ES_tradnl" w:eastAsia="es-ES"/>
        </w:rPr>
      </w:pPr>
    </w:p>
    <w:p w:rsidR="0090207A" w:rsidRPr="00611019" w:rsidRDefault="00E56462" w:rsidP="00035D2C">
      <w:pPr>
        <w:keepNext/>
        <w:spacing w:after="6pt"/>
        <w:ind w:start="56.70pt" w:hanging="56.70pt"/>
        <w:jc w:val="both"/>
        <w:outlineLvl w:val="1"/>
        <w:rPr>
          <w:rFonts w:ascii="Century Gothic" w:eastAsia="Times New Roman" w:hAnsi="Century Gothic" w:cs="Arial"/>
          <w:b/>
          <w:bCs/>
        </w:rPr>
      </w:pPr>
      <w:bookmarkStart w:id="1542" w:name="_Toc107502283"/>
      <w:bookmarkStart w:id="1543" w:name="_Toc115739142"/>
      <w:bookmarkStart w:id="1544" w:name="_Toc125393379"/>
      <w:bookmarkStart w:id="1545" w:name="_Toc148702235"/>
      <w:bookmarkStart w:id="1546" w:name="_Toc170381856"/>
      <w:r>
        <w:rPr>
          <w:rFonts w:ascii="Century Gothic" w:eastAsia="Times New Roman" w:hAnsi="Century Gothic" w:cs="Arial"/>
          <w:b/>
          <w:bCs/>
        </w:rPr>
        <w:t xml:space="preserve">8.3 </w:t>
      </w:r>
      <w:bookmarkEnd w:id="1542"/>
      <w:bookmarkEnd w:id="1543"/>
      <w:bookmarkEnd w:id="1544"/>
      <w:bookmarkEnd w:id="1545"/>
      <w:r w:rsidR="006760FC">
        <w:rPr>
          <w:rFonts w:ascii="Century Gothic" w:eastAsia="Times New Roman" w:hAnsi="Century Gothic" w:cs="Arial"/>
          <w:b/>
          <w:bCs/>
        </w:rPr>
        <w:t>Servicio de Concentración y Distribución Nacional (</w:t>
      </w:r>
      <w:r>
        <w:rPr>
          <w:rFonts w:ascii="Century Gothic" w:eastAsia="Times New Roman" w:hAnsi="Century Gothic" w:cs="Arial"/>
          <w:b/>
          <w:bCs/>
        </w:rPr>
        <w:t>SCyD-N</w:t>
      </w:r>
      <w:bookmarkEnd w:id="1546"/>
      <w:r w:rsidR="006760FC">
        <w:rPr>
          <w:rFonts w:ascii="Century Gothic" w:eastAsia="Times New Roman" w:hAnsi="Century Gothic" w:cs="Arial"/>
          <w:b/>
          <w:bCs/>
        </w:rPr>
        <w:t>)</w:t>
      </w:r>
      <w:r>
        <w:rPr>
          <w:rFonts w:ascii="Century Gothic" w:eastAsia="Times New Roman" w:hAnsi="Century Gothic" w:cs="Arial"/>
          <w:b/>
          <w:bCs/>
        </w:rPr>
        <w:t>.</w:t>
      </w:r>
    </w:p>
    <w:p w:rsidR="0090207A" w:rsidRPr="00611019" w:rsidRDefault="00E56462" w:rsidP="00035D2C">
      <w:p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La agregación a nivel Nacional se realiza mediante la conducción y concentración del tráfico procedente de NCAIs de diferentes zonas de cobertura pertenecientes a diferentes regiones. </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Cuando un CS solicita un pCAI en un NCAI-N se realizará la configuración de las S-VLAN desde los equipos de Acceso hasta el pCAI del nodo nacional, es decir, se configuran los equipos de acceso existentes de los NCAI elegidos por el CS de las diferentes regiones (que constituyen dominios administrativos diferentes). </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El CS podrá solicitar todos los NCAI-R de cada región accesible desde el NCAI-N para lograr la cobertura total de dicha región desde el nodo nacional, o podrá solicitar NCAI específicos accesibles desde dicho NCAI-N. El CS podrá ampliar o reducir la cobertura a través del procedimiento de ampliación/eliminación de cobertura por NCAI, en el mismo nivel de agregación.</w:t>
      </w:r>
    </w:p>
    <w:p w:rsidR="0090207A" w:rsidRPr="00611019" w:rsidRDefault="0090207A" w:rsidP="00035D2C">
      <w:pPr>
        <w:spacing w:after="6pt"/>
        <w:jc w:val="both"/>
        <w:rPr>
          <w:rFonts w:ascii="Century Gothic" w:eastAsia="Calibri" w:hAnsi="Century Gothic" w:cs="Arial"/>
          <w:color w:val="000000"/>
          <w:lang w:val="es-ES_tradnl" w:eastAsia="es-ES"/>
        </w:rPr>
      </w:pPr>
    </w:p>
    <w:p w:rsidR="0090207A" w:rsidRPr="00611019" w:rsidRDefault="00E56462" w:rsidP="00035D2C">
      <w:pPr>
        <w:keepNext/>
        <w:spacing w:after="6pt"/>
        <w:ind w:start="56.70pt" w:hanging="56.70pt"/>
        <w:jc w:val="both"/>
        <w:outlineLvl w:val="1"/>
        <w:rPr>
          <w:rFonts w:ascii="Century Gothic" w:eastAsia="Times New Roman" w:hAnsi="Century Gothic" w:cs="Arial"/>
          <w:b/>
          <w:bCs/>
        </w:rPr>
      </w:pPr>
      <w:bookmarkStart w:id="1547" w:name="_Toc107502284"/>
      <w:bookmarkStart w:id="1548" w:name="_Toc115739143"/>
      <w:bookmarkStart w:id="1549" w:name="_Toc125393380"/>
      <w:bookmarkStart w:id="1550" w:name="_Toc148702236"/>
      <w:bookmarkStart w:id="1551" w:name="_Toc170381857"/>
      <w:r>
        <w:rPr>
          <w:rFonts w:ascii="Century Gothic" w:eastAsia="Times New Roman" w:hAnsi="Century Gothic" w:cs="Arial"/>
          <w:b/>
          <w:bCs/>
        </w:rPr>
        <w:t>8.4 Características de configuración física y lógica del pCAI</w:t>
      </w:r>
      <w:bookmarkEnd w:id="1547"/>
      <w:bookmarkEnd w:id="1548"/>
      <w:bookmarkEnd w:id="1549"/>
      <w:bookmarkEnd w:id="1550"/>
      <w:bookmarkEnd w:id="1551"/>
      <w:r>
        <w:rPr>
          <w:rFonts w:ascii="Century Gothic" w:eastAsia="Times New Roman" w:hAnsi="Century Gothic" w:cs="Arial"/>
          <w:b/>
          <w:bCs/>
        </w:rPr>
        <w:t xml:space="preserve"> .</w:t>
      </w:r>
    </w:p>
    <w:p w:rsidR="0090207A" w:rsidRPr="00611019" w:rsidRDefault="00E56462" w:rsidP="00035D2C">
      <w:p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La configuración física de la interfaz es: </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La conexión del equipo de Red del CS se realizará en el puerto del NCAI (pCAI). Esta interconexión utilizará alguna de las interfaces siguientes según IEEE 802.3-2008 sección 3: </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La conectividad física GE se realiza con interfaces IEEE 802.3-2008 sección 3 1000BASE-SX 50 μm MMF (7.5 dB @ 850 nm, &lt; 550 m) o con interfaces 1000BASE-LX 10 μm SMF (8dB @ 1310 nm, 5 km). </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lastRenderedPageBreak/>
        <w:t xml:space="preserve">La conectividad física 10 GE se realiza con interfaces IEEE 802.3-2008 sección 4 10GBASE-SR 50 μm MMF (7.3dB @ 850 nm, &lt; 300 m) o con interfaces 10GEBASE-LR 10 μm SMF (9.4dB @ 1310 nm, 10 km). </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Todos los puertos estarán sujetos a la disponibilidad en la red.</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Los puertos Gigabit Ethernet se deben configurar en modo Full-Duplex con auto negociación inactiva.</w:t>
      </w:r>
    </w:p>
    <w:p w:rsidR="0090207A" w:rsidRPr="00611019" w:rsidRDefault="00E56462" w:rsidP="00035D2C">
      <w:pPr>
        <w:adjustRightInd w:val="0"/>
        <w:jc w:val="both"/>
        <w:rPr>
          <w:rFonts w:ascii="Century Gothic" w:eastAsia="Times New Roman" w:hAnsi="Century Gothic" w:cs="Arial"/>
          <w:bCs/>
          <w:lang w:eastAsia="es-ES"/>
        </w:rPr>
      </w:pPr>
      <w:r>
        <w:rPr>
          <w:rFonts w:ascii="Century Gothic" w:eastAsia="Times New Roman" w:hAnsi="Century Gothic" w:cs="Arial"/>
          <w:bCs/>
          <w:lang w:eastAsia="es-ES"/>
        </w:rPr>
        <w:t xml:space="preserve">Para el nivel local: </w:t>
      </w:r>
    </w:p>
    <w:p w:rsidR="0090207A" w:rsidRPr="00611019" w:rsidRDefault="00E56462" w:rsidP="00035D2C">
      <w:pPr>
        <w:adjustRightInd w:val="0"/>
        <w:ind w:start="21.30pt" w:hanging="18pt"/>
        <w:jc w:val="both"/>
        <w:rPr>
          <w:rFonts w:ascii="Century Gothic" w:eastAsia="Times New Roman" w:hAnsi="Century Gothic" w:cs="Arial"/>
          <w:bCs/>
          <w:lang w:eastAsia="es-ES"/>
        </w:rPr>
      </w:pPr>
      <w:r>
        <w:rPr>
          <w:rFonts w:ascii="Century Gothic" w:eastAsia="Times New Roman" w:hAnsi="Century Gothic" w:cs="Arial"/>
          <w:bCs/>
          <w:lang w:eastAsia="es-ES"/>
        </w:rPr>
        <w:t>•</w:t>
      </w:r>
      <w:r>
        <w:rPr>
          <w:rFonts w:ascii="Century Gothic" w:eastAsia="Times New Roman" w:hAnsi="Century Gothic" w:cs="Arial"/>
          <w:bCs/>
          <w:lang w:eastAsia="es-ES"/>
        </w:rPr>
        <w:tab/>
        <w:t xml:space="preserve">100Base-xx: n x 10 Mbps hasta 100 Mbps. </w:t>
      </w:r>
    </w:p>
    <w:p w:rsidR="0090207A" w:rsidRPr="00611019" w:rsidRDefault="00E56462" w:rsidP="00035D2C">
      <w:pPr>
        <w:adjustRightInd w:val="0"/>
        <w:ind w:start="21.30pt" w:hanging="18pt"/>
        <w:jc w:val="both"/>
        <w:rPr>
          <w:rFonts w:ascii="Century Gothic" w:eastAsia="Times New Roman" w:hAnsi="Century Gothic" w:cs="Arial"/>
          <w:bCs/>
          <w:lang w:eastAsia="es-ES"/>
        </w:rPr>
      </w:pPr>
      <w:r>
        <w:rPr>
          <w:rFonts w:ascii="Century Gothic" w:eastAsia="Times New Roman" w:hAnsi="Century Gothic" w:cs="Arial"/>
          <w:bCs/>
          <w:lang w:eastAsia="es-ES"/>
        </w:rPr>
        <w:t>•</w:t>
      </w:r>
      <w:r>
        <w:rPr>
          <w:rFonts w:ascii="Century Gothic" w:eastAsia="Times New Roman" w:hAnsi="Century Gothic" w:cs="Arial"/>
          <w:bCs/>
          <w:lang w:eastAsia="es-ES"/>
        </w:rPr>
        <w:tab/>
        <w:t xml:space="preserve">1000Base-xx: n x 100 Mbps hasta 1Gbps. </w:t>
      </w:r>
    </w:p>
    <w:p w:rsidR="0090207A" w:rsidRPr="00611019" w:rsidRDefault="00E56462" w:rsidP="00035D2C">
      <w:pPr>
        <w:adjustRightInd w:val="0"/>
        <w:ind w:start="21.30pt" w:hanging="18pt"/>
        <w:jc w:val="both"/>
        <w:rPr>
          <w:rFonts w:ascii="Century Gothic" w:eastAsia="Times New Roman" w:hAnsi="Century Gothic" w:cs="Arial"/>
          <w:bCs/>
          <w:lang w:eastAsia="es-ES"/>
        </w:rPr>
      </w:pPr>
      <w:r>
        <w:rPr>
          <w:rFonts w:ascii="Century Gothic" w:eastAsia="Times New Roman" w:hAnsi="Century Gothic" w:cs="Arial"/>
          <w:bCs/>
          <w:lang w:eastAsia="es-ES"/>
        </w:rPr>
        <w:t>•</w:t>
      </w:r>
      <w:r>
        <w:rPr>
          <w:rFonts w:ascii="Century Gothic" w:eastAsia="Times New Roman" w:hAnsi="Century Gothic" w:cs="Arial"/>
          <w:bCs/>
          <w:lang w:eastAsia="es-ES"/>
        </w:rPr>
        <w:tab/>
        <w:t xml:space="preserve">1000Base-xx 1 GbE </w:t>
      </w:r>
    </w:p>
    <w:p w:rsidR="0090207A" w:rsidRPr="00611019" w:rsidRDefault="00E56462" w:rsidP="00035D2C">
      <w:pPr>
        <w:adjustRightInd w:val="0"/>
        <w:ind w:start="21.25pt" w:hanging="17.85pt"/>
        <w:jc w:val="both"/>
        <w:rPr>
          <w:rFonts w:ascii="Century Gothic" w:eastAsia="Times New Roman" w:hAnsi="Century Gothic" w:cs="Arial"/>
          <w:bCs/>
          <w:lang w:eastAsia="es-ES"/>
        </w:rPr>
      </w:pPr>
      <w:r>
        <w:rPr>
          <w:rFonts w:ascii="Century Gothic" w:eastAsia="Times New Roman" w:hAnsi="Century Gothic" w:cs="Arial"/>
          <w:bCs/>
          <w:lang w:eastAsia="es-ES"/>
        </w:rPr>
        <w:t>•</w:t>
      </w:r>
      <w:r>
        <w:rPr>
          <w:rFonts w:ascii="Century Gothic" w:eastAsia="Times New Roman" w:hAnsi="Century Gothic" w:cs="Arial"/>
          <w:bCs/>
          <w:lang w:eastAsia="es-ES"/>
        </w:rPr>
        <w:tab/>
        <w:t xml:space="preserve">10GBase-xx: 10 GbE </w:t>
      </w:r>
    </w:p>
    <w:p w:rsidR="0090207A" w:rsidRPr="00611019" w:rsidRDefault="00E56462" w:rsidP="00035D2C">
      <w:pPr>
        <w:adjustRightInd w:val="0"/>
        <w:ind w:start="21.25pt" w:hanging="17.85pt"/>
        <w:jc w:val="both"/>
        <w:rPr>
          <w:rFonts w:ascii="Century Gothic" w:eastAsia="Times New Roman" w:hAnsi="Century Gothic" w:cs="Arial"/>
          <w:bCs/>
          <w:lang w:eastAsia="es-ES"/>
        </w:rPr>
      </w:pPr>
      <w:r>
        <w:rPr>
          <w:rFonts w:ascii="Century Gothic" w:eastAsia="Times New Roman" w:hAnsi="Century Gothic" w:cs="Arial"/>
          <w:bCs/>
          <w:lang w:eastAsia="es-ES"/>
        </w:rPr>
        <w:t>•</w:t>
      </w:r>
      <w:r>
        <w:rPr>
          <w:rFonts w:ascii="Century Gothic" w:eastAsia="Times New Roman" w:hAnsi="Century Gothic" w:cs="Arial"/>
          <w:bCs/>
          <w:lang w:eastAsia="es-ES"/>
        </w:rPr>
        <w:tab/>
        <w:t xml:space="preserve">En caso de conexión con equipos coubicados y velocidad de 1GBE se utilizará IEEE 802.3-2008 sección 3 1000BASE-SX 50 μm MMF (7.5 dB @ 850 nm, &lt; 550 m). El puerto debe configurarse en modo Full-Dúplex con auto negociación inactiva. </w:t>
      </w:r>
    </w:p>
    <w:p w:rsidR="0090207A" w:rsidRPr="00611019" w:rsidRDefault="00E56462" w:rsidP="00035D2C">
      <w:pPr>
        <w:ind w:start="21.25pt" w:hanging="17.85pt"/>
        <w:jc w:val="both"/>
        <w:rPr>
          <w:rFonts w:ascii="Century Gothic" w:eastAsia="Calibri" w:hAnsi="Century Gothic" w:cs="Times New Roman"/>
        </w:rPr>
      </w:pPr>
      <w:r>
        <w:rPr>
          <w:rFonts w:ascii="Century Gothic" w:eastAsia="Calibri" w:hAnsi="Century Gothic" w:cs="Times New Roman"/>
        </w:rPr>
        <w:t>•</w:t>
      </w:r>
      <w:r>
        <w:rPr>
          <w:rFonts w:ascii="Century Gothic" w:eastAsia="Calibri" w:hAnsi="Century Gothic" w:cs="Times New Roman"/>
        </w:rPr>
        <w:tab/>
        <w:t xml:space="preserve">En caso de conexión con equipos coubicados y velocidad de 10GBE se utilizará IEEE 802.3-2008 sección 3 10GBASE-SR 50 μm MMF (7.3dB @ 850 nm, &lt; 300 m). El puerto debe configurarse en modo Full-Dúplex con auto negociación inactiva. </w:t>
      </w:r>
    </w:p>
    <w:p w:rsidR="0090207A" w:rsidRPr="00611019" w:rsidRDefault="00E56462" w:rsidP="00035D2C">
      <w:pPr>
        <w:adjustRightInd w:val="0"/>
        <w:spacing w:after="6pt"/>
        <w:ind w:start="21.30pt" w:hanging="18pt"/>
        <w:jc w:val="both"/>
        <w:rPr>
          <w:rFonts w:ascii="Century Gothic" w:eastAsia="Times New Roman" w:hAnsi="Century Gothic" w:cs="Arial"/>
          <w:bCs/>
          <w:lang w:eastAsia="es-ES"/>
        </w:rPr>
      </w:pPr>
      <w:r>
        <w:rPr>
          <w:rFonts w:ascii="Century Gothic" w:eastAsia="Times New Roman" w:hAnsi="Century Gothic" w:cs="Arial"/>
          <w:bCs/>
          <w:lang w:eastAsia="es-ES"/>
        </w:rPr>
        <w:t>•</w:t>
      </w:r>
      <w:r>
        <w:rPr>
          <w:rFonts w:ascii="Century Gothic" w:eastAsia="Times New Roman" w:hAnsi="Century Gothic" w:cs="Arial"/>
          <w:bCs/>
          <w:lang w:eastAsia="es-ES"/>
        </w:rPr>
        <w:tab/>
        <w:t xml:space="preserve">Para el resto de los casos se negociará entre el CS y </w:t>
      </w:r>
      <w:r>
        <w:rPr>
          <w:rFonts w:ascii="Century Gothic" w:eastAsia="Times New Roman" w:hAnsi="Century Gothic" w:cs="Arial"/>
          <w:bCs/>
          <w:color w:val="000000"/>
          <w:lang w:val="es-ES_tradnl" w:eastAsia="es-ES"/>
        </w:rPr>
        <w:t xml:space="preserve">RED NACIONAL </w:t>
      </w:r>
      <w:r>
        <w:rPr>
          <w:rFonts w:ascii="Century Gothic" w:eastAsia="Times New Roman" w:hAnsi="Century Gothic" w:cs="Arial"/>
          <w:bCs/>
          <w:lang w:eastAsia="es-ES"/>
        </w:rPr>
        <w:t>el estándar a utilizar, teniendo en cuenta que el CS pueda requerir conectividad hasta distancias de 10Km en velocidades de 1Gbps.</w:t>
      </w:r>
    </w:p>
    <w:p w:rsidR="0090207A" w:rsidRPr="00611019" w:rsidRDefault="00E56462" w:rsidP="00035D2C">
      <w:pPr>
        <w:adjustRightInd w:val="0"/>
        <w:jc w:val="both"/>
        <w:rPr>
          <w:rFonts w:ascii="Century Gothic" w:eastAsia="Times New Roman" w:hAnsi="Century Gothic" w:cs="Arial"/>
          <w:bCs/>
          <w:lang w:eastAsia="es-ES"/>
        </w:rPr>
      </w:pPr>
      <w:r>
        <w:rPr>
          <w:rFonts w:ascii="Century Gothic" w:eastAsia="Times New Roman" w:hAnsi="Century Gothic" w:cs="Arial"/>
          <w:bCs/>
          <w:lang w:eastAsia="es-ES"/>
        </w:rPr>
        <w:t>Para el nivel regional:</w:t>
      </w:r>
    </w:p>
    <w:p w:rsidR="0090207A" w:rsidRPr="00611019" w:rsidRDefault="00E56462" w:rsidP="00035D2C">
      <w:pPr>
        <w:adjustRightInd w:val="0"/>
        <w:ind w:start="21.30pt" w:hanging="18pt"/>
        <w:jc w:val="both"/>
        <w:rPr>
          <w:rFonts w:ascii="Century Gothic" w:eastAsia="Times New Roman" w:hAnsi="Century Gothic" w:cs="Arial"/>
          <w:bCs/>
          <w:lang w:eastAsia="es-ES"/>
        </w:rPr>
      </w:pPr>
      <w:r>
        <w:rPr>
          <w:rFonts w:ascii="Century Gothic" w:eastAsia="Times New Roman" w:hAnsi="Century Gothic" w:cs="Arial"/>
          <w:bCs/>
          <w:lang w:eastAsia="es-ES"/>
        </w:rPr>
        <w:t>•</w:t>
      </w:r>
      <w:r>
        <w:rPr>
          <w:rFonts w:ascii="Century Gothic" w:eastAsia="Times New Roman" w:hAnsi="Century Gothic" w:cs="Arial"/>
          <w:bCs/>
          <w:lang w:eastAsia="es-ES"/>
        </w:rPr>
        <w:tab/>
        <w:t xml:space="preserve">1000Base-xx 1 GbE </w:t>
      </w:r>
    </w:p>
    <w:p w:rsidR="0090207A" w:rsidRPr="00611019" w:rsidRDefault="00E56462" w:rsidP="00035D2C">
      <w:pPr>
        <w:adjustRightInd w:val="0"/>
        <w:ind w:start="21.30pt" w:hanging="18pt"/>
        <w:jc w:val="both"/>
        <w:rPr>
          <w:rFonts w:ascii="Century Gothic" w:eastAsia="Times New Roman" w:hAnsi="Century Gothic" w:cs="Arial"/>
          <w:bCs/>
          <w:lang w:eastAsia="es-ES"/>
        </w:rPr>
      </w:pPr>
      <w:r>
        <w:rPr>
          <w:rFonts w:ascii="Century Gothic" w:eastAsia="Times New Roman" w:hAnsi="Century Gothic" w:cs="Arial"/>
          <w:bCs/>
          <w:lang w:eastAsia="es-ES"/>
        </w:rPr>
        <w:t>•</w:t>
      </w:r>
      <w:r>
        <w:rPr>
          <w:rFonts w:ascii="Century Gothic" w:eastAsia="Times New Roman" w:hAnsi="Century Gothic" w:cs="Arial"/>
          <w:bCs/>
          <w:lang w:eastAsia="es-ES"/>
        </w:rPr>
        <w:tab/>
        <w:t xml:space="preserve">10GBase-xx: 10 GbE </w:t>
      </w:r>
    </w:p>
    <w:p w:rsidR="0090207A" w:rsidRPr="00611019" w:rsidRDefault="00E56462" w:rsidP="00035D2C">
      <w:pPr>
        <w:adjustRightInd w:val="0"/>
        <w:ind w:start="21.30pt" w:hanging="18pt"/>
        <w:jc w:val="both"/>
        <w:rPr>
          <w:rFonts w:ascii="Century Gothic" w:eastAsia="Times New Roman" w:hAnsi="Century Gothic" w:cs="Arial"/>
          <w:bCs/>
          <w:lang w:eastAsia="es-ES"/>
        </w:rPr>
      </w:pPr>
      <w:r>
        <w:rPr>
          <w:rFonts w:ascii="Century Gothic" w:eastAsia="Times New Roman" w:hAnsi="Century Gothic" w:cs="Arial"/>
          <w:bCs/>
          <w:lang w:eastAsia="es-ES"/>
        </w:rPr>
        <w:t>•</w:t>
      </w:r>
      <w:r>
        <w:rPr>
          <w:rFonts w:ascii="Century Gothic" w:eastAsia="Times New Roman" w:hAnsi="Century Gothic" w:cs="Arial"/>
          <w:bCs/>
          <w:lang w:eastAsia="es-ES"/>
        </w:rPr>
        <w:tab/>
        <w:t xml:space="preserve">En caso de conexión con equipos coubicados y velocidad de 1GBE se utilizará IEEE 802.3-2008 sección 3 1000BASE-SX 50 μm MMF (7.5 dB @ 850 nm, &lt; 550 m). El puerto debe configurarse en modo Full-Dúplex con auto negociación inactiva. </w:t>
      </w:r>
    </w:p>
    <w:p w:rsidR="0090207A" w:rsidRPr="00611019" w:rsidRDefault="00E56462" w:rsidP="00035D2C">
      <w:pPr>
        <w:ind w:start="21.30pt" w:hanging="18pt"/>
        <w:jc w:val="both"/>
        <w:rPr>
          <w:rFonts w:ascii="Century Gothic" w:eastAsia="Calibri" w:hAnsi="Century Gothic" w:cs="Times New Roman"/>
        </w:rPr>
      </w:pPr>
      <w:r>
        <w:rPr>
          <w:rFonts w:ascii="Century Gothic" w:eastAsia="Calibri" w:hAnsi="Century Gothic" w:cs="Times New Roman"/>
        </w:rPr>
        <w:t>•</w:t>
      </w:r>
      <w:r>
        <w:rPr>
          <w:rFonts w:ascii="Century Gothic" w:eastAsia="Calibri" w:hAnsi="Century Gothic" w:cs="Times New Roman"/>
        </w:rPr>
        <w:tab/>
        <w:t xml:space="preserve">En caso de conexión con equipos coubicados y velocidad de 10GBE se utilizará IEEE 802.3-2008 sección 3 10GBASE-SR 50 μm MMF (7.3dB @ 850 nm, &lt; 300 m). El puerto debe configurarse en modo Full-Dúplex con auto negociación inactiva. </w:t>
      </w:r>
    </w:p>
    <w:p w:rsidR="0090207A" w:rsidRPr="00611019" w:rsidRDefault="00E56462" w:rsidP="00035D2C">
      <w:pPr>
        <w:adjustRightInd w:val="0"/>
        <w:spacing w:after="6pt"/>
        <w:ind w:start="21.30pt" w:hanging="18pt"/>
        <w:jc w:val="both"/>
        <w:rPr>
          <w:rFonts w:ascii="Century Gothic" w:eastAsia="Times New Roman" w:hAnsi="Century Gothic" w:cs="Arial"/>
          <w:bCs/>
          <w:lang w:eastAsia="es-ES"/>
        </w:rPr>
      </w:pPr>
      <w:r>
        <w:rPr>
          <w:rFonts w:ascii="Century Gothic" w:eastAsia="Times New Roman" w:hAnsi="Century Gothic" w:cs="Arial"/>
          <w:bCs/>
          <w:lang w:eastAsia="es-ES"/>
        </w:rPr>
        <w:t>•</w:t>
      </w:r>
      <w:r>
        <w:rPr>
          <w:rFonts w:ascii="Century Gothic" w:eastAsia="Times New Roman" w:hAnsi="Century Gothic" w:cs="Arial"/>
          <w:bCs/>
          <w:lang w:eastAsia="es-ES"/>
        </w:rPr>
        <w:tab/>
        <w:t xml:space="preserve">Para el resto de los casos se negociará entre el CS y RED NACIONAL el estándar a utilizar. </w:t>
      </w:r>
    </w:p>
    <w:p w:rsidR="0090207A" w:rsidRPr="00611019" w:rsidRDefault="00E56462" w:rsidP="00035D2C">
      <w:pPr>
        <w:adjustRightInd w:val="0"/>
        <w:jc w:val="both"/>
        <w:rPr>
          <w:rFonts w:ascii="Century Gothic" w:eastAsia="Times New Roman" w:hAnsi="Century Gothic" w:cs="Arial"/>
          <w:bCs/>
          <w:lang w:eastAsia="es-ES"/>
        </w:rPr>
      </w:pPr>
      <w:r>
        <w:rPr>
          <w:rFonts w:ascii="Century Gothic" w:eastAsia="Times New Roman" w:hAnsi="Century Gothic" w:cs="Arial"/>
          <w:bCs/>
          <w:lang w:eastAsia="es-ES"/>
        </w:rPr>
        <w:t>Para el nivel nacional:</w:t>
      </w:r>
    </w:p>
    <w:p w:rsidR="0090207A" w:rsidRPr="00611019" w:rsidRDefault="00E56462" w:rsidP="00035D2C">
      <w:pPr>
        <w:adjustRightInd w:val="0"/>
        <w:ind w:start="21.30pt" w:hanging="17.85pt"/>
        <w:jc w:val="both"/>
        <w:rPr>
          <w:rFonts w:ascii="Century Gothic" w:eastAsia="Times New Roman" w:hAnsi="Century Gothic" w:cs="Arial"/>
          <w:bCs/>
          <w:lang w:eastAsia="es-ES"/>
        </w:rPr>
      </w:pPr>
      <w:r>
        <w:rPr>
          <w:rFonts w:ascii="Century Gothic" w:eastAsia="Times New Roman" w:hAnsi="Century Gothic" w:cs="Arial"/>
          <w:bCs/>
          <w:lang w:eastAsia="es-ES"/>
        </w:rPr>
        <w:t>•</w:t>
      </w:r>
      <w:r>
        <w:rPr>
          <w:rFonts w:ascii="Century Gothic" w:eastAsia="Times New Roman" w:hAnsi="Century Gothic" w:cs="Arial"/>
          <w:bCs/>
          <w:lang w:eastAsia="es-ES"/>
        </w:rPr>
        <w:tab/>
        <w:t>1000Base-xx 1 GbE, Según IEEE 802.3-2008 sección 3 1000BASE-SX 50 μm MMF (7.5 dB @ 850 nm, &lt; 550 m). El puerto debe configurarse en modo Full-Duplex con auto negociación inactiva.</w:t>
      </w:r>
    </w:p>
    <w:p w:rsidR="0090207A" w:rsidRPr="00611019" w:rsidRDefault="00E56462" w:rsidP="00035D2C">
      <w:pPr>
        <w:adjustRightInd w:val="0"/>
        <w:ind w:start="21.30pt" w:hanging="17.85pt"/>
        <w:jc w:val="both"/>
        <w:rPr>
          <w:rFonts w:ascii="Century Gothic" w:eastAsia="Times New Roman" w:hAnsi="Century Gothic" w:cs="Arial"/>
          <w:bCs/>
          <w:lang w:eastAsia="es-ES"/>
        </w:rPr>
      </w:pPr>
      <w:r>
        <w:rPr>
          <w:rFonts w:ascii="Century Gothic" w:eastAsia="Times New Roman" w:hAnsi="Century Gothic" w:cs="Arial"/>
          <w:bCs/>
          <w:lang w:eastAsia="es-ES"/>
        </w:rPr>
        <w:t>•</w:t>
      </w:r>
      <w:r>
        <w:rPr>
          <w:rFonts w:ascii="Century Gothic" w:eastAsia="Times New Roman" w:hAnsi="Century Gothic" w:cs="Arial"/>
          <w:bCs/>
          <w:lang w:eastAsia="es-ES"/>
        </w:rPr>
        <w:tab/>
        <w:t xml:space="preserve">10GBase-xx: 10 GbE. </w:t>
      </w:r>
    </w:p>
    <w:p w:rsidR="0090207A" w:rsidRPr="00611019" w:rsidRDefault="00E56462" w:rsidP="00035D2C">
      <w:pPr>
        <w:adjustRightInd w:val="0"/>
        <w:ind w:start="21.30pt" w:hanging="17.85pt"/>
        <w:jc w:val="both"/>
        <w:rPr>
          <w:rFonts w:ascii="Century Gothic" w:eastAsia="Times New Roman" w:hAnsi="Century Gothic" w:cs="Arial"/>
          <w:bCs/>
          <w:lang w:eastAsia="es-ES"/>
        </w:rPr>
      </w:pPr>
      <w:r>
        <w:rPr>
          <w:rFonts w:ascii="Century Gothic" w:eastAsia="Times New Roman" w:hAnsi="Century Gothic" w:cs="Arial"/>
          <w:bCs/>
          <w:lang w:eastAsia="es-ES"/>
        </w:rPr>
        <w:t>•</w:t>
      </w:r>
      <w:r>
        <w:rPr>
          <w:rFonts w:ascii="Century Gothic" w:eastAsia="Times New Roman" w:hAnsi="Century Gothic" w:cs="Arial"/>
          <w:bCs/>
          <w:lang w:eastAsia="es-ES"/>
        </w:rPr>
        <w:tab/>
        <w:t>En caso de conexión con equipos coubicados y velocidad de 1GBE se utilizará IEEE 802.3-2008 sección 3 1000BASE-SX 50 μm MMF (7.5 dB @ 850 nm, &lt; 550 m). El puerto debe configurarse en modo Full-Dúplex con auto negociación inactiva.</w:t>
      </w:r>
    </w:p>
    <w:p w:rsidR="0090207A" w:rsidRPr="00611019" w:rsidRDefault="00E56462" w:rsidP="00035D2C">
      <w:pPr>
        <w:spacing w:after="6pt"/>
        <w:ind w:start="21.30pt" w:hanging="18pt"/>
        <w:jc w:val="both"/>
        <w:rPr>
          <w:rFonts w:ascii="Century Gothic" w:eastAsia="Calibri" w:hAnsi="Century Gothic" w:cs="Times New Roman"/>
        </w:rPr>
      </w:pPr>
      <w:r>
        <w:rPr>
          <w:rFonts w:ascii="Century Gothic" w:eastAsia="Calibri" w:hAnsi="Century Gothic" w:cs="Times New Roman"/>
        </w:rPr>
        <w:lastRenderedPageBreak/>
        <w:t>•</w:t>
      </w:r>
      <w:r>
        <w:rPr>
          <w:rFonts w:ascii="Century Gothic" w:eastAsia="Calibri" w:hAnsi="Century Gothic" w:cs="Times New Roman"/>
        </w:rPr>
        <w:tab/>
        <w:t xml:space="preserve">En caso de conexión con equipos coubicados y velocidad de 10GBE se utilizará IEEE 802.3-2008 sección 3 10GBASE-SR 50 μm MMF (7.3dB @ 850 nm, &lt; 300 m). El puerto debe configurarse en modo Full-Dúplex con auto negociación inactiva. </w:t>
      </w:r>
    </w:p>
    <w:p w:rsidR="0090207A" w:rsidRPr="00611019" w:rsidRDefault="00E56462" w:rsidP="00035D2C">
      <w:pPr>
        <w:adjustRightInd w:val="0"/>
        <w:jc w:val="both"/>
        <w:rPr>
          <w:rFonts w:ascii="Century Gothic" w:eastAsia="Times New Roman" w:hAnsi="Century Gothic" w:cs="Arial"/>
          <w:bCs/>
          <w:lang w:eastAsia="es-ES"/>
        </w:rPr>
      </w:pPr>
      <w:r>
        <w:rPr>
          <w:rFonts w:ascii="Century Gothic" w:eastAsia="Times New Roman" w:hAnsi="Century Gothic" w:cs="Arial"/>
          <w:bCs/>
          <w:lang w:eastAsia="es-ES"/>
        </w:rPr>
        <w:t xml:space="preserve">Las características técnicas de la interfaz (pCAI) son: </w:t>
      </w:r>
    </w:p>
    <w:p w:rsidR="0090207A" w:rsidRPr="00611019" w:rsidRDefault="00E56462" w:rsidP="00035D2C">
      <w:pPr>
        <w:adjustRightInd w:val="0"/>
        <w:ind w:start="21.30pt" w:hanging="18pt"/>
        <w:jc w:val="both"/>
        <w:rPr>
          <w:rFonts w:ascii="Century Gothic" w:eastAsia="Times New Roman" w:hAnsi="Century Gothic" w:cs="Arial"/>
          <w:bCs/>
          <w:lang w:eastAsia="es-ES"/>
        </w:rPr>
      </w:pPr>
      <w:r>
        <w:rPr>
          <w:rFonts w:ascii="Century Gothic" w:eastAsia="Times New Roman" w:hAnsi="Century Gothic" w:cs="Arial"/>
          <w:bCs/>
          <w:lang w:eastAsia="es-ES"/>
        </w:rPr>
        <w:t>•</w:t>
      </w:r>
      <w:r>
        <w:rPr>
          <w:rFonts w:ascii="Century Gothic" w:eastAsia="Times New Roman" w:hAnsi="Century Gothic" w:cs="Arial"/>
          <w:bCs/>
          <w:lang w:eastAsia="es-ES"/>
        </w:rPr>
        <w:tab/>
        <w:t xml:space="preserve">El tipo de fibra a utilizar será la correspondiente a los interfaces estandarizados en IEEE 802.3-2008. Los conectores de remate en el DFO deben ser SC/UPC. </w:t>
      </w:r>
    </w:p>
    <w:p w:rsidR="0090207A" w:rsidRPr="00611019" w:rsidRDefault="0090207A" w:rsidP="00035D2C">
      <w:pPr>
        <w:adjustRightInd w:val="0"/>
        <w:spacing w:after="6pt"/>
        <w:ind w:start="78.55pt"/>
        <w:jc w:val="both"/>
        <w:rPr>
          <w:rFonts w:ascii="Century Gothic" w:eastAsia="Times New Roman" w:hAnsi="Century Gothic" w:cs="Arial"/>
          <w:bCs/>
          <w:lang w:eastAsia="es-ES"/>
        </w:rPr>
      </w:pPr>
    </w:p>
    <w:p w:rsidR="0090207A" w:rsidRPr="00611019" w:rsidRDefault="00E56462" w:rsidP="00035D2C">
      <w:pPr>
        <w:keepNext/>
        <w:spacing w:after="6pt"/>
        <w:ind w:start="56.70pt" w:hanging="56.70pt"/>
        <w:jc w:val="both"/>
        <w:outlineLvl w:val="1"/>
        <w:rPr>
          <w:rFonts w:ascii="Century Gothic" w:eastAsia="Times New Roman" w:hAnsi="Century Gothic" w:cs="Arial"/>
          <w:b/>
          <w:bCs/>
        </w:rPr>
      </w:pPr>
      <w:bookmarkStart w:id="1552" w:name="_Toc107502285"/>
      <w:bookmarkStart w:id="1553" w:name="_Toc115739144"/>
      <w:bookmarkStart w:id="1554" w:name="_Toc125393381"/>
      <w:bookmarkStart w:id="1555" w:name="_Toc148702237"/>
      <w:bookmarkStart w:id="1556" w:name="_Toc170381858"/>
      <w:r>
        <w:rPr>
          <w:rFonts w:ascii="Century Gothic" w:eastAsia="Times New Roman" w:hAnsi="Century Gothic" w:cs="Arial"/>
          <w:b/>
          <w:bCs/>
        </w:rPr>
        <w:t>8.5 Plan de VLAN: SCyD-Local, Regional y Nacional</w:t>
      </w:r>
      <w:bookmarkEnd w:id="1552"/>
      <w:bookmarkEnd w:id="1553"/>
      <w:bookmarkEnd w:id="1554"/>
      <w:bookmarkEnd w:id="1555"/>
      <w:bookmarkEnd w:id="1556"/>
      <w:r>
        <w:rPr>
          <w:rFonts w:ascii="Century Gothic" w:eastAsia="Times New Roman" w:hAnsi="Century Gothic" w:cs="Arial"/>
          <w:b/>
          <w:bCs/>
        </w:rPr>
        <w:t>.</w:t>
      </w:r>
    </w:p>
    <w:p w:rsidR="0090207A" w:rsidRPr="00611019" w:rsidRDefault="00E56462" w:rsidP="00035D2C">
      <w:p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Para la asignación de los identificadores de S-VLAN de servicio, se requiere una administración del plan de S-VLAN, la cual contempla:</w:t>
      </w:r>
    </w:p>
    <w:p w:rsidR="0090207A" w:rsidRPr="00611019" w:rsidRDefault="00E56462" w:rsidP="00035D2C">
      <w:pPr>
        <w:adjustRightInd w:val="0"/>
        <w:spacing w:after="6pt"/>
        <w:ind w:start="21.30pt" w:hanging="18pt"/>
        <w:jc w:val="both"/>
        <w:rPr>
          <w:rFonts w:ascii="Century Gothic" w:eastAsia="Times New Roman" w:hAnsi="Century Gothic" w:cs="Arial"/>
          <w:bCs/>
          <w:lang w:eastAsia="es-ES"/>
        </w:rPr>
      </w:pPr>
      <w:r>
        <w:rPr>
          <w:rFonts w:ascii="Century Gothic" w:eastAsia="Times New Roman" w:hAnsi="Century Gothic" w:cs="Arial"/>
          <w:bCs/>
          <w:lang w:eastAsia="es-ES"/>
        </w:rPr>
        <w:t>•</w:t>
      </w:r>
      <w:r>
        <w:rPr>
          <w:rFonts w:ascii="Century Gothic" w:eastAsia="Times New Roman" w:hAnsi="Century Gothic" w:cs="Arial"/>
          <w:bCs/>
          <w:lang w:eastAsia="es-ES"/>
        </w:rPr>
        <w:tab/>
        <w:t>Configurar una S-VLAN para el intercambio de tráfico de SAIB entre cada equipo de acceso (DSLAM/OLT) y el pCAI de conexión al CS.</w:t>
      </w:r>
    </w:p>
    <w:p w:rsidR="0090207A" w:rsidRPr="00611019" w:rsidRDefault="00E56462" w:rsidP="00035D2C">
      <w:pPr>
        <w:adjustRightInd w:val="0"/>
        <w:spacing w:after="6pt"/>
        <w:ind w:start="21.30pt" w:hanging="18pt"/>
        <w:jc w:val="both"/>
        <w:rPr>
          <w:rFonts w:ascii="Century Gothic" w:eastAsia="Times New Roman" w:hAnsi="Century Gothic" w:cs="Arial"/>
          <w:bCs/>
          <w:lang w:eastAsia="es-ES"/>
        </w:rPr>
      </w:pPr>
      <w:r>
        <w:rPr>
          <w:rFonts w:ascii="Century Gothic" w:eastAsia="Times New Roman" w:hAnsi="Century Gothic" w:cs="Arial"/>
          <w:bCs/>
          <w:lang w:eastAsia="es-ES"/>
        </w:rPr>
        <w:t>•</w:t>
      </w:r>
      <w:r>
        <w:rPr>
          <w:rFonts w:ascii="Century Gothic" w:eastAsia="Times New Roman" w:hAnsi="Century Gothic" w:cs="Arial"/>
          <w:bCs/>
          <w:lang w:eastAsia="es-ES"/>
        </w:rPr>
        <w:tab/>
        <w:t>Configurar las S-VLAN necesarias en tantos pCAI como requiera el CS para el intercambio de tráfico proveniente de diferentes equipos de acceso (DSLAM/OLT).</w:t>
      </w:r>
    </w:p>
    <w:p w:rsidR="0090207A" w:rsidRPr="00611019" w:rsidRDefault="00E56462" w:rsidP="00035D2C">
      <w:pPr>
        <w:adjustRightInd w:val="0"/>
        <w:spacing w:after="6pt"/>
        <w:ind w:start="21.30pt" w:hanging="18pt"/>
        <w:jc w:val="both"/>
        <w:rPr>
          <w:rFonts w:ascii="Century Gothic" w:eastAsia="Times New Roman" w:hAnsi="Century Gothic" w:cs="Arial"/>
          <w:bCs/>
          <w:lang w:eastAsia="es-ES"/>
        </w:rPr>
      </w:pPr>
      <w:r>
        <w:rPr>
          <w:rFonts w:ascii="Century Gothic" w:eastAsia="Times New Roman" w:hAnsi="Century Gothic" w:cs="Arial"/>
          <w:bCs/>
          <w:lang w:eastAsia="es-ES"/>
        </w:rPr>
        <w:t>•</w:t>
      </w:r>
      <w:r>
        <w:rPr>
          <w:rFonts w:ascii="Century Gothic" w:eastAsia="Times New Roman" w:hAnsi="Century Gothic" w:cs="Arial"/>
          <w:bCs/>
          <w:lang w:eastAsia="es-ES"/>
        </w:rPr>
        <w:tab/>
        <w:t>Validar que en la asignación de identificadores de S-VLAN en un pCAI no existan duplicidades. Los identificadores de S-VLAN son únicos e irrepetibles en un dominio administrativo, no obstante, se pueden repetir en diferentes dominios administrativos.</w:t>
      </w:r>
    </w:p>
    <w:p w:rsidR="0090207A" w:rsidRPr="00611019" w:rsidRDefault="00E56462" w:rsidP="00035D2C">
      <w:pPr>
        <w:adjustRightInd w:val="0"/>
        <w:spacing w:after="6pt"/>
        <w:ind w:start="21.30pt" w:hanging="18pt"/>
        <w:jc w:val="both"/>
        <w:rPr>
          <w:rFonts w:ascii="Century Gothic" w:eastAsia="Times New Roman" w:hAnsi="Century Gothic" w:cs="Arial"/>
          <w:bCs/>
          <w:lang w:eastAsia="es-ES"/>
        </w:rPr>
      </w:pPr>
      <w:r>
        <w:rPr>
          <w:rFonts w:ascii="Century Gothic" w:eastAsia="Times New Roman" w:hAnsi="Century Gothic" w:cs="Arial"/>
          <w:bCs/>
          <w:lang w:eastAsia="es-ES"/>
        </w:rPr>
        <w:t>•</w:t>
      </w:r>
      <w:r>
        <w:rPr>
          <w:rFonts w:ascii="Century Gothic" w:eastAsia="Times New Roman" w:hAnsi="Century Gothic" w:cs="Arial"/>
          <w:bCs/>
          <w:lang w:eastAsia="es-ES"/>
        </w:rPr>
        <w:tab/>
        <w:t>Validar que para cada equipo de acceso sólo se asigna una S-VLAN por CS.</w:t>
      </w:r>
    </w:p>
    <w:p w:rsidR="0090207A" w:rsidRPr="00611019" w:rsidRDefault="00E56462" w:rsidP="00035D2C">
      <w:pPr>
        <w:adjustRightInd w:val="0"/>
        <w:ind w:start="21.30pt" w:hanging="18pt"/>
        <w:jc w:val="both"/>
        <w:rPr>
          <w:rFonts w:ascii="Century Gothic" w:eastAsia="Times New Roman" w:hAnsi="Century Gothic" w:cs="Arial"/>
          <w:bCs/>
          <w:lang w:eastAsia="es-ES"/>
        </w:rPr>
      </w:pPr>
      <w:r>
        <w:rPr>
          <w:rFonts w:ascii="Century Gothic" w:eastAsia="Times New Roman" w:hAnsi="Century Gothic" w:cs="Arial"/>
          <w:bCs/>
          <w:lang w:eastAsia="es-ES"/>
        </w:rPr>
        <w:t>•</w:t>
      </w:r>
      <w:r>
        <w:rPr>
          <w:rFonts w:ascii="Century Gothic" w:eastAsia="Times New Roman" w:hAnsi="Century Gothic" w:cs="Arial"/>
          <w:bCs/>
          <w:lang w:eastAsia="es-ES"/>
        </w:rPr>
        <w:tab/>
        <w:t>Tampoco puede haber duplicidades de las C-VLAN en el ámbito de la misma S-VLAN</w:t>
      </w:r>
    </w:p>
    <w:p w:rsidR="00204BC4" w:rsidRDefault="00204BC4" w:rsidP="00204BC4">
      <w:pPr>
        <w:jc w:val="both"/>
        <w:rPr>
          <w:rFonts w:ascii="Century Gothic" w:eastAsia="Calibri" w:hAnsi="Century Gothic" w:cs="Times New Roman"/>
          <w:b/>
        </w:rPr>
      </w:pPr>
    </w:p>
    <w:p w:rsidR="0090207A" w:rsidRPr="00611019" w:rsidRDefault="00E56462" w:rsidP="00035D2C">
      <w:pPr>
        <w:spacing w:after="6pt"/>
        <w:jc w:val="both"/>
        <w:rPr>
          <w:rFonts w:ascii="Century Gothic" w:eastAsia="Calibri" w:hAnsi="Century Gothic" w:cs="Times New Roman"/>
          <w:b/>
        </w:rPr>
      </w:pPr>
      <w:r>
        <w:rPr>
          <w:rFonts w:ascii="Century Gothic" w:eastAsia="Calibri" w:hAnsi="Century Gothic" w:cs="Times New Roman"/>
          <w:b/>
        </w:rPr>
        <w:t>Dimensionamiento de los pCAI y control de tráfico.</w:t>
      </w:r>
    </w:p>
    <w:p w:rsidR="0090207A" w:rsidRPr="00611019" w:rsidRDefault="00E56462" w:rsidP="00035D2C">
      <w:pPr>
        <w:spacing w:after="6pt"/>
        <w:jc w:val="both"/>
        <w:rPr>
          <w:rFonts w:ascii="Century Gothic" w:eastAsia="Calibri" w:hAnsi="Century Gothic" w:cs="Times New Roman"/>
        </w:rPr>
      </w:pPr>
      <w:r>
        <w:rPr>
          <w:rFonts w:ascii="Century Gothic" w:eastAsia="Calibri" w:hAnsi="Century Gothic" w:cs="Times New Roman"/>
        </w:rPr>
        <w:t xml:space="preserve">Como se menciona anteriormente el pCAI es la interfaz en la que se entrega el tráfico de un CS correspondiente a un determinado conjunto de equipos de acceso (DSLAM/OLT). </w:t>
      </w:r>
    </w:p>
    <w:p w:rsidR="0090207A" w:rsidRPr="00611019" w:rsidRDefault="00E56462" w:rsidP="00035D2C">
      <w:pPr>
        <w:jc w:val="both"/>
        <w:rPr>
          <w:rFonts w:ascii="Century Gothic" w:eastAsia="Calibri" w:hAnsi="Century Gothic" w:cs="Times New Roman"/>
        </w:rPr>
      </w:pPr>
      <w:r>
        <w:rPr>
          <w:rFonts w:ascii="Century Gothic" w:eastAsia="Calibri" w:hAnsi="Century Gothic" w:cs="Times New Roman"/>
        </w:rPr>
        <w:t xml:space="preserve">El CS definirá los nodos (NCAI) en que deberán habilitarse los puertos (pCAI) para el intercambio de tráfico del SAIB. La capacidad del puerto será la necesaria y suficiente para que el tráfico de los </w:t>
      </w:r>
      <w:r w:rsidR="006760FC">
        <w:rPr>
          <w:rFonts w:ascii="Century Gothic" w:eastAsia="Calibri" w:hAnsi="Century Gothic" w:cs="Times New Roman"/>
        </w:rPr>
        <w:t>CS</w:t>
      </w:r>
      <w:r>
        <w:rPr>
          <w:rFonts w:ascii="Century Gothic" w:eastAsia="Calibri" w:hAnsi="Century Gothic" w:cs="Times New Roman"/>
        </w:rPr>
        <w:t xml:space="preserve"> cumpla con los parámetros de calidad de acuerdo a su clase de servicio. En cada NCAI, RED NACIONAL habilitará el puerto o puertos de interconexión para el SAIB con el CS. Por su parte el CS hará lo propio en su lado de la interfaz de red.</w:t>
      </w:r>
    </w:p>
    <w:p w:rsidR="0090207A" w:rsidRPr="00611019" w:rsidRDefault="0090207A" w:rsidP="00035D2C">
      <w:pPr>
        <w:jc w:val="both"/>
        <w:rPr>
          <w:rFonts w:ascii="Century Gothic" w:eastAsia="Calibri" w:hAnsi="Century Gothic" w:cs="Times New Roman"/>
        </w:rPr>
      </w:pPr>
    </w:p>
    <w:p w:rsidR="0090207A" w:rsidRPr="00611019" w:rsidRDefault="00E56462" w:rsidP="00035D2C">
      <w:pPr>
        <w:spacing w:after="6pt"/>
        <w:jc w:val="both"/>
        <w:rPr>
          <w:rFonts w:ascii="Century Gothic" w:eastAsia="Calibri" w:hAnsi="Century Gothic" w:cs="Times New Roman"/>
          <w:b/>
        </w:rPr>
      </w:pPr>
      <w:r>
        <w:rPr>
          <w:rFonts w:ascii="Century Gothic" w:eastAsia="Calibri" w:hAnsi="Century Gothic" w:cs="Times New Roman"/>
          <w:b/>
        </w:rPr>
        <w:t>Dimensionamiento de los pCAI.</w:t>
      </w:r>
    </w:p>
    <w:p w:rsidR="0090207A" w:rsidRPr="00611019" w:rsidRDefault="00E56462" w:rsidP="00035D2C">
      <w:pPr>
        <w:jc w:val="both"/>
        <w:rPr>
          <w:rFonts w:ascii="Century Gothic" w:eastAsia="Calibri" w:hAnsi="Century Gothic" w:cs="Times New Roman"/>
        </w:rPr>
      </w:pPr>
      <w:r>
        <w:rPr>
          <w:rFonts w:ascii="Century Gothic" w:eastAsia="Calibri" w:hAnsi="Century Gothic" w:cs="Times New Roman"/>
        </w:rPr>
        <w:t>El dimensionamiento de estos puertos será el necesario para soportar el tráfico intercambiado de acuerdo al número de equipos de acceso conectados vía S-VLAN al pCAI el número de usuarios activos, sus perfiles de servicio y la calidad establecida para el servicio.</w:t>
      </w:r>
    </w:p>
    <w:p w:rsidR="0090207A" w:rsidRDefault="0090207A" w:rsidP="00035D2C">
      <w:pPr>
        <w:jc w:val="both"/>
        <w:rPr>
          <w:rFonts w:ascii="Century Gothic" w:eastAsia="Calibri" w:hAnsi="Century Gothic" w:cs="Times New Roman"/>
        </w:rPr>
      </w:pP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b/>
          <w:color w:val="000000"/>
          <w:lang w:val="es-ES_tradnl" w:eastAsia="es-ES"/>
        </w:rPr>
        <w:t>Control de tráfico (descendente) por CS.</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lastRenderedPageBreak/>
        <w:t>En sentido descendente (desde pCAI a DSLAM/OLT) se establecerán los mecanismos necesarios en la red Ethernet para asegurar el correcto funcionamiento de los Servicios y la no interferencia de unos sobre otros. Este aspecto es particularmente relevante entre Servicios de CS diferentes.</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Se podrán establecer por RED NACIONAL las medidas siguientes: </w:t>
      </w:r>
    </w:p>
    <w:p w:rsidR="0090207A" w:rsidRPr="00611019" w:rsidRDefault="00E56462" w:rsidP="00035D2C">
      <w:pPr>
        <w:adjustRightInd w:val="0"/>
        <w:spacing w:after="6pt"/>
        <w:ind w:start="21.30pt" w:hanging="17.85pt"/>
        <w:jc w:val="both"/>
        <w:rPr>
          <w:rFonts w:ascii="Century Gothic" w:eastAsia="Times New Roman" w:hAnsi="Century Gothic" w:cs="Arial"/>
          <w:bCs/>
          <w:lang w:eastAsia="es-ES"/>
        </w:rPr>
      </w:pPr>
      <w:r>
        <w:rPr>
          <w:rFonts w:ascii="Century Gothic" w:eastAsia="Times New Roman" w:hAnsi="Century Gothic" w:cs="Arial"/>
          <w:bCs/>
          <w:lang w:eastAsia="es-ES"/>
        </w:rPr>
        <w:t>•</w:t>
      </w:r>
      <w:r>
        <w:rPr>
          <w:rFonts w:ascii="Century Gothic" w:eastAsia="Times New Roman" w:hAnsi="Century Gothic" w:cs="Arial"/>
          <w:bCs/>
          <w:lang w:eastAsia="es-ES"/>
        </w:rPr>
        <w:tab/>
        <w:t>Medidas de protección contra bucles físicos. En el puerto pCAI, el NCAI de la red Ethernet podrá bloquear el puerto cuando detecte un bucle físico y quedará bloqueado mientras perdure el bucle.</w:t>
      </w:r>
    </w:p>
    <w:p w:rsidR="0090207A" w:rsidRPr="00611019" w:rsidRDefault="00E56462" w:rsidP="00035D2C">
      <w:pPr>
        <w:adjustRightInd w:val="0"/>
        <w:ind w:start="21.30pt" w:hanging="18pt"/>
        <w:jc w:val="both"/>
        <w:rPr>
          <w:rFonts w:ascii="Century Gothic" w:eastAsia="Times New Roman" w:hAnsi="Century Gothic" w:cs="Arial"/>
          <w:b/>
          <w:bCs/>
          <w:lang w:eastAsia="es-ES"/>
        </w:rPr>
      </w:pPr>
      <w:r>
        <w:rPr>
          <w:rFonts w:ascii="Century Gothic" w:eastAsia="Times New Roman" w:hAnsi="Century Gothic" w:cs="Arial"/>
          <w:bCs/>
          <w:lang w:eastAsia="es-ES"/>
        </w:rPr>
        <w:t>•</w:t>
      </w:r>
      <w:r>
        <w:rPr>
          <w:rFonts w:ascii="Century Gothic" w:eastAsia="Times New Roman" w:hAnsi="Century Gothic" w:cs="Arial"/>
          <w:bCs/>
          <w:lang w:eastAsia="es-ES"/>
        </w:rPr>
        <w:tab/>
        <w:t xml:space="preserve">Medidas de protección contra saturación de interfaces. Para evitar que errores de configuración u otro tipo de problemas en los módems/router de los </w:t>
      </w:r>
      <w:r w:rsidR="006760FC">
        <w:rPr>
          <w:rFonts w:ascii="Century Gothic" w:eastAsia="Times New Roman" w:hAnsi="Century Gothic" w:cs="Arial"/>
          <w:bCs/>
          <w:lang w:eastAsia="es-ES"/>
        </w:rPr>
        <w:t>CS</w:t>
      </w:r>
      <w:r>
        <w:rPr>
          <w:rFonts w:ascii="Century Gothic" w:eastAsia="Times New Roman" w:hAnsi="Century Gothic" w:cs="Arial"/>
          <w:bCs/>
          <w:lang w:eastAsia="es-ES"/>
        </w:rPr>
        <w:t xml:space="preserve"> puedan provocar saturación en alguno de los enlaces (GbE) entre nodo NCAI y DSLAM/OLT, se aplicará un rate limit por S-VLAN entre pCAI y DSLAM/OLT. Este límite permitirá el funcionamiento normal de todos los servicios de acuerdo con la calidad establecida mediante los correspondientes parámetros de calidad. Este rate_limit se realizará con base en la capacidad agregada del Servicio por S-VLAN y respetará los bits de prioridad incluidos en las C-VLAN.</w:t>
      </w:r>
    </w:p>
    <w:p w:rsidR="0090207A" w:rsidRPr="00611019" w:rsidRDefault="0090207A" w:rsidP="00035D2C">
      <w:pPr>
        <w:jc w:val="both"/>
        <w:rPr>
          <w:rFonts w:ascii="Century Gothic" w:eastAsia="Calibri" w:hAnsi="Century Gothic" w:cs="Arial"/>
          <w:b/>
          <w:color w:val="000000"/>
          <w:lang w:val="es-ES_tradnl" w:eastAsia="es-ES"/>
        </w:rPr>
      </w:pPr>
    </w:p>
    <w:p w:rsidR="0090207A" w:rsidRPr="00611019" w:rsidRDefault="00E56462" w:rsidP="00035D2C">
      <w:pPr>
        <w:spacing w:after="6pt"/>
        <w:jc w:val="both"/>
        <w:rPr>
          <w:rFonts w:ascii="Century Gothic" w:eastAsia="Calibri" w:hAnsi="Century Gothic" w:cs="Arial"/>
          <w:b/>
          <w:color w:val="000000"/>
          <w:lang w:val="es-ES_tradnl" w:eastAsia="es-ES"/>
        </w:rPr>
      </w:pPr>
      <w:r>
        <w:rPr>
          <w:rFonts w:ascii="Century Gothic" w:eastAsia="Calibri" w:hAnsi="Century Gothic" w:cs="Arial"/>
          <w:b/>
          <w:color w:val="000000"/>
          <w:lang w:val="es-ES_tradnl" w:eastAsia="es-ES"/>
        </w:rPr>
        <w:t>Control de tráfico (ascendente) por RED NACIONAL.</w:t>
      </w:r>
    </w:p>
    <w:p w:rsidR="0090207A" w:rsidRPr="00611019" w:rsidRDefault="00E56462" w:rsidP="00035D2C">
      <w:pPr>
        <w:adjustRightInd w:val="0"/>
        <w:ind w:start="21.30pt" w:hanging="18pt"/>
        <w:jc w:val="both"/>
        <w:rPr>
          <w:rFonts w:ascii="Century Gothic" w:eastAsia="Times New Roman" w:hAnsi="Century Gothic" w:cs="Arial"/>
          <w:bCs/>
          <w:lang w:eastAsia="es-ES"/>
        </w:rPr>
      </w:pPr>
      <w:r>
        <w:rPr>
          <w:rFonts w:ascii="Century Gothic" w:eastAsia="Times New Roman" w:hAnsi="Century Gothic" w:cs="Arial"/>
          <w:bCs/>
          <w:lang w:eastAsia="es-ES"/>
        </w:rPr>
        <w:t>•</w:t>
      </w:r>
      <w:r>
        <w:rPr>
          <w:rFonts w:ascii="Century Gothic" w:eastAsia="Times New Roman" w:hAnsi="Century Gothic" w:cs="Arial"/>
          <w:bCs/>
          <w:lang w:eastAsia="es-ES"/>
        </w:rPr>
        <w:tab/>
        <w:t>En sentido ascendente el nodo de acceso (DSLAM/OLT) realizará el control de tráfico. Este límite permitirá el funcionamiento normal de todos los servicios de acuerdo con la calidad establecida mediante los correspondientes parámetros de calidad. El rate_limit se realizará con base en la capacidad agregada del Servicio por S-VLAN y respetará los bits de prioridad incluidos en las C-VLAN.</w:t>
      </w:r>
    </w:p>
    <w:p w:rsidR="00CD754A" w:rsidRPr="00611019" w:rsidRDefault="00CD754A" w:rsidP="00035D2C">
      <w:pPr>
        <w:spacing w:after="6pt"/>
        <w:jc w:val="both"/>
        <w:rPr>
          <w:rFonts w:ascii="Century Gothic" w:eastAsia="Times New Roman" w:hAnsi="Century Gothic" w:cs="Arial"/>
          <w:bCs/>
          <w:lang w:eastAsia="es-ES"/>
        </w:rPr>
      </w:pPr>
    </w:p>
    <w:p w:rsidR="00CD754A" w:rsidRPr="00611019" w:rsidRDefault="00E56462" w:rsidP="00035D2C">
      <w:pPr>
        <w:keepNext/>
        <w:spacing w:after="6pt"/>
        <w:ind w:start="56.70pt" w:hanging="56.70pt"/>
        <w:jc w:val="both"/>
        <w:outlineLvl w:val="1"/>
        <w:rPr>
          <w:rFonts w:ascii="Century Gothic" w:eastAsia="Times New Roman" w:hAnsi="Century Gothic" w:cs="Arial"/>
          <w:b/>
          <w:bCs/>
        </w:rPr>
      </w:pPr>
      <w:bookmarkStart w:id="1557" w:name="_Toc107502286"/>
      <w:bookmarkStart w:id="1558" w:name="_Toc115739145"/>
      <w:bookmarkStart w:id="1559" w:name="_Toc125393382"/>
      <w:bookmarkStart w:id="1560" w:name="_Toc148702238"/>
      <w:bookmarkStart w:id="1561" w:name="_Toc170381859"/>
      <w:r>
        <w:rPr>
          <w:rFonts w:ascii="Century Gothic" w:eastAsia="Times New Roman" w:hAnsi="Century Gothic" w:cs="Arial"/>
          <w:b/>
          <w:bCs/>
        </w:rPr>
        <w:t>8.6 Servicio a Ubicación Distante</w:t>
      </w:r>
      <w:bookmarkEnd w:id="1557"/>
      <w:bookmarkEnd w:id="1558"/>
      <w:bookmarkEnd w:id="1559"/>
      <w:bookmarkEnd w:id="1560"/>
      <w:bookmarkEnd w:id="1561"/>
      <w:r>
        <w:rPr>
          <w:rFonts w:ascii="Century Gothic" w:eastAsia="Times New Roman" w:hAnsi="Century Gothic" w:cs="Arial"/>
          <w:b/>
          <w:bCs/>
        </w:rPr>
        <w:t>.</w:t>
      </w:r>
    </w:p>
    <w:p w:rsidR="0090207A" w:rsidRPr="00611019" w:rsidRDefault="00E56462" w:rsidP="00035D2C">
      <w:p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El CS podrá solicitar que el SCyD sea terminado en un DFO para CS, de acuerdo con el Servicio de Tendido de Cable sobre Infraestructura Desagregada de la Oferta de Referencia de Compartición de Infraestructura Pasiva. En cuyo caso, las características del cable de fibra óptica deberán permitir distancias de conectividad de hasta 40Km en velocidades de 1Gbps y 10Gbps, con cargo al CS mediante trabajo especial.</w:t>
      </w:r>
    </w:p>
    <w:p w:rsidR="0090207A" w:rsidRPr="00611019" w:rsidRDefault="0090207A" w:rsidP="00035D2C">
      <w:pPr>
        <w:spacing w:after="6pt"/>
        <w:jc w:val="both"/>
        <w:rPr>
          <w:rFonts w:ascii="Century Gothic" w:eastAsia="Calibri" w:hAnsi="Century Gothic" w:cs="Arial"/>
          <w:color w:val="000000"/>
          <w:lang w:val="es-ES_tradnl" w:eastAsia="es-ES"/>
        </w:rPr>
      </w:pPr>
    </w:p>
    <w:p w:rsidR="0090207A" w:rsidRPr="00611019" w:rsidRDefault="00E56462" w:rsidP="00035D2C">
      <w:pPr>
        <w:spacing w:after="6pt"/>
        <w:jc w:val="both"/>
        <w:outlineLvl w:val="1"/>
        <w:rPr>
          <w:rFonts w:ascii="Century Gothic" w:eastAsia="Calibri" w:hAnsi="Century Gothic" w:cs="Arial"/>
          <w:b/>
          <w:color w:val="000000"/>
          <w:lang w:val="es-ES_tradnl" w:eastAsia="es-ES"/>
        </w:rPr>
      </w:pPr>
      <w:bookmarkStart w:id="1562" w:name="_Toc107502287"/>
      <w:bookmarkStart w:id="1563" w:name="_Toc115739146"/>
      <w:bookmarkStart w:id="1564" w:name="_Toc125393383"/>
      <w:bookmarkStart w:id="1565" w:name="_Toc148702239"/>
      <w:bookmarkStart w:id="1566" w:name="_Toc170381860"/>
      <w:r>
        <w:rPr>
          <w:rFonts w:ascii="Century Gothic" w:eastAsia="Calibri" w:hAnsi="Century Gothic" w:cs="Arial"/>
          <w:b/>
          <w:color w:val="000000"/>
          <w:lang w:val="es-ES_tradnl" w:eastAsia="es-ES"/>
        </w:rPr>
        <w:t>8.7 Procedimientos de solicitud, modificación y baja del SCyD</w:t>
      </w:r>
      <w:bookmarkEnd w:id="1562"/>
      <w:bookmarkEnd w:id="1563"/>
      <w:bookmarkEnd w:id="1564"/>
      <w:bookmarkEnd w:id="1565"/>
      <w:bookmarkEnd w:id="1566"/>
      <w:r>
        <w:rPr>
          <w:rFonts w:ascii="Century Gothic" w:eastAsia="Calibri" w:hAnsi="Century Gothic" w:cs="Arial"/>
          <w:b/>
          <w:color w:val="000000"/>
          <w:lang w:val="es-ES_tradnl" w:eastAsia="es-ES"/>
        </w:rPr>
        <w:t>.</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Queda establecido que, mediante el envío de la solicitud, el CS consiente efectuar el pago por las actividades a realizar, así como por los elementos de cobro que conforman el (los) Servicios (s), en el momento que se indique en el procedimiento. Asimismo, si el CS rechaza el Servicio o decide no continuar con el procedimiento, deberá liquidar el monto generado por las actividades realizadas hasta el momento en que se decidió terminar el procedimiento. El CS se compromete a habilitar el equipamiento necesario </w:t>
      </w:r>
      <w:r>
        <w:rPr>
          <w:rFonts w:ascii="Century Gothic" w:eastAsia="Calibri" w:hAnsi="Century Gothic" w:cs="Arial"/>
          <w:color w:val="000000"/>
          <w:lang w:val="es-ES_tradnl" w:eastAsia="es-ES"/>
        </w:rPr>
        <w:lastRenderedPageBreak/>
        <w:t xml:space="preserve">para la interconexión con los pCAI en su lado correspondiente de la red. Asimismo, si el CS cancela la solicitud del punto de interconexión deberá compensar a </w:t>
      </w:r>
      <w:r>
        <w:rPr>
          <w:rFonts w:ascii="Century Gothic" w:eastAsia="Calibri" w:hAnsi="Century Gothic" w:cs="Arial"/>
          <w:color w:val="000000"/>
          <w:spacing w:val="-3"/>
          <w:lang w:val="es-ES_tradnl" w:eastAsia="es-ES"/>
        </w:rPr>
        <w:t>RED NACIONAL</w:t>
      </w:r>
      <w:r>
        <w:rPr>
          <w:rFonts w:ascii="Century Gothic" w:eastAsia="Calibri" w:hAnsi="Century Gothic" w:cs="Arial"/>
          <w:color w:val="000000"/>
          <w:lang w:val="es-ES_tradnl" w:eastAsia="es-ES"/>
        </w:rPr>
        <w:t xml:space="preserve"> por los costos incurridos no recuperados.</w:t>
      </w:r>
    </w:p>
    <w:p w:rsidR="00441799"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Para que el CS previamente a la contratación pueda consultar los equipos de acceso y sus unidades básicas asociados a cada NCAI, la consulta se realizará conforme a lo establecido en la sección “Información relacionada con los Servicios” de esta OREDA en lo relativo a la información tipo “b”. </w:t>
      </w:r>
    </w:p>
    <w:p w:rsidR="0090207A" w:rsidRPr="00611019" w:rsidRDefault="00E56462" w:rsidP="00035D2C">
      <w:p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El CS podrá tener acceso a la infraestructura de obra civil, incluyendo cualquier elemento o característica que sea necesaria para la correcta prestación de los Servicios de Desagregación solicitados, de conformidad con la Oferta de Compartición de Infraestructura de RED NACIONAL.</w:t>
      </w:r>
    </w:p>
    <w:p w:rsidR="00946A9C" w:rsidRDefault="00946A9C" w:rsidP="00035D2C">
      <w:pPr>
        <w:spacing w:after="6pt"/>
        <w:jc w:val="both"/>
        <w:rPr>
          <w:rFonts w:ascii="Century Gothic" w:eastAsia="Calibri" w:hAnsi="Century Gothic" w:cs="Arial"/>
          <w:b/>
          <w:color w:val="000000"/>
          <w:lang w:val="es-ES_tradnl" w:eastAsia="es-ES"/>
        </w:rPr>
      </w:pPr>
    </w:p>
    <w:p w:rsidR="00A66021" w:rsidRDefault="00A66021" w:rsidP="00035D2C">
      <w:pPr>
        <w:spacing w:after="6pt"/>
        <w:jc w:val="both"/>
        <w:rPr>
          <w:rFonts w:ascii="Century Gothic" w:eastAsia="Calibri" w:hAnsi="Century Gothic" w:cs="Arial"/>
          <w:b/>
          <w:color w:val="000000"/>
          <w:lang w:val="es-ES_tradnl" w:eastAsia="es-ES"/>
        </w:rPr>
      </w:pPr>
    </w:p>
    <w:p w:rsidR="00A66021" w:rsidRPr="00611019" w:rsidRDefault="00A66021" w:rsidP="00035D2C">
      <w:pPr>
        <w:spacing w:after="6pt"/>
        <w:jc w:val="both"/>
        <w:rPr>
          <w:rFonts w:ascii="Century Gothic" w:eastAsia="Calibri" w:hAnsi="Century Gothic" w:cs="Arial"/>
          <w:b/>
          <w:color w:val="000000"/>
          <w:lang w:val="es-ES_tradnl" w:eastAsia="es-ES"/>
        </w:rPr>
      </w:pPr>
    </w:p>
    <w:p w:rsidR="0090207A" w:rsidRPr="00611019" w:rsidRDefault="00E56462" w:rsidP="00035D2C">
      <w:pPr>
        <w:spacing w:after="6pt"/>
        <w:jc w:val="both"/>
        <w:rPr>
          <w:rFonts w:ascii="Century Gothic" w:eastAsia="Calibri" w:hAnsi="Century Gothic" w:cs="Arial"/>
          <w:b/>
          <w:color w:val="000000"/>
          <w:lang w:val="es-ES_tradnl" w:eastAsia="es-ES"/>
        </w:rPr>
      </w:pPr>
      <w:r>
        <w:rPr>
          <w:rFonts w:ascii="Century Gothic" w:eastAsia="Calibri" w:hAnsi="Century Gothic" w:cs="Arial"/>
          <w:b/>
          <w:color w:val="000000"/>
          <w:lang w:val="es-ES_tradnl" w:eastAsia="es-ES"/>
        </w:rPr>
        <w:t>Procedimiento de Solicitud y Entrega de SCyD:</w:t>
      </w:r>
    </w:p>
    <w:p w:rsidR="0090207A"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El objetivo y alcance de este procedimiento es definir los pasos y actividades a desarrollar por parte de RED NACIONAL y del CS, a fin de realizar la solicitud y entrega de los Servicios SCyD en el punto de interconexión; las fases en que se divide este procedimiento son: </w:t>
      </w:r>
      <w:r>
        <w:rPr>
          <w:rFonts w:ascii="Century Gothic" w:eastAsia="Calibri" w:hAnsi="Century Gothic" w:cs="Arial"/>
          <w:b/>
          <w:color w:val="000000"/>
          <w:lang w:val="es-ES_tradnl" w:eastAsia="es-ES"/>
        </w:rPr>
        <w:t>(i)</w:t>
      </w:r>
      <w:r>
        <w:rPr>
          <w:rFonts w:ascii="Century Gothic" w:eastAsia="Calibri" w:hAnsi="Century Gothic" w:cs="Arial"/>
          <w:color w:val="000000"/>
          <w:lang w:val="es-ES_tradnl" w:eastAsia="es-ES"/>
        </w:rPr>
        <w:t xml:space="preserve"> Envío, validación y Análisis de Factibilidad técnica de la solicitud en la que el CS solicita un pCAI, a fin de que a través del SEG/SIPO sea verificado que cuenta con todos los elementos para el suministro y brindar el Servicio solicitado; y </w:t>
      </w:r>
      <w:r>
        <w:rPr>
          <w:rFonts w:ascii="Century Gothic" w:eastAsia="Calibri" w:hAnsi="Century Gothic" w:cs="Arial"/>
          <w:b/>
          <w:color w:val="000000"/>
          <w:lang w:val="es-ES_tradnl" w:eastAsia="es-ES"/>
        </w:rPr>
        <w:t>(ii)</w:t>
      </w:r>
      <w:r>
        <w:rPr>
          <w:rFonts w:ascii="Century Gothic" w:eastAsia="Calibri" w:hAnsi="Century Gothic" w:cs="Arial"/>
          <w:color w:val="000000"/>
          <w:lang w:val="es-ES_tradnl" w:eastAsia="es-ES"/>
        </w:rPr>
        <w:t xml:space="preserve"> Habilitación y aprovisionamiento del Servicio solicitado, que detonará los procesos de pruebas de puesta en servicio del pCAI.</w:t>
      </w:r>
    </w:p>
    <w:tbl>
      <w:tblPr>
        <w:tblW w:w="99.0%" w:type="pct"/>
        <w:jc w:val="cente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1"/>
      </w:tblPr>
      <w:tblGrid>
        <w:gridCol w:w="3288"/>
        <w:gridCol w:w="6012"/>
      </w:tblGrid>
      <w:tr w:rsidR="0061711D" w:rsidTr="0090207A">
        <w:trPr>
          <w:tblHeader/>
          <w:jc w:val="center"/>
        </w:trPr>
        <w:tc>
          <w:tcPr>
            <w:tcW w:w="35.0%" w:type="pct"/>
            <w:tcBorders>
              <w:top w:val="single" w:sz="4" w:space="0" w:color="auto"/>
              <w:start w:val="single" w:sz="4" w:space="0" w:color="auto"/>
              <w:bottom w:val="single" w:sz="4" w:space="0" w:color="auto"/>
              <w:end w:val="single" w:sz="4" w:space="0" w:color="auto"/>
            </w:tcBorders>
            <w:shd w:val="clear" w:color="auto" w:fill="009AD9"/>
            <w:hideMark/>
          </w:tcPr>
          <w:p w:rsidR="0090207A" w:rsidRPr="00611019" w:rsidRDefault="00E56462" w:rsidP="00035D2C">
            <w:pPr>
              <w:jc w:val="center"/>
              <w:rPr>
                <w:rFonts w:ascii="Century Gothic" w:eastAsia="Calibri" w:hAnsi="Century Gothic" w:cs="Arial"/>
                <w:b/>
                <w:color w:val="FFFFFF" w:themeColor="background1"/>
                <w:sz w:val="20"/>
                <w:szCs w:val="20"/>
                <w:lang w:val="es-ES_tradnl" w:eastAsia="es-ES"/>
              </w:rPr>
            </w:pPr>
            <w:r>
              <w:rPr>
                <w:rFonts w:ascii="Century Gothic" w:eastAsia="Calibri" w:hAnsi="Century Gothic" w:cs="Arial"/>
                <w:b/>
                <w:color w:val="FFFFFF" w:themeColor="background1"/>
                <w:sz w:val="20"/>
                <w:szCs w:val="20"/>
                <w:lang w:val="es-ES_tradnl" w:eastAsia="es-ES"/>
              </w:rPr>
              <w:t>Etapa</w:t>
            </w:r>
          </w:p>
        </w:tc>
        <w:tc>
          <w:tcPr>
            <w:tcW w:w="64.0%" w:type="pct"/>
            <w:tcBorders>
              <w:top w:val="single" w:sz="4" w:space="0" w:color="auto"/>
              <w:start w:val="single" w:sz="4" w:space="0" w:color="auto"/>
              <w:bottom w:val="single" w:sz="4" w:space="0" w:color="auto"/>
              <w:end w:val="single" w:sz="4" w:space="0" w:color="auto"/>
            </w:tcBorders>
            <w:shd w:val="clear" w:color="auto" w:fill="009AD9"/>
            <w:hideMark/>
          </w:tcPr>
          <w:p w:rsidR="0090207A" w:rsidRPr="00611019" w:rsidRDefault="00E56462" w:rsidP="00035D2C">
            <w:pPr>
              <w:jc w:val="center"/>
              <w:rPr>
                <w:rFonts w:ascii="Century Gothic" w:eastAsia="Calibri" w:hAnsi="Century Gothic" w:cs="Arial"/>
                <w:b/>
                <w:color w:val="FFFFFF" w:themeColor="background1"/>
                <w:sz w:val="20"/>
                <w:szCs w:val="20"/>
                <w:lang w:val="es-ES_tradnl" w:eastAsia="es-ES"/>
              </w:rPr>
            </w:pPr>
            <w:r>
              <w:rPr>
                <w:rFonts w:ascii="Century Gothic" w:eastAsia="Calibri" w:hAnsi="Century Gothic" w:cs="Arial"/>
                <w:b/>
                <w:color w:val="FFFFFF" w:themeColor="background1"/>
                <w:sz w:val="20"/>
                <w:szCs w:val="20"/>
                <w:lang w:val="es-ES_tradnl" w:eastAsia="es-ES"/>
              </w:rPr>
              <w:t>Descripción</w:t>
            </w:r>
          </w:p>
        </w:tc>
      </w:tr>
      <w:tr w:rsidR="0061711D" w:rsidTr="0090207A">
        <w:trPr>
          <w:jc w:val="center"/>
        </w:trPr>
        <w:tc>
          <w:tcPr>
            <w:tcW w:w="35.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Envío, Validación y Factibilidad Técnica de la solicitud</w:t>
            </w:r>
          </w:p>
        </w:tc>
        <w:tc>
          <w:tcPr>
            <w:tcW w:w="64.0%" w:type="pct"/>
            <w:tcBorders>
              <w:top w:val="single" w:sz="4" w:space="0" w:color="auto"/>
              <w:start w:val="single" w:sz="4" w:space="0" w:color="auto"/>
              <w:bottom w:val="single" w:sz="4" w:space="0" w:color="auto"/>
              <w:end w:val="single" w:sz="4" w:space="0" w:color="auto"/>
            </w:tcBorders>
          </w:tcPr>
          <w:p w:rsidR="0090207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CS deberá presentar sus solicitudes a través del SEG/SIPO, realizando la validación y análisis de Factibilidad Técnica determinando si existen los recursos técnicos y facilidades para habilitar los Servicios solicitados, así como seleccionando la siguiente información:</w:t>
            </w:r>
          </w:p>
          <w:p w:rsidR="0090207A" w:rsidRPr="00611019" w:rsidRDefault="00E56462">
            <w:pPr>
              <w:numPr>
                <w:ilvl w:val="0"/>
                <w:numId w:val="90"/>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Nivel de agregación en el que desea contratar su Servicio (el sistema arrojará un nivel de agregación y si hubiera más de uno, el CS elegirá el que desea contratar).</w:t>
            </w:r>
          </w:p>
          <w:p w:rsidR="0090207A" w:rsidRPr="00611019" w:rsidRDefault="00E56462">
            <w:pPr>
              <w:numPr>
                <w:ilvl w:val="0"/>
                <w:numId w:val="90"/>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Referencia de la coubicación donde se entregará el servicio.</w:t>
            </w:r>
          </w:p>
          <w:p w:rsidR="0090207A" w:rsidRPr="00611019" w:rsidRDefault="00E56462">
            <w:pPr>
              <w:numPr>
                <w:ilvl w:val="0"/>
                <w:numId w:val="90"/>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 xml:space="preserve">Ubicación Distante. El CS deberá enviar el NIS de Referencia del Servicio de Compartición de </w:t>
            </w:r>
            <w:r>
              <w:rPr>
                <w:rFonts w:ascii="Century Gothic" w:eastAsia="Calibri" w:hAnsi="Century Gothic" w:cs="Arial"/>
                <w:color w:val="000000"/>
                <w:sz w:val="20"/>
                <w:szCs w:val="20"/>
                <w:lang w:val="es-ES_tradnl" w:eastAsia="es-ES"/>
              </w:rPr>
              <w:lastRenderedPageBreak/>
              <w:t>Infraestructura, aplicando el procedimiento del Servicio Auxiliar de Cableado Multipar</w:t>
            </w:r>
            <w:r>
              <w:rPr>
                <w:rFonts w:ascii="Century Gothic" w:eastAsia="Calibri" w:hAnsi="Century Gothic" w:cs="Arial"/>
                <w:color w:val="000000"/>
                <w:sz w:val="20"/>
                <w:szCs w:val="20"/>
                <w:vertAlign w:val="superscript"/>
                <w:lang w:val="es-ES_tradnl" w:eastAsia="es-ES"/>
              </w:rPr>
              <w:footnoteReference w:id="24"/>
            </w:r>
            <w:r>
              <w:rPr>
                <w:rFonts w:ascii="Century Gothic" w:eastAsia="Calibri" w:hAnsi="Century Gothic" w:cs="Arial"/>
                <w:color w:val="000000"/>
                <w:sz w:val="20"/>
                <w:szCs w:val="20"/>
                <w:lang w:val="es-ES_tradnl" w:eastAsia="es-ES"/>
              </w:rPr>
              <w:t>.</w:t>
            </w:r>
          </w:p>
          <w:p w:rsidR="0090207A" w:rsidRPr="00611019" w:rsidRDefault="0090207A" w:rsidP="00035D2C">
            <w:pPr>
              <w:spacing w:before="2pt" w:after="2pt"/>
              <w:jc w:val="both"/>
              <w:rPr>
                <w:rFonts w:ascii="Century Gothic" w:eastAsia="Calibri" w:hAnsi="Century Gothic" w:cs="Arial"/>
                <w:color w:val="000000"/>
                <w:sz w:val="20"/>
                <w:szCs w:val="20"/>
                <w:lang w:val="es-ES_tradnl" w:eastAsia="es-ES"/>
              </w:rPr>
            </w:pPr>
          </w:p>
          <w:p w:rsidR="0090207A" w:rsidRPr="00611019" w:rsidRDefault="00E56462" w:rsidP="00F56287">
            <w:pPr>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Una vez enviada la solicitud el SEG/SIPO asignará de forma automática el Folio.</w:t>
            </w:r>
          </w:p>
          <w:p w:rsidR="0090207A" w:rsidRPr="00611019" w:rsidRDefault="0090207A" w:rsidP="00F56287">
            <w:pPr>
              <w:ind w:start="1.70pt"/>
              <w:jc w:val="both"/>
              <w:rPr>
                <w:rFonts w:ascii="Century Gothic" w:eastAsia="Calibri" w:hAnsi="Century Gothic" w:cs="Arial"/>
                <w:color w:val="000000"/>
                <w:sz w:val="20"/>
                <w:szCs w:val="20"/>
                <w:lang w:val="es-ES_tradnl" w:eastAsia="es-ES"/>
              </w:rPr>
            </w:pPr>
          </w:p>
          <w:p w:rsidR="0090207A" w:rsidRPr="00611019" w:rsidRDefault="00E56462" w:rsidP="00F56287">
            <w:pPr>
              <w:ind w:start="1.70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En caso de no existir facilidades de acuerdo con lo previsto en el apartado Disponibilidad de recursos, a través del SEG/SIPO se notificará al CS la justificación y las evidencias correspondientes. El CS podrá solicitar el Trabajo Especial aplicando el procedimiento de dicha sección de esta OREDA.</w:t>
            </w:r>
          </w:p>
          <w:p w:rsidR="0090207A" w:rsidRPr="00611019" w:rsidRDefault="0090207A" w:rsidP="00F56287">
            <w:pPr>
              <w:ind w:start="1.70pt"/>
              <w:jc w:val="both"/>
              <w:rPr>
                <w:rFonts w:ascii="Century Gothic" w:eastAsia="Calibri" w:hAnsi="Century Gothic" w:cs="Arial"/>
                <w:color w:val="000000"/>
                <w:sz w:val="20"/>
                <w:szCs w:val="20"/>
                <w:lang w:val="es-ES_tradnl" w:eastAsia="es-ES"/>
              </w:rPr>
            </w:pPr>
          </w:p>
          <w:p w:rsidR="0090207A" w:rsidRPr="00611019" w:rsidRDefault="00E56462" w:rsidP="00035D2C">
            <w:pPr>
              <w:spacing w:before="2pt" w:after="2pt"/>
              <w:ind w:start="1.70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En el caso en que un CS desee contratar un nuevo puerto en un mismo nodo de concentración y con el mismo nivel de agregación y los puertos previamente contratados no cubran al menos 70% de la capacidad contratada, la solicitud será procedente siempre y cuando se garantice por parte del CS que se utilizará el 70% de la capacidad del puerto previamente contratado en máximo 3 meses a partir de la solicitud del nuevo puerto, de lo contrario se procederá a la baja de los nuevos puertos contratados, debiendo correr a cargo del CS los costos incurridos en su deshabilitación, así como los costos por migrar los Servicios SAIB activos al otro puerto que no alcanzó el 70% de su ocupación.</w:t>
            </w:r>
          </w:p>
        </w:tc>
      </w:tr>
      <w:tr w:rsidR="0061711D" w:rsidTr="0090207A">
        <w:trPr>
          <w:jc w:val="center"/>
        </w:trPr>
        <w:tc>
          <w:tcPr>
            <w:tcW w:w="35.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lastRenderedPageBreak/>
              <w:t>Habilitación y aprovisionamiento del Servicio</w:t>
            </w:r>
          </w:p>
        </w:tc>
        <w:tc>
          <w:tcPr>
            <w:tcW w:w="64.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Se notificará cuando esté disponible el Servicio indicando las VLAN configuradas de conformidad con la provisión de información de Verificación de configuración de conexión entre el equipo de acceso y el NCAI con los plazos establecidos en la sección de Plazos de este Servicio en la presente OREDA.</w:t>
            </w:r>
          </w:p>
        </w:tc>
      </w:tr>
      <w:tr w:rsidR="0061711D" w:rsidTr="0090207A">
        <w:trPr>
          <w:jc w:val="center"/>
        </w:trPr>
        <w:tc>
          <w:tcPr>
            <w:tcW w:w="35.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Pruebas de Aceptación del Servicio</w:t>
            </w:r>
          </w:p>
        </w:tc>
        <w:tc>
          <w:tcPr>
            <w:tcW w:w="64.0%" w:type="pct"/>
            <w:tcBorders>
              <w:top w:val="single" w:sz="4" w:space="0" w:color="auto"/>
              <w:start w:val="single" w:sz="4" w:space="0" w:color="auto"/>
              <w:bottom w:val="single" w:sz="4" w:space="0" w:color="auto"/>
              <w:end w:val="single" w:sz="4" w:space="0" w:color="auto"/>
            </w:tcBorders>
          </w:tcPr>
          <w:p w:rsidR="0090207A" w:rsidRPr="00611019" w:rsidRDefault="00E56462" w:rsidP="00035D2C">
            <w:pPr>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Los resultados de la prueba realizada en el momento de la habilitación del Servicio se capturarán en el SEG/SIPO. Adicionalmente el CS tendrá cinco días hábiles para realizar la prueba en conjunto del servicio</w:t>
            </w:r>
            <w:r>
              <w:rPr>
                <w:rFonts w:ascii="Century Gothic" w:eastAsia="Calibri" w:hAnsi="Century Gothic" w:cs="Arial"/>
                <w:color w:val="000000"/>
                <w:sz w:val="20"/>
                <w:szCs w:val="20"/>
                <w:vertAlign w:val="superscript"/>
                <w:lang w:val="es-ES_tradnl" w:eastAsia="es-ES"/>
              </w:rPr>
              <w:footnoteReference w:id="25"/>
            </w:r>
            <w:r>
              <w:rPr>
                <w:rFonts w:ascii="Century Gothic" w:eastAsia="Calibri" w:hAnsi="Century Gothic" w:cs="Arial"/>
                <w:color w:val="000000"/>
                <w:sz w:val="20"/>
                <w:szCs w:val="20"/>
                <w:lang w:val="es-ES_tradnl" w:eastAsia="es-ES"/>
              </w:rPr>
              <w:t xml:space="preserve">, en caso de que no se </w:t>
            </w:r>
            <w:r>
              <w:rPr>
                <w:rFonts w:ascii="Century Gothic" w:eastAsia="Calibri" w:hAnsi="Century Gothic" w:cs="Arial"/>
                <w:color w:val="000000"/>
                <w:sz w:val="20"/>
                <w:szCs w:val="20"/>
                <w:lang w:val="es-ES_tradnl" w:eastAsia="es-ES"/>
              </w:rPr>
              <w:lastRenderedPageBreak/>
              <w:t>realice la prueba, se entenderá que el CS ha aceptado de conformidad el servicio.</w:t>
            </w:r>
          </w:p>
          <w:p w:rsidR="0090207A" w:rsidRPr="00611019" w:rsidRDefault="0090207A" w:rsidP="00035D2C">
            <w:pPr>
              <w:jc w:val="both"/>
              <w:rPr>
                <w:rFonts w:ascii="Century Gothic" w:eastAsia="Calibri" w:hAnsi="Century Gothic" w:cs="Arial"/>
                <w:color w:val="000000"/>
                <w:sz w:val="20"/>
                <w:szCs w:val="20"/>
                <w:lang w:val="es-ES_tradnl" w:eastAsia="es-ES"/>
              </w:rPr>
            </w:pPr>
          </w:p>
          <w:p w:rsidR="0090207A" w:rsidRPr="00611019" w:rsidRDefault="00E56462" w:rsidP="00035D2C">
            <w:pPr>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Una vez realizada la aceptación del servicio, se entregará un Acta de Recepción del Servicio por SCyD, comenzará la facturación y se comenzará a suministrar el tráfico correspondiente.</w:t>
            </w:r>
          </w:p>
        </w:tc>
      </w:tr>
      <w:tr w:rsidR="0061711D" w:rsidTr="0090207A">
        <w:trPr>
          <w:jc w:val="center"/>
        </w:trPr>
        <w:tc>
          <w:tcPr>
            <w:tcW w:w="35.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eastAsia="es-ES"/>
              </w:rPr>
              <w:lastRenderedPageBreak/>
              <w:t>Facturación</w:t>
            </w:r>
            <w:r>
              <w:rPr>
                <w:rFonts w:ascii="Century Gothic" w:eastAsia="Calibri" w:hAnsi="Century Gothic" w:cs="Arial"/>
                <w:b/>
                <w:color w:val="000000"/>
                <w:sz w:val="20"/>
                <w:szCs w:val="20"/>
                <w:vertAlign w:val="superscript"/>
                <w:lang w:eastAsia="es-ES"/>
              </w:rPr>
              <w:footnoteReference w:id="26"/>
            </w:r>
          </w:p>
        </w:tc>
        <w:tc>
          <w:tcPr>
            <w:tcW w:w="64.0%" w:type="pct"/>
            <w:tcBorders>
              <w:top w:val="single" w:sz="4" w:space="0" w:color="auto"/>
              <w:start w:val="single" w:sz="4" w:space="0" w:color="auto"/>
              <w:bottom w:val="single" w:sz="4" w:space="0" w:color="auto"/>
              <w:end w:val="single" w:sz="4" w:space="0" w:color="auto"/>
            </w:tcBorders>
            <w:hideMark/>
          </w:tcPr>
          <w:p w:rsidR="0090207A" w:rsidRPr="00611019" w:rsidRDefault="00E56462" w:rsidP="00035D2C">
            <w:pPr>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Al corte del mes se realizará la facturación aplicable al servicio:</w:t>
            </w:r>
          </w:p>
          <w:p w:rsidR="0090207A" w:rsidRPr="00611019" w:rsidRDefault="00E56462">
            <w:pPr>
              <w:numPr>
                <w:ilvl w:val="0"/>
                <w:numId w:val="91"/>
              </w:numPr>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Se incluirán los gastos de instalación y la renta mensual correspondiente.</w:t>
            </w:r>
          </w:p>
          <w:p w:rsidR="0090207A" w:rsidRPr="00611019" w:rsidRDefault="00E56462">
            <w:pPr>
              <w:numPr>
                <w:ilvl w:val="0"/>
                <w:numId w:val="91"/>
              </w:numPr>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CS contará con la posibilidad de solicitar ajustes o aclaraciones respecto a los conceptos y Servicios incluidos en su factura.</w:t>
            </w:r>
          </w:p>
        </w:tc>
      </w:tr>
    </w:tbl>
    <w:p w:rsidR="0090207A" w:rsidRPr="00611019" w:rsidRDefault="0090207A" w:rsidP="00035D2C">
      <w:pPr>
        <w:ind w:start="0.35pt"/>
        <w:jc w:val="both"/>
        <w:rPr>
          <w:rFonts w:ascii="Century Gothic" w:eastAsia="Calibri" w:hAnsi="Century Gothic" w:cs="Times New Roman"/>
          <w:b/>
        </w:rPr>
      </w:pPr>
    </w:p>
    <w:p w:rsidR="0090207A" w:rsidRPr="00611019" w:rsidRDefault="00E56462" w:rsidP="00035D2C">
      <w:pPr>
        <w:jc w:val="both"/>
        <w:rPr>
          <w:rFonts w:ascii="Century Gothic" w:eastAsia="Calibri" w:hAnsi="Century Gothic" w:cs="Arial"/>
          <w:b/>
          <w:color w:val="000000"/>
          <w:lang w:val="es-ES_tradnl" w:eastAsia="es-ES"/>
        </w:rPr>
      </w:pPr>
      <w:r>
        <w:rPr>
          <w:rFonts w:ascii="Century Gothic" w:eastAsia="Calibri" w:hAnsi="Century Gothic" w:cs="Arial"/>
          <w:b/>
          <w:color w:val="000000"/>
          <w:lang w:val="es-ES_tradnl" w:eastAsia="es-ES"/>
        </w:rPr>
        <w:t>Solicitud de pCAI por SCyD.</w:t>
      </w:r>
    </w:p>
    <w:p w:rsidR="0090207A" w:rsidRPr="00611019" w:rsidRDefault="00E56462" w:rsidP="00035D2C">
      <w:pPr>
        <w:spacing w:after="6pt"/>
        <w:jc w:val="both"/>
        <w:rPr>
          <w:rFonts w:ascii="Times New Roman" w:eastAsia="Calibri" w:hAnsi="Times New Roman" w:cs="Times New Roman"/>
          <w:sz w:val="24"/>
          <w:szCs w:val="24"/>
          <w:lang w:eastAsia="es-MX"/>
        </w:rPr>
      </w:pPr>
      <w:r>
        <w:rPr>
          <w:rFonts w:ascii="Century Gothic" w:eastAsia="Calibri" w:hAnsi="Century Gothic" w:cs="Times New Roman"/>
        </w:rPr>
        <w:t xml:space="preserve">El objetivo y alcance de este procedimiento es definir los pasos y actividades a desarrollar por parte de RED NACIONAL y del CS, a fin de realizar la solicitud de un nuevo pCAI en un SCyD en operación; las fases en que se divide este procedimiento son: </w:t>
      </w:r>
      <w:r>
        <w:rPr>
          <w:rFonts w:ascii="Century Gothic" w:eastAsia="Calibri" w:hAnsi="Century Gothic" w:cs="Times New Roman"/>
          <w:b/>
        </w:rPr>
        <w:t>(i)</w:t>
      </w:r>
      <w:r>
        <w:rPr>
          <w:rFonts w:ascii="Century Gothic" w:eastAsia="Calibri" w:hAnsi="Century Gothic" w:cs="Times New Roman"/>
        </w:rPr>
        <w:t xml:space="preserve"> Envío, validación y Análisis de Factibilidad técnica de la solicitud de servicio a través del SEG/SIPO, verificando que la solicitud cuenta con los elementos para brindar el Servicio solicitado; y </w:t>
      </w:r>
      <w:r>
        <w:rPr>
          <w:rFonts w:ascii="Century Gothic" w:eastAsia="Calibri" w:hAnsi="Century Gothic" w:cs="Times New Roman"/>
          <w:b/>
        </w:rPr>
        <w:t>(ii)</w:t>
      </w:r>
      <w:r>
        <w:rPr>
          <w:rFonts w:ascii="Century Gothic" w:eastAsia="Calibri" w:hAnsi="Century Gothic" w:cs="Times New Roman"/>
        </w:rPr>
        <w:t xml:space="preserve"> Habilitación y aprovisionamiento del Servicio solicitado, que detonará los procesos de pruebas de entrega y facturación del servicio.</w:t>
      </w:r>
      <w:r>
        <w:rPr>
          <w:rFonts w:ascii="Times New Roman" w:eastAsia="Calibri" w:hAnsi="Times New Roman" w:cs="Times New Roman"/>
          <w:sz w:val="24"/>
          <w:szCs w:val="24"/>
          <w:lang w:eastAsia="es-MX"/>
        </w:rPr>
        <w:t xml:space="preserve"> </w:t>
      </w:r>
    </w:p>
    <w:tbl>
      <w:tblPr>
        <w:tblW w:w="99.0%" w:type="pct"/>
        <w:jc w:val="cente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1"/>
      </w:tblPr>
      <w:tblGrid>
        <w:gridCol w:w="3288"/>
        <w:gridCol w:w="6012"/>
      </w:tblGrid>
      <w:tr w:rsidR="0061711D" w:rsidTr="00A827BF">
        <w:trPr>
          <w:tblHeader/>
          <w:jc w:val="center"/>
        </w:trPr>
        <w:tc>
          <w:tcPr>
            <w:tcW w:w="35.0%" w:type="pct"/>
            <w:tcBorders>
              <w:top w:val="single" w:sz="4" w:space="0" w:color="auto"/>
              <w:start w:val="single" w:sz="4" w:space="0" w:color="auto"/>
              <w:bottom w:val="single" w:sz="4" w:space="0" w:color="auto"/>
              <w:end w:val="single" w:sz="4" w:space="0" w:color="auto"/>
            </w:tcBorders>
            <w:shd w:val="clear" w:color="auto" w:fill="009AD9"/>
            <w:hideMark/>
          </w:tcPr>
          <w:p w:rsidR="00A827BF" w:rsidRPr="00611019" w:rsidRDefault="00E56462" w:rsidP="00035D2C">
            <w:pPr>
              <w:spacing w:after="6pt"/>
              <w:jc w:val="center"/>
              <w:rPr>
                <w:rFonts w:ascii="Century Gothic" w:eastAsia="Calibri" w:hAnsi="Century Gothic" w:cs="Arial"/>
                <w:b/>
                <w:color w:val="FFFFFF" w:themeColor="background1"/>
                <w:sz w:val="20"/>
                <w:szCs w:val="20"/>
                <w:lang w:val="es-ES_tradnl" w:eastAsia="es-ES"/>
              </w:rPr>
            </w:pPr>
            <w:r>
              <w:rPr>
                <w:rFonts w:ascii="Century Gothic" w:eastAsia="Calibri" w:hAnsi="Century Gothic" w:cs="Arial"/>
                <w:b/>
                <w:color w:val="FFFFFF" w:themeColor="background1"/>
                <w:sz w:val="20"/>
                <w:szCs w:val="20"/>
                <w:lang w:val="es-ES_tradnl" w:eastAsia="es-ES"/>
              </w:rPr>
              <w:t>Etapa</w:t>
            </w:r>
          </w:p>
        </w:tc>
        <w:tc>
          <w:tcPr>
            <w:tcW w:w="64.0%" w:type="pct"/>
            <w:tcBorders>
              <w:top w:val="single" w:sz="4" w:space="0" w:color="auto"/>
              <w:start w:val="single" w:sz="4" w:space="0" w:color="auto"/>
              <w:bottom w:val="single" w:sz="4" w:space="0" w:color="auto"/>
              <w:end w:val="single" w:sz="4" w:space="0" w:color="auto"/>
            </w:tcBorders>
            <w:shd w:val="clear" w:color="auto" w:fill="009AD9"/>
            <w:hideMark/>
          </w:tcPr>
          <w:p w:rsidR="00A827BF" w:rsidRPr="00611019" w:rsidRDefault="00E56462" w:rsidP="00035D2C">
            <w:pPr>
              <w:spacing w:after="6pt"/>
              <w:jc w:val="center"/>
              <w:rPr>
                <w:rFonts w:ascii="Century Gothic" w:eastAsia="Calibri" w:hAnsi="Century Gothic" w:cs="Arial"/>
                <w:b/>
                <w:color w:val="FFFFFF" w:themeColor="background1"/>
                <w:sz w:val="20"/>
                <w:szCs w:val="20"/>
                <w:lang w:val="es-ES_tradnl" w:eastAsia="es-ES"/>
              </w:rPr>
            </w:pPr>
            <w:r>
              <w:rPr>
                <w:rFonts w:ascii="Century Gothic" w:eastAsia="Calibri" w:hAnsi="Century Gothic" w:cs="Arial"/>
                <w:b/>
                <w:color w:val="FFFFFF" w:themeColor="background1"/>
                <w:sz w:val="20"/>
                <w:szCs w:val="20"/>
                <w:lang w:val="es-ES_tradnl" w:eastAsia="es-ES"/>
              </w:rPr>
              <w:t>Descripción</w:t>
            </w:r>
          </w:p>
        </w:tc>
      </w:tr>
      <w:tr w:rsidR="0061711D" w:rsidTr="00A827BF">
        <w:trPr>
          <w:jc w:val="center"/>
        </w:trPr>
        <w:tc>
          <w:tcPr>
            <w:tcW w:w="35.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Envío, Validación y Factibilidad Técnica de la solicitud</w:t>
            </w:r>
          </w:p>
        </w:tc>
        <w:tc>
          <w:tcPr>
            <w:tcW w:w="64.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CS deberá presentar sus solicitudes a través del SEG/SIPO, realizando la validación y análisis de Factibilidad Técnica determinando si existen los recursos técnicos y facilidades para habilitar los Servicios solicitados seleccionando la siguiente información:</w:t>
            </w:r>
          </w:p>
          <w:p w:rsidR="00A827BF" w:rsidRPr="00611019" w:rsidRDefault="00E56462">
            <w:pPr>
              <w:numPr>
                <w:ilvl w:val="0"/>
                <w:numId w:val="92"/>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número de NIS de Referencia de SCyD en el cual desea habilitar un nuevo pCAI.</w:t>
            </w:r>
          </w:p>
          <w:p w:rsidR="00A827BF" w:rsidRPr="00611019" w:rsidRDefault="00E56462" w:rsidP="00035D2C">
            <w:pPr>
              <w:spacing w:before="2pt" w:after="2pt"/>
              <w:jc w:val="both"/>
              <w:rPr>
                <w:rFonts w:ascii="Century Gothic" w:eastAsia="Calibri" w:hAnsi="Century Gothic" w:cs="Arial"/>
                <w:b/>
                <w:color w:val="000000"/>
                <w:sz w:val="20"/>
                <w:szCs w:val="20"/>
                <w:lang w:val="es-ES_tradnl" w:eastAsia="es-ES"/>
              </w:rPr>
            </w:pPr>
            <w:r>
              <w:rPr>
                <w:rFonts w:ascii="Century Gothic" w:eastAsia="Calibri" w:hAnsi="Century Gothic" w:cs="Arial"/>
                <w:color w:val="000000"/>
                <w:sz w:val="20"/>
                <w:szCs w:val="20"/>
                <w:lang w:val="es-ES_tradnl" w:eastAsia="es-ES"/>
              </w:rPr>
              <w:t>Una vez enviada la solicitud el SEG/SIPO asignará de forma automática el Folio de seguimiento.</w:t>
            </w:r>
          </w:p>
          <w:p w:rsidR="00A827BF"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 xml:space="preserve">En caso de no existir facilidades de acuerdo con lo previsto en el apartado Disponibilidad de recursos, a través del SEG/SIPO se notificará al CS la justificación y las evidencias correspondientes. El CS podrá solicitar el Trabajo Especial </w:t>
            </w:r>
            <w:r>
              <w:rPr>
                <w:rFonts w:ascii="Century Gothic" w:eastAsia="Calibri" w:hAnsi="Century Gothic" w:cs="Arial"/>
                <w:color w:val="000000"/>
                <w:sz w:val="20"/>
                <w:szCs w:val="20"/>
                <w:lang w:val="es-ES_tradnl" w:eastAsia="es-ES"/>
              </w:rPr>
              <w:lastRenderedPageBreak/>
              <w:t>aplicando el procedimiento de dicha sección de esta OREDA.</w:t>
            </w:r>
          </w:p>
        </w:tc>
      </w:tr>
      <w:tr w:rsidR="0061711D" w:rsidTr="00A827BF">
        <w:trPr>
          <w:jc w:val="center"/>
        </w:trPr>
        <w:tc>
          <w:tcPr>
            <w:tcW w:w="35.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lastRenderedPageBreak/>
              <w:t>Habilitación y aprovisionamiento del Servicio</w:t>
            </w:r>
          </w:p>
        </w:tc>
        <w:tc>
          <w:tcPr>
            <w:tcW w:w="64.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Se realizará la habilitación del pCAI en el plazo establecido para tal efecto en la sección de Plazos de este Servicio en la presente OREDA una vez que el CS acepte el servicio. Si el CS no acepta se entenderá que rechazó el servicio.</w:t>
            </w:r>
          </w:p>
        </w:tc>
      </w:tr>
      <w:tr w:rsidR="0061711D" w:rsidTr="00A827BF">
        <w:trPr>
          <w:jc w:val="center"/>
        </w:trPr>
        <w:tc>
          <w:tcPr>
            <w:tcW w:w="35.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Pruebas de Aceptación del Servicio</w:t>
            </w:r>
          </w:p>
        </w:tc>
        <w:tc>
          <w:tcPr>
            <w:tcW w:w="64.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Una vez realizada la aceptación del servicio, se entregará un Acta de Recepción del Servicio por pCAI, comenzará la facturación y se comenzará a suministrar el tráfico correspondiente.</w:t>
            </w:r>
          </w:p>
        </w:tc>
      </w:tr>
      <w:tr w:rsidR="0061711D" w:rsidTr="00A827BF">
        <w:trPr>
          <w:jc w:val="center"/>
        </w:trPr>
        <w:tc>
          <w:tcPr>
            <w:tcW w:w="35.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Facturación</w:t>
            </w:r>
          </w:p>
        </w:tc>
        <w:tc>
          <w:tcPr>
            <w:tcW w:w="64.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Al corte del mes se realizará la facturación aplicable al servicio:</w:t>
            </w:r>
          </w:p>
          <w:p w:rsidR="00A827BF" w:rsidRPr="00611019" w:rsidRDefault="00E56462">
            <w:pPr>
              <w:numPr>
                <w:ilvl w:val="0"/>
                <w:numId w:val="93"/>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Se incluirán los gastos de instalación y la renta mensual correspondiente.</w:t>
            </w:r>
          </w:p>
          <w:p w:rsidR="00A827BF" w:rsidRPr="00611019" w:rsidRDefault="00E56462">
            <w:pPr>
              <w:numPr>
                <w:ilvl w:val="0"/>
                <w:numId w:val="93"/>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CS contará con la posibilidad de solicitar ajustes o aclaraciones respecto a los conceptos y Servicios incluidos en su factura.</w:t>
            </w:r>
          </w:p>
        </w:tc>
      </w:tr>
    </w:tbl>
    <w:p w:rsidR="00A827BF" w:rsidRPr="00611019" w:rsidRDefault="00A827BF" w:rsidP="00035D2C">
      <w:pPr>
        <w:spacing w:after="6pt"/>
        <w:jc w:val="both"/>
        <w:rPr>
          <w:rFonts w:ascii="Century Gothic" w:eastAsia="Calibri" w:hAnsi="Century Gothic" w:cs="Arial"/>
          <w:b/>
          <w:color w:val="000000"/>
          <w:lang w:val="es-ES_tradnl" w:eastAsia="es-ES"/>
        </w:rPr>
      </w:pPr>
    </w:p>
    <w:p w:rsidR="00A827BF" w:rsidRPr="00611019" w:rsidRDefault="00E56462" w:rsidP="00035D2C">
      <w:pPr>
        <w:jc w:val="both"/>
        <w:rPr>
          <w:rFonts w:ascii="Century Gothic" w:eastAsia="Calibri" w:hAnsi="Century Gothic" w:cs="Arial"/>
          <w:b/>
          <w:color w:val="000000"/>
          <w:lang w:val="es-ES_tradnl" w:eastAsia="es-ES"/>
        </w:rPr>
      </w:pPr>
      <w:r>
        <w:rPr>
          <w:rFonts w:ascii="Century Gothic" w:eastAsia="Calibri" w:hAnsi="Century Gothic" w:cs="Arial"/>
          <w:b/>
          <w:color w:val="000000"/>
          <w:lang w:val="es-ES_tradnl" w:eastAsia="es-ES"/>
        </w:rPr>
        <w:t>Procedimiento de Ampliación/Eliminación de NCAI por SCyD</w:t>
      </w:r>
      <w:r>
        <w:rPr>
          <w:rFonts w:ascii="Century Gothic" w:eastAsia="Calibri" w:hAnsi="Century Gothic" w:cs="Arial"/>
          <w:color w:val="000000"/>
          <w:vertAlign w:val="superscript"/>
          <w:lang w:val="es-ES_tradnl" w:eastAsia="es-ES"/>
        </w:rPr>
        <w:footnoteReference w:id="27"/>
      </w:r>
      <w:r>
        <w:rPr>
          <w:rFonts w:ascii="Century Gothic" w:eastAsia="Calibri" w:hAnsi="Century Gothic" w:cs="Arial"/>
          <w:b/>
          <w:color w:val="000000"/>
          <w:lang w:val="es-ES_tradnl" w:eastAsia="es-ES"/>
        </w:rPr>
        <w:t>.</w:t>
      </w:r>
      <w:r>
        <w:rPr>
          <w:rFonts w:ascii="Century Gothic" w:eastAsia="Calibri" w:hAnsi="Century Gothic" w:cs="Arial"/>
          <w:b/>
          <w:color w:val="000000"/>
          <w:lang w:val="es-ES_tradnl" w:eastAsia="es-ES"/>
        </w:rPr>
        <w:tab/>
      </w:r>
    </w:p>
    <w:p w:rsidR="00A827BF" w:rsidRPr="00611019" w:rsidRDefault="00E56462" w:rsidP="00035D2C">
      <w:p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El objetivo y alcance de este procedimiento es definir los pasos y actividades a desarrollar por parte de RED NACIONAL y del CS, a fin de realizar la ampliación o eliminación de un NCAI por SCyD en operación; las fases en que se divide este procedimiento son: </w:t>
      </w:r>
      <w:r>
        <w:rPr>
          <w:rFonts w:ascii="Century Gothic" w:eastAsia="Calibri" w:hAnsi="Century Gothic" w:cs="Arial"/>
          <w:b/>
          <w:color w:val="000000"/>
          <w:lang w:val="es-ES_tradnl" w:eastAsia="es-ES"/>
        </w:rPr>
        <w:t>(i)</w:t>
      </w:r>
      <w:r>
        <w:rPr>
          <w:rFonts w:ascii="Century Gothic" w:eastAsia="Calibri" w:hAnsi="Century Gothic" w:cs="Arial"/>
          <w:color w:val="000000"/>
          <w:lang w:val="es-ES_tradnl" w:eastAsia="es-ES"/>
        </w:rPr>
        <w:t xml:space="preserve"> Envío, validación y Análisis de Factibilidad técnica a través del SEG/SIPO, verificando que la solicitud cuenta con los elementos para brindar el Servicio solicitado; y </w:t>
      </w:r>
      <w:r>
        <w:rPr>
          <w:rFonts w:ascii="Century Gothic" w:eastAsia="Calibri" w:hAnsi="Century Gothic" w:cs="Arial"/>
          <w:b/>
          <w:color w:val="000000"/>
          <w:lang w:val="es-ES_tradnl" w:eastAsia="es-ES"/>
        </w:rPr>
        <w:t>(ii)</w:t>
      </w:r>
      <w:r>
        <w:rPr>
          <w:rFonts w:ascii="Century Gothic" w:eastAsia="Calibri" w:hAnsi="Century Gothic" w:cs="Arial"/>
          <w:color w:val="000000"/>
          <w:lang w:val="es-ES_tradnl" w:eastAsia="es-ES"/>
        </w:rPr>
        <w:t xml:space="preserve"> Habilitación del Servicio solicitado, que detonará los procesos de pruebas de entrega e inicio del servicio.</w:t>
      </w:r>
    </w:p>
    <w:p w:rsidR="0090207A" w:rsidRPr="00611019" w:rsidRDefault="0090207A" w:rsidP="00035D2C">
      <w:pPr>
        <w:jc w:val="both"/>
        <w:rPr>
          <w:rFonts w:ascii="Times New Roman" w:eastAsia="Calibri" w:hAnsi="Times New Roman" w:cs="Times New Roman"/>
          <w:sz w:val="24"/>
          <w:szCs w:val="24"/>
          <w:lang w:val="es-ES_tradnl" w:eastAsia="es-MX"/>
        </w:rPr>
      </w:pPr>
    </w:p>
    <w:tbl>
      <w:tblPr>
        <w:tblW w:w="99.0%" w:type="pct"/>
        <w:jc w:val="cente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1"/>
      </w:tblPr>
      <w:tblGrid>
        <w:gridCol w:w="3288"/>
        <w:gridCol w:w="6012"/>
      </w:tblGrid>
      <w:tr w:rsidR="0061711D" w:rsidTr="00A827BF">
        <w:trPr>
          <w:tblHeader/>
          <w:jc w:val="center"/>
        </w:trPr>
        <w:tc>
          <w:tcPr>
            <w:tcW w:w="35.0%" w:type="pct"/>
            <w:tcBorders>
              <w:top w:val="single" w:sz="4" w:space="0" w:color="auto"/>
              <w:start w:val="single" w:sz="4" w:space="0" w:color="auto"/>
              <w:bottom w:val="single" w:sz="4" w:space="0" w:color="auto"/>
              <w:end w:val="single" w:sz="4" w:space="0" w:color="auto"/>
            </w:tcBorders>
            <w:shd w:val="clear" w:color="auto" w:fill="009AD9"/>
            <w:hideMark/>
          </w:tcPr>
          <w:p w:rsidR="00A827BF" w:rsidRPr="00611019" w:rsidRDefault="00E56462" w:rsidP="00035D2C">
            <w:pPr>
              <w:spacing w:before="2pt" w:after="2pt"/>
              <w:jc w:val="center"/>
              <w:rPr>
                <w:rFonts w:ascii="Century Gothic" w:eastAsia="Calibri" w:hAnsi="Century Gothic" w:cs="Arial"/>
                <w:b/>
                <w:color w:val="FFFFFF" w:themeColor="background1"/>
                <w:sz w:val="20"/>
                <w:szCs w:val="20"/>
                <w:lang w:val="es-ES_tradnl" w:eastAsia="es-ES"/>
              </w:rPr>
            </w:pPr>
            <w:r>
              <w:rPr>
                <w:rFonts w:ascii="Century Gothic" w:eastAsia="Calibri" w:hAnsi="Century Gothic" w:cs="Arial"/>
                <w:b/>
                <w:color w:val="FFFFFF" w:themeColor="background1"/>
                <w:sz w:val="20"/>
                <w:szCs w:val="20"/>
                <w:lang w:val="es-ES_tradnl" w:eastAsia="es-ES"/>
              </w:rPr>
              <w:t>Etapa</w:t>
            </w:r>
          </w:p>
        </w:tc>
        <w:tc>
          <w:tcPr>
            <w:tcW w:w="64.0%" w:type="pct"/>
            <w:tcBorders>
              <w:top w:val="single" w:sz="4" w:space="0" w:color="auto"/>
              <w:start w:val="single" w:sz="4" w:space="0" w:color="auto"/>
              <w:bottom w:val="single" w:sz="4" w:space="0" w:color="auto"/>
              <w:end w:val="single" w:sz="4" w:space="0" w:color="auto"/>
            </w:tcBorders>
            <w:shd w:val="clear" w:color="auto" w:fill="009AD9"/>
            <w:hideMark/>
          </w:tcPr>
          <w:p w:rsidR="00A827BF" w:rsidRPr="00611019" w:rsidRDefault="00E56462" w:rsidP="00035D2C">
            <w:pPr>
              <w:spacing w:before="2pt" w:after="2pt"/>
              <w:jc w:val="center"/>
              <w:rPr>
                <w:rFonts w:ascii="Century Gothic" w:eastAsia="Calibri" w:hAnsi="Century Gothic" w:cs="Arial"/>
                <w:b/>
                <w:color w:val="FFFFFF" w:themeColor="background1"/>
                <w:sz w:val="20"/>
                <w:szCs w:val="20"/>
                <w:lang w:val="es-ES_tradnl" w:eastAsia="es-ES"/>
              </w:rPr>
            </w:pPr>
            <w:r>
              <w:rPr>
                <w:rFonts w:ascii="Century Gothic" w:eastAsia="Calibri" w:hAnsi="Century Gothic" w:cs="Arial"/>
                <w:b/>
                <w:color w:val="FFFFFF" w:themeColor="background1"/>
                <w:sz w:val="20"/>
                <w:szCs w:val="20"/>
                <w:lang w:val="es-ES_tradnl" w:eastAsia="es-ES"/>
              </w:rPr>
              <w:t>Descripción</w:t>
            </w:r>
          </w:p>
        </w:tc>
      </w:tr>
      <w:tr w:rsidR="0061711D" w:rsidTr="00A827BF">
        <w:trPr>
          <w:trHeight w:val="784"/>
          <w:jc w:val="center"/>
        </w:trPr>
        <w:tc>
          <w:tcPr>
            <w:tcW w:w="35.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Envío, Validación y factibilidad Técnica de la solicitud</w:t>
            </w:r>
          </w:p>
        </w:tc>
        <w:tc>
          <w:tcPr>
            <w:tcW w:w="64.0%" w:type="pct"/>
            <w:tcBorders>
              <w:top w:val="single" w:sz="4" w:space="0" w:color="auto"/>
              <w:start w:val="single" w:sz="4" w:space="0" w:color="auto"/>
              <w:bottom w:val="single" w:sz="4" w:space="0" w:color="auto"/>
              <w:end w:val="single" w:sz="4" w:space="0" w:color="auto"/>
            </w:tcBorders>
          </w:tcPr>
          <w:p w:rsidR="00A827BF"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CS deberá presentar sus solicitudes a través del SEG/SIPO, realizando la validación y análisis de Factibilidad Técnica determinando si existen los recursos técnicos y facilidades para habilitar los Servicios solicitados seleccionando la siguiente información:</w:t>
            </w:r>
          </w:p>
          <w:p w:rsidR="00A827BF" w:rsidRPr="00611019" w:rsidRDefault="00A827BF" w:rsidP="00035D2C">
            <w:pPr>
              <w:spacing w:before="2pt" w:after="2pt"/>
              <w:jc w:val="both"/>
              <w:rPr>
                <w:rFonts w:ascii="Century Gothic" w:eastAsia="Calibri" w:hAnsi="Century Gothic" w:cs="Arial"/>
                <w:color w:val="000000"/>
                <w:sz w:val="20"/>
                <w:szCs w:val="20"/>
                <w:lang w:val="es-ES_tradnl" w:eastAsia="es-ES"/>
              </w:rPr>
            </w:pPr>
          </w:p>
          <w:p w:rsidR="00A827BF" w:rsidRPr="00611019" w:rsidRDefault="00E56462">
            <w:pPr>
              <w:numPr>
                <w:ilvl w:val="0"/>
                <w:numId w:val="94"/>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CS deberá especificar el NCAI solicitado</w:t>
            </w:r>
          </w:p>
          <w:p w:rsidR="00A827BF" w:rsidRPr="00611019" w:rsidRDefault="00A827BF" w:rsidP="00035D2C">
            <w:pPr>
              <w:spacing w:before="2pt" w:after="2pt"/>
              <w:ind w:start="37.70pt"/>
              <w:jc w:val="both"/>
              <w:rPr>
                <w:rFonts w:ascii="Century Gothic" w:eastAsia="Calibri" w:hAnsi="Century Gothic" w:cs="Arial"/>
                <w:color w:val="000000"/>
                <w:sz w:val="20"/>
                <w:szCs w:val="20"/>
                <w:lang w:val="es-ES_tradnl" w:eastAsia="es-ES"/>
              </w:rPr>
            </w:pPr>
          </w:p>
          <w:p w:rsidR="00A827BF"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lastRenderedPageBreak/>
              <w:t>Una vez enviada la solicitud el SEG/SIPO asignará de forma automática el Folio de seguimiento.</w:t>
            </w:r>
          </w:p>
          <w:p w:rsidR="00A827BF" w:rsidRPr="00611019" w:rsidRDefault="00A827BF" w:rsidP="00035D2C">
            <w:pPr>
              <w:spacing w:before="2pt" w:after="2pt"/>
              <w:jc w:val="both"/>
              <w:rPr>
                <w:rFonts w:ascii="Century Gothic" w:eastAsia="Calibri" w:hAnsi="Century Gothic" w:cs="Arial"/>
                <w:color w:val="000000"/>
                <w:sz w:val="20"/>
                <w:szCs w:val="20"/>
                <w:lang w:val="es-ES_tradnl" w:eastAsia="es-ES"/>
              </w:rPr>
            </w:pPr>
          </w:p>
          <w:p w:rsidR="00A827BF" w:rsidRPr="00611019" w:rsidRDefault="00E56462" w:rsidP="00035D2C">
            <w:pPr>
              <w:spacing w:before="2pt" w:after="2pt"/>
              <w:jc w:val="both"/>
              <w:rPr>
                <w:rFonts w:ascii="Century Gothic" w:eastAsia="Calibri" w:hAnsi="Century Gothic" w:cs="Arial"/>
                <w:b/>
                <w:color w:val="000000"/>
                <w:sz w:val="20"/>
                <w:szCs w:val="20"/>
                <w:lang w:val="es-ES_tradnl" w:eastAsia="es-ES"/>
              </w:rPr>
            </w:pPr>
            <w:r>
              <w:rPr>
                <w:rFonts w:ascii="Century Gothic" w:eastAsia="Calibri" w:hAnsi="Century Gothic" w:cs="Arial"/>
                <w:color w:val="000000"/>
                <w:sz w:val="20"/>
                <w:szCs w:val="20"/>
                <w:lang w:val="es-ES_tradnl" w:eastAsia="es-ES"/>
              </w:rPr>
              <w:t>En caso de no existir facilidades de acuerdo con lo previsto en el apartado Disponibilidad de recursos, a través del SEG/SIPO se notificará al CS la justificación y las evidencias correspondientes. El CS podrá solicitar el Trabajo Especial aplicando el procedimiento de dicha sección de esta OREDA.</w:t>
            </w:r>
          </w:p>
        </w:tc>
      </w:tr>
      <w:tr w:rsidR="0061711D" w:rsidTr="00A827BF">
        <w:trPr>
          <w:jc w:val="center"/>
        </w:trPr>
        <w:tc>
          <w:tcPr>
            <w:tcW w:w="35.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lastRenderedPageBreak/>
              <w:t>Habilitación y aprovisionamiento del Servicio</w:t>
            </w:r>
          </w:p>
        </w:tc>
        <w:tc>
          <w:tcPr>
            <w:tcW w:w="64.0%" w:type="pct"/>
            <w:tcBorders>
              <w:top w:val="single" w:sz="4" w:space="0" w:color="auto"/>
              <w:start w:val="single" w:sz="4" w:space="0" w:color="auto"/>
              <w:bottom w:val="single" w:sz="4" w:space="0" w:color="auto"/>
              <w:end w:val="single" w:sz="4" w:space="0" w:color="auto"/>
            </w:tcBorders>
          </w:tcPr>
          <w:p w:rsidR="00A827BF"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Una vez recibida la aceptación por parte del CS considerando los siguientes escenarios, en donde RED NACIONAL notificará al CS cuando esté disponible el Servicio indicando las VLAN configuradas:</w:t>
            </w:r>
          </w:p>
          <w:p w:rsidR="00A827BF" w:rsidRPr="00611019" w:rsidRDefault="00A827BF" w:rsidP="00035D2C">
            <w:pPr>
              <w:spacing w:before="2pt" w:after="2pt"/>
              <w:jc w:val="both"/>
              <w:rPr>
                <w:rFonts w:ascii="Century Gothic" w:eastAsia="Calibri" w:hAnsi="Century Gothic" w:cs="Arial"/>
                <w:color w:val="000000"/>
                <w:sz w:val="20"/>
                <w:szCs w:val="20"/>
                <w:lang w:val="es-ES_tradnl" w:eastAsia="es-ES"/>
              </w:rPr>
            </w:pPr>
          </w:p>
          <w:p w:rsidR="00A827BF" w:rsidRPr="00611019" w:rsidRDefault="00E56462" w:rsidP="00035D2C">
            <w:pPr>
              <w:spacing w:before="2pt" w:after="2pt"/>
              <w:jc w:val="both"/>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Coubicación Interna:</w:t>
            </w:r>
          </w:p>
          <w:p w:rsidR="00A827BF" w:rsidRPr="00611019" w:rsidRDefault="00E56462">
            <w:pPr>
              <w:numPr>
                <w:ilvl w:val="0"/>
                <w:numId w:val="95"/>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Se habilitará el Servicio en un plazo máximo de 20 días hábiles, por cada 100 equipos de acceso, independientemente del número de NCAI que se habiliten en el SCyD y 1 día adicional por cada 5 equipos de acceso adicionales, los cuales se contabilizarán a partir del ingreso de la solicitud.</w:t>
            </w:r>
          </w:p>
          <w:p w:rsidR="00A827BF" w:rsidRPr="00611019" w:rsidRDefault="00A827BF" w:rsidP="00F56183">
            <w:pPr>
              <w:spacing w:before="2pt" w:after="2pt"/>
              <w:ind w:start="36pt"/>
              <w:jc w:val="both"/>
              <w:rPr>
                <w:rFonts w:ascii="Century Gothic" w:eastAsia="Calibri" w:hAnsi="Century Gothic" w:cs="Arial"/>
                <w:color w:val="000000"/>
                <w:sz w:val="20"/>
                <w:szCs w:val="20"/>
                <w:lang w:val="es-ES_tradnl" w:eastAsia="es-ES"/>
              </w:rPr>
            </w:pPr>
          </w:p>
          <w:p w:rsidR="00A827BF" w:rsidRPr="00611019" w:rsidRDefault="00E56462" w:rsidP="00035D2C">
            <w:pPr>
              <w:spacing w:before="2pt" w:after="2pt"/>
              <w:jc w:val="both"/>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 xml:space="preserve">Coubicación Externa: </w:t>
            </w:r>
          </w:p>
          <w:p w:rsidR="00A827BF" w:rsidRPr="00611019" w:rsidRDefault="00E56462">
            <w:pPr>
              <w:numPr>
                <w:ilvl w:val="0"/>
                <w:numId w:val="95"/>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Se habilitará el Servicio en un plazo máximo de 30 días hábiles, por cada NCAI que se habilite en el SCyD, los cuales se contabilizarán a partir del ingreso de la solicitud.</w:t>
            </w:r>
          </w:p>
          <w:p w:rsidR="00A827BF" w:rsidRPr="00611019" w:rsidRDefault="00A827BF" w:rsidP="00035D2C">
            <w:pPr>
              <w:spacing w:before="2pt" w:after="2pt"/>
              <w:jc w:val="both"/>
              <w:rPr>
                <w:rFonts w:ascii="Century Gothic" w:eastAsia="Calibri" w:hAnsi="Century Gothic" w:cs="Arial"/>
                <w:color w:val="000000"/>
                <w:sz w:val="20"/>
                <w:szCs w:val="20"/>
                <w:lang w:val="es-ES_tradnl" w:eastAsia="es-ES"/>
              </w:rPr>
            </w:pPr>
          </w:p>
          <w:p w:rsidR="00A827BF" w:rsidRPr="00611019" w:rsidRDefault="00E56462" w:rsidP="00035D2C">
            <w:pPr>
              <w:spacing w:before="2pt" w:after="2pt"/>
              <w:jc w:val="both"/>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 xml:space="preserve">Ubicación Distante: </w:t>
            </w:r>
          </w:p>
          <w:p w:rsidR="00A827BF" w:rsidRPr="00611019" w:rsidRDefault="00E56462">
            <w:pPr>
              <w:numPr>
                <w:ilvl w:val="0"/>
                <w:numId w:val="95"/>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Servicio será instalado en un máximo de 45 días hábiles por cada SCyD habilitado, los cuales se contabilizarán a partir del ingreso de la solicitud.</w:t>
            </w:r>
          </w:p>
        </w:tc>
      </w:tr>
      <w:tr w:rsidR="0061711D" w:rsidTr="00A827BF">
        <w:trPr>
          <w:jc w:val="center"/>
        </w:trPr>
        <w:tc>
          <w:tcPr>
            <w:tcW w:w="35.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Pruebas de Aceptación del Servicio</w:t>
            </w:r>
          </w:p>
        </w:tc>
        <w:tc>
          <w:tcPr>
            <w:tcW w:w="64.0%" w:type="pct"/>
            <w:tcBorders>
              <w:top w:val="single" w:sz="4" w:space="0" w:color="auto"/>
              <w:start w:val="single" w:sz="4" w:space="0" w:color="auto"/>
              <w:bottom w:val="single" w:sz="4" w:space="0" w:color="auto"/>
              <w:end w:val="single" w:sz="4" w:space="0" w:color="auto"/>
            </w:tcBorders>
          </w:tcPr>
          <w:p w:rsidR="00A827BF"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Los resultados de la prueba realizada en el momento de la habilitación del Servicio se capturarán en el SEG/SIPO. Adicionalmente el CS tendrá cinco días hábiles para realizar la prueba en conjunto del servicio</w:t>
            </w:r>
            <w:r>
              <w:rPr>
                <w:rFonts w:ascii="Century Gothic" w:eastAsia="Calibri" w:hAnsi="Century Gothic" w:cs="Arial"/>
                <w:color w:val="000000"/>
                <w:vertAlign w:val="superscript"/>
                <w:lang w:val="es-ES_tradnl" w:eastAsia="es-ES"/>
              </w:rPr>
              <w:footnoteReference w:id="28"/>
            </w:r>
            <w:r>
              <w:rPr>
                <w:rFonts w:ascii="Century Gothic" w:eastAsia="Calibri" w:hAnsi="Century Gothic" w:cs="Arial"/>
                <w:color w:val="000000"/>
                <w:sz w:val="20"/>
                <w:szCs w:val="20"/>
                <w:lang w:val="es-ES_tradnl" w:eastAsia="es-ES"/>
              </w:rPr>
              <w:t>, en caso de que no se realice la prueba, se entenderá que el CS ha aceptado de conformidad el servicio.</w:t>
            </w:r>
          </w:p>
          <w:p w:rsidR="00A827BF"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lastRenderedPageBreak/>
              <w:t>Una vez realizada la aceptación del servicio, se entregará un Acta de Recepción del Servicio por SCyD comenzando la facturación y se comenzará a suministrar el tráfico correspondiente.</w:t>
            </w:r>
          </w:p>
        </w:tc>
      </w:tr>
      <w:tr w:rsidR="0061711D" w:rsidTr="00F56287">
        <w:trPr>
          <w:trHeight w:val="2275"/>
          <w:jc w:val="center"/>
        </w:trPr>
        <w:tc>
          <w:tcPr>
            <w:tcW w:w="35.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lastRenderedPageBreak/>
              <w:t>Facturación</w:t>
            </w:r>
          </w:p>
        </w:tc>
        <w:tc>
          <w:tcPr>
            <w:tcW w:w="64.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Al corte del mes se realizará la facturación aplicable al servicio:</w:t>
            </w:r>
          </w:p>
          <w:p w:rsidR="00A827BF" w:rsidRPr="00611019" w:rsidRDefault="00E56462">
            <w:pPr>
              <w:numPr>
                <w:ilvl w:val="0"/>
                <w:numId w:val="96"/>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Se incluirán los gastos de instalación y la renta mensual correspondiente.</w:t>
            </w:r>
          </w:p>
          <w:p w:rsidR="00A827BF" w:rsidRPr="00611019" w:rsidRDefault="00E56462">
            <w:pPr>
              <w:numPr>
                <w:ilvl w:val="0"/>
                <w:numId w:val="96"/>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CS contará con la posibilidad de solicitar ajustes o aclaraciones respecto a los conceptos y Servicios incluidos en su factura.</w:t>
            </w:r>
          </w:p>
        </w:tc>
      </w:tr>
    </w:tbl>
    <w:p w:rsidR="00A827BF" w:rsidRPr="00611019" w:rsidRDefault="00E56462" w:rsidP="00035D2C">
      <w:pPr>
        <w:jc w:val="both"/>
        <w:rPr>
          <w:rFonts w:ascii="Times New Roman" w:eastAsia="Calibri" w:hAnsi="Times New Roman" w:cs="Times New Roman"/>
          <w:sz w:val="24"/>
          <w:szCs w:val="24"/>
          <w:lang w:eastAsia="es-MX"/>
        </w:rPr>
      </w:pPr>
      <w:r>
        <w:rPr>
          <w:rFonts w:ascii="Century Gothic" w:eastAsia="Calibri" w:hAnsi="Century Gothic" w:cs="Times New Roman"/>
          <w:sz w:val="20"/>
          <w:szCs w:val="20"/>
        </w:rPr>
        <w:t>Nota: El CS deberá verificar que la habilitación del NCAI sea posible de acuerdo con la cantidad de pCAI que tenga habilitados en el SCyD</w:t>
      </w:r>
      <w:r>
        <w:rPr>
          <w:rFonts w:ascii="Times New Roman" w:eastAsia="Calibri" w:hAnsi="Times New Roman" w:cs="Times New Roman"/>
          <w:sz w:val="24"/>
          <w:szCs w:val="24"/>
          <w:lang w:eastAsia="es-MX"/>
        </w:rPr>
        <w:t>.</w:t>
      </w:r>
    </w:p>
    <w:p w:rsidR="00A827BF" w:rsidRPr="00611019" w:rsidRDefault="00A827BF" w:rsidP="00035D2C">
      <w:pPr>
        <w:jc w:val="both"/>
        <w:rPr>
          <w:rFonts w:ascii="Times New Roman" w:eastAsia="Calibri" w:hAnsi="Times New Roman" w:cs="Times New Roman"/>
          <w:sz w:val="24"/>
          <w:szCs w:val="24"/>
          <w:lang w:eastAsia="es-MX"/>
        </w:rPr>
      </w:pPr>
    </w:p>
    <w:p w:rsidR="00A827BF" w:rsidRPr="00611019" w:rsidRDefault="00E56462" w:rsidP="00035D2C">
      <w:pPr>
        <w:jc w:val="both"/>
        <w:rPr>
          <w:rFonts w:ascii="Century Gothic" w:eastAsia="Calibri" w:hAnsi="Century Gothic" w:cs="Arial"/>
          <w:b/>
          <w:color w:val="000000"/>
          <w:lang w:val="es-ES_tradnl" w:eastAsia="es-ES"/>
        </w:rPr>
      </w:pPr>
      <w:r>
        <w:rPr>
          <w:rFonts w:ascii="Century Gothic" w:eastAsia="Calibri" w:hAnsi="Century Gothic" w:cs="Arial"/>
          <w:b/>
          <w:color w:val="000000"/>
          <w:lang w:val="es-ES_tradnl" w:eastAsia="es-ES"/>
        </w:rPr>
        <w:t>Procedimiento de Baja del SCyD.</w:t>
      </w:r>
    </w:p>
    <w:p w:rsidR="00CD754A" w:rsidRPr="00611019" w:rsidRDefault="00CD754A" w:rsidP="00035D2C">
      <w:pPr>
        <w:jc w:val="both"/>
        <w:rPr>
          <w:rFonts w:ascii="Century Gothic" w:eastAsia="Calibri" w:hAnsi="Century Gothic" w:cs="Arial"/>
          <w:color w:val="000000"/>
          <w:sz w:val="8"/>
          <w:lang w:val="es-ES_tradnl" w:eastAsia="es-ES"/>
        </w:rPr>
      </w:pPr>
    </w:p>
    <w:p w:rsidR="00A827BF" w:rsidRPr="00611019" w:rsidRDefault="00E56462" w:rsidP="00035D2C">
      <w:p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El objetivo y alcance de este procedimiento es definir los pasos y actividades a desarrollar por parte de RED NACIONAL y del CS, a fin de realizar la baja de los Servicios de Concentración y Distribución prestados a través de uno o varios pCAI en un NCAI; las fases en que se divide este procedimiento son: </w:t>
      </w:r>
      <w:r>
        <w:rPr>
          <w:rFonts w:ascii="Century Gothic" w:eastAsia="Calibri" w:hAnsi="Century Gothic" w:cs="Arial"/>
          <w:b/>
          <w:color w:val="000000"/>
          <w:lang w:val="es-ES_tradnl" w:eastAsia="es-ES"/>
        </w:rPr>
        <w:t>(i)</w:t>
      </w:r>
      <w:r>
        <w:rPr>
          <w:rFonts w:ascii="Century Gothic" w:eastAsia="Calibri" w:hAnsi="Century Gothic" w:cs="Arial"/>
          <w:color w:val="000000"/>
          <w:lang w:val="es-ES_tradnl" w:eastAsia="es-ES"/>
        </w:rPr>
        <w:t xml:space="preserve"> Envío y validación a través del SEG/SIPO de la solicitud de baja de los Servicios, verificando de que la solicitud cuenta con todos los elementos; y </w:t>
      </w:r>
      <w:r>
        <w:rPr>
          <w:rFonts w:ascii="Century Gothic" w:eastAsia="Calibri" w:hAnsi="Century Gothic" w:cs="Arial"/>
          <w:b/>
          <w:color w:val="000000"/>
          <w:lang w:val="es-ES_tradnl" w:eastAsia="es-ES"/>
        </w:rPr>
        <w:t>(ii)</w:t>
      </w:r>
      <w:r>
        <w:rPr>
          <w:rFonts w:ascii="Century Gothic" w:eastAsia="Calibri" w:hAnsi="Century Gothic" w:cs="Arial"/>
          <w:color w:val="000000"/>
          <w:lang w:val="es-ES_tradnl" w:eastAsia="es-ES"/>
        </w:rPr>
        <w:t xml:space="preserve"> Baja de los pCAI.</w:t>
      </w:r>
    </w:p>
    <w:p w:rsidR="00F56287" w:rsidRPr="00611019" w:rsidRDefault="00F56287" w:rsidP="00035D2C">
      <w:pPr>
        <w:spacing w:after="6pt"/>
        <w:jc w:val="both"/>
        <w:rPr>
          <w:rFonts w:ascii="Century Gothic" w:eastAsia="Calibri" w:hAnsi="Century Gothic" w:cs="Arial"/>
          <w:color w:val="000000"/>
          <w:lang w:val="es-ES_tradnl" w:eastAsia="es-ES"/>
        </w:rPr>
      </w:pPr>
    </w:p>
    <w:tbl>
      <w:tblPr>
        <w:tblW w:w="99.0%" w:type="pct"/>
        <w:jc w:val="cente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1"/>
      </w:tblPr>
      <w:tblGrid>
        <w:gridCol w:w="2349"/>
        <w:gridCol w:w="6951"/>
      </w:tblGrid>
      <w:tr w:rsidR="0061711D" w:rsidTr="00A827BF">
        <w:trPr>
          <w:tblHeader/>
          <w:jc w:val="center"/>
        </w:trPr>
        <w:tc>
          <w:tcPr>
            <w:tcW w:w="25.0%" w:type="pct"/>
            <w:tcBorders>
              <w:top w:val="single" w:sz="4" w:space="0" w:color="auto"/>
              <w:start w:val="single" w:sz="4" w:space="0" w:color="auto"/>
              <w:bottom w:val="single" w:sz="4" w:space="0" w:color="auto"/>
              <w:end w:val="single" w:sz="4" w:space="0" w:color="auto"/>
            </w:tcBorders>
            <w:shd w:val="clear" w:color="auto" w:fill="009AD9"/>
            <w:hideMark/>
          </w:tcPr>
          <w:p w:rsidR="00A827BF" w:rsidRPr="00611019" w:rsidRDefault="00E56462" w:rsidP="00035D2C">
            <w:pPr>
              <w:spacing w:before="2pt" w:after="2pt"/>
              <w:jc w:val="center"/>
              <w:rPr>
                <w:rFonts w:ascii="Century Gothic" w:eastAsia="Calibri" w:hAnsi="Century Gothic" w:cs="Arial"/>
                <w:b/>
                <w:color w:val="FFFFFF" w:themeColor="background1"/>
                <w:sz w:val="20"/>
                <w:szCs w:val="20"/>
                <w:lang w:val="es-ES_tradnl" w:eastAsia="es-ES"/>
              </w:rPr>
            </w:pPr>
            <w:r>
              <w:rPr>
                <w:rFonts w:ascii="Century Gothic" w:eastAsia="Calibri" w:hAnsi="Century Gothic" w:cs="Arial"/>
                <w:b/>
                <w:color w:val="FFFFFF" w:themeColor="background1"/>
                <w:sz w:val="20"/>
                <w:szCs w:val="20"/>
                <w:lang w:val="es-ES_tradnl" w:eastAsia="es-ES"/>
              </w:rPr>
              <w:t>Etapa</w:t>
            </w:r>
          </w:p>
        </w:tc>
        <w:tc>
          <w:tcPr>
            <w:tcW w:w="74.0%" w:type="pct"/>
            <w:tcBorders>
              <w:top w:val="single" w:sz="4" w:space="0" w:color="auto"/>
              <w:start w:val="single" w:sz="4" w:space="0" w:color="auto"/>
              <w:bottom w:val="single" w:sz="4" w:space="0" w:color="auto"/>
              <w:end w:val="single" w:sz="4" w:space="0" w:color="auto"/>
            </w:tcBorders>
            <w:shd w:val="clear" w:color="auto" w:fill="009AD9"/>
            <w:hideMark/>
          </w:tcPr>
          <w:p w:rsidR="00A827BF" w:rsidRPr="00611019" w:rsidRDefault="00E56462" w:rsidP="00035D2C">
            <w:pPr>
              <w:spacing w:before="2pt" w:after="2pt"/>
              <w:jc w:val="center"/>
              <w:rPr>
                <w:rFonts w:ascii="Century Gothic" w:eastAsia="Calibri" w:hAnsi="Century Gothic" w:cs="Arial"/>
                <w:b/>
                <w:color w:val="FFFFFF" w:themeColor="background1"/>
                <w:sz w:val="20"/>
                <w:szCs w:val="20"/>
                <w:lang w:val="es-ES_tradnl" w:eastAsia="es-ES"/>
              </w:rPr>
            </w:pPr>
            <w:r>
              <w:rPr>
                <w:rFonts w:ascii="Century Gothic" w:eastAsia="Calibri" w:hAnsi="Century Gothic" w:cs="Arial"/>
                <w:b/>
                <w:color w:val="FFFFFF" w:themeColor="background1"/>
                <w:sz w:val="20"/>
                <w:szCs w:val="20"/>
                <w:lang w:val="es-ES_tradnl" w:eastAsia="es-ES"/>
              </w:rPr>
              <w:t>Descripción</w:t>
            </w:r>
          </w:p>
        </w:tc>
      </w:tr>
      <w:tr w:rsidR="0061711D" w:rsidTr="00A827BF">
        <w:trPr>
          <w:jc w:val="center"/>
        </w:trPr>
        <w:tc>
          <w:tcPr>
            <w:tcW w:w="25.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Envío y Validación de la solicitud</w:t>
            </w:r>
          </w:p>
        </w:tc>
        <w:tc>
          <w:tcPr>
            <w:tcW w:w="74.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CS deberá presentar sus solicitudes a través del SEG/SIPO, realizando en línea la validación de baja, indicando el NIS de Referencia del Servicio en operación.</w:t>
            </w:r>
          </w:p>
          <w:p w:rsidR="00A827BF"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Una vez enviada la solicitud el SEG/SIPO asignará de forma automática el Folio de seguimiento.</w:t>
            </w:r>
          </w:p>
        </w:tc>
      </w:tr>
      <w:tr w:rsidR="0061711D" w:rsidTr="00A827BF">
        <w:trPr>
          <w:jc w:val="center"/>
        </w:trPr>
        <w:tc>
          <w:tcPr>
            <w:tcW w:w="25.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Baja de servicio</w:t>
            </w:r>
          </w:p>
        </w:tc>
        <w:tc>
          <w:tcPr>
            <w:tcW w:w="74.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Una vez asignado el Folio se dará de baja el o los pCAI en el plazo establecido para tal efecto en la sección de Plazos de este Servicio en la presente OREDA, así como la facturación asociada a partir de la solicitud.</w:t>
            </w:r>
          </w:p>
        </w:tc>
      </w:tr>
    </w:tbl>
    <w:p w:rsidR="00A827BF" w:rsidRPr="00611019" w:rsidRDefault="00A827BF" w:rsidP="00035D2C">
      <w:pPr>
        <w:rPr>
          <w:rFonts w:ascii="Century Gothic" w:eastAsia="Calibri" w:hAnsi="Century Gothic" w:cs="Times New Roman"/>
          <w:b/>
        </w:rPr>
      </w:pPr>
    </w:p>
    <w:p w:rsidR="00A827BF" w:rsidRPr="00611019" w:rsidRDefault="00E56462" w:rsidP="00035D2C">
      <w:pPr>
        <w:jc w:val="both"/>
        <w:rPr>
          <w:rFonts w:ascii="Century Gothic" w:eastAsia="Calibri" w:hAnsi="Century Gothic" w:cs="Arial"/>
          <w:b/>
          <w:color w:val="000000"/>
          <w:lang w:val="es-ES_tradnl" w:eastAsia="es-ES"/>
        </w:rPr>
      </w:pPr>
      <w:r>
        <w:rPr>
          <w:rFonts w:ascii="Century Gothic" w:eastAsia="Calibri" w:hAnsi="Century Gothic" w:cs="Arial"/>
          <w:b/>
          <w:color w:val="000000"/>
          <w:lang w:val="es-ES_tradnl" w:eastAsia="es-ES"/>
        </w:rPr>
        <w:t xml:space="preserve">Procedimiento de Migración de puerto pCAI por incremento de capacidad. </w:t>
      </w:r>
    </w:p>
    <w:p w:rsidR="00CD754A" w:rsidRPr="00611019" w:rsidRDefault="00CD754A" w:rsidP="00035D2C">
      <w:pPr>
        <w:jc w:val="both"/>
        <w:rPr>
          <w:rFonts w:ascii="Century Gothic" w:eastAsia="Calibri" w:hAnsi="Century Gothic" w:cs="Arial"/>
          <w:b/>
          <w:color w:val="000000"/>
          <w:sz w:val="8"/>
          <w:lang w:val="es-ES_tradnl" w:eastAsia="es-ES"/>
        </w:rPr>
      </w:pPr>
    </w:p>
    <w:p w:rsidR="00A827BF" w:rsidRPr="00611019" w:rsidRDefault="00E56462" w:rsidP="00035D2C">
      <w:p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En caso de que el CS requiera realizar una migración y cambio de puerto pCAI debido a necesidades de capacidad, dicha migración será atendida conforme las políticas actuales de contratación y baja de los Servicios.</w:t>
      </w:r>
    </w:p>
    <w:p w:rsidR="00CD754A" w:rsidRPr="00611019" w:rsidRDefault="00CD754A" w:rsidP="00035D2C">
      <w:pPr>
        <w:jc w:val="both"/>
        <w:rPr>
          <w:rFonts w:ascii="Century Gothic" w:eastAsia="Calibri" w:hAnsi="Century Gothic" w:cs="Arial"/>
          <w:color w:val="000000"/>
          <w:lang w:val="es-ES_tradnl" w:eastAsia="es-ES"/>
        </w:rPr>
      </w:pPr>
    </w:p>
    <w:p w:rsidR="00A827BF"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lastRenderedPageBreak/>
        <w:t xml:space="preserve">El CS deberá enviar la solicitud a </w:t>
      </w:r>
      <w:r>
        <w:rPr>
          <w:rFonts w:ascii="Century Gothic" w:eastAsia="Calibri" w:hAnsi="Century Gothic" w:cs="Times New Roman"/>
        </w:rPr>
        <w:t>RED NACIONAL</w:t>
      </w:r>
      <w:r>
        <w:rPr>
          <w:rFonts w:ascii="Century Gothic" w:eastAsia="Calibri" w:hAnsi="Century Gothic" w:cs="Arial"/>
          <w:color w:val="000000"/>
          <w:lang w:val="es-ES_tradnl" w:eastAsia="es-ES"/>
        </w:rPr>
        <w:t xml:space="preserve"> a través del SEG/SIPO, mediante el formato correspondiente, de conformidad con el apartado Solicitud de pCAI por SCyD. </w:t>
      </w:r>
    </w:p>
    <w:p w:rsidR="00A827BF"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El Servicio en el nuevo pCAI dependerá de la factibilidad técnica prevista en el apartado “Disponibilidad de recursos” de esta OREDA.</w:t>
      </w:r>
    </w:p>
    <w:p w:rsidR="00A827BF"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El movimiento de migración de puerto será siempre a uno de mayor capacidad. Se debe cumplir el criterio que el puerto contratado inicialmente observe una ocupación al menos del 70% de su capacidad.</w:t>
      </w:r>
    </w:p>
    <w:p w:rsidR="00A827BF"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La migración deberá darse sólo en Servicios del mismo nivel jerárquico (Local a Local, Regional a Regional o Nacional a Nacional), respetando los dominios administrativos a los que pertenecen los Usuarios Finales.</w:t>
      </w:r>
    </w:p>
    <w:p w:rsidR="00A827BF"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Derivado que la migración del pCAI implica migración de Usuarios Finales del puerto actual al nuevo puerto, </w:t>
      </w:r>
      <w:r>
        <w:rPr>
          <w:rFonts w:ascii="Century Gothic" w:eastAsia="Calibri" w:hAnsi="Century Gothic" w:cs="Times New Roman"/>
        </w:rPr>
        <w:t>RED NACIONAL</w:t>
      </w:r>
      <w:r>
        <w:rPr>
          <w:rFonts w:ascii="Century Gothic" w:eastAsia="Calibri" w:hAnsi="Century Gothic" w:cs="Arial"/>
          <w:color w:val="000000"/>
          <w:lang w:val="es-ES_tradnl" w:eastAsia="es-ES"/>
        </w:rPr>
        <w:t xml:space="preserve"> y los </w:t>
      </w:r>
      <w:r w:rsidR="006760FC">
        <w:rPr>
          <w:rFonts w:ascii="Century Gothic" w:eastAsia="Calibri" w:hAnsi="Century Gothic" w:cs="Arial"/>
          <w:color w:val="000000"/>
          <w:lang w:val="es-ES_tradnl" w:eastAsia="es-ES"/>
        </w:rPr>
        <w:t>CS</w:t>
      </w:r>
      <w:r>
        <w:rPr>
          <w:rFonts w:ascii="Century Gothic" w:eastAsia="Calibri" w:hAnsi="Century Gothic" w:cs="Arial"/>
          <w:color w:val="000000"/>
          <w:lang w:val="es-ES_tradnl" w:eastAsia="es-ES"/>
        </w:rPr>
        <w:t xml:space="preserve"> deberán coordinarse para realizar dichas actividades las cuales no deberán exceder tres meses desde el envío de la solicitud.</w:t>
      </w:r>
    </w:p>
    <w:p w:rsidR="00A827BF" w:rsidRPr="00611019" w:rsidRDefault="00E56462" w:rsidP="00035D2C">
      <w:pPr>
        <w:spacing w:after="6pt"/>
        <w:jc w:val="both"/>
        <w:rPr>
          <w:rFonts w:eastAsia="Calibri" w:cs="Times New Roman"/>
        </w:rPr>
      </w:pPr>
      <w:r>
        <w:rPr>
          <w:rFonts w:ascii="Century Gothic" w:eastAsia="Calibri" w:hAnsi="Century Gothic" w:cs="Times New Roman"/>
        </w:rPr>
        <w:t xml:space="preserve">El CS deberá asumir la responsabilidad de la interrupción del Servicio con sus </w:t>
      </w:r>
      <w:r>
        <w:rPr>
          <w:rFonts w:ascii="Century Gothic" w:hAnsi="Century Gothic"/>
        </w:rPr>
        <w:t>Usuarios Finales</w:t>
      </w:r>
      <w:r>
        <w:rPr>
          <w:rFonts w:ascii="Century Gothic" w:eastAsia="Calibri" w:hAnsi="Century Gothic" w:cs="Times New Roman"/>
        </w:rPr>
        <w:t>, así como proporcionar una ventana de mantenimiento a RED NACIONAL durante el periodo que dure la migración.</w:t>
      </w:r>
    </w:p>
    <w:p w:rsidR="00A827BF" w:rsidRPr="00611019" w:rsidRDefault="00A827BF" w:rsidP="00035D2C">
      <w:pPr>
        <w:spacing w:after="6pt"/>
        <w:jc w:val="both"/>
        <w:rPr>
          <w:rFonts w:ascii="Century Gothic" w:eastAsia="Calibri" w:hAnsi="Century Gothic" w:cs="Times New Roman"/>
        </w:rPr>
      </w:pPr>
    </w:p>
    <w:p w:rsidR="00A827BF" w:rsidRPr="00611019" w:rsidRDefault="00E56462" w:rsidP="00035D2C">
      <w:pPr>
        <w:keepNext/>
        <w:spacing w:after="3pt"/>
        <w:ind w:start="56.70pt" w:hanging="56.70pt"/>
        <w:jc w:val="both"/>
        <w:outlineLvl w:val="1"/>
        <w:rPr>
          <w:rFonts w:ascii="Century Gothic" w:eastAsia="Times New Roman" w:hAnsi="Century Gothic" w:cs="Arial"/>
          <w:b/>
          <w:bCs/>
        </w:rPr>
      </w:pPr>
      <w:bookmarkStart w:id="1567" w:name="_Toc107502288"/>
      <w:bookmarkStart w:id="1568" w:name="_Toc115739147"/>
      <w:bookmarkStart w:id="1569" w:name="_Toc125393384"/>
      <w:bookmarkStart w:id="1570" w:name="_Toc148702240"/>
      <w:bookmarkStart w:id="1571" w:name="_Toc170381861"/>
      <w:r>
        <w:rPr>
          <w:rFonts w:ascii="Century Gothic" w:eastAsia="Times New Roman" w:hAnsi="Century Gothic" w:cs="Arial"/>
          <w:b/>
          <w:bCs/>
        </w:rPr>
        <w:t>8.8 Plazos de Entrega de SCyD</w:t>
      </w:r>
      <w:bookmarkEnd w:id="1567"/>
      <w:bookmarkEnd w:id="1568"/>
      <w:bookmarkEnd w:id="1569"/>
      <w:bookmarkEnd w:id="1570"/>
      <w:bookmarkEnd w:id="1571"/>
      <w:r>
        <w:rPr>
          <w:rFonts w:ascii="Century Gothic" w:eastAsia="Times New Roman" w:hAnsi="Century Gothic" w:cs="Arial"/>
          <w:b/>
          <w:bCs/>
        </w:rPr>
        <w:t>.</w:t>
      </w:r>
    </w:p>
    <w:p w:rsidR="00A827BF" w:rsidRPr="00611019" w:rsidRDefault="00E56462">
      <w:pPr>
        <w:numPr>
          <w:ilvl w:val="0"/>
          <w:numId w:val="97"/>
        </w:numPr>
        <w:spacing w:after="3pt"/>
        <w:contextualSpacing/>
        <w:jc w:val="both"/>
        <w:rPr>
          <w:rFonts w:ascii="Century Gothic" w:eastAsia="Calibri" w:hAnsi="Century Gothic" w:cs="Times New Roman"/>
        </w:rPr>
      </w:pPr>
      <w:r>
        <w:rPr>
          <w:rFonts w:ascii="Century Gothic" w:eastAsia="Calibri" w:hAnsi="Century Gothic" w:cs="Times New Roman"/>
        </w:rPr>
        <w:t xml:space="preserve">Validación de la solicitud junto con validación de la factibilidad en máximo cuatro días hábiles. </w:t>
      </w:r>
    </w:p>
    <w:p w:rsidR="00A827BF" w:rsidRPr="00611019" w:rsidRDefault="00E56462">
      <w:pPr>
        <w:numPr>
          <w:ilvl w:val="0"/>
          <w:numId w:val="97"/>
        </w:numPr>
        <w:spacing w:after="3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Habilitación y entrega del SCyD en Coubicación interna (validación de la solicitud, verificación de factibilidad y habilitación): 20 días hábiles por hasta 100 equipos de acceso, independientemente del número de NCAI solicitados, que se contabilizarán a partir de la solicitud, por cada 5 equipos adicionales se aumentará un día a dicho plazo.</w:t>
      </w:r>
    </w:p>
    <w:p w:rsidR="00A827BF" w:rsidRPr="00611019" w:rsidRDefault="00E56462">
      <w:pPr>
        <w:numPr>
          <w:ilvl w:val="0"/>
          <w:numId w:val="97"/>
        </w:numPr>
        <w:spacing w:after="3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Habilitación y entrega del SCyD en Coubicación externa (validación de la solicitud, verificación de factibilidad y habilitación): 30 días hábiles por hasta 100 equipos de acceso, independientemente del número de NCAI solicitados, que se contabilizarán a partir de la solicitud, por cada 5 equipos adicionales se aumentará un día a dicho plazo.</w:t>
      </w:r>
    </w:p>
    <w:p w:rsidR="00A827BF" w:rsidRPr="00611019" w:rsidRDefault="00E56462">
      <w:pPr>
        <w:numPr>
          <w:ilvl w:val="0"/>
          <w:numId w:val="97"/>
        </w:numPr>
        <w:spacing w:after="3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Habilitación y entrega del SCyD en Ubicación Distante (validación de la solicitud, verificación de factibilidad y habilitación): 45 días hábiles por hasta 100 equipos de acceso, independientemente del número de NCAI solicitados, que se contabilizarán a partir de la solicitud, por cada 5 equipos adicionales se aumentará un día a dicho plazo.</w:t>
      </w:r>
    </w:p>
    <w:p w:rsidR="00A827BF" w:rsidRPr="00611019" w:rsidRDefault="00E56462">
      <w:pPr>
        <w:numPr>
          <w:ilvl w:val="0"/>
          <w:numId w:val="97"/>
        </w:numPr>
        <w:spacing w:after="3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Habilitación de pCAI por SCyD: 20 días hábiles por hasta 100 equipos de acceso, independientemente del número de NCAI solicitados, que se contabilizarán a </w:t>
      </w:r>
      <w:r>
        <w:rPr>
          <w:rFonts w:ascii="Century Gothic" w:eastAsia="Calibri" w:hAnsi="Century Gothic" w:cs="Arial"/>
          <w:color w:val="000000"/>
          <w:lang w:val="es-ES_tradnl" w:eastAsia="es-ES"/>
        </w:rPr>
        <w:lastRenderedPageBreak/>
        <w:t>partir de la solicitud, por cada 5 equipos adicionales se aumentará un día a dicho plazo.</w:t>
      </w:r>
    </w:p>
    <w:p w:rsidR="00A827BF" w:rsidRPr="00611019" w:rsidRDefault="00E56462">
      <w:pPr>
        <w:numPr>
          <w:ilvl w:val="0"/>
          <w:numId w:val="97"/>
        </w:num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Baja de pCAI por SCyD en un día hábil.</w:t>
      </w:r>
    </w:p>
    <w:p w:rsidR="00A827BF" w:rsidRPr="00611019" w:rsidRDefault="00A827BF" w:rsidP="00035D2C">
      <w:pPr>
        <w:spacing w:after="6pt"/>
        <w:ind w:start="21.25pt" w:hanging="17.85pt"/>
        <w:jc w:val="both"/>
        <w:rPr>
          <w:rFonts w:ascii="Century Gothic" w:eastAsia="Calibri" w:hAnsi="Century Gothic" w:cs="Arial"/>
          <w:color w:val="000000"/>
          <w:lang w:val="es-ES_tradnl" w:eastAsia="es-ES"/>
        </w:rPr>
      </w:pPr>
    </w:p>
    <w:p w:rsidR="00A827BF" w:rsidRPr="00611019" w:rsidRDefault="00E56462" w:rsidP="00204BC4">
      <w:pPr>
        <w:keepNext/>
        <w:spacing w:after="6pt"/>
        <w:ind w:start="56.70pt" w:hanging="56.70pt"/>
        <w:jc w:val="both"/>
        <w:outlineLvl w:val="1"/>
        <w:rPr>
          <w:rFonts w:ascii="Century Gothic" w:eastAsia="Times New Roman" w:hAnsi="Century Gothic" w:cs="Arial"/>
          <w:b/>
          <w:bCs/>
        </w:rPr>
      </w:pPr>
      <w:bookmarkStart w:id="1572" w:name="_Toc107502289"/>
      <w:bookmarkStart w:id="1573" w:name="_Toc115739148"/>
      <w:bookmarkStart w:id="1574" w:name="_Toc125393385"/>
      <w:bookmarkStart w:id="1575" w:name="_Toc148702241"/>
      <w:bookmarkStart w:id="1576" w:name="_Toc170381862"/>
      <w:r>
        <w:rPr>
          <w:rFonts w:ascii="Century Gothic" w:eastAsia="Times New Roman" w:hAnsi="Century Gothic" w:cs="Arial"/>
          <w:b/>
          <w:bCs/>
        </w:rPr>
        <w:t>8.9 Parámetros e indicadores de calidad para SCyD</w:t>
      </w:r>
      <w:bookmarkEnd w:id="1572"/>
      <w:bookmarkEnd w:id="1573"/>
      <w:bookmarkEnd w:id="1574"/>
      <w:bookmarkEnd w:id="1575"/>
      <w:bookmarkEnd w:id="1576"/>
      <w:r>
        <w:rPr>
          <w:rFonts w:ascii="Century Gothic" w:eastAsia="Times New Roman" w:hAnsi="Century Gothic" w:cs="Arial"/>
          <w:b/>
          <w:bCs/>
        </w:rPr>
        <w:t>.</w:t>
      </w:r>
    </w:p>
    <w:p w:rsidR="00A827BF" w:rsidRPr="00611019" w:rsidRDefault="00E56462" w:rsidP="00204BC4">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En esta sección se muestran los parámetros e indicadores de calidad referentes a la provisión, continuidad y atención de fallas del SCyD</w:t>
      </w:r>
      <w:r>
        <w:rPr>
          <w:rFonts w:ascii="Century Gothic" w:eastAsia="Calibri" w:hAnsi="Century Gothic" w:cs="Arial"/>
          <w:b/>
          <w:color w:val="000000"/>
          <w:lang w:val="es-ES_tradnl" w:eastAsia="es-ES"/>
        </w:rPr>
        <w:t>.</w:t>
      </w:r>
      <w:r>
        <w:rPr>
          <w:rFonts w:ascii="Century Gothic" w:eastAsia="Calibri" w:hAnsi="Century Gothic" w:cs="Arial"/>
          <w:color w:val="000000"/>
          <w:lang w:val="es-ES_tradnl" w:eastAsia="es-ES"/>
        </w:rPr>
        <w:t xml:space="preserve"> Estos parámetros e indicadores se medirán con una periodicidad trimestral por cada uno de los </w:t>
      </w:r>
      <w:r w:rsidR="00C47D68">
        <w:rPr>
          <w:rFonts w:ascii="Century Gothic" w:eastAsia="Calibri" w:hAnsi="Century Gothic" w:cs="Arial"/>
          <w:color w:val="000000"/>
          <w:lang w:val="es-ES_tradnl" w:eastAsia="es-ES"/>
        </w:rPr>
        <w:t>CS</w:t>
      </w:r>
      <w:r>
        <w:rPr>
          <w:rFonts w:ascii="Century Gothic" w:eastAsia="Calibri" w:hAnsi="Century Gothic" w:cs="Arial"/>
          <w:color w:val="000000"/>
          <w:lang w:val="es-ES_tradnl" w:eastAsia="es-ES"/>
        </w:rPr>
        <w:t>.</w:t>
      </w:r>
    </w:p>
    <w:p w:rsidR="00A827BF" w:rsidRPr="00611019" w:rsidRDefault="00E56462" w:rsidP="00035D2C">
      <w:pPr>
        <w:spacing w:after="6pt"/>
        <w:jc w:val="both"/>
        <w:rPr>
          <w:rFonts w:ascii="Century Gothic" w:eastAsia="Calibri" w:hAnsi="Century Gothic" w:cs="Arial"/>
          <w:b/>
          <w:color w:val="000000"/>
          <w:lang w:val="es-ES_tradnl" w:eastAsia="es-ES"/>
        </w:rPr>
      </w:pPr>
      <w:r>
        <w:rPr>
          <w:rFonts w:ascii="Century Gothic" w:eastAsia="Calibri" w:hAnsi="Century Gothic" w:cs="Arial"/>
          <w:b/>
          <w:color w:val="000000"/>
          <w:lang w:val="es-ES_tradnl" w:eastAsia="es-ES"/>
        </w:rPr>
        <w:t>Parámetros e Indicadores para Provisión del Servicio.</w:t>
      </w:r>
    </w:p>
    <w:p w:rsidR="00A827BF"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En lo referente a la provisión de los Servicios (validación de la solicitud, verificación de factibilidad y habilitación) se tienen los siguientes indicadores:</w:t>
      </w:r>
    </w:p>
    <w:p w:rsidR="00A827BF" w:rsidRPr="00611019" w:rsidRDefault="00E56462" w:rsidP="00035D2C">
      <w:pPr>
        <w:spacing w:after="3pt"/>
        <w:ind w:start="21.30pt" w:hanging="21.30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w:t>
      </w:r>
      <w:r>
        <w:rPr>
          <w:rFonts w:ascii="Century Gothic" w:eastAsia="Calibri" w:hAnsi="Century Gothic" w:cs="Arial"/>
          <w:color w:val="000000"/>
          <w:lang w:val="es-ES_tradnl" w:eastAsia="es-ES"/>
        </w:rPr>
        <w:tab/>
        <w:t>Validación de la solicitud junto con validación de la factibilidad: 90% de las solicitudes en máximo cuatro días hábiles. El 10% restante en un máximo de seis días hábiles.</w:t>
      </w:r>
    </w:p>
    <w:p w:rsidR="00A827BF" w:rsidRPr="00611019" w:rsidRDefault="00E56462" w:rsidP="00035D2C">
      <w:pPr>
        <w:spacing w:after="3pt"/>
        <w:ind w:start="21.30pt" w:hanging="21.30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w:t>
      </w:r>
      <w:r>
        <w:rPr>
          <w:rFonts w:ascii="Century Gothic" w:eastAsia="Calibri" w:hAnsi="Century Gothic" w:cs="Arial"/>
          <w:color w:val="000000"/>
          <w:lang w:val="es-ES_tradnl" w:eastAsia="es-ES"/>
        </w:rPr>
        <w:tab/>
        <w:t>Habilitación de Servicio Auxiliar de Concentración y Distribución (Coubicación Interna): 90% de las solicitudes en 20 días hábiles por cada 100 equipos de acceso, independientemente del número de NCAI solicitados, por cada 5 equipos adicionales se aumentará un día a dicho plazo. El 10% restante en 30 días hábiles más los días que se hayan adicionado.</w:t>
      </w:r>
    </w:p>
    <w:p w:rsidR="00A827BF" w:rsidRPr="00611019" w:rsidRDefault="00E56462" w:rsidP="00035D2C">
      <w:pPr>
        <w:spacing w:after="3pt"/>
        <w:ind w:start="21.30pt" w:hanging="21.30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w:t>
      </w:r>
      <w:r>
        <w:rPr>
          <w:rFonts w:ascii="Century Gothic" w:eastAsia="Calibri" w:hAnsi="Century Gothic" w:cs="Arial"/>
          <w:color w:val="000000"/>
          <w:lang w:val="es-ES_tradnl" w:eastAsia="es-ES"/>
        </w:rPr>
        <w:tab/>
        <w:t>Habilitación de Servicio Auxiliar de Concentración y Distribución (Coubicación Externa): 90% de las solicitudes en 30 días hábiles por cada 100 equipos de acceso, independientemente del número de NCAI solicitados, por cada 5 equipos adicionales se aumentará un día a dicho plazo. El 10% restante en 45 días hábiles más los días que se hayan adicionado.</w:t>
      </w:r>
    </w:p>
    <w:p w:rsidR="00A827BF" w:rsidRPr="00611019" w:rsidRDefault="00E56462" w:rsidP="00035D2C">
      <w:pPr>
        <w:spacing w:after="3pt"/>
        <w:ind w:start="21.30pt" w:hanging="21.30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w:t>
      </w:r>
      <w:r>
        <w:rPr>
          <w:rFonts w:ascii="Century Gothic" w:eastAsia="Calibri" w:hAnsi="Century Gothic" w:cs="Arial"/>
          <w:color w:val="000000"/>
          <w:lang w:val="es-ES_tradnl" w:eastAsia="es-ES"/>
        </w:rPr>
        <w:tab/>
        <w:t>Habilitación de Servicio Auxiliar de Concentración y Distribución (Ubicación Distante): 90% de las solicitudes en 45 días hábiles por cada 100 equipos de acceso, independientemente del número de NCAI solicitados, por cada 5 equipos adicionales se aumentará un día a dicho plazo. El 10% restante en 68 días hábiles más los días que se hayan adicionado.</w:t>
      </w:r>
    </w:p>
    <w:p w:rsidR="00A827BF" w:rsidRPr="00611019" w:rsidRDefault="00E56462" w:rsidP="00035D2C">
      <w:pPr>
        <w:autoSpaceDE w:val="0"/>
        <w:autoSpaceDN w:val="0"/>
        <w:spacing w:after="6pt"/>
        <w:jc w:val="both"/>
        <w:rPr>
          <w:rFonts w:ascii="Century Gothic" w:eastAsia="Calibri" w:hAnsi="Century Gothic" w:cs="Times New Roman"/>
        </w:rPr>
      </w:pPr>
      <w:r>
        <w:rPr>
          <w:rFonts w:ascii="Century Gothic" w:eastAsia="Calibri" w:hAnsi="Century Gothic" w:cs="Times New Roman"/>
        </w:rPr>
        <w:t>Se podrá ingresar la solicitud del Servicio Auxiliar de Cableado Multipar y SCyD, a partir de que el CS hubiera aceptado la cotización del SCD (por nueva habilitación o por adecuación).</w:t>
      </w:r>
    </w:p>
    <w:p w:rsidR="00A827BF" w:rsidRPr="00611019" w:rsidRDefault="00E56462" w:rsidP="00035D2C">
      <w:pPr>
        <w:jc w:val="both"/>
        <w:rPr>
          <w:rFonts w:ascii="Century Gothic" w:eastAsia="Calibri" w:hAnsi="Century Gothic" w:cs="Times New Roman"/>
        </w:rPr>
      </w:pPr>
      <w:r>
        <w:rPr>
          <w:rFonts w:ascii="Century Gothic" w:eastAsia="Calibri" w:hAnsi="Century Gothic" w:cs="Times New Roman"/>
        </w:rPr>
        <w:t>La entrega del SCyD será en punta, en el plazo que corresponda al SCD o posterior a la coubicación dependiendo de los tiempos de cada servicio, prevaleciendo el de mayor plazo o bien el solicitado al final.</w:t>
      </w:r>
    </w:p>
    <w:p w:rsidR="00A827BF" w:rsidRDefault="00A827BF" w:rsidP="00035D2C">
      <w:pPr>
        <w:jc w:val="both"/>
        <w:rPr>
          <w:rFonts w:ascii="Century Gothic" w:eastAsia="Calibri" w:hAnsi="Century Gothic" w:cs="Times New Roman"/>
          <w:sz w:val="18"/>
        </w:rPr>
      </w:pPr>
    </w:p>
    <w:p w:rsidR="00A827BF" w:rsidRPr="00611019" w:rsidRDefault="00E56462" w:rsidP="00035D2C">
      <w:pPr>
        <w:spacing w:after="6pt"/>
        <w:jc w:val="both"/>
        <w:rPr>
          <w:rFonts w:ascii="Century Gothic" w:eastAsia="Calibri" w:hAnsi="Century Gothic" w:cs="Arial"/>
          <w:b/>
          <w:color w:val="000000"/>
          <w:lang w:val="es-ES_tradnl" w:eastAsia="es-ES"/>
        </w:rPr>
      </w:pPr>
      <w:r>
        <w:rPr>
          <w:rFonts w:ascii="Century Gothic" w:eastAsia="Calibri" w:hAnsi="Century Gothic" w:cs="Arial"/>
          <w:b/>
          <w:color w:val="000000"/>
          <w:lang w:val="es-ES_tradnl" w:eastAsia="es-ES"/>
        </w:rPr>
        <w:t>Metodología.</w:t>
      </w:r>
    </w:p>
    <w:p w:rsidR="00A827BF" w:rsidRPr="00611019" w:rsidRDefault="00E56462" w:rsidP="00035D2C">
      <w:pPr>
        <w:jc w:val="both"/>
        <w:rPr>
          <w:rFonts w:ascii="Century Gothic" w:eastAsia="Calibri" w:hAnsi="Century Gothic" w:cs="Times New Roman"/>
        </w:rPr>
      </w:pPr>
      <w:r>
        <w:rPr>
          <w:rFonts w:ascii="Century Gothic" w:eastAsia="Calibri" w:hAnsi="Century Gothic" w:cs="Times New Roman"/>
        </w:rPr>
        <w:lastRenderedPageBreak/>
        <w:t xml:space="preserve">Para realizar la medición de los indicadores presentados, se descontarán los plazos señalados en la sección “Plazos de Entrega de SCyD” de este documento de los días totales utilizados para la realización de dicha actividad, considerando como inicio del proceso el día en que se solicitó el Servicio por parte del CS. </w:t>
      </w:r>
    </w:p>
    <w:p w:rsidR="00A827BF" w:rsidRPr="00611019" w:rsidRDefault="00E56462" w:rsidP="00035D2C">
      <w:pPr>
        <w:jc w:val="both"/>
        <w:rPr>
          <w:rFonts w:ascii="Century Gothic" w:eastAsia="Calibri" w:hAnsi="Century Gothic" w:cs="Times New Roman"/>
        </w:rPr>
      </w:pPr>
      <w:r>
        <w:rPr>
          <w:rFonts w:ascii="Century Gothic" w:eastAsia="Calibri" w:hAnsi="Century Gothic" w:cs="Times New Roman"/>
        </w:rPr>
        <w:t>El horario de atención es 24 horas, sin embargo, para realizar las mediciones de estos indicadores, se considerarán las solicitudes ingresadas en un horario hábil de lunes a viernes de 9:00 a 17:00 horas, así como sábados en un horario de 9:00 a 14:00 hrs. Aquellos que se reciban después de estos horarios y los del sábado, se contabilizarán para el día hábil siguiente.</w:t>
      </w:r>
    </w:p>
    <w:p w:rsidR="00A827BF" w:rsidRPr="00611019" w:rsidRDefault="00A827BF" w:rsidP="00035D2C">
      <w:pPr>
        <w:jc w:val="both"/>
        <w:rPr>
          <w:rFonts w:ascii="Century Gothic" w:eastAsia="Calibri" w:hAnsi="Century Gothic" w:cs="Times New Roman"/>
          <w:sz w:val="18"/>
        </w:rPr>
      </w:pPr>
    </w:p>
    <w:p w:rsidR="00A827BF" w:rsidRPr="00611019" w:rsidRDefault="00E56462" w:rsidP="00035D2C">
      <w:pPr>
        <w:keepNext/>
        <w:spacing w:after="6pt"/>
        <w:jc w:val="both"/>
        <w:rPr>
          <w:rFonts w:ascii="Century Gothic" w:eastAsia="Calibri" w:hAnsi="Century Gothic" w:cs="Arial"/>
          <w:b/>
          <w:color w:val="000000"/>
          <w:lang w:val="es-ES_tradnl" w:eastAsia="es-ES"/>
        </w:rPr>
      </w:pPr>
      <w:r>
        <w:rPr>
          <w:rFonts w:ascii="Century Gothic" w:eastAsia="Calibri" w:hAnsi="Century Gothic" w:cs="Arial"/>
          <w:b/>
          <w:color w:val="000000"/>
          <w:lang w:val="es-ES_tradnl" w:eastAsia="es-ES"/>
        </w:rPr>
        <w:t>Parámetros e Indicadores para Reparación de Fallas.</w:t>
      </w:r>
    </w:p>
    <w:p w:rsidR="00A827BF"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En cuanto a los parámetros de calidad asociados a la reparación de fallas que afecten a los Usuarios Finales residenciales o comerciales, no se diferencia por nivel de SCyD, teniendo el siguiente alcance:</w:t>
      </w:r>
    </w:p>
    <w:p w:rsidR="00A827BF"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Para un SCyD-L en el 90% de los casos, reparación en 24 horas. El 10% restante en un máximo de 36 hrs.</w:t>
      </w:r>
    </w:p>
    <w:p w:rsidR="00A827BF"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Para un SCyD-R en el 90% de los casos, reparación en 16 horas. El 10% restante en un máximo de 24 hrs.</w:t>
      </w:r>
    </w:p>
    <w:p w:rsidR="00A827BF"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Para un SCyD-N en el 90% de los casos, reparación en 12 horas. El 10% restante en un máximo de 18 hrs.</w:t>
      </w:r>
    </w:p>
    <w:p w:rsidR="00A827BF" w:rsidRPr="00611019" w:rsidRDefault="00E56462" w:rsidP="00035D2C">
      <w:pPr>
        <w:spacing w:after="6pt"/>
        <w:jc w:val="both"/>
        <w:rPr>
          <w:rFonts w:ascii="Century Gothic" w:eastAsia="Calibri" w:hAnsi="Century Gothic" w:cs="Times New Roman"/>
        </w:rPr>
      </w:pPr>
      <w:r>
        <w:rPr>
          <w:rFonts w:ascii="Century Gothic" w:eastAsia="Calibri" w:hAnsi="Century Gothic" w:cs="Times New Roman"/>
        </w:rPr>
        <w:t>Para realizar las mediciones de estos indicadores, se considerarán los reportes de queja levantados las 24 horas del día, dichos tiempos no aplicarán para los casos fortuitos o de fuerza mayor.</w:t>
      </w:r>
    </w:p>
    <w:p w:rsidR="00A827BF" w:rsidRPr="00611019" w:rsidRDefault="00E56462" w:rsidP="00035D2C">
      <w:pPr>
        <w:spacing w:after="6pt"/>
        <w:jc w:val="both"/>
        <w:rPr>
          <w:rFonts w:ascii="Century Gothic" w:eastAsia="Calibri" w:hAnsi="Century Gothic" w:cs="Arial"/>
          <w:b/>
          <w:color w:val="000000"/>
          <w:lang w:val="es-ES_tradnl" w:eastAsia="es-ES"/>
        </w:rPr>
      </w:pPr>
      <w:r>
        <w:rPr>
          <w:rFonts w:ascii="Century Gothic" w:eastAsia="Calibri" w:hAnsi="Century Gothic" w:cs="Arial"/>
          <w:b/>
          <w:color w:val="000000"/>
          <w:lang w:val="es-ES_tradnl" w:eastAsia="es-ES"/>
        </w:rPr>
        <w:t>Parámetros e indicadores para las pruebas del SCyD.</w:t>
      </w:r>
    </w:p>
    <w:p w:rsidR="00A827BF"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Para la entrega del SCyD se ejecutarán pruebas basadas en la recomendación Y.1564 de la ITU-T. Se establecen valores cuantitativos de los parámetros de calidad del tráfico. Las pruebas se considerarán satisfactorias cuando cumplan con los siguientes resultados: </w:t>
      </w:r>
    </w:p>
    <w:tbl>
      <w:tblPr>
        <w:tblStyle w:val="Tablaconcuadrcula2"/>
        <w:tblW w:w="453.45pt" w:type="dxa"/>
        <w:jc w:val="center"/>
        <w:tblLook w:firstRow="1" w:lastRow="0" w:firstColumn="1" w:lastColumn="0" w:noHBand="0" w:noVBand="1"/>
      </w:tblPr>
      <w:tblGrid>
        <w:gridCol w:w="1639"/>
        <w:gridCol w:w="2465"/>
        <w:gridCol w:w="2358"/>
        <w:gridCol w:w="2607"/>
      </w:tblGrid>
      <w:tr w:rsidR="0061711D" w:rsidTr="00A827BF">
        <w:trPr>
          <w:trHeight w:val="550"/>
          <w:tblHeader/>
          <w:jc w:val="center"/>
        </w:trPr>
        <w:tc>
          <w:tcPr>
            <w:tcW w:w="82pt" w:type="dxa"/>
            <w:tcBorders>
              <w:top w:val="single" w:sz="4" w:space="0" w:color="auto"/>
              <w:start w:val="single" w:sz="4" w:space="0" w:color="auto"/>
              <w:bottom w:val="single" w:sz="4" w:space="0" w:color="auto"/>
              <w:end w:val="single" w:sz="4" w:space="0" w:color="auto"/>
            </w:tcBorders>
            <w:shd w:val="clear" w:color="auto" w:fill="009AD9"/>
            <w:vAlign w:val="center"/>
            <w:hideMark/>
          </w:tcPr>
          <w:p w:rsidR="00A827BF" w:rsidRPr="00611019" w:rsidRDefault="00E56462" w:rsidP="00035D2C">
            <w:pPr>
              <w:spacing w:before="2pt" w:after="2pt"/>
              <w:jc w:val="center"/>
              <w:rPr>
                <w:rFonts w:ascii="Century Gothic" w:hAnsi="Century Gothic"/>
                <w:b/>
                <w:color w:val="FFFFFF" w:themeColor="background1"/>
                <w:sz w:val="20"/>
              </w:rPr>
            </w:pPr>
            <w:r>
              <w:rPr>
                <w:rFonts w:ascii="Century Gothic" w:eastAsia="Calibri" w:hAnsi="Century Gothic"/>
                <w:b/>
                <w:color w:val="FFFFFF" w:themeColor="background1"/>
                <w:sz w:val="20"/>
              </w:rPr>
              <w:t>Clase de Servicio</w:t>
            </w:r>
          </w:p>
        </w:tc>
        <w:tc>
          <w:tcPr>
            <w:tcW w:w="123.20pt" w:type="dxa"/>
            <w:tcBorders>
              <w:top w:val="single" w:sz="4" w:space="0" w:color="auto"/>
              <w:start w:val="single" w:sz="4" w:space="0" w:color="auto"/>
              <w:bottom w:val="single" w:sz="4" w:space="0" w:color="auto"/>
              <w:end w:val="single" w:sz="4" w:space="0" w:color="auto"/>
            </w:tcBorders>
            <w:shd w:val="clear" w:color="auto" w:fill="009AD9"/>
            <w:vAlign w:val="center"/>
            <w:hideMark/>
          </w:tcPr>
          <w:p w:rsidR="00A827BF" w:rsidRPr="00611019" w:rsidRDefault="00E56462" w:rsidP="00035D2C">
            <w:pPr>
              <w:spacing w:before="2pt" w:after="2pt"/>
              <w:jc w:val="center"/>
              <w:rPr>
                <w:rFonts w:ascii="Century Gothic" w:eastAsia="Calibri" w:hAnsi="Century Gothic"/>
                <w:b/>
                <w:color w:val="FFFFFF" w:themeColor="background1"/>
                <w:sz w:val="20"/>
              </w:rPr>
            </w:pPr>
            <w:r>
              <w:rPr>
                <w:rFonts w:ascii="Century Gothic" w:eastAsia="Calibri" w:hAnsi="Century Gothic"/>
                <w:b/>
                <w:color w:val="FFFFFF" w:themeColor="background1"/>
                <w:sz w:val="20"/>
              </w:rPr>
              <w:t>Valor máximo de pérdida de tramas</w:t>
            </w:r>
          </w:p>
        </w:tc>
        <w:tc>
          <w:tcPr>
            <w:tcW w:w="117.85pt" w:type="dxa"/>
            <w:tcBorders>
              <w:top w:val="single" w:sz="4" w:space="0" w:color="auto"/>
              <w:start w:val="single" w:sz="4" w:space="0" w:color="auto"/>
              <w:bottom w:val="single" w:sz="4" w:space="0" w:color="auto"/>
              <w:end w:val="single" w:sz="4" w:space="0" w:color="auto"/>
            </w:tcBorders>
            <w:shd w:val="clear" w:color="auto" w:fill="009AD9"/>
            <w:vAlign w:val="center"/>
            <w:hideMark/>
          </w:tcPr>
          <w:p w:rsidR="00A827BF" w:rsidRPr="00611019" w:rsidRDefault="00E56462" w:rsidP="00035D2C">
            <w:pPr>
              <w:spacing w:before="2pt" w:after="2pt"/>
              <w:jc w:val="center"/>
              <w:rPr>
                <w:rFonts w:ascii="Century Gothic" w:eastAsia="Calibri" w:hAnsi="Century Gothic"/>
                <w:b/>
                <w:color w:val="FFFFFF" w:themeColor="background1"/>
                <w:sz w:val="20"/>
              </w:rPr>
            </w:pPr>
            <w:r>
              <w:rPr>
                <w:rFonts w:ascii="Century Gothic" w:eastAsia="Calibri" w:hAnsi="Century Gothic"/>
                <w:b/>
                <w:color w:val="FFFFFF" w:themeColor="background1"/>
                <w:sz w:val="20"/>
              </w:rPr>
              <w:t xml:space="preserve">Retardo medio </w:t>
            </w:r>
          </w:p>
          <w:p w:rsidR="00A827BF" w:rsidRPr="00611019" w:rsidRDefault="00E56462" w:rsidP="00035D2C">
            <w:pPr>
              <w:spacing w:before="2pt" w:after="2pt"/>
              <w:jc w:val="center"/>
              <w:rPr>
                <w:rFonts w:ascii="Century Gothic" w:eastAsia="Calibri" w:hAnsi="Century Gothic"/>
                <w:b/>
                <w:color w:val="FFFFFF" w:themeColor="background1"/>
                <w:sz w:val="20"/>
              </w:rPr>
            </w:pPr>
            <w:r>
              <w:rPr>
                <w:rFonts w:ascii="Century Gothic" w:eastAsia="Calibri" w:hAnsi="Century Gothic"/>
                <w:b/>
                <w:color w:val="FFFFFF" w:themeColor="background1"/>
                <w:sz w:val="20"/>
              </w:rPr>
              <w:t>(Latencia)</w:t>
            </w:r>
          </w:p>
        </w:tc>
        <w:tc>
          <w:tcPr>
            <w:tcW w:w="130.30pt" w:type="dxa"/>
            <w:tcBorders>
              <w:top w:val="single" w:sz="4" w:space="0" w:color="auto"/>
              <w:start w:val="single" w:sz="4" w:space="0" w:color="auto"/>
              <w:bottom w:val="single" w:sz="4" w:space="0" w:color="auto"/>
              <w:end w:val="single" w:sz="4" w:space="0" w:color="auto"/>
            </w:tcBorders>
            <w:shd w:val="clear" w:color="auto" w:fill="009AD9"/>
            <w:vAlign w:val="center"/>
            <w:hideMark/>
          </w:tcPr>
          <w:p w:rsidR="00A827BF" w:rsidRPr="00611019" w:rsidRDefault="00E56462" w:rsidP="00035D2C">
            <w:pPr>
              <w:spacing w:before="2pt" w:after="2pt"/>
              <w:jc w:val="center"/>
              <w:rPr>
                <w:rFonts w:ascii="Century Gothic" w:eastAsia="Calibri" w:hAnsi="Century Gothic"/>
                <w:b/>
                <w:color w:val="FFFFFF" w:themeColor="background1"/>
                <w:sz w:val="20"/>
              </w:rPr>
            </w:pPr>
            <w:r>
              <w:rPr>
                <w:rFonts w:ascii="Century Gothic" w:eastAsia="Calibri" w:hAnsi="Century Gothic"/>
                <w:b/>
                <w:color w:val="FFFFFF" w:themeColor="background1"/>
                <w:sz w:val="20"/>
              </w:rPr>
              <w:t>Variación de retardo (percentil 95%)</w:t>
            </w:r>
          </w:p>
          <w:p w:rsidR="00A827BF" w:rsidRPr="00611019" w:rsidRDefault="00E56462" w:rsidP="00035D2C">
            <w:pPr>
              <w:spacing w:before="2pt" w:after="2pt"/>
              <w:jc w:val="center"/>
              <w:rPr>
                <w:rFonts w:ascii="Century Gothic" w:eastAsia="Calibri" w:hAnsi="Century Gothic"/>
                <w:b/>
                <w:color w:val="FFFFFF" w:themeColor="background1"/>
                <w:sz w:val="20"/>
              </w:rPr>
            </w:pPr>
            <w:r>
              <w:rPr>
                <w:rFonts w:ascii="Century Gothic" w:eastAsia="Calibri" w:hAnsi="Century Gothic"/>
                <w:b/>
                <w:color w:val="FFFFFF" w:themeColor="background1"/>
                <w:sz w:val="20"/>
              </w:rPr>
              <w:t>(Jitter)</w:t>
            </w:r>
          </w:p>
        </w:tc>
      </w:tr>
      <w:tr w:rsidR="0061711D" w:rsidTr="00A827BF">
        <w:trPr>
          <w:trHeight w:val="757"/>
          <w:jc w:val="center"/>
        </w:trPr>
        <w:tc>
          <w:tcPr>
            <w:tcW w:w="82pt" w:type="dxa"/>
            <w:tcBorders>
              <w:top w:val="single" w:sz="4" w:space="0" w:color="auto"/>
              <w:start w:val="single" w:sz="4" w:space="0" w:color="auto"/>
              <w:bottom w:val="single" w:sz="4" w:space="0" w:color="auto"/>
              <w:end w:val="single" w:sz="4" w:space="0" w:color="auto"/>
            </w:tcBorders>
            <w:vAlign w:val="center"/>
            <w:hideMark/>
          </w:tcPr>
          <w:p w:rsidR="00A827BF" w:rsidRPr="00611019" w:rsidRDefault="00E56462" w:rsidP="00035D2C">
            <w:pPr>
              <w:spacing w:before="2pt" w:after="2pt"/>
              <w:jc w:val="center"/>
              <w:rPr>
                <w:rFonts w:ascii="Century Gothic" w:hAnsi="Century Gothic"/>
                <w:b/>
                <w:sz w:val="20"/>
              </w:rPr>
            </w:pPr>
            <w:r>
              <w:rPr>
                <w:rFonts w:ascii="Century Gothic" w:hAnsi="Century Gothic"/>
                <w:b/>
                <w:sz w:val="20"/>
              </w:rPr>
              <w:t>BE</w:t>
            </w:r>
            <w:r>
              <w:rPr>
                <w:rFonts w:ascii="Century Gothic" w:hAnsi="Century Gothic"/>
                <w:b/>
                <w:sz w:val="20"/>
                <w:vertAlign w:val="superscript"/>
              </w:rPr>
              <w:footnoteReference w:id="29"/>
            </w:r>
          </w:p>
          <w:p w:rsidR="00A827BF" w:rsidRPr="00611019" w:rsidRDefault="00E56462" w:rsidP="00035D2C">
            <w:pPr>
              <w:spacing w:before="2pt" w:after="2pt"/>
              <w:jc w:val="center"/>
              <w:rPr>
                <w:rFonts w:ascii="Century Gothic" w:hAnsi="Century Gothic"/>
                <w:b/>
                <w:sz w:val="20"/>
              </w:rPr>
            </w:pPr>
            <w:r>
              <w:rPr>
                <w:rFonts w:ascii="Century Gothic" w:hAnsi="Century Gothic"/>
                <w:b/>
                <w:sz w:val="20"/>
              </w:rPr>
              <w:t>P-Bit=0 (cero)</w:t>
            </w:r>
          </w:p>
        </w:tc>
        <w:tc>
          <w:tcPr>
            <w:tcW w:w="123.20pt" w:type="dxa"/>
            <w:tcBorders>
              <w:top w:val="single" w:sz="4" w:space="0" w:color="auto"/>
              <w:start w:val="single" w:sz="4" w:space="0" w:color="auto"/>
              <w:bottom w:val="single" w:sz="4" w:space="0" w:color="auto"/>
              <w:end w:val="single" w:sz="4" w:space="0" w:color="auto"/>
            </w:tcBorders>
            <w:vAlign w:val="center"/>
            <w:hideMark/>
          </w:tcPr>
          <w:p w:rsidR="00A827BF" w:rsidRPr="00611019" w:rsidRDefault="00E56462" w:rsidP="00035D2C">
            <w:pPr>
              <w:spacing w:before="2pt" w:after="2pt"/>
              <w:jc w:val="center"/>
              <w:rPr>
                <w:rFonts w:ascii="Century Gothic" w:hAnsi="Century Gothic"/>
                <w:sz w:val="20"/>
              </w:rPr>
            </w:pPr>
            <w:r>
              <w:rPr>
                <w:rFonts w:ascii="Century Gothic" w:hAnsi="Century Gothic"/>
                <w:sz w:val="20"/>
              </w:rPr>
              <w:t>-</w:t>
            </w:r>
          </w:p>
        </w:tc>
        <w:tc>
          <w:tcPr>
            <w:tcW w:w="117.85pt" w:type="dxa"/>
            <w:tcBorders>
              <w:top w:val="single" w:sz="4" w:space="0" w:color="auto"/>
              <w:start w:val="single" w:sz="4" w:space="0" w:color="auto"/>
              <w:bottom w:val="single" w:sz="4" w:space="0" w:color="auto"/>
              <w:end w:val="single" w:sz="4" w:space="0" w:color="auto"/>
            </w:tcBorders>
            <w:vAlign w:val="center"/>
            <w:hideMark/>
          </w:tcPr>
          <w:p w:rsidR="00A827BF" w:rsidRPr="00611019" w:rsidRDefault="00E56462" w:rsidP="00035D2C">
            <w:pPr>
              <w:spacing w:before="2pt" w:after="2pt"/>
              <w:jc w:val="center"/>
              <w:rPr>
                <w:rFonts w:ascii="Century Gothic" w:hAnsi="Century Gothic"/>
                <w:sz w:val="20"/>
              </w:rPr>
            </w:pPr>
            <w:r>
              <w:rPr>
                <w:rFonts w:ascii="Century Gothic" w:hAnsi="Century Gothic"/>
                <w:sz w:val="20"/>
              </w:rPr>
              <w:t>-</w:t>
            </w:r>
          </w:p>
        </w:tc>
        <w:tc>
          <w:tcPr>
            <w:tcW w:w="130.30pt" w:type="dxa"/>
            <w:tcBorders>
              <w:top w:val="single" w:sz="4" w:space="0" w:color="auto"/>
              <w:start w:val="single" w:sz="4" w:space="0" w:color="auto"/>
              <w:bottom w:val="single" w:sz="4" w:space="0" w:color="auto"/>
              <w:end w:val="single" w:sz="4" w:space="0" w:color="auto"/>
            </w:tcBorders>
            <w:vAlign w:val="center"/>
            <w:hideMark/>
          </w:tcPr>
          <w:p w:rsidR="00A827BF" w:rsidRPr="00611019" w:rsidRDefault="00E56462" w:rsidP="00035D2C">
            <w:pPr>
              <w:spacing w:before="2pt" w:after="2pt"/>
              <w:jc w:val="center"/>
              <w:rPr>
                <w:rFonts w:ascii="Century Gothic" w:hAnsi="Century Gothic"/>
                <w:sz w:val="20"/>
              </w:rPr>
            </w:pPr>
            <w:r>
              <w:rPr>
                <w:rFonts w:ascii="Century Gothic" w:hAnsi="Century Gothic"/>
                <w:sz w:val="20"/>
              </w:rPr>
              <w:t>-</w:t>
            </w:r>
          </w:p>
        </w:tc>
      </w:tr>
      <w:tr w:rsidR="0061711D" w:rsidTr="00A827BF">
        <w:trPr>
          <w:trHeight w:val="757"/>
          <w:jc w:val="center"/>
        </w:trPr>
        <w:tc>
          <w:tcPr>
            <w:tcW w:w="82pt" w:type="dxa"/>
            <w:tcBorders>
              <w:top w:val="single" w:sz="4" w:space="0" w:color="auto"/>
              <w:start w:val="single" w:sz="4" w:space="0" w:color="auto"/>
              <w:bottom w:val="single" w:sz="4" w:space="0" w:color="auto"/>
              <w:end w:val="single" w:sz="4" w:space="0" w:color="auto"/>
            </w:tcBorders>
            <w:vAlign w:val="center"/>
            <w:hideMark/>
          </w:tcPr>
          <w:p w:rsidR="00A827BF" w:rsidRPr="00611019" w:rsidRDefault="00E56462" w:rsidP="00035D2C">
            <w:pPr>
              <w:spacing w:before="2pt" w:after="2pt"/>
              <w:jc w:val="center"/>
              <w:rPr>
                <w:rFonts w:ascii="Century Gothic" w:hAnsi="Century Gothic"/>
                <w:b/>
                <w:sz w:val="20"/>
              </w:rPr>
            </w:pPr>
            <w:r>
              <w:rPr>
                <w:rFonts w:ascii="Century Gothic" w:hAnsi="Century Gothic"/>
                <w:b/>
                <w:sz w:val="20"/>
              </w:rPr>
              <w:t>P-Bit=1</w:t>
            </w:r>
          </w:p>
          <w:p w:rsidR="00A827BF" w:rsidRPr="00611019" w:rsidRDefault="00E56462" w:rsidP="00035D2C">
            <w:pPr>
              <w:spacing w:before="2pt" w:after="2pt"/>
              <w:jc w:val="center"/>
              <w:rPr>
                <w:rFonts w:ascii="Century Gothic" w:hAnsi="Century Gothic"/>
                <w:b/>
                <w:sz w:val="20"/>
              </w:rPr>
            </w:pPr>
            <w:r>
              <w:rPr>
                <w:rFonts w:ascii="Century Gothic" w:hAnsi="Century Gothic"/>
                <w:b/>
                <w:sz w:val="20"/>
              </w:rPr>
              <w:t>(uno)</w:t>
            </w:r>
          </w:p>
        </w:tc>
        <w:tc>
          <w:tcPr>
            <w:tcW w:w="123.20pt" w:type="dxa"/>
            <w:tcBorders>
              <w:top w:val="single" w:sz="4" w:space="0" w:color="auto"/>
              <w:start w:val="single" w:sz="4" w:space="0" w:color="auto"/>
              <w:bottom w:val="single" w:sz="4" w:space="0" w:color="auto"/>
              <w:end w:val="single" w:sz="4" w:space="0" w:color="auto"/>
            </w:tcBorders>
            <w:vAlign w:val="center"/>
          </w:tcPr>
          <w:p w:rsidR="00C47D68" w:rsidRDefault="00E56462" w:rsidP="00035D2C">
            <w:pPr>
              <w:spacing w:before="2pt" w:after="2pt"/>
              <w:jc w:val="center"/>
              <w:rPr>
                <w:rFonts w:ascii="Century Gothic" w:hAnsi="Century Gothic"/>
                <w:sz w:val="20"/>
              </w:rPr>
            </w:pPr>
            <w:r>
              <w:rPr>
                <w:rFonts w:ascii="Century Gothic" w:hAnsi="Century Gothic"/>
                <w:sz w:val="20"/>
              </w:rPr>
              <w:t xml:space="preserve">≤ 0.1% en pCAI-L </w:t>
            </w:r>
          </w:p>
          <w:p w:rsidR="00A827BF" w:rsidRPr="00611019" w:rsidRDefault="00E56462" w:rsidP="00035D2C">
            <w:pPr>
              <w:spacing w:before="2pt" w:after="2pt"/>
              <w:jc w:val="center"/>
              <w:rPr>
                <w:rFonts w:ascii="Century Gothic" w:hAnsi="Century Gothic"/>
                <w:sz w:val="20"/>
              </w:rPr>
            </w:pPr>
            <w:r>
              <w:rPr>
                <w:rFonts w:ascii="Century Gothic" w:hAnsi="Century Gothic"/>
                <w:sz w:val="20"/>
              </w:rPr>
              <w:t>pCAI-R.</w:t>
            </w:r>
          </w:p>
          <w:p w:rsidR="00A827BF" w:rsidRPr="00611019" w:rsidRDefault="00A827BF" w:rsidP="00035D2C">
            <w:pPr>
              <w:spacing w:before="2pt" w:after="2pt"/>
              <w:jc w:val="center"/>
              <w:rPr>
                <w:rFonts w:ascii="Century Gothic" w:hAnsi="Century Gothic"/>
                <w:sz w:val="20"/>
              </w:rPr>
            </w:pPr>
          </w:p>
          <w:p w:rsidR="00A827BF" w:rsidRPr="00611019" w:rsidRDefault="00E56462" w:rsidP="00035D2C">
            <w:pPr>
              <w:spacing w:before="2pt" w:after="2pt"/>
              <w:jc w:val="center"/>
              <w:rPr>
                <w:rFonts w:ascii="Century Gothic" w:hAnsi="Century Gothic"/>
                <w:sz w:val="20"/>
              </w:rPr>
            </w:pPr>
            <w:r>
              <w:rPr>
                <w:rFonts w:ascii="Century Gothic" w:hAnsi="Century Gothic"/>
                <w:sz w:val="20"/>
              </w:rPr>
              <w:lastRenderedPageBreak/>
              <w:t xml:space="preserve">≤0.1% pCAI-N </w:t>
            </w:r>
          </w:p>
        </w:tc>
        <w:tc>
          <w:tcPr>
            <w:tcW w:w="117.85pt" w:type="dxa"/>
            <w:tcBorders>
              <w:top w:val="single" w:sz="4" w:space="0" w:color="auto"/>
              <w:start w:val="single" w:sz="4" w:space="0" w:color="auto"/>
              <w:bottom w:val="single" w:sz="4" w:space="0" w:color="auto"/>
              <w:end w:val="single" w:sz="4" w:space="0" w:color="auto"/>
            </w:tcBorders>
            <w:vAlign w:val="center"/>
          </w:tcPr>
          <w:p w:rsidR="00A827BF" w:rsidRPr="00611019" w:rsidRDefault="00E56462" w:rsidP="00035D2C">
            <w:pPr>
              <w:spacing w:before="2pt" w:after="2pt"/>
              <w:jc w:val="center"/>
              <w:rPr>
                <w:rFonts w:ascii="Century Gothic" w:hAnsi="Century Gothic"/>
                <w:sz w:val="20"/>
                <w:lang w:val="en-US"/>
              </w:rPr>
            </w:pPr>
            <w:r>
              <w:rPr>
                <w:rFonts w:ascii="Century Gothic" w:hAnsi="Century Gothic"/>
                <w:sz w:val="20"/>
                <w:lang w:val="en-US"/>
              </w:rPr>
              <w:lastRenderedPageBreak/>
              <w:t>≤ 125 ms OW (One Way) en pCAI-L y pCAI-R,</w:t>
            </w:r>
          </w:p>
          <w:p w:rsidR="00A827BF" w:rsidRPr="00611019" w:rsidRDefault="00A827BF" w:rsidP="00035D2C">
            <w:pPr>
              <w:spacing w:before="2pt" w:after="2pt"/>
              <w:jc w:val="center"/>
              <w:rPr>
                <w:rFonts w:ascii="Century Gothic" w:hAnsi="Century Gothic"/>
                <w:sz w:val="20"/>
                <w:lang w:val="en-US"/>
              </w:rPr>
            </w:pPr>
          </w:p>
          <w:p w:rsidR="00A827BF" w:rsidRPr="00611019" w:rsidRDefault="00E56462" w:rsidP="00035D2C">
            <w:pPr>
              <w:spacing w:before="2pt" w:after="2pt"/>
              <w:jc w:val="center"/>
              <w:rPr>
                <w:rFonts w:ascii="Century Gothic" w:hAnsi="Century Gothic"/>
                <w:sz w:val="20"/>
              </w:rPr>
            </w:pPr>
            <w:r>
              <w:rPr>
                <w:rFonts w:ascii="Century Gothic" w:hAnsi="Century Gothic"/>
                <w:sz w:val="20"/>
              </w:rPr>
              <w:t>≤ 230 ms OW pCAI-N</w:t>
            </w:r>
          </w:p>
        </w:tc>
        <w:tc>
          <w:tcPr>
            <w:tcW w:w="130.30pt" w:type="dxa"/>
            <w:tcBorders>
              <w:top w:val="single" w:sz="4" w:space="0" w:color="auto"/>
              <w:start w:val="single" w:sz="4" w:space="0" w:color="auto"/>
              <w:bottom w:val="single" w:sz="4" w:space="0" w:color="auto"/>
              <w:end w:val="single" w:sz="4" w:space="0" w:color="auto"/>
            </w:tcBorders>
            <w:vAlign w:val="center"/>
          </w:tcPr>
          <w:p w:rsidR="00A827BF" w:rsidRPr="00611019" w:rsidRDefault="00E56462" w:rsidP="00035D2C">
            <w:pPr>
              <w:spacing w:before="2pt" w:after="2pt"/>
              <w:jc w:val="center"/>
              <w:rPr>
                <w:rFonts w:ascii="Century Gothic" w:hAnsi="Century Gothic"/>
                <w:sz w:val="20"/>
              </w:rPr>
            </w:pPr>
            <w:r>
              <w:rPr>
                <w:rFonts w:ascii="Century Gothic" w:hAnsi="Century Gothic"/>
                <w:sz w:val="20"/>
              </w:rPr>
              <w:lastRenderedPageBreak/>
              <w:t>-*</w:t>
            </w:r>
          </w:p>
        </w:tc>
      </w:tr>
      <w:tr w:rsidR="0061711D" w:rsidTr="00A827BF">
        <w:trPr>
          <w:cantSplit/>
          <w:trHeight w:val="757"/>
          <w:jc w:val="center"/>
        </w:trPr>
        <w:tc>
          <w:tcPr>
            <w:tcW w:w="82pt" w:type="dxa"/>
            <w:tcBorders>
              <w:top w:val="single" w:sz="4" w:space="0" w:color="auto"/>
              <w:start w:val="single" w:sz="4" w:space="0" w:color="auto"/>
              <w:bottom w:val="single" w:sz="4" w:space="0" w:color="auto"/>
              <w:end w:val="single" w:sz="4" w:space="0" w:color="auto"/>
            </w:tcBorders>
            <w:vAlign w:val="center"/>
            <w:hideMark/>
          </w:tcPr>
          <w:p w:rsidR="00A827BF" w:rsidRPr="00611019" w:rsidRDefault="00E56462" w:rsidP="00035D2C">
            <w:pPr>
              <w:spacing w:before="2pt" w:after="2pt"/>
              <w:jc w:val="center"/>
              <w:rPr>
                <w:rFonts w:ascii="Century Gothic" w:hAnsi="Century Gothic"/>
                <w:b/>
                <w:sz w:val="20"/>
              </w:rPr>
            </w:pPr>
            <w:r>
              <w:rPr>
                <w:rFonts w:ascii="Century Gothic" w:hAnsi="Century Gothic"/>
                <w:b/>
                <w:sz w:val="20"/>
              </w:rPr>
              <w:t>P-Bit=2</w:t>
            </w:r>
          </w:p>
          <w:p w:rsidR="00A827BF" w:rsidRPr="00611019" w:rsidRDefault="00E56462" w:rsidP="00035D2C">
            <w:pPr>
              <w:spacing w:before="2pt" w:after="2pt"/>
              <w:jc w:val="center"/>
              <w:rPr>
                <w:rFonts w:ascii="Century Gothic" w:hAnsi="Century Gothic"/>
                <w:b/>
                <w:sz w:val="20"/>
              </w:rPr>
            </w:pPr>
            <w:r>
              <w:rPr>
                <w:rFonts w:ascii="Century Gothic" w:hAnsi="Century Gothic"/>
                <w:b/>
                <w:sz w:val="20"/>
              </w:rPr>
              <w:t>(dos)</w:t>
            </w:r>
          </w:p>
        </w:tc>
        <w:tc>
          <w:tcPr>
            <w:tcW w:w="123.20pt" w:type="dxa"/>
            <w:tcBorders>
              <w:top w:val="single" w:sz="4" w:space="0" w:color="auto"/>
              <w:start w:val="single" w:sz="4" w:space="0" w:color="auto"/>
              <w:bottom w:val="single" w:sz="4" w:space="0" w:color="auto"/>
              <w:end w:val="single" w:sz="4" w:space="0" w:color="auto"/>
            </w:tcBorders>
            <w:vAlign w:val="center"/>
          </w:tcPr>
          <w:p w:rsidR="00A827BF" w:rsidRPr="00611019" w:rsidRDefault="00E56462" w:rsidP="00035D2C">
            <w:pPr>
              <w:spacing w:before="2pt" w:after="2pt"/>
              <w:jc w:val="center"/>
              <w:rPr>
                <w:rFonts w:ascii="Century Gothic" w:hAnsi="Century Gothic"/>
                <w:sz w:val="20"/>
              </w:rPr>
            </w:pPr>
            <w:r>
              <w:rPr>
                <w:rFonts w:ascii="Century Gothic" w:hAnsi="Century Gothic"/>
                <w:sz w:val="20"/>
              </w:rPr>
              <w:t>≤ 0.01% en pCAI-L y pCAI-R.</w:t>
            </w:r>
          </w:p>
          <w:p w:rsidR="00A827BF" w:rsidRPr="00611019" w:rsidRDefault="00A827BF" w:rsidP="00035D2C">
            <w:pPr>
              <w:spacing w:before="2pt" w:after="2pt"/>
              <w:jc w:val="center"/>
              <w:rPr>
                <w:rFonts w:ascii="Century Gothic" w:hAnsi="Century Gothic"/>
                <w:sz w:val="20"/>
              </w:rPr>
            </w:pPr>
          </w:p>
          <w:p w:rsidR="00A827BF" w:rsidRPr="00611019" w:rsidRDefault="00E56462" w:rsidP="00035D2C">
            <w:pPr>
              <w:spacing w:before="2pt" w:after="2pt"/>
              <w:jc w:val="center"/>
              <w:rPr>
                <w:rFonts w:ascii="Century Gothic" w:hAnsi="Century Gothic"/>
                <w:sz w:val="20"/>
              </w:rPr>
            </w:pPr>
            <w:r>
              <w:rPr>
                <w:rFonts w:ascii="Century Gothic" w:hAnsi="Century Gothic"/>
                <w:sz w:val="20"/>
              </w:rPr>
              <w:t xml:space="preserve">≤ 0.025% pCAI-N </w:t>
            </w:r>
          </w:p>
        </w:tc>
        <w:tc>
          <w:tcPr>
            <w:tcW w:w="117.85pt" w:type="dxa"/>
            <w:tcBorders>
              <w:top w:val="single" w:sz="4" w:space="0" w:color="auto"/>
              <w:start w:val="single" w:sz="4" w:space="0" w:color="auto"/>
              <w:bottom w:val="single" w:sz="4" w:space="0" w:color="auto"/>
              <w:end w:val="single" w:sz="4" w:space="0" w:color="auto"/>
            </w:tcBorders>
            <w:vAlign w:val="center"/>
          </w:tcPr>
          <w:p w:rsidR="00A827BF" w:rsidRPr="00611019" w:rsidRDefault="00E56462" w:rsidP="00035D2C">
            <w:pPr>
              <w:spacing w:before="2pt" w:after="2pt"/>
              <w:jc w:val="center"/>
              <w:rPr>
                <w:rFonts w:ascii="Century Gothic" w:hAnsi="Century Gothic"/>
                <w:sz w:val="20"/>
              </w:rPr>
            </w:pPr>
            <w:r>
              <w:rPr>
                <w:rFonts w:ascii="Century Gothic" w:hAnsi="Century Gothic"/>
                <w:sz w:val="20"/>
              </w:rPr>
              <w:t>≤ 75 ms OW en pCAI-L y pCAI-R,</w:t>
            </w:r>
          </w:p>
          <w:p w:rsidR="00A827BF" w:rsidRPr="00611019" w:rsidRDefault="00A827BF" w:rsidP="00035D2C">
            <w:pPr>
              <w:spacing w:before="2pt" w:after="2pt"/>
              <w:jc w:val="center"/>
              <w:rPr>
                <w:rFonts w:ascii="Century Gothic" w:hAnsi="Century Gothic"/>
                <w:sz w:val="20"/>
              </w:rPr>
            </w:pPr>
          </w:p>
          <w:p w:rsidR="00A827BF" w:rsidRPr="00611019" w:rsidRDefault="00E56462" w:rsidP="00035D2C">
            <w:pPr>
              <w:spacing w:before="2pt" w:after="2pt"/>
              <w:jc w:val="center"/>
              <w:rPr>
                <w:rFonts w:ascii="Century Gothic" w:hAnsi="Century Gothic"/>
                <w:sz w:val="20"/>
                <w:lang w:val="en-US"/>
              </w:rPr>
            </w:pPr>
            <w:r>
              <w:rPr>
                <w:rFonts w:ascii="Century Gothic" w:hAnsi="Century Gothic"/>
                <w:sz w:val="20"/>
                <w:lang w:val="en-US"/>
              </w:rPr>
              <w:t>≤ 115 ms OW pCAI -N</w:t>
            </w:r>
          </w:p>
        </w:tc>
        <w:tc>
          <w:tcPr>
            <w:tcW w:w="130.30pt" w:type="dxa"/>
            <w:tcBorders>
              <w:top w:val="single" w:sz="4" w:space="0" w:color="auto"/>
              <w:start w:val="single" w:sz="4" w:space="0" w:color="auto"/>
              <w:bottom w:val="single" w:sz="4" w:space="0" w:color="auto"/>
              <w:end w:val="single" w:sz="4" w:space="0" w:color="auto"/>
            </w:tcBorders>
            <w:vAlign w:val="center"/>
          </w:tcPr>
          <w:p w:rsidR="00A827BF" w:rsidRPr="00611019" w:rsidRDefault="00E56462" w:rsidP="00035D2C">
            <w:pPr>
              <w:spacing w:before="2pt" w:after="2pt"/>
              <w:jc w:val="center"/>
              <w:rPr>
                <w:rFonts w:ascii="Century Gothic" w:hAnsi="Century Gothic"/>
                <w:sz w:val="20"/>
              </w:rPr>
            </w:pPr>
            <w:r>
              <w:rPr>
                <w:rFonts w:ascii="Century Gothic" w:hAnsi="Century Gothic"/>
                <w:sz w:val="20"/>
              </w:rPr>
              <w:t>≤ 40 ms OW en pCAI-L y pCAI-R,</w:t>
            </w:r>
          </w:p>
          <w:p w:rsidR="00A827BF" w:rsidRPr="00611019" w:rsidRDefault="00A827BF" w:rsidP="00035D2C">
            <w:pPr>
              <w:spacing w:before="2pt" w:after="2pt"/>
              <w:jc w:val="center"/>
              <w:rPr>
                <w:rFonts w:ascii="Century Gothic" w:hAnsi="Century Gothic"/>
                <w:sz w:val="20"/>
              </w:rPr>
            </w:pPr>
          </w:p>
          <w:p w:rsidR="00A827BF" w:rsidRPr="00611019" w:rsidRDefault="00E56462" w:rsidP="00035D2C">
            <w:pPr>
              <w:spacing w:before="2pt" w:after="2pt"/>
              <w:jc w:val="center"/>
              <w:rPr>
                <w:rFonts w:ascii="Century Gothic" w:hAnsi="Century Gothic"/>
                <w:sz w:val="20"/>
              </w:rPr>
            </w:pPr>
            <w:r>
              <w:rPr>
                <w:rFonts w:ascii="Century Gothic" w:hAnsi="Century Gothic"/>
                <w:sz w:val="20"/>
              </w:rPr>
              <w:t xml:space="preserve">≤ 40 ms OW </w:t>
            </w:r>
            <w:r w:rsidR="00BB42F4">
              <w:rPr>
                <w:rFonts w:ascii="Century Gothic" w:hAnsi="Century Gothic"/>
                <w:sz w:val="20"/>
              </w:rPr>
              <w:t>pCAI</w:t>
            </w:r>
            <w:r>
              <w:rPr>
                <w:rFonts w:ascii="Century Gothic" w:hAnsi="Century Gothic"/>
                <w:sz w:val="20"/>
              </w:rPr>
              <w:t>-N</w:t>
            </w:r>
          </w:p>
        </w:tc>
      </w:tr>
      <w:tr w:rsidR="0061711D" w:rsidTr="00A827BF">
        <w:trPr>
          <w:trHeight w:val="697"/>
          <w:jc w:val="center"/>
        </w:trPr>
        <w:tc>
          <w:tcPr>
            <w:tcW w:w="82pt" w:type="dxa"/>
            <w:tcBorders>
              <w:top w:val="single" w:sz="4" w:space="0" w:color="auto"/>
              <w:start w:val="single" w:sz="4" w:space="0" w:color="auto"/>
              <w:bottom w:val="single" w:sz="4" w:space="0" w:color="auto"/>
              <w:end w:val="single" w:sz="4" w:space="0" w:color="auto"/>
            </w:tcBorders>
            <w:vAlign w:val="center"/>
            <w:hideMark/>
          </w:tcPr>
          <w:p w:rsidR="00A827BF" w:rsidRPr="00611019" w:rsidRDefault="00E56462" w:rsidP="00035D2C">
            <w:pPr>
              <w:spacing w:before="2pt" w:after="2pt"/>
              <w:jc w:val="center"/>
              <w:rPr>
                <w:rFonts w:ascii="Century Gothic" w:hAnsi="Century Gothic"/>
                <w:b/>
                <w:sz w:val="20"/>
              </w:rPr>
            </w:pPr>
            <w:r>
              <w:rPr>
                <w:rFonts w:ascii="Century Gothic" w:hAnsi="Century Gothic"/>
                <w:b/>
                <w:sz w:val="20"/>
              </w:rPr>
              <w:t>VoIP</w:t>
            </w:r>
          </w:p>
          <w:p w:rsidR="00A827BF" w:rsidRPr="00611019" w:rsidRDefault="00E56462" w:rsidP="00035D2C">
            <w:pPr>
              <w:spacing w:before="2pt" w:after="2pt"/>
              <w:jc w:val="center"/>
              <w:rPr>
                <w:rFonts w:ascii="Century Gothic" w:hAnsi="Century Gothic"/>
                <w:b/>
                <w:sz w:val="20"/>
              </w:rPr>
            </w:pPr>
            <w:r>
              <w:rPr>
                <w:rFonts w:ascii="Century Gothic" w:hAnsi="Century Gothic"/>
                <w:b/>
                <w:sz w:val="20"/>
              </w:rPr>
              <w:t>P-Bit=5 (cinco)</w:t>
            </w:r>
          </w:p>
        </w:tc>
        <w:tc>
          <w:tcPr>
            <w:tcW w:w="123.20pt" w:type="dxa"/>
            <w:tcBorders>
              <w:top w:val="single" w:sz="4" w:space="0" w:color="auto"/>
              <w:start w:val="single" w:sz="4" w:space="0" w:color="auto"/>
              <w:bottom w:val="single" w:sz="4" w:space="0" w:color="auto"/>
              <w:end w:val="single" w:sz="4" w:space="0" w:color="auto"/>
            </w:tcBorders>
            <w:vAlign w:val="center"/>
          </w:tcPr>
          <w:p w:rsidR="00A827BF" w:rsidRPr="00611019" w:rsidRDefault="00E56462" w:rsidP="00035D2C">
            <w:pPr>
              <w:spacing w:before="2pt" w:after="2pt"/>
              <w:jc w:val="center"/>
              <w:rPr>
                <w:rFonts w:ascii="Century Gothic" w:hAnsi="Century Gothic"/>
                <w:sz w:val="20"/>
              </w:rPr>
            </w:pPr>
            <w:r>
              <w:rPr>
                <w:rFonts w:ascii="Century Gothic" w:hAnsi="Century Gothic"/>
                <w:sz w:val="20"/>
              </w:rPr>
              <w:t>&lt;=0.01% en pCAI-L, pCAI-R.</w:t>
            </w:r>
          </w:p>
          <w:p w:rsidR="00A827BF" w:rsidRPr="00611019" w:rsidRDefault="00A827BF" w:rsidP="00035D2C">
            <w:pPr>
              <w:spacing w:before="2pt" w:after="2pt"/>
              <w:jc w:val="center"/>
              <w:rPr>
                <w:rFonts w:ascii="Century Gothic" w:hAnsi="Century Gothic"/>
                <w:sz w:val="20"/>
              </w:rPr>
            </w:pPr>
          </w:p>
          <w:p w:rsidR="00A827BF" w:rsidRPr="00611019" w:rsidRDefault="00E56462" w:rsidP="00035D2C">
            <w:pPr>
              <w:spacing w:before="2pt" w:after="2pt"/>
              <w:jc w:val="center"/>
              <w:rPr>
                <w:rFonts w:ascii="Century Gothic" w:hAnsi="Century Gothic"/>
                <w:sz w:val="20"/>
              </w:rPr>
            </w:pPr>
            <w:r>
              <w:rPr>
                <w:rFonts w:ascii="Century Gothic" w:hAnsi="Century Gothic"/>
                <w:sz w:val="20"/>
              </w:rPr>
              <w:t xml:space="preserve">≤ 0.025% pCAI-N </w:t>
            </w:r>
          </w:p>
        </w:tc>
        <w:tc>
          <w:tcPr>
            <w:tcW w:w="117.85pt" w:type="dxa"/>
            <w:tcBorders>
              <w:top w:val="single" w:sz="4" w:space="0" w:color="auto"/>
              <w:start w:val="single" w:sz="4" w:space="0" w:color="auto"/>
              <w:bottom w:val="single" w:sz="4" w:space="0" w:color="auto"/>
              <w:end w:val="single" w:sz="4" w:space="0" w:color="auto"/>
            </w:tcBorders>
            <w:vAlign w:val="center"/>
          </w:tcPr>
          <w:p w:rsidR="00A827BF" w:rsidRPr="00611019" w:rsidRDefault="00E56462" w:rsidP="00035D2C">
            <w:pPr>
              <w:spacing w:before="2pt" w:after="2pt"/>
              <w:jc w:val="center"/>
              <w:rPr>
                <w:rFonts w:ascii="Century Gothic" w:hAnsi="Century Gothic"/>
                <w:sz w:val="20"/>
              </w:rPr>
            </w:pPr>
            <w:r>
              <w:rPr>
                <w:rFonts w:ascii="Century Gothic" w:hAnsi="Century Gothic"/>
                <w:sz w:val="20"/>
              </w:rPr>
              <w:t>≤ 25 ms OW en pCAI-L y pCAI-R,</w:t>
            </w:r>
          </w:p>
          <w:p w:rsidR="00A827BF" w:rsidRPr="00611019" w:rsidRDefault="00A827BF" w:rsidP="00035D2C">
            <w:pPr>
              <w:spacing w:before="2pt" w:after="2pt"/>
              <w:jc w:val="center"/>
              <w:rPr>
                <w:rFonts w:ascii="Century Gothic" w:hAnsi="Century Gothic"/>
                <w:sz w:val="20"/>
              </w:rPr>
            </w:pPr>
          </w:p>
          <w:p w:rsidR="00A827BF" w:rsidRPr="00611019" w:rsidRDefault="00E56462" w:rsidP="00035D2C">
            <w:pPr>
              <w:spacing w:before="2pt" w:after="2pt"/>
              <w:jc w:val="center"/>
              <w:rPr>
                <w:rFonts w:ascii="Century Gothic" w:hAnsi="Century Gothic"/>
                <w:sz w:val="20"/>
              </w:rPr>
            </w:pPr>
            <w:r>
              <w:rPr>
                <w:rFonts w:ascii="Century Gothic" w:hAnsi="Century Gothic"/>
                <w:sz w:val="20"/>
              </w:rPr>
              <w:t>≤ 77 ms OW</w:t>
            </w:r>
            <w:r w:rsidR="00C47D68">
              <w:rPr>
                <w:rFonts w:ascii="Century Gothic" w:hAnsi="Century Gothic"/>
                <w:sz w:val="20"/>
              </w:rPr>
              <w:t xml:space="preserve"> </w:t>
            </w:r>
            <w:r>
              <w:rPr>
                <w:rFonts w:ascii="Century Gothic" w:hAnsi="Century Gothic"/>
                <w:sz w:val="20"/>
              </w:rPr>
              <w:t>pCAI-N</w:t>
            </w:r>
          </w:p>
        </w:tc>
        <w:tc>
          <w:tcPr>
            <w:tcW w:w="130.30pt" w:type="dxa"/>
            <w:tcBorders>
              <w:top w:val="single" w:sz="4" w:space="0" w:color="auto"/>
              <w:start w:val="single" w:sz="4" w:space="0" w:color="auto"/>
              <w:bottom w:val="single" w:sz="4" w:space="0" w:color="auto"/>
              <w:end w:val="single" w:sz="4" w:space="0" w:color="auto"/>
            </w:tcBorders>
            <w:vAlign w:val="center"/>
            <w:hideMark/>
          </w:tcPr>
          <w:p w:rsidR="00A827BF" w:rsidRPr="00611019" w:rsidRDefault="00E56462" w:rsidP="00035D2C">
            <w:pPr>
              <w:spacing w:before="2pt" w:after="2pt"/>
              <w:jc w:val="center"/>
              <w:rPr>
                <w:rFonts w:ascii="Century Gothic" w:hAnsi="Century Gothic"/>
                <w:sz w:val="20"/>
              </w:rPr>
            </w:pPr>
            <w:r>
              <w:rPr>
                <w:rFonts w:ascii="Century Gothic" w:hAnsi="Century Gothic"/>
                <w:sz w:val="20"/>
              </w:rPr>
              <w:t>≤ 8 ms OW en pCAI-L y pCAI-R,</w:t>
            </w:r>
          </w:p>
          <w:p w:rsidR="00A827BF" w:rsidRPr="00611019" w:rsidRDefault="00E56462" w:rsidP="00035D2C">
            <w:pPr>
              <w:spacing w:before="2pt" w:after="2pt"/>
              <w:jc w:val="center"/>
              <w:rPr>
                <w:rFonts w:ascii="Century Gothic" w:hAnsi="Century Gothic"/>
                <w:sz w:val="20"/>
              </w:rPr>
            </w:pPr>
            <w:r>
              <w:rPr>
                <w:rFonts w:ascii="Century Gothic" w:hAnsi="Century Gothic"/>
                <w:sz w:val="20"/>
              </w:rPr>
              <w:t>≤ 10 ms OW pCAI-N</w:t>
            </w:r>
          </w:p>
        </w:tc>
      </w:tr>
    </w:tbl>
    <w:p w:rsidR="00204BC4" w:rsidRDefault="00204BC4" w:rsidP="00035D2C">
      <w:pPr>
        <w:rPr>
          <w:rFonts w:ascii="Century Gothic" w:eastAsia="Calibri" w:hAnsi="Century Gothic" w:cs="Times New Roman"/>
          <w:b/>
        </w:rPr>
      </w:pPr>
    </w:p>
    <w:p w:rsidR="00A827BF" w:rsidRPr="00611019" w:rsidRDefault="00E56462" w:rsidP="00035D2C">
      <w:pPr>
        <w:rPr>
          <w:rFonts w:ascii="Century Gothic" w:eastAsia="Calibri" w:hAnsi="Century Gothic" w:cs="Times New Roman"/>
          <w:b/>
        </w:rPr>
      </w:pPr>
      <w:r>
        <w:rPr>
          <w:rFonts w:ascii="Century Gothic" w:eastAsia="Calibri" w:hAnsi="Century Gothic" w:cs="Times New Roman"/>
          <w:b/>
        </w:rPr>
        <w:t>Parámetros para pruebas SCyD</w:t>
      </w:r>
      <w:r>
        <w:rPr>
          <w:rFonts w:ascii="Century Gothic" w:eastAsia="Calibri" w:hAnsi="Century Gothic" w:cs="Times New Roman"/>
          <w:b/>
          <w:vertAlign w:val="superscript"/>
        </w:rPr>
        <w:footnoteReference w:id="30"/>
      </w:r>
      <w:r>
        <w:rPr>
          <w:rFonts w:ascii="Century Gothic" w:eastAsia="Calibri" w:hAnsi="Century Gothic" w:cs="Times New Roman"/>
          <w:b/>
        </w:rPr>
        <w:t>.</w:t>
      </w:r>
    </w:p>
    <w:p w:rsidR="00A827BF" w:rsidRPr="00611019" w:rsidRDefault="00E56462" w:rsidP="00035D2C">
      <w:pPr>
        <w:spacing w:after="6pt"/>
        <w:ind w:start="0.35pt"/>
        <w:jc w:val="center"/>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*En la MEF 23.2 no se establece un parámetro para el Jitter en este Pbit-1.</w:t>
      </w:r>
    </w:p>
    <w:p w:rsidR="00A827BF" w:rsidRPr="00611019" w:rsidRDefault="00E56462">
      <w:pPr>
        <w:numPr>
          <w:ilvl w:val="0"/>
          <w:numId w:val="98"/>
        </w:num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Disponibilidad del Servicio a la entrega ≥ 99,9 %</w:t>
      </w:r>
    </w:p>
    <w:p w:rsidR="00A827BF" w:rsidRPr="00611019" w:rsidRDefault="00A827BF" w:rsidP="00035D2C">
      <w:pPr>
        <w:jc w:val="both"/>
        <w:rPr>
          <w:rFonts w:ascii="Century Gothic" w:eastAsia="Calibri" w:hAnsi="Century Gothic" w:cs="Arial"/>
          <w:b/>
          <w:color w:val="000000"/>
          <w:lang w:val="es-ES_tradnl" w:eastAsia="es-ES"/>
        </w:rPr>
      </w:pPr>
    </w:p>
    <w:p w:rsidR="00A827BF" w:rsidRPr="00611019" w:rsidRDefault="00E56462" w:rsidP="00035D2C">
      <w:pPr>
        <w:spacing w:after="6pt"/>
        <w:rPr>
          <w:rFonts w:ascii="Century Gothic" w:eastAsia="Calibri" w:hAnsi="Century Gothic" w:cs="Arial"/>
          <w:b/>
          <w:color w:val="000000"/>
          <w:lang w:val="es-ES_tradnl" w:eastAsia="es-ES"/>
        </w:rPr>
      </w:pPr>
      <w:r>
        <w:rPr>
          <w:rFonts w:ascii="Century Gothic" w:eastAsia="Calibri" w:hAnsi="Century Gothic" w:cs="Arial"/>
          <w:b/>
          <w:color w:val="000000"/>
          <w:lang w:val="es-ES_tradnl" w:eastAsia="es-ES"/>
        </w:rPr>
        <w:t>Parámetros Técnicos.</w:t>
      </w:r>
    </w:p>
    <w:p w:rsidR="00A827BF" w:rsidRPr="00611019" w:rsidRDefault="00E56462">
      <w:pPr>
        <w:numPr>
          <w:ilvl w:val="0"/>
          <w:numId w:val="98"/>
        </w:num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Tamaño máximo de trama (MTU) Ethernet de 1,518 bytes en el pCAI.</w:t>
      </w:r>
    </w:p>
    <w:p w:rsidR="00A827BF" w:rsidRDefault="00A827BF" w:rsidP="00035D2C">
      <w:pPr>
        <w:spacing w:after="6pt"/>
        <w:ind w:start="36pt"/>
        <w:jc w:val="both"/>
        <w:rPr>
          <w:rFonts w:ascii="Century Gothic" w:eastAsia="Calibri" w:hAnsi="Century Gothic" w:cs="Arial"/>
          <w:color w:val="000000"/>
          <w:lang w:val="es-ES_tradnl" w:eastAsia="es-ES"/>
        </w:rPr>
      </w:pPr>
    </w:p>
    <w:p w:rsidR="00A827BF" w:rsidRPr="00611019" w:rsidRDefault="00E56462" w:rsidP="00035D2C">
      <w:pPr>
        <w:spacing w:after="6pt"/>
        <w:rPr>
          <w:rFonts w:ascii="Century Gothic" w:eastAsia="Times New Roman" w:hAnsi="Century Gothic" w:cs="Arial"/>
          <w:b/>
          <w:bCs/>
        </w:rPr>
      </w:pPr>
      <w:bookmarkStart w:id="1577" w:name="_Toc107502290"/>
      <w:bookmarkStart w:id="1578" w:name="_Toc115739149"/>
      <w:bookmarkStart w:id="1579" w:name="_Toc125393386"/>
      <w:bookmarkStart w:id="1580" w:name="_Toc148702242"/>
      <w:bookmarkStart w:id="1581" w:name="_Toc170381863"/>
      <w:r>
        <w:rPr>
          <w:rFonts w:ascii="Century Gothic" w:eastAsia="Times New Roman" w:hAnsi="Century Gothic" w:cs="Arial"/>
          <w:b/>
          <w:bCs/>
        </w:rPr>
        <w:t>8.10 Procedimiento para la realización de pruebas para el SCyD</w:t>
      </w:r>
      <w:bookmarkEnd w:id="1577"/>
      <w:bookmarkEnd w:id="1578"/>
      <w:bookmarkEnd w:id="1579"/>
      <w:bookmarkEnd w:id="1580"/>
      <w:bookmarkEnd w:id="1581"/>
      <w:r>
        <w:rPr>
          <w:rFonts w:ascii="Century Gothic" w:eastAsia="Times New Roman" w:hAnsi="Century Gothic" w:cs="Arial"/>
          <w:b/>
          <w:bCs/>
        </w:rPr>
        <w:t>.</w:t>
      </w:r>
    </w:p>
    <w:p w:rsidR="00A30D25" w:rsidRPr="00611019" w:rsidRDefault="00E56462" w:rsidP="00035D2C">
      <w:pPr>
        <w:jc w:val="both"/>
        <w:rPr>
          <w:rFonts w:eastAsia="Calibri" w:cs="Arial"/>
        </w:rPr>
      </w:pPr>
      <w:r>
        <w:rPr>
          <w:rFonts w:ascii="Century Gothic" w:eastAsia="Calibri" w:hAnsi="Century Gothic" w:cs="Times New Roman"/>
        </w:rPr>
        <w:t>Una vez concluidas las configuraciones del puerto por parte de RED NACIONAL, el CS deberá proporcionar una fecha para realizar las pruebas del SCyD</w:t>
      </w:r>
      <w:r>
        <w:rPr>
          <w:rStyle w:val="Refdenotaalpie"/>
          <w:rFonts w:eastAsia="Calibri" w:cs="Arial"/>
        </w:rPr>
        <w:footnoteReference w:id="31"/>
      </w:r>
      <w:r>
        <w:rPr>
          <w:rFonts w:eastAsia="Calibri" w:cs="Arial"/>
        </w:rPr>
        <w:t xml:space="preserve">. </w:t>
      </w:r>
    </w:p>
    <w:p w:rsidR="00A30D25" w:rsidRPr="00611019" w:rsidRDefault="00A30D25" w:rsidP="00035D2C">
      <w:pPr>
        <w:jc w:val="both"/>
        <w:rPr>
          <w:rFonts w:ascii="Century Gothic" w:eastAsia="Calibri" w:hAnsi="Century Gothic" w:cs="Times New Roman"/>
        </w:rPr>
      </w:pPr>
    </w:p>
    <w:p w:rsidR="00A827BF" w:rsidRPr="00611019" w:rsidRDefault="00E56462" w:rsidP="00035D2C">
      <w:pPr>
        <w:jc w:val="both"/>
        <w:rPr>
          <w:rFonts w:ascii="Century Gothic" w:eastAsia="Calibri" w:hAnsi="Century Gothic" w:cs="Times New Roman"/>
        </w:rPr>
      </w:pPr>
      <w:r>
        <w:rPr>
          <w:rFonts w:ascii="Century Gothic" w:eastAsia="Calibri" w:hAnsi="Century Gothic" w:cs="Times New Roman"/>
        </w:rPr>
        <w:t>Pruebas de aceptación de alta de un puerto pCAI.</w:t>
      </w:r>
    </w:p>
    <w:p w:rsidR="00A827BF" w:rsidRPr="00611019" w:rsidRDefault="00A827BF" w:rsidP="00035D2C">
      <w:pPr>
        <w:jc w:val="both"/>
        <w:rPr>
          <w:rFonts w:ascii="Century Gothic" w:eastAsia="Calibri" w:hAnsi="Century Gothic" w:cs="Times New Roman"/>
        </w:rPr>
      </w:pPr>
    </w:p>
    <w:p w:rsidR="00A827BF" w:rsidRPr="00611019" w:rsidRDefault="00E56462" w:rsidP="00035D2C">
      <w:pPr>
        <w:spacing w:after="6pt"/>
        <w:jc w:val="both"/>
        <w:rPr>
          <w:rFonts w:ascii="Century Gothic" w:eastAsia="Calibri" w:hAnsi="Century Gothic" w:cs="Times New Roman"/>
        </w:rPr>
      </w:pPr>
      <w:r>
        <w:rPr>
          <w:rFonts w:ascii="Century Gothic" w:eastAsia="Calibri" w:hAnsi="Century Gothic" w:cs="Times New Roman"/>
        </w:rPr>
        <w:lastRenderedPageBreak/>
        <w:t>Para verificar el adecuado funcionamiento del SCyD a la entrega del Servicio se realizará el siguiente protocolo de recepción del servicio:</w:t>
      </w:r>
    </w:p>
    <w:p w:rsidR="00A827BF" w:rsidRPr="00611019" w:rsidRDefault="00E56462" w:rsidP="00035D2C">
      <w:pPr>
        <w:spacing w:after="6pt"/>
        <w:jc w:val="both"/>
        <w:rPr>
          <w:rFonts w:ascii="Century Gothic" w:eastAsia="Calibri" w:hAnsi="Century Gothic" w:cs="Times New Roman"/>
        </w:rPr>
      </w:pPr>
      <w:r>
        <w:rPr>
          <w:rFonts w:ascii="Century Gothic" w:eastAsia="Calibri" w:hAnsi="Century Gothic" w:cs="Times New Roman"/>
        </w:rPr>
        <w:t>En el pCAI se conectará un equipo generador de señales Ethernet y se establecerán 1 VLAN cuya suma de ancho de banda será igual al ancho de banda contratado en el pCAI.</w:t>
      </w:r>
    </w:p>
    <w:p w:rsidR="00A827BF" w:rsidRPr="00611019" w:rsidRDefault="00E56462" w:rsidP="00035D2C">
      <w:pPr>
        <w:spacing w:after="6pt"/>
        <w:jc w:val="both"/>
        <w:rPr>
          <w:rFonts w:ascii="Century Gothic" w:eastAsia="Calibri" w:hAnsi="Century Gothic" w:cs="Times New Roman"/>
        </w:rPr>
      </w:pPr>
      <w:r>
        <w:rPr>
          <w:rFonts w:ascii="Century Gothic" w:eastAsia="Calibri" w:hAnsi="Century Gothic" w:cs="Times New Roman"/>
        </w:rPr>
        <w:t>Para evitar la interrupción de servicios activos se establecerá un puerto de prueba auxiliar (PPA) al cual se conecta un loop back físico. Este puerto de prueba se establecerá en uno de los equipos Ethernet del NCAI en el lado de los equipos de acceso.</w:t>
      </w:r>
    </w:p>
    <w:p w:rsidR="00A827BF" w:rsidRPr="00611019" w:rsidRDefault="00E56462" w:rsidP="00035D2C">
      <w:pPr>
        <w:spacing w:after="6pt"/>
        <w:jc w:val="both"/>
        <w:rPr>
          <w:rFonts w:ascii="Century Gothic" w:eastAsia="Calibri" w:hAnsi="Century Gothic" w:cs="Times New Roman"/>
        </w:rPr>
      </w:pPr>
      <w:r>
        <w:rPr>
          <w:rFonts w:ascii="Century Gothic" w:eastAsia="Calibri" w:hAnsi="Century Gothic" w:cs="Times New Roman"/>
        </w:rPr>
        <w:t>Se ejecutarán pruebas basadas en la recomendación Y.1564 de la ITU-T en ambos sentidos o en loop back.</w:t>
      </w:r>
    </w:p>
    <w:p w:rsidR="00A827BF" w:rsidRPr="00611019" w:rsidRDefault="00E56462" w:rsidP="00035D2C">
      <w:pPr>
        <w:spacing w:after="6pt"/>
        <w:jc w:val="both"/>
        <w:rPr>
          <w:rFonts w:ascii="Century Gothic" w:eastAsia="Calibri" w:hAnsi="Century Gothic" w:cs="Times New Roman"/>
        </w:rPr>
      </w:pPr>
      <w:r>
        <w:rPr>
          <w:rFonts w:ascii="Century Gothic" w:eastAsia="Calibri" w:hAnsi="Century Gothic" w:cs="Times New Roman"/>
        </w:rPr>
        <w:t xml:space="preserve">La prueba se considerará satisfactoria cuando cumpla con los siguientes resultados medidos en un sentido: </w:t>
      </w:r>
    </w:p>
    <w:p w:rsidR="00A827BF" w:rsidRPr="00611019" w:rsidRDefault="00E56462" w:rsidP="00035D2C">
      <w:pPr>
        <w:jc w:val="both"/>
        <w:rPr>
          <w:rFonts w:ascii="Century Gothic" w:eastAsia="Calibri" w:hAnsi="Century Gothic" w:cs="Times New Roman"/>
        </w:rPr>
      </w:pPr>
      <w:r>
        <w:rPr>
          <w:rFonts w:ascii="Century Gothic" w:eastAsia="Calibri" w:hAnsi="Century Gothic" w:cs="Times New Roman"/>
        </w:rPr>
        <w:t xml:space="preserve">P-Bit = 0: </w:t>
      </w:r>
    </w:p>
    <w:p w:rsidR="00A827BF" w:rsidRPr="00611019" w:rsidRDefault="00E56462">
      <w:pPr>
        <w:numPr>
          <w:ilvl w:val="0"/>
          <w:numId w:val="98"/>
        </w:numPr>
        <w:contextualSpacing/>
        <w:jc w:val="both"/>
        <w:rPr>
          <w:rFonts w:ascii="Century Gothic" w:eastAsia="Calibri" w:hAnsi="Century Gothic" w:cs="Times New Roman"/>
        </w:rPr>
      </w:pPr>
      <w:r>
        <w:rPr>
          <w:rFonts w:ascii="Century Gothic" w:eastAsia="Calibri" w:hAnsi="Century Gothic" w:cs="Times New Roman"/>
        </w:rPr>
        <w:t>Disponibilidad del Servicio a la entrega ≥ 99,9 %</w:t>
      </w:r>
    </w:p>
    <w:p w:rsidR="00A827BF" w:rsidRPr="00611019" w:rsidRDefault="00E56462" w:rsidP="00035D2C">
      <w:pPr>
        <w:jc w:val="both"/>
        <w:rPr>
          <w:rFonts w:ascii="Century Gothic" w:eastAsia="Calibri" w:hAnsi="Century Gothic" w:cs="Times New Roman"/>
        </w:rPr>
      </w:pPr>
      <w:r>
        <w:rPr>
          <w:rFonts w:ascii="Century Gothic" w:eastAsia="Calibri" w:hAnsi="Century Gothic" w:cs="Times New Roman"/>
        </w:rPr>
        <w:t xml:space="preserve">P-Bit = 1: </w:t>
      </w:r>
    </w:p>
    <w:p w:rsidR="00A827BF" w:rsidRPr="00611019" w:rsidRDefault="00E56462">
      <w:pPr>
        <w:numPr>
          <w:ilvl w:val="0"/>
          <w:numId w:val="98"/>
        </w:num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Retardo de tramas (Latencia) ≤ 125 ms OW en pCAI-L y pCAI-R, ≤ 230 ms OW </w:t>
      </w:r>
      <w:r w:rsidR="00BB42F4">
        <w:rPr>
          <w:rFonts w:ascii="Century Gothic" w:eastAsia="Calibri" w:hAnsi="Century Gothic" w:cs="Arial"/>
          <w:color w:val="000000"/>
          <w:lang w:val="es-ES_tradnl" w:eastAsia="es-ES"/>
        </w:rPr>
        <w:t>pCAI-N.</w:t>
      </w:r>
    </w:p>
    <w:p w:rsidR="00A827BF" w:rsidRPr="00611019" w:rsidRDefault="00E56462">
      <w:pPr>
        <w:numPr>
          <w:ilvl w:val="0"/>
          <w:numId w:val="98"/>
        </w:num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Pérdida de tramas ≤ 0.1% en pCAI-L y pCAI-R, ≤ 0.1% pCAI-N .</w:t>
      </w:r>
    </w:p>
    <w:p w:rsidR="00A827BF" w:rsidRPr="00611019" w:rsidRDefault="00E56462">
      <w:pPr>
        <w:numPr>
          <w:ilvl w:val="0"/>
          <w:numId w:val="98"/>
        </w:num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Disponibilidad del Servicio a la entrega ≥ 99,9 %</w:t>
      </w:r>
    </w:p>
    <w:p w:rsidR="00A827BF" w:rsidRPr="00611019" w:rsidRDefault="00E56462" w:rsidP="00035D2C">
      <w:pPr>
        <w:jc w:val="both"/>
        <w:rPr>
          <w:rFonts w:ascii="Century Gothic" w:eastAsia="Calibri" w:hAnsi="Century Gothic" w:cs="Times New Roman"/>
        </w:rPr>
      </w:pPr>
      <w:r>
        <w:rPr>
          <w:rFonts w:ascii="Century Gothic" w:eastAsia="Calibri" w:hAnsi="Century Gothic" w:cs="Times New Roman"/>
        </w:rPr>
        <w:t xml:space="preserve">P-Bit = 2: </w:t>
      </w:r>
    </w:p>
    <w:p w:rsidR="00A827BF" w:rsidRPr="00611019" w:rsidRDefault="00E56462">
      <w:pPr>
        <w:numPr>
          <w:ilvl w:val="0"/>
          <w:numId w:val="98"/>
        </w:num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Retardo de tramas (Latencia) ≤ 75 ms OW en pCAI-L y pCAI-R, ≤ 115 ms OW pCAI-N.</w:t>
      </w:r>
    </w:p>
    <w:p w:rsidR="00A827BF" w:rsidRPr="00611019" w:rsidRDefault="00E56462">
      <w:pPr>
        <w:numPr>
          <w:ilvl w:val="0"/>
          <w:numId w:val="98"/>
        </w:num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Variación del retardo (Jitter) ≤ 40 ms OW en pCAI-L y pCAI-R, ≤ 40 ms OW pCAI-N.</w:t>
      </w:r>
    </w:p>
    <w:p w:rsidR="00FB1E26" w:rsidRPr="00B71C1E" w:rsidRDefault="00E56462">
      <w:pPr>
        <w:numPr>
          <w:ilvl w:val="0"/>
          <w:numId w:val="98"/>
        </w:numPr>
        <w:spacing w:after="6pt"/>
        <w:ind w:start="39.30pt"/>
        <w:jc w:val="both"/>
        <w:rPr>
          <w:rFonts w:ascii="Century Gothic" w:eastAsia="Calibri" w:hAnsi="Century Gothic" w:cs="Arial"/>
          <w:color w:val="000000"/>
          <w:lang w:val="es-ES_tradnl" w:eastAsia="es-ES"/>
        </w:rPr>
      </w:pPr>
      <w:r w:rsidRPr="00B71C1E">
        <w:rPr>
          <w:rFonts w:ascii="Century Gothic" w:eastAsia="Calibri" w:hAnsi="Century Gothic" w:cs="Arial"/>
          <w:color w:val="000000"/>
          <w:lang w:val="es-ES_tradnl" w:eastAsia="es-ES"/>
        </w:rPr>
        <w:t xml:space="preserve">Pérdida de tramas ≤ 0.01% en pCAI-L y pCAI-R, ≤ 0.025% </w:t>
      </w:r>
      <w:r w:rsidR="0022245E" w:rsidRPr="00B71C1E">
        <w:rPr>
          <w:rFonts w:ascii="Century Gothic" w:eastAsia="Calibri" w:hAnsi="Century Gothic" w:cs="Arial"/>
          <w:color w:val="000000"/>
          <w:lang w:val="es-ES_tradnl" w:eastAsia="es-ES"/>
        </w:rPr>
        <w:t>pCAI-N.Disponibilidad del Servicio a la entrega ≥ 99,9 %</w:t>
      </w:r>
    </w:p>
    <w:p w:rsidR="00A827BF" w:rsidRPr="00611019" w:rsidRDefault="00E56462" w:rsidP="00035D2C">
      <w:pPr>
        <w:jc w:val="both"/>
        <w:rPr>
          <w:rFonts w:ascii="Century Gothic" w:eastAsia="Calibri" w:hAnsi="Century Gothic" w:cs="Times New Roman"/>
        </w:rPr>
      </w:pPr>
      <w:r>
        <w:rPr>
          <w:rFonts w:ascii="Century Gothic" w:eastAsia="Calibri" w:hAnsi="Century Gothic" w:cs="Times New Roman"/>
        </w:rPr>
        <w:t xml:space="preserve">P-Bit = 5: </w:t>
      </w:r>
    </w:p>
    <w:p w:rsidR="00A827BF" w:rsidRPr="00611019" w:rsidRDefault="00E56462">
      <w:pPr>
        <w:numPr>
          <w:ilvl w:val="0"/>
          <w:numId w:val="98"/>
        </w:num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Retardo de tramas (Latencia) ≤ 24 ms OW en pCAI-L y pCAI-R, ≤ 77 ms OW pCAI-N.</w:t>
      </w:r>
    </w:p>
    <w:p w:rsidR="00B71C1E" w:rsidRDefault="00E56462">
      <w:pPr>
        <w:numPr>
          <w:ilvl w:val="0"/>
          <w:numId w:val="98"/>
        </w:numPr>
        <w:spacing w:after="6pt"/>
        <w:ind w:start="39.30pt"/>
        <w:jc w:val="both"/>
        <w:rPr>
          <w:rFonts w:ascii="Century Gothic" w:eastAsia="Calibri" w:hAnsi="Century Gothic" w:cs="Arial"/>
          <w:color w:val="000000"/>
          <w:lang w:val="es-ES_tradnl" w:eastAsia="es-ES"/>
        </w:rPr>
      </w:pPr>
      <w:r w:rsidRPr="00336B33">
        <w:rPr>
          <w:rFonts w:ascii="Century Gothic" w:eastAsia="Calibri" w:hAnsi="Century Gothic" w:cs="Arial"/>
          <w:color w:val="000000"/>
          <w:lang w:val="es-ES_tradnl" w:eastAsia="es-ES"/>
        </w:rPr>
        <w:t xml:space="preserve">Variación del retardo (Jitter) ≤ 8 ms OW en pCAI-L y pCAI-R, ≤ 10 ms OW </w:t>
      </w:r>
      <w:r w:rsidR="0022245E" w:rsidRPr="00336B33">
        <w:rPr>
          <w:rFonts w:ascii="Century Gothic" w:eastAsia="Calibri" w:hAnsi="Century Gothic" w:cs="Arial"/>
          <w:color w:val="000000"/>
          <w:lang w:val="es-ES_tradnl" w:eastAsia="es-ES"/>
        </w:rPr>
        <w:t>pCAI-N.</w:t>
      </w:r>
    </w:p>
    <w:p w:rsidR="00B71C1E" w:rsidRDefault="0022245E">
      <w:pPr>
        <w:numPr>
          <w:ilvl w:val="0"/>
          <w:numId w:val="98"/>
        </w:numPr>
        <w:spacing w:after="6pt"/>
        <w:ind w:start="39.30pt"/>
        <w:jc w:val="both"/>
        <w:rPr>
          <w:rFonts w:ascii="Century Gothic" w:eastAsia="Calibri" w:hAnsi="Century Gothic" w:cs="Arial"/>
          <w:color w:val="000000"/>
          <w:lang w:val="es-ES_tradnl" w:eastAsia="es-ES"/>
        </w:rPr>
      </w:pPr>
      <w:r w:rsidRPr="00336B33">
        <w:rPr>
          <w:rFonts w:ascii="Century Gothic" w:eastAsia="Calibri" w:hAnsi="Century Gothic" w:cs="Arial"/>
          <w:color w:val="000000"/>
          <w:lang w:val="es-ES_tradnl" w:eastAsia="es-ES"/>
        </w:rPr>
        <w:t>Pérdida de tramas ≤ 0.01% en pCAI-L y pCAI-R, ≤ 0.025% pCAI-N.</w:t>
      </w:r>
    </w:p>
    <w:p w:rsidR="00FB1E26" w:rsidRPr="00336B33" w:rsidRDefault="0022245E">
      <w:pPr>
        <w:numPr>
          <w:ilvl w:val="0"/>
          <w:numId w:val="98"/>
        </w:numPr>
        <w:spacing w:after="6pt"/>
        <w:ind w:start="39.30pt"/>
        <w:jc w:val="both"/>
        <w:rPr>
          <w:rFonts w:ascii="Century Gothic" w:eastAsia="Calibri" w:hAnsi="Century Gothic" w:cs="Arial"/>
          <w:color w:val="000000"/>
          <w:lang w:val="es-ES_tradnl" w:eastAsia="es-ES"/>
        </w:rPr>
      </w:pPr>
      <w:r w:rsidRPr="00336B33">
        <w:rPr>
          <w:rFonts w:ascii="Century Gothic" w:eastAsia="Calibri" w:hAnsi="Century Gothic" w:cs="Arial"/>
          <w:color w:val="000000"/>
          <w:lang w:val="es-ES_tradnl" w:eastAsia="es-ES"/>
        </w:rPr>
        <w:t>Disponibilidad del Servicio a la entrega ≥ 99,9 %</w:t>
      </w:r>
    </w:p>
    <w:p w:rsidR="00A827BF" w:rsidRPr="00611019" w:rsidRDefault="00E56462" w:rsidP="00035D2C">
      <w:pPr>
        <w:spacing w:after="6pt"/>
        <w:jc w:val="both"/>
        <w:rPr>
          <w:rFonts w:ascii="Century Gothic" w:eastAsia="Calibri" w:hAnsi="Century Gothic" w:cs="Times New Roman"/>
        </w:rPr>
      </w:pPr>
      <w:r>
        <w:rPr>
          <w:rFonts w:ascii="Century Gothic" w:eastAsia="Calibri" w:hAnsi="Century Gothic" w:cs="Times New Roman"/>
        </w:rPr>
        <w:t>Una vez que el Servicio haya sido probado, se procederá a firmar un documento de entrega del Servicio que incluirá un informe de los resultados de la prueba de acuerdo con el formato del Anexo 2 que acompaña a la recomendación Y.1564.</w:t>
      </w:r>
    </w:p>
    <w:p w:rsidR="00A827BF" w:rsidRPr="00611019" w:rsidRDefault="00E56462" w:rsidP="00035D2C">
      <w:pPr>
        <w:spacing w:after="6pt"/>
        <w:jc w:val="both"/>
        <w:rPr>
          <w:rFonts w:ascii="Century Gothic" w:eastAsia="Calibri" w:hAnsi="Century Gothic" w:cs="Times New Roman"/>
        </w:rPr>
      </w:pPr>
      <w:r>
        <w:rPr>
          <w:rFonts w:ascii="Century Gothic" w:eastAsia="Calibri" w:hAnsi="Century Gothic" w:cs="Times New Roman"/>
        </w:rPr>
        <w:t xml:space="preserve">Si no cumple se abrirá una incidencia para el CS y se volverá a la actuación de prueba, para que el CS proceda a agendar otra fecha. Si el problema fuera de RED NACIONAL, </w:t>
      </w:r>
      <w:r>
        <w:rPr>
          <w:rFonts w:ascii="Century Gothic" w:eastAsia="Calibri" w:hAnsi="Century Gothic" w:cs="Times New Roman"/>
        </w:rPr>
        <w:lastRenderedPageBreak/>
        <w:t>se abrirá una incidencia, que será informativa para el CS. Esta incidencia podría conllevar el reinicio de las pruebas, por lo que se volvería a comunicar al CS la disponibilidad de pruebas. En este caso el exceso de tiempo contaría como retardo en la entrega y se procederá a la penalización correspondiente respecto a la habilitación de los Servicios.</w:t>
      </w:r>
    </w:p>
    <w:p w:rsidR="00A827BF" w:rsidRPr="00611019" w:rsidRDefault="00E56462" w:rsidP="00035D2C">
      <w:pPr>
        <w:spacing w:after="6pt"/>
        <w:jc w:val="both"/>
        <w:rPr>
          <w:rFonts w:ascii="Century Gothic" w:eastAsia="Calibri" w:hAnsi="Century Gothic" w:cs="Times New Roman"/>
          <w:b/>
        </w:rPr>
      </w:pPr>
      <w:r>
        <w:rPr>
          <w:rFonts w:ascii="Century Gothic" w:eastAsia="Calibri" w:hAnsi="Century Gothic" w:cs="Times New Roman"/>
          <w:b/>
        </w:rPr>
        <w:t>Verificación de configuración de conexión entre el equipo de acceso y el NCAI.</w:t>
      </w:r>
    </w:p>
    <w:p w:rsidR="00A827BF" w:rsidRPr="00611019" w:rsidRDefault="00E56462" w:rsidP="00035D2C">
      <w:pPr>
        <w:jc w:val="both"/>
        <w:rPr>
          <w:rFonts w:ascii="Century Gothic" w:eastAsia="Calibri" w:hAnsi="Century Gothic" w:cs="Times New Roman"/>
        </w:rPr>
      </w:pPr>
      <w:r>
        <w:rPr>
          <w:rFonts w:ascii="Century Gothic" w:eastAsia="Calibri" w:hAnsi="Century Gothic" w:cs="Times New Roman"/>
        </w:rPr>
        <w:t>RED NACIONAL deberá cumplir con la obligación de entregar el listado de los equipos de acceso y los equipos NCAI, así como la información de las interfases y puertos con la configuración con la información de la VLAN del CS en el SCyD contratado). Esta información se deberá encontrar disponible para la consulta del CS en el SEG/SIPO posterior a la habilitación del SCyD y previo a la instalación del SAIB, en caso de un cambio en el equipo de acceso para la atención una objeción técnica, la información será actualizada en el SEG/SIPO.</w:t>
      </w:r>
    </w:p>
    <w:p w:rsidR="008429E4" w:rsidRDefault="008429E4" w:rsidP="00035D2C">
      <w:pPr>
        <w:spacing w:after="6pt"/>
        <w:jc w:val="both"/>
        <w:rPr>
          <w:rFonts w:ascii="Century Gothic" w:eastAsia="Calibri" w:hAnsi="Century Gothic" w:cs="Arial"/>
        </w:rPr>
      </w:pPr>
    </w:p>
    <w:p w:rsidR="00A827BF" w:rsidRPr="00F56287" w:rsidRDefault="00E56462" w:rsidP="00035D2C">
      <w:pPr>
        <w:spacing w:after="6pt"/>
        <w:jc w:val="both"/>
        <w:outlineLvl w:val="0"/>
        <w:rPr>
          <w:rFonts w:ascii="Century Gothic" w:eastAsia="Calibri" w:hAnsi="Century Gothic" w:cs="Arial"/>
          <w:b/>
          <w:color w:val="000000"/>
          <w:u w:val="single"/>
          <w:lang w:val="es-ES" w:eastAsia="es-ES"/>
          <w14:scene3d>
            <w14:camera w14:prst="orthographicFront"/>
            <w14:lightRig w14:rig="threePt" w14:dir="t">
              <w14:rot w14:lat="0" w14:lon="0" w14:rev="0"/>
            </w14:lightRig>
          </w14:scene3d>
        </w:rPr>
      </w:pPr>
      <w:bookmarkStart w:id="1582" w:name="_Toc107502291"/>
      <w:bookmarkStart w:id="1583" w:name="_Toc115739150"/>
      <w:bookmarkStart w:id="1584" w:name="_Toc125393387"/>
      <w:bookmarkStart w:id="1585" w:name="_Toc148702243"/>
      <w:bookmarkStart w:id="1586" w:name="_Toc170381864"/>
      <w:r>
        <w:rPr>
          <w:rFonts w:ascii="Century Gothic" w:eastAsia="Calibri" w:hAnsi="Century Gothic" w:cs="Arial"/>
          <w:b/>
          <w:color w:val="000000"/>
          <w:u w:val="single"/>
          <w:lang w:val="es-ES" w:eastAsia="es-ES"/>
          <w14:scene3d>
            <w14:camera w14:prst="orthographicFront"/>
            <w14:lightRig w14:rig="threePt" w14:dir="t">
              <w14:rot w14:lat="0" w14:lon="0" w14:rev="0"/>
            </w14:lightRig>
          </w14:scene3d>
        </w:rPr>
        <w:t>9. Servicio Auxiliar de Tendido de Cable de DFO-RED NACIONAL a DFO-CS</w:t>
      </w:r>
      <w:bookmarkEnd w:id="1582"/>
      <w:bookmarkEnd w:id="1583"/>
      <w:bookmarkEnd w:id="1584"/>
      <w:bookmarkEnd w:id="1585"/>
      <w:bookmarkEnd w:id="1586"/>
      <w:r>
        <w:rPr>
          <w:rFonts w:ascii="Century Gothic" w:eastAsia="Calibri" w:hAnsi="Century Gothic" w:cs="Arial"/>
          <w:b/>
          <w:color w:val="000000"/>
          <w:u w:val="single"/>
          <w:lang w:val="es-ES" w:eastAsia="es-ES"/>
          <w14:scene3d>
            <w14:camera w14:prst="orthographicFront"/>
            <w14:lightRig w14:rig="threePt" w14:dir="t">
              <w14:rot w14:lat="0" w14:lon="0" w14:rev="0"/>
            </w14:lightRig>
          </w14:scene3d>
        </w:rPr>
        <w:t>.</w:t>
      </w:r>
    </w:p>
    <w:p w:rsidR="00A827BF" w:rsidRPr="00611019" w:rsidRDefault="00E56462" w:rsidP="00035D2C">
      <w:p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Mediante el Servicio RED NACIONAL realiza la conexión del punto de entrega del SCyD (DFO-RED NACIONAL) al punto de recepción del CS (DFO-CS) ubicado en la Coubicación para Desagregación del CS. Cuando el CS tenga contratada una coubicación para la Interconexión de Trafico Público Conmutado, el CS podrá elegir que este Servicio de tendido de cable sea rematado en dicha coubicación.</w:t>
      </w:r>
    </w:p>
    <w:p w:rsidR="008429E4" w:rsidRPr="00611019" w:rsidRDefault="008429E4" w:rsidP="00035D2C">
      <w:pPr>
        <w:jc w:val="both"/>
        <w:rPr>
          <w:rFonts w:ascii="Century Gothic" w:eastAsia="Calibri" w:hAnsi="Century Gothic" w:cs="Arial"/>
          <w:color w:val="000000"/>
          <w:lang w:val="es-ES_tradnl" w:eastAsia="es-ES"/>
        </w:rPr>
      </w:pPr>
    </w:p>
    <w:p w:rsidR="00A827BF"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En este Servicio RED NACIONAL realiza el estudio y trayectoria, escalerilla y pasos necesarios para llegar a la sala del CS. RED NACIONAL realiza la adecuación del DFO y el cableado de 48 fibras ópticas tipo multimodo. El estudio considerará la posibilidad de compartir infraestructura ya existente para sus propias operaciones con el fin de no cobrar al CS por instalaciones innecesarias. </w:t>
      </w:r>
    </w:p>
    <w:p w:rsidR="00A827BF"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RED NACIONAL entregará una cotización al CS con el desglose de los costos exclusivamente incurridos por la instalación del cable, detallando los costos unitarios asociados a los materiales, mano de obra y actividades a realizar (escalerillas de aluminio, perforación de muros y lozas, etc.). </w:t>
      </w:r>
    </w:p>
    <w:p w:rsidR="00A827BF" w:rsidRPr="00611019" w:rsidRDefault="00E56462" w:rsidP="00035D2C">
      <w:pPr>
        <w:spacing w:after="6pt"/>
        <w:jc w:val="both"/>
        <w:rPr>
          <w:rFonts w:ascii="Century Gothic" w:eastAsia="Calibri" w:hAnsi="Century Gothic" w:cs="Arial"/>
          <w:color w:val="000000"/>
          <w:spacing w:val="-3"/>
          <w:lang w:val="es-ES_tradnl" w:eastAsia="es-ES"/>
        </w:rPr>
      </w:pPr>
      <w:r>
        <w:rPr>
          <w:rFonts w:ascii="Century Gothic" w:eastAsia="Calibri" w:hAnsi="Century Gothic" w:cs="Arial"/>
          <w:color w:val="000000"/>
          <w:lang w:val="es-ES_tradnl" w:eastAsia="es-ES"/>
        </w:rPr>
        <w:t xml:space="preserve">El cable se deja en punta en la sala del CS para que el CS realice la conexión a su DFO. O en caso contrario y a solicitud del CS con la contraprestación correspondiente </w:t>
      </w:r>
      <w:r>
        <w:rPr>
          <w:rFonts w:ascii="Century Gothic" w:eastAsia="Calibri" w:hAnsi="Century Gothic" w:cs="Arial"/>
          <w:color w:val="000000"/>
          <w:spacing w:val="-3"/>
          <w:lang w:val="es-ES_tradnl" w:eastAsia="es-ES"/>
        </w:rPr>
        <w:t>RED NACIONAL</w:t>
      </w:r>
      <w:r>
        <w:rPr>
          <w:rFonts w:ascii="Century Gothic" w:eastAsia="Calibri" w:hAnsi="Century Gothic" w:cs="Arial"/>
          <w:color w:val="000000"/>
          <w:lang w:val="es-ES_tradnl" w:eastAsia="es-ES"/>
        </w:rPr>
        <w:t xml:space="preserve"> podrá fusionar las fibras, lo cual incluirá la instalación del DFO del CS. Si el CS ya tiene su equipo DFO también podrá solicitar a RED NACIONAL la fusión de la fibra. </w:t>
      </w:r>
    </w:p>
    <w:p w:rsidR="00A827BF"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Este Servicio podrá contratarse en modalidad de facturación fija (independientemente de la longitud del cableado) o en modalidad de facturación variable (cuantificando la cantidad de metros). </w:t>
      </w:r>
    </w:p>
    <w:p w:rsidR="00A827BF"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Los modularidades son de 48 Fibras ópticas para cada cableado requerido. </w:t>
      </w:r>
    </w:p>
    <w:p w:rsidR="00A827BF" w:rsidRDefault="00E56462" w:rsidP="00F56287">
      <w:pPr>
        <w:jc w:val="both"/>
        <w:rPr>
          <w:rFonts w:ascii="Century Gothic" w:eastAsia="Calibri" w:hAnsi="Century Gothic" w:cs="Times New Roman"/>
        </w:rPr>
      </w:pPr>
      <w:r>
        <w:rPr>
          <w:rFonts w:ascii="Century Gothic" w:eastAsia="Calibri" w:hAnsi="Century Gothic" w:cs="Times New Roman"/>
        </w:rPr>
        <w:lastRenderedPageBreak/>
        <w:t>El Servicio se muestra en la figura siguiente:</w:t>
      </w:r>
    </w:p>
    <w:p w:rsidR="00F56287" w:rsidRPr="00611019" w:rsidRDefault="00F56287" w:rsidP="00F56287">
      <w:pPr>
        <w:jc w:val="both"/>
        <w:rPr>
          <w:rFonts w:ascii="Century Gothic" w:eastAsia="Calibri" w:hAnsi="Century Gothic" w:cs="Times New Roman"/>
        </w:rPr>
      </w:pPr>
    </w:p>
    <w:p w:rsidR="00A827BF" w:rsidRPr="00611019" w:rsidRDefault="00E56462" w:rsidP="00035D2C">
      <w:pPr>
        <w:spacing w:after="6pt"/>
        <w:jc w:val="center"/>
        <w:rPr>
          <w:rFonts w:ascii="Century Gothic" w:eastAsia="Calibri" w:hAnsi="Century Gothic" w:cs="Times New Roman"/>
        </w:rPr>
      </w:pPr>
      <w:r>
        <w:rPr>
          <w:rFonts w:ascii="Century Gothic" w:eastAsia="Calibri" w:hAnsi="Century Gothic" w:cs="Times New Roman"/>
          <w:noProof/>
          <w:lang w:eastAsia="es-MX"/>
        </w:rPr>
        <w:drawing>
          <wp:inline distT="0" distB="0" distL="0" distR="0" wp14:anchorId="6FA63E37" wp14:editId="57ADC634">
            <wp:extent cx="3981450" cy="1914525"/>
            <wp:effectExtent l="0" t="0" r="0" b="9525"/>
            <wp:docPr id="21" name="Picture 2" descr="Gráfico, Gráfico en cascada&#10;&#10;Descripción generada automáticamente"/>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587" name="Picture 2" descr="Gráfico, Gráfico en cascada&#10;&#10;Descripción generada automáticamente"/>
                    <pic:cNvPicPr>
                      <a:picLocks noChangeAspect="1" noChangeArrowheads="1"/>
                    </pic:cNvPicPr>
                  </pic:nvPicPr>
                  <pic:blipFill>
                    <a:blip r:embed="rId32">
                      <a:extLst>
                        <a:ext uri="{28A0092B-C50C-407E-A947-70E740481C1C}">
                          <a14:useLocalDpi xmlns:a14="http://schemas.microsoft.com/office/drawing/2010/main" val="0"/>
                        </a:ext>
                      </a:extLst>
                    </a:blip>
                    <a:stretch>
                      <a:fillRect/>
                    </a:stretch>
                  </pic:blipFill>
                  <pic:spPr bwMode="auto">
                    <a:xfrm>
                      <a:off x="0" y="0"/>
                      <a:ext cx="3981450" cy="1914525"/>
                    </a:xfrm>
                    <a:prstGeom prst="rect">
                      <a:avLst/>
                    </a:prstGeom>
                    <a:noFill/>
                    <a:ln>
                      <a:noFill/>
                    </a:ln>
                  </pic:spPr>
                </pic:pic>
              </a:graphicData>
            </a:graphic>
          </wp:inline>
        </w:drawing>
      </w:r>
    </w:p>
    <w:p w:rsidR="00A827BF" w:rsidRPr="00611019" w:rsidRDefault="00E56462" w:rsidP="00035D2C">
      <w:pPr>
        <w:spacing w:after="6pt"/>
        <w:jc w:val="center"/>
        <w:rPr>
          <w:rFonts w:ascii="Century Gothic" w:eastAsia="Calibri" w:hAnsi="Century Gothic" w:cs="Arial"/>
          <w:b/>
        </w:rPr>
      </w:pPr>
      <w:r>
        <w:rPr>
          <w:rFonts w:ascii="Century Gothic" w:eastAsia="Calibri" w:hAnsi="Century Gothic" w:cs="Arial"/>
          <w:b/>
        </w:rPr>
        <w:t>Servicio Tendido de Cable DFO-RED NACIONAL a DFO-CS.</w:t>
      </w:r>
    </w:p>
    <w:p w:rsidR="00A827BF" w:rsidRPr="00611019" w:rsidRDefault="00A827BF" w:rsidP="00035D2C">
      <w:pPr>
        <w:spacing w:after="6pt"/>
        <w:jc w:val="both"/>
        <w:rPr>
          <w:rFonts w:ascii="Century Gothic" w:eastAsia="Calibri" w:hAnsi="Century Gothic" w:cs="Times New Roman"/>
        </w:rPr>
      </w:pPr>
    </w:p>
    <w:p w:rsidR="00A827BF" w:rsidRPr="00611019" w:rsidRDefault="00E56462" w:rsidP="00035D2C">
      <w:pPr>
        <w:spacing w:after="6pt"/>
        <w:jc w:val="both"/>
        <w:rPr>
          <w:rFonts w:ascii="Century Gothic" w:eastAsia="Calibri" w:hAnsi="Century Gothic" w:cs="Times New Roman"/>
        </w:rPr>
      </w:pPr>
      <w:r>
        <w:rPr>
          <w:rFonts w:ascii="Century Gothic" w:eastAsia="Calibri" w:hAnsi="Century Gothic" w:cs="Times New Roman"/>
        </w:rPr>
        <w:t>Las características técnicas del cable con fibra óptica multimodo son:</w:t>
      </w:r>
    </w:p>
    <w:p w:rsidR="00A827BF" w:rsidRPr="00611019" w:rsidRDefault="00E56462">
      <w:pPr>
        <w:numPr>
          <w:ilvl w:val="0"/>
          <w:numId w:val="99"/>
        </w:num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Fibra multimodo 50/125 µm OM3, 10 Gbps@300 m ITU G651.1</w:t>
      </w:r>
    </w:p>
    <w:p w:rsidR="00A827BF" w:rsidRPr="00611019" w:rsidRDefault="00A827BF" w:rsidP="00035D2C">
      <w:pPr>
        <w:spacing w:after="6pt"/>
        <w:ind w:start="36pt"/>
        <w:jc w:val="both"/>
        <w:rPr>
          <w:rFonts w:ascii="Century Gothic" w:eastAsia="Calibri" w:hAnsi="Century Gothic" w:cs="Arial"/>
          <w:color w:val="000000"/>
          <w:lang w:val="es-ES_tradnl" w:eastAsia="es-ES"/>
        </w:rPr>
      </w:pPr>
    </w:p>
    <w:p w:rsidR="00A827BF" w:rsidRPr="00611019" w:rsidRDefault="00E56462" w:rsidP="00035D2C">
      <w:pPr>
        <w:keepNext/>
        <w:spacing w:after="6pt"/>
        <w:jc w:val="both"/>
        <w:outlineLvl w:val="1"/>
        <w:rPr>
          <w:rFonts w:ascii="Century Gothic" w:eastAsia="Times New Roman" w:hAnsi="Century Gothic" w:cs="Arial"/>
          <w:b/>
          <w:bCs/>
        </w:rPr>
      </w:pPr>
      <w:bookmarkStart w:id="1587" w:name="_Toc107502292"/>
      <w:bookmarkStart w:id="1588" w:name="_Toc115739151"/>
      <w:bookmarkStart w:id="1589" w:name="_Toc125393388"/>
      <w:bookmarkStart w:id="1590" w:name="_Toc148702244"/>
      <w:bookmarkStart w:id="1591" w:name="_Toc170381865"/>
      <w:r>
        <w:rPr>
          <w:rFonts w:ascii="Century Gothic" w:eastAsia="Times New Roman" w:hAnsi="Century Gothic" w:cs="Arial"/>
          <w:b/>
          <w:bCs/>
        </w:rPr>
        <w:t>9.1 Procedimientos de contratación, modificación y baja del Servicio de Cableado de DFO-RED NACIONAL a DFO-CS</w:t>
      </w:r>
      <w:bookmarkEnd w:id="1587"/>
      <w:bookmarkEnd w:id="1588"/>
      <w:bookmarkEnd w:id="1589"/>
      <w:bookmarkEnd w:id="1590"/>
      <w:bookmarkEnd w:id="1591"/>
      <w:r>
        <w:rPr>
          <w:rFonts w:ascii="Century Gothic" w:eastAsia="Times New Roman" w:hAnsi="Century Gothic" w:cs="Arial"/>
          <w:b/>
          <w:bCs/>
        </w:rPr>
        <w:t>.</w:t>
      </w:r>
    </w:p>
    <w:p w:rsidR="00A827BF" w:rsidRPr="00611019" w:rsidRDefault="00E56462" w:rsidP="00035D2C">
      <w:p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Queda establecido que, mediante el envío de la solicitud, el CS está de acuerdo en efectuar el pago por las actividades a realizar, así como por los elementos de cobro que conforman el servicio, en el momento que se indique en el procedimiento. Asimismo, si el CS rechaza el Servicio o decide no continuar con el procedimiento, deberá liquidar el monto generado por las actividades realizadas hasta el momento que decidió terminar el procedimiento. </w:t>
      </w:r>
    </w:p>
    <w:p w:rsidR="00A827BF" w:rsidRPr="00611019" w:rsidRDefault="00A827BF" w:rsidP="00035D2C">
      <w:pPr>
        <w:jc w:val="both"/>
        <w:rPr>
          <w:rFonts w:ascii="Century Gothic" w:eastAsia="Calibri" w:hAnsi="Century Gothic" w:cs="Arial"/>
          <w:b/>
          <w:color w:val="000000"/>
          <w:lang w:val="es-ES_tradnl" w:eastAsia="es-ES"/>
        </w:rPr>
      </w:pPr>
    </w:p>
    <w:p w:rsidR="00A827BF" w:rsidRPr="00611019" w:rsidRDefault="00E56462" w:rsidP="00035D2C">
      <w:pPr>
        <w:spacing w:after="6pt"/>
        <w:jc w:val="both"/>
        <w:rPr>
          <w:rFonts w:ascii="Century Gothic" w:eastAsia="Calibri" w:hAnsi="Century Gothic" w:cs="Arial"/>
          <w:b/>
          <w:color w:val="000000"/>
          <w:lang w:val="es-ES_tradnl" w:eastAsia="es-ES"/>
        </w:rPr>
      </w:pPr>
      <w:r>
        <w:rPr>
          <w:rFonts w:ascii="Century Gothic" w:eastAsia="Calibri" w:hAnsi="Century Gothic" w:cs="Arial"/>
          <w:b/>
          <w:color w:val="000000"/>
          <w:lang w:val="es-ES_tradnl" w:eastAsia="es-ES"/>
        </w:rPr>
        <w:t>Procedimiento de contratación y entrega para el Servicio de Cableado de DFO-RED NACIONAL a DFO-CS.</w:t>
      </w:r>
    </w:p>
    <w:p w:rsidR="00A827BF"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El objetivo y alcance de este procedimiento es definir los pasos y actividades a desarrollar por parte de RED NACIONAL y del CS, a fin de realizar la contratación y entrega del Servicio de Cableado de DFO-RED NACIONAL a DFO-CS; las fases en que se divide este procedimiento son: </w:t>
      </w:r>
      <w:r>
        <w:rPr>
          <w:rFonts w:ascii="Century Gothic" w:eastAsia="Calibri" w:hAnsi="Century Gothic" w:cs="Arial"/>
          <w:b/>
          <w:color w:val="000000"/>
          <w:lang w:val="es-ES_tradnl" w:eastAsia="es-ES"/>
        </w:rPr>
        <w:t>(i)</w:t>
      </w:r>
      <w:r>
        <w:rPr>
          <w:rFonts w:ascii="Century Gothic" w:eastAsia="Calibri" w:hAnsi="Century Gothic" w:cs="Arial"/>
          <w:color w:val="000000"/>
          <w:lang w:val="es-ES_tradnl" w:eastAsia="es-ES"/>
        </w:rPr>
        <w:t xml:space="preserve"> Envío y validación de la solicitud a través del SEG/SIPO confirmando que la solicitud cuenta con todos los elementos para la contratación del servicio; </w:t>
      </w:r>
      <w:r>
        <w:rPr>
          <w:rFonts w:ascii="Century Gothic" w:eastAsia="Calibri" w:hAnsi="Century Gothic" w:cs="Arial"/>
          <w:b/>
          <w:color w:val="000000"/>
          <w:lang w:val="es-ES_tradnl" w:eastAsia="es-ES"/>
        </w:rPr>
        <w:t>(ii)</w:t>
      </w:r>
      <w:r>
        <w:rPr>
          <w:rFonts w:ascii="Century Gothic" w:eastAsia="Calibri" w:hAnsi="Century Gothic" w:cs="Arial"/>
          <w:color w:val="000000"/>
          <w:lang w:val="es-ES_tradnl" w:eastAsia="es-ES"/>
        </w:rPr>
        <w:t xml:space="preserve"> Análisis de Factibilidad técnica a fin de que RED NACIONAL pueda verificar que cuenta con los elementos para brindar el Servicio solicitado; y </w:t>
      </w:r>
      <w:r>
        <w:rPr>
          <w:rFonts w:ascii="Century Gothic" w:eastAsia="Calibri" w:hAnsi="Century Gothic" w:cs="Arial"/>
          <w:b/>
          <w:color w:val="000000"/>
          <w:lang w:val="es-ES_tradnl" w:eastAsia="es-ES"/>
        </w:rPr>
        <w:t>(iii)</w:t>
      </w:r>
      <w:r>
        <w:rPr>
          <w:rFonts w:ascii="Century Gothic" w:eastAsia="Calibri" w:hAnsi="Century Gothic" w:cs="Arial"/>
          <w:color w:val="000000"/>
          <w:lang w:val="es-ES_tradnl" w:eastAsia="es-ES"/>
        </w:rPr>
        <w:t xml:space="preserve"> Habilitación y aprovisionamiento del Servicio solicitado, que detonará los procesos de pruebas de entrega y facturación.</w:t>
      </w:r>
    </w:p>
    <w:tbl>
      <w:tblPr>
        <w:tblW w:w="100.0%" w:type="pct"/>
        <w:jc w:val="cente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1"/>
      </w:tblPr>
      <w:tblGrid>
        <w:gridCol w:w="2373"/>
        <w:gridCol w:w="7021"/>
      </w:tblGrid>
      <w:tr w:rsidR="0061711D" w:rsidTr="00A827BF">
        <w:trPr>
          <w:tblHeader/>
          <w:jc w:val="center"/>
        </w:trPr>
        <w:tc>
          <w:tcPr>
            <w:tcW w:w="25.0%" w:type="pct"/>
            <w:tcBorders>
              <w:top w:val="single" w:sz="4" w:space="0" w:color="auto"/>
              <w:start w:val="single" w:sz="4" w:space="0" w:color="auto"/>
              <w:bottom w:val="single" w:sz="4" w:space="0" w:color="auto"/>
              <w:end w:val="single" w:sz="4" w:space="0" w:color="auto"/>
            </w:tcBorders>
            <w:shd w:val="clear" w:color="auto" w:fill="009AD9"/>
            <w:hideMark/>
          </w:tcPr>
          <w:p w:rsidR="00A827BF" w:rsidRPr="00611019" w:rsidRDefault="00E56462" w:rsidP="00035D2C">
            <w:pPr>
              <w:spacing w:before="2pt" w:after="2pt"/>
              <w:jc w:val="center"/>
              <w:rPr>
                <w:rFonts w:ascii="Century Gothic" w:eastAsia="Calibri" w:hAnsi="Century Gothic" w:cs="Arial"/>
                <w:b/>
                <w:color w:val="FFFFFF" w:themeColor="background1"/>
                <w:sz w:val="20"/>
                <w:szCs w:val="20"/>
                <w:lang w:val="es-ES_tradnl" w:eastAsia="es-ES"/>
              </w:rPr>
            </w:pPr>
            <w:r>
              <w:rPr>
                <w:rFonts w:ascii="Century Gothic" w:eastAsia="Calibri" w:hAnsi="Century Gothic" w:cs="Arial"/>
                <w:b/>
                <w:color w:val="FFFFFF" w:themeColor="background1"/>
                <w:sz w:val="20"/>
                <w:szCs w:val="20"/>
                <w:lang w:val="es-ES_tradnl" w:eastAsia="es-ES"/>
              </w:rPr>
              <w:lastRenderedPageBreak/>
              <w:t>Etapa</w:t>
            </w:r>
          </w:p>
        </w:tc>
        <w:tc>
          <w:tcPr>
            <w:tcW w:w="74.0%" w:type="pct"/>
            <w:tcBorders>
              <w:top w:val="single" w:sz="4" w:space="0" w:color="auto"/>
              <w:start w:val="single" w:sz="4" w:space="0" w:color="auto"/>
              <w:bottom w:val="single" w:sz="4" w:space="0" w:color="auto"/>
              <w:end w:val="single" w:sz="4" w:space="0" w:color="auto"/>
            </w:tcBorders>
            <w:shd w:val="clear" w:color="auto" w:fill="009AD9"/>
            <w:hideMark/>
          </w:tcPr>
          <w:p w:rsidR="00A827BF" w:rsidRPr="00611019" w:rsidRDefault="00E56462" w:rsidP="00035D2C">
            <w:pPr>
              <w:spacing w:before="2pt" w:after="2pt"/>
              <w:jc w:val="center"/>
              <w:rPr>
                <w:rFonts w:ascii="Century Gothic" w:eastAsia="Calibri" w:hAnsi="Century Gothic" w:cs="Arial"/>
                <w:b/>
                <w:color w:val="FFFFFF" w:themeColor="background1"/>
                <w:sz w:val="20"/>
                <w:szCs w:val="20"/>
                <w:lang w:val="es-ES_tradnl" w:eastAsia="es-ES"/>
              </w:rPr>
            </w:pPr>
            <w:r>
              <w:rPr>
                <w:rFonts w:ascii="Century Gothic" w:eastAsia="Calibri" w:hAnsi="Century Gothic" w:cs="Arial"/>
                <w:b/>
                <w:color w:val="FFFFFF" w:themeColor="background1"/>
                <w:sz w:val="20"/>
                <w:szCs w:val="20"/>
                <w:lang w:val="es-ES_tradnl" w:eastAsia="es-ES"/>
              </w:rPr>
              <w:t>Descripción</w:t>
            </w:r>
          </w:p>
        </w:tc>
      </w:tr>
      <w:tr w:rsidR="0061711D" w:rsidTr="00A827BF">
        <w:trPr>
          <w:jc w:val="center"/>
        </w:trPr>
        <w:tc>
          <w:tcPr>
            <w:tcW w:w="25.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Envío y Validación de la solicitud</w:t>
            </w:r>
          </w:p>
        </w:tc>
        <w:tc>
          <w:tcPr>
            <w:tcW w:w="74.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CS deberá presentar su solicitud a través del SEG/SIPO, validando que cuenta con todos los criterios para que RED NACIONAL continúe con la etapa de análisis de Factibilidad Técnica.</w:t>
            </w:r>
          </w:p>
          <w:p w:rsidR="00A827BF" w:rsidRPr="00611019" w:rsidRDefault="00E56462" w:rsidP="00035D2C">
            <w:pPr>
              <w:spacing w:before="2pt" w:after="2pt"/>
              <w:ind w:start="1.70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Una vez enviada la solicitud el SEG/SIPO asignará de forma automática el Folio.</w:t>
            </w:r>
          </w:p>
        </w:tc>
      </w:tr>
      <w:tr w:rsidR="0061711D" w:rsidTr="00A827BF">
        <w:trPr>
          <w:jc w:val="center"/>
        </w:trPr>
        <w:tc>
          <w:tcPr>
            <w:tcW w:w="25.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Factibilidad Técnica</w:t>
            </w:r>
          </w:p>
        </w:tc>
        <w:tc>
          <w:tcPr>
            <w:tcW w:w="74.0%" w:type="pct"/>
            <w:tcBorders>
              <w:top w:val="single" w:sz="4" w:space="0" w:color="auto"/>
              <w:start w:val="single" w:sz="4" w:space="0" w:color="auto"/>
              <w:bottom w:val="single" w:sz="4" w:space="0" w:color="auto"/>
              <w:end w:val="single" w:sz="4" w:space="0" w:color="auto"/>
            </w:tcBorders>
          </w:tcPr>
          <w:p w:rsidR="00A827BF"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Durante el análisis de Factibilidad Técnica, RED NACIONAL determinará si existen los recursos técnicos y facilidades para habilitar los Servicios solicitados:</w:t>
            </w:r>
          </w:p>
          <w:p w:rsidR="00A827BF" w:rsidRPr="00611019" w:rsidRDefault="00E56462">
            <w:pPr>
              <w:numPr>
                <w:ilvl w:val="0"/>
                <w:numId w:val="99"/>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b/>
                <w:color w:val="000000"/>
                <w:sz w:val="20"/>
                <w:szCs w:val="20"/>
                <w:lang w:val="es-ES_tradnl" w:eastAsia="es-ES"/>
              </w:rPr>
              <w:t>Existen facilidades</w:t>
            </w:r>
            <w:r>
              <w:rPr>
                <w:rFonts w:ascii="Century Gothic" w:eastAsia="Calibri" w:hAnsi="Century Gothic" w:cs="Arial"/>
                <w:color w:val="000000"/>
                <w:sz w:val="20"/>
                <w:szCs w:val="20"/>
                <w:lang w:val="es-ES_tradnl" w:eastAsia="es-ES"/>
              </w:rPr>
              <w:t>, RED NACIONAL enviará la cotización correspondiente al CS, que deberá incluir el detalle de los insumos requeridos para la instalación del cableado y como mínimo lo siguientes elementos: desglose de conceptos, unidad de medida, cantidad por unidad de medida, precio unitario, precio total, longitud de cableado, tipo de cableado, conectores, trabajos de obra civil, mano de obra, así como el tiempo de implementación.</w:t>
            </w:r>
          </w:p>
          <w:p w:rsidR="00A827BF" w:rsidRPr="00611019" w:rsidRDefault="00E56462" w:rsidP="00035D2C">
            <w:pPr>
              <w:spacing w:before="2pt" w:after="2pt"/>
              <w:ind w:start="15.90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En un plazo máximo de cinco días el CS deberá aceptar la cotización</w:t>
            </w:r>
            <w:r>
              <w:rPr>
                <w:rFonts w:ascii="Century Gothic" w:eastAsia="Calibri" w:hAnsi="Century Gothic" w:cs="Arial"/>
                <w:color w:val="000000"/>
                <w:sz w:val="20"/>
                <w:szCs w:val="20"/>
                <w:vertAlign w:val="superscript"/>
                <w:lang w:val="es-ES_tradnl" w:eastAsia="es-ES"/>
              </w:rPr>
              <w:footnoteReference w:id="32"/>
            </w:r>
            <w:r>
              <w:rPr>
                <w:rFonts w:ascii="Century Gothic" w:eastAsia="Calibri" w:hAnsi="Century Gothic" w:cs="Arial"/>
                <w:color w:val="000000"/>
                <w:sz w:val="20"/>
                <w:szCs w:val="20"/>
                <w:lang w:val="es-ES_tradnl" w:eastAsia="es-ES"/>
              </w:rPr>
              <w:t xml:space="preserve"> y/o solicitar vía SEG/SIPO a RED NACIONAL la revisión o aclaración de la cotización, en caso de no recibir respuesta se entenderá que se rechaza la cotización concluyendo el proceso y se emitirá la factura correspondiente por la elaboración del proyecto.</w:t>
            </w:r>
            <w:r>
              <w:rPr>
                <w:rFonts w:ascii="Century Gothic" w:eastAsia="Calibri" w:hAnsi="Century Gothic" w:cs="Arial"/>
                <w:color w:val="000000"/>
                <w:sz w:val="20"/>
                <w:szCs w:val="20"/>
                <w:vertAlign w:val="superscript"/>
                <w:lang w:val="es-ES_tradnl" w:eastAsia="es-ES"/>
              </w:rPr>
              <w:footnoteReference w:id="33"/>
            </w:r>
            <w:r>
              <w:rPr>
                <w:rFonts w:ascii="Century Gothic" w:eastAsia="Calibri" w:hAnsi="Century Gothic" w:cs="Arial"/>
                <w:color w:val="000000"/>
                <w:sz w:val="20"/>
                <w:szCs w:val="20"/>
                <w:lang w:val="es-ES_tradnl" w:eastAsia="es-ES"/>
              </w:rPr>
              <w:t>.</w:t>
            </w:r>
          </w:p>
          <w:p w:rsidR="00A827BF" w:rsidRPr="00611019" w:rsidRDefault="00A827BF" w:rsidP="00035D2C">
            <w:pPr>
              <w:spacing w:before="2pt" w:after="2pt"/>
              <w:ind w:start="15.90pt"/>
              <w:jc w:val="both"/>
              <w:rPr>
                <w:rFonts w:ascii="Century Gothic" w:eastAsia="Calibri" w:hAnsi="Century Gothic" w:cs="Arial"/>
                <w:color w:val="000000"/>
                <w:sz w:val="20"/>
                <w:szCs w:val="20"/>
                <w:lang w:val="es-ES_tradnl" w:eastAsia="es-ES"/>
              </w:rPr>
            </w:pPr>
          </w:p>
          <w:p w:rsidR="00A827BF" w:rsidRPr="00611019" w:rsidRDefault="00E56462">
            <w:pPr>
              <w:numPr>
                <w:ilvl w:val="0"/>
                <w:numId w:val="99"/>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b/>
                <w:color w:val="000000"/>
                <w:sz w:val="20"/>
                <w:szCs w:val="20"/>
                <w:lang w:val="es-ES_tradnl" w:eastAsia="es-ES"/>
              </w:rPr>
              <w:t>No existen facilidades</w:t>
            </w:r>
            <w:r>
              <w:rPr>
                <w:rFonts w:ascii="Century Gothic" w:eastAsia="Calibri" w:hAnsi="Century Gothic" w:cs="Arial"/>
                <w:color w:val="000000"/>
                <w:sz w:val="20"/>
                <w:szCs w:val="20"/>
                <w:lang w:val="es-ES_tradnl" w:eastAsia="es-ES"/>
              </w:rPr>
              <w:t>, se presentará al CS, a través del SEG/SIPO, la justificación, así como las evidencias correspondientes. En este caso, a solicitud del CS, iniciará el procedimiento de Trabajos Especiales de esta OREDA.</w:t>
            </w:r>
          </w:p>
        </w:tc>
      </w:tr>
      <w:tr w:rsidR="0061711D" w:rsidTr="00A827BF">
        <w:trPr>
          <w:jc w:val="center"/>
        </w:trPr>
        <w:tc>
          <w:tcPr>
            <w:tcW w:w="25.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Habilitación y aprovisionamiento del Servicio</w:t>
            </w:r>
          </w:p>
        </w:tc>
        <w:tc>
          <w:tcPr>
            <w:tcW w:w="74.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Una vez aceptada la cotización por parte del CS:</w:t>
            </w:r>
          </w:p>
          <w:p w:rsidR="00A827BF" w:rsidRPr="00611019" w:rsidRDefault="00E56462">
            <w:pPr>
              <w:numPr>
                <w:ilvl w:val="0"/>
                <w:numId w:val="99"/>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 xml:space="preserve">Si solicitó la fusión de la fibra (con y sin DFO), el CS deberá permitir el acceso a su coubicación y una vez garantizado lo anterior, se habilitará el servicio. </w:t>
            </w:r>
          </w:p>
          <w:p w:rsidR="00A827BF" w:rsidRPr="00611019" w:rsidRDefault="00E56462">
            <w:pPr>
              <w:numPr>
                <w:ilvl w:val="0"/>
                <w:numId w:val="99"/>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Si el CS no solicitó la fusión de la fibra, se entregará el Servicio en punta.</w:t>
            </w:r>
          </w:p>
          <w:p w:rsidR="00A827BF" w:rsidRPr="00611019" w:rsidRDefault="00E56462">
            <w:pPr>
              <w:numPr>
                <w:ilvl w:val="0"/>
                <w:numId w:val="99"/>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Si el Cableado fue solicitado junto con coubicación se habilitará en el plazo de entrega del servicio.</w:t>
            </w:r>
          </w:p>
        </w:tc>
      </w:tr>
      <w:tr w:rsidR="0061711D" w:rsidTr="00A827BF">
        <w:trPr>
          <w:jc w:val="center"/>
        </w:trPr>
        <w:tc>
          <w:tcPr>
            <w:tcW w:w="25.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Pruebas de Aceptación del Servicio</w:t>
            </w:r>
          </w:p>
        </w:tc>
        <w:tc>
          <w:tcPr>
            <w:tcW w:w="74.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Una vez instalado el Servicio se le notificará al CS y se entregará el Acta de Recepción del Servicio.</w:t>
            </w:r>
          </w:p>
        </w:tc>
      </w:tr>
      <w:tr w:rsidR="0061711D" w:rsidTr="00A827BF">
        <w:trPr>
          <w:jc w:val="center"/>
        </w:trPr>
        <w:tc>
          <w:tcPr>
            <w:tcW w:w="25.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Facturación</w:t>
            </w:r>
          </w:p>
        </w:tc>
        <w:tc>
          <w:tcPr>
            <w:tcW w:w="74.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Al corte del mes se realizará la facturación aplicable al servicio:</w:t>
            </w:r>
          </w:p>
          <w:p w:rsidR="00A827BF" w:rsidRPr="00611019" w:rsidRDefault="00E56462">
            <w:pPr>
              <w:numPr>
                <w:ilvl w:val="0"/>
                <w:numId w:val="100"/>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lastRenderedPageBreak/>
              <w:t>Se incluirán los gastos de instalación o habilitación y la renta mensual correspondiente, así como los otros conceptos que hubieran sido aceptados por el CS en la cotización.</w:t>
            </w:r>
          </w:p>
          <w:p w:rsidR="00A827BF" w:rsidRPr="00611019" w:rsidRDefault="00E56462">
            <w:pPr>
              <w:numPr>
                <w:ilvl w:val="0"/>
                <w:numId w:val="100"/>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CS contará con la posibilidad de solicitar ajustes o aclaraciones respecto a los conceptos y Servicios incluidos en su factura.</w:t>
            </w:r>
          </w:p>
        </w:tc>
      </w:tr>
    </w:tbl>
    <w:p w:rsidR="00A827BF" w:rsidRPr="00611019" w:rsidRDefault="00A827BF" w:rsidP="00035D2C">
      <w:pPr>
        <w:jc w:val="both"/>
        <w:rPr>
          <w:rFonts w:ascii="Century Gothic" w:eastAsia="Calibri" w:hAnsi="Century Gothic" w:cs="Times New Roman"/>
          <w:b/>
        </w:rPr>
      </w:pPr>
    </w:p>
    <w:p w:rsidR="00A827BF" w:rsidRPr="00611019" w:rsidRDefault="00E56462" w:rsidP="00035D2C">
      <w:pPr>
        <w:spacing w:after="6pt"/>
        <w:jc w:val="both"/>
        <w:rPr>
          <w:rFonts w:ascii="Century Gothic" w:eastAsia="Calibri" w:hAnsi="Century Gothic" w:cs="Arial"/>
          <w:b/>
          <w:color w:val="000000"/>
          <w:lang w:val="es-ES_tradnl" w:eastAsia="es-ES"/>
        </w:rPr>
      </w:pPr>
      <w:r>
        <w:rPr>
          <w:rFonts w:ascii="Century Gothic" w:eastAsia="Calibri" w:hAnsi="Century Gothic" w:cs="Arial"/>
          <w:b/>
          <w:color w:val="000000"/>
          <w:lang w:val="es-ES_tradnl" w:eastAsia="es-ES"/>
        </w:rPr>
        <w:t>Procedimiento de Baja (Cableado de DFO-</w:t>
      </w:r>
      <w:r>
        <w:rPr>
          <w:rFonts w:ascii="Century Gothic" w:eastAsia="Calibri" w:hAnsi="Century Gothic" w:cs="Arial"/>
          <w:b/>
          <w:color w:val="000000"/>
          <w:spacing w:val="-3"/>
          <w:lang w:val="es-ES_tradnl" w:eastAsia="es-ES"/>
        </w:rPr>
        <w:t>RED NACIONA</w:t>
      </w:r>
      <w:r>
        <w:rPr>
          <w:rFonts w:ascii="Century Gothic" w:eastAsia="Calibri" w:hAnsi="Century Gothic" w:cs="Arial"/>
          <w:color w:val="000000"/>
          <w:spacing w:val="-3"/>
          <w:lang w:val="es-ES_tradnl" w:eastAsia="es-ES"/>
        </w:rPr>
        <w:t>L</w:t>
      </w:r>
      <w:r>
        <w:rPr>
          <w:rFonts w:ascii="Century Gothic" w:eastAsia="Calibri" w:hAnsi="Century Gothic" w:cs="Arial"/>
          <w:b/>
          <w:color w:val="000000"/>
          <w:lang w:val="es-ES_tradnl" w:eastAsia="es-ES"/>
        </w:rPr>
        <w:t xml:space="preserve"> a DFO-CS).</w:t>
      </w:r>
    </w:p>
    <w:p w:rsidR="00A827BF" w:rsidRPr="00611019" w:rsidRDefault="00E56462" w:rsidP="00035D2C">
      <w:pPr>
        <w:jc w:val="both"/>
        <w:rPr>
          <w:rFonts w:ascii="Times New Roman" w:eastAsia="Calibri" w:hAnsi="Times New Roman" w:cs="Times New Roman"/>
          <w:sz w:val="24"/>
          <w:szCs w:val="24"/>
          <w:lang w:eastAsia="es-MX"/>
        </w:rPr>
      </w:pPr>
      <w:r>
        <w:rPr>
          <w:rFonts w:ascii="Century Gothic" w:eastAsia="Calibri" w:hAnsi="Century Gothic" w:cs="Times New Roman"/>
        </w:rPr>
        <w:t xml:space="preserve">El objetivo y alcance de este procedimiento es definir los pasos y actividades a desarrollar por parte de RED NACIONAL y del CS, a fin de realizar la baja de los Servicios de Cableado de DFO-RED NACIONAL a DFO-CS; las fases en que se divide este procedimiento son: </w:t>
      </w:r>
      <w:r>
        <w:rPr>
          <w:rFonts w:ascii="Century Gothic" w:eastAsia="Calibri" w:hAnsi="Century Gothic" w:cs="Times New Roman"/>
          <w:b/>
        </w:rPr>
        <w:t>(i)</w:t>
      </w:r>
      <w:r>
        <w:rPr>
          <w:rFonts w:ascii="Century Gothic" w:eastAsia="Calibri" w:hAnsi="Century Gothic" w:cs="Times New Roman"/>
        </w:rPr>
        <w:t xml:space="preserve"> Envío y validación a través del SEG/SIPO de la solicitud de baja del servicio, confirmando por este medio que la solicitud cuenta con todos los elementos para ser procesada; y </w:t>
      </w:r>
      <w:r>
        <w:rPr>
          <w:rFonts w:ascii="Century Gothic" w:eastAsia="Calibri" w:hAnsi="Century Gothic" w:cs="Times New Roman"/>
          <w:b/>
        </w:rPr>
        <w:t>(ii)</w:t>
      </w:r>
      <w:r>
        <w:rPr>
          <w:rFonts w:ascii="Century Gothic" w:eastAsia="Calibri" w:hAnsi="Century Gothic" w:cs="Times New Roman"/>
        </w:rPr>
        <w:t xml:space="preserve"> Baja del (los) servicio(s) y de la facturación correspondiente</w:t>
      </w:r>
      <w:r>
        <w:rPr>
          <w:rFonts w:ascii="Times New Roman" w:eastAsia="Calibri" w:hAnsi="Times New Roman" w:cs="Times New Roman"/>
          <w:sz w:val="24"/>
          <w:szCs w:val="24"/>
          <w:lang w:eastAsia="es-MX"/>
        </w:rPr>
        <w:t>.</w:t>
      </w:r>
    </w:p>
    <w:p w:rsidR="00A827BF" w:rsidRPr="00611019" w:rsidRDefault="00A827BF" w:rsidP="00035D2C">
      <w:pPr>
        <w:jc w:val="both"/>
        <w:rPr>
          <w:rFonts w:ascii="Times New Roman" w:eastAsia="Calibri" w:hAnsi="Times New Roman" w:cs="Times New Roman"/>
          <w:sz w:val="24"/>
          <w:szCs w:val="24"/>
          <w:lang w:eastAsia="es-MX"/>
        </w:rPr>
      </w:pPr>
    </w:p>
    <w:tbl>
      <w:tblPr>
        <w:tblW w:w="100.0%" w:type="pct"/>
        <w:jc w:val="cente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1"/>
      </w:tblPr>
      <w:tblGrid>
        <w:gridCol w:w="2373"/>
        <w:gridCol w:w="7021"/>
      </w:tblGrid>
      <w:tr w:rsidR="0061711D" w:rsidTr="00A827BF">
        <w:trPr>
          <w:jc w:val="center"/>
        </w:trPr>
        <w:tc>
          <w:tcPr>
            <w:tcW w:w="25.0%" w:type="pct"/>
            <w:tcBorders>
              <w:top w:val="single" w:sz="4" w:space="0" w:color="auto"/>
              <w:start w:val="single" w:sz="4" w:space="0" w:color="auto"/>
              <w:bottom w:val="single" w:sz="4" w:space="0" w:color="auto"/>
              <w:end w:val="single" w:sz="4" w:space="0" w:color="auto"/>
            </w:tcBorders>
            <w:shd w:val="clear" w:color="auto" w:fill="009AD9"/>
            <w:hideMark/>
          </w:tcPr>
          <w:p w:rsidR="00A827BF" w:rsidRPr="00611019" w:rsidRDefault="00E56462" w:rsidP="00035D2C">
            <w:pPr>
              <w:spacing w:before="2pt" w:after="2pt"/>
              <w:jc w:val="center"/>
              <w:rPr>
                <w:rFonts w:ascii="Century Gothic" w:eastAsia="Calibri" w:hAnsi="Century Gothic" w:cs="Arial"/>
                <w:b/>
                <w:color w:val="FFFFFF" w:themeColor="background1"/>
                <w:sz w:val="20"/>
                <w:szCs w:val="20"/>
                <w:lang w:val="es-ES_tradnl" w:eastAsia="es-ES"/>
              </w:rPr>
            </w:pPr>
            <w:r>
              <w:rPr>
                <w:rFonts w:ascii="Century Gothic" w:eastAsia="Calibri" w:hAnsi="Century Gothic" w:cs="Arial"/>
                <w:b/>
                <w:color w:val="FFFFFF" w:themeColor="background1"/>
                <w:sz w:val="20"/>
                <w:szCs w:val="20"/>
                <w:lang w:val="es-ES_tradnl" w:eastAsia="es-ES"/>
              </w:rPr>
              <w:t>Etapa</w:t>
            </w:r>
          </w:p>
        </w:tc>
        <w:tc>
          <w:tcPr>
            <w:tcW w:w="74.0%" w:type="pct"/>
            <w:tcBorders>
              <w:top w:val="single" w:sz="4" w:space="0" w:color="auto"/>
              <w:start w:val="single" w:sz="4" w:space="0" w:color="auto"/>
              <w:bottom w:val="single" w:sz="4" w:space="0" w:color="auto"/>
              <w:end w:val="single" w:sz="4" w:space="0" w:color="auto"/>
            </w:tcBorders>
            <w:shd w:val="clear" w:color="auto" w:fill="009AD9"/>
            <w:hideMark/>
          </w:tcPr>
          <w:p w:rsidR="00A827BF" w:rsidRPr="00611019" w:rsidRDefault="00E56462" w:rsidP="00035D2C">
            <w:pPr>
              <w:spacing w:before="2pt" w:after="2pt"/>
              <w:jc w:val="center"/>
              <w:rPr>
                <w:rFonts w:ascii="Century Gothic" w:eastAsia="Calibri" w:hAnsi="Century Gothic" w:cs="Arial"/>
                <w:b/>
                <w:color w:val="FFFFFF" w:themeColor="background1"/>
                <w:sz w:val="20"/>
                <w:szCs w:val="20"/>
                <w:lang w:val="es-ES_tradnl" w:eastAsia="es-ES"/>
              </w:rPr>
            </w:pPr>
            <w:r>
              <w:rPr>
                <w:rFonts w:ascii="Century Gothic" w:eastAsia="Calibri" w:hAnsi="Century Gothic" w:cs="Arial"/>
                <w:b/>
                <w:color w:val="FFFFFF" w:themeColor="background1"/>
                <w:sz w:val="20"/>
                <w:szCs w:val="20"/>
                <w:lang w:val="es-ES_tradnl" w:eastAsia="es-ES"/>
              </w:rPr>
              <w:t>Descripción</w:t>
            </w:r>
          </w:p>
        </w:tc>
      </w:tr>
      <w:tr w:rsidR="0061711D" w:rsidTr="00A827BF">
        <w:trPr>
          <w:jc w:val="center"/>
        </w:trPr>
        <w:tc>
          <w:tcPr>
            <w:tcW w:w="25.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jc w:val="both"/>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Envío y Validación de la solicitud</w:t>
            </w:r>
          </w:p>
        </w:tc>
        <w:tc>
          <w:tcPr>
            <w:tcW w:w="74.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CS deberá presentar sus solicitudes a través del SEG/SIPO, especificando el NIS de Referencia del Servicio en operación.</w:t>
            </w:r>
          </w:p>
          <w:p w:rsidR="00A827BF"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Una vez enviada la solicitud el SEG/SIPO asignará de forma automática el Folio de seguimiento.</w:t>
            </w:r>
          </w:p>
        </w:tc>
      </w:tr>
      <w:tr w:rsidR="0061711D" w:rsidTr="00A827BF">
        <w:trPr>
          <w:jc w:val="center"/>
        </w:trPr>
        <w:tc>
          <w:tcPr>
            <w:tcW w:w="25.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jc w:val="both"/>
              <w:rPr>
                <w:rFonts w:ascii="Century Gothic" w:eastAsia="Calibri" w:hAnsi="Century Gothic" w:cs="Times New Roman"/>
                <w:b/>
                <w:sz w:val="20"/>
                <w:szCs w:val="20"/>
              </w:rPr>
            </w:pPr>
            <w:r>
              <w:rPr>
                <w:rFonts w:ascii="Century Gothic" w:eastAsia="Calibri" w:hAnsi="Century Gothic" w:cs="Times New Roman"/>
                <w:b/>
                <w:sz w:val="20"/>
                <w:szCs w:val="20"/>
              </w:rPr>
              <w:t>Ejecución de baja</w:t>
            </w:r>
          </w:p>
        </w:tc>
        <w:tc>
          <w:tcPr>
            <w:tcW w:w="74.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Una vez asignado el Folio se procederá a dar de baja el servicio.</w:t>
            </w:r>
          </w:p>
        </w:tc>
      </w:tr>
      <w:tr w:rsidR="0061711D" w:rsidTr="00A827BF">
        <w:trPr>
          <w:jc w:val="center"/>
        </w:trPr>
        <w:tc>
          <w:tcPr>
            <w:tcW w:w="25.0%" w:type="pct"/>
            <w:tcBorders>
              <w:top w:val="single" w:sz="4" w:space="0" w:color="auto"/>
              <w:start w:val="single" w:sz="4" w:space="0" w:color="auto"/>
              <w:bottom w:val="single" w:sz="4" w:space="0" w:color="auto"/>
              <w:end w:val="single" w:sz="4" w:space="0" w:color="auto"/>
            </w:tcBorders>
            <w:hideMark/>
          </w:tcPr>
          <w:p w:rsidR="00A827BF"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Facturación</w:t>
            </w:r>
          </w:p>
        </w:tc>
        <w:tc>
          <w:tcPr>
            <w:tcW w:w="74.0%" w:type="pct"/>
            <w:tcBorders>
              <w:top w:val="single" w:sz="4" w:space="0" w:color="auto"/>
              <w:start w:val="single" w:sz="4" w:space="0" w:color="auto"/>
              <w:bottom w:val="single" w:sz="4" w:space="0" w:color="auto"/>
              <w:end w:val="single" w:sz="4" w:space="0" w:color="auto"/>
            </w:tcBorders>
          </w:tcPr>
          <w:p w:rsidR="00A827BF" w:rsidRPr="00611019" w:rsidRDefault="00E56462" w:rsidP="00B71C1E">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 xml:space="preserve">En un plazo máximo de dos días hábiles a partir de la solicitud de baja, se dejará de generar nuevos cargos a los </w:t>
            </w:r>
            <w:r w:rsidR="00B71C1E">
              <w:rPr>
                <w:rFonts w:ascii="Century Gothic" w:eastAsia="Calibri" w:hAnsi="Century Gothic" w:cs="Arial"/>
                <w:color w:val="000000"/>
                <w:sz w:val="20"/>
                <w:szCs w:val="20"/>
                <w:lang w:val="es-ES_tradnl" w:eastAsia="es-ES"/>
              </w:rPr>
              <w:t>CS</w:t>
            </w:r>
            <w:r>
              <w:rPr>
                <w:rFonts w:ascii="Century Gothic" w:eastAsia="Calibri" w:hAnsi="Century Gothic" w:cs="Arial"/>
                <w:color w:val="000000"/>
                <w:sz w:val="20"/>
                <w:szCs w:val="20"/>
                <w:lang w:val="es-ES_tradnl" w:eastAsia="es-ES"/>
              </w:rPr>
              <w:t xml:space="preserve"> por el servicio.</w:t>
            </w:r>
          </w:p>
        </w:tc>
      </w:tr>
    </w:tbl>
    <w:p w:rsidR="00A827BF" w:rsidRPr="00611019" w:rsidRDefault="00E56462" w:rsidP="00035D2C">
      <w:pPr>
        <w:tabs>
          <w:tab w:val="start" w:pos="14.20pt"/>
        </w:tabs>
        <w:spacing w:after="3pt"/>
        <w:ind w:start="14.20pt" w:hanging="14.20pt"/>
        <w:jc w:val="both"/>
        <w:rPr>
          <w:rFonts w:ascii="Century Gothic" w:eastAsia="Calibri" w:hAnsi="Century Gothic" w:cs="Times New Roman"/>
          <w:sz w:val="18"/>
          <w:szCs w:val="14"/>
          <w:lang w:val="es-ES" w:eastAsia="es-ES"/>
        </w:rPr>
      </w:pPr>
      <w:r>
        <w:rPr>
          <w:rFonts w:ascii="Century Gothic" w:eastAsia="Calibri" w:hAnsi="Century Gothic" w:cs="Times New Roman"/>
          <w:sz w:val="18"/>
          <w:szCs w:val="14"/>
          <w:lang w:val="es-ES" w:eastAsia="es-ES"/>
        </w:rPr>
        <w:t xml:space="preserve">Nota: </w:t>
      </w:r>
    </w:p>
    <w:p w:rsidR="00A827BF" w:rsidRPr="00611019" w:rsidRDefault="00E56462" w:rsidP="00035D2C">
      <w:pPr>
        <w:tabs>
          <w:tab w:val="start" w:pos="14.20pt"/>
        </w:tabs>
        <w:spacing w:after="3pt"/>
        <w:ind w:start="14.20pt" w:hanging="14.20pt"/>
        <w:jc w:val="both"/>
        <w:rPr>
          <w:rFonts w:ascii="Century Gothic" w:eastAsia="Calibri" w:hAnsi="Century Gothic" w:cs="Times New Roman"/>
          <w:sz w:val="18"/>
          <w:szCs w:val="14"/>
          <w:lang w:val="es-ES" w:eastAsia="es-ES"/>
        </w:rPr>
      </w:pPr>
      <w:r>
        <w:rPr>
          <w:rFonts w:ascii="Century Gothic" w:eastAsia="Calibri" w:hAnsi="Century Gothic" w:cs="Times New Roman"/>
          <w:sz w:val="18"/>
          <w:szCs w:val="14"/>
          <w:lang w:val="es-ES" w:eastAsia="es-ES"/>
        </w:rPr>
        <w:tab/>
        <w:t>El CS deberá tomar en cuenta que no existe el esquema de rentas parciales sino sólo de rentas mensuales, por lo que no será posible realizar cobros parciales de los Servicios.</w:t>
      </w:r>
    </w:p>
    <w:p w:rsidR="008D276C" w:rsidRPr="00611019" w:rsidRDefault="008D276C" w:rsidP="00035D2C">
      <w:pPr>
        <w:tabs>
          <w:tab w:val="start" w:pos="14.20pt"/>
        </w:tabs>
        <w:spacing w:after="6pt"/>
        <w:ind w:start="14.20pt" w:hanging="14.20pt"/>
        <w:jc w:val="both"/>
        <w:rPr>
          <w:rFonts w:ascii="Century Gothic" w:eastAsia="Calibri" w:hAnsi="Century Gothic" w:cs="Times New Roman"/>
          <w:sz w:val="18"/>
          <w:szCs w:val="14"/>
          <w:lang w:val="es-ES" w:eastAsia="es-ES"/>
        </w:rPr>
      </w:pPr>
    </w:p>
    <w:p w:rsidR="00A827BF" w:rsidRPr="00611019" w:rsidRDefault="00E56462" w:rsidP="00035D2C">
      <w:pPr>
        <w:keepNext/>
        <w:spacing w:after="6pt"/>
        <w:jc w:val="both"/>
        <w:outlineLvl w:val="1"/>
        <w:rPr>
          <w:rFonts w:ascii="Century Gothic" w:eastAsia="Times New Roman" w:hAnsi="Century Gothic" w:cs="Arial"/>
          <w:b/>
          <w:bCs/>
        </w:rPr>
      </w:pPr>
      <w:bookmarkStart w:id="1592" w:name="_Toc107502293"/>
      <w:bookmarkStart w:id="1593" w:name="_Toc115739152"/>
      <w:bookmarkStart w:id="1594" w:name="_Toc125393389"/>
      <w:bookmarkStart w:id="1595" w:name="_Toc148702245"/>
      <w:bookmarkStart w:id="1596" w:name="_Toc170381866"/>
      <w:r>
        <w:rPr>
          <w:rFonts w:ascii="Century Gothic" w:eastAsia="Times New Roman" w:hAnsi="Century Gothic" w:cs="Arial"/>
          <w:b/>
          <w:bCs/>
        </w:rPr>
        <w:t>9.2 Plazos de Entrega de Cableado de DFO-RED NACIONAL a DFO-CS</w:t>
      </w:r>
      <w:bookmarkEnd w:id="1592"/>
      <w:bookmarkEnd w:id="1593"/>
      <w:bookmarkEnd w:id="1594"/>
      <w:bookmarkEnd w:id="1595"/>
      <w:bookmarkEnd w:id="1596"/>
      <w:r>
        <w:rPr>
          <w:rFonts w:ascii="Century Gothic" w:eastAsia="Times New Roman" w:hAnsi="Century Gothic" w:cs="Arial"/>
          <w:b/>
          <w:bCs/>
        </w:rPr>
        <w:t>.</w:t>
      </w:r>
    </w:p>
    <w:p w:rsidR="00A827BF" w:rsidRPr="00611019" w:rsidRDefault="00E56462" w:rsidP="00035D2C">
      <w:p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En esta sección se muestran los plazos de entrega referentes a los procedimientos del Servicio de Cableado DFO-RED NACIONAL a DFO-CS. </w:t>
      </w:r>
    </w:p>
    <w:p w:rsidR="00A827BF" w:rsidRPr="00611019" w:rsidRDefault="00E56462">
      <w:pPr>
        <w:numPr>
          <w:ilvl w:val="0"/>
          <w:numId w:val="101"/>
        </w:numPr>
        <w:spacing w:after="6pt"/>
        <w:contextualSpacing/>
        <w:jc w:val="both"/>
        <w:rPr>
          <w:rFonts w:ascii="Century Gothic" w:eastAsia="Calibri" w:hAnsi="Century Gothic" w:cs="Times New Roman"/>
        </w:rPr>
      </w:pPr>
      <w:r>
        <w:rPr>
          <w:rFonts w:ascii="Century Gothic" w:eastAsia="Calibri" w:hAnsi="Century Gothic" w:cs="Times New Roman"/>
        </w:rPr>
        <w:t xml:space="preserve">Validación de la solicitud junto con validación de la factibilidad en máximo cuatro días hábiles. </w:t>
      </w:r>
    </w:p>
    <w:p w:rsidR="00A827BF" w:rsidRPr="00611019" w:rsidRDefault="00E56462">
      <w:pPr>
        <w:numPr>
          <w:ilvl w:val="0"/>
          <w:numId w:val="101"/>
        </w:numPr>
        <w:spacing w:after="6pt"/>
        <w:contextualSpacing/>
        <w:jc w:val="both"/>
        <w:rPr>
          <w:rFonts w:ascii="Century Gothic" w:eastAsia="Calibri" w:hAnsi="Century Gothic" w:cs="Times New Roman"/>
        </w:rPr>
      </w:pPr>
      <w:r>
        <w:rPr>
          <w:rFonts w:ascii="Century Gothic" w:eastAsia="Calibri" w:hAnsi="Century Gothic" w:cs="Times New Roman"/>
        </w:rPr>
        <w:t>Habilitación del Servicio en un plazo máximo de 40 días hábiles que se contabilizarán a partir de la solicitud.</w:t>
      </w:r>
    </w:p>
    <w:p w:rsidR="00A827BF" w:rsidRPr="00611019" w:rsidRDefault="00E56462">
      <w:pPr>
        <w:numPr>
          <w:ilvl w:val="0"/>
          <w:numId w:val="101"/>
        </w:numPr>
        <w:spacing w:after="6pt"/>
        <w:contextualSpacing/>
        <w:jc w:val="both"/>
        <w:rPr>
          <w:rFonts w:ascii="Century Gothic" w:eastAsia="Calibri" w:hAnsi="Century Gothic" w:cs="Times New Roman"/>
        </w:rPr>
      </w:pPr>
      <w:r>
        <w:rPr>
          <w:rFonts w:ascii="Century Gothic" w:eastAsia="Calibri" w:hAnsi="Century Gothic" w:cs="Times New Roman"/>
        </w:rPr>
        <w:t>Baja del Servicio en máximo un día hábil.</w:t>
      </w:r>
    </w:p>
    <w:p w:rsidR="00A827BF" w:rsidRPr="00611019" w:rsidRDefault="00A827BF" w:rsidP="00035D2C">
      <w:pPr>
        <w:jc w:val="both"/>
        <w:rPr>
          <w:rFonts w:ascii="Century Gothic" w:eastAsia="Calibri" w:hAnsi="Century Gothic" w:cs="Arial"/>
          <w:color w:val="000000"/>
          <w:lang w:val="es-ES_tradnl" w:eastAsia="es-ES"/>
        </w:rPr>
      </w:pPr>
    </w:p>
    <w:p w:rsidR="00A827BF" w:rsidRPr="00611019" w:rsidRDefault="00E56462" w:rsidP="00035D2C">
      <w:pPr>
        <w:spacing w:after="6pt"/>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Si la habilitación del cableado se solicita junto con la coubicación, se respetan los plazos de la coubicación.</w:t>
      </w:r>
    </w:p>
    <w:p w:rsidR="00A827BF" w:rsidRPr="00611019" w:rsidRDefault="00A827BF" w:rsidP="00035D2C">
      <w:pPr>
        <w:jc w:val="both"/>
        <w:rPr>
          <w:rFonts w:ascii="Century Gothic" w:eastAsia="Calibri" w:hAnsi="Century Gothic" w:cs="Arial"/>
          <w:color w:val="000000"/>
          <w:lang w:val="es-ES_tradnl" w:eastAsia="es-ES"/>
        </w:rPr>
      </w:pPr>
    </w:p>
    <w:p w:rsidR="00A827BF" w:rsidRPr="00611019" w:rsidRDefault="00E56462" w:rsidP="00035D2C">
      <w:pPr>
        <w:keepNext/>
        <w:spacing w:after="6pt"/>
        <w:jc w:val="both"/>
        <w:outlineLvl w:val="1"/>
        <w:rPr>
          <w:rFonts w:ascii="Century Gothic" w:eastAsia="Times New Roman" w:hAnsi="Century Gothic" w:cs="Arial"/>
          <w:b/>
          <w:bCs/>
        </w:rPr>
      </w:pPr>
      <w:bookmarkStart w:id="1597" w:name="_Toc107502294"/>
      <w:bookmarkStart w:id="1598" w:name="_Toc115739153"/>
      <w:bookmarkStart w:id="1599" w:name="_Toc125393390"/>
      <w:bookmarkStart w:id="1600" w:name="_Toc148702246"/>
      <w:bookmarkStart w:id="1601" w:name="_Toc170381867"/>
      <w:r>
        <w:rPr>
          <w:rFonts w:ascii="Century Gothic" w:eastAsia="Times New Roman" w:hAnsi="Century Gothic" w:cs="Arial"/>
          <w:b/>
          <w:bCs/>
        </w:rPr>
        <w:lastRenderedPageBreak/>
        <w:t>9.3 Procedimiento para la realización de pruebas de entrega para el Servicio Auxiliar de Cableado de DFO-RED NACIONAL a DFO-CS</w:t>
      </w:r>
      <w:bookmarkEnd w:id="1597"/>
      <w:bookmarkEnd w:id="1598"/>
      <w:bookmarkEnd w:id="1599"/>
      <w:bookmarkEnd w:id="1600"/>
      <w:bookmarkEnd w:id="1601"/>
      <w:r>
        <w:rPr>
          <w:rFonts w:ascii="Century Gothic" w:eastAsia="Times New Roman" w:hAnsi="Century Gothic" w:cs="Arial"/>
          <w:b/>
          <w:bCs/>
        </w:rPr>
        <w:t>.</w:t>
      </w:r>
    </w:p>
    <w:p w:rsidR="00A827BF" w:rsidRPr="00611019" w:rsidRDefault="00E56462" w:rsidP="00035D2C">
      <w:p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Si RED NACIONAL fusiona la fibra a solicitud del CS, se realizan las pruebas de correspondencia en los puertos que haya contratado y subirá al SEG/SIPO las evidencias correspondientes, en caso de que el CS opte por la entrega en punta sólo se entrega físicamente el cable y una vez que el CS haya fusionado las fibras el CS podrá realizar la prueba de correspondencia y deberá compartir sus resultados a RED NACIONAL.</w:t>
      </w:r>
    </w:p>
    <w:p w:rsidR="00A827BF" w:rsidRDefault="00E56462" w:rsidP="00035D2C">
      <w:pPr>
        <w:jc w:val="both"/>
        <w:rPr>
          <w:rFonts w:ascii="Century Gothic" w:eastAsia="Calibri" w:hAnsi="Century Gothic" w:cs="Times New Roman"/>
        </w:rPr>
      </w:pPr>
      <w:r>
        <w:rPr>
          <w:rFonts w:ascii="Century Gothic" w:eastAsia="Calibri" w:hAnsi="Century Gothic" w:cs="Times New Roman"/>
        </w:rPr>
        <w:t>Se entregará un acta de recepción del Servicio de cableado de DFO-RED NACIONAL a DFO-CS, el cual en el caso de la entrega de la fibra en punta contendrá la guía de las correspondencias con código de colores, para la correcta fusión de las fibras por parte del CS.</w:t>
      </w:r>
    </w:p>
    <w:p w:rsidR="008D276C" w:rsidRPr="00611019" w:rsidRDefault="008D276C" w:rsidP="00035D2C">
      <w:pPr>
        <w:jc w:val="both"/>
        <w:rPr>
          <w:rFonts w:ascii="Times New Roman" w:eastAsia="Calibri" w:hAnsi="Times New Roman" w:cs="Times New Roman"/>
          <w:sz w:val="24"/>
          <w:szCs w:val="24"/>
          <w:lang w:val="es-ES" w:eastAsia="es-MX"/>
        </w:rPr>
      </w:pPr>
    </w:p>
    <w:p w:rsidR="002F56DE" w:rsidRPr="00F56287" w:rsidRDefault="00E56462" w:rsidP="00035D2C">
      <w:pPr>
        <w:pStyle w:val="1TitPrin"/>
        <w:spacing w:after="6pt"/>
        <w:ind w:start="0pt" w:firstLine="0pt"/>
        <w:rPr>
          <w:rFonts w:ascii="Century Gothic" w:hAnsi="Century Gothic"/>
          <w:bCs/>
          <w:u w:val="single"/>
        </w:rPr>
      </w:pPr>
      <w:bookmarkStart w:id="1602" w:name="_Toc125393391"/>
      <w:bookmarkStart w:id="1603" w:name="_Toc148702247"/>
      <w:bookmarkStart w:id="1604" w:name="_Toc170381868"/>
      <w:r>
        <w:rPr>
          <w:rFonts w:ascii="Century Gothic" w:hAnsi="Century Gothic" w:cs="Times New Roman"/>
          <w:u w:val="single"/>
          <w14:scene3d>
            <w14:camera w14:prst="orthographicFront"/>
            <w14:lightRig w14:rig="threePt" w14:dir="t">
              <w14:rot w14:lat="0" w14:lon="0" w14:rev="0"/>
            </w14:lightRig>
          </w14:scene3d>
        </w:rPr>
        <w:t xml:space="preserve">10. </w:t>
      </w:r>
      <w:r>
        <w:rPr>
          <w:rFonts w:ascii="Century Gothic" w:hAnsi="Century Gothic"/>
          <w:bCs/>
          <w:u w:val="single"/>
        </w:rPr>
        <w:t>Servicio Auxiliar de Cableado Multipar</w:t>
      </w:r>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602"/>
      <w:bookmarkEnd w:id="1603"/>
      <w:bookmarkEnd w:id="1604"/>
      <w:r>
        <w:rPr>
          <w:rFonts w:ascii="Century Gothic" w:hAnsi="Century Gothic"/>
          <w:bCs/>
          <w:u w:val="single"/>
        </w:rPr>
        <w:t>.</w:t>
      </w:r>
    </w:p>
    <w:p w:rsidR="00277ED2" w:rsidRPr="00611019" w:rsidRDefault="00E56462" w:rsidP="00035D2C">
      <w:pPr>
        <w:pStyle w:val="IFTnormal"/>
        <w:spacing w:after="6pt"/>
        <w:rPr>
          <w:rFonts w:ascii="Century Gothic" w:hAnsi="Century Gothic"/>
        </w:rPr>
      </w:pPr>
      <w:r>
        <w:rPr>
          <w:rFonts w:ascii="Century Gothic" w:hAnsi="Century Gothic"/>
        </w:rPr>
        <w:t xml:space="preserve">El Servicio Auxiliar de Cableado Multipar permite al CS la desagregación efectiva, para los Servicios de Desagregación Total del Bucle y Desagregación Compartida del Bucle, siendo instalado el cableado hasta la Coubicación del CS. </w:t>
      </w:r>
    </w:p>
    <w:p w:rsidR="00277ED2" w:rsidRPr="00611019" w:rsidRDefault="00E56462" w:rsidP="00035D2C">
      <w:pPr>
        <w:pStyle w:val="IFTnormal"/>
        <w:spacing w:after="6pt"/>
        <w:rPr>
          <w:rFonts w:ascii="Century Gothic" w:hAnsi="Century Gothic"/>
        </w:rPr>
      </w:pPr>
      <w:r>
        <w:rPr>
          <w:rFonts w:ascii="Century Gothic" w:hAnsi="Century Gothic"/>
        </w:rPr>
        <w:t>En caso de que el Servicio Auxiliar de Cableado Multipar sea solicitado para una Ubicación Distante, se prestará en términos de la Oferta de Compartición de Infraestructura, el CS deberá enviar junto con su solicitud el NIS de Referencia correspondiente al Servicio Auxiliar de Cableado Multipar y el Acta de Entrega de Servicio obtenida a través de los procedimientos establecidos.</w:t>
      </w:r>
    </w:p>
    <w:p w:rsidR="00277ED2" w:rsidRPr="00611019" w:rsidRDefault="00E56462" w:rsidP="00035D2C">
      <w:pPr>
        <w:pStyle w:val="IFTnormal"/>
        <w:spacing w:after="6pt"/>
        <w:rPr>
          <w:rFonts w:ascii="Century Gothic" w:hAnsi="Century Gothic"/>
        </w:rPr>
      </w:pPr>
      <w:r>
        <w:rPr>
          <w:rFonts w:ascii="Century Gothic" w:hAnsi="Century Gothic"/>
        </w:rPr>
        <w:t>Mediante este Servicio se instala cable multipar entre el DG y la Coubicación del CS, el cual es tendido sobre escalerillas nuevas o existentes. RED NACIONAL considerará la posibilidad de compartir infraestructura ya existente para sus propias operaciones con el fin de no cobrar al CS por instalaciones innecesarias, debiendo RED NACIONAL entregar una cotización al CS con el desglose de los costos exclusivamente incurridos por la instalación del cable, detallando los costos unitarios asociados a los materiales, mano de obra y actividades a realizar (escalerillas de aluminio, perforación de muros y lozas, etc.).</w:t>
      </w:r>
    </w:p>
    <w:p w:rsidR="002F56DE" w:rsidRPr="00611019" w:rsidRDefault="00E56462" w:rsidP="00035D2C">
      <w:pPr>
        <w:pStyle w:val="IFTnormal"/>
        <w:spacing w:after="6pt"/>
        <w:rPr>
          <w:rFonts w:ascii="Century Gothic" w:hAnsi="Century Gothic"/>
        </w:rPr>
      </w:pPr>
      <w:r>
        <w:rPr>
          <w:rFonts w:ascii="Century Gothic" w:hAnsi="Century Gothic"/>
        </w:rPr>
        <w:t xml:space="preserve">El cable multipar se deja en punta en la entrada de la Coubicación del CS. </w:t>
      </w:r>
    </w:p>
    <w:p w:rsidR="00277ED2" w:rsidRPr="00611019" w:rsidRDefault="00E56462" w:rsidP="00035D2C">
      <w:pPr>
        <w:spacing w:after="6pt"/>
        <w:rPr>
          <w:rFonts w:ascii="Century Gothic" w:hAnsi="Century Gothic"/>
        </w:rPr>
      </w:pPr>
      <w:r>
        <w:rPr>
          <w:rFonts w:ascii="Century Gothic" w:hAnsi="Century Gothic"/>
        </w:rPr>
        <w:t>Las especificaciones técnicas del cable a suministrar estarán de acuerdo con las que se utilizan en las propias operaciones, así como de acuerdo con las mejores prácticas las cuales están señaladas en los estándares internacionales ISO 11801 y TIA/EIA 568, las especificaciones mínimas son:</w:t>
      </w:r>
    </w:p>
    <w:p w:rsidR="00277ED2" w:rsidRPr="00611019" w:rsidRDefault="00E56462" w:rsidP="00035D2C">
      <w:pPr>
        <w:spacing w:after="6pt"/>
        <w:ind w:start="17.85pt" w:hanging="17.85pt"/>
        <w:jc w:val="both"/>
        <w:rPr>
          <w:rFonts w:ascii="Century Gothic" w:hAnsi="Century Gothic" w:cs="Arial"/>
        </w:rPr>
      </w:pPr>
      <w:r>
        <w:rPr>
          <w:rFonts w:ascii="Century Gothic" w:eastAsia="Calibri" w:hAnsi="Century Gothic" w:cs="Arial"/>
        </w:rPr>
        <w:t>1.</w:t>
      </w:r>
      <w:r>
        <w:rPr>
          <w:rFonts w:ascii="Century Gothic" w:eastAsia="Calibri" w:hAnsi="Century Gothic" w:cs="Arial"/>
        </w:rPr>
        <w:tab/>
      </w:r>
      <w:r>
        <w:rPr>
          <w:rFonts w:ascii="Century Gothic" w:hAnsi="Century Gothic" w:cs="Arial"/>
        </w:rPr>
        <w:t>Compatibilidad con los equipos de conexión de las partes involucradas: El cable multipar blindado y estañado de 70 pares es compatible con todos los equipos de acuerdo a la impedancia estándar para el manejo de las tecnologías xDSL.</w:t>
      </w:r>
    </w:p>
    <w:p w:rsidR="00277ED2" w:rsidRPr="00611019" w:rsidRDefault="00E56462" w:rsidP="00035D2C">
      <w:pPr>
        <w:spacing w:after="6pt"/>
        <w:ind w:start="17.85pt" w:hanging="17.85pt"/>
        <w:jc w:val="both"/>
        <w:rPr>
          <w:rFonts w:ascii="Century Gothic" w:hAnsi="Century Gothic" w:cs="Arial"/>
        </w:rPr>
      </w:pPr>
      <w:r>
        <w:rPr>
          <w:rFonts w:ascii="Century Gothic" w:eastAsia="Calibri" w:hAnsi="Century Gothic" w:cs="Arial"/>
        </w:rPr>
        <w:lastRenderedPageBreak/>
        <w:t>2.</w:t>
      </w:r>
      <w:r>
        <w:rPr>
          <w:rFonts w:ascii="Century Gothic" w:eastAsia="Calibri" w:hAnsi="Century Gothic" w:cs="Arial"/>
        </w:rPr>
        <w:tab/>
      </w:r>
      <w:r>
        <w:rPr>
          <w:rFonts w:ascii="Century Gothic" w:hAnsi="Century Gothic" w:cs="Arial"/>
        </w:rPr>
        <w:t>Los cables son del tipo CAT-3 que define a los cables para transmisión con banda ancha, con las características de transmisión establecidas en las normas ISO 11801 y TIA/EIA 568.</w:t>
      </w:r>
    </w:p>
    <w:p w:rsidR="00277ED2" w:rsidRPr="00611019" w:rsidRDefault="00E56462" w:rsidP="00035D2C">
      <w:pPr>
        <w:spacing w:after="6pt"/>
        <w:ind w:start="17.85pt" w:hanging="17.85pt"/>
        <w:jc w:val="both"/>
        <w:rPr>
          <w:rFonts w:ascii="Century Gothic" w:hAnsi="Century Gothic" w:cs="Arial"/>
        </w:rPr>
      </w:pPr>
      <w:r>
        <w:rPr>
          <w:rFonts w:ascii="Century Gothic" w:eastAsia="Calibri" w:hAnsi="Century Gothic" w:cs="Arial"/>
        </w:rPr>
        <w:t>3.</w:t>
      </w:r>
      <w:r>
        <w:rPr>
          <w:rFonts w:ascii="Century Gothic" w:eastAsia="Calibri" w:hAnsi="Century Gothic" w:cs="Arial"/>
        </w:rPr>
        <w:tab/>
      </w:r>
      <w:r>
        <w:rPr>
          <w:rFonts w:ascii="Century Gothic" w:hAnsi="Century Gothic" w:cs="Arial"/>
        </w:rPr>
        <w:t>Etiquetado homologado de elementos: se realizará de acuerdo con lo que se menciona en el Anexo “Guía para el etiquetado de cable multipar instalado dentro de una Central Telefónica” con identificación: Mx-QMS-L3-51 en su versión actual. Adicional se etiquetará con el nombre del CS al que pertenece.</w:t>
      </w:r>
    </w:p>
    <w:p w:rsidR="00277ED2" w:rsidRPr="00611019" w:rsidRDefault="00E56462" w:rsidP="00035D2C">
      <w:pPr>
        <w:spacing w:after="6pt"/>
        <w:ind w:start="17.85pt" w:hanging="17.85pt"/>
        <w:jc w:val="both"/>
        <w:rPr>
          <w:rFonts w:ascii="Century Gothic" w:hAnsi="Century Gothic" w:cs="Arial"/>
        </w:rPr>
      </w:pPr>
      <w:r>
        <w:rPr>
          <w:rFonts w:ascii="Century Gothic" w:eastAsia="Calibri" w:hAnsi="Century Gothic" w:cs="Arial"/>
        </w:rPr>
        <w:t>4.</w:t>
      </w:r>
      <w:r>
        <w:rPr>
          <w:rFonts w:ascii="Century Gothic" w:eastAsia="Calibri" w:hAnsi="Century Gothic" w:cs="Arial"/>
        </w:rPr>
        <w:tab/>
      </w:r>
      <w:r>
        <w:rPr>
          <w:rFonts w:ascii="Century Gothic" w:hAnsi="Century Gothic" w:cs="Arial"/>
        </w:rPr>
        <w:t xml:space="preserve">Tipo de terminación del cable: es T568 de acuerdo al estándar TIA/EIA para la transmisión de datos arriba de 100 Mbps. </w:t>
      </w:r>
    </w:p>
    <w:p w:rsidR="00277ED2" w:rsidRPr="00611019" w:rsidRDefault="00E56462" w:rsidP="00035D2C">
      <w:pPr>
        <w:spacing w:after="6pt"/>
        <w:ind w:start="17.85pt" w:hanging="17.85pt"/>
        <w:jc w:val="both"/>
        <w:rPr>
          <w:rFonts w:ascii="Century Gothic" w:hAnsi="Century Gothic" w:cs="Arial"/>
        </w:rPr>
      </w:pPr>
      <w:r>
        <w:rPr>
          <w:rFonts w:ascii="Century Gothic" w:eastAsia="Calibri" w:hAnsi="Century Gothic" w:cs="Arial"/>
        </w:rPr>
        <w:t>5.</w:t>
      </w:r>
      <w:r>
        <w:rPr>
          <w:rFonts w:ascii="Century Gothic" w:eastAsia="Calibri" w:hAnsi="Century Gothic" w:cs="Arial"/>
        </w:rPr>
        <w:tab/>
      </w:r>
      <w:r>
        <w:rPr>
          <w:rFonts w:ascii="Century Gothic" w:hAnsi="Century Gothic" w:cs="Arial"/>
        </w:rPr>
        <w:t>Método de instalación: Durante la instalación, el cable no debe llegar a un radio de curvatura menor a 30 cm bajo tensión o 18 cm sin tensión.</w:t>
      </w:r>
    </w:p>
    <w:p w:rsidR="00277ED2" w:rsidRDefault="00E56462" w:rsidP="00035D2C">
      <w:pPr>
        <w:spacing w:after="6pt"/>
        <w:ind w:start="18.10pt" w:hanging="18pt"/>
        <w:jc w:val="both"/>
        <w:rPr>
          <w:rFonts w:ascii="Century Gothic" w:hAnsi="Century Gothic" w:cs="Arial"/>
        </w:rPr>
      </w:pPr>
      <w:r>
        <w:rPr>
          <w:rFonts w:ascii="Century Gothic" w:eastAsia="Calibri" w:hAnsi="Century Gothic" w:cs="Arial"/>
        </w:rPr>
        <w:t>6.</w:t>
      </w:r>
      <w:r>
        <w:rPr>
          <w:rFonts w:ascii="Century Gothic" w:eastAsia="Calibri" w:hAnsi="Century Gothic" w:cs="Arial"/>
        </w:rPr>
        <w:tab/>
      </w:r>
      <w:r>
        <w:rPr>
          <w:rFonts w:ascii="Century Gothic" w:hAnsi="Century Gothic" w:cs="Arial"/>
        </w:rPr>
        <w:t>A continuación, se muestran las características de ancho de banda vs distancia a 100m permitidas para evitar la existencia de cortos circuitos o cables abiertos:</w:t>
      </w:r>
    </w:p>
    <w:p w:rsidR="00204BC4" w:rsidRPr="00611019" w:rsidRDefault="00204BC4" w:rsidP="00035D2C">
      <w:pPr>
        <w:spacing w:after="6pt"/>
        <w:ind w:start="18.10pt" w:hanging="18pt"/>
        <w:jc w:val="both"/>
        <w:rPr>
          <w:rFonts w:ascii="Century Gothic" w:hAnsi="Century Gothic" w:cs="Arial"/>
        </w:rPr>
      </w:pPr>
    </w:p>
    <w:tbl>
      <w:tblPr>
        <w:tblStyle w:val="Tablaconcuadrcula4-nfasis11"/>
        <w:tblW w:w="0pt" w:type="dxa"/>
        <w:jc w:val="cente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ayout w:type="fixed"/>
        <w:tblLook w:firstRow="1" w:lastRow="0" w:firstColumn="1" w:lastColumn="0" w:noHBand="0" w:noVBand="1"/>
      </w:tblPr>
      <w:tblGrid>
        <w:gridCol w:w="1697"/>
        <w:gridCol w:w="1699"/>
        <w:gridCol w:w="1844"/>
        <w:gridCol w:w="1985"/>
      </w:tblGrid>
      <w:tr w:rsidR="0061711D" w:rsidTr="0061711D">
        <w:trPr>
          <w:cnfStyle w:firstRow="1" w:lastRow="0" w:firstColumn="0" w:lastColumn="0" w:oddVBand="0" w:evenVBand="0" w:oddHBand="0" w:evenHBand="0" w:firstRowFirstColumn="0" w:firstRowLastColumn="0" w:lastRowFirstColumn="0" w:lastRowLastColumn="0"/>
          <w:trHeight w:val="326"/>
          <w:tblHeader/>
          <w:jc w:val="center"/>
        </w:trPr>
        <w:tc>
          <w:tcPr>
            <w:cnfStyle w:firstRow="0" w:lastRow="0" w:firstColumn="1" w:lastColumn="0" w:oddVBand="0" w:evenVBand="0" w:oddHBand="0" w:evenHBand="0" w:firstRowFirstColumn="0" w:firstRowLastColumn="0" w:lastRowFirstColumn="0" w:lastRowLastColumn="0"/>
            <w:tcW w:w="361.25pt" w:type="dxa"/>
            <w:gridSpan w:val="4"/>
            <w:tcBorders>
              <w:top w:val="single" w:sz="4" w:space="0" w:color="auto"/>
              <w:start w:val="single" w:sz="4" w:space="0" w:color="auto"/>
              <w:bottom w:val="single" w:sz="4" w:space="0" w:color="auto"/>
              <w:end w:val="single" w:sz="4" w:space="0" w:color="auto"/>
            </w:tcBorders>
            <w:shd w:val="clear" w:color="auto" w:fill="009AD9"/>
          </w:tcPr>
          <w:p w:rsidR="00277ED2" w:rsidRPr="00611019" w:rsidRDefault="00E56462" w:rsidP="00035D2C">
            <w:pPr>
              <w:spacing w:before="2pt" w:after="2pt"/>
              <w:jc w:val="center"/>
              <w:rPr>
                <w:rFonts w:ascii="Century Gothic" w:hAnsi="Century Gothic" w:cs="Arial"/>
              </w:rPr>
            </w:pPr>
            <w:r>
              <w:rPr>
                <w:rFonts w:ascii="Century Gothic" w:hAnsi="Century Gothic" w:cs="Arial"/>
              </w:rPr>
              <w:t>Características de transmisión en 100 m a 20°C</w:t>
            </w:r>
          </w:p>
        </w:tc>
      </w:tr>
      <w:tr w:rsidR="0061711D" w:rsidTr="0061711D">
        <w:trPr>
          <w:cnfStyle w:firstRow="1" w:lastRow="0" w:firstColumn="0" w:lastColumn="0" w:oddVBand="0" w:evenVBand="0" w:oddHBand="0" w:evenHBand="0" w:firstRowFirstColumn="0" w:firstRowLastColumn="0" w:lastRowFirstColumn="0" w:lastRowLastColumn="0"/>
          <w:trHeight w:val="20"/>
          <w:tblHeader/>
          <w:jc w:val="center"/>
        </w:trPr>
        <w:tc>
          <w:tcPr>
            <w:cnfStyle w:firstRow="0" w:lastRow="0" w:firstColumn="1" w:lastColumn="0" w:oddVBand="0" w:evenVBand="0" w:oddHBand="0" w:evenHBand="0" w:firstRowFirstColumn="0" w:firstRowLastColumn="0" w:lastRowFirstColumn="0" w:lastRowLastColumn="0"/>
            <w:tcW w:w="84.85pt" w:type="dxa"/>
            <w:tcBorders>
              <w:top w:val="single" w:sz="4" w:space="0" w:color="auto"/>
              <w:start w:val="single" w:sz="4" w:space="0" w:color="auto"/>
              <w:bottom w:val="single" w:sz="4" w:space="0" w:color="auto"/>
              <w:end w:val="single" w:sz="4" w:space="0" w:color="auto"/>
            </w:tcBorders>
            <w:shd w:val="clear" w:color="auto" w:fill="009AD9"/>
          </w:tcPr>
          <w:p w:rsidR="00277ED2" w:rsidRPr="00611019" w:rsidRDefault="00E56462" w:rsidP="00035D2C">
            <w:pPr>
              <w:spacing w:before="2pt" w:after="2pt"/>
              <w:jc w:val="center"/>
              <w:rPr>
                <w:rFonts w:ascii="Century Gothic" w:hAnsi="Century Gothic" w:cs="Arial"/>
              </w:rPr>
            </w:pPr>
            <w:r>
              <w:rPr>
                <w:rFonts w:ascii="Century Gothic" w:hAnsi="Century Gothic" w:cs="Arial"/>
              </w:rPr>
              <w:t>Frecuencia (MHz)</w:t>
            </w:r>
          </w:p>
        </w:tc>
        <w:tc>
          <w:tcPr>
            <w:tcW w:w="84.95pt" w:type="dxa"/>
            <w:tcBorders>
              <w:top w:val="single" w:sz="4" w:space="0" w:color="auto"/>
              <w:start w:val="single" w:sz="4" w:space="0" w:color="auto"/>
              <w:bottom w:val="single" w:sz="4" w:space="0" w:color="auto"/>
              <w:end w:val="single" w:sz="4" w:space="0" w:color="auto"/>
            </w:tcBorders>
            <w:shd w:val="clear" w:color="auto" w:fill="009AD9"/>
          </w:tcPr>
          <w:p w:rsidR="00277ED2" w:rsidRPr="00611019" w:rsidRDefault="00E56462" w:rsidP="00035D2C">
            <w:pPr>
              <w:spacing w:before="2pt" w:after="2pt"/>
              <w:jc w:val="center"/>
              <w:cnfStyle w:firstRow="1" w:lastRow="0" w:firstColumn="0" w:lastColumn="0" w:oddVBand="0" w:evenVBand="0" w:oddHBand="0" w:evenHBand="0" w:firstRowFirstColumn="0" w:firstRowLastColumn="0" w:lastRowFirstColumn="0" w:lastRowLastColumn="0"/>
              <w:rPr>
                <w:rFonts w:ascii="Century Gothic" w:hAnsi="Century Gothic" w:cs="Arial"/>
              </w:rPr>
            </w:pPr>
            <w:r>
              <w:rPr>
                <w:rFonts w:ascii="Century Gothic" w:hAnsi="Century Gothic" w:cs="Arial"/>
              </w:rPr>
              <w:t>Atenuación Máx (dB)</w:t>
            </w:r>
          </w:p>
        </w:tc>
        <w:tc>
          <w:tcPr>
            <w:tcW w:w="92.20pt" w:type="dxa"/>
            <w:tcBorders>
              <w:top w:val="single" w:sz="4" w:space="0" w:color="auto"/>
              <w:start w:val="single" w:sz="4" w:space="0" w:color="auto"/>
              <w:bottom w:val="single" w:sz="4" w:space="0" w:color="auto"/>
              <w:end w:val="single" w:sz="4" w:space="0" w:color="auto"/>
            </w:tcBorders>
            <w:shd w:val="clear" w:color="auto" w:fill="009AD9"/>
          </w:tcPr>
          <w:p w:rsidR="00277ED2" w:rsidRPr="00611019" w:rsidRDefault="00E56462" w:rsidP="00035D2C">
            <w:pPr>
              <w:spacing w:before="2pt" w:after="2pt"/>
              <w:jc w:val="center"/>
              <w:cnfStyle w:firstRow="1" w:lastRow="0" w:firstColumn="0" w:lastColumn="0" w:oddVBand="0" w:evenVBand="0" w:oddHBand="0" w:evenHBand="0" w:firstRowFirstColumn="0" w:firstRowLastColumn="0" w:lastRowFirstColumn="0" w:lastRowLastColumn="0"/>
              <w:rPr>
                <w:rFonts w:ascii="Century Gothic" w:hAnsi="Century Gothic" w:cs="Arial"/>
              </w:rPr>
            </w:pPr>
            <w:r>
              <w:rPr>
                <w:rFonts w:ascii="Century Gothic" w:hAnsi="Century Gothic" w:cs="Arial"/>
              </w:rPr>
              <w:t>Diafonía PSNEXT Mín (dB)</w:t>
            </w:r>
          </w:p>
        </w:tc>
        <w:tc>
          <w:tcPr>
            <w:tcW w:w="99.25pt" w:type="dxa"/>
            <w:tcBorders>
              <w:top w:val="single" w:sz="4" w:space="0" w:color="auto"/>
              <w:start w:val="single" w:sz="4" w:space="0" w:color="auto"/>
              <w:bottom w:val="single" w:sz="4" w:space="0" w:color="auto"/>
              <w:end w:val="single" w:sz="4" w:space="0" w:color="auto"/>
            </w:tcBorders>
            <w:shd w:val="clear" w:color="auto" w:fill="009AD9"/>
          </w:tcPr>
          <w:p w:rsidR="00277ED2" w:rsidRPr="00611019" w:rsidRDefault="00E56462" w:rsidP="00035D2C">
            <w:pPr>
              <w:spacing w:before="2pt" w:after="2pt"/>
              <w:jc w:val="center"/>
              <w:cnfStyle w:firstRow="1" w:lastRow="0" w:firstColumn="0" w:lastColumn="0" w:oddVBand="0" w:evenVBand="0" w:oddHBand="0" w:evenHBand="0" w:firstRowFirstColumn="0" w:firstRowLastColumn="0" w:lastRowFirstColumn="0" w:lastRowLastColumn="0"/>
              <w:rPr>
                <w:rFonts w:ascii="Century Gothic" w:hAnsi="Century Gothic" w:cs="Arial"/>
              </w:rPr>
            </w:pPr>
            <w:r>
              <w:rPr>
                <w:rFonts w:ascii="Century Gothic" w:hAnsi="Century Gothic" w:cs="Arial"/>
              </w:rPr>
              <w:t>Telediafonía PSELFEXT Mín (dB)</w:t>
            </w:r>
          </w:p>
        </w:tc>
      </w:tr>
      <w:tr w:rsidR="0061711D" w:rsidTr="0061711D">
        <w:trPr>
          <w:cnfStyle w:firstRow="0" w:lastRow="0" w:firstColumn="0" w:lastColumn="0" w:oddVBand="0" w:evenVBand="0" w:oddHBand="1" w:evenHBand="0" w:firstRowFirstColumn="0" w:firstRowLastColumn="0" w:lastRowFirstColumn="0" w:lastRowLastColumn="0"/>
          <w:trHeight w:val="20"/>
          <w:jc w:val="center"/>
        </w:trPr>
        <w:tc>
          <w:tcPr>
            <w:cnfStyle w:firstRow="0" w:lastRow="0" w:firstColumn="1" w:lastColumn="0" w:oddVBand="0" w:evenVBand="0" w:oddHBand="0" w:evenHBand="0" w:firstRowFirstColumn="0" w:firstRowLastColumn="0" w:lastRowFirstColumn="0" w:lastRowLastColumn="0"/>
            <w:tcW w:w="84.85pt" w:type="dxa"/>
            <w:tcBorders>
              <w:top w:val="single" w:sz="4" w:space="0" w:color="auto"/>
            </w:tcBorders>
            <w:shd w:val="clear" w:color="auto" w:fill="auto"/>
          </w:tcPr>
          <w:p w:rsidR="00277ED2" w:rsidRPr="00611019" w:rsidRDefault="00E56462" w:rsidP="00035D2C">
            <w:pPr>
              <w:spacing w:before="2pt" w:after="2pt"/>
              <w:jc w:val="center"/>
              <w:rPr>
                <w:rFonts w:ascii="Century Gothic" w:hAnsi="Century Gothic" w:cs="Arial"/>
              </w:rPr>
            </w:pPr>
            <w:r>
              <w:rPr>
                <w:rFonts w:ascii="Century Gothic" w:hAnsi="Century Gothic" w:cs="Arial"/>
              </w:rPr>
              <w:t>0.3</w:t>
            </w:r>
          </w:p>
        </w:tc>
        <w:tc>
          <w:tcPr>
            <w:tcW w:w="84.95pt" w:type="dxa"/>
            <w:tcBorders>
              <w:top w:val="single" w:sz="4" w:space="0" w:color="auto"/>
            </w:tcBorders>
            <w:shd w:val="clear" w:color="auto" w:fill="auto"/>
          </w:tcPr>
          <w:p w:rsidR="00277ED2" w:rsidRPr="00611019" w:rsidRDefault="00E56462" w:rsidP="00035D2C">
            <w:pPr>
              <w:spacing w:before="2pt" w:after="2pt"/>
              <w:jc w:val="center"/>
              <w:cnfStyle w:firstRow="0" w:lastRow="0" w:firstColumn="0" w:lastColumn="0" w:oddVBand="0" w:evenVBand="0" w:oddHBand="1" w:evenHBand="0" w:firstRowFirstColumn="0" w:firstRowLastColumn="0" w:lastRowFirstColumn="0" w:lastRowLastColumn="0"/>
              <w:rPr>
                <w:rFonts w:ascii="Century Gothic" w:hAnsi="Century Gothic" w:cs="Arial"/>
              </w:rPr>
            </w:pPr>
            <w:r>
              <w:rPr>
                <w:rFonts w:ascii="Century Gothic" w:hAnsi="Century Gothic" w:cs="Arial"/>
              </w:rPr>
              <w:t>1.9</w:t>
            </w:r>
          </w:p>
        </w:tc>
        <w:tc>
          <w:tcPr>
            <w:tcW w:w="92.20pt" w:type="dxa"/>
            <w:tcBorders>
              <w:top w:val="single" w:sz="4" w:space="0" w:color="auto"/>
            </w:tcBorders>
            <w:shd w:val="clear" w:color="auto" w:fill="auto"/>
          </w:tcPr>
          <w:p w:rsidR="00277ED2" w:rsidRPr="00611019" w:rsidRDefault="00E56462" w:rsidP="00035D2C">
            <w:pPr>
              <w:spacing w:before="2pt" w:after="2pt"/>
              <w:jc w:val="center"/>
              <w:cnfStyle w:firstRow="0" w:lastRow="0" w:firstColumn="0" w:lastColumn="0" w:oddVBand="0" w:evenVBand="0" w:oddHBand="1" w:evenHBand="0" w:firstRowFirstColumn="0" w:firstRowLastColumn="0" w:lastRowFirstColumn="0" w:lastRowLastColumn="0"/>
              <w:rPr>
                <w:rFonts w:ascii="Century Gothic" w:hAnsi="Century Gothic" w:cs="Arial"/>
              </w:rPr>
            </w:pPr>
            <w:r>
              <w:rPr>
                <w:rFonts w:ascii="Century Gothic" w:hAnsi="Century Gothic" w:cs="Arial"/>
              </w:rPr>
              <w:t>--</w:t>
            </w:r>
          </w:p>
        </w:tc>
        <w:tc>
          <w:tcPr>
            <w:tcW w:w="99.25pt" w:type="dxa"/>
            <w:tcBorders>
              <w:top w:val="single" w:sz="4" w:space="0" w:color="auto"/>
            </w:tcBorders>
            <w:shd w:val="clear" w:color="auto" w:fill="auto"/>
          </w:tcPr>
          <w:p w:rsidR="00277ED2" w:rsidRPr="00611019" w:rsidRDefault="00E56462" w:rsidP="00035D2C">
            <w:pPr>
              <w:spacing w:before="2pt" w:after="2pt"/>
              <w:jc w:val="center"/>
              <w:cnfStyle w:firstRow="0" w:lastRow="0" w:firstColumn="0" w:lastColumn="0" w:oddVBand="0" w:evenVBand="0" w:oddHBand="1" w:evenHBand="0" w:firstRowFirstColumn="0" w:firstRowLastColumn="0" w:lastRowFirstColumn="0" w:lastRowLastColumn="0"/>
              <w:rPr>
                <w:rFonts w:ascii="Century Gothic" w:hAnsi="Century Gothic" w:cs="Arial"/>
              </w:rPr>
            </w:pPr>
            <w:r>
              <w:rPr>
                <w:rFonts w:ascii="Century Gothic" w:hAnsi="Century Gothic" w:cs="Arial"/>
              </w:rPr>
              <w:t>--</w:t>
            </w:r>
          </w:p>
        </w:tc>
      </w:tr>
      <w:tr w:rsidR="0061711D" w:rsidTr="0061711D">
        <w:trPr>
          <w:trHeight w:val="20"/>
          <w:jc w:val="center"/>
        </w:trPr>
        <w:tc>
          <w:tcPr>
            <w:cnfStyle w:firstRow="0" w:lastRow="0" w:firstColumn="1" w:lastColumn="0" w:oddVBand="0" w:evenVBand="0" w:oddHBand="0" w:evenHBand="0" w:firstRowFirstColumn="0" w:firstRowLastColumn="0" w:lastRowFirstColumn="0" w:lastRowLastColumn="0"/>
            <w:tcW w:w="84.85pt" w:type="dxa"/>
            <w:shd w:val="clear" w:color="auto" w:fill="auto"/>
          </w:tcPr>
          <w:p w:rsidR="00277ED2" w:rsidRPr="00611019" w:rsidRDefault="00E56462" w:rsidP="00035D2C">
            <w:pPr>
              <w:spacing w:before="2pt" w:after="2pt"/>
              <w:jc w:val="center"/>
              <w:rPr>
                <w:rFonts w:ascii="Century Gothic" w:hAnsi="Century Gothic" w:cs="Arial"/>
              </w:rPr>
            </w:pPr>
            <w:r>
              <w:rPr>
                <w:rFonts w:ascii="Century Gothic" w:hAnsi="Century Gothic" w:cs="Arial"/>
              </w:rPr>
              <w:t>1.00</w:t>
            </w:r>
          </w:p>
        </w:tc>
        <w:tc>
          <w:tcPr>
            <w:tcW w:w="84.95pt" w:type="dxa"/>
            <w:shd w:val="clear" w:color="auto" w:fill="auto"/>
          </w:tcPr>
          <w:p w:rsidR="00277ED2" w:rsidRPr="00611019" w:rsidRDefault="00E56462" w:rsidP="00035D2C">
            <w:pPr>
              <w:spacing w:before="2pt" w:after="2pt"/>
              <w:jc w:val="center"/>
              <w:cnfStyle w:firstRow="0" w:lastRow="0" w:firstColumn="0" w:lastColumn="0" w:oddVBand="0" w:evenVBand="0" w:oddHBand="0" w:evenHBand="0" w:firstRowFirstColumn="0" w:firstRowLastColumn="0" w:lastRowFirstColumn="0" w:lastRowLastColumn="0"/>
              <w:rPr>
                <w:rFonts w:ascii="Century Gothic" w:hAnsi="Century Gothic" w:cs="Arial"/>
              </w:rPr>
            </w:pPr>
            <w:r>
              <w:rPr>
                <w:rFonts w:ascii="Century Gothic" w:hAnsi="Century Gothic" w:cs="Arial"/>
              </w:rPr>
              <w:t>3.3</w:t>
            </w:r>
          </w:p>
        </w:tc>
        <w:tc>
          <w:tcPr>
            <w:tcW w:w="92.20pt" w:type="dxa"/>
            <w:shd w:val="clear" w:color="auto" w:fill="auto"/>
          </w:tcPr>
          <w:p w:rsidR="00277ED2" w:rsidRPr="00611019" w:rsidRDefault="00E56462" w:rsidP="00035D2C">
            <w:pPr>
              <w:spacing w:before="2pt" w:after="2pt"/>
              <w:jc w:val="center"/>
              <w:cnfStyle w:firstRow="0" w:lastRow="0" w:firstColumn="0" w:lastColumn="0" w:oddVBand="0" w:evenVBand="0" w:oddHBand="0" w:evenHBand="0" w:firstRowFirstColumn="0" w:firstRowLastColumn="0" w:lastRowFirstColumn="0" w:lastRowLastColumn="0"/>
              <w:rPr>
                <w:rFonts w:ascii="Century Gothic" w:hAnsi="Century Gothic" w:cs="Arial"/>
              </w:rPr>
            </w:pPr>
            <w:r>
              <w:rPr>
                <w:rFonts w:ascii="Century Gothic" w:hAnsi="Century Gothic" w:cs="Arial"/>
              </w:rPr>
              <w:t>58.0</w:t>
            </w:r>
          </w:p>
        </w:tc>
        <w:tc>
          <w:tcPr>
            <w:tcW w:w="99.25pt" w:type="dxa"/>
            <w:shd w:val="clear" w:color="auto" w:fill="auto"/>
          </w:tcPr>
          <w:p w:rsidR="00277ED2" w:rsidRPr="00611019" w:rsidRDefault="00E56462" w:rsidP="00035D2C">
            <w:pPr>
              <w:spacing w:before="2pt" w:after="2pt"/>
              <w:jc w:val="center"/>
              <w:cnfStyle w:firstRow="0" w:lastRow="0" w:firstColumn="0" w:lastColumn="0" w:oddVBand="0" w:evenVBand="0" w:oddHBand="0" w:evenHBand="0" w:firstRowFirstColumn="0" w:firstRowLastColumn="0" w:lastRowFirstColumn="0" w:lastRowLastColumn="0"/>
              <w:rPr>
                <w:rFonts w:ascii="Century Gothic" w:hAnsi="Century Gothic" w:cs="Arial"/>
              </w:rPr>
            </w:pPr>
            <w:r>
              <w:rPr>
                <w:rFonts w:ascii="Century Gothic" w:hAnsi="Century Gothic" w:cs="Arial"/>
              </w:rPr>
              <w:t>58.0</w:t>
            </w:r>
          </w:p>
        </w:tc>
      </w:tr>
      <w:tr w:rsidR="0061711D" w:rsidTr="0061711D">
        <w:trPr>
          <w:cnfStyle w:firstRow="0" w:lastRow="0" w:firstColumn="0" w:lastColumn="0" w:oddVBand="0" w:evenVBand="0" w:oddHBand="1" w:evenHBand="0" w:firstRowFirstColumn="0" w:firstRowLastColumn="0" w:lastRowFirstColumn="0" w:lastRowLastColumn="0"/>
          <w:trHeight w:val="20"/>
          <w:jc w:val="center"/>
        </w:trPr>
        <w:tc>
          <w:tcPr>
            <w:cnfStyle w:firstRow="0" w:lastRow="0" w:firstColumn="1" w:lastColumn="0" w:oddVBand="0" w:evenVBand="0" w:oddHBand="0" w:evenHBand="0" w:firstRowFirstColumn="0" w:firstRowLastColumn="0" w:lastRowFirstColumn="0" w:lastRowLastColumn="0"/>
            <w:tcW w:w="84.85pt" w:type="dxa"/>
            <w:shd w:val="clear" w:color="auto" w:fill="auto"/>
          </w:tcPr>
          <w:p w:rsidR="00277ED2" w:rsidRPr="00611019" w:rsidRDefault="00E56462" w:rsidP="00035D2C">
            <w:pPr>
              <w:spacing w:before="2pt" w:after="2pt"/>
              <w:jc w:val="center"/>
              <w:rPr>
                <w:rFonts w:ascii="Century Gothic" w:hAnsi="Century Gothic" w:cs="Arial"/>
              </w:rPr>
            </w:pPr>
            <w:r>
              <w:rPr>
                <w:rFonts w:ascii="Century Gothic" w:hAnsi="Century Gothic" w:cs="Arial"/>
              </w:rPr>
              <w:t>4.00</w:t>
            </w:r>
          </w:p>
        </w:tc>
        <w:tc>
          <w:tcPr>
            <w:tcW w:w="84.95pt" w:type="dxa"/>
            <w:shd w:val="clear" w:color="auto" w:fill="auto"/>
          </w:tcPr>
          <w:p w:rsidR="00277ED2" w:rsidRPr="00611019" w:rsidRDefault="00E56462" w:rsidP="00035D2C">
            <w:pPr>
              <w:spacing w:before="2pt" w:after="2pt"/>
              <w:jc w:val="center"/>
              <w:cnfStyle w:firstRow="0" w:lastRow="0" w:firstColumn="0" w:lastColumn="0" w:oddVBand="0" w:evenVBand="0" w:oddHBand="1" w:evenHBand="0" w:firstRowFirstColumn="0" w:firstRowLastColumn="0" w:lastRowFirstColumn="0" w:lastRowLastColumn="0"/>
              <w:rPr>
                <w:rFonts w:ascii="Century Gothic" w:hAnsi="Century Gothic" w:cs="Arial"/>
              </w:rPr>
            </w:pPr>
            <w:r>
              <w:rPr>
                <w:rFonts w:ascii="Century Gothic" w:hAnsi="Century Gothic" w:cs="Arial"/>
              </w:rPr>
              <w:t>--</w:t>
            </w:r>
          </w:p>
        </w:tc>
        <w:tc>
          <w:tcPr>
            <w:tcW w:w="92.20pt" w:type="dxa"/>
            <w:shd w:val="clear" w:color="auto" w:fill="auto"/>
          </w:tcPr>
          <w:p w:rsidR="00277ED2" w:rsidRPr="00611019" w:rsidRDefault="00E56462" w:rsidP="00035D2C">
            <w:pPr>
              <w:spacing w:before="2pt" w:after="2pt"/>
              <w:jc w:val="center"/>
              <w:cnfStyle w:firstRow="0" w:lastRow="0" w:firstColumn="0" w:lastColumn="0" w:oddVBand="0" w:evenVBand="0" w:oddHBand="1" w:evenHBand="0" w:firstRowFirstColumn="0" w:firstRowLastColumn="0" w:lastRowFirstColumn="0" w:lastRowLastColumn="0"/>
              <w:rPr>
                <w:rFonts w:ascii="Century Gothic" w:hAnsi="Century Gothic" w:cs="Arial"/>
              </w:rPr>
            </w:pPr>
            <w:r>
              <w:rPr>
                <w:rFonts w:ascii="Century Gothic" w:hAnsi="Century Gothic" w:cs="Arial"/>
              </w:rPr>
              <w:t>49.0</w:t>
            </w:r>
          </w:p>
        </w:tc>
        <w:tc>
          <w:tcPr>
            <w:tcW w:w="99.25pt" w:type="dxa"/>
            <w:shd w:val="clear" w:color="auto" w:fill="auto"/>
          </w:tcPr>
          <w:p w:rsidR="00277ED2" w:rsidRPr="00611019" w:rsidRDefault="00E56462" w:rsidP="00035D2C">
            <w:pPr>
              <w:spacing w:before="2pt" w:after="2pt"/>
              <w:jc w:val="center"/>
              <w:cnfStyle w:firstRow="0" w:lastRow="0" w:firstColumn="0" w:lastColumn="0" w:oddVBand="0" w:evenVBand="0" w:oddHBand="1" w:evenHBand="0" w:firstRowFirstColumn="0" w:firstRowLastColumn="0" w:lastRowFirstColumn="0" w:lastRowLastColumn="0"/>
              <w:rPr>
                <w:rFonts w:ascii="Century Gothic" w:hAnsi="Century Gothic" w:cs="Arial"/>
              </w:rPr>
            </w:pPr>
            <w:r>
              <w:rPr>
                <w:rFonts w:ascii="Century Gothic" w:hAnsi="Century Gothic" w:cs="Arial"/>
              </w:rPr>
              <w:t>46.0</w:t>
            </w:r>
          </w:p>
        </w:tc>
      </w:tr>
      <w:tr w:rsidR="0061711D" w:rsidTr="0061711D">
        <w:trPr>
          <w:trHeight w:val="20"/>
          <w:jc w:val="center"/>
        </w:trPr>
        <w:tc>
          <w:tcPr>
            <w:cnfStyle w:firstRow="0" w:lastRow="0" w:firstColumn="1" w:lastColumn="0" w:oddVBand="0" w:evenVBand="0" w:oddHBand="0" w:evenHBand="0" w:firstRowFirstColumn="0" w:firstRowLastColumn="0" w:lastRowFirstColumn="0" w:lastRowLastColumn="0"/>
            <w:tcW w:w="84.85pt" w:type="dxa"/>
            <w:shd w:val="clear" w:color="auto" w:fill="auto"/>
          </w:tcPr>
          <w:p w:rsidR="00277ED2" w:rsidRPr="00611019" w:rsidRDefault="00E56462" w:rsidP="00035D2C">
            <w:pPr>
              <w:spacing w:before="2pt" w:after="2pt"/>
              <w:jc w:val="center"/>
              <w:rPr>
                <w:rFonts w:ascii="Century Gothic" w:hAnsi="Century Gothic" w:cs="Arial"/>
              </w:rPr>
            </w:pPr>
            <w:r>
              <w:rPr>
                <w:rFonts w:ascii="Century Gothic" w:hAnsi="Century Gothic" w:cs="Arial"/>
              </w:rPr>
              <w:t>8.00</w:t>
            </w:r>
          </w:p>
        </w:tc>
        <w:tc>
          <w:tcPr>
            <w:tcW w:w="84.95pt" w:type="dxa"/>
            <w:shd w:val="clear" w:color="auto" w:fill="auto"/>
          </w:tcPr>
          <w:p w:rsidR="00277ED2" w:rsidRPr="00611019" w:rsidRDefault="00E56462" w:rsidP="00035D2C">
            <w:pPr>
              <w:spacing w:before="2pt" w:after="2pt"/>
              <w:jc w:val="center"/>
              <w:cnfStyle w:firstRow="0" w:lastRow="0" w:firstColumn="0" w:lastColumn="0" w:oddVBand="0" w:evenVBand="0" w:oddHBand="0" w:evenHBand="0" w:firstRowFirstColumn="0" w:firstRowLastColumn="0" w:lastRowFirstColumn="0" w:lastRowLastColumn="0"/>
              <w:rPr>
                <w:rFonts w:ascii="Century Gothic" w:hAnsi="Century Gothic" w:cs="Arial"/>
              </w:rPr>
            </w:pPr>
            <w:r>
              <w:rPr>
                <w:rFonts w:ascii="Century Gothic" w:hAnsi="Century Gothic" w:cs="Arial"/>
              </w:rPr>
              <w:t>--</w:t>
            </w:r>
          </w:p>
        </w:tc>
        <w:tc>
          <w:tcPr>
            <w:tcW w:w="92.20pt" w:type="dxa"/>
            <w:shd w:val="clear" w:color="auto" w:fill="auto"/>
          </w:tcPr>
          <w:p w:rsidR="00277ED2" w:rsidRPr="00611019" w:rsidRDefault="00E56462" w:rsidP="00035D2C">
            <w:pPr>
              <w:spacing w:before="2pt" w:after="2pt"/>
              <w:jc w:val="center"/>
              <w:cnfStyle w:firstRow="0" w:lastRow="0" w:firstColumn="0" w:lastColumn="0" w:oddVBand="0" w:evenVBand="0" w:oddHBand="0" w:evenHBand="0" w:firstRowFirstColumn="0" w:firstRowLastColumn="0" w:lastRowFirstColumn="0" w:lastRowLastColumn="0"/>
              <w:rPr>
                <w:rFonts w:ascii="Century Gothic" w:hAnsi="Century Gothic" w:cs="Arial"/>
              </w:rPr>
            </w:pPr>
            <w:r>
              <w:rPr>
                <w:rFonts w:ascii="Century Gothic" w:hAnsi="Century Gothic" w:cs="Arial"/>
              </w:rPr>
              <w:t>45.0</w:t>
            </w:r>
          </w:p>
        </w:tc>
        <w:tc>
          <w:tcPr>
            <w:tcW w:w="99.25pt" w:type="dxa"/>
            <w:shd w:val="clear" w:color="auto" w:fill="auto"/>
          </w:tcPr>
          <w:p w:rsidR="00277ED2" w:rsidRPr="00611019" w:rsidRDefault="00E56462" w:rsidP="00035D2C">
            <w:pPr>
              <w:spacing w:before="2pt" w:after="2pt"/>
              <w:jc w:val="center"/>
              <w:cnfStyle w:firstRow="0" w:lastRow="0" w:firstColumn="0" w:lastColumn="0" w:oddVBand="0" w:evenVBand="0" w:oddHBand="0" w:evenHBand="0" w:firstRowFirstColumn="0" w:firstRowLastColumn="0" w:lastRowFirstColumn="0" w:lastRowLastColumn="0"/>
              <w:rPr>
                <w:rFonts w:ascii="Century Gothic" w:hAnsi="Century Gothic" w:cs="Arial"/>
              </w:rPr>
            </w:pPr>
            <w:r>
              <w:rPr>
                <w:rFonts w:ascii="Century Gothic" w:hAnsi="Century Gothic" w:cs="Arial"/>
              </w:rPr>
              <w:t>40.0</w:t>
            </w:r>
          </w:p>
        </w:tc>
      </w:tr>
      <w:tr w:rsidR="0061711D" w:rsidTr="0061711D">
        <w:trPr>
          <w:cnfStyle w:firstRow="0" w:lastRow="0" w:firstColumn="0" w:lastColumn="0" w:oddVBand="0" w:evenVBand="0" w:oddHBand="1" w:evenHBand="0" w:firstRowFirstColumn="0" w:firstRowLastColumn="0" w:lastRowFirstColumn="0" w:lastRowLastColumn="0"/>
          <w:trHeight w:val="20"/>
          <w:jc w:val="center"/>
        </w:trPr>
        <w:tc>
          <w:tcPr>
            <w:cnfStyle w:firstRow="0" w:lastRow="0" w:firstColumn="1" w:lastColumn="0" w:oddVBand="0" w:evenVBand="0" w:oddHBand="0" w:evenHBand="0" w:firstRowFirstColumn="0" w:firstRowLastColumn="0" w:lastRowFirstColumn="0" w:lastRowLastColumn="0"/>
            <w:tcW w:w="84.85pt" w:type="dxa"/>
            <w:shd w:val="clear" w:color="auto" w:fill="auto"/>
          </w:tcPr>
          <w:p w:rsidR="00277ED2" w:rsidRPr="00611019" w:rsidRDefault="00E56462" w:rsidP="00035D2C">
            <w:pPr>
              <w:spacing w:before="2pt" w:after="2pt"/>
              <w:jc w:val="center"/>
              <w:rPr>
                <w:rFonts w:ascii="Century Gothic" w:hAnsi="Century Gothic" w:cs="Arial"/>
              </w:rPr>
            </w:pPr>
            <w:r>
              <w:rPr>
                <w:rFonts w:ascii="Century Gothic" w:hAnsi="Century Gothic" w:cs="Arial"/>
              </w:rPr>
              <w:t>10.00</w:t>
            </w:r>
          </w:p>
        </w:tc>
        <w:tc>
          <w:tcPr>
            <w:tcW w:w="84.95pt" w:type="dxa"/>
            <w:shd w:val="clear" w:color="auto" w:fill="auto"/>
          </w:tcPr>
          <w:p w:rsidR="00277ED2" w:rsidRPr="00611019" w:rsidRDefault="00E56462" w:rsidP="00035D2C">
            <w:pPr>
              <w:spacing w:before="2pt" w:after="2pt"/>
              <w:jc w:val="center"/>
              <w:cnfStyle w:firstRow="0" w:lastRow="0" w:firstColumn="0" w:lastColumn="0" w:oddVBand="0" w:evenVBand="0" w:oddHBand="1" w:evenHBand="0" w:firstRowFirstColumn="0" w:firstRowLastColumn="0" w:lastRowFirstColumn="0" w:lastRowLastColumn="0"/>
              <w:rPr>
                <w:rFonts w:ascii="Century Gothic" w:hAnsi="Century Gothic" w:cs="Arial"/>
              </w:rPr>
            </w:pPr>
            <w:r>
              <w:rPr>
                <w:rFonts w:ascii="Century Gothic" w:hAnsi="Century Gothic" w:cs="Arial"/>
              </w:rPr>
              <w:t>11.0</w:t>
            </w:r>
          </w:p>
        </w:tc>
        <w:tc>
          <w:tcPr>
            <w:tcW w:w="92.20pt" w:type="dxa"/>
            <w:shd w:val="clear" w:color="auto" w:fill="auto"/>
          </w:tcPr>
          <w:p w:rsidR="00277ED2" w:rsidRPr="00611019" w:rsidRDefault="00E56462" w:rsidP="00035D2C">
            <w:pPr>
              <w:spacing w:before="2pt" w:after="2pt"/>
              <w:jc w:val="center"/>
              <w:cnfStyle w:firstRow="0" w:lastRow="0" w:firstColumn="0" w:lastColumn="0" w:oddVBand="0" w:evenVBand="0" w:oddHBand="1" w:evenHBand="0" w:firstRowFirstColumn="0" w:firstRowLastColumn="0" w:lastRowFirstColumn="0" w:lastRowLastColumn="0"/>
              <w:rPr>
                <w:rFonts w:ascii="Century Gothic" w:hAnsi="Century Gothic" w:cs="Arial"/>
              </w:rPr>
            </w:pPr>
            <w:r>
              <w:rPr>
                <w:rFonts w:ascii="Century Gothic" w:hAnsi="Century Gothic" w:cs="Arial"/>
              </w:rPr>
              <w:t>43.0</w:t>
            </w:r>
          </w:p>
        </w:tc>
        <w:tc>
          <w:tcPr>
            <w:tcW w:w="99.25pt" w:type="dxa"/>
            <w:shd w:val="clear" w:color="auto" w:fill="auto"/>
          </w:tcPr>
          <w:p w:rsidR="00277ED2" w:rsidRPr="00611019" w:rsidRDefault="00E56462" w:rsidP="00035D2C">
            <w:pPr>
              <w:spacing w:before="2pt" w:after="2pt"/>
              <w:jc w:val="center"/>
              <w:cnfStyle w:firstRow="0" w:lastRow="0" w:firstColumn="0" w:lastColumn="0" w:oddVBand="0" w:evenVBand="0" w:oddHBand="1" w:evenHBand="0" w:firstRowFirstColumn="0" w:firstRowLastColumn="0" w:lastRowFirstColumn="0" w:lastRowLastColumn="0"/>
              <w:rPr>
                <w:rFonts w:ascii="Century Gothic" w:hAnsi="Century Gothic" w:cs="Arial"/>
              </w:rPr>
            </w:pPr>
            <w:r>
              <w:rPr>
                <w:rFonts w:ascii="Century Gothic" w:hAnsi="Century Gothic" w:cs="Arial"/>
              </w:rPr>
              <w:t>38.0</w:t>
            </w:r>
          </w:p>
        </w:tc>
      </w:tr>
      <w:tr w:rsidR="0061711D" w:rsidTr="0061711D">
        <w:trPr>
          <w:trHeight w:val="20"/>
          <w:jc w:val="center"/>
        </w:trPr>
        <w:tc>
          <w:tcPr>
            <w:cnfStyle w:firstRow="0" w:lastRow="0" w:firstColumn="1" w:lastColumn="0" w:oddVBand="0" w:evenVBand="0" w:oddHBand="0" w:evenHBand="0" w:firstRowFirstColumn="0" w:firstRowLastColumn="0" w:lastRowFirstColumn="0" w:lastRowLastColumn="0"/>
            <w:tcW w:w="84.85pt" w:type="dxa"/>
            <w:shd w:val="clear" w:color="auto" w:fill="auto"/>
          </w:tcPr>
          <w:p w:rsidR="00277ED2" w:rsidRPr="00611019" w:rsidRDefault="00E56462" w:rsidP="00035D2C">
            <w:pPr>
              <w:spacing w:before="2pt" w:after="2pt"/>
              <w:jc w:val="center"/>
              <w:rPr>
                <w:rFonts w:ascii="Century Gothic" w:hAnsi="Century Gothic" w:cs="Arial"/>
              </w:rPr>
            </w:pPr>
            <w:r>
              <w:rPr>
                <w:rFonts w:ascii="Century Gothic" w:hAnsi="Century Gothic" w:cs="Arial"/>
              </w:rPr>
              <w:t>16.00</w:t>
            </w:r>
          </w:p>
        </w:tc>
        <w:tc>
          <w:tcPr>
            <w:tcW w:w="84.95pt" w:type="dxa"/>
            <w:shd w:val="clear" w:color="auto" w:fill="auto"/>
          </w:tcPr>
          <w:p w:rsidR="00277ED2" w:rsidRPr="00611019" w:rsidRDefault="00E56462" w:rsidP="00035D2C">
            <w:pPr>
              <w:spacing w:before="2pt" w:after="2pt"/>
              <w:jc w:val="center"/>
              <w:cnfStyle w:firstRow="0" w:lastRow="0" w:firstColumn="0" w:lastColumn="0" w:oddVBand="0" w:evenVBand="0" w:oddHBand="0" w:evenHBand="0" w:firstRowFirstColumn="0" w:firstRowLastColumn="0" w:lastRowFirstColumn="0" w:lastRowLastColumn="0"/>
              <w:rPr>
                <w:rFonts w:ascii="Century Gothic" w:hAnsi="Century Gothic" w:cs="Arial"/>
              </w:rPr>
            </w:pPr>
            <w:r>
              <w:rPr>
                <w:rFonts w:ascii="Century Gothic" w:hAnsi="Century Gothic" w:cs="Arial"/>
              </w:rPr>
              <w:t>--</w:t>
            </w:r>
          </w:p>
        </w:tc>
        <w:tc>
          <w:tcPr>
            <w:tcW w:w="92.20pt" w:type="dxa"/>
            <w:shd w:val="clear" w:color="auto" w:fill="auto"/>
          </w:tcPr>
          <w:p w:rsidR="00277ED2" w:rsidRPr="00611019" w:rsidRDefault="00E56462" w:rsidP="00035D2C">
            <w:pPr>
              <w:spacing w:before="2pt" w:after="2pt"/>
              <w:jc w:val="center"/>
              <w:cnfStyle w:firstRow="0" w:lastRow="0" w:firstColumn="0" w:lastColumn="0" w:oddVBand="0" w:evenVBand="0" w:oddHBand="0" w:evenHBand="0" w:firstRowFirstColumn="0" w:firstRowLastColumn="0" w:lastRowFirstColumn="0" w:lastRowLastColumn="0"/>
              <w:rPr>
                <w:rFonts w:ascii="Century Gothic" w:hAnsi="Century Gothic" w:cs="Arial"/>
              </w:rPr>
            </w:pPr>
            <w:r>
              <w:rPr>
                <w:rFonts w:ascii="Century Gothic" w:hAnsi="Century Gothic" w:cs="Arial"/>
              </w:rPr>
              <w:t>40.0</w:t>
            </w:r>
          </w:p>
        </w:tc>
        <w:tc>
          <w:tcPr>
            <w:tcW w:w="99.25pt" w:type="dxa"/>
            <w:shd w:val="clear" w:color="auto" w:fill="auto"/>
          </w:tcPr>
          <w:p w:rsidR="00277ED2" w:rsidRPr="00611019" w:rsidRDefault="00E56462" w:rsidP="00035D2C">
            <w:pPr>
              <w:spacing w:before="2pt" w:after="2pt"/>
              <w:jc w:val="center"/>
              <w:cnfStyle w:firstRow="0" w:lastRow="0" w:firstColumn="0" w:lastColumn="0" w:oddVBand="0" w:evenVBand="0" w:oddHBand="0" w:evenHBand="0" w:firstRowFirstColumn="0" w:firstRowLastColumn="0" w:lastRowFirstColumn="0" w:lastRowLastColumn="0"/>
              <w:rPr>
                <w:rFonts w:ascii="Century Gothic" w:hAnsi="Century Gothic" w:cs="Arial"/>
              </w:rPr>
            </w:pPr>
            <w:r>
              <w:rPr>
                <w:rFonts w:ascii="Century Gothic" w:hAnsi="Century Gothic" w:cs="Arial"/>
              </w:rPr>
              <w:t>34.0</w:t>
            </w:r>
          </w:p>
        </w:tc>
      </w:tr>
      <w:tr w:rsidR="0061711D" w:rsidTr="0061711D">
        <w:trPr>
          <w:cnfStyle w:firstRow="0" w:lastRow="0" w:firstColumn="0" w:lastColumn="0" w:oddVBand="0" w:evenVBand="0" w:oddHBand="1" w:evenHBand="0" w:firstRowFirstColumn="0" w:firstRowLastColumn="0" w:lastRowFirstColumn="0" w:lastRowLastColumn="0"/>
          <w:trHeight w:val="20"/>
          <w:jc w:val="center"/>
        </w:trPr>
        <w:tc>
          <w:tcPr>
            <w:cnfStyle w:firstRow="0" w:lastRow="0" w:firstColumn="1" w:lastColumn="0" w:oddVBand="0" w:evenVBand="0" w:oddHBand="0" w:evenHBand="0" w:firstRowFirstColumn="0" w:firstRowLastColumn="0" w:lastRowFirstColumn="0" w:lastRowLastColumn="0"/>
            <w:tcW w:w="84.85pt" w:type="dxa"/>
            <w:shd w:val="clear" w:color="auto" w:fill="auto"/>
          </w:tcPr>
          <w:p w:rsidR="00277ED2" w:rsidRPr="00611019" w:rsidRDefault="00E56462" w:rsidP="00035D2C">
            <w:pPr>
              <w:spacing w:before="2pt" w:after="2pt"/>
              <w:jc w:val="center"/>
              <w:rPr>
                <w:rFonts w:ascii="Century Gothic" w:hAnsi="Century Gothic" w:cs="Arial"/>
              </w:rPr>
            </w:pPr>
            <w:r>
              <w:rPr>
                <w:rFonts w:ascii="Century Gothic" w:hAnsi="Century Gothic" w:cs="Arial"/>
              </w:rPr>
              <w:t>20.00</w:t>
            </w:r>
          </w:p>
        </w:tc>
        <w:tc>
          <w:tcPr>
            <w:tcW w:w="84.95pt" w:type="dxa"/>
            <w:shd w:val="clear" w:color="auto" w:fill="auto"/>
          </w:tcPr>
          <w:p w:rsidR="00277ED2" w:rsidRPr="00611019" w:rsidRDefault="00E56462" w:rsidP="00035D2C">
            <w:pPr>
              <w:spacing w:before="2pt" w:after="2pt"/>
              <w:jc w:val="center"/>
              <w:cnfStyle w:firstRow="0" w:lastRow="0" w:firstColumn="0" w:lastColumn="0" w:oddVBand="0" w:evenVBand="0" w:oddHBand="1" w:evenHBand="0" w:firstRowFirstColumn="0" w:firstRowLastColumn="0" w:lastRowFirstColumn="0" w:lastRowLastColumn="0"/>
              <w:rPr>
                <w:rFonts w:ascii="Century Gothic" w:hAnsi="Century Gothic" w:cs="Arial"/>
              </w:rPr>
            </w:pPr>
            <w:r>
              <w:rPr>
                <w:rFonts w:ascii="Century Gothic" w:hAnsi="Century Gothic" w:cs="Arial"/>
              </w:rPr>
              <w:t>--</w:t>
            </w:r>
          </w:p>
        </w:tc>
        <w:tc>
          <w:tcPr>
            <w:tcW w:w="92.20pt" w:type="dxa"/>
            <w:shd w:val="clear" w:color="auto" w:fill="auto"/>
          </w:tcPr>
          <w:p w:rsidR="00277ED2" w:rsidRPr="00611019" w:rsidRDefault="00E56462" w:rsidP="00035D2C">
            <w:pPr>
              <w:spacing w:before="2pt" w:after="2pt"/>
              <w:jc w:val="center"/>
              <w:cnfStyle w:firstRow="0" w:lastRow="0" w:firstColumn="0" w:lastColumn="0" w:oddVBand="0" w:evenVBand="0" w:oddHBand="1" w:evenHBand="0" w:firstRowFirstColumn="0" w:firstRowLastColumn="0" w:lastRowFirstColumn="0" w:lastRowLastColumn="0"/>
              <w:rPr>
                <w:rFonts w:ascii="Century Gothic" w:hAnsi="Century Gothic" w:cs="Arial"/>
              </w:rPr>
            </w:pPr>
            <w:r>
              <w:rPr>
                <w:rFonts w:ascii="Century Gothic" w:hAnsi="Century Gothic" w:cs="Arial"/>
              </w:rPr>
              <w:t>39.0</w:t>
            </w:r>
          </w:p>
        </w:tc>
        <w:tc>
          <w:tcPr>
            <w:tcW w:w="99.25pt" w:type="dxa"/>
            <w:shd w:val="clear" w:color="auto" w:fill="auto"/>
          </w:tcPr>
          <w:p w:rsidR="00277ED2" w:rsidRPr="00611019" w:rsidRDefault="00E56462" w:rsidP="00035D2C">
            <w:pPr>
              <w:spacing w:before="2pt" w:after="2pt"/>
              <w:jc w:val="center"/>
              <w:cnfStyle w:firstRow="0" w:lastRow="0" w:firstColumn="0" w:lastColumn="0" w:oddVBand="0" w:evenVBand="0" w:oddHBand="1" w:evenHBand="0" w:firstRowFirstColumn="0" w:firstRowLastColumn="0" w:lastRowFirstColumn="0" w:lastRowLastColumn="0"/>
              <w:rPr>
                <w:rFonts w:ascii="Century Gothic" w:hAnsi="Century Gothic" w:cs="Arial"/>
              </w:rPr>
            </w:pPr>
            <w:r>
              <w:rPr>
                <w:rFonts w:ascii="Century Gothic" w:hAnsi="Century Gothic" w:cs="Arial"/>
              </w:rPr>
              <w:t>32.0</w:t>
            </w:r>
          </w:p>
        </w:tc>
      </w:tr>
      <w:tr w:rsidR="0061711D" w:rsidTr="0061711D">
        <w:trPr>
          <w:trHeight w:val="20"/>
          <w:jc w:val="center"/>
        </w:trPr>
        <w:tc>
          <w:tcPr>
            <w:cnfStyle w:firstRow="0" w:lastRow="0" w:firstColumn="1" w:lastColumn="0" w:oddVBand="0" w:evenVBand="0" w:oddHBand="0" w:evenHBand="0" w:firstRowFirstColumn="0" w:firstRowLastColumn="0" w:lastRowFirstColumn="0" w:lastRowLastColumn="0"/>
            <w:tcW w:w="84.85pt" w:type="dxa"/>
            <w:shd w:val="clear" w:color="auto" w:fill="auto"/>
          </w:tcPr>
          <w:p w:rsidR="00277ED2" w:rsidRPr="00611019" w:rsidRDefault="00E56462" w:rsidP="00035D2C">
            <w:pPr>
              <w:spacing w:before="2pt" w:after="2pt"/>
              <w:jc w:val="center"/>
              <w:rPr>
                <w:rFonts w:ascii="Century Gothic" w:hAnsi="Century Gothic" w:cs="Arial"/>
              </w:rPr>
            </w:pPr>
            <w:r>
              <w:rPr>
                <w:rFonts w:ascii="Century Gothic" w:hAnsi="Century Gothic" w:cs="Arial"/>
              </w:rPr>
              <w:t>25.00</w:t>
            </w:r>
          </w:p>
        </w:tc>
        <w:tc>
          <w:tcPr>
            <w:tcW w:w="84.95pt" w:type="dxa"/>
            <w:shd w:val="clear" w:color="auto" w:fill="auto"/>
          </w:tcPr>
          <w:p w:rsidR="00277ED2" w:rsidRPr="00611019" w:rsidRDefault="00E56462" w:rsidP="00035D2C">
            <w:pPr>
              <w:spacing w:before="2pt" w:after="2pt"/>
              <w:jc w:val="center"/>
              <w:cnfStyle w:firstRow="0" w:lastRow="0" w:firstColumn="0" w:lastColumn="0" w:oddVBand="0" w:evenVBand="0" w:oddHBand="0" w:evenHBand="0" w:firstRowFirstColumn="0" w:firstRowLastColumn="0" w:lastRowFirstColumn="0" w:lastRowLastColumn="0"/>
              <w:rPr>
                <w:rFonts w:ascii="Century Gothic" w:hAnsi="Century Gothic" w:cs="Arial"/>
              </w:rPr>
            </w:pPr>
            <w:r>
              <w:rPr>
                <w:rFonts w:ascii="Century Gothic" w:hAnsi="Century Gothic" w:cs="Arial"/>
              </w:rPr>
              <w:t>--</w:t>
            </w:r>
          </w:p>
        </w:tc>
        <w:tc>
          <w:tcPr>
            <w:tcW w:w="92.20pt" w:type="dxa"/>
            <w:shd w:val="clear" w:color="auto" w:fill="auto"/>
          </w:tcPr>
          <w:p w:rsidR="00277ED2" w:rsidRPr="00611019" w:rsidRDefault="00E56462" w:rsidP="00035D2C">
            <w:pPr>
              <w:spacing w:before="2pt" w:after="2pt"/>
              <w:jc w:val="center"/>
              <w:cnfStyle w:firstRow="0" w:lastRow="0" w:firstColumn="0" w:lastColumn="0" w:oddVBand="0" w:evenVBand="0" w:oddHBand="0" w:evenHBand="0" w:firstRowFirstColumn="0" w:firstRowLastColumn="0" w:lastRowFirstColumn="0" w:lastRowLastColumn="0"/>
              <w:rPr>
                <w:rFonts w:ascii="Century Gothic" w:hAnsi="Century Gothic" w:cs="Arial"/>
              </w:rPr>
            </w:pPr>
            <w:r>
              <w:rPr>
                <w:rFonts w:ascii="Century Gothic" w:hAnsi="Century Gothic" w:cs="Arial"/>
              </w:rPr>
              <w:t>37.0</w:t>
            </w:r>
          </w:p>
        </w:tc>
        <w:tc>
          <w:tcPr>
            <w:tcW w:w="99.25pt" w:type="dxa"/>
            <w:shd w:val="clear" w:color="auto" w:fill="auto"/>
          </w:tcPr>
          <w:p w:rsidR="00277ED2" w:rsidRPr="00611019" w:rsidRDefault="00E56462" w:rsidP="00035D2C">
            <w:pPr>
              <w:spacing w:before="2pt" w:after="2pt"/>
              <w:jc w:val="center"/>
              <w:cnfStyle w:firstRow="0" w:lastRow="0" w:firstColumn="0" w:lastColumn="0" w:oddVBand="0" w:evenVBand="0" w:oddHBand="0" w:evenHBand="0" w:firstRowFirstColumn="0" w:firstRowLastColumn="0" w:lastRowFirstColumn="0" w:lastRowLastColumn="0"/>
              <w:rPr>
                <w:rFonts w:ascii="Century Gothic" w:hAnsi="Century Gothic" w:cs="Arial"/>
              </w:rPr>
            </w:pPr>
            <w:r>
              <w:rPr>
                <w:rFonts w:ascii="Century Gothic" w:hAnsi="Century Gothic" w:cs="Arial"/>
              </w:rPr>
              <w:t>30.0</w:t>
            </w:r>
          </w:p>
        </w:tc>
      </w:tr>
      <w:tr w:rsidR="0061711D" w:rsidTr="0061711D">
        <w:trPr>
          <w:cnfStyle w:firstRow="0" w:lastRow="0" w:firstColumn="0" w:lastColumn="0" w:oddVBand="0" w:evenVBand="0" w:oddHBand="1" w:evenHBand="0" w:firstRowFirstColumn="0" w:firstRowLastColumn="0" w:lastRowFirstColumn="0" w:lastRowLastColumn="0"/>
          <w:trHeight w:val="20"/>
          <w:jc w:val="center"/>
        </w:trPr>
        <w:tc>
          <w:tcPr>
            <w:cnfStyle w:firstRow="0" w:lastRow="0" w:firstColumn="1" w:lastColumn="0" w:oddVBand="0" w:evenVBand="0" w:oddHBand="0" w:evenHBand="0" w:firstRowFirstColumn="0" w:firstRowLastColumn="0" w:lastRowFirstColumn="0" w:lastRowLastColumn="0"/>
            <w:tcW w:w="84.85pt" w:type="dxa"/>
            <w:shd w:val="clear" w:color="auto" w:fill="auto"/>
          </w:tcPr>
          <w:p w:rsidR="00277ED2" w:rsidRPr="00611019" w:rsidRDefault="00E56462" w:rsidP="00035D2C">
            <w:pPr>
              <w:spacing w:before="2pt" w:after="2pt"/>
              <w:jc w:val="center"/>
              <w:rPr>
                <w:rFonts w:ascii="Century Gothic" w:hAnsi="Century Gothic" w:cs="Arial"/>
              </w:rPr>
            </w:pPr>
            <w:r>
              <w:rPr>
                <w:rFonts w:ascii="Century Gothic" w:hAnsi="Century Gothic" w:cs="Arial"/>
              </w:rPr>
              <w:t>31.25</w:t>
            </w:r>
          </w:p>
        </w:tc>
        <w:tc>
          <w:tcPr>
            <w:tcW w:w="84.95pt" w:type="dxa"/>
            <w:shd w:val="clear" w:color="auto" w:fill="auto"/>
          </w:tcPr>
          <w:p w:rsidR="00277ED2" w:rsidRPr="00611019" w:rsidRDefault="00E56462" w:rsidP="00035D2C">
            <w:pPr>
              <w:spacing w:before="2pt" w:after="2pt"/>
              <w:jc w:val="center"/>
              <w:cnfStyle w:firstRow="0" w:lastRow="0" w:firstColumn="0" w:lastColumn="0" w:oddVBand="0" w:evenVBand="0" w:oddHBand="1" w:evenHBand="0" w:firstRowFirstColumn="0" w:firstRowLastColumn="0" w:lastRowFirstColumn="0" w:lastRowLastColumn="0"/>
              <w:rPr>
                <w:rFonts w:ascii="Century Gothic" w:hAnsi="Century Gothic" w:cs="Arial"/>
              </w:rPr>
            </w:pPr>
            <w:r>
              <w:rPr>
                <w:rFonts w:ascii="Century Gothic" w:hAnsi="Century Gothic" w:cs="Arial"/>
              </w:rPr>
              <w:t>--</w:t>
            </w:r>
          </w:p>
        </w:tc>
        <w:tc>
          <w:tcPr>
            <w:tcW w:w="92.20pt" w:type="dxa"/>
            <w:shd w:val="clear" w:color="auto" w:fill="auto"/>
          </w:tcPr>
          <w:p w:rsidR="00277ED2" w:rsidRPr="00611019" w:rsidRDefault="00E56462" w:rsidP="00035D2C">
            <w:pPr>
              <w:spacing w:before="2pt" w:after="2pt"/>
              <w:jc w:val="center"/>
              <w:cnfStyle w:firstRow="0" w:lastRow="0" w:firstColumn="0" w:lastColumn="0" w:oddVBand="0" w:evenVBand="0" w:oddHBand="1" w:evenHBand="0" w:firstRowFirstColumn="0" w:firstRowLastColumn="0" w:lastRowFirstColumn="0" w:lastRowLastColumn="0"/>
              <w:rPr>
                <w:rFonts w:ascii="Century Gothic" w:hAnsi="Century Gothic" w:cs="Arial"/>
              </w:rPr>
            </w:pPr>
            <w:r>
              <w:rPr>
                <w:rFonts w:ascii="Century Gothic" w:hAnsi="Century Gothic" w:cs="Arial"/>
              </w:rPr>
              <w:t>36.0</w:t>
            </w:r>
          </w:p>
        </w:tc>
        <w:tc>
          <w:tcPr>
            <w:tcW w:w="99.25pt" w:type="dxa"/>
            <w:shd w:val="clear" w:color="auto" w:fill="auto"/>
          </w:tcPr>
          <w:p w:rsidR="00277ED2" w:rsidRPr="00611019" w:rsidRDefault="00E56462" w:rsidP="00035D2C">
            <w:pPr>
              <w:spacing w:before="2pt" w:after="2pt"/>
              <w:jc w:val="center"/>
              <w:cnfStyle w:firstRow="0" w:lastRow="0" w:firstColumn="0" w:lastColumn="0" w:oddVBand="0" w:evenVBand="0" w:oddHBand="1" w:evenHBand="0" w:firstRowFirstColumn="0" w:firstRowLastColumn="0" w:lastRowFirstColumn="0" w:lastRowLastColumn="0"/>
              <w:rPr>
                <w:rFonts w:ascii="Century Gothic" w:hAnsi="Century Gothic" w:cs="Arial"/>
              </w:rPr>
            </w:pPr>
            <w:r>
              <w:rPr>
                <w:rFonts w:ascii="Century Gothic" w:hAnsi="Century Gothic" w:cs="Arial"/>
              </w:rPr>
              <w:t>28.0</w:t>
            </w:r>
          </w:p>
        </w:tc>
      </w:tr>
      <w:tr w:rsidR="0061711D" w:rsidTr="0061711D">
        <w:trPr>
          <w:trHeight w:val="20"/>
          <w:jc w:val="center"/>
        </w:trPr>
        <w:tc>
          <w:tcPr>
            <w:cnfStyle w:firstRow="0" w:lastRow="0" w:firstColumn="1" w:lastColumn="0" w:oddVBand="0" w:evenVBand="0" w:oddHBand="0" w:evenHBand="0" w:firstRowFirstColumn="0" w:firstRowLastColumn="0" w:lastRowFirstColumn="0" w:lastRowLastColumn="0"/>
            <w:tcW w:w="84.85pt" w:type="dxa"/>
            <w:shd w:val="clear" w:color="auto" w:fill="auto"/>
          </w:tcPr>
          <w:p w:rsidR="00277ED2" w:rsidRPr="00611019" w:rsidRDefault="00E56462" w:rsidP="00035D2C">
            <w:pPr>
              <w:spacing w:before="2pt" w:after="2pt"/>
              <w:jc w:val="center"/>
              <w:rPr>
                <w:rFonts w:ascii="Century Gothic" w:hAnsi="Century Gothic" w:cs="Arial"/>
              </w:rPr>
            </w:pPr>
            <w:r>
              <w:rPr>
                <w:rFonts w:ascii="Century Gothic" w:hAnsi="Century Gothic" w:cs="Arial"/>
              </w:rPr>
              <w:t>63.00</w:t>
            </w:r>
          </w:p>
        </w:tc>
        <w:tc>
          <w:tcPr>
            <w:tcW w:w="84.95pt" w:type="dxa"/>
            <w:shd w:val="clear" w:color="auto" w:fill="auto"/>
          </w:tcPr>
          <w:p w:rsidR="00277ED2" w:rsidRPr="00611019" w:rsidRDefault="00E56462" w:rsidP="00035D2C">
            <w:pPr>
              <w:spacing w:before="2pt" w:after="2pt"/>
              <w:jc w:val="center"/>
              <w:cnfStyle w:firstRow="0" w:lastRow="0" w:firstColumn="0" w:lastColumn="0" w:oddVBand="0" w:evenVBand="0" w:oddHBand="0" w:evenHBand="0" w:firstRowFirstColumn="0" w:firstRowLastColumn="0" w:lastRowFirstColumn="0" w:lastRowLastColumn="0"/>
              <w:rPr>
                <w:rFonts w:ascii="Century Gothic" w:hAnsi="Century Gothic" w:cs="Arial"/>
              </w:rPr>
            </w:pPr>
            <w:r>
              <w:rPr>
                <w:rFonts w:ascii="Century Gothic" w:hAnsi="Century Gothic" w:cs="Arial"/>
              </w:rPr>
              <w:t>--</w:t>
            </w:r>
          </w:p>
        </w:tc>
        <w:tc>
          <w:tcPr>
            <w:tcW w:w="92.20pt" w:type="dxa"/>
            <w:shd w:val="clear" w:color="auto" w:fill="auto"/>
          </w:tcPr>
          <w:p w:rsidR="00277ED2" w:rsidRPr="00611019" w:rsidRDefault="00E56462" w:rsidP="00035D2C">
            <w:pPr>
              <w:spacing w:before="2pt" w:after="2pt"/>
              <w:jc w:val="center"/>
              <w:cnfStyle w:firstRow="0" w:lastRow="0" w:firstColumn="0" w:lastColumn="0" w:oddVBand="0" w:evenVBand="0" w:oddHBand="0" w:evenHBand="0" w:firstRowFirstColumn="0" w:firstRowLastColumn="0" w:lastRowFirstColumn="0" w:lastRowLastColumn="0"/>
              <w:rPr>
                <w:rFonts w:ascii="Century Gothic" w:hAnsi="Century Gothic" w:cs="Arial"/>
              </w:rPr>
            </w:pPr>
            <w:r>
              <w:rPr>
                <w:rFonts w:ascii="Century Gothic" w:hAnsi="Century Gothic" w:cs="Arial"/>
              </w:rPr>
              <w:t>31.0</w:t>
            </w:r>
          </w:p>
        </w:tc>
        <w:tc>
          <w:tcPr>
            <w:tcW w:w="99.25pt" w:type="dxa"/>
            <w:shd w:val="clear" w:color="auto" w:fill="auto"/>
          </w:tcPr>
          <w:p w:rsidR="00277ED2" w:rsidRPr="00611019" w:rsidRDefault="00E56462" w:rsidP="00035D2C">
            <w:pPr>
              <w:spacing w:before="2pt" w:after="2pt"/>
              <w:jc w:val="center"/>
              <w:cnfStyle w:firstRow="0" w:lastRow="0" w:firstColumn="0" w:lastColumn="0" w:oddVBand="0" w:evenVBand="0" w:oddHBand="0" w:evenHBand="0" w:firstRowFirstColumn="0" w:firstRowLastColumn="0" w:lastRowFirstColumn="0" w:lastRowLastColumn="0"/>
              <w:rPr>
                <w:rFonts w:ascii="Century Gothic" w:hAnsi="Century Gothic" w:cs="Arial"/>
              </w:rPr>
            </w:pPr>
            <w:r>
              <w:rPr>
                <w:rFonts w:ascii="Century Gothic" w:hAnsi="Century Gothic" w:cs="Arial"/>
              </w:rPr>
              <w:t>22.0</w:t>
            </w:r>
          </w:p>
        </w:tc>
      </w:tr>
      <w:tr w:rsidR="0061711D" w:rsidTr="0061711D">
        <w:trPr>
          <w:cnfStyle w:firstRow="0" w:lastRow="0" w:firstColumn="0" w:lastColumn="0" w:oddVBand="0" w:evenVBand="0" w:oddHBand="1" w:evenHBand="0" w:firstRowFirstColumn="0" w:firstRowLastColumn="0" w:lastRowFirstColumn="0" w:lastRowLastColumn="0"/>
          <w:trHeight w:val="20"/>
          <w:jc w:val="center"/>
        </w:trPr>
        <w:tc>
          <w:tcPr>
            <w:cnfStyle w:firstRow="0" w:lastRow="0" w:firstColumn="1" w:lastColumn="0" w:oddVBand="0" w:evenVBand="0" w:oddHBand="0" w:evenHBand="0" w:firstRowFirstColumn="0" w:firstRowLastColumn="0" w:lastRowFirstColumn="0" w:lastRowLastColumn="0"/>
            <w:tcW w:w="84.85pt" w:type="dxa"/>
            <w:shd w:val="clear" w:color="auto" w:fill="auto"/>
          </w:tcPr>
          <w:p w:rsidR="00277ED2" w:rsidRPr="00611019" w:rsidRDefault="00E56462" w:rsidP="00035D2C">
            <w:pPr>
              <w:spacing w:before="2pt" w:after="2pt"/>
              <w:jc w:val="center"/>
              <w:rPr>
                <w:rFonts w:ascii="Century Gothic" w:hAnsi="Century Gothic" w:cs="Arial"/>
              </w:rPr>
            </w:pPr>
            <w:r>
              <w:rPr>
                <w:rFonts w:ascii="Century Gothic" w:hAnsi="Century Gothic" w:cs="Arial"/>
              </w:rPr>
              <w:t>100.00</w:t>
            </w:r>
          </w:p>
        </w:tc>
        <w:tc>
          <w:tcPr>
            <w:tcW w:w="84.95pt" w:type="dxa"/>
            <w:shd w:val="clear" w:color="auto" w:fill="auto"/>
          </w:tcPr>
          <w:p w:rsidR="00277ED2" w:rsidRPr="00611019" w:rsidRDefault="00E56462" w:rsidP="00035D2C">
            <w:pPr>
              <w:spacing w:before="2pt" w:after="2pt"/>
              <w:jc w:val="center"/>
              <w:cnfStyle w:firstRow="0" w:lastRow="0" w:firstColumn="0" w:lastColumn="0" w:oddVBand="0" w:evenVBand="0" w:oddHBand="1" w:evenHBand="0" w:firstRowFirstColumn="0" w:firstRowLastColumn="0" w:lastRowFirstColumn="0" w:lastRowLastColumn="0"/>
              <w:rPr>
                <w:rFonts w:ascii="Century Gothic" w:hAnsi="Century Gothic" w:cs="Arial"/>
              </w:rPr>
            </w:pPr>
            <w:r>
              <w:rPr>
                <w:rFonts w:ascii="Century Gothic" w:hAnsi="Century Gothic" w:cs="Arial"/>
              </w:rPr>
              <w:t>--</w:t>
            </w:r>
          </w:p>
        </w:tc>
        <w:tc>
          <w:tcPr>
            <w:tcW w:w="92.20pt" w:type="dxa"/>
            <w:shd w:val="clear" w:color="auto" w:fill="auto"/>
          </w:tcPr>
          <w:p w:rsidR="00277ED2" w:rsidRPr="00611019" w:rsidRDefault="00E56462" w:rsidP="00035D2C">
            <w:pPr>
              <w:spacing w:before="2pt" w:after="2pt"/>
              <w:jc w:val="center"/>
              <w:cnfStyle w:firstRow="0" w:lastRow="0" w:firstColumn="0" w:lastColumn="0" w:oddVBand="0" w:evenVBand="0" w:oddHBand="1" w:evenHBand="0" w:firstRowFirstColumn="0" w:firstRowLastColumn="0" w:lastRowFirstColumn="0" w:lastRowLastColumn="0"/>
              <w:rPr>
                <w:rFonts w:ascii="Century Gothic" w:hAnsi="Century Gothic" w:cs="Arial"/>
              </w:rPr>
            </w:pPr>
            <w:r>
              <w:rPr>
                <w:rFonts w:ascii="Century Gothic" w:hAnsi="Century Gothic" w:cs="Arial"/>
              </w:rPr>
              <w:t>28.0</w:t>
            </w:r>
          </w:p>
        </w:tc>
        <w:tc>
          <w:tcPr>
            <w:tcW w:w="99.25pt" w:type="dxa"/>
            <w:shd w:val="clear" w:color="auto" w:fill="auto"/>
          </w:tcPr>
          <w:p w:rsidR="00277ED2" w:rsidRPr="00611019" w:rsidRDefault="00E56462" w:rsidP="00035D2C">
            <w:pPr>
              <w:spacing w:before="2pt" w:after="2pt"/>
              <w:jc w:val="center"/>
              <w:cnfStyle w:firstRow="0" w:lastRow="0" w:firstColumn="0" w:lastColumn="0" w:oddVBand="0" w:evenVBand="0" w:oddHBand="1" w:evenHBand="0" w:firstRowFirstColumn="0" w:firstRowLastColumn="0" w:lastRowFirstColumn="0" w:lastRowLastColumn="0"/>
              <w:rPr>
                <w:rFonts w:ascii="Century Gothic" w:hAnsi="Century Gothic" w:cs="Arial"/>
              </w:rPr>
            </w:pPr>
            <w:r>
              <w:rPr>
                <w:rFonts w:ascii="Century Gothic" w:hAnsi="Century Gothic" w:cs="Arial"/>
              </w:rPr>
              <w:t>18.0</w:t>
            </w:r>
          </w:p>
        </w:tc>
      </w:tr>
    </w:tbl>
    <w:p w:rsidR="00277ED2" w:rsidRPr="00611019" w:rsidRDefault="00E56462" w:rsidP="00035D2C">
      <w:pPr>
        <w:pStyle w:val="xxxPiedeCuadroconnombre"/>
        <w:spacing w:before="0pt" w:after="6pt"/>
        <w:ind w:start="0pt"/>
        <w:jc w:val="center"/>
        <w:rPr>
          <w:rFonts w:ascii="Century Gothic" w:hAnsi="Century Gothic"/>
        </w:rPr>
      </w:pPr>
      <w:r>
        <w:rPr>
          <w:rFonts w:ascii="Century Gothic" w:hAnsi="Century Gothic"/>
        </w:rPr>
        <w:t>Características de transmisión de Cableado Multipar</w:t>
      </w:r>
    </w:p>
    <w:p w:rsidR="00277ED2" w:rsidRPr="00611019" w:rsidRDefault="00E56462" w:rsidP="00035D2C">
      <w:pPr>
        <w:pStyle w:val="IFTnormal"/>
        <w:spacing w:after="6pt"/>
        <w:rPr>
          <w:rFonts w:ascii="Century Gothic" w:hAnsi="Century Gothic"/>
        </w:rPr>
      </w:pPr>
      <w:r>
        <w:rPr>
          <w:rFonts w:ascii="Century Gothic" w:hAnsi="Century Gothic"/>
        </w:rPr>
        <w:t>La figura siguiente muestra el Servicio Auxiliar de Cableado Multipar cuando el CS tiene contratada una Coubicación dentro de la Central Telefónica.</w:t>
      </w:r>
    </w:p>
    <w:p w:rsidR="00277ED2" w:rsidRPr="00611019" w:rsidRDefault="00E56462" w:rsidP="00035D2C">
      <w:pPr>
        <w:spacing w:after="6pt"/>
        <w:jc w:val="center"/>
        <w:rPr>
          <w:rFonts w:ascii="Century Gothic" w:hAnsi="Century Gothic" w:cs="Arial"/>
        </w:rPr>
      </w:pPr>
      <w:r>
        <w:rPr>
          <w:rFonts w:ascii="Century Gothic" w:hAnsi="Century Gothic" w:cs="Arial"/>
          <w:noProof/>
          <w:lang w:eastAsia="es-MX"/>
        </w:rPr>
        <w:lastRenderedPageBreak/>
        <w:drawing>
          <wp:inline distT="0" distB="0" distL="0" distR="0" wp14:anchorId="4099AD68" wp14:editId="629E3390">
            <wp:extent cx="4320000" cy="2781115"/>
            <wp:effectExtent l="19050" t="19050" r="23495" b="19685"/>
            <wp:docPr id="11" name="Imagen 11"/>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588" name="Imagen 1"/>
                    <pic:cNvPicPr>
                      <a:picLocks noChangeAspect="1" noChangeArrowheads="1"/>
                    </pic:cNvPicPr>
                  </pic:nvPicPr>
                  <pic:blipFill>
                    <a:blip r:embed="rId33" r:link="rId34" cstate="print">
                      <a:extLst>
                        <a:ext uri="{28A0092B-C50C-407E-A947-70E740481C1C}">
                          <a14:useLocalDpi xmlns:a14="http://schemas.microsoft.com/office/drawing/2010/main" val="0"/>
                        </a:ext>
                      </a:extLst>
                    </a:blip>
                    <a:stretch>
                      <a:fillRect/>
                    </a:stretch>
                  </pic:blipFill>
                  <pic:spPr bwMode="auto">
                    <a:xfrm>
                      <a:off x="0" y="0"/>
                      <a:ext cx="4320000" cy="2781115"/>
                    </a:xfrm>
                    <a:prstGeom prst="rect">
                      <a:avLst/>
                    </a:prstGeom>
                    <a:noFill/>
                    <a:ln>
                      <a:solidFill>
                        <a:schemeClr val="tx1"/>
                      </a:solidFill>
                    </a:ln>
                  </pic:spPr>
                </pic:pic>
              </a:graphicData>
            </a:graphic>
          </wp:inline>
        </w:drawing>
      </w:r>
    </w:p>
    <w:p w:rsidR="00277ED2" w:rsidRPr="00611019" w:rsidRDefault="00E56462" w:rsidP="00035D2C">
      <w:pPr>
        <w:spacing w:after="6pt"/>
        <w:jc w:val="center"/>
        <w:rPr>
          <w:rFonts w:ascii="Century Gothic" w:hAnsi="Century Gothic" w:cs="Arial"/>
          <w:b/>
          <w:bCs/>
          <w:sz w:val="20"/>
          <w:szCs w:val="20"/>
        </w:rPr>
      </w:pPr>
      <w:r>
        <w:rPr>
          <w:rFonts w:ascii="Century Gothic" w:hAnsi="Century Gothic" w:cs="Arial"/>
          <w:b/>
          <w:bCs/>
          <w:sz w:val="20"/>
          <w:szCs w:val="20"/>
        </w:rPr>
        <w:t xml:space="preserve">Servicio Auxiliar de Cableado Multipar </w:t>
      </w:r>
    </w:p>
    <w:p w:rsidR="001746CB" w:rsidRPr="00611019" w:rsidRDefault="001746CB" w:rsidP="00035D2C">
      <w:pPr>
        <w:spacing w:after="6pt"/>
        <w:jc w:val="center"/>
        <w:rPr>
          <w:rFonts w:ascii="Century Gothic" w:hAnsi="Century Gothic" w:cs="Arial"/>
          <w:b/>
          <w:bCs/>
          <w:sz w:val="20"/>
          <w:szCs w:val="20"/>
        </w:rPr>
      </w:pPr>
    </w:p>
    <w:p w:rsidR="00277ED2" w:rsidRPr="00611019" w:rsidRDefault="00E56462" w:rsidP="00035D2C">
      <w:pPr>
        <w:pStyle w:val="Ttulo2"/>
        <w:spacing w:after="6pt"/>
        <w:ind w:start="0pt" w:firstLine="0pt"/>
        <w:rPr>
          <w:rFonts w:ascii="Century Gothic" w:hAnsi="Century Gothic"/>
        </w:rPr>
      </w:pPr>
      <w:bookmarkStart w:id="1605" w:name="_Toc525904630"/>
      <w:bookmarkStart w:id="1606" w:name="_Toc525914026"/>
      <w:bookmarkStart w:id="1607" w:name="_Toc525919265"/>
      <w:bookmarkStart w:id="1608" w:name="_Toc525919389"/>
      <w:bookmarkStart w:id="1609" w:name="_Toc2957199"/>
      <w:bookmarkStart w:id="1610" w:name="_Toc24473499"/>
      <w:bookmarkStart w:id="1611" w:name="_Toc24477627"/>
      <w:bookmarkStart w:id="1612" w:name="_Toc24483893"/>
      <w:bookmarkStart w:id="1613" w:name="_Toc26273127"/>
      <w:bookmarkStart w:id="1614" w:name="_Toc26284524"/>
      <w:bookmarkStart w:id="1615" w:name="_Toc26286279"/>
      <w:bookmarkStart w:id="1616" w:name="_Toc26903961"/>
      <w:bookmarkStart w:id="1617" w:name="_Toc43913203"/>
      <w:bookmarkStart w:id="1618" w:name="_Toc26980685"/>
      <w:bookmarkStart w:id="1619" w:name="_Toc53488539"/>
      <w:bookmarkStart w:id="1620" w:name="_Toc53490471"/>
      <w:bookmarkStart w:id="1621" w:name="_Toc53498479"/>
      <w:bookmarkStart w:id="1622" w:name="_Toc58578836"/>
      <w:bookmarkStart w:id="1623" w:name="_Toc92974062"/>
      <w:bookmarkStart w:id="1624" w:name="_Toc93052373"/>
      <w:bookmarkStart w:id="1625" w:name="_Toc93056328"/>
      <w:bookmarkStart w:id="1626" w:name="_Toc125393392"/>
      <w:bookmarkStart w:id="1627" w:name="_Toc148702248"/>
      <w:bookmarkStart w:id="1628" w:name="_Toc170381869"/>
      <w:r>
        <w:rPr>
          <w:rFonts w:ascii="Century Gothic" w:hAnsi="Century Gothic"/>
        </w:rPr>
        <w:t>10.1 Procedimientos de contratación, modificación y baja del Servicio Auxiliar de Cableado Multipar</w:t>
      </w:r>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r>
        <w:rPr>
          <w:rFonts w:ascii="Century Gothic" w:hAnsi="Century Gothic"/>
        </w:rPr>
        <w:t>.</w:t>
      </w:r>
    </w:p>
    <w:p w:rsidR="00277ED2" w:rsidRPr="00611019" w:rsidRDefault="00E56462" w:rsidP="00035D2C">
      <w:pPr>
        <w:pStyle w:val="IFTnormal"/>
        <w:rPr>
          <w:rFonts w:ascii="Century Gothic" w:hAnsi="Century Gothic"/>
        </w:rPr>
      </w:pPr>
      <w:r>
        <w:rPr>
          <w:rFonts w:ascii="Century Gothic" w:hAnsi="Century Gothic"/>
        </w:rPr>
        <w:t xml:space="preserve">Queda establecido que, mediante el envío de la solicitud, el CS consiente efectuar el pago por las actividades a realizar, así como por los elementos de cobro que conforman el servicio, en el momento que se indique en el procedimiento. Asimismo, si el CS rechaza el Servicio o decide no continuar con el procedimiento, deberá liquidar el monto generado por las actividades realizadas hasta el momento que decidió terminar el procedimiento. </w:t>
      </w:r>
    </w:p>
    <w:p w:rsidR="002F56DE" w:rsidRPr="00611019" w:rsidRDefault="002F56DE" w:rsidP="00035D2C">
      <w:pPr>
        <w:pStyle w:val="IFTnormal"/>
        <w:rPr>
          <w:rFonts w:ascii="Century Gothic" w:hAnsi="Century Gothic"/>
          <w:b/>
        </w:rPr>
      </w:pPr>
    </w:p>
    <w:p w:rsidR="002F56DE" w:rsidRPr="00611019" w:rsidRDefault="00E56462" w:rsidP="00035D2C">
      <w:pPr>
        <w:pStyle w:val="IFTnormal"/>
        <w:spacing w:after="6pt"/>
        <w:rPr>
          <w:rFonts w:ascii="Century Gothic" w:hAnsi="Century Gothic"/>
        </w:rPr>
      </w:pPr>
      <w:r>
        <w:rPr>
          <w:rFonts w:ascii="Century Gothic" w:hAnsi="Century Gothic"/>
          <w:b/>
        </w:rPr>
        <w:t>Procedimiento de contratación y entrega para cableado interno y externo (Cableado Multipar).</w:t>
      </w:r>
    </w:p>
    <w:p w:rsidR="00277ED2" w:rsidRPr="00611019" w:rsidRDefault="00E56462" w:rsidP="00035D2C">
      <w:pPr>
        <w:pStyle w:val="IFTnormal"/>
        <w:rPr>
          <w:rFonts w:ascii="Century Gothic" w:hAnsi="Century Gothic"/>
          <w:b/>
        </w:rPr>
      </w:pPr>
      <w:r>
        <w:rPr>
          <w:rFonts w:ascii="Century Gothic" w:hAnsi="Century Gothic"/>
        </w:rPr>
        <w:t xml:space="preserve">El objetivo y alcance de este procedimiento es definir los pasos y actividades a desarrollar por parte de RED NACIONAL y del CS, a fin de realizar la contratación y entrega del Servicio Auxiliar de Cableado Multipar; las fases en que se divide este procedimiento son: </w:t>
      </w:r>
      <w:r>
        <w:rPr>
          <w:rFonts w:ascii="Century Gothic" w:hAnsi="Century Gothic"/>
          <w:b/>
        </w:rPr>
        <w:t>(i)</w:t>
      </w:r>
      <w:r>
        <w:rPr>
          <w:rFonts w:ascii="Century Gothic" w:hAnsi="Century Gothic"/>
        </w:rPr>
        <w:t xml:space="preserve"> Envío y validación de la solicitud a través del SEG/SIPO confirmando que la solicitud cuenta con todos los elementos para la contratación del servicio; </w:t>
      </w:r>
      <w:r>
        <w:rPr>
          <w:rFonts w:ascii="Century Gothic" w:hAnsi="Century Gothic"/>
          <w:b/>
        </w:rPr>
        <w:t>(ii)</w:t>
      </w:r>
      <w:r>
        <w:rPr>
          <w:rFonts w:ascii="Century Gothic" w:hAnsi="Century Gothic"/>
        </w:rPr>
        <w:t xml:space="preserve"> Análisis de Factibilidad técnica a fin de que RED NACIONAL pueda verificar que cuenta con los elementos para brindar el Servicio solicitado; y </w:t>
      </w:r>
      <w:r>
        <w:rPr>
          <w:rFonts w:ascii="Century Gothic" w:hAnsi="Century Gothic"/>
          <w:b/>
        </w:rPr>
        <w:t>(iii)</w:t>
      </w:r>
      <w:r>
        <w:rPr>
          <w:rFonts w:ascii="Century Gothic" w:hAnsi="Century Gothic"/>
        </w:rPr>
        <w:t xml:space="preserve"> Habilitación y aprovisionamiento del Servicio solicitado, que detonará los procesos de pruebas de entrega y facturación.</w:t>
      </w:r>
    </w:p>
    <w:p w:rsidR="00C54990" w:rsidRPr="00611019" w:rsidRDefault="00C54990" w:rsidP="00035D2C">
      <w:pPr>
        <w:pStyle w:val="IFTnormal"/>
        <w:rPr>
          <w:rFonts w:ascii="Century Gothic" w:hAnsi="Century Gothic"/>
          <w:b/>
        </w:rPr>
      </w:pPr>
    </w:p>
    <w:tbl>
      <w:tblPr>
        <w:tblW w:w="99.0%" w:type="pct"/>
        <w:jc w:val="cente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1"/>
      </w:tblPr>
      <w:tblGrid>
        <w:gridCol w:w="2537"/>
        <w:gridCol w:w="6763"/>
      </w:tblGrid>
      <w:tr w:rsidR="0061711D" w:rsidTr="00C1712A">
        <w:trPr>
          <w:tblHeader/>
          <w:jc w:val="center"/>
        </w:trPr>
        <w:tc>
          <w:tcPr>
            <w:tcW w:w="27.0%" w:type="pct"/>
            <w:tcBorders>
              <w:top w:val="single" w:sz="4" w:space="0" w:color="auto"/>
              <w:start w:val="single" w:sz="4" w:space="0" w:color="auto"/>
              <w:bottom w:val="single" w:sz="4" w:space="0" w:color="auto"/>
              <w:end w:val="single" w:sz="4" w:space="0" w:color="auto"/>
            </w:tcBorders>
            <w:shd w:val="clear" w:color="auto" w:fill="009AD9"/>
            <w:hideMark/>
          </w:tcPr>
          <w:p w:rsidR="00C1712A" w:rsidRPr="00611019" w:rsidRDefault="00E56462" w:rsidP="00035D2C">
            <w:pPr>
              <w:spacing w:before="2pt" w:after="2pt"/>
              <w:jc w:val="center"/>
              <w:rPr>
                <w:rFonts w:ascii="Century Gothic" w:eastAsia="Calibri" w:hAnsi="Century Gothic" w:cs="Arial"/>
                <w:b/>
                <w:color w:val="FFFFFF" w:themeColor="background1"/>
                <w:sz w:val="20"/>
                <w:szCs w:val="20"/>
                <w:lang w:val="es-ES_tradnl" w:eastAsia="es-ES"/>
              </w:rPr>
            </w:pPr>
            <w:r>
              <w:rPr>
                <w:rFonts w:ascii="Century Gothic" w:eastAsia="Calibri" w:hAnsi="Century Gothic" w:cs="Arial"/>
                <w:b/>
                <w:color w:val="FFFFFF" w:themeColor="background1"/>
                <w:sz w:val="20"/>
                <w:szCs w:val="20"/>
                <w:lang w:val="es-ES_tradnl" w:eastAsia="es-ES"/>
              </w:rPr>
              <w:lastRenderedPageBreak/>
              <w:t>Etapa</w:t>
            </w:r>
          </w:p>
        </w:tc>
        <w:tc>
          <w:tcPr>
            <w:tcW w:w="72.0%" w:type="pct"/>
            <w:tcBorders>
              <w:top w:val="single" w:sz="4" w:space="0" w:color="auto"/>
              <w:start w:val="single" w:sz="4" w:space="0" w:color="auto"/>
              <w:bottom w:val="single" w:sz="4" w:space="0" w:color="auto"/>
              <w:end w:val="single" w:sz="4" w:space="0" w:color="auto"/>
            </w:tcBorders>
            <w:shd w:val="clear" w:color="auto" w:fill="009AD9"/>
            <w:hideMark/>
          </w:tcPr>
          <w:p w:rsidR="00C1712A" w:rsidRPr="00611019" w:rsidRDefault="00E56462" w:rsidP="00035D2C">
            <w:pPr>
              <w:spacing w:before="2pt" w:after="2pt"/>
              <w:jc w:val="center"/>
              <w:rPr>
                <w:rFonts w:ascii="Century Gothic" w:eastAsia="Calibri" w:hAnsi="Century Gothic" w:cs="Arial"/>
                <w:b/>
                <w:color w:val="FFFFFF" w:themeColor="background1"/>
                <w:sz w:val="20"/>
                <w:szCs w:val="20"/>
                <w:lang w:val="es-ES_tradnl" w:eastAsia="es-ES"/>
              </w:rPr>
            </w:pPr>
            <w:r>
              <w:rPr>
                <w:rFonts w:ascii="Century Gothic" w:eastAsia="Calibri" w:hAnsi="Century Gothic" w:cs="Arial"/>
                <w:b/>
                <w:color w:val="FFFFFF" w:themeColor="background1"/>
                <w:sz w:val="20"/>
                <w:szCs w:val="20"/>
                <w:lang w:val="es-ES_tradnl" w:eastAsia="es-ES"/>
              </w:rPr>
              <w:t>Descripción</w:t>
            </w:r>
          </w:p>
        </w:tc>
      </w:tr>
      <w:tr w:rsidR="0061711D" w:rsidTr="00C1712A">
        <w:trPr>
          <w:jc w:val="center"/>
        </w:trPr>
        <w:tc>
          <w:tcPr>
            <w:tcW w:w="27.0%" w:type="pct"/>
            <w:tcBorders>
              <w:top w:val="single" w:sz="4" w:space="0" w:color="auto"/>
              <w:start w:val="single" w:sz="4" w:space="0" w:color="auto"/>
              <w:bottom w:val="single" w:sz="4" w:space="0" w:color="auto"/>
              <w:end w:val="single" w:sz="4" w:space="0" w:color="auto"/>
            </w:tcBorders>
            <w:hideMark/>
          </w:tcPr>
          <w:p w:rsidR="00C1712A"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Envío y Validación de la solicitud</w:t>
            </w:r>
          </w:p>
        </w:tc>
        <w:tc>
          <w:tcPr>
            <w:tcW w:w="72.0%" w:type="pct"/>
            <w:tcBorders>
              <w:top w:val="single" w:sz="4" w:space="0" w:color="auto"/>
              <w:start w:val="single" w:sz="4" w:space="0" w:color="auto"/>
              <w:bottom w:val="single" w:sz="4" w:space="0" w:color="auto"/>
              <w:end w:val="single" w:sz="4" w:space="0" w:color="auto"/>
            </w:tcBorders>
            <w:hideMark/>
          </w:tcPr>
          <w:p w:rsidR="00C1712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CS deberá presentar su solicitud a través del SEG/SIPO, validando que cuenta con todos los criterios para que RED NACIONAL continúe con la etapa de análisis de Factibilidad Técnica.</w:t>
            </w:r>
          </w:p>
          <w:p w:rsidR="00C1712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Una vez enviada la solicitud el SEG/SIPO asignará de forma automática el Folio.</w:t>
            </w:r>
          </w:p>
        </w:tc>
      </w:tr>
      <w:tr w:rsidR="0061711D" w:rsidTr="00C1712A">
        <w:trPr>
          <w:jc w:val="center"/>
        </w:trPr>
        <w:tc>
          <w:tcPr>
            <w:tcW w:w="27.0%" w:type="pct"/>
            <w:tcBorders>
              <w:top w:val="single" w:sz="4" w:space="0" w:color="auto"/>
              <w:start w:val="single" w:sz="4" w:space="0" w:color="auto"/>
              <w:bottom w:val="single" w:sz="4" w:space="0" w:color="auto"/>
              <w:end w:val="single" w:sz="4" w:space="0" w:color="auto"/>
            </w:tcBorders>
            <w:hideMark/>
          </w:tcPr>
          <w:p w:rsidR="00C1712A"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Factibilidad Técnica</w:t>
            </w:r>
          </w:p>
        </w:tc>
        <w:tc>
          <w:tcPr>
            <w:tcW w:w="72.0%" w:type="pct"/>
            <w:tcBorders>
              <w:top w:val="single" w:sz="4" w:space="0" w:color="auto"/>
              <w:start w:val="single" w:sz="4" w:space="0" w:color="auto"/>
              <w:bottom w:val="single" w:sz="4" w:space="0" w:color="auto"/>
              <w:end w:val="single" w:sz="4" w:space="0" w:color="auto"/>
            </w:tcBorders>
          </w:tcPr>
          <w:p w:rsidR="00C1712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Durante el análisis de Factibilidad Técnica, RED NACIONAL determinará si existen los recursos técnicos y facilidades para habilitar los Servicios solicitados, lo cual realizará dentro del plazo establecido más adelante:</w:t>
            </w:r>
          </w:p>
          <w:p w:rsidR="00C1712A" w:rsidRPr="00611019" w:rsidRDefault="00C1712A" w:rsidP="00035D2C">
            <w:pPr>
              <w:spacing w:before="2pt" w:after="2pt"/>
              <w:jc w:val="both"/>
              <w:rPr>
                <w:rFonts w:ascii="Century Gothic" w:eastAsia="Calibri" w:hAnsi="Century Gothic" w:cs="Arial"/>
                <w:color w:val="000000"/>
                <w:sz w:val="20"/>
                <w:szCs w:val="20"/>
                <w:lang w:val="es-ES_tradnl" w:eastAsia="es-ES"/>
              </w:rPr>
            </w:pPr>
          </w:p>
          <w:p w:rsidR="00C1712A" w:rsidRPr="00611019" w:rsidRDefault="00E56462">
            <w:pPr>
              <w:numPr>
                <w:ilvl w:val="0"/>
                <w:numId w:val="102"/>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b/>
                <w:color w:val="000000"/>
                <w:sz w:val="20"/>
                <w:szCs w:val="20"/>
                <w:lang w:val="es-ES_tradnl" w:eastAsia="es-ES"/>
              </w:rPr>
              <w:t>Existen facilidades</w:t>
            </w:r>
            <w:r>
              <w:rPr>
                <w:rFonts w:ascii="Century Gothic" w:eastAsia="Calibri" w:hAnsi="Century Gothic" w:cs="Arial"/>
                <w:color w:val="000000"/>
                <w:sz w:val="20"/>
                <w:szCs w:val="20"/>
                <w:lang w:val="es-ES_tradnl" w:eastAsia="es-ES"/>
              </w:rPr>
              <w:t xml:space="preserve">, RED NACIONAL enviará la cotización correspondiente al CS, que deberá incluir el detalle de los insumos requeridos para la instalación del cableado y como mínimo lo siguientes elementos: desglose de conceptos, unidad de medida, cantidad por unidad de medida, precio unitario, precio total, longitud de cableado por metro lineal, tipo de cableado, trabajos de obra civil, mano de obra, así como el tiempo de implementación. </w:t>
            </w:r>
          </w:p>
          <w:p w:rsidR="00C1712A" w:rsidRPr="00611019" w:rsidRDefault="00C1712A" w:rsidP="00035D2C">
            <w:pPr>
              <w:spacing w:before="2pt" w:after="2pt"/>
              <w:ind w:start="36pt"/>
              <w:jc w:val="both"/>
              <w:rPr>
                <w:rFonts w:ascii="Century Gothic" w:eastAsia="Calibri" w:hAnsi="Century Gothic" w:cs="Arial"/>
                <w:color w:val="000000"/>
                <w:sz w:val="20"/>
                <w:szCs w:val="20"/>
                <w:lang w:val="es-ES_tradnl" w:eastAsia="es-ES"/>
              </w:rPr>
            </w:pPr>
          </w:p>
          <w:p w:rsidR="00C1712A" w:rsidRPr="00611019" w:rsidRDefault="00E56462" w:rsidP="00035D2C">
            <w:pPr>
              <w:spacing w:before="2pt" w:after="2pt"/>
              <w:ind w:start="36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En un plazo máximo de diez días el CS deberá aceptar la cotización</w:t>
            </w:r>
            <w:r>
              <w:rPr>
                <w:rFonts w:ascii="Century Gothic" w:eastAsia="Calibri" w:hAnsi="Century Gothic" w:cs="Arial"/>
                <w:color w:val="000000"/>
                <w:sz w:val="20"/>
                <w:szCs w:val="20"/>
                <w:vertAlign w:val="superscript"/>
                <w:lang w:val="es-ES_tradnl" w:eastAsia="es-ES"/>
              </w:rPr>
              <w:footnoteReference w:id="34"/>
            </w:r>
            <w:r>
              <w:rPr>
                <w:rFonts w:ascii="Century Gothic" w:eastAsia="Calibri" w:hAnsi="Century Gothic" w:cs="Arial"/>
                <w:color w:val="000000"/>
                <w:sz w:val="20"/>
                <w:szCs w:val="20"/>
                <w:lang w:val="es-ES_tradnl" w:eastAsia="es-ES"/>
              </w:rPr>
              <w:t xml:space="preserve"> vía SEG/SIPO y/o solicitar a </w:t>
            </w:r>
            <w:r>
              <w:rPr>
                <w:rFonts w:ascii="Century Gothic" w:eastAsia="Calibri" w:hAnsi="Century Gothic" w:cs="Arial"/>
                <w:color w:val="000000"/>
                <w:spacing w:val="-3"/>
                <w:sz w:val="20"/>
                <w:szCs w:val="20"/>
                <w:lang w:val="es-ES_tradnl" w:eastAsia="es-ES"/>
              </w:rPr>
              <w:t>RED NACIONAL</w:t>
            </w:r>
            <w:r>
              <w:rPr>
                <w:rFonts w:ascii="Century Gothic" w:eastAsia="Calibri" w:hAnsi="Century Gothic" w:cs="Arial"/>
                <w:color w:val="000000"/>
                <w:sz w:val="20"/>
                <w:szCs w:val="20"/>
                <w:lang w:val="es-ES_tradnl" w:eastAsia="es-ES"/>
              </w:rPr>
              <w:t xml:space="preserve"> la revisión o aclaración de cotización, en caso de no recibir respuesta se entenderá que se rechaza el servicio, concluyendo el proceso y se emitirá la factura correspondiente por la elaboración del proyecto</w:t>
            </w:r>
            <w:r>
              <w:rPr>
                <w:rFonts w:ascii="Century Gothic" w:eastAsia="Calibri" w:hAnsi="Century Gothic" w:cs="Arial"/>
                <w:color w:val="000000"/>
                <w:sz w:val="20"/>
                <w:szCs w:val="20"/>
                <w:vertAlign w:val="superscript"/>
                <w:lang w:val="es-ES_tradnl" w:eastAsia="es-ES"/>
              </w:rPr>
              <w:footnoteReference w:id="35"/>
            </w:r>
            <w:r>
              <w:rPr>
                <w:rFonts w:ascii="Century Gothic" w:eastAsia="Calibri" w:hAnsi="Century Gothic" w:cs="Arial"/>
                <w:color w:val="000000"/>
                <w:sz w:val="20"/>
                <w:szCs w:val="20"/>
                <w:lang w:val="es-ES_tradnl" w:eastAsia="es-ES"/>
              </w:rPr>
              <w:t>.</w:t>
            </w:r>
          </w:p>
          <w:p w:rsidR="00C1712A" w:rsidRPr="00611019" w:rsidRDefault="00C1712A" w:rsidP="00035D2C">
            <w:pPr>
              <w:spacing w:before="2pt" w:after="2pt"/>
              <w:ind w:start="36pt"/>
              <w:jc w:val="both"/>
              <w:rPr>
                <w:rFonts w:ascii="Century Gothic" w:eastAsia="Calibri" w:hAnsi="Century Gothic" w:cs="Arial"/>
                <w:color w:val="000000"/>
                <w:sz w:val="20"/>
                <w:szCs w:val="20"/>
                <w:lang w:val="es-ES_tradnl" w:eastAsia="es-ES"/>
              </w:rPr>
            </w:pPr>
          </w:p>
          <w:p w:rsidR="00C1712A" w:rsidRPr="00611019" w:rsidRDefault="00E56462">
            <w:pPr>
              <w:numPr>
                <w:ilvl w:val="0"/>
                <w:numId w:val="102"/>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b/>
                <w:color w:val="000000"/>
                <w:sz w:val="20"/>
                <w:szCs w:val="20"/>
                <w:lang w:val="es-ES_tradnl" w:eastAsia="es-ES"/>
              </w:rPr>
              <w:t>No existen facilidades</w:t>
            </w:r>
            <w:r>
              <w:rPr>
                <w:rFonts w:ascii="Century Gothic" w:eastAsia="Calibri" w:hAnsi="Century Gothic" w:cs="Arial"/>
                <w:color w:val="000000"/>
                <w:sz w:val="20"/>
                <w:szCs w:val="20"/>
                <w:lang w:val="es-ES_tradnl" w:eastAsia="es-ES"/>
              </w:rPr>
              <w:t>, se presentará al CS, a través del SEG/SIPO, la justificación de los motivos descritos en el apartado 1 de esta Oferta, así como las evidencias correspondientes. En este caso RED NACIONAL, a solicitud del CS podrá iniciar el procedimiento de Trabajos Especiales limitándose a los plazos establecidos en esta.</w:t>
            </w:r>
          </w:p>
        </w:tc>
      </w:tr>
      <w:tr w:rsidR="0061711D" w:rsidTr="00C1712A">
        <w:trPr>
          <w:jc w:val="center"/>
        </w:trPr>
        <w:tc>
          <w:tcPr>
            <w:tcW w:w="27.0%" w:type="pct"/>
            <w:tcBorders>
              <w:top w:val="single" w:sz="4" w:space="0" w:color="auto"/>
              <w:start w:val="single" w:sz="4" w:space="0" w:color="auto"/>
              <w:bottom w:val="single" w:sz="4" w:space="0" w:color="auto"/>
              <w:end w:val="single" w:sz="4" w:space="0" w:color="auto"/>
            </w:tcBorders>
            <w:hideMark/>
          </w:tcPr>
          <w:p w:rsidR="00C1712A"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Habilitación y aprovisionamiento del Servicio</w:t>
            </w:r>
          </w:p>
        </w:tc>
        <w:tc>
          <w:tcPr>
            <w:tcW w:w="72.0%" w:type="pct"/>
            <w:tcBorders>
              <w:top w:val="single" w:sz="4" w:space="0" w:color="auto"/>
              <w:start w:val="single" w:sz="4" w:space="0" w:color="auto"/>
              <w:bottom w:val="single" w:sz="4" w:space="0" w:color="auto"/>
              <w:end w:val="single" w:sz="4" w:space="0" w:color="auto"/>
            </w:tcBorders>
          </w:tcPr>
          <w:p w:rsidR="00C1712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Una vez aceptada la cotización por parte del CS:</w:t>
            </w:r>
          </w:p>
          <w:p w:rsidR="00C1712A" w:rsidRPr="00611019" w:rsidRDefault="00C1712A" w:rsidP="00035D2C">
            <w:pPr>
              <w:spacing w:before="2pt" w:after="2pt"/>
              <w:jc w:val="both"/>
              <w:rPr>
                <w:rFonts w:ascii="Century Gothic" w:eastAsia="Calibri" w:hAnsi="Century Gothic" w:cs="Arial"/>
                <w:color w:val="000000"/>
                <w:sz w:val="20"/>
                <w:szCs w:val="20"/>
                <w:lang w:val="es-ES_tradnl" w:eastAsia="es-ES"/>
              </w:rPr>
            </w:pPr>
          </w:p>
          <w:p w:rsidR="00C1712A" w:rsidRPr="00611019" w:rsidRDefault="00E56462">
            <w:pPr>
              <w:numPr>
                <w:ilvl w:val="0"/>
                <w:numId w:val="102"/>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Se habilitará el Servicio de conformidad con el tipo de Coubicación del CS. Si el Cableado fue solicitado junto con Coubicación se habilitará en el plazo de entrega del servicio.</w:t>
            </w:r>
          </w:p>
        </w:tc>
      </w:tr>
      <w:tr w:rsidR="0061711D" w:rsidTr="00C1712A">
        <w:trPr>
          <w:jc w:val="center"/>
        </w:trPr>
        <w:tc>
          <w:tcPr>
            <w:tcW w:w="27.0%" w:type="pct"/>
            <w:tcBorders>
              <w:top w:val="single" w:sz="4" w:space="0" w:color="auto"/>
              <w:start w:val="single" w:sz="4" w:space="0" w:color="auto"/>
              <w:bottom w:val="single" w:sz="4" w:space="0" w:color="auto"/>
              <w:end w:val="single" w:sz="4" w:space="0" w:color="auto"/>
            </w:tcBorders>
            <w:hideMark/>
          </w:tcPr>
          <w:p w:rsidR="00C1712A"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lastRenderedPageBreak/>
              <w:t>Pruebas de Aceptación del Servicio</w:t>
            </w:r>
          </w:p>
        </w:tc>
        <w:tc>
          <w:tcPr>
            <w:tcW w:w="72.0%" w:type="pct"/>
            <w:tcBorders>
              <w:top w:val="single" w:sz="4" w:space="0" w:color="auto"/>
              <w:start w:val="single" w:sz="4" w:space="0" w:color="auto"/>
              <w:bottom w:val="single" w:sz="4" w:space="0" w:color="auto"/>
              <w:end w:val="single" w:sz="4" w:space="0" w:color="auto"/>
            </w:tcBorders>
            <w:hideMark/>
          </w:tcPr>
          <w:p w:rsidR="00C1712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Una vez instalado el Servicio se le notificará al CS</w:t>
            </w:r>
          </w:p>
        </w:tc>
      </w:tr>
      <w:tr w:rsidR="0061711D" w:rsidTr="00C1712A">
        <w:trPr>
          <w:jc w:val="center"/>
        </w:trPr>
        <w:tc>
          <w:tcPr>
            <w:tcW w:w="27.0%" w:type="pct"/>
            <w:tcBorders>
              <w:top w:val="single" w:sz="4" w:space="0" w:color="auto"/>
              <w:start w:val="single" w:sz="4" w:space="0" w:color="auto"/>
              <w:bottom w:val="single" w:sz="4" w:space="0" w:color="auto"/>
              <w:end w:val="single" w:sz="4" w:space="0" w:color="auto"/>
            </w:tcBorders>
            <w:hideMark/>
          </w:tcPr>
          <w:p w:rsidR="00C1712A"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Facturación</w:t>
            </w:r>
          </w:p>
        </w:tc>
        <w:tc>
          <w:tcPr>
            <w:tcW w:w="72.0%" w:type="pct"/>
            <w:tcBorders>
              <w:top w:val="single" w:sz="4" w:space="0" w:color="auto"/>
              <w:start w:val="single" w:sz="4" w:space="0" w:color="auto"/>
              <w:bottom w:val="single" w:sz="4" w:space="0" w:color="auto"/>
              <w:end w:val="single" w:sz="4" w:space="0" w:color="auto"/>
            </w:tcBorders>
          </w:tcPr>
          <w:p w:rsidR="00C1712A" w:rsidRPr="00611019" w:rsidRDefault="00E56462" w:rsidP="00035D2C">
            <w:pPr>
              <w:spacing w:before="2pt" w:after="6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Al corte del mes se realizará la facturación aplicable al servicio:</w:t>
            </w:r>
          </w:p>
          <w:p w:rsidR="00C1712A" w:rsidRPr="00611019" w:rsidRDefault="00E56462">
            <w:pPr>
              <w:numPr>
                <w:ilvl w:val="0"/>
                <w:numId w:val="103"/>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Se incluirán los gastos de instalación o habilitación y la renta mensual correspondiente.</w:t>
            </w:r>
          </w:p>
          <w:p w:rsidR="00C1712A" w:rsidRPr="00611019" w:rsidRDefault="00E56462">
            <w:pPr>
              <w:numPr>
                <w:ilvl w:val="0"/>
                <w:numId w:val="103"/>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CS contará con la posibilidad de solicitar ajustes o aclaraciones respecto a los conceptos y Servicios incluidos en su factura.</w:t>
            </w:r>
          </w:p>
        </w:tc>
      </w:tr>
    </w:tbl>
    <w:p w:rsidR="00C1712A" w:rsidRPr="00611019" w:rsidRDefault="00C1712A" w:rsidP="00035D2C">
      <w:pPr>
        <w:pStyle w:val="IFTnormal"/>
        <w:spacing w:after="6pt"/>
        <w:rPr>
          <w:rFonts w:ascii="Century Gothic" w:hAnsi="Century Gothic"/>
          <w:b/>
          <w:lang w:val="es-MX"/>
        </w:rPr>
      </w:pPr>
    </w:p>
    <w:p w:rsidR="00C1712A" w:rsidRPr="00611019" w:rsidRDefault="00E56462" w:rsidP="00035D2C">
      <w:pPr>
        <w:spacing w:before="2pt" w:after="6pt"/>
        <w:jc w:val="both"/>
        <w:rPr>
          <w:rFonts w:ascii="Century Gothic" w:eastAsia="Calibri" w:hAnsi="Century Gothic" w:cs="Times New Roman"/>
          <w:b/>
        </w:rPr>
      </w:pPr>
      <w:r>
        <w:rPr>
          <w:rFonts w:ascii="Century Gothic" w:eastAsia="Calibri" w:hAnsi="Century Gothic" w:cs="Times New Roman"/>
          <w:b/>
        </w:rPr>
        <w:t>Procedimiento de contratación y entrega a Ubicación Distante (Cableado Multipar).</w:t>
      </w:r>
    </w:p>
    <w:p w:rsidR="00C1712A" w:rsidRPr="00611019" w:rsidRDefault="00E56462" w:rsidP="00035D2C">
      <w:pPr>
        <w:spacing w:after="6pt"/>
        <w:jc w:val="both"/>
        <w:rPr>
          <w:rFonts w:eastAsia="Calibri" w:cs="Arial"/>
          <w:color w:val="000000"/>
          <w:lang w:val="es-ES_tradnl" w:eastAsia="es-ES"/>
        </w:rPr>
      </w:pPr>
      <w:r>
        <w:rPr>
          <w:rFonts w:ascii="Century Gothic" w:eastAsia="Calibri" w:hAnsi="Century Gothic" w:cs="Arial"/>
          <w:color w:val="000000"/>
          <w:lang w:val="es-ES_tradnl" w:eastAsia="es-ES"/>
        </w:rPr>
        <w:t xml:space="preserve">El objetivo y alcance de este procedimiento es definir los pasos y actividades a desarrollar por parte de RED NACIONAL y del CS, a fin de realizar la contratación y entrega del Servicio Auxiliar de Cableado Multipar; las fases en que se divide este procedimiento son: </w:t>
      </w:r>
      <w:r>
        <w:rPr>
          <w:rFonts w:ascii="Century Gothic" w:eastAsia="Calibri" w:hAnsi="Century Gothic" w:cs="Arial"/>
          <w:b/>
          <w:color w:val="000000"/>
          <w:lang w:val="es-ES_tradnl" w:eastAsia="es-ES"/>
        </w:rPr>
        <w:t>(i)</w:t>
      </w:r>
      <w:r>
        <w:rPr>
          <w:rFonts w:ascii="Century Gothic" w:eastAsia="Calibri" w:hAnsi="Century Gothic" w:cs="Arial"/>
          <w:color w:val="000000"/>
          <w:lang w:val="es-ES_tradnl" w:eastAsia="es-ES"/>
        </w:rPr>
        <w:t xml:space="preserve"> Envío y validación de la solicitud a través del SEG/SIPO confirmando que la solicitud cuenta con todos los elementos para la contratación del servicio; </w:t>
      </w:r>
      <w:r>
        <w:rPr>
          <w:rFonts w:ascii="Century Gothic" w:eastAsia="Calibri" w:hAnsi="Century Gothic" w:cs="Arial"/>
          <w:b/>
          <w:color w:val="000000"/>
          <w:lang w:val="es-ES_tradnl" w:eastAsia="es-ES"/>
        </w:rPr>
        <w:t>(ii)</w:t>
      </w:r>
      <w:r>
        <w:rPr>
          <w:rFonts w:ascii="Century Gothic" w:eastAsia="Calibri" w:hAnsi="Century Gothic" w:cs="Arial"/>
          <w:color w:val="000000"/>
          <w:lang w:val="es-ES_tradnl" w:eastAsia="es-ES"/>
        </w:rPr>
        <w:t xml:space="preserve"> Análisis de Factibilidad técnica a fin de que RED NACIONAL pueda verificar que cuenta con los elementos para brindar el Servicio solicitado; y </w:t>
      </w:r>
      <w:r>
        <w:rPr>
          <w:rFonts w:ascii="Century Gothic" w:eastAsia="Calibri" w:hAnsi="Century Gothic" w:cs="Arial"/>
          <w:b/>
          <w:color w:val="000000"/>
          <w:lang w:val="es-ES_tradnl" w:eastAsia="es-ES"/>
        </w:rPr>
        <w:t>(iii)</w:t>
      </w:r>
      <w:r>
        <w:rPr>
          <w:rFonts w:ascii="Century Gothic" w:eastAsia="Calibri" w:hAnsi="Century Gothic" w:cs="Arial"/>
          <w:color w:val="000000"/>
          <w:lang w:val="es-ES_tradnl" w:eastAsia="es-ES"/>
        </w:rPr>
        <w:t xml:space="preserve"> Habilitación y aprovisionamiento del Servicio solicitado, que detonará los procesos de pruebas de entrega y facturación.</w:t>
      </w:r>
    </w:p>
    <w:tbl>
      <w:tblPr>
        <w:tblW w:w="99.0%" w:type="pct"/>
        <w:jc w:val="cente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1"/>
      </w:tblPr>
      <w:tblGrid>
        <w:gridCol w:w="2021"/>
        <w:gridCol w:w="7279"/>
      </w:tblGrid>
      <w:tr w:rsidR="0061711D" w:rsidTr="00C1712A">
        <w:trPr>
          <w:tblHeader/>
          <w:jc w:val="center"/>
        </w:trPr>
        <w:tc>
          <w:tcPr>
            <w:tcW w:w="21.0%" w:type="pct"/>
            <w:tcBorders>
              <w:top w:val="single" w:sz="4" w:space="0" w:color="auto"/>
              <w:start w:val="single" w:sz="4" w:space="0" w:color="auto"/>
              <w:bottom w:val="single" w:sz="4" w:space="0" w:color="auto"/>
              <w:end w:val="single" w:sz="4" w:space="0" w:color="auto"/>
            </w:tcBorders>
            <w:shd w:val="clear" w:color="auto" w:fill="009AD9"/>
            <w:hideMark/>
          </w:tcPr>
          <w:p w:rsidR="00C1712A" w:rsidRPr="00611019" w:rsidRDefault="00E56462" w:rsidP="00035D2C">
            <w:pPr>
              <w:spacing w:after="6pt"/>
              <w:jc w:val="center"/>
              <w:rPr>
                <w:rFonts w:ascii="Century Gothic" w:eastAsia="Calibri" w:hAnsi="Century Gothic" w:cs="Arial"/>
                <w:b/>
                <w:color w:val="FFFFFF" w:themeColor="background1"/>
                <w:sz w:val="20"/>
                <w:szCs w:val="20"/>
                <w:lang w:val="es-ES_tradnl" w:eastAsia="es-ES"/>
              </w:rPr>
            </w:pPr>
            <w:r>
              <w:rPr>
                <w:rFonts w:ascii="Century Gothic" w:eastAsia="Calibri" w:hAnsi="Century Gothic" w:cs="Arial"/>
                <w:b/>
                <w:color w:val="FFFFFF" w:themeColor="background1"/>
                <w:sz w:val="20"/>
                <w:szCs w:val="20"/>
                <w:lang w:val="es-ES_tradnl" w:eastAsia="es-ES"/>
              </w:rPr>
              <w:t>Etapa</w:t>
            </w:r>
          </w:p>
        </w:tc>
        <w:tc>
          <w:tcPr>
            <w:tcW w:w="78.0%" w:type="pct"/>
            <w:tcBorders>
              <w:top w:val="single" w:sz="4" w:space="0" w:color="auto"/>
              <w:start w:val="single" w:sz="4" w:space="0" w:color="auto"/>
              <w:bottom w:val="single" w:sz="4" w:space="0" w:color="auto"/>
              <w:end w:val="single" w:sz="4" w:space="0" w:color="auto"/>
            </w:tcBorders>
            <w:shd w:val="clear" w:color="auto" w:fill="009AD9"/>
            <w:hideMark/>
          </w:tcPr>
          <w:p w:rsidR="00C1712A" w:rsidRPr="00611019" w:rsidRDefault="00E56462" w:rsidP="00035D2C">
            <w:pPr>
              <w:spacing w:after="6pt"/>
              <w:jc w:val="center"/>
              <w:rPr>
                <w:rFonts w:ascii="Century Gothic" w:eastAsia="Calibri" w:hAnsi="Century Gothic" w:cs="Arial"/>
                <w:b/>
                <w:color w:val="FFFFFF" w:themeColor="background1"/>
                <w:sz w:val="20"/>
                <w:szCs w:val="20"/>
                <w:lang w:val="es-ES_tradnl" w:eastAsia="es-ES"/>
              </w:rPr>
            </w:pPr>
            <w:r>
              <w:rPr>
                <w:rFonts w:ascii="Century Gothic" w:eastAsia="Calibri" w:hAnsi="Century Gothic" w:cs="Arial"/>
                <w:b/>
                <w:color w:val="FFFFFF" w:themeColor="background1"/>
                <w:sz w:val="20"/>
                <w:szCs w:val="20"/>
                <w:lang w:val="es-ES_tradnl" w:eastAsia="es-ES"/>
              </w:rPr>
              <w:t>Descripción</w:t>
            </w:r>
          </w:p>
        </w:tc>
      </w:tr>
      <w:tr w:rsidR="0061711D" w:rsidTr="00C1712A">
        <w:trPr>
          <w:jc w:val="center"/>
        </w:trPr>
        <w:tc>
          <w:tcPr>
            <w:tcW w:w="21.0%" w:type="pct"/>
            <w:tcBorders>
              <w:top w:val="single" w:sz="4" w:space="0" w:color="auto"/>
              <w:start w:val="single" w:sz="4" w:space="0" w:color="auto"/>
              <w:bottom w:val="single" w:sz="4" w:space="0" w:color="auto"/>
              <w:end w:val="single" w:sz="4" w:space="0" w:color="auto"/>
            </w:tcBorders>
            <w:hideMark/>
          </w:tcPr>
          <w:p w:rsidR="00C1712A"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Envío y Validación de la solicitud</w:t>
            </w:r>
          </w:p>
        </w:tc>
        <w:tc>
          <w:tcPr>
            <w:tcW w:w="78.0%" w:type="pct"/>
            <w:tcBorders>
              <w:top w:val="single" w:sz="4" w:space="0" w:color="auto"/>
              <w:start w:val="single" w:sz="4" w:space="0" w:color="auto"/>
              <w:bottom w:val="single" w:sz="4" w:space="0" w:color="auto"/>
              <w:end w:val="single" w:sz="4" w:space="0" w:color="auto"/>
            </w:tcBorders>
          </w:tcPr>
          <w:p w:rsidR="00C1712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CS deberá presentar su solicitud a través del SEG/SIPO, validando que cuenta con todos los criterios para que RED NACIONAL continúe con la etapa de análisis de Factibilidad Técnica.</w:t>
            </w:r>
          </w:p>
          <w:p w:rsidR="00C1712A" w:rsidRPr="00611019" w:rsidRDefault="00C1712A" w:rsidP="00035D2C">
            <w:pPr>
              <w:spacing w:before="2pt" w:after="2pt"/>
              <w:jc w:val="both"/>
              <w:rPr>
                <w:rFonts w:ascii="Century Gothic" w:eastAsia="Calibri" w:hAnsi="Century Gothic" w:cs="Arial"/>
                <w:color w:val="000000"/>
                <w:sz w:val="20"/>
                <w:szCs w:val="20"/>
                <w:lang w:val="es-ES_tradnl" w:eastAsia="es-ES"/>
              </w:rPr>
            </w:pPr>
          </w:p>
          <w:p w:rsidR="00C1712A" w:rsidRPr="00611019" w:rsidRDefault="00E56462" w:rsidP="00035D2C">
            <w:pPr>
              <w:spacing w:before="2pt" w:after="2pt"/>
              <w:ind w:start="1.70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Una vez enviada la solicitud el SEG/SIPO asignará de forma automática el Folio.</w:t>
            </w:r>
          </w:p>
        </w:tc>
      </w:tr>
      <w:tr w:rsidR="0061711D" w:rsidTr="00C1712A">
        <w:trPr>
          <w:jc w:val="center"/>
        </w:trPr>
        <w:tc>
          <w:tcPr>
            <w:tcW w:w="21.0%" w:type="pct"/>
            <w:tcBorders>
              <w:top w:val="single" w:sz="4" w:space="0" w:color="auto"/>
              <w:start w:val="single" w:sz="4" w:space="0" w:color="auto"/>
              <w:bottom w:val="single" w:sz="4" w:space="0" w:color="auto"/>
              <w:end w:val="single" w:sz="4" w:space="0" w:color="auto"/>
            </w:tcBorders>
            <w:hideMark/>
          </w:tcPr>
          <w:p w:rsidR="00C1712A"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Factibilidad Técnica</w:t>
            </w:r>
          </w:p>
        </w:tc>
        <w:tc>
          <w:tcPr>
            <w:tcW w:w="78.0%" w:type="pct"/>
            <w:tcBorders>
              <w:top w:val="single" w:sz="4" w:space="0" w:color="auto"/>
              <w:start w:val="single" w:sz="4" w:space="0" w:color="auto"/>
              <w:bottom w:val="single" w:sz="4" w:space="0" w:color="auto"/>
              <w:end w:val="single" w:sz="4" w:space="0" w:color="auto"/>
            </w:tcBorders>
          </w:tcPr>
          <w:p w:rsidR="00C1712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Durante el análisis de Factibilidad Técnica, RED NACIONAL determinará si existen los recursos técnicos y facilidades para habilitar los Servicios solicitados en el plazo establecido:</w:t>
            </w:r>
          </w:p>
          <w:p w:rsidR="00C1712A" w:rsidRPr="00611019" w:rsidRDefault="00C1712A" w:rsidP="00035D2C">
            <w:pPr>
              <w:spacing w:before="2pt" w:after="2pt"/>
              <w:jc w:val="both"/>
              <w:rPr>
                <w:rFonts w:ascii="Century Gothic" w:eastAsia="Calibri" w:hAnsi="Century Gothic" w:cs="Arial"/>
                <w:color w:val="000000"/>
                <w:sz w:val="20"/>
                <w:szCs w:val="20"/>
                <w:lang w:val="es-ES_tradnl" w:eastAsia="es-ES"/>
              </w:rPr>
            </w:pPr>
          </w:p>
          <w:p w:rsidR="00C1712A" w:rsidRPr="00611019" w:rsidRDefault="00E56462">
            <w:pPr>
              <w:numPr>
                <w:ilvl w:val="0"/>
                <w:numId w:val="104"/>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b/>
                <w:color w:val="000000"/>
                <w:sz w:val="20"/>
                <w:szCs w:val="20"/>
                <w:lang w:val="es-ES_tradnl" w:eastAsia="es-ES"/>
              </w:rPr>
              <w:t>Existen facilidades</w:t>
            </w:r>
            <w:r>
              <w:rPr>
                <w:rFonts w:ascii="Century Gothic" w:eastAsia="Calibri" w:hAnsi="Century Gothic" w:cs="Arial"/>
                <w:color w:val="000000"/>
                <w:sz w:val="20"/>
                <w:szCs w:val="20"/>
                <w:lang w:val="es-ES_tradnl" w:eastAsia="es-ES"/>
              </w:rPr>
              <w:t xml:space="preserve">, RED NACIONAL enviará la cotización correspondiente al CS, que deberá incluir el detalle de los insumos requeridos para la instalación del cableado y como mínimo lo siguientes elementos: desglose de conceptos, unidad de medida, cantidad por unidad de medida, precio unitario, precio total, longitud de cableado por metro lineal, tipo de cableado, trabajos de obra civil, mano de obra, así como el tiempo de implementación. </w:t>
            </w:r>
          </w:p>
          <w:p w:rsidR="00C1712A" w:rsidRPr="00611019" w:rsidRDefault="00C1712A" w:rsidP="00035D2C">
            <w:pPr>
              <w:spacing w:before="2pt" w:after="2pt"/>
              <w:ind w:start="36pt"/>
              <w:jc w:val="both"/>
              <w:rPr>
                <w:rFonts w:ascii="Century Gothic" w:eastAsia="Calibri" w:hAnsi="Century Gothic" w:cs="Arial"/>
                <w:color w:val="000000"/>
                <w:sz w:val="20"/>
                <w:szCs w:val="20"/>
                <w:lang w:val="es-ES_tradnl" w:eastAsia="es-ES"/>
              </w:rPr>
            </w:pPr>
          </w:p>
          <w:p w:rsidR="00C1712A" w:rsidRPr="00611019" w:rsidRDefault="00E56462" w:rsidP="00035D2C">
            <w:pPr>
              <w:spacing w:before="2pt" w:after="2pt"/>
              <w:ind w:start="36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lastRenderedPageBreak/>
              <w:t>En un plazo máximo de diez días hábiles el CS deberá aceptar la cotización</w:t>
            </w:r>
            <w:r>
              <w:rPr>
                <w:rFonts w:ascii="Century Gothic" w:eastAsia="Calibri" w:hAnsi="Century Gothic" w:cs="Arial"/>
                <w:color w:val="000000"/>
                <w:sz w:val="20"/>
                <w:szCs w:val="20"/>
                <w:vertAlign w:val="superscript"/>
                <w:lang w:val="es-ES_tradnl" w:eastAsia="es-ES"/>
              </w:rPr>
              <w:footnoteReference w:id="36"/>
            </w:r>
            <w:r>
              <w:rPr>
                <w:rFonts w:ascii="Century Gothic" w:eastAsia="Calibri" w:hAnsi="Century Gothic" w:cs="Arial"/>
                <w:color w:val="000000"/>
                <w:sz w:val="20"/>
                <w:szCs w:val="20"/>
                <w:lang w:val="es-ES_tradnl" w:eastAsia="es-ES"/>
              </w:rPr>
              <w:t xml:space="preserve"> vía SEG/SIPO y/o solicitar a RED NACIONAL la revisión o aclaración de cotización, en caso de no recibir respuesta se entenderá que se rechaza el Servicio concluyendo el proceso y se emitirá la factura correspondiente por la elaboración del proyecto</w:t>
            </w:r>
            <w:r>
              <w:rPr>
                <w:rFonts w:ascii="Century Gothic" w:eastAsia="Calibri" w:hAnsi="Century Gothic" w:cs="Arial"/>
                <w:color w:val="000000"/>
                <w:sz w:val="20"/>
                <w:szCs w:val="20"/>
                <w:vertAlign w:val="superscript"/>
                <w:lang w:val="es-ES_tradnl" w:eastAsia="es-ES"/>
              </w:rPr>
              <w:footnoteReference w:id="37"/>
            </w:r>
            <w:r>
              <w:rPr>
                <w:rFonts w:ascii="Century Gothic" w:eastAsia="Calibri" w:hAnsi="Century Gothic" w:cs="Arial"/>
                <w:color w:val="000000"/>
                <w:sz w:val="20"/>
                <w:szCs w:val="20"/>
                <w:lang w:val="es-ES_tradnl" w:eastAsia="es-ES"/>
              </w:rPr>
              <w:t>.</w:t>
            </w:r>
          </w:p>
          <w:p w:rsidR="00C1712A" w:rsidRPr="00611019" w:rsidRDefault="00C1712A" w:rsidP="00035D2C">
            <w:pPr>
              <w:spacing w:before="2pt" w:after="2pt"/>
              <w:ind w:start="36pt"/>
              <w:jc w:val="both"/>
              <w:rPr>
                <w:rFonts w:ascii="Century Gothic" w:eastAsia="Calibri" w:hAnsi="Century Gothic" w:cs="Arial"/>
                <w:color w:val="000000"/>
                <w:sz w:val="20"/>
                <w:szCs w:val="20"/>
                <w:lang w:val="es-ES_tradnl" w:eastAsia="es-ES"/>
              </w:rPr>
            </w:pPr>
          </w:p>
          <w:p w:rsidR="00C1712A" w:rsidRPr="00611019" w:rsidRDefault="00E56462">
            <w:pPr>
              <w:numPr>
                <w:ilvl w:val="0"/>
                <w:numId w:val="104"/>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b/>
                <w:color w:val="000000"/>
                <w:sz w:val="20"/>
                <w:szCs w:val="20"/>
                <w:lang w:val="es-ES_tradnl" w:eastAsia="es-ES"/>
              </w:rPr>
              <w:t>No existen facilidades</w:t>
            </w:r>
            <w:r>
              <w:rPr>
                <w:rFonts w:ascii="Century Gothic" w:eastAsia="Calibri" w:hAnsi="Century Gothic" w:cs="Arial"/>
                <w:color w:val="000000"/>
                <w:sz w:val="20"/>
                <w:szCs w:val="20"/>
                <w:lang w:val="es-ES_tradnl" w:eastAsia="es-ES"/>
              </w:rPr>
              <w:t>, se presentará al CS, a través del SEG/SIPO, la justificación con las evidencias correspondientes.</w:t>
            </w:r>
          </w:p>
        </w:tc>
      </w:tr>
      <w:tr w:rsidR="0061711D" w:rsidTr="00C1712A">
        <w:trPr>
          <w:jc w:val="center"/>
        </w:trPr>
        <w:tc>
          <w:tcPr>
            <w:tcW w:w="21.0%" w:type="pct"/>
            <w:tcBorders>
              <w:top w:val="single" w:sz="4" w:space="0" w:color="auto"/>
              <w:start w:val="single" w:sz="4" w:space="0" w:color="auto"/>
              <w:bottom w:val="single" w:sz="4" w:space="0" w:color="auto"/>
              <w:end w:val="single" w:sz="4" w:space="0" w:color="auto"/>
            </w:tcBorders>
            <w:hideMark/>
          </w:tcPr>
          <w:p w:rsidR="00C1712A"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lastRenderedPageBreak/>
              <w:t>Habilitación y aprovisionamiento del Servicio</w:t>
            </w:r>
          </w:p>
        </w:tc>
        <w:tc>
          <w:tcPr>
            <w:tcW w:w="78.0%" w:type="pct"/>
            <w:tcBorders>
              <w:top w:val="single" w:sz="4" w:space="0" w:color="auto"/>
              <w:start w:val="single" w:sz="4" w:space="0" w:color="auto"/>
              <w:bottom w:val="single" w:sz="4" w:space="0" w:color="auto"/>
              <w:end w:val="single" w:sz="4" w:space="0" w:color="auto"/>
            </w:tcBorders>
          </w:tcPr>
          <w:p w:rsidR="00C1712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Una vez aceptada la cotización por parte del CS:</w:t>
            </w:r>
          </w:p>
          <w:p w:rsidR="00C1712A" w:rsidRPr="00611019" w:rsidRDefault="00C1712A" w:rsidP="00035D2C">
            <w:pPr>
              <w:spacing w:before="2pt" w:after="2pt"/>
              <w:jc w:val="both"/>
              <w:rPr>
                <w:rFonts w:ascii="Century Gothic" w:eastAsia="Calibri" w:hAnsi="Century Gothic" w:cs="Arial"/>
                <w:color w:val="000000"/>
                <w:sz w:val="20"/>
                <w:szCs w:val="20"/>
                <w:lang w:val="es-ES_tradnl" w:eastAsia="es-ES"/>
              </w:rPr>
            </w:pPr>
          </w:p>
          <w:p w:rsidR="00C1712A" w:rsidRPr="00611019" w:rsidRDefault="00E56462">
            <w:pPr>
              <w:numPr>
                <w:ilvl w:val="0"/>
                <w:numId w:val="104"/>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CS notificará que ya ha dejado la gaza en el pozo más cercano (de acuerdo con la factibilidad de la ruta) al pozo de acometida de la Central, y dentro del plazo establecido en la presente Oferta, RED NACIONAL realizará el tendido de cable hasta la tablilla horizontal del DG.</w:t>
            </w:r>
          </w:p>
        </w:tc>
      </w:tr>
      <w:tr w:rsidR="0061711D" w:rsidTr="00C1712A">
        <w:trPr>
          <w:jc w:val="center"/>
        </w:trPr>
        <w:tc>
          <w:tcPr>
            <w:tcW w:w="21.0%" w:type="pct"/>
            <w:tcBorders>
              <w:top w:val="single" w:sz="4" w:space="0" w:color="auto"/>
              <w:start w:val="single" w:sz="4" w:space="0" w:color="auto"/>
              <w:bottom w:val="single" w:sz="4" w:space="0" w:color="auto"/>
              <w:end w:val="single" w:sz="4" w:space="0" w:color="auto"/>
            </w:tcBorders>
            <w:hideMark/>
          </w:tcPr>
          <w:p w:rsidR="00C1712A" w:rsidRPr="00611019" w:rsidRDefault="00E56462" w:rsidP="00035D2C">
            <w:pPr>
              <w:spacing w:before="2pt" w:after="2pt"/>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Facturación</w:t>
            </w:r>
          </w:p>
        </w:tc>
        <w:tc>
          <w:tcPr>
            <w:tcW w:w="78.0%" w:type="pct"/>
            <w:tcBorders>
              <w:top w:val="single" w:sz="4" w:space="0" w:color="auto"/>
              <w:start w:val="single" w:sz="4" w:space="0" w:color="auto"/>
              <w:bottom w:val="single" w:sz="4" w:space="0" w:color="auto"/>
              <w:end w:val="single" w:sz="4" w:space="0" w:color="auto"/>
            </w:tcBorders>
          </w:tcPr>
          <w:p w:rsidR="00C1712A"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Al corte del mes se realizará la facturación aplicable al servicio:</w:t>
            </w:r>
          </w:p>
          <w:p w:rsidR="00C1712A" w:rsidRPr="00611019" w:rsidRDefault="00E56462">
            <w:pPr>
              <w:numPr>
                <w:ilvl w:val="0"/>
                <w:numId w:val="105"/>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Se incluirán los gastos de instalación y la renta mensual correspondiente.</w:t>
            </w:r>
          </w:p>
          <w:p w:rsidR="00C1712A" w:rsidRPr="00611019" w:rsidRDefault="00C1712A" w:rsidP="00035D2C">
            <w:pPr>
              <w:spacing w:before="2pt" w:after="2pt"/>
              <w:ind w:start="37.70pt"/>
              <w:jc w:val="both"/>
              <w:rPr>
                <w:rFonts w:ascii="Century Gothic" w:eastAsia="Calibri" w:hAnsi="Century Gothic" w:cs="Arial"/>
                <w:color w:val="000000"/>
                <w:sz w:val="20"/>
                <w:szCs w:val="20"/>
                <w:lang w:val="es-ES_tradnl" w:eastAsia="es-ES"/>
              </w:rPr>
            </w:pPr>
          </w:p>
          <w:p w:rsidR="00C1712A" w:rsidRPr="00611019" w:rsidRDefault="00E56462">
            <w:pPr>
              <w:numPr>
                <w:ilvl w:val="0"/>
                <w:numId w:val="105"/>
              </w:num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CS contará con la posibilidad de solicitar ajustes o aclaraciones respecto a los conceptos y Servicios incluidos en su factura.</w:t>
            </w:r>
          </w:p>
        </w:tc>
      </w:tr>
    </w:tbl>
    <w:p w:rsidR="00C1712A" w:rsidRPr="00611019" w:rsidRDefault="00C1712A" w:rsidP="00035D2C">
      <w:pPr>
        <w:tabs>
          <w:tab w:val="start" w:pos="467.80pt"/>
        </w:tabs>
        <w:jc w:val="both"/>
        <w:rPr>
          <w:rFonts w:ascii="Century Gothic" w:eastAsia="Calibri" w:hAnsi="Century Gothic" w:cs="Times New Roman"/>
          <w:b/>
        </w:rPr>
      </w:pPr>
    </w:p>
    <w:p w:rsidR="00A67958" w:rsidRPr="00611019" w:rsidRDefault="00E56462" w:rsidP="00035D2C">
      <w:pPr>
        <w:tabs>
          <w:tab w:val="start" w:pos="467.80pt"/>
        </w:tabs>
        <w:spacing w:after="6pt"/>
        <w:jc w:val="both"/>
        <w:rPr>
          <w:rFonts w:ascii="Century Gothic" w:eastAsia="Calibri" w:hAnsi="Century Gothic" w:cs="Times New Roman"/>
          <w:b/>
        </w:rPr>
      </w:pPr>
      <w:r>
        <w:rPr>
          <w:rFonts w:ascii="Century Gothic" w:eastAsia="Calibri" w:hAnsi="Century Gothic" w:cs="Times New Roman"/>
          <w:b/>
        </w:rPr>
        <w:t>Procedimiento de Baja (Cableado Multipar).</w:t>
      </w:r>
    </w:p>
    <w:p w:rsidR="00A67958" w:rsidRPr="00611019" w:rsidRDefault="00E56462" w:rsidP="00035D2C">
      <w:p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El objetivo y alcance de este procedimiento es definir los pasos y actividades a desarrollar por parte de RED NACIONAL y del CS, a fin de realizar la baja de los Servicios de Cableado Multipar; las fases en que se divide este procedimiento son: </w:t>
      </w:r>
      <w:r>
        <w:rPr>
          <w:rFonts w:ascii="Century Gothic" w:eastAsia="Calibri" w:hAnsi="Century Gothic" w:cs="Arial"/>
          <w:b/>
          <w:color w:val="000000"/>
          <w:lang w:val="es-ES_tradnl" w:eastAsia="es-ES"/>
        </w:rPr>
        <w:t>(i)</w:t>
      </w:r>
      <w:r>
        <w:rPr>
          <w:rFonts w:ascii="Century Gothic" w:eastAsia="Calibri" w:hAnsi="Century Gothic" w:cs="Arial"/>
          <w:color w:val="000000"/>
          <w:lang w:val="es-ES_tradnl" w:eastAsia="es-ES"/>
        </w:rPr>
        <w:t xml:space="preserve"> Envío y validación de la solicitud para que el CS manifieste su intención de dar de baja Servicios, verificando a través del SEG/SIPO que la solicitud cuenta con todos los elementos; y </w:t>
      </w:r>
      <w:r>
        <w:rPr>
          <w:rFonts w:ascii="Century Gothic" w:eastAsia="Calibri" w:hAnsi="Century Gothic" w:cs="Arial"/>
          <w:b/>
          <w:color w:val="000000"/>
          <w:lang w:val="es-ES_tradnl" w:eastAsia="es-ES"/>
        </w:rPr>
        <w:t>(ii)</w:t>
      </w:r>
      <w:r>
        <w:rPr>
          <w:rFonts w:ascii="Century Gothic" w:eastAsia="Calibri" w:hAnsi="Century Gothic" w:cs="Arial"/>
          <w:color w:val="000000"/>
          <w:lang w:val="es-ES_tradnl" w:eastAsia="es-ES"/>
        </w:rPr>
        <w:t xml:space="preserve"> Baja del (los) servicio(s) y de la facturación correspondiente.</w:t>
      </w:r>
    </w:p>
    <w:tbl>
      <w:tblPr>
        <w:tblW w:w="99.0%" w:type="pct"/>
        <w:jc w:val="cente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1"/>
      </w:tblPr>
      <w:tblGrid>
        <w:gridCol w:w="2349"/>
        <w:gridCol w:w="6951"/>
      </w:tblGrid>
      <w:tr w:rsidR="0061711D" w:rsidTr="00204BC4">
        <w:trPr>
          <w:tblHeader/>
          <w:jc w:val="center"/>
        </w:trPr>
        <w:tc>
          <w:tcPr>
            <w:tcW w:w="25.0%" w:type="pct"/>
            <w:tcBorders>
              <w:top w:val="single" w:sz="4" w:space="0" w:color="auto"/>
              <w:start w:val="single" w:sz="4" w:space="0" w:color="auto"/>
              <w:bottom w:val="single" w:sz="4" w:space="0" w:color="auto"/>
              <w:end w:val="single" w:sz="4" w:space="0" w:color="auto"/>
            </w:tcBorders>
            <w:shd w:val="clear" w:color="auto" w:fill="009AD9"/>
            <w:hideMark/>
          </w:tcPr>
          <w:p w:rsidR="00A67958" w:rsidRPr="00611019" w:rsidRDefault="00E56462" w:rsidP="00035D2C">
            <w:pPr>
              <w:spacing w:after="6pt"/>
              <w:jc w:val="center"/>
              <w:rPr>
                <w:rFonts w:ascii="Century Gothic" w:eastAsia="Calibri" w:hAnsi="Century Gothic" w:cs="Arial"/>
                <w:b/>
                <w:color w:val="FFFFFF" w:themeColor="background1"/>
                <w:sz w:val="20"/>
                <w:szCs w:val="20"/>
                <w:lang w:val="es-ES_tradnl" w:eastAsia="es-ES"/>
              </w:rPr>
            </w:pPr>
            <w:r>
              <w:rPr>
                <w:rFonts w:ascii="Century Gothic" w:eastAsia="Calibri" w:hAnsi="Century Gothic" w:cs="Arial"/>
                <w:b/>
                <w:color w:val="FFFFFF" w:themeColor="background1"/>
                <w:sz w:val="20"/>
                <w:szCs w:val="20"/>
                <w:lang w:val="es-ES_tradnl" w:eastAsia="es-ES"/>
              </w:rPr>
              <w:t>Etapa</w:t>
            </w:r>
          </w:p>
        </w:tc>
        <w:tc>
          <w:tcPr>
            <w:tcW w:w="74.0%" w:type="pct"/>
            <w:tcBorders>
              <w:top w:val="single" w:sz="4" w:space="0" w:color="auto"/>
              <w:start w:val="single" w:sz="4" w:space="0" w:color="auto"/>
              <w:bottom w:val="single" w:sz="4" w:space="0" w:color="auto"/>
              <w:end w:val="single" w:sz="4" w:space="0" w:color="auto"/>
            </w:tcBorders>
            <w:shd w:val="clear" w:color="auto" w:fill="009AD9"/>
            <w:hideMark/>
          </w:tcPr>
          <w:p w:rsidR="00A67958" w:rsidRPr="00611019" w:rsidRDefault="00E56462" w:rsidP="00035D2C">
            <w:pPr>
              <w:spacing w:after="6pt"/>
              <w:jc w:val="center"/>
              <w:rPr>
                <w:rFonts w:ascii="Century Gothic" w:eastAsia="Calibri" w:hAnsi="Century Gothic" w:cs="Arial"/>
                <w:b/>
                <w:color w:val="FFFFFF" w:themeColor="background1"/>
                <w:sz w:val="20"/>
                <w:szCs w:val="20"/>
                <w:lang w:val="es-ES_tradnl" w:eastAsia="es-ES"/>
              </w:rPr>
            </w:pPr>
            <w:r>
              <w:rPr>
                <w:rFonts w:ascii="Century Gothic" w:eastAsia="Calibri" w:hAnsi="Century Gothic" w:cs="Arial"/>
                <w:b/>
                <w:color w:val="FFFFFF" w:themeColor="background1"/>
                <w:sz w:val="20"/>
                <w:szCs w:val="20"/>
                <w:lang w:val="es-ES_tradnl" w:eastAsia="es-ES"/>
              </w:rPr>
              <w:t>Descripción</w:t>
            </w:r>
          </w:p>
        </w:tc>
      </w:tr>
      <w:tr w:rsidR="0061711D" w:rsidTr="00204BC4">
        <w:trPr>
          <w:jc w:val="center"/>
        </w:trPr>
        <w:tc>
          <w:tcPr>
            <w:tcW w:w="25.0%" w:type="pct"/>
            <w:tcBorders>
              <w:top w:val="single" w:sz="4" w:space="0" w:color="auto"/>
              <w:start w:val="single" w:sz="4" w:space="0" w:color="auto"/>
              <w:bottom w:val="single" w:sz="4" w:space="0" w:color="auto"/>
              <w:end w:val="single" w:sz="4" w:space="0" w:color="auto"/>
            </w:tcBorders>
            <w:hideMark/>
          </w:tcPr>
          <w:p w:rsidR="00A67958" w:rsidRPr="00611019" w:rsidRDefault="00E56462" w:rsidP="00035D2C">
            <w:pPr>
              <w:spacing w:before="2pt" w:after="2pt"/>
              <w:jc w:val="both"/>
              <w:rPr>
                <w:rFonts w:ascii="Century Gothic" w:eastAsia="Calibri" w:hAnsi="Century Gothic" w:cs="Arial"/>
                <w:b/>
                <w:color w:val="000000"/>
                <w:sz w:val="20"/>
                <w:szCs w:val="20"/>
                <w:lang w:val="es-ES_tradnl" w:eastAsia="es-ES"/>
              </w:rPr>
            </w:pPr>
            <w:r>
              <w:rPr>
                <w:rFonts w:ascii="Century Gothic" w:eastAsia="Calibri" w:hAnsi="Century Gothic" w:cs="Arial"/>
                <w:b/>
                <w:color w:val="000000"/>
                <w:sz w:val="20"/>
                <w:szCs w:val="20"/>
                <w:lang w:val="es-ES_tradnl" w:eastAsia="es-ES"/>
              </w:rPr>
              <w:t>Envío y Validación de la solicitud</w:t>
            </w:r>
          </w:p>
        </w:tc>
        <w:tc>
          <w:tcPr>
            <w:tcW w:w="74.0%" w:type="pct"/>
            <w:tcBorders>
              <w:top w:val="single" w:sz="4" w:space="0" w:color="auto"/>
              <w:start w:val="single" w:sz="4" w:space="0" w:color="auto"/>
              <w:bottom w:val="single" w:sz="4" w:space="0" w:color="auto"/>
              <w:end w:val="single" w:sz="4" w:space="0" w:color="auto"/>
            </w:tcBorders>
            <w:hideMark/>
          </w:tcPr>
          <w:p w:rsidR="00A67958"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El CS deberá presentar sus solicitudes a través del SEG/SIPO, validando en línea el NIS de Referencia del Servicio en operación.</w:t>
            </w:r>
          </w:p>
          <w:p w:rsidR="00A67958"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Una vez enviada la solicitud el SEG/SIPO asignará de forma automática el Folio.</w:t>
            </w:r>
          </w:p>
        </w:tc>
      </w:tr>
      <w:tr w:rsidR="0061711D" w:rsidTr="00204BC4">
        <w:trPr>
          <w:jc w:val="center"/>
        </w:trPr>
        <w:tc>
          <w:tcPr>
            <w:tcW w:w="25.0%" w:type="pct"/>
            <w:tcBorders>
              <w:top w:val="single" w:sz="4" w:space="0" w:color="auto"/>
              <w:start w:val="single" w:sz="4" w:space="0" w:color="auto"/>
              <w:bottom w:val="single" w:sz="4" w:space="0" w:color="auto"/>
              <w:end w:val="single" w:sz="4" w:space="0" w:color="auto"/>
            </w:tcBorders>
            <w:hideMark/>
          </w:tcPr>
          <w:p w:rsidR="00A67958" w:rsidRPr="00611019" w:rsidRDefault="00E56462" w:rsidP="00035D2C">
            <w:pPr>
              <w:spacing w:before="2pt" w:after="2pt"/>
              <w:jc w:val="both"/>
              <w:rPr>
                <w:rFonts w:ascii="Century Gothic" w:eastAsia="Calibri" w:hAnsi="Century Gothic" w:cs="Times New Roman"/>
                <w:b/>
                <w:sz w:val="20"/>
                <w:szCs w:val="20"/>
              </w:rPr>
            </w:pPr>
            <w:r>
              <w:rPr>
                <w:rFonts w:ascii="Century Gothic" w:eastAsia="Calibri" w:hAnsi="Century Gothic" w:cs="Times New Roman"/>
                <w:b/>
                <w:sz w:val="20"/>
                <w:szCs w:val="20"/>
              </w:rPr>
              <w:lastRenderedPageBreak/>
              <w:t>Ejecución de baja</w:t>
            </w:r>
          </w:p>
        </w:tc>
        <w:tc>
          <w:tcPr>
            <w:tcW w:w="74.0%" w:type="pct"/>
            <w:tcBorders>
              <w:top w:val="single" w:sz="4" w:space="0" w:color="auto"/>
              <w:start w:val="single" w:sz="4" w:space="0" w:color="auto"/>
              <w:bottom w:val="single" w:sz="4" w:space="0" w:color="auto"/>
              <w:end w:val="single" w:sz="4" w:space="0" w:color="auto"/>
            </w:tcBorders>
            <w:hideMark/>
          </w:tcPr>
          <w:p w:rsidR="00A67958" w:rsidRPr="00611019" w:rsidRDefault="00E56462" w:rsidP="00035D2C">
            <w:pPr>
              <w:spacing w:before="2pt" w:after="2pt"/>
              <w:jc w:val="both"/>
              <w:rPr>
                <w:rFonts w:ascii="Century Gothic" w:eastAsia="Calibri" w:hAnsi="Century Gothic" w:cs="Arial"/>
                <w:color w:val="000000"/>
                <w:sz w:val="20"/>
                <w:szCs w:val="20"/>
                <w:lang w:val="es-ES_tradnl" w:eastAsia="es-ES"/>
              </w:rPr>
            </w:pPr>
            <w:r>
              <w:rPr>
                <w:rFonts w:ascii="Century Gothic" w:eastAsia="Calibri" w:hAnsi="Century Gothic" w:cs="Arial"/>
                <w:color w:val="000000"/>
                <w:sz w:val="20"/>
                <w:szCs w:val="20"/>
                <w:lang w:val="es-ES_tradnl" w:eastAsia="es-ES"/>
              </w:rPr>
              <w:t>Una vez asignado el Folio RED NACIONAL procederá a dar de baja el Servicio en el plazo establecido para tal efecto en la sección de Plazos de este Servicio en la presente OREDA, así como la facturación al CS asociada a partir de la solicitud.</w:t>
            </w:r>
          </w:p>
        </w:tc>
      </w:tr>
    </w:tbl>
    <w:p w:rsidR="00A67958" w:rsidRPr="00611019" w:rsidRDefault="00E56462" w:rsidP="00035D2C">
      <w:pPr>
        <w:tabs>
          <w:tab w:val="start" w:pos="0pt"/>
          <w:tab w:val="start" w:pos="14.20pt"/>
        </w:tabs>
        <w:spacing w:after="3pt"/>
        <w:jc w:val="both"/>
        <w:rPr>
          <w:rFonts w:ascii="Century Gothic" w:eastAsia="Calibri" w:hAnsi="Century Gothic" w:cs="Times New Roman"/>
          <w:b/>
          <w:sz w:val="18"/>
          <w:szCs w:val="14"/>
          <w:lang w:val="es-ES" w:eastAsia="es-ES"/>
        </w:rPr>
      </w:pPr>
      <w:r>
        <w:rPr>
          <w:rFonts w:ascii="Century Gothic" w:eastAsia="Calibri" w:hAnsi="Century Gothic" w:cs="Times New Roman"/>
          <w:sz w:val="18"/>
          <w:szCs w:val="14"/>
          <w:lang w:val="es-ES" w:eastAsia="es-ES"/>
        </w:rPr>
        <w:t>Nota: El CS deberá tomar en cuenta que no existe el esquema de rentas parciales sino sólo de rentas mensuales, por lo que no será posible realizar cobros parciales de los Servicios.</w:t>
      </w:r>
    </w:p>
    <w:p w:rsidR="00A67958" w:rsidRPr="00611019" w:rsidRDefault="00A67958" w:rsidP="00035D2C">
      <w:pPr>
        <w:jc w:val="both"/>
        <w:rPr>
          <w:rFonts w:ascii="Century Gothic" w:eastAsia="Calibri" w:hAnsi="Century Gothic" w:cs="Arial"/>
          <w:b/>
          <w:color w:val="000000"/>
          <w:lang w:val="es-ES_tradnl" w:eastAsia="es-ES"/>
        </w:rPr>
      </w:pPr>
    </w:p>
    <w:p w:rsidR="00A67958" w:rsidRPr="00611019" w:rsidRDefault="00E56462" w:rsidP="00035D2C">
      <w:pPr>
        <w:spacing w:after="6pt"/>
        <w:jc w:val="both"/>
        <w:rPr>
          <w:rFonts w:ascii="Century Gothic" w:eastAsia="Calibri" w:hAnsi="Century Gothic" w:cs="Arial"/>
          <w:b/>
          <w:color w:val="000000"/>
          <w:lang w:val="es-ES_tradnl" w:eastAsia="es-ES"/>
        </w:rPr>
      </w:pPr>
      <w:r>
        <w:rPr>
          <w:rFonts w:ascii="Century Gothic" w:eastAsia="Calibri" w:hAnsi="Century Gothic" w:cs="Arial"/>
          <w:b/>
          <w:color w:val="000000"/>
          <w:lang w:val="es-ES_tradnl" w:eastAsia="es-ES"/>
        </w:rPr>
        <w:t>Procedimiento de Ampliación del Cableado Multipar.</w:t>
      </w:r>
    </w:p>
    <w:p w:rsidR="00A67958" w:rsidRPr="00611019" w:rsidRDefault="00E56462" w:rsidP="00035D2C">
      <w:p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En caso de que el CS requiera ampliaciones o modificaciones, deberá presentar el formato correspondiente. Se considerará como una nueva solicitud y estará sujeta al procedimiento previamente descrito. Estos parámetros e indicadores corresponden a los utilizados en la propia operación.</w:t>
      </w:r>
    </w:p>
    <w:p w:rsidR="00B77495" w:rsidRPr="00611019" w:rsidRDefault="00B77495" w:rsidP="00035D2C">
      <w:pPr>
        <w:spacing w:after="6pt"/>
        <w:jc w:val="both"/>
        <w:rPr>
          <w:rFonts w:ascii="Century Gothic" w:eastAsia="Calibri" w:hAnsi="Century Gothic" w:cs="Arial"/>
          <w:color w:val="000000"/>
          <w:lang w:val="es-ES_tradnl" w:eastAsia="es-ES"/>
        </w:rPr>
      </w:pPr>
    </w:p>
    <w:p w:rsidR="00277ED2" w:rsidRPr="00611019" w:rsidRDefault="00E56462" w:rsidP="00035D2C">
      <w:pPr>
        <w:pStyle w:val="Ttulo2"/>
        <w:spacing w:after="6pt"/>
        <w:rPr>
          <w:rFonts w:ascii="Century Gothic" w:hAnsi="Century Gothic"/>
        </w:rPr>
      </w:pPr>
      <w:bookmarkStart w:id="1629" w:name="_Toc467248745"/>
      <w:bookmarkStart w:id="1630" w:name="_Toc525904631"/>
      <w:bookmarkStart w:id="1631" w:name="_Toc525914027"/>
      <w:bookmarkStart w:id="1632" w:name="_Toc525919266"/>
      <w:bookmarkStart w:id="1633" w:name="_Toc525919390"/>
      <w:bookmarkStart w:id="1634" w:name="_Toc2957200"/>
      <w:bookmarkStart w:id="1635" w:name="_Toc24473500"/>
      <w:bookmarkStart w:id="1636" w:name="_Toc24477628"/>
      <w:bookmarkStart w:id="1637" w:name="_Toc24483894"/>
      <w:bookmarkStart w:id="1638" w:name="_Toc26273128"/>
      <w:bookmarkStart w:id="1639" w:name="_Toc26284525"/>
      <w:bookmarkStart w:id="1640" w:name="_Toc26286280"/>
      <w:bookmarkStart w:id="1641" w:name="_Toc26903962"/>
      <w:bookmarkStart w:id="1642" w:name="_Toc43913204"/>
      <w:bookmarkStart w:id="1643" w:name="_Toc26980686"/>
      <w:bookmarkStart w:id="1644" w:name="_Toc53488540"/>
      <w:bookmarkStart w:id="1645" w:name="_Toc53490472"/>
      <w:bookmarkStart w:id="1646" w:name="_Toc53498480"/>
      <w:bookmarkStart w:id="1647" w:name="_Toc58578837"/>
      <w:bookmarkStart w:id="1648" w:name="_Toc92974063"/>
      <w:bookmarkStart w:id="1649" w:name="_Toc93052374"/>
      <w:bookmarkStart w:id="1650" w:name="_Toc93056329"/>
      <w:bookmarkStart w:id="1651" w:name="_Toc125393393"/>
      <w:bookmarkStart w:id="1652" w:name="_Toc148702249"/>
      <w:bookmarkStart w:id="1653" w:name="_Toc170381870"/>
      <w:r>
        <w:rPr>
          <w:rFonts w:ascii="Century Gothic" w:hAnsi="Century Gothic"/>
        </w:rPr>
        <w:t>10.2 Plazos de Entrega de Cableado Multipar</w:t>
      </w:r>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r>
        <w:rPr>
          <w:rFonts w:ascii="Century Gothic" w:hAnsi="Century Gothic"/>
        </w:rPr>
        <w:t>.</w:t>
      </w:r>
    </w:p>
    <w:p w:rsidR="00277ED2" w:rsidRPr="00611019" w:rsidRDefault="00E56462" w:rsidP="00035D2C">
      <w:pPr>
        <w:pStyle w:val="IFTnormal"/>
        <w:spacing w:after="3pt"/>
        <w:rPr>
          <w:rFonts w:ascii="Century Gothic" w:hAnsi="Century Gothic"/>
        </w:rPr>
      </w:pPr>
      <w:r>
        <w:rPr>
          <w:rFonts w:ascii="Century Gothic" w:hAnsi="Century Gothic"/>
        </w:rPr>
        <w:t>En esta sección se muestran los plazos de entrega referentes a los procedimientos del Servicio Auxiliar de Cableado Multipar.</w:t>
      </w:r>
    </w:p>
    <w:p w:rsidR="00277ED2" w:rsidRPr="00611019" w:rsidRDefault="00E56462">
      <w:pPr>
        <w:pStyle w:val="Prrafodelista"/>
        <w:numPr>
          <w:ilvl w:val="0"/>
          <w:numId w:val="106"/>
        </w:numPr>
        <w:spacing w:after="3pt"/>
        <w:jc w:val="both"/>
        <w:rPr>
          <w:rFonts w:ascii="Century Gothic" w:hAnsi="Century Gothic" w:cs="Arial"/>
        </w:rPr>
      </w:pPr>
      <w:r>
        <w:rPr>
          <w:rFonts w:ascii="Century Gothic" w:hAnsi="Century Gothic" w:cs="Arial"/>
        </w:rPr>
        <w:t xml:space="preserve">Validación de la solicitud junto con validación de la factibilidad en máximo cuatro días hábiles. </w:t>
      </w:r>
    </w:p>
    <w:p w:rsidR="00277ED2" w:rsidRPr="00611019" w:rsidRDefault="00E56462">
      <w:pPr>
        <w:pStyle w:val="IFTnormal"/>
        <w:numPr>
          <w:ilvl w:val="0"/>
          <w:numId w:val="106"/>
        </w:numPr>
        <w:spacing w:after="3pt"/>
        <w:rPr>
          <w:rFonts w:ascii="Century Gothic" w:hAnsi="Century Gothic"/>
        </w:rPr>
      </w:pPr>
      <w:r>
        <w:rPr>
          <w:rFonts w:ascii="Century Gothic" w:hAnsi="Century Gothic"/>
        </w:rPr>
        <w:t>Habilitación del Servicio Auxiliar de Cableado Multipar en Coubicación interna en un plazo máximo de 15 días hábiles que se contabilizarán a partir de la solicitud.</w:t>
      </w:r>
    </w:p>
    <w:p w:rsidR="00277ED2" w:rsidRPr="00611019" w:rsidRDefault="00E56462">
      <w:pPr>
        <w:pStyle w:val="IFTnormal"/>
        <w:numPr>
          <w:ilvl w:val="0"/>
          <w:numId w:val="106"/>
        </w:numPr>
        <w:spacing w:after="3pt"/>
        <w:rPr>
          <w:rFonts w:ascii="Century Gothic" w:hAnsi="Century Gothic"/>
        </w:rPr>
      </w:pPr>
      <w:r>
        <w:rPr>
          <w:rFonts w:ascii="Century Gothic" w:hAnsi="Century Gothic"/>
        </w:rPr>
        <w:t>Habilitación del Servicio Auxiliar de Cableado Multipar en Coubicación externa en un plazo máximo de 25 días hábiles que se contabilizarán a partir de la solicitud.</w:t>
      </w:r>
    </w:p>
    <w:p w:rsidR="00277ED2" w:rsidRPr="00611019" w:rsidRDefault="00E56462">
      <w:pPr>
        <w:pStyle w:val="IFTnormal"/>
        <w:numPr>
          <w:ilvl w:val="0"/>
          <w:numId w:val="106"/>
        </w:numPr>
        <w:spacing w:after="3pt"/>
        <w:rPr>
          <w:rFonts w:ascii="Century Gothic" w:hAnsi="Century Gothic"/>
        </w:rPr>
      </w:pPr>
      <w:r>
        <w:rPr>
          <w:rFonts w:ascii="Century Gothic" w:hAnsi="Century Gothic"/>
        </w:rPr>
        <w:t>Habilitación del Servicio Auxiliar de Cableado Multipar de Ubicación Distante en un plazo máximo de 45 días hábiles que se contabilizarán a partir de la solicitud.</w:t>
      </w:r>
    </w:p>
    <w:p w:rsidR="00277ED2" w:rsidRPr="00611019" w:rsidRDefault="00E56462">
      <w:pPr>
        <w:pStyle w:val="IFTnormal"/>
        <w:numPr>
          <w:ilvl w:val="0"/>
          <w:numId w:val="106"/>
        </w:numPr>
        <w:spacing w:after="3pt"/>
        <w:rPr>
          <w:rFonts w:ascii="Century Gothic" w:hAnsi="Century Gothic"/>
        </w:rPr>
      </w:pPr>
      <w:r>
        <w:rPr>
          <w:rFonts w:ascii="Century Gothic" w:hAnsi="Century Gothic"/>
        </w:rPr>
        <w:t>Baja del Servicio en máximo un día hábil.</w:t>
      </w:r>
    </w:p>
    <w:p w:rsidR="00277ED2" w:rsidRPr="00611019" w:rsidRDefault="00E56462">
      <w:pPr>
        <w:pStyle w:val="IFTnormal"/>
        <w:numPr>
          <w:ilvl w:val="0"/>
          <w:numId w:val="106"/>
        </w:numPr>
        <w:spacing w:after="6pt"/>
        <w:rPr>
          <w:rFonts w:ascii="Century Gothic" w:hAnsi="Century Gothic"/>
        </w:rPr>
      </w:pPr>
      <w:r>
        <w:rPr>
          <w:rFonts w:ascii="Century Gothic" w:hAnsi="Century Gothic"/>
        </w:rPr>
        <w:t>Si la habilitación del cableado se solicita junto con la Coubicación, se respetan los plazos de la Coubicación.</w:t>
      </w:r>
    </w:p>
    <w:p w:rsidR="002F56DE" w:rsidRPr="00611019" w:rsidRDefault="002F56DE" w:rsidP="00035D2C">
      <w:pPr>
        <w:pStyle w:val="IFTnormal"/>
        <w:spacing w:after="6pt"/>
        <w:ind w:start="36pt"/>
        <w:rPr>
          <w:rFonts w:ascii="Century Gothic" w:hAnsi="Century Gothic"/>
        </w:rPr>
      </w:pPr>
    </w:p>
    <w:p w:rsidR="00277ED2" w:rsidRPr="00611019" w:rsidRDefault="00E56462" w:rsidP="00035D2C">
      <w:pPr>
        <w:pStyle w:val="Ttulo2"/>
        <w:spacing w:after="6pt"/>
        <w:ind w:start="0pt" w:firstLine="0pt"/>
        <w:rPr>
          <w:rFonts w:ascii="Century Gothic" w:hAnsi="Century Gothic"/>
        </w:rPr>
      </w:pPr>
      <w:bookmarkStart w:id="1654" w:name="_Toc467248746"/>
      <w:bookmarkStart w:id="1655" w:name="_Toc525904632"/>
      <w:bookmarkStart w:id="1656" w:name="_Toc525914028"/>
      <w:bookmarkStart w:id="1657" w:name="_Toc525919267"/>
      <w:bookmarkStart w:id="1658" w:name="_Toc525919391"/>
      <w:bookmarkStart w:id="1659" w:name="_Toc2957201"/>
      <w:bookmarkStart w:id="1660" w:name="_Toc24473501"/>
      <w:bookmarkStart w:id="1661" w:name="_Toc24477629"/>
      <w:bookmarkStart w:id="1662" w:name="_Toc24483895"/>
      <w:bookmarkStart w:id="1663" w:name="_Toc26273129"/>
      <w:bookmarkStart w:id="1664" w:name="_Toc26284526"/>
      <w:bookmarkStart w:id="1665" w:name="_Toc26286281"/>
      <w:bookmarkStart w:id="1666" w:name="_Toc26903963"/>
      <w:bookmarkStart w:id="1667" w:name="_Toc43913205"/>
      <w:bookmarkStart w:id="1668" w:name="_Toc26980687"/>
      <w:bookmarkStart w:id="1669" w:name="_Toc53488541"/>
      <w:bookmarkStart w:id="1670" w:name="_Toc53490473"/>
      <w:bookmarkStart w:id="1671" w:name="_Toc53498481"/>
      <w:bookmarkStart w:id="1672" w:name="_Toc58578838"/>
      <w:bookmarkStart w:id="1673" w:name="_Toc92974064"/>
      <w:bookmarkStart w:id="1674" w:name="_Toc93052375"/>
      <w:bookmarkStart w:id="1675" w:name="_Toc93056330"/>
      <w:bookmarkStart w:id="1676" w:name="_Toc125393394"/>
      <w:bookmarkStart w:id="1677" w:name="_Toc148702250"/>
      <w:bookmarkStart w:id="1678" w:name="_Toc170381871"/>
      <w:r>
        <w:rPr>
          <w:rFonts w:ascii="Century Gothic" w:hAnsi="Century Gothic"/>
        </w:rPr>
        <w:t>10.3 Procedimiento para la realización de pruebas de entrega para el Servicio Auxiliar de Cableado Multipar</w:t>
      </w:r>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r>
        <w:rPr>
          <w:rFonts w:ascii="Century Gothic" w:hAnsi="Century Gothic"/>
        </w:rPr>
        <w:t>.</w:t>
      </w:r>
    </w:p>
    <w:p w:rsidR="00277ED2" w:rsidRPr="00611019" w:rsidRDefault="00E56462" w:rsidP="00035D2C">
      <w:pPr>
        <w:spacing w:after="6pt"/>
        <w:jc w:val="both"/>
        <w:rPr>
          <w:rFonts w:ascii="Century Gothic" w:hAnsi="Century Gothic" w:cs="Arial"/>
        </w:rPr>
      </w:pPr>
      <w:r>
        <w:rPr>
          <w:rFonts w:ascii="Century Gothic" w:hAnsi="Century Gothic" w:cs="Arial"/>
        </w:rPr>
        <w:t>Para generar las pruebas de habilitación del Servicio Auxiliar de Cableado Multipar, se seguirá el siguiente procedimiento:</w:t>
      </w:r>
    </w:p>
    <w:p w:rsidR="00277ED2" w:rsidRPr="00611019" w:rsidRDefault="00E56462">
      <w:pPr>
        <w:pStyle w:val="Prrafodelista"/>
        <w:numPr>
          <w:ilvl w:val="0"/>
          <w:numId w:val="107"/>
        </w:numPr>
        <w:spacing w:after="6pt"/>
        <w:jc w:val="both"/>
        <w:rPr>
          <w:rFonts w:ascii="Century Gothic" w:hAnsi="Century Gothic" w:cs="Arial"/>
        </w:rPr>
      </w:pPr>
      <w:r>
        <w:rPr>
          <w:rFonts w:ascii="Century Gothic" w:hAnsi="Century Gothic"/>
        </w:rPr>
        <w:t>RED NACIONAL</w:t>
      </w:r>
      <w:r>
        <w:rPr>
          <w:rFonts w:ascii="Century Gothic" w:hAnsi="Century Gothic" w:cs="Arial"/>
        </w:rPr>
        <w:t xml:space="preserve"> realizará el cableado desde la tablilla horizontal asignada al CS para la desagregación total o compartida del bucle local en el DG, hasta la coubicación para la desagregación del CS, dejando en punta el cable multipar antes mencionado.</w:t>
      </w:r>
    </w:p>
    <w:p w:rsidR="00277ED2" w:rsidRPr="00611019" w:rsidRDefault="00E56462">
      <w:pPr>
        <w:pStyle w:val="Prrafodelista"/>
        <w:numPr>
          <w:ilvl w:val="0"/>
          <w:numId w:val="107"/>
        </w:numPr>
        <w:spacing w:after="6pt"/>
        <w:jc w:val="both"/>
        <w:rPr>
          <w:rFonts w:ascii="Century Gothic" w:hAnsi="Century Gothic" w:cs="Arial"/>
        </w:rPr>
      </w:pPr>
      <w:r>
        <w:rPr>
          <w:rFonts w:ascii="Century Gothic" w:hAnsi="Century Gothic" w:cs="Arial"/>
        </w:rPr>
        <w:t xml:space="preserve">Las pruebas que realizará </w:t>
      </w:r>
      <w:r>
        <w:rPr>
          <w:rFonts w:ascii="Century Gothic" w:hAnsi="Century Gothic"/>
        </w:rPr>
        <w:t>RED NACIONAL</w:t>
      </w:r>
      <w:r>
        <w:rPr>
          <w:rFonts w:ascii="Century Gothic" w:hAnsi="Century Gothic" w:cs="Arial"/>
        </w:rPr>
        <w:t xml:space="preserve"> son:</w:t>
      </w:r>
    </w:p>
    <w:p w:rsidR="00277ED2" w:rsidRPr="00611019" w:rsidRDefault="00E56462" w:rsidP="00035D2C">
      <w:pPr>
        <w:spacing w:after="6pt"/>
        <w:ind w:start="63.80pt" w:hanging="18pt"/>
        <w:jc w:val="both"/>
        <w:rPr>
          <w:rFonts w:ascii="Century Gothic" w:hAnsi="Century Gothic" w:cs="Arial"/>
        </w:rPr>
      </w:pPr>
      <w:r>
        <w:rPr>
          <w:rFonts w:ascii="Century Gothic" w:hAnsi="Century Gothic" w:cs="Times New Roman"/>
        </w:rPr>
        <w:lastRenderedPageBreak/>
        <w:t>a.</w:t>
      </w:r>
      <w:r>
        <w:rPr>
          <w:rFonts w:ascii="Century Gothic" w:hAnsi="Century Gothic" w:cs="Times New Roman"/>
        </w:rPr>
        <w:tab/>
      </w:r>
      <w:r>
        <w:rPr>
          <w:rFonts w:ascii="Century Gothic" w:hAnsi="Century Gothic" w:cs="Arial"/>
        </w:rPr>
        <w:t>Continuidad. Consiste en emplear un generador de tono (zumbador) y lápiz inductor en cada uno de los pares conectados para asegurar su continuidad.</w:t>
      </w:r>
    </w:p>
    <w:p w:rsidR="00277ED2" w:rsidRPr="00611019" w:rsidRDefault="00E56462" w:rsidP="00035D2C">
      <w:pPr>
        <w:spacing w:after="6pt"/>
        <w:ind w:start="63.80pt" w:hanging="18pt"/>
        <w:jc w:val="both"/>
        <w:rPr>
          <w:rFonts w:ascii="Century Gothic" w:hAnsi="Century Gothic" w:cs="Arial"/>
        </w:rPr>
      </w:pPr>
      <w:r>
        <w:rPr>
          <w:rFonts w:ascii="Century Gothic" w:hAnsi="Century Gothic" w:cs="Times New Roman"/>
        </w:rPr>
        <w:t>b.</w:t>
      </w:r>
      <w:r>
        <w:rPr>
          <w:rFonts w:ascii="Century Gothic" w:hAnsi="Century Gothic" w:cs="Times New Roman"/>
        </w:rPr>
        <w:tab/>
      </w:r>
      <w:r>
        <w:rPr>
          <w:rFonts w:ascii="Century Gothic" w:hAnsi="Century Gothic" w:cs="Arial"/>
        </w:rPr>
        <w:t>Correspondencia. Consiste en validar que de acuerdo con el código de colores exista correspondencia en el orden de los pares conectados en cada posición de su Tablilla.</w:t>
      </w:r>
    </w:p>
    <w:p w:rsidR="00277ED2" w:rsidRPr="00611019" w:rsidRDefault="00E56462" w:rsidP="00035D2C">
      <w:pPr>
        <w:tabs>
          <w:tab w:val="start" w:pos="35.45pt"/>
        </w:tabs>
        <w:ind w:start="35.45pt" w:hanging="14.15pt"/>
        <w:jc w:val="both"/>
        <w:rPr>
          <w:rFonts w:ascii="Century Gothic" w:hAnsi="Century Gothic" w:cs="Arial"/>
        </w:rPr>
      </w:pPr>
      <w:r>
        <w:rPr>
          <w:rFonts w:ascii="Century Gothic" w:hAnsi="Century Gothic" w:cs="Arial"/>
        </w:rPr>
        <w:t>•</w:t>
      </w:r>
      <w:r>
        <w:rPr>
          <w:rFonts w:ascii="Century Gothic" w:hAnsi="Century Gothic" w:cs="Arial"/>
        </w:rPr>
        <w:tab/>
        <w:t>Se entregará al CS un reporte con los resultados de la prueba del servicio.</w:t>
      </w:r>
      <w:bookmarkStart w:id="1679" w:name="_Toc467248748"/>
    </w:p>
    <w:p w:rsidR="00C54990" w:rsidRPr="00611019" w:rsidRDefault="00C54990" w:rsidP="00035D2C">
      <w:pPr>
        <w:tabs>
          <w:tab w:val="start" w:pos="21.30pt"/>
        </w:tabs>
        <w:jc w:val="both"/>
        <w:rPr>
          <w:rFonts w:ascii="Century Gothic" w:hAnsi="Century Gothic" w:cs="Arial"/>
        </w:rPr>
      </w:pPr>
    </w:p>
    <w:p w:rsidR="00277ED2" w:rsidRPr="00611019" w:rsidRDefault="00E56462" w:rsidP="00035D2C">
      <w:pPr>
        <w:pStyle w:val="Ttulo2"/>
        <w:spacing w:after="6pt"/>
        <w:rPr>
          <w:rFonts w:ascii="Century Gothic" w:hAnsi="Century Gothic"/>
        </w:rPr>
      </w:pPr>
      <w:bookmarkStart w:id="1680" w:name="_Toc525904634"/>
      <w:bookmarkStart w:id="1681" w:name="_Toc525914030"/>
      <w:bookmarkStart w:id="1682" w:name="_Toc525919269"/>
      <w:bookmarkStart w:id="1683" w:name="_Toc525919393"/>
      <w:bookmarkStart w:id="1684" w:name="_Toc2957203"/>
      <w:bookmarkStart w:id="1685" w:name="_Toc26980689"/>
      <w:bookmarkStart w:id="1686" w:name="_Toc24473503"/>
      <w:bookmarkStart w:id="1687" w:name="_Toc24477631"/>
      <w:bookmarkStart w:id="1688" w:name="_Toc24483897"/>
      <w:bookmarkStart w:id="1689" w:name="_Toc26273131"/>
      <w:bookmarkStart w:id="1690" w:name="_Toc26284528"/>
      <w:bookmarkStart w:id="1691" w:name="_Toc26286283"/>
      <w:bookmarkStart w:id="1692" w:name="_Toc26903965"/>
      <w:bookmarkStart w:id="1693" w:name="_Toc43913206"/>
      <w:bookmarkStart w:id="1694" w:name="_Toc53488542"/>
      <w:bookmarkStart w:id="1695" w:name="_Toc53490474"/>
      <w:bookmarkStart w:id="1696" w:name="_Toc53498482"/>
      <w:bookmarkStart w:id="1697" w:name="_Toc58578839"/>
      <w:bookmarkStart w:id="1698" w:name="_Toc92974065"/>
      <w:bookmarkStart w:id="1699" w:name="_Toc93052376"/>
      <w:bookmarkStart w:id="1700" w:name="_Toc93056331"/>
      <w:bookmarkStart w:id="1701" w:name="_Toc125393395"/>
      <w:bookmarkStart w:id="1702" w:name="_Toc148702251"/>
      <w:bookmarkStart w:id="1703" w:name="_Toc170381872"/>
      <w:r>
        <w:rPr>
          <w:rFonts w:ascii="Century Gothic" w:hAnsi="Century Gothic"/>
        </w:rPr>
        <w:t>10.4 Parámetros e indicadores de Calidad de Cableado Multipar</w:t>
      </w:r>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r>
        <w:rPr>
          <w:rFonts w:ascii="Century Gothic" w:hAnsi="Century Gothic"/>
        </w:rPr>
        <w:t>.</w:t>
      </w:r>
    </w:p>
    <w:p w:rsidR="00277ED2" w:rsidRPr="00611019" w:rsidRDefault="00E56462" w:rsidP="00035D2C">
      <w:pPr>
        <w:pStyle w:val="IFTnormal"/>
        <w:rPr>
          <w:rFonts w:ascii="Century Gothic" w:hAnsi="Century Gothic"/>
        </w:rPr>
      </w:pPr>
      <w:r>
        <w:rPr>
          <w:rFonts w:ascii="Century Gothic" w:hAnsi="Century Gothic"/>
        </w:rPr>
        <w:t xml:space="preserve">En esta sección se muestran los parámetros e indicadores de calidad referentes a la provisión, continuidad y atención de fallas del Servicio Auxiliar de Cableado Multipar. Estos parámetros e indicadores se medirán con una periodicidad trimestral por cada uno de los </w:t>
      </w:r>
      <w:r w:rsidR="00B71C1E">
        <w:rPr>
          <w:rFonts w:ascii="Century Gothic" w:hAnsi="Century Gothic"/>
        </w:rPr>
        <w:t>CS</w:t>
      </w:r>
      <w:r>
        <w:rPr>
          <w:rFonts w:ascii="Century Gothic" w:hAnsi="Century Gothic"/>
        </w:rPr>
        <w:t>.</w:t>
      </w:r>
    </w:p>
    <w:p w:rsidR="002F56DE" w:rsidRPr="00611019" w:rsidRDefault="002F56DE" w:rsidP="00035D2C">
      <w:pPr>
        <w:pStyle w:val="IFTnormal"/>
        <w:rPr>
          <w:rFonts w:ascii="Century Gothic" w:hAnsi="Century Gothic"/>
          <w:b/>
        </w:rPr>
      </w:pPr>
    </w:p>
    <w:p w:rsidR="002F56DE" w:rsidRPr="00611019" w:rsidRDefault="00E56462" w:rsidP="00035D2C">
      <w:pPr>
        <w:pStyle w:val="IFTnormal"/>
        <w:spacing w:after="6pt"/>
        <w:rPr>
          <w:rFonts w:ascii="Century Gothic" w:hAnsi="Century Gothic"/>
        </w:rPr>
      </w:pPr>
      <w:r>
        <w:rPr>
          <w:rFonts w:ascii="Century Gothic" w:hAnsi="Century Gothic"/>
          <w:b/>
        </w:rPr>
        <w:t>Parámetros e Indicadores para Provisión del Servicio.</w:t>
      </w:r>
    </w:p>
    <w:p w:rsidR="00277ED2" w:rsidRPr="00611019" w:rsidRDefault="00E56462" w:rsidP="00035D2C">
      <w:pPr>
        <w:pStyle w:val="IFTnormal"/>
        <w:spacing w:after="3pt"/>
        <w:rPr>
          <w:rFonts w:ascii="Century Gothic" w:hAnsi="Century Gothic"/>
        </w:rPr>
      </w:pPr>
      <w:r>
        <w:rPr>
          <w:rFonts w:ascii="Century Gothic" w:hAnsi="Century Gothic"/>
        </w:rPr>
        <w:t>En lo referente a la provisión de los Servicios (validación de la solicitud, verificación de factibilidad y habilitación), se tienen los siguientes indicadores:</w:t>
      </w:r>
    </w:p>
    <w:p w:rsidR="00277ED2" w:rsidRPr="00611019" w:rsidRDefault="00E56462">
      <w:pPr>
        <w:pStyle w:val="IFTnormal"/>
        <w:numPr>
          <w:ilvl w:val="0"/>
          <w:numId w:val="108"/>
        </w:numPr>
        <w:spacing w:after="3pt"/>
        <w:rPr>
          <w:rFonts w:ascii="Century Gothic" w:hAnsi="Century Gothic"/>
        </w:rPr>
      </w:pPr>
      <w:r>
        <w:rPr>
          <w:rFonts w:ascii="Century Gothic" w:hAnsi="Century Gothic"/>
        </w:rPr>
        <w:t>Validación de la solicitud junto con validación de la factibilidad: 90% de las solicitudes en máximo cuatro días hábiles. El 10% restante validada en un máximo de seis días hábiles a partir de la solicitud.</w:t>
      </w:r>
    </w:p>
    <w:p w:rsidR="00277ED2" w:rsidRPr="00611019" w:rsidRDefault="00E56462">
      <w:pPr>
        <w:pStyle w:val="Prrafodelista"/>
        <w:numPr>
          <w:ilvl w:val="0"/>
          <w:numId w:val="108"/>
        </w:numPr>
        <w:spacing w:after="3pt"/>
        <w:jc w:val="both"/>
        <w:rPr>
          <w:rFonts w:ascii="Century Gothic" w:hAnsi="Century Gothic" w:cs="Arial"/>
        </w:rPr>
      </w:pPr>
      <w:r>
        <w:rPr>
          <w:rFonts w:ascii="Century Gothic" w:hAnsi="Century Gothic" w:cs="Arial"/>
        </w:rPr>
        <w:t>Habilitación de Cableado Multipar Interno: 90% en un máximo de 15 días hábiles. El 10% restante en un máximo de 25 días hábiles.</w:t>
      </w:r>
    </w:p>
    <w:p w:rsidR="00277ED2" w:rsidRPr="00611019" w:rsidRDefault="00E56462">
      <w:pPr>
        <w:pStyle w:val="Prrafodelista"/>
        <w:numPr>
          <w:ilvl w:val="0"/>
          <w:numId w:val="108"/>
        </w:numPr>
        <w:spacing w:after="3pt"/>
        <w:jc w:val="both"/>
        <w:rPr>
          <w:rFonts w:ascii="Century Gothic" w:hAnsi="Century Gothic" w:cs="Arial"/>
        </w:rPr>
      </w:pPr>
      <w:r>
        <w:rPr>
          <w:rFonts w:ascii="Century Gothic" w:hAnsi="Century Gothic" w:cs="Arial"/>
        </w:rPr>
        <w:t>Habilitación de Cableado Multipar Externo: 90% en un máximo de 25 días hábiles. El 10% restante en un máximo de 40 días hábiles.</w:t>
      </w:r>
    </w:p>
    <w:p w:rsidR="00277ED2" w:rsidRPr="00611019" w:rsidRDefault="00E56462">
      <w:pPr>
        <w:pStyle w:val="Prrafodelista"/>
        <w:numPr>
          <w:ilvl w:val="0"/>
          <w:numId w:val="108"/>
        </w:numPr>
        <w:jc w:val="both"/>
        <w:rPr>
          <w:rFonts w:ascii="Century Gothic" w:hAnsi="Century Gothic" w:cs="Arial"/>
        </w:rPr>
      </w:pPr>
      <w:r>
        <w:rPr>
          <w:rFonts w:ascii="Century Gothic" w:hAnsi="Century Gothic" w:cs="Arial"/>
        </w:rPr>
        <w:t>Habilitación de Cableado Multipar Ubicación Distante: 90% en un máximo de 45 días hábiles. El 10% restante en un máximo de 70 días hábiles.</w:t>
      </w:r>
    </w:p>
    <w:p w:rsidR="00F56287" w:rsidRPr="00611019" w:rsidRDefault="00F56287" w:rsidP="00035D2C">
      <w:pPr>
        <w:pStyle w:val="Prrafodelista"/>
        <w:contextualSpacing w:val="0"/>
        <w:jc w:val="both"/>
        <w:rPr>
          <w:rFonts w:ascii="Century Gothic" w:hAnsi="Century Gothic" w:cs="Arial"/>
        </w:rPr>
      </w:pPr>
    </w:p>
    <w:p w:rsidR="00606B94" w:rsidRPr="00611019" w:rsidRDefault="00E56462" w:rsidP="00035D2C">
      <w:pPr>
        <w:pStyle w:val="IFTnormal"/>
        <w:spacing w:after="6pt"/>
        <w:rPr>
          <w:rFonts w:ascii="Century Gothic" w:hAnsi="Century Gothic"/>
          <w:b/>
        </w:rPr>
      </w:pPr>
      <w:r>
        <w:rPr>
          <w:rFonts w:ascii="Century Gothic" w:hAnsi="Century Gothic"/>
          <w:b/>
        </w:rPr>
        <w:t>Metodología.</w:t>
      </w:r>
    </w:p>
    <w:p w:rsidR="00277ED2" w:rsidRPr="00611019" w:rsidRDefault="00E56462" w:rsidP="00035D2C">
      <w:pPr>
        <w:pStyle w:val="IFTnormal"/>
        <w:spacing w:after="6pt"/>
        <w:rPr>
          <w:rFonts w:ascii="Century Gothic" w:hAnsi="Century Gothic"/>
        </w:rPr>
      </w:pPr>
      <w:r>
        <w:rPr>
          <w:rFonts w:ascii="Century Gothic" w:hAnsi="Century Gothic"/>
        </w:rPr>
        <w:t xml:space="preserve">Para realizar la medición de los indicadores presentados, se descontarán los plazos señalados en la sección “Plazos de Entrega de Cableado Multipar” de este documento de los días totales utilizados para la realización de dicha actividad, considerando como inicio del proceso el día en que se solicitó el Servicio por parte del CS. </w:t>
      </w:r>
    </w:p>
    <w:p w:rsidR="00277ED2" w:rsidRPr="00611019" w:rsidRDefault="00E56462" w:rsidP="00035D2C">
      <w:pPr>
        <w:pStyle w:val="IFTnormal"/>
        <w:rPr>
          <w:rFonts w:ascii="Century Gothic" w:hAnsi="Century Gothic"/>
        </w:rPr>
      </w:pPr>
      <w:r>
        <w:rPr>
          <w:rFonts w:ascii="Century Gothic" w:hAnsi="Century Gothic"/>
        </w:rPr>
        <w:t>El horario de atención es 24 horas, sin embargo, para realizar las mediciones de estos indicadores, se considerarán las solicitudes ingresadas en un horario hábil de lunes a viernes de 9:00 a 17:00 horas, así como sábados en un horario de 9:00 a 14:00 hrs. Aquellos que se reciban después de estos horarios y los del sábado, se contabilizarán para el día hábil siguiente.</w:t>
      </w:r>
    </w:p>
    <w:p w:rsidR="00AE4570" w:rsidRPr="00611019" w:rsidRDefault="00E56462" w:rsidP="00035D2C">
      <w:pPr>
        <w:pStyle w:val="IFTnormal"/>
        <w:spacing w:after="6pt"/>
        <w:rPr>
          <w:rFonts w:ascii="Century Gothic" w:hAnsi="Century Gothic"/>
          <w:b/>
        </w:rPr>
      </w:pPr>
      <w:r>
        <w:rPr>
          <w:rFonts w:ascii="Century Gothic" w:hAnsi="Century Gothic"/>
          <w:b/>
        </w:rPr>
        <w:t>Parámetros e Indicadores para Reparación de Fallas.</w:t>
      </w:r>
    </w:p>
    <w:p w:rsidR="00277ED2" w:rsidRPr="00611019" w:rsidRDefault="00E56462" w:rsidP="00035D2C">
      <w:pPr>
        <w:pStyle w:val="IFTnormal"/>
        <w:tabs>
          <w:tab w:val="start" w:pos="21.30pt"/>
        </w:tabs>
        <w:spacing w:after="3pt"/>
        <w:rPr>
          <w:rFonts w:ascii="Century Gothic" w:hAnsi="Century Gothic"/>
        </w:rPr>
      </w:pPr>
      <w:r>
        <w:rPr>
          <w:rFonts w:ascii="Century Gothic" w:hAnsi="Century Gothic"/>
        </w:rPr>
        <w:lastRenderedPageBreak/>
        <w:t>•</w:t>
      </w:r>
      <w:r>
        <w:rPr>
          <w:rFonts w:ascii="Century Gothic" w:hAnsi="Century Gothic"/>
        </w:rPr>
        <w:tab/>
        <w:t>85% de reparación en el mismo día hábil.</w:t>
      </w:r>
    </w:p>
    <w:p w:rsidR="00277ED2" w:rsidRPr="00611019" w:rsidRDefault="00E56462" w:rsidP="00F56287">
      <w:pPr>
        <w:pStyle w:val="IFTnormal"/>
        <w:tabs>
          <w:tab w:val="start" w:pos="21.30pt"/>
        </w:tabs>
        <w:rPr>
          <w:rFonts w:ascii="Century Gothic" w:hAnsi="Century Gothic"/>
        </w:rPr>
      </w:pPr>
      <w:r>
        <w:rPr>
          <w:rFonts w:ascii="Century Gothic" w:hAnsi="Century Gothic"/>
        </w:rPr>
        <w:t>•</w:t>
      </w:r>
      <w:r>
        <w:rPr>
          <w:rFonts w:ascii="Century Gothic" w:hAnsi="Century Gothic"/>
        </w:rPr>
        <w:tab/>
        <w:t>95% de reparaciones en un plazo máximo de tres días hábiles.</w:t>
      </w:r>
    </w:p>
    <w:p w:rsidR="00903A7D" w:rsidRPr="00611019" w:rsidRDefault="00903A7D" w:rsidP="00F56287">
      <w:pPr>
        <w:pStyle w:val="IFTnormal"/>
        <w:tabs>
          <w:tab w:val="start" w:pos="21.30pt"/>
        </w:tabs>
        <w:rPr>
          <w:rFonts w:ascii="Century Gothic" w:hAnsi="Century Gothic"/>
        </w:rPr>
      </w:pPr>
    </w:p>
    <w:p w:rsidR="00237730" w:rsidRPr="00611019" w:rsidRDefault="00E56462" w:rsidP="00035D2C">
      <w:pPr>
        <w:pStyle w:val="IFTnormal"/>
        <w:tabs>
          <w:tab w:val="start" w:pos="21.30pt"/>
        </w:tabs>
        <w:rPr>
          <w:rFonts w:ascii="Century Gothic" w:hAnsi="Century Gothic"/>
        </w:rPr>
      </w:pPr>
      <w:r>
        <w:rPr>
          <w:rFonts w:ascii="Century Gothic" w:hAnsi="Century Gothic"/>
        </w:rPr>
        <w:t>El plazo para la reparación de fallas para el 5% de reportes restante será establecido de mutuo acuerdo entre el CS y RED NACIONAL; este acuerdo del plazo fijado deberá ser reflejado en el SEG/SIPO, incluyendo a ambas partes, tanto a RED NACIONAL como al CS que reporte la falla. El mutuo acuerdo deberá realizarse dentro de los cinco días hábiles a partir del reporte de la falla, considerando que no se pudo atender dentro de los primeros tres días hábiles para contabilizarse dentro del 95% del parámetro de calidad.  De no llegar a un mutuo acuerdo para el plazo de reparación de la falla, se considerará un plazo de 20 días hábiles, plazo después del cual se considerará como incumplimiento a la reparación de la falla por parte de RED NACIONAL.</w:t>
      </w:r>
    </w:p>
    <w:p w:rsidR="00277ED2" w:rsidRDefault="00277ED2" w:rsidP="00035D2C">
      <w:pPr>
        <w:pStyle w:val="IFTnormal"/>
        <w:rPr>
          <w:rFonts w:ascii="Century Gothic" w:hAnsi="Century Gothic"/>
          <w:szCs w:val="44"/>
        </w:rPr>
      </w:pPr>
    </w:p>
    <w:p w:rsidR="00F56287" w:rsidRDefault="00F56287" w:rsidP="00204BC4">
      <w:pPr>
        <w:pStyle w:val="IFTnormal"/>
        <w:rPr>
          <w:rFonts w:ascii="Century Gothic" w:hAnsi="Century Gothic"/>
          <w:szCs w:val="44"/>
        </w:rPr>
      </w:pPr>
    </w:p>
    <w:p w:rsidR="00785FC3" w:rsidRPr="00B71C1E" w:rsidRDefault="00E56462" w:rsidP="00204BC4">
      <w:pPr>
        <w:pStyle w:val="1TitPrin"/>
        <w:spacing w:after="6pt"/>
        <w:ind w:start="0pt" w:firstLine="0pt"/>
        <w:rPr>
          <w:rFonts w:ascii="Century Gothic" w:hAnsi="Century Gothic"/>
        </w:rPr>
      </w:pPr>
      <w:bookmarkStart w:id="1704" w:name="_Toc26273115"/>
      <w:bookmarkStart w:id="1705" w:name="_Toc26284512"/>
      <w:bookmarkStart w:id="1706" w:name="_Toc26286267"/>
      <w:bookmarkStart w:id="1707" w:name="_Toc26903972"/>
      <w:bookmarkStart w:id="1708" w:name="_Toc43913212"/>
      <w:bookmarkStart w:id="1709" w:name="_Toc26980696"/>
      <w:bookmarkStart w:id="1710" w:name="_Toc53488548"/>
      <w:bookmarkStart w:id="1711" w:name="_Toc53490480"/>
      <w:bookmarkStart w:id="1712" w:name="_Toc53498488"/>
      <w:bookmarkStart w:id="1713" w:name="_Toc58578845"/>
      <w:bookmarkStart w:id="1714" w:name="_Toc92974071"/>
      <w:bookmarkStart w:id="1715" w:name="_Toc93052382"/>
      <w:bookmarkStart w:id="1716" w:name="_Toc93056337"/>
      <w:bookmarkStart w:id="1717" w:name="_Toc125393401"/>
      <w:bookmarkStart w:id="1718" w:name="_Toc148702257"/>
      <w:bookmarkStart w:id="1719" w:name="_Toc170381873"/>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r w:rsidRPr="00B71C1E">
        <w:rPr>
          <w:rFonts w:ascii="Century Gothic" w:hAnsi="Century Gothic" w:cs="Times New Roman"/>
          <w14:scene3d>
            <w14:camera w14:prst="orthographicFront"/>
            <w14:lightRig w14:rig="threePt" w14:dir="t">
              <w14:rot w14:lat="0" w14:lon="0" w14:rev="0"/>
            </w14:lightRig>
          </w14:scene3d>
        </w:rPr>
        <w:t>1</w:t>
      </w:r>
      <w:r w:rsidR="00230EF7">
        <w:rPr>
          <w:rFonts w:ascii="Century Gothic" w:hAnsi="Century Gothic" w:cs="Times New Roman"/>
          <w14:scene3d>
            <w14:camera w14:prst="orthographicFront"/>
            <w14:lightRig w14:rig="threePt" w14:dir="t">
              <w14:rot w14:lat="0" w14:lon="0" w14:rev="0"/>
            </w14:lightRig>
          </w14:scene3d>
        </w:rPr>
        <w:t>1</w:t>
      </w:r>
      <w:r w:rsidRPr="00B71C1E">
        <w:rPr>
          <w:rFonts w:ascii="Century Gothic" w:hAnsi="Century Gothic" w:cs="Times New Roman"/>
          <w14:scene3d>
            <w14:camera w14:prst="orthographicFront"/>
            <w14:lightRig w14:rig="threePt" w14:dir="t">
              <w14:rot w14:lat="0" w14:lon="0" w14:rev="0"/>
            </w14:lightRig>
          </w14:scene3d>
        </w:rPr>
        <w:t xml:space="preserve">. </w:t>
      </w:r>
      <w:r w:rsidRPr="00B71C1E">
        <w:rPr>
          <w:rFonts w:ascii="Century Gothic" w:hAnsi="Century Gothic"/>
        </w:rPr>
        <w:t>Servicio de Coubicación para Desagregación del Bucle</w:t>
      </w:r>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r w:rsidRPr="00B71C1E">
        <w:rPr>
          <w:rFonts w:ascii="Century Gothic" w:hAnsi="Century Gothic"/>
        </w:rPr>
        <w:t xml:space="preserve"> (SCD)</w:t>
      </w:r>
      <w:bookmarkEnd w:id="1719"/>
      <w:r w:rsidRPr="00B71C1E">
        <w:rPr>
          <w:rFonts w:ascii="Century Gothic" w:hAnsi="Century Gothic"/>
        </w:rPr>
        <w:t>.</w:t>
      </w:r>
    </w:p>
    <w:p w:rsidR="00277ED2" w:rsidRPr="00611019" w:rsidRDefault="00E56462" w:rsidP="00204BC4">
      <w:pPr>
        <w:pStyle w:val="IFTnormal"/>
        <w:spacing w:after="6pt"/>
        <w:rPr>
          <w:rFonts w:ascii="Century Gothic" w:hAnsi="Century Gothic"/>
        </w:rPr>
      </w:pPr>
      <w:r>
        <w:rPr>
          <w:rFonts w:ascii="Century Gothic" w:hAnsi="Century Gothic"/>
        </w:rPr>
        <w:t>Para la provisión del SAIB, SDTBL, SDTFO, Cableado DFO-RED NACIONAL a DFO-CS y SCyD es necesario que el CS cuente con un espacio donde ubique su infraestructura de tal forma que RED NACIONAL pueda entregar los Servicios de Desagregación.</w:t>
      </w:r>
    </w:p>
    <w:p w:rsidR="00277ED2" w:rsidRPr="00611019" w:rsidRDefault="00E56462" w:rsidP="00035D2C">
      <w:pPr>
        <w:pStyle w:val="IFTnormal"/>
        <w:spacing w:after="6pt"/>
        <w:rPr>
          <w:rFonts w:ascii="Century Gothic" w:hAnsi="Century Gothic"/>
        </w:rPr>
      </w:pPr>
      <w:r>
        <w:rPr>
          <w:rFonts w:ascii="Century Gothic" w:hAnsi="Century Gothic"/>
        </w:rPr>
        <w:t>Para lo anterior el CS deberá contar con cualquiera de las siguientes alternativas como espacio para coubicación:</w:t>
      </w:r>
    </w:p>
    <w:p w:rsidR="00277ED2" w:rsidRPr="00611019" w:rsidRDefault="00E56462">
      <w:pPr>
        <w:pStyle w:val="Prrafodelista"/>
        <w:numPr>
          <w:ilvl w:val="0"/>
          <w:numId w:val="109"/>
        </w:numPr>
        <w:spacing w:after="6pt"/>
        <w:ind w:start="35.45pt"/>
        <w:jc w:val="both"/>
        <w:rPr>
          <w:rFonts w:ascii="Century Gothic" w:hAnsi="Century Gothic" w:cs="Arial"/>
        </w:rPr>
      </w:pPr>
      <w:r>
        <w:rPr>
          <w:rFonts w:ascii="Century Gothic" w:hAnsi="Century Gothic" w:cs="Arial"/>
        </w:rPr>
        <w:t>Contratar el SCyD;</w:t>
      </w:r>
    </w:p>
    <w:p w:rsidR="00277ED2" w:rsidRPr="00611019" w:rsidRDefault="00E56462">
      <w:pPr>
        <w:pStyle w:val="IFTnormal"/>
        <w:numPr>
          <w:ilvl w:val="0"/>
          <w:numId w:val="109"/>
        </w:numPr>
        <w:spacing w:after="6pt"/>
        <w:ind w:start="35.45pt"/>
        <w:rPr>
          <w:rFonts w:ascii="Century Gothic" w:hAnsi="Century Gothic"/>
        </w:rPr>
      </w:pPr>
      <w:r>
        <w:rPr>
          <w:rFonts w:ascii="Century Gothic" w:hAnsi="Century Gothic"/>
        </w:rPr>
        <w:t xml:space="preserve">Tener una Ubicación Distante definida para la entrega de los Servicios; </w:t>
      </w:r>
    </w:p>
    <w:p w:rsidR="00277ED2" w:rsidRPr="00611019" w:rsidRDefault="00E56462">
      <w:pPr>
        <w:pStyle w:val="IFTnormal"/>
        <w:numPr>
          <w:ilvl w:val="0"/>
          <w:numId w:val="109"/>
        </w:numPr>
        <w:spacing w:after="6pt"/>
        <w:ind w:start="35.45pt"/>
        <w:rPr>
          <w:rFonts w:ascii="Century Gothic" w:hAnsi="Century Gothic"/>
        </w:rPr>
      </w:pPr>
      <w:r>
        <w:rPr>
          <w:rFonts w:ascii="Century Gothic" w:hAnsi="Century Gothic"/>
        </w:rPr>
        <w:t xml:space="preserve">Contar en la Central Telefónica con una coubicación contratada para interconexión; </w:t>
      </w:r>
    </w:p>
    <w:p w:rsidR="00277ED2" w:rsidRPr="00611019" w:rsidRDefault="00E56462">
      <w:pPr>
        <w:pStyle w:val="IFTnormal"/>
        <w:numPr>
          <w:ilvl w:val="0"/>
          <w:numId w:val="109"/>
        </w:numPr>
        <w:spacing w:after="6pt"/>
        <w:ind w:start="35.45pt"/>
        <w:rPr>
          <w:rFonts w:ascii="Century Gothic" w:hAnsi="Century Gothic"/>
        </w:rPr>
      </w:pPr>
      <w:r>
        <w:rPr>
          <w:rFonts w:ascii="Century Gothic" w:hAnsi="Century Gothic"/>
        </w:rPr>
        <w:t>Contar en la Central Telefónica con coubicación compartida con otro CS (pudiendo ser tanto de interconexión como de desagregación); o</w:t>
      </w:r>
    </w:p>
    <w:p w:rsidR="00277ED2" w:rsidRPr="00611019" w:rsidRDefault="00E56462">
      <w:pPr>
        <w:pStyle w:val="IFTnormal"/>
        <w:numPr>
          <w:ilvl w:val="0"/>
          <w:numId w:val="109"/>
        </w:numPr>
        <w:spacing w:after="6pt"/>
        <w:ind w:start="35.45pt"/>
        <w:rPr>
          <w:rFonts w:ascii="Century Gothic" w:hAnsi="Century Gothic"/>
        </w:rPr>
      </w:pPr>
      <w:r>
        <w:rPr>
          <w:rFonts w:ascii="Century Gothic" w:hAnsi="Century Gothic"/>
        </w:rPr>
        <w:t>Contar en la Central Telefónica con una Coubicación para Desagregación previamente contratada.</w:t>
      </w:r>
    </w:p>
    <w:p w:rsidR="00277ED2" w:rsidRPr="00611019" w:rsidRDefault="00E56462" w:rsidP="00035D2C">
      <w:pPr>
        <w:pStyle w:val="IFTnormal"/>
        <w:rPr>
          <w:rFonts w:ascii="Century Gothic" w:hAnsi="Century Gothic"/>
        </w:rPr>
      </w:pPr>
      <w:r>
        <w:rPr>
          <w:rFonts w:ascii="Century Gothic" w:hAnsi="Century Gothic"/>
        </w:rPr>
        <w:t xml:space="preserve">En los últimos tres casos es necesario que sea factible hacer uso de estos espacios y en caso de requerirse adecuaciones, éstas se limitarán a ampliación de espacio, energía eléctrica o aire acondicionado, para el correcto funcionamiento de los equipos a instalar. Asimismo, en estos casos no será necesario que los </w:t>
      </w:r>
      <w:r w:rsidR="00B71C1E">
        <w:rPr>
          <w:rFonts w:ascii="Century Gothic" w:hAnsi="Century Gothic"/>
        </w:rPr>
        <w:t>CS</w:t>
      </w:r>
      <w:r>
        <w:rPr>
          <w:rFonts w:ascii="Century Gothic" w:hAnsi="Century Gothic"/>
        </w:rPr>
        <w:t xml:space="preserve"> firmen un nuevo convenio de coubicación ya que se hará uso de espacios previamente contratados. De ser necesario RED NACIONAL hará las adecuaciones correspondientes a cuenta del CS.</w:t>
      </w:r>
    </w:p>
    <w:p w:rsidR="008D276C" w:rsidRPr="00611019" w:rsidRDefault="008D276C" w:rsidP="00035D2C">
      <w:pPr>
        <w:pStyle w:val="IFTnormal"/>
        <w:rPr>
          <w:rFonts w:ascii="Century Gothic" w:hAnsi="Century Gothic"/>
        </w:rPr>
      </w:pPr>
    </w:p>
    <w:p w:rsidR="00277ED2" w:rsidRPr="00611019" w:rsidRDefault="00E56462" w:rsidP="00035D2C">
      <w:pPr>
        <w:pStyle w:val="Ttulo2"/>
        <w:spacing w:after="6pt"/>
        <w:rPr>
          <w:rFonts w:ascii="Century Gothic" w:hAnsi="Century Gothic"/>
        </w:rPr>
      </w:pPr>
      <w:bookmarkStart w:id="1720" w:name="_Toc467248756"/>
      <w:bookmarkStart w:id="1721" w:name="_Toc525904642"/>
      <w:bookmarkStart w:id="1722" w:name="_Toc525914038"/>
      <w:bookmarkStart w:id="1723" w:name="_Toc525919277"/>
      <w:bookmarkStart w:id="1724" w:name="_Toc525919401"/>
      <w:bookmarkStart w:id="1725" w:name="_Toc2957211"/>
      <w:bookmarkStart w:id="1726" w:name="_Toc24473512"/>
      <w:bookmarkStart w:id="1727" w:name="_Toc24477640"/>
      <w:bookmarkStart w:id="1728" w:name="_Toc24483906"/>
      <w:bookmarkStart w:id="1729" w:name="_Toc26273116"/>
      <w:bookmarkStart w:id="1730" w:name="_Toc26284513"/>
      <w:bookmarkStart w:id="1731" w:name="_Toc26286268"/>
      <w:bookmarkStart w:id="1732" w:name="_Toc26903973"/>
      <w:bookmarkStart w:id="1733" w:name="_Toc43913213"/>
      <w:bookmarkStart w:id="1734" w:name="_Toc26980697"/>
      <w:bookmarkStart w:id="1735" w:name="_Toc53488549"/>
      <w:bookmarkStart w:id="1736" w:name="_Toc53490481"/>
      <w:bookmarkStart w:id="1737" w:name="_Toc53498489"/>
      <w:bookmarkStart w:id="1738" w:name="_Toc58578846"/>
      <w:bookmarkStart w:id="1739" w:name="_Toc92974072"/>
      <w:bookmarkStart w:id="1740" w:name="_Toc93052383"/>
      <w:bookmarkStart w:id="1741" w:name="_Toc93056338"/>
      <w:bookmarkStart w:id="1742" w:name="_Toc125393402"/>
      <w:bookmarkStart w:id="1743" w:name="_Toc148702258"/>
      <w:bookmarkStart w:id="1744" w:name="_Toc170381874"/>
      <w:r>
        <w:rPr>
          <w:rFonts w:ascii="Century Gothic" w:hAnsi="Century Gothic"/>
        </w:rPr>
        <w:t>1</w:t>
      </w:r>
      <w:r w:rsidR="00230EF7">
        <w:rPr>
          <w:rFonts w:ascii="Century Gothic" w:hAnsi="Century Gothic"/>
        </w:rPr>
        <w:t>1</w:t>
      </w:r>
      <w:r>
        <w:rPr>
          <w:rFonts w:ascii="Century Gothic" w:hAnsi="Century Gothic"/>
        </w:rPr>
        <w:t>.1 Generalidades</w:t>
      </w:r>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r>
        <w:rPr>
          <w:rFonts w:ascii="Century Gothic" w:hAnsi="Century Gothic"/>
        </w:rPr>
        <w:t>.</w:t>
      </w:r>
    </w:p>
    <w:p w:rsidR="00277ED2" w:rsidRPr="00611019" w:rsidRDefault="00E56462" w:rsidP="00035D2C">
      <w:pPr>
        <w:pStyle w:val="IFTnormal"/>
        <w:rPr>
          <w:rFonts w:ascii="Century Gothic" w:hAnsi="Century Gothic"/>
        </w:rPr>
      </w:pPr>
      <w:r>
        <w:rPr>
          <w:rFonts w:ascii="Century Gothic" w:hAnsi="Century Gothic"/>
        </w:rPr>
        <w:t xml:space="preserve">El SCD es un servicio de arrendamiento de espacio para la colocación de equipos y dispositivos del CS necesarios para acceder a los Servicios de desagregación, mediante </w:t>
      </w:r>
      <w:r>
        <w:rPr>
          <w:rFonts w:ascii="Century Gothic" w:hAnsi="Century Gothic"/>
        </w:rPr>
        <w:lastRenderedPageBreak/>
        <w:t>su ubicación en los espacios físicos abiertos o cerrados de RED NACIONAL en Centrales Telefónicas, que Incluye el acondicionamiento necesario para la Instalación de equipos para los Servicios de Desagregación, la provisión de recursos técnicos, instalación para energía eléctrica, medidas de seguridad, aire acondicionado, y demás facilidades necesarias para su adecuada operación, así como el acceso a los espacios físicos mencionados. Los espacios para coubicación se categorizan de conformidad con la zona económica en que se encuentran situados, definiéndose tres zonas: alta, media y baja.</w:t>
      </w:r>
    </w:p>
    <w:p w:rsidR="00277ED2" w:rsidRPr="00611019" w:rsidRDefault="00E56462">
      <w:pPr>
        <w:pStyle w:val="Prrafodelista"/>
        <w:numPr>
          <w:ilvl w:val="0"/>
          <w:numId w:val="110"/>
        </w:numPr>
        <w:spacing w:after="3pt"/>
        <w:jc w:val="both"/>
        <w:rPr>
          <w:rFonts w:ascii="Century Gothic" w:hAnsi="Century Gothic" w:cs="Arial"/>
        </w:rPr>
      </w:pPr>
      <w:r>
        <w:rPr>
          <w:rFonts w:ascii="Century Gothic" w:hAnsi="Century Gothic" w:cs="Arial"/>
          <w:b/>
        </w:rPr>
        <w:t>Zona alta:</w:t>
      </w:r>
      <w:r>
        <w:rPr>
          <w:rFonts w:ascii="Century Gothic" w:hAnsi="Century Gothic" w:cs="Arial"/>
        </w:rPr>
        <w:t xml:space="preserve"> Se trata de sitios ubicados en zonas urbanas, habitacionales o comerciales, cuya población percibe el ingreso promedio más alto en el país.</w:t>
      </w:r>
    </w:p>
    <w:p w:rsidR="00277ED2" w:rsidRPr="00611019" w:rsidRDefault="00E56462">
      <w:pPr>
        <w:pStyle w:val="Prrafodelista"/>
        <w:numPr>
          <w:ilvl w:val="0"/>
          <w:numId w:val="110"/>
        </w:numPr>
        <w:spacing w:after="3pt"/>
        <w:jc w:val="both"/>
        <w:rPr>
          <w:rFonts w:ascii="Century Gothic" w:hAnsi="Century Gothic" w:cs="Arial"/>
        </w:rPr>
      </w:pPr>
      <w:r>
        <w:rPr>
          <w:rFonts w:ascii="Century Gothic" w:hAnsi="Century Gothic" w:cs="Arial"/>
          <w:b/>
        </w:rPr>
        <w:t>Zona media:</w:t>
      </w:r>
      <w:r>
        <w:rPr>
          <w:rFonts w:ascii="Century Gothic" w:hAnsi="Century Gothic" w:cs="Arial"/>
        </w:rPr>
        <w:t xml:space="preserve"> Se trata de sitios ubicados en zonas urbanas, habitacionales o comerciales, cuya población percibe el ingreso promedio en el país.</w:t>
      </w:r>
    </w:p>
    <w:p w:rsidR="00277ED2" w:rsidRDefault="00E56462">
      <w:pPr>
        <w:pStyle w:val="Prrafodelista"/>
        <w:numPr>
          <w:ilvl w:val="0"/>
          <w:numId w:val="110"/>
        </w:numPr>
        <w:spacing w:after="3pt"/>
        <w:rPr>
          <w:rFonts w:ascii="Century Gothic" w:hAnsi="Century Gothic" w:cs="Arial"/>
        </w:rPr>
      </w:pPr>
      <w:r>
        <w:rPr>
          <w:rFonts w:ascii="Century Gothic" w:hAnsi="Century Gothic" w:cs="Arial"/>
          <w:b/>
        </w:rPr>
        <w:t>Zona baja:</w:t>
      </w:r>
      <w:r>
        <w:rPr>
          <w:rFonts w:ascii="Century Gothic" w:hAnsi="Century Gothic" w:cs="Arial"/>
        </w:rPr>
        <w:t xml:space="preserve"> Se trata de sitios ubicados en zonas suburbanas, habitacionales o comerciales, cuya población percibe el ingreso promedio más bajo en el país, o bien sitios ubicados en zonas rurales o de cultivo.</w:t>
      </w:r>
    </w:p>
    <w:p w:rsidR="00277ED2" w:rsidRPr="00611019" w:rsidRDefault="00E56462" w:rsidP="00035D2C">
      <w:pPr>
        <w:pStyle w:val="IFTnormal"/>
        <w:spacing w:after="6pt"/>
        <w:rPr>
          <w:rFonts w:ascii="Century Gothic" w:hAnsi="Century Gothic"/>
        </w:rPr>
      </w:pPr>
      <w:r>
        <w:rPr>
          <w:rFonts w:ascii="Century Gothic" w:hAnsi="Century Gothic"/>
        </w:rPr>
        <w:t xml:space="preserve">Estos espacios se ubicarán en zonas específicas en donde exista factibilidad técnica dentro de las Centrales Telefónicas, diferenciadas e independientes de los espacios que otros concesionarios ocupan en dichas Centrales Telefónicas. </w:t>
      </w:r>
    </w:p>
    <w:p w:rsidR="00277ED2" w:rsidRPr="00611019" w:rsidRDefault="00E56462" w:rsidP="00035D2C">
      <w:pPr>
        <w:pStyle w:val="IFTnormal"/>
        <w:spacing w:after="6pt"/>
        <w:rPr>
          <w:rFonts w:ascii="Century Gothic" w:hAnsi="Century Gothic"/>
        </w:rPr>
      </w:pPr>
      <w:r>
        <w:rPr>
          <w:rFonts w:ascii="Century Gothic" w:hAnsi="Century Gothic"/>
        </w:rPr>
        <w:t>Quedan excluidas las áreas que estén ocupadas por equipos de telecomunicaciones</w:t>
      </w:r>
      <w:r>
        <w:rPr>
          <w:rFonts w:ascii="Century Gothic" w:hAnsi="Century Gothic"/>
          <w:vertAlign w:val="superscript"/>
        </w:rPr>
        <w:footnoteReference w:id="38"/>
      </w:r>
      <w:r>
        <w:rPr>
          <w:rFonts w:ascii="Century Gothic" w:hAnsi="Century Gothic"/>
        </w:rPr>
        <w:t xml:space="preserve"> y otros equipamientos auxiliares, así como las áreas que ocupa el personal para su mantenimiento, los espacios comunes necesarios para la movilidad de personas y equipos (tales como pasillos y accesos para apertura de puertas), al igual que aquellos espacios que por su naturaleza se utilizan para la operación de la red (estacionamientos, bodegas, áreas de carga y descarga).</w:t>
      </w:r>
    </w:p>
    <w:p w:rsidR="00277ED2" w:rsidRPr="00611019" w:rsidRDefault="00E56462" w:rsidP="00035D2C">
      <w:pPr>
        <w:spacing w:after="6pt"/>
        <w:jc w:val="both"/>
        <w:rPr>
          <w:rFonts w:ascii="Century Gothic" w:hAnsi="Century Gothic" w:cs="Arial"/>
        </w:rPr>
      </w:pPr>
      <w:r>
        <w:rPr>
          <w:rStyle w:val="IFTnormalCar"/>
          <w:rFonts w:ascii="Century Gothic" w:hAnsi="Century Gothic"/>
        </w:rPr>
        <w:t xml:space="preserve">Si el CS ya cuenta con coubicación en alguna de las Centrales Telefónicas, tal coubicación podrá ser utilizada bajo las condiciones establecidas. En caso de que aplique, de acuerdo con las condiciones técnicas y operativas, al interior de la coubicación, podrá llevarse a cabo la adecuación o instalación de elementos que permitan llevar a esta coubicación el cableado del servicio requerido. </w:t>
      </w:r>
      <w:r>
        <w:rPr>
          <w:rFonts w:ascii="Century Gothic" w:hAnsi="Century Gothic"/>
        </w:rPr>
        <w:t>RED NACIONAL</w:t>
      </w:r>
      <w:r>
        <w:rPr>
          <w:rStyle w:val="IFTnormalCar"/>
          <w:rFonts w:ascii="Century Gothic" w:hAnsi="Century Gothic"/>
        </w:rPr>
        <w:t xml:space="preserve"> pondrá a disposición de los </w:t>
      </w:r>
      <w:r w:rsidR="008E3048">
        <w:rPr>
          <w:rStyle w:val="IFTnormalCar"/>
          <w:rFonts w:ascii="Century Gothic" w:hAnsi="Century Gothic"/>
        </w:rPr>
        <w:t>CS</w:t>
      </w:r>
      <w:r>
        <w:rPr>
          <w:rStyle w:val="IFTnormalCar"/>
          <w:rFonts w:ascii="Century Gothic" w:hAnsi="Century Gothic"/>
        </w:rPr>
        <w:t xml:space="preserve"> a través del SEG/SIPO las coubicaciones contratadas por los </w:t>
      </w:r>
      <w:r w:rsidR="008E3048">
        <w:rPr>
          <w:rStyle w:val="IFTnormalCar"/>
          <w:rFonts w:ascii="Century Gothic" w:hAnsi="Century Gothic"/>
        </w:rPr>
        <w:t>CS</w:t>
      </w:r>
      <w:r>
        <w:rPr>
          <w:rStyle w:val="IFTnormalCar"/>
          <w:rFonts w:ascii="Century Gothic" w:hAnsi="Century Gothic"/>
        </w:rPr>
        <w:t>, indicando las</w:t>
      </w:r>
      <w:r>
        <w:rPr>
          <w:rFonts w:ascii="Century Gothic" w:hAnsi="Century Gothic" w:cs="Arial"/>
        </w:rPr>
        <w:t xml:space="preserve"> características de la coubicación (si es para interconexión o para desagregación, así como el tipo), la fecha de la contratación y de inicio de operaciones.</w:t>
      </w:r>
    </w:p>
    <w:p w:rsidR="00277ED2" w:rsidRPr="00611019" w:rsidRDefault="00E56462" w:rsidP="00035D2C">
      <w:pPr>
        <w:pStyle w:val="IFTnormal"/>
        <w:spacing w:after="6pt"/>
        <w:rPr>
          <w:rFonts w:ascii="Century Gothic" w:hAnsi="Century Gothic"/>
        </w:rPr>
      </w:pPr>
      <w:r>
        <w:rPr>
          <w:rFonts w:ascii="Century Gothic" w:hAnsi="Century Gothic"/>
        </w:rPr>
        <w:t xml:space="preserve">Dependiendo del servicio que se requiera, la instalación puede provenir desde cualquier punto de las instalaciones de RED NACIONAL en la Central Telefónica y serán variables en función de la distancia. De manera enunciativa más no limitativa, las adecuaciones a la coubicación se requerirán cuando un CS solicite Servicios auxiliares de Desagregación de RED NACIONAL como el SCyD y el Cableado de DFO-RED NACIONAL a DFO-CS para la entrega de SAIB; o el Servicio Auxiliar de Cableado Multipar para la </w:t>
      </w:r>
      <w:r>
        <w:rPr>
          <w:rFonts w:ascii="Century Gothic" w:hAnsi="Century Gothic"/>
        </w:rPr>
        <w:lastRenderedPageBreak/>
        <w:t xml:space="preserve">entrega de los Servicios SDTBL. Los elementos a instalar pueden ser escalerillas de aluminio (incluyendo la perforación de muros y lozas), la instalación de tablillas o splitters, la ampliación de fuerza y clima, construcción de canaletas, entre otros. </w:t>
      </w:r>
    </w:p>
    <w:p w:rsidR="00277ED2" w:rsidRPr="00611019" w:rsidRDefault="00E56462" w:rsidP="00035D2C">
      <w:pPr>
        <w:pStyle w:val="IFTnormal"/>
        <w:spacing w:after="6pt"/>
        <w:rPr>
          <w:rFonts w:ascii="Century Gothic" w:hAnsi="Century Gothic"/>
        </w:rPr>
      </w:pPr>
      <w:r>
        <w:rPr>
          <w:rFonts w:ascii="Century Gothic" w:hAnsi="Century Gothic"/>
        </w:rPr>
        <w:t>La Coubicación para Desagregación podrá ser utilizada por uno o más CS, no obstante, RED NACIONAL firmará el Convenio con un solo CS, y será decisión del dicho CS, compartir esa Coubicación con otros CS, en cuyo caso el CS que contrató el Servicio será el responsable ante RED NACIONAL de dicha Coubicación será quien deberá tramitar los accesos y permisos. Si el CS permite la instalación de componentes o equipos de otro CS, será bajo su responsabilidad y siempre informando de esta situación a RED NACIONAL. El CS que esté compartiendo la Coubicación (no responsable), podrá solicitar directamente los Servicios para lo que deberá entregar a RED NACIONAL un documento que demuestre que el CS (responsable) está de acuerdo con la compartición de la Coubicación.</w:t>
      </w:r>
    </w:p>
    <w:p w:rsidR="00A66021" w:rsidRPr="00A66021" w:rsidRDefault="00A66021" w:rsidP="00A66021">
      <w:pPr>
        <w:pStyle w:val="IFTnormal"/>
        <w:rPr>
          <w:rFonts w:ascii="Century Gothic" w:hAnsi="Century Gothic"/>
        </w:rPr>
      </w:pPr>
      <w:r w:rsidRPr="00A66021">
        <w:rPr>
          <w:rFonts w:ascii="Century Gothic" w:hAnsi="Century Gothic"/>
        </w:rPr>
        <w:t>Cuando RED NACIONAL reciba una notificación del cierre de una Central Telefónica, notificará vía SEG/SIPO con 36 meses de anticipación tanto a los CS con quienes tenga convenio firmado como al Instituto vía SEG, a fin de coordinar con cada uno de los CS su reubicación, de conformidad con el procedimiento al respecto en esta OREDA, pudiendo acordar con los CS con presencia física en dicha central un plazo menor para el cierre, siempre y cuando sea autorizado por el Instituto. De no haber algún CS con presencia física en la central a cerrar, la notificación podrá realizarse en un plazo menor siempre y cuando sea autorizado por el Instituto.</w:t>
      </w:r>
    </w:p>
    <w:p w:rsidR="00277ED2" w:rsidRDefault="00E56462" w:rsidP="008E3048">
      <w:pPr>
        <w:pStyle w:val="IFTnormal"/>
        <w:spacing w:after="6pt"/>
        <w:rPr>
          <w:rFonts w:ascii="Century Gothic" w:hAnsi="Century Gothic"/>
        </w:rPr>
      </w:pPr>
      <w:r>
        <w:rPr>
          <w:rFonts w:ascii="Century Gothic" w:hAnsi="Century Gothic"/>
        </w:rPr>
        <w:t xml:space="preserve">Será responsabilidad de RED NACIONAL y los </w:t>
      </w:r>
      <w:r w:rsidR="008E3048">
        <w:rPr>
          <w:rFonts w:ascii="Century Gothic" w:hAnsi="Century Gothic"/>
        </w:rPr>
        <w:t>CS</w:t>
      </w:r>
      <w:r>
        <w:rPr>
          <w:rFonts w:ascii="Century Gothic" w:hAnsi="Century Gothic"/>
        </w:rPr>
        <w:t xml:space="preserve"> realizar de manera conjunta las adecuaciones necesarias para garantizar la continuidad de los Servicios. </w:t>
      </w:r>
    </w:p>
    <w:p w:rsidR="00277ED2" w:rsidRPr="00611019" w:rsidRDefault="00E56462" w:rsidP="00035D2C">
      <w:pPr>
        <w:pStyle w:val="IFTnormal"/>
        <w:spacing w:after="6pt"/>
        <w:rPr>
          <w:rFonts w:ascii="Century Gothic" w:hAnsi="Century Gothic"/>
        </w:rPr>
      </w:pPr>
      <w:r>
        <w:rPr>
          <w:rFonts w:ascii="Century Gothic" w:hAnsi="Century Gothic"/>
        </w:rPr>
        <w:t>Existen 3 tipos de Coubicación para Desagregación:</w:t>
      </w:r>
    </w:p>
    <w:p w:rsidR="00277ED2" w:rsidRPr="00611019" w:rsidRDefault="00E56462" w:rsidP="00035D2C">
      <w:pPr>
        <w:pStyle w:val="IFTnormal"/>
        <w:spacing w:after="6pt"/>
        <w:ind w:start="106.20pt" w:hanging="106.20pt"/>
        <w:rPr>
          <w:rFonts w:ascii="Century Gothic" w:hAnsi="Century Gothic"/>
        </w:rPr>
      </w:pPr>
      <w:r>
        <w:rPr>
          <w:rFonts w:ascii="Century Gothic" w:hAnsi="Century Gothic"/>
          <w:b/>
          <w:bCs/>
        </w:rPr>
        <w:t>Tipo 1 (Local):</w:t>
      </w:r>
      <w:r>
        <w:rPr>
          <w:rFonts w:ascii="Century Gothic" w:hAnsi="Century Gothic"/>
        </w:rPr>
        <w:t xml:space="preserve"> </w:t>
      </w:r>
      <w:r>
        <w:rPr>
          <w:rFonts w:ascii="Century Gothic" w:hAnsi="Century Gothic"/>
        </w:rPr>
        <w:tab/>
        <w:t>Área de 9 m2 (3x3), con delimitación de tabla roca pudiendo utilizar las paredes existentes.</w:t>
      </w:r>
    </w:p>
    <w:p w:rsidR="00277ED2" w:rsidRPr="00611019" w:rsidRDefault="00E56462" w:rsidP="00035D2C">
      <w:pPr>
        <w:pStyle w:val="IFTnormal"/>
        <w:spacing w:after="6pt"/>
        <w:ind w:start="106.20pt" w:hanging="106.20pt"/>
        <w:rPr>
          <w:rFonts w:ascii="Century Gothic" w:hAnsi="Century Gothic"/>
        </w:rPr>
      </w:pPr>
      <w:r>
        <w:rPr>
          <w:rFonts w:ascii="Century Gothic" w:hAnsi="Century Gothic"/>
          <w:b/>
          <w:bCs/>
        </w:rPr>
        <w:t>Tipo 2 (Local):</w:t>
      </w:r>
      <w:r>
        <w:rPr>
          <w:rFonts w:ascii="Century Gothic" w:hAnsi="Century Gothic"/>
        </w:rPr>
        <w:tab/>
        <w:t>Área de 4 m2 (2x2), con delimitación de tabla roca pudiendo utilizar las paredes existentes.</w:t>
      </w:r>
    </w:p>
    <w:p w:rsidR="00277ED2" w:rsidRPr="00611019" w:rsidRDefault="00E56462" w:rsidP="00035D2C">
      <w:pPr>
        <w:pStyle w:val="IFTnormal"/>
        <w:ind w:start="106.20pt" w:hanging="106.20pt"/>
        <w:rPr>
          <w:rFonts w:ascii="Century Gothic" w:hAnsi="Century Gothic"/>
        </w:rPr>
      </w:pPr>
      <w:r>
        <w:rPr>
          <w:rFonts w:ascii="Century Gothic" w:hAnsi="Century Gothic"/>
          <w:b/>
          <w:bCs/>
        </w:rPr>
        <w:t>Tipo 3 (Gabinete):</w:t>
      </w:r>
      <w:r>
        <w:rPr>
          <w:rFonts w:ascii="Century Gothic" w:hAnsi="Century Gothic"/>
        </w:rPr>
        <w:tab/>
        <w:t>Área cerrada delimitada por tabla roca pudiendo utilizar paredes existentes, igual o mayor a 20 m2 dependiendo de la disponibilidad de espacio, que tendrá la capacidad de almacenar gabinetes cerrados con rack de 21 pulgadas que cumplen el estándar ETSI 300 119:</w:t>
      </w:r>
    </w:p>
    <w:p w:rsidR="00277ED2" w:rsidRPr="00611019" w:rsidRDefault="00E56462" w:rsidP="00035D2C">
      <w:pPr>
        <w:pStyle w:val="CondicionesFinales"/>
        <w:ind w:start="106.35pt" w:end="0pt"/>
        <w:rPr>
          <w:rFonts w:ascii="Century Gothic" w:hAnsi="Century Gothic"/>
          <w:color w:val="auto"/>
          <w:lang w:val="es-MX"/>
        </w:rPr>
      </w:pPr>
      <w:r>
        <w:rPr>
          <w:rFonts w:ascii="Century Gothic" w:hAnsi="Century Gothic"/>
          <w:color w:val="auto"/>
          <w:lang w:val="es-MX"/>
        </w:rPr>
        <w:t xml:space="preserve">  • Altura: 2200 [mm]</w:t>
      </w:r>
    </w:p>
    <w:p w:rsidR="00277ED2" w:rsidRPr="00611019" w:rsidRDefault="00E56462" w:rsidP="00035D2C">
      <w:pPr>
        <w:pStyle w:val="CondicionesFinales"/>
        <w:ind w:start="106.35pt" w:end="0pt"/>
        <w:rPr>
          <w:rFonts w:ascii="Century Gothic" w:hAnsi="Century Gothic"/>
          <w:color w:val="auto"/>
          <w:lang w:val="es-MX"/>
        </w:rPr>
      </w:pPr>
      <w:r>
        <w:rPr>
          <w:rFonts w:ascii="Century Gothic" w:hAnsi="Century Gothic"/>
          <w:color w:val="auto"/>
          <w:lang w:val="es-MX"/>
        </w:rPr>
        <w:t xml:space="preserve">  • Ancho: 600 [mm]</w:t>
      </w:r>
    </w:p>
    <w:p w:rsidR="00277ED2" w:rsidRPr="00611019" w:rsidRDefault="00E56462" w:rsidP="00035D2C">
      <w:pPr>
        <w:pStyle w:val="CondicionesFinales"/>
        <w:spacing w:after="6pt"/>
        <w:ind w:start="106.30pt" w:end="0pt"/>
        <w:rPr>
          <w:rFonts w:ascii="Century Gothic" w:hAnsi="Century Gothic"/>
          <w:color w:val="auto"/>
          <w:lang w:val="es-MX"/>
        </w:rPr>
      </w:pPr>
      <w:r>
        <w:rPr>
          <w:rFonts w:ascii="Century Gothic" w:hAnsi="Century Gothic"/>
          <w:color w:val="auto"/>
          <w:lang w:val="es-MX"/>
        </w:rPr>
        <w:t xml:space="preserve">  • Profundidad: 600 [mm]</w:t>
      </w:r>
    </w:p>
    <w:p w:rsidR="00277ED2" w:rsidRPr="00611019" w:rsidRDefault="00E56462" w:rsidP="00035D2C">
      <w:pPr>
        <w:pStyle w:val="IFTnormal"/>
        <w:spacing w:after="6pt"/>
        <w:rPr>
          <w:rFonts w:ascii="Century Gothic" w:hAnsi="Century Gothic"/>
        </w:rPr>
      </w:pPr>
      <w:r>
        <w:rPr>
          <w:rFonts w:ascii="Century Gothic" w:hAnsi="Century Gothic"/>
        </w:rPr>
        <w:t>6 unidades de rack serán reservadas para el PDU (unidad de distribución de energía) y el sistema de ventilación.</w:t>
      </w:r>
    </w:p>
    <w:p w:rsidR="00277ED2" w:rsidRPr="00611019" w:rsidRDefault="00E56462" w:rsidP="00035D2C">
      <w:pPr>
        <w:pStyle w:val="IFTnormal"/>
        <w:spacing w:after="6pt"/>
        <w:rPr>
          <w:rFonts w:ascii="Century Gothic" w:hAnsi="Century Gothic"/>
        </w:rPr>
      </w:pPr>
      <w:r>
        <w:rPr>
          <w:rFonts w:ascii="Century Gothic" w:hAnsi="Century Gothic"/>
        </w:rPr>
        <w:lastRenderedPageBreak/>
        <w:t>RED NACIONAL permitirá al CS compartir con otros CS que lo requieran, el gabinete que al efecto RED NACIONAL le haya proporcionado. En cuyo caso el responsable del gabinete seguirá siendo el CS.</w:t>
      </w:r>
    </w:p>
    <w:p w:rsidR="00277ED2" w:rsidRPr="00611019" w:rsidRDefault="00E56462" w:rsidP="00035D2C">
      <w:pPr>
        <w:pStyle w:val="IFTnormal"/>
        <w:spacing w:after="6pt"/>
        <w:rPr>
          <w:rFonts w:ascii="Century Gothic" w:hAnsi="Century Gothic"/>
        </w:rPr>
      </w:pPr>
      <w:r>
        <w:rPr>
          <w:rFonts w:ascii="Century Gothic" w:hAnsi="Century Gothic"/>
        </w:rPr>
        <w:t>Las modalidades Tipo 1 (Local): Área de 9 m2 (3x3) y Tipo 2 (Local) Área de 4 m2 (2x2) de coubicación podrán ser internas o externas.</w:t>
      </w:r>
    </w:p>
    <w:p w:rsidR="00277ED2" w:rsidRPr="00611019" w:rsidRDefault="00E56462" w:rsidP="00606F15">
      <w:pPr>
        <w:pStyle w:val="Prrafodelista"/>
        <w:numPr>
          <w:ilvl w:val="0"/>
          <w:numId w:val="111"/>
        </w:numPr>
        <w:autoSpaceDE w:val="0"/>
        <w:autoSpaceDN w:val="0"/>
        <w:spacing w:after="6pt"/>
        <w:jc w:val="both"/>
        <w:rPr>
          <w:rFonts w:ascii="Century Gothic" w:hAnsi="Century Gothic" w:cs="Arial"/>
        </w:rPr>
      </w:pPr>
      <w:r>
        <w:rPr>
          <w:rFonts w:ascii="Century Gothic" w:hAnsi="Century Gothic" w:cs="Arial"/>
        </w:rPr>
        <w:t>Se podrá ingresar la solicitud del Servicio Auxiliar de Cableado Multipar y SCyD, a partir de que el CS hubiera aceptado la cotización del Servicio de Coubicación (por nueva habilitación o por adecuación), y la entrega del Servicio Auxiliar será en punta en el plazo que corresponda al Servicio de Coubicación o posterior a la Coubicación dependiendo de en qué momento se haya solicitado el Servicio Auxiliar y de los tiempos de cada servicio, prevaleciendo el de mayor plazo o bien el solicitado al final.</w:t>
      </w:r>
    </w:p>
    <w:p w:rsidR="00277ED2" w:rsidRPr="00611019" w:rsidRDefault="00E56462" w:rsidP="00606F15">
      <w:pPr>
        <w:pStyle w:val="IFTnormal"/>
        <w:spacing w:after="6pt"/>
        <w:outlineLvl w:val="2"/>
        <w:rPr>
          <w:rFonts w:ascii="Century Gothic" w:hAnsi="Century Gothic"/>
          <w:b/>
        </w:rPr>
      </w:pPr>
      <w:bookmarkStart w:id="1745" w:name="_Toc467248757"/>
      <w:bookmarkStart w:id="1746" w:name="_Toc525904643"/>
      <w:bookmarkStart w:id="1747" w:name="_Toc525914039"/>
      <w:bookmarkStart w:id="1748" w:name="_Toc525919278"/>
      <w:bookmarkStart w:id="1749" w:name="_Toc525919402"/>
      <w:bookmarkStart w:id="1750" w:name="_Toc2957212"/>
      <w:bookmarkStart w:id="1751" w:name="_Toc24473513"/>
      <w:bookmarkStart w:id="1752" w:name="_Toc24477641"/>
      <w:bookmarkStart w:id="1753" w:name="_Toc24483907"/>
      <w:bookmarkStart w:id="1754" w:name="_Toc26273117"/>
      <w:bookmarkStart w:id="1755" w:name="_Toc26284514"/>
      <w:bookmarkStart w:id="1756" w:name="_Toc26286269"/>
      <w:bookmarkStart w:id="1757" w:name="_Toc26903974"/>
      <w:bookmarkStart w:id="1758" w:name="_Toc43913214"/>
      <w:bookmarkStart w:id="1759" w:name="_Toc26980698"/>
      <w:bookmarkStart w:id="1760" w:name="_Toc53488550"/>
      <w:bookmarkStart w:id="1761" w:name="_Toc53490482"/>
      <w:bookmarkStart w:id="1762" w:name="_Toc53498490"/>
      <w:bookmarkStart w:id="1763" w:name="_Toc58578847"/>
      <w:bookmarkStart w:id="1764" w:name="_Toc92974073"/>
      <w:bookmarkStart w:id="1765" w:name="_Toc93052384"/>
      <w:bookmarkStart w:id="1766" w:name="_Toc93056339"/>
      <w:bookmarkStart w:id="1767" w:name="_Toc125393403"/>
      <w:bookmarkStart w:id="1768" w:name="_Toc148702259"/>
      <w:bookmarkStart w:id="1769" w:name="_Toc170381875"/>
      <w:r>
        <w:rPr>
          <w:rFonts w:ascii="Century Gothic" w:hAnsi="Century Gothic"/>
          <w:b/>
        </w:rPr>
        <w:t>1</w:t>
      </w:r>
      <w:r w:rsidR="00230EF7">
        <w:rPr>
          <w:rFonts w:ascii="Century Gothic" w:hAnsi="Century Gothic"/>
          <w:b/>
        </w:rPr>
        <w:t>1</w:t>
      </w:r>
      <w:r>
        <w:rPr>
          <w:rFonts w:ascii="Century Gothic" w:hAnsi="Century Gothic"/>
          <w:b/>
        </w:rPr>
        <w:t>.1.1</w:t>
      </w:r>
      <w:r>
        <w:rPr>
          <w:rFonts w:ascii="Century Gothic" w:hAnsi="Century Gothic"/>
          <w:b/>
        </w:rPr>
        <w:tab/>
        <w:t>Características técnicas mínimas para los tipos de coubicación</w:t>
      </w:r>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r>
        <w:rPr>
          <w:rFonts w:ascii="Century Gothic" w:hAnsi="Century Gothic"/>
          <w:b/>
        </w:rPr>
        <w:t>.</w:t>
      </w:r>
    </w:p>
    <w:tbl>
      <w:tblPr>
        <w:tblW w:w="453.75pt" w:type="dxa"/>
        <w:jc w:val="center"/>
        <w:tblCellMar>
          <w:start w:w="3.50pt" w:type="dxa"/>
          <w:end w:w="3.50pt" w:type="dxa"/>
        </w:tblCellMar>
        <w:tblLook w:firstRow="1" w:lastRow="0" w:firstColumn="1" w:lastColumn="0" w:noHBand="0" w:noVBand="1"/>
      </w:tblPr>
      <w:tblGrid>
        <w:gridCol w:w="2842"/>
        <w:gridCol w:w="6233"/>
      </w:tblGrid>
      <w:tr w:rsidR="0061711D" w:rsidTr="00A66021">
        <w:trPr>
          <w:trHeight w:val="20"/>
          <w:jc w:val="center"/>
        </w:trPr>
        <w:tc>
          <w:tcPr>
            <w:tcW w:w="142.10pt" w:type="dxa"/>
            <w:tcBorders>
              <w:top w:val="single" w:sz="4" w:space="0" w:color="auto"/>
              <w:start w:val="single" w:sz="4" w:space="0" w:color="auto"/>
              <w:bottom w:val="single" w:sz="4" w:space="0" w:color="auto"/>
              <w:end w:val="single" w:sz="4" w:space="0" w:color="auto"/>
            </w:tcBorders>
            <w:shd w:val="clear" w:color="auto" w:fill="auto"/>
            <w:vAlign w:val="center"/>
            <w:hideMark/>
          </w:tcPr>
          <w:p w:rsidR="00277ED2" w:rsidRPr="00611019" w:rsidRDefault="00E56462" w:rsidP="00A66021">
            <w:pPr>
              <w:spacing w:before="2pt"/>
              <w:jc w:val="center"/>
              <w:rPr>
                <w:rFonts w:ascii="Century Gothic" w:hAnsi="Century Gothic" w:cs="Arial"/>
                <w:b/>
                <w:sz w:val="20"/>
                <w:szCs w:val="20"/>
              </w:rPr>
            </w:pPr>
            <w:r>
              <w:rPr>
                <w:rFonts w:ascii="Century Gothic" w:hAnsi="Century Gothic" w:cs="Arial"/>
                <w:b/>
                <w:sz w:val="20"/>
                <w:szCs w:val="20"/>
              </w:rPr>
              <w:t>Acceso</w:t>
            </w:r>
          </w:p>
        </w:tc>
        <w:tc>
          <w:tcPr>
            <w:tcW w:w="311.65pt" w:type="dxa"/>
            <w:tcBorders>
              <w:top w:val="single" w:sz="4" w:space="0" w:color="auto"/>
              <w:start w:val="nil"/>
              <w:bottom w:val="single" w:sz="4" w:space="0" w:color="auto"/>
              <w:end w:val="single" w:sz="4" w:space="0" w:color="auto"/>
            </w:tcBorders>
            <w:shd w:val="clear" w:color="auto" w:fill="auto"/>
            <w:vAlign w:val="center"/>
            <w:hideMark/>
          </w:tcPr>
          <w:p w:rsidR="00277ED2" w:rsidRPr="00611019" w:rsidRDefault="00E56462" w:rsidP="00606F15">
            <w:pPr>
              <w:spacing w:before="2pt" w:line="12pt" w:lineRule="auto"/>
              <w:jc w:val="both"/>
              <w:rPr>
                <w:rFonts w:ascii="Century Gothic" w:hAnsi="Century Gothic" w:cs="Arial"/>
                <w:sz w:val="20"/>
                <w:szCs w:val="20"/>
              </w:rPr>
            </w:pPr>
            <w:r>
              <w:rPr>
                <w:rFonts w:ascii="Century Gothic" w:hAnsi="Century Gothic" w:cs="Arial"/>
                <w:sz w:val="20"/>
                <w:szCs w:val="20"/>
              </w:rPr>
              <w:t>7X24 hrs. Todos los días del año atendiendo los procedimientos correspondientes.</w:t>
            </w:r>
          </w:p>
        </w:tc>
      </w:tr>
      <w:tr w:rsidR="0061711D" w:rsidTr="00A66021">
        <w:trPr>
          <w:trHeight w:val="20"/>
          <w:jc w:val="center"/>
        </w:trPr>
        <w:tc>
          <w:tcPr>
            <w:tcW w:w="142.10pt" w:type="dxa"/>
            <w:tcBorders>
              <w:top w:val="nil"/>
              <w:start w:val="single" w:sz="4" w:space="0" w:color="auto"/>
              <w:bottom w:val="single" w:sz="4" w:space="0" w:color="auto"/>
              <w:end w:val="single" w:sz="4" w:space="0" w:color="auto"/>
            </w:tcBorders>
            <w:shd w:val="clear" w:color="auto" w:fill="auto"/>
            <w:vAlign w:val="center"/>
            <w:hideMark/>
          </w:tcPr>
          <w:p w:rsidR="00277ED2" w:rsidRPr="00611019" w:rsidRDefault="00E56462" w:rsidP="00A66021">
            <w:pPr>
              <w:spacing w:before="2pt"/>
              <w:jc w:val="center"/>
              <w:rPr>
                <w:rFonts w:ascii="Century Gothic" w:hAnsi="Century Gothic" w:cs="Arial"/>
                <w:b/>
                <w:sz w:val="20"/>
                <w:szCs w:val="20"/>
              </w:rPr>
            </w:pPr>
            <w:r>
              <w:rPr>
                <w:rFonts w:ascii="Century Gothic" w:hAnsi="Century Gothic" w:cs="Arial"/>
                <w:b/>
                <w:sz w:val="20"/>
                <w:szCs w:val="20"/>
              </w:rPr>
              <w:t xml:space="preserve"> Contactos eléctricos</w:t>
            </w:r>
          </w:p>
        </w:tc>
        <w:tc>
          <w:tcPr>
            <w:tcW w:w="311.65pt" w:type="dxa"/>
            <w:tcBorders>
              <w:top w:val="nil"/>
              <w:start w:val="nil"/>
              <w:bottom w:val="single" w:sz="4" w:space="0" w:color="auto"/>
              <w:end w:val="single" w:sz="4" w:space="0" w:color="auto"/>
            </w:tcBorders>
            <w:shd w:val="clear" w:color="auto" w:fill="auto"/>
            <w:vAlign w:val="center"/>
            <w:hideMark/>
          </w:tcPr>
          <w:p w:rsidR="00277ED2" w:rsidRPr="00611019" w:rsidRDefault="00E56462" w:rsidP="00606F15">
            <w:pPr>
              <w:spacing w:before="2pt" w:line="12pt" w:lineRule="auto"/>
              <w:jc w:val="both"/>
              <w:rPr>
                <w:rFonts w:ascii="Century Gothic" w:hAnsi="Century Gothic" w:cs="Arial"/>
                <w:sz w:val="20"/>
                <w:szCs w:val="20"/>
              </w:rPr>
            </w:pPr>
            <w:r>
              <w:rPr>
                <w:rFonts w:ascii="Century Gothic" w:hAnsi="Century Gothic" w:cs="Arial"/>
                <w:sz w:val="20"/>
                <w:szCs w:val="20"/>
              </w:rPr>
              <w:t>2 contactos dobles polarizados, voltaje suministrado por la compañía comercial +/- 10% máximo.</w:t>
            </w:r>
          </w:p>
        </w:tc>
      </w:tr>
      <w:tr w:rsidR="0061711D" w:rsidTr="00A66021">
        <w:trPr>
          <w:trHeight w:val="20"/>
          <w:jc w:val="center"/>
        </w:trPr>
        <w:tc>
          <w:tcPr>
            <w:tcW w:w="142.10pt" w:type="dxa"/>
            <w:tcBorders>
              <w:top w:val="nil"/>
              <w:start w:val="single" w:sz="4" w:space="0" w:color="auto"/>
              <w:bottom w:val="single" w:sz="4" w:space="0" w:color="auto"/>
              <w:end w:val="single" w:sz="4" w:space="0" w:color="auto"/>
            </w:tcBorders>
            <w:shd w:val="clear" w:color="auto" w:fill="auto"/>
            <w:vAlign w:val="center"/>
            <w:hideMark/>
          </w:tcPr>
          <w:p w:rsidR="00277ED2" w:rsidRPr="00611019" w:rsidRDefault="00E56462" w:rsidP="00A66021">
            <w:pPr>
              <w:spacing w:before="2pt"/>
              <w:jc w:val="center"/>
              <w:rPr>
                <w:rFonts w:ascii="Century Gothic" w:hAnsi="Century Gothic" w:cs="Arial"/>
                <w:b/>
                <w:sz w:val="20"/>
                <w:szCs w:val="20"/>
              </w:rPr>
            </w:pPr>
            <w:r>
              <w:rPr>
                <w:rFonts w:ascii="Century Gothic" w:hAnsi="Century Gothic" w:cs="Arial"/>
                <w:b/>
                <w:sz w:val="20"/>
                <w:szCs w:val="20"/>
              </w:rPr>
              <w:t xml:space="preserve"> Corriente Directa</w:t>
            </w:r>
          </w:p>
        </w:tc>
        <w:tc>
          <w:tcPr>
            <w:tcW w:w="311.65pt" w:type="dxa"/>
            <w:tcBorders>
              <w:top w:val="nil"/>
              <w:start w:val="nil"/>
              <w:bottom w:val="single" w:sz="4" w:space="0" w:color="auto"/>
              <w:end w:val="single" w:sz="4" w:space="0" w:color="auto"/>
            </w:tcBorders>
            <w:shd w:val="clear" w:color="auto" w:fill="auto"/>
            <w:vAlign w:val="center"/>
            <w:hideMark/>
          </w:tcPr>
          <w:p w:rsidR="00277ED2" w:rsidRPr="00611019" w:rsidRDefault="00E56462" w:rsidP="00606F15">
            <w:pPr>
              <w:spacing w:before="2pt" w:line="12pt" w:lineRule="auto"/>
              <w:jc w:val="both"/>
              <w:rPr>
                <w:rFonts w:ascii="Century Gothic" w:hAnsi="Century Gothic" w:cs="Arial"/>
                <w:sz w:val="20"/>
                <w:szCs w:val="20"/>
              </w:rPr>
            </w:pPr>
            <w:r>
              <w:rPr>
                <w:rFonts w:ascii="Century Gothic" w:hAnsi="Century Gothic" w:cs="Arial"/>
                <w:sz w:val="20"/>
                <w:szCs w:val="20"/>
              </w:rPr>
              <w:t>Instalación para el suministro de energía eléctrica de 48 volts, con 10 Amperes y para respaldo de cuatro horas en su caso se podrá requerir respaldo opcional.</w:t>
            </w:r>
          </w:p>
        </w:tc>
      </w:tr>
      <w:tr w:rsidR="0061711D" w:rsidTr="00A66021">
        <w:trPr>
          <w:trHeight w:val="20"/>
          <w:jc w:val="center"/>
        </w:trPr>
        <w:tc>
          <w:tcPr>
            <w:tcW w:w="142.10pt" w:type="dxa"/>
            <w:tcBorders>
              <w:top w:val="single" w:sz="4" w:space="0" w:color="auto"/>
              <w:start w:val="single" w:sz="4" w:space="0" w:color="auto"/>
              <w:bottom w:val="single" w:sz="4" w:space="0" w:color="auto"/>
              <w:end w:val="single" w:sz="4" w:space="0" w:color="auto"/>
            </w:tcBorders>
            <w:shd w:val="clear" w:color="auto" w:fill="auto"/>
            <w:vAlign w:val="center"/>
            <w:hideMark/>
          </w:tcPr>
          <w:p w:rsidR="00277ED2" w:rsidRPr="00611019" w:rsidRDefault="00E56462" w:rsidP="00A66021">
            <w:pPr>
              <w:spacing w:before="2pt"/>
              <w:jc w:val="center"/>
              <w:rPr>
                <w:rFonts w:ascii="Century Gothic" w:hAnsi="Century Gothic" w:cs="Arial"/>
                <w:b/>
                <w:sz w:val="20"/>
                <w:szCs w:val="20"/>
              </w:rPr>
            </w:pPr>
            <w:r>
              <w:rPr>
                <w:rFonts w:ascii="Century Gothic" w:hAnsi="Century Gothic" w:cs="Arial"/>
                <w:b/>
                <w:sz w:val="20"/>
                <w:szCs w:val="20"/>
              </w:rPr>
              <w:t>Corriente Alterna</w:t>
            </w:r>
          </w:p>
        </w:tc>
        <w:tc>
          <w:tcPr>
            <w:tcW w:w="311.65pt" w:type="dxa"/>
            <w:tcBorders>
              <w:top w:val="single" w:sz="4" w:space="0" w:color="auto"/>
              <w:start w:val="nil"/>
              <w:bottom w:val="single" w:sz="4" w:space="0" w:color="auto"/>
              <w:end w:val="single" w:sz="4" w:space="0" w:color="auto"/>
            </w:tcBorders>
            <w:shd w:val="clear" w:color="auto" w:fill="auto"/>
            <w:vAlign w:val="center"/>
            <w:hideMark/>
          </w:tcPr>
          <w:p w:rsidR="00277ED2" w:rsidRPr="00611019" w:rsidRDefault="00E56462" w:rsidP="00606F15">
            <w:pPr>
              <w:spacing w:before="2pt" w:line="12pt" w:lineRule="auto"/>
              <w:jc w:val="both"/>
              <w:rPr>
                <w:rFonts w:ascii="Century Gothic" w:hAnsi="Century Gothic" w:cs="Arial"/>
                <w:sz w:val="20"/>
                <w:szCs w:val="20"/>
              </w:rPr>
            </w:pPr>
            <w:r>
              <w:rPr>
                <w:rFonts w:ascii="Century Gothic" w:hAnsi="Century Gothic" w:cs="Arial"/>
                <w:sz w:val="20"/>
                <w:szCs w:val="20"/>
              </w:rPr>
              <w:t>Instalación para el suministro de energía eléctrica de 10 Amperes con dos contactos polarizados a 127 volts con respaldo opcional</w:t>
            </w:r>
          </w:p>
        </w:tc>
      </w:tr>
      <w:tr w:rsidR="0061711D" w:rsidTr="00A66021">
        <w:trPr>
          <w:trHeight w:val="20"/>
          <w:jc w:val="center"/>
        </w:trPr>
        <w:tc>
          <w:tcPr>
            <w:tcW w:w="142.10pt" w:type="dxa"/>
            <w:tcBorders>
              <w:top w:val="nil"/>
              <w:start w:val="single" w:sz="4" w:space="0" w:color="auto"/>
              <w:bottom w:val="single" w:sz="4" w:space="0" w:color="auto"/>
              <w:end w:val="single" w:sz="4" w:space="0" w:color="auto"/>
            </w:tcBorders>
            <w:shd w:val="clear" w:color="auto" w:fill="auto"/>
            <w:vAlign w:val="center"/>
            <w:hideMark/>
          </w:tcPr>
          <w:p w:rsidR="00277ED2" w:rsidRPr="00611019" w:rsidRDefault="00E56462" w:rsidP="00A66021">
            <w:pPr>
              <w:spacing w:before="2pt"/>
              <w:jc w:val="center"/>
              <w:rPr>
                <w:rFonts w:ascii="Century Gothic" w:hAnsi="Century Gothic" w:cs="Arial"/>
                <w:b/>
                <w:sz w:val="20"/>
                <w:szCs w:val="20"/>
              </w:rPr>
            </w:pPr>
            <w:r>
              <w:rPr>
                <w:rFonts w:ascii="Century Gothic" w:hAnsi="Century Gothic" w:cs="Arial"/>
                <w:b/>
                <w:sz w:val="20"/>
                <w:szCs w:val="20"/>
              </w:rPr>
              <w:t>Temperatura</w:t>
            </w:r>
          </w:p>
        </w:tc>
        <w:tc>
          <w:tcPr>
            <w:tcW w:w="311.65pt" w:type="dxa"/>
            <w:tcBorders>
              <w:top w:val="nil"/>
              <w:start w:val="nil"/>
              <w:bottom w:val="single" w:sz="4" w:space="0" w:color="auto"/>
              <w:end w:val="single" w:sz="4" w:space="0" w:color="auto"/>
            </w:tcBorders>
            <w:shd w:val="clear" w:color="auto" w:fill="auto"/>
            <w:vAlign w:val="center"/>
            <w:hideMark/>
          </w:tcPr>
          <w:p w:rsidR="00277ED2" w:rsidRPr="00611019" w:rsidRDefault="00E56462" w:rsidP="00606F15">
            <w:pPr>
              <w:spacing w:before="2pt" w:line="12pt" w:lineRule="auto"/>
              <w:jc w:val="both"/>
              <w:rPr>
                <w:rFonts w:ascii="Century Gothic" w:hAnsi="Century Gothic" w:cs="Arial"/>
                <w:sz w:val="20"/>
                <w:szCs w:val="20"/>
              </w:rPr>
            </w:pPr>
            <w:r>
              <w:rPr>
                <w:rFonts w:ascii="Century Gothic" w:hAnsi="Century Gothic" w:cs="Arial"/>
                <w:sz w:val="20"/>
                <w:szCs w:val="20"/>
              </w:rPr>
              <w:t>Menor a 25 grados centígrados, con un consumo máximo de 2500 Kwh/mes.</w:t>
            </w:r>
          </w:p>
        </w:tc>
      </w:tr>
      <w:tr w:rsidR="0061711D" w:rsidTr="00A66021">
        <w:trPr>
          <w:trHeight w:val="20"/>
          <w:jc w:val="center"/>
        </w:trPr>
        <w:tc>
          <w:tcPr>
            <w:tcW w:w="142.10pt" w:type="dxa"/>
            <w:tcBorders>
              <w:top w:val="nil"/>
              <w:start w:val="single" w:sz="4" w:space="0" w:color="auto"/>
              <w:bottom w:val="single" w:sz="4" w:space="0" w:color="auto"/>
              <w:end w:val="single" w:sz="4" w:space="0" w:color="auto"/>
            </w:tcBorders>
            <w:shd w:val="clear" w:color="auto" w:fill="auto"/>
            <w:vAlign w:val="center"/>
            <w:hideMark/>
          </w:tcPr>
          <w:p w:rsidR="00277ED2" w:rsidRPr="00611019" w:rsidRDefault="00E56462" w:rsidP="00A66021">
            <w:pPr>
              <w:spacing w:before="2pt"/>
              <w:jc w:val="center"/>
              <w:rPr>
                <w:rFonts w:ascii="Century Gothic" w:hAnsi="Century Gothic" w:cs="Arial"/>
                <w:b/>
                <w:sz w:val="20"/>
                <w:szCs w:val="20"/>
              </w:rPr>
            </w:pPr>
            <w:r>
              <w:rPr>
                <w:rFonts w:ascii="Century Gothic" w:hAnsi="Century Gothic" w:cs="Arial"/>
                <w:b/>
                <w:sz w:val="20"/>
                <w:szCs w:val="20"/>
              </w:rPr>
              <w:t>Altura libre</w:t>
            </w:r>
          </w:p>
        </w:tc>
        <w:tc>
          <w:tcPr>
            <w:tcW w:w="311.65pt" w:type="dxa"/>
            <w:tcBorders>
              <w:top w:val="nil"/>
              <w:start w:val="nil"/>
              <w:bottom w:val="single" w:sz="4" w:space="0" w:color="auto"/>
              <w:end w:val="single" w:sz="4" w:space="0" w:color="auto"/>
            </w:tcBorders>
            <w:shd w:val="clear" w:color="auto" w:fill="auto"/>
            <w:vAlign w:val="center"/>
            <w:hideMark/>
          </w:tcPr>
          <w:p w:rsidR="00277ED2" w:rsidRPr="00611019" w:rsidRDefault="00E56462" w:rsidP="00606F15">
            <w:pPr>
              <w:spacing w:before="2pt" w:line="12pt" w:lineRule="auto"/>
              <w:jc w:val="both"/>
              <w:rPr>
                <w:rFonts w:ascii="Century Gothic" w:hAnsi="Century Gothic" w:cs="Arial"/>
                <w:sz w:val="20"/>
                <w:szCs w:val="20"/>
              </w:rPr>
            </w:pPr>
            <w:r>
              <w:rPr>
                <w:rFonts w:ascii="Century Gothic" w:hAnsi="Century Gothic" w:cs="Arial"/>
                <w:sz w:val="20"/>
                <w:szCs w:val="20"/>
              </w:rPr>
              <w:t>3.0 m para instalación de equipo. Los ductos y escalerillas estarán dentro de esta altura (2.40 m)</w:t>
            </w:r>
          </w:p>
        </w:tc>
      </w:tr>
      <w:tr w:rsidR="0061711D" w:rsidTr="00A66021">
        <w:trPr>
          <w:trHeight w:val="20"/>
          <w:jc w:val="center"/>
        </w:trPr>
        <w:tc>
          <w:tcPr>
            <w:tcW w:w="142.10pt" w:type="dxa"/>
            <w:tcBorders>
              <w:top w:val="nil"/>
              <w:start w:val="single" w:sz="4" w:space="0" w:color="auto"/>
              <w:bottom w:val="single" w:sz="4" w:space="0" w:color="auto"/>
              <w:end w:val="single" w:sz="4" w:space="0" w:color="auto"/>
            </w:tcBorders>
            <w:shd w:val="clear" w:color="auto" w:fill="auto"/>
            <w:vAlign w:val="center"/>
            <w:hideMark/>
          </w:tcPr>
          <w:p w:rsidR="00277ED2" w:rsidRPr="00611019" w:rsidRDefault="00E56462" w:rsidP="00A66021">
            <w:pPr>
              <w:spacing w:before="2pt"/>
              <w:jc w:val="center"/>
              <w:rPr>
                <w:rFonts w:ascii="Century Gothic" w:hAnsi="Century Gothic" w:cs="Arial"/>
                <w:b/>
                <w:sz w:val="20"/>
                <w:szCs w:val="20"/>
              </w:rPr>
            </w:pPr>
            <w:r>
              <w:rPr>
                <w:rFonts w:ascii="Century Gothic" w:hAnsi="Century Gothic" w:cs="Arial"/>
                <w:b/>
                <w:sz w:val="20"/>
                <w:szCs w:val="20"/>
              </w:rPr>
              <w:t>Sistema de tierras</w:t>
            </w:r>
          </w:p>
        </w:tc>
        <w:tc>
          <w:tcPr>
            <w:tcW w:w="311.65pt" w:type="dxa"/>
            <w:tcBorders>
              <w:top w:val="nil"/>
              <w:start w:val="nil"/>
              <w:bottom w:val="single" w:sz="4" w:space="0" w:color="auto"/>
              <w:end w:val="single" w:sz="4" w:space="0" w:color="auto"/>
            </w:tcBorders>
            <w:shd w:val="clear" w:color="auto" w:fill="auto"/>
            <w:vAlign w:val="center"/>
            <w:hideMark/>
          </w:tcPr>
          <w:p w:rsidR="00277ED2" w:rsidRPr="00611019" w:rsidRDefault="00E56462" w:rsidP="00606F15">
            <w:pPr>
              <w:spacing w:before="2pt" w:line="12pt" w:lineRule="auto"/>
              <w:jc w:val="both"/>
              <w:rPr>
                <w:rFonts w:ascii="Century Gothic" w:hAnsi="Century Gothic" w:cs="Arial"/>
                <w:sz w:val="20"/>
                <w:szCs w:val="20"/>
              </w:rPr>
            </w:pPr>
            <w:r>
              <w:rPr>
                <w:rFonts w:ascii="Century Gothic" w:hAnsi="Century Gothic" w:cs="Arial"/>
                <w:sz w:val="20"/>
                <w:szCs w:val="20"/>
              </w:rPr>
              <w:t>Conductor principal de puesta a tierra calibre 1/0 AWG con derivación a cada local con cable calibre 6 AWG con un valor máximo de 5 ohms.</w:t>
            </w:r>
          </w:p>
        </w:tc>
      </w:tr>
      <w:tr w:rsidR="0061711D" w:rsidTr="00A66021">
        <w:trPr>
          <w:trHeight w:val="433"/>
          <w:jc w:val="center"/>
        </w:trPr>
        <w:tc>
          <w:tcPr>
            <w:tcW w:w="142.10pt" w:type="dxa"/>
            <w:vMerge w:val="restart"/>
            <w:tcBorders>
              <w:top w:val="single" w:sz="4" w:space="0" w:color="auto"/>
              <w:start w:val="single" w:sz="4" w:space="0" w:color="auto"/>
              <w:bottom w:val="single" w:sz="4" w:space="0" w:color="auto"/>
              <w:end w:val="single" w:sz="4" w:space="0" w:color="auto"/>
            </w:tcBorders>
            <w:shd w:val="clear" w:color="auto" w:fill="auto"/>
            <w:vAlign w:val="center"/>
            <w:hideMark/>
          </w:tcPr>
          <w:p w:rsidR="00277ED2" w:rsidRPr="00611019" w:rsidRDefault="00E56462" w:rsidP="00A66021">
            <w:pPr>
              <w:spacing w:before="2pt"/>
              <w:jc w:val="center"/>
              <w:rPr>
                <w:rFonts w:ascii="Century Gothic" w:hAnsi="Century Gothic" w:cs="Arial"/>
                <w:b/>
                <w:sz w:val="20"/>
                <w:szCs w:val="20"/>
              </w:rPr>
            </w:pPr>
            <w:r>
              <w:rPr>
                <w:rFonts w:ascii="Century Gothic" w:hAnsi="Century Gothic" w:cs="Arial"/>
                <w:b/>
                <w:sz w:val="20"/>
                <w:szCs w:val="20"/>
              </w:rPr>
              <w:t>Acceso por mantenimiento</w:t>
            </w:r>
          </w:p>
        </w:tc>
        <w:tc>
          <w:tcPr>
            <w:tcW w:w="311.65pt" w:type="dxa"/>
            <w:vMerge w:val="restart"/>
            <w:tcBorders>
              <w:top w:val="single" w:sz="4" w:space="0" w:color="auto"/>
              <w:start w:val="single" w:sz="4" w:space="0" w:color="auto"/>
              <w:bottom w:val="single" w:sz="4" w:space="0" w:color="auto"/>
              <w:end w:val="single" w:sz="4" w:space="0" w:color="auto"/>
            </w:tcBorders>
            <w:shd w:val="clear" w:color="auto" w:fill="auto"/>
            <w:vAlign w:val="center"/>
            <w:hideMark/>
          </w:tcPr>
          <w:p w:rsidR="00277ED2" w:rsidRPr="00611019" w:rsidRDefault="00E56462" w:rsidP="00606F15">
            <w:pPr>
              <w:spacing w:before="2pt" w:line="12pt" w:lineRule="auto"/>
              <w:jc w:val="both"/>
              <w:rPr>
                <w:rFonts w:ascii="Century Gothic" w:hAnsi="Century Gothic" w:cs="Arial"/>
                <w:sz w:val="20"/>
                <w:szCs w:val="20"/>
              </w:rPr>
            </w:pPr>
            <w:r>
              <w:rPr>
                <w:rFonts w:ascii="Century Gothic" w:hAnsi="Century Gothic" w:cs="Arial"/>
                <w:sz w:val="20"/>
                <w:szCs w:val="20"/>
              </w:rPr>
              <w:t>Avisar previamente al centro de atención a operadores (CAO).</w:t>
            </w:r>
          </w:p>
        </w:tc>
      </w:tr>
      <w:tr w:rsidR="0061711D" w:rsidTr="00A66021">
        <w:trPr>
          <w:trHeight w:val="433"/>
          <w:jc w:val="center"/>
        </w:trPr>
        <w:tc>
          <w:tcPr>
            <w:tcW w:w="142.10pt" w:type="dxa"/>
            <w:vMerge/>
            <w:tcBorders>
              <w:top w:val="single" w:sz="4" w:space="0" w:color="auto"/>
              <w:start w:val="single" w:sz="4" w:space="0" w:color="auto"/>
              <w:bottom w:val="single" w:sz="4" w:space="0" w:color="auto"/>
              <w:end w:val="single" w:sz="4" w:space="0" w:color="auto"/>
            </w:tcBorders>
            <w:vAlign w:val="center"/>
            <w:hideMark/>
          </w:tcPr>
          <w:p w:rsidR="00277ED2" w:rsidRPr="00611019" w:rsidRDefault="00277ED2" w:rsidP="00A66021">
            <w:pPr>
              <w:spacing w:before="2pt"/>
              <w:rPr>
                <w:rFonts w:ascii="Century Gothic" w:hAnsi="Century Gothic" w:cs="Arial"/>
                <w:b/>
                <w:sz w:val="20"/>
                <w:szCs w:val="20"/>
              </w:rPr>
            </w:pPr>
          </w:p>
        </w:tc>
        <w:tc>
          <w:tcPr>
            <w:tcW w:w="311.65pt" w:type="dxa"/>
            <w:vMerge/>
            <w:tcBorders>
              <w:top w:val="single" w:sz="4" w:space="0" w:color="auto"/>
              <w:start w:val="single" w:sz="4" w:space="0" w:color="auto"/>
              <w:bottom w:val="single" w:sz="4" w:space="0" w:color="auto"/>
              <w:end w:val="single" w:sz="4" w:space="0" w:color="auto"/>
            </w:tcBorders>
            <w:vAlign w:val="center"/>
            <w:hideMark/>
          </w:tcPr>
          <w:p w:rsidR="00277ED2" w:rsidRPr="00611019" w:rsidRDefault="00277ED2" w:rsidP="00606F15">
            <w:pPr>
              <w:spacing w:before="2pt" w:line="12pt" w:lineRule="auto"/>
              <w:rPr>
                <w:rFonts w:ascii="Century Gothic" w:hAnsi="Century Gothic" w:cs="Arial"/>
                <w:sz w:val="20"/>
                <w:szCs w:val="20"/>
              </w:rPr>
            </w:pPr>
          </w:p>
        </w:tc>
      </w:tr>
      <w:tr w:rsidR="0061711D" w:rsidTr="00A66021">
        <w:trPr>
          <w:trHeight w:val="20"/>
          <w:jc w:val="center"/>
        </w:trPr>
        <w:tc>
          <w:tcPr>
            <w:tcW w:w="142.10pt" w:type="dxa"/>
            <w:tcBorders>
              <w:top w:val="single" w:sz="4" w:space="0" w:color="auto"/>
              <w:start w:val="single" w:sz="4" w:space="0" w:color="auto"/>
              <w:bottom w:val="single" w:sz="4" w:space="0" w:color="auto"/>
              <w:end w:val="single" w:sz="4" w:space="0" w:color="auto"/>
            </w:tcBorders>
            <w:shd w:val="clear" w:color="auto" w:fill="auto"/>
            <w:vAlign w:val="center"/>
            <w:hideMark/>
          </w:tcPr>
          <w:p w:rsidR="00277ED2" w:rsidRPr="00611019" w:rsidRDefault="00E56462" w:rsidP="00A66021">
            <w:pPr>
              <w:spacing w:before="2pt"/>
              <w:jc w:val="center"/>
              <w:rPr>
                <w:rFonts w:ascii="Century Gothic" w:hAnsi="Century Gothic" w:cs="Arial"/>
                <w:b/>
                <w:sz w:val="20"/>
                <w:szCs w:val="20"/>
              </w:rPr>
            </w:pPr>
            <w:r>
              <w:rPr>
                <w:rFonts w:ascii="Century Gothic" w:hAnsi="Century Gothic" w:cs="Arial"/>
                <w:b/>
                <w:sz w:val="20"/>
                <w:szCs w:val="20"/>
              </w:rPr>
              <w:t xml:space="preserve"> Herraje y/o ductería</w:t>
            </w:r>
          </w:p>
        </w:tc>
        <w:tc>
          <w:tcPr>
            <w:tcW w:w="311.65pt" w:type="dxa"/>
            <w:tcBorders>
              <w:top w:val="single" w:sz="4" w:space="0" w:color="auto"/>
              <w:start w:val="nil"/>
              <w:bottom w:val="single" w:sz="4" w:space="0" w:color="auto"/>
              <w:end w:val="single" w:sz="4" w:space="0" w:color="auto"/>
            </w:tcBorders>
            <w:shd w:val="clear" w:color="auto" w:fill="auto"/>
            <w:vAlign w:val="center"/>
            <w:hideMark/>
          </w:tcPr>
          <w:p w:rsidR="00277ED2" w:rsidRPr="00611019" w:rsidRDefault="00E56462" w:rsidP="00606F15">
            <w:pPr>
              <w:spacing w:before="2pt" w:line="12pt" w:lineRule="auto"/>
              <w:jc w:val="both"/>
              <w:rPr>
                <w:rFonts w:ascii="Century Gothic" w:hAnsi="Century Gothic" w:cs="Arial"/>
                <w:sz w:val="20"/>
                <w:szCs w:val="20"/>
              </w:rPr>
            </w:pPr>
            <w:r>
              <w:rPr>
                <w:rFonts w:ascii="Century Gothic" w:hAnsi="Century Gothic" w:cs="Arial"/>
                <w:sz w:val="20"/>
                <w:szCs w:val="20"/>
              </w:rPr>
              <w:t>Será provisto por el propietario del edificio, para conectar el punto de llegada al edificio con las áreas asignadas y con otras coubicaciones en caso de requerirse.</w:t>
            </w:r>
          </w:p>
        </w:tc>
      </w:tr>
      <w:tr w:rsidR="0061711D" w:rsidTr="00A66021">
        <w:trPr>
          <w:trHeight w:val="20"/>
          <w:jc w:val="center"/>
        </w:trPr>
        <w:tc>
          <w:tcPr>
            <w:tcW w:w="142.10pt" w:type="dxa"/>
            <w:tcBorders>
              <w:top w:val="nil"/>
              <w:start w:val="single" w:sz="4" w:space="0" w:color="auto"/>
              <w:bottom w:val="single" w:sz="4" w:space="0" w:color="auto"/>
              <w:end w:val="single" w:sz="4" w:space="0" w:color="auto"/>
            </w:tcBorders>
            <w:shd w:val="clear" w:color="auto" w:fill="auto"/>
            <w:vAlign w:val="center"/>
            <w:hideMark/>
          </w:tcPr>
          <w:p w:rsidR="00277ED2" w:rsidRPr="00611019" w:rsidRDefault="00E56462" w:rsidP="00A66021">
            <w:pPr>
              <w:spacing w:before="2pt"/>
              <w:jc w:val="center"/>
              <w:rPr>
                <w:rFonts w:ascii="Century Gothic" w:hAnsi="Century Gothic" w:cs="Arial"/>
                <w:b/>
                <w:sz w:val="20"/>
                <w:szCs w:val="20"/>
              </w:rPr>
            </w:pPr>
            <w:r>
              <w:rPr>
                <w:rFonts w:ascii="Century Gothic" w:hAnsi="Century Gothic" w:cs="Arial"/>
                <w:b/>
                <w:sz w:val="20"/>
                <w:szCs w:val="20"/>
              </w:rPr>
              <w:t xml:space="preserve"> Identificación de Alimentación</w:t>
            </w:r>
          </w:p>
        </w:tc>
        <w:tc>
          <w:tcPr>
            <w:tcW w:w="311.65pt" w:type="dxa"/>
            <w:tcBorders>
              <w:top w:val="nil"/>
              <w:start w:val="nil"/>
              <w:bottom w:val="single" w:sz="4" w:space="0" w:color="auto"/>
              <w:end w:val="single" w:sz="4" w:space="0" w:color="auto"/>
            </w:tcBorders>
            <w:shd w:val="clear" w:color="auto" w:fill="auto"/>
            <w:vAlign w:val="center"/>
            <w:hideMark/>
          </w:tcPr>
          <w:p w:rsidR="00277ED2" w:rsidRPr="00611019" w:rsidRDefault="00E56462" w:rsidP="00606F15">
            <w:pPr>
              <w:spacing w:before="2pt" w:line="12pt" w:lineRule="auto"/>
              <w:jc w:val="both"/>
              <w:rPr>
                <w:rFonts w:ascii="Century Gothic" w:hAnsi="Century Gothic" w:cs="Arial"/>
                <w:sz w:val="20"/>
                <w:szCs w:val="20"/>
              </w:rPr>
            </w:pPr>
            <w:r>
              <w:rPr>
                <w:rFonts w:ascii="Century Gothic" w:hAnsi="Century Gothic" w:cs="Arial"/>
                <w:sz w:val="20"/>
                <w:szCs w:val="20"/>
              </w:rPr>
              <w:t xml:space="preserve">Identificación de los interruptores termomagnéticos asignados a los </w:t>
            </w:r>
            <w:r w:rsidR="008E3048">
              <w:rPr>
                <w:rFonts w:ascii="Century Gothic" w:hAnsi="Century Gothic" w:cs="Arial"/>
                <w:sz w:val="20"/>
                <w:szCs w:val="20"/>
              </w:rPr>
              <w:t>CS</w:t>
            </w:r>
            <w:r>
              <w:rPr>
                <w:rFonts w:ascii="Century Gothic" w:hAnsi="Century Gothic" w:cs="Arial"/>
                <w:sz w:val="20"/>
                <w:szCs w:val="20"/>
              </w:rPr>
              <w:t xml:space="preserve"> en el tablero general de C.A.</w:t>
            </w:r>
          </w:p>
        </w:tc>
      </w:tr>
      <w:tr w:rsidR="0061711D" w:rsidTr="00A66021">
        <w:trPr>
          <w:trHeight w:val="20"/>
          <w:jc w:val="center"/>
        </w:trPr>
        <w:tc>
          <w:tcPr>
            <w:tcW w:w="142.10pt" w:type="dxa"/>
            <w:tcBorders>
              <w:top w:val="nil"/>
              <w:start w:val="single" w:sz="4" w:space="0" w:color="auto"/>
              <w:bottom w:val="single" w:sz="4" w:space="0" w:color="auto"/>
              <w:end w:val="single" w:sz="4" w:space="0" w:color="auto"/>
            </w:tcBorders>
            <w:shd w:val="clear" w:color="auto" w:fill="auto"/>
            <w:vAlign w:val="center"/>
            <w:hideMark/>
          </w:tcPr>
          <w:p w:rsidR="00277ED2" w:rsidRPr="00611019" w:rsidRDefault="00E56462" w:rsidP="00A66021">
            <w:pPr>
              <w:spacing w:before="2pt"/>
              <w:jc w:val="center"/>
              <w:rPr>
                <w:rFonts w:ascii="Century Gothic" w:hAnsi="Century Gothic" w:cs="Arial"/>
                <w:b/>
                <w:sz w:val="20"/>
                <w:szCs w:val="20"/>
              </w:rPr>
            </w:pPr>
            <w:r>
              <w:rPr>
                <w:rFonts w:ascii="Century Gothic" w:hAnsi="Century Gothic" w:cs="Arial"/>
                <w:b/>
                <w:sz w:val="20"/>
                <w:szCs w:val="20"/>
              </w:rPr>
              <w:t xml:space="preserve"> Fijación del equipo</w:t>
            </w:r>
          </w:p>
        </w:tc>
        <w:tc>
          <w:tcPr>
            <w:tcW w:w="311.65pt" w:type="dxa"/>
            <w:tcBorders>
              <w:top w:val="nil"/>
              <w:start w:val="nil"/>
              <w:bottom w:val="single" w:sz="4" w:space="0" w:color="auto"/>
              <w:end w:val="single" w:sz="4" w:space="0" w:color="auto"/>
            </w:tcBorders>
            <w:shd w:val="clear" w:color="auto" w:fill="auto"/>
            <w:vAlign w:val="center"/>
            <w:hideMark/>
          </w:tcPr>
          <w:p w:rsidR="00277ED2" w:rsidRPr="00611019" w:rsidRDefault="00E56462" w:rsidP="00606F15">
            <w:pPr>
              <w:spacing w:before="2pt" w:line="12pt" w:lineRule="auto"/>
              <w:jc w:val="both"/>
              <w:rPr>
                <w:rFonts w:ascii="Century Gothic" w:hAnsi="Century Gothic" w:cs="Arial"/>
                <w:sz w:val="20"/>
                <w:szCs w:val="20"/>
              </w:rPr>
            </w:pPr>
            <w:r>
              <w:rPr>
                <w:rFonts w:ascii="Century Gothic" w:hAnsi="Century Gothic" w:cs="Arial"/>
                <w:sz w:val="20"/>
                <w:szCs w:val="20"/>
              </w:rPr>
              <w:t>Anclaje a piso y/o techo de común acuerdo</w:t>
            </w:r>
          </w:p>
        </w:tc>
      </w:tr>
      <w:tr w:rsidR="0061711D" w:rsidTr="00A66021">
        <w:trPr>
          <w:trHeight w:val="20"/>
          <w:jc w:val="center"/>
        </w:trPr>
        <w:tc>
          <w:tcPr>
            <w:tcW w:w="142.10pt" w:type="dxa"/>
            <w:tcBorders>
              <w:top w:val="nil"/>
              <w:start w:val="single" w:sz="4" w:space="0" w:color="auto"/>
              <w:bottom w:val="single" w:sz="4" w:space="0" w:color="auto"/>
              <w:end w:val="single" w:sz="4" w:space="0" w:color="auto"/>
            </w:tcBorders>
            <w:shd w:val="clear" w:color="auto" w:fill="auto"/>
            <w:vAlign w:val="center"/>
            <w:hideMark/>
          </w:tcPr>
          <w:p w:rsidR="00277ED2" w:rsidRPr="00611019" w:rsidRDefault="00E56462" w:rsidP="00A66021">
            <w:pPr>
              <w:spacing w:before="2pt"/>
              <w:jc w:val="center"/>
              <w:rPr>
                <w:rFonts w:ascii="Century Gothic" w:hAnsi="Century Gothic" w:cs="Arial"/>
                <w:b/>
                <w:sz w:val="20"/>
                <w:szCs w:val="20"/>
              </w:rPr>
            </w:pPr>
            <w:r>
              <w:rPr>
                <w:rFonts w:ascii="Century Gothic" w:hAnsi="Century Gothic" w:cs="Arial"/>
                <w:b/>
                <w:sz w:val="20"/>
                <w:szCs w:val="20"/>
              </w:rPr>
              <w:t>Acabado del piso</w:t>
            </w:r>
          </w:p>
        </w:tc>
        <w:tc>
          <w:tcPr>
            <w:tcW w:w="311.65pt" w:type="dxa"/>
            <w:tcBorders>
              <w:top w:val="nil"/>
              <w:start w:val="nil"/>
              <w:bottom w:val="single" w:sz="4" w:space="0" w:color="auto"/>
              <w:end w:val="single" w:sz="4" w:space="0" w:color="auto"/>
            </w:tcBorders>
            <w:shd w:val="clear" w:color="auto" w:fill="auto"/>
            <w:vAlign w:val="center"/>
            <w:hideMark/>
          </w:tcPr>
          <w:p w:rsidR="00277ED2" w:rsidRPr="00611019" w:rsidRDefault="00E56462" w:rsidP="00606F15">
            <w:pPr>
              <w:spacing w:before="2pt" w:line="12pt" w:lineRule="auto"/>
              <w:jc w:val="both"/>
              <w:rPr>
                <w:rFonts w:ascii="Century Gothic" w:hAnsi="Century Gothic" w:cs="Arial"/>
                <w:sz w:val="20"/>
                <w:szCs w:val="20"/>
              </w:rPr>
            </w:pPr>
            <w:r>
              <w:rPr>
                <w:rFonts w:ascii="Century Gothic" w:hAnsi="Century Gothic" w:cs="Arial"/>
                <w:sz w:val="20"/>
                <w:szCs w:val="20"/>
              </w:rPr>
              <w:t>Firme de concreto 400Kg/m</w:t>
            </w:r>
            <w:r>
              <w:rPr>
                <w:rFonts w:ascii="Century Gothic" w:hAnsi="Century Gothic" w:cs="Arial"/>
                <w:sz w:val="20"/>
                <w:szCs w:val="20"/>
                <w:vertAlign w:val="superscript"/>
              </w:rPr>
              <w:t>2</w:t>
            </w:r>
            <w:r>
              <w:rPr>
                <w:rFonts w:ascii="Century Gothic" w:hAnsi="Century Gothic" w:cs="Arial"/>
                <w:sz w:val="20"/>
                <w:szCs w:val="20"/>
              </w:rPr>
              <w:t>, sin ondulaciones, 3 mm de desnivel cubierto con loseta vinílica.</w:t>
            </w:r>
          </w:p>
        </w:tc>
      </w:tr>
    </w:tbl>
    <w:p w:rsidR="00277ED2" w:rsidRPr="00611019" w:rsidRDefault="00E56462" w:rsidP="00035D2C">
      <w:pPr>
        <w:pStyle w:val="xxxPiedeCuadroconnombre"/>
        <w:spacing w:before="0pt" w:after="6pt"/>
        <w:jc w:val="center"/>
        <w:rPr>
          <w:rFonts w:ascii="Century Gothic" w:hAnsi="Century Gothic"/>
        </w:rPr>
      </w:pPr>
      <w:r>
        <w:rPr>
          <w:rFonts w:ascii="Century Gothic" w:hAnsi="Century Gothic"/>
        </w:rPr>
        <w:t>Características técnicas mínimas de los tipos de coubicación.</w:t>
      </w:r>
    </w:p>
    <w:p w:rsidR="00204BC4" w:rsidRDefault="00204BC4" w:rsidP="00204BC4">
      <w:pPr>
        <w:pStyle w:val="IFTnormal"/>
        <w:rPr>
          <w:rFonts w:ascii="Century Gothic" w:hAnsi="Century Gothic"/>
        </w:rPr>
      </w:pPr>
    </w:p>
    <w:p w:rsidR="00277ED2" w:rsidRDefault="00E56462" w:rsidP="00035D2C">
      <w:pPr>
        <w:pStyle w:val="IFTnormal"/>
        <w:spacing w:after="6pt"/>
        <w:rPr>
          <w:rFonts w:ascii="Century Gothic" w:hAnsi="Century Gothic"/>
        </w:rPr>
      </w:pPr>
      <w:r>
        <w:rPr>
          <w:rFonts w:ascii="Century Gothic" w:hAnsi="Century Gothic"/>
        </w:rPr>
        <w:lastRenderedPageBreak/>
        <w:t>Si el CS solicita el aprovisionamiento de la energía alterna, directa, clima, espacio, etc. con requerimientos particulares diferentes a los ofrecidos para este tipo de coubicación, la solicitud se atenderá como adecuación y el CS cubrirá además el costo de los consumos excedentes en su facturación mensual, a través de los cobros adicionales del interruptor termo magnético.</w:t>
      </w:r>
    </w:p>
    <w:p w:rsidR="008B1370" w:rsidRPr="00611019" w:rsidRDefault="008B1370" w:rsidP="008B1370">
      <w:pPr>
        <w:pStyle w:val="IFTnormal"/>
        <w:spacing w:after="6pt"/>
        <w:rPr>
          <w:rFonts w:ascii="Century Gothic" w:hAnsi="Century Gothic"/>
        </w:rPr>
      </w:pPr>
      <w:r>
        <w:rPr>
          <w:rFonts w:ascii="Century Gothic" w:hAnsi="Century Gothic"/>
        </w:rPr>
        <w:t>Con el objeto de garantizar la seguridad de las instalaciones de RED NACIONAL l</w:t>
      </w:r>
      <w:r w:rsidRPr="003A0D23">
        <w:rPr>
          <w:rFonts w:ascii="Century Gothic" w:hAnsi="Century Gothic"/>
        </w:rPr>
        <w:t xml:space="preserve">os Concesionarios deberán </w:t>
      </w:r>
      <w:r>
        <w:rPr>
          <w:rFonts w:ascii="Century Gothic" w:hAnsi="Century Gothic"/>
        </w:rPr>
        <w:t>evitar</w:t>
      </w:r>
      <w:r w:rsidRPr="003A0D23">
        <w:rPr>
          <w:rFonts w:ascii="Century Gothic" w:hAnsi="Century Gothic"/>
        </w:rPr>
        <w:t xml:space="preserve"> </w:t>
      </w:r>
      <w:r>
        <w:rPr>
          <w:rFonts w:ascii="Century Gothic" w:hAnsi="Century Gothic"/>
        </w:rPr>
        <w:t xml:space="preserve">instalar en sus Coubicaciones </w:t>
      </w:r>
      <w:r w:rsidRPr="003A0D23">
        <w:rPr>
          <w:rFonts w:ascii="Century Gothic" w:hAnsi="Century Gothic"/>
        </w:rPr>
        <w:t xml:space="preserve">cualquier </w:t>
      </w:r>
      <w:r>
        <w:rPr>
          <w:rFonts w:ascii="Century Gothic" w:hAnsi="Century Gothic"/>
        </w:rPr>
        <w:t xml:space="preserve">equipo de fuerza como </w:t>
      </w:r>
      <w:r w:rsidRPr="003A0D23">
        <w:rPr>
          <w:rFonts w:ascii="Century Gothic" w:hAnsi="Century Gothic"/>
        </w:rPr>
        <w:t>batería</w:t>
      </w:r>
      <w:r>
        <w:rPr>
          <w:rFonts w:ascii="Century Gothic" w:hAnsi="Century Gothic"/>
        </w:rPr>
        <w:t>s</w:t>
      </w:r>
      <w:r w:rsidRPr="003A0D23">
        <w:rPr>
          <w:rFonts w:ascii="Century Gothic" w:hAnsi="Century Gothic"/>
        </w:rPr>
        <w:t xml:space="preserve"> externa</w:t>
      </w:r>
      <w:r>
        <w:rPr>
          <w:rFonts w:ascii="Century Gothic" w:hAnsi="Century Gothic"/>
        </w:rPr>
        <w:t>s</w:t>
      </w:r>
      <w:r w:rsidRPr="003A0D23">
        <w:rPr>
          <w:rFonts w:ascii="Century Gothic" w:hAnsi="Century Gothic"/>
        </w:rPr>
        <w:t xml:space="preserve"> </w:t>
      </w:r>
      <w:r>
        <w:rPr>
          <w:rFonts w:ascii="Century Gothic" w:hAnsi="Century Gothic"/>
        </w:rPr>
        <w:t>y/</w:t>
      </w:r>
      <w:r w:rsidRPr="003A0D23">
        <w:rPr>
          <w:rFonts w:ascii="Century Gothic" w:hAnsi="Century Gothic"/>
        </w:rPr>
        <w:t>o planta</w:t>
      </w:r>
      <w:r>
        <w:rPr>
          <w:rFonts w:ascii="Century Gothic" w:hAnsi="Century Gothic"/>
        </w:rPr>
        <w:t>s</w:t>
      </w:r>
      <w:r w:rsidRPr="003A0D23">
        <w:rPr>
          <w:rFonts w:ascii="Century Gothic" w:hAnsi="Century Gothic"/>
        </w:rPr>
        <w:t xml:space="preserve"> de energía </w:t>
      </w:r>
      <w:r>
        <w:rPr>
          <w:rFonts w:ascii="Century Gothic" w:hAnsi="Century Gothic"/>
        </w:rPr>
        <w:t xml:space="preserve">para evitar situaciones que puedan poner en riesgo la continuidad y </w:t>
      </w:r>
      <w:r w:rsidRPr="003A0D23">
        <w:rPr>
          <w:rFonts w:ascii="Century Gothic" w:hAnsi="Century Gothic"/>
        </w:rPr>
        <w:t xml:space="preserve"> seguridad de los servicios</w:t>
      </w:r>
      <w:r>
        <w:rPr>
          <w:rFonts w:ascii="Century Gothic" w:hAnsi="Century Gothic"/>
        </w:rPr>
        <w:t>.</w:t>
      </w:r>
    </w:p>
    <w:p w:rsidR="00277ED2" w:rsidRPr="00611019" w:rsidRDefault="00277ED2" w:rsidP="00035D2C">
      <w:pPr>
        <w:pStyle w:val="IFTnormal"/>
        <w:spacing w:after="6pt"/>
        <w:rPr>
          <w:rFonts w:ascii="Century Gothic" w:hAnsi="Century Gothic"/>
        </w:rPr>
      </w:pPr>
    </w:p>
    <w:p w:rsidR="00277ED2" w:rsidRPr="00611019" w:rsidRDefault="00E56462" w:rsidP="00035D2C">
      <w:pPr>
        <w:pStyle w:val="Ttulo2"/>
        <w:spacing w:after="6pt"/>
        <w:rPr>
          <w:rFonts w:ascii="Century Gothic" w:hAnsi="Century Gothic"/>
        </w:rPr>
      </w:pPr>
      <w:bookmarkStart w:id="1770" w:name="_Toc26903975"/>
      <w:bookmarkStart w:id="1771" w:name="_Toc43913215"/>
      <w:bookmarkStart w:id="1772" w:name="_Toc26980699"/>
      <w:bookmarkStart w:id="1773" w:name="_Toc53488551"/>
      <w:bookmarkStart w:id="1774" w:name="_Toc53490483"/>
      <w:bookmarkStart w:id="1775" w:name="_Toc53498491"/>
      <w:bookmarkStart w:id="1776" w:name="_Toc58578848"/>
      <w:bookmarkStart w:id="1777" w:name="_Toc92974074"/>
      <w:bookmarkStart w:id="1778" w:name="_Toc93052385"/>
      <w:bookmarkStart w:id="1779" w:name="_Toc93056340"/>
      <w:bookmarkStart w:id="1780" w:name="_Toc125393404"/>
      <w:bookmarkStart w:id="1781" w:name="_Toc148702260"/>
      <w:bookmarkStart w:id="1782" w:name="_Toc170381876"/>
      <w:r>
        <w:rPr>
          <w:rFonts w:ascii="Century Gothic" w:hAnsi="Century Gothic"/>
        </w:rPr>
        <w:t>1</w:t>
      </w:r>
      <w:r w:rsidR="00230EF7">
        <w:rPr>
          <w:rFonts w:ascii="Century Gothic" w:hAnsi="Century Gothic"/>
        </w:rPr>
        <w:t>1</w:t>
      </w:r>
      <w:r>
        <w:rPr>
          <w:rFonts w:ascii="Century Gothic" w:hAnsi="Century Gothic"/>
        </w:rPr>
        <w:t xml:space="preserve">.2 </w:t>
      </w:r>
      <w:bookmarkStart w:id="1783" w:name="_Toc467248758"/>
      <w:bookmarkStart w:id="1784" w:name="_Toc525904644"/>
      <w:bookmarkStart w:id="1785" w:name="_Toc525914040"/>
      <w:bookmarkStart w:id="1786" w:name="_Toc525919279"/>
      <w:bookmarkStart w:id="1787" w:name="_Toc525919403"/>
      <w:bookmarkStart w:id="1788" w:name="_Toc2957213"/>
      <w:bookmarkStart w:id="1789" w:name="_Toc24473514"/>
      <w:bookmarkStart w:id="1790" w:name="_Toc24477642"/>
      <w:bookmarkStart w:id="1791" w:name="_Toc24483908"/>
      <w:bookmarkStart w:id="1792" w:name="_Toc26273118"/>
      <w:bookmarkStart w:id="1793" w:name="_Toc26284515"/>
      <w:bookmarkStart w:id="1794" w:name="_Toc26286270"/>
      <w:r>
        <w:rPr>
          <w:rFonts w:ascii="Century Gothic" w:hAnsi="Century Gothic"/>
        </w:rPr>
        <w:t>Adecuaciones disponibles para la Coubicación.</w:t>
      </w:r>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p>
    <w:p w:rsidR="00277ED2" w:rsidRPr="00611019" w:rsidRDefault="00E56462" w:rsidP="00035D2C">
      <w:pPr>
        <w:pStyle w:val="IFTnormal"/>
        <w:spacing w:after="6pt"/>
        <w:rPr>
          <w:rFonts w:ascii="Century Gothic" w:hAnsi="Century Gothic"/>
        </w:rPr>
      </w:pPr>
      <w:r>
        <w:rPr>
          <w:rFonts w:ascii="Century Gothic" w:hAnsi="Century Gothic"/>
        </w:rPr>
        <w:t>Se entiende por adecuación cualquier ajuste a las condiciones técnicas preexistentes para los diferentes tipos de Coubicación, requerido por el CS a través del formato de Solicitud de Coubicación para Servicios de Desagregación; estos ajustes pueden estar relacionados con el incremento en la capacidad de: suministro de energía eléctrica, interruptores de alimentación, aire acondicionado, adecuación de Interconexión a desagregación, o cualquier otro elemento de infraestructura de red que no implique crecimiento del área arrendada y modificaciones a la infraestructura de obra civil de una Coubicación existente.</w:t>
      </w:r>
    </w:p>
    <w:p w:rsidR="00277ED2" w:rsidRPr="00611019" w:rsidRDefault="00E56462" w:rsidP="00035D2C">
      <w:pPr>
        <w:pStyle w:val="IFTnormal"/>
        <w:spacing w:after="6pt"/>
        <w:rPr>
          <w:rFonts w:ascii="Century Gothic" w:hAnsi="Century Gothic"/>
        </w:rPr>
      </w:pPr>
      <w:r>
        <w:rPr>
          <w:rFonts w:ascii="Century Gothic" w:hAnsi="Century Gothic"/>
        </w:rPr>
        <w:t>El CS podrá solicitar las siguientes adecuaciones para los 3 tipos de coubicación existentes:</w:t>
      </w:r>
    </w:p>
    <w:p w:rsidR="00277ED2" w:rsidRPr="00611019" w:rsidRDefault="00E56462">
      <w:pPr>
        <w:pStyle w:val="Prrafodelista"/>
        <w:numPr>
          <w:ilvl w:val="0"/>
          <w:numId w:val="112"/>
        </w:numPr>
        <w:spacing w:after="6pt"/>
        <w:jc w:val="both"/>
        <w:rPr>
          <w:rFonts w:ascii="Century Gothic" w:hAnsi="Century Gothic" w:cs="Arial"/>
        </w:rPr>
      </w:pPr>
      <w:r>
        <w:rPr>
          <w:rFonts w:ascii="Century Gothic" w:hAnsi="Century Gothic" w:cs="Arial"/>
        </w:rPr>
        <w:t>Diferentes capacidades de fuerza (para corriente alterna o directa). Las capacidades de los interruptores termomagnéticos que podrá solicitar serán: 10, 20, 30, 40, 50, 60, 70, 80, 90, 100, 150 y 200 (Amperes).</w:t>
      </w:r>
    </w:p>
    <w:p w:rsidR="00277ED2" w:rsidRPr="00611019" w:rsidRDefault="00E56462">
      <w:pPr>
        <w:pStyle w:val="Prrafodelista"/>
        <w:numPr>
          <w:ilvl w:val="0"/>
          <w:numId w:val="112"/>
        </w:numPr>
        <w:spacing w:after="6pt"/>
        <w:jc w:val="both"/>
        <w:rPr>
          <w:rFonts w:ascii="Century Gothic" w:hAnsi="Century Gothic" w:cs="Arial"/>
        </w:rPr>
      </w:pPr>
      <w:r>
        <w:rPr>
          <w:rFonts w:ascii="Century Gothic" w:hAnsi="Century Gothic" w:cs="Arial"/>
        </w:rPr>
        <w:t>Diferentes capacidades de clima, es decir mayor cantidad de unidades de BTUs</w:t>
      </w:r>
      <w:r>
        <w:rPr>
          <w:rStyle w:val="Refdenotaalpie"/>
          <w:rFonts w:ascii="Century Gothic" w:hAnsi="Century Gothic" w:cs="Arial"/>
        </w:rPr>
        <w:footnoteReference w:id="39"/>
      </w:r>
      <w:r>
        <w:rPr>
          <w:rFonts w:ascii="Century Gothic" w:hAnsi="Century Gothic" w:cs="Arial"/>
        </w:rPr>
        <w:t>, los cuales estarán asociados a una mayor capacidad de fuerza.</w:t>
      </w:r>
    </w:p>
    <w:p w:rsidR="00277ED2" w:rsidRPr="00611019" w:rsidRDefault="00E56462" w:rsidP="00035D2C">
      <w:pPr>
        <w:pStyle w:val="IFTnormal"/>
        <w:spacing w:after="6pt"/>
        <w:rPr>
          <w:rFonts w:ascii="Century Gothic" w:hAnsi="Century Gothic"/>
        </w:rPr>
      </w:pPr>
      <w:r>
        <w:rPr>
          <w:rFonts w:ascii="Century Gothic" w:hAnsi="Century Gothic"/>
        </w:rPr>
        <w:t>En caso de que un CS requiera más metros cuadrados, lo cual implique cambios en la obra civil (loza, paredes o piso) de una Coubicación existente, la solicitud estará sujeta a factibilidad técnica y a los tiempos de atención asociados a una Coubicación nueva establecidos en la sección “Plazos de Entrega de Coubicación” de la presente OREDA. El tiempo de implementación se notificará al CS en la cotización del Servicio y estará en función del tipo de trabajos a realizar.</w:t>
      </w:r>
    </w:p>
    <w:p w:rsidR="00785FC3" w:rsidRPr="00611019" w:rsidRDefault="00785FC3" w:rsidP="00204BC4">
      <w:pPr>
        <w:pStyle w:val="IFTnormal"/>
        <w:rPr>
          <w:rFonts w:ascii="Century Gothic" w:hAnsi="Century Gothic"/>
        </w:rPr>
      </w:pPr>
    </w:p>
    <w:p w:rsidR="00277ED2" w:rsidRPr="00611019" w:rsidRDefault="00E56462" w:rsidP="00035D2C">
      <w:pPr>
        <w:pStyle w:val="Ttulo2"/>
        <w:spacing w:after="0pt"/>
        <w:rPr>
          <w:rFonts w:ascii="Century Gothic" w:hAnsi="Century Gothic"/>
        </w:rPr>
      </w:pPr>
      <w:bookmarkStart w:id="1795" w:name="_Toc467248759"/>
      <w:bookmarkStart w:id="1796" w:name="_Toc525904645"/>
      <w:bookmarkStart w:id="1797" w:name="_Toc525914041"/>
      <w:bookmarkStart w:id="1798" w:name="_Toc525919280"/>
      <w:bookmarkStart w:id="1799" w:name="_Toc525919404"/>
      <w:bookmarkStart w:id="1800" w:name="_Toc20217718"/>
      <w:bookmarkStart w:id="1801" w:name="_Toc20224900"/>
      <w:bookmarkStart w:id="1802" w:name="_Toc20241288"/>
      <w:bookmarkStart w:id="1803" w:name="_Toc20242833"/>
      <w:bookmarkStart w:id="1804" w:name="_Toc20328740"/>
      <w:bookmarkStart w:id="1805" w:name="_Toc20390252"/>
      <w:bookmarkStart w:id="1806" w:name="_Toc20468903"/>
      <w:bookmarkStart w:id="1807" w:name="_Toc20486114"/>
      <w:bookmarkStart w:id="1808" w:name="_Toc20492287"/>
      <w:bookmarkStart w:id="1809" w:name="_Toc20494283"/>
      <w:bookmarkStart w:id="1810" w:name="_Toc21520799"/>
      <w:bookmarkStart w:id="1811" w:name="_Toc26273119"/>
      <w:bookmarkStart w:id="1812" w:name="_Toc26284516"/>
      <w:bookmarkStart w:id="1813" w:name="_Toc26286271"/>
      <w:bookmarkStart w:id="1814" w:name="_Toc26903976"/>
      <w:bookmarkStart w:id="1815" w:name="_Toc43913216"/>
      <w:bookmarkStart w:id="1816" w:name="_Toc26980700"/>
      <w:bookmarkStart w:id="1817" w:name="_Toc53488552"/>
      <w:bookmarkStart w:id="1818" w:name="_Toc53490484"/>
      <w:bookmarkStart w:id="1819" w:name="_Toc53498492"/>
      <w:bookmarkStart w:id="1820" w:name="_Toc58578849"/>
      <w:bookmarkStart w:id="1821" w:name="_Toc92974075"/>
      <w:bookmarkStart w:id="1822" w:name="_Toc93052386"/>
      <w:bookmarkStart w:id="1823" w:name="_Toc93056341"/>
      <w:bookmarkStart w:id="1824" w:name="_Toc125393405"/>
      <w:bookmarkStart w:id="1825" w:name="_Toc148702261"/>
      <w:bookmarkStart w:id="1826" w:name="_Toc170381877"/>
      <w:r>
        <w:rPr>
          <w:rFonts w:ascii="Century Gothic" w:hAnsi="Century Gothic"/>
        </w:rPr>
        <w:t>1</w:t>
      </w:r>
      <w:r w:rsidR="00230EF7">
        <w:rPr>
          <w:rFonts w:ascii="Century Gothic" w:hAnsi="Century Gothic"/>
        </w:rPr>
        <w:t>1</w:t>
      </w:r>
      <w:r>
        <w:rPr>
          <w:rFonts w:ascii="Century Gothic" w:hAnsi="Century Gothic"/>
        </w:rPr>
        <w:t>.3 Identificador de Ubicación en Lenguaje Común (CLLI)</w:t>
      </w:r>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r>
        <w:rPr>
          <w:rFonts w:ascii="Century Gothic" w:hAnsi="Century Gothic"/>
        </w:rPr>
        <w:t>.</w:t>
      </w:r>
    </w:p>
    <w:p w:rsidR="008D276C" w:rsidRPr="00611019" w:rsidRDefault="008D276C" w:rsidP="00035D2C">
      <w:pPr>
        <w:rPr>
          <w:sz w:val="8"/>
        </w:rPr>
      </w:pPr>
    </w:p>
    <w:p w:rsidR="00277ED2" w:rsidRPr="00611019" w:rsidRDefault="00E56462" w:rsidP="00035D2C">
      <w:pPr>
        <w:jc w:val="both"/>
        <w:rPr>
          <w:rFonts w:ascii="Century Gothic" w:hAnsi="Century Gothic" w:cs="Arial"/>
        </w:rPr>
      </w:pPr>
      <w:r>
        <w:rPr>
          <w:rFonts w:ascii="Century Gothic" w:hAnsi="Century Gothic" w:cs="Arial"/>
        </w:rPr>
        <w:lastRenderedPageBreak/>
        <w:t xml:space="preserve">Una vez asignado el espacio para Coubicación al CS, </w:t>
      </w:r>
      <w:r>
        <w:rPr>
          <w:rFonts w:ascii="Century Gothic" w:hAnsi="Century Gothic"/>
        </w:rPr>
        <w:t>RED NACIONAL</w:t>
      </w:r>
      <w:r>
        <w:rPr>
          <w:rFonts w:ascii="Century Gothic" w:hAnsi="Century Gothic" w:cs="Arial"/>
        </w:rPr>
        <w:t xml:space="preserve"> le enviará al CS el CLLI único correspondiente para la identificación de la Coubicación, ya que será necesario para solicitar Servicios auxiliares. </w:t>
      </w:r>
    </w:p>
    <w:p w:rsidR="00277ED2" w:rsidRPr="00611019" w:rsidRDefault="00E56462" w:rsidP="00035D2C">
      <w:pPr>
        <w:spacing w:after="6pt"/>
        <w:jc w:val="both"/>
        <w:rPr>
          <w:rFonts w:ascii="Century Gothic" w:hAnsi="Century Gothic" w:cs="Arial"/>
        </w:rPr>
      </w:pPr>
      <w:r>
        <w:rPr>
          <w:rFonts w:ascii="Century Gothic" w:hAnsi="Century Gothic" w:cs="Arial"/>
        </w:rPr>
        <w:t>En caso de que el CS solicite Servicios de manera simultánea, deberá indicar en los formatos correspondientes el NIS de Referencia asociado a los Servicios.</w:t>
      </w:r>
      <w:bookmarkStart w:id="1827" w:name="_Toc26273120"/>
      <w:bookmarkStart w:id="1828" w:name="_Toc26273221"/>
      <w:bookmarkStart w:id="1829" w:name="_Toc26273642"/>
      <w:bookmarkStart w:id="1830" w:name="_Toc26275688"/>
      <w:bookmarkStart w:id="1831" w:name="_Toc26279044"/>
      <w:bookmarkStart w:id="1832" w:name="_Toc26283771"/>
      <w:bookmarkStart w:id="1833" w:name="_Toc26284517"/>
      <w:bookmarkStart w:id="1834" w:name="_Toc26286272"/>
      <w:bookmarkStart w:id="1835" w:name="_Toc396337603"/>
      <w:bookmarkStart w:id="1836" w:name="_Toc436840925"/>
      <w:bookmarkStart w:id="1837" w:name="_Toc436846362"/>
      <w:bookmarkStart w:id="1838" w:name="_Toc436848312"/>
      <w:bookmarkStart w:id="1839" w:name="_Toc436856560"/>
      <w:bookmarkStart w:id="1840" w:name="_Toc436862706"/>
      <w:bookmarkStart w:id="1841" w:name="_Toc436866356"/>
      <w:bookmarkStart w:id="1842" w:name="_Toc436870935"/>
      <w:bookmarkStart w:id="1843" w:name="_Toc436875927"/>
      <w:bookmarkStart w:id="1844" w:name="_Toc467248760"/>
      <w:bookmarkStart w:id="1845" w:name="_Toc525904646"/>
      <w:bookmarkStart w:id="1846" w:name="_Toc525914042"/>
      <w:bookmarkStart w:id="1847" w:name="_Toc525919281"/>
      <w:bookmarkStart w:id="1848" w:name="_Toc525919405"/>
      <w:bookmarkStart w:id="1849" w:name="_Toc2957215"/>
      <w:bookmarkStart w:id="1850" w:name="_Toc24473515"/>
      <w:bookmarkStart w:id="1851" w:name="_Toc24477643"/>
      <w:bookmarkStart w:id="1852" w:name="_Toc24483909"/>
      <w:bookmarkEnd w:id="1827"/>
      <w:bookmarkEnd w:id="1828"/>
      <w:bookmarkEnd w:id="1829"/>
      <w:bookmarkEnd w:id="1830"/>
      <w:bookmarkEnd w:id="1831"/>
      <w:bookmarkEnd w:id="1832"/>
      <w:bookmarkEnd w:id="1833"/>
      <w:bookmarkEnd w:id="1834"/>
    </w:p>
    <w:p w:rsidR="00785FC3" w:rsidRPr="00611019" w:rsidRDefault="00785FC3" w:rsidP="00204BC4">
      <w:pPr>
        <w:jc w:val="both"/>
        <w:rPr>
          <w:rFonts w:ascii="Century Gothic" w:hAnsi="Century Gothic" w:cs="Arial"/>
        </w:rPr>
      </w:pPr>
    </w:p>
    <w:p w:rsidR="00785FC3" w:rsidRPr="00611019" w:rsidRDefault="00E56462" w:rsidP="00035D2C">
      <w:pPr>
        <w:pStyle w:val="Ttulo2"/>
        <w:spacing w:after="0pt"/>
        <w:ind w:start="0pt" w:firstLine="0pt"/>
        <w:rPr>
          <w:rFonts w:ascii="Century Gothic" w:hAnsi="Century Gothic"/>
        </w:rPr>
      </w:pPr>
      <w:bookmarkStart w:id="1853" w:name="_Toc26273121"/>
      <w:bookmarkStart w:id="1854" w:name="_Toc26284518"/>
      <w:bookmarkStart w:id="1855" w:name="_Toc26286273"/>
      <w:bookmarkStart w:id="1856" w:name="_Toc26903977"/>
      <w:bookmarkStart w:id="1857" w:name="_Toc43913217"/>
      <w:bookmarkStart w:id="1858" w:name="_Toc26980701"/>
      <w:bookmarkStart w:id="1859" w:name="_Toc53488553"/>
      <w:bookmarkStart w:id="1860" w:name="_Toc53490485"/>
      <w:bookmarkStart w:id="1861" w:name="_Toc53498493"/>
      <w:bookmarkStart w:id="1862" w:name="_Toc58578850"/>
      <w:bookmarkStart w:id="1863" w:name="_Toc92974076"/>
      <w:bookmarkStart w:id="1864" w:name="_Toc93052387"/>
      <w:bookmarkStart w:id="1865" w:name="_Toc93056342"/>
      <w:bookmarkStart w:id="1866" w:name="_Toc125393406"/>
      <w:bookmarkStart w:id="1867" w:name="_Toc148702262"/>
      <w:bookmarkStart w:id="1868" w:name="_Toc170381878"/>
      <w:r>
        <w:rPr>
          <w:rFonts w:ascii="Century Gothic" w:hAnsi="Century Gothic"/>
        </w:rPr>
        <w:t>1</w:t>
      </w:r>
      <w:r w:rsidR="00230EF7">
        <w:rPr>
          <w:rFonts w:ascii="Century Gothic" w:hAnsi="Century Gothic"/>
        </w:rPr>
        <w:t>1</w:t>
      </w:r>
      <w:r>
        <w:rPr>
          <w:rFonts w:ascii="Century Gothic" w:hAnsi="Century Gothic"/>
        </w:rPr>
        <w:t>.4 Servicio de Reasignación y Servicio de Recuperación de Espacio de Coubicación para Desagregación</w:t>
      </w:r>
      <w:bookmarkStart w:id="1869" w:name="_Toc396337601"/>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r>
        <w:rPr>
          <w:rFonts w:ascii="Century Gothic" w:hAnsi="Century Gothic"/>
        </w:rPr>
        <w:t>.</w:t>
      </w:r>
      <w:bookmarkEnd w:id="1866"/>
      <w:bookmarkEnd w:id="1867"/>
      <w:bookmarkEnd w:id="1868"/>
    </w:p>
    <w:p w:rsidR="008D276C" w:rsidRPr="00611019" w:rsidRDefault="008D276C" w:rsidP="00035D2C">
      <w:pPr>
        <w:rPr>
          <w:sz w:val="8"/>
        </w:rPr>
      </w:pPr>
    </w:p>
    <w:p w:rsidR="00277ED2" w:rsidRPr="00611019" w:rsidRDefault="00E56462" w:rsidP="00035D2C">
      <w:pPr>
        <w:pStyle w:val="IFTnormal"/>
        <w:rPr>
          <w:rFonts w:ascii="Century Gothic" w:hAnsi="Century Gothic"/>
        </w:rPr>
      </w:pPr>
      <w:r>
        <w:rPr>
          <w:rFonts w:ascii="Century Gothic" w:hAnsi="Century Gothic"/>
        </w:rPr>
        <w:t>La Reasignación y Recuperación de Espacio para Coubicación son Servicios que se proporcionarán cuando no se cuente con espacio disponible en la Central Telefónica para satisfacer la demanda de Coubicación para Desagregación.</w:t>
      </w:r>
    </w:p>
    <w:p w:rsidR="008D276C" w:rsidRPr="00611019" w:rsidRDefault="008D276C" w:rsidP="00035D2C">
      <w:pPr>
        <w:pStyle w:val="IFTnormal"/>
        <w:rPr>
          <w:rFonts w:ascii="Century Gothic" w:hAnsi="Century Gothic"/>
        </w:rPr>
      </w:pPr>
    </w:p>
    <w:p w:rsidR="00277ED2" w:rsidRPr="00611019" w:rsidRDefault="00E56462" w:rsidP="00035D2C">
      <w:pPr>
        <w:pStyle w:val="IFTnormal"/>
        <w:spacing w:after="6pt"/>
        <w:rPr>
          <w:rFonts w:ascii="Century Gothic" w:hAnsi="Century Gothic"/>
        </w:rPr>
      </w:pPr>
      <w:r>
        <w:rPr>
          <w:rFonts w:ascii="Century Gothic" w:hAnsi="Century Gothic"/>
        </w:rPr>
        <w:t>Cuando no exista espacio vacante RED NACIONAL iniciará un proceso para la Reasignación de Espacios que consiste en un procedimiento de redistribución de elementos de la red con el fin de liberar espacio para Coubicación.</w:t>
      </w:r>
    </w:p>
    <w:p w:rsidR="00277ED2" w:rsidRPr="00611019" w:rsidRDefault="00E56462" w:rsidP="00035D2C">
      <w:pPr>
        <w:pStyle w:val="IFTnormal"/>
        <w:spacing w:after="6pt"/>
        <w:rPr>
          <w:rFonts w:ascii="Century Gothic" w:hAnsi="Century Gothic"/>
        </w:rPr>
      </w:pPr>
      <w:r>
        <w:rPr>
          <w:rFonts w:ascii="Century Gothic" w:hAnsi="Century Gothic"/>
        </w:rPr>
        <w:t>Si esta Reasignación de Espacios no fuese suficiente para liberar espacio a fin de poder atender la solicitud de Coubicación, entonces RED NACIONAL iniciará el proceso para el Servicio de Recuperación de Espacios, que ocurre cuando un espacio de Coubicación para Desagregación no hubiera sido utilizado efectivamente por un CS después de ocho meses de su entrega (es decir, que no haya instalado los equipos para proveer servicios a los Usuarios Finales o que no tenga ningún servicio contratado en dicha Coubicación), debiéndose otorgar a dicho CS la posibilidad de justificar las razones por las que el espacio no está siendo ocupado efectivamente, si esto se debe a causas no imputables al CS, dicho espacio no podrá recuperarse.</w:t>
      </w:r>
    </w:p>
    <w:p w:rsidR="00277ED2" w:rsidRPr="00611019" w:rsidRDefault="00E56462" w:rsidP="00035D2C">
      <w:pPr>
        <w:pStyle w:val="IFTnormal"/>
        <w:spacing w:after="6pt"/>
        <w:rPr>
          <w:rFonts w:ascii="Century Gothic" w:hAnsi="Century Gothic"/>
        </w:rPr>
      </w:pPr>
      <w:r>
        <w:rPr>
          <w:rFonts w:ascii="Century Gothic" w:hAnsi="Century Gothic"/>
        </w:rPr>
        <w:t>La factibilidad técnica de estos Servicios depende de la existencia del espacio disponible, de la movilidad, así como de la suficiencia de espacio para la habilitación de los elementos instalados en el espacio del predio o Central Telefónica en posesión de RED NACIONAL para que sea posible proporcionar el espacio que es solicitado por el CS. Esta actividad tiene un costo, por lo que el CS deberá resarcir los costos incurridos si decide interrumpir el procedimiento de reasignación o recuperación de espacios.</w:t>
      </w:r>
    </w:p>
    <w:p w:rsidR="00277ED2" w:rsidRPr="00611019" w:rsidRDefault="00E56462" w:rsidP="00035D2C">
      <w:pPr>
        <w:pStyle w:val="IFTnormal"/>
        <w:spacing w:after="6pt"/>
        <w:rPr>
          <w:rFonts w:ascii="Century Gothic" w:hAnsi="Century Gothic"/>
        </w:rPr>
      </w:pPr>
      <w:r>
        <w:rPr>
          <w:rFonts w:ascii="Century Gothic" w:hAnsi="Century Gothic"/>
        </w:rPr>
        <w:t>Si después de aplicar el proceso de Reasignación y Recuperación de Espacio no es técnicamente factible ofrecer el SCD, RED NACIONAL buscará ofrecer al CS una solución alternativa que corresponderá a la central más cercana con disponibilidad de espacio, en un plazo no mayor a cinco días hábiles.</w:t>
      </w:r>
    </w:p>
    <w:p w:rsidR="00277ED2" w:rsidRPr="00611019" w:rsidRDefault="00E56462" w:rsidP="00035D2C">
      <w:pPr>
        <w:pStyle w:val="IFTnormal"/>
        <w:spacing w:after="6pt"/>
        <w:rPr>
          <w:rFonts w:ascii="Century Gothic" w:hAnsi="Century Gothic"/>
        </w:rPr>
      </w:pPr>
      <w:r>
        <w:rPr>
          <w:rFonts w:ascii="Century Gothic" w:hAnsi="Century Gothic"/>
        </w:rPr>
        <w:t>Finalmente, si tras haber ejecutado todos los procedimientos de Reasignación y Recuperación de Espacio no se satisface la demanda total del SCD, RED NACIONAL notificará al CS y al Instituto dicha situación para los efectos conducentes.</w:t>
      </w:r>
    </w:p>
    <w:p w:rsidR="00785FC3" w:rsidRPr="00611019" w:rsidRDefault="00785FC3" w:rsidP="00035D2C">
      <w:pPr>
        <w:pStyle w:val="IFTnormal"/>
        <w:spacing w:after="6pt"/>
        <w:rPr>
          <w:rFonts w:ascii="Century Gothic" w:hAnsi="Century Gothic"/>
        </w:rPr>
      </w:pPr>
    </w:p>
    <w:p w:rsidR="00785FC3" w:rsidRPr="00611019" w:rsidRDefault="00E56462" w:rsidP="00035D2C">
      <w:pPr>
        <w:pStyle w:val="Ttulo2"/>
        <w:spacing w:after="6pt"/>
        <w:ind w:start="0pt" w:firstLine="0pt"/>
        <w:rPr>
          <w:rFonts w:ascii="Century Gothic" w:hAnsi="Century Gothic"/>
        </w:rPr>
      </w:pPr>
      <w:bookmarkStart w:id="1870" w:name="_Toc436840926"/>
      <w:bookmarkStart w:id="1871" w:name="_Toc436846363"/>
      <w:bookmarkStart w:id="1872" w:name="_Toc436848313"/>
      <w:bookmarkStart w:id="1873" w:name="_Toc436856561"/>
      <w:bookmarkStart w:id="1874" w:name="_Toc436862707"/>
      <w:bookmarkStart w:id="1875" w:name="_Toc436866357"/>
      <w:bookmarkStart w:id="1876" w:name="_Toc436870936"/>
      <w:bookmarkStart w:id="1877" w:name="_Toc436875928"/>
      <w:bookmarkStart w:id="1878" w:name="_Toc467248761"/>
      <w:bookmarkStart w:id="1879" w:name="_Toc525904647"/>
      <w:bookmarkStart w:id="1880" w:name="_Toc525914043"/>
      <w:bookmarkStart w:id="1881" w:name="_Toc525919282"/>
      <w:bookmarkStart w:id="1882" w:name="_Toc525919406"/>
      <w:bookmarkStart w:id="1883" w:name="_Toc2957216"/>
      <w:bookmarkStart w:id="1884" w:name="_Toc24473516"/>
      <w:bookmarkStart w:id="1885" w:name="_Toc24477644"/>
      <w:bookmarkStart w:id="1886" w:name="_Toc24483910"/>
      <w:bookmarkStart w:id="1887" w:name="_Toc26273122"/>
      <w:bookmarkStart w:id="1888" w:name="_Toc26284519"/>
      <w:bookmarkStart w:id="1889" w:name="_Toc26286274"/>
      <w:bookmarkStart w:id="1890" w:name="_Toc26903978"/>
      <w:bookmarkStart w:id="1891" w:name="_Toc43913218"/>
      <w:bookmarkStart w:id="1892" w:name="_Toc26980702"/>
      <w:bookmarkStart w:id="1893" w:name="_Toc53488554"/>
      <w:bookmarkStart w:id="1894" w:name="_Toc53490486"/>
      <w:bookmarkStart w:id="1895" w:name="_Toc53498494"/>
      <w:bookmarkStart w:id="1896" w:name="_Toc58578851"/>
      <w:bookmarkStart w:id="1897" w:name="_Toc92974077"/>
      <w:bookmarkStart w:id="1898" w:name="_Toc93052388"/>
      <w:bookmarkStart w:id="1899" w:name="_Toc93056343"/>
      <w:bookmarkStart w:id="1900" w:name="_Toc125393407"/>
      <w:bookmarkStart w:id="1901" w:name="_Toc148702263"/>
      <w:bookmarkStart w:id="1902" w:name="_Toc170381879"/>
      <w:r>
        <w:rPr>
          <w:rFonts w:ascii="Century Gothic" w:hAnsi="Century Gothic"/>
        </w:rPr>
        <w:lastRenderedPageBreak/>
        <w:t>1</w:t>
      </w:r>
      <w:r w:rsidR="00230EF7">
        <w:rPr>
          <w:rFonts w:ascii="Century Gothic" w:hAnsi="Century Gothic"/>
        </w:rPr>
        <w:t>1</w:t>
      </w:r>
      <w:r>
        <w:rPr>
          <w:rFonts w:ascii="Century Gothic" w:hAnsi="Century Gothic"/>
        </w:rPr>
        <w:t>.5 Procedimientos de notificación en caso de cierre de Centrales Telefónicas</w:t>
      </w:r>
      <w:r>
        <w:rPr>
          <w:rFonts w:ascii="Century Gothic" w:hAnsi="Century Gothic"/>
          <w:b w:val="0"/>
          <w:bCs w:val="0"/>
        </w:rPr>
        <w:t xml:space="preserve">. </w:t>
      </w:r>
      <w:r>
        <w:rPr>
          <w:rFonts w:ascii="Century Gothic" w:hAnsi="Century Gothic"/>
          <w:bCs w:val="0"/>
        </w:rPr>
        <w:t>C</w:t>
      </w:r>
      <w:r>
        <w:rPr>
          <w:rFonts w:ascii="Century Gothic" w:hAnsi="Century Gothic"/>
        </w:rPr>
        <w:t>ontratación, modificación, mantenimiento y baja del servicio</w:t>
      </w:r>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r>
        <w:rPr>
          <w:rFonts w:ascii="Century Gothic" w:hAnsi="Century Gothic"/>
        </w:rPr>
        <w:t>.</w:t>
      </w:r>
    </w:p>
    <w:p w:rsidR="00277ED2" w:rsidRPr="00611019" w:rsidRDefault="00E56462" w:rsidP="00035D2C">
      <w:pPr>
        <w:pStyle w:val="IFTnormal"/>
        <w:rPr>
          <w:rFonts w:ascii="Century Gothic" w:hAnsi="Century Gothic"/>
        </w:rPr>
      </w:pPr>
      <w:r>
        <w:rPr>
          <w:rFonts w:ascii="Century Gothic" w:hAnsi="Century Gothic"/>
        </w:rPr>
        <w:t>Queda establecido que, el CS consiente efectuar el pago por las actividades a realizar, así como por los elementos de cobro que conforman el (los) servicio(s). Asimismo, si el CS rechaza el Servicio o decide no continuar con el procedimiento, deberá liquidar el monto generado por las actividades realizadas hasta el momento que decidió terminar el procedimiento.</w:t>
      </w:r>
    </w:p>
    <w:p w:rsidR="00785FC3" w:rsidRPr="00611019" w:rsidRDefault="00785FC3" w:rsidP="00035D2C">
      <w:pPr>
        <w:pStyle w:val="IFTnormal"/>
        <w:rPr>
          <w:rFonts w:ascii="Century Gothic" w:hAnsi="Century Gothic"/>
          <w:b/>
        </w:rPr>
      </w:pPr>
    </w:p>
    <w:p w:rsidR="00785FC3" w:rsidRPr="00611019" w:rsidRDefault="00E56462" w:rsidP="00035D2C">
      <w:pPr>
        <w:pStyle w:val="IFTnormal"/>
        <w:spacing w:after="6pt"/>
        <w:rPr>
          <w:rFonts w:ascii="Century Gothic" w:hAnsi="Century Gothic"/>
        </w:rPr>
      </w:pPr>
      <w:r>
        <w:rPr>
          <w:rFonts w:ascii="Century Gothic" w:hAnsi="Century Gothic"/>
          <w:b/>
        </w:rPr>
        <w:t>Procedimiento de notificación en caso de cierre de Central(es) Telefónica(s).</w:t>
      </w:r>
    </w:p>
    <w:p w:rsidR="00A66021" w:rsidRPr="00A66021" w:rsidRDefault="00A66021" w:rsidP="00A66021">
      <w:pPr>
        <w:pStyle w:val="IFTnormal"/>
        <w:tabs>
          <w:tab w:val="start" w:pos="21.30pt"/>
        </w:tabs>
        <w:rPr>
          <w:rFonts w:ascii="Century Gothic" w:hAnsi="Century Gothic"/>
        </w:rPr>
      </w:pPr>
      <w:r w:rsidRPr="00A66021">
        <w:rPr>
          <w:rFonts w:ascii="Century Gothic" w:hAnsi="Century Gothic"/>
        </w:rPr>
        <w:t xml:space="preserve">Cuando RED NACIONAL reciba una notificación de cierre de Central Telefónica, notificará con 36 meses de anticipación vía SEG tanto a los CS con quien tenga convenio firmado como al Instituto, a fin de coordinar con el CS con presencia en la central su reubicación, de conformidad con el procedimiento establecido en la presente OREDA, pudiendo acordar con los CS que tengan presencia física en la central un plazo menor para el cierre, siempre y cuando sea autorizado por el Instituto, de no haber algún CS con presencia física en la central a cerrar, la notificación podrá realizarse en un plazo menor siempre y cuando sea autorizado por el Instituto y entregando al CS los siguientes documentos: </w:t>
      </w:r>
    </w:p>
    <w:p w:rsidR="008E3048" w:rsidRPr="008E3048" w:rsidRDefault="008E3048" w:rsidP="008E3048">
      <w:pPr>
        <w:pStyle w:val="IFTnormal"/>
        <w:tabs>
          <w:tab w:val="start" w:pos="21.30pt"/>
        </w:tabs>
        <w:rPr>
          <w:rFonts w:ascii="Century Gothic" w:hAnsi="Century Gothic"/>
        </w:rPr>
      </w:pPr>
    </w:p>
    <w:p w:rsidR="001A1383" w:rsidRPr="00611019" w:rsidRDefault="00E56462" w:rsidP="00035D2C">
      <w:pPr>
        <w:pStyle w:val="IFTnormal"/>
        <w:tabs>
          <w:tab w:val="start" w:pos="21.30pt"/>
        </w:tabs>
        <w:spacing w:after="6pt"/>
        <w:rPr>
          <w:rFonts w:ascii="Century Gothic" w:hAnsi="Century Gothic"/>
        </w:rPr>
      </w:pPr>
      <w:r>
        <w:rPr>
          <w:rFonts w:ascii="Century Gothic" w:hAnsi="Century Gothic"/>
        </w:rPr>
        <w:t>a)</w:t>
      </w:r>
      <w:r>
        <w:rPr>
          <w:rFonts w:ascii="Century Gothic" w:hAnsi="Century Gothic"/>
        </w:rPr>
        <w:tab/>
        <w:t xml:space="preserve">Plan de trabajos de RED NACIONAL (incluye plazos, responsables y acciones). </w:t>
      </w:r>
    </w:p>
    <w:p w:rsidR="00277ED2" w:rsidRPr="00611019" w:rsidRDefault="00E56462" w:rsidP="00035D2C">
      <w:pPr>
        <w:pStyle w:val="IFTnormal"/>
        <w:tabs>
          <w:tab w:val="start" w:pos="21.30pt"/>
        </w:tabs>
        <w:spacing w:after="6pt"/>
        <w:ind w:start="21pt" w:hanging="21pt"/>
        <w:rPr>
          <w:rFonts w:ascii="Century Gothic" w:hAnsi="Century Gothic"/>
        </w:rPr>
      </w:pPr>
      <w:r>
        <w:rPr>
          <w:rFonts w:ascii="Century Gothic" w:hAnsi="Century Gothic"/>
        </w:rPr>
        <w:t>b)</w:t>
      </w:r>
      <w:r>
        <w:rPr>
          <w:rFonts w:ascii="Century Gothic" w:hAnsi="Century Gothic"/>
        </w:rPr>
        <w:tab/>
        <w:t>Propuesta de Centrales Telefónicas para reubicar al CS en función de las características vigentes de coubicación contratada por dicho(s) CS. (Incluye plazos, responsables y acciones).</w:t>
      </w:r>
    </w:p>
    <w:p w:rsidR="00277ED2" w:rsidRPr="00611019" w:rsidRDefault="00E56462" w:rsidP="00035D2C">
      <w:pPr>
        <w:pStyle w:val="IFTnormal"/>
        <w:tabs>
          <w:tab w:val="start" w:pos="21.30pt"/>
        </w:tabs>
        <w:spacing w:after="6pt"/>
        <w:rPr>
          <w:rFonts w:ascii="Century Gothic" w:hAnsi="Century Gothic"/>
        </w:rPr>
      </w:pPr>
      <w:r>
        <w:rPr>
          <w:rFonts w:ascii="Century Gothic" w:hAnsi="Century Gothic"/>
        </w:rPr>
        <w:t>c)</w:t>
      </w:r>
      <w:r>
        <w:rPr>
          <w:rFonts w:ascii="Century Gothic" w:hAnsi="Century Gothic"/>
        </w:rPr>
        <w:tab/>
        <w:t>Plan de trabajos a coordinar con el CS.</w:t>
      </w:r>
    </w:p>
    <w:p w:rsidR="00277ED2" w:rsidRPr="00611019" w:rsidRDefault="00E56462" w:rsidP="00035D2C">
      <w:pPr>
        <w:pStyle w:val="IFTnormal"/>
        <w:spacing w:after="6pt"/>
        <w:rPr>
          <w:rFonts w:ascii="Century Gothic" w:hAnsi="Century Gothic"/>
        </w:rPr>
      </w:pPr>
      <w:r>
        <w:rPr>
          <w:rFonts w:ascii="Century Gothic" w:hAnsi="Century Gothic"/>
        </w:rPr>
        <w:t xml:space="preserve">El CS objeto de reubicación podrá solicitar a RED NACIONAL información adicional que les permita valorar la conveniencia de lo propuesto por RED NACIONAL en los incisos a) y b). </w:t>
      </w:r>
    </w:p>
    <w:p w:rsidR="00785FC3" w:rsidRPr="00611019" w:rsidRDefault="00785FC3" w:rsidP="00035D2C">
      <w:pPr>
        <w:pStyle w:val="IFTnormal"/>
        <w:rPr>
          <w:rFonts w:ascii="Century Gothic" w:hAnsi="Century Gothic"/>
          <w:b/>
        </w:rPr>
      </w:pPr>
    </w:p>
    <w:p w:rsidR="00785FC3" w:rsidRPr="00204BC4" w:rsidRDefault="00E56462" w:rsidP="00204BC4">
      <w:pPr>
        <w:pStyle w:val="IFTnormal"/>
        <w:spacing w:after="6pt"/>
        <w:rPr>
          <w:rFonts w:ascii="Century Gothic" w:hAnsi="Century Gothic"/>
        </w:rPr>
      </w:pPr>
      <w:r w:rsidRPr="00204BC4">
        <w:rPr>
          <w:rFonts w:ascii="Century Gothic" w:hAnsi="Century Gothic"/>
          <w:b/>
        </w:rPr>
        <w:t>Procedimiento de contratación y entrega de Coubicación y Reasignación de espacio.</w:t>
      </w:r>
    </w:p>
    <w:p w:rsidR="00277ED2" w:rsidRDefault="00E56462" w:rsidP="00204BC4">
      <w:pPr>
        <w:pStyle w:val="IFTnormal"/>
        <w:spacing w:after="6pt"/>
        <w:rPr>
          <w:rFonts w:ascii="Century Gothic" w:hAnsi="Century Gothic"/>
        </w:rPr>
      </w:pPr>
      <w:r w:rsidRPr="00204BC4">
        <w:rPr>
          <w:rFonts w:ascii="Century Gothic" w:hAnsi="Century Gothic"/>
        </w:rPr>
        <w:t xml:space="preserve">El objetivo y alcance de este procedimiento es definir los pasos y actividades a desarrollar por parte de RED NACIONAL y del CS, a fin de realizar la contratación y entrega de los Servicios de Coubicación. Las fases en que se divide este procedimiento son: </w:t>
      </w:r>
      <w:r w:rsidRPr="00204BC4">
        <w:rPr>
          <w:rFonts w:ascii="Century Gothic" w:hAnsi="Century Gothic"/>
          <w:b/>
        </w:rPr>
        <w:t>(i)</w:t>
      </w:r>
      <w:r w:rsidRPr="00204BC4">
        <w:rPr>
          <w:rFonts w:ascii="Century Gothic" w:hAnsi="Century Gothic"/>
        </w:rPr>
        <w:t xml:space="preserve"> Envío y validación de la solicitud a través del SEG/SIPO, verificando que la solicitud cuenta con todos los elementos y características para realizar el trámite de contratación del servicio, las características que solicita para el mismo; </w:t>
      </w:r>
      <w:r w:rsidRPr="00204BC4">
        <w:rPr>
          <w:rFonts w:ascii="Century Gothic" w:hAnsi="Century Gothic"/>
          <w:b/>
        </w:rPr>
        <w:t>(ii)</w:t>
      </w:r>
      <w:r w:rsidRPr="00204BC4">
        <w:rPr>
          <w:rFonts w:ascii="Century Gothic" w:hAnsi="Century Gothic"/>
        </w:rPr>
        <w:t xml:space="preserve"> Análisis de Factibilidad técnica a fin de que l</w:t>
      </w:r>
      <w:r w:rsidRPr="00204BC4">
        <w:rPr>
          <w:rFonts w:ascii="Century Gothic" w:hAnsi="Century Gothic"/>
          <w:spacing w:val="-3"/>
        </w:rPr>
        <w:t xml:space="preserve"> RED NACIONAL</w:t>
      </w:r>
      <w:r w:rsidRPr="00204BC4">
        <w:rPr>
          <w:rFonts w:ascii="Century Gothic" w:hAnsi="Century Gothic"/>
        </w:rPr>
        <w:t xml:space="preserve"> pueda verificar que cuenta con los elementos para brindar el Servicio solicitado; y </w:t>
      </w:r>
      <w:r w:rsidRPr="00204BC4">
        <w:rPr>
          <w:rFonts w:ascii="Century Gothic" w:hAnsi="Century Gothic"/>
          <w:b/>
        </w:rPr>
        <w:t>(iii)</w:t>
      </w:r>
      <w:r w:rsidRPr="00204BC4">
        <w:rPr>
          <w:rFonts w:ascii="Century Gothic" w:hAnsi="Century Gothic"/>
        </w:rPr>
        <w:t xml:space="preserve"> Habilitación y aprovisionamiento del Servicio solicitado, que detonará los procesos del acta de entrega y facturación; en caso de no existir </w:t>
      </w:r>
      <w:r w:rsidRPr="00204BC4">
        <w:rPr>
          <w:rFonts w:ascii="Century Gothic" w:hAnsi="Century Gothic"/>
        </w:rPr>
        <w:lastRenderedPageBreak/>
        <w:t xml:space="preserve">espacio vacante y facilidades técnicas para proporcionar la Coubicación se procederá a: </w:t>
      </w:r>
      <w:r w:rsidRPr="00204BC4">
        <w:rPr>
          <w:rFonts w:ascii="Century Gothic" w:hAnsi="Century Gothic"/>
          <w:b/>
        </w:rPr>
        <w:t>(iv)</w:t>
      </w:r>
      <w:r w:rsidRPr="00204BC4">
        <w:rPr>
          <w:rFonts w:ascii="Century Gothic" w:hAnsi="Century Gothic"/>
        </w:rPr>
        <w:t xml:space="preserve"> Reasignación de espacio y Redistribución de elementos.</w:t>
      </w:r>
    </w:p>
    <w:p w:rsidR="00606F15" w:rsidRPr="00204BC4" w:rsidRDefault="00606F15" w:rsidP="00204BC4">
      <w:pPr>
        <w:pStyle w:val="IFTnormal"/>
        <w:spacing w:after="6pt"/>
        <w:rPr>
          <w:rFonts w:ascii="Century Gothic" w:hAnsi="Century Gothic"/>
        </w:rPr>
      </w:pPr>
    </w:p>
    <w:tbl>
      <w:tblPr>
        <w:tblW w:w="99.0%" w:type="pct"/>
        <w:tblInd w:w="0.20pt" w:type="dxa"/>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1"/>
      </w:tblPr>
      <w:tblGrid>
        <w:gridCol w:w="3476"/>
        <w:gridCol w:w="5824"/>
      </w:tblGrid>
      <w:tr w:rsidR="0061711D" w:rsidRPr="00204BC4" w:rsidTr="002E0A92">
        <w:trPr>
          <w:tblHeader/>
        </w:trPr>
        <w:tc>
          <w:tcPr>
            <w:tcW w:w="37.0%" w:type="pct"/>
            <w:shd w:val="clear" w:color="auto" w:fill="009AD9"/>
          </w:tcPr>
          <w:p w:rsidR="00277ED2" w:rsidRPr="00204BC4" w:rsidRDefault="00E56462" w:rsidP="00204BC4">
            <w:pPr>
              <w:pStyle w:val="IFTnormal"/>
              <w:spacing w:before="2pt" w:after="2pt"/>
              <w:jc w:val="center"/>
              <w:rPr>
                <w:rFonts w:ascii="Century Gothic" w:hAnsi="Century Gothic"/>
                <w:b/>
                <w:color w:val="FFFFFF" w:themeColor="background1"/>
                <w:sz w:val="20"/>
                <w:szCs w:val="20"/>
              </w:rPr>
            </w:pPr>
            <w:r w:rsidRPr="00204BC4">
              <w:rPr>
                <w:rFonts w:ascii="Century Gothic" w:hAnsi="Century Gothic"/>
                <w:b/>
                <w:color w:val="FFFFFF" w:themeColor="background1"/>
                <w:sz w:val="20"/>
                <w:szCs w:val="20"/>
              </w:rPr>
              <w:t>Etapa</w:t>
            </w:r>
          </w:p>
        </w:tc>
        <w:tc>
          <w:tcPr>
            <w:tcW w:w="62.0%" w:type="pct"/>
            <w:shd w:val="clear" w:color="auto" w:fill="009AD9"/>
          </w:tcPr>
          <w:p w:rsidR="00277ED2" w:rsidRPr="00204BC4" w:rsidRDefault="00E56462" w:rsidP="00204BC4">
            <w:pPr>
              <w:pStyle w:val="IFTnormal"/>
              <w:spacing w:before="2pt" w:after="2pt"/>
              <w:jc w:val="center"/>
              <w:rPr>
                <w:rFonts w:ascii="Century Gothic" w:hAnsi="Century Gothic"/>
                <w:b/>
                <w:color w:val="FFFFFF" w:themeColor="background1"/>
                <w:sz w:val="20"/>
                <w:szCs w:val="20"/>
              </w:rPr>
            </w:pPr>
            <w:r w:rsidRPr="00204BC4">
              <w:rPr>
                <w:rFonts w:ascii="Century Gothic" w:hAnsi="Century Gothic"/>
                <w:b/>
                <w:color w:val="FFFFFF" w:themeColor="background1"/>
                <w:sz w:val="20"/>
                <w:szCs w:val="20"/>
              </w:rPr>
              <w:t>Descripción</w:t>
            </w:r>
          </w:p>
        </w:tc>
      </w:tr>
      <w:tr w:rsidR="0061711D" w:rsidRPr="00204BC4" w:rsidTr="00277ED2">
        <w:tc>
          <w:tcPr>
            <w:tcW w:w="37.0%" w:type="pct"/>
            <w:shd w:val="clear" w:color="auto" w:fill="auto"/>
          </w:tcPr>
          <w:p w:rsidR="00277ED2" w:rsidRPr="00204BC4" w:rsidRDefault="00E56462" w:rsidP="00204BC4">
            <w:pPr>
              <w:pStyle w:val="IFTnormal"/>
              <w:spacing w:before="2pt" w:after="2pt"/>
              <w:jc w:val="start"/>
              <w:rPr>
                <w:rFonts w:ascii="Century Gothic" w:hAnsi="Century Gothic"/>
                <w:b/>
                <w:sz w:val="20"/>
                <w:szCs w:val="20"/>
              </w:rPr>
            </w:pPr>
            <w:r w:rsidRPr="00204BC4">
              <w:rPr>
                <w:rFonts w:ascii="Century Gothic" w:hAnsi="Century Gothic"/>
                <w:b/>
                <w:sz w:val="20"/>
                <w:szCs w:val="20"/>
              </w:rPr>
              <w:t>Envío y Validación de la solicitud</w:t>
            </w:r>
          </w:p>
        </w:tc>
        <w:tc>
          <w:tcPr>
            <w:tcW w:w="62.0%" w:type="pct"/>
            <w:shd w:val="clear" w:color="auto" w:fill="auto"/>
          </w:tcPr>
          <w:p w:rsidR="00277ED2" w:rsidRPr="00204BC4" w:rsidRDefault="00E56462" w:rsidP="00204BC4">
            <w:pPr>
              <w:pStyle w:val="IFTnormal"/>
              <w:spacing w:before="2pt" w:after="2pt"/>
              <w:rPr>
                <w:rFonts w:ascii="Century Gothic" w:hAnsi="Century Gothic"/>
                <w:sz w:val="20"/>
                <w:szCs w:val="20"/>
              </w:rPr>
            </w:pPr>
            <w:r w:rsidRPr="00204BC4">
              <w:rPr>
                <w:rFonts w:ascii="Century Gothic" w:hAnsi="Century Gothic"/>
                <w:sz w:val="20"/>
                <w:szCs w:val="20"/>
              </w:rPr>
              <w:t>El CS deberá presentar sus solicitudes en el formato correspondiente a través del SEG/SIPO, validando que cuenta con los elementos para la contratación y se procede al análisis de Factibilidad Técnica.</w:t>
            </w:r>
          </w:p>
          <w:p w:rsidR="00277ED2" w:rsidRPr="00204BC4" w:rsidRDefault="00E56462" w:rsidP="00204BC4">
            <w:pPr>
              <w:pStyle w:val="IFTnormal"/>
              <w:spacing w:before="2pt" w:after="2pt"/>
              <w:rPr>
                <w:rFonts w:ascii="Century Gothic" w:hAnsi="Century Gothic"/>
                <w:sz w:val="20"/>
                <w:szCs w:val="20"/>
              </w:rPr>
            </w:pPr>
            <w:r w:rsidRPr="00204BC4">
              <w:rPr>
                <w:rFonts w:ascii="Century Gothic" w:hAnsi="Century Gothic"/>
                <w:sz w:val="20"/>
                <w:szCs w:val="20"/>
              </w:rPr>
              <w:t>Una vez enviada la solicitud el SEG/SIPO asignará de forma automática el Folio.</w:t>
            </w:r>
          </w:p>
        </w:tc>
      </w:tr>
      <w:tr w:rsidR="0061711D" w:rsidRPr="00204BC4" w:rsidTr="00277ED2">
        <w:tc>
          <w:tcPr>
            <w:tcW w:w="37.0%" w:type="pct"/>
            <w:shd w:val="clear" w:color="auto" w:fill="auto"/>
          </w:tcPr>
          <w:p w:rsidR="00277ED2" w:rsidRPr="00204BC4" w:rsidRDefault="00E56462" w:rsidP="00204BC4">
            <w:pPr>
              <w:pStyle w:val="IFTnormal"/>
              <w:spacing w:before="2pt" w:after="2pt"/>
              <w:jc w:val="start"/>
              <w:rPr>
                <w:rFonts w:ascii="Century Gothic" w:hAnsi="Century Gothic"/>
                <w:b/>
                <w:sz w:val="20"/>
                <w:szCs w:val="20"/>
              </w:rPr>
            </w:pPr>
            <w:r w:rsidRPr="00204BC4">
              <w:rPr>
                <w:rFonts w:ascii="Century Gothic" w:hAnsi="Century Gothic"/>
                <w:b/>
                <w:sz w:val="20"/>
                <w:szCs w:val="20"/>
              </w:rPr>
              <w:t>Factibilidad Técnica</w:t>
            </w:r>
          </w:p>
        </w:tc>
        <w:tc>
          <w:tcPr>
            <w:tcW w:w="62.0%" w:type="pct"/>
            <w:shd w:val="clear" w:color="auto" w:fill="auto"/>
          </w:tcPr>
          <w:p w:rsidR="00277ED2" w:rsidRPr="00204BC4" w:rsidRDefault="00E56462" w:rsidP="00204BC4">
            <w:pPr>
              <w:pStyle w:val="IFTnormal"/>
              <w:spacing w:before="2pt" w:after="2pt"/>
              <w:rPr>
                <w:rFonts w:ascii="Century Gothic" w:hAnsi="Century Gothic"/>
                <w:sz w:val="20"/>
                <w:szCs w:val="20"/>
              </w:rPr>
            </w:pPr>
            <w:r w:rsidRPr="00204BC4">
              <w:rPr>
                <w:rFonts w:ascii="Century Gothic" w:hAnsi="Century Gothic"/>
                <w:sz w:val="20"/>
                <w:szCs w:val="20"/>
              </w:rPr>
              <w:t>Durante el análisis de Factibilidad Técnica, RED NACIONAL determinará si existen los recursos técnicos y facilidades para habilitar los Servicios solicitados estableciendo</w:t>
            </w:r>
            <w:r w:rsidRPr="00204BC4">
              <w:rPr>
                <w:rFonts w:ascii="Century Gothic" w:hAnsi="Century Gothic"/>
                <w:sz w:val="20"/>
                <w:szCs w:val="20"/>
                <w:lang w:eastAsia="es-MX"/>
              </w:rPr>
              <w:t xml:space="preserve"> si</w:t>
            </w:r>
            <w:r w:rsidRPr="00204BC4">
              <w:rPr>
                <w:rFonts w:ascii="Century Gothic" w:hAnsi="Century Gothic"/>
                <w:sz w:val="20"/>
                <w:szCs w:val="20"/>
              </w:rPr>
              <w:t>:</w:t>
            </w:r>
          </w:p>
          <w:p w:rsidR="00277ED2" w:rsidRPr="00204BC4" w:rsidRDefault="00E56462" w:rsidP="00204BC4">
            <w:pPr>
              <w:pStyle w:val="IFTnormal"/>
              <w:numPr>
                <w:ilvl w:val="0"/>
                <w:numId w:val="113"/>
              </w:numPr>
              <w:spacing w:before="2pt" w:after="2pt"/>
              <w:ind w:start="18.50pt"/>
              <w:rPr>
                <w:rFonts w:ascii="Century Gothic" w:hAnsi="Century Gothic"/>
                <w:sz w:val="20"/>
                <w:szCs w:val="20"/>
              </w:rPr>
            </w:pPr>
            <w:r w:rsidRPr="00204BC4">
              <w:rPr>
                <w:rFonts w:ascii="Century Gothic" w:hAnsi="Century Gothic"/>
                <w:b/>
                <w:sz w:val="20"/>
                <w:szCs w:val="20"/>
              </w:rPr>
              <w:t xml:space="preserve">Existe espacio vacante y facilidades técnicas </w:t>
            </w:r>
            <w:r w:rsidRPr="00204BC4">
              <w:rPr>
                <w:rFonts w:ascii="Century Gothic" w:hAnsi="Century Gothic"/>
                <w:sz w:val="20"/>
                <w:szCs w:val="20"/>
              </w:rPr>
              <w:t xml:space="preserve">en la </w:t>
            </w:r>
            <w:r w:rsidRPr="00204BC4">
              <w:rPr>
                <w:rFonts w:ascii="Century Gothic" w:hAnsi="Century Gothic"/>
                <w:sz w:val="20"/>
                <w:szCs w:val="20"/>
                <w:lang w:eastAsia="es-MX"/>
              </w:rPr>
              <w:t>Central Telefónica</w:t>
            </w:r>
            <w:r w:rsidRPr="00204BC4">
              <w:rPr>
                <w:rFonts w:ascii="Century Gothic" w:hAnsi="Century Gothic"/>
                <w:sz w:val="20"/>
                <w:szCs w:val="20"/>
              </w:rPr>
              <w:t>:</w:t>
            </w:r>
          </w:p>
          <w:p w:rsidR="00277ED2" w:rsidRPr="00204BC4" w:rsidRDefault="00E56462" w:rsidP="00204BC4">
            <w:pPr>
              <w:pStyle w:val="IFTnormal"/>
              <w:numPr>
                <w:ilvl w:val="0"/>
                <w:numId w:val="209"/>
              </w:numPr>
              <w:spacing w:before="2pt" w:after="2pt"/>
              <w:rPr>
                <w:rFonts w:ascii="Century Gothic" w:hAnsi="Century Gothic"/>
                <w:sz w:val="20"/>
                <w:szCs w:val="20"/>
              </w:rPr>
            </w:pPr>
            <w:r w:rsidRPr="00204BC4">
              <w:rPr>
                <w:rFonts w:ascii="Century Gothic" w:hAnsi="Century Gothic"/>
                <w:sz w:val="20"/>
                <w:szCs w:val="20"/>
              </w:rPr>
              <w:t>Se enviará cotización detallada a CS por conceptos correspondiente de los trabajos necesarios, las actividades a realizar e insumos.</w:t>
            </w:r>
          </w:p>
          <w:p w:rsidR="00277ED2" w:rsidRPr="00204BC4" w:rsidRDefault="00E56462" w:rsidP="00204BC4">
            <w:pPr>
              <w:pStyle w:val="IFTnormal"/>
              <w:numPr>
                <w:ilvl w:val="0"/>
                <w:numId w:val="113"/>
              </w:numPr>
              <w:spacing w:before="2pt" w:after="2pt"/>
              <w:ind w:start="18.50pt"/>
              <w:rPr>
                <w:rFonts w:ascii="Century Gothic" w:hAnsi="Century Gothic"/>
                <w:sz w:val="20"/>
                <w:szCs w:val="20"/>
              </w:rPr>
            </w:pPr>
            <w:r w:rsidRPr="00204BC4">
              <w:rPr>
                <w:rFonts w:ascii="Century Gothic" w:hAnsi="Century Gothic"/>
                <w:b/>
                <w:sz w:val="20"/>
                <w:szCs w:val="20"/>
              </w:rPr>
              <w:t>No existe espacio vacante para proveer Coubicación</w:t>
            </w:r>
            <w:r w:rsidRPr="00204BC4">
              <w:rPr>
                <w:rFonts w:ascii="Century Gothic" w:hAnsi="Century Gothic"/>
                <w:sz w:val="20"/>
                <w:szCs w:val="20"/>
              </w:rPr>
              <w:t>:</w:t>
            </w:r>
          </w:p>
          <w:p w:rsidR="00277ED2" w:rsidRPr="00204BC4" w:rsidRDefault="00E56462" w:rsidP="00204BC4">
            <w:pPr>
              <w:pStyle w:val="IFTnormal"/>
              <w:numPr>
                <w:ilvl w:val="0"/>
                <w:numId w:val="210"/>
              </w:numPr>
              <w:spacing w:before="2pt" w:after="2pt"/>
              <w:rPr>
                <w:rFonts w:ascii="Century Gothic" w:hAnsi="Century Gothic"/>
                <w:sz w:val="20"/>
                <w:szCs w:val="20"/>
              </w:rPr>
            </w:pPr>
            <w:r w:rsidRPr="00204BC4">
              <w:rPr>
                <w:rFonts w:ascii="Century Gothic" w:hAnsi="Century Gothic"/>
                <w:sz w:val="20"/>
                <w:szCs w:val="20"/>
              </w:rPr>
              <w:t>Se iniciará el proceso de Reasignación de Espacios analizando la factibilidad y de ser factible se enviará la cotización detallada de los trabajos necesarios correspondientes a las actividades a realizar e insumos necesarios, en un plazo máximo de cinco días hábiles. De no ser factible atender la demanda de espacio con el procedimiento de reasignación de espacios RED NACIONAL</w:t>
            </w:r>
            <w:r w:rsidRPr="00204BC4">
              <w:rPr>
                <w:rFonts w:ascii="Century Gothic" w:hAnsi="Century Gothic"/>
                <w:sz w:val="20"/>
                <w:szCs w:val="20"/>
                <w:lang w:eastAsia="es-MX"/>
              </w:rPr>
              <w:t xml:space="preserve"> </w:t>
            </w:r>
            <w:r w:rsidRPr="00204BC4">
              <w:rPr>
                <w:rFonts w:ascii="Century Gothic" w:hAnsi="Century Gothic"/>
                <w:sz w:val="20"/>
                <w:szCs w:val="20"/>
              </w:rPr>
              <w:t>se informará al CS y se iniciará el procedimiento de Recuperación de Espacio.</w:t>
            </w:r>
          </w:p>
          <w:p w:rsidR="00277ED2" w:rsidRPr="00204BC4" w:rsidRDefault="00E56462" w:rsidP="00204BC4">
            <w:pPr>
              <w:pStyle w:val="IFTnormal"/>
              <w:numPr>
                <w:ilvl w:val="0"/>
                <w:numId w:val="113"/>
              </w:numPr>
              <w:spacing w:before="2pt" w:after="2pt"/>
              <w:ind w:start="18.50pt"/>
              <w:rPr>
                <w:rFonts w:ascii="Century Gothic" w:hAnsi="Century Gothic"/>
                <w:sz w:val="20"/>
                <w:szCs w:val="20"/>
              </w:rPr>
            </w:pPr>
            <w:r w:rsidRPr="00204BC4">
              <w:rPr>
                <w:rFonts w:ascii="Century Gothic" w:hAnsi="Century Gothic"/>
                <w:b/>
                <w:sz w:val="20"/>
                <w:szCs w:val="20"/>
              </w:rPr>
              <w:t>No es posible atender la demanda de Coubicación</w:t>
            </w:r>
            <w:r w:rsidRPr="00204BC4">
              <w:rPr>
                <w:rFonts w:ascii="Century Gothic" w:hAnsi="Century Gothic"/>
                <w:sz w:val="20"/>
                <w:szCs w:val="20"/>
              </w:rPr>
              <w:t xml:space="preserve"> a través del procedimiento de Reasignación de Espacio:</w:t>
            </w:r>
          </w:p>
          <w:p w:rsidR="00277ED2" w:rsidRPr="00204BC4" w:rsidRDefault="00E56462" w:rsidP="00204BC4">
            <w:pPr>
              <w:pStyle w:val="IFTnormal"/>
              <w:numPr>
                <w:ilvl w:val="0"/>
                <w:numId w:val="211"/>
              </w:numPr>
              <w:spacing w:before="2pt" w:after="2pt"/>
              <w:rPr>
                <w:rFonts w:ascii="Century Gothic" w:hAnsi="Century Gothic"/>
                <w:sz w:val="20"/>
                <w:szCs w:val="20"/>
              </w:rPr>
            </w:pPr>
            <w:r w:rsidRPr="00204BC4">
              <w:rPr>
                <w:rFonts w:ascii="Century Gothic" w:hAnsi="Century Gothic"/>
                <w:sz w:val="20"/>
                <w:szCs w:val="20"/>
              </w:rPr>
              <w:t>Se iniciará el procedimiento de Recuperación de Espacio</w:t>
            </w:r>
            <w:r w:rsidRPr="00204BC4">
              <w:rPr>
                <w:rFonts w:ascii="Century Gothic" w:hAnsi="Century Gothic"/>
                <w:sz w:val="20"/>
                <w:szCs w:val="20"/>
                <w:lang w:eastAsia="es-MX"/>
              </w:rPr>
              <w:t>.</w:t>
            </w:r>
          </w:p>
          <w:p w:rsidR="00277ED2" w:rsidRPr="00204BC4" w:rsidRDefault="00E56462" w:rsidP="00204BC4">
            <w:pPr>
              <w:pStyle w:val="IFTnormal"/>
              <w:numPr>
                <w:ilvl w:val="0"/>
                <w:numId w:val="113"/>
              </w:numPr>
              <w:spacing w:before="2pt" w:after="2pt"/>
              <w:ind w:start="18.50pt"/>
              <w:rPr>
                <w:rFonts w:ascii="Century Gothic" w:hAnsi="Century Gothic"/>
                <w:sz w:val="20"/>
                <w:szCs w:val="20"/>
              </w:rPr>
            </w:pPr>
            <w:r w:rsidRPr="00204BC4">
              <w:rPr>
                <w:rFonts w:ascii="Century Gothic" w:hAnsi="Century Gothic"/>
                <w:b/>
                <w:sz w:val="20"/>
                <w:szCs w:val="20"/>
              </w:rPr>
              <w:t xml:space="preserve">No existe factibilidad técnica, </w:t>
            </w:r>
            <w:r w:rsidRPr="00204BC4">
              <w:rPr>
                <w:rFonts w:ascii="Century Gothic" w:hAnsi="Century Gothic"/>
                <w:sz w:val="20"/>
                <w:szCs w:val="20"/>
              </w:rPr>
              <w:t>se informará al CS la justificación con base en los motivos descritos en el apartado 1 de esta OREDA, así como las evidencias correspondientes. De ser solicitado por el CS se iniciará el procedimiento de Trabajo Especial.</w:t>
            </w:r>
          </w:p>
          <w:p w:rsidR="001A1383" w:rsidRPr="00204BC4" w:rsidRDefault="00E56462" w:rsidP="00204BC4">
            <w:pPr>
              <w:pStyle w:val="IFTnormal"/>
              <w:spacing w:before="2pt" w:after="2pt"/>
              <w:rPr>
                <w:rFonts w:ascii="Century Gothic" w:hAnsi="Century Gothic"/>
                <w:sz w:val="20"/>
                <w:szCs w:val="20"/>
              </w:rPr>
            </w:pPr>
            <w:r w:rsidRPr="00204BC4">
              <w:rPr>
                <w:rFonts w:ascii="Century Gothic" w:hAnsi="Century Gothic"/>
                <w:sz w:val="20"/>
                <w:szCs w:val="20"/>
              </w:rPr>
              <w:t>El CS contará con cinco días hábiles para realizar en el SEG/SIPO la aceptación de la cotización</w:t>
            </w:r>
            <w:r w:rsidRPr="00204BC4">
              <w:rPr>
                <w:rStyle w:val="Refdenotaalpie"/>
                <w:rFonts w:ascii="Century Gothic" w:hAnsi="Century Gothic"/>
                <w:sz w:val="20"/>
                <w:szCs w:val="20"/>
              </w:rPr>
              <w:footnoteReference w:id="40"/>
            </w:r>
            <w:r w:rsidRPr="00204BC4">
              <w:rPr>
                <w:rFonts w:ascii="Century Gothic" w:hAnsi="Century Gothic"/>
                <w:sz w:val="20"/>
                <w:szCs w:val="20"/>
              </w:rPr>
              <w:t xml:space="preserve"> de los trabajos </w:t>
            </w:r>
            <w:r w:rsidRPr="00204BC4">
              <w:rPr>
                <w:rFonts w:ascii="Century Gothic" w:hAnsi="Century Gothic"/>
                <w:sz w:val="20"/>
                <w:szCs w:val="20"/>
              </w:rPr>
              <w:lastRenderedPageBreak/>
              <w:t>necesarios, las actividades a realizar e insumos para la provisión del servicio</w:t>
            </w:r>
            <w:r w:rsidRPr="00204BC4">
              <w:rPr>
                <w:rStyle w:val="Refdenotaalpie"/>
                <w:rFonts w:ascii="Century Gothic" w:hAnsi="Century Gothic"/>
                <w:sz w:val="20"/>
                <w:szCs w:val="20"/>
              </w:rPr>
              <w:footnoteReference w:id="41"/>
            </w:r>
            <w:r w:rsidRPr="00204BC4">
              <w:rPr>
                <w:rFonts w:ascii="Century Gothic" w:hAnsi="Century Gothic"/>
                <w:sz w:val="20"/>
                <w:szCs w:val="20"/>
              </w:rPr>
              <w:t>. Si no se acepta se entenderá que el CS rechazó el servicio, concluyendo el proceso y se emitirá la factura correspondiente por la elaboración del proyecto</w:t>
            </w:r>
            <w:r w:rsidRPr="00204BC4">
              <w:rPr>
                <w:rStyle w:val="Refdenotaalpie"/>
                <w:rFonts w:ascii="Century Gothic" w:hAnsi="Century Gothic"/>
                <w:sz w:val="20"/>
                <w:szCs w:val="20"/>
              </w:rPr>
              <w:footnoteReference w:id="42"/>
            </w:r>
            <w:r w:rsidRPr="00204BC4">
              <w:rPr>
                <w:rFonts w:ascii="Century Gothic" w:hAnsi="Century Gothic"/>
                <w:sz w:val="20"/>
                <w:szCs w:val="20"/>
              </w:rPr>
              <w:t xml:space="preserve">. </w:t>
            </w:r>
          </w:p>
        </w:tc>
      </w:tr>
      <w:tr w:rsidR="0061711D" w:rsidRPr="00204BC4" w:rsidTr="00277ED2">
        <w:tc>
          <w:tcPr>
            <w:tcW w:w="37.0%" w:type="pct"/>
            <w:shd w:val="clear" w:color="auto" w:fill="auto"/>
          </w:tcPr>
          <w:p w:rsidR="00277ED2" w:rsidRPr="00204BC4" w:rsidRDefault="00E56462" w:rsidP="00204BC4">
            <w:pPr>
              <w:pStyle w:val="IFTnormal"/>
              <w:spacing w:before="2pt" w:after="2pt"/>
              <w:jc w:val="start"/>
              <w:rPr>
                <w:rFonts w:ascii="Century Gothic" w:hAnsi="Century Gothic"/>
                <w:b/>
                <w:sz w:val="20"/>
                <w:szCs w:val="20"/>
              </w:rPr>
            </w:pPr>
            <w:r w:rsidRPr="00204BC4">
              <w:rPr>
                <w:rFonts w:ascii="Century Gothic" w:hAnsi="Century Gothic"/>
                <w:b/>
                <w:sz w:val="20"/>
                <w:szCs w:val="20"/>
              </w:rPr>
              <w:lastRenderedPageBreak/>
              <w:t>Habilitación y aprovisionamiento del Servicio</w:t>
            </w:r>
          </w:p>
        </w:tc>
        <w:tc>
          <w:tcPr>
            <w:tcW w:w="62.0%" w:type="pct"/>
            <w:shd w:val="clear" w:color="auto" w:fill="auto"/>
          </w:tcPr>
          <w:p w:rsidR="00277ED2" w:rsidRPr="00204BC4" w:rsidRDefault="00E56462" w:rsidP="00204BC4">
            <w:pPr>
              <w:pStyle w:val="IFTnormal"/>
              <w:spacing w:before="2pt" w:after="2pt"/>
              <w:rPr>
                <w:rFonts w:ascii="Century Gothic" w:hAnsi="Century Gothic"/>
                <w:sz w:val="20"/>
                <w:szCs w:val="20"/>
              </w:rPr>
            </w:pPr>
            <w:r w:rsidRPr="00204BC4">
              <w:rPr>
                <w:rFonts w:ascii="Century Gothic" w:hAnsi="Century Gothic"/>
                <w:sz w:val="20"/>
                <w:szCs w:val="20"/>
              </w:rPr>
              <w:t>RED NACIONAL iniciará la elaboración del diseño y la construcción de la Coubicación, una vez aceptada la cotización por parte del CS:</w:t>
            </w:r>
          </w:p>
          <w:p w:rsidR="00277ED2" w:rsidRPr="00204BC4" w:rsidRDefault="00E56462" w:rsidP="00204BC4">
            <w:pPr>
              <w:pStyle w:val="IFTnormal"/>
              <w:numPr>
                <w:ilvl w:val="0"/>
                <w:numId w:val="212"/>
              </w:numPr>
              <w:spacing w:before="2pt" w:after="2pt"/>
              <w:rPr>
                <w:rFonts w:ascii="Century Gothic" w:hAnsi="Century Gothic"/>
                <w:b/>
                <w:sz w:val="20"/>
                <w:szCs w:val="20"/>
              </w:rPr>
            </w:pPr>
            <w:r w:rsidRPr="00204BC4">
              <w:rPr>
                <w:rFonts w:ascii="Century Gothic" w:hAnsi="Century Gothic"/>
                <w:sz w:val="20"/>
                <w:szCs w:val="20"/>
              </w:rPr>
              <w:t>Se entregará el Servicio en el plazo establecido, derivado de la construcción de obra civil</w:t>
            </w:r>
            <w:r w:rsidRPr="00204BC4">
              <w:rPr>
                <w:rStyle w:val="Refdenotaalpie"/>
                <w:rFonts w:ascii="Century Gothic" w:hAnsi="Century Gothic"/>
                <w:sz w:val="20"/>
                <w:szCs w:val="20"/>
              </w:rPr>
              <w:footnoteReference w:id="43"/>
            </w:r>
            <w:r w:rsidRPr="00204BC4">
              <w:rPr>
                <w:rFonts w:ascii="Century Gothic" w:hAnsi="Century Gothic"/>
                <w:sz w:val="20"/>
                <w:szCs w:val="20"/>
              </w:rPr>
              <w:t>.</w:t>
            </w:r>
          </w:p>
          <w:p w:rsidR="00277ED2" w:rsidRPr="00204BC4" w:rsidRDefault="00E56462" w:rsidP="00204BC4">
            <w:pPr>
              <w:pStyle w:val="IFTnormal"/>
              <w:spacing w:before="2pt" w:after="2pt"/>
              <w:rPr>
                <w:rFonts w:ascii="Century Gothic" w:hAnsi="Century Gothic"/>
                <w:b/>
                <w:sz w:val="20"/>
                <w:szCs w:val="20"/>
              </w:rPr>
            </w:pPr>
            <w:r w:rsidRPr="00204BC4">
              <w:rPr>
                <w:rFonts w:ascii="Century Gothic" w:hAnsi="Century Gothic"/>
                <w:sz w:val="20"/>
                <w:szCs w:val="20"/>
              </w:rPr>
              <w:t>Una vez construida se le notificará al CS que la Coubicación está lista para ser ocupada, y se firmará de conformidad el formato de recepción para coubicaciones de CS.</w:t>
            </w:r>
          </w:p>
        </w:tc>
      </w:tr>
      <w:tr w:rsidR="0061711D" w:rsidRPr="00204BC4" w:rsidTr="00277ED2">
        <w:tc>
          <w:tcPr>
            <w:tcW w:w="37.0%" w:type="pct"/>
            <w:shd w:val="clear" w:color="auto" w:fill="auto"/>
          </w:tcPr>
          <w:p w:rsidR="00277ED2" w:rsidRPr="00204BC4" w:rsidRDefault="00E56462" w:rsidP="00204BC4">
            <w:pPr>
              <w:pStyle w:val="IFTnormal"/>
              <w:spacing w:before="2pt" w:after="2pt"/>
              <w:jc w:val="start"/>
              <w:rPr>
                <w:rFonts w:ascii="Century Gothic" w:hAnsi="Century Gothic"/>
                <w:b/>
                <w:sz w:val="20"/>
                <w:szCs w:val="20"/>
              </w:rPr>
            </w:pPr>
            <w:r w:rsidRPr="00204BC4">
              <w:rPr>
                <w:rFonts w:ascii="Century Gothic" w:hAnsi="Century Gothic"/>
                <w:b/>
                <w:sz w:val="20"/>
                <w:szCs w:val="20"/>
              </w:rPr>
              <w:t>Facturación</w:t>
            </w:r>
          </w:p>
        </w:tc>
        <w:tc>
          <w:tcPr>
            <w:tcW w:w="62.0%" w:type="pct"/>
            <w:shd w:val="clear" w:color="auto" w:fill="auto"/>
          </w:tcPr>
          <w:p w:rsidR="00277ED2" w:rsidRPr="00204BC4" w:rsidRDefault="00E56462" w:rsidP="00204BC4">
            <w:pPr>
              <w:pStyle w:val="IFTnormal"/>
              <w:spacing w:before="2pt" w:after="2pt"/>
              <w:rPr>
                <w:rFonts w:ascii="Century Gothic" w:hAnsi="Century Gothic"/>
                <w:sz w:val="20"/>
                <w:szCs w:val="20"/>
              </w:rPr>
            </w:pPr>
            <w:r w:rsidRPr="00204BC4">
              <w:rPr>
                <w:rFonts w:ascii="Century Gothic" w:hAnsi="Century Gothic"/>
                <w:sz w:val="20"/>
                <w:szCs w:val="20"/>
              </w:rPr>
              <w:t>Al corte del mes se realizará la facturación aplicable al servicio:</w:t>
            </w:r>
          </w:p>
          <w:p w:rsidR="00277ED2" w:rsidRPr="00204BC4" w:rsidRDefault="00E56462" w:rsidP="00204BC4">
            <w:pPr>
              <w:pStyle w:val="IFTnormal"/>
              <w:numPr>
                <w:ilvl w:val="0"/>
                <w:numId w:val="213"/>
              </w:numPr>
              <w:spacing w:before="2pt" w:after="2pt"/>
              <w:rPr>
                <w:rFonts w:ascii="Century Gothic" w:hAnsi="Century Gothic"/>
                <w:sz w:val="20"/>
                <w:szCs w:val="20"/>
              </w:rPr>
            </w:pPr>
            <w:r w:rsidRPr="00204BC4">
              <w:rPr>
                <w:rFonts w:ascii="Century Gothic" w:hAnsi="Century Gothic"/>
                <w:sz w:val="20"/>
                <w:szCs w:val="20"/>
              </w:rPr>
              <w:t>Se incluirán los gastos de instalación y la renta mensual correspondiente.</w:t>
            </w:r>
          </w:p>
          <w:p w:rsidR="00277ED2" w:rsidRPr="00204BC4" w:rsidRDefault="00E56462" w:rsidP="00204BC4">
            <w:pPr>
              <w:pStyle w:val="IFTnormal"/>
              <w:numPr>
                <w:ilvl w:val="0"/>
                <w:numId w:val="213"/>
              </w:numPr>
              <w:spacing w:before="2pt" w:after="2pt"/>
              <w:rPr>
                <w:rFonts w:ascii="Century Gothic" w:hAnsi="Century Gothic"/>
                <w:sz w:val="20"/>
                <w:szCs w:val="20"/>
              </w:rPr>
            </w:pPr>
            <w:r w:rsidRPr="00204BC4">
              <w:rPr>
                <w:rFonts w:ascii="Century Gothic" w:hAnsi="Century Gothic"/>
                <w:sz w:val="20"/>
                <w:szCs w:val="20"/>
              </w:rPr>
              <w:t>El CS contará con la posibilidad de solicitar ajustes o aclaraciones respecto a los conceptos y Servicios incluidos en su factura.</w:t>
            </w:r>
          </w:p>
        </w:tc>
      </w:tr>
    </w:tbl>
    <w:p w:rsidR="00204BC4" w:rsidRDefault="00204BC4" w:rsidP="00204BC4">
      <w:pPr>
        <w:pStyle w:val="IFTnormal"/>
        <w:spacing w:after="6pt"/>
        <w:rPr>
          <w:rFonts w:ascii="Century Gothic" w:hAnsi="Century Gothic"/>
          <w:b/>
        </w:rPr>
      </w:pPr>
    </w:p>
    <w:p w:rsidR="00785FC3" w:rsidRPr="00204BC4" w:rsidRDefault="00E56462" w:rsidP="00204BC4">
      <w:pPr>
        <w:pStyle w:val="IFTnormal"/>
        <w:spacing w:after="6pt"/>
        <w:rPr>
          <w:rFonts w:ascii="Century Gothic" w:hAnsi="Century Gothic"/>
        </w:rPr>
      </w:pPr>
      <w:r w:rsidRPr="00204BC4">
        <w:rPr>
          <w:rFonts w:ascii="Century Gothic" w:hAnsi="Century Gothic"/>
          <w:b/>
        </w:rPr>
        <w:t>Procedimiento para Recuperación de Espacio.</w:t>
      </w:r>
    </w:p>
    <w:p w:rsidR="00277ED2" w:rsidRPr="00204BC4" w:rsidRDefault="00E56462" w:rsidP="00204BC4">
      <w:pPr>
        <w:pStyle w:val="IFTnormal"/>
        <w:spacing w:after="6pt"/>
        <w:rPr>
          <w:rFonts w:ascii="Century Gothic" w:hAnsi="Century Gothic"/>
        </w:rPr>
      </w:pPr>
      <w:r w:rsidRPr="00204BC4">
        <w:rPr>
          <w:rFonts w:ascii="Century Gothic" w:hAnsi="Century Gothic"/>
        </w:rPr>
        <w:t xml:space="preserve">El objetivo y alcance de este procedimiento es definir los pasos y actividades a desarrollar por parte de RED NACIONAL y del CS, a fin de realizar la Recuperación de Espacios derivado de que no fuera posible atender la demanda de Coubicación una vez realizado el procedimiento de reasignación de espacio; las fases en que se divide este procedimiento son: (i) Análisis de Factibilidad técnica a fin de que </w:t>
      </w:r>
      <w:r w:rsidRPr="00204BC4">
        <w:rPr>
          <w:rFonts w:ascii="Century Gothic" w:hAnsi="Century Gothic"/>
          <w:spacing w:val="-3"/>
        </w:rPr>
        <w:t>RED NACIONAL</w:t>
      </w:r>
      <w:r w:rsidRPr="00204BC4">
        <w:rPr>
          <w:rFonts w:ascii="Century Gothic" w:hAnsi="Century Gothic"/>
        </w:rPr>
        <w:t xml:space="preserve"> pueda verificar que cuenta con los elementos para brindar el Servicio solicitado; y (ii) Cotización e inicio de la recuperación de espacio o de un medio alternativo de solución.</w:t>
      </w:r>
    </w:p>
    <w:tbl>
      <w:tblPr>
        <w:tblW w:w="99.0%" w:type="pct"/>
        <w:tblInd w:w="0.20pt" w:type="dxa"/>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1"/>
      </w:tblPr>
      <w:tblGrid>
        <w:gridCol w:w="3476"/>
        <w:gridCol w:w="5824"/>
      </w:tblGrid>
      <w:tr w:rsidR="0061711D" w:rsidRPr="00204BC4" w:rsidTr="002E0A92">
        <w:trPr>
          <w:tblHeader/>
        </w:trPr>
        <w:tc>
          <w:tcPr>
            <w:tcW w:w="37.0%" w:type="pct"/>
            <w:shd w:val="clear" w:color="auto" w:fill="009AD9"/>
          </w:tcPr>
          <w:p w:rsidR="00277ED2" w:rsidRPr="00204BC4" w:rsidRDefault="00E56462" w:rsidP="00204BC4">
            <w:pPr>
              <w:pStyle w:val="IFTnormal"/>
              <w:spacing w:before="2pt" w:after="2pt"/>
              <w:jc w:val="center"/>
              <w:rPr>
                <w:rFonts w:ascii="Century Gothic" w:hAnsi="Century Gothic"/>
                <w:b/>
                <w:color w:val="FFFFFF" w:themeColor="background1"/>
                <w:sz w:val="20"/>
                <w:szCs w:val="20"/>
              </w:rPr>
            </w:pPr>
            <w:r w:rsidRPr="00204BC4">
              <w:rPr>
                <w:rFonts w:ascii="Century Gothic" w:hAnsi="Century Gothic"/>
                <w:b/>
                <w:color w:val="FFFFFF" w:themeColor="background1"/>
                <w:sz w:val="20"/>
                <w:szCs w:val="20"/>
              </w:rPr>
              <w:lastRenderedPageBreak/>
              <w:t>Etapa</w:t>
            </w:r>
          </w:p>
        </w:tc>
        <w:tc>
          <w:tcPr>
            <w:tcW w:w="62.0%" w:type="pct"/>
            <w:shd w:val="clear" w:color="auto" w:fill="009AD9"/>
          </w:tcPr>
          <w:p w:rsidR="00277ED2" w:rsidRPr="00204BC4" w:rsidRDefault="00E56462" w:rsidP="00204BC4">
            <w:pPr>
              <w:pStyle w:val="IFTnormal"/>
              <w:spacing w:before="2pt" w:after="2pt"/>
              <w:jc w:val="center"/>
              <w:rPr>
                <w:rFonts w:ascii="Century Gothic" w:hAnsi="Century Gothic"/>
                <w:b/>
                <w:color w:val="FFFFFF" w:themeColor="background1"/>
                <w:sz w:val="20"/>
                <w:szCs w:val="20"/>
              </w:rPr>
            </w:pPr>
            <w:r w:rsidRPr="00204BC4">
              <w:rPr>
                <w:rFonts w:ascii="Century Gothic" w:hAnsi="Century Gothic"/>
                <w:b/>
                <w:color w:val="FFFFFF" w:themeColor="background1"/>
                <w:sz w:val="20"/>
                <w:szCs w:val="20"/>
              </w:rPr>
              <w:t>Descripción</w:t>
            </w:r>
          </w:p>
        </w:tc>
      </w:tr>
      <w:tr w:rsidR="0061711D" w:rsidRPr="00204BC4" w:rsidTr="00277ED2">
        <w:tc>
          <w:tcPr>
            <w:tcW w:w="37.0%" w:type="pct"/>
            <w:shd w:val="clear" w:color="auto" w:fill="auto"/>
          </w:tcPr>
          <w:p w:rsidR="00277ED2" w:rsidRPr="00204BC4" w:rsidRDefault="00E56462" w:rsidP="00204BC4">
            <w:pPr>
              <w:pStyle w:val="IFTnormal"/>
              <w:spacing w:before="2pt" w:after="2pt"/>
              <w:jc w:val="start"/>
              <w:rPr>
                <w:rFonts w:ascii="Century Gothic" w:hAnsi="Century Gothic"/>
                <w:b/>
                <w:sz w:val="20"/>
                <w:szCs w:val="20"/>
              </w:rPr>
            </w:pPr>
            <w:r w:rsidRPr="00204BC4">
              <w:rPr>
                <w:rFonts w:ascii="Century Gothic" w:hAnsi="Century Gothic"/>
                <w:b/>
                <w:sz w:val="20"/>
                <w:szCs w:val="20"/>
              </w:rPr>
              <w:t>Factibilidad Técnica</w:t>
            </w:r>
          </w:p>
        </w:tc>
        <w:tc>
          <w:tcPr>
            <w:tcW w:w="62.0%" w:type="pct"/>
            <w:shd w:val="clear" w:color="auto" w:fill="auto"/>
          </w:tcPr>
          <w:p w:rsidR="00277ED2" w:rsidRPr="00204BC4" w:rsidRDefault="00E56462" w:rsidP="00204BC4">
            <w:pPr>
              <w:pStyle w:val="IFTnormal"/>
              <w:spacing w:before="2pt" w:after="2pt"/>
              <w:rPr>
                <w:rFonts w:ascii="Century Gothic" w:hAnsi="Century Gothic"/>
                <w:sz w:val="20"/>
                <w:szCs w:val="20"/>
              </w:rPr>
            </w:pPr>
            <w:r w:rsidRPr="00204BC4">
              <w:rPr>
                <w:rFonts w:ascii="Century Gothic" w:hAnsi="Century Gothic"/>
                <w:sz w:val="20"/>
                <w:szCs w:val="20"/>
              </w:rPr>
              <w:t>A partir de la notificación de reasignación de espacio no factible, RED NACIONAL analizará la factibilidad técnica para recuperación de espacio estableciendo:</w:t>
            </w:r>
          </w:p>
          <w:p w:rsidR="00277ED2" w:rsidRPr="00204BC4" w:rsidRDefault="00E56462" w:rsidP="00204BC4">
            <w:pPr>
              <w:pStyle w:val="IFTnormal"/>
              <w:numPr>
                <w:ilvl w:val="0"/>
                <w:numId w:val="204"/>
              </w:numPr>
              <w:spacing w:before="2pt" w:after="2pt"/>
              <w:rPr>
                <w:rFonts w:ascii="Century Gothic" w:hAnsi="Century Gothic"/>
                <w:sz w:val="20"/>
                <w:szCs w:val="20"/>
              </w:rPr>
            </w:pPr>
            <w:r w:rsidRPr="00204BC4">
              <w:rPr>
                <w:rFonts w:ascii="Century Gothic" w:hAnsi="Century Gothic"/>
                <w:sz w:val="20"/>
                <w:szCs w:val="20"/>
              </w:rPr>
              <w:t>Si se determina que un CS no ha utilizado efectivamente el espacio, dicho CS será notificado y tendrá un plazo de cinco días hábiles para ofrecer una respuesta sobre las causas por las cuales no ha utilizado efectivamente el espacio. Si no se recibe respuesta por parte del CS se entenderá que es posible recuperar el espacio.</w:t>
            </w:r>
          </w:p>
          <w:p w:rsidR="00277ED2" w:rsidRPr="00204BC4" w:rsidRDefault="00E56462" w:rsidP="00204BC4">
            <w:pPr>
              <w:pStyle w:val="IFTnormal"/>
              <w:numPr>
                <w:ilvl w:val="0"/>
                <w:numId w:val="204"/>
              </w:numPr>
              <w:spacing w:before="2pt" w:after="2pt"/>
              <w:rPr>
                <w:rFonts w:ascii="Century Gothic" w:hAnsi="Century Gothic"/>
                <w:sz w:val="20"/>
                <w:szCs w:val="20"/>
              </w:rPr>
            </w:pPr>
            <w:r w:rsidRPr="00204BC4">
              <w:rPr>
                <w:rFonts w:ascii="Century Gothic" w:hAnsi="Century Gothic"/>
                <w:sz w:val="20"/>
                <w:szCs w:val="20"/>
              </w:rPr>
              <w:t>Si el CS en la respuesta justifica que la utilización no efectiva es por causas no imputables al mismo, se permitirá la continuidad del servicio. En cambio, si la justificación muestra que la utilización no efectiva es por decisiones del CS se procederá a recuperar el espacio. Dicha situación será notificada al Instituto:</w:t>
            </w:r>
          </w:p>
          <w:p w:rsidR="00277ED2" w:rsidRPr="00204BC4" w:rsidRDefault="00E56462" w:rsidP="00204BC4">
            <w:pPr>
              <w:pStyle w:val="IFTnormal"/>
              <w:numPr>
                <w:ilvl w:val="0"/>
                <w:numId w:val="114"/>
              </w:numPr>
              <w:spacing w:before="2pt" w:after="2pt"/>
              <w:rPr>
                <w:rFonts w:ascii="Century Gothic" w:hAnsi="Century Gothic"/>
                <w:sz w:val="20"/>
                <w:szCs w:val="20"/>
              </w:rPr>
            </w:pPr>
            <w:r w:rsidRPr="00204BC4">
              <w:rPr>
                <w:rFonts w:ascii="Century Gothic" w:hAnsi="Century Gothic"/>
                <w:sz w:val="20"/>
                <w:szCs w:val="20"/>
              </w:rPr>
              <w:t>Si tras la comunicación con el CS resulta factible la Recuperación del Espacio, se enviará cotización detallada por conceptos correspondiente de los trabajos necesarios, las actividades a realizar e insumos al nuevo CS en un plazo de cinco días hábiles.</w:t>
            </w:r>
          </w:p>
          <w:p w:rsidR="00277ED2" w:rsidRPr="00204BC4" w:rsidRDefault="00E56462" w:rsidP="00204BC4">
            <w:pPr>
              <w:pStyle w:val="IFTnormal"/>
              <w:numPr>
                <w:ilvl w:val="0"/>
                <w:numId w:val="114"/>
              </w:numPr>
              <w:spacing w:before="2pt" w:after="2pt"/>
              <w:rPr>
                <w:rFonts w:ascii="Century Gothic" w:hAnsi="Century Gothic"/>
                <w:sz w:val="20"/>
                <w:szCs w:val="20"/>
              </w:rPr>
            </w:pPr>
            <w:r w:rsidRPr="00204BC4">
              <w:rPr>
                <w:rFonts w:ascii="Century Gothic" w:hAnsi="Century Gothic"/>
                <w:sz w:val="20"/>
                <w:szCs w:val="20"/>
              </w:rPr>
              <w:t>Si no es factible la recuperación de espacio, se entregará al CS en el SEG/SIPO la justificación de los motivos descritos en el apartado relativo a los recursos de red asociados a los Servicios, así como las evidencias correspondientes, y se pondrá a consideración del CS la alternativa de solicitar un trabajo especial.</w:t>
            </w:r>
          </w:p>
          <w:p w:rsidR="00277ED2" w:rsidRPr="00204BC4" w:rsidRDefault="00E56462" w:rsidP="00204BC4">
            <w:pPr>
              <w:pStyle w:val="IFTnormal"/>
              <w:spacing w:before="2pt" w:after="2pt"/>
              <w:rPr>
                <w:rFonts w:ascii="Century Gothic" w:hAnsi="Century Gothic"/>
                <w:sz w:val="20"/>
                <w:szCs w:val="20"/>
              </w:rPr>
            </w:pPr>
            <w:r w:rsidRPr="00204BC4">
              <w:rPr>
                <w:rFonts w:ascii="Century Gothic" w:hAnsi="Century Gothic"/>
                <w:sz w:val="20"/>
                <w:szCs w:val="20"/>
              </w:rPr>
              <w:t>El CS contará con cinco días hábiles para aceptar la cotización</w:t>
            </w:r>
            <w:r w:rsidRPr="00204BC4">
              <w:rPr>
                <w:rStyle w:val="Refdenotaalpie"/>
                <w:rFonts w:ascii="Century Gothic" w:hAnsi="Century Gothic"/>
                <w:sz w:val="20"/>
                <w:szCs w:val="20"/>
              </w:rPr>
              <w:footnoteReference w:id="44"/>
            </w:r>
            <w:r w:rsidRPr="00204BC4">
              <w:rPr>
                <w:rFonts w:ascii="Century Gothic" w:hAnsi="Century Gothic"/>
                <w:sz w:val="20"/>
                <w:szCs w:val="20"/>
              </w:rPr>
              <w:t xml:space="preserve"> vía SEG/SIPO del servicio</w:t>
            </w:r>
            <w:r w:rsidRPr="00204BC4">
              <w:rPr>
                <w:rStyle w:val="Refdenotaalpie"/>
                <w:rFonts w:ascii="Century Gothic" w:hAnsi="Century Gothic"/>
                <w:sz w:val="20"/>
                <w:szCs w:val="20"/>
              </w:rPr>
              <w:footnoteReference w:id="45"/>
            </w:r>
            <w:r w:rsidRPr="00204BC4">
              <w:rPr>
                <w:rFonts w:ascii="Century Gothic" w:hAnsi="Century Gothic"/>
                <w:sz w:val="20"/>
                <w:szCs w:val="20"/>
              </w:rPr>
              <w:t>, dentro de este plazo el CS podrá analizar el presupuesto y solicitar aclaraciones a RED NACIONAL, si no acepta la cotización se entenderá que el CS rechazó el servicio, concluyendo el proceso y se emitirá la factura correspondiente por la elaboración del proyecto</w:t>
            </w:r>
            <w:r w:rsidRPr="00204BC4">
              <w:rPr>
                <w:rStyle w:val="Refdenotaalpie"/>
                <w:rFonts w:ascii="Century Gothic" w:hAnsi="Century Gothic"/>
                <w:sz w:val="20"/>
                <w:szCs w:val="20"/>
              </w:rPr>
              <w:footnoteReference w:id="46"/>
            </w:r>
            <w:r w:rsidRPr="00204BC4">
              <w:rPr>
                <w:rFonts w:ascii="Century Gothic" w:hAnsi="Century Gothic"/>
                <w:sz w:val="20"/>
                <w:szCs w:val="20"/>
              </w:rPr>
              <w:t>.</w:t>
            </w:r>
          </w:p>
        </w:tc>
      </w:tr>
      <w:tr w:rsidR="0061711D" w:rsidRPr="00204BC4" w:rsidTr="00277ED2">
        <w:tc>
          <w:tcPr>
            <w:tcW w:w="37.0%" w:type="pct"/>
            <w:shd w:val="clear" w:color="auto" w:fill="auto"/>
          </w:tcPr>
          <w:p w:rsidR="00277ED2" w:rsidRPr="00204BC4" w:rsidRDefault="00E56462" w:rsidP="00204BC4">
            <w:pPr>
              <w:pStyle w:val="IFTnormal"/>
              <w:spacing w:before="2pt" w:after="2pt"/>
              <w:jc w:val="start"/>
              <w:rPr>
                <w:rFonts w:ascii="Century Gothic" w:hAnsi="Century Gothic"/>
                <w:b/>
                <w:sz w:val="20"/>
                <w:szCs w:val="20"/>
              </w:rPr>
            </w:pPr>
            <w:r w:rsidRPr="00204BC4">
              <w:rPr>
                <w:rFonts w:ascii="Century Gothic" w:hAnsi="Century Gothic"/>
                <w:b/>
                <w:sz w:val="20"/>
                <w:szCs w:val="20"/>
              </w:rPr>
              <w:lastRenderedPageBreak/>
              <w:t>Habilitación y aprovisionamiento del Servicio</w:t>
            </w:r>
          </w:p>
        </w:tc>
        <w:tc>
          <w:tcPr>
            <w:tcW w:w="62.0%" w:type="pct"/>
            <w:shd w:val="clear" w:color="auto" w:fill="auto"/>
          </w:tcPr>
          <w:p w:rsidR="00277ED2" w:rsidRPr="00204BC4" w:rsidRDefault="00E56462" w:rsidP="00204BC4">
            <w:pPr>
              <w:pStyle w:val="IFTnormal"/>
              <w:spacing w:before="2pt" w:after="2pt"/>
              <w:rPr>
                <w:rFonts w:ascii="Century Gothic" w:hAnsi="Century Gothic"/>
                <w:sz w:val="20"/>
                <w:szCs w:val="20"/>
              </w:rPr>
            </w:pPr>
            <w:r w:rsidRPr="00204BC4">
              <w:rPr>
                <w:rFonts w:ascii="Century Gothic" w:hAnsi="Century Gothic"/>
                <w:sz w:val="20"/>
                <w:szCs w:val="20"/>
              </w:rPr>
              <w:t>Una vez aceptada la cotización por parte del CS, se procederá a realizar la Recuperación de Espacio y se acordará una fecha de entrega de la Coubicación.</w:t>
            </w:r>
          </w:p>
        </w:tc>
      </w:tr>
    </w:tbl>
    <w:p w:rsidR="008E3048" w:rsidRPr="00204BC4" w:rsidRDefault="00E56462" w:rsidP="00204BC4">
      <w:pPr>
        <w:pStyle w:val="xxxxNotadeCuadro1"/>
      </w:pPr>
      <w:r w:rsidRPr="00204BC4">
        <w:t xml:space="preserve">Nota: </w:t>
      </w:r>
    </w:p>
    <w:p w:rsidR="0061711D" w:rsidRPr="00204BC4" w:rsidRDefault="008E3048" w:rsidP="00204BC4">
      <w:pPr>
        <w:pStyle w:val="xxxxNotadeCuadro1"/>
      </w:pPr>
      <w:r w:rsidRPr="00204BC4">
        <w:tab/>
      </w:r>
      <w:r w:rsidR="00E56462" w:rsidRPr="00204BC4">
        <w:t>Si el CS solicitó el Servicio Auxiliar de Cableado Multipar de manera simultánea a la Coubicación, éste  se entregará junto con la Coubicación.</w:t>
      </w:r>
    </w:p>
    <w:p w:rsidR="00785FC3" w:rsidRPr="00204BC4" w:rsidRDefault="00785FC3" w:rsidP="00204BC4">
      <w:pPr>
        <w:pStyle w:val="IFTnormal"/>
        <w:rPr>
          <w:rFonts w:ascii="Century Gothic" w:hAnsi="Century Gothic"/>
          <w:b/>
        </w:rPr>
      </w:pPr>
    </w:p>
    <w:p w:rsidR="00785FC3" w:rsidRPr="00204BC4" w:rsidRDefault="00E56462" w:rsidP="00204BC4">
      <w:pPr>
        <w:pStyle w:val="IFTnormal"/>
        <w:spacing w:after="6pt"/>
        <w:rPr>
          <w:rFonts w:ascii="Century Gothic" w:hAnsi="Century Gothic"/>
        </w:rPr>
      </w:pPr>
      <w:r w:rsidRPr="00204BC4">
        <w:rPr>
          <w:rFonts w:ascii="Century Gothic" w:hAnsi="Century Gothic"/>
          <w:b/>
        </w:rPr>
        <w:t>Procedimiento de adecuación de Coubicación (Modificación).</w:t>
      </w:r>
    </w:p>
    <w:p w:rsidR="00277ED2" w:rsidRPr="00204BC4" w:rsidRDefault="00E56462" w:rsidP="00204BC4">
      <w:pPr>
        <w:pStyle w:val="IFTnormal"/>
        <w:spacing w:after="6pt"/>
        <w:rPr>
          <w:rFonts w:ascii="Century Gothic" w:hAnsi="Century Gothic"/>
        </w:rPr>
      </w:pPr>
      <w:r w:rsidRPr="00204BC4">
        <w:rPr>
          <w:rFonts w:ascii="Century Gothic" w:hAnsi="Century Gothic"/>
        </w:rPr>
        <w:t xml:space="preserve">El objetivo y alcance de este procedimiento es definir los pasos y actividades a desarrollar por parte de RED NACIONAL y del CS, a fin de realizar la modificación de alguna Coubicación existente; las fases en que se divide este procedimiento son: </w:t>
      </w:r>
      <w:r w:rsidRPr="00204BC4">
        <w:rPr>
          <w:rFonts w:ascii="Century Gothic" w:hAnsi="Century Gothic"/>
          <w:b/>
        </w:rPr>
        <w:t>(i)</w:t>
      </w:r>
      <w:r w:rsidRPr="00204BC4">
        <w:rPr>
          <w:rFonts w:ascii="Century Gothic" w:hAnsi="Century Gothic"/>
        </w:rPr>
        <w:t xml:space="preserve"> Envío y validación de la solicitud a través del SEG/SIPO, verificando que la solicitud cuenta con todos los elementos para realizar el trámite de modificación de Coubicación del servicio; </w:t>
      </w:r>
      <w:r w:rsidRPr="00204BC4">
        <w:rPr>
          <w:rFonts w:ascii="Century Gothic" w:hAnsi="Century Gothic"/>
          <w:b/>
        </w:rPr>
        <w:t>(ii)</w:t>
      </w:r>
      <w:r w:rsidRPr="00204BC4">
        <w:rPr>
          <w:rFonts w:ascii="Century Gothic" w:hAnsi="Century Gothic"/>
        </w:rPr>
        <w:t xml:space="preserve"> Análisis de Factibilidad Técnica a fin de que RED NACIONAL pueda verificar que cuenta con los elementos para brindar el Servicio solicitado; y </w:t>
      </w:r>
      <w:r w:rsidRPr="00204BC4">
        <w:rPr>
          <w:rFonts w:ascii="Century Gothic" w:hAnsi="Century Gothic"/>
          <w:b/>
        </w:rPr>
        <w:t>(iii)</w:t>
      </w:r>
      <w:r w:rsidRPr="00204BC4">
        <w:rPr>
          <w:rFonts w:ascii="Century Gothic" w:hAnsi="Century Gothic"/>
        </w:rPr>
        <w:t xml:space="preserve"> Entrega de cotización e inicio de la modificación. </w:t>
      </w:r>
    </w:p>
    <w:tbl>
      <w:tblPr>
        <w:tblW w:w="99.0%" w:type="pct"/>
        <w:tblInd w:w="0.20pt" w:type="dxa"/>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1"/>
      </w:tblPr>
      <w:tblGrid>
        <w:gridCol w:w="3476"/>
        <w:gridCol w:w="5824"/>
      </w:tblGrid>
      <w:tr w:rsidR="0061711D" w:rsidRPr="00204BC4" w:rsidTr="002E0A92">
        <w:trPr>
          <w:tblHeader/>
        </w:trPr>
        <w:tc>
          <w:tcPr>
            <w:tcW w:w="37.0%" w:type="pct"/>
            <w:shd w:val="clear" w:color="auto" w:fill="009AD9"/>
          </w:tcPr>
          <w:p w:rsidR="00277ED2" w:rsidRPr="00204BC4" w:rsidRDefault="00E56462" w:rsidP="00204BC4">
            <w:pPr>
              <w:pStyle w:val="IFTnormal"/>
              <w:spacing w:after="6pt"/>
              <w:jc w:val="center"/>
              <w:rPr>
                <w:rFonts w:ascii="Century Gothic" w:hAnsi="Century Gothic"/>
                <w:b/>
                <w:color w:val="FFFFFF" w:themeColor="background1"/>
                <w:sz w:val="20"/>
                <w:szCs w:val="20"/>
              </w:rPr>
            </w:pPr>
            <w:r w:rsidRPr="00204BC4">
              <w:rPr>
                <w:rFonts w:ascii="Century Gothic" w:hAnsi="Century Gothic"/>
                <w:b/>
                <w:color w:val="FFFFFF" w:themeColor="background1"/>
                <w:sz w:val="20"/>
                <w:szCs w:val="20"/>
              </w:rPr>
              <w:t>Etapa</w:t>
            </w:r>
          </w:p>
        </w:tc>
        <w:tc>
          <w:tcPr>
            <w:tcW w:w="62.0%" w:type="pct"/>
            <w:shd w:val="clear" w:color="auto" w:fill="009AD9"/>
          </w:tcPr>
          <w:p w:rsidR="00277ED2" w:rsidRPr="00204BC4" w:rsidRDefault="00E56462" w:rsidP="00204BC4">
            <w:pPr>
              <w:pStyle w:val="IFTnormal"/>
              <w:spacing w:after="6pt"/>
              <w:jc w:val="center"/>
              <w:rPr>
                <w:rFonts w:ascii="Century Gothic" w:hAnsi="Century Gothic"/>
                <w:b/>
                <w:color w:val="FFFFFF" w:themeColor="background1"/>
                <w:sz w:val="20"/>
                <w:szCs w:val="20"/>
              </w:rPr>
            </w:pPr>
            <w:r w:rsidRPr="00204BC4">
              <w:rPr>
                <w:rFonts w:ascii="Century Gothic" w:hAnsi="Century Gothic"/>
                <w:b/>
                <w:color w:val="FFFFFF" w:themeColor="background1"/>
                <w:sz w:val="20"/>
                <w:szCs w:val="20"/>
              </w:rPr>
              <w:t>Descripción</w:t>
            </w:r>
          </w:p>
        </w:tc>
      </w:tr>
      <w:tr w:rsidR="0061711D" w:rsidRPr="00204BC4" w:rsidTr="00277ED2">
        <w:tc>
          <w:tcPr>
            <w:tcW w:w="37.0%" w:type="pct"/>
            <w:shd w:val="clear" w:color="auto" w:fill="auto"/>
          </w:tcPr>
          <w:p w:rsidR="00277ED2" w:rsidRPr="00204BC4" w:rsidRDefault="00E56462" w:rsidP="00204BC4">
            <w:pPr>
              <w:pStyle w:val="IFTnormal"/>
              <w:spacing w:before="2pt" w:after="2pt"/>
              <w:jc w:val="start"/>
              <w:rPr>
                <w:rFonts w:ascii="Century Gothic" w:hAnsi="Century Gothic"/>
                <w:b/>
                <w:sz w:val="20"/>
                <w:szCs w:val="20"/>
              </w:rPr>
            </w:pPr>
            <w:r w:rsidRPr="00204BC4">
              <w:rPr>
                <w:rFonts w:ascii="Century Gothic" w:hAnsi="Century Gothic"/>
                <w:b/>
                <w:sz w:val="20"/>
                <w:szCs w:val="20"/>
              </w:rPr>
              <w:t>Envío y Validación de la solicitud</w:t>
            </w:r>
          </w:p>
        </w:tc>
        <w:tc>
          <w:tcPr>
            <w:tcW w:w="62.0%" w:type="pct"/>
            <w:shd w:val="clear" w:color="auto" w:fill="auto"/>
          </w:tcPr>
          <w:p w:rsidR="00277ED2" w:rsidRPr="00204BC4" w:rsidRDefault="00E56462" w:rsidP="00204BC4">
            <w:pPr>
              <w:pStyle w:val="IFTnormal"/>
              <w:spacing w:before="2pt" w:after="2pt"/>
              <w:rPr>
                <w:rFonts w:ascii="Century Gothic" w:hAnsi="Century Gothic"/>
                <w:sz w:val="20"/>
                <w:szCs w:val="20"/>
              </w:rPr>
            </w:pPr>
            <w:r w:rsidRPr="00204BC4">
              <w:rPr>
                <w:rFonts w:ascii="Century Gothic" w:hAnsi="Century Gothic"/>
                <w:sz w:val="20"/>
                <w:szCs w:val="20"/>
              </w:rPr>
              <w:t>El CS deberá presentar sus solicitudes en el formato correspondiente a través del SEG/SIPO, validando que cuenta con los elementos para la contratación, seleccionando la siguiente información:</w:t>
            </w:r>
          </w:p>
          <w:p w:rsidR="00277ED2" w:rsidRPr="00204BC4" w:rsidRDefault="00E56462" w:rsidP="00204BC4">
            <w:pPr>
              <w:pStyle w:val="IFTnormal"/>
              <w:numPr>
                <w:ilvl w:val="0"/>
                <w:numId w:val="205"/>
              </w:numPr>
              <w:spacing w:before="2pt" w:after="2pt"/>
              <w:rPr>
                <w:rFonts w:ascii="Century Gothic" w:hAnsi="Century Gothic"/>
                <w:sz w:val="20"/>
                <w:szCs w:val="20"/>
              </w:rPr>
            </w:pPr>
            <w:r w:rsidRPr="00204BC4">
              <w:rPr>
                <w:rFonts w:ascii="Century Gothic" w:hAnsi="Century Gothic"/>
                <w:sz w:val="20"/>
                <w:szCs w:val="20"/>
              </w:rPr>
              <w:t>NIS de Referencia del Servicio en operación.</w:t>
            </w:r>
          </w:p>
          <w:p w:rsidR="00277ED2" w:rsidRPr="00204BC4" w:rsidRDefault="00E56462" w:rsidP="00204BC4">
            <w:pPr>
              <w:pStyle w:val="IFTnormal"/>
              <w:spacing w:before="2pt" w:after="2pt"/>
              <w:rPr>
                <w:rFonts w:ascii="Century Gothic" w:hAnsi="Century Gothic"/>
                <w:sz w:val="20"/>
                <w:szCs w:val="20"/>
              </w:rPr>
            </w:pPr>
            <w:r w:rsidRPr="00204BC4">
              <w:rPr>
                <w:rFonts w:ascii="Century Gothic" w:hAnsi="Century Gothic"/>
                <w:sz w:val="20"/>
                <w:szCs w:val="20"/>
              </w:rPr>
              <w:t>Una vez enviada la solicitud el SEG/SIPO asignará de forma automática el folio.</w:t>
            </w:r>
          </w:p>
        </w:tc>
      </w:tr>
      <w:tr w:rsidR="0061711D" w:rsidRPr="00204BC4" w:rsidTr="00EE486C">
        <w:tc>
          <w:tcPr>
            <w:tcW w:w="37.0%" w:type="pct"/>
            <w:shd w:val="clear" w:color="auto" w:fill="auto"/>
          </w:tcPr>
          <w:p w:rsidR="00277ED2" w:rsidRPr="00204BC4" w:rsidRDefault="00E56462" w:rsidP="00204BC4">
            <w:pPr>
              <w:pStyle w:val="IFTnormal"/>
              <w:spacing w:before="2pt" w:after="2pt"/>
              <w:jc w:val="start"/>
              <w:rPr>
                <w:rFonts w:ascii="Century Gothic" w:hAnsi="Century Gothic"/>
                <w:b/>
                <w:sz w:val="20"/>
                <w:szCs w:val="20"/>
              </w:rPr>
            </w:pPr>
            <w:r w:rsidRPr="00204BC4">
              <w:rPr>
                <w:rFonts w:ascii="Century Gothic" w:hAnsi="Century Gothic"/>
                <w:b/>
                <w:sz w:val="20"/>
                <w:szCs w:val="20"/>
              </w:rPr>
              <w:t>Factibilidad Técnica</w:t>
            </w:r>
          </w:p>
        </w:tc>
        <w:tc>
          <w:tcPr>
            <w:tcW w:w="62.0%" w:type="pct"/>
            <w:shd w:val="clear" w:color="auto" w:fill="auto"/>
          </w:tcPr>
          <w:p w:rsidR="00277ED2" w:rsidRPr="00204BC4" w:rsidRDefault="00E56462" w:rsidP="00204BC4">
            <w:pPr>
              <w:pStyle w:val="IFTnormal"/>
              <w:spacing w:before="2pt" w:after="2pt"/>
              <w:rPr>
                <w:rFonts w:ascii="Century Gothic" w:hAnsi="Century Gothic"/>
                <w:sz w:val="20"/>
                <w:szCs w:val="20"/>
              </w:rPr>
            </w:pPr>
            <w:r w:rsidRPr="00204BC4">
              <w:rPr>
                <w:rFonts w:ascii="Century Gothic" w:hAnsi="Century Gothic"/>
                <w:sz w:val="20"/>
                <w:szCs w:val="20"/>
              </w:rPr>
              <w:t>Durante el análisis de Factibilidad Técnica se responderá al CS de conformidad con lo siguiente:</w:t>
            </w:r>
          </w:p>
          <w:p w:rsidR="00277ED2" w:rsidRPr="00204BC4" w:rsidRDefault="00E56462" w:rsidP="00204BC4">
            <w:pPr>
              <w:pStyle w:val="IFTnormal"/>
              <w:numPr>
                <w:ilvl w:val="0"/>
                <w:numId w:val="206"/>
              </w:numPr>
              <w:spacing w:before="2pt" w:after="2pt"/>
              <w:ind w:start="18.50pt"/>
              <w:rPr>
                <w:rFonts w:ascii="Century Gothic" w:hAnsi="Century Gothic"/>
                <w:sz w:val="20"/>
                <w:szCs w:val="20"/>
              </w:rPr>
            </w:pPr>
            <w:r w:rsidRPr="00204BC4">
              <w:rPr>
                <w:rFonts w:ascii="Century Gothic" w:hAnsi="Century Gothic"/>
                <w:b/>
                <w:sz w:val="20"/>
                <w:szCs w:val="20"/>
              </w:rPr>
              <w:t>Existe factibilidad técnica</w:t>
            </w:r>
          </w:p>
          <w:p w:rsidR="00277ED2" w:rsidRPr="00204BC4" w:rsidRDefault="00E56462" w:rsidP="00204BC4">
            <w:pPr>
              <w:pStyle w:val="IFTnormal"/>
              <w:numPr>
                <w:ilvl w:val="0"/>
                <w:numId w:val="115"/>
              </w:numPr>
              <w:spacing w:before="2pt" w:after="2pt"/>
              <w:rPr>
                <w:rFonts w:ascii="Century Gothic" w:hAnsi="Century Gothic"/>
                <w:sz w:val="20"/>
                <w:szCs w:val="20"/>
              </w:rPr>
            </w:pPr>
            <w:r w:rsidRPr="00204BC4">
              <w:rPr>
                <w:rFonts w:ascii="Century Gothic" w:hAnsi="Century Gothic"/>
                <w:sz w:val="20"/>
                <w:szCs w:val="20"/>
              </w:rPr>
              <w:t xml:space="preserve">Se realiza la cotización detallada por </w:t>
            </w:r>
            <w:r w:rsidRPr="00204BC4">
              <w:rPr>
                <w:rFonts w:ascii="Century Gothic" w:hAnsi="Century Gothic"/>
                <w:sz w:val="20"/>
                <w:szCs w:val="20"/>
                <w:lang w:eastAsia="es-MX"/>
              </w:rPr>
              <w:t>concepto</w:t>
            </w:r>
            <w:r w:rsidRPr="00204BC4">
              <w:rPr>
                <w:rFonts w:ascii="Century Gothic" w:hAnsi="Century Gothic"/>
                <w:sz w:val="20"/>
                <w:szCs w:val="20"/>
              </w:rPr>
              <w:t xml:space="preserve"> de los trabajos necesarios, las actividades a realizar e insumos.</w:t>
            </w:r>
          </w:p>
          <w:p w:rsidR="00277ED2" w:rsidRPr="00204BC4" w:rsidRDefault="00E56462" w:rsidP="00204BC4">
            <w:pPr>
              <w:pStyle w:val="IFTnormal"/>
              <w:spacing w:before="2pt" w:after="2pt"/>
              <w:ind w:start="18pt"/>
              <w:rPr>
                <w:rFonts w:ascii="Century Gothic" w:hAnsi="Century Gothic"/>
                <w:sz w:val="20"/>
                <w:szCs w:val="20"/>
              </w:rPr>
            </w:pPr>
            <w:r w:rsidRPr="00204BC4">
              <w:rPr>
                <w:rFonts w:ascii="Century Gothic" w:hAnsi="Century Gothic"/>
                <w:sz w:val="20"/>
                <w:szCs w:val="20"/>
              </w:rPr>
              <w:t>El CS contará con cinco días hábiles para realizar en el SEG/SIPO la aceptación de la cotización</w:t>
            </w:r>
            <w:r w:rsidRPr="00204BC4">
              <w:rPr>
                <w:rStyle w:val="Refdenotaalpie"/>
                <w:rFonts w:ascii="Century Gothic" w:hAnsi="Century Gothic"/>
                <w:sz w:val="20"/>
                <w:szCs w:val="20"/>
              </w:rPr>
              <w:footnoteReference w:id="47"/>
            </w:r>
            <w:r w:rsidRPr="00204BC4">
              <w:rPr>
                <w:rFonts w:ascii="Century Gothic" w:hAnsi="Century Gothic"/>
                <w:sz w:val="20"/>
                <w:szCs w:val="20"/>
              </w:rPr>
              <w:t xml:space="preserve"> del servicio</w:t>
            </w:r>
            <w:r w:rsidRPr="00204BC4">
              <w:rPr>
                <w:rStyle w:val="Refdenotaalpie"/>
                <w:rFonts w:ascii="Century Gothic" w:hAnsi="Century Gothic"/>
                <w:sz w:val="20"/>
                <w:szCs w:val="20"/>
              </w:rPr>
              <w:footnoteReference w:id="48"/>
            </w:r>
            <w:r w:rsidRPr="00204BC4">
              <w:rPr>
                <w:rFonts w:ascii="Century Gothic" w:hAnsi="Century Gothic"/>
                <w:sz w:val="20"/>
                <w:szCs w:val="20"/>
              </w:rPr>
              <w:t xml:space="preserve">. Si no se acepta se entenderá que el CS rechazó el Servicio concluyendo el proceso y se </w:t>
            </w:r>
            <w:r w:rsidRPr="00204BC4">
              <w:rPr>
                <w:rFonts w:ascii="Century Gothic" w:hAnsi="Century Gothic"/>
                <w:sz w:val="20"/>
                <w:szCs w:val="20"/>
              </w:rPr>
              <w:lastRenderedPageBreak/>
              <w:t>emitirá la factura correspondiente por la elaboración del proyecto</w:t>
            </w:r>
            <w:r w:rsidRPr="00204BC4">
              <w:rPr>
                <w:rStyle w:val="Refdenotaalpie"/>
                <w:rFonts w:ascii="Century Gothic" w:hAnsi="Century Gothic"/>
                <w:sz w:val="20"/>
                <w:szCs w:val="20"/>
              </w:rPr>
              <w:footnoteReference w:id="49"/>
            </w:r>
            <w:r w:rsidRPr="00204BC4">
              <w:rPr>
                <w:rFonts w:ascii="Century Gothic" w:hAnsi="Century Gothic"/>
                <w:sz w:val="20"/>
                <w:szCs w:val="20"/>
              </w:rPr>
              <w:t>.</w:t>
            </w:r>
          </w:p>
          <w:p w:rsidR="00277ED2" w:rsidRPr="00204BC4" w:rsidRDefault="00E56462" w:rsidP="00204BC4">
            <w:pPr>
              <w:pStyle w:val="IFTnormal"/>
              <w:numPr>
                <w:ilvl w:val="0"/>
                <w:numId w:val="207"/>
              </w:numPr>
              <w:spacing w:before="2pt" w:after="2pt"/>
              <w:rPr>
                <w:rFonts w:ascii="Century Gothic" w:hAnsi="Century Gothic"/>
                <w:sz w:val="20"/>
                <w:szCs w:val="20"/>
              </w:rPr>
            </w:pPr>
            <w:r w:rsidRPr="00204BC4">
              <w:rPr>
                <w:rFonts w:ascii="Century Gothic" w:hAnsi="Century Gothic"/>
                <w:b/>
                <w:sz w:val="20"/>
                <w:szCs w:val="20"/>
              </w:rPr>
              <w:t>No existe factibilidad técnica</w:t>
            </w:r>
            <w:r w:rsidRPr="00204BC4">
              <w:rPr>
                <w:rFonts w:ascii="Century Gothic" w:hAnsi="Century Gothic"/>
                <w:sz w:val="20"/>
                <w:szCs w:val="20"/>
              </w:rPr>
              <w:t>:</w:t>
            </w:r>
          </w:p>
          <w:p w:rsidR="00277ED2" w:rsidRPr="00204BC4" w:rsidRDefault="00E56462" w:rsidP="00204BC4">
            <w:pPr>
              <w:pStyle w:val="IFTnormal"/>
              <w:numPr>
                <w:ilvl w:val="0"/>
                <w:numId w:val="116"/>
              </w:numPr>
              <w:spacing w:before="2pt" w:after="2pt"/>
              <w:rPr>
                <w:rFonts w:ascii="Century Gothic" w:hAnsi="Century Gothic"/>
                <w:sz w:val="20"/>
                <w:szCs w:val="20"/>
              </w:rPr>
            </w:pPr>
            <w:r w:rsidRPr="00204BC4">
              <w:rPr>
                <w:rFonts w:ascii="Century Gothic" w:hAnsi="Century Gothic"/>
                <w:sz w:val="20"/>
                <w:szCs w:val="20"/>
              </w:rPr>
              <w:t>Se entregará al CS en el SEG/SIPO la justificación con base en los motivos descritos en el apartado 1 de esta OREDA, así como las evidencias correspondientes, a solicitud del CS se iniciará el procedimiento de Trabajo Especial.</w:t>
            </w:r>
          </w:p>
        </w:tc>
      </w:tr>
      <w:tr w:rsidR="0061711D" w:rsidRPr="00204BC4" w:rsidTr="00277ED2">
        <w:tc>
          <w:tcPr>
            <w:tcW w:w="37.0%" w:type="pct"/>
            <w:shd w:val="clear" w:color="auto" w:fill="auto"/>
          </w:tcPr>
          <w:p w:rsidR="00277ED2" w:rsidRPr="00204BC4" w:rsidRDefault="00E56462" w:rsidP="00204BC4">
            <w:pPr>
              <w:pStyle w:val="IFTnormal"/>
              <w:spacing w:before="2pt" w:after="2pt"/>
              <w:jc w:val="start"/>
              <w:rPr>
                <w:rFonts w:ascii="Century Gothic" w:hAnsi="Century Gothic"/>
                <w:b/>
                <w:sz w:val="20"/>
                <w:szCs w:val="20"/>
              </w:rPr>
            </w:pPr>
            <w:r w:rsidRPr="00204BC4">
              <w:rPr>
                <w:rFonts w:ascii="Century Gothic" w:hAnsi="Century Gothic"/>
                <w:b/>
                <w:sz w:val="20"/>
                <w:szCs w:val="20"/>
              </w:rPr>
              <w:lastRenderedPageBreak/>
              <w:t>Habilitación y aprovisionamiento del Servicio</w:t>
            </w:r>
          </w:p>
        </w:tc>
        <w:tc>
          <w:tcPr>
            <w:tcW w:w="62.0%" w:type="pct"/>
            <w:shd w:val="clear" w:color="auto" w:fill="auto"/>
          </w:tcPr>
          <w:p w:rsidR="00277ED2" w:rsidRPr="00204BC4" w:rsidRDefault="00E56462" w:rsidP="00204BC4">
            <w:pPr>
              <w:pStyle w:val="IFTnormal"/>
              <w:spacing w:before="2pt" w:after="2pt"/>
              <w:rPr>
                <w:rFonts w:ascii="Century Gothic" w:hAnsi="Century Gothic"/>
                <w:sz w:val="20"/>
                <w:szCs w:val="20"/>
              </w:rPr>
            </w:pPr>
            <w:r w:rsidRPr="00204BC4">
              <w:rPr>
                <w:rFonts w:ascii="Century Gothic" w:hAnsi="Century Gothic"/>
                <w:sz w:val="20"/>
                <w:szCs w:val="20"/>
              </w:rPr>
              <w:t xml:space="preserve">Una vez aceptada la cotización por parte del CS, se realizará la modificación estableciendo. </w:t>
            </w:r>
          </w:p>
          <w:p w:rsidR="00277ED2" w:rsidRPr="00204BC4" w:rsidRDefault="00E56462" w:rsidP="00204BC4">
            <w:pPr>
              <w:pStyle w:val="IFTnormal"/>
              <w:spacing w:before="2pt" w:after="2pt"/>
              <w:rPr>
                <w:rFonts w:ascii="Century Gothic" w:hAnsi="Century Gothic"/>
                <w:sz w:val="20"/>
                <w:szCs w:val="20"/>
              </w:rPr>
            </w:pPr>
            <w:r w:rsidRPr="00204BC4">
              <w:rPr>
                <w:rFonts w:ascii="Century Gothic" w:hAnsi="Century Gothic"/>
                <w:sz w:val="20"/>
                <w:szCs w:val="20"/>
              </w:rPr>
              <w:t>Una vez realizadas las modificaciones se le notificará al CS que la Coubicación está lista para ser ocupada.</w:t>
            </w:r>
          </w:p>
        </w:tc>
      </w:tr>
      <w:tr w:rsidR="0061711D" w:rsidRPr="00204BC4" w:rsidTr="00277ED2">
        <w:tc>
          <w:tcPr>
            <w:tcW w:w="37.0%" w:type="pct"/>
            <w:shd w:val="clear" w:color="auto" w:fill="auto"/>
          </w:tcPr>
          <w:p w:rsidR="00277ED2" w:rsidRPr="00204BC4" w:rsidRDefault="00E56462" w:rsidP="00204BC4">
            <w:pPr>
              <w:pStyle w:val="IFTnormal"/>
              <w:spacing w:before="2pt" w:after="2pt"/>
              <w:jc w:val="start"/>
              <w:rPr>
                <w:rFonts w:ascii="Century Gothic" w:hAnsi="Century Gothic"/>
                <w:b/>
                <w:sz w:val="20"/>
                <w:szCs w:val="20"/>
              </w:rPr>
            </w:pPr>
            <w:r w:rsidRPr="00204BC4">
              <w:rPr>
                <w:rFonts w:ascii="Century Gothic" w:hAnsi="Century Gothic"/>
                <w:b/>
                <w:sz w:val="20"/>
                <w:szCs w:val="20"/>
              </w:rPr>
              <w:t>Facturación</w:t>
            </w:r>
          </w:p>
        </w:tc>
        <w:tc>
          <w:tcPr>
            <w:tcW w:w="62.0%" w:type="pct"/>
            <w:shd w:val="clear" w:color="auto" w:fill="auto"/>
          </w:tcPr>
          <w:p w:rsidR="00277ED2" w:rsidRPr="00204BC4" w:rsidRDefault="00E56462" w:rsidP="00204BC4">
            <w:pPr>
              <w:pStyle w:val="IFTnormal"/>
              <w:spacing w:before="2pt" w:after="2pt"/>
              <w:rPr>
                <w:rFonts w:ascii="Century Gothic" w:hAnsi="Century Gothic"/>
                <w:sz w:val="20"/>
                <w:szCs w:val="20"/>
              </w:rPr>
            </w:pPr>
            <w:r w:rsidRPr="00204BC4">
              <w:rPr>
                <w:rFonts w:ascii="Century Gothic" w:hAnsi="Century Gothic"/>
                <w:sz w:val="20"/>
                <w:szCs w:val="20"/>
              </w:rPr>
              <w:t>Al corte del mes se realizará la facturación aplicable al servicio:</w:t>
            </w:r>
          </w:p>
          <w:p w:rsidR="00277ED2" w:rsidRPr="00204BC4" w:rsidRDefault="00E56462" w:rsidP="00204BC4">
            <w:pPr>
              <w:pStyle w:val="IFTnormal"/>
              <w:numPr>
                <w:ilvl w:val="0"/>
                <w:numId w:val="208"/>
              </w:numPr>
              <w:spacing w:before="2pt" w:after="2pt"/>
              <w:rPr>
                <w:rFonts w:ascii="Century Gothic" w:hAnsi="Century Gothic"/>
                <w:sz w:val="20"/>
                <w:szCs w:val="20"/>
              </w:rPr>
            </w:pPr>
            <w:r w:rsidRPr="00204BC4">
              <w:rPr>
                <w:rFonts w:ascii="Century Gothic" w:hAnsi="Century Gothic"/>
                <w:sz w:val="20"/>
                <w:szCs w:val="20"/>
              </w:rPr>
              <w:t>Se incluirán los gastos de instalación y la renta mensual correspondiente.</w:t>
            </w:r>
          </w:p>
          <w:p w:rsidR="00277ED2" w:rsidRPr="00204BC4" w:rsidRDefault="00E56462" w:rsidP="00204BC4">
            <w:pPr>
              <w:pStyle w:val="IFTnormal"/>
              <w:numPr>
                <w:ilvl w:val="0"/>
                <w:numId w:val="208"/>
              </w:numPr>
              <w:spacing w:before="2pt" w:after="2pt"/>
              <w:rPr>
                <w:rFonts w:ascii="Century Gothic" w:hAnsi="Century Gothic"/>
                <w:sz w:val="20"/>
                <w:szCs w:val="20"/>
              </w:rPr>
            </w:pPr>
            <w:r w:rsidRPr="00204BC4">
              <w:rPr>
                <w:rFonts w:ascii="Century Gothic" w:hAnsi="Century Gothic"/>
                <w:sz w:val="20"/>
                <w:szCs w:val="20"/>
              </w:rPr>
              <w:t>El CS contará con la posibilidad de solicitar ajustes o aclaraciones respecto a los conceptos y Servicios incluidos en su factura.</w:t>
            </w:r>
          </w:p>
        </w:tc>
      </w:tr>
    </w:tbl>
    <w:p w:rsidR="00277ED2" w:rsidRPr="00204BC4" w:rsidRDefault="00E56462" w:rsidP="00204BC4">
      <w:pPr>
        <w:pStyle w:val="IFTnormal"/>
        <w:rPr>
          <w:rFonts w:ascii="Century Gothic" w:hAnsi="Century Gothic"/>
        </w:rPr>
      </w:pPr>
      <w:r w:rsidRPr="00204BC4">
        <w:rPr>
          <w:rFonts w:ascii="Century Gothic" w:hAnsi="Century Gothic"/>
        </w:rPr>
        <w:t>En caso de que la ejecución de los trabajos de adecuación se realice en condiciones de operación por parte de la infraestructura de equipo del CS, se debe acordar con el CS la ventana de mantenimiento correspondiente para evitar cualquier tipo de afectación, esto se realizara a través del SEG/SIPO.</w:t>
      </w:r>
    </w:p>
    <w:p w:rsidR="008D276C" w:rsidRPr="00204BC4" w:rsidRDefault="008D276C" w:rsidP="00204BC4">
      <w:pPr>
        <w:pStyle w:val="IFTnormal"/>
        <w:rPr>
          <w:rFonts w:ascii="Century Gothic" w:hAnsi="Century Gothic"/>
        </w:rPr>
      </w:pPr>
    </w:p>
    <w:p w:rsidR="008D276C" w:rsidRPr="00204BC4" w:rsidRDefault="00E56462" w:rsidP="00204BC4">
      <w:pPr>
        <w:pStyle w:val="IFTnormal"/>
        <w:spacing w:after="6pt"/>
        <w:rPr>
          <w:rFonts w:ascii="Century Gothic" w:hAnsi="Century Gothic"/>
          <w:b/>
        </w:rPr>
      </w:pPr>
      <w:r w:rsidRPr="00204BC4">
        <w:rPr>
          <w:rFonts w:ascii="Century Gothic" w:hAnsi="Century Gothic"/>
          <w:b/>
        </w:rPr>
        <w:t>Baja del Servicio de Coubicación.</w:t>
      </w:r>
    </w:p>
    <w:p w:rsidR="00277ED2" w:rsidRPr="00204BC4" w:rsidRDefault="00E56462" w:rsidP="00204BC4">
      <w:pPr>
        <w:pStyle w:val="IFTnormal"/>
        <w:rPr>
          <w:rFonts w:ascii="Century Gothic" w:hAnsi="Century Gothic"/>
        </w:rPr>
      </w:pPr>
      <w:r w:rsidRPr="00204BC4">
        <w:rPr>
          <w:rFonts w:ascii="Century Gothic" w:hAnsi="Century Gothic"/>
        </w:rPr>
        <w:t xml:space="preserve">El objetivo y alcance de este procedimiento es definir los pasos y actividades a desarrollar por parte de RED NACIONAL y del CS, a fin de realizar la baja de los Servicios de Coubicación; las fases en que se divide este procedimiento son: </w:t>
      </w:r>
      <w:r w:rsidRPr="00204BC4">
        <w:rPr>
          <w:rFonts w:ascii="Century Gothic" w:hAnsi="Century Gothic"/>
          <w:b/>
        </w:rPr>
        <w:t>(i)</w:t>
      </w:r>
      <w:r w:rsidRPr="00204BC4">
        <w:rPr>
          <w:rFonts w:ascii="Century Gothic" w:hAnsi="Century Gothic"/>
        </w:rPr>
        <w:t xml:space="preserve"> Envío y validación de la solicitud a través del SEG/SIPO, verificando que la solicitud de baja cuenta con todos los elementos requeridos; y </w:t>
      </w:r>
      <w:r w:rsidRPr="00204BC4">
        <w:rPr>
          <w:rFonts w:ascii="Century Gothic" w:hAnsi="Century Gothic"/>
          <w:b/>
        </w:rPr>
        <w:t>(ii)</w:t>
      </w:r>
      <w:r w:rsidRPr="00204BC4">
        <w:rPr>
          <w:rFonts w:ascii="Century Gothic" w:hAnsi="Century Gothic"/>
        </w:rPr>
        <w:t xml:space="preserve"> Baja del (los) Servicio (s) y de la facturación correspondiente.</w:t>
      </w:r>
    </w:p>
    <w:tbl>
      <w:tblPr>
        <w:tblW w:w="99.0%" w:type="pct"/>
        <w:tblInd w:w="0.20pt" w:type="dxa"/>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1"/>
      </w:tblPr>
      <w:tblGrid>
        <w:gridCol w:w="3476"/>
        <w:gridCol w:w="5824"/>
      </w:tblGrid>
      <w:tr w:rsidR="0061711D" w:rsidRPr="00204BC4" w:rsidTr="002E0A92">
        <w:trPr>
          <w:tblHeader/>
        </w:trPr>
        <w:tc>
          <w:tcPr>
            <w:tcW w:w="37.0%" w:type="pct"/>
            <w:shd w:val="clear" w:color="auto" w:fill="009AD9"/>
          </w:tcPr>
          <w:p w:rsidR="00277ED2" w:rsidRPr="00204BC4" w:rsidRDefault="00E56462" w:rsidP="00204BC4">
            <w:pPr>
              <w:pStyle w:val="IFTnormal"/>
              <w:spacing w:before="2pt" w:after="2pt"/>
              <w:jc w:val="center"/>
              <w:rPr>
                <w:rFonts w:ascii="Century Gothic" w:hAnsi="Century Gothic"/>
                <w:b/>
                <w:color w:val="FFFFFF" w:themeColor="background1"/>
                <w:sz w:val="20"/>
                <w:szCs w:val="20"/>
              </w:rPr>
            </w:pPr>
            <w:r w:rsidRPr="00204BC4">
              <w:rPr>
                <w:rFonts w:ascii="Century Gothic" w:hAnsi="Century Gothic"/>
                <w:b/>
                <w:color w:val="FFFFFF" w:themeColor="background1"/>
                <w:sz w:val="20"/>
                <w:szCs w:val="20"/>
              </w:rPr>
              <w:t>Etapa</w:t>
            </w:r>
          </w:p>
        </w:tc>
        <w:tc>
          <w:tcPr>
            <w:tcW w:w="62.0%" w:type="pct"/>
            <w:shd w:val="clear" w:color="auto" w:fill="009AD9"/>
          </w:tcPr>
          <w:p w:rsidR="00277ED2" w:rsidRPr="00204BC4" w:rsidRDefault="00E56462" w:rsidP="00204BC4">
            <w:pPr>
              <w:pStyle w:val="IFTnormal"/>
              <w:spacing w:before="2pt" w:after="2pt"/>
              <w:jc w:val="center"/>
              <w:rPr>
                <w:rFonts w:ascii="Century Gothic" w:hAnsi="Century Gothic"/>
                <w:b/>
                <w:color w:val="FFFFFF" w:themeColor="background1"/>
                <w:sz w:val="20"/>
                <w:szCs w:val="20"/>
              </w:rPr>
            </w:pPr>
            <w:r w:rsidRPr="00204BC4">
              <w:rPr>
                <w:rFonts w:ascii="Century Gothic" w:hAnsi="Century Gothic"/>
                <w:b/>
                <w:color w:val="FFFFFF" w:themeColor="background1"/>
                <w:sz w:val="20"/>
                <w:szCs w:val="20"/>
              </w:rPr>
              <w:t>Descripción</w:t>
            </w:r>
          </w:p>
        </w:tc>
      </w:tr>
      <w:tr w:rsidR="0061711D" w:rsidRPr="00204BC4" w:rsidTr="00277ED2">
        <w:tc>
          <w:tcPr>
            <w:tcW w:w="37.0%" w:type="pct"/>
            <w:shd w:val="clear" w:color="auto" w:fill="auto"/>
          </w:tcPr>
          <w:p w:rsidR="00277ED2" w:rsidRPr="00204BC4" w:rsidRDefault="00E56462" w:rsidP="00204BC4">
            <w:pPr>
              <w:pStyle w:val="IFTnormal"/>
              <w:spacing w:before="2pt" w:after="2pt"/>
              <w:jc w:val="start"/>
              <w:rPr>
                <w:rFonts w:ascii="Century Gothic" w:hAnsi="Century Gothic"/>
                <w:b/>
                <w:sz w:val="20"/>
                <w:szCs w:val="20"/>
              </w:rPr>
            </w:pPr>
            <w:r w:rsidRPr="00204BC4">
              <w:rPr>
                <w:rFonts w:ascii="Century Gothic" w:hAnsi="Century Gothic"/>
                <w:b/>
                <w:sz w:val="20"/>
                <w:szCs w:val="20"/>
              </w:rPr>
              <w:t>Envío y Validación de la solicitud</w:t>
            </w:r>
          </w:p>
        </w:tc>
        <w:tc>
          <w:tcPr>
            <w:tcW w:w="62.0%" w:type="pct"/>
            <w:shd w:val="clear" w:color="auto" w:fill="auto"/>
          </w:tcPr>
          <w:p w:rsidR="00277ED2" w:rsidRPr="00204BC4" w:rsidRDefault="00E56462" w:rsidP="00204BC4">
            <w:pPr>
              <w:pStyle w:val="IFTnormal"/>
              <w:spacing w:before="2pt" w:after="2pt"/>
              <w:rPr>
                <w:rFonts w:ascii="Century Gothic" w:hAnsi="Century Gothic"/>
                <w:sz w:val="20"/>
                <w:szCs w:val="20"/>
              </w:rPr>
            </w:pPr>
            <w:r w:rsidRPr="00204BC4">
              <w:rPr>
                <w:rFonts w:ascii="Century Gothic" w:hAnsi="Century Gothic"/>
                <w:sz w:val="20"/>
                <w:szCs w:val="20"/>
              </w:rPr>
              <w:t>El CS deberá presentar sus solicitudes en el formato correspondiente a través del SEG/SIPO, validando que cuenta con los elementos para la baja del servicio, seleccionando la siguiente información:</w:t>
            </w:r>
          </w:p>
          <w:p w:rsidR="00277ED2" w:rsidRPr="00204BC4" w:rsidRDefault="00E56462" w:rsidP="00204BC4">
            <w:pPr>
              <w:pStyle w:val="IFTnormal"/>
              <w:numPr>
                <w:ilvl w:val="0"/>
                <w:numId w:val="117"/>
              </w:numPr>
              <w:spacing w:before="2pt" w:after="2pt"/>
              <w:rPr>
                <w:rFonts w:ascii="Century Gothic" w:hAnsi="Century Gothic"/>
                <w:sz w:val="20"/>
                <w:szCs w:val="20"/>
              </w:rPr>
            </w:pPr>
            <w:r w:rsidRPr="00204BC4">
              <w:rPr>
                <w:rFonts w:ascii="Century Gothic" w:hAnsi="Century Gothic"/>
                <w:sz w:val="20"/>
                <w:szCs w:val="20"/>
              </w:rPr>
              <w:t>NIS de Referencia del Servicio en operación.</w:t>
            </w:r>
          </w:p>
          <w:p w:rsidR="00277ED2" w:rsidRPr="00204BC4" w:rsidRDefault="00E56462" w:rsidP="00204BC4">
            <w:pPr>
              <w:pStyle w:val="IFTnormal"/>
              <w:spacing w:before="2pt" w:after="2pt"/>
              <w:rPr>
                <w:rFonts w:ascii="Century Gothic" w:hAnsi="Century Gothic"/>
                <w:sz w:val="20"/>
                <w:szCs w:val="20"/>
              </w:rPr>
            </w:pPr>
            <w:r w:rsidRPr="00204BC4">
              <w:rPr>
                <w:rFonts w:ascii="Century Gothic" w:hAnsi="Century Gothic"/>
                <w:sz w:val="20"/>
                <w:szCs w:val="20"/>
              </w:rPr>
              <w:lastRenderedPageBreak/>
              <w:t>Una vez enviada la solicitud el SEG/SIPO asignará de forma automática el Folio de seguimiento.</w:t>
            </w:r>
          </w:p>
        </w:tc>
      </w:tr>
      <w:tr w:rsidR="0061711D" w:rsidRPr="00204BC4" w:rsidTr="00277ED2">
        <w:tc>
          <w:tcPr>
            <w:tcW w:w="37.0%" w:type="pct"/>
            <w:shd w:val="clear" w:color="auto" w:fill="auto"/>
          </w:tcPr>
          <w:p w:rsidR="00277ED2" w:rsidRPr="00204BC4" w:rsidRDefault="00E56462" w:rsidP="00204BC4">
            <w:pPr>
              <w:pStyle w:val="IFTnormal"/>
              <w:spacing w:before="2pt" w:after="2pt"/>
              <w:jc w:val="start"/>
              <w:rPr>
                <w:rFonts w:ascii="Century Gothic" w:hAnsi="Century Gothic"/>
                <w:b/>
                <w:sz w:val="20"/>
                <w:szCs w:val="20"/>
              </w:rPr>
            </w:pPr>
            <w:r w:rsidRPr="00204BC4">
              <w:rPr>
                <w:rFonts w:ascii="Century Gothic" w:hAnsi="Century Gothic"/>
                <w:b/>
                <w:sz w:val="20"/>
                <w:szCs w:val="20"/>
              </w:rPr>
              <w:lastRenderedPageBreak/>
              <w:t>Baja de servicio</w:t>
            </w:r>
          </w:p>
        </w:tc>
        <w:tc>
          <w:tcPr>
            <w:tcW w:w="62.0%" w:type="pct"/>
            <w:shd w:val="clear" w:color="auto" w:fill="auto"/>
          </w:tcPr>
          <w:p w:rsidR="00277ED2" w:rsidRPr="00204BC4" w:rsidRDefault="00E56462" w:rsidP="00204BC4">
            <w:pPr>
              <w:pStyle w:val="IFTnormal"/>
              <w:spacing w:before="2pt" w:after="2pt"/>
              <w:rPr>
                <w:rFonts w:ascii="Century Gothic" w:hAnsi="Century Gothic"/>
                <w:sz w:val="20"/>
                <w:szCs w:val="20"/>
              </w:rPr>
            </w:pPr>
            <w:r w:rsidRPr="00204BC4">
              <w:rPr>
                <w:rFonts w:ascii="Century Gothic" w:hAnsi="Century Gothic"/>
                <w:sz w:val="20"/>
                <w:szCs w:val="20"/>
              </w:rPr>
              <w:t>Una vez asignado el Folio el CS deberá retirar sus equipos en un plazo máximo de siete días hábiles. Retirados los equipos RED NACIONAL verificará que no existan afectaciones:</w:t>
            </w:r>
          </w:p>
          <w:p w:rsidR="00277ED2" w:rsidRPr="00204BC4" w:rsidRDefault="00E56462" w:rsidP="00204BC4">
            <w:pPr>
              <w:pStyle w:val="IFTnormal"/>
              <w:numPr>
                <w:ilvl w:val="0"/>
                <w:numId w:val="118"/>
              </w:numPr>
              <w:spacing w:before="2pt" w:after="2pt"/>
              <w:rPr>
                <w:rFonts w:ascii="Century Gothic" w:hAnsi="Century Gothic"/>
                <w:sz w:val="20"/>
                <w:szCs w:val="20"/>
              </w:rPr>
            </w:pPr>
            <w:r w:rsidRPr="00204BC4">
              <w:rPr>
                <w:rFonts w:ascii="Century Gothic" w:hAnsi="Century Gothic"/>
                <w:sz w:val="20"/>
                <w:szCs w:val="20"/>
              </w:rPr>
              <w:t>De no existir afectaciones, se finalizará la baja el Servicio correspondiente, se cerrará el folio en el SEG/SIPO.</w:t>
            </w:r>
          </w:p>
          <w:p w:rsidR="00277ED2" w:rsidRPr="00204BC4" w:rsidRDefault="00E56462" w:rsidP="00204BC4">
            <w:pPr>
              <w:pStyle w:val="Prrafodelista"/>
              <w:numPr>
                <w:ilvl w:val="0"/>
                <w:numId w:val="118"/>
              </w:numPr>
              <w:spacing w:before="2pt" w:after="2pt"/>
              <w:jc w:val="both"/>
              <w:rPr>
                <w:rFonts w:ascii="Century Gothic" w:hAnsi="Century Gothic" w:cs="Arial"/>
                <w:sz w:val="20"/>
                <w:szCs w:val="20"/>
              </w:rPr>
            </w:pPr>
            <w:r w:rsidRPr="00204BC4">
              <w:rPr>
                <w:rFonts w:ascii="Century Gothic" w:hAnsi="Century Gothic" w:cs="Arial"/>
                <w:sz w:val="20"/>
                <w:szCs w:val="20"/>
              </w:rPr>
              <w:t>En caso de existir afectaciones, el CS deberá resarcir los daños. Una vez realizado lo anterior, se finalizará la baja el Servicio correspondiente, se cerrará el folio en el SEG/SIPO.</w:t>
            </w:r>
          </w:p>
          <w:p w:rsidR="00277ED2" w:rsidRPr="00204BC4" w:rsidRDefault="00E56462" w:rsidP="00204BC4">
            <w:pPr>
              <w:spacing w:before="2pt" w:after="2pt"/>
              <w:jc w:val="both"/>
              <w:rPr>
                <w:rFonts w:ascii="Century Gothic" w:hAnsi="Century Gothic" w:cs="Arial"/>
                <w:sz w:val="20"/>
                <w:szCs w:val="20"/>
              </w:rPr>
            </w:pPr>
            <w:r w:rsidRPr="00204BC4">
              <w:rPr>
                <w:rFonts w:ascii="Century Gothic" w:hAnsi="Century Gothic"/>
                <w:sz w:val="20"/>
                <w:szCs w:val="20"/>
              </w:rPr>
              <w:t>RED NACIONAL</w:t>
            </w:r>
            <w:r w:rsidRPr="00204BC4">
              <w:rPr>
                <w:rFonts w:ascii="Century Gothic" w:hAnsi="Century Gothic" w:cs="Arial"/>
                <w:sz w:val="20"/>
                <w:szCs w:val="20"/>
              </w:rPr>
              <w:t xml:space="preserve"> procederá a dar de baja el servicio, así como los cargos al CS asociados.</w:t>
            </w:r>
          </w:p>
        </w:tc>
      </w:tr>
    </w:tbl>
    <w:p w:rsidR="0061711D" w:rsidRPr="00204BC4" w:rsidRDefault="00E56462" w:rsidP="00204BC4">
      <w:pPr>
        <w:pStyle w:val="xxxxNotadeCuadro1"/>
        <w:ind w:firstLine="0pt"/>
      </w:pPr>
      <w:r w:rsidRPr="00204BC4">
        <w:t xml:space="preserve">Nota: El CS deberá tomar en cuenta que no existe el esquema de rentas parciales sino sólo de rentas mensuales, por lo que no será posible realizar cobros parciales de los Servicios. </w:t>
      </w:r>
    </w:p>
    <w:p w:rsidR="00785FC3" w:rsidRPr="00204BC4" w:rsidRDefault="00785FC3" w:rsidP="00204BC4">
      <w:pPr>
        <w:pStyle w:val="IFTnormal"/>
        <w:rPr>
          <w:rFonts w:ascii="Century Gothic" w:hAnsi="Century Gothic"/>
          <w:b/>
        </w:rPr>
      </w:pPr>
    </w:p>
    <w:p w:rsidR="00785FC3" w:rsidRPr="00204BC4" w:rsidRDefault="00E56462" w:rsidP="00204BC4">
      <w:pPr>
        <w:pStyle w:val="IFTnormal"/>
        <w:spacing w:after="6pt"/>
        <w:rPr>
          <w:rFonts w:ascii="Century Gothic" w:hAnsi="Century Gothic"/>
        </w:rPr>
      </w:pPr>
      <w:r w:rsidRPr="00204BC4">
        <w:rPr>
          <w:rFonts w:ascii="Century Gothic" w:hAnsi="Century Gothic"/>
          <w:b/>
        </w:rPr>
        <w:t>Procedimiento para accesos a Coubicación por habilitación de Servicios.</w:t>
      </w:r>
    </w:p>
    <w:p w:rsidR="00277ED2" w:rsidRPr="00204BC4" w:rsidRDefault="00E56462" w:rsidP="00204BC4">
      <w:pPr>
        <w:pStyle w:val="IFTnormal"/>
        <w:spacing w:after="6pt"/>
        <w:rPr>
          <w:rFonts w:ascii="Century Gothic" w:hAnsi="Century Gothic"/>
        </w:rPr>
      </w:pPr>
      <w:r w:rsidRPr="00204BC4">
        <w:rPr>
          <w:rFonts w:ascii="Century Gothic" w:hAnsi="Century Gothic"/>
        </w:rPr>
        <w:t xml:space="preserve">El objetivo y alcance de este procedimiento es definir los pasos y actividades a desarrollar por parte de RED NACIONAL y del CS, a fin de tramitar el acceso a sus Coubicaciones; las fases en que se divide este procedimiento son: </w:t>
      </w:r>
      <w:r w:rsidRPr="00204BC4">
        <w:rPr>
          <w:rFonts w:ascii="Century Gothic" w:hAnsi="Century Gothic"/>
          <w:b/>
        </w:rPr>
        <w:t>(i)</w:t>
      </w:r>
      <w:r w:rsidRPr="00204BC4">
        <w:rPr>
          <w:rFonts w:ascii="Century Gothic" w:hAnsi="Century Gothic"/>
        </w:rPr>
        <w:t xml:space="preserve"> Envío de la solicitud a través del SEG/SIPO; y </w:t>
      </w:r>
      <w:r w:rsidRPr="00204BC4">
        <w:rPr>
          <w:rFonts w:ascii="Century Gothic" w:hAnsi="Century Gothic"/>
          <w:b/>
        </w:rPr>
        <w:t>(ii)</w:t>
      </w:r>
      <w:r w:rsidRPr="00204BC4">
        <w:rPr>
          <w:rFonts w:ascii="Century Gothic" w:hAnsi="Century Gothic"/>
        </w:rPr>
        <w:t xml:space="preserve"> Asignación del pase de acceso a la Coubicación.</w:t>
      </w:r>
    </w:p>
    <w:p w:rsidR="00277ED2" w:rsidRPr="00204BC4" w:rsidRDefault="00E56462" w:rsidP="00204BC4">
      <w:pPr>
        <w:autoSpaceDE w:val="0"/>
        <w:autoSpaceDN w:val="0"/>
        <w:adjustRightInd w:val="0"/>
        <w:spacing w:after="6pt"/>
        <w:ind w:start="18pt" w:hanging="18pt"/>
        <w:jc w:val="both"/>
        <w:rPr>
          <w:rFonts w:ascii="Century Gothic" w:hAnsi="Century Gothic" w:cs="Arial"/>
        </w:rPr>
      </w:pPr>
      <w:r w:rsidRPr="00204BC4">
        <w:rPr>
          <w:rFonts w:ascii="Century Gothic" w:eastAsia="Calibri" w:hAnsi="Century Gothic" w:cs="Arial"/>
        </w:rPr>
        <w:t>1)</w:t>
      </w:r>
      <w:r w:rsidRPr="00204BC4">
        <w:rPr>
          <w:rFonts w:ascii="Century Gothic" w:eastAsia="Calibri" w:hAnsi="Century Gothic" w:cs="Arial"/>
        </w:rPr>
        <w:tab/>
      </w:r>
      <w:r w:rsidRPr="00204BC4">
        <w:rPr>
          <w:rFonts w:ascii="Century Gothic" w:hAnsi="Century Gothic" w:cs="Arial"/>
        </w:rPr>
        <w:t>Cuando el CS necesite acceder a la Coubicación para habilitar algún Servicio de esta OREDA, deberá notificar vía telefónica al Centro de Atención a Operadores (CAO), e indicar el número de NIS de Referencia al cual está relacionada la Coubicación, señalando:</w:t>
      </w:r>
    </w:p>
    <w:p w:rsidR="00277ED2" w:rsidRPr="00204BC4" w:rsidRDefault="00E56462" w:rsidP="00204BC4">
      <w:pPr>
        <w:pStyle w:val="IFTnormal"/>
        <w:spacing w:after="6pt"/>
        <w:ind w:start="54pt" w:hanging="18pt"/>
        <w:rPr>
          <w:rFonts w:ascii="Century Gothic" w:hAnsi="Century Gothic"/>
        </w:rPr>
      </w:pPr>
      <w:r w:rsidRPr="00204BC4">
        <w:rPr>
          <w:rFonts w:ascii="Century Gothic" w:hAnsi="Century Gothic"/>
        </w:rPr>
        <w:t>a.</w:t>
      </w:r>
      <w:r w:rsidRPr="00204BC4">
        <w:rPr>
          <w:rFonts w:ascii="Century Gothic" w:hAnsi="Century Gothic"/>
        </w:rPr>
        <w:tab/>
        <w:t>Descripción detallada de las actividades a realizar;</w:t>
      </w:r>
    </w:p>
    <w:p w:rsidR="00277ED2" w:rsidRPr="00204BC4" w:rsidRDefault="00E56462" w:rsidP="00204BC4">
      <w:pPr>
        <w:pStyle w:val="IFTnormal"/>
        <w:spacing w:after="6pt"/>
        <w:ind w:start="54pt" w:hanging="18pt"/>
        <w:rPr>
          <w:rFonts w:ascii="Century Gothic" w:hAnsi="Century Gothic"/>
        </w:rPr>
      </w:pPr>
      <w:r w:rsidRPr="00204BC4">
        <w:rPr>
          <w:rFonts w:ascii="Century Gothic" w:hAnsi="Century Gothic"/>
        </w:rPr>
        <w:t>b.</w:t>
      </w:r>
      <w:r w:rsidRPr="00204BC4">
        <w:rPr>
          <w:rFonts w:ascii="Century Gothic" w:hAnsi="Century Gothic"/>
        </w:rPr>
        <w:tab/>
        <w:t>Servicio que será habilitado;</w:t>
      </w:r>
    </w:p>
    <w:p w:rsidR="00277ED2" w:rsidRPr="00204BC4" w:rsidRDefault="00E56462" w:rsidP="00204BC4">
      <w:pPr>
        <w:pStyle w:val="IFTnormal"/>
        <w:spacing w:after="6pt"/>
        <w:ind w:start="54pt" w:hanging="18pt"/>
        <w:rPr>
          <w:rFonts w:ascii="Century Gothic" w:hAnsi="Century Gothic"/>
        </w:rPr>
      </w:pPr>
      <w:r w:rsidRPr="00204BC4">
        <w:rPr>
          <w:rFonts w:ascii="Century Gothic" w:hAnsi="Century Gothic"/>
        </w:rPr>
        <w:t>c.</w:t>
      </w:r>
      <w:r w:rsidRPr="00204BC4">
        <w:rPr>
          <w:rFonts w:ascii="Century Gothic" w:hAnsi="Century Gothic"/>
        </w:rPr>
        <w:tab/>
        <w:t>Datos de contacto.</w:t>
      </w:r>
    </w:p>
    <w:p w:rsidR="00277ED2" w:rsidRPr="00204BC4" w:rsidRDefault="00E56462" w:rsidP="00204BC4">
      <w:pPr>
        <w:autoSpaceDE w:val="0"/>
        <w:autoSpaceDN w:val="0"/>
        <w:adjustRightInd w:val="0"/>
        <w:ind w:start="18pt" w:hanging="18pt"/>
        <w:jc w:val="both"/>
        <w:rPr>
          <w:rFonts w:ascii="Century Gothic" w:hAnsi="Century Gothic" w:cs="Arial"/>
        </w:rPr>
      </w:pPr>
      <w:r w:rsidRPr="00204BC4">
        <w:rPr>
          <w:rFonts w:ascii="Century Gothic" w:eastAsia="Calibri" w:hAnsi="Century Gothic" w:cs="Arial"/>
        </w:rPr>
        <w:t>2)</w:t>
      </w:r>
      <w:r w:rsidRPr="00204BC4">
        <w:rPr>
          <w:rFonts w:ascii="Century Gothic" w:eastAsia="Calibri" w:hAnsi="Century Gothic" w:cs="Arial"/>
        </w:rPr>
        <w:tab/>
      </w:r>
      <w:r w:rsidRPr="00204BC4">
        <w:rPr>
          <w:rFonts w:ascii="Century Gothic" w:hAnsi="Century Gothic" w:cs="Arial"/>
          <w:lang w:eastAsia="es-MX"/>
        </w:rPr>
        <w:t>Responderá</w:t>
      </w:r>
      <w:r w:rsidRPr="00204BC4">
        <w:rPr>
          <w:rFonts w:ascii="Century Gothic" w:hAnsi="Century Gothic" w:cs="Arial"/>
        </w:rPr>
        <w:t xml:space="preserve"> en un plazo máximo de dos días hábiles después de haber sido recibida la notificación y le será asignado al CS un pase de acceso a la Coubicación. </w:t>
      </w:r>
    </w:p>
    <w:p w:rsidR="00785FC3" w:rsidRPr="00204BC4" w:rsidRDefault="00785FC3" w:rsidP="00204BC4">
      <w:pPr>
        <w:pStyle w:val="IFTnormal"/>
        <w:rPr>
          <w:rFonts w:ascii="Century Gothic" w:hAnsi="Century Gothic"/>
          <w:b/>
        </w:rPr>
      </w:pPr>
    </w:p>
    <w:p w:rsidR="00785FC3" w:rsidRPr="00204BC4" w:rsidRDefault="00E56462" w:rsidP="00204BC4">
      <w:pPr>
        <w:pStyle w:val="IFTnormal"/>
        <w:spacing w:after="6pt"/>
        <w:rPr>
          <w:rFonts w:ascii="Century Gothic" w:hAnsi="Century Gothic"/>
        </w:rPr>
      </w:pPr>
      <w:r w:rsidRPr="00204BC4">
        <w:rPr>
          <w:rFonts w:ascii="Century Gothic" w:hAnsi="Century Gothic"/>
          <w:b/>
        </w:rPr>
        <w:t>Procedimiento para accesos a Coubicación por falla.</w:t>
      </w:r>
    </w:p>
    <w:p w:rsidR="00277ED2" w:rsidRPr="00204BC4" w:rsidRDefault="00E56462" w:rsidP="00204BC4">
      <w:pPr>
        <w:pStyle w:val="IFTnormal"/>
        <w:spacing w:after="6pt"/>
        <w:rPr>
          <w:rFonts w:ascii="Century Gothic" w:hAnsi="Century Gothic"/>
        </w:rPr>
      </w:pPr>
      <w:r w:rsidRPr="00204BC4">
        <w:rPr>
          <w:rFonts w:ascii="Century Gothic" w:hAnsi="Century Gothic"/>
        </w:rPr>
        <w:t xml:space="preserve">El objetivo y alcance de este procedimiento es definir los pasos y actividades a desarrollar por parte de RED NACIONAL y del CS, a fin de tramitar el acceso a sus Coubicaciones derivado de una falla en los Servicios; las fases en que se divide este </w:t>
      </w:r>
      <w:r w:rsidRPr="00204BC4">
        <w:rPr>
          <w:rFonts w:ascii="Century Gothic" w:hAnsi="Century Gothic"/>
        </w:rPr>
        <w:lastRenderedPageBreak/>
        <w:t xml:space="preserve">procedimiento son: </w:t>
      </w:r>
      <w:r w:rsidRPr="00204BC4">
        <w:rPr>
          <w:rFonts w:ascii="Century Gothic" w:hAnsi="Century Gothic"/>
          <w:b/>
        </w:rPr>
        <w:t>(i)</w:t>
      </w:r>
      <w:r w:rsidRPr="00204BC4">
        <w:rPr>
          <w:rFonts w:ascii="Century Gothic" w:hAnsi="Century Gothic"/>
        </w:rPr>
        <w:t xml:space="preserve"> Envío de la solicitud a través del SEG/SIPO; y </w:t>
      </w:r>
      <w:r w:rsidRPr="00204BC4">
        <w:rPr>
          <w:rFonts w:ascii="Century Gothic" w:hAnsi="Century Gothic"/>
          <w:b/>
        </w:rPr>
        <w:t>(ii)</w:t>
      </w:r>
      <w:r w:rsidRPr="00204BC4">
        <w:rPr>
          <w:rFonts w:ascii="Century Gothic" w:hAnsi="Century Gothic"/>
        </w:rPr>
        <w:t xml:space="preserve"> Asignación del pase de acceso a la Coubicación.</w:t>
      </w:r>
    </w:p>
    <w:p w:rsidR="00277ED2" w:rsidRPr="00204BC4" w:rsidRDefault="00E56462" w:rsidP="00204BC4">
      <w:pPr>
        <w:autoSpaceDE w:val="0"/>
        <w:autoSpaceDN w:val="0"/>
        <w:adjustRightInd w:val="0"/>
        <w:spacing w:after="6pt"/>
        <w:ind w:start="18pt" w:hanging="18pt"/>
        <w:jc w:val="both"/>
        <w:rPr>
          <w:rFonts w:ascii="Century Gothic" w:hAnsi="Century Gothic" w:cs="Arial"/>
        </w:rPr>
      </w:pPr>
      <w:r w:rsidRPr="00204BC4">
        <w:rPr>
          <w:rFonts w:ascii="Century Gothic" w:eastAsia="Calibri" w:hAnsi="Century Gothic" w:cs="Arial"/>
        </w:rPr>
        <w:t>1)</w:t>
      </w:r>
      <w:r w:rsidRPr="00204BC4">
        <w:rPr>
          <w:rFonts w:ascii="Century Gothic" w:eastAsia="Calibri" w:hAnsi="Century Gothic" w:cs="Arial"/>
        </w:rPr>
        <w:tab/>
      </w:r>
      <w:r w:rsidRPr="00204BC4">
        <w:rPr>
          <w:rFonts w:ascii="Century Gothic" w:hAnsi="Century Gothic" w:cs="Arial"/>
        </w:rPr>
        <w:t>Cuando el CS necesite acceder a la Coubicación para reparar alguna falla, deberá notificar vía telefónica al Centro de Atención a Operadores (CAO), e indicar el número de NIS de Referencia al cual está relacionada la Coubicación.</w:t>
      </w:r>
    </w:p>
    <w:p w:rsidR="00277ED2" w:rsidRPr="00204BC4" w:rsidRDefault="00E56462" w:rsidP="00204BC4">
      <w:pPr>
        <w:autoSpaceDE w:val="0"/>
        <w:autoSpaceDN w:val="0"/>
        <w:adjustRightInd w:val="0"/>
        <w:ind w:start="18pt" w:hanging="18pt"/>
        <w:jc w:val="both"/>
        <w:rPr>
          <w:rFonts w:ascii="Century Gothic" w:hAnsi="Century Gothic" w:cs="Arial"/>
        </w:rPr>
      </w:pPr>
      <w:r w:rsidRPr="00204BC4">
        <w:rPr>
          <w:rFonts w:ascii="Century Gothic" w:eastAsia="Calibri" w:hAnsi="Century Gothic" w:cs="Arial"/>
        </w:rPr>
        <w:t>2)</w:t>
      </w:r>
      <w:r w:rsidRPr="00204BC4">
        <w:rPr>
          <w:rFonts w:ascii="Century Gothic" w:eastAsia="Calibri" w:hAnsi="Century Gothic" w:cs="Arial"/>
        </w:rPr>
        <w:tab/>
      </w:r>
      <w:r w:rsidRPr="00204BC4">
        <w:rPr>
          <w:rFonts w:ascii="Century Gothic" w:hAnsi="Century Gothic"/>
        </w:rPr>
        <w:t>RED NACIONAL</w:t>
      </w:r>
      <w:r w:rsidRPr="00204BC4">
        <w:rPr>
          <w:rFonts w:ascii="Century Gothic" w:hAnsi="Century Gothic" w:cs="Arial"/>
        </w:rPr>
        <w:t xml:space="preserve"> responderá en un plazo máximo de dos horas, posteriores a la recepción de la notificación debiendo asignar al CS un pase de acceso a la Coubicación. </w:t>
      </w:r>
    </w:p>
    <w:p w:rsidR="00960253" w:rsidRPr="00204BC4" w:rsidRDefault="00960253" w:rsidP="00204BC4">
      <w:pPr>
        <w:pStyle w:val="IFTnormal"/>
        <w:rPr>
          <w:rFonts w:ascii="Century Gothic" w:hAnsi="Century Gothic"/>
          <w:b/>
        </w:rPr>
      </w:pPr>
    </w:p>
    <w:p w:rsidR="00785FC3" w:rsidRPr="00204BC4" w:rsidRDefault="00E56462" w:rsidP="00204BC4">
      <w:pPr>
        <w:pStyle w:val="IFTnormal"/>
        <w:spacing w:after="6pt"/>
        <w:rPr>
          <w:rFonts w:ascii="Century Gothic" w:hAnsi="Century Gothic"/>
        </w:rPr>
      </w:pPr>
      <w:r w:rsidRPr="00204BC4">
        <w:rPr>
          <w:rFonts w:ascii="Century Gothic" w:hAnsi="Century Gothic"/>
          <w:b/>
        </w:rPr>
        <w:t>Procedimiento para mantenimiento programado.</w:t>
      </w:r>
    </w:p>
    <w:p w:rsidR="00277ED2" w:rsidRPr="00204BC4" w:rsidRDefault="00E56462" w:rsidP="00204BC4">
      <w:pPr>
        <w:pStyle w:val="IFTnormal"/>
        <w:spacing w:after="6pt"/>
        <w:rPr>
          <w:rFonts w:ascii="Century Gothic" w:hAnsi="Century Gothic"/>
        </w:rPr>
      </w:pPr>
      <w:r w:rsidRPr="00204BC4">
        <w:rPr>
          <w:rFonts w:ascii="Century Gothic" w:hAnsi="Century Gothic"/>
        </w:rPr>
        <w:t xml:space="preserve">El objetivo y alcance de este procedimiento es definir los pasos y actividades a desarrollar por parte de RED NACIONAL y del CS, a fin de tramitar el acceso a sus Coubicaciones derivado de un mantenimiento programado en su Coubicación; las fases en que se divide este procedimiento son: </w:t>
      </w:r>
      <w:r w:rsidRPr="00204BC4">
        <w:rPr>
          <w:rFonts w:ascii="Century Gothic" w:hAnsi="Century Gothic"/>
          <w:b/>
        </w:rPr>
        <w:t>(i)</w:t>
      </w:r>
      <w:r w:rsidRPr="00204BC4">
        <w:rPr>
          <w:rFonts w:ascii="Century Gothic" w:hAnsi="Century Gothic"/>
        </w:rPr>
        <w:t xml:space="preserve"> Solicitud vía telefónica; y </w:t>
      </w:r>
      <w:r w:rsidRPr="00204BC4">
        <w:rPr>
          <w:rFonts w:ascii="Century Gothic" w:hAnsi="Century Gothic"/>
          <w:b/>
        </w:rPr>
        <w:t>(ii)</w:t>
      </w:r>
      <w:r w:rsidRPr="00204BC4">
        <w:rPr>
          <w:rFonts w:ascii="Century Gothic" w:hAnsi="Century Gothic"/>
        </w:rPr>
        <w:t xml:space="preserve"> Asignación del pase de acceso a la Coubicación.</w:t>
      </w:r>
    </w:p>
    <w:p w:rsidR="00277ED2" w:rsidRPr="00204BC4" w:rsidRDefault="00E56462" w:rsidP="00204BC4">
      <w:pPr>
        <w:pStyle w:val="IFTnormal"/>
        <w:spacing w:after="6pt"/>
        <w:rPr>
          <w:rFonts w:ascii="Century Gothic" w:hAnsi="Century Gothic"/>
        </w:rPr>
      </w:pPr>
      <w:r w:rsidRPr="00204BC4">
        <w:rPr>
          <w:rFonts w:ascii="Century Gothic" w:hAnsi="Century Gothic"/>
        </w:rPr>
        <w:t>Cuando el CS requiera realizar actividades de mantenimiento sobre los elementos instalados en su Coubicación, deberá:</w:t>
      </w:r>
    </w:p>
    <w:p w:rsidR="00277ED2" w:rsidRPr="00204BC4" w:rsidRDefault="00E56462" w:rsidP="00204BC4">
      <w:pPr>
        <w:pStyle w:val="IFTnormal"/>
        <w:spacing w:after="6pt"/>
        <w:ind w:start="18pt" w:hanging="18pt"/>
        <w:rPr>
          <w:rFonts w:ascii="Century Gothic" w:hAnsi="Century Gothic"/>
        </w:rPr>
      </w:pPr>
      <w:r w:rsidRPr="00204BC4">
        <w:rPr>
          <w:rFonts w:ascii="Century Gothic" w:hAnsi="Century Gothic"/>
        </w:rPr>
        <w:t>1.</w:t>
      </w:r>
      <w:r w:rsidRPr="00204BC4">
        <w:rPr>
          <w:rFonts w:ascii="Century Gothic" w:hAnsi="Century Gothic"/>
        </w:rPr>
        <w:tab/>
        <w:t>Dar aviso con diez días hábiles de anticipación a través del Centro de Atención a Operadores (CAO) de RED NACIONAL. Dicho aviso deberá contener:</w:t>
      </w:r>
    </w:p>
    <w:p w:rsidR="00277ED2" w:rsidRPr="00204BC4" w:rsidRDefault="00E56462" w:rsidP="00204BC4">
      <w:pPr>
        <w:pStyle w:val="IFTnormal"/>
        <w:spacing w:after="6pt"/>
        <w:ind w:start="54pt" w:hanging="18pt"/>
        <w:rPr>
          <w:rFonts w:ascii="Century Gothic" w:hAnsi="Century Gothic"/>
        </w:rPr>
      </w:pPr>
      <w:r w:rsidRPr="00204BC4">
        <w:rPr>
          <w:rFonts w:ascii="Century Gothic" w:hAnsi="Century Gothic"/>
        </w:rPr>
        <w:t>a.</w:t>
      </w:r>
      <w:r w:rsidRPr="00204BC4">
        <w:rPr>
          <w:rFonts w:ascii="Century Gothic" w:hAnsi="Century Gothic"/>
        </w:rPr>
        <w:tab/>
        <w:t>Descripción detallada de las actividades a realizar;</w:t>
      </w:r>
    </w:p>
    <w:p w:rsidR="00277ED2" w:rsidRPr="00204BC4" w:rsidRDefault="00E56462" w:rsidP="00204BC4">
      <w:pPr>
        <w:pStyle w:val="IFTnormal"/>
        <w:spacing w:after="6pt"/>
        <w:ind w:start="54pt" w:hanging="18pt"/>
        <w:rPr>
          <w:rFonts w:ascii="Century Gothic" w:hAnsi="Century Gothic"/>
        </w:rPr>
      </w:pPr>
      <w:r w:rsidRPr="00204BC4">
        <w:rPr>
          <w:rFonts w:ascii="Century Gothic" w:hAnsi="Century Gothic"/>
        </w:rPr>
        <w:t>b.</w:t>
      </w:r>
      <w:r w:rsidRPr="00204BC4">
        <w:rPr>
          <w:rFonts w:ascii="Century Gothic" w:hAnsi="Century Gothic"/>
        </w:rPr>
        <w:tab/>
        <w:t>Coubicación que será intervenida;</w:t>
      </w:r>
    </w:p>
    <w:p w:rsidR="00277ED2" w:rsidRPr="00204BC4" w:rsidRDefault="00E56462" w:rsidP="00204BC4">
      <w:pPr>
        <w:pStyle w:val="IFTnormal"/>
        <w:spacing w:after="6pt"/>
        <w:ind w:start="54pt" w:hanging="18pt"/>
        <w:rPr>
          <w:rFonts w:ascii="Century Gothic" w:hAnsi="Century Gothic"/>
        </w:rPr>
      </w:pPr>
      <w:r w:rsidRPr="00204BC4">
        <w:rPr>
          <w:rFonts w:ascii="Century Gothic" w:hAnsi="Century Gothic"/>
        </w:rPr>
        <w:t>c.</w:t>
      </w:r>
      <w:r w:rsidRPr="00204BC4">
        <w:rPr>
          <w:rFonts w:ascii="Century Gothic" w:hAnsi="Century Gothic"/>
        </w:rPr>
        <w:tab/>
        <w:t>Programa de actividades, detallando horarios, fechas y</w:t>
      </w:r>
    </w:p>
    <w:p w:rsidR="00277ED2" w:rsidRPr="00204BC4" w:rsidRDefault="00E56462" w:rsidP="00204BC4">
      <w:pPr>
        <w:pStyle w:val="IFTnormal"/>
        <w:spacing w:after="6pt"/>
        <w:ind w:start="54pt" w:hanging="18pt"/>
        <w:rPr>
          <w:rFonts w:ascii="Century Gothic" w:hAnsi="Century Gothic"/>
        </w:rPr>
      </w:pPr>
      <w:r w:rsidRPr="00204BC4">
        <w:rPr>
          <w:rFonts w:ascii="Century Gothic" w:hAnsi="Century Gothic"/>
        </w:rPr>
        <w:t>d.</w:t>
      </w:r>
      <w:r w:rsidRPr="00204BC4">
        <w:rPr>
          <w:rFonts w:ascii="Century Gothic" w:hAnsi="Century Gothic"/>
        </w:rPr>
        <w:tab/>
        <w:t>Datos de contacto.</w:t>
      </w:r>
    </w:p>
    <w:p w:rsidR="00277ED2" w:rsidRPr="00204BC4" w:rsidRDefault="00E56462" w:rsidP="00204BC4">
      <w:pPr>
        <w:pStyle w:val="IFTnormal"/>
        <w:spacing w:after="6pt"/>
        <w:ind w:start="18pt" w:hanging="18pt"/>
        <w:rPr>
          <w:rFonts w:ascii="Century Gothic" w:hAnsi="Century Gothic"/>
        </w:rPr>
      </w:pPr>
      <w:r w:rsidRPr="00204BC4">
        <w:rPr>
          <w:rFonts w:ascii="Century Gothic" w:hAnsi="Century Gothic"/>
        </w:rPr>
        <w:t>2.</w:t>
      </w:r>
      <w:r w:rsidRPr="00204BC4">
        <w:rPr>
          <w:rFonts w:ascii="Century Gothic" w:hAnsi="Century Gothic"/>
        </w:rPr>
        <w:tab/>
        <w:t>RED NACIONAL dará contestación dentro de un plazo máximo de dos días hábiles con la autorización correspondiente.</w:t>
      </w:r>
    </w:p>
    <w:p w:rsidR="00277ED2" w:rsidRPr="00204BC4" w:rsidRDefault="00277ED2" w:rsidP="00204BC4">
      <w:pPr>
        <w:pStyle w:val="IFTnormal"/>
        <w:spacing w:after="6pt"/>
        <w:ind w:start="36pt"/>
        <w:rPr>
          <w:rFonts w:ascii="Century Gothic" w:hAnsi="Century Gothic"/>
          <w:sz w:val="16"/>
        </w:rPr>
      </w:pPr>
    </w:p>
    <w:p w:rsidR="00277ED2" w:rsidRPr="00204BC4" w:rsidRDefault="00E56462" w:rsidP="00204BC4">
      <w:pPr>
        <w:pStyle w:val="Ttulo2"/>
        <w:spacing w:after="6pt"/>
        <w:rPr>
          <w:rFonts w:ascii="Century Gothic" w:hAnsi="Century Gothic"/>
        </w:rPr>
      </w:pPr>
      <w:bookmarkStart w:id="1903" w:name="_Toc396337602"/>
      <w:bookmarkStart w:id="1904" w:name="_Toc436840927"/>
      <w:bookmarkStart w:id="1905" w:name="_Toc436846364"/>
      <w:bookmarkStart w:id="1906" w:name="_Toc436848314"/>
      <w:bookmarkStart w:id="1907" w:name="_Toc436856562"/>
      <w:bookmarkStart w:id="1908" w:name="_Toc436862708"/>
      <w:bookmarkStart w:id="1909" w:name="_Toc436866358"/>
      <w:bookmarkStart w:id="1910" w:name="_Toc436870937"/>
      <w:bookmarkStart w:id="1911" w:name="_Toc436875929"/>
      <w:bookmarkStart w:id="1912" w:name="_Toc467248762"/>
      <w:bookmarkStart w:id="1913" w:name="_Toc525904648"/>
      <w:bookmarkStart w:id="1914" w:name="_Toc525914044"/>
      <w:bookmarkStart w:id="1915" w:name="_Toc525919283"/>
      <w:bookmarkStart w:id="1916" w:name="_Toc525919407"/>
      <w:bookmarkStart w:id="1917" w:name="_Toc2957217"/>
      <w:bookmarkStart w:id="1918" w:name="_Toc24473517"/>
      <w:bookmarkStart w:id="1919" w:name="_Toc24477645"/>
      <w:bookmarkStart w:id="1920" w:name="_Toc24483911"/>
      <w:bookmarkStart w:id="1921" w:name="_Toc26273123"/>
      <w:bookmarkStart w:id="1922" w:name="_Toc26284520"/>
      <w:bookmarkStart w:id="1923" w:name="_Toc26286275"/>
      <w:bookmarkStart w:id="1924" w:name="_Toc26903979"/>
      <w:bookmarkStart w:id="1925" w:name="_Toc43913219"/>
      <w:bookmarkStart w:id="1926" w:name="_Toc26980703"/>
      <w:bookmarkStart w:id="1927" w:name="_Toc53488555"/>
      <w:bookmarkStart w:id="1928" w:name="_Toc53490487"/>
      <w:bookmarkStart w:id="1929" w:name="_Toc53498495"/>
      <w:bookmarkStart w:id="1930" w:name="_Toc58578852"/>
      <w:bookmarkStart w:id="1931" w:name="_Toc92974078"/>
      <w:bookmarkStart w:id="1932" w:name="_Toc93052389"/>
      <w:bookmarkStart w:id="1933" w:name="_Toc93056344"/>
      <w:bookmarkStart w:id="1934" w:name="_Toc125393408"/>
      <w:bookmarkStart w:id="1935" w:name="_Toc148702264"/>
      <w:bookmarkStart w:id="1936" w:name="_Toc170381880"/>
      <w:r w:rsidRPr="00204BC4">
        <w:rPr>
          <w:rFonts w:ascii="Century Gothic" w:hAnsi="Century Gothic"/>
        </w:rPr>
        <w:t>1</w:t>
      </w:r>
      <w:r w:rsidR="00230EF7">
        <w:rPr>
          <w:rFonts w:ascii="Century Gothic" w:hAnsi="Century Gothic"/>
        </w:rPr>
        <w:t>1</w:t>
      </w:r>
      <w:r w:rsidRPr="00204BC4">
        <w:rPr>
          <w:rFonts w:ascii="Century Gothic" w:hAnsi="Century Gothic"/>
        </w:rPr>
        <w:t>.6 Plazos de Entrega</w:t>
      </w:r>
      <w:bookmarkEnd w:id="1903"/>
      <w:r w:rsidRPr="00204BC4">
        <w:rPr>
          <w:rFonts w:ascii="Century Gothic" w:hAnsi="Century Gothic"/>
        </w:rPr>
        <w:t xml:space="preserve"> de Coubicación</w:t>
      </w:r>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r w:rsidRPr="00204BC4">
        <w:rPr>
          <w:rFonts w:ascii="Century Gothic" w:hAnsi="Century Gothic"/>
        </w:rPr>
        <w:t>.</w:t>
      </w:r>
    </w:p>
    <w:p w:rsidR="00277ED2" w:rsidRPr="00611019" w:rsidRDefault="00E56462">
      <w:pPr>
        <w:pStyle w:val="Prrafodelista"/>
        <w:numPr>
          <w:ilvl w:val="0"/>
          <w:numId w:val="119"/>
        </w:numPr>
        <w:jc w:val="both"/>
        <w:rPr>
          <w:rFonts w:ascii="Century Gothic" w:hAnsi="Century Gothic" w:cs="Arial"/>
        </w:rPr>
      </w:pPr>
      <w:r>
        <w:rPr>
          <w:rFonts w:ascii="Century Gothic" w:hAnsi="Century Gothic" w:cs="Arial"/>
        </w:rPr>
        <w:t xml:space="preserve">Validación de la solicitud junto con validación de la factibilidad en máximo cinco días hábiles. </w:t>
      </w:r>
    </w:p>
    <w:p w:rsidR="00277ED2" w:rsidRPr="00611019" w:rsidRDefault="00E56462">
      <w:pPr>
        <w:pStyle w:val="IFTnormal"/>
        <w:numPr>
          <w:ilvl w:val="0"/>
          <w:numId w:val="119"/>
        </w:numPr>
        <w:rPr>
          <w:rFonts w:ascii="Century Gothic" w:hAnsi="Century Gothic"/>
        </w:rPr>
      </w:pPr>
      <w:r>
        <w:rPr>
          <w:rFonts w:ascii="Century Gothic" w:hAnsi="Century Gothic"/>
        </w:rPr>
        <w:t>Verificación de la factibilidad técnica para reasignación de espacios: cinco días hábiles.</w:t>
      </w:r>
    </w:p>
    <w:p w:rsidR="00277ED2" w:rsidRPr="00611019" w:rsidRDefault="00E56462">
      <w:pPr>
        <w:pStyle w:val="IFTnormal"/>
        <w:numPr>
          <w:ilvl w:val="0"/>
          <w:numId w:val="119"/>
        </w:numPr>
        <w:rPr>
          <w:rFonts w:ascii="Century Gothic" w:hAnsi="Century Gothic"/>
        </w:rPr>
      </w:pPr>
      <w:r>
        <w:rPr>
          <w:rFonts w:ascii="Century Gothic" w:hAnsi="Century Gothic"/>
        </w:rPr>
        <w:t>Verificación de la factibilidad técnica para recuperación de espacios: cinco días hábiles.</w:t>
      </w:r>
    </w:p>
    <w:p w:rsidR="00277ED2" w:rsidRPr="00611019" w:rsidRDefault="00E56462">
      <w:pPr>
        <w:pStyle w:val="IFTnormal"/>
        <w:numPr>
          <w:ilvl w:val="0"/>
          <w:numId w:val="119"/>
        </w:numPr>
        <w:rPr>
          <w:rFonts w:ascii="Century Gothic" w:hAnsi="Century Gothic"/>
        </w:rPr>
      </w:pPr>
      <w:r>
        <w:rPr>
          <w:rFonts w:ascii="Century Gothic" w:hAnsi="Century Gothic"/>
        </w:rPr>
        <w:t>Entrega de Coubicación nueva (validación de la solicitud, verificación de factibilidad técnica y construcción): 62 días hábiles, los cuales contabilizarán a partir de la solicitud.</w:t>
      </w:r>
    </w:p>
    <w:p w:rsidR="00277ED2" w:rsidRPr="00611019" w:rsidRDefault="00E56462">
      <w:pPr>
        <w:pStyle w:val="IFTnormal"/>
        <w:numPr>
          <w:ilvl w:val="0"/>
          <w:numId w:val="120"/>
        </w:numPr>
        <w:rPr>
          <w:rFonts w:ascii="Century Gothic" w:hAnsi="Century Gothic"/>
        </w:rPr>
      </w:pPr>
      <w:r>
        <w:rPr>
          <w:rFonts w:ascii="Century Gothic" w:hAnsi="Century Gothic"/>
        </w:rPr>
        <w:lastRenderedPageBreak/>
        <w:t>Entrega de modificación a Coubicación existente (validación de la solicitud, verificación de factibilidad técnica y construcción): 32 días hábiles, a partir de la solicitud.</w:t>
      </w:r>
    </w:p>
    <w:p w:rsidR="00277ED2" w:rsidRPr="00611019" w:rsidRDefault="00E56462">
      <w:pPr>
        <w:pStyle w:val="IFTnormal"/>
        <w:numPr>
          <w:ilvl w:val="0"/>
          <w:numId w:val="120"/>
        </w:numPr>
        <w:rPr>
          <w:rFonts w:ascii="Century Gothic" w:hAnsi="Century Gothic"/>
        </w:rPr>
      </w:pPr>
      <w:r>
        <w:rPr>
          <w:rFonts w:ascii="Century Gothic" w:hAnsi="Century Gothic"/>
        </w:rPr>
        <w:t>Reasignación de espacio: Due date.</w:t>
      </w:r>
    </w:p>
    <w:p w:rsidR="00277ED2" w:rsidRPr="00611019" w:rsidRDefault="00E56462">
      <w:pPr>
        <w:pStyle w:val="IFTnormal"/>
        <w:numPr>
          <w:ilvl w:val="0"/>
          <w:numId w:val="120"/>
        </w:numPr>
        <w:rPr>
          <w:rFonts w:ascii="Century Gothic" w:hAnsi="Century Gothic"/>
        </w:rPr>
      </w:pPr>
      <w:r>
        <w:rPr>
          <w:rFonts w:ascii="Century Gothic" w:hAnsi="Century Gothic"/>
        </w:rPr>
        <w:t>Recuperación de espacio: Due date.</w:t>
      </w:r>
    </w:p>
    <w:p w:rsidR="00277ED2" w:rsidRPr="00611019" w:rsidRDefault="00E56462">
      <w:pPr>
        <w:pStyle w:val="IFTnormal"/>
        <w:numPr>
          <w:ilvl w:val="0"/>
          <w:numId w:val="120"/>
        </w:numPr>
        <w:rPr>
          <w:rFonts w:ascii="Century Gothic" w:hAnsi="Century Gothic"/>
        </w:rPr>
      </w:pPr>
      <w:r>
        <w:rPr>
          <w:rFonts w:ascii="Century Gothic" w:hAnsi="Century Gothic"/>
        </w:rPr>
        <w:t>Reubicación por Cierre de Centrales Telefónicas: Due date.</w:t>
      </w:r>
    </w:p>
    <w:p w:rsidR="00277ED2" w:rsidRPr="00611019" w:rsidRDefault="00E56462">
      <w:pPr>
        <w:pStyle w:val="IFTnormal"/>
        <w:numPr>
          <w:ilvl w:val="0"/>
          <w:numId w:val="120"/>
        </w:numPr>
        <w:rPr>
          <w:rFonts w:ascii="Century Gothic" w:hAnsi="Century Gothic"/>
        </w:rPr>
      </w:pPr>
      <w:r>
        <w:rPr>
          <w:rFonts w:ascii="Century Gothic" w:hAnsi="Century Gothic"/>
        </w:rPr>
        <w:t>Autorización de acceso a Coubicación para habilitación de servicio: dos días hábiles.</w:t>
      </w:r>
    </w:p>
    <w:p w:rsidR="00277ED2" w:rsidRPr="00611019" w:rsidRDefault="00E56462">
      <w:pPr>
        <w:pStyle w:val="IFTnormal"/>
        <w:numPr>
          <w:ilvl w:val="0"/>
          <w:numId w:val="120"/>
        </w:numPr>
        <w:rPr>
          <w:rFonts w:ascii="Century Gothic" w:hAnsi="Century Gothic"/>
        </w:rPr>
      </w:pPr>
      <w:r>
        <w:rPr>
          <w:rFonts w:ascii="Century Gothic" w:hAnsi="Century Gothic"/>
        </w:rPr>
        <w:t>Autorización de acceso a Coubicación por falla: dos horas.</w:t>
      </w:r>
    </w:p>
    <w:p w:rsidR="00277ED2" w:rsidRPr="00611019" w:rsidRDefault="00E56462">
      <w:pPr>
        <w:pStyle w:val="IFTnormal"/>
        <w:numPr>
          <w:ilvl w:val="0"/>
          <w:numId w:val="120"/>
        </w:numPr>
        <w:rPr>
          <w:rFonts w:ascii="Century Gothic" w:hAnsi="Century Gothic"/>
        </w:rPr>
      </w:pPr>
      <w:r>
        <w:rPr>
          <w:rFonts w:ascii="Century Gothic" w:hAnsi="Century Gothic"/>
        </w:rPr>
        <w:t>Autorización de acceso por mantenimiento preventivo: dos días hábiles.</w:t>
      </w:r>
    </w:p>
    <w:p w:rsidR="00277ED2" w:rsidRPr="00611019" w:rsidRDefault="00E56462">
      <w:pPr>
        <w:pStyle w:val="IFTnormal"/>
        <w:numPr>
          <w:ilvl w:val="0"/>
          <w:numId w:val="120"/>
        </w:numPr>
        <w:rPr>
          <w:rFonts w:ascii="Century Gothic" w:hAnsi="Century Gothic"/>
        </w:rPr>
      </w:pPr>
      <w:r>
        <w:rPr>
          <w:rFonts w:ascii="Century Gothic" w:hAnsi="Century Gothic"/>
        </w:rPr>
        <w:t>Cuando se requiera un permiso de construcción otorgado por las Autoridades competentes, el tiempo requerido para obtenerlo no se contabilizará dentro de los plazos de entrega.</w:t>
      </w:r>
    </w:p>
    <w:p w:rsidR="00277ED2" w:rsidRPr="00611019" w:rsidRDefault="00E56462">
      <w:pPr>
        <w:pStyle w:val="IFTnormal"/>
        <w:numPr>
          <w:ilvl w:val="0"/>
          <w:numId w:val="120"/>
        </w:numPr>
        <w:spacing w:after="6pt"/>
        <w:rPr>
          <w:rFonts w:ascii="Century Gothic" w:hAnsi="Century Gothic"/>
        </w:rPr>
      </w:pPr>
      <w:r>
        <w:rPr>
          <w:rFonts w:ascii="Century Gothic" w:hAnsi="Century Gothic"/>
        </w:rPr>
        <w:t>Baja del Servicio en máximo un día hábil.</w:t>
      </w:r>
    </w:p>
    <w:p w:rsidR="00785FC3" w:rsidRPr="00611019" w:rsidRDefault="00785FC3" w:rsidP="00035D2C">
      <w:pPr>
        <w:pStyle w:val="IFTnormal"/>
        <w:rPr>
          <w:rFonts w:ascii="Century Gothic" w:hAnsi="Century Gothic"/>
        </w:rPr>
      </w:pPr>
    </w:p>
    <w:p w:rsidR="00277ED2" w:rsidRPr="00611019" w:rsidRDefault="00E56462" w:rsidP="00035D2C">
      <w:pPr>
        <w:pStyle w:val="Ttulo2"/>
        <w:spacing w:after="6pt"/>
        <w:rPr>
          <w:rFonts w:ascii="Century Gothic" w:hAnsi="Century Gothic"/>
        </w:rPr>
      </w:pPr>
      <w:bookmarkStart w:id="1937" w:name="_Toc436840928"/>
      <w:bookmarkStart w:id="1938" w:name="_Toc436846365"/>
      <w:bookmarkStart w:id="1939" w:name="_Toc436848315"/>
      <w:bookmarkStart w:id="1940" w:name="_Toc436856563"/>
      <w:bookmarkStart w:id="1941" w:name="_Toc436862709"/>
      <w:bookmarkStart w:id="1942" w:name="_Toc436866359"/>
      <w:bookmarkStart w:id="1943" w:name="_Toc436870938"/>
      <w:bookmarkStart w:id="1944" w:name="_Toc436875930"/>
      <w:bookmarkStart w:id="1945" w:name="_Toc467248763"/>
      <w:bookmarkStart w:id="1946" w:name="_Toc525904649"/>
      <w:bookmarkStart w:id="1947" w:name="_Toc525914045"/>
      <w:bookmarkStart w:id="1948" w:name="_Toc525919284"/>
      <w:bookmarkStart w:id="1949" w:name="_Toc525919408"/>
      <w:bookmarkStart w:id="1950" w:name="_Toc2957218"/>
      <w:bookmarkStart w:id="1951" w:name="_Toc24473518"/>
      <w:bookmarkStart w:id="1952" w:name="_Toc24477646"/>
      <w:bookmarkStart w:id="1953" w:name="_Toc24483912"/>
      <w:bookmarkStart w:id="1954" w:name="_Toc26273124"/>
      <w:bookmarkStart w:id="1955" w:name="_Toc26284521"/>
      <w:bookmarkStart w:id="1956" w:name="_Toc26286276"/>
      <w:bookmarkStart w:id="1957" w:name="_Toc26903980"/>
      <w:bookmarkStart w:id="1958" w:name="_Toc43913220"/>
      <w:bookmarkStart w:id="1959" w:name="_Toc26980704"/>
      <w:bookmarkStart w:id="1960" w:name="_Toc53488556"/>
      <w:bookmarkStart w:id="1961" w:name="_Toc53490488"/>
      <w:bookmarkStart w:id="1962" w:name="_Toc53498496"/>
      <w:bookmarkStart w:id="1963" w:name="_Toc58578853"/>
      <w:bookmarkStart w:id="1964" w:name="_Toc92974079"/>
      <w:bookmarkStart w:id="1965" w:name="_Toc93052390"/>
      <w:bookmarkStart w:id="1966" w:name="_Toc93056345"/>
      <w:bookmarkStart w:id="1967" w:name="_Toc125393409"/>
      <w:bookmarkStart w:id="1968" w:name="_Toc148702265"/>
      <w:bookmarkStart w:id="1969" w:name="_Toc170381881"/>
      <w:r>
        <w:rPr>
          <w:rFonts w:ascii="Century Gothic" w:hAnsi="Century Gothic"/>
        </w:rPr>
        <w:t>1</w:t>
      </w:r>
      <w:r w:rsidR="00230EF7">
        <w:rPr>
          <w:rFonts w:ascii="Century Gothic" w:hAnsi="Century Gothic"/>
        </w:rPr>
        <w:t>1</w:t>
      </w:r>
      <w:r>
        <w:rPr>
          <w:rFonts w:ascii="Century Gothic" w:hAnsi="Century Gothic"/>
        </w:rPr>
        <w:t>.7 Parámetros e indicadores de calidad para los Servicios de Coubicación</w:t>
      </w:r>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r>
        <w:rPr>
          <w:rFonts w:ascii="Century Gothic" w:hAnsi="Century Gothic"/>
        </w:rPr>
        <w:t>.</w:t>
      </w:r>
    </w:p>
    <w:p w:rsidR="00277ED2" w:rsidRPr="00611019" w:rsidRDefault="00E56462" w:rsidP="00035D2C">
      <w:pPr>
        <w:jc w:val="both"/>
        <w:rPr>
          <w:rFonts w:ascii="Century Gothic" w:hAnsi="Century Gothic" w:cs="Arial"/>
        </w:rPr>
      </w:pPr>
      <w:r>
        <w:rPr>
          <w:rFonts w:ascii="Century Gothic" w:hAnsi="Century Gothic" w:cs="Arial"/>
        </w:rPr>
        <w:t xml:space="preserve">En esta sección se muestran los parámetros e indicadores de calidad referentes a la provisión y atención de fallas del Servicio de Coubicación. Estos parámetros e indicadores se medirán con una periodicidad trimestral por cada uno de los </w:t>
      </w:r>
      <w:r w:rsidR="008E3048">
        <w:rPr>
          <w:rFonts w:ascii="Century Gothic" w:hAnsi="Century Gothic" w:cs="Arial"/>
        </w:rPr>
        <w:t>CS</w:t>
      </w:r>
      <w:r>
        <w:rPr>
          <w:rFonts w:ascii="Century Gothic" w:hAnsi="Century Gothic" w:cs="Arial"/>
        </w:rPr>
        <w:t>.</w:t>
      </w:r>
    </w:p>
    <w:p w:rsidR="00CF12C2" w:rsidRPr="00611019" w:rsidRDefault="00CF12C2" w:rsidP="00035D2C">
      <w:pPr>
        <w:jc w:val="both"/>
        <w:rPr>
          <w:rFonts w:ascii="Century Gothic" w:hAnsi="Century Gothic" w:cs="Arial"/>
        </w:rPr>
      </w:pPr>
    </w:p>
    <w:p w:rsidR="00277ED2" w:rsidRPr="00611019" w:rsidRDefault="00E56462" w:rsidP="00035D2C">
      <w:pPr>
        <w:spacing w:after="6pt"/>
        <w:jc w:val="both"/>
        <w:rPr>
          <w:rFonts w:ascii="Century Gothic" w:hAnsi="Century Gothic" w:cs="Arial"/>
          <w:b/>
        </w:rPr>
      </w:pPr>
      <w:r>
        <w:rPr>
          <w:rFonts w:ascii="Century Gothic" w:hAnsi="Century Gothic" w:cs="Arial"/>
          <w:b/>
        </w:rPr>
        <w:t>Parámetros e indicadores para provisión de los Servicios</w:t>
      </w:r>
      <w:r>
        <w:rPr>
          <w:rStyle w:val="Refdenotaalpie"/>
          <w:rFonts w:ascii="Century Gothic" w:hAnsi="Century Gothic" w:cs="Arial"/>
          <w:b/>
        </w:rPr>
        <w:footnoteReference w:id="50"/>
      </w:r>
      <w:r>
        <w:rPr>
          <w:rFonts w:ascii="Century Gothic" w:hAnsi="Century Gothic" w:cs="Arial"/>
          <w:b/>
        </w:rPr>
        <w:t>.</w:t>
      </w:r>
    </w:p>
    <w:p w:rsidR="00277ED2" w:rsidRPr="00611019" w:rsidRDefault="00E56462" w:rsidP="00035D2C">
      <w:pPr>
        <w:jc w:val="both"/>
        <w:rPr>
          <w:rFonts w:ascii="Century Gothic" w:hAnsi="Century Gothic" w:cs="Arial"/>
        </w:rPr>
      </w:pPr>
      <w:r>
        <w:rPr>
          <w:rFonts w:ascii="Century Gothic" w:hAnsi="Century Gothic" w:cs="Arial"/>
        </w:rPr>
        <w:t>En lo referente a la provisión de los Servicios (validación de la solicitud, verificación de factibilidad y habilitación), se tienen los siguientes indicadores:</w:t>
      </w:r>
    </w:p>
    <w:p w:rsidR="00277ED2" w:rsidRPr="00611019" w:rsidRDefault="00E56462">
      <w:pPr>
        <w:pStyle w:val="IFTnormal"/>
        <w:numPr>
          <w:ilvl w:val="0"/>
          <w:numId w:val="121"/>
        </w:numPr>
        <w:rPr>
          <w:rFonts w:ascii="Century Gothic" w:hAnsi="Century Gothic"/>
        </w:rPr>
      </w:pPr>
      <w:r>
        <w:rPr>
          <w:rFonts w:ascii="Century Gothic" w:hAnsi="Century Gothic"/>
        </w:rPr>
        <w:t>Validación de la solicitud junto con verificación de la factibilidad: 80% de las solicitudes en un plazo máximo de cinco días hábiles, el 20% restante en máximo ocho días hábiles.</w:t>
      </w:r>
    </w:p>
    <w:p w:rsidR="00277ED2" w:rsidRPr="00611019" w:rsidRDefault="00E56462">
      <w:pPr>
        <w:pStyle w:val="IFTnormal"/>
        <w:numPr>
          <w:ilvl w:val="0"/>
          <w:numId w:val="121"/>
        </w:numPr>
        <w:rPr>
          <w:rFonts w:ascii="Century Gothic" w:hAnsi="Century Gothic"/>
        </w:rPr>
      </w:pPr>
      <w:r>
        <w:rPr>
          <w:rFonts w:ascii="Century Gothic" w:hAnsi="Century Gothic"/>
        </w:rPr>
        <w:t>Entrega de Coubicaciones nuevas: 80% de entregas en un plazo máximo de 62 días hábiles, el 20% restante en 92 días hábiles.</w:t>
      </w:r>
    </w:p>
    <w:p w:rsidR="00277ED2" w:rsidRPr="00611019" w:rsidRDefault="00E56462">
      <w:pPr>
        <w:pStyle w:val="IFTnormal"/>
        <w:numPr>
          <w:ilvl w:val="0"/>
          <w:numId w:val="121"/>
        </w:numPr>
        <w:rPr>
          <w:rFonts w:ascii="Century Gothic" w:hAnsi="Century Gothic"/>
        </w:rPr>
      </w:pPr>
      <w:r>
        <w:rPr>
          <w:rFonts w:ascii="Century Gothic" w:hAnsi="Century Gothic"/>
        </w:rPr>
        <w:t>Entrega de adecuaciones para Coubicaciones existentes: 80% de entregas en un plazo máximo de 32 días, el 20% restante en 47 días hábiles.</w:t>
      </w:r>
    </w:p>
    <w:p w:rsidR="00277ED2" w:rsidRPr="00611019" w:rsidRDefault="00E56462">
      <w:pPr>
        <w:pStyle w:val="IFTnormal"/>
        <w:numPr>
          <w:ilvl w:val="0"/>
          <w:numId w:val="121"/>
        </w:numPr>
        <w:rPr>
          <w:rFonts w:ascii="Century Gothic" w:hAnsi="Century Gothic"/>
        </w:rPr>
      </w:pPr>
      <w:r>
        <w:rPr>
          <w:rFonts w:ascii="Century Gothic" w:hAnsi="Century Gothic"/>
        </w:rPr>
        <w:t>Reasignación y Recuperación de espacio: 60% de entregas en el tiempo pactado, el 40% restante no podrá exceder el 150% del tiempo original pactado.</w:t>
      </w:r>
    </w:p>
    <w:p w:rsidR="00BE70A1" w:rsidRPr="00611019" w:rsidRDefault="00E56462">
      <w:pPr>
        <w:pStyle w:val="IFTnormal"/>
        <w:numPr>
          <w:ilvl w:val="0"/>
          <w:numId w:val="121"/>
        </w:numPr>
        <w:spacing w:after="6pt"/>
        <w:rPr>
          <w:rFonts w:ascii="Century Gothic" w:hAnsi="Century Gothic"/>
        </w:rPr>
      </w:pPr>
      <w:r>
        <w:rPr>
          <w:rFonts w:ascii="Century Gothic" w:hAnsi="Century Gothic"/>
        </w:rPr>
        <w:t>Reubicación por Cierre de Centrales Telefónicas: 80% de entregas en el tiempo pactado, el 20% restante no podrá exceder el 150% del tiempo original pactado.</w:t>
      </w:r>
    </w:p>
    <w:p w:rsidR="00277ED2" w:rsidRPr="00611019" w:rsidRDefault="00E56462" w:rsidP="00035D2C">
      <w:pPr>
        <w:spacing w:after="6pt"/>
        <w:jc w:val="both"/>
        <w:rPr>
          <w:rFonts w:ascii="Century Gothic" w:hAnsi="Century Gothic" w:cs="Arial"/>
        </w:rPr>
      </w:pPr>
      <w:r>
        <w:rPr>
          <w:rFonts w:ascii="Century Gothic" w:hAnsi="Century Gothic" w:cs="Arial"/>
        </w:rPr>
        <w:t>Los elementos infraestructurales relacionados con la provisión de cada servicio son los que se señalan en la sección “Disponibilidad de Recursos” de esta OREDA.</w:t>
      </w:r>
    </w:p>
    <w:p w:rsidR="00277ED2" w:rsidRPr="00611019" w:rsidRDefault="00E56462" w:rsidP="00035D2C">
      <w:pPr>
        <w:jc w:val="both"/>
        <w:rPr>
          <w:rFonts w:ascii="Century Gothic" w:hAnsi="Century Gothic" w:cs="Arial"/>
        </w:rPr>
      </w:pPr>
      <w:r>
        <w:rPr>
          <w:rFonts w:ascii="Century Gothic" w:hAnsi="Century Gothic" w:cs="Arial"/>
        </w:rPr>
        <w:t xml:space="preserve">Sobre los accesos por falla o mantenimiento preventivo, salvo caso fortuito, causas de fuerza mayor o cualquier otra causa no imputable a </w:t>
      </w:r>
      <w:r>
        <w:rPr>
          <w:rFonts w:ascii="Century Gothic" w:hAnsi="Century Gothic"/>
        </w:rPr>
        <w:t>RED NACIONAL</w:t>
      </w:r>
      <w:r>
        <w:rPr>
          <w:rFonts w:ascii="Century Gothic" w:hAnsi="Century Gothic" w:cs="Arial"/>
        </w:rPr>
        <w:t>:</w:t>
      </w:r>
    </w:p>
    <w:p w:rsidR="00277ED2" w:rsidRPr="00611019" w:rsidRDefault="00E56462">
      <w:pPr>
        <w:pStyle w:val="Prrafodelista"/>
        <w:numPr>
          <w:ilvl w:val="0"/>
          <w:numId w:val="122"/>
        </w:numPr>
        <w:jc w:val="both"/>
        <w:rPr>
          <w:rFonts w:ascii="Century Gothic" w:hAnsi="Century Gothic" w:cs="Arial"/>
        </w:rPr>
      </w:pPr>
      <w:r>
        <w:rPr>
          <w:rFonts w:ascii="Century Gothic" w:hAnsi="Century Gothic" w:cs="Arial"/>
        </w:rPr>
        <w:lastRenderedPageBreak/>
        <w:t>Autorización de acceso a Coubicación para habilitación de servicio: 100% de las solicitudes en dos días hábiles.</w:t>
      </w:r>
    </w:p>
    <w:p w:rsidR="00277ED2" w:rsidRPr="00611019" w:rsidRDefault="00E56462">
      <w:pPr>
        <w:pStyle w:val="Prrafodelista"/>
        <w:numPr>
          <w:ilvl w:val="0"/>
          <w:numId w:val="123"/>
        </w:numPr>
        <w:jc w:val="both"/>
        <w:rPr>
          <w:rFonts w:ascii="Century Gothic" w:hAnsi="Century Gothic" w:cs="Arial"/>
        </w:rPr>
      </w:pPr>
      <w:r>
        <w:rPr>
          <w:rFonts w:ascii="Century Gothic" w:hAnsi="Century Gothic" w:cs="Arial"/>
        </w:rPr>
        <w:t>Autorización de acceso a Coubicación por falla: 100% de las solicitudes en dos horas.</w:t>
      </w:r>
    </w:p>
    <w:p w:rsidR="00BE70A1" w:rsidRPr="00611019" w:rsidRDefault="00E56462">
      <w:pPr>
        <w:pStyle w:val="Prrafodelista"/>
        <w:numPr>
          <w:ilvl w:val="0"/>
          <w:numId w:val="123"/>
        </w:numPr>
        <w:spacing w:after="6pt"/>
        <w:contextualSpacing w:val="0"/>
        <w:jc w:val="both"/>
        <w:rPr>
          <w:rFonts w:ascii="Century Gothic" w:hAnsi="Century Gothic" w:cs="Arial"/>
        </w:rPr>
      </w:pPr>
      <w:r>
        <w:rPr>
          <w:rFonts w:ascii="Century Gothic" w:hAnsi="Century Gothic" w:cs="Arial"/>
        </w:rPr>
        <w:t>Autorización de acceso por mantenimiento preventivo: 100% de las solicitudes en dos días hábiles.</w:t>
      </w:r>
    </w:p>
    <w:p w:rsidR="00785FC3" w:rsidRPr="00611019" w:rsidRDefault="00785FC3" w:rsidP="00035D2C">
      <w:pPr>
        <w:pStyle w:val="Prrafodelista"/>
        <w:ind w:start="0pt"/>
        <w:contextualSpacing w:val="0"/>
        <w:jc w:val="both"/>
        <w:rPr>
          <w:rFonts w:ascii="Century Gothic" w:hAnsi="Century Gothic" w:cs="Arial"/>
          <w:b/>
        </w:rPr>
      </w:pPr>
    </w:p>
    <w:p w:rsidR="00277ED2" w:rsidRPr="00611019" w:rsidRDefault="00E56462" w:rsidP="00035D2C">
      <w:pPr>
        <w:spacing w:after="6pt"/>
        <w:jc w:val="both"/>
        <w:rPr>
          <w:rFonts w:ascii="Century Gothic" w:hAnsi="Century Gothic" w:cs="Arial"/>
          <w:b/>
        </w:rPr>
      </w:pPr>
      <w:r>
        <w:rPr>
          <w:rFonts w:ascii="Century Gothic" w:hAnsi="Century Gothic" w:cs="Arial"/>
          <w:b/>
        </w:rPr>
        <w:t>Metodología.</w:t>
      </w:r>
    </w:p>
    <w:p w:rsidR="00217B6A" w:rsidRPr="00611019" w:rsidRDefault="00E56462" w:rsidP="00035D2C">
      <w:pPr>
        <w:jc w:val="both"/>
        <w:rPr>
          <w:rFonts w:ascii="Century Gothic" w:hAnsi="Century Gothic" w:cs="Arial"/>
        </w:rPr>
      </w:pPr>
      <w:r>
        <w:rPr>
          <w:rFonts w:ascii="Century Gothic" w:hAnsi="Century Gothic" w:cs="Arial"/>
        </w:rPr>
        <w:t>Para realizar la medición de los indicadores presentados, se descontarán los plazos de entrega señalados en la sección “Plazos de Entrega de Coubicación” de este documento de los días totales utilizados para la realización de dicha actividad, considerando como inicio del proceso el día en que se solicitó el Servicio por parte del CS. La misma metodología se aplicará para las tres modalidades de Coubicación.</w:t>
      </w:r>
    </w:p>
    <w:p w:rsidR="00BE70A1" w:rsidRPr="00611019" w:rsidRDefault="00BE70A1" w:rsidP="00035D2C">
      <w:pPr>
        <w:jc w:val="both"/>
        <w:rPr>
          <w:rFonts w:ascii="Century Gothic" w:hAnsi="Century Gothic" w:cs="Arial"/>
        </w:rPr>
      </w:pPr>
    </w:p>
    <w:p w:rsidR="00277ED2" w:rsidRPr="00611019" w:rsidRDefault="00E56462" w:rsidP="00035D2C">
      <w:pPr>
        <w:spacing w:after="6pt"/>
        <w:jc w:val="both"/>
        <w:rPr>
          <w:rFonts w:ascii="Century Gothic" w:hAnsi="Century Gothic" w:cs="Arial"/>
          <w:b/>
        </w:rPr>
      </w:pPr>
      <w:r>
        <w:rPr>
          <w:rFonts w:ascii="Century Gothic" w:hAnsi="Century Gothic" w:cs="Arial"/>
          <w:b/>
        </w:rPr>
        <w:t>Parámetros e Indicadores para Reparación de Fallas.</w:t>
      </w:r>
    </w:p>
    <w:p w:rsidR="00277ED2" w:rsidRPr="00611019" w:rsidRDefault="00E56462" w:rsidP="00035D2C">
      <w:pPr>
        <w:pStyle w:val="CondicionesFinales"/>
        <w:spacing w:after="6pt"/>
        <w:ind w:start="0pt" w:end="0pt"/>
        <w:rPr>
          <w:rFonts w:ascii="Century Gothic" w:hAnsi="Century Gothic"/>
          <w:color w:val="auto"/>
          <w:lang w:val="es-MX"/>
        </w:rPr>
      </w:pPr>
      <w:r>
        <w:rPr>
          <w:rFonts w:ascii="Century Gothic" w:hAnsi="Century Gothic"/>
          <w:color w:val="auto"/>
          <w:lang w:val="es-MX"/>
        </w:rPr>
        <w:t xml:space="preserve">En virtud de que el Servicio de Coubicación es un servicio necesario para que el CS pueda proveer los Servicios de Acceso Indirecto al Bucle, Servicio de Desagregación Virtual del Bucle Local, así como Desagregación Total y Compartida del Bucle </w:t>
      </w:r>
      <w:r w:rsidR="008E3048">
        <w:rPr>
          <w:rFonts w:ascii="Century Gothic" w:hAnsi="Century Gothic"/>
          <w:color w:val="auto"/>
          <w:lang w:val="es-MX"/>
        </w:rPr>
        <w:t xml:space="preserve">y del Sub-bucle </w:t>
      </w:r>
      <w:r>
        <w:rPr>
          <w:rFonts w:ascii="Century Gothic" w:hAnsi="Century Gothic"/>
          <w:color w:val="auto"/>
          <w:lang w:val="es-MX"/>
        </w:rPr>
        <w:t xml:space="preserve">a Usuarios Finales, es en dichos servicios finales donde se contabilizará la disponibilidad de los Servicios y la reparación de fallas, por lo que en este Servicio no se incluirán parámetros específicos al respecto, ya que de hacerlo se estaría duplicando su contabilización para una misma incidencia. </w:t>
      </w:r>
    </w:p>
    <w:p w:rsidR="00277ED2" w:rsidRPr="00611019" w:rsidRDefault="00E56462" w:rsidP="00035D2C">
      <w:pPr>
        <w:pStyle w:val="CondicionesFinales"/>
        <w:spacing w:after="6pt"/>
        <w:ind w:start="0pt" w:end="0pt"/>
        <w:rPr>
          <w:rFonts w:ascii="Century Gothic" w:hAnsi="Century Gothic"/>
          <w:color w:val="auto"/>
          <w:lang w:val="es-MX"/>
        </w:rPr>
      </w:pPr>
      <w:r>
        <w:rPr>
          <w:rFonts w:ascii="Century Gothic" w:hAnsi="Century Gothic"/>
          <w:color w:val="auto"/>
          <w:lang w:val="es-MX"/>
        </w:rPr>
        <w:t xml:space="preserve">En lo relativo a los parámetros e indicadores de calidad asociados a fallas en el suministro de energía eléctrica el Servicio se ofrece con un esquema de respaldo a través de bancos de baterías en las principales </w:t>
      </w:r>
      <w:r>
        <w:rPr>
          <w:rFonts w:ascii="Century Gothic" w:hAnsi="Century Gothic"/>
          <w:bCs w:val="0"/>
          <w:color w:val="auto"/>
          <w:lang w:val="es-MX"/>
        </w:rPr>
        <w:t>Centrales Telefónicas</w:t>
      </w:r>
      <w:r>
        <w:rPr>
          <w:rFonts w:ascii="Century Gothic" w:hAnsi="Century Gothic"/>
          <w:color w:val="auto"/>
          <w:lang w:val="es-MX"/>
        </w:rPr>
        <w:t xml:space="preserve"> (más de 5,000 líneas), por lo que las condiciones ambientales de acceso, iluminación y vigilancia serán los mismos que </w:t>
      </w:r>
      <w:r>
        <w:rPr>
          <w:rFonts w:ascii="Century Gothic" w:hAnsi="Century Gothic"/>
          <w:bCs w:val="0"/>
          <w:color w:val="auto"/>
          <w:lang w:val="es-MX"/>
        </w:rPr>
        <w:t xml:space="preserve">se hayan hecho disponibles a </w:t>
      </w:r>
      <w:r>
        <w:rPr>
          <w:rFonts w:ascii="Century Gothic" w:hAnsi="Century Gothic"/>
        </w:rPr>
        <w:t>RED NACIONAL</w:t>
      </w:r>
      <w:r>
        <w:rPr>
          <w:rFonts w:ascii="Century Gothic" w:hAnsi="Century Gothic"/>
          <w:bCs w:val="0"/>
          <w:color w:val="auto"/>
          <w:lang w:val="es-MX"/>
        </w:rPr>
        <w:t xml:space="preserve"> </w:t>
      </w:r>
      <w:r>
        <w:rPr>
          <w:rFonts w:ascii="Century Gothic" w:hAnsi="Century Gothic"/>
          <w:color w:val="auto"/>
          <w:lang w:val="es-MX"/>
        </w:rPr>
        <w:t>para su propia operación</w:t>
      </w:r>
      <w:r>
        <w:rPr>
          <w:rFonts w:ascii="Century Gothic" w:hAnsi="Century Gothic"/>
          <w:bCs w:val="0"/>
          <w:color w:val="auto"/>
          <w:lang w:val="es-MX"/>
        </w:rPr>
        <w:t xml:space="preserve"> en dicha Central Telefónica</w:t>
      </w:r>
      <w:r>
        <w:rPr>
          <w:rFonts w:ascii="Century Gothic" w:hAnsi="Century Gothic"/>
          <w:color w:val="auto"/>
          <w:lang w:val="es-MX"/>
        </w:rPr>
        <w:t xml:space="preserve">. </w:t>
      </w:r>
    </w:p>
    <w:p w:rsidR="00277ED2" w:rsidRPr="00611019" w:rsidRDefault="00E56462" w:rsidP="00035D2C">
      <w:pPr>
        <w:pStyle w:val="CondicionesFinales"/>
        <w:spacing w:after="6pt"/>
        <w:ind w:start="0pt" w:end="0pt"/>
        <w:rPr>
          <w:rFonts w:ascii="Century Gothic" w:hAnsi="Century Gothic"/>
          <w:color w:val="auto"/>
          <w:lang w:val="es-MX"/>
        </w:rPr>
      </w:pPr>
      <w:r>
        <w:rPr>
          <w:rFonts w:ascii="Century Gothic" w:hAnsi="Century Gothic"/>
          <w:color w:val="auto"/>
          <w:lang w:val="es-MX"/>
        </w:rPr>
        <w:t xml:space="preserve">Las fallas ocasionadas por caso fortuito o causas de fuerza mayor serán atendidas </w:t>
      </w:r>
      <w:r>
        <w:rPr>
          <w:rFonts w:ascii="Century Gothic" w:hAnsi="Century Gothic"/>
        </w:rPr>
        <w:t xml:space="preserve">una vez concluido dicho evento y </w:t>
      </w:r>
      <w:r>
        <w:rPr>
          <w:rFonts w:ascii="Century Gothic" w:hAnsi="Century Gothic"/>
          <w:color w:val="auto"/>
          <w:lang w:val="es-MX"/>
        </w:rPr>
        <w:t>en plazos que reflejen la complejidad de las actividades a realizar.</w:t>
      </w:r>
    </w:p>
    <w:p w:rsidR="00277ED2" w:rsidRPr="00611019" w:rsidRDefault="00E56462" w:rsidP="00035D2C">
      <w:pPr>
        <w:pStyle w:val="CondicionesFinales"/>
        <w:ind w:start="0pt" w:end="0pt"/>
        <w:rPr>
          <w:rFonts w:ascii="Century Gothic" w:hAnsi="Century Gothic"/>
          <w:color w:val="auto"/>
          <w:lang w:val="es-MX"/>
        </w:rPr>
      </w:pPr>
      <w:r>
        <w:rPr>
          <w:rFonts w:ascii="Century Gothic" w:hAnsi="Century Gothic"/>
          <w:color w:val="auto"/>
          <w:lang w:val="es-MX"/>
        </w:rPr>
        <w:t>Si las fallas en energía o clima (aire acondicionado) fueron ocasionadas por un mal uso de las instalaciones o por excesos de consumo de los equipos de CS, el CS deberá pagar las reparaciones correspondientes.</w:t>
      </w:r>
    </w:p>
    <w:p w:rsidR="00B4692E" w:rsidRPr="00611019" w:rsidRDefault="00B4692E" w:rsidP="00035D2C">
      <w:pPr>
        <w:pStyle w:val="CondicionesFinales"/>
        <w:ind w:start="0pt" w:end="0pt"/>
        <w:rPr>
          <w:rFonts w:ascii="Century Gothic" w:hAnsi="Century Gothic"/>
          <w:color w:val="auto"/>
          <w:lang w:val="es-MX"/>
        </w:rPr>
      </w:pPr>
    </w:p>
    <w:p w:rsidR="00277ED2" w:rsidRPr="00611019" w:rsidRDefault="00E56462" w:rsidP="00035D2C">
      <w:pPr>
        <w:pStyle w:val="Ttulo2"/>
        <w:spacing w:after="6pt"/>
        <w:rPr>
          <w:rFonts w:ascii="Century Gothic" w:hAnsi="Century Gothic"/>
        </w:rPr>
      </w:pPr>
      <w:bookmarkStart w:id="1970" w:name="_Toc436840930"/>
      <w:bookmarkStart w:id="1971" w:name="_Toc436846367"/>
      <w:bookmarkStart w:id="1972" w:name="_Toc436848317"/>
      <w:bookmarkStart w:id="1973" w:name="_Toc436856565"/>
      <w:bookmarkStart w:id="1974" w:name="_Toc436862711"/>
      <w:bookmarkStart w:id="1975" w:name="_Toc436866361"/>
      <w:bookmarkStart w:id="1976" w:name="_Toc436870940"/>
      <w:bookmarkStart w:id="1977" w:name="_Toc436875932"/>
      <w:bookmarkStart w:id="1978" w:name="_Toc467248765"/>
      <w:bookmarkStart w:id="1979" w:name="_Toc525904651"/>
      <w:bookmarkStart w:id="1980" w:name="_Toc525914047"/>
      <w:bookmarkStart w:id="1981" w:name="_Toc525919286"/>
      <w:bookmarkStart w:id="1982" w:name="_Toc525919410"/>
      <w:bookmarkStart w:id="1983" w:name="_Toc2957220"/>
      <w:bookmarkStart w:id="1984" w:name="_Toc24473519"/>
      <w:bookmarkStart w:id="1985" w:name="_Toc24477647"/>
      <w:bookmarkStart w:id="1986" w:name="_Toc24483913"/>
      <w:bookmarkStart w:id="1987" w:name="_Toc26273125"/>
      <w:bookmarkStart w:id="1988" w:name="_Toc26284522"/>
      <w:bookmarkStart w:id="1989" w:name="_Toc26286277"/>
      <w:bookmarkStart w:id="1990" w:name="_Toc26903981"/>
      <w:bookmarkStart w:id="1991" w:name="_Toc43913221"/>
      <w:bookmarkStart w:id="1992" w:name="_Toc26980705"/>
      <w:bookmarkStart w:id="1993" w:name="_Toc53488557"/>
      <w:bookmarkStart w:id="1994" w:name="_Toc53490489"/>
      <w:bookmarkStart w:id="1995" w:name="_Toc53498497"/>
      <w:bookmarkStart w:id="1996" w:name="_Toc58578854"/>
      <w:bookmarkStart w:id="1997" w:name="_Toc92974080"/>
      <w:bookmarkStart w:id="1998" w:name="_Toc93052391"/>
      <w:bookmarkStart w:id="1999" w:name="_Toc93056346"/>
      <w:bookmarkStart w:id="2000" w:name="_Toc125393410"/>
      <w:bookmarkStart w:id="2001" w:name="_Toc148702266"/>
      <w:bookmarkStart w:id="2002" w:name="_Toc170381882"/>
      <w:r>
        <w:rPr>
          <w:rFonts w:ascii="Century Gothic" w:hAnsi="Century Gothic"/>
        </w:rPr>
        <w:t>1</w:t>
      </w:r>
      <w:r w:rsidR="00230EF7">
        <w:rPr>
          <w:rFonts w:ascii="Century Gothic" w:hAnsi="Century Gothic"/>
        </w:rPr>
        <w:t>1</w:t>
      </w:r>
      <w:r>
        <w:rPr>
          <w:rFonts w:ascii="Century Gothic" w:hAnsi="Century Gothic"/>
        </w:rPr>
        <w:t xml:space="preserve">.8 Procedimiento para la entrega del </w:t>
      </w:r>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r>
        <w:rPr>
          <w:rFonts w:ascii="Century Gothic" w:hAnsi="Century Gothic"/>
        </w:rPr>
        <w:t>SCD</w:t>
      </w:r>
      <w:bookmarkEnd w:id="2002"/>
      <w:r>
        <w:rPr>
          <w:rFonts w:ascii="Century Gothic" w:hAnsi="Century Gothic"/>
        </w:rPr>
        <w:t>.</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El Objetivo de este procedimiento es describir las actividades que se desarrollarán por parte de </w:t>
      </w:r>
      <w:r>
        <w:rPr>
          <w:rFonts w:ascii="Century Gothic" w:hAnsi="Century Gothic"/>
        </w:rPr>
        <w:t>RED NACIONAL</w:t>
      </w:r>
      <w:r>
        <w:rPr>
          <w:rFonts w:ascii="Century Gothic" w:hAnsi="Century Gothic" w:cs="Arial"/>
        </w:rPr>
        <w:t xml:space="preserve"> y el CS para formalizar la entrega del Servicio de Coubicación </w:t>
      </w:r>
      <w:r>
        <w:rPr>
          <w:rFonts w:ascii="Century Gothic" w:hAnsi="Century Gothic" w:cs="Arial"/>
        </w:rPr>
        <w:lastRenderedPageBreak/>
        <w:t>e inicio de la facturación del mismo. Este procedimiento aplica para la entrega de la Coubicación Cerrada (CC), en las Centrales Telefónicas.</w:t>
      </w:r>
    </w:p>
    <w:p w:rsidR="00277ED2" w:rsidRPr="00611019" w:rsidRDefault="00E56462" w:rsidP="00035D2C">
      <w:pPr>
        <w:spacing w:after="6pt"/>
        <w:ind w:start="17.85pt" w:hanging="17.85pt"/>
        <w:jc w:val="both"/>
        <w:rPr>
          <w:rFonts w:ascii="Century Gothic" w:hAnsi="Century Gothic" w:cs="Arial"/>
        </w:rPr>
      </w:pPr>
      <w:r>
        <w:rPr>
          <w:rFonts w:ascii="Century Gothic" w:eastAsia="Calibri" w:hAnsi="Century Gothic" w:cs="Arial"/>
        </w:rPr>
        <w:t>1)</w:t>
      </w:r>
      <w:r>
        <w:rPr>
          <w:rFonts w:ascii="Century Gothic" w:eastAsia="Calibri" w:hAnsi="Century Gothic" w:cs="Arial"/>
        </w:rPr>
        <w:tab/>
      </w:r>
      <w:r>
        <w:rPr>
          <w:rFonts w:ascii="Century Gothic" w:hAnsi="Century Gothic" w:cs="Arial"/>
        </w:rPr>
        <w:t>Terminados los trabajos de habilitación de los Servicios para Coubicación, se notificará al CS a través del SEG/SIPO.</w:t>
      </w:r>
    </w:p>
    <w:p w:rsidR="00277ED2" w:rsidRPr="00611019" w:rsidRDefault="00E56462" w:rsidP="00035D2C">
      <w:pPr>
        <w:spacing w:after="6pt"/>
        <w:ind w:start="17.85pt" w:hanging="17.85pt"/>
        <w:jc w:val="both"/>
        <w:rPr>
          <w:rFonts w:ascii="Century Gothic" w:hAnsi="Century Gothic" w:cs="Arial"/>
        </w:rPr>
      </w:pPr>
      <w:r>
        <w:rPr>
          <w:rFonts w:ascii="Century Gothic" w:eastAsia="Calibri" w:hAnsi="Century Gothic" w:cs="Arial"/>
        </w:rPr>
        <w:t>2)</w:t>
      </w:r>
      <w:r>
        <w:rPr>
          <w:rFonts w:ascii="Century Gothic" w:eastAsia="Calibri" w:hAnsi="Century Gothic" w:cs="Arial"/>
        </w:rPr>
        <w:tab/>
      </w:r>
      <w:r>
        <w:rPr>
          <w:rFonts w:ascii="Century Gothic" w:hAnsi="Century Gothic"/>
        </w:rPr>
        <w:t>RED NACIONAL</w:t>
      </w:r>
      <w:r>
        <w:rPr>
          <w:rFonts w:ascii="Century Gothic" w:hAnsi="Century Gothic" w:cs="Arial"/>
        </w:rPr>
        <w:t xml:space="preserve"> acordará con el CS la fecha de entrega del Servicio con una anticipación mínima de 48 horas hábiles.</w:t>
      </w:r>
    </w:p>
    <w:p w:rsidR="00277ED2" w:rsidRPr="00611019" w:rsidRDefault="00E56462" w:rsidP="00035D2C">
      <w:pPr>
        <w:spacing w:after="6pt"/>
        <w:ind w:start="17.85pt" w:hanging="17.85pt"/>
        <w:jc w:val="both"/>
        <w:rPr>
          <w:rFonts w:ascii="Century Gothic" w:hAnsi="Century Gothic" w:cs="Arial"/>
        </w:rPr>
      </w:pPr>
      <w:r>
        <w:rPr>
          <w:rFonts w:ascii="Century Gothic" w:eastAsia="Calibri" w:hAnsi="Century Gothic" w:cs="Arial"/>
        </w:rPr>
        <w:t>3)</w:t>
      </w:r>
      <w:r>
        <w:rPr>
          <w:rFonts w:ascii="Century Gothic" w:eastAsia="Calibri" w:hAnsi="Century Gothic" w:cs="Arial"/>
        </w:rPr>
        <w:tab/>
      </w:r>
      <w:r>
        <w:rPr>
          <w:rFonts w:ascii="Century Gothic" w:hAnsi="Century Gothic" w:cs="Arial"/>
        </w:rPr>
        <w:t xml:space="preserve">El día de la entrega </w:t>
      </w:r>
      <w:r>
        <w:rPr>
          <w:rFonts w:ascii="Century Gothic" w:hAnsi="Century Gothic" w:cs="Arial"/>
          <w:spacing w:val="-3"/>
        </w:rPr>
        <w:t>RED NACIONAL</w:t>
      </w:r>
      <w:r>
        <w:rPr>
          <w:rFonts w:ascii="Century Gothic" w:hAnsi="Century Gothic" w:cs="Arial"/>
        </w:rPr>
        <w:t>, así como el CS utilizando el “Formato de Recepción para Coubicaciones de Concesionarios Solicitantes” revisarán que las facilidades técnicas y Servicios auxiliares estén en conformidad con el Servicio contratado. En caso de no identificar alguna desviación, ambas Partes firmarán como aceptación el formato antes mencionado.</w:t>
      </w:r>
    </w:p>
    <w:p w:rsidR="00277ED2" w:rsidRPr="00611019" w:rsidRDefault="00E56462" w:rsidP="00035D2C">
      <w:pPr>
        <w:spacing w:after="6pt"/>
        <w:ind w:start="17.85pt" w:hanging="17.85pt"/>
        <w:jc w:val="both"/>
        <w:rPr>
          <w:rFonts w:ascii="Century Gothic" w:hAnsi="Century Gothic" w:cs="Arial"/>
        </w:rPr>
      </w:pPr>
      <w:r>
        <w:rPr>
          <w:rFonts w:ascii="Century Gothic" w:eastAsia="Calibri" w:hAnsi="Century Gothic" w:cs="Arial"/>
        </w:rPr>
        <w:t>4)</w:t>
      </w:r>
      <w:r>
        <w:rPr>
          <w:rFonts w:ascii="Century Gothic" w:eastAsia="Calibri" w:hAnsi="Century Gothic" w:cs="Arial"/>
        </w:rPr>
        <w:tab/>
      </w:r>
      <w:r>
        <w:rPr>
          <w:rFonts w:ascii="Century Gothic" w:hAnsi="Century Gothic" w:cs="Arial"/>
        </w:rPr>
        <w:t xml:space="preserve">En caso de identificar alguna desviación al Servicio se programará una nueva fecha de entrega de acuerdo con el tipo de modificación o adecuación que se requiera. </w:t>
      </w:r>
    </w:p>
    <w:p w:rsidR="00277ED2" w:rsidRPr="00611019" w:rsidRDefault="00E56462" w:rsidP="00035D2C">
      <w:pPr>
        <w:ind w:start="18.10pt" w:hanging="18pt"/>
        <w:jc w:val="both"/>
        <w:rPr>
          <w:rFonts w:ascii="Century Gothic" w:hAnsi="Century Gothic" w:cs="Arial"/>
        </w:rPr>
      </w:pPr>
      <w:r>
        <w:rPr>
          <w:rFonts w:ascii="Century Gothic" w:eastAsia="Calibri" w:hAnsi="Century Gothic" w:cs="Arial"/>
        </w:rPr>
        <w:t>5)</w:t>
      </w:r>
      <w:r>
        <w:rPr>
          <w:rFonts w:ascii="Century Gothic" w:eastAsia="Calibri" w:hAnsi="Century Gothic" w:cs="Arial"/>
        </w:rPr>
        <w:tab/>
      </w:r>
      <w:r>
        <w:rPr>
          <w:rFonts w:ascii="Century Gothic" w:hAnsi="Century Gothic" w:cs="Arial"/>
        </w:rPr>
        <w:t>Una vez firmado el Formato de Recepción para Coubicaciones iniciará la facturación del servicio.</w:t>
      </w:r>
    </w:p>
    <w:p w:rsidR="008D276C" w:rsidRDefault="008D276C" w:rsidP="00035D2C">
      <w:pPr>
        <w:ind w:start="18.10pt" w:hanging="18pt"/>
        <w:jc w:val="both"/>
        <w:rPr>
          <w:rFonts w:ascii="Century Gothic" w:hAnsi="Century Gothic" w:cs="Arial"/>
        </w:rPr>
      </w:pPr>
    </w:p>
    <w:p w:rsidR="00277ED2" w:rsidRPr="00611019" w:rsidRDefault="00277ED2" w:rsidP="00035D2C">
      <w:pPr>
        <w:pStyle w:val="Prrafodelista"/>
        <w:spacing w:after="6pt"/>
        <w:contextualSpacing w:val="0"/>
        <w:jc w:val="both"/>
        <w:rPr>
          <w:rFonts w:ascii="Century Gothic" w:hAnsi="Century Gothic" w:cs="Arial"/>
          <w:sz w:val="2"/>
        </w:rPr>
      </w:pPr>
    </w:p>
    <w:p w:rsidR="00277ED2" w:rsidRPr="00F56287" w:rsidRDefault="00E56462" w:rsidP="00035D2C">
      <w:pPr>
        <w:pStyle w:val="1TitPrin"/>
        <w:spacing w:after="6pt"/>
        <w:ind w:start="0pt" w:firstLine="0pt"/>
        <w:rPr>
          <w:rFonts w:ascii="Century Gothic" w:hAnsi="Century Gothic"/>
          <w:u w:val="single"/>
        </w:rPr>
      </w:pPr>
      <w:bookmarkStart w:id="2003" w:name="_Toc467248755"/>
      <w:bookmarkStart w:id="2004" w:name="_Toc525904641"/>
      <w:bookmarkStart w:id="2005" w:name="_Toc525914037"/>
      <w:bookmarkStart w:id="2006" w:name="_Toc525919276"/>
      <w:bookmarkStart w:id="2007" w:name="_Toc525919400"/>
      <w:bookmarkStart w:id="2008" w:name="_Toc2957210"/>
      <w:bookmarkStart w:id="2009" w:name="_Toc24473511"/>
      <w:bookmarkStart w:id="2010" w:name="_Toc24477639"/>
      <w:bookmarkStart w:id="2011" w:name="_Toc436840952"/>
      <w:bookmarkStart w:id="2012" w:name="_Toc436846389"/>
      <w:bookmarkStart w:id="2013" w:name="_Toc436848339"/>
      <w:bookmarkStart w:id="2014" w:name="_Toc436856587"/>
      <w:bookmarkStart w:id="2015" w:name="_Toc436862733"/>
      <w:bookmarkStart w:id="2016" w:name="_Toc436866383"/>
      <w:bookmarkStart w:id="2017" w:name="_Toc436870962"/>
      <w:bookmarkStart w:id="2018" w:name="_Toc436875954"/>
      <w:bookmarkStart w:id="2019" w:name="_Toc467248767"/>
      <w:bookmarkStart w:id="2020" w:name="_Toc525904653"/>
      <w:bookmarkStart w:id="2021" w:name="_Toc525914049"/>
      <w:bookmarkStart w:id="2022" w:name="_Toc525919288"/>
      <w:bookmarkStart w:id="2023" w:name="_Toc525919412"/>
      <w:bookmarkStart w:id="2024" w:name="_Toc2957222"/>
      <w:bookmarkStart w:id="2025" w:name="_Toc24473520"/>
      <w:bookmarkStart w:id="2026" w:name="_Toc24477648"/>
      <w:bookmarkStart w:id="2027" w:name="_Toc26281445"/>
      <w:bookmarkStart w:id="2028" w:name="_Toc26284981"/>
      <w:bookmarkStart w:id="2029" w:name="_Toc26903982"/>
      <w:bookmarkStart w:id="2030" w:name="_Toc43913222"/>
      <w:bookmarkStart w:id="2031" w:name="_Toc26980706"/>
      <w:bookmarkStart w:id="2032" w:name="_Toc53488558"/>
      <w:bookmarkStart w:id="2033" w:name="_Toc53490490"/>
      <w:bookmarkStart w:id="2034" w:name="_Toc53498498"/>
      <w:bookmarkStart w:id="2035" w:name="_Toc58578855"/>
      <w:bookmarkStart w:id="2036" w:name="_Toc92974081"/>
      <w:bookmarkStart w:id="2037" w:name="_Toc93052392"/>
      <w:bookmarkStart w:id="2038" w:name="_Toc93056347"/>
      <w:bookmarkStart w:id="2039" w:name="_Toc125393411"/>
      <w:bookmarkStart w:id="2040" w:name="_Toc148702267"/>
      <w:bookmarkStart w:id="2041" w:name="_Toc170381883"/>
      <w:bookmarkEnd w:id="1451"/>
      <w:bookmarkEnd w:id="1452"/>
      <w:bookmarkEnd w:id="1453"/>
      <w:bookmarkEnd w:id="1454"/>
      <w:bookmarkEnd w:id="1455"/>
      <w:bookmarkEnd w:id="1456"/>
      <w:bookmarkEnd w:id="1457"/>
      <w:bookmarkEnd w:id="1458"/>
      <w:bookmarkEnd w:id="2003"/>
      <w:bookmarkEnd w:id="2004"/>
      <w:bookmarkEnd w:id="2005"/>
      <w:bookmarkEnd w:id="2006"/>
      <w:bookmarkEnd w:id="2007"/>
      <w:bookmarkEnd w:id="2008"/>
      <w:bookmarkEnd w:id="2009"/>
      <w:bookmarkEnd w:id="2010"/>
      <w:r>
        <w:rPr>
          <w:rFonts w:ascii="Century Gothic" w:hAnsi="Century Gothic" w:cs="Times New Roman"/>
          <w:u w:val="single"/>
          <w14:scene3d>
            <w14:camera w14:prst="orthographicFront"/>
            <w14:lightRig w14:rig="threePt" w14:dir="t">
              <w14:rot w14:lat="0" w14:lon="0" w14:rev="0"/>
            </w14:lightRig>
          </w14:scene3d>
        </w:rPr>
        <w:t>1</w:t>
      </w:r>
      <w:r w:rsidR="00230EF7">
        <w:rPr>
          <w:rFonts w:ascii="Century Gothic" w:hAnsi="Century Gothic" w:cs="Times New Roman"/>
          <w:u w:val="single"/>
          <w14:scene3d>
            <w14:camera w14:prst="orthographicFront"/>
            <w14:lightRig w14:rig="threePt" w14:dir="t">
              <w14:rot w14:lat="0" w14:lon="0" w14:rev="0"/>
            </w14:lightRig>
          </w14:scene3d>
        </w:rPr>
        <w:t>2</w:t>
      </w:r>
      <w:r>
        <w:rPr>
          <w:rFonts w:ascii="Century Gothic" w:hAnsi="Century Gothic" w:cs="Times New Roman"/>
          <w:u w:val="single"/>
          <w14:scene3d>
            <w14:camera w14:prst="orthographicFront"/>
            <w14:lightRig w14:rig="threePt" w14:dir="t">
              <w14:rot w14:lat="0" w14:lon="0" w14:rev="0"/>
            </w14:lightRig>
          </w14:scene3d>
        </w:rPr>
        <w:t xml:space="preserve">. </w:t>
      </w:r>
      <w:r>
        <w:rPr>
          <w:rFonts w:ascii="Century Gothic" w:hAnsi="Century Gothic"/>
          <w:u w:val="single"/>
        </w:rPr>
        <w:t>Trabajos Especiales</w:t>
      </w:r>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r>
        <w:rPr>
          <w:rFonts w:ascii="Century Gothic" w:hAnsi="Century Gothic"/>
          <w:u w:val="single"/>
        </w:rPr>
        <w:t>.</w:t>
      </w:r>
    </w:p>
    <w:p w:rsidR="0004117E" w:rsidRPr="00611019" w:rsidRDefault="00E56462" w:rsidP="00035D2C">
      <w:pPr>
        <w:autoSpaceDE w:val="0"/>
        <w:autoSpaceDN w:val="0"/>
        <w:adjustRightInd w:val="0"/>
        <w:jc w:val="both"/>
        <w:rPr>
          <w:rFonts w:ascii="Century Gothic" w:hAnsi="Century Gothic" w:cs="Arial"/>
        </w:rPr>
      </w:pPr>
      <w:r>
        <w:rPr>
          <w:rFonts w:ascii="Century Gothic" w:hAnsi="Century Gothic" w:cs="Arial"/>
        </w:rPr>
        <w:t xml:space="preserve">En caso de que </w:t>
      </w:r>
      <w:r>
        <w:rPr>
          <w:rFonts w:ascii="Century Gothic" w:hAnsi="Century Gothic"/>
        </w:rPr>
        <w:t>RED NACIONAL</w:t>
      </w:r>
      <w:r>
        <w:rPr>
          <w:rFonts w:ascii="Century Gothic" w:hAnsi="Century Gothic" w:cs="Arial"/>
        </w:rPr>
        <w:t xml:space="preserve"> no pueda proporcionar los Servicios con base en las condiciones descritas en la sección Recursos de Red Asociados a los Servicios de esta OREDA, el CS podrá solicitar a través del SEG/SIPO la ejecución de trabajos específicos, los cuales serán calificados como Trabajos Especiales, mismos que le permitirán al CS acceder a los Servicios solicitados, bajo los siguientes criterios y metodologías.</w:t>
      </w:r>
    </w:p>
    <w:p w:rsidR="00BE70A1" w:rsidRPr="00611019" w:rsidRDefault="00BE70A1" w:rsidP="00035D2C">
      <w:pPr>
        <w:jc w:val="both"/>
        <w:rPr>
          <w:rFonts w:ascii="Century Gothic" w:hAnsi="Century Gothic" w:cs="Arial"/>
        </w:rPr>
      </w:pPr>
    </w:p>
    <w:p w:rsidR="00277ED2" w:rsidRPr="00611019" w:rsidRDefault="00E56462" w:rsidP="00035D2C">
      <w:pPr>
        <w:spacing w:after="6pt"/>
        <w:rPr>
          <w:rFonts w:ascii="Century Gothic" w:hAnsi="Century Gothic"/>
          <w:b/>
        </w:rPr>
      </w:pPr>
      <w:bookmarkStart w:id="2042" w:name="_Hlk84197257"/>
      <w:r>
        <w:rPr>
          <w:rFonts w:ascii="Century Gothic" w:hAnsi="Century Gothic"/>
          <w:b/>
        </w:rPr>
        <w:t>Definición y criterios de Trabajos Especiales.</w:t>
      </w:r>
    </w:p>
    <w:p w:rsidR="00277ED2" w:rsidRPr="00611019" w:rsidRDefault="00E56462" w:rsidP="00035D2C">
      <w:pPr>
        <w:autoSpaceDE w:val="0"/>
        <w:autoSpaceDN w:val="0"/>
        <w:adjustRightInd w:val="0"/>
        <w:spacing w:after="6pt"/>
        <w:jc w:val="both"/>
        <w:rPr>
          <w:rFonts w:ascii="Century Gothic" w:hAnsi="Century Gothic" w:cs="Arial"/>
          <w:lang w:val="es-ES_tradnl"/>
        </w:rPr>
      </w:pPr>
      <w:r>
        <w:rPr>
          <w:rFonts w:ascii="Century Gothic" w:hAnsi="Century Gothic" w:cs="Arial"/>
          <w:lang w:val="es-ES_tradnl"/>
        </w:rPr>
        <w:t>Conjunto de actividades para proporcionar las condiciones necesarias para la prestación de un servicio de desagregación que impliquen la utilización de recursos y acciones no convencionales en la operación de las redes.</w:t>
      </w:r>
    </w:p>
    <w:p w:rsidR="00277ED2" w:rsidRPr="00611019" w:rsidRDefault="00E56462" w:rsidP="00035D2C">
      <w:pPr>
        <w:autoSpaceDE w:val="0"/>
        <w:autoSpaceDN w:val="0"/>
        <w:adjustRightInd w:val="0"/>
        <w:spacing w:after="6pt"/>
        <w:jc w:val="both"/>
        <w:rPr>
          <w:rFonts w:ascii="Century Gothic" w:hAnsi="Century Gothic" w:cs="Arial"/>
          <w:lang w:val="es-ES_tradnl"/>
        </w:rPr>
      </w:pPr>
      <w:r>
        <w:rPr>
          <w:rFonts w:ascii="Century Gothic" w:hAnsi="Century Gothic" w:cs="Arial"/>
          <w:lang w:val="es-ES_tradnl"/>
        </w:rPr>
        <w:t xml:space="preserve">La activación de un Trabajo Especial debe atender la provisión o falla de algún elemento o recurso de red, activo o pasivo, que limite o impida la atención a la solicitud de un servicio de desagregación en cualquier etapa de su provisión y debe seguir criterios que, como su denominación lo indica, requiera utilizar medios o recursos extraordinarios a los que normalmente se establecen para activar y operar un servicio de telecomunicaciones. </w:t>
      </w:r>
    </w:p>
    <w:p w:rsidR="00277ED2" w:rsidRPr="00611019" w:rsidRDefault="00E56462" w:rsidP="00035D2C">
      <w:pPr>
        <w:autoSpaceDE w:val="0"/>
        <w:autoSpaceDN w:val="0"/>
        <w:adjustRightInd w:val="0"/>
        <w:spacing w:after="6pt"/>
        <w:jc w:val="both"/>
        <w:rPr>
          <w:rFonts w:ascii="Century Gothic" w:hAnsi="Century Gothic" w:cs="Arial"/>
          <w:lang w:val="es-ES_tradnl"/>
        </w:rPr>
      </w:pPr>
      <w:r>
        <w:rPr>
          <w:rFonts w:ascii="Century Gothic" w:hAnsi="Century Gothic" w:cs="Arial"/>
          <w:lang w:val="es-ES_tradnl"/>
        </w:rPr>
        <w:t>De las descripciones anteriores se puede establecer si la actividad, elemento o recurso faltante se considera como algo que no se tiene dentro del alcance de las descripciones y los procedimientos de instalación de los Servicios de forma normal, estandarizada o prevista, se podría calificar dicha actividad o requerimiento de recursos como un Trabajo Especial.</w:t>
      </w:r>
    </w:p>
    <w:p w:rsidR="00277ED2" w:rsidRPr="00611019" w:rsidRDefault="00E56462" w:rsidP="00035D2C">
      <w:pPr>
        <w:spacing w:after="6pt"/>
        <w:rPr>
          <w:rFonts w:ascii="Century Gothic" w:hAnsi="Century Gothic"/>
        </w:rPr>
      </w:pPr>
      <w:r>
        <w:rPr>
          <w:rFonts w:ascii="Century Gothic" w:hAnsi="Century Gothic"/>
        </w:rPr>
        <w:lastRenderedPageBreak/>
        <w:t>Criterios para determinar los Trabajos Especiales.</w:t>
      </w:r>
    </w:p>
    <w:p w:rsidR="00277ED2" w:rsidRPr="00611019" w:rsidRDefault="00E56462">
      <w:pPr>
        <w:pStyle w:val="Prrafodelista"/>
        <w:numPr>
          <w:ilvl w:val="0"/>
          <w:numId w:val="123"/>
        </w:numPr>
        <w:autoSpaceDE w:val="0"/>
        <w:autoSpaceDN w:val="0"/>
        <w:adjustRightInd w:val="0"/>
        <w:jc w:val="both"/>
        <w:rPr>
          <w:rFonts w:ascii="Century Gothic" w:hAnsi="Century Gothic" w:cs="Arial"/>
        </w:rPr>
      </w:pPr>
      <w:r>
        <w:rPr>
          <w:rFonts w:ascii="Century Gothic" w:hAnsi="Century Gothic" w:cs="Arial"/>
        </w:rPr>
        <w:t>Que las actividades, elementos o recursos faltantes no estén considerados dentro de las descripciones de los Servicios o de los procedimientos de provisión de los Servicios.</w:t>
      </w:r>
    </w:p>
    <w:p w:rsidR="00277ED2" w:rsidRPr="00611019" w:rsidRDefault="00E56462">
      <w:pPr>
        <w:pStyle w:val="Prrafodelista"/>
        <w:numPr>
          <w:ilvl w:val="0"/>
          <w:numId w:val="123"/>
        </w:numPr>
        <w:autoSpaceDE w:val="0"/>
        <w:autoSpaceDN w:val="0"/>
        <w:adjustRightInd w:val="0"/>
        <w:jc w:val="both"/>
        <w:rPr>
          <w:rFonts w:ascii="Century Gothic" w:hAnsi="Century Gothic" w:cs="Arial"/>
        </w:rPr>
      </w:pPr>
      <w:r>
        <w:rPr>
          <w:rFonts w:ascii="Century Gothic" w:hAnsi="Century Gothic" w:cs="Arial"/>
        </w:rPr>
        <w:t>Que la adquisición o solución no pueda ser atendida dentro de los plazos establecidos en la provisión e instalación de un servicio por razones ajenas a los procedimientos.</w:t>
      </w:r>
    </w:p>
    <w:p w:rsidR="00277ED2" w:rsidRPr="00611019" w:rsidRDefault="00E56462">
      <w:pPr>
        <w:pStyle w:val="Prrafodelista"/>
        <w:numPr>
          <w:ilvl w:val="0"/>
          <w:numId w:val="124"/>
        </w:numPr>
        <w:autoSpaceDE w:val="0"/>
        <w:autoSpaceDN w:val="0"/>
        <w:adjustRightInd w:val="0"/>
        <w:jc w:val="both"/>
        <w:rPr>
          <w:rFonts w:ascii="Century Gothic" w:hAnsi="Century Gothic" w:cs="Arial"/>
        </w:rPr>
      </w:pPr>
      <w:r>
        <w:rPr>
          <w:rFonts w:ascii="Century Gothic" w:hAnsi="Century Gothic" w:cs="Arial"/>
        </w:rPr>
        <w:t xml:space="preserve">Que el elemento o recurso faltante no sea algo que se deba tener como reserva, refacción, o prevista mediante planes o pronósticos en los Servicios que aplique. </w:t>
      </w:r>
    </w:p>
    <w:p w:rsidR="001930B2" w:rsidRPr="00611019" w:rsidRDefault="00E56462">
      <w:pPr>
        <w:pStyle w:val="Prrafodelista"/>
        <w:numPr>
          <w:ilvl w:val="0"/>
          <w:numId w:val="124"/>
        </w:numPr>
        <w:autoSpaceDE w:val="0"/>
        <w:autoSpaceDN w:val="0"/>
        <w:adjustRightInd w:val="0"/>
        <w:jc w:val="both"/>
        <w:rPr>
          <w:rFonts w:ascii="Century Gothic" w:hAnsi="Century Gothic" w:cs="Arial"/>
        </w:rPr>
      </w:pPr>
      <w:r>
        <w:rPr>
          <w:rFonts w:ascii="Century Gothic" w:hAnsi="Century Gothic" w:cs="Arial"/>
        </w:rPr>
        <w:t>Que sea una condición derivada fuera del alcance de las actividades de mantenimiento de la red.</w:t>
      </w:r>
    </w:p>
    <w:p w:rsidR="00277ED2" w:rsidRPr="00611019" w:rsidRDefault="00E56462">
      <w:pPr>
        <w:pStyle w:val="Prrafodelista"/>
        <w:numPr>
          <w:ilvl w:val="0"/>
          <w:numId w:val="124"/>
        </w:numPr>
        <w:autoSpaceDE w:val="0"/>
        <w:autoSpaceDN w:val="0"/>
        <w:adjustRightInd w:val="0"/>
        <w:jc w:val="both"/>
        <w:rPr>
          <w:rFonts w:ascii="Century Gothic" w:hAnsi="Century Gothic" w:cs="Arial"/>
        </w:rPr>
      </w:pPr>
      <w:r>
        <w:rPr>
          <w:rFonts w:ascii="Century Gothic" w:hAnsi="Century Gothic" w:cs="Arial"/>
        </w:rPr>
        <w:t>No es condicionamiento de un Trabajo Especial:</w:t>
      </w:r>
    </w:p>
    <w:p w:rsidR="00277ED2" w:rsidRPr="00611019" w:rsidRDefault="00E56462">
      <w:pPr>
        <w:pStyle w:val="Prrafodelista"/>
        <w:numPr>
          <w:ilvl w:val="0"/>
          <w:numId w:val="125"/>
        </w:numPr>
        <w:autoSpaceDE w:val="0"/>
        <w:autoSpaceDN w:val="0"/>
        <w:adjustRightInd w:val="0"/>
        <w:jc w:val="both"/>
        <w:rPr>
          <w:rFonts w:ascii="Century Gothic" w:hAnsi="Century Gothic" w:cs="Arial"/>
        </w:rPr>
      </w:pPr>
      <w:r>
        <w:rPr>
          <w:rFonts w:ascii="Century Gothic" w:hAnsi="Century Gothic" w:cs="Arial"/>
        </w:rPr>
        <w:t>Cualquier evento derivado de error, omisión o falta de actualización de la información contenida en el SEG/SIPO.</w:t>
      </w:r>
    </w:p>
    <w:p w:rsidR="00277ED2" w:rsidRPr="00611019" w:rsidRDefault="00E56462">
      <w:pPr>
        <w:pStyle w:val="Prrafodelista"/>
        <w:numPr>
          <w:ilvl w:val="0"/>
          <w:numId w:val="125"/>
        </w:numPr>
        <w:autoSpaceDE w:val="0"/>
        <w:autoSpaceDN w:val="0"/>
        <w:adjustRightInd w:val="0"/>
        <w:jc w:val="both"/>
        <w:rPr>
          <w:rFonts w:ascii="Century Gothic" w:hAnsi="Century Gothic" w:cs="Arial"/>
        </w:rPr>
      </w:pPr>
      <w:r>
        <w:rPr>
          <w:rFonts w:ascii="Century Gothic" w:hAnsi="Century Gothic" w:cs="Arial"/>
        </w:rPr>
        <w:t xml:space="preserve">Cualquier actividad o razón que se derive de la falta de mantenimiento o de la recuperación de recursos de red por motivo de cancelaciones que liberan los mismos. </w:t>
      </w:r>
      <w:r>
        <w:rPr>
          <w:rFonts w:ascii="Century Gothic" w:hAnsi="Century Gothic"/>
        </w:rPr>
        <w:t>RED NACIONAL</w:t>
      </w:r>
      <w:r>
        <w:rPr>
          <w:rFonts w:ascii="Century Gothic" w:hAnsi="Century Gothic" w:cs="Arial"/>
        </w:rPr>
        <w:t xml:space="preserve"> deberá registrar en el SEG/SIPO el retiro o liberación de la infraestructura o recursos de red derivados de bajas de Servicios con el objetivo de que los </w:t>
      </w:r>
      <w:r w:rsidR="00122BCB">
        <w:rPr>
          <w:rFonts w:ascii="Century Gothic" w:hAnsi="Century Gothic" w:cs="Arial"/>
        </w:rPr>
        <w:t>CS</w:t>
      </w:r>
      <w:r>
        <w:rPr>
          <w:rFonts w:ascii="Century Gothic" w:hAnsi="Century Gothic" w:cs="Arial"/>
        </w:rPr>
        <w:t xml:space="preserve"> puedan identificar los Servicios donde ya no tendrán que requerir Trabajos Especiales.</w:t>
      </w:r>
    </w:p>
    <w:p w:rsidR="00277ED2" w:rsidRPr="00611019" w:rsidRDefault="00E56462">
      <w:pPr>
        <w:pStyle w:val="Prrafodelista"/>
        <w:numPr>
          <w:ilvl w:val="0"/>
          <w:numId w:val="125"/>
        </w:numPr>
        <w:autoSpaceDE w:val="0"/>
        <w:autoSpaceDN w:val="0"/>
        <w:adjustRightInd w:val="0"/>
        <w:spacing w:after="12pt"/>
        <w:jc w:val="both"/>
        <w:rPr>
          <w:rFonts w:ascii="Century Gothic" w:hAnsi="Century Gothic" w:cs="Arial"/>
        </w:rPr>
      </w:pPr>
      <w:r>
        <w:rPr>
          <w:rFonts w:ascii="Century Gothic" w:hAnsi="Century Gothic" w:cs="Arial"/>
        </w:rPr>
        <w:t xml:space="preserve">Cualquier razón que se derive de la saturación o falta de capacidad en las Centrales Telefónicas y su equipamiento o de recursos de red de un usuario existente. Sólo aplica entre Servicios de la misma clase, siempre y cuando los </w:t>
      </w:r>
      <w:r w:rsidR="00122BCB">
        <w:rPr>
          <w:rFonts w:ascii="Century Gothic" w:hAnsi="Century Gothic" w:cs="Arial"/>
        </w:rPr>
        <w:t>CS</w:t>
      </w:r>
      <w:r>
        <w:rPr>
          <w:rFonts w:ascii="Century Gothic" w:hAnsi="Century Gothic" w:cs="Arial"/>
        </w:rPr>
        <w:t xml:space="preserve"> entreguen los pronósticos correspondientes para integrar dicha infraestructura a los planes de inversión de </w:t>
      </w:r>
      <w:r>
        <w:rPr>
          <w:rFonts w:ascii="Century Gothic" w:hAnsi="Century Gothic"/>
        </w:rPr>
        <w:t>RED NACIONAL</w:t>
      </w:r>
      <w:r>
        <w:rPr>
          <w:rFonts w:ascii="Century Gothic" w:hAnsi="Century Gothic" w:cs="Arial"/>
        </w:rPr>
        <w:t>, y siempre que no corresponda a infraestructura en obsolescencia</w:t>
      </w:r>
      <w:bookmarkEnd w:id="2042"/>
      <w:r>
        <w:rPr>
          <w:rFonts w:ascii="Century Gothic" w:hAnsi="Century Gothic" w:cs="Arial"/>
        </w:rPr>
        <w:t>.</w:t>
      </w:r>
    </w:p>
    <w:p w:rsidR="00277ED2" w:rsidRPr="00611019" w:rsidRDefault="00E56462" w:rsidP="00035D2C">
      <w:pPr>
        <w:autoSpaceDE w:val="0"/>
        <w:autoSpaceDN w:val="0"/>
        <w:adjustRightInd w:val="0"/>
        <w:spacing w:after="6pt"/>
        <w:jc w:val="both"/>
        <w:rPr>
          <w:rFonts w:ascii="Century Gothic" w:hAnsi="Century Gothic" w:cs="Arial"/>
        </w:rPr>
      </w:pPr>
      <w:r>
        <w:rPr>
          <w:rFonts w:ascii="Century Gothic" w:hAnsi="Century Gothic" w:cs="Arial"/>
        </w:rPr>
        <w:t>Los tiempos incurridos en la realización de los Trabajos Especiales, incluyendo los plazos de presentación y aceptación entre las Partes, no serán considerados como parte de los tiempos de habilitación de los Servicios. Es decir, la contabilización de días para la contratación y habilitación de estos Servicios se detendrá a partir de la notificación de no factibilidad, y será reanudada cuando el CS valide la entrega del Trabajo Especial.</w:t>
      </w:r>
    </w:p>
    <w:p w:rsidR="00277ED2" w:rsidRPr="00611019" w:rsidRDefault="00E56462" w:rsidP="00035D2C">
      <w:pPr>
        <w:autoSpaceDE w:val="0"/>
        <w:autoSpaceDN w:val="0"/>
        <w:adjustRightInd w:val="0"/>
        <w:spacing w:after="6pt"/>
        <w:jc w:val="both"/>
        <w:rPr>
          <w:rFonts w:ascii="Century Gothic" w:hAnsi="Century Gothic" w:cs="Arial"/>
        </w:rPr>
      </w:pPr>
      <w:r>
        <w:rPr>
          <w:rFonts w:ascii="Century Gothic" w:hAnsi="Century Gothic" w:cs="Arial"/>
        </w:rPr>
        <w:t xml:space="preserve">Los Servicios que pueden solicitar la contratación de Trabajos Especiales son aquellos en cuyo procedimiento se establece que, en caso de no existir factibilidad técnica para proporcionar el servicio, a petición de los </w:t>
      </w:r>
      <w:r w:rsidR="00122BCB">
        <w:rPr>
          <w:rFonts w:ascii="Century Gothic" w:hAnsi="Century Gothic" w:cs="Arial"/>
        </w:rPr>
        <w:t>CS</w:t>
      </w:r>
      <w:r>
        <w:rPr>
          <w:rFonts w:ascii="Century Gothic" w:hAnsi="Century Gothic" w:cs="Arial"/>
        </w:rPr>
        <w:t>, podría iniciarse el trabajo especial.</w:t>
      </w:r>
    </w:p>
    <w:p w:rsidR="00277ED2" w:rsidRPr="00611019" w:rsidRDefault="00E56462" w:rsidP="00035D2C">
      <w:pPr>
        <w:autoSpaceDE w:val="0"/>
        <w:autoSpaceDN w:val="0"/>
        <w:adjustRightInd w:val="0"/>
        <w:spacing w:after="6pt"/>
        <w:jc w:val="both"/>
        <w:rPr>
          <w:rFonts w:ascii="Century Gothic" w:hAnsi="Century Gothic" w:cs="Arial"/>
        </w:rPr>
      </w:pPr>
      <w:r>
        <w:rPr>
          <w:rFonts w:ascii="Century Gothic" w:hAnsi="Century Gothic" w:cs="Arial"/>
        </w:rPr>
        <w:t xml:space="preserve">La cotización que se envíe al CS contemplará entre otros los costos incurridos para la ejecución del Trabajo Especial. </w:t>
      </w:r>
      <w:r>
        <w:rPr>
          <w:rFonts w:ascii="Century Gothic" w:hAnsi="Century Gothic"/>
        </w:rPr>
        <w:t>RED NACIONAL</w:t>
      </w:r>
      <w:r>
        <w:rPr>
          <w:rFonts w:ascii="Century Gothic" w:hAnsi="Century Gothic" w:cs="Arial"/>
        </w:rPr>
        <w:t xml:space="preserve"> entregará una cotización al CS con el desglose detallado de los costos asociados de los materiales, mano de obra y actividades a realizar, incluyendo plazos.</w:t>
      </w:r>
    </w:p>
    <w:p w:rsidR="00277ED2" w:rsidRPr="00611019" w:rsidRDefault="00E56462" w:rsidP="00035D2C">
      <w:pPr>
        <w:autoSpaceDE w:val="0"/>
        <w:autoSpaceDN w:val="0"/>
        <w:adjustRightInd w:val="0"/>
        <w:spacing w:after="6pt"/>
        <w:jc w:val="both"/>
        <w:rPr>
          <w:rFonts w:ascii="Century Gothic" w:hAnsi="Century Gothic" w:cs="Arial"/>
        </w:rPr>
      </w:pPr>
      <w:r>
        <w:rPr>
          <w:rFonts w:ascii="Century Gothic" w:hAnsi="Century Gothic" w:cs="Arial"/>
        </w:rPr>
        <w:lastRenderedPageBreak/>
        <w:t xml:space="preserve">Toda actualización a la información de infraestructura y de recursos de red derivada de la realización de Trabajos Especiales, deberá estar visible para el CS a través del SEG/SIPO indicando al menos los sitios, rutas y capacidades liberadas o adicionadas. </w:t>
      </w:r>
    </w:p>
    <w:p w:rsidR="00277ED2" w:rsidRPr="00611019" w:rsidRDefault="00E56462" w:rsidP="00035D2C">
      <w:pPr>
        <w:autoSpaceDE w:val="0"/>
        <w:autoSpaceDN w:val="0"/>
        <w:adjustRightInd w:val="0"/>
        <w:spacing w:after="6pt"/>
        <w:jc w:val="both"/>
        <w:rPr>
          <w:rFonts w:ascii="Century Gothic" w:hAnsi="Century Gothic" w:cs="Arial"/>
        </w:rPr>
      </w:pPr>
      <w:r>
        <w:rPr>
          <w:rFonts w:ascii="Century Gothic" w:hAnsi="Century Gothic" w:cs="Arial"/>
        </w:rPr>
        <w:t>La información asociada al desglose detallado de cotizaciones, plazos y actividades derivadas de la realización de los Trabajos Especiales deberá hacerse disponible a través del SEG/SIPO únicamente para el Instituto.</w:t>
      </w:r>
    </w:p>
    <w:p w:rsidR="00277ED2" w:rsidRPr="00611019" w:rsidRDefault="00E56462" w:rsidP="00035D2C">
      <w:pPr>
        <w:autoSpaceDE w:val="0"/>
        <w:autoSpaceDN w:val="0"/>
        <w:adjustRightInd w:val="0"/>
        <w:jc w:val="both"/>
        <w:rPr>
          <w:rFonts w:ascii="Century Gothic" w:hAnsi="Century Gothic" w:cs="Arial"/>
        </w:rPr>
      </w:pPr>
      <w:r>
        <w:rPr>
          <w:rFonts w:ascii="Century Gothic" w:hAnsi="Century Gothic"/>
        </w:rPr>
        <w:t>RED NACIONAL</w:t>
      </w:r>
      <w:r>
        <w:rPr>
          <w:rFonts w:ascii="Century Gothic" w:hAnsi="Century Gothic" w:cs="Arial"/>
        </w:rPr>
        <w:t xml:space="preserve"> será responsable de que se retire la infraestructura instalada donde proceda para el servicio que se da de baja por parte del CS.</w:t>
      </w:r>
    </w:p>
    <w:p w:rsidR="00CF12C2" w:rsidRPr="00611019" w:rsidRDefault="00CF12C2" w:rsidP="00035D2C">
      <w:pPr>
        <w:autoSpaceDE w:val="0"/>
        <w:autoSpaceDN w:val="0"/>
        <w:adjustRightInd w:val="0"/>
        <w:jc w:val="both"/>
        <w:rPr>
          <w:rFonts w:ascii="Century Gothic" w:hAnsi="Century Gothic" w:cs="Arial"/>
        </w:rPr>
      </w:pPr>
    </w:p>
    <w:p w:rsidR="00277ED2" w:rsidRPr="00611019" w:rsidRDefault="00E56462" w:rsidP="00035D2C">
      <w:pPr>
        <w:pStyle w:val="Ttulo2"/>
        <w:keepNext w:val="0"/>
        <w:spacing w:after="6pt"/>
        <w:ind w:start="0pt" w:firstLine="0pt"/>
        <w:rPr>
          <w:rFonts w:ascii="Century Gothic" w:hAnsi="Century Gothic"/>
        </w:rPr>
      </w:pPr>
      <w:bookmarkStart w:id="2043" w:name="_Toc436840953"/>
      <w:bookmarkStart w:id="2044" w:name="_Toc436846390"/>
      <w:bookmarkStart w:id="2045" w:name="_Toc436848340"/>
      <w:bookmarkStart w:id="2046" w:name="_Toc436856588"/>
      <w:bookmarkStart w:id="2047" w:name="_Toc436862734"/>
      <w:bookmarkStart w:id="2048" w:name="_Toc436866384"/>
      <w:bookmarkStart w:id="2049" w:name="_Toc436870963"/>
      <w:bookmarkStart w:id="2050" w:name="_Toc436875955"/>
      <w:bookmarkStart w:id="2051" w:name="_Toc24473521"/>
      <w:bookmarkStart w:id="2052" w:name="_Toc24477649"/>
      <w:bookmarkStart w:id="2053" w:name="_Toc26281446"/>
      <w:bookmarkStart w:id="2054" w:name="_Toc26284982"/>
      <w:bookmarkStart w:id="2055" w:name="_Toc26903983"/>
      <w:bookmarkStart w:id="2056" w:name="_Toc43913223"/>
      <w:bookmarkStart w:id="2057" w:name="_Toc26980707"/>
      <w:bookmarkStart w:id="2058" w:name="_Toc53488559"/>
      <w:bookmarkStart w:id="2059" w:name="_Toc53490491"/>
      <w:bookmarkStart w:id="2060" w:name="_Toc53498499"/>
      <w:bookmarkStart w:id="2061" w:name="_Toc58578856"/>
      <w:bookmarkStart w:id="2062" w:name="_Toc92974082"/>
      <w:bookmarkStart w:id="2063" w:name="_Toc93052393"/>
      <w:bookmarkStart w:id="2064" w:name="_Toc93056348"/>
      <w:bookmarkStart w:id="2065" w:name="_Toc125393412"/>
      <w:bookmarkStart w:id="2066" w:name="_Toc148702268"/>
      <w:bookmarkStart w:id="2067" w:name="_Toc170381884"/>
      <w:r>
        <w:rPr>
          <w:rFonts w:ascii="Century Gothic" w:hAnsi="Century Gothic"/>
        </w:rPr>
        <w:t>1</w:t>
      </w:r>
      <w:r w:rsidR="00230EF7">
        <w:rPr>
          <w:rFonts w:ascii="Century Gothic" w:hAnsi="Century Gothic"/>
        </w:rPr>
        <w:t>2</w:t>
      </w:r>
      <w:r>
        <w:rPr>
          <w:rFonts w:ascii="Century Gothic" w:hAnsi="Century Gothic"/>
        </w:rPr>
        <w:t xml:space="preserve">.1 </w:t>
      </w:r>
      <w:bookmarkStart w:id="2068" w:name="_Toc467248768"/>
      <w:bookmarkStart w:id="2069" w:name="_Toc525904654"/>
      <w:bookmarkStart w:id="2070" w:name="_Toc525914050"/>
      <w:bookmarkStart w:id="2071" w:name="_Toc525919289"/>
      <w:bookmarkStart w:id="2072" w:name="_Toc525919413"/>
      <w:bookmarkStart w:id="2073" w:name="_Toc2957223"/>
      <w:r>
        <w:rPr>
          <w:rFonts w:ascii="Century Gothic" w:hAnsi="Century Gothic"/>
        </w:rPr>
        <w:t>Procedimiento para solicitud, aceptación y entrega de Trabajos Especiales</w:t>
      </w:r>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r>
        <w:rPr>
          <w:rFonts w:ascii="Century Gothic" w:hAnsi="Century Gothic"/>
        </w:rPr>
        <w:t>.</w:t>
      </w:r>
    </w:p>
    <w:p w:rsidR="00BE70A1" w:rsidRPr="00611019" w:rsidRDefault="00E56462" w:rsidP="00035D2C">
      <w:pPr>
        <w:pStyle w:val="IFTnormal"/>
        <w:spacing w:after="6pt"/>
        <w:rPr>
          <w:rFonts w:ascii="Century Gothic" w:hAnsi="Century Gothic"/>
        </w:rPr>
      </w:pPr>
      <w:r>
        <w:rPr>
          <w:rFonts w:ascii="Century Gothic" w:hAnsi="Century Gothic"/>
        </w:rPr>
        <w:t xml:space="preserve">El objetivo y alcance de este procedimiento es definir los pasos y actividades a desarrollar por parte de RED NACIONAL y del CS, a fin de realizar la solicitud, aceptación y entrega de Trabajos Especiales una vez notificada la no disponibilidad (no factibilidad técnica) de un servicio de desagregación. Las fases en que se divide este procedimiento son: </w:t>
      </w:r>
      <w:r>
        <w:rPr>
          <w:rFonts w:ascii="Century Gothic" w:hAnsi="Century Gothic"/>
          <w:b/>
        </w:rPr>
        <w:t>(i)</w:t>
      </w:r>
      <w:r>
        <w:rPr>
          <w:rFonts w:ascii="Century Gothic" w:hAnsi="Century Gothic"/>
        </w:rPr>
        <w:t xml:space="preserve"> Entrega y validación de la solicitud para que el CS manifieste su intención de solicitar el servicio, las características del mismo, y la evaluación en el SEG/SIPO para validar que la solicitud cuenta con todos los elementos para la solicitud del servicio; </w:t>
      </w:r>
      <w:r>
        <w:rPr>
          <w:rFonts w:ascii="Century Gothic" w:hAnsi="Century Gothic"/>
          <w:b/>
        </w:rPr>
        <w:t>(ii)</w:t>
      </w:r>
      <w:r>
        <w:rPr>
          <w:rFonts w:ascii="Century Gothic" w:hAnsi="Century Gothic"/>
        </w:rPr>
        <w:t xml:space="preserve"> Análisis de Factibilidad Técnica a fin de que RED NACIONAL pueda analizar y determinar que recursos son los necesarios para realizar el Trabajo Especial; y </w:t>
      </w:r>
      <w:r>
        <w:rPr>
          <w:rFonts w:ascii="Century Gothic" w:hAnsi="Century Gothic"/>
          <w:b/>
        </w:rPr>
        <w:t>(iii)</w:t>
      </w:r>
      <w:r>
        <w:rPr>
          <w:rFonts w:ascii="Century Gothic" w:hAnsi="Century Gothic"/>
        </w:rPr>
        <w:t xml:space="preserve"> Habilitación y aprovisionamiento del Servicio solicitado, que detonará los procesos de pruebas de entrega y facturación.</w:t>
      </w:r>
    </w:p>
    <w:tbl>
      <w:tblPr>
        <w:tblW w:w="99.0%" w:type="pct"/>
        <w:tblInd w:w="0.20pt" w:type="dxa"/>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1"/>
      </w:tblPr>
      <w:tblGrid>
        <w:gridCol w:w="3476"/>
        <w:gridCol w:w="5824"/>
      </w:tblGrid>
      <w:tr w:rsidR="0061711D" w:rsidTr="002E0A92">
        <w:trPr>
          <w:tblHeader/>
        </w:trPr>
        <w:tc>
          <w:tcPr>
            <w:tcW w:w="37.0%" w:type="pct"/>
            <w:shd w:val="clear" w:color="auto" w:fill="009AD9"/>
          </w:tcPr>
          <w:p w:rsidR="00277ED2" w:rsidRPr="00611019" w:rsidRDefault="00E56462" w:rsidP="00035D2C">
            <w:pPr>
              <w:pStyle w:val="IFTnormal"/>
              <w:spacing w:before="2pt" w:after="2pt"/>
              <w:jc w:val="center"/>
              <w:rPr>
                <w:rFonts w:ascii="Century Gothic" w:hAnsi="Century Gothic"/>
                <w:b/>
                <w:color w:val="FFFFFF" w:themeColor="background1"/>
                <w:sz w:val="20"/>
                <w:szCs w:val="20"/>
              </w:rPr>
            </w:pPr>
            <w:r>
              <w:rPr>
                <w:rFonts w:ascii="Century Gothic" w:hAnsi="Century Gothic"/>
                <w:b/>
                <w:color w:val="FFFFFF" w:themeColor="background1"/>
                <w:sz w:val="20"/>
                <w:szCs w:val="20"/>
              </w:rPr>
              <w:t>Etapa</w:t>
            </w:r>
          </w:p>
        </w:tc>
        <w:tc>
          <w:tcPr>
            <w:tcW w:w="62.0%" w:type="pct"/>
            <w:shd w:val="clear" w:color="auto" w:fill="009AD9"/>
          </w:tcPr>
          <w:p w:rsidR="00277ED2" w:rsidRPr="00611019" w:rsidRDefault="00E56462" w:rsidP="00035D2C">
            <w:pPr>
              <w:pStyle w:val="IFTnormal"/>
              <w:spacing w:before="2pt" w:after="2pt"/>
              <w:jc w:val="center"/>
              <w:rPr>
                <w:rFonts w:ascii="Century Gothic" w:hAnsi="Century Gothic"/>
                <w:b/>
                <w:color w:val="FFFFFF" w:themeColor="background1"/>
                <w:sz w:val="20"/>
                <w:szCs w:val="20"/>
              </w:rPr>
            </w:pPr>
            <w:r>
              <w:rPr>
                <w:rFonts w:ascii="Century Gothic" w:hAnsi="Century Gothic"/>
                <w:b/>
                <w:color w:val="FFFFFF" w:themeColor="background1"/>
                <w:sz w:val="20"/>
                <w:szCs w:val="20"/>
              </w:rPr>
              <w:t>Descripción</w:t>
            </w:r>
          </w:p>
        </w:tc>
      </w:tr>
      <w:tr w:rsidR="0061711D" w:rsidTr="00277ED2">
        <w:tc>
          <w:tcPr>
            <w:tcW w:w="37.0%" w:type="pct"/>
            <w:shd w:val="clear" w:color="auto" w:fill="auto"/>
          </w:tcPr>
          <w:p w:rsidR="00277ED2" w:rsidRPr="00611019" w:rsidRDefault="00E56462" w:rsidP="00035D2C">
            <w:pPr>
              <w:pStyle w:val="IFTnormal"/>
              <w:spacing w:before="2pt" w:after="2pt"/>
              <w:jc w:val="start"/>
              <w:rPr>
                <w:rFonts w:ascii="Century Gothic" w:hAnsi="Century Gothic"/>
                <w:b/>
                <w:sz w:val="20"/>
              </w:rPr>
            </w:pPr>
            <w:r>
              <w:rPr>
                <w:rFonts w:ascii="Century Gothic" w:hAnsi="Century Gothic"/>
                <w:b/>
                <w:sz w:val="20"/>
              </w:rPr>
              <w:t>Envío y Validación de la solicitud</w:t>
            </w:r>
          </w:p>
        </w:tc>
        <w:tc>
          <w:tcPr>
            <w:tcW w:w="62.0%" w:type="pct"/>
            <w:shd w:val="clear" w:color="auto" w:fill="auto"/>
          </w:tcPr>
          <w:p w:rsidR="00277ED2" w:rsidRPr="00611019" w:rsidRDefault="00E56462" w:rsidP="00035D2C">
            <w:pPr>
              <w:pStyle w:val="IFTnormal"/>
              <w:spacing w:before="2pt" w:after="2pt"/>
              <w:rPr>
                <w:rFonts w:ascii="Century Gothic" w:hAnsi="Century Gothic"/>
                <w:sz w:val="20"/>
              </w:rPr>
            </w:pPr>
            <w:r>
              <w:rPr>
                <w:rFonts w:ascii="Century Gothic" w:hAnsi="Century Gothic"/>
                <w:sz w:val="20"/>
              </w:rPr>
              <w:t>RED NACIONAL notifica vía SEG/SIPO la no factibilidad del Servicio de desagregación solicitado estableciendo el detalle de su(s) causa(s) conforme a lo establecido en la sección “Disponibilidad de Recursos” de esta OREDA y con la información del tipo de Trabajo Especial requerido.</w:t>
            </w:r>
          </w:p>
          <w:p w:rsidR="00277ED2" w:rsidRPr="00611019" w:rsidRDefault="00E56462" w:rsidP="00035D2C">
            <w:pPr>
              <w:pStyle w:val="IFTnormal"/>
              <w:spacing w:before="2pt" w:after="2pt"/>
              <w:rPr>
                <w:rFonts w:ascii="Century Gothic" w:hAnsi="Century Gothic"/>
                <w:sz w:val="20"/>
              </w:rPr>
            </w:pPr>
            <w:r>
              <w:rPr>
                <w:rFonts w:ascii="Century Gothic" w:hAnsi="Century Gothic"/>
                <w:sz w:val="20"/>
              </w:rPr>
              <w:t>Una vez notificada la no factibilidad de un servicio, el CS podrá solicitar la realización de un Trabajo</w:t>
            </w:r>
            <w:r w:rsidR="00A66021">
              <w:rPr>
                <w:rFonts w:ascii="Century Gothic" w:hAnsi="Century Gothic"/>
                <w:sz w:val="20"/>
              </w:rPr>
              <w:t xml:space="preserve"> Especial</w:t>
            </w:r>
            <w:r>
              <w:rPr>
                <w:rFonts w:ascii="Century Gothic" w:hAnsi="Century Gothic"/>
                <w:sz w:val="20"/>
              </w:rPr>
              <w:t>.</w:t>
            </w:r>
          </w:p>
          <w:p w:rsidR="00277ED2" w:rsidRPr="00611019" w:rsidRDefault="00E56462" w:rsidP="00035D2C">
            <w:pPr>
              <w:pStyle w:val="IFTnormal"/>
              <w:spacing w:before="2pt" w:after="2pt"/>
              <w:rPr>
                <w:rFonts w:ascii="Century Gothic" w:hAnsi="Century Gothic"/>
                <w:sz w:val="20"/>
              </w:rPr>
            </w:pPr>
            <w:r>
              <w:rPr>
                <w:rFonts w:ascii="Century Gothic" w:hAnsi="Century Gothic"/>
                <w:sz w:val="20"/>
              </w:rPr>
              <w:t>De proceder el CS deberá presentar sus solicitudes a través del SEG/SIPO, indicando:</w:t>
            </w:r>
          </w:p>
          <w:p w:rsidR="00277ED2" w:rsidRPr="00611019" w:rsidRDefault="00E56462">
            <w:pPr>
              <w:pStyle w:val="IFTnormal"/>
              <w:numPr>
                <w:ilvl w:val="0"/>
                <w:numId w:val="126"/>
              </w:numPr>
              <w:spacing w:before="2pt" w:after="2pt"/>
              <w:rPr>
                <w:rFonts w:ascii="Century Gothic" w:hAnsi="Century Gothic"/>
                <w:sz w:val="20"/>
              </w:rPr>
            </w:pPr>
            <w:r>
              <w:rPr>
                <w:rFonts w:ascii="Century Gothic" w:hAnsi="Century Gothic"/>
                <w:sz w:val="20"/>
              </w:rPr>
              <w:t>NIS de Referencia del Servicio que no fue factible</w:t>
            </w:r>
          </w:p>
          <w:p w:rsidR="00277ED2" w:rsidRPr="00611019" w:rsidRDefault="00E56462" w:rsidP="00035D2C">
            <w:pPr>
              <w:pStyle w:val="IFTnormal"/>
              <w:spacing w:after="6pt"/>
              <w:rPr>
                <w:rFonts w:ascii="Century Gothic" w:hAnsi="Century Gothic"/>
                <w:sz w:val="20"/>
              </w:rPr>
            </w:pPr>
            <w:r>
              <w:rPr>
                <w:rFonts w:ascii="Century Gothic" w:hAnsi="Century Gothic"/>
                <w:sz w:val="20"/>
              </w:rPr>
              <w:t>Una vez enviada la solicitud el SEG/SIPO asignará de forma automática el Folio del Trabajo Especial.</w:t>
            </w:r>
          </w:p>
        </w:tc>
      </w:tr>
      <w:tr w:rsidR="0061711D" w:rsidTr="00277ED2">
        <w:tc>
          <w:tcPr>
            <w:tcW w:w="37.0%" w:type="pct"/>
            <w:shd w:val="clear" w:color="auto" w:fill="auto"/>
          </w:tcPr>
          <w:p w:rsidR="00277ED2" w:rsidRPr="00611019" w:rsidRDefault="00E56462" w:rsidP="00035D2C">
            <w:pPr>
              <w:pStyle w:val="IFTnormal"/>
              <w:spacing w:before="2pt" w:after="2pt"/>
              <w:jc w:val="start"/>
              <w:rPr>
                <w:rFonts w:ascii="Century Gothic" w:hAnsi="Century Gothic"/>
                <w:b/>
                <w:sz w:val="20"/>
              </w:rPr>
            </w:pPr>
            <w:r>
              <w:rPr>
                <w:rFonts w:ascii="Century Gothic" w:hAnsi="Century Gothic"/>
                <w:b/>
                <w:sz w:val="20"/>
              </w:rPr>
              <w:t>Factibilidad Técnica</w:t>
            </w:r>
          </w:p>
        </w:tc>
        <w:tc>
          <w:tcPr>
            <w:tcW w:w="62.0%" w:type="pct"/>
            <w:shd w:val="clear" w:color="auto" w:fill="auto"/>
          </w:tcPr>
          <w:p w:rsidR="00277ED2" w:rsidRPr="00611019" w:rsidRDefault="00E56462" w:rsidP="00035D2C">
            <w:pPr>
              <w:pStyle w:val="IFTnormal"/>
              <w:spacing w:after="6pt"/>
              <w:rPr>
                <w:rFonts w:ascii="Century Gothic" w:hAnsi="Century Gothic"/>
                <w:sz w:val="20"/>
              </w:rPr>
            </w:pPr>
            <w:r>
              <w:rPr>
                <w:rFonts w:ascii="Century Gothic" w:hAnsi="Century Gothic"/>
                <w:sz w:val="20"/>
              </w:rPr>
              <w:t>En el plazo establecido en la presente Oferta, RED NACIONAL presentará la propuesta de Trabajo Especial (Anteproyecto) para los casos donde se requiera obra civil o cotización. La solución técnica necesaria deberá incluir, según corresponda,  los siguientes elementos:</w:t>
            </w:r>
          </w:p>
          <w:p w:rsidR="00277ED2" w:rsidRPr="00611019" w:rsidRDefault="00E56462">
            <w:pPr>
              <w:pStyle w:val="IFTnormal"/>
              <w:numPr>
                <w:ilvl w:val="0"/>
                <w:numId w:val="127"/>
              </w:numPr>
              <w:spacing w:before="2pt" w:after="2pt"/>
              <w:rPr>
                <w:rFonts w:ascii="Century Gothic" w:hAnsi="Century Gothic"/>
                <w:sz w:val="20"/>
              </w:rPr>
            </w:pPr>
            <w:r>
              <w:rPr>
                <w:rFonts w:ascii="Century Gothic" w:hAnsi="Century Gothic"/>
                <w:sz w:val="20"/>
              </w:rPr>
              <w:lastRenderedPageBreak/>
              <w:t>Anteproyecto: propuesta de Trabajo Especial que deberá incluir, según aplique, planos isométricos, de corte de sección, de topografía, de instalaciones, de planta, cimentación, acabados y detalles, etc. así como reporte fotográfico.</w:t>
            </w:r>
          </w:p>
          <w:p w:rsidR="00277ED2" w:rsidRPr="00611019" w:rsidRDefault="00E56462">
            <w:pPr>
              <w:pStyle w:val="IFTnormal"/>
              <w:numPr>
                <w:ilvl w:val="0"/>
                <w:numId w:val="127"/>
              </w:numPr>
              <w:spacing w:before="2pt" w:after="2pt"/>
              <w:rPr>
                <w:rFonts w:ascii="Century Gothic" w:hAnsi="Century Gothic"/>
                <w:sz w:val="20"/>
              </w:rPr>
            </w:pPr>
            <w:r>
              <w:rPr>
                <w:rFonts w:ascii="Century Gothic" w:hAnsi="Century Gothic"/>
                <w:sz w:val="20"/>
              </w:rPr>
              <w:t>Cotización: detalle de los insumos, con el desglose de conceptos, unidad de medida, cantidad por unidad de medida, precio unitario y precio total.</w:t>
            </w:r>
          </w:p>
          <w:p w:rsidR="00277ED2" w:rsidRPr="00611019" w:rsidRDefault="00E56462">
            <w:pPr>
              <w:pStyle w:val="IFTnormal"/>
              <w:numPr>
                <w:ilvl w:val="0"/>
                <w:numId w:val="128"/>
              </w:numPr>
              <w:spacing w:before="2pt" w:after="2pt"/>
              <w:rPr>
                <w:rFonts w:ascii="Century Gothic" w:hAnsi="Century Gothic"/>
                <w:sz w:val="20"/>
              </w:rPr>
            </w:pPr>
            <w:r>
              <w:rPr>
                <w:rFonts w:ascii="Century Gothic" w:hAnsi="Century Gothic"/>
                <w:sz w:val="20"/>
              </w:rPr>
              <w:t>Plan de trabajo: que considere el tiempo de implementación del Trabajo Especial.</w:t>
            </w:r>
          </w:p>
          <w:p w:rsidR="00277ED2" w:rsidRPr="00611019" w:rsidRDefault="00E56462">
            <w:pPr>
              <w:pStyle w:val="IFTnormal"/>
              <w:numPr>
                <w:ilvl w:val="0"/>
                <w:numId w:val="128"/>
              </w:numPr>
              <w:spacing w:before="2pt" w:after="2pt"/>
              <w:rPr>
                <w:rFonts w:ascii="Century Gothic" w:hAnsi="Century Gothic"/>
                <w:sz w:val="20"/>
              </w:rPr>
            </w:pPr>
            <w:r>
              <w:rPr>
                <w:rFonts w:ascii="Century Gothic" w:hAnsi="Century Gothic"/>
                <w:sz w:val="20"/>
              </w:rPr>
              <w:t>Términos adicionales bajo los cuales RED NACIONAL ofrecerá el servicio.</w:t>
            </w:r>
          </w:p>
          <w:p w:rsidR="00CE5A56" w:rsidRPr="00611019" w:rsidRDefault="00CE5A56" w:rsidP="00035D2C">
            <w:pPr>
              <w:spacing w:before="2pt" w:after="2pt"/>
              <w:jc w:val="both"/>
              <w:rPr>
                <w:rFonts w:ascii="Century Gothic" w:hAnsi="Century Gothic" w:cs="Arial"/>
                <w:sz w:val="20"/>
              </w:rPr>
            </w:pPr>
          </w:p>
          <w:p w:rsidR="00277ED2" w:rsidRPr="00611019" w:rsidRDefault="00E56462" w:rsidP="00035D2C">
            <w:pPr>
              <w:spacing w:before="2pt" w:after="2pt"/>
              <w:jc w:val="both"/>
              <w:rPr>
                <w:rFonts w:ascii="Century Gothic" w:hAnsi="Century Gothic" w:cs="Arial"/>
                <w:sz w:val="20"/>
              </w:rPr>
            </w:pPr>
            <w:r>
              <w:rPr>
                <w:rFonts w:ascii="Century Gothic" w:hAnsi="Century Gothic" w:cs="Arial"/>
                <w:sz w:val="20"/>
              </w:rPr>
              <w:t xml:space="preserve">Los Trabajos Especiales y los términos adicionales que involucre </w:t>
            </w:r>
            <w:r>
              <w:rPr>
                <w:rFonts w:ascii="Century Gothic" w:hAnsi="Century Gothic"/>
                <w:sz w:val="20"/>
              </w:rPr>
              <w:t>RED NACIONAL</w:t>
            </w:r>
            <w:r>
              <w:rPr>
                <w:rFonts w:ascii="Century Gothic" w:hAnsi="Century Gothic" w:cs="Arial"/>
                <w:sz w:val="20"/>
              </w:rPr>
              <w:t xml:space="preserve"> quedarán supeditados y determinada su viabilidad de acuerdo con:</w:t>
            </w:r>
          </w:p>
          <w:p w:rsidR="00CE5A56" w:rsidRPr="00611019" w:rsidRDefault="00CE5A56" w:rsidP="00035D2C">
            <w:pPr>
              <w:spacing w:before="2pt" w:after="2pt"/>
              <w:jc w:val="both"/>
              <w:rPr>
                <w:rFonts w:ascii="Century Gothic" w:hAnsi="Century Gothic" w:cs="Arial"/>
                <w:sz w:val="20"/>
              </w:rPr>
            </w:pPr>
          </w:p>
          <w:p w:rsidR="00277ED2" w:rsidRPr="00611019" w:rsidRDefault="00E56462">
            <w:pPr>
              <w:pStyle w:val="Prrafodelista"/>
              <w:numPr>
                <w:ilvl w:val="0"/>
                <w:numId w:val="129"/>
              </w:numPr>
              <w:spacing w:before="2pt" w:after="2pt"/>
              <w:jc w:val="both"/>
              <w:rPr>
                <w:rFonts w:ascii="Century Gothic" w:hAnsi="Century Gothic" w:cs="Arial"/>
                <w:sz w:val="20"/>
              </w:rPr>
            </w:pPr>
            <w:r>
              <w:rPr>
                <w:rFonts w:ascii="Century Gothic" w:hAnsi="Century Gothic"/>
                <w:sz w:val="20"/>
              </w:rPr>
              <w:t>RED NACIONAL</w:t>
            </w:r>
            <w:r>
              <w:rPr>
                <w:rFonts w:ascii="Century Gothic" w:hAnsi="Century Gothic" w:cs="Arial"/>
                <w:sz w:val="20"/>
              </w:rPr>
              <w:t xml:space="preserve"> no podrá emitir propuestas de Trabajos Especiales que contengan trabajos relacionados al mantenimiento (conforme a la sección “Disponibilidad de recursos”) de su infraestructura o recursos de red.</w:t>
            </w:r>
          </w:p>
          <w:p w:rsidR="00CE5A56" w:rsidRPr="00611019" w:rsidRDefault="00CE5A56" w:rsidP="00035D2C">
            <w:pPr>
              <w:spacing w:before="2pt" w:after="2pt"/>
              <w:jc w:val="both"/>
              <w:rPr>
                <w:rFonts w:ascii="Century Gothic" w:hAnsi="Century Gothic" w:cs="Arial"/>
                <w:sz w:val="20"/>
              </w:rPr>
            </w:pPr>
          </w:p>
          <w:p w:rsidR="00277ED2" w:rsidRPr="00611019" w:rsidRDefault="00E56462" w:rsidP="00035D2C">
            <w:pPr>
              <w:spacing w:before="2pt" w:after="2pt"/>
              <w:jc w:val="both"/>
              <w:rPr>
                <w:rFonts w:ascii="Century Gothic" w:hAnsi="Century Gothic" w:cs="Arial"/>
                <w:sz w:val="20"/>
              </w:rPr>
            </w:pPr>
            <w:r>
              <w:rPr>
                <w:rFonts w:ascii="Century Gothic" w:hAnsi="Century Gothic" w:cs="Arial"/>
                <w:sz w:val="20"/>
              </w:rPr>
              <w:t xml:space="preserve">El CS contará con diez días hábiles para aceptar o rechazar la cotización vía SEG/SIPO. En caso de no recibir respuesta, </w:t>
            </w:r>
            <w:r>
              <w:rPr>
                <w:rFonts w:ascii="Century Gothic" w:hAnsi="Century Gothic"/>
                <w:sz w:val="20"/>
              </w:rPr>
              <w:t>RED NACIONAL</w:t>
            </w:r>
            <w:r>
              <w:rPr>
                <w:rFonts w:ascii="Century Gothic" w:hAnsi="Century Gothic" w:cs="Arial"/>
                <w:sz w:val="20"/>
              </w:rPr>
              <w:t xml:space="preserve"> podrá considerar que el CS rechaza el Servicio y concluye el procedimiento y se procede con la etapa de Facturación. En caso de requerir cambios subsecuentes a las propuestas de trabajos especiales por parte de los </w:t>
            </w:r>
            <w:r w:rsidR="00122BCB">
              <w:rPr>
                <w:rFonts w:ascii="Century Gothic" w:hAnsi="Century Gothic" w:cs="Arial"/>
                <w:sz w:val="20"/>
              </w:rPr>
              <w:t>CS</w:t>
            </w:r>
            <w:r>
              <w:rPr>
                <w:rFonts w:ascii="Century Gothic" w:hAnsi="Century Gothic" w:cs="Arial"/>
                <w:sz w:val="20"/>
              </w:rPr>
              <w:t xml:space="preserve"> o RED NACIONAL, aplicarán los mismos plazos de presentación por parte de </w:t>
            </w:r>
            <w:r>
              <w:rPr>
                <w:rFonts w:ascii="Century Gothic" w:hAnsi="Century Gothic"/>
                <w:sz w:val="20"/>
              </w:rPr>
              <w:t>RED NACIONAL</w:t>
            </w:r>
            <w:r>
              <w:rPr>
                <w:rFonts w:ascii="Century Gothic" w:hAnsi="Century Gothic" w:cs="Arial"/>
                <w:sz w:val="20"/>
              </w:rPr>
              <w:t xml:space="preserve"> y de aceptación o rechazo de los </w:t>
            </w:r>
            <w:r w:rsidR="00122BCB">
              <w:rPr>
                <w:rFonts w:ascii="Century Gothic" w:hAnsi="Century Gothic" w:cs="Arial"/>
                <w:sz w:val="20"/>
              </w:rPr>
              <w:t>CS</w:t>
            </w:r>
            <w:r>
              <w:rPr>
                <w:rFonts w:ascii="Century Gothic" w:hAnsi="Century Gothic" w:cs="Arial"/>
                <w:sz w:val="20"/>
              </w:rPr>
              <w:t>.</w:t>
            </w:r>
          </w:p>
        </w:tc>
      </w:tr>
      <w:tr w:rsidR="0061711D" w:rsidTr="00277ED2">
        <w:tc>
          <w:tcPr>
            <w:tcW w:w="37.0%" w:type="pct"/>
            <w:shd w:val="clear" w:color="auto" w:fill="auto"/>
          </w:tcPr>
          <w:p w:rsidR="00277ED2" w:rsidRPr="00611019" w:rsidRDefault="00E56462" w:rsidP="00035D2C">
            <w:pPr>
              <w:pStyle w:val="IFTnormal"/>
              <w:spacing w:before="2pt" w:after="2pt"/>
              <w:jc w:val="start"/>
              <w:rPr>
                <w:rFonts w:ascii="Century Gothic" w:hAnsi="Century Gothic"/>
                <w:b/>
                <w:sz w:val="20"/>
              </w:rPr>
            </w:pPr>
            <w:r>
              <w:rPr>
                <w:rFonts w:ascii="Century Gothic" w:hAnsi="Century Gothic"/>
                <w:b/>
                <w:sz w:val="20"/>
              </w:rPr>
              <w:lastRenderedPageBreak/>
              <w:t>Habilitación y aprovisionamiento del Servicio</w:t>
            </w:r>
          </w:p>
        </w:tc>
        <w:tc>
          <w:tcPr>
            <w:tcW w:w="62.0%" w:type="pct"/>
            <w:shd w:val="clear" w:color="auto" w:fill="auto"/>
          </w:tcPr>
          <w:p w:rsidR="00277ED2" w:rsidRPr="00611019" w:rsidRDefault="00E56462" w:rsidP="00035D2C">
            <w:pPr>
              <w:spacing w:before="2pt" w:after="2pt"/>
              <w:jc w:val="both"/>
              <w:rPr>
                <w:rFonts w:ascii="Century Gothic" w:hAnsi="Century Gothic" w:cs="Arial"/>
                <w:sz w:val="20"/>
              </w:rPr>
            </w:pPr>
            <w:r>
              <w:rPr>
                <w:rFonts w:ascii="Century Gothic" w:hAnsi="Century Gothic" w:cs="Arial"/>
                <w:sz w:val="20"/>
              </w:rPr>
              <w:t xml:space="preserve">Una vez aceptada la propuesta por parte del CS, </w:t>
            </w:r>
            <w:r>
              <w:rPr>
                <w:rFonts w:ascii="Century Gothic" w:hAnsi="Century Gothic"/>
                <w:sz w:val="20"/>
              </w:rPr>
              <w:t>RED NACIONAL</w:t>
            </w:r>
            <w:r>
              <w:rPr>
                <w:rFonts w:ascii="Century Gothic" w:hAnsi="Century Gothic" w:cs="Arial"/>
                <w:sz w:val="20"/>
              </w:rPr>
              <w:t xml:space="preserve"> realizará la facturación de acuerdo con la propuesta y/o cotización presentada y aprobada durante la Factibilidad Técnica. </w:t>
            </w:r>
          </w:p>
          <w:p w:rsidR="00CE5A56" w:rsidRPr="00611019" w:rsidRDefault="00CE5A56" w:rsidP="00035D2C">
            <w:pPr>
              <w:spacing w:before="2pt" w:after="2pt"/>
              <w:jc w:val="both"/>
              <w:rPr>
                <w:rFonts w:ascii="Century Gothic" w:hAnsi="Century Gothic" w:cs="Arial"/>
                <w:sz w:val="20"/>
              </w:rPr>
            </w:pPr>
          </w:p>
          <w:p w:rsidR="00277ED2" w:rsidRPr="00611019" w:rsidRDefault="00E56462" w:rsidP="00035D2C">
            <w:pPr>
              <w:spacing w:before="2pt" w:after="2pt"/>
              <w:jc w:val="both"/>
              <w:rPr>
                <w:rFonts w:ascii="Century Gothic" w:hAnsi="Century Gothic" w:cs="Arial"/>
                <w:sz w:val="20"/>
              </w:rPr>
            </w:pPr>
            <w:r>
              <w:rPr>
                <w:rFonts w:ascii="Century Gothic" w:hAnsi="Century Gothic" w:cs="Arial"/>
                <w:sz w:val="20"/>
              </w:rPr>
              <w:t xml:space="preserve">El CS realiza el pago de un anticipo, correspondiente a 50% del costo total del Trabajo Especial solicitado (la cotización tendrá una vigencia de 10 días hábiles a partir de su notificación, una vez transcurrido dicho plazo se tendrá por cancelada), y </w:t>
            </w:r>
            <w:r>
              <w:rPr>
                <w:rFonts w:ascii="Century Gothic" w:hAnsi="Century Gothic"/>
                <w:sz w:val="20"/>
              </w:rPr>
              <w:t>RED NACIONAL</w:t>
            </w:r>
            <w:r>
              <w:rPr>
                <w:rFonts w:ascii="Century Gothic" w:hAnsi="Century Gothic" w:cs="Arial"/>
                <w:sz w:val="20"/>
              </w:rPr>
              <w:t xml:space="preserve"> notificará al CS </w:t>
            </w:r>
            <w:r>
              <w:rPr>
                <w:rFonts w:ascii="Century Gothic" w:hAnsi="Century Gothic" w:cs="Arial"/>
                <w:sz w:val="20"/>
              </w:rPr>
              <w:lastRenderedPageBreak/>
              <w:t>la fecha de inicio de trabajos en el plazo establecido para tal efecto en la sección de Plazos de este Servicio en la presente OREDA.</w:t>
            </w:r>
          </w:p>
          <w:p w:rsidR="00CE5A56" w:rsidRPr="00611019" w:rsidRDefault="00CE5A56" w:rsidP="00035D2C">
            <w:pPr>
              <w:spacing w:before="2pt" w:after="2pt"/>
              <w:jc w:val="both"/>
              <w:rPr>
                <w:rFonts w:ascii="Century Gothic" w:hAnsi="Century Gothic"/>
                <w:sz w:val="20"/>
              </w:rPr>
            </w:pPr>
          </w:p>
          <w:p w:rsidR="00277ED2" w:rsidRPr="00611019" w:rsidRDefault="00E56462" w:rsidP="00035D2C">
            <w:pPr>
              <w:spacing w:before="2pt" w:after="2pt"/>
              <w:jc w:val="both"/>
              <w:rPr>
                <w:rFonts w:ascii="Century Gothic" w:hAnsi="Century Gothic" w:cs="Arial"/>
                <w:sz w:val="20"/>
              </w:rPr>
            </w:pPr>
            <w:r>
              <w:rPr>
                <w:rFonts w:ascii="Century Gothic" w:hAnsi="Century Gothic"/>
                <w:sz w:val="20"/>
              </w:rPr>
              <w:t>RED NACIONAL, para consulta por parte del CS, vía SEG/SIPO</w:t>
            </w:r>
            <w:r>
              <w:rPr>
                <w:rFonts w:ascii="Century Gothic" w:hAnsi="Century Gothic" w:cs="Arial"/>
                <w:sz w:val="20"/>
              </w:rPr>
              <w:t xml:space="preserve"> deberá mantenerlo informado sobre los avances de los trabajos y si es que </w:t>
            </w:r>
            <w:bookmarkStart w:id="2074" w:name="_Hlk83856434"/>
            <w:r>
              <w:rPr>
                <w:rFonts w:ascii="Century Gothic" w:hAnsi="Century Gothic" w:cs="Arial"/>
                <w:sz w:val="20"/>
              </w:rPr>
              <w:t>se cumple el tiempo de implementación presentado durante la Factibilidad Técnica.</w:t>
            </w:r>
          </w:p>
          <w:bookmarkEnd w:id="2074"/>
          <w:p w:rsidR="00CE5A56" w:rsidRPr="00611019" w:rsidRDefault="00CE5A56" w:rsidP="00035D2C">
            <w:pPr>
              <w:spacing w:before="2pt" w:after="2pt"/>
              <w:jc w:val="both"/>
              <w:rPr>
                <w:rFonts w:ascii="Century Gothic" w:hAnsi="Century Gothic"/>
                <w:sz w:val="20"/>
              </w:rPr>
            </w:pPr>
          </w:p>
          <w:p w:rsidR="00004A6D" w:rsidRPr="00611019" w:rsidRDefault="00E56462" w:rsidP="00035D2C">
            <w:pPr>
              <w:spacing w:before="2pt" w:after="2pt"/>
              <w:jc w:val="both"/>
            </w:pPr>
            <w:r>
              <w:rPr>
                <w:rFonts w:ascii="Century Gothic" w:hAnsi="Century Gothic"/>
                <w:sz w:val="20"/>
              </w:rPr>
              <w:t>RED NACIONAL</w:t>
            </w:r>
            <w:r>
              <w:rPr>
                <w:rFonts w:ascii="Century Gothic" w:hAnsi="Century Gothic" w:cs="Arial"/>
                <w:sz w:val="20"/>
              </w:rPr>
              <w:t xml:space="preserve"> notificará al CS cuando el Trabajo Especial esté finalizado, y en un plazo máximo de cinco días hábiles a partir de esta notificación el CS deberá realizar el pago del 50% restante para liquidar el costo total del Trabajo Especial</w:t>
            </w:r>
            <w:r>
              <w:rPr>
                <w:rFonts w:ascii="Century Gothic" w:hAnsi="Century Gothic" w:cs="Arial"/>
                <w:sz w:val="20"/>
                <w:vertAlign w:val="superscript"/>
              </w:rPr>
              <w:footnoteReference w:id="51"/>
            </w:r>
            <w:r>
              <w:rPr>
                <w:rFonts w:ascii="Century Gothic" w:hAnsi="Century Gothic" w:cs="Arial"/>
                <w:sz w:val="20"/>
              </w:rPr>
              <w:t>.</w:t>
            </w:r>
            <w:r>
              <w:t xml:space="preserve"> </w:t>
            </w:r>
          </w:p>
          <w:p w:rsidR="00CE5A56" w:rsidRPr="00611019" w:rsidRDefault="00CE5A56" w:rsidP="00035D2C">
            <w:pPr>
              <w:spacing w:before="2pt" w:after="2pt"/>
              <w:jc w:val="both"/>
              <w:rPr>
                <w:rFonts w:ascii="Century Gothic" w:hAnsi="Century Gothic" w:cs="Arial"/>
                <w:sz w:val="20"/>
              </w:rPr>
            </w:pPr>
          </w:p>
          <w:p w:rsidR="00277ED2" w:rsidRPr="00611019" w:rsidRDefault="00E56462" w:rsidP="00035D2C">
            <w:pPr>
              <w:spacing w:before="2pt" w:after="2pt"/>
              <w:jc w:val="both"/>
              <w:rPr>
                <w:rFonts w:ascii="Century Gothic" w:hAnsi="Century Gothic" w:cs="Arial"/>
                <w:sz w:val="20"/>
              </w:rPr>
            </w:pPr>
            <w:r>
              <w:rPr>
                <w:rFonts w:ascii="Century Gothic" w:hAnsi="Century Gothic" w:cs="Arial"/>
                <w:sz w:val="20"/>
              </w:rPr>
              <w:t>En los casos en que aplique, el servicio quedará a la espera de agendación de su instalación por parte del CS.</w:t>
            </w:r>
          </w:p>
        </w:tc>
      </w:tr>
      <w:tr w:rsidR="0061711D" w:rsidTr="00277ED2">
        <w:tc>
          <w:tcPr>
            <w:tcW w:w="37.0%" w:type="pct"/>
            <w:shd w:val="clear" w:color="auto" w:fill="auto"/>
          </w:tcPr>
          <w:p w:rsidR="00277ED2" w:rsidRPr="00611019" w:rsidRDefault="00E56462" w:rsidP="00035D2C">
            <w:pPr>
              <w:pStyle w:val="IFTnormal"/>
              <w:spacing w:before="2pt" w:after="2pt"/>
              <w:jc w:val="start"/>
              <w:rPr>
                <w:rFonts w:ascii="Century Gothic" w:hAnsi="Century Gothic"/>
                <w:b/>
                <w:sz w:val="20"/>
              </w:rPr>
            </w:pPr>
            <w:r>
              <w:rPr>
                <w:rFonts w:ascii="Century Gothic" w:hAnsi="Century Gothic"/>
                <w:b/>
                <w:sz w:val="20"/>
              </w:rPr>
              <w:lastRenderedPageBreak/>
              <w:t>Pruebas de Aceptación del Servicio</w:t>
            </w:r>
          </w:p>
        </w:tc>
        <w:tc>
          <w:tcPr>
            <w:tcW w:w="62.0%" w:type="pct"/>
            <w:shd w:val="clear" w:color="auto" w:fill="auto"/>
          </w:tcPr>
          <w:p w:rsidR="00277ED2" w:rsidRPr="00611019" w:rsidRDefault="00E56462" w:rsidP="00035D2C">
            <w:pPr>
              <w:spacing w:before="2pt" w:after="2pt"/>
              <w:jc w:val="both"/>
              <w:rPr>
                <w:rFonts w:ascii="Century Gothic" w:hAnsi="Century Gothic" w:cs="Arial"/>
                <w:sz w:val="20"/>
              </w:rPr>
            </w:pPr>
            <w:r>
              <w:rPr>
                <w:rFonts w:ascii="Century Gothic" w:hAnsi="Century Gothic" w:cs="Arial"/>
                <w:sz w:val="20"/>
              </w:rPr>
              <w:t xml:space="preserve">El CS deberá realizar las pruebas del Servicio correspondientes en conjunto con </w:t>
            </w:r>
            <w:r>
              <w:rPr>
                <w:rFonts w:ascii="Century Gothic" w:hAnsi="Century Gothic"/>
                <w:sz w:val="20"/>
              </w:rPr>
              <w:t>RED NACIONAL</w:t>
            </w:r>
            <w:r>
              <w:rPr>
                <w:rFonts w:ascii="Century Gothic" w:hAnsi="Century Gothic" w:cs="Arial"/>
                <w:sz w:val="20"/>
              </w:rPr>
              <w:t xml:space="preserve"> en un máximo de cinco días hábiles posteriores a la notificación de finalización del Trabajo Especial. En caso de que no se realice la prueba, se entenderá que el CS ha aceptado de conformidad el servicio.</w:t>
            </w:r>
          </w:p>
          <w:p w:rsidR="00CE5A56" w:rsidRPr="00611019" w:rsidRDefault="00CE5A56" w:rsidP="00035D2C">
            <w:pPr>
              <w:spacing w:before="2pt" w:after="2pt"/>
              <w:jc w:val="both"/>
              <w:rPr>
                <w:rFonts w:ascii="Century Gothic" w:hAnsi="Century Gothic" w:cs="Arial"/>
                <w:sz w:val="20"/>
              </w:rPr>
            </w:pPr>
          </w:p>
          <w:p w:rsidR="00277ED2" w:rsidRPr="00611019" w:rsidRDefault="00E56462" w:rsidP="00035D2C">
            <w:pPr>
              <w:spacing w:before="2pt" w:after="2pt"/>
              <w:jc w:val="both"/>
              <w:rPr>
                <w:rFonts w:ascii="Century Gothic" w:hAnsi="Century Gothic" w:cs="Arial"/>
                <w:sz w:val="20"/>
              </w:rPr>
            </w:pPr>
            <w:r>
              <w:rPr>
                <w:rFonts w:ascii="Century Gothic" w:hAnsi="Century Gothic" w:cs="Arial"/>
                <w:sz w:val="20"/>
              </w:rPr>
              <w:t>Una vez que el CS haya liquidado el costo total y aceptado el Trabajo Especial, se le hará entrega del Acta de Recepción del Servicio o se enviará un correo de conformidad.</w:t>
            </w:r>
          </w:p>
        </w:tc>
      </w:tr>
      <w:tr w:rsidR="0061711D" w:rsidTr="00277ED2">
        <w:tc>
          <w:tcPr>
            <w:tcW w:w="37.0%" w:type="pct"/>
            <w:shd w:val="clear" w:color="auto" w:fill="auto"/>
          </w:tcPr>
          <w:p w:rsidR="00277ED2" w:rsidRPr="00611019" w:rsidRDefault="00E56462" w:rsidP="00035D2C">
            <w:pPr>
              <w:pStyle w:val="IFTnormal"/>
              <w:spacing w:before="2pt" w:after="2pt"/>
              <w:jc w:val="start"/>
              <w:rPr>
                <w:rFonts w:ascii="Century Gothic" w:hAnsi="Century Gothic"/>
                <w:b/>
                <w:sz w:val="20"/>
              </w:rPr>
            </w:pPr>
            <w:r>
              <w:rPr>
                <w:rFonts w:ascii="Century Gothic" w:hAnsi="Century Gothic"/>
                <w:b/>
                <w:sz w:val="20"/>
              </w:rPr>
              <w:t>Facturación</w:t>
            </w:r>
          </w:p>
        </w:tc>
        <w:tc>
          <w:tcPr>
            <w:tcW w:w="62.0%" w:type="pct"/>
            <w:shd w:val="clear" w:color="auto" w:fill="auto"/>
          </w:tcPr>
          <w:p w:rsidR="00277ED2" w:rsidRPr="00611019" w:rsidRDefault="00E56462" w:rsidP="00035D2C">
            <w:pPr>
              <w:pStyle w:val="IFTnormal"/>
              <w:spacing w:before="2pt" w:after="2pt"/>
              <w:rPr>
                <w:rFonts w:ascii="Century Gothic" w:hAnsi="Century Gothic"/>
                <w:sz w:val="20"/>
              </w:rPr>
            </w:pPr>
            <w:r>
              <w:rPr>
                <w:rFonts w:ascii="Century Gothic" w:hAnsi="Century Gothic"/>
                <w:sz w:val="20"/>
              </w:rPr>
              <w:t>Una vez que se haya aceptado el Trabajo Especial se comenzará a facturar la renta del servicio correspondiente.</w:t>
            </w:r>
          </w:p>
          <w:p w:rsidR="00277ED2" w:rsidRPr="00611019" w:rsidRDefault="00E56462" w:rsidP="00035D2C">
            <w:pPr>
              <w:pStyle w:val="IFTnormal"/>
              <w:spacing w:before="2pt" w:after="2pt"/>
              <w:rPr>
                <w:rFonts w:ascii="Century Gothic" w:hAnsi="Century Gothic"/>
                <w:sz w:val="20"/>
              </w:rPr>
            </w:pPr>
            <w:r>
              <w:rPr>
                <w:rFonts w:ascii="Century Gothic" w:hAnsi="Century Gothic"/>
                <w:sz w:val="20"/>
              </w:rPr>
              <w:t>El CS contará con la posibilidad de solicitar aclaraciones respecto a los conceptos no reconocidos.</w:t>
            </w:r>
          </w:p>
        </w:tc>
      </w:tr>
    </w:tbl>
    <w:p w:rsidR="00B4692E" w:rsidRPr="00611019" w:rsidRDefault="00B4692E" w:rsidP="00035D2C">
      <w:pPr>
        <w:spacing w:after="6pt"/>
        <w:rPr>
          <w:rFonts w:ascii="Century Gothic" w:hAnsi="Century Gothic"/>
        </w:rPr>
      </w:pPr>
      <w:bookmarkStart w:id="2075" w:name="_Toc525904655"/>
      <w:bookmarkStart w:id="2076" w:name="_Toc525914051"/>
      <w:bookmarkStart w:id="2077" w:name="_Toc525919290"/>
      <w:bookmarkStart w:id="2078" w:name="_Toc525919414"/>
      <w:bookmarkStart w:id="2079" w:name="_Toc2957224"/>
      <w:bookmarkStart w:id="2080" w:name="_Toc24473522"/>
      <w:bookmarkStart w:id="2081" w:name="_Toc24477650"/>
      <w:bookmarkStart w:id="2082" w:name="_Toc26281447"/>
      <w:bookmarkStart w:id="2083" w:name="_Toc26284983"/>
      <w:bookmarkStart w:id="2084" w:name="_Toc26903984"/>
      <w:bookmarkStart w:id="2085" w:name="_Toc43913224"/>
      <w:bookmarkStart w:id="2086" w:name="_Toc26980708"/>
      <w:bookmarkStart w:id="2087" w:name="_Toc53488560"/>
      <w:bookmarkStart w:id="2088" w:name="_Toc53490492"/>
      <w:bookmarkStart w:id="2089" w:name="_Toc53498500"/>
      <w:bookmarkStart w:id="2090" w:name="_Toc58578857"/>
      <w:bookmarkStart w:id="2091" w:name="_Toc436840954"/>
      <w:bookmarkStart w:id="2092" w:name="_Toc436846391"/>
      <w:bookmarkStart w:id="2093" w:name="_Toc436848341"/>
      <w:bookmarkStart w:id="2094" w:name="_Toc436856589"/>
      <w:bookmarkStart w:id="2095" w:name="_Toc436862735"/>
      <w:bookmarkStart w:id="2096" w:name="_Toc436866385"/>
      <w:bookmarkStart w:id="2097" w:name="_Toc436870964"/>
      <w:bookmarkStart w:id="2098" w:name="_Toc436875956"/>
    </w:p>
    <w:p w:rsidR="00277ED2" w:rsidRPr="00611019" w:rsidRDefault="00E56462" w:rsidP="00035D2C">
      <w:pPr>
        <w:pStyle w:val="Ttulo2"/>
        <w:spacing w:after="6pt"/>
        <w:rPr>
          <w:rFonts w:ascii="Century Gothic" w:hAnsi="Century Gothic"/>
        </w:rPr>
      </w:pPr>
      <w:bookmarkStart w:id="2099" w:name="_Toc92974083"/>
      <w:bookmarkStart w:id="2100" w:name="_Toc93052394"/>
      <w:bookmarkStart w:id="2101" w:name="_Toc93056349"/>
      <w:bookmarkStart w:id="2102" w:name="_Toc125393413"/>
      <w:bookmarkStart w:id="2103" w:name="_Toc148702269"/>
      <w:bookmarkStart w:id="2104" w:name="_Toc170381885"/>
      <w:r>
        <w:rPr>
          <w:rFonts w:ascii="Century Gothic" w:hAnsi="Century Gothic"/>
        </w:rPr>
        <w:lastRenderedPageBreak/>
        <w:t>1</w:t>
      </w:r>
      <w:r w:rsidR="00230EF7">
        <w:rPr>
          <w:rFonts w:ascii="Century Gothic" w:hAnsi="Century Gothic"/>
        </w:rPr>
        <w:t>2</w:t>
      </w:r>
      <w:r>
        <w:rPr>
          <w:rFonts w:ascii="Century Gothic" w:hAnsi="Century Gothic"/>
        </w:rPr>
        <w:t>.2 Plazos de Trabajos Especiales</w:t>
      </w:r>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9"/>
      <w:bookmarkEnd w:id="2100"/>
      <w:bookmarkEnd w:id="2101"/>
      <w:bookmarkEnd w:id="2102"/>
      <w:bookmarkEnd w:id="2103"/>
      <w:bookmarkEnd w:id="2104"/>
      <w:r>
        <w:rPr>
          <w:rFonts w:ascii="Century Gothic" w:hAnsi="Century Gothic"/>
        </w:rPr>
        <w:t>.</w:t>
      </w:r>
    </w:p>
    <w:p w:rsidR="00277ED2" w:rsidRPr="00611019" w:rsidRDefault="00E56462">
      <w:pPr>
        <w:pStyle w:val="IFTnormal"/>
        <w:numPr>
          <w:ilvl w:val="0"/>
          <w:numId w:val="130"/>
        </w:numPr>
        <w:ind w:start="35.70pt" w:hanging="17.85pt"/>
        <w:rPr>
          <w:rFonts w:ascii="Century Gothic" w:hAnsi="Century Gothic"/>
        </w:rPr>
      </w:pPr>
      <w:r>
        <w:rPr>
          <w:rFonts w:ascii="Century Gothic" w:hAnsi="Century Gothic"/>
        </w:rPr>
        <w:t>Entrega de propuesta de Trabajos Especiales para aquellos casos en que no se requiera obra civil o cotización de proveedor externo: cinco días hábiles.</w:t>
      </w:r>
    </w:p>
    <w:p w:rsidR="00277ED2" w:rsidRPr="00611019" w:rsidRDefault="00E56462">
      <w:pPr>
        <w:pStyle w:val="IFTnormal"/>
        <w:numPr>
          <w:ilvl w:val="0"/>
          <w:numId w:val="130"/>
        </w:numPr>
        <w:ind w:start="35.70pt" w:hanging="17.85pt"/>
        <w:rPr>
          <w:rFonts w:ascii="Century Gothic" w:hAnsi="Century Gothic"/>
        </w:rPr>
      </w:pPr>
      <w:r>
        <w:rPr>
          <w:rFonts w:ascii="Century Gothic" w:hAnsi="Century Gothic"/>
        </w:rPr>
        <w:t>Entrega de Propuesta de Trabajos Especiales para aquellos casos en que sí se requiera obra civil o cotización de proveedor externo: diez días hábiles.</w:t>
      </w:r>
    </w:p>
    <w:p w:rsidR="00277ED2" w:rsidRPr="00611019" w:rsidRDefault="00E56462">
      <w:pPr>
        <w:pStyle w:val="IFTnormal"/>
        <w:numPr>
          <w:ilvl w:val="0"/>
          <w:numId w:val="130"/>
        </w:numPr>
        <w:ind w:start="35.70pt" w:hanging="17.85pt"/>
        <w:rPr>
          <w:rFonts w:ascii="Century Gothic" w:hAnsi="Century Gothic"/>
        </w:rPr>
      </w:pPr>
      <w:r>
        <w:rPr>
          <w:rFonts w:ascii="Century Gothic" w:hAnsi="Century Gothic"/>
        </w:rPr>
        <w:t>Notificación de inicio de Trabajos Especiales: seis días hábiles.</w:t>
      </w:r>
    </w:p>
    <w:p w:rsidR="00277ED2" w:rsidRPr="00611019" w:rsidRDefault="00E56462">
      <w:pPr>
        <w:pStyle w:val="IFTnormal"/>
        <w:numPr>
          <w:ilvl w:val="0"/>
          <w:numId w:val="130"/>
        </w:numPr>
        <w:spacing w:after="6pt"/>
        <w:ind w:start="35.70pt" w:hanging="17.85pt"/>
        <w:rPr>
          <w:rFonts w:ascii="Century Gothic" w:hAnsi="Century Gothic"/>
        </w:rPr>
      </w:pPr>
      <w:r>
        <w:rPr>
          <w:rFonts w:ascii="Century Gothic" w:hAnsi="Century Gothic"/>
        </w:rPr>
        <w:t xml:space="preserve">Entrega del Trabajo Especial: el plazo se establecerá en función del Trabajo Especial a realizar. </w:t>
      </w:r>
    </w:p>
    <w:p w:rsidR="00AC76DF" w:rsidRPr="00611019" w:rsidRDefault="00E56462" w:rsidP="00035D2C">
      <w:pPr>
        <w:pStyle w:val="Ttulo2"/>
        <w:spacing w:after="6pt"/>
        <w:rPr>
          <w:rFonts w:ascii="Century Gothic" w:hAnsi="Century Gothic"/>
        </w:rPr>
      </w:pPr>
      <w:bookmarkStart w:id="2105" w:name="_Toc24473523"/>
      <w:bookmarkStart w:id="2106" w:name="_Toc24477651"/>
      <w:bookmarkStart w:id="2107" w:name="_Toc26281448"/>
      <w:bookmarkStart w:id="2108" w:name="_Toc26284984"/>
      <w:bookmarkStart w:id="2109" w:name="_Toc26903985"/>
      <w:bookmarkStart w:id="2110" w:name="_Toc43913225"/>
      <w:bookmarkStart w:id="2111" w:name="_Toc26980709"/>
      <w:bookmarkStart w:id="2112" w:name="_Toc53488561"/>
      <w:bookmarkStart w:id="2113" w:name="_Toc53490493"/>
      <w:bookmarkStart w:id="2114" w:name="_Toc53498501"/>
      <w:bookmarkStart w:id="2115" w:name="_Toc58578858"/>
      <w:bookmarkStart w:id="2116" w:name="_Toc92974084"/>
      <w:bookmarkStart w:id="2117" w:name="_Toc93052395"/>
      <w:bookmarkStart w:id="2118" w:name="_Toc93056350"/>
      <w:bookmarkStart w:id="2119" w:name="_Toc125393414"/>
      <w:bookmarkStart w:id="2120" w:name="_Toc148702270"/>
      <w:bookmarkStart w:id="2121" w:name="_Toc170381886"/>
      <w:r>
        <w:rPr>
          <w:rFonts w:ascii="Century Gothic" w:hAnsi="Century Gothic"/>
        </w:rPr>
        <w:t>1</w:t>
      </w:r>
      <w:r w:rsidR="00230EF7">
        <w:rPr>
          <w:rFonts w:ascii="Century Gothic" w:hAnsi="Century Gothic"/>
        </w:rPr>
        <w:t>2</w:t>
      </w:r>
      <w:r>
        <w:rPr>
          <w:rFonts w:ascii="Century Gothic" w:hAnsi="Century Gothic"/>
        </w:rPr>
        <w:t xml:space="preserve">.3 </w:t>
      </w:r>
      <w:bookmarkStart w:id="2122" w:name="_Toc467248769"/>
      <w:bookmarkStart w:id="2123" w:name="_Toc525904656"/>
      <w:bookmarkStart w:id="2124" w:name="_Toc525914052"/>
      <w:bookmarkStart w:id="2125" w:name="_Toc525919291"/>
      <w:bookmarkStart w:id="2126" w:name="_Toc525919415"/>
      <w:bookmarkStart w:id="2127" w:name="_Toc2957225"/>
      <w:r>
        <w:rPr>
          <w:rFonts w:ascii="Century Gothic" w:hAnsi="Century Gothic"/>
        </w:rPr>
        <w:t>Parámetros e Indicadores de Calidad de Trabajos Especiales</w:t>
      </w:r>
      <w:bookmarkEnd w:id="2091"/>
      <w:bookmarkEnd w:id="2092"/>
      <w:bookmarkEnd w:id="2093"/>
      <w:bookmarkEnd w:id="2094"/>
      <w:bookmarkEnd w:id="2095"/>
      <w:bookmarkEnd w:id="2096"/>
      <w:bookmarkEnd w:id="2097"/>
      <w:bookmarkEnd w:id="2098"/>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r>
        <w:rPr>
          <w:rFonts w:ascii="Century Gothic" w:hAnsi="Century Gothic"/>
        </w:rPr>
        <w:t>.</w:t>
      </w:r>
    </w:p>
    <w:p w:rsidR="0015599E" w:rsidRPr="00611019" w:rsidRDefault="00E56462" w:rsidP="00035D2C">
      <w:pPr>
        <w:spacing w:after="6pt"/>
        <w:jc w:val="both"/>
        <w:rPr>
          <w:rFonts w:ascii="Century Gothic" w:hAnsi="Century Gothic" w:cs="Arial"/>
        </w:rPr>
      </w:pPr>
      <w:r>
        <w:rPr>
          <w:rFonts w:ascii="Century Gothic" w:hAnsi="Century Gothic" w:cs="Arial"/>
        </w:rPr>
        <w:t xml:space="preserve">En esta sección se muestran los parámetros e indicadores de calidad del Servicio de Trabajos Especiales y se medirán con una periodicidad trimestral por cada uno de los </w:t>
      </w:r>
      <w:r w:rsidR="00122BCB">
        <w:rPr>
          <w:rFonts w:ascii="Century Gothic" w:hAnsi="Century Gothic" w:cs="Arial"/>
        </w:rPr>
        <w:t>CS</w:t>
      </w:r>
      <w:r>
        <w:rPr>
          <w:rFonts w:ascii="Century Gothic" w:hAnsi="Century Gothic" w:cs="Arial"/>
        </w:rPr>
        <w:t>.</w:t>
      </w:r>
    </w:p>
    <w:p w:rsidR="00277ED2" w:rsidRPr="00611019" w:rsidRDefault="00E56462" w:rsidP="00035D2C">
      <w:pPr>
        <w:autoSpaceDE w:val="0"/>
        <w:autoSpaceDN w:val="0"/>
        <w:adjustRightInd w:val="0"/>
        <w:jc w:val="both"/>
        <w:rPr>
          <w:rFonts w:ascii="Century Gothic" w:hAnsi="Century Gothic" w:cs="Arial"/>
        </w:rPr>
      </w:pPr>
      <w:r>
        <w:rPr>
          <w:rFonts w:ascii="Century Gothic" w:hAnsi="Century Gothic" w:cs="Arial"/>
        </w:rPr>
        <w:t xml:space="preserve">Debido a la naturaleza de los Trabajos Especiales, los plazos de entrega serán notificados al CS como una fecha compromiso. </w:t>
      </w:r>
    </w:p>
    <w:p w:rsidR="00AC76DF" w:rsidRPr="00611019" w:rsidRDefault="00AC76DF" w:rsidP="00035D2C">
      <w:pPr>
        <w:jc w:val="both"/>
        <w:rPr>
          <w:rFonts w:ascii="Century Gothic" w:hAnsi="Century Gothic" w:cs="Arial"/>
          <w:b/>
        </w:rPr>
      </w:pPr>
    </w:p>
    <w:p w:rsidR="00AC76DF" w:rsidRPr="00611019" w:rsidRDefault="00E56462" w:rsidP="00035D2C">
      <w:pPr>
        <w:spacing w:after="6pt"/>
        <w:jc w:val="both"/>
        <w:rPr>
          <w:rFonts w:ascii="Century Gothic" w:hAnsi="Century Gothic" w:cs="Arial"/>
          <w:b/>
        </w:rPr>
      </w:pPr>
      <w:r>
        <w:rPr>
          <w:rFonts w:ascii="Century Gothic" w:hAnsi="Century Gothic" w:cs="Arial"/>
          <w:b/>
        </w:rPr>
        <w:t>Parámetros e Indicadores para Provisión del Servicio.</w:t>
      </w:r>
    </w:p>
    <w:p w:rsidR="00277ED2" w:rsidRPr="00611019" w:rsidRDefault="00E56462">
      <w:pPr>
        <w:pStyle w:val="IFTnormal"/>
        <w:numPr>
          <w:ilvl w:val="0"/>
          <w:numId w:val="131"/>
        </w:numPr>
        <w:rPr>
          <w:rFonts w:ascii="Century Gothic" w:hAnsi="Century Gothic"/>
        </w:rPr>
      </w:pPr>
      <w:bookmarkStart w:id="2128" w:name="_Hlk83856691"/>
      <w:r>
        <w:rPr>
          <w:rFonts w:ascii="Century Gothic" w:hAnsi="Century Gothic"/>
        </w:rPr>
        <w:t>Entrega de los términos bajo los cuales se ofrecerá el Servicio en tiempo: 95%</w:t>
      </w:r>
      <w:r>
        <w:rPr>
          <w:rStyle w:val="Refdenotaalpie"/>
          <w:rFonts w:ascii="Century Gothic" w:hAnsi="Century Gothic"/>
        </w:rPr>
        <w:footnoteReference w:id="52"/>
      </w:r>
      <w:bookmarkEnd w:id="2128"/>
      <w:r>
        <w:rPr>
          <w:rFonts w:ascii="Century Gothic" w:hAnsi="Century Gothic"/>
        </w:rPr>
        <w:t>.</w:t>
      </w:r>
    </w:p>
    <w:p w:rsidR="00AC76DF" w:rsidRPr="00611019" w:rsidRDefault="00AC76DF" w:rsidP="00035D2C">
      <w:pPr>
        <w:jc w:val="both"/>
        <w:rPr>
          <w:rFonts w:ascii="Century Gothic" w:hAnsi="Century Gothic" w:cs="Arial"/>
          <w:b/>
        </w:rPr>
      </w:pPr>
    </w:p>
    <w:p w:rsidR="00AC76DF" w:rsidRPr="00611019" w:rsidRDefault="00E56462" w:rsidP="00035D2C">
      <w:pPr>
        <w:spacing w:after="6pt"/>
        <w:jc w:val="both"/>
        <w:rPr>
          <w:rFonts w:ascii="Century Gothic" w:hAnsi="Century Gothic" w:cs="Arial"/>
        </w:rPr>
      </w:pPr>
      <w:r>
        <w:rPr>
          <w:rFonts w:ascii="Century Gothic" w:hAnsi="Century Gothic" w:cs="Arial"/>
          <w:b/>
        </w:rPr>
        <w:t>Metodología.</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Para realizar la medición de los indicadores presentados, se descontarán los plazos de entrega comprometidos de los días totales utilizados para la realización del trabajo especial, considerando como inicio del proceso el día siguiente al que se realizó el pago del trabajo especial por parte del CS. </w:t>
      </w:r>
      <w:bookmarkStart w:id="2129" w:name="_Toc525904657"/>
      <w:bookmarkStart w:id="2130" w:name="_Toc525914053"/>
      <w:bookmarkStart w:id="2131" w:name="_Toc525919292"/>
      <w:bookmarkStart w:id="2132" w:name="_Toc525919416"/>
      <w:bookmarkEnd w:id="2129"/>
      <w:bookmarkEnd w:id="2130"/>
      <w:bookmarkEnd w:id="2131"/>
      <w:bookmarkEnd w:id="2132"/>
    </w:p>
    <w:p w:rsidR="00123F30" w:rsidRPr="00611019" w:rsidRDefault="00E56462" w:rsidP="00035D2C">
      <w:pPr>
        <w:spacing w:after="6pt"/>
        <w:jc w:val="both"/>
        <w:rPr>
          <w:rFonts w:ascii="Century Gothic" w:hAnsi="Century Gothic" w:cs="Arial"/>
        </w:rPr>
      </w:pPr>
      <w:r>
        <w:rPr>
          <w:rFonts w:ascii="Century Gothic" w:hAnsi="Century Gothic" w:cs="Arial"/>
        </w:rPr>
        <w:t xml:space="preserve">Se establece un límite del tres por ciento (3%) por CS de las solicitudes que podrán ser admitidas para los procesos de Trabajos Especiales por motivo de objeción técnica que no sean por caso fortuito o de fuerza mayor o atribuibles al CS. El número de solicitudes que presenten Trabajos Especiales excedentes de este límite se clasificarán como entregas fuera de tiempo por </w:t>
      </w:r>
      <w:r>
        <w:rPr>
          <w:rFonts w:ascii="Century Gothic" w:hAnsi="Century Gothic"/>
        </w:rPr>
        <w:t>RED NACIONAL</w:t>
      </w:r>
      <w:r>
        <w:rPr>
          <w:rFonts w:ascii="Century Gothic" w:hAnsi="Century Gothic" w:cs="Arial"/>
        </w:rPr>
        <w:t xml:space="preserve"> para efectos de los indicadores de calidad de provisión de los Servicios.</w:t>
      </w:r>
    </w:p>
    <w:p w:rsidR="00651CFA" w:rsidRDefault="00651CFA" w:rsidP="00204BC4">
      <w:pPr>
        <w:jc w:val="both"/>
        <w:rPr>
          <w:rFonts w:ascii="Century Gothic" w:hAnsi="Century Gothic" w:cs="Arial"/>
        </w:rPr>
      </w:pPr>
    </w:p>
    <w:p w:rsidR="00277ED2" w:rsidRPr="00F56287" w:rsidRDefault="00E56462" w:rsidP="00035D2C">
      <w:pPr>
        <w:pStyle w:val="1TitPrin"/>
        <w:spacing w:after="6pt"/>
        <w:ind w:start="0pt" w:firstLine="0pt"/>
        <w:rPr>
          <w:rFonts w:ascii="Century Gothic" w:hAnsi="Century Gothic"/>
          <w:bCs/>
          <w:u w:val="single"/>
        </w:rPr>
      </w:pPr>
      <w:bookmarkStart w:id="2133" w:name="_Toc43913226"/>
      <w:bookmarkStart w:id="2134" w:name="_Toc53488562"/>
      <w:bookmarkStart w:id="2135" w:name="_Toc53490494"/>
      <w:bookmarkStart w:id="2136" w:name="_Toc53498502"/>
      <w:bookmarkStart w:id="2137" w:name="_Toc58578859"/>
      <w:bookmarkStart w:id="2138" w:name="_Toc92974085"/>
      <w:bookmarkStart w:id="2139" w:name="_Toc93052396"/>
      <w:bookmarkStart w:id="2140" w:name="_Toc93056351"/>
      <w:bookmarkStart w:id="2141" w:name="_Toc125393415"/>
      <w:bookmarkStart w:id="2142" w:name="_Toc148702271"/>
      <w:bookmarkStart w:id="2143" w:name="_Toc170381887"/>
      <w:bookmarkStart w:id="2144" w:name="_Toc467248770"/>
      <w:bookmarkStart w:id="2145" w:name="_Toc525904658"/>
      <w:bookmarkStart w:id="2146" w:name="_Toc525914054"/>
      <w:bookmarkStart w:id="2147" w:name="_Toc525919293"/>
      <w:bookmarkStart w:id="2148" w:name="_Toc525919417"/>
      <w:bookmarkStart w:id="2149" w:name="_Toc2957226"/>
      <w:bookmarkStart w:id="2150" w:name="_Toc24473524"/>
      <w:bookmarkStart w:id="2151" w:name="_Toc24477652"/>
      <w:bookmarkStart w:id="2152" w:name="_Toc26281449"/>
      <w:bookmarkStart w:id="2153" w:name="_Toc26284985"/>
      <w:bookmarkStart w:id="2154" w:name="_Toc26903986"/>
      <w:r>
        <w:rPr>
          <w:rFonts w:ascii="Century Gothic" w:hAnsi="Century Gothic" w:cs="Times New Roman"/>
          <w:u w:val="single"/>
          <w14:scene3d>
            <w14:camera w14:prst="orthographicFront"/>
            <w14:lightRig w14:rig="threePt" w14:dir="t">
              <w14:rot w14:lat="0" w14:lon="0" w14:rev="0"/>
            </w14:lightRig>
          </w14:scene3d>
        </w:rPr>
        <w:t>1</w:t>
      </w:r>
      <w:r w:rsidR="00230EF7">
        <w:rPr>
          <w:rFonts w:ascii="Century Gothic" w:hAnsi="Century Gothic" w:cs="Times New Roman"/>
          <w:u w:val="single"/>
          <w14:scene3d>
            <w14:camera w14:prst="orthographicFront"/>
            <w14:lightRig w14:rig="threePt" w14:dir="t">
              <w14:rot w14:lat="0" w14:lon="0" w14:rev="0"/>
            </w14:lightRig>
          </w14:scene3d>
        </w:rPr>
        <w:t>3</w:t>
      </w:r>
      <w:r>
        <w:rPr>
          <w:rFonts w:ascii="Century Gothic" w:hAnsi="Century Gothic" w:cs="Times New Roman"/>
          <w:u w:val="single"/>
          <w14:scene3d>
            <w14:camera w14:prst="orthographicFront"/>
            <w14:lightRig w14:rig="threePt" w14:dir="t">
              <w14:rot w14:lat="0" w14:lon="0" w14:rev="0"/>
            </w14:lightRig>
          </w14:scene3d>
        </w:rPr>
        <w:t xml:space="preserve">. </w:t>
      </w:r>
      <w:r>
        <w:rPr>
          <w:rFonts w:ascii="Century Gothic" w:hAnsi="Century Gothic"/>
          <w:bCs/>
          <w:u w:val="single"/>
        </w:rPr>
        <w:t>Servicios Opcionales</w:t>
      </w:r>
      <w:bookmarkEnd w:id="2133"/>
      <w:bookmarkEnd w:id="2134"/>
      <w:bookmarkEnd w:id="2135"/>
      <w:bookmarkEnd w:id="2136"/>
      <w:bookmarkEnd w:id="2137"/>
      <w:bookmarkEnd w:id="2138"/>
      <w:bookmarkEnd w:id="2139"/>
      <w:bookmarkEnd w:id="2140"/>
      <w:bookmarkEnd w:id="2141"/>
      <w:bookmarkEnd w:id="2142"/>
      <w:bookmarkEnd w:id="2143"/>
      <w:r>
        <w:rPr>
          <w:rFonts w:ascii="Century Gothic" w:hAnsi="Century Gothic"/>
          <w:bCs/>
          <w:u w:val="single"/>
        </w:rPr>
        <w:t>.</w:t>
      </w:r>
    </w:p>
    <w:p w:rsidR="00AC76DF" w:rsidRPr="00611019" w:rsidRDefault="00E56462" w:rsidP="00035D2C">
      <w:pPr>
        <w:pStyle w:val="Ttulo2"/>
        <w:spacing w:after="6pt"/>
        <w:rPr>
          <w:rFonts w:ascii="Century Gothic" w:hAnsi="Century Gothic"/>
        </w:rPr>
      </w:pPr>
      <w:bookmarkStart w:id="2155" w:name="_Toc43913227"/>
      <w:bookmarkStart w:id="2156" w:name="_Toc53488563"/>
      <w:bookmarkStart w:id="2157" w:name="_Toc53490495"/>
      <w:bookmarkStart w:id="2158" w:name="_Toc53498503"/>
      <w:bookmarkStart w:id="2159" w:name="_Toc58578860"/>
      <w:bookmarkStart w:id="2160" w:name="_Toc92974086"/>
      <w:bookmarkStart w:id="2161" w:name="_Toc93052397"/>
      <w:bookmarkStart w:id="2162" w:name="_Toc93056352"/>
      <w:bookmarkStart w:id="2163" w:name="_Toc125393416"/>
      <w:bookmarkStart w:id="2164" w:name="_Toc148702272"/>
      <w:bookmarkStart w:id="2165" w:name="_Toc170381888"/>
      <w:r>
        <w:rPr>
          <w:rFonts w:ascii="Century Gothic" w:hAnsi="Century Gothic"/>
        </w:rPr>
        <w:t>1</w:t>
      </w:r>
      <w:r w:rsidR="00230EF7">
        <w:rPr>
          <w:rFonts w:ascii="Century Gothic" w:hAnsi="Century Gothic"/>
        </w:rPr>
        <w:t>3</w:t>
      </w:r>
      <w:r>
        <w:rPr>
          <w:rFonts w:ascii="Century Gothic" w:hAnsi="Century Gothic"/>
        </w:rPr>
        <w:t xml:space="preserve">.1 </w:t>
      </w:r>
      <w:bookmarkStart w:id="2166" w:name="_Toc26980710"/>
      <w:r>
        <w:rPr>
          <w:rFonts w:ascii="Century Gothic" w:hAnsi="Century Gothic"/>
        </w:rPr>
        <w:t xml:space="preserve">Servicio Opcional de Cableado Interior de </w:t>
      </w:r>
      <w:bookmarkEnd w:id="2144"/>
      <w:bookmarkEnd w:id="2145"/>
      <w:bookmarkEnd w:id="2146"/>
      <w:bookmarkEnd w:id="2147"/>
      <w:bookmarkEnd w:id="2148"/>
      <w:bookmarkEnd w:id="2149"/>
      <w:bookmarkEnd w:id="2150"/>
      <w:bookmarkEnd w:id="2151"/>
      <w:bookmarkEnd w:id="2152"/>
      <w:bookmarkEnd w:id="2153"/>
      <w:bookmarkEnd w:id="2154"/>
      <w:bookmarkEnd w:id="2155"/>
      <w:bookmarkEnd w:id="2166"/>
      <w:r>
        <w:rPr>
          <w:rFonts w:ascii="Century Gothic" w:hAnsi="Century Gothic"/>
        </w:rPr>
        <w:t>Usuario Final</w:t>
      </w:r>
      <w:bookmarkEnd w:id="2156"/>
      <w:bookmarkEnd w:id="2157"/>
      <w:bookmarkEnd w:id="2158"/>
      <w:bookmarkEnd w:id="2159"/>
      <w:bookmarkEnd w:id="2160"/>
      <w:bookmarkEnd w:id="2161"/>
      <w:bookmarkEnd w:id="2162"/>
      <w:bookmarkEnd w:id="2163"/>
      <w:bookmarkEnd w:id="2164"/>
      <w:bookmarkEnd w:id="2165"/>
      <w:r>
        <w:rPr>
          <w:rFonts w:ascii="Century Gothic" w:hAnsi="Century Gothic"/>
        </w:rPr>
        <w:t>.</w:t>
      </w:r>
    </w:p>
    <w:p w:rsidR="00277ED2" w:rsidRPr="00611019" w:rsidRDefault="00E56462" w:rsidP="00035D2C">
      <w:pPr>
        <w:pStyle w:val="IFTnormal"/>
        <w:rPr>
          <w:rFonts w:ascii="Century Gothic" w:hAnsi="Century Gothic"/>
        </w:rPr>
      </w:pPr>
      <w:r>
        <w:rPr>
          <w:rFonts w:ascii="Century Gothic" w:hAnsi="Century Gothic"/>
        </w:rPr>
        <w:t xml:space="preserve">El CS podrá instalar el cableado interior tomando en consideración la recomendación de RED NACIONAL establecida en la “Normativa Técnica para los Servicios de </w:t>
      </w:r>
      <w:r>
        <w:rPr>
          <w:rFonts w:ascii="Century Gothic" w:hAnsi="Century Gothic"/>
        </w:rPr>
        <w:lastRenderedPageBreak/>
        <w:t>Desagregación”</w:t>
      </w:r>
      <w:r>
        <w:rPr>
          <w:rStyle w:val="Refdenotaalpie"/>
          <w:rFonts w:ascii="Century Gothic" w:hAnsi="Century Gothic"/>
        </w:rPr>
        <w:footnoteReference w:id="53"/>
      </w:r>
      <w:r>
        <w:rPr>
          <w:rFonts w:ascii="Century Gothic" w:hAnsi="Century Gothic"/>
        </w:rPr>
        <w:t xml:space="preserve"> o bien podrá solicitar que RED NACIONAL instale el Cableado Interior en el domicilio del usuario</w:t>
      </w:r>
      <w:r>
        <w:rPr>
          <w:rStyle w:val="Refdenotaalpie"/>
          <w:rFonts w:ascii="Century Gothic" w:hAnsi="Century Gothic"/>
        </w:rPr>
        <w:footnoteReference w:id="54"/>
      </w:r>
      <w:r>
        <w:rPr>
          <w:rFonts w:ascii="Century Gothic" w:hAnsi="Century Gothic"/>
        </w:rPr>
        <w:t>, lo cual estará sujeto a la capacidad de atención. En caso de que el cableado interior sea solicitado por los CS a la habilitación del Servicio de Desagregación, será instalado el cableado en el mismo evento, o bien será habilitado posteriormente para el caso de extensiones adicionales.</w:t>
      </w:r>
    </w:p>
    <w:p w:rsidR="008D276C" w:rsidRPr="00611019" w:rsidRDefault="008D276C" w:rsidP="00035D2C">
      <w:pPr>
        <w:pStyle w:val="IFTnormal"/>
        <w:rPr>
          <w:rFonts w:ascii="Century Gothic" w:hAnsi="Century Gothic"/>
        </w:rPr>
      </w:pPr>
    </w:p>
    <w:p w:rsidR="00277ED2" w:rsidRPr="00611019" w:rsidRDefault="00E56462" w:rsidP="00F56287">
      <w:pPr>
        <w:pStyle w:val="IFTnormal"/>
        <w:rPr>
          <w:rFonts w:ascii="Century Gothic" w:hAnsi="Century Gothic"/>
        </w:rPr>
      </w:pPr>
      <w:r>
        <w:rPr>
          <w:rFonts w:ascii="Century Gothic" w:hAnsi="Century Gothic"/>
        </w:rPr>
        <w:t>El alcance de este Servicio al CS está definido en el Anexo G1 de la presente Oferta, denominado “Norma Cableado Interior en el Domicilio del Usuario” el cual comprende la instalación de cableado entre el PCT hasta la roseta para la conexión de uno o dos dispositivos terminales, no considera el retiro de un cableado existente.</w:t>
      </w:r>
    </w:p>
    <w:p w:rsidR="008D276C" w:rsidRPr="00611019" w:rsidRDefault="008D276C" w:rsidP="00F56287">
      <w:pPr>
        <w:pStyle w:val="IFTnormal"/>
        <w:rPr>
          <w:rFonts w:ascii="Century Gothic" w:hAnsi="Century Gothic"/>
        </w:rPr>
      </w:pPr>
    </w:p>
    <w:p w:rsidR="00277ED2" w:rsidRPr="00611019" w:rsidRDefault="00E56462" w:rsidP="00035D2C">
      <w:pPr>
        <w:pStyle w:val="IFTnormal"/>
        <w:rPr>
          <w:rFonts w:ascii="Century Gothic" w:hAnsi="Century Gothic"/>
        </w:rPr>
      </w:pPr>
      <w:r>
        <w:rPr>
          <w:rFonts w:ascii="Century Gothic" w:hAnsi="Century Gothic"/>
        </w:rPr>
        <w:t>Durante la instalación del cableado interior, RED NACIONAL realizará el siguiente procedimiento:</w:t>
      </w:r>
    </w:p>
    <w:p w:rsidR="00277ED2" w:rsidRPr="00611019" w:rsidRDefault="00E56462" w:rsidP="00122BCB">
      <w:pPr>
        <w:pStyle w:val="IFTnormal"/>
        <w:spacing w:before="12pt"/>
        <w:ind w:start="21.25pt" w:hanging="21.25pt"/>
        <w:rPr>
          <w:rFonts w:ascii="Century Gothic" w:hAnsi="Century Gothic"/>
        </w:rPr>
      </w:pPr>
      <w:r>
        <w:rPr>
          <w:rFonts w:ascii="Century Gothic" w:hAnsi="Century Gothic"/>
        </w:rPr>
        <w:t>1)</w:t>
      </w:r>
      <w:r>
        <w:rPr>
          <w:rFonts w:ascii="Century Gothic" w:hAnsi="Century Gothic"/>
        </w:rPr>
        <w:tab/>
        <w:t>Se valida en la solicitud el número de extensiones requeridas por el CS.</w:t>
      </w:r>
    </w:p>
    <w:p w:rsidR="00277ED2" w:rsidRPr="00611019" w:rsidRDefault="00E56462" w:rsidP="00122BCB">
      <w:pPr>
        <w:pStyle w:val="IFTnormal"/>
        <w:spacing w:before="12pt"/>
        <w:ind w:start="21.25pt" w:hanging="21.25pt"/>
        <w:rPr>
          <w:rFonts w:ascii="Century Gothic" w:hAnsi="Century Gothic"/>
        </w:rPr>
      </w:pPr>
      <w:r>
        <w:rPr>
          <w:rFonts w:ascii="Century Gothic" w:hAnsi="Century Gothic"/>
        </w:rPr>
        <w:t>2)</w:t>
      </w:r>
      <w:r>
        <w:rPr>
          <w:rFonts w:ascii="Century Gothic" w:hAnsi="Century Gothic"/>
        </w:rPr>
        <w:tab/>
        <w:t>Posteriormente se planea la trayectoria de la instalación en conjunto con el Usuario Final iniciando desde el PCT.</w:t>
      </w:r>
    </w:p>
    <w:p w:rsidR="00277ED2" w:rsidRPr="00611019" w:rsidRDefault="00E56462" w:rsidP="00122BCB">
      <w:pPr>
        <w:pStyle w:val="IFTnormal"/>
        <w:ind w:start="21.25pt" w:hanging="21.25pt"/>
        <w:rPr>
          <w:rFonts w:ascii="Century Gothic" w:hAnsi="Century Gothic"/>
        </w:rPr>
      </w:pPr>
      <w:r>
        <w:rPr>
          <w:rFonts w:ascii="Century Gothic" w:hAnsi="Century Gothic"/>
        </w:rPr>
        <w:t>3)</w:t>
      </w:r>
      <w:r>
        <w:rPr>
          <w:rFonts w:ascii="Century Gothic" w:hAnsi="Century Gothic"/>
        </w:rPr>
        <w:tab/>
        <w:t>Se conecta con cordón marfil interior/exterior en el PCT a las rosetas donde se conecta el equipo terminal del Usuario Final conforme se indica en la normativa técnica correspondiente contenida en el Anexo “Norma Cableado Interior en el Domicilio del Usuario” de la presente OREDA.</w:t>
      </w:r>
    </w:p>
    <w:p w:rsidR="00277ED2" w:rsidRPr="00611019" w:rsidRDefault="00E56462" w:rsidP="00204BC4">
      <w:pPr>
        <w:pStyle w:val="IFTnormal"/>
        <w:ind w:start="21.25pt" w:hanging="21.25pt"/>
        <w:rPr>
          <w:rFonts w:ascii="Century Gothic" w:hAnsi="Century Gothic"/>
        </w:rPr>
      </w:pPr>
      <w:r>
        <w:rPr>
          <w:rFonts w:ascii="Century Gothic" w:hAnsi="Century Gothic"/>
        </w:rPr>
        <w:t>4)</w:t>
      </w:r>
      <w:r>
        <w:rPr>
          <w:rFonts w:ascii="Century Gothic" w:hAnsi="Century Gothic"/>
        </w:rPr>
        <w:tab/>
        <w:t xml:space="preserve">Se realiza prueba de continuidad del cableado y se liquida el servicio. </w:t>
      </w:r>
    </w:p>
    <w:p w:rsidR="00204BC4" w:rsidRDefault="00204BC4" w:rsidP="00204BC4">
      <w:pPr>
        <w:pStyle w:val="IFTnormal"/>
        <w:rPr>
          <w:rFonts w:ascii="Century Gothic" w:hAnsi="Century Gothic"/>
          <w:b/>
        </w:rPr>
      </w:pPr>
    </w:p>
    <w:p w:rsidR="00B4692E" w:rsidRPr="00611019" w:rsidRDefault="00E56462" w:rsidP="00204BC4">
      <w:pPr>
        <w:pStyle w:val="IFTnormal"/>
        <w:rPr>
          <w:rFonts w:ascii="Century Gothic" w:hAnsi="Century Gothic"/>
        </w:rPr>
      </w:pPr>
      <w:r>
        <w:rPr>
          <w:rFonts w:ascii="Century Gothic" w:hAnsi="Century Gothic"/>
          <w:b/>
        </w:rPr>
        <w:t>Garantía del servicio.</w:t>
      </w:r>
    </w:p>
    <w:p w:rsidR="00277ED2" w:rsidRPr="00611019" w:rsidRDefault="00E56462" w:rsidP="00204BC4">
      <w:pPr>
        <w:pStyle w:val="IFTnormal"/>
        <w:rPr>
          <w:rFonts w:ascii="Century Gothic" w:hAnsi="Century Gothic"/>
        </w:rPr>
      </w:pPr>
      <w:r>
        <w:rPr>
          <w:rFonts w:ascii="Century Gothic" w:hAnsi="Century Gothic"/>
        </w:rPr>
        <w:t>Las fallas originadas en el cableado interior serán atendidas por RED NACIONAL, siempre y cuando ocurran durante los 60 días naturales posteriores a la instalación del mismo y queden excluidos los siguientes escenarios que no son atribuibles al Servicio brindado:</w:t>
      </w:r>
    </w:p>
    <w:p w:rsidR="00277ED2" w:rsidRPr="00611019" w:rsidRDefault="00E56462" w:rsidP="00204BC4">
      <w:pPr>
        <w:pStyle w:val="IFTnormal"/>
        <w:numPr>
          <w:ilvl w:val="0"/>
          <w:numId w:val="132"/>
        </w:numPr>
        <w:rPr>
          <w:rFonts w:ascii="Century Gothic" w:hAnsi="Century Gothic"/>
        </w:rPr>
      </w:pPr>
      <w:r>
        <w:rPr>
          <w:rFonts w:ascii="Century Gothic" w:hAnsi="Century Gothic"/>
        </w:rPr>
        <w:t>Corte intencional del cable</w:t>
      </w:r>
    </w:p>
    <w:p w:rsidR="00277ED2" w:rsidRPr="00611019" w:rsidRDefault="00E56462">
      <w:pPr>
        <w:pStyle w:val="IFTnormal"/>
        <w:numPr>
          <w:ilvl w:val="0"/>
          <w:numId w:val="132"/>
        </w:numPr>
        <w:rPr>
          <w:rFonts w:ascii="Century Gothic" w:hAnsi="Century Gothic"/>
        </w:rPr>
      </w:pPr>
      <w:r>
        <w:rPr>
          <w:rFonts w:ascii="Century Gothic" w:hAnsi="Century Gothic"/>
        </w:rPr>
        <w:t>Casos fortuitos o de fuerza mayor</w:t>
      </w:r>
    </w:p>
    <w:p w:rsidR="00277ED2" w:rsidRPr="00611019" w:rsidRDefault="00E56462">
      <w:pPr>
        <w:pStyle w:val="IFTnormal"/>
        <w:numPr>
          <w:ilvl w:val="0"/>
          <w:numId w:val="132"/>
        </w:numPr>
        <w:rPr>
          <w:rFonts w:ascii="Century Gothic" w:hAnsi="Century Gothic"/>
        </w:rPr>
      </w:pPr>
      <w:r>
        <w:rPr>
          <w:rFonts w:ascii="Century Gothic" w:hAnsi="Century Gothic"/>
        </w:rPr>
        <w:t>Deterioro por uso inadecuado del cableado</w:t>
      </w:r>
    </w:p>
    <w:p w:rsidR="00277ED2" w:rsidRPr="00611019" w:rsidRDefault="00E56462">
      <w:pPr>
        <w:pStyle w:val="IFTnormal"/>
        <w:numPr>
          <w:ilvl w:val="0"/>
          <w:numId w:val="132"/>
        </w:numPr>
        <w:rPr>
          <w:rFonts w:ascii="Century Gothic" w:hAnsi="Century Gothic"/>
        </w:rPr>
      </w:pPr>
      <w:r>
        <w:rPr>
          <w:rFonts w:ascii="Century Gothic" w:hAnsi="Century Gothic"/>
        </w:rPr>
        <w:t>Daños por obras, remodelaciones o reparaciones al interior del inmueble</w:t>
      </w:r>
    </w:p>
    <w:p w:rsidR="00277ED2" w:rsidRPr="00611019" w:rsidRDefault="00E56462">
      <w:pPr>
        <w:pStyle w:val="IFTnormal"/>
        <w:numPr>
          <w:ilvl w:val="0"/>
          <w:numId w:val="132"/>
        </w:numPr>
        <w:rPr>
          <w:rFonts w:ascii="Century Gothic" w:hAnsi="Century Gothic"/>
        </w:rPr>
      </w:pPr>
      <w:r>
        <w:rPr>
          <w:rFonts w:ascii="Century Gothic" w:hAnsi="Century Gothic"/>
        </w:rPr>
        <w:t>Desconexiones</w:t>
      </w:r>
    </w:p>
    <w:p w:rsidR="00277ED2" w:rsidRPr="00611019" w:rsidRDefault="00E56462">
      <w:pPr>
        <w:pStyle w:val="IFTnormal"/>
        <w:numPr>
          <w:ilvl w:val="0"/>
          <w:numId w:val="132"/>
        </w:numPr>
        <w:spacing w:after="6pt"/>
        <w:rPr>
          <w:rFonts w:ascii="Century Gothic" w:hAnsi="Century Gothic"/>
        </w:rPr>
      </w:pPr>
      <w:r>
        <w:rPr>
          <w:rFonts w:ascii="Century Gothic" w:hAnsi="Century Gothic"/>
        </w:rPr>
        <w:t>Robo, vandalismo, siniestros, daños por roedores, etc.</w:t>
      </w:r>
    </w:p>
    <w:p w:rsidR="00B4692E" w:rsidRPr="00611019" w:rsidRDefault="00B4692E" w:rsidP="00035D2C">
      <w:pPr>
        <w:spacing w:after="6pt"/>
        <w:rPr>
          <w:rFonts w:ascii="Century Gothic" w:hAnsi="Century Gothic"/>
        </w:rPr>
      </w:pPr>
      <w:bookmarkStart w:id="2167" w:name="_Toc43913228"/>
      <w:bookmarkStart w:id="2168" w:name="_Toc53488564"/>
      <w:bookmarkStart w:id="2169" w:name="_Toc53490496"/>
      <w:bookmarkStart w:id="2170" w:name="_Toc53498504"/>
      <w:bookmarkStart w:id="2171" w:name="_Toc58578861"/>
    </w:p>
    <w:p w:rsidR="00AC76DF" w:rsidRPr="00611019" w:rsidRDefault="00E56462" w:rsidP="00035D2C">
      <w:pPr>
        <w:pStyle w:val="Ttulo2"/>
        <w:spacing w:after="6pt"/>
        <w:rPr>
          <w:rFonts w:ascii="Century Gothic" w:hAnsi="Century Gothic"/>
        </w:rPr>
      </w:pPr>
      <w:bookmarkStart w:id="2172" w:name="_Toc92974087"/>
      <w:bookmarkStart w:id="2173" w:name="_Toc93052398"/>
      <w:bookmarkStart w:id="2174" w:name="_Toc93056353"/>
      <w:bookmarkStart w:id="2175" w:name="_Toc125393417"/>
      <w:bookmarkStart w:id="2176" w:name="_Toc148702273"/>
      <w:bookmarkStart w:id="2177" w:name="_Toc170381889"/>
      <w:r>
        <w:rPr>
          <w:rFonts w:ascii="Century Gothic" w:hAnsi="Century Gothic"/>
        </w:rPr>
        <w:lastRenderedPageBreak/>
        <w:t>1</w:t>
      </w:r>
      <w:r w:rsidR="00230EF7">
        <w:rPr>
          <w:rFonts w:ascii="Century Gothic" w:hAnsi="Century Gothic"/>
        </w:rPr>
        <w:t>3</w:t>
      </w:r>
      <w:r>
        <w:rPr>
          <w:rFonts w:ascii="Century Gothic" w:hAnsi="Century Gothic"/>
        </w:rPr>
        <w:t>.2 Servicio Opcional de Reubicación de ONT</w:t>
      </w:r>
      <w:bookmarkEnd w:id="2167"/>
      <w:bookmarkEnd w:id="2168"/>
      <w:bookmarkEnd w:id="2169"/>
      <w:bookmarkEnd w:id="2170"/>
      <w:bookmarkEnd w:id="2171"/>
      <w:bookmarkEnd w:id="2172"/>
      <w:bookmarkEnd w:id="2173"/>
      <w:bookmarkEnd w:id="2174"/>
      <w:bookmarkEnd w:id="2175"/>
      <w:bookmarkEnd w:id="2176"/>
      <w:bookmarkEnd w:id="2177"/>
      <w:r>
        <w:rPr>
          <w:rFonts w:ascii="Century Gothic" w:hAnsi="Century Gothic"/>
        </w:rPr>
        <w:t>.</w:t>
      </w:r>
    </w:p>
    <w:p w:rsidR="00277ED2" w:rsidRPr="00611019" w:rsidRDefault="00E56462" w:rsidP="00035D2C">
      <w:pPr>
        <w:pStyle w:val="IFTnormal"/>
        <w:rPr>
          <w:rFonts w:ascii="Century Gothic" w:hAnsi="Century Gothic"/>
        </w:rPr>
      </w:pPr>
      <w:r>
        <w:rPr>
          <w:rFonts w:ascii="Century Gothic" w:hAnsi="Century Gothic"/>
        </w:rPr>
        <w:t>El CS podrá solicitar a RED NACIONAL el Servicio Opcional de Reubicación de la ONT en el domicilio de su Usuario Final una vez que se hayan concluido los trabajos de instalación y habilitación del Servicio de desagregación (SAIB).</w:t>
      </w:r>
    </w:p>
    <w:p w:rsidR="00162002" w:rsidRPr="00611019" w:rsidRDefault="00162002" w:rsidP="00035D2C">
      <w:pPr>
        <w:pStyle w:val="IFTnormal"/>
        <w:rPr>
          <w:rFonts w:ascii="Century Gothic" w:hAnsi="Century Gothic"/>
        </w:rPr>
      </w:pPr>
    </w:p>
    <w:p w:rsidR="00277ED2" w:rsidRPr="00611019" w:rsidRDefault="00E56462" w:rsidP="00035D2C">
      <w:pPr>
        <w:pStyle w:val="IFTnormal"/>
        <w:rPr>
          <w:rFonts w:ascii="Century Gothic" w:hAnsi="Century Gothic"/>
        </w:rPr>
      </w:pPr>
      <w:r>
        <w:rPr>
          <w:rFonts w:ascii="Century Gothic" w:hAnsi="Century Gothic"/>
        </w:rPr>
        <w:t>El CS deberá considerar que en algunos casos podrá ser necesario el cambio de la Acometida de fibra para lo cual el CS deberá pagar el costo correspondiente a dicho servicio, con la finalidad de poder reubicar la ONT, lo cual dependerá de una evaluación que será realizada por el técnico de RED NACIONAL en el domicilio del Usuario Final.</w:t>
      </w:r>
    </w:p>
    <w:p w:rsidR="00162002" w:rsidRPr="00611019" w:rsidRDefault="00162002" w:rsidP="00035D2C">
      <w:pPr>
        <w:pStyle w:val="IFTnormal"/>
        <w:rPr>
          <w:rFonts w:ascii="Century Gothic" w:hAnsi="Century Gothic"/>
        </w:rPr>
      </w:pPr>
    </w:p>
    <w:p w:rsidR="00277ED2" w:rsidRPr="00611019" w:rsidRDefault="00E56462" w:rsidP="00035D2C">
      <w:pPr>
        <w:pStyle w:val="IFTnormal"/>
        <w:spacing w:after="6pt"/>
        <w:rPr>
          <w:rFonts w:ascii="Century Gothic" w:hAnsi="Century Gothic"/>
        </w:rPr>
      </w:pPr>
      <w:r>
        <w:rPr>
          <w:rFonts w:ascii="Century Gothic" w:hAnsi="Century Gothic"/>
        </w:rPr>
        <w:t>Durante los trabajos de reubicación de la ONT, RED NACIONAL realizará el siguiente procedimiento:</w:t>
      </w:r>
    </w:p>
    <w:p w:rsidR="00277ED2" w:rsidRPr="00611019" w:rsidRDefault="00E56462" w:rsidP="00035D2C">
      <w:pPr>
        <w:pStyle w:val="IFTnormal"/>
        <w:spacing w:after="6pt"/>
        <w:ind w:start="18pt" w:hanging="18pt"/>
        <w:rPr>
          <w:rFonts w:ascii="Century Gothic" w:hAnsi="Century Gothic"/>
        </w:rPr>
      </w:pPr>
      <w:r>
        <w:rPr>
          <w:rFonts w:ascii="Century Gothic" w:hAnsi="Century Gothic"/>
        </w:rPr>
        <w:t>1.</w:t>
      </w:r>
      <w:r>
        <w:rPr>
          <w:rFonts w:ascii="Century Gothic" w:hAnsi="Century Gothic"/>
        </w:rPr>
        <w:tab/>
        <w:t xml:space="preserve">Se acuerda con el Usuario Final la nueva ubicación de la ONT. </w:t>
      </w:r>
    </w:p>
    <w:p w:rsidR="00277ED2" w:rsidRPr="00611019" w:rsidRDefault="00E56462" w:rsidP="00035D2C">
      <w:pPr>
        <w:pStyle w:val="IFTnormal"/>
        <w:spacing w:after="6pt"/>
        <w:ind w:start="18pt" w:hanging="18pt"/>
        <w:rPr>
          <w:rFonts w:ascii="Century Gothic" w:hAnsi="Century Gothic"/>
        </w:rPr>
      </w:pPr>
      <w:r>
        <w:rPr>
          <w:rFonts w:ascii="Century Gothic" w:hAnsi="Century Gothic"/>
        </w:rPr>
        <w:t>2.</w:t>
      </w:r>
      <w:r>
        <w:rPr>
          <w:rFonts w:ascii="Century Gothic" w:hAnsi="Century Gothic"/>
        </w:rPr>
        <w:tab/>
        <w:t>Se determinará si se requiere cambio de cordón de acometida óptico.</w:t>
      </w:r>
    </w:p>
    <w:p w:rsidR="00277ED2" w:rsidRPr="00611019" w:rsidRDefault="00E56462" w:rsidP="00035D2C">
      <w:pPr>
        <w:pStyle w:val="IFTnormal"/>
        <w:spacing w:after="6pt"/>
        <w:ind w:start="18pt" w:hanging="18pt"/>
        <w:rPr>
          <w:rFonts w:ascii="Century Gothic" w:hAnsi="Century Gothic"/>
        </w:rPr>
      </w:pPr>
      <w:r>
        <w:rPr>
          <w:rFonts w:ascii="Century Gothic" w:hAnsi="Century Gothic"/>
        </w:rPr>
        <w:t>3.</w:t>
      </w:r>
      <w:r>
        <w:rPr>
          <w:rFonts w:ascii="Century Gothic" w:hAnsi="Century Gothic"/>
        </w:rPr>
        <w:tab/>
        <w:t>Se realizarán las actividades necesarias para retirar la roseta óptica anterior.</w:t>
      </w:r>
    </w:p>
    <w:p w:rsidR="00277ED2" w:rsidRPr="00611019" w:rsidRDefault="00E56462" w:rsidP="00035D2C">
      <w:pPr>
        <w:pStyle w:val="IFTnormal"/>
        <w:spacing w:after="6pt"/>
        <w:ind w:start="18pt" w:hanging="18pt"/>
        <w:rPr>
          <w:rFonts w:ascii="Century Gothic" w:hAnsi="Century Gothic"/>
        </w:rPr>
      </w:pPr>
      <w:r>
        <w:rPr>
          <w:rFonts w:ascii="Century Gothic" w:hAnsi="Century Gothic"/>
        </w:rPr>
        <w:t>4.</w:t>
      </w:r>
      <w:r>
        <w:rPr>
          <w:rFonts w:ascii="Century Gothic" w:hAnsi="Century Gothic"/>
        </w:rPr>
        <w:tab/>
        <w:t>Se realizarán las actividades necesarias para la instalación de la nueva roseta óptica.</w:t>
      </w:r>
    </w:p>
    <w:p w:rsidR="00277ED2" w:rsidRPr="00611019" w:rsidRDefault="00E56462" w:rsidP="00035D2C">
      <w:pPr>
        <w:pStyle w:val="IFTnormal"/>
        <w:spacing w:after="6pt"/>
        <w:ind w:start="18pt" w:hanging="18pt"/>
        <w:rPr>
          <w:rFonts w:ascii="Century Gothic" w:hAnsi="Century Gothic"/>
        </w:rPr>
      </w:pPr>
      <w:r>
        <w:rPr>
          <w:rFonts w:ascii="Century Gothic" w:hAnsi="Century Gothic"/>
        </w:rPr>
        <w:t>5.</w:t>
      </w:r>
      <w:r>
        <w:rPr>
          <w:rFonts w:ascii="Century Gothic" w:hAnsi="Century Gothic"/>
        </w:rPr>
        <w:tab/>
        <w:t xml:space="preserve">Una vez instalada la roseta óptica, se conecta la ONT a la misma, para verificar su funcionamiento. </w:t>
      </w:r>
    </w:p>
    <w:p w:rsidR="00277ED2" w:rsidRPr="00611019" w:rsidRDefault="00E56462" w:rsidP="00035D2C">
      <w:pPr>
        <w:pStyle w:val="IFTnormal"/>
        <w:spacing w:after="6pt"/>
        <w:rPr>
          <w:rFonts w:ascii="Century Gothic" w:hAnsi="Century Gothic"/>
        </w:rPr>
      </w:pPr>
      <w:r>
        <w:rPr>
          <w:rFonts w:ascii="Century Gothic" w:hAnsi="Century Gothic"/>
        </w:rPr>
        <w:t>Aplicarán las mismas garantías que para el caso del Servicio Opcional de Cableado Interior.</w:t>
      </w:r>
    </w:p>
    <w:p w:rsidR="00277ED2" w:rsidRPr="00611019" w:rsidRDefault="00E56462" w:rsidP="00035D2C">
      <w:pPr>
        <w:pStyle w:val="IFTnormal"/>
        <w:spacing w:after="6pt"/>
        <w:rPr>
          <w:rFonts w:ascii="Century Gothic" w:hAnsi="Century Gothic"/>
        </w:rPr>
      </w:pPr>
      <w:r>
        <w:rPr>
          <w:rFonts w:ascii="Century Gothic" w:hAnsi="Century Gothic"/>
        </w:rPr>
        <w:t>Al corte del mes se realizará la facturación aplicable al servicio, en la que se incluirán los gastos en que se haya incurrido con motivo de la prestación del Servicio de reubicación de ONT.</w:t>
      </w:r>
    </w:p>
    <w:p w:rsidR="00B4692E" w:rsidRPr="00611019" w:rsidRDefault="00B4692E" w:rsidP="00035D2C">
      <w:pPr>
        <w:pStyle w:val="IFTnormal"/>
        <w:spacing w:after="6pt"/>
        <w:rPr>
          <w:rFonts w:ascii="Century Gothic" w:hAnsi="Century Gothic"/>
        </w:rPr>
      </w:pPr>
    </w:p>
    <w:p w:rsidR="00AC76DF" w:rsidRPr="00611019" w:rsidRDefault="00E56462" w:rsidP="00035D2C">
      <w:pPr>
        <w:pStyle w:val="Ttulo2"/>
        <w:spacing w:after="6pt"/>
        <w:rPr>
          <w:rFonts w:ascii="Century Gothic" w:hAnsi="Century Gothic"/>
        </w:rPr>
      </w:pPr>
      <w:bookmarkStart w:id="2178" w:name="_Toc43913229"/>
      <w:bookmarkStart w:id="2179" w:name="_Toc53488565"/>
      <w:bookmarkStart w:id="2180" w:name="_Toc53490497"/>
      <w:bookmarkStart w:id="2181" w:name="_Toc53498505"/>
      <w:bookmarkStart w:id="2182" w:name="_Toc58578862"/>
      <w:bookmarkStart w:id="2183" w:name="_Toc92974088"/>
      <w:bookmarkStart w:id="2184" w:name="_Toc93052399"/>
      <w:bookmarkStart w:id="2185" w:name="_Toc93056354"/>
      <w:bookmarkStart w:id="2186" w:name="_Toc125393418"/>
      <w:bookmarkStart w:id="2187" w:name="_Toc148702274"/>
      <w:bookmarkStart w:id="2188" w:name="_Toc170381890"/>
      <w:r>
        <w:rPr>
          <w:rFonts w:ascii="Century Gothic" w:hAnsi="Century Gothic"/>
        </w:rPr>
        <w:t>1</w:t>
      </w:r>
      <w:r w:rsidR="00230EF7">
        <w:rPr>
          <w:rFonts w:ascii="Century Gothic" w:hAnsi="Century Gothic"/>
        </w:rPr>
        <w:t>3</w:t>
      </w:r>
      <w:r>
        <w:rPr>
          <w:rFonts w:ascii="Century Gothic" w:hAnsi="Century Gothic"/>
        </w:rPr>
        <w:t>.3 Servicio Opcional de Cambio de Tecnología</w:t>
      </w:r>
      <w:bookmarkEnd w:id="2178"/>
      <w:bookmarkEnd w:id="2179"/>
      <w:bookmarkEnd w:id="2180"/>
      <w:bookmarkEnd w:id="2181"/>
      <w:bookmarkEnd w:id="2182"/>
      <w:bookmarkEnd w:id="2183"/>
      <w:bookmarkEnd w:id="2184"/>
      <w:bookmarkEnd w:id="2185"/>
      <w:bookmarkEnd w:id="2186"/>
      <w:bookmarkEnd w:id="2187"/>
      <w:bookmarkEnd w:id="2188"/>
      <w:r>
        <w:rPr>
          <w:rFonts w:ascii="Century Gothic" w:hAnsi="Century Gothic"/>
        </w:rPr>
        <w:t>.</w:t>
      </w:r>
    </w:p>
    <w:p w:rsidR="00277ED2" w:rsidRPr="00611019" w:rsidRDefault="00E56462" w:rsidP="00035D2C">
      <w:pPr>
        <w:pStyle w:val="IFTnormal"/>
        <w:rPr>
          <w:rFonts w:ascii="Century Gothic" w:hAnsi="Century Gothic"/>
        </w:rPr>
      </w:pPr>
      <w:r>
        <w:rPr>
          <w:rFonts w:ascii="Century Gothic" w:hAnsi="Century Gothic"/>
        </w:rPr>
        <w:t>El CS podrá solicitar a RED NACIONAL el cambio de tecnología de su SAIB activo de cobre a fibra óptica, sin necesidad de que dicho cambio esté asociado a una solicitud de aumento de velocidad, siempre que sea técnicamente factible. Es decir, este Servicio es independiente del cambio de calidad o cambio de velocidad del SAIB. Para el cambio de equipo terminal, será responsabilidad del CS determinar si lo entrega directamente o contrata la entrega del mismo a RED NACIONAL.</w:t>
      </w:r>
    </w:p>
    <w:p w:rsidR="00B419B0" w:rsidRPr="00611019" w:rsidRDefault="00B419B0" w:rsidP="00035D2C">
      <w:pPr>
        <w:pStyle w:val="IFTnormal"/>
        <w:rPr>
          <w:rFonts w:ascii="Century Gothic" w:hAnsi="Century Gothic"/>
        </w:rPr>
      </w:pPr>
    </w:p>
    <w:p w:rsidR="00277ED2" w:rsidRPr="00611019" w:rsidRDefault="00E56462" w:rsidP="00035D2C">
      <w:pPr>
        <w:pStyle w:val="IFTnormal"/>
        <w:spacing w:after="6pt"/>
        <w:rPr>
          <w:rFonts w:ascii="Century Gothic" w:hAnsi="Century Gothic"/>
        </w:rPr>
      </w:pPr>
      <w:r>
        <w:rPr>
          <w:rFonts w:ascii="Century Gothic" w:hAnsi="Century Gothic"/>
        </w:rPr>
        <w:t>Para la prestación del Servicio Opcional de Cambio de Tecnología se seguirá el procedimiento que se detalla a continuación:</w:t>
      </w:r>
    </w:p>
    <w:p w:rsidR="00277ED2" w:rsidRPr="00611019" w:rsidRDefault="00E56462" w:rsidP="00035D2C">
      <w:pPr>
        <w:pStyle w:val="IFTnormal"/>
        <w:spacing w:after="6pt"/>
        <w:ind w:start="18pt" w:hanging="18pt"/>
        <w:rPr>
          <w:rFonts w:ascii="Century Gothic" w:hAnsi="Century Gothic"/>
        </w:rPr>
      </w:pPr>
      <w:r>
        <w:rPr>
          <w:rFonts w:ascii="Century Gothic" w:hAnsi="Century Gothic"/>
        </w:rPr>
        <w:t>1.</w:t>
      </w:r>
      <w:r>
        <w:rPr>
          <w:rFonts w:ascii="Century Gothic" w:hAnsi="Century Gothic"/>
        </w:rPr>
        <w:tab/>
        <w:t>El CS deberá ingresar su solicitud a través del SEG/SIPO.</w:t>
      </w:r>
    </w:p>
    <w:p w:rsidR="00277ED2" w:rsidRPr="00611019" w:rsidRDefault="00E56462" w:rsidP="00035D2C">
      <w:pPr>
        <w:pStyle w:val="IFTnormal"/>
        <w:spacing w:after="6pt"/>
        <w:ind w:start="18pt" w:hanging="18pt"/>
        <w:rPr>
          <w:rFonts w:ascii="Century Gothic" w:hAnsi="Century Gothic"/>
        </w:rPr>
      </w:pPr>
      <w:r>
        <w:rPr>
          <w:rFonts w:ascii="Century Gothic" w:hAnsi="Century Gothic"/>
        </w:rPr>
        <w:t>2.</w:t>
      </w:r>
      <w:r>
        <w:rPr>
          <w:rFonts w:ascii="Century Gothic" w:hAnsi="Century Gothic"/>
        </w:rPr>
        <w:tab/>
        <w:t>RED NACIONAL ejecutará el cambio de tecnología en un plazo máximo de ocho días hábiles posteriores a la recepción de la solicitud.</w:t>
      </w:r>
    </w:p>
    <w:p w:rsidR="00277ED2" w:rsidRPr="00611019" w:rsidRDefault="00E56462" w:rsidP="00035D2C">
      <w:pPr>
        <w:pStyle w:val="IFTnormal"/>
        <w:spacing w:after="6pt"/>
        <w:ind w:start="18pt" w:hanging="18pt"/>
        <w:rPr>
          <w:rFonts w:ascii="Century Gothic" w:hAnsi="Century Gothic"/>
        </w:rPr>
      </w:pPr>
      <w:r>
        <w:rPr>
          <w:rFonts w:ascii="Century Gothic" w:hAnsi="Century Gothic"/>
        </w:rPr>
        <w:lastRenderedPageBreak/>
        <w:t>3.</w:t>
      </w:r>
      <w:r>
        <w:rPr>
          <w:rFonts w:ascii="Century Gothic" w:hAnsi="Century Gothic"/>
        </w:rPr>
        <w:tab/>
        <w:t xml:space="preserve">Una vez ejecutado el cambio, se llevarán a cabo las pruebas correspondientes para validar que el Servicio ha sido habilitado de conformidad con lo requerido por el CS, en caso contrario se realizarán las correcciones correspondientes. </w:t>
      </w:r>
    </w:p>
    <w:p w:rsidR="00277ED2" w:rsidRPr="00611019" w:rsidRDefault="00E56462" w:rsidP="00035D2C">
      <w:pPr>
        <w:pStyle w:val="IFTnormal"/>
        <w:spacing w:after="6pt"/>
        <w:ind w:start="18pt" w:hanging="18pt"/>
        <w:rPr>
          <w:rFonts w:ascii="Century Gothic" w:hAnsi="Century Gothic"/>
        </w:rPr>
      </w:pPr>
      <w:r>
        <w:rPr>
          <w:rFonts w:ascii="Century Gothic" w:hAnsi="Century Gothic"/>
        </w:rPr>
        <w:t>4.</w:t>
      </w:r>
      <w:r>
        <w:rPr>
          <w:rFonts w:ascii="Century Gothic" w:hAnsi="Century Gothic"/>
        </w:rPr>
        <w:tab/>
        <w:t>Al corte del mes se realizará la facturación aplicable al servicio, en la que se incluirán los gastos de instalación por el cambio de tecnología realizado.</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El CS deberá considerar que, si rechaza el Servicio o decide no continuar con el procedimiento, deberá liquidar a </w:t>
      </w:r>
      <w:r>
        <w:rPr>
          <w:rFonts w:ascii="Century Gothic" w:hAnsi="Century Gothic"/>
        </w:rPr>
        <w:t>RED NACIONAL</w:t>
      </w:r>
      <w:r>
        <w:rPr>
          <w:rFonts w:ascii="Century Gothic" w:hAnsi="Century Gothic" w:cs="Arial"/>
        </w:rPr>
        <w:t xml:space="preserve"> el monto generado por las actividades realizadas hasta el momento en que decidió terminar con el procedimiento (si la solicitud es cancelada con al menos tres días de anticipación a la programación de la habilitación, no aplicará cobro alguno).</w:t>
      </w:r>
    </w:p>
    <w:p w:rsidR="00AC76DF" w:rsidRPr="00611019" w:rsidRDefault="00AC76DF" w:rsidP="00035D2C">
      <w:pPr>
        <w:spacing w:after="6pt"/>
        <w:jc w:val="both"/>
        <w:rPr>
          <w:rFonts w:ascii="Century Gothic" w:hAnsi="Century Gothic" w:cs="Arial"/>
        </w:rPr>
      </w:pPr>
    </w:p>
    <w:p w:rsidR="00AC76DF" w:rsidRPr="00611019" w:rsidRDefault="00E56462" w:rsidP="00035D2C">
      <w:pPr>
        <w:pStyle w:val="Ttulo2"/>
        <w:spacing w:after="6pt"/>
        <w:rPr>
          <w:rFonts w:ascii="Century Gothic" w:hAnsi="Century Gothic"/>
        </w:rPr>
      </w:pPr>
      <w:bookmarkStart w:id="2189" w:name="_Toc53488566"/>
      <w:bookmarkStart w:id="2190" w:name="_Toc53490498"/>
      <w:bookmarkStart w:id="2191" w:name="_Toc53498506"/>
      <w:bookmarkStart w:id="2192" w:name="_Toc58578863"/>
      <w:bookmarkStart w:id="2193" w:name="_Toc92974089"/>
      <w:bookmarkStart w:id="2194" w:name="_Toc93052400"/>
      <w:bookmarkStart w:id="2195" w:name="_Toc93056355"/>
      <w:bookmarkStart w:id="2196" w:name="_Toc125393419"/>
      <w:bookmarkStart w:id="2197" w:name="_Toc148702275"/>
      <w:bookmarkStart w:id="2198" w:name="_Toc170381891"/>
      <w:r>
        <w:rPr>
          <w:rFonts w:ascii="Century Gothic" w:hAnsi="Century Gothic"/>
        </w:rPr>
        <w:t>1</w:t>
      </w:r>
      <w:r w:rsidR="00230EF7">
        <w:rPr>
          <w:rFonts w:ascii="Century Gothic" w:hAnsi="Century Gothic"/>
        </w:rPr>
        <w:t>3</w:t>
      </w:r>
      <w:r>
        <w:rPr>
          <w:rFonts w:ascii="Century Gothic" w:hAnsi="Century Gothic"/>
        </w:rPr>
        <w:t>.4 Servicio Opcional de Configuración, Pruebas y Asistencia</w:t>
      </w:r>
      <w:bookmarkEnd w:id="2189"/>
      <w:bookmarkEnd w:id="2190"/>
      <w:bookmarkEnd w:id="2191"/>
      <w:bookmarkEnd w:id="2192"/>
      <w:bookmarkEnd w:id="2193"/>
      <w:bookmarkEnd w:id="2194"/>
      <w:bookmarkEnd w:id="2195"/>
      <w:bookmarkEnd w:id="2196"/>
      <w:bookmarkEnd w:id="2197"/>
      <w:bookmarkEnd w:id="2198"/>
      <w:r>
        <w:rPr>
          <w:rFonts w:ascii="Century Gothic" w:hAnsi="Century Gothic"/>
        </w:rPr>
        <w:t>.</w:t>
      </w:r>
    </w:p>
    <w:p w:rsidR="00AC76DF" w:rsidRPr="00611019" w:rsidRDefault="00E56462" w:rsidP="00035D2C">
      <w:pPr>
        <w:pStyle w:val="IFTnormal"/>
        <w:spacing w:after="6pt"/>
        <w:outlineLvl w:val="2"/>
        <w:rPr>
          <w:rFonts w:ascii="Century Gothic" w:hAnsi="Century Gothic"/>
          <w:b/>
        </w:rPr>
      </w:pPr>
      <w:bookmarkStart w:id="2199" w:name="_Toc53488567"/>
      <w:bookmarkStart w:id="2200" w:name="_Toc53490499"/>
      <w:bookmarkStart w:id="2201" w:name="_Toc53498507"/>
      <w:bookmarkStart w:id="2202" w:name="_Toc58578864"/>
      <w:bookmarkStart w:id="2203" w:name="_Toc92974090"/>
      <w:bookmarkStart w:id="2204" w:name="_Toc93052401"/>
      <w:bookmarkStart w:id="2205" w:name="_Toc93056356"/>
      <w:bookmarkStart w:id="2206" w:name="_Toc125393420"/>
      <w:bookmarkStart w:id="2207" w:name="_Toc148702276"/>
      <w:bookmarkStart w:id="2208" w:name="_Toc170381892"/>
      <w:r>
        <w:rPr>
          <w:rFonts w:ascii="Century Gothic" w:hAnsi="Century Gothic"/>
          <w:b/>
        </w:rPr>
        <w:t>1</w:t>
      </w:r>
      <w:r w:rsidR="00230EF7">
        <w:rPr>
          <w:rFonts w:ascii="Century Gothic" w:hAnsi="Century Gothic"/>
          <w:b/>
        </w:rPr>
        <w:t>3</w:t>
      </w:r>
      <w:r>
        <w:rPr>
          <w:rFonts w:ascii="Century Gothic" w:hAnsi="Century Gothic"/>
          <w:b/>
        </w:rPr>
        <w:t>.4.1 Descripción del Servicio</w:t>
      </w:r>
      <w:bookmarkEnd w:id="2199"/>
      <w:bookmarkEnd w:id="2200"/>
      <w:bookmarkEnd w:id="2201"/>
      <w:bookmarkEnd w:id="2202"/>
      <w:bookmarkEnd w:id="2203"/>
      <w:bookmarkEnd w:id="2204"/>
      <w:bookmarkEnd w:id="2205"/>
      <w:bookmarkEnd w:id="2206"/>
      <w:bookmarkEnd w:id="2207"/>
      <w:bookmarkEnd w:id="2208"/>
      <w:r>
        <w:rPr>
          <w:rFonts w:ascii="Century Gothic" w:hAnsi="Century Gothic"/>
          <w:b/>
        </w:rPr>
        <w:t>.</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Servicio con el cual </w:t>
      </w:r>
      <w:r>
        <w:rPr>
          <w:rFonts w:ascii="Century Gothic" w:hAnsi="Century Gothic"/>
        </w:rPr>
        <w:t>RED NACIONAL</w:t>
      </w:r>
      <w:r>
        <w:rPr>
          <w:rFonts w:ascii="Century Gothic" w:hAnsi="Century Gothic" w:cs="Arial"/>
        </w:rPr>
        <w:t xml:space="preserve"> pone a disposición del CS el apoyo de un técnico en el domicilio del Usuario Final para que, junto con o luego del aprovisionamiento del servicio mayorista(SAIB, SDTBL), lleve a cabo: (i) la configuración final del Módem/ONT con el que el CS le proveerá sus servicios minoristas; (ii) realizar pruebas de funcionamiento del Módem/ONT y/o de los servicios minoristas del CS; y (iii) Asistir en la solución de fallas o problemas que se pueden presentar en los servicios minoristas finales sobre elementos de responsabilidad del CS como son el Módem/ONT, la navegación en Internet, el servicio de telefonía, entre otros. </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Estos Servicios conexos tienen la finalidad de que el CS no tenga que enviar a su propio técnico para el aprovisionamiento de servicios minoristas en el domicilio del Usuario Final y estarán sujetos a los términos, condiciones y contraprestaciones que al efecto acuerden </w:t>
      </w:r>
      <w:r>
        <w:rPr>
          <w:rFonts w:ascii="Century Gothic" w:hAnsi="Century Gothic"/>
        </w:rPr>
        <w:t>RED NACIONAL</w:t>
      </w:r>
      <w:r>
        <w:rPr>
          <w:rFonts w:ascii="Century Gothic" w:hAnsi="Century Gothic" w:cs="Arial"/>
        </w:rPr>
        <w:t xml:space="preserve"> y el CS y que, como referencia, se describen a continuación:</w:t>
      </w:r>
    </w:p>
    <w:p w:rsidR="00B4692E" w:rsidRPr="00611019" w:rsidRDefault="00E56462" w:rsidP="00035D2C">
      <w:pPr>
        <w:pStyle w:val="IFTnormal"/>
        <w:spacing w:after="6pt"/>
        <w:outlineLvl w:val="2"/>
        <w:rPr>
          <w:rFonts w:ascii="Century Gothic" w:hAnsi="Century Gothic"/>
          <w:b/>
        </w:rPr>
      </w:pPr>
      <w:bookmarkStart w:id="2209" w:name="_Toc53488568"/>
      <w:bookmarkStart w:id="2210" w:name="_Toc53490500"/>
      <w:bookmarkStart w:id="2211" w:name="_Toc53498508"/>
      <w:bookmarkStart w:id="2212" w:name="_Toc58578865"/>
      <w:bookmarkStart w:id="2213" w:name="_Toc92974091"/>
      <w:bookmarkStart w:id="2214" w:name="_Toc93052402"/>
      <w:bookmarkStart w:id="2215" w:name="_Toc93056357"/>
      <w:bookmarkStart w:id="2216" w:name="_Toc125393421"/>
      <w:bookmarkStart w:id="2217" w:name="_Toc148702277"/>
      <w:bookmarkStart w:id="2218" w:name="_Toc170381893"/>
      <w:r>
        <w:rPr>
          <w:rFonts w:ascii="Century Gothic" w:hAnsi="Century Gothic"/>
          <w:b/>
        </w:rPr>
        <w:t>1</w:t>
      </w:r>
      <w:r w:rsidR="00230EF7">
        <w:rPr>
          <w:rFonts w:ascii="Century Gothic" w:hAnsi="Century Gothic"/>
          <w:b/>
        </w:rPr>
        <w:t>3</w:t>
      </w:r>
      <w:r>
        <w:rPr>
          <w:rFonts w:ascii="Century Gothic" w:hAnsi="Century Gothic"/>
          <w:b/>
        </w:rPr>
        <w:t>.4.2 Configuración de los servicios minoristas para el Usuario Final</w:t>
      </w:r>
      <w:bookmarkEnd w:id="2209"/>
      <w:bookmarkEnd w:id="2210"/>
      <w:bookmarkEnd w:id="2211"/>
      <w:bookmarkEnd w:id="2212"/>
      <w:bookmarkEnd w:id="2213"/>
      <w:bookmarkEnd w:id="2214"/>
      <w:bookmarkEnd w:id="2215"/>
      <w:bookmarkEnd w:id="2216"/>
      <w:bookmarkEnd w:id="2217"/>
      <w:bookmarkEnd w:id="2218"/>
      <w:r>
        <w:rPr>
          <w:rFonts w:ascii="Century Gothic" w:hAnsi="Century Gothic"/>
          <w:b/>
        </w:rPr>
        <w:t>.</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Una vez que el Servicio mayorista ha sido entregado (se ha comprobado la sincronía xDSL o potencia óptica), la configuración de las credenciales de autenticación es responsabilidad del CS, si se requiere que </w:t>
      </w:r>
      <w:r>
        <w:rPr>
          <w:rFonts w:ascii="Century Gothic" w:hAnsi="Century Gothic"/>
        </w:rPr>
        <w:t>RED NACIONAL</w:t>
      </w:r>
      <w:r>
        <w:rPr>
          <w:rFonts w:ascii="Century Gothic" w:hAnsi="Century Gothic" w:cs="Arial"/>
        </w:rPr>
        <w:t xml:space="preserve"> apoye a registrar en los sistemas de gestión del CS la cuenta para el acceso al servicio de Internet, será necesario que el CS interesado y </w:t>
      </w:r>
      <w:r>
        <w:rPr>
          <w:rFonts w:ascii="Century Gothic" w:hAnsi="Century Gothic"/>
        </w:rPr>
        <w:t>RED NACIONAL</w:t>
      </w:r>
      <w:r>
        <w:rPr>
          <w:rFonts w:ascii="Century Gothic" w:hAnsi="Century Gothic" w:cs="Arial"/>
        </w:rPr>
        <w:t xml:space="preserve"> acuerden el desarrollo conjunto de una interfaz a través de SIPO que permita la conexión entre </w:t>
      </w:r>
      <w:r>
        <w:rPr>
          <w:rFonts w:ascii="Century Gothic" w:hAnsi="Century Gothic"/>
        </w:rPr>
        <w:t>RED NACIONAL</w:t>
      </w:r>
      <w:r>
        <w:rPr>
          <w:rFonts w:ascii="Century Gothic" w:hAnsi="Century Gothic" w:cs="Arial"/>
        </w:rPr>
        <w:t xml:space="preserve"> y el Sistema de Aprovisionamiento del CS a través de APIs, cubriendo el costo correspondiente, para lo cual se deberá considerar el tiempo de desarrollo respectivo, además se requiere que los módems/ONT del CS tengan cargadas las credenciales conforme a una de las opciones establecidas en la OREDA en el apartado “Autoconfiguración de credenciales de CS”. </w:t>
      </w:r>
    </w:p>
    <w:p w:rsidR="00277ED2" w:rsidRPr="00611019" w:rsidRDefault="00E56462" w:rsidP="00035D2C">
      <w:pPr>
        <w:spacing w:after="6pt"/>
        <w:jc w:val="both"/>
        <w:rPr>
          <w:rFonts w:ascii="Century Gothic" w:hAnsi="Century Gothic" w:cs="Arial"/>
        </w:rPr>
      </w:pPr>
      <w:r>
        <w:rPr>
          <w:rFonts w:ascii="Century Gothic" w:hAnsi="Century Gothic" w:cs="Arial"/>
        </w:rPr>
        <w:lastRenderedPageBreak/>
        <w:t xml:space="preserve">Una vez que se cuente con dicha interfaz, cuando el técnico de </w:t>
      </w:r>
      <w:r>
        <w:rPr>
          <w:rFonts w:ascii="Century Gothic" w:hAnsi="Century Gothic"/>
        </w:rPr>
        <w:t>RED NACIONAL</w:t>
      </w:r>
      <w:r>
        <w:rPr>
          <w:rFonts w:ascii="Century Gothic" w:hAnsi="Century Gothic" w:cs="Arial"/>
        </w:rPr>
        <w:t xml:space="preserve"> acuda al domicilio del </w:t>
      </w:r>
      <w:r>
        <w:rPr>
          <w:rFonts w:ascii="Century Gothic" w:hAnsi="Century Gothic"/>
        </w:rPr>
        <w:t>Usuario Final</w:t>
      </w:r>
      <w:r>
        <w:rPr>
          <w:rFonts w:ascii="Century Gothic" w:hAnsi="Century Gothic" w:cs="Arial"/>
        </w:rPr>
        <w:t xml:space="preserve">, una vez concluido el aprovisionamiento del Servicio mayorista de la OREDA, iniciará el aprovisionamiento del servicio del Usuario Final a través de la aplicación previamente desarrollada que contiene la interfaz hacia la red del CS y enviará/recibirá los datos necesarios para la configuración del servicio del Usuario Final (ejemplo: ID SIPO, número de serie de la ONT y drop ID). </w:t>
      </w:r>
    </w:p>
    <w:p w:rsidR="00277ED2" w:rsidRPr="00611019" w:rsidRDefault="00E56462" w:rsidP="00035D2C">
      <w:pPr>
        <w:jc w:val="both"/>
        <w:rPr>
          <w:rFonts w:ascii="Century Gothic" w:hAnsi="Century Gothic" w:cs="Arial"/>
        </w:rPr>
      </w:pPr>
      <w:r>
        <w:rPr>
          <w:rFonts w:ascii="Century Gothic" w:hAnsi="Century Gothic" w:cs="Arial"/>
        </w:rPr>
        <w:t xml:space="preserve">En conjunto con el CS se establecerá un tiempo de espera para que esta configuración se efectúe contemplando los tiempos de respuesta de los sistemas del CS, y se deberá recibir una respuesta de parte del sistema del CS la cual se verá reflejada en la aplicación del técnico de </w:t>
      </w:r>
      <w:r>
        <w:rPr>
          <w:rFonts w:ascii="Century Gothic" w:hAnsi="Century Gothic"/>
        </w:rPr>
        <w:t>RED NACIONAL</w:t>
      </w:r>
      <w:r>
        <w:rPr>
          <w:rFonts w:ascii="Century Gothic" w:hAnsi="Century Gothic" w:cs="Arial"/>
        </w:rPr>
        <w:t>, posterior a lo cual el técnico realizará las pruebas respectivas para validar el correcto funcionamiento del servicio minorista del Usuario Final y se recabará la evidencia correspondiente poniéndola a disposición en el SEG/SIPO.</w:t>
      </w:r>
    </w:p>
    <w:p w:rsidR="005E1572" w:rsidRPr="00611019" w:rsidRDefault="005E1572" w:rsidP="00035D2C">
      <w:pPr>
        <w:spacing w:after="6pt"/>
        <w:jc w:val="both"/>
        <w:rPr>
          <w:rFonts w:ascii="Century Gothic" w:hAnsi="Century Gothic" w:cs="Arial"/>
        </w:rPr>
      </w:pPr>
    </w:p>
    <w:p w:rsidR="00CE5A56" w:rsidRPr="00611019" w:rsidRDefault="00E56462" w:rsidP="00035D2C">
      <w:pPr>
        <w:spacing w:after="6pt"/>
        <w:jc w:val="both"/>
        <w:rPr>
          <w:rFonts w:ascii="Century Gothic" w:hAnsi="Century Gothic" w:cs="Arial"/>
          <w:b/>
        </w:rPr>
      </w:pPr>
      <w:r>
        <w:rPr>
          <w:rFonts w:ascii="Century Gothic" w:hAnsi="Century Gothic" w:cs="Arial"/>
          <w:b/>
        </w:rPr>
        <w:t>Configuración automática del servicio de telefonía VoIP.</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Para proporcionar esta modalidad de trabajo que va a registrar en los sistemas de gestión del CS la cuenta para el acceso al servicio de Internet, se requiere que el CS interesado y </w:t>
      </w:r>
      <w:r>
        <w:rPr>
          <w:rFonts w:ascii="Century Gothic" w:hAnsi="Century Gothic"/>
        </w:rPr>
        <w:t>RED NACIONAL</w:t>
      </w:r>
      <w:r>
        <w:rPr>
          <w:rFonts w:ascii="Century Gothic" w:hAnsi="Century Gothic" w:cs="Arial"/>
        </w:rPr>
        <w:t xml:space="preserve"> acuerden el desarrollo conjunto de una interfaz a través de SIPO que permita la conexión entre </w:t>
      </w:r>
      <w:r>
        <w:rPr>
          <w:rFonts w:ascii="Century Gothic" w:hAnsi="Century Gothic"/>
        </w:rPr>
        <w:t>RED NACIONAL</w:t>
      </w:r>
      <w:r>
        <w:rPr>
          <w:rFonts w:ascii="Century Gothic" w:hAnsi="Century Gothic" w:cs="Arial"/>
        </w:rPr>
        <w:t xml:space="preserve"> y el Sistema de Aprovisionamiento del CS a través de APIs, para lo cual se deberá considerar el tiempo de desarrollo respectivo, además se requiere que los módems/ONT del CS tengan cargadas las credenciales conforme una de las opciones establecidas en la OREDA en el apartado “Autoconfiguración de credenciales de CS”. Una vez que se cuente con dicha interfaz, cuando el técnico de </w:t>
      </w:r>
      <w:r>
        <w:rPr>
          <w:rFonts w:ascii="Century Gothic" w:hAnsi="Century Gothic"/>
        </w:rPr>
        <w:t>RED NACIONAL</w:t>
      </w:r>
      <w:r>
        <w:rPr>
          <w:rFonts w:ascii="Century Gothic" w:hAnsi="Century Gothic" w:cs="Arial"/>
        </w:rPr>
        <w:t xml:space="preserve"> acuda al domicilio del </w:t>
      </w:r>
      <w:r>
        <w:rPr>
          <w:rFonts w:ascii="Century Gothic" w:hAnsi="Century Gothic"/>
        </w:rPr>
        <w:t>Usuario Final</w:t>
      </w:r>
      <w:r>
        <w:rPr>
          <w:rFonts w:ascii="Century Gothic" w:hAnsi="Century Gothic" w:cs="Arial"/>
        </w:rPr>
        <w:t xml:space="preserve">, una vez concluido el aprovisionamiento del Servicio mayorista de la OREDA, iniciará el aprovisionamiento del servicio minorista del Usuario Final a través de la aplicación previamente desarrollada que contiene la interfaz de aprovisionamiento hacia la red del CS y enviará/recibirá los datos necesarios para la configuración del servicio del Usuario Final (ejemplo: ID SIPO, número de serie de la ONT, número virtual y drop ID). </w:t>
      </w:r>
    </w:p>
    <w:p w:rsidR="00277ED2" w:rsidRPr="00611019" w:rsidRDefault="00E56462" w:rsidP="00204BC4">
      <w:pPr>
        <w:spacing w:after="6pt"/>
        <w:jc w:val="both"/>
        <w:rPr>
          <w:rFonts w:ascii="Century Gothic" w:hAnsi="Century Gothic" w:cs="Arial"/>
        </w:rPr>
      </w:pPr>
      <w:r>
        <w:rPr>
          <w:rFonts w:ascii="Century Gothic" w:hAnsi="Century Gothic" w:cs="Arial"/>
        </w:rPr>
        <w:t xml:space="preserve">En conjunto con el CS se establecerá un tiempo de espera para que esta configuración se efectúe contemplando los tiempos de respuesta de los sistemas del CS, y se deberá recibir una respuesta de parte del sistema del CS la cual se verá reflejada en la aplicación del técnico de </w:t>
      </w:r>
      <w:r>
        <w:rPr>
          <w:rFonts w:ascii="Century Gothic" w:hAnsi="Century Gothic"/>
        </w:rPr>
        <w:t>RED NACIONAL</w:t>
      </w:r>
      <w:r>
        <w:rPr>
          <w:rFonts w:ascii="Century Gothic" w:hAnsi="Century Gothic" w:cs="Arial"/>
        </w:rPr>
        <w:t>, posterior a lo cual el técnico realizará las pruebas respectivas para validar el correcto funcionamiento del servicio del Usuario Final (ver apartado siguiente).</w:t>
      </w:r>
    </w:p>
    <w:p w:rsidR="00B4692E" w:rsidRPr="00611019" w:rsidRDefault="00E56462" w:rsidP="00204BC4">
      <w:pPr>
        <w:pStyle w:val="IFTnormal"/>
        <w:spacing w:after="6pt"/>
        <w:outlineLvl w:val="2"/>
        <w:rPr>
          <w:rFonts w:ascii="Century Gothic" w:hAnsi="Century Gothic"/>
          <w:b/>
        </w:rPr>
      </w:pPr>
      <w:bookmarkStart w:id="2219" w:name="_Toc53488569"/>
      <w:bookmarkStart w:id="2220" w:name="_Toc53490501"/>
      <w:bookmarkStart w:id="2221" w:name="_Toc53498509"/>
      <w:bookmarkStart w:id="2222" w:name="_Toc58578866"/>
      <w:bookmarkStart w:id="2223" w:name="_Toc92974092"/>
      <w:bookmarkStart w:id="2224" w:name="_Toc93052403"/>
      <w:bookmarkStart w:id="2225" w:name="_Toc93056358"/>
      <w:bookmarkStart w:id="2226" w:name="_Toc125393422"/>
      <w:bookmarkStart w:id="2227" w:name="_Toc148702278"/>
      <w:bookmarkStart w:id="2228" w:name="_Toc170381894"/>
      <w:r>
        <w:rPr>
          <w:rFonts w:ascii="Century Gothic" w:hAnsi="Century Gothic"/>
          <w:b/>
        </w:rPr>
        <w:t>1</w:t>
      </w:r>
      <w:r w:rsidR="00230EF7">
        <w:rPr>
          <w:rFonts w:ascii="Century Gothic" w:hAnsi="Century Gothic"/>
          <w:b/>
        </w:rPr>
        <w:t>3</w:t>
      </w:r>
      <w:r>
        <w:rPr>
          <w:rFonts w:ascii="Century Gothic" w:hAnsi="Century Gothic"/>
          <w:b/>
        </w:rPr>
        <w:t>.4.3 Prueba del servicio minorista para el Usuario Final</w:t>
      </w:r>
      <w:bookmarkEnd w:id="2219"/>
      <w:bookmarkEnd w:id="2220"/>
      <w:bookmarkEnd w:id="2221"/>
      <w:bookmarkEnd w:id="2222"/>
      <w:bookmarkEnd w:id="2223"/>
      <w:bookmarkEnd w:id="2224"/>
      <w:bookmarkEnd w:id="2225"/>
      <w:bookmarkEnd w:id="2226"/>
      <w:bookmarkEnd w:id="2227"/>
      <w:bookmarkEnd w:id="2228"/>
      <w:r>
        <w:rPr>
          <w:rFonts w:ascii="Century Gothic" w:hAnsi="Century Gothic"/>
          <w:b/>
        </w:rPr>
        <w:t>.</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Consiste en que el técnico de </w:t>
      </w:r>
      <w:r>
        <w:rPr>
          <w:rFonts w:ascii="Century Gothic" w:hAnsi="Century Gothic"/>
        </w:rPr>
        <w:t>RED NACIONAL</w:t>
      </w:r>
      <w:r>
        <w:rPr>
          <w:rFonts w:ascii="Century Gothic" w:hAnsi="Century Gothic" w:cs="Arial"/>
        </w:rPr>
        <w:t xml:space="preserve"> realice las validaciones correspondientes para corroborar que el servicio al Usuario Final funciona correctamente, lo anterior es independiente a las pruebas que se realizan como parte de la entrega de los Servicios </w:t>
      </w:r>
      <w:r>
        <w:rPr>
          <w:rFonts w:ascii="Century Gothic" w:hAnsi="Century Gothic" w:cs="Arial"/>
        </w:rPr>
        <w:lastRenderedPageBreak/>
        <w:t>mayoristas y permite probar la entrega del servicio minorista de internet y telefonía al Usuario Final.</w:t>
      </w:r>
    </w:p>
    <w:p w:rsidR="00277ED2" w:rsidRPr="00611019" w:rsidRDefault="00E56462" w:rsidP="00035D2C">
      <w:pPr>
        <w:jc w:val="both"/>
        <w:rPr>
          <w:rFonts w:ascii="Century Gothic" w:hAnsi="Century Gothic" w:cs="Arial"/>
        </w:rPr>
      </w:pPr>
      <w:r>
        <w:rPr>
          <w:rFonts w:ascii="Century Gothic" w:hAnsi="Century Gothic" w:cs="Arial"/>
        </w:rPr>
        <w:t xml:space="preserve">Para el caso de los Servicios SAIB, previo a las pruebas del servicio final y una vez terminado el proceso de configuración del servicio al Usuario Final, el técnico de </w:t>
      </w:r>
      <w:r>
        <w:rPr>
          <w:rFonts w:ascii="Century Gothic" w:hAnsi="Century Gothic"/>
        </w:rPr>
        <w:t>RED NACIONAL</w:t>
      </w:r>
      <w:r>
        <w:rPr>
          <w:rFonts w:ascii="Century Gothic" w:hAnsi="Century Gothic" w:cs="Arial"/>
        </w:rPr>
        <w:t xml:space="preserve"> deberá validar en el módem que los LED indicadores de cada servicio (Internet/VoIP) se encuentren en el estado de activo.</w:t>
      </w:r>
    </w:p>
    <w:p w:rsidR="00B419B0" w:rsidRPr="00611019" w:rsidRDefault="00B419B0" w:rsidP="00035D2C">
      <w:pPr>
        <w:jc w:val="both"/>
        <w:rPr>
          <w:rFonts w:ascii="Century Gothic" w:hAnsi="Century Gothic" w:cs="Arial"/>
        </w:rPr>
      </w:pPr>
    </w:p>
    <w:p w:rsidR="00AC76DF" w:rsidRPr="00611019" w:rsidRDefault="00E56462" w:rsidP="00035D2C">
      <w:pPr>
        <w:spacing w:after="6pt"/>
        <w:jc w:val="both"/>
        <w:rPr>
          <w:rFonts w:ascii="Century Gothic" w:hAnsi="Century Gothic" w:cs="Arial"/>
          <w:b/>
        </w:rPr>
      </w:pPr>
      <w:r>
        <w:rPr>
          <w:rFonts w:ascii="Century Gothic" w:hAnsi="Century Gothic" w:cs="Arial"/>
          <w:b/>
        </w:rPr>
        <w:t>Prueba del servicio de Navegación.</w:t>
      </w:r>
    </w:p>
    <w:p w:rsidR="00277ED2" w:rsidRPr="00611019" w:rsidRDefault="00E56462" w:rsidP="00035D2C">
      <w:pPr>
        <w:jc w:val="both"/>
        <w:rPr>
          <w:rFonts w:ascii="Century Gothic" w:hAnsi="Century Gothic" w:cs="Arial"/>
        </w:rPr>
      </w:pPr>
      <w:r>
        <w:rPr>
          <w:rFonts w:ascii="Century Gothic" w:hAnsi="Century Gothic" w:cs="Arial"/>
        </w:rPr>
        <w:t xml:space="preserve">Consiste en una validación por parte del técnico de </w:t>
      </w:r>
      <w:r>
        <w:rPr>
          <w:rFonts w:ascii="Century Gothic" w:hAnsi="Century Gothic"/>
        </w:rPr>
        <w:t>RED NACIONAL</w:t>
      </w:r>
      <w:r>
        <w:rPr>
          <w:rFonts w:ascii="Century Gothic" w:hAnsi="Century Gothic" w:cs="Arial"/>
        </w:rPr>
        <w:t xml:space="preserve"> de que el servicio final del usuario permita la navegación en Internet. La prueba deberá realizarse con el dispositivo del técnico o del propio Usuario Final y se recabará la evidencia correspondiente poniéndola a disposición en el SEG/SIPO. </w:t>
      </w:r>
    </w:p>
    <w:p w:rsidR="00AC76DF" w:rsidRPr="00611019" w:rsidRDefault="00AC76DF" w:rsidP="00035D2C">
      <w:pPr>
        <w:jc w:val="both"/>
        <w:rPr>
          <w:rFonts w:ascii="Century Gothic" w:hAnsi="Century Gothic" w:cs="Arial"/>
        </w:rPr>
      </w:pPr>
    </w:p>
    <w:p w:rsidR="00277ED2" w:rsidRPr="00611019" w:rsidRDefault="00E56462" w:rsidP="00035D2C">
      <w:pPr>
        <w:spacing w:after="6pt"/>
        <w:jc w:val="both"/>
        <w:rPr>
          <w:rFonts w:ascii="Century Gothic" w:hAnsi="Century Gothic" w:cs="Arial"/>
          <w:b/>
        </w:rPr>
      </w:pPr>
      <w:r>
        <w:rPr>
          <w:rFonts w:ascii="Century Gothic" w:hAnsi="Century Gothic" w:cs="Arial"/>
          <w:b/>
        </w:rPr>
        <w:t>Prueba del servicio de Telefonía.</w:t>
      </w:r>
    </w:p>
    <w:p w:rsidR="00277ED2" w:rsidRPr="00611019" w:rsidRDefault="00E56462" w:rsidP="00035D2C">
      <w:pPr>
        <w:spacing w:after="6pt"/>
        <w:jc w:val="both"/>
        <w:rPr>
          <w:rFonts w:ascii="Century Gothic" w:hAnsi="Century Gothic" w:cs="Arial"/>
        </w:rPr>
      </w:pPr>
      <w:r>
        <w:rPr>
          <w:rFonts w:ascii="Century Gothic" w:hAnsi="Century Gothic" w:cs="Arial"/>
        </w:rPr>
        <w:t>Esta prueba aplica tanto al servicio de telefonía tradicional (POTS) como al servicio ofrecido a través de VoIP.</w:t>
      </w:r>
    </w:p>
    <w:p w:rsidR="00277ED2" w:rsidRPr="00611019" w:rsidRDefault="00E56462" w:rsidP="00035D2C">
      <w:pPr>
        <w:spacing w:after="6pt"/>
        <w:jc w:val="both"/>
        <w:rPr>
          <w:rFonts w:ascii="Century Gothic" w:hAnsi="Century Gothic" w:cs="Arial"/>
        </w:rPr>
      </w:pPr>
      <w:r>
        <w:rPr>
          <w:rFonts w:ascii="Century Gothic" w:hAnsi="Century Gothic" w:cs="Arial"/>
        </w:rPr>
        <w:t xml:space="preserve">Una vez que haya sido configurado correctamente el servicio de telefonía, el técnico de </w:t>
      </w:r>
      <w:r>
        <w:rPr>
          <w:rFonts w:ascii="Century Gothic" w:hAnsi="Century Gothic"/>
        </w:rPr>
        <w:t>RED NACIONAL</w:t>
      </w:r>
      <w:r>
        <w:rPr>
          <w:rFonts w:ascii="Century Gothic" w:hAnsi="Century Gothic" w:cs="Arial"/>
        </w:rPr>
        <w:t xml:space="preserve"> en el domicilio del </w:t>
      </w:r>
      <w:r>
        <w:rPr>
          <w:rFonts w:ascii="Century Gothic" w:hAnsi="Century Gothic"/>
        </w:rPr>
        <w:t xml:space="preserve">Usuario Final </w:t>
      </w:r>
      <w:r>
        <w:rPr>
          <w:rFonts w:ascii="Century Gothic" w:hAnsi="Century Gothic" w:cs="Arial"/>
        </w:rPr>
        <w:t>realizará una serie de prueba (protocolo de pruebas) que consiste en efectuar una llamada saliente y una entrante, desde el aparato telefónico del Usuario Final, recabando la evidencia correspondiente poniéndola a disposición en el SEG/SIPO (validación del Usuario Final).</w:t>
      </w:r>
    </w:p>
    <w:p w:rsidR="00AC76DF" w:rsidRPr="00611019" w:rsidRDefault="00E56462" w:rsidP="00035D2C">
      <w:pPr>
        <w:pStyle w:val="IFTnormal"/>
        <w:spacing w:after="6pt"/>
        <w:outlineLvl w:val="2"/>
        <w:rPr>
          <w:rFonts w:ascii="Century Gothic" w:hAnsi="Century Gothic"/>
          <w:b/>
        </w:rPr>
      </w:pPr>
      <w:bookmarkStart w:id="2229" w:name="_Toc53488570"/>
      <w:bookmarkStart w:id="2230" w:name="_Toc53490502"/>
      <w:bookmarkStart w:id="2231" w:name="_Toc53498510"/>
      <w:bookmarkStart w:id="2232" w:name="_Toc58578867"/>
      <w:bookmarkStart w:id="2233" w:name="_Toc92974093"/>
      <w:bookmarkStart w:id="2234" w:name="_Toc93052404"/>
      <w:bookmarkStart w:id="2235" w:name="_Toc93056359"/>
      <w:bookmarkStart w:id="2236" w:name="_Toc125393423"/>
      <w:bookmarkStart w:id="2237" w:name="_Toc148702279"/>
      <w:bookmarkStart w:id="2238" w:name="_Toc170381895"/>
      <w:r>
        <w:rPr>
          <w:rFonts w:ascii="Century Gothic" w:hAnsi="Century Gothic"/>
          <w:b/>
        </w:rPr>
        <w:t>1</w:t>
      </w:r>
      <w:r w:rsidR="00230EF7">
        <w:rPr>
          <w:rFonts w:ascii="Century Gothic" w:hAnsi="Century Gothic"/>
          <w:b/>
        </w:rPr>
        <w:t>3</w:t>
      </w:r>
      <w:r>
        <w:rPr>
          <w:rFonts w:ascii="Century Gothic" w:hAnsi="Century Gothic"/>
          <w:b/>
        </w:rPr>
        <w:t>.4.4 Asistencia en la solución de fallas del servicio minorista para el Usuario Final</w:t>
      </w:r>
      <w:bookmarkEnd w:id="2229"/>
      <w:bookmarkEnd w:id="2230"/>
      <w:bookmarkEnd w:id="2231"/>
      <w:bookmarkEnd w:id="2232"/>
      <w:bookmarkEnd w:id="2233"/>
      <w:bookmarkEnd w:id="2234"/>
      <w:bookmarkEnd w:id="2235"/>
      <w:bookmarkEnd w:id="2236"/>
      <w:bookmarkEnd w:id="2237"/>
      <w:bookmarkEnd w:id="2238"/>
      <w:r>
        <w:rPr>
          <w:rFonts w:ascii="Century Gothic" w:hAnsi="Century Gothic"/>
          <w:b/>
        </w:rPr>
        <w:t>.</w:t>
      </w:r>
    </w:p>
    <w:p w:rsidR="00277ED2" w:rsidRPr="00611019" w:rsidRDefault="00E56462" w:rsidP="00035D2C">
      <w:pPr>
        <w:jc w:val="both"/>
        <w:rPr>
          <w:rFonts w:ascii="Century Gothic" w:hAnsi="Century Gothic" w:cs="Arial"/>
        </w:rPr>
      </w:pPr>
      <w:r>
        <w:rPr>
          <w:rFonts w:ascii="Century Gothic" w:hAnsi="Century Gothic" w:cs="Arial"/>
        </w:rPr>
        <w:t xml:space="preserve">En caso de error o falla en la configuración o prueba del servicio del Usuario Final (navegación o telefonía) el técnico de </w:t>
      </w:r>
      <w:r>
        <w:rPr>
          <w:rFonts w:ascii="Century Gothic" w:hAnsi="Century Gothic"/>
        </w:rPr>
        <w:t>RED NACIONAL</w:t>
      </w:r>
      <w:r>
        <w:rPr>
          <w:rFonts w:ascii="Century Gothic" w:hAnsi="Century Gothic" w:cs="Arial"/>
        </w:rPr>
        <w:t>, a solicitud del CS, apoyará al CS en la identificación de la falla y en la corrección del problema, recabando la evidencia correspondiente y poniéndola a disposición en el SEG/SIPO.</w:t>
      </w:r>
    </w:p>
    <w:p w:rsidR="00B419B0" w:rsidRPr="00611019" w:rsidRDefault="00B419B0" w:rsidP="00035D2C">
      <w:pPr>
        <w:jc w:val="both"/>
        <w:rPr>
          <w:rFonts w:ascii="Century Gothic" w:hAnsi="Century Gothic" w:cs="Arial"/>
        </w:rPr>
      </w:pPr>
    </w:p>
    <w:p w:rsidR="00277ED2" w:rsidRPr="00611019" w:rsidRDefault="00E56462" w:rsidP="00035D2C">
      <w:pPr>
        <w:jc w:val="both"/>
        <w:rPr>
          <w:rFonts w:ascii="Century Gothic" w:hAnsi="Century Gothic" w:cs="Arial"/>
        </w:rPr>
      </w:pPr>
      <w:r>
        <w:rPr>
          <w:rFonts w:ascii="Century Gothic" w:hAnsi="Century Gothic" w:cs="Arial"/>
        </w:rPr>
        <w:t xml:space="preserve">Para que el técnico de </w:t>
      </w:r>
      <w:r>
        <w:rPr>
          <w:rFonts w:ascii="Century Gothic" w:hAnsi="Century Gothic"/>
        </w:rPr>
        <w:t>RED NACIONAL</w:t>
      </w:r>
      <w:r>
        <w:rPr>
          <w:rFonts w:ascii="Century Gothic" w:hAnsi="Century Gothic" w:cs="Arial"/>
        </w:rPr>
        <w:t xml:space="preserve"> apoye en sitio al CS en la corrección de la falla, las instrucciones respecto a las actividades que deberá desarrollar en el domicilio del </w:t>
      </w:r>
      <w:r>
        <w:rPr>
          <w:rFonts w:ascii="Century Gothic" w:hAnsi="Century Gothic"/>
        </w:rPr>
        <w:t xml:space="preserve">Usuario Final </w:t>
      </w:r>
      <w:r>
        <w:rPr>
          <w:rFonts w:ascii="Century Gothic" w:hAnsi="Century Gothic" w:cs="Arial"/>
        </w:rPr>
        <w:t xml:space="preserve">deberán ser indicadas por el propio CS a través de su centro telefónico o el medio convenido por ambas Partes, de acuerdo con lo establecido en el protocolo de pruebas que deberá acordarse con antelación entre </w:t>
      </w:r>
      <w:r>
        <w:rPr>
          <w:rFonts w:ascii="Century Gothic" w:hAnsi="Century Gothic"/>
        </w:rPr>
        <w:t>RED NACIONAL</w:t>
      </w:r>
      <w:r>
        <w:rPr>
          <w:rFonts w:ascii="Century Gothic" w:hAnsi="Century Gothic" w:cs="Arial"/>
        </w:rPr>
        <w:t xml:space="preserve"> y los </w:t>
      </w:r>
      <w:r w:rsidR="00556724">
        <w:rPr>
          <w:rFonts w:ascii="Century Gothic" w:hAnsi="Century Gothic" w:cs="Arial"/>
        </w:rPr>
        <w:t>CS</w:t>
      </w:r>
      <w:r>
        <w:rPr>
          <w:rFonts w:ascii="Century Gothic" w:hAnsi="Century Gothic" w:cs="Arial"/>
        </w:rPr>
        <w:t xml:space="preserve"> interesados en este </w:t>
      </w:r>
      <w:r w:rsidR="00556724">
        <w:rPr>
          <w:rFonts w:ascii="Century Gothic" w:hAnsi="Century Gothic" w:cs="Arial"/>
        </w:rPr>
        <w:t>Servicio</w:t>
      </w:r>
      <w:r>
        <w:rPr>
          <w:rFonts w:ascii="Century Gothic" w:hAnsi="Century Gothic" w:cs="Arial"/>
        </w:rPr>
        <w:t xml:space="preserve">, dicho protocolo deberá considerar al menos las pruebas que se realizarán para validar cada uno de los </w:t>
      </w:r>
      <w:r w:rsidR="00556724">
        <w:rPr>
          <w:rFonts w:ascii="Century Gothic" w:hAnsi="Century Gothic" w:cs="Arial"/>
        </w:rPr>
        <w:t>servicios</w:t>
      </w:r>
      <w:r>
        <w:rPr>
          <w:rFonts w:ascii="Century Gothic" w:hAnsi="Century Gothic" w:cs="Arial"/>
        </w:rPr>
        <w:t xml:space="preserve">. En caso de que el técnico de </w:t>
      </w:r>
      <w:r>
        <w:rPr>
          <w:rFonts w:ascii="Century Gothic" w:hAnsi="Century Gothic"/>
        </w:rPr>
        <w:t>RED NACIONAL</w:t>
      </w:r>
      <w:r>
        <w:rPr>
          <w:rFonts w:ascii="Century Gothic" w:hAnsi="Century Gothic" w:cs="Arial"/>
        </w:rPr>
        <w:t xml:space="preserve"> no pueda establecer contacto con el CS, este Servicio no podrá ser brindado.</w:t>
      </w:r>
    </w:p>
    <w:p w:rsidR="009921EA" w:rsidRPr="00611019" w:rsidRDefault="009921EA" w:rsidP="00035D2C">
      <w:pPr>
        <w:jc w:val="both"/>
        <w:rPr>
          <w:rFonts w:ascii="Century Gothic" w:hAnsi="Century Gothic" w:cs="Arial"/>
        </w:rPr>
      </w:pPr>
    </w:p>
    <w:p w:rsidR="009921EA" w:rsidRPr="00611019" w:rsidRDefault="00E56462" w:rsidP="00035D2C">
      <w:pPr>
        <w:pStyle w:val="IFTnormal"/>
        <w:spacing w:after="6pt"/>
        <w:rPr>
          <w:rFonts w:ascii="Century Gothic" w:hAnsi="Century Gothic"/>
        </w:rPr>
      </w:pPr>
      <w:r>
        <w:rPr>
          <w:rFonts w:ascii="Century Gothic" w:hAnsi="Century Gothic"/>
        </w:rPr>
        <w:lastRenderedPageBreak/>
        <w:t>Leída que fue la presente Oferta y enteradas las Partes de su contenido y alcance legal, los representantes debidamente facultados de ambas la firman por duplicado en la Ciudad de México, el día [*] de [*] de 202</w:t>
      </w:r>
      <w:r w:rsidR="000E6222">
        <w:rPr>
          <w:rFonts w:ascii="Century Gothic" w:hAnsi="Century Gothic"/>
        </w:rPr>
        <w:t>6</w:t>
      </w:r>
      <w:r>
        <w:rPr>
          <w:rFonts w:ascii="Century Gothic" w:hAnsi="Century Gothic"/>
        </w:rPr>
        <w:t>.</w:t>
      </w:r>
    </w:p>
    <w:p w:rsidR="009921EA" w:rsidRPr="00611019" w:rsidRDefault="009921EA" w:rsidP="00035D2C">
      <w:pPr>
        <w:jc w:val="both"/>
        <w:rPr>
          <w:rFonts w:ascii="Century Gothic" w:hAnsi="Century Gothic" w:cs="Arial"/>
          <w:lang w:val="es-ES_tradnl"/>
        </w:rPr>
      </w:pPr>
    </w:p>
    <w:tbl>
      <w:tblPr>
        <w:tblW w:w="507.25pt" w:type="dxa"/>
        <w:jc w:val="center"/>
        <w:tblLayout w:type="fixed"/>
        <w:tblLook w:firstRow="1" w:lastRow="0" w:firstColumn="1" w:lastColumn="0" w:noHBand="0" w:noVBand="1"/>
      </w:tblPr>
      <w:tblGrid>
        <w:gridCol w:w="4982"/>
        <w:gridCol w:w="236"/>
        <w:gridCol w:w="4927"/>
      </w:tblGrid>
      <w:tr w:rsidR="0061711D" w:rsidTr="009C03FC">
        <w:trPr>
          <w:trHeight w:val="1696"/>
          <w:jc w:val="center"/>
        </w:trPr>
        <w:tc>
          <w:tcPr>
            <w:tcW w:w="249.20pt" w:type="dxa"/>
            <w:shd w:val="clear" w:color="auto" w:fill="auto"/>
          </w:tcPr>
          <w:p w:rsidR="009921EA" w:rsidRPr="00611019" w:rsidRDefault="00E56462" w:rsidP="00035D2C">
            <w:pPr>
              <w:autoSpaceDE w:val="0"/>
              <w:autoSpaceDN w:val="0"/>
              <w:ind w:start="16.05pt"/>
              <w:jc w:val="center"/>
              <w:rPr>
                <w:rFonts w:ascii="Century Gothic" w:eastAsia="Times New Roman" w:hAnsi="Century Gothic" w:cs="Arial"/>
                <w:b/>
                <w:bCs/>
                <w:color w:val="000000"/>
              </w:rPr>
            </w:pPr>
            <w:r>
              <w:rPr>
                <w:rFonts w:ascii="Century Gothic" w:eastAsia="Times New Roman" w:hAnsi="Century Gothic" w:cs="Arial"/>
                <w:b/>
                <w:bCs/>
                <w:color w:val="000000"/>
              </w:rPr>
              <w:t>Red Nacional Última Milla, S.A.P.I. de C.V.</w:t>
            </w:r>
          </w:p>
          <w:p w:rsidR="009921EA" w:rsidRPr="00611019" w:rsidRDefault="009921EA" w:rsidP="00035D2C">
            <w:pPr>
              <w:autoSpaceDE w:val="0"/>
              <w:autoSpaceDN w:val="0"/>
              <w:jc w:val="center"/>
              <w:rPr>
                <w:rFonts w:ascii="Century Gothic" w:eastAsia="Times New Roman" w:hAnsi="Century Gothic" w:cs="Arial"/>
                <w:color w:val="000000"/>
              </w:rPr>
            </w:pPr>
          </w:p>
          <w:p w:rsidR="00643E58" w:rsidRPr="00611019" w:rsidRDefault="00643E58" w:rsidP="00035D2C">
            <w:pPr>
              <w:autoSpaceDE w:val="0"/>
              <w:autoSpaceDN w:val="0"/>
              <w:jc w:val="center"/>
              <w:rPr>
                <w:rFonts w:ascii="Century Gothic" w:eastAsia="Times New Roman" w:hAnsi="Century Gothic" w:cs="Arial"/>
                <w:color w:val="000000"/>
              </w:rPr>
            </w:pPr>
          </w:p>
          <w:p w:rsidR="009921EA" w:rsidRPr="00611019" w:rsidRDefault="009921EA" w:rsidP="00035D2C">
            <w:pPr>
              <w:autoSpaceDE w:val="0"/>
              <w:autoSpaceDN w:val="0"/>
              <w:ind w:start="16.05pt"/>
              <w:jc w:val="center"/>
              <w:rPr>
                <w:rFonts w:ascii="Century Gothic" w:eastAsia="Times New Roman" w:hAnsi="Century Gothic" w:cs="Arial"/>
                <w:color w:val="000000"/>
              </w:rPr>
            </w:pPr>
          </w:p>
          <w:p w:rsidR="009921EA" w:rsidRPr="00611019" w:rsidRDefault="00E56462" w:rsidP="00035D2C">
            <w:pPr>
              <w:autoSpaceDE w:val="0"/>
              <w:autoSpaceDN w:val="0"/>
              <w:ind w:start="16.05pt"/>
              <w:jc w:val="center"/>
              <w:rPr>
                <w:rFonts w:ascii="Century Gothic" w:eastAsia="Times New Roman" w:hAnsi="Century Gothic" w:cs="Arial"/>
                <w:color w:val="000000"/>
              </w:rPr>
            </w:pPr>
            <w:r>
              <w:rPr>
                <w:rFonts w:ascii="Century Gothic" w:eastAsia="Times New Roman" w:hAnsi="Century Gothic" w:cs="Arial"/>
                <w:color w:val="000000"/>
              </w:rPr>
              <w:t>________________________________________</w:t>
            </w:r>
          </w:p>
          <w:p w:rsidR="009921EA" w:rsidRPr="00611019" w:rsidRDefault="00E56462" w:rsidP="00035D2C">
            <w:pPr>
              <w:autoSpaceDE w:val="0"/>
              <w:autoSpaceDN w:val="0"/>
              <w:ind w:start="16.05pt"/>
              <w:jc w:val="center"/>
              <w:rPr>
                <w:rFonts w:ascii="Century Gothic" w:eastAsia="Times New Roman" w:hAnsi="Century Gothic" w:cs="Arial"/>
                <w:color w:val="000000"/>
              </w:rPr>
            </w:pPr>
            <w:r>
              <w:rPr>
                <w:rFonts w:ascii="Century Gothic" w:eastAsia="Times New Roman" w:hAnsi="Century Gothic" w:cs="Arial"/>
                <w:b/>
                <w:bCs/>
                <w:color w:val="000000"/>
                <w:lang w:val="es-ES_tradnl"/>
              </w:rPr>
              <w:t>[*]</w:t>
            </w:r>
          </w:p>
        </w:tc>
        <w:tc>
          <w:tcPr>
            <w:tcW w:w="11.50pt" w:type="dxa"/>
            <w:shd w:val="clear" w:color="auto" w:fill="auto"/>
          </w:tcPr>
          <w:p w:rsidR="009921EA" w:rsidRPr="00611019" w:rsidRDefault="009921EA" w:rsidP="00035D2C">
            <w:pPr>
              <w:autoSpaceDE w:val="0"/>
              <w:autoSpaceDN w:val="0"/>
              <w:jc w:val="center"/>
              <w:rPr>
                <w:rFonts w:ascii="Century Gothic" w:eastAsia="Times New Roman" w:hAnsi="Century Gothic" w:cs="Arial"/>
                <w:color w:val="000000"/>
              </w:rPr>
            </w:pPr>
          </w:p>
        </w:tc>
        <w:tc>
          <w:tcPr>
            <w:tcW w:w="246.45pt" w:type="dxa"/>
            <w:shd w:val="clear" w:color="auto" w:fill="auto"/>
          </w:tcPr>
          <w:p w:rsidR="009921EA" w:rsidRPr="00611019" w:rsidRDefault="00E56462" w:rsidP="00035D2C">
            <w:pPr>
              <w:autoSpaceDE w:val="0"/>
              <w:autoSpaceDN w:val="0"/>
              <w:jc w:val="center"/>
              <w:rPr>
                <w:rFonts w:ascii="Century Gothic" w:eastAsia="Times New Roman" w:hAnsi="Century Gothic" w:cs="Arial"/>
                <w:b/>
                <w:bCs/>
                <w:color w:val="000000"/>
                <w:lang w:val="es-ES_tradnl"/>
              </w:rPr>
            </w:pPr>
            <w:r>
              <w:rPr>
                <w:rFonts w:ascii="Century Gothic" w:eastAsia="Times New Roman" w:hAnsi="Century Gothic" w:cs="Arial"/>
                <w:b/>
                <w:bCs/>
                <w:color w:val="000000"/>
                <w:lang w:val="es-ES_tradnl"/>
              </w:rPr>
              <w:t>Concesionario [Autorizado] Solicitante</w:t>
            </w:r>
          </w:p>
          <w:p w:rsidR="009921EA" w:rsidRPr="00611019" w:rsidRDefault="009921EA" w:rsidP="00035D2C">
            <w:pPr>
              <w:autoSpaceDE w:val="0"/>
              <w:autoSpaceDN w:val="0"/>
              <w:jc w:val="center"/>
              <w:rPr>
                <w:rFonts w:ascii="Century Gothic" w:eastAsia="Times New Roman" w:hAnsi="Century Gothic" w:cs="Arial"/>
                <w:color w:val="000000"/>
              </w:rPr>
            </w:pPr>
          </w:p>
          <w:p w:rsidR="009921EA" w:rsidRPr="00611019" w:rsidRDefault="009921EA" w:rsidP="00035D2C">
            <w:pPr>
              <w:autoSpaceDE w:val="0"/>
              <w:autoSpaceDN w:val="0"/>
              <w:jc w:val="center"/>
              <w:rPr>
                <w:rFonts w:ascii="Century Gothic" w:eastAsia="Times New Roman" w:hAnsi="Century Gothic" w:cs="Arial"/>
                <w:color w:val="000000"/>
              </w:rPr>
            </w:pPr>
          </w:p>
          <w:p w:rsidR="00643E58" w:rsidRPr="00611019" w:rsidRDefault="00643E58" w:rsidP="00035D2C">
            <w:pPr>
              <w:autoSpaceDE w:val="0"/>
              <w:autoSpaceDN w:val="0"/>
              <w:jc w:val="center"/>
              <w:rPr>
                <w:rFonts w:ascii="Century Gothic" w:eastAsia="Times New Roman" w:hAnsi="Century Gothic" w:cs="Arial"/>
                <w:color w:val="000000"/>
              </w:rPr>
            </w:pPr>
          </w:p>
          <w:p w:rsidR="009921EA" w:rsidRPr="00611019" w:rsidRDefault="00E56462" w:rsidP="00035D2C">
            <w:pPr>
              <w:autoSpaceDE w:val="0"/>
              <w:autoSpaceDN w:val="0"/>
              <w:jc w:val="center"/>
              <w:rPr>
                <w:rFonts w:ascii="Century Gothic" w:eastAsia="Times New Roman" w:hAnsi="Century Gothic" w:cs="Arial"/>
                <w:color w:val="000000"/>
              </w:rPr>
            </w:pPr>
            <w:r>
              <w:rPr>
                <w:rFonts w:ascii="Century Gothic" w:eastAsia="Times New Roman" w:hAnsi="Century Gothic" w:cs="Arial"/>
                <w:color w:val="000000"/>
              </w:rPr>
              <w:t>________________________________________</w:t>
            </w:r>
          </w:p>
          <w:p w:rsidR="009921EA" w:rsidRPr="00611019" w:rsidRDefault="00E56462" w:rsidP="00035D2C">
            <w:pPr>
              <w:autoSpaceDE w:val="0"/>
              <w:autoSpaceDN w:val="0"/>
              <w:jc w:val="center"/>
              <w:rPr>
                <w:rFonts w:ascii="Century Gothic" w:eastAsia="Times New Roman" w:hAnsi="Century Gothic" w:cs="Arial"/>
                <w:b/>
                <w:bCs/>
                <w:color w:val="000000"/>
                <w:lang w:val="es-ES_tradnl"/>
              </w:rPr>
            </w:pPr>
            <w:r>
              <w:rPr>
                <w:rFonts w:ascii="Century Gothic" w:eastAsia="Times New Roman" w:hAnsi="Century Gothic" w:cs="Arial"/>
                <w:b/>
                <w:bCs/>
                <w:color w:val="000000"/>
                <w:lang w:val="es-ES_tradnl"/>
              </w:rPr>
              <w:t>[*]</w:t>
            </w:r>
          </w:p>
        </w:tc>
      </w:tr>
    </w:tbl>
    <w:p w:rsidR="006B0514" w:rsidRPr="00611019" w:rsidRDefault="006B0514" w:rsidP="00035D2C">
      <w:pPr>
        <w:pStyle w:val="IFTnormal"/>
        <w:rPr>
          <w:rFonts w:ascii="Century Gothic" w:hAnsi="Century Gothic"/>
          <w:lang w:val="es-MX"/>
        </w:rPr>
      </w:pPr>
    </w:p>
    <w:p w:rsidR="006B0514" w:rsidRPr="00611019" w:rsidRDefault="006B0514" w:rsidP="00035D2C">
      <w:pPr>
        <w:pStyle w:val="IFTnormal"/>
        <w:rPr>
          <w:rFonts w:ascii="Century Gothic" w:hAnsi="Century Gothic"/>
          <w:lang w:val="es-MX"/>
        </w:rPr>
        <w:sectPr w:rsidR="006B0514" w:rsidRPr="00611019" w:rsidSect="00051C57">
          <w:footnotePr>
            <w:numRestart w:val="eachSect"/>
          </w:footnotePr>
          <w:type w:val="oddPage"/>
          <w:pgSz w:w="612pt" w:h="792pt" w:code="1"/>
          <w:pgMar w:top="70.90pt" w:right="70.90pt" w:bottom="70.90pt" w:left="70.90pt" w:header="35.45pt" w:footer="35.45pt" w:gutter="0pt"/>
          <w:cols w:space="35.40pt"/>
          <w:titlePg/>
          <w:docGrid w:linePitch="360"/>
        </w:sectPr>
      </w:pPr>
    </w:p>
    <w:p w:rsidR="008C68CB" w:rsidRDefault="00E56462" w:rsidP="00035D2C">
      <w:pPr>
        <w:pStyle w:val="Texto1"/>
        <w:spacing w:after="10pt" w:line="13.80pt" w:lineRule="auto"/>
        <w:rPr>
          <w:rFonts w:ascii="Century Gothic" w:hAnsi="Century Gothic" w:cs="Arial"/>
          <w:b/>
        </w:rPr>
      </w:pPr>
      <w:r>
        <w:rPr>
          <w:rFonts w:ascii="Century Gothic" w:hAnsi="Century Gothic" w:cs="Arial"/>
          <w:noProof/>
          <w:lang w:val="es-MX" w:eastAsia="es-MX"/>
        </w:rPr>
        <w:lastRenderedPageBreak/>
        <w:drawing>
          <wp:inline distT="0" distB="0" distL="0" distR="0" wp14:anchorId="1C49D5BB" wp14:editId="57992AD1">
            <wp:extent cx="5678303" cy="7528387"/>
            <wp:effectExtent l="38100" t="38100" r="36830" b="34925"/>
            <wp:docPr id="8" name="Rectángulo: esquinas redondeadas 9"/>
            <wp:cNvGraphicFramePr/>
            <a:graphic xmlns:a="http://purl.oclc.org/ooxml/drawingml/main">
              <a:graphicData uri="http://schemas.microsoft.com/office/word/2010/wordprocessingShape">
                <wp:wsp>
                  <wp:cNvSpPr/>
                  <wp:spPr>
                    <a:xfrm>
                      <a:off x="0" y="0"/>
                      <a:ext cx="5678303" cy="7528387"/>
                    </a:xfrm>
                    <a:prstGeom prst="roundRect">
                      <a:avLst>
                        <a:gd name="adj" fmla="val 6030"/>
                      </a:avLst>
                    </a:prstGeom>
                    <a:noFill/>
                    <a:ln w="76200">
                      <a:solidFill>
                        <a:srgbClr val="009AD9"/>
                      </a:solidFill>
                      <a:prstDash val="solid"/>
                      <a:miter lim="800%"/>
                    </a:ln>
                    <a:effectLst/>
                  </wp:spPr>
                  <wp:txbx>
                    <wne:txbxContent>
                      <w:p w:rsidR="000511F0" w:rsidRDefault="000511F0" w:rsidP="006B0514">
                        <w:pPr>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6E9103A8" wp14:editId="4C462DC1">
                              <wp:extent cx="2552700" cy="1438275"/>
                              <wp:effectExtent l="0" t="0" r="0" b="9525"/>
                              <wp:docPr id="17" name="Imagen 17"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589"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rsidR="000511F0" w:rsidRDefault="000511F0" w:rsidP="006B0514">
                        <w:pPr>
                          <w:jc w:val="center"/>
                          <w:rPr>
                            <w:rFonts w:ascii="Century Gothic" w:hAnsi="Century Gothic" w:cs="Arial"/>
                            <w:b/>
                            <w:noProof/>
                            <w:color w:val="000000"/>
                            <w:sz w:val="26"/>
                            <w:szCs w:val="26"/>
                            <w:lang w:eastAsia="es-MX"/>
                          </w:rPr>
                        </w:pPr>
                      </w:p>
                      <w:p w:rsidR="000511F0" w:rsidRDefault="000511F0" w:rsidP="006B0514">
                        <w:pPr>
                          <w:jc w:val="center"/>
                        </w:pPr>
                      </w:p>
                      <w:p w:rsidR="000511F0" w:rsidRPr="006B0514" w:rsidRDefault="000511F0" w:rsidP="006B0514">
                        <w:pPr>
                          <w:pStyle w:val="Ttulo1"/>
                          <w:jc w:val="center"/>
                          <w:rPr>
                            <w:rFonts w:ascii="Century Gothic" w:hAnsi="Century Gothic"/>
                            <w:sz w:val="24"/>
                            <w:szCs w:val="24"/>
                            <w:u w:val="single"/>
                          </w:rPr>
                        </w:pPr>
                        <w:bookmarkStart w:id="2239" w:name="_Toc92974094"/>
                        <w:bookmarkStart w:id="2240" w:name="_Toc93052405"/>
                        <w:bookmarkStart w:id="2241" w:name="_Toc93056360"/>
                        <w:bookmarkStart w:id="2242" w:name="_Toc125393424"/>
                        <w:bookmarkStart w:id="2243" w:name="_Toc128477949"/>
                        <w:bookmarkStart w:id="2244" w:name="_Toc148692300"/>
                        <w:bookmarkStart w:id="2245" w:name="_Toc148702280"/>
                        <w:bookmarkStart w:id="2246" w:name="_Toc149644392"/>
                        <w:bookmarkStart w:id="2247" w:name="_Toc149644677"/>
                        <w:bookmarkStart w:id="2248" w:name="_Toc149644982"/>
                        <w:bookmarkStart w:id="2249" w:name="_Toc170380177"/>
                        <w:bookmarkStart w:id="2250" w:name="_Toc170380578"/>
                        <w:bookmarkStart w:id="2251" w:name="_Toc170381112"/>
                        <w:bookmarkStart w:id="2252" w:name="_Toc170381896"/>
                        <w:r>
                          <w:rPr>
                            <w:rFonts w:ascii="Century Gothic" w:hAnsi="Century Gothic"/>
                            <w:sz w:val="24"/>
                            <w:szCs w:val="24"/>
                            <w:u w:val="single"/>
                          </w:rPr>
                          <w:t>ANEXO A</w:t>
                        </w:r>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r>
                          <w:rPr>
                            <w:rFonts w:ascii="Century Gothic" w:hAnsi="Century Gothic"/>
                            <w:sz w:val="24"/>
                            <w:szCs w:val="24"/>
                            <w:u w:val="single"/>
                          </w:rPr>
                          <w:br/>
                        </w:r>
                      </w:p>
                      <w:p w:rsidR="000511F0" w:rsidRPr="008A6791" w:rsidRDefault="000511F0" w:rsidP="006B0514">
                        <w:pPr>
                          <w:pStyle w:val="Ttulo1"/>
                          <w:jc w:val="center"/>
                          <w:rPr>
                            <w:rFonts w:ascii="Century Gothic" w:hAnsi="Century Gothic"/>
                            <w:sz w:val="24"/>
                            <w:szCs w:val="24"/>
                          </w:rPr>
                        </w:pPr>
                      </w:p>
                      <w:p w:rsidR="000511F0" w:rsidRDefault="000511F0" w:rsidP="006B0514">
                        <w:pPr>
                          <w:pStyle w:val="Ttulo1"/>
                          <w:jc w:val="center"/>
                          <w:rPr>
                            <w:rFonts w:ascii="Century Gothic" w:hAnsi="Century Gothic"/>
                            <w:sz w:val="24"/>
                            <w:szCs w:val="24"/>
                          </w:rPr>
                        </w:pPr>
                        <w:bookmarkStart w:id="2253" w:name="_Toc92974095"/>
                        <w:bookmarkStart w:id="2254" w:name="_Toc93052406"/>
                        <w:bookmarkStart w:id="2255" w:name="_Toc93056361"/>
                        <w:bookmarkStart w:id="2256" w:name="_Toc125393425"/>
                        <w:bookmarkStart w:id="2257" w:name="_Toc128477950"/>
                        <w:bookmarkStart w:id="2258" w:name="_Toc148692301"/>
                        <w:bookmarkStart w:id="2259" w:name="_Toc148702281"/>
                        <w:bookmarkStart w:id="2260" w:name="_Toc149644393"/>
                        <w:bookmarkStart w:id="2261" w:name="_Toc149644678"/>
                        <w:bookmarkStart w:id="2262" w:name="_Toc149644983"/>
                        <w:bookmarkStart w:id="2263" w:name="_Toc170380178"/>
                        <w:bookmarkStart w:id="2264" w:name="_Toc170380579"/>
                        <w:bookmarkStart w:id="2265" w:name="_Toc170381113"/>
                        <w:bookmarkStart w:id="2266" w:name="_Toc170381897"/>
                        <w:r>
                          <w:rPr>
                            <w:rFonts w:ascii="Century Gothic" w:hAnsi="Century Gothic"/>
                            <w:sz w:val="24"/>
                            <w:szCs w:val="24"/>
                          </w:rPr>
                          <w:t>TARIFAS</w:t>
                        </w:r>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p>
                      <w:p w:rsidR="000511F0" w:rsidRDefault="000511F0" w:rsidP="006B0514">
                        <w:pPr>
                          <w:rPr>
                            <w:lang w:val="es-ES" w:eastAsia="es-ES"/>
                          </w:rPr>
                        </w:pPr>
                      </w:p>
                      <w:p w:rsidR="000511F0" w:rsidRPr="006B0514" w:rsidRDefault="000511F0" w:rsidP="006B0514">
                        <w:pPr>
                          <w:rPr>
                            <w:lang w:val="es-ES" w:eastAsia="es-ES"/>
                          </w:rPr>
                        </w:pPr>
                      </w:p>
                      <w:p w:rsidR="000511F0" w:rsidRPr="008A6791" w:rsidRDefault="000511F0" w:rsidP="006B0514">
                        <w:pPr>
                          <w:jc w:val="center"/>
                          <w:rPr>
                            <w:rFonts w:ascii="Century Gothic" w:hAnsi="Century Gothic"/>
                            <w:b/>
                            <w:sz w:val="24"/>
                            <w:szCs w:val="24"/>
                          </w:rPr>
                        </w:pPr>
                        <w:r>
                          <w:rPr>
                            <w:rFonts w:ascii="Century Gothic" w:hAnsi="Century Gothic"/>
                            <w:b/>
                            <w:sz w:val="24"/>
                            <w:szCs w:val="24"/>
                          </w:rPr>
                          <w:t>Red Nacional Última Milla, S.A.P.I. de C.V.</w:t>
                        </w:r>
                      </w:p>
                      <w:p w:rsidR="000511F0" w:rsidRPr="00414BEA" w:rsidRDefault="000511F0" w:rsidP="006B0514">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Pr="008A6791" w:rsidRDefault="000511F0" w:rsidP="006B0514">
                        <w:pPr>
                          <w:jc w:val="center"/>
                          <w:rPr>
                            <w:rFonts w:ascii="Century Gothic" w:hAnsi="Century Gothic"/>
                            <w:b/>
                            <w:bCs/>
                            <w:sz w:val="24"/>
                            <w:szCs w:val="24"/>
                          </w:rPr>
                        </w:pPr>
                      </w:p>
                      <w:p w:rsidR="000511F0" w:rsidRPr="008A6791" w:rsidRDefault="000511F0" w:rsidP="006B0514">
                        <w:pPr>
                          <w:jc w:val="center"/>
                          <w:rPr>
                            <w:rFonts w:ascii="Century Gothic" w:hAnsi="Century Gothic"/>
                            <w:b/>
                            <w:sz w:val="24"/>
                            <w:szCs w:val="24"/>
                          </w:rPr>
                        </w:pPr>
                        <w:r>
                          <w:rPr>
                            <w:rFonts w:ascii="Century Gothic" w:hAnsi="Century Gothic"/>
                            <w:b/>
                            <w:sz w:val="24"/>
                            <w:szCs w:val="24"/>
                          </w:rPr>
                          <w:t>2026</w:t>
                        </w:r>
                      </w:p>
                      <w:p w:rsidR="000511F0" w:rsidRDefault="000511F0" w:rsidP="006B0514">
                        <w:pPr>
                          <w:spacing w:line="18pt" w:lineRule="auto"/>
                          <w:jc w:val="center"/>
                          <w:rPr>
                            <w:rFonts w:ascii="Century Gothic" w:hAnsi="Century Gothic" w:cs="Arial"/>
                            <w:b/>
                            <w:sz w:val="24"/>
                            <w:szCs w:val="24"/>
                            <w:lang w:val="es-ES"/>
                          </w:rPr>
                        </w:pPr>
                      </w:p>
                      <w:p w:rsidR="000511F0" w:rsidRDefault="000511F0" w:rsidP="006B0514">
                        <w:pPr>
                          <w:spacing w:line="18pt" w:lineRule="auto"/>
                          <w:jc w:val="center"/>
                          <w:rPr>
                            <w:rFonts w:ascii="Century Gothic" w:hAnsi="Century Gothic" w:cs="Arial"/>
                            <w:b/>
                            <w:sz w:val="24"/>
                            <w:szCs w:val="24"/>
                            <w:lang w:val="es-ES"/>
                          </w:rPr>
                        </w:pPr>
                      </w:p>
                      <w:p w:rsidR="000511F0" w:rsidRDefault="000511F0" w:rsidP="006B0514">
                        <w:pPr>
                          <w:spacing w:line="18pt" w:lineRule="auto"/>
                          <w:jc w:val="center"/>
                          <w:rPr>
                            <w:rFonts w:ascii="Century Gothic" w:hAnsi="Century Gothic" w:cs="Arial"/>
                            <w:b/>
                            <w:sz w:val="24"/>
                            <w:szCs w:val="24"/>
                            <w:lang w:val="es-ES"/>
                          </w:rPr>
                        </w:pPr>
                      </w:p>
                      <w:p w:rsidR="000511F0" w:rsidRDefault="000511F0" w:rsidP="006B0514">
                        <w:pPr>
                          <w:spacing w:line="18pt" w:lineRule="auto"/>
                          <w:jc w:val="center"/>
                          <w:rPr>
                            <w:rFonts w:ascii="Century Gothic" w:hAnsi="Century Gothic" w:cs="Arial"/>
                            <w:b/>
                            <w:sz w:val="24"/>
                            <w:szCs w:val="24"/>
                            <w:lang w:val="es-ES"/>
                          </w:rPr>
                        </w:pPr>
                      </w:p>
                      <w:p w:rsidR="000511F0" w:rsidRDefault="000511F0" w:rsidP="006B0514">
                        <w:pPr>
                          <w:spacing w:line="18pt" w:lineRule="auto"/>
                          <w:jc w:val="center"/>
                          <w:rPr>
                            <w:rFonts w:ascii="Century Gothic" w:hAnsi="Century Gothic" w:cs="Arial"/>
                            <w:b/>
                            <w:sz w:val="24"/>
                            <w:szCs w:val="24"/>
                            <w:lang w:val="es-ES"/>
                          </w:rPr>
                        </w:pPr>
                      </w:p>
                      <w:p w:rsidR="000511F0" w:rsidRDefault="000511F0" w:rsidP="006B0514">
                        <w:pPr>
                          <w:spacing w:line="18pt" w:lineRule="auto"/>
                          <w:jc w:val="center"/>
                          <w:rPr>
                            <w:rFonts w:ascii="Century Gothic" w:hAnsi="Century Gothic" w:cs="Arial"/>
                            <w:b/>
                            <w:sz w:val="24"/>
                            <w:szCs w:val="24"/>
                            <w:lang w:val="es-ES"/>
                          </w:rPr>
                        </w:pPr>
                      </w:p>
                      <w:p w:rsidR="000511F0" w:rsidRDefault="000511F0" w:rsidP="006B0514">
                        <w:pPr>
                          <w:spacing w:line="18pt" w:lineRule="auto"/>
                          <w:jc w:val="center"/>
                          <w:rPr>
                            <w:rFonts w:ascii="Century Gothic" w:hAnsi="Century Gothic" w:cs="Arial"/>
                            <w:b/>
                            <w:sz w:val="24"/>
                            <w:szCs w:val="24"/>
                            <w:lang w:val="es-ES"/>
                          </w:rPr>
                        </w:pPr>
                      </w:p>
                      <w:p w:rsidR="000511F0" w:rsidRDefault="000511F0" w:rsidP="006B0514">
                        <w:pPr>
                          <w:spacing w:line="18pt" w:lineRule="auto"/>
                          <w:jc w:val="center"/>
                          <w:rPr>
                            <w:rFonts w:ascii="Century Gothic" w:hAnsi="Century Gothic" w:cs="Arial"/>
                            <w:b/>
                            <w:sz w:val="24"/>
                            <w:szCs w:val="24"/>
                            <w:lang w:val="es-ES"/>
                          </w:rPr>
                        </w:pPr>
                      </w:p>
                      <w:p w:rsidR="000511F0" w:rsidRDefault="000511F0" w:rsidP="006B0514">
                        <w:pPr>
                          <w:spacing w:line="18pt" w:lineRule="auto"/>
                          <w:jc w:val="center"/>
                          <w:rPr>
                            <w:rFonts w:ascii="Century Gothic" w:hAnsi="Century Gothic" w:cs="Arial"/>
                            <w:b/>
                            <w:sz w:val="24"/>
                            <w:szCs w:val="24"/>
                            <w:lang w:val="es-ES"/>
                          </w:rPr>
                        </w:pPr>
                      </w:p>
                      <w:p w:rsidR="000511F0" w:rsidRDefault="000511F0" w:rsidP="006B0514">
                        <w:pPr>
                          <w:spacing w:line="18pt" w:lineRule="auto"/>
                          <w:jc w:val="center"/>
                          <w:rPr>
                            <w:rFonts w:ascii="Century Gothic" w:hAnsi="Century Gothic" w:cs="Arial"/>
                            <w:b/>
                            <w:sz w:val="24"/>
                            <w:szCs w:val="24"/>
                            <w:lang w:val="es-ES"/>
                          </w:rPr>
                        </w:pPr>
                      </w:p>
                      <w:p w:rsidR="000511F0" w:rsidRPr="002258A2" w:rsidRDefault="000511F0" w:rsidP="006B0514">
                        <w:pPr>
                          <w:spacing w:line="18pt" w:lineRule="auto"/>
                          <w:jc w:val="center"/>
                          <w:rPr>
                            <w:rFonts w:ascii="Century Gothic" w:hAnsi="Century Gothic" w:cs="Arial"/>
                            <w:b/>
                            <w:sz w:val="24"/>
                            <w:szCs w:val="24"/>
                            <w:lang w:val="es-ES"/>
                          </w:rPr>
                        </w:pPr>
                      </w:p>
                    </wne:txbxContent>
                  </wp:txbx>
                  <wp:bodyPr rot="0" spcFirstLastPara="0" vertOverflow="overflow" horzOverflow="overflow" vert="horz" wrap="square" lIns="91440" tIns="45720" rIns="91440" bIns="45720" numCol="1" spcCol="0" rtlCol="0" fromWordArt="0" anchor="ctr" anchorCtr="0" forceAA="0" compatLnSpc="1">
                    <a:prstTxWarp prst="textNoShape">
                      <a:avLst/>
                    </a:prstTxWarp>
                  </wp:bodyPr>
                </wp:wsp>
              </a:graphicData>
            </a:graphic>
          </wp:inline>
        </w:drawing>
      </w:r>
    </w:p>
    <w:p w:rsidR="002346E7" w:rsidRDefault="002346E7" w:rsidP="00035D2C">
      <w:pPr>
        <w:pStyle w:val="Texto1"/>
        <w:spacing w:after="10pt" w:line="13.80pt" w:lineRule="auto"/>
        <w:rPr>
          <w:rFonts w:ascii="Century Gothic" w:hAnsi="Century Gothic" w:cs="Arial"/>
          <w:b/>
        </w:rPr>
        <w:sectPr w:rsidR="002346E7" w:rsidSect="0041396D">
          <w:headerReference w:type="first" r:id="rId35"/>
          <w:footnotePr>
            <w:numRestart w:val="eachSect"/>
          </w:footnotePr>
          <w:type w:val="oddPage"/>
          <w:pgSz w:w="612pt" w:h="792pt"/>
          <w:pgMar w:top="70.90pt" w:right="70.90pt" w:bottom="70.90pt" w:left="70.90pt" w:header="42.55pt" w:footer="36.85pt" w:gutter="0pt"/>
          <w:cols w:space="35.40pt"/>
          <w:titlePg/>
          <w:docGrid w:linePitch="360"/>
        </w:sectPr>
      </w:pPr>
    </w:p>
    <w:p w:rsidR="00D36D7D" w:rsidRPr="00611019" w:rsidRDefault="00D36D7D" w:rsidP="00035D2C">
      <w:pPr>
        <w:spacing w:after="8pt"/>
        <w:rPr>
          <w:rFonts w:ascii="Century Gothic" w:eastAsia="Calibri" w:hAnsi="Century Gothic" w:cs="Arial"/>
          <w:color w:val="000000"/>
          <w:lang w:val="es-ES_tradnl" w:eastAsia="es-ES"/>
        </w:rPr>
      </w:pPr>
    </w:p>
    <w:p w:rsidR="002B0ECA" w:rsidRPr="00611019" w:rsidRDefault="002B0ECA" w:rsidP="00035D2C">
      <w:pPr>
        <w:spacing w:after="8pt"/>
        <w:rPr>
          <w:rFonts w:ascii="Century Gothic" w:eastAsia="Calibri" w:hAnsi="Century Gothic" w:cs="Arial"/>
          <w:color w:val="000000"/>
          <w:lang w:val="es-ES_tradnl" w:eastAsia="es-ES"/>
        </w:rPr>
        <w:sectPr w:rsidR="002B0ECA" w:rsidRPr="00611019" w:rsidSect="0041396D">
          <w:footnotePr>
            <w:numRestart w:val="eachSect"/>
          </w:footnotePr>
          <w:type w:val="oddPage"/>
          <w:pgSz w:w="612pt" w:h="792pt"/>
          <w:pgMar w:top="70.90pt" w:right="70.90pt" w:bottom="70.90pt" w:left="70.90pt" w:header="42.55pt" w:footer="36.85pt" w:gutter="0pt"/>
          <w:cols w:space="35.40pt"/>
          <w:titlePg/>
          <w:docGrid w:linePitch="360"/>
        </w:sectPr>
      </w:pPr>
    </w:p>
    <w:p w:rsidR="00DC44FD" w:rsidRPr="00611019" w:rsidRDefault="00E56462" w:rsidP="00035D2C">
      <w:pPr>
        <w:pStyle w:val="Ttulo1"/>
        <w:jc w:val="center"/>
        <w:rPr>
          <w:rFonts w:ascii="Century Gothic" w:hAnsi="Century Gothic"/>
        </w:rPr>
      </w:pPr>
      <w:bookmarkStart w:id="2267" w:name="_Toc92974096"/>
      <w:bookmarkStart w:id="2268" w:name="_Toc93052407"/>
      <w:bookmarkStart w:id="2269" w:name="_Toc93056362"/>
      <w:bookmarkStart w:id="2270" w:name="_Toc125393426"/>
      <w:bookmarkStart w:id="2271" w:name="_Toc148702282"/>
      <w:bookmarkStart w:id="2272" w:name="_Toc170381898"/>
      <w:bookmarkStart w:id="2273" w:name="_Hlk92966981"/>
      <w:r>
        <w:rPr>
          <w:rFonts w:ascii="Century Gothic" w:hAnsi="Century Gothic"/>
        </w:rPr>
        <w:t>ANEXO A</w:t>
      </w:r>
      <w:bookmarkEnd w:id="2267"/>
      <w:bookmarkEnd w:id="2268"/>
      <w:bookmarkEnd w:id="2269"/>
      <w:bookmarkEnd w:id="2270"/>
      <w:bookmarkEnd w:id="2271"/>
      <w:bookmarkEnd w:id="2272"/>
    </w:p>
    <w:p w:rsidR="00123BE7" w:rsidRPr="00611019" w:rsidRDefault="00E56462" w:rsidP="00035D2C">
      <w:pPr>
        <w:pStyle w:val="Ttulo1"/>
        <w:jc w:val="center"/>
        <w:rPr>
          <w:rFonts w:ascii="Century Gothic" w:hAnsi="Century Gothic"/>
        </w:rPr>
      </w:pPr>
      <w:bookmarkStart w:id="2274" w:name="_Toc92974097"/>
      <w:bookmarkStart w:id="2275" w:name="_Toc93052408"/>
      <w:bookmarkStart w:id="2276" w:name="_Toc93056363"/>
      <w:bookmarkStart w:id="2277" w:name="_Toc125393427"/>
      <w:bookmarkStart w:id="2278" w:name="_Toc148702283"/>
      <w:bookmarkStart w:id="2279" w:name="_Toc170381899"/>
      <w:r>
        <w:rPr>
          <w:rFonts w:ascii="Century Gothic" w:hAnsi="Century Gothic"/>
        </w:rPr>
        <w:t>TARIFAS</w:t>
      </w:r>
      <w:bookmarkEnd w:id="2274"/>
      <w:bookmarkEnd w:id="2275"/>
      <w:bookmarkEnd w:id="2276"/>
      <w:bookmarkEnd w:id="2277"/>
      <w:bookmarkEnd w:id="2278"/>
      <w:bookmarkEnd w:id="2279"/>
    </w:p>
    <w:p w:rsidR="00DC44FD" w:rsidRPr="00611019" w:rsidRDefault="00DC44FD" w:rsidP="00035D2C">
      <w:pPr>
        <w:rPr>
          <w:rFonts w:ascii="Century Gothic" w:hAnsi="Century Gothic"/>
          <w:lang w:val="es-ES" w:eastAsia="es-ES"/>
        </w:rPr>
      </w:pPr>
    </w:p>
    <w:bookmarkEnd w:id="2273"/>
    <w:p w:rsidR="00277ED2" w:rsidRPr="00611019" w:rsidRDefault="00E56462" w:rsidP="00035D2C">
      <w:pPr>
        <w:spacing w:after="6pt"/>
        <w:rPr>
          <w:rFonts w:ascii="Century Gothic" w:eastAsia="Times New Roman" w:hAnsi="Century Gothic" w:cs="Arial"/>
          <w:bCs/>
        </w:rPr>
      </w:pPr>
      <w:r>
        <w:rPr>
          <w:rFonts w:ascii="Century Gothic" w:eastAsia="Times New Roman" w:hAnsi="Century Gothic" w:cs="Arial"/>
          <w:bCs/>
        </w:rPr>
        <w:t>Las Tarifas presentadas en este Anexo son sin impuestos, en Pesos Mexicanos, salvo que se indique lo contrario.</w:t>
      </w:r>
    </w:p>
    <w:p w:rsidR="00277ED2" w:rsidRPr="00611019" w:rsidRDefault="00E56462" w:rsidP="00035D2C">
      <w:pPr>
        <w:spacing w:after="6pt"/>
        <w:jc w:val="both"/>
        <w:rPr>
          <w:rFonts w:ascii="Century Gothic" w:eastAsia="Times New Roman" w:hAnsi="Century Gothic" w:cs="Arial"/>
        </w:rPr>
      </w:pPr>
      <w:r>
        <w:rPr>
          <w:rFonts w:ascii="Century Gothic" w:eastAsia="Times New Roman" w:hAnsi="Century Gothic" w:cs="Arial"/>
        </w:rPr>
        <w:t xml:space="preserve">RED NACIONAL se obliga a ofrecer a los Concesionarios </w:t>
      </w:r>
      <w:r w:rsidR="00017D93">
        <w:rPr>
          <w:rFonts w:ascii="Century Gothic" w:eastAsia="Times New Roman" w:hAnsi="Century Gothic" w:cs="Arial"/>
        </w:rPr>
        <w:t xml:space="preserve">o [Autorizadosd] </w:t>
      </w:r>
      <w:r>
        <w:rPr>
          <w:rFonts w:ascii="Century Gothic" w:eastAsia="Times New Roman" w:hAnsi="Century Gothic" w:cs="Arial"/>
        </w:rPr>
        <w:t>Solicitantes las tarifas para los Servicios materia de la Oferta de Referencia en términos y condiciones no menos favorables a las que aplica a sus propias operaciones.</w:t>
      </w:r>
    </w:p>
    <w:p w:rsidR="00277ED2" w:rsidRPr="00611019" w:rsidRDefault="00E56462" w:rsidP="00035D2C">
      <w:pPr>
        <w:spacing w:after="6pt"/>
        <w:jc w:val="both"/>
        <w:rPr>
          <w:rFonts w:ascii="Century Gothic" w:eastAsia="Times New Roman" w:hAnsi="Century Gothic" w:cs="Arial"/>
        </w:rPr>
      </w:pPr>
      <w:r>
        <w:rPr>
          <w:rFonts w:ascii="Century Gothic" w:eastAsia="Times New Roman" w:hAnsi="Century Gothic" w:cs="Arial"/>
        </w:rPr>
        <w:t xml:space="preserve">Cabe destacar que los Servicios de Desagregación sólo podrán prestarse previa contratación del o de los Servicios Auxiliares que correspondan; por lo que el Concesionario </w:t>
      </w:r>
      <w:r w:rsidR="00017D93">
        <w:rPr>
          <w:rFonts w:ascii="Century Gothic" w:eastAsia="Times New Roman" w:hAnsi="Century Gothic" w:cs="Arial"/>
        </w:rPr>
        <w:t xml:space="preserve">o (Autorizado) </w:t>
      </w:r>
      <w:r>
        <w:rPr>
          <w:rFonts w:ascii="Century Gothic" w:eastAsia="Times New Roman" w:hAnsi="Century Gothic" w:cs="Arial"/>
        </w:rPr>
        <w:t xml:space="preserve">deberá prever la contratación de dichos servicios de conformidad con la Oferta de Referencia de Desagregación del Bucle Local de RED NACIONAL. </w:t>
      </w:r>
    </w:p>
    <w:p w:rsidR="00277ED2" w:rsidRPr="00611019" w:rsidRDefault="00E56462" w:rsidP="00035D2C">
      <w:pPr>
        <w:spacing w:before="12pt"/>
        <w:ind w:start="21.25pt" w:hanging="17.85pt"/>
        <w:jc w:val="both"/>
        <w:outlineLvl w:val="0"/>
        <w:rPr>
          <w:rFonts w:ascii="Century Gothic" w:hAnsi="Century Gothic" w:cs="Arial"/>
          <w:b/>
          <w:i/>
        </w:rPr>
      </w:pPr>
      <w:bookmarkStart w:id="2280" w:name="_Toc92974098"/>
      <w:bookmarkStart w:id="2281" w:name="_Toc93052409"/>
      <w:bookmarkStart w:id="2282" w:name="_Toc93056364"/>
      <w:bookmarkStart w:id="2283" w:name="_Toc125393428"/>
      <w:bookmarkStart w:id="2284" w:name="_Toc148702284"/>
      <w:bookmarkStart w:id="2285" w:name="_Toc170381900"/>
      <w:r>
        <w:rPr>
          <w:rFonts w:ascii="Century Gothic" w:eastAsia="Calibri" w:hAnsi="Century Gothic" w:cs="Arial"/>
          <w:b/>
          <w:i/>
          <w:sz w:val="24"/>
        </w:rPr>
        <w:t>1.</w:t>
      </w:r>
      <w:r>
        <w:rPr>
          <w:rFonts w:ascii="Century Gothic" w:eastAsia="Calibri" w:hAnsi="Century Gothic" w:cs="Arial"/>
          <w:b/>
          <w:i/>
          <w:sz w:val="24"/>
        </w:rPr>
        <w:tab/>
      </w:r>
      <w:r>
        <w:rPr>
          <w:rFonts w:ascii="Century Gothic" w:hAnsi="Century Gothic" w:cs="Arial"/>
          <w:b/>
          <w:i/>
        </w:rPr>
        <w:t>Servicio de Acceso Indirecto al Bucle (SAIB)</w:t>
      </w:r>
      <w:bookmarkEnd w:id="2280"/>
      <w:bookmarkEnd w:id="2281"/>
      <w:bookmarkEnd w:id="2282"/>
      <w:bookmarkEnd w:id="2283"/>
      <w:bookmarkEnd w:id="2284"/>
      <w:bookmarkEnd w:id="2285"/>
      <w:r>
        <w:rPr>
          <w:rFonts w:ascii="Century Gothic" w:hAnsi="Century Gothic" w:cs="Arial"/>
          <w:b/>
          <w:i/>
        </w:rPr>
        <w:t>.</w:t>
      </w:r>
    </w:p>
    <w:p w:rsidR="00277ED2" w:rsidRPr="00611019" w:rsidRDefault="00E56462">
      <w:pPr>
        <w:pStyle w:val="Prrafodelista"/>
        <w:numPr>
          <w:ilvl w:val="0"/>
          <w:numId w:val="134"/>
        </w:numPr>
        <w:spacing w:after="6pt"/>
        <w:jc w:val="both"/>
        <w:rPr>
          <w:rFonts w:ascii="Century Gothic" w:eastAsia="Times New Roman" w:hAnsi="Century Gothic" w:cs="Arial"/>
        </w:rPr>
      </w:pPr>
      <w:r>
        <w:rPr>
          <w:rFonts w:ascii="Century Gothic" w:hAnsi="Century Gothic" w:cs="Arial"/>
          <w:b/>
          <w:i/>
        </w:rPr>
        <w:t>Cobros no recurrentes.</w:t>
      </w:r>
    </w:p>
    <w:tbl>
      <w:tblPr>
        <w:tblStyle w:val="Tablanormal1"/>
        <w:tblW w:w="100.0%" w:type="pct"/>
        <w:jc w:val="center"/>
        <w:tblLook w:firstRow="1" w:lastRow="0" w:firstColumn="1" w:lastColumn="0" w:noHBand="0" w:noVBand="1"/>
      </w:tblPr>
      <w:tblGrid>
        <w:gridCol w:w="5916"/>
        <w:gridCol w:w="3478"/>
      </w:tblGrid>
      <w:tr w:rsidR="0061711D" w:rsidTr="00017D93">
        <w:trPr>
          <w:cnfStyle w:firstRow="1" w:lastRow="0" w:firstColumn="0" w:lastColumn="0" w:oddVBand="0" w:evenVBand="0" w:oddHBand="0"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295.80pt" w:type="dxa"/>
            <w:shd w:val="clear" w:color="auto" w:fill="009AD9"/>
            <w:vAlign w:val="center"/>
          </w:tcPr>
          <w:p w:rsidR="00885265" w:rsidRPr="00611019" w:rsidRDefault="00E56462" w:rsidP="00035D2C">
            <w:pPr>
              <w:pStyle w:val="IFTnormal"/>
              <w:spacing w:before="1pt" w:after="1pt"/>
              <w:jc w:val="center"/>
              <w:rPr>
                <w:rFonts w:ascii="Century Gothic" w:hAnsi="Century Gothic"/>
                <w:color w:val="FFFFFF" w:themeColor="background1"/>
                <w:sz w:val="20"/>
                <w:szCs w:val="20"/>
              </w:rPr>
            </w:pPr>
            <w:r>
              <w:rPr>
                <w:rFonts w:ascii="Century Gothic" w:hAnsi="Century Gothic"/>
                <w:color w:val="FFFFFF" w:themeColor="background1"/>
                <w:sz w:val="20"/>
                <w:szCs w:val="20"/>
              </w:rPr>
              <w:t>Concepto</w:t>
            </w:r>
          </w:p>
        </w:tc>
        <w:tc>
          <w:tcPr>
            <w:tcW w:w="173.90pt" w:type="dxa"/>
            <w:shd w:val="clear" w:color="auto" w:fill="009AD9"/>
            <w:vAlign w:val="center"/>
          </w:tcPr>
          <w:p w:rsidR="00885265" w:rsidRPr="00611019" w:rsidRDefault="00E56462" w:rsidP="00035D2C">
            <w:pPr>
              <w:pStyle w:val="IFTnormal"/>
              <w:spacing w:before="1pt" w:after="1pt"/>
              <w:jc w:val="center"/>
              <w:cnfStyle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szCs w:val="20"/>
              </w:rPr>
            </w:pPr>
            <w:r>
              <w:rPr>
                <w:rFonts w:ascii="Century Gothic" w:hAnsi="Century Gothic"/>
                <w:color w:val="FFFFFF" w:themeColor="background1"/>
                <w:sz w:val="20"/>
                <w:szCs w:val="20"/>
              </w:rPr>
              <w:t>Contraprestación (por evento)</w:t>
            </w:r>
          </w:p>
        </w:tc>
      </w:tr>
      <w:tr w:rsidR="008D1D03" w:rsidTr="00220735">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295.80pt" w:type="dxa"/>
            <w:vAlign w:val="center"/>
          </w:tcPr>
          <w:p w:rsidR="008D1D03" w:rsidRDefault="008D1D03" w:rsidP="008D1D03">
            <w:pPr>
              <w:pStyle w:val="CondicionesFinales"/>
              <w:ind w:start="0pt" w:end="0pt"/>
              <w:jc w:val="start"/>
              <w:rPr>
                <w:rFonts w:ascii="Century Gothic" w:hAnsi="Century Gothic"/>
                <w:sz w:val="20"/>
                <w:szCs w:val="20"/>
              </w:rPr>
            </w:pPr>
            <w:r>
              <w:rPr>
                <w:rFonts w:ascii="Century Gothic" w:hAnsi="Century Gothic"/>
                <w:sz w:val="20"/>
                <w:szCs w:val="20"/>
              </w:rPr>
              <w:t>Habilitación del SAIB</w:t>
            </w:r>
            <w:r w:rsidR="0091787F">
              <w:rPr>
                <w:rFonts w:ascii="Century Gothic" w:hAnsi="Century Gothic"/>
                <w:sz w:val="20"/>
                <w:szCs w:val="20"/>
              </w:rPr>
              <w:t>/Cambio de calidad de SAIB</w:t>
            </w:r>
          </w:p>
        </w:tc>
        <w:tc>
          <w:tcPr>
            <w:tcW w:w="173.9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w:t>
            </w:r>
            <w:r w:rsidR="00FB5904">
              <w:rPr>
                <w:rFonts w:ascii="Century Gothic" w:hAnsi="Century Gothic"/>
                <w:sz w:val="20"/>
                <w:szCs w:val="20"/>
              </w:rPr>
              <w:t>357</w:t>
            </w:r>
            <w:r w:rsidRPr="008D1D03">
              <w:rPr>
                <w:rFonts w:ascii="Century Gothic" w:hAnsi="Century Gothic"/>
                <w:sz w:val="20"/>
                <w:szCs w:val="20"/>
              </w:rPr>
              <w:t>.</w:t>
            </w:r>
            <w:r w:rsidR="00FB5904">
              <w:rPr>
                <w:rFonts w:ascii="Century Gothic" w:hAnsi="Century Gothic"/>
                <w:sz w:val="20"/>
                <w:szCs w:val="20"/>
              </w:rPr>
              <w:t>82</w:t>
            </w:r>
          </w:p>
        </w:tc>
      </w:tr>
      <w:tr w:rsidR="008D1D03" w:rsidTr="00220735">
        <w:trPr>
          <w:trHeight w:val="283"/>
          <w:jc w:val="center"/>
        </w:trPr>
        <w:tc>
          <w:tcPr>
            <w:cnfStyle w:firstRow="0" w:lastRow="0" w:firstColumn="1" w:lastColumn="0" w:oddVBand="0" w:evenVBand="0" w:oddHBand="0" w:evenHBand="0" w:firstRowFirstColumn="0" w:firstRowLastColumn="0" w:lastRowFirstColumn="0" w:lastRowLastColumn="0"/>
            <w:tcW w:w="295.80pt" w:type="dxa"/>
            <w:vAlign w:val="center"/>
          </w:tcPr>
          <w:p w:rsidR="008D1D03" w:rsidRPr="00611019" w:rsidRDefault="008D1D03" w:rsidP="008D1D03">
            <w:pPr>
              <w:pStyle w:val="CondicionesFinales"/>
              <w:ind w:start="0pt" w:end="0pt"/>
              <w:jc w:val="start"/>
              <w:rPr>
                <w:rFonts w:ascii="Century Gothic" w:hAnsi="Century Gothic"/>
                <w:sz w:val="20"/>
                <w:szCs w:val="20"/>
              </w:rPr>
            </w:pPr>
            <w:r>
              <w:rPr>
                <w:rFonts w:ascii="Century Gothic" w:hAnsi="Century Gothic"/>
                <w:sz w:val="20"/>
                <w:szCs w:val="20"/>
              </w:rPr>
              <w:t>Habilitación por equipo de acceso de un NCAI asociado a un SCyD</w:t>
            </w:r>
          </w:p>
        </w:tc>
        <w:tc>
          <w:tcPr>
            <w:tcW w:w="173.9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w:t>
            </w:r>
            <w:r w:rsidR="00FB5904">
              <w:rPr>
                <w:rFonts w:ascii="Century Gothic" w:hAnsi="Century Gothic"/>
                <w:sz w:val="20"/>
                <w:szCs w:val="20"/>
              </w:rPr>
              <w:t>715</w:t>
            </w:r>
            <w:r w:rsidRPr="008D1D03">
              <w:rPr>
                <w:rFonts w:ascii="Century Gothic" w:hAnsi="Century Gothic"/>
                <w:sz w:val="20"/>
                <w:szCs w:val="20"/>
              </w:rPr>
              <w:t>.</w:t>
            </w:r>
            <w:r w:rsidR="00FB5904">
              <w:rPr>
                <w:rFonts w:ascii="Century Gothic" w:hAnsi="Century Gothic"/>
                <w:sz w:val="20"/>
                <w:szCs w:val="20"/>
              </w:rPr>
              <w:t>64</w:t>
            </w:r>
          </w:p>
        </w:tc>
      </w:tr>
      <w:tr w:rsidR="008D1D03" w:rsidTr="00220735">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295.80pt" w:type="dxa"/>
            <w:vAlign w:val="center"/>
          </w:tcPr>
          <w:p w:rsidR="008D1D03" w:rsidRPr="00611019" w:rsidRDefault="008D1D03" w:rsidP="008D1D03">
            <w:pPr>
              <w:pStyle w:val="CondicionesFinales"/>
              <w:ind w:start="0pt" w:end="0pt"/>
              <w:jc w:val="start"/>
              <w:rPr>
                <w:rFonts w:ascii="Century Gothic" w:hAnsi="Century Gothic"/>
                <w:sz w:val="20"/>
                <w:szCs w:val="20"/>
              </w:rPr>
            </w:pPr>
            <w:r>
              <w:rPr>
                <w:rFonts w:ascii="Century Gothic" w:hAnsi="Century Gothic"/>
                <w:sz w:val="20"/>
                <w:szCs w:val="20"/>
              </w:rPr>
              <w:t xml:space="preserve">Gastos de Habilitación por pCAI Local </w:t>
            </w:r>
            <w:r>
              <w:rPr>
                <w:rFonts w:ascii="Century Gothic" w:hAnsi="Century Gothic"/>
                <w:sz w:val="20"/>
                <w:szCs w:val="20"/>
                <w:vertAlign w:val="superscript"/>
              </w:rPr>
              <w:t>**/</w:t>
            </w:r>
          </w:p>
        </w:tc>
        <w:tc>
          <w:tcPr>
            <w:tcW w:w="173.9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w:t>
            </w:r>
            <w:r w:rsidR="00FB5904">
              <w:rPr>
                <w:rFonts w:ascii="Century Gothic" w:hAnsi="Century Gothic"/>
                <w:sz w:val="20"/>
                <w:szCs w:val="20"/>
              </w:rPr>
              <w:t>2146.91</w:t>
            </w:r>
          </w:p>
        </w:tc>
      </w:tr>
      <w:tr w:rsidR="008D1D03" w:rsidTr="00220735">
        <w:trPr>
          <w:trHeight w:val="283"/>
          <w:jc w:val="center"/>
        </w:trPr>
        <w:tc>
          <w:tcPr>
            <w:cnfStyle w:firstRow="0" w:lastRow="0" w:firstColumn="1" w:lastColumn="0" w:oddVBand="0" w:evenVBand="0" w:oddHBand="0" w:evenHBand="0" w:firstRowFirstColumn="0" w:firstRowLastColumn="0" w:lastRowFirstColumn="0" w:lastRowLastColumn="0"/>
            <w:tcW w:w="295.80pt" w:type="dxa"/>
            <w:vAlign w:val="center"/>
          </w:tcPr>
          <w:p w:rsidR="008D1D03" w:rsidRPr="00611019" w:rsidRDefault="008D1D03" w:rsidP="008D1D03">
            <w:pPr>
              <w:pStyle w:val="CondicionesFinales"/>
              <w:ind w:start="0pt" w:end="0pt"/>
              <w:jc w:val="start"/>
              <w:rPr>
                <w:rFonts w:ascii="Century Gothic" w:hAnsi="Century Gothic"/>
                <w:sz w:val="20"/>
                <w:szCs w:val="20"/>
              </w:rPr>
            </w:pPr>
            <w:r>
              <w:rPr>
                <w:rFonts w:ascii="Century Gothic" w:hAnsi="Century Gothic"/>
                <w:sz w:val="20"/>
                <w:szCs w:val="20"/>
              </w:rPr>
              <w:t xml:space="preserve">Gastos de Habilitación por pCAI Regional </w:t>
            </w:r>
            <w:r>
              <w:rPr>
                <w:rFonts w:ascii="Century Gothic" w:hAnsi="Century Gothic"/>
                <w:sz w:val="20"/>
                <w:szCs w:val="20"/>
                <w:vertAlign w:val="superscript"/>
              </w:rPr>
              <w:t>**/</w:t>
            </w:r>
          </w:p>
        </w:tc>
        <w:tc>
          <w:tcPr>
            <w:tcW w:w="173.9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w:t>
            </w:r>
            <w:r w:rsidR="00FB5904">
              <w:rPr>
                <w:rFonts w:ascii="Century Gothic" w:hAnsi="Century Gothic"/>
                <w:sz w:val="20"/>
                <w:szCs w:val="20"/>
              </w:rPr>
              <w:t>2146.91</w:t>
            </w:r>
          </w:p>
        </w:tc>
      </w:tr>
      <w:tr w:rsidR="008D1D03" w:rsidTr="00220735">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295.80pt" w:type="dxa"/>
            <w:vAlign w:val="center"/>
          </w:tcPr>
          <w:p w:rsidR="008D1D03" w:rsidRPr="00611019" w:rsidRDefault="008D1D03" w:rsidP="008D1D03">
            <w:pPr>
              <w:pStyle w:val="CondicionesFinales"/>
              <w:ind w:start="0pt" w:end="0pt"/>
              <w:jc w:val="start"/>
              <w:rPr>
                <w:rFonts w:ascii="Century Gothic" w:hAnsi="Century Gothic"/>
                <w:sz w:val="20"/>
                <w:szCs w:val="20"/>
              </w:rPr>
            </w:pPr>
            <w:r>
              <w:rPr>
                <w:rFonts w:ascii="Century Gothic" w:hAnsi="Century Gothic"/>
                <w:sz w:val="20"/>
                <w:szCs w:val="20"/>
              </w:rPr>
              <w:t xml:space="preserve">Gastos de Habilitación por pCAI Nacional </w:t>
            </w:r>
            <w:r>
              <w:rPr>
                <w:rFonts w:ascii="Century Gothic" w:hAnsi="Century Gothic"/>
                <w:sz w:val="20"/>
                <w:szCs w:val="20"/>
                <w:vertAlign w:val="superscript"/>
              </w:rPr>
              <w:t>**/</w:t>
            </w:r>
            <w:r>
              <w:rPr>
                <w:rFonts w:ascii="Century Gothic" w:hAnsi="Century Gothic"/>
                <w:sz w:val="20"/>
                <w:szCs w:val="20"/>
              </w:rPr>
              <w:t xml:space="preserve"> </w:t>
            </w:r>
          </w:p>
        </w:tc>
        <w:tc>
          <w:tcPr>
            <w:tcW w:w="173.9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w:t>
            </w:r>
            <w:r w:rsidR="00FB5904">
              <w:rPr>
                <w:rFonts w:ascii="Century Gothic" w:hAnsi="Century Gothic"/>
                <w:sz w:val="20"/>
                <w:szCs w:val="20"/>
              </w:rPr>
              <w:t>2146.91</w:t>
            </w:r>
          </w:p>
        </w:tc>
      </w:tr>
      <w:tr w:rsidR="008D1D03" w:rsidTr="00220735">
        <w:trPr>
          <w:trHeight w:val="283"/>
          <w:jc w:val="center"/>
        </w:trPr>
        <w:tc>
          <w:tcPr>
            <w:cnfStyle w:firstRow="0" w:lastRow="0" w:firstColumn="1" w:lastColumn="0" w:oddVBand="0" w:evenVBand="0" w:oddHBand="0" w:evenHBand="0" w:firstRowFirstColumn="0" w:firstRowLastColumn="0" w:lastRowFirstColumn="0" w:lastRowLastColumn="0"/>
            <w:tcW w:w="295.80pt" w:type="dxa"/>
            <w:vAlign w:val="center"/>
          </w:tcPr>
          <w:p w:rsidR="008D1D03" w:rsidRPr="00611019" w:rsidRDefault="008D1D03" w:rsidP="00FB5904">
            <w:pPr>
              <w:pStyle w:val="CondicionesFinales"/>
              <w:ind w:start="0pt" w:end="0pt"/>
              <w:jc w:val="start"/>
              <w:rPr>
                <w:rFonts w:ascii="Century Gothic" w:hAnsi="Century Gothic"/>
                <w:sz w:val="20"/>
                <w:szCs w:val="20"/>
              </w:rPr>
            </w:pPr>
            <w:r>
              <w:rPr>
                <w:rFonts w:ascii="Century Gothic" w:hAnsi="Century Gothic"/>
                <w:sz w:val="20"/>
                <w:szCs w:val="20"/>
              </w:rPr>
              <w:t>Gasto por modificación de ancho de banda</w:t>
            </w:r>
          </w:p>
        </w:tc>
        <w:tc>
          <w:tcPr>
            <w:tcW w:w="173.9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$3.00</w:t>
            </w:r>
          </w:p>
        </w:tc>
      </w:tr>
      <w:tr w:rsidR="008D1D03" w:rsidTr="00220735">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295.80pt" w:type="dxa"/>
            <w:vAlign w:val="center"/>
          </w:tcPr>
          <w:p w:rsidR="008D1D03" w:rsidRPr="00611019" w:rsidRDefault="008D1D03" w:rsidP="008D1D03">
            <w:pPr>
              <w:pStyle w:val="CondicionesFinales"/>
              <w:ind w:start="0pt" w:end="0pt"/>
              <w:jc w:val="start"/>
              <w:rPr>
                <w:rFonts w:ascii="Century Gothic" w:hAnsi="Century Gothic"/>
                <w:sz w:val="20"/>
                <w:szCs w:val="20"/>
              </w:rPr>
            </w:pPr>
            <w:r>
              <w:rPr>
                <w:rFonts w:ascii="Century Gothic" w:hAnsi="Century Gothic"/>
                <w:sz w:val="20"/>
                <w:szCs w:val="20"/>
              </w:rPr>
              <w:t xml:space="preserve">Servicio de migración de puerto pCAI por incremento de capacidad </w:t>
            </w:r>
            <w:r>
              <w:rPr>
                <w:rFonts w:ascii="Century Gothic" w:hAnsi="Century Gothic"/>
                <w:sz w:val="20"/>
                <w:szCs w:val="20"/>
                <w:vertAlign w:val="superscript"/>
              </w:rPr>
              <w:t>**/</w:t>
            </w:r>
          </w:p>
        </w:tc>
        <w:tc>
          <w:tcPr>
            <w:tcW w:w="173.9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w:t>
            </w:r>
            <w:r w:rsidR="00FB5904">
              <w:rPr>
                <w:rFonts w:ascii="Century Gothic" w:hAnsi="Century Gothic"/>
                <w:sz w:val="20"/>
                <w:szCs w:val="20"/>
              </w:rPr>
              <w:t>718.21</w:t>
            </w:r>
          </w:p>
        </w:tc>
      </w:tr>
    </w:tbl>
    <w:p w:rsidR="00017D93" w:rsidRPr="00017D93" w:rsidRDefault="00017D93" w:rsidP="0031512C">
      <w:pPr>
        <w:spacing w:line="12pt" w:lineRule="auto"/>
        <w:jc w:val="both"/>
        <w:rPr>
          <w:rFonts w:ascii="Century Gothic" w:hAnsi="Century Gothic" w:cs="Arial"/>
          <w:sz w:val="18"/>
          <w:szCs w:val="18"/>
        </w:rPr>
      </w:pPr>
      <w:r w:rsidRPr="00017D93">
        <w:rPr>
          <w:rFonts w:ascii="Century Gothic" w:hAnsi="Century Gothic" w:cs="Arial"/>
          <w:sz w:val="18"/>
          <w:szCs w:val="18"/>
        </w:rPr>
        <w:t>**/ La tarifa por Habilitación por pCAI Local, Regional y Nacional serán por equipo de acceso.</w:t>
      </w:r>
    </w:p>
    <w:p w:rsidR="008B798A" w:rsidRDefault="008B798A" w:rsidP="00035D2C">
      <w:pPr>
        <w:pStyle w:val="Prrafodelista"/>
        <w:tabs>
          <w:tab w:val="start" w:pos="385.50pt"/>
        </w:tabs>
        <w:ind w:start="0pt"/>
        <w:contextualSpacing w:val="0"/>
        <w:jc w:val="both"/>
        <w:rPr>
          <w:rFonts w:ascii="Century Gothic" w:hAnsi="Century Gothic" w:cs="Arial"/>
          <w:sz w:val="18"/>
          <w:szCs w:val="18"/>
        </w:rPr>
      </w:pPr>
    </w:p>
    <w:p w:rsidR="00277ED2" w:rsidRPr="00611019" w:rsidRDefault="00E56462">
      <w:pPr>
        <w:pStyle w:val="Prrafodelista"/>
        <w:numPr>
          <w:ilvl w:val="0"/>
          <w:numId w:val="133"/>
        </w:numPr>
        <w:spacing w:after="6pt"/>
        <w:jc w:val="both"/>
        <w:rPr>
          <w:rFonts w:ascii="Century Gothic" w:eastAsia="Times New Roman" w:hAnsi="Century Gothic" w:cs="Arial"/>
          <w:b/>
        </w:rPr>
      </w:pPr>
      <w:r>
        <w:rPr>
          <w:rFonts w:ascii="Century Gothic" w:eastAsia="Times New Roman" w:hAnsi="Century Gothic" w:cs="Arial"/>
          <w:b/>
        </w:rPr>
        <w:t>Cobros recurrentes.</w:t>
      </w:r>
    </w:p>
    <w:p w:rsidR="00B4692E" w:rsidRPr="00611019" w:rsidRDefault="00E56462" w:rsidP="00035D2C">
      <w:pPr>
        <w:pStyle w:val="Prrafodelista"/>
        <w:ind w:start="0pt"/>
        <w:contextualSpacing w:val="0"/>
        <w:jc w:val="both"/>
        <w:rPr>
          <w:rFonts w:ascii="Century Gothic" w:eastAsia="Times New Roman" w:hAnsi="Century Gothic" w:cs="Arial"/>
          <w:b/>
        </w:rPr>
      </w:pPr>
      <w:r>
        <w:rPr>
          <w:rFonts w:ascii="Century Gothic" w:eastAsia="Times New Roman" w:hAnsi="Century Gothic" w:cs="Arial"/>
          <w:b/>
        </w:rPr>
        <w:t>SAIB (integrado).</w:t>
      </w:r>
    </w:p>
    <w:p w:rsidR="00277ED2" w:rsidRPr="00611019" w:rsidRDefault="00E56462" w:rsidP="0031512C">
      <w:pPr>
        <w:jc w:val="both"/>
        <w:rPr>
          <w:rFonts w:ascii="Century Gothic" w:eastAsia="Times New Roman" w:hAnsi="Century Gothic" w:cs="Arial"/>
        </w:rPr>
      </w:pPr>
      <w:r>
        <w:rPr>
          <w:rFonts w:ascii="Century Gothic" w:eastAsia="Times New Roman" w:hAnsi="Century Gothic" w:cs="Arial"/>
        </w:rPr>
        <w:t xml:space="preserve">Las tarifas que a continuación se detallan podrán variar en aquellas zonas geográficas donde así lo autorice el Instituto de conformidad con lo señalado en la Medida TRIGÉSIMA NOVENA del Anexo 3 de la Segunda Revisión Bienal de las Medidas de Preponderancia y serán publicadas en la página de Internet de RED NACIONAL y notificadas en el SEG. Estas localidades estarán sujetas a actualización cuando así lo determine el Instituto. </w:t>
      </w:r>
    </w:p>
    <w:p w:rsidR="00277ED2" w:rsidRPr="00611019" w:rsidRDefault="00E56462" w:rsidP="0031512C">
      <w:pPr>
        <w:spacing w:before="12pt"/>
        <w:jc w:val="both"/>
        <w:rPr>
          <w:rFonts w:ascii="Century Gothic" w:eastAsia="Times New Roman" w:hAnsi="Century Gothic" w:cs="Arial"/>
          <w:b/>
        </w:rPr>
      </w:pPr>
      <w:r>
        <w:rPr>
          <w:rFonts w:ascii="Century Gothic" w:eastAsia="Times New Roman" w:hAnsi="Century Gothic" w:cs="Arial"/>
          <w:b/>
        </w:rPr>
        <w:t>- Caso I.</w:t>
      </w:r>
    </w:p>
    <w:p w:rsidR="00885265" w:rsidRPr="00611019" w:rsidRDefault="00E56462" w:rsidP="00035D2C">
      <w:pPr>
        <w:spacing w:after="6pt"/>
        <w:jc w:val="both"/>
        <w:rPr>
          <w:rFonts w:ascii="Century Gothic" w:eastAsia="Times New Roman" w:hAnsi="Century Gothic" w:cs="Arial"/>
        </w:rPr>
      </w:pPr>
      <w:r>
        <w:rPr>
          <w:rFonts w:ascii="Century Gothic" w:eastAsia="Times New Roman" w:hAnsi="Century Gothic" w:cs="Arial"/>
        </w:rPr>
        <w:lastRenderedPageBreak/>
        <w:t>Los niveles tarifarios descritos a continuación son aplicables cuando: 1) los Servicios se prestan a través de fibra óptica, o bien 2) se prestan a través de cobre, pero no se hace uso de las frecuencias bajas para prestar servicios de voz por el mismo medio.</w:t>
      </w:r>
    </w:p>
    <w:tbl>
      <w:tblPr>
        <w:tblStyle w:val="Tablanormal1"/>
        <w:tblW w:w="100.0%" w:type="pct"/>
        <w:jc w:val="center"/>
        <w:tblLook w:firstRow="1" w:lastRow="0" w:firstColumn="1" w:lastColumn="0" w:noHBand="0" w:noVBand="1"/>
      </w:tblPr>
      <w:tblGrid>
        <w:gridCol w:w="1233"/>
        <w:gridCol w:w="1367"/>
        <w:gridCol w:w="1363"/>
        <w:gridCol w:w="1351"/>
        <w:gridCol w:w="1366"/>
        <w:gridCol w:w="1363"/>
        <w:gridCol w:w="1351"/>
      </w:tblGrid>
      <w:tr w:rsidR="0061711D" w:rsidRPr="008B798A" w:rsidTr="00BA12F2">
        <w:trPr>
          <w:cnfStyle w:firstRow="1" w:lastRow="0" w:firstColumn="0" w:lastColumn="0" w:oddVBand="0" w:evenVBand="0" w:oddHBand="0"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52.35pt" w:type="dxa"/>
            <w:shd w:val="clear" w:color="auto" w:fill="009AD9"/>
            <w:vAlign w:val="center"/>
          </w:tcPr>
          <w:p w:rsidR="00885265" w:rsidRPr="008B798A" w:rsidRDefault="00885265" w:rsidP="00035D2C">
            <w:pPr>
              <w:jc w:val="center"/>
              <w:rPr>
                <w:rFonts w:ascii="Century Gothic" w:eastAsia="Calibri" w:hAnsi="Century Gothic" w:cs="Arial"/>
                <w:color w:val="FFFFFF" w:themeColor="background1"/>
                <w:sz w:val="20"/>
                <w:szCs w:val="20"/>
                <w:lang w:val="es-ES_tradnl" w:eastAsia="es-ES"/>
              </w:rPr>
            </w:pPr>
          </w:p>
        </w:tc>
        <w:tc>
          <w:tcPr>
            <w:tcW w:w="417.35pt" w:type="dxa"/>
            <w:gridSpan w:val="6"/>
            <w:shd w:val="clear" w:color="auto" w:fill="009AD9"/>
            <w:vAlign w:val="center"/>
          </w:tcPr>
          <w:p w:rsidR="00885265" w:rsidRPr="008B798A" w:rsidRDefault="00E56462" w:rsidP="00035D2C">
            <w:pPr>
              <w:jc w:val="center"/>
              <w:cnfStyle w:firstRow="1" w:lastRow="0" w:firstColumn="0" w:lastColumn="0" w:oddVBand="0" w:evenVBand="0" w:oddHBand="0" w:evenHBand="0" w:firstRowFirstColumn="0" w:firstRowLastColumn="0" w:lastRowFirstColumn="0" w:lastRowLastColumn="0"/>
              <w:rPr>
                <w:rFonts w:ascii="Century Gothic" w:eastAsia="Calibri" w:hAnsi="Century Gothic" w:cs="Arial"/>
                <w:color w:val="FFFFFF" w:themeColor="background1"/>
                <w:sz w:val="20"/>
                <w:szCs w:val="20"/>
                <w:lang w:val="es-ES_tradnl" w:eastAsia="es-ES"/>
              </w:rPr>
            </w:pPr>
            <w:r w:rsidRPr="008B798A">
              <w:rPr>
                <w:rFonts w:ascii="Century Gothic" w:eastAsia="Calibri" w:hAnsi="Century Gothic" w:cs="Arial"/>
                <w:color w:val="FFFFFF" w:themeColor="background1"/>
                <w:sz w:val="20"/>
                <w:szCs w:val="20"/>
                <w:lang w:val="es-ES_tradnl" w:eastAsia="es-ES"/>
              </w:rPr>
              <w:t>Renta mensual por entrega del servicio a nivel</w:t>
            </w:r>
          </w:p>
        </w:tc>
      </w:tr>
      <w:tr w:rsidR="0061711D" w:rsidRPr="008B798A" w:rsidTr="00BA12F2">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52.35pt" w:type="dxa"/>
            <w:vAlign w:val="center"/>
          </w:tcPr>
          <w:p w:rsidR="00885265" w:rsidRPr="008B798A" w:rsidRDefault="00E56462" w:rsidP="00035D2C">
            <w:pPr>
              <w:jc w:val="center"/>
              <w:rPr>
                <w:rFonts w:ascii="Century Gothic" w:hAnsi="Century Gothic"/>
                <w:color w:val="000000"/>
                <w:sz w:val="20"/>
                <w:szCs w:val="20"/>
                <w:lang w:val="es-ES_tradnl"/>
              </w:rPr>
            </w:pPr>
            <w:r w:rsidRPr="008B798A">
              <w:rPr>
                <w:rFonts w:ascii="Century Gothic" w:hAnsi="Century Gothic"/>
                <w:color w:val="000000"/>
                <w:sz w:val="20"/>
                <w:szCs w:val="20"/>
                <w:lang w:val="es-ES_tradnl"/>
              </w:rPr>
              <w:t xml:space="preserve">Calidad (a): </w:t>
            </w:r>
            <w:r w:rsidRPr="008B798A">
              <w:rPr>
                <w:rFonts w:ascii="Century Gothic" w:hAnsi="Century Gothic"/>
                <w:i/>
                <w:color w:val="000000"/>
                <w:sz w:val="20"/>
                <w:szCs w:val="20"/>
                <w:lang w:val="es-ES_tradnl"/>
              </w:rPr>
              <w:t>Best Effort</w:t>
            </w:r>
          </w:p>
        </w:tc>
        <w:tc>
          <w:tcPr>
            <w:tcW w:w="208.70pt" w:type="dxa"/>
            <w:gridSpan w:val="3"/>
            <w:vAlign w:val="center"/>
          </w:tcPr>
          <w:p w:rsidR="00885265" w:rsidRPr="008B798A"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sidRPr="008B798A">
              <w:rPr>
                <w:rFonts w:ascii="Century Gothic" w:hAnsi="Century Gothic"/>
                <w:b/>
                <w:color w:val="000000"/>
                <w:sz w:val="20"/>
                <w:szCs w:val="20"/>
                <w:lang w:val="es-ES_tradnl"/>
              </w:rPr>
              <w:t>Asimétrico*/</w:t>
            </w:r>
          </w:p>
        </w:tc>
        <w:tc>
          <w:tcPr>
            <w:tcW w:w="208.65pt" w:type="dxa"/>
            <w:gridSpan w:val="3"/>
            <w:vAlign w:val="center"/>
          </w:tcPr>
          <w:p w:rsidR="00885265" w:rsidRPr="008B798A"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sidRPr="008B798A">
              <w:rPr>
                <w:rFonts w:ascii="Century Gothic" w:hAnsi="Century Gothic"/>
                <w:b/>
                <w:color w:val="000000"/>
                <w:sz w:val="20"/>
                <w:szCs w:val="20"/>
                <w:lang w:val="es-ES_tradnl"/>
              </w:rPr>
              <w:t>Simétrico</w:t>
            </w:r>
          </w:p>
        </w:tc>
      </w:tr>
      <w:tr w:rsidR="0061711D" w:rsidRPr="008B798A" w:rsidTr="00BA12F2">
        <w:trPr>
          <w:trHeight w:val="224"/>
          <w:jc w:val="center"/>
        </w:trPr>
        <w:tc>
          <w:tcPr>
            <w:cnfStyle w:firstRow="0" w:lastRow="0" w:firstColumn="1" w:lastColumn="0" w:oddVBand="0" w:evenVBand="0" w:oddHBand="0" w:evenHBand="0" w:firstRowFirstColumn="0" w:firstRowLastColumn="0" w:lastRowFirstColumn="0" w:lastRowLastColumn="0"/>
            <w:tcW w:w="52.35pt" w:type="dxa"/>
            <w:vAlign w:val="center"/>
          </w:tcPr>
          <w:p w:rsidR="00885265" w:rsidRPr="008B798A" w:rsidRDefault="00E56462" w:rsidP="00035D2C">
            <w:pPr>
              <w:jc w:val="center"/>
              <w:rPr>
                <w:rFonts w:ascii="Century Gothic" w:hAnsi="Century Gothic"/>
                <w:color w:val="000000"/>
                <w:sz w:val="20"/>
                <w:szCs w:val="20"/>
                <w:lang w:val="es-ES_tradnl"/>
              </w:rPr>
            </w:pPr>
            <w:r w:rsidRPr="008B798A">
              <w:rPr>
                <w:rFonts w:ascii="Century Gothic" w:hAnsi="Century Gothic"/>
                <w:color w:val="000000"/>
                <w:sz w:val="20"/>
                <w:szCs w:val="20"/>
                <w:lang w:val="es-ES_tradnl"/>
              </w:rPr>
              <w:t>Velocidad (Mbps)</w:t>
            </w:r>
          </w:p>
        </w:tc>
        <w:tc>
          <w:tcPr>
            <w:tcW w:w="69.60pt" w:type="dxa"/>
            <w:vAlign w:val="center"/>
          </w:tcPr>
          <w:p w:rsidR="00885265" w:rsidRPr="008B798A"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sidRPr="008B798A">
              <w:rPr>
                <w:rFonts w:ascii="Century Gothic" w:hAnsi="Century Gothic"/>
                <w:b/>
                <w:color w:val="000000"/>
                <w:sz w:val="20"/>
                <w:szCs w:val="20"/>
                <w:lang w:val="es-ES_tradnl"/>
              </w:rPr>
              <w:t>Nacional</w:t>
            </w:r>
          </w:p>
        </w:tc>
        <w:tc>
          <w:tcPr>
            <w:tcW w:w="69.55pt" w:type="dxa"/>
            <w:vAlign w:val="center"/>
          </w:tcPr>
          <w:p w:rsidR="00885265" w:rsidRPr="008B798A"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sidRPr="008B798A">
              <w:rPr>
                <w:rFonts w:ascii="Century Gothic" w:hAnsi="Century Gothic"/>
                <w:b/>
                <w:color w:val="000000"/>
                <w:sz w:val="20"/>
                <w:szCs w:val="20"/>
                <w:lang w:val="es-ES_tradnl"/>
              </w:rPr>
              <w:t>Regional</w:t>
            </w:r>
          </w:p>
        </w:tc>
        <w:tc>
          <w:tcPr>
            <w:tcW w:w="69.55pt" w:type="dxa"/>
            <w:vAlign w:val="center"/>
          </w:tcPr>
          <w:p w:rsidR="00885265" w:rsidRPr="008B798A"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sidRPr="008B798A">
              <w:rPr>
                <w:rFonts w:ascii="Century Gothic" w:hAnsi="Century Gothic"/>
                <w:b/>
                <w:color w:val="000000"/>
                <w:sz w:val="20"/>
                <w:szCs w:val="20"/>
                <w:lang w:val="es-ES_tradnl"/>
              </w:rPr>
              <w:t>Local</w:t>
            </w:r>
          </w:p>
        </w:tc>
        <w:tc>
          <w:tcPr>
            <w:tcW w:w="69.55pt" w:type="dxa"/>
            <w:vAlign w:val="center"/>
          </w:tcPr>
          <w:p w:rsidR="00885265" w:rsidRPr="008B798A" w:rsidRDefault="00E56462" w:rsidP="00035D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B798A">
              <w:rPr>
                <w:rFonts w:ascii="Century Gothic" w:hAnsi="Century Gothic"/>
                <w:b/>
                <w:sz w:val="20"/>
                <w:szCs w:val="20"/>
              </w:rPr>
              <w:t>Nacional</w:t>
            </w:r>
          </w:p>
        </w:tc>
        <w:tc>
          <w:tcPr>
            <w:tcW w:w="69.55pt" w:type="dxa"/>
            <w:vAlign w:val="center"/>
          </w:tcPr>
          <w:p w:rsidR="00885265" w:rsidRPr="008B798A" w:rsidRDefault="00E56462" w:rsidP="00035D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B798A">
              <w:rPr>
                <w:rFonts w:ascii="Century Gothic" w:hAnsi="Century Gothic"/>
                <w:b/>
                <w:sz w:val="20"/>
                <w:szCs w:val="20"/>
              </w:rPr>
              <w:t>Regional</w:t>
            </w:r>
          </w:p>
        </w:tc>
        <w:tc>
          <w:tcPr>
            <w:tcW w:w="69.55pt" w:type="dxa"/>
            <w:vAlign w:val="center"/>
          </w:tcPr>
          <w:p w:rsidR="00885265" w:rsidRPr="008B798A" w:rsidRDefault="00E56462" w:rsidP="00035D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B798A">
              <w:rPr>
                <w:rFonts w:ascii="Century Gothic" w:hAnsi="Century Gothic"/>
                <w:b/>
                <w:sz w:val="20"/>
                <w:szCs w:val="20"/>
              </w:rPr>
              <w:t>Local</w:t>
            </w:r>
          </w:p>
        </w:tc>
      </w:tr>
      <w:tr w:rsidR="008D1D03" w:rsidRPr="008D1D03" w:rsidTr="00BA12F2">
        <w:trPr>
          <w:cnfStyle w:firstRow="0" w:lastRow="0" w:firstColumn="0" w:lastColumn="0" w:oddVBand="0" w:evenVBand="0" w:oddHBand="1" w:evenHBand="0" w:firstRowFirstColumn="0" w:firstRowLastColumn="0" w:lastRowFirstColumn="0" w:lastRowLastColumn="0"/>
          <w:trHeight w:val="227"/>
          <w:jc w:val="center"/>
        </w:trPr>
        <w:tc>
          <w:tcPr>
            <w:cnfStyle w:firstRow="0" w:lastRow="0" w:firstColumn="1" w:lastColumn="0" w:oddVBand="0" w:evenVBand="0" w:oddHBand="0" w:evenHBand="0" w:firstRowFirstColumn="0" w:firstRowLastColumn="0" w:lastRowFirstColumn="0" w:lastRowLastColumn="0"/>
            <w:tcW w:w="52.35pt" w:type="dxa"/>
            <w:vAlign w:val="center"/>
          </w:tcPr>
          <w:p w:rsidR="008D1D03" w:rsidRPr="008D1D03" w:rsidRDefault="008D1D03" w:rsidP="008D1D03">
            <w:pPr>
              <w:jc w:val="center"/>
              <w:rPr>
                <w:rFonts w:ascii="Century Gothic" w:hAnsi="Century Gothic"/>
                <w:color w:val="000000"/>
                <w:sz w:val="20"/>
                <w:szCs w:val="20"/>
                <w:lang w:val="es-ES_tradnl"/>
              </w:rPr>
            </w:pPr>
            <w:r w:rsidRPr="008D1D03">
              <w:rPr>
                <w:rFonts w:ascii="Century Gothic" w:hAnsi="Century Gothic"/>
                <w:color w:val="000000"/>
                <w:sz w:val="20"/>
                <w:szCs w:val="20"/>
                <w:lang w:val="es-ES_tradnl"/>
              </w:rPr>
              <w:t>2</w:t>
            </w:r>
          </w:p>
        </w:tc>
        <w:tc>
          <w:tcPr>
            <w:tcW w:w="69.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sidRPr="008D1D03">
              <w:rPr>
                <w:rFonts w:ascii="Century Gothic" w:hAnsi="Century Gothic"/>
                <w:sz w:val="20"/>
                <w:szCs w:val="20"/>
              </w:rPr>
              <w:t>$99.14</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sidRPr="008D1D03">
              <w:rPr>
                <w:rFonts w:ascii="Century Gothic" w:hAnsi="Century Gothic"/>
                <w:sz w:val="20"/>
                <w:szCs w:val="20"/>
              </w:rPr>
              <w:t>$96.60</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sidRPr="008D1D03">
              <w:rPr>
                <w:rFonts w:ascii="Century Gothic" w:hAnsi="Century Gothic"/>
                <w:sz w:val="20"/>
                <w:szCs w:val="20"/>
              </w:rPr>
              <w:t>$94.80</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p>
        </w:tc>
      </w:tr>
      <w:tr w:rsidR="008D1D03" w:rsidRPr="008D1D03" w:rsidTr="00BA12F2">
        <w:trPr>
          <w:trHeight w:val="227"/>
          <w:jc w:val="center"/>
        </w:trPr>
        <w:tc>
          <w:tcPr>
            <w:cnfStyle w:firstRow="0" w:lastRow="0" w:firstColumn="1" w:lastColumn="0" w:oddVBand="0" w:evenVBand="0" w:oddHBand="0" w:evenHBand="0" w:firstRowFirstColumn="0" w:firstRowLastColumn="0" w:lastRowFirstColumn="0" w:lastRowLastColumn="0"/>
            <w:tcW w:w="52.35pt" w:type="dxa"/>
            <w:vAlign w:val="center"/>
          </w:tcPr>
          <w:p w:rsidR="008D1D03" w:rsidRPr="008D1D03" w:rsidRDefault="008D1D03" w:rsidP="008D1D03">
            <w:pPr>
              <w:pStyle w:val="CondicionesFinales"/>
              <w:ind w:start="0pt" w:end="0pt"/>
              <w:jc w:val="center"/>
              <w:rPr>
                <w:rFonts w:ascii="Century Gothic" w:hAnsi="Century Gothic"/>
                <w:b w:val="0"/>
                <w:sz w:val="20"/>
                <w:szCs w:val="20"/>
              </w:rPr>
            </w:pPr>
            <w:r w:rsidRPr="008D1D03">
              <w:rPr>
                <w:rFonts w:ascii="Century Gothic" w:hAnsi="Century Gothic"/>
                <w:sz w:val="20"/>
                <w:szCs w:val="20"/>
              </w:rPr>
              <w:t>3</w:t>
            </w:r>
          </w:p>
        </w:tc>
        <w:tc>
          <w:tcPr>
            <w:tcW w:w="69.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lang w:val="es-ES_tradnl"/>
              </w:rPr>
            </w:pPr>
            <w:r w:rsidRPr="008D1D03">
              <w:rPr>
                <w:rFonts w:ascii="Century Gothic" w:hAnsi="Century Gothic"/>
                <w:sz w:val="20"/>
                <w:szCs w:val="20"/>
              </w:rPr>
              <w:t>$99.78</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lang w:val="es-ES_tradnl"/>
              </w:rPr>
            </w:pPr>
            <w:r w:rsidRPr="008D1D03">
              <w:rPr>
                <w:rFonts w:ascii="Century Gothic" w:hAnsi="Century Gothic"/>
                <w:sz w:val="20"/>
                <w:szCs w:val="20"/>
              </w:rPr>
              <w:t>$97.84</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lang w:val="es-ES_tradnl"/>
              </w:rPr>
            </w:pPr>
            <w:r w:rsidRPr="008D1D03">
              <w:rPr>
                <w:rFonts w:ascii="Century Gothic" w:hAnsi="Century Gothic"/>
                <w:sz w:val="20"/>
                <w:szCs w:val="20"/>
              </w:rPr>
              <w:t>$96.87</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color w:val="000000" w:themeColor="text1"/>
                <w:sz w:val="20"/>
                <w:szCs w:val="20"/>
              </w:rPr>
            </w:pP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color w:val="000000" w:themeColor="text1"/>
                <w:sz w:val="20"/>
                <w:szCs w:val="20"/>
              </w:rPr>
            </w:pP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color w:val="000000" w:themeColor="text1"/>
                <w:sz w:val="20"/>
                <w:szCs w:val="20"/>
              </w:rPr>
            </w:pPr>
          </w:p>
        </w:tc>
      </w:tr>
      <w:tr w:rsidR="008D1D03" w:rsidRPr="008D1D03" w:rsidTr="00BA12F2">
        <w:trPr>
          <w:cnfStyle w:firstRow="0" w:lastRow="0" w:firstColumn="0" w:lastColumn="0" w:oddVBand="0" w:evenVBand="0" w:oddHBand="1" w:evenHBand="0" w:firstRowFirstColumn="0" w:firstRowLastColumn="0" w:lastRowFirstColumn="0" w:lastRowLastColumn="0"/>
          <w:trHeight w:val="227"/>
          <w:jc w:val="center"/>
        </w:trPr>
        <w:tc>
          <w:tcPr>
            <w:cnfStyle w:firstRow="0" w:lastRow="0" w:firstColumn="1" w:lastColumn="0" w:oddVBand="0" w:evenVBand="0" w:oddHBand="0" w:evenHBand="0" w:firstRowFirstColumn="0" w:firstRowLastColumn="0" w:lastRowFirstColumn="0" w:lastRowLastColumn="0"/>
            <w:tcW w:w="52.35pt" w:type="dxa"/>
            <w:vAlign w:val="center"/>
          </w:tcPr>
          <w:p w:rsidR="008D1D03" w:rsidRPr="008D1D03" w:rsidRDefault="008D1D03" w:rsidP="008D1D03">
            <w:pPr>
              <w:pStyle w:val="CondicionesFinales"/>
              <w:ind w:start="0pt" w:end="0pt"/>
              <w:jc w:val="center"/>
              <w:rPr>
                <w:rFonts w:ascii="Century Gothic" w:hAnsi="Century Gothic"/>
                <w:sz w:val="20"/>
                <w:szCs w:val="20"/>
              </w:rPr>
            </w:pPr>
            <w:r w:rsidRPr="008D1D03">
              <w:rPr>
                <w:rFonts w:ascii="Century Gothic" w:hAnsi="Century Gothic"/>
                <w:sz w:val="20"/>
                <w:szCs w:val="20"/>
              </w:rPr>
              <w:t>5</w:t>
            </w:r>
          </w:p>
        </w:tc>
        <w:tc>
          <w:tcPr>
            <w:tcW w:w="69.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$10</w:t>
            </w:r>
            <w:r w:rsidR="00BA12F2">
              <w:rPr>
                <w:rFonts w:ascii="Century Gothic" w:hAnsi="Century Gothic"/>
                <w:sz w:val="20"/>
                <w:szCs w:val="20"/>
              </w:rPr>
              <w:t>4</w:t>
            </w:r>
            <w:r w:rsidRPr="008D1D03">
              <w:rPr>
                <w:rFonts w:ascii="Century Gothic" w:hAnsi="Century Gothic"/>
                <w:sz w:val="20"/>
                <w:szCs w:val="20"/>
              </w:rPr>
              <w:t>.3</w:t>
            </w:r>
            <w:r w:rsidR="00BA12F2">
              <w:rPr>
                <w:rFonts w:ascii="Century Gothic" w:hAnsi="Century Gothic"/>
                <w:sz w:val="20"/>
                <w:szCs w:val="20"/>
              </w:rPr>
              <w:t>5</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$10</w:t>
            </w:r>
            <w:r w:rsidR="00BA12F2">
              <w:rPr>
                <w:rFonts w:ascii="Century Gothic" w:hAnsi="Century Gothic"/>
                <w:sz w:val="20"/>
                <w:szCs w:val="20"/>
              </w:rPr>
              <w:t>3</w:t>
            </w:r>
            <w:r w:rsidRPr="008D1D03">
              <w:rPr>
                <w:rFonts w:ascii="Century Gothic" w:hAnsi="Century Gothic"/>
                <w:sz w:val="20"/>
                <w:szCs w:val="20"/>
              </w:rPr>
              <w:t>.</w:t>
            </w:r>
            <w:r w:rsidR="00BA12F2">
              <w:rPr>
                <w:rFonts w:ascii="Century Gothic" w:hAnsi="Century Gothic"/>
                <w:sz w:val="20"/>
                <w:szCs w:val="20"/>
              </w:rPr>
              <w:t>23</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$10</w:t>
            </w:r>
            <w:r w:rsidR="00BA12F2">
              <w:rPr>
                <w:rFonts w:ascii="Century Gothic" w:hAnsi="Century Gothic"/>
                <w:sz w:val="20"/>
                <w:szCs w:val="20"/>
              </w:rPr>
              <w:t>0</w:t>
            </w:r>
            <w:r w:rsidRPr="008D1D03">
              <w:rPr>
                <w:rFonts w:ascii="Century Gothic" w:hAnsi="Century Gothic"/>
                <w:sz w:val="20"/>
                <w:szCs w:val="20"/>
              </w:rPr>
              <w:t>.1</w:t>
            </w:r>
            <w:r w:rsidR="00BA12F2">
              <w:rPr>
                <w:rFonts w:ascii="Century Gothic" w:hAnsi="Century Gothic"/>
                <w:sz w:val="20"/>
                <w:szCs w:val="20"/>
              </w:rPr>
              <w:t>8</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color w:val="000000" w:themeColor="text1"/>
                <w:sz w:val="20"/>
                <w:szCs w:val="20"/>
              </w:rPr>
            </w:pP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color w:val="000000" w:themeColor="text1"/>
                <w:sz w:val="20"/>
                <w:szCs w:val="20"/>
              </w:rPr>
            </w:pP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color w:val="000000" w:themeColor="text1"/>
                <w:sz w:val="20"/>
                <w:szCs w:val="20"/>
              </w:rPr>
            </w:pPr>
          </w:p>
        </w:tc>
      </w:tr>
      <w:tr w:rsidR="008D1D03" w:rsidRPr="008D1D03" w:rsidTr="00BA12F2">
        <w:trPr>
          <w:trHeight w:val="224"/>
          <w:jc w:val="center"/>
        </w:trPr>
        <w:tc>
          <w:tcPr>
            <w:cnfStyle w:firstRow="0" w:lastRow="0" w:firstColumn="1" w:lastColumn="0" w:oddVBand="0" w:evenVBand="0" w:oddHBand="0" w:evenHBand="0" w:firstRowFirstColumn="0" w:firstRowLastColumn="0" w:lastRowFirstColumn="0" w:lastRowLastColumn="0"/>
            <w:tcW w:w="52.35pt" w:type="dxa"/>
            <w:vAlign w:val="center"/>
          </w:tcPr>
          <w:p w:rsidR="008D1D03" w:rsidRPr="008D1D03" w:rsidRDefault="008D1D03" w:rsidP="008D1D03">
            <w:pPr>
              <w:pStyle w:val="CondicionesFinales"/>
              <w:ind w:start="0pt" w:end="0pt"/>
              <w:jc w:val="center"/>
              <w:rPr>
                <w:rFonts w:ascii="Century Gothic" w:hAnsi="Century Gothic"/>
                <w:sz w:val="20"/>
                <w:szCs w:val="20"/>
              </w:rPr>
            </w:pPr>
            <w:r w:rsidRPr="008D1D03">
              <w:rPr>
                <w:rFonts w:ascii="Century Gothic" w:hAnsi="Century Gothic"/>
                <w:sz w:val="20"/>
                <w:szCs w:val="20"/>
              </w:rPr>
              <w:t>10</w:t>
            </w:r>
          </w:p>
        </w:tc>
        <w:tc>
          <w:tcPr>
            <w:tcW w:w="69.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w:t>
            </w:r>
            <w:r w:rsidR="00BA12F2">
              <w:rPr>
                <w:rFonts w:ascii="Century Gothic" w:hAnsi="Century Gothic"/>
                <w:sz w:val="20"/>
                <w:szCs w:val="20"/>
              </w:rPr>
              <w:t>05</w:t>
            </w:r>
            <w:r w:rsidRPr="008D1D03">
              <w:rPr>
                <w:rFonts w:ascii="Century Gothic" w:hAnsi="Century Gothic"/>
                <w:sz w:val="20"/>
                <w:szCs w:val="20"/>
              </w:rPr>
              <w:t>.</w:t>
            </w:r>
            <w:r w:rsidR="00BA12F2">
              <w:rPr>
                <w:rFonts w:ascii="Century Gothic" w:hAnsi="Century Gothic"/>
                <w:sz w:val="20"/>
                <w:szCs w:val="20"/>
              </w:rPr>
              <w:t>0</w:t>
            </w:r>
            <w:r w:rsidRPr="008D1D03">
              <w:rPr>
                <w:rFonts w:ascii="Century Gothic" w:hAnsi="Century Gothic"/>
                <w:sz w:val="20"/>
                <w:szCs w:val="20"/>
              </w:rPr>
              <w:t>8</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$10</w:t>
            </w:r>
            <w:r w:rsidR="00BA12F2">
              <w:rPr>
                <w:rFonts w:ascii="Century Gothic" w:hAnsi="Century Gothic"/>
                <w:sz w:val="20"/>
                <w:szCs w:val="20"/>
              </w:rPr>
              <w:t>4</w:t>
            </w:r>
            <w:r w:rsidRPr="008D1D03">
              <w:rPr>
                <w:rFonts w:ascii="Century Gothic" w:hAnsi="Century Gothic"/>
                <w:sz w:val="20"/>
                <w:szCs w:val="20"/>
              </w:rPr>
              <w:t>.</w:t>
            </w:r>
            <w:r w:rsidR="00BA12F2">
              <w:rPr>
                <w:rFonts w:ascii="Century Gothic" w:hAnsi="Century Gothic"/>
                <w:sz w:val="20"/>
                <w:szCs w:val="20"/>
              </w:rPr>
              <w:t>68</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$10</w:t>
            </w:r>
            <w:r w:rsidR="00BA12F2">
              <w:rPr>
                <w:rFonts w:ascii="Century Gothic" w:hAnsi="Century Gothic"/>
                <w:sz w:val="20"/>
                <w:szCs w:val="20"/>
              </w:rPr>
              <w:t>0</w:t>
            </w:r>
            <w:r w:rsidRPr="008D1D03">
              <w:rPr>
                <w:rFonts w:ascii="Century Gothic" w:hAnsi="Century Gothic"/>
                <w:sz w:val="20"/>
                <w:szCs w:val="20"/>
              </w:rPr>
              <w:t>.9</w:t>
            </w:r>
            <w:r w:rsidR="00BA12F2">
              <w:rPr>
                <w:rFonts w:ascii="Century Gothic" w:hAnsi="Century Gothic"/>
                <w:sz w:val="20"/>
                <w:szCs w:val="20"/>
              </w:rPr>
              <w:t>1</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7A6108">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w:t>
            </w:r>
            <w:r w:rsidR="007A6108">
              <w:rPr>
                <w:rFonts w:ascii="Century Gothic" w:hAnsi="Century Gothic"/>
                <w:sz w:val="20"/>
                <w:szCs w:val="20"/>
              </w:rPr>
              <w:t>31</w:t>
            </w:r>
            <w:r w:rsidRPr="008D1D03">
              <w:rPr>
                <w:rFonts w:ascii="Century Gothic" w:hAnsi="Century Gothic"/>
                <w:sz w:val="20"/>
                <w:szCs w:val="20"/>
              </w:rPr>
              <w:t>.</w:t>
            </w:r>
            <w:r w:rsidR="007A6108">
              <w:rPr>
                <w:rFonts w:ascii="Century Gothic" w:hAnsi="Century Gothic"/>
                <w:sz w:val="20"/>
                <w:szCs w:val="20"/>
              </w:rPr>
              <w:t>29</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w:t>
            </w:r>
            <w:r w:rsidR="00BA12F2">
              <w:rPr>
                <w:rFonts w:ascii="Century Gothic" w:hAnsi="Century Gothic"/>
                <w:sz w:val="20"/>
                <w:szCs w:val="20"/>
              </w:rPr>
              <w:t>2</w:t>
            </w:r>
            <w:r w:rsidRPr="008D1D03">
              <w:rPr>
                <w:rFonts w:ascii="Century Gothic" w:hAnsi="Century Gothic"/>
                <w:sz w:val="20"/>
                <w:szCs w:val="20"/>
              </w:rPr>
              <w:t>8.2</w:t>
            </w:r>
            <w:r w:rsidR="00BA12F2">
              <w:rPr>
                <w:rFonts w:ascii="Century Gothic" w:hAnsi="Century Gothic"/>
                <w:sz w:val="20"/>
                <w:szCs w:val="20"/>
              </w:rPr>
              <w:t>6</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w:t>
            </w:r>
            <w:r w:rsidR="00BA12F2">
              <w:rPr>
                <w:rFonts w:ascii="Century Gothic" w:hAnsi="Century Gothic"/>
                <w:sz w:val="20"/>
                <w:szCs w:val="20"/>
              </w:rPr>
              <w:t>1</w:t>
            </w:r>
            <w:r w:rsidR="007A6108">
              <w:rPr>
                <w:rFonts w:ascii="Century Gothic" w:hAnsi="Century Gothic"/>
                <w:sz w:val="20"/>
                <w:szCs w:val="20"/>
              </w:rPr>
              <w:t>1</w:t>
            </w:r>
            <w:r w:rsidRPr="008D1D03">
              <w:rPr>
                <w:rFonts w:ascii="Century Gothic" w:hAnsi="Century Gothic"/>
                <w:sz w:val="20"/>
                <w:szCs w:val="20"/>
              </w:rPr>
              <w:t>.</w:t>
            </w:r>
            <w:r w:rsidR="007A6108">
              <w:rPr>
                <w:rFonts w:ascii="Century Gothic" w:hAnsi="Century Gothic"/>
                <w:sz w:val="20"/>
                <w:szCs w:val="20"/>
              </w:rPr>
              <w:t>20</w:t>
            </w:r>
          </w:p>
        </w:tc>
      </w:tr>
      <w:tr w:rsidR="008D1D03" w:rsidRPr="008D1D03" w:rsidTr="00BA12F2">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52.35pt" w:type="dxa"/>
            <w:vAlign w:val="center"/>
          </w:tcPr>
          <w:p w:rsidR="008D1D03" w:rsidRPr="008D1D03" w:rsidRDefault="008D1D03" w:rsidP="008D1D03">
            <w:pPr>
              <w:pStyle w:val="CondicionesFinales"/>
              <w:ind w:start="0pt" w:end="0pt"/>
              <w:jc w:val="center"/>
              <w:rPr>
                <w:rFonts w:ascii="Century Gothic" w:hAnsi="Century Gothic"/>
                <w:sz w:val="20"/>
                <w:szCs w:val="20"/>
              </w:rPr>
            </w:pPr>
            <w:r w:rsidRPr="008D1D03">
              <w:rPr>
                <w:rFonts w:ascii="Century Gothic" w:hAnsi="Century Gothic"/>
                <w:sz w:val="20"/>
                <w:szCs w:val="20"/>
              </w:rPr>
              <w:t>15</w:t>
            </w:r>
          </w:p>
        </w:tc>
        <w:tc>
          <w:tcPr>
            <w:tcW w:w="69.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w:t>
            </w:r>
            <w:r w:rsidR="00BA12F2">
              <w:rPr>
                <w:rFonts w:ascii="Century Gothic" w:hAnsi="Century Gothic"/>
                <w:sz w:val="20"/>
                <w:szCs w:val="20"/>
              </w:rPr>
              <w:t>05</w:t>
            </w:r>
            <w:r w:rsidRPr="008D1D03">
              <w:rPr>
                <w:rFonts w:ascii="Century Gothic" w:hAnsi="Century Gothic"/>
                <w:sz w:val="20"/>
                <w:szCs w:val="20"/>
              </w:rPr>
              <w:t>.</w:t>
            </w:r>
            <w:r w:rsidR="00BA12F2">
              <w:rPr>
                <w:rFonts w:ascii="Century Gothic" w:hAnsi="Century Gothic"/>
                <w:sz w:val="20"/>
                <w:szCs w:val="20"/>
              </w:rPr>
              <w:t>32</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w:t>
            </w:r>
            <w:r w:rsidR="00BA12F2">
              <w:rPr>
                <w:rFonts w:ascii="Century Gothic" w:hAnsi="Century Gothic"/>
                <w:sz w:val="20"/>
                <w:szCs w:val="20"/>
              </w:rPr>
              <w:t>05</w:t>
            </w:r>
            <w:r w:rsidRPr="008D1D03">
              <w:rPr>
                <w:rFonts w:ascii="Century Gothic" w:hAnsi="Century Gothic"/>
                <w:sz w:val="20"/>
                <w:szCs w:val="20"/>
              </w:rPr>
              <w:t>.</w:t>
            </w:r>
            <w:r w:rsidR="00BA12F2">
              <w:rPr>
                <w:rFonts w:ascii="Century Gothic" w:hAnsi="Century Gothic"/>
                <w:sz w:val="20"/>
                <w:szCs w:val="20"/>
              </w:rPr>
              <w:t>17</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D1D03" w:rsidRPr="008D1D03" w:rsidRDefault="008D1D03" w:rsidP="008D1D03">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$10</w:t>
            </w:r>
            <w:r w:rsidR="00BA12F2">
              <w:rPr>
                <w:rFonts w:ascii="Century Gothic" w:hAnsi="Century Gothic"/>
                <w:sz w:val="20"/>
                <w:szCs w:val="20"/>
              </w:rPr>
              <w:t>1</w:t>
            </w:r>
            <w:r w:rsidRPr="008D1D03">
              <w:rPr>
                <w:rFonts w:ascii="Century Gothic" w:hAnsi="Century Gothic"/>
                <w:sz w:val="20"/>
                <w:szCs w:val="20"/>
              </w:rPr>
              <w:t>.</w:t>
            </w:r>
            <w:r w:rsidR="00BA12F2">
              <w:rPr>
                <w:rFonts w:ascii="Century Gothic" w:hAnsi="Century Gothic"/>
                <w:sz w:val="20"/>
                <w:szCs w:val="20"/>
              </w:rPr>
              <w:t>15</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8D1D03" w:rsidRPr="008D1D03" w:rsidRDefault="008D1D03" w:rsidP="008D1D03">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8D1D03" w:rsidRPr="008D1D03" w:rsidRDefault="008D1D03" w:rsidP="008D1D03">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8D1D03" w:rsidRPr="008D1D03" w:rsidRDefault="008D1D03" w:rsidP="008D1D03">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p>
        </w:tc>
      </w:tr>
      <w:tr w:rsidR="00BA12F2" w:rsidRPr="008D1D03" w:rsidTr="00BA12F2">
        <w:trPr>
          <w:trHeight w:val="224"/>
          <w:jc w:val="center"/>
        </w:trPr>
        <w:tc>
          <w:tcPr>
            <w:cnfStyle w:firstRow="0" w:lastRow="0" w:firstColumn="1" w:lastColumn="0" w:oddVBand="0" w:evenVBand="0" w:oddHBand="0" w:evenHBand="0" w:firstRowFirstColumn="0" w:firstRowLastColumn="0" w:lastRowFirstColumn="0" w:lastRowLastColumn="0"/>
            <w:tcW w:w="52.35pt" w:type="dxa"/>
            <w:vAlign w:val="center"/>
          </w:tcPr>
          <w:p w:rsidR="00BA12F2" w:rsidRPr="008D1D03" w:rsidRDefault="00BA12F2" w:rsidP="00BA12F2">
            <w:pPr>
              <w:pStyle w:val="CondicionesFinales"/>
              <w:ind w:start="0pt" w:end="0pt"/>
              <w:jc w:val="center"/>
              <w:rPr>
                <w:rFonts w:ascii="Century Gothic" w:hAnsi="Century Gothic"/>
                <w:sz w:val="20"/>
                <w:szCs w:val="20"/>
              </w:rPr>
            </w:pPr>
            <w:r w:rsidRPr="008D1D03">
              <w:rPr>
                <w:rFonts w:ascii="Century Gothic" w:hAnsi="Century Gothic"/>
                <w:sz w:val="20"/>
                <w:szCs w:val="20"/>
              </w:rPr>
              <w:t>20</w:t>
            </w:r>
          </w:p>
        </w:tc>
        <w:tc>
          <w:tcPr>
            <w:tcW w:w="69.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$110.86</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$109.33</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$103.93</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w:t>
            </w:r>
            <w:r>
              <w:rPr>
                <w:rFonts w:ascii="Century Gothic" w:hAnsi="Century Gothic"/>
                <w:sz w:val="20"/>
                <w:szCs w:val="20"/>
              </w:rPr>
              <w:t>3</w:t>
            </w:r>
            <w:r w:rsidRPr="008D1D03">
              <w:rPr>
                <w:rFonts w:ascii="Century Gothic" w:hAnsi="Century Gothic"/>
                <w:sz w:val="20"/>
                <w:szCs w:val="20"/>
              </w:rPr>
              <w:t>4.</w:t>
            </w:r>
            <w:r>
              <w:rPr>
                <w:rFonts w:ascii="Century Gothic" w:hAnsi="Century Gothic"/>
                <w:sz w:val="20"/>
                <w:szCs w:val="20"/>
              </w:rPr>
              <w:t>44</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$12</w:t>
            </w:r>
            <w:r>
              <w:rPr>
                <w:rFonts w:ascii="Century Gothic" w:hAnsi="Century Gothic"/>
                <w:sz w:val="20"/>
                <w:szCs w:val="20"/>
              </w:rPr>
              <w:t>9</w:t>
            </w:r>
            <w:r w:rsidRPr="008D1D03">
              <w:rPr>
                <w:rFonts w:ascii="Century Gothic" w:hAnsi="Century Gothic"/>
                <w:sz w:val="20"/>
                <w:szCs w:val="20"/>
              </w:rPr>
              <w:t>.</w:t>
            </w:r>
            <w:r>
              <w:rPr>
                <w:rFonts w:ascii="Century Gothic" w:hAnsi="Century Gothic"/>
                <w:sz w:val="20"/>
                <w:szCs w:val="20"/>
              </w:rPr>
              <w:t>86</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w:t>
            </w:r>
            <w:r>
              <w:rPr>
                <w:rFonts w:ascii="Century Gothic" w:hAnsi="Century Gothic"/>
                <w:sz w:val="20"/>
                <w:szCs w:val="20"/>
              </w:rPr>
              <w:t>14</w:t>
            </w:r>
            <w:r w:rsidRPr="008D1D03">
              <w:rPr>
                <w:rFonts w:ascii="Century Gothic" w:hAnsi="Century Gothic"/>
                <w:sz w:val="20"/>
                <w:szCs w:val="20"/>
              </w:rPr>
              <w:t>.</w:t>
            </w:r>
            <w:r>
              <w:rPr>
                <w:rFonts w:ascii="Century Gothic" w:hAnsi="Century Gothic"/>
                <w:sz w:val="20"/>
                <w:szCs w:val="20"/>
              </w:rPr>
              <w:t>58</w:t>
            </w:r>
          </w:p>
        </w:tc>
      </w:tr>
      <w:tr w:rsidR="00BA12F2" w:rsidRPr="008D1D03" w:rsidTr="00BA12F2">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52.35pt" w:type="dxa"/>
            <w:vAlign w:val="center"/>
          </w:tcPr>
          <w:p w:rsidR="00BA12F2" w:rsidRPr="008D1D03" w:rsidRDefault="00BA12F2" w:rsidP="00BA12F2">
            <w:pPr>
              <w:pStyle w:val="CondicionesFinales"/>
              <w:ind w:start="0pt" w:end="0pt"/>
              <w:jc w:val="center"/>
              <w:rPr>
                <w:rFonts w:ascii="Century Gothic" w:hAnsi="Century Gothic"/>
                <w:sz w:val="20"/>
                <w:szCs w:val="20"/>
              </w:rPr>
            </w:pPr>
            <w:r w:rsidRPr="008D1D03">
              <w:rPr>
                <w:rFonts w:ascii="Century Gothic" w:hAnsi="Century Gothic"/>
                <w:sz w:val="20"/>
                <w:szCs w:val="20"/>
              </w:rPr>
              <w:t>30</w:t>
            </w:r>
          </w:p>
        </w:tc>
        <w:tc>
          <w:tcPr>
            <w:tcW w:w="69.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$116.40</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$113.49</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$106.70</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$14</w:t>
            </w:r>
            <w:r>
              <w:rPr>
                <w:rFonts w:ascii="Century Gothic" w:hAnsi="Century Gothic"/>
                <w:sz w:val="20"/>
                <w:szCs w:val="20"/>
              </w:rPr>
              <w:t>0</w:t>
            </w:r>
            <w:r w:rsidRPr="008D1D03">
              <w:rPr>
                <w:rFonts w:ascii="Century Gothic" w:hAnsi="Century Gothic"/>
                <w:sz w:val="20"/>
                <w:szCs w:val="20"/>
              </w:rPr>
              <w:t>.</w:t>
            </w:r>
            <w:r>
              <w:rPr>
                <w:rFonts w:ascii="Century Gothic" w:hAnsi="Century Gothic"/>
                <w:sz w:val="20"/>
                <w:szCs w:val="20"/>
              </w:rPr>
              <w:t>55</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w:t>
            </w:r>
            <w:r>
              <w:rPr>
                <w:rFonts w:ascii="Century Gothic" w:hAnsi="Century Gothic"/>
                <w:sz w:val="20"/>
                <w:szCs w:val="20"/>
              </w:rPr>
              <w:t>38</w:t>
            </w:r>
            <w:r w:rsidRPr="008D1D03">
              <w:rPr>
                <w:rFonts w:ascii="Century Gothic" w:hAnsi="Century Gothic"/>
                <w:sz w:val="20"/>
                <w:szCs w:val="20"/>
              </w:rPr>
              <w:t>.</w:t>
            </w:r>
            <w:r>
              <w:rPr>
                <w:rFonts w:ascii="Century Gothic" w:hAnsi="Century Gothic"/>
                <w:sz w:val="20"/>
                <w:szCs w:val="20"/>
              </w:rPr>
              <w:t>52</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$12</w:t>
            </w:r>
            <w:r>
              <w:rPr>
                <w:rFonts w:ascii="Century Gothic" w:hAnsi="Century Gothic"/>
                <w:sz w:val="20"/>
                <w:szCs w:val="20"/>
              </w:rPr>
              <w:t>0</w:t>
            </w:r>
            <w:r w:rsidRPr="008D1D03">
              <w:rPr>
                <w:rFonts w:ascii="Century Gothic" w:hAnsi="Century Gothic"/>
                <w:sz w:val="20"/>
                <w:szCs w:val="20"/>
              </w:rPr>
              <w:t>.</w:t>
            </w:r>
            <w:r>
              <w:rPr>
                <w:rFonts w:ascii="Century Gothic" w:hAnsi="Century Gothic"/>
                <w:sz w:val="20"/>
                <w:szCs w:val="20"/>
              </w:rPr>
              <w:t>18</w:t>
            </w:r>
          </w:p>
        </w:tc>
      </w:tr>
      <w:tr w:rsidR="00BA12F2" w:rsidRPr="008D1D03" w:rsidTr="00BA12F2">
        <w:trPr>
          <w:trHeight w:val="224"/>
          <w:jc w:val="center"/>
        </w:trPr>
        <w:tc>
          <w:tcPr>
            <w:cnfStyle w:firstRow="0" w:lastRow="0" w:firstColumn="1" w:lastColumn="0" w:oddVBand="0" w:evenVBand="0" w:oddHBand="0" w:evenHBand="0" w:firstRowFirstColumn="0" w:firstRowLastColumn="0" w:lastRowFirstColumn="0" w:lastRowLastColumn="0"/>
            <w:tcW w:w="52.35pt" w:type="dxa"/>
            <w:vAlign w:val="center"/>
          </w:tcPr>
          <w:p w:rsidR="00BA12F2" w:rsidRPr="008D1D03" w:rsidRDefault="00BA12F2" w:rsidP="00BA12F2">
            <w:pPr>
              <w:pStyle w:val="CondicionesFinales"/>
              <w:ind w:start="0pt" w:end="0pt"/>
              <w:jc w:val="center"/>
              <w:rPr>
                <w:rFonts w:ascii="Century Gothic" w:hAnsi="Century Gothic"/>
                <w:sz w:val="20"/>
                <w:szCs w:val="20"/>
              </w:rPr>
            </w:pPr>
            <w:r w:rsidRPr="008D1D03">
              <w:rPr>
                <w:rFonts w:ascii="Century Gothic" w:hAnsi="Century Gothic"/>
                <w:sz w:val="20"/>
                <w:szCs w:val="20"/>
              </w:rPr>
              <w:t>40</w:t>
            </w:r>
          </w:p>
        </w:tc>
        <w:tc>
          <w:tcPr>
            <w:tcW w:w="69.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$125.13</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$119.31</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$112.52</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color w:val="000000" w:themeColor="text1"/>
                <w:sz w:val="20"/>
                <w:szCs w:val="20"/>
              </w:rPr>
            </w:pP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color w:val="000000" w:themeColor="text1"/>
                <w:sz w:val="20"/>
                <w:szCs w:val="20"/>
              </w:rPr>
            </w:pP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color w:val="000000" w:themeColor="text1"/>
                <w:sz w:val="20"/>
                <w:szCs w:val="20"/>
              </w:rPr>
            </w:pPr>
          </w:p>
        </w:tc>
      </w:tr>
      <w:tr w:rsidR="00BA12F2" w:rsidRPr="008D1D03" w:rsidTr="00BA12F2">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52.35pt" w:type="dxa"/>
            <w:vAlign w:val="center"/>
          </w:tcPr>
          <w:p w:rsidR="00BA12F2" w:rsidRPr="008D1D03" w:rsidRDefault="00BA12F2" w:rsidP="00BA12F2">
            <w:pPr>
              <w:pStyle w:val="CondicionesFinales"/>
              <w:ind w:start="0pt" w:end="0pt"/>
              <w:jc w:val="center"/>
              <w:rPr>
                <w:rFonts w:ascii="Century Gothic" w:hAnsi="Century Gothic"/>
                <w:sz w:val="20"/>
                <w:szCs w:val="20"/>
              </w:rPr>
            </w:pPr>
            <w:r w:rsidRPr="008D1D03">
              <w:rPr>
                <w:rFonts w:ascii="Century Gothic" w:hAnsi="Century Gothic"/>
                <w:sz w:val="20"/>
                <w:szCs w:val="20"/>
              </w:rPr>
              <w:t>50</w:t>
            </w:r>
          </w:p>
        </w:tc>
        <w:tc>
          <w:tcPr>
            <w:tcW w:w="69.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$139.68</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$129.98</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$114.46</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$143.61</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$142.59</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$122.22</w:t>
            </w:r>
          </w:p>
        </w:tc>
      </w:tr>
      <w:tr w:rsidR="00BA12F2" w:rsidRPr="008D1D03" w:rsidTr="00BA12F2">
        <w:trPr>
          <w:trHeight w:val="224"/>
          <w:jc w:val="center"/>
        </w:trPr>
        <w:tc>
          <w:tcPr>
            <w:cnfStyle w:firstRow="0" w:lastRow="0" w:firstColumn="1" w:lastColumn="0" w:oddVBand="0" w:evenVBand="0" w:oddHBand="0" w:evenHBand="0" w:firstRowFirstColumn="0" w:firstRowLastColumn="0" w:lastRowFirstColumn="0" w:lastRowLastColumn="0"/>
            <w:tcW w:w="52.35pt" w:type="dxa"/>
            <w:vAlign w:val="center"/>
          </w:tcPr>
          <w:p w:rsidR="00BA12F2" w:rsidRPr="008D1D03" w:rsidRDefault="00BA12F2" w:rsidP="00BA12F2">
            <w:pPr>
              <w:pStyle w:val="CondicionesFinales"/>
              <w:ind w:start="0pt" w:end="0pt"/>
              <w:jc w:val="center"/>
              <w:rPr>
                <w:rFonts w:ascii="Century Gothic" w:hAnsi="Century Gothic"/>
                <w:sz w:val="20"/>
                <w:szCs w:val="20"/>
              </w:rPr>
            </w:pPr>
            <w:r w:rsidRPr="008D1D03">
              <w:rPr>
                <w:rFonts w:ascii="Century Gothic" w:hAnsi="Century Gothic"/>
                <w:sz w:val="20"/>
                <w:szCs w:val="20"/>
              </w:rPr>
              <w:t>60</w:t>
            </w:r>
          </w:p>
        </w:tc>
        <w:tc>
          <w:tcPr>
            <w:tcW w:w="69.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$140.65</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$132.89</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$119.31</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$146.66</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$144.63</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$124.26</w:t>
            </w:r>
          </w:p>
        </w:tc>
      </w:tr>
      <w:tr w:rsidR="00BA12F2" w:rsidRPr="008D1D03" w:rsidTr="00BA12F2">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52.35pt" w:type="dxa"/>
            <w:vAlign w:val="center"/>
          </w:tcPr>
          <w:p w:rsidR="00BA12F2" w:rsidRPr="008D1D03" w:rsidRDefault="00BA12F2" w:rsidP="00BA12F2">
            <w:pPr>
              <w:pStyle w:val="CondicionesFinales"/>
              <w:ind w:start="0pt" w:end="0pt"/>
              <w:jc w:val="center"/>
              <w:rPr>
                <w:rFonts w:ascii="Century Gothic" w:hAnsi="Century Gothic"/>
                <w:sz w:val="20"/>
                <w:szCs w:val="20"/>
              </w:rPr>
            </w:pPr>
            <w:r w:rsidRPr="008D1D03">
              <w:rPr>
                <w:rFonts w:ascii="Century Gothic" w:hAnsi="Century Gothic"/>
                <w:sz w:val="20"/>
                <w:szCs w:val="20"/>
              </w:rPr>
              <w:t>70</w:t>
            </w:r>
          </w:p>
        </w:tc>
        <w:tc>
          <w:tcPr>
            <w:tcW w:w="69.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$147.44</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$145.50</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$124.16</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$149.72</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$146.66</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$126.29</w:t>
            </w:r>
          </w:p>
        </w:tc>
      </w:tr>
      <w:tr w:rsidR="00BA12F2" w:rsidRPr="008D1D03" w:rsidTr="00BA12F2">
        <w:trPr>
          <w:trHeight w:val="224"/>
          <w:jc w:val="center"/>
        </w:trPr>
        <w:tc>
          <w:tcPr>
            <w:cnfStyle w:firstRow="0" w:lastRow="0" w:firstColumn="1" w:lastColumn="0" w:oddVBand="0" w:evenVBand="0" w:oddHBand="0" w:evenHBand="0" w:firstRowFirstColumn="0" w:firstRowLastColumn="0" w:lastRowFirstColumn="0" w:lastRowLastColumn="0"/>
            <w:tcW w:w="52.35pt" w:type="dxa"/>
            <w:vAlign w:val="center"/>
          </w:tcPr>
          <w:p w:rsidR="00BA12F2" w:rsidRPr="008D1D03" w:rsidRDefault="00BA12F2" w:rsidP="00BA12F2">
            <w:pPr>
              <w:pStyle w:val="CondicionesFinales"/>
              <w:ind w:start="0pt" w:end="0pt"/>
              <w:jc w:val="center"/>
              <w:rPr>
                <w:rFonts w:ascii="Century Gothic" w:hAnsi="Century Gothic"/>
                <w:sz w:val="20"/>
                <w:szCs w:val="20"/>
              </w:rPr>
            </w:pPr>
            <w:r w:rsidRPr="008D1D03">
              <w:rPr>
                <w:rFonts w:ascii="Century Gothic" w:hAnsi="Century Gothic"/>
                <w:sz w:val="20"/>
                <w:szCs w:val="20"/>
              </w:rPr>
              <w:t>80</w:t>
            </w:r>
          </w:p>
        </w:tc>
        <w:tc>
          <w:tcPr>
            <w:tcW w:w="69.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cs="Arial"/>
                <w:color w:val="000000"/>
                <w:sz w:val="20"/>
                <w:szCs w:val="20"/>
              </w:rPr>
            </w:pPr>
            <w:r w:rsidRPr="008D1D03">
              <w:rPr>
                <w:rFonts w:ascii="Century Gothic" w:hAnsi="Century Gothic"/>
                <w:sz w:val="20"/>
                <w:szCs w:val="20"/>
              </w:rPr>
              <w:t>$152.29</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cs="Arial"/>
                <w:color w:val="000000"/>
                <w:sz w:val="20"/>
                <w:szCs w:val="20"/>
              </w:rPr>
            </w:pPr>
            <w:r w:rsidRPr="008D1D03">
              <w:rPr>
                <w:rFonts w:ascii="Century Gothic" w:hAnsi="Century Gothic"/>
                <w:sz w:val="20"/>
                <w:szCs w:val="20"/>
              </w:rPr>
              <w:t>$150.35</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cs="Arial"/>
                <w:sz w:val="20"/>
                <w:szCs w:val="20"/>
              </w:rPr>
            </w:pPr>
            <w:r w:rsidRPr="008D1D03">
              <w:rPr>
                <w:rFonts w:ascii="Century Gothic" w:hAnsi="Century Gothic"/>
                <w:sz w:val="20"/>
                <w:szCs w:val="20"/>
              </w:rPr>
              <w:t>$126.10</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cs="Arial"/>
                <w:color w:val="000000"/>
                <w:sz w:val="20"/>
                <w:szCs w:val="20"/>
              </w:rPr>
            </w:pPr>
            <w:r w:rsidRPr="008D1D03">
              <w:rPr>
                <w:rFonts w:ascii="Century Gothic" w:hAnsi="Century Gothic"/>
                <w:sz w:val="20"/>
                <w:szCs w:val="20"/>
              </w:rPr>
              <w:t>$154.81</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cs="Arial"/>
                <w:color w:val="000000"/>
                <w:sz w:val="20"/>
                <w:szCs w:val="20"/>
              </w:rPr>
            </w:pPr>
            <w:r w:rsidRPr="008D1D03">
              <w:rPr>
                <w:rFonts w:ascii="Century Gothic" w:hAnsi="Century Gothic"/>
                <w:sz w:val="20"/>
                <w:szCs w:val="20"/>
              </w:rPr>
              <w:t>$152.78</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cs="Arial"/>
                <w:sz w:val="20"/>
                <w:szCs w:val="20"/>
              </w:rPr>
            </w:pPr>
            <w:r w:rsidRPr="008D1D03">
              <w:rPr>
                <w:rFonts w:ascii="Century Gothic" w:hAnsi="Century Gothic"/>
                <w:sz w:val="20"/>
                <w:szCs w:val="20"/>
              </w:rPr>
              <w:t>$130.37</w:t>
            </w:r>
          </w:p>
        </w:tc>
      </w:tr>
      <w:tr w:rsidR="00BA12F2" w:rsidRPr="008D1D03" w:rsidTr="00BA12F2">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52.35pt" w:type="dxa"/>
            <w:vAlign w:val="center"/>
          </w:tcPr>
          <w:p w:rsidR="00BA12F2" w:rsidRPr="008D1D03" w:rsidRDefault="00BA12F2" w:rsidP="00BA12F2">
            <w:pPr>
              <w:pStyle w:val="CondicionesFinales"/>
              <w:ind w:start="0pt" w:end="0pt"/>
              <w:jc w:val="center"/>
              <w:rPr>
                <w:rFonts w:ascii="Century Gothic" w:hAnsi="Century Gothic"/>
                <w:sz w:val="20"/>
                <w:szCs w:val="20"/>
              </w:rPr>
            </w:pPr>
            <w:r w:rsidRPr="008D1D03">
              <w:rPr>
                <w:rFonts w:ascii="Century Gothic" w:hAnsi="Century Gothic"/>
                <w:sz w:val="20"/>
                <w:szCs w:val="20"/>
              </w:rPr>
              <w:t>100</w:t>
            </w:r>
          </w:p>
        </w:tc>
        <w:tc>
          <w:tcPr>
            <w:tcW w:w="69.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$155.20</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$153.26</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$127.07</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$159.90</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$157.87</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$132.41</w:t>
            </w:r>
          </w:p>
        </w:tc>
      </w:tr>
      <w:tr w:rsidR="00BA12F2" w:rsidRPr="008D1D03" w:rsidTr="00BA12F2">
        <w:trPr>
          <w:trHeight w:val="224"/>
          <w:jc w:val="center"/>
        </w:trPr>
        <w:tc>
          <w:tcPr>
            <w:cnfStyle w:firstRow="0" w:lastRow="0" w:firstColumn="1" w:lastColumn="0" w:oddVBand="0" w:evenVBand="0" w:oddHBand="0" w:evenHBand="0" w:firstRowFirstColumn="0" w:firstRowLastColumn="0" w:lastRowFirstColumn="0" w:lastRowLastColumn="0"/>
            <w:tcW w:w="52.35pt" w:type="dxa"/>
            <w:vAlign w:val="center"/>
          </w:tcPr>
          <w:p w:rsidR="00BA12F2" w:rsidRPr="008D1D03" w:rsidRDefault="00BA12F2" w:rsidP="00BA12F2">
            <w:pPr>
              <w:pStyle w:val="CondicionesFinales"/>
              <w:ind w:start="0pt" w:end="0pt"/>
              <w:jc w:val="center"/>
              <w:rPr>
                <w:rFonts w:ascii="Century Gothic" w:hAnsi="Century Gothic"/>
                <w:sz w:val="20"/>
                <w:szCs w:val="20"/>
              </w:rPr>
            </w:pPr>
            <w:r w:rsidRPr="008D1D03">
              <w:rPr>
                <w:rFonts w:ascii="Century Gothic" w:hAnsi="Century Gothic"/>
                <w:sz w:val="20"/>
                <w:szCs w:val="20"/>
              </w:rPr>
              <w:t>120</w:t>
            </w:r>
          </w:p>
        </w:tc>
        <w:tc>
          <w:tcPr>
            <w:tcW w:w="69.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$159.08</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$157.14</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$129.98</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$167.03</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$165.00</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$136.48</w:t>
            </w:r>
          </w:p>
        </w:tc>
      </w:tr>
      <w:tr w:rsidR="00BA12F2" w:rsidRPr="008D1D03" w:rsidTr="00BA12F2">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52.35pt" w:type="dxa"/>
            <w:vAlign w:val="center"/>
          </w:tcPr>
          <w:p w:rsidR="00BA12F2" w:rsidRPr="008D1D03" w:rsidRDefault="00BA12F2" w:rsidP="00BA12F2">
            <w:pPr>
              <w:pStyle w:val="CondicionesFinales"/>
              <w:ind w:start="0pt" w:end="0pt"/>
              <w:jc w:val="center"/>
              <w:rPr>
                <w:rFonts w:ascii="Century Gothic" w:hAnsi="Century Gothic"/>
                <w:sz w:val="20"/>
                <w:szCs w:val="20"/>
              </w:rPr>
            </w:pPr>
            <w:r w:rsidRPr="008D1D03">
              <w:rPr>
                <w:rFonts w:ascii="Century Gothic" w:hAnsi="Century Gothic"/>
                <w:sz w:val="20"/>
                <w:szCs w:val="20"/>
              </w:rPr>
              <w:t>150</w:t>
            </w:r>
          </w:p>
        </w:tc>
        <w:tc>
          <w:tcPr>
            <w:tcW w:w="69.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$161.99</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$159.08</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$131.92</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$170.09</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$167.03</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$138.52</w:t>
            </w:r>
          </w:p>
        </w:tc>
      </w:tr>
      <w:tr w:rsidR="00BA12F2" w:rsidRPr="008D1D03" w:rsidTr="00BA12F2">
        <w:trPr>
          <w:trHeight w:val="224"/>
          <w:jc w:val="center"/>
        </w:trPr>
        <w:tc>
          <w:tcPr>
            <w:cnfStyle w:firstRow="0" w:lastRow="0" w:firstColumn="1" w:lastColumn="0" w:oddVBand="0" w:evenVBand="0" w:oddHBand="0" w:evenHBand="0" w:firstRowFirstColumn="0" w:firstRowLastColumn="0" w:lastRowFirstColumn="0" w:lastRowLastColumn="0"/>
            <w:tcW w:w="52.35pt" w:type="dxa"/>
            <w:vAlign w:val="center"/>
          </w:tcPr>
          <w:p w:rsidR="00BA12F2" w:rsidRPr="008D1D03" w:rsidRDefault="00BA12F2" w:rsidP="00BA12F2">
            <w:pPr>
              <w:pStyle w:val="CondicionesFinales"/>
              <w:ind w:start="0pt" w:end="0pt"/>
              <w:jc w:val="center"/>
              <w:rPr>
                <w:rFonts w:ascii="Century Gothic" w:hAnsi="Century Gothic"/>
                <w:sz w:val="20"/>
                <w:szCs w:val="20"/>
              </w:rPr>
            </w:pPr>
            <w:r w:rsidRPr="008D1D03">
              <w:rPr>
                <w:rFonts w:ascii="Century Gothic" w:hAnsi="Century Gothic"/>
                <w:sz w:val="20"/>
                <w:szCs w:val="20"/>
              </w:rPr>
              <w:t>200</w:t>
            </w:r>
          </w:p>
        </w:tc>
        <w:tc>
          <w:tcPr>
            <w:tcW w:w="69.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$177.51</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$169.75</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$138.71</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$186.39</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$178.24</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$145.65</w:t>
            </w:r>
          </w:p>
        </w:tc>
      </w:tr>
      <w:tr w:rsidR="00BA12F2" w:rsidRPr="008D1D03" w:rsidTr="00BA12F2">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52.35pt" w:type="dxa"/>
            <w:vAlign w:val="center"/>
          </w:tcPr>
          <w:p w:rsidR="00BA12F2" w:rsidRPr="008D1D03" w:rsidRDefault="00BA12F2" w:rsidP="00BA12F2">
            <w:pPr>
              <w:pStyle w:val="CondicionesFinales"/>
              <w:ind w:start="0pt" w:end="0pt"/>
              <w:jc w:val="center"/>
              <w:rPr>
                <w:rFonts w:ascii="Century Gothic" w:hAnsi="Century Gothic"/>
                <w:sz w:val="20"/>
                <w:szCs w:val="20"/>
              </w:rPr>
            </w:pPr>
            <w:r w:rsidRPr="008D1D03">
              <w:rPr>
                <w:rFonts w:ascii="Century Gothic" w:hAnsi="Century Gothic"/>
                <w:sz w:val="20"/>
                <w:szCs w:val="20"/>
              </w:rPr>
              <w:t>250</w:t>
            </w:r>
          </w:p>
        </w:tc>
        <w:tc>
          <w:tcPr>
            <w:tcW w:w="69.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$193.03</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$179.45</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$145.50</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$202.68</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$188.42</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$152.78</w:t>
            </w:r>
          </w:p>
        </w:tc>
      </w:tr>
      <w:tr w:rsidR="00BA12F2" w:rsidRPr="008D1D03" w:rsidTr="00BA12F2">
        <w:trPr>
          <w:trHeight w:val="224"/>
          <w:jc w:val="center"/>
        </w:trPr>
        <w:tc>
          <w:tcPr>
            <w:cnfStyle w:firstRow="0" w:lastRow="0" w:firstColumn="1" w:lastColumn="0" w:oddVBand="0" w:evenVBand="0" w:oddHBand="0" w:evenHBand="0" w:firstRowFirstColumn="0" w:firstRowLastColumn="0" w:lastRowFirstColumn="0" w:lastRowLastColumn="0"/>
            <w:tcW w:w="52.35pt" w:type="dxa"/>
            <w:vAlign w:val="center"/>
          </w:tcPr>
          <w:p w:rsidR="00BA12F2" w:rsidRPr="008D1D03" w:rsidRDefault="00BA12F2" w:rsidP="00BA12F2">
            <w:pPr>
              <w:pStyle w:val="CondicionesFinales"/>
              <w:ind w:start="0pt" w:end="0pt"/>
              <w:jc w:val="center"/>
              <w:rPr>
                <w:rFonts w:ascii="Century Gothic" w:hAnsi="Century Gothic"/>
                <w:sz w:val="20"/>
                <w:szCs w:val="20"/>
              </w:rPr>
            </w:pPr>
            <w:r w:rsidRPr="008D1D03">
              <w:rPr>
                <w:rFonts w:ascii="Century Gothic" w:hAnsi="Century Gothic"/>
                <w:sz w:val="20"/>
                <w:szCs w:val="20"/>
              </w:rPr>
              <w:t>300</w:t>
            </w:r>
          </w:p>
        </w:tc>
        <w:tc>
          <w:tcPr>
            <w:tcW w:w="69.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$228.92</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$220.19</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$187.82</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$240.37</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$231.20</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$197.21</w:t>
            </w:r>
          </w:p>
        </w:tc>
      </w:tr>
      <w:tr w:rsidR="00BA12F2" w:rsidRPr="008D1D03" w:rsidTr="00BA12F2">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52.35pt" w:type="dxa"/>
            <w:vAlign w:val="center"/>
          </w:tcPr>
          <w:p w:rsidR="00BA12F2" w:rsidRPr="008D1D03" w:rsidRDefault="00BA12F2" w:rsidP="00BA12F2">
            <w:pPr>
              <w:pStyle w:val="CondicionesFinales"/>
              <w:ind w:start="0pt" w:end="0pt"/>
              <w:jc w:val="center"/>
              <w:rPr>
                <w:rFonts w:ascii="Century Gothic" w:hAnsi="Century Gothic"/>
                <w:sz w:val="20"/>
                <w:szCs w:val="20"/>
              </w:rPr>
            </w:pPr>
            <w:r w:rsidRPr="008D1D03">
              <w:rPr>
                <w:rFonts w:ascii="Century Gothic" w:hAnsi="Century Gothic"/>
                <w:sz w:val="20"/>
                <w:szCs w:val="20"/>
              </w:rPr>
              <w:t>350</w:t>
            </w:r>
          </w:p>
        </w:tc>
        <w:tc>
          <w:tcPr>
            <w:tcW w:w="69.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$246.38</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$236.94</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$196.01</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$258.70</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$248.79</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$205.81</w:t>
            </w:r>
          </w:p>
        </w:tc>
      </w:tr>
      <w:tr w:rsidR="00BA12F2" w:rsidRPr="008D1D03" w:rsidTr="00BA12F2">
        <w:trPr>
          <w:trHeight w:val="224"/>
          <w:jc w:val="center"/>
        </w:trPr>
        <w:tc>
          <w:tcPr>
            <w:cnfStyle w:firstRow="0" w:lastRow="0" w:firstColumn="1" w:lastColumn="0" w:oddVBand="0" w:evenVBand="0" w:oddHBand="0" w:evenHBand="0" w:firstRowFirstColumn="0" w:firstRowLastColumn="0" w:lastRowFirstColumn="0" w:lastRowLastColumn="0"/>
            <w:tcW w:w="52.35pt" w:type="dxa"/>
            <w:vAlign w:val="center"/>
          </w:tcPr>
          <w:p w:rsidR="00BA12F2" w:rsidRPr="008D1D03" w:rsidRDefault="00BA12F2" w:rsidP="00BA12F2">
            <w:pPr>
              <w:pStyle w:val="CondicionesFinales"/>
              <w:ind w:start="0pt" w:end="0pt"/>
              <w:jc w:val="center"/>
              <w:rPr>
                <w:rFonts w:ascii="Century Gothic" w:hAnsi="Century Gothic"/>
                <w:sz w:val="20"/>
                <w:szCs w:val="20"/>
              </w:rPr>
            </w:pPr>
            <w:r w:rsidRPr="008D1D03">
              <w:rPr>
                <w:rFonts w:ascii="Century Gothic" w:hAnsi="Century Gothic"/>
                <w:sz w:val="20"/>
                <w:szCs w:val="20"/>
              </w:rPr>
              <w:t>400</w:t>
            </w:r>
          </w:p>
        </w:tc>
        <w:tc>
          <w:tcPr>
            <w:tcW w:w="69.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$272.57</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$252.69</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$207.06</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$286.20</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$265.32</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$217.41</w:t>
            </w:r>
          </w:p>
        </w:tc>
      </w:tr>
      <w:tr w:rsidR="00BA12F2" w:rsidRPr="008D1D03" w:rsidTr="00BA12F2">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52.35pt" w:type="dxa"/>
            <w:vAlign w:val="center"/>
          </w:tcPr>
          <w:p w:rsidR="00BA12F2" w:rsidRPr="008D1D03" w:rsidRDefault="00BA12F2" w:rsidP="00BA12F2">
            <w:pPr>
              <w:pStyle w:val="CondicionesFinales"/>
              <w:ind w:start="0pt" w:end="0pt"/>
              <w:jc w:val="center"/>
              <w:rPr>
                <w:rFonts w:ascii="Century Gothic" w:hAnsi="Century Gothic"/>
                <w:sz w:val="20"/>
                <w:szCs w:val="20"/>
              </w:rPr>
            </w:pPr>
            <w:r w:rsidRPr="008D1D03">
              <w:rPr>
                <w:rFonts w:ascii="Century Gothic" w:hAnsi="Century Gothic"/>
                <w:sz w:val="20"/>
                <w:szCs w:val="20"/>
              </w:rPr>
              <w:t>500</w:t>
            </w:r>
          </w:p>
        </w:tc>
        <w:tc>
          <w:tcPr>
            <w:tcW w:w="69.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$280.33</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$269.66</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$219.22</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$290.14</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$279.10</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$226.89</w:t>
            </w:r>
          </w:p>
        </w:tc>
      </w:tr>
      <w:tr w:rsidR="00BA12F2" w:rsidRPr="008D1D03" w:rsidTr="00BA12F2">
        <w:trPr>
          <w:trHeight w:val="224"/>
          <w:jc w:val="center"/>
        </w:trPr>
        <w:tc>
          <w:tcPr>
            <w:cnfStyle w:firstRow="0" w:lastRow="0" w:firstColumn="1" w:lastColumn="0" w:oddVBand="0" w:evenVBand="0" w:oddHBand="0" w:evenHBand="0" w:firstRowFirstColumn="0" w:firstRowLastColumn="0" w:lastRowFirstColumn="0" w:lastRowLastColumn="0"/>
            <w:tcW w:w="52.35pt" w:type="dxa"/>
            <w:vAlign w:val="center"/>
          </w:tcPr>
          <w:p w:rsidR="00BA12F2" w:rsidRPr="008D1D03" w:rsidRDefault="00BA12F2" w:rsidP="00BA12F2">
            <w:pPr>
              <w:pStyle w:val="CondicionesFinales"/>
              <w:ind w:start="0pt" w:end="0pt"/>
              <w:jc w:val="center"/>
              <w:rPr>
                <w:rFonts w:ascii="Century Gothic" w:hAnsi="Century Gothic"/>
                <w:sz w:val="20"/>
                <w:szCs w:val="20"/>
              </w:rPr>
            </w:pPr>
            <w:r w:rsidRPr="008D1D03">
              <w:rPr>
                <w:rFonts w:ascii="Century Gothic" w:hAnsi="Century Gothic"/>
                <w:sz w:val="20"/>
                <w:szCs w:val="20"/>
              </w:rPr>
              <w:t>750</w:t>
            </w:r>
          </w:p>
        </w:tc>
        <w:tc>
          <w:tcPr>
            <w:tcW w:w="69.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$313.31</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$295.86</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$237.37</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$318.01</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$300.30</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BA12F2" w:rsidP="00BA12F2">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D1D03">
              <w:rPr>
                <w:rFonts w:ascii="Century Gothic" w:hAnsi="Century Gothic"/>
                <w:sz w:val="20"/>
                <w:szCs w:val="20"/>
              </w:rPr>
              <w:t>$240.93</w:t>
            </w:r>
          </w:p>
        </w:tc>
      </w:tr>
      <w:tr w:rsidR="00BA12F2" w:rsidRPr="008D1D03" w:rsidTr="00BA12F2">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52.35pt" w:type="dxa"/>
            <w:vAlign w:val="center"/>
          </w:tcPr>
          <w:p w:rsidR="00BA12F2" w:rsidRPr="008D1D03" w:rsidRDefault="00BA12F2" w:rsidP="00BA12F2">
            <w:pPr>
              <w:pStyle w:val="CondicionesFinales"/>
              <w:ind w:start="0pt" w:end="0pt"/>
              <w:jc w:val="center"/>
              <w:rPr>
                <w:rFonts w:ascii="Century Gothic" w:hAnsi="Century Gothic"/>
                <w:sz w:val="20"/>
                <w:szCs w:val="20"/>
              </w:rPr>
            </w:pPr>
            <w:r w:rsidRPr="008D1D03">
              <w:rPr>
                <w:rFonts w:ascii="Century Gothic" w:hAnsi="Century Gothic"/>
                <w:sz w:val="20"/>
                <w:szCs w:val="20"/>
              </w:rPr>
              <w:t>1000</w:t>
            </w:r>
          </w:p>
        </w:tc>
        <w:tc>
          <w:tcPr>
            <w:tcW w:w="69.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E94D9E"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sz w:val="20"/>
                <w:szCs w:val="20"/>
              </w:rPr>
              <w:t>$389.80</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E94D9E"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sz w:val="20"/>
                <w:szCs w:val="20"/>
              </w:rPr>
              <w:t>$340.25</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E94D9E"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sz w:val="20"/>
                <w:szCs w:val="20"/>
              </w:rPr>
              <w:t>$264.48</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E94D9E"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sz w:val="20"/>
                <w:szCs w:val="20"/>
              </w:rPr>
              <w:t>$626.26</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E94D9E"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sz w:val="20"/>
                <w:szCs w:val="20"/>
              </w:rPr>
              <w:t>$500.67</w:t>
            </w:r>
          </w:p>
        </w:tc>
        <w:tc>
          <w:tcPr>
            <w:tcW w:w="69.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A12F2" w:rsidRPr="008D1D03" w:rsidRDefault="00E94D9E" w:rsidP="00BA12F2">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sz w:val="20"/>
                <w:szCs w:val="20"/>
              </w:rPr>
              <w:t>$382.44</w:t>
            </w:r>
          </w:p>
        </w:tc>
      </w:tr>
    </w:tbl>
    <w:p w:rsidR="00277ED2" w:rsidRPr="00611019" w:rsidRDefault="00E56462" w:rsidP="00035D2C">
      <w:pPr>
        <w:spacing w:after="6pt"/>
        <w:jc w:val="both"/>
        <w:rPr>
          <w:rFonts w:ascii="Century Gothic" w:eastAsia="Times New Roman" w:hAnsi="Century Gothic" w:cs="Arial"/>
          <w:sz w:val="18"/>
          <w:szCs w:val="18"/>
        </w:rPr>
      </w:pPr>
      <w:r>
        <w:rPr>
          <w:rFonts w:ascii="Century Gothic" w:eastAsia="Times New Roman" w:hAnsi="Century Gothic" w:cs="Arial"/>
          <w:sz w:val="18"/>
          <w:szCs w:val="18"/>
        </w:rPr>
        <w:t xml:space="preserve"> */El ancho de banda es de bajada de información debido a que es un servicio asimétrico.</w:t>
      </w:r>
    </w:p>
    <w:p w:rsidR="00885265" w:rsidRPr="00611019" w:rsidRDefault="00885265" w:rsidP="00035D2C">
      <w:pPr>
        <w:jc w:val="both"/>
        <w:rPr>
          <w:rFonts w:ascii="Century Gothic" w:eastAsia="Times New Roman" w:hAnsi="Century Gothic" w:cs="Arial"/>
          <w:sz w:val="20"/>
          <w:szCs w:val="20"/>
        </w:rPr>
      </w:pPr>
    </w:p>
    <w:tbl>
      <w:tblPr>
        <w:tblStyle w:val="Tablanormal1"/>
        <w:tblW w:w="83.0%" w:type="pct"/>
        <w:jc w:val="center"/>
        <w:tblLook w:firstRow="1" w:lastRow="0" w:firstColumn="1" w:lastColumn="0" w:noHBand="0" w:noVBand="1"/>
      </w:tblPr>
      <w:tblGrid>
        <w:gridCol w:w="2047"/>
        <w:gridCol w:w="1575"/>
        <w:gridCol w:w="1970"/>
        <w:gridCol w:w="2205"/>
      </w:tblGrid>
      <w:tr w:rsidR="0061711D" w:rsidTr="008B798A">
        <w:trPr>
          <w:cnfStyle w:firstRow="1" w:lastRow="0" w:firstColumn="0" w:lastColumn="0" w:oddVBand="0" w:evenVBand="0" w:oddHBand="0" w:evenHBand="0" w:firstRowFirstColumn="0" w:firstRowLastColumn="0" w:lastRowFirstColumn="0" w:lastRowLastColumn="0"/>
          <w:trHeight w:val="227"/>
          <w:jc w:val="center"/>
        </w:trPr>
        <w:tc>
          <w:tcPr>
            <w:cnfStyle w:firstRow="0" w:lastRow="0" w:firstColumn="1" w:lastColumn="0" w:oddVBand="0" w:evenVBand="0" w:oddHBand="0" w:evenHBand="0" w:firstRowFirstColumn="0" w:firstRowLastColumn="0" w:lastRowFirstColumn="0" w:lastRowLastColumn="0"/>
            <w:tcW w:w="26.0%" w:type="pct"/>
            <w:shd w:val="clear" w:color="auto" w:fill="009AD9"/>
          </w:tcPr>
          <w:p w:rsidR="00885265" w:rsidRPr="00611019" w:rsidRDefault="00885265" w:rsidP="00035D2C">
            <w:pPr>
              <w:ind w:start="0.30pt"/>
              <w:jc w:val="center"/>
              <w:rPr>
                <w:rFonts w:ascii="Century Gothic" w:hAnsi="Century Gothic"/>
                <w:color w:val="FFFFFF" w:themeColor="background1"/>
                <w:sz w:val="20"/>
                <w:szCs w:val="20"/>
                <w:lang w:val="es-ES_tradnl"/>
              </w:rPr>
            </w:pPr>
          </w:p>
        </w:tc>
        <w:tc>
          <w:tcPr>
            <w:tcW w:w="73.0%" w:type="pct"/>
            <w:gridSpan w:val="3"/>
            <w:shd w:val="clear" w:color="auto" w:fill="009AD9"/>
          </w:tcPr>
          <w:p w:rsidR="00885265" w:rsidRPr="00611019" w:rsidRDefault="00E56462" w:rsidP="00035D2C">
            <w:pPr>
              <w:ind w:start="0.30pt"/>
              <w:jc w:val="center"/>
              <w:cnfStyle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szCs w:val="20"/>
                <w:lang w:val="es-ES_tradnl"/>
              </w:rPr>
            </w:pPr>
            <w:r>
              <w:rPr>
                <w:rFonts w:ascii="Century Gothic" w:hAnsi="Century Gothic"/>
                <w:color w:val="FFFFFF" w:themeColor="background1"/>
                <w:sz w:val="20"/>
                <w:szCs w:val="20"/>
                <w:lang w:val="es-ES_tradnl"/>
              </w:rPr>
              <w:t>Renta mensual por entrega del servicio a nivel</w:t>
            </w:r>
          </w:p>
        </w:tc>
      </w:tr>
      <w:tr w:rsidR="0061711D" w:rsidTr="008B798A">
        <w:trPr>
          <w:cnfStyle w:firstRow="0" w:lastRow="0" w:firstColumn="0" w:lastColumn="0" w:oddVBand="0" w:evenVBand="0" w:oddHBand="1" w:evenHBand="0" w:firstRowFirstColumn="0" w:firstRowLastColumn="0" w:lastRowFirstColumn="0" w:lastRowLastColumn="0"/>
          <w:trHeight w:val="227"/>
          <w:jc w:val="center"/>
        </w:trPr>
        <w:tc>
          <w:tcPr>
            <w:cnfStyle w:firstRow="0" w:lastRow="0" w:firstColumn="1" w:lastColumn="0" w:oddVBand="0" w:evenVBand="0" w:oddHBand="0" w:evenHBand="0" w:firstRowFirstColumn="0" w:firstRowLastColumn="0" w:lastRowFirstColumn="0" w:lastRowLastColumn="0"/>
            <w:tcW w:w="26.0%" w:type="pct"/>
          </w:tcPr>
          <w:p w:rsidR="00885265" w:rsidRPr="00611019" w:rsidRDefault="00E56462" w:rsidP="00035D2C">
            <w:pPr>
              <w:ind w:start="1.10pt"/>
              <w:jc w:val="center"/>
              <w:rPr>
                <w:rFonts w:ascii="Century Gothic" w:hAnsi="Century Gothic"/>
                <w:color w:val="000000"/>
                <w:sz w:val="20"/>
                <w:szCs w:val="20"/>
                <w:lang w:val="es-ES_tradnl"/>
              </w:rPr>
            </w:pPr>
            <w:r>
              <w:rPr>
                <w:rFonts w:ascii="Century Gothic" w:hAnsi="Century Gothic"/>
                <w:color w:val="000000"/>
                <w:sz w:val="20"/>
                <w:szCs w:val="20"/>
                <w:lang w:val="es-ES_tradnl"/>
              </w:rPr>
              <w:t>Calidad (c):</w:t>
            </w:r>
          </w:p>
          <w:p w:rsidR="00885265" w:rsidRPr="00611019" w:rsidRDefault="00E56462" w:rsidP="00035D2C">
            <w:pPr>
              <w:ind w:start="0.30pt"/>
              <w:jc w:val="center"/>
              <w:rPr>
                <w:rFonts w:ascii="Century Gothic" w:hAnsi="Century Gothic"/>
                <w:color w:val="000000"/>
                <w:sz w:val="20"/>
                <w:szCs w:val="20"/>
                <w:lang w:val="es-ES_tradnl"/>
              </w:rPr>
            </w:pPr>
            <w:r>
              <w:rPr>
                <w:rFonts w:ascii="Century Gothic" w:hAnsi="Century Gothic"/>
                <w:i/>
                <w:color w:val="000000"/>
                <w:sz w:val="20"/>
                <w:szCs w:val="20"/>
                <w:lang w:val="es-ES_tradnl"/>
              </w:rPr>
              <w:t>Datos Generales</w:t>
            </w:r>
          </w:p>
        </w:tc>
        <w:tc>
          <w:tcPr>
            <w:tcW w:w="73.0%" w:type="pct"/>
            <w:gridSpan w:val="3"/>
            <w:vAlign w:val="center"/>
          </w:tcPr>
          <w:p w:rsidR="00885265" w:rsidRPr="00611019" w:rsidRDefault="00E56462" w:rsidP="00035D2C">
            <w:pPr>
              <w:ind w:start="0.30pt"/>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b/>
                <w:color w:val="000000"/>
                <w:sz w:val="20"/>
                <w:szCs w:val="20"/>
                <w:lang w:val="es-ES_tradnl"/>
              </w:rPr>
              <w:t>Simétrico</w:t>
            </w:r>
          </w:p>
        </w:tc>
      </w:tr>
      <w:tr w:rsidR="0061711D" w:rsidTr="008B798A">
        <w:trPr>
          <w:trHeight w:val="227"/>
          <w:jc w:val="center"/>
        </w:trPr>
        <w:tc>
          <w:tcPr>
            <w:cnfStyle w:firstRow="0" w:lastRow="0" w:firstColumn="1" w:lastColumn="0" w:oddVBand="0" w:evenVBand="0" w:oddHBand="0" w:evenHBand="0" w:firstRowFirstColumn="0" w:firstRowLastColumn="0" w:lastRowFirstColumn="0" w:lastRowLastColumn="0"/>
            <w:tcW w:w="26.0%" w:type="pct"/>
          </w:tcPr>
          <w:p w:rsidR="00885265" w:rsidRPr="00611019" w:rsidRDefault="00E56462" w:rsidP="00035D2C">
            <w:pPr>
              <w:ind w:start="0.30pt"/>
              <w:jc w:val="center"/>
              <w:rPr>
                <w:rFonts w:ascii="Century Gothic" w:hAnsi="Century Gothic"/>
                <w:color w:val="000000"/>
                <w:sz w:val="20"/>
                <w:szCs w:val="20"/>
                <w:lang w:val="es-ES_tradnl"/>
              </w:rPr>
            </w:pPr>
            <w:r>
              <w:rPr>
                <w:rFonts w:ascii="Century Gothic" w:hAnsi="Century Gothic"/>
                <w:color w:val="000000"/>
                <w:sz w:val="20"/>
                <w:szCs w:val="20"/>
                <w:lang w:val="es-ES_tradnl"/>
              </w:rPr>
              <w:t>Velocidad (Mbps)</w:t>
            </w:r>
          </w:p>
        </w:tc>
        <w:tc>
          <w:tcPr>
            <w:tcW w:w="20.0%" w:type="pct"/>
            <w:vAlign w:val="center"/>
          </w:tcPr>
          <w:p w:rsidR="00885265" w:rsidRPr="00611019" w:rsidRDefault="00E56462" w:rsidP="00035D2C">
            <w:pPr>
              <w:ind w:start="0.30pt"/>
              <w:jc w:val="center"/>
              <w:cnfStyle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b/>
                <w:color w:val="000000"/>
                <w:sz w:val="20"/>
                <w:szCs w:val="20"/>
                <w:lang w:val="es-ES_tradnl"/>
              </w:rPr>
              <w:t>Nacional</w:t>
            </w:r>
          </w:p>
        </w:tc>
        <w:tc>
          <w:tcPr>
            <w:tcW w:w="25.0%" w:type="pct"/>
            <w:vAlign w:val="center"/>
          </w:tcPr>
          <w:p w:rsidR="00885265" w:rsidRPr="00611019" w:rsidRDefault="00E56462" w:rsidP="00035D2C">
            <w:pPr>
              <w:ind w:start="0.30pt"/>
              <w:jc w:val="center"/>
              <w:cnfStyle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b/>
                <w:color w:val="000000"/>
                <w:sz w:val="20"/>
                <w:szCs w:val="20"/>
                <w:lang w:val="es-ES_tradnl"/>
              </w:rPr>
              <w:t>Regional</w:t>
            </w:r>
          </w:p>
        </w:tc>
        <w:tc>
          <w:tcPr>
            <w:tcW w:w="28.0%" w:type="pct"/>
            <w:vAlign w:val="center"/>
          </w:tcPr>
          <w:p w:rsidR="00885265" w:rsidRPr="00611019" w:rsidRDefault="00E56462" w:rsidP="00035D2C">
            <w:pPr>
              <w:ind w:start="0.30pt"/>
              <w:jc w:val="center"/>
              <w:cnfStyle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b/>
                <w:color w:val="000000"/>
                <w:sz w:val="20"/>
                <w:szCs w:val="20"/>
                <w:lang w:val="es-ES_tradnl"/>
              </w:rPr>
              <w:t>Local</w:t>
            </w:r>
          </w:p>
        </w:tc>
      </w:tr>
      <w:tr w:rsidR="0061711D" w:rsidTr="008B798A">
        <w:trPr>
          <w:cnfStyle w:firstRow="0" w:lastRow="0" w:firstColumn="0" w:lastColumn="0" w:oddVBand="0" w:evenVBand="0" w:oddHBand="1" w:evenHBand="0" w:firstRowFirstColumn="0" w:firstRowLastColumn="0" w:lastRowFirstColumn="0" w:lastRowLastColumn="0"/>
          <w:trHeight w:val="227"/>
          <w:jc w:val="center"/>
        </w:trPr>
        <w:tc>
          <w:tcPr>
            <w:cnfStyle w:firstRow="0" w:lastRow="0" w:firstColumn="1" w:lastColumn="0" w:oddVBand="0" w:evenVBand="0" w:oddHBand="0" w:evenHBand="0" w:firstRowFirstColumn="0" w:firstRowLastColumn="0" w:lastRowFirstColumn="0" w:lastRowLastColumn="0"/>
            <w:tcW w:w="26.0%" w:type="pct"/>
          </w:tcPr>
          <w:p w:rsidR="008B672A" w:rsidRPr="00611019" w:rsidRDefault="00E56462" w:rsidP="00035D2C">
            <w:pPr>
              <w:pStyle w:val="CondicionesFinales"/>
              <w:ind w:start="0.30pt" w:end="0pt"/>
              <w:jc w:val="center"/>
              <w:rPr>
                <w:rFonts w:ascii="Century Gothic" w:hAnsi="Century Gothic"/>
                <w:b w:val="0"/>
                <w:sz w:val="20"/>
                <w:szCs w:val="20"/>
              </w:rPr>
            </w:pPr>
            <w:r>
              <w:rPr>
                <w:rFonts w:ascii="Century Gothic" w:hAnsi="Century Gothic"/>
                <w:sz w:val="20"/>
                <w:szCs w:val="20"/>
              </w:rPr>
              <w:t>200</w:t>
            </w:r>
          </w:p>
        </w:tc>
        <w:tc>
          <w:tcPr>
            <w:tcW w:w="20.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8B672A" w:rsidRPr="00611019" w:rsidRDefault="00E56462" w:rsidP="00035D2C">
            <w:pPr>
              <w:ind w:start="0.30pt"/>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lang w:val="es-ES_tradnl"/>
              </w:rPr>
            </w:pPr>
            <w:r>
              <w:rPr>
                <w:rFonts w:ascii="Century Gothic" w:hAnsi="Century Gothic"/>
                <w:color w:val="000000"/>
                <w:sz w:val="20"/>
                <w:szCs w:val="20"/>
                <w:lang w:val="es-ES_tradnl"/>
              </w:rPr>
              <w:t>$369.79</w:t>
            </w:r>
          </w:p>
        </w:tc>
        <w:tc>
          <w:tcPr>
            <w:tcW w:w="25.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8B672A" w:rsidRPr="00611019" w:rsidRDefault="00E56462" w:rsidP="00035D2C">
            <w:pPr>
              <w:ind w:start="0.30pt"/>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lang w:val="es-ES_tradnl"/>
              </w:rPr>
            </w:pPr>
            <w:r>
              <w:rPr>
                <w:rFonts w:ascii="Century Gothic" w:hAnsi="Century Gothic"/>
                <w:color w:val="000000"/>
                <w:sz w:val="20"/>
                <w:szCs w:val="20"/>
                <w:lang w:val="es-ES_tradnl"/>
              </w:rPr>
              <w:t>$357.03</w:t>
            </w:r>
          </w:p>
        </w:tc>
        <w:tc>
          <w:tcPr>
            <w:tcW w:w="28.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8B672A" w:rsidRPr="00611019" w:rsidRDefault="00E56462" w:rsidP="00035D2C">
            <w:pPr>
              <w:ind w:start="0.30pt"/>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lang w:val="es-ES_tradnl"/>
              </w:rPr>
            </w:pPr>
            <w:r>
              <w:rPr>
                <w:rFonts w:ascii="Century Gothic" w:hAnsi="Century Gothic"/>
                <w:color w:val="000000"/>
                <w:sz w:val="20"/>
                <w:szCs w:val="20"/>
                <w:lang w:val="es-ES_tradnl"/>
              </w:rPr>
              <w:t>$291.46</w:t>
            </w:r>
          </w:p>
        </w:tc>
      </w:tr>
      <w:tr w:rsidR="0061711D" w:rsidTr="008B798A">
        <w:trPr>
          <w:trHeight w:val="227"/>
          <w:jc w:val="center"/>
        </w:trPr>
        <w:tc>
          <w:tcPr>
            <w:cnfStyle w:firstRow="0" w:lastRow="0" w:firstColumn="1" w:lastColumn="0" w:oddVBand="0" w:evenVBand="0" w:oddHBand="0" w:evenHBand="0" w:firstRowFirstColumn="0" w:firstRowLastColumn="0" w:lastRowFirstColumn="0" w:lastRowLastColumn="0"/>
            <w:tcW w:w="26.0%" w:type="pct"/>
          </w:tcPr>
          <w:p w:rsidR="00C57C1F" w:rsidRPr="00611019" w:rsidRDefault="00E56462" w:rsidP="00035D2C">
            <w:pPr>
              <w:pStyle w:val="CondicionesFinales"/>
              <w:ind w:start="0.30pt" w:end="0pt"/>
              <w:jc w:val="center"/>
              <w:rPr>
                <w:rFonts w:ascii="Century Gothic" w:hAnsi="Century Gothic"/>
                <w:sz w:val="20"/>
                <w:szCs w:val="20"/>
              </w:rPr>
            </w:pPr>
            <w:r>
              <w:rPr>
                <w:rFonts w:ascii="Century Gothic" w:hAnsi="Century Gothic"/>
                <w:sz w:val="20"/>
                <w:szCs w:val="20"/>
              </w:rPr>
              <w:t>500</w:t>
            </w:r>
          </w:p>
        </w:tc>
        <w:tc>
          <w:tcPr>
            <w:tcW w:w="20.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C57C1F" w:rsidRPr="00611019" w:rsidRDefault="00E56462" w:rsidP="00035D2C">
            <w:pPr>
              <w:ind w:start="0.3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r>
              <w:rPr>
                <w:rFonts w:ascii="Century Gothic" w:hAnsi="Century Gothic"/>
                <w:sz w:val="20"/>
              </w:rPr>
              <w:t>$853.75</w:t>
            </w:r>
          </w:p>
        </w:tc>
        <w:tc>
          <w:tcPr>
            <w:tcW w:w="25.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C57C1F" w:rsidRPr="00611019" w:rsidRDefault="00E56462" w:rsidP="00035D2C">
            <w:pPr>
              <w:ind w:start="0.3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r>
              <w:rPr>
                <w:rFonts w:ascii="Century Gothic" w:hAnsi="Century Gothic"/>
                <w:sz w:val="20"/>
              </w:rPr>
              <w:t>$664.54</w:t>
            </w:r>
          </w:p>
        </w:tc>
        <w:tc>
          <w:tcPr>
            <w:tcW w:w="28.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C57C1F" w:rsidRPr="00611019" w:rsidRDefault="00E56462" w:rsidP="00035D2C">
            <w:pPr>
              <w:ind w:start="0.3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r>
              <w:rPr>
                <w:rFonts w:ascii="Century Gothic" w:hAnsi="Century Gothic"/>
                <w:sz w:val="20"/>
              </w:rPr>
              <w:t>$497.12</w:t>
            </w:r>
          </w:p>
        </w:tc>
      </w:tr>
      <w:tr w:rsidR="0061711D" w:rsidTr="008B798A">
        <w:trPr>
          <w:cnfStyle w:firstRow="0" w:lastRow="0" w:firstColumn="0" w:lastColumn="0" w:oddVBand="0" w:evenVBand="0" w:oddHBand="1" w:evenHBand="0" w:firstRowFirstColumn="0" w:firstRowLastColumn="0" w:lastRowFirstColumn="0" w:lastRowLastColumn="0"/>
          <w:trHeight w:val="227"/>
          <w:jc w:val="center"/>
        </w:trPr>
        <w:tc>
          <w:tcPr>
            <w:cnfStyle w:firstRow="0" w:lastRow="0" w:firstColumn="1" w:lastColumn="0" w:oddVBand="0" w:evenVBand="0" w:oddHBand="0" w:evenHBand="0" w:firstRowFirstColumn="0" w:firstRowLastColumn="0" w:lastRowFirstColumn="0" w:lastRowLastColumn="0"/>
            <w:tcW w:w="26.0%" w:type="pct"/>
          </w:tcPr>
          <w:p w:rsidR="00C57C1F" w:rsidRPr="00611019" w:rsidRDefault="00E56462" w:rsidP="00035D2C">
            <w:pPr>
              <w:pStyle w:val="CondicionesFinales"/>
              <w:ind w:start="0.30pt" w:end="0pt"/>
              <w:jc w:val="center"/>
              <w:rPr>
                <w:rFonts w:ascii="Century Gothic" w:hAnsi="Century Gothic"/>
                <w:sz w:val="20"/>
                <w:szCs w:val="20"/>
              </w:rPr>
            </w:pPr>
            <w:r>
              <w:rPr>
                <w:rFonts w:ascii="Century Gothic" w:hAnsi="Century Gothic"/>
                <w:sz w:val="20"/>
                <w:szCs w:val="20"/>
              </w:rPr>
              <w:t>1000</w:t>
            </w:r>
          </w:p>
        </w:tc>
        <w:tc>
          <w:tcPr>
            <w:tcW w:w="20.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C57C1F" w:rsidRPr="00611019" w:rsidRDefault="00E56462" w:rsidP="00035D2C">
            <w:pPr>
              <w:ind w:start="0.3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Pr>
                <w:rFonts w:ascii="Century Gothic" w:hAnsi="Century Gothic"/>
                <w:sz w:val="20"/>
              </w:rPr>
              <w:t>$1,154.75</w:t>
            </w:r>
          </w:p>
        </w:tc>
        <w:tc>
          <w:tcPr>
            <w:tcW w:w="25.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C57C1F" w:rsidRPr="00611019" w:rsidRDefault="00E56462" w:rsidP="00035D2C">
            <w:pPr>
              <w:ind w:start="0.3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Pr>
                <w:rFonts w:ascii="Century Gothic" w:hAnsi="Century Gothic"/>
                <w:sz w:val="20"/>
              </w:rPr>
              <w:t>$889.72</w:t>
            </w:r>
          </w:p>
        </w:tc>
        <w:tc>
          <w:tcPr>
            <w:tcW w:w="28.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C57C1F" w:rsidRPr="00611019" w:rsidRDefault="00E56462" w:rsidP="00035D2C">
            <w:pPr>
              <w:ind w:start="0.3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Pr>
                <w:rFonts w:ascii="Century Gothic" w:hAnsi="Century Gothic"/>
                <w:sz w:val="20"/>
              </w:rPr>
              <w:t>$655.21</w:t>
            </w:r>
          </w:p>
        </w:tc>
      </w:tr>
    </w:tbl>
    <w:p w:rsidR="00C57C1F" w:rsidRPr="00611019" w:rsidRDefault="00C57C1F" w:rsidP="00035D2C">
      <w:pPr>
        <w:spacing w:after="8pt"/>
        <w:rPr>
          <w:rFonts w:ascii="Century Gothic" w:hAnsi="Century Gothic" w:cs="Arial"/>
          <w:sz w:val="12"/>
          <w:szCs w:val="18"/>
        </w:rPr>
      </w:pPr>
      <w:bookmarkStart w:id="2286" w:name="_Hlk153899684"/>
    </w:p>
    <w:bookmarkEnd w:id="2286"/>
    <w:tbl>
      <w:tblPr>
        <w:tblStyle w:val="Tablanormal1"/>
        <w:tblW w:w="100.0%" w:type="pct"/>
        <w:jc w:val="center"/>
        <w:tblLook w:firstRow="1" w:lastRow="0" w:firstColumn="1" w:lastColumn="0" w:noHBand="0" w:noVBand="1"/>
      </w:tblPr>
      <w:tblGrid>
        <w:gridCol w:w="1233"/>
        <w:gridCol w:w="1190"/>
        <w:gridCol w:w="1188"/>
        <w:gridCol w:w="1184"/>
        <w:gridCol w:w="1535"/>
        <w:gridCol w:w="1534"/>
        <w:gridCol w:w="1530"/>
      </w:tblGrid>
      <w:tr w:rsidR="0061711D" w:rsidTr="00E94D9E">
        <w:trPr>
          <w:cnfStyle w:firstRow="1" w:lastRow="0" w:firstColumn="0" w:lastColumn="0" w:oddVBand="0" w:evenVBand="0" w:oddHBand="0" w:evenHBand="0" w:firstRowFirstColumn="0" w:firstRowLastColumn="0" w:lastRowFirstColumn="0" w:lastRowLastColumn="0"/>
          <w:trHeight w:val="224"/>
          <w:tblHeader/>
          <w:jc w:val="center"/>
        </w:trPr>
        <w:tc>
          <w:tcPr>
            <w:cnfStyle w:firstRow="0" w:lastRow="0" w:firstColumn="1" w:lastColumn="0" w:oddVBand="0" w:evenVBand="0" w:oddHBand="0" w:evenHBand="0" w:firstRowFirstColumn="0" w:firstRowLastColumn="0" w:lastRowFirstColumn="0" w:lastRowLastColumn="0"/>
            <w:tcW w:w="57.95pt" w:type="dxa"/>
            <w:shd w:val="clear" w:color="auto" w:fill="009AD9"/>
            <w:vAlign w:val="center"/>
          </w:tcPr>
          <w:p w:rsidR="00866B6B" w:rsidRPr="00611019" w:rsidRDefault="00866B6B" w:rsidP="00035D2C">
            <w:pPr>
              <w:jc w:val="center"/>
              <w:rPr>
                <w:rFonts w:ascii="Century Gothic" w:hAnsi="Century Gothic"/>
                <w:color w:val="FFFFFF" w:themeColor="background1"/>
                <w:sz w:val="20"/>
                <w:szCs w:val="20"/>
                <w:lang w:val="es-ES_tradnl"/>
              </w:rPr>
            </w:pPr>
          </w:p>
        </w:tc>
        <w:tc>
          <w:tcPr>
            <w:tcW w:w="411.75pt" w:type="dxa"/>
            <w:gridSpan w:val="6"/>
            <w:shd w:val="clear" w:color="auto" w:fill="009AD9"/>
            <w:vAlign w:val="center"/>
          </w:tcPr>
          <w:p w:rsidR="00866B6B" w:rsidRPr="00611019" w:rsidRDefault="00E56462" w:rsidP="00035D2C">
            <w:pPr>
              <w:jc w:val="center"/>
              <w:cnfStyle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szCs w:val="20"/>
                <w:lang w:val="es-ES_tradnl"/>
              </w:rPr>
            </w:pPr>
            <w:r>
              <w:rPr>
                <w:rFonts w:ascii="Century Gothic" w:hAnsi="Century Gothic"/>
                <w:color w:val="FFFFFF" w:themeColor="background1"/>
                <w:sz w:val="20"/>
                <w:szCs w:val="20"/>
                <w:lang w:val="es-ES_tradnl"/>
              </w:rPr>
              <w:t>Renta mensual por entrega del servicio a nivel</w:t>
            </w:r>
          </w:p>
        </w:tc>
      </w:tr>
      <w:tr w:rsidR="0061711D" w:rsidTr="00E94D9E">
        <w:trPr>
          <w:cnfStyle w:firstRow="0" w:lastRow="0" w:firstColumn="0" w:lastColumn="0" w:oddVBand="0" w:evenVBand="0" w:oddHBand="1" w:evenHBand="0" w:firstRowFirstColumn="0" w:firstRowLastColumn="0" w:lastRowFirstColumn="0" w:lastRowLastColumn="0"/>
          <w:trHeight w:val="867"/>
          <w:jc w:val="center"/>
        </w:trPr>
        <w:tc>
          <w:tcPr>
            <w:cnfStyle w:firstRow="0" w:lastRow="0" w:firstColumn="1" w:lastColumn="0" w:oddVBand="0" w:evenVBand="0" w:oddHBand="0" w:evenHBand="0" w:firstRowFirstColumn="0" w:firstRowLastColumn="0" w:lastRowFirstColumn="0" w:lastRowLastColumn="0"/>
            <w:tcW w:w="57.95pt" w:type="dxa"/>
            <w:vAlign w:val="center"/>
          </w:tcPr>
          <w:p w:rsidR="00866B6B" w:rsidRPr="00611019" w:rsidRDefault="00E56462" w:rsidP="00035D2C">
            <w:pPr>
              <w:jc w:val="center"/>
              <w:rPr>
                <w:rFonts w:ascii="Century Gothic" w:hAnsi="Century Gothic"/>
                <w:color w:val="000000"/>
                <w:sz w:val="20"/>
                <w:szCs w:val="20"/>
                <w:lang w:val="es-ES_tradnl"/>
              </w:rPr>
            </w:pPr>
            <w:r>
              <w:rPr>
                <w:rFonts w:ascii="Century Gothic" w:hAnsi="Century Gothic"/>
                <w:color w:val="000000"/>
                <w:sz w:val="20"/>
                <w:szCs w:val="20"/>
                <w:lang w:val="es-ES_tradnl"/>
              </w:rPr>
              <w:t xml:space="preserve">Calidad doble (b): VoIP/BE </w:t>
            </w:r>
          </w:p>
        </w:tc>
        <w:tc>
          <w:tcPr>
            <w:tcW w:w="178.95pt" w:type="dxa"/>
            <w:gridSpan w:val="3"/>
            <w:vAlign w:val="center"/>
          </w:tcPr>
          <w:p w:rsidR="00866B6B" w:rsidRPr="00611019"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b/>
                <w:color w:val="000000"/>
                <w:sz w:val="20"/>
                <w:szCs w:val="20"/>
                <w:lang w:val="es-ES_tradnl"/>
              </w:rPr>
              <w:t>Asimétrico*/</w:t>
            </w:r>
          </w:p>
        </w:tc>
        <w:tc>
          <w:tcPr>
            <w:tcW w:w="232.80pt" w:type="dxa"/>
            <w:gridSpan w:val="3"/>
            <w:vAlign w:val="center"/>
          </w:tcPr>
          <w:p w:rsidR="00866B6B" w:rsidRPr="00611019"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b/>
                <w:color w:val="000000"/>
                <w:sz w:val="20"/>
                <w:szCs w:val="20"/>
                <w:lang w:val="es-ES_tradnl"/>
              </w:rPr>
              <w:t>Simétrico</w:t>
            </w:r>
          </w:p>
        </w:tc>
      </w:tr>
      <w:tr w:rsidR="0061711D" w:rsidTr="00E94D9E">
        <w:trPr>
          <w:trHeight w:val="224"/>
          <w:jc w:val="center"/>
        </w:trPr>
        <w:tc>
          <w:tcPr>
            <w:cnfStyle w:firstRow="0" w:lastRow="0" w:firstColumn="1" w:lastColumn="0" w:oddVBand="0" w:evenVBand="0" w:oddHBand="0" w:evenHBand="0" w:firstRowFirstColumn="0" w:firstRowLastColumn="0" w:lastRowFirstColumn="0" w:lastRowLastColumn="0"/>
            <w:tcW w:w="57.95pt" w:type="dxa"/>
            <w:vAlign w:val="center"/>
          </w:tcPr>
          <w:p w:rsidR="00866B6B" w:rsidRPr="00611019" w:rsidRDefault="00E56462" w:rsidP="00035D2C">
            <w:pPr>
              <w:jc w:val="center"/>
              <w:rPr>
                <w:rFonts w:ascii="Century Gothic" w:hAnsi="Century Gothic"/>
                <w:color w:val="000000"/>
                <w:sz w:val="20"/>
                <w:szCs w:val="20"/>
                <w:lang w:val="es-ES_tradnl"/>
              </w:rPr>
            </w:pPr>
            <w:r>
              <w:rPr>
                <w:rFonts w:ascii="Century Gothic" w:hAnsi="Century Gothic"/>
                <w:color w:val="000000"/>
                <w:sz w:val="20"/>
                <w:szCs w:val="20"/>
                <w:lang w:val="es-ES_tradnl"/>
              </w:rPr>
              <w:t>Velocidad (Mbps)</w:t>
            </w:r>
          </w:p>
        </w:tc>
        <w:tc>
          <w:tcPr>
            <w:tcW w:w="59.65pt" w:type="dxa"/>
            <w:vAlign w:val="center"/>
          </w:tcPr>
          <w:p w:rsidR="00866B6B" w:rsidRPr="00611019"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b/>
                <w:color w:val="000000"/>
                <w:sz w:val="20"/>
                <w:szCs w:val="20"/>
                <w:lang w:val="es-ES_tradnl"/>
              </w:rPr>
              <w:t>Nacional</w:t>
            </w:r>
          </w:p>
        </w:tc>
        <w:tc>
          <w:tcPr>
            <w:tcW w:w="59.65pt" w:type="dxa"/>
            <w:vAlign w:val="center"/>
          </w:tcPr>
          <w:p w:rsidR="00866B6B" w:rsidRPr="00611019"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b/>
                <w:color w:val="000000"/>
                <w:sz w:val="20"/>
                <w:szCs w:val="20"/>
                <w:lang w:val="es-ES_tradnl"/>
              </w:rPr>
              <w:t>Regional</w:t>
            </w:r>
          </w:p>
        </w:tc>
        <w:tc>
          <w:tcPr>
            <w:tcW w:w="59.65pt" w:type="dxa"/>
            <w:vAlign w:val="center"/>
          </w:tcPr>
          <w:p w:rsidR="00866B6B" w:rsidRPr="00611019"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b/>
                <w:color w:val="000000"/>
                <w:sz w:val="20"/>
                <w:szCs w:val="20"/>
                <w:lang w:val="es-ES_tradnl"/>
              </w:rPr>
              <w:t>Local</w:t>
            </w:r>
          </w:p>
        </w:tc>
        <w:tc>
          <w:tcPr>
            <w:tcW w:w="77.60pt" w:type="dxa"/>
            <w:vAlign w:val="center"/>
          </w:tcPr>
          <w:p w:rsidR="00866B6B" w:rsidRPr="00611019" w:rsidRDefault="00E56462" w:rsidP="00035D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b/>
                <w:sz w:val="20"/>
                <w:szCs w:val="20"/>
              </w:rPr>
              <w:t>Nacional</w:t>
            </w:r>
          </w:p>
        </w:tc>
        <w:tc>
          <w:tcPr>
            <w:tcW w:w="77.60pt" w:type="dxa"/>
            <w:vAlign w:val="center"/>
          </w:tcPr>
          <w:p w:rsidR="00866B6B" w:rsidRPr="00611019" w:rsidRDefault="00E56462" w:rsidP="00035D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b/>
                <w:sz w:val="20"/>
                <w:szCs w:val="20"/>
              </w:rPr>
              <w:t>Regional</w:t>
            </w:r>
          </w:p>
        </w:tc>
        <w:tc>
          <w:tcPr>
            <w:tcW w:w="77.60pt" w:type="dxa"/>
            <w:vAlign w:val="center"/>
          </w:tcPr>
          <w:p w:rsidR="00866B6B" w:rsidRPr="00611019" w:rsidRDefault="00E56462" w:rsidP="00035D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b/>
                <w:sz w:val="20"/>
                <w:szCs w:val="20"/>
              </w:rPr>
              <w:t>Local</w:t>
            </w:r>
          </w:p>
        </w:tc>
      </w:tr>
      <w:tr w:rsidR="0061711D" w:rsidTr="00E94D9E">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57.95pt" w:type="dxa"/>
            <w:vAlign w:val="center"/>
          </w:tcPr>
          <w:p w:rsidR="006C1DE4" w:rsidRPr="00611019" w:rsidRDefault="00E56462" w:rsidP="00035D2C">
            <w:pPr>
              <w:jc w:val="center"/>
              <w:rPr>
                <w:rFonts w:ascii="Century Gothic" w:hAnsi="Century Gothic"/>
                <w:color w:val="000000"/>
                <w:sz w:val="20"/>
                <w:szCs w:val="20"/>
                <w:lang w:val="es-ES_tradnl"/>
              </w:rPr>
            </w:pPr>
            <w:r>
              <w:rPr>
                <w:rFonts w:ascii="Century Gothic" w:hAnsi="Century Gothic"/>
                <w:color w:val="000000"/>
                <w:sz w:val="20"/>
                <w:szCs w:val="20"/>
                <w:lang w:val="es-ES_tradnl"/>
              </w:rPr>
              <w:t>2</w:t>
            </w:r>
          </w:p>
        </w:tc>
        <w:tc>
          <w:tcPr>
            <w:tcW w:w="59.65pt" w:type="dxa"/>
            <w:vAlign w:val="center"/>
          </w:tcPr>
          <w:p w:rsidR="006C1DE4" w:rsidRPr="00611019"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color w:val="000000"/>
                <w:sz w:val="20"/>
                <w:szCs w:val="20"/>
                <w:lang w:val="es-ES_tradnl"/>
              </w:rPr>
              <w:t>$104.10</w:t>
            </w:r>
          </w:p>
        </w:tc>
        <w:tc>
          <w:tcPr>
            <w:tcW w:w="59.65pt" w:type="dxa"/>
            <w:vAlign w:val="center"/>
          </w:tcPr>
          <w:p w:rsidR="006C1DE4" w:rsidRPr="00611019"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color w:val="000000"/>
                <w:sz w:val="20"/>
                <w:szCs w:val="20"/>
                <w:lang w:val="es-ES_tradnl"/>
              </w:rPr>
              <w:t>$101.55</w:t>
            </w:r>
          </w:p>
        </w:tc>
        <w:tc>
          <w:tcPr>
            <w:tcW w:w="59.65pt" w:type="dxa"/>
            <w:vAlign w:val="center"/>
          </w:tcPr>
          <w:p w:rsidR="006C1DE4" w:rsidRPr="00611019"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color w:val="000000"/>
                <w:sz w:val="20"/>
                <w:szCs w:val="20"/>
                <w:lang w:val="es-ES_tradnl"/>
              </w:rPr>
              <w:t>$97.90</w:t>
            </w:r>
          </w:p>
        </w:tc>
        <w:tc>
          <w:tcPr>
            <w:tcW w:w="77.60pt" w:type="dxa"/>
            <w:vAlign w:val="center"/>
          </w:tcPr>
          <w:p w:rsidR="006C1DE4" w:rsidRPr="00611019" w:rsidRDefault="006C1DE4" w:rsidP="00035D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p>
        </w:tc>
        <w:tc>
          <w:tcPr>
            <w:tcW w:w="77.60pt" w:type="dxa"/>
            <w:vAlign w:val="center"/>
          </w:tcPr>
          <w:p w:rsidR="006C1DE4" w:rsidRPr="00611019" w:rsidRDefault="006C1DE4" w:rsidP="00035D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p>
        </w:tc>
        <w:tc>
          <w:tcPr>
            <w:tcW w:w="77.60pt" w:type="dxa"/>
            <w:vAlign w:val="center"/>
          </w:tcPr>
          <w:p w:rsidR="006C1DE4" w:rsidRPr="00611019" w:rsidRDefault="006C1DE4" w:rsidP="00035D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p>
        </w:tc>
      </w:tr>
      <w:tr w:rsidR="00CC773A" w:rsidTr="00E94D9E">
        <w:trPr>
          <w:trHeight w:val="224"/>
          <w:jc w:val="center"/>
        </w:trPr>
        <w:tc>
          <w:tcPr>
            <w:cnfStyle w:firstRow="0" w:lastRow="0" w:firstColumn="1" w:lastColumn="0" w:oddVBand="0" w:evenVBand="0" w:oddHBand="0" w:evenHBand="0" w:firstRowFirstColumn="0" w:firstRowLastColumn="0" w:lastRowFirstColumn="0" w:lastRowLastColumn="0"/>
            <w:tcW w:w="57.95pt" w:type="dxa"/>
            <w:vAlign w:val="center"/>
          </w:tcPr>
          <w:p w:rsidR="00CC773A" w:rsidRPr="00611019" w:rsidRDefault="00CC773A" w:rsidP="00CC773A">
            <w:pPr>
              <w:pStyle w:val="CondicionesFinales"/>
              <w:ind w:start="0pt" w:end="0pt"/>
              <w:jc w:val="center"/>
              <w:rPr>
                <w:rFonts w:ascii="Century Gothic" w:hAnsi="Century Gothic"/>
                <w:b w:val="0"/>
                <w:sz w:val="20"/>
                <w:szCs w:val="20"/>
              </w:rPr>
            </w:pPr>
            <w:r>
              <w:rPr>
                <w:rFonts w:ascii="Century Gothic" w:hAnsi="Century Gothic"/>
                <w:sz w:val="20"/>
                <w:szCs w:val="20"/>
              </w:rPr>
              <w:t>3</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lang w:val="es-ES_tradnl"/>
              </w:rPr>
            </w:pPr>
            <w:r>
              <w:rPr>
                <w:rFonts w:ascii="Century Gothic" w:hAnsi="Century Gothic"/>
                <w:color w:val="000000"/>
                <w:sz w:val="20"/>
                <w:szCs w:val="20"/>
                <w:lang w:val="es-ES_tradnl"/>
              </w:rPr>
              <w:t>$105.60</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lang w:val="es-ES_tradnl"/>
              </w:rPr>
            </w:pPr>
            <w:r>
              <w:rPr>
                <w:rFonts w:ascii="Century Gothic" w:hAnsi="Century Gothic"/>
                <w:color w:val="000000"/>
                <w:sz w:val="20"/>
                <w:szCs w:val="20"/>
                <w:lang w:val="es-ES_tradnl"/>
              </w:rPr>
              <w:t>$103.66</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lang w:val="es-ES_tradnl"/>
              </w:rPr>
            </w:pPr>
            <w:r>
              <w:rPr>
                <w:rFonts w:ascii="Century Gothic" w:hAnsi="Century Gothic"/>
                <w:color w:val="000000"/>
                <w:sz w:val="20"/>
                <w:szCs w:val="20"/>
                <w:lang w:val="es-ES_tradnl"/>
              </w:rPr>
              <w:t>$101.72</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 </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 </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 </w:t>
            </w:r>
          </w:p>
        </w:tc>
      </w:tr>
      <w:tr w:rsidR="00CC773A" w:rsidTr="00E94D9E">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57.95pt" w:type="dxa"/>
            <w:vAlign w:val="center"/>
          </w:tcPr>
          <w:p w:rsidR="00CC773A" w:rsidRPr="00611019" w:rsidRDefault="00CC773A" w:rsidP="00CC773A">
            <w:pPr>
              <w:pStyle w:val="CondicionesFinales"/>
              <w:ind w:start="0pt" w:end="0pt"/>
              <w:jc w:val="center"/>
              <w:rPr>
                <w:rFonts w:ascii="Century Gothic" w:hAnsi="Century Gothic"/>
                <w:sz w:val="20"/>
                <w:szCs w:val="20"/>
              </w:rPr>
            </w:pPr>
            <w:r>
              <w:rPr>
                <w:rFonts w:ascii="Century Gothic" w:hAnsi="Century Gothic"/>
                <w:sz w:val="20"/>
                <w:szCs w:val="20"/>
              </w:rPr>
              <w:t>5</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$11</w:t>
            </w:r>
            <w:r w:rsidR="00E94D9E">
              <w:rPr>
                <w:rFonts w:ascii="Century Gothic" w:hAnsi="Century Gothic"/>
                <w:color w:val="000000"/>
                <w:sz w:val="20"/>
                <w:szCs w:val="20"/>
                <w:lang w:val="es-ES_tradnl"/>
              </w:rPr>
              <w:t>0</w:t>
            </w:r>
            <w:r>
              <w:rPr>
                <w:rFonts w:ascii="Century Gothic" w:hAnsi="Century Gothic"/>
                <w:color w:val="000000"/>
                <w:sz w:val="20"/>
                <w:szCs w:val="20"/>
                <w:lang w:val="es-ES_tradnl"/>
              </w:rPr>
              <w:t>.1</w:t>
            </w:r>
            <w:r w:rsidR="00E94D9E">
              <w:rPr>
                <w:rFonts w:ascii="Century Gothic" w:hAnsi="Century Gothic"/>
                <w:color w:val="000000"/>
                <w:sz w:val="20"/>
                <w:szCs w:val="20"/>
                <w:lang w:val="es-ES_tradnl"/>
              </w:rPr>
              <w:t>7</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$10</w:t>
            </w:r>
            <w:r w:rsidR="00E94D9E">
              <w:rPr>
                <w:rFonts w:ascii="Century Gothic" w:hAnsi="Century Gothic"/>
                <w:color w:val="000000"/>
                <w:sz w:val="20"/>
                <w:szCs w:val="20"/>
                <w:lang w:val="es-ES_tradnl"/>
              </w:rPr>
              <w:t>9</w:t>
            </w:r>
            <w:r>
              <w:rPr>
                <w:rFonts w:ascii="Century Gothic" w:hAnsi="Century Gothic"/>
                <w:color w:val="000000"/>
                <w:sz w:val="20"/>
                <w:szCs w:val="20"/>
                <w:lang w:val="es-ES_tradnl"/>
              </w:rPr>
              <w:t>.</w:t>
            </w:r>
            <w:r w:rsidR="00E94D9E">
              <w:rPr>
                <w:rFonts w:ascii="Century Gothic" w:hAnsi="Century Gothic"/>
                <w:color w:val="000000"/>
                <w:sz w:val="20"/>
                <w:szCs w:val="20"/>
                <w:lang w:val="es-ES_tradnl"/>
              </w:rPr>
              <w:t>05</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$10</w:t>
            </w:r>
            <w:r w:rsidR="00E94D9E">
              <w:rPr>
                <w:rFonts w:ascii="Century Gothic" w:hAnsi="Century Gothic"/>
                <w:color w:val="000000"/>
                <w:sz w:val="20"/>
                <w:szCs w:val="20"/>
                <w:lang w:val="es-ES_tradnl"/>
              </w:rPr>
              <w:t>5</w:t>
            </w:r>
            <w:r>
              <w:rPr>
                <w:rFonts w:ascii="Century Gothic" w:hAnsi="Century Gothic"/>
                <w:color w:val="000000"/>
                <w:sz w:val="20"/>
                <w:szCs w:val="20"/>
                <w:lang w:val="es-ES_tradnl"/>
              </w:rPr>
              <w:t>.</w:t>
            </w:r>
            <w:r w:rsidR="00E94D9E">
              <w:rPr>
                <w:rFonts w:ascii="Century Gothic" w:hAnsi="Century Gothic"/>
                <w:color w:val="000000"/>
                <w:sz w:val="20"/>
                <w:szCs w:val="20"/>
                <w:lang w:val="es-ES_tradnl"/>
              </w:rPr>
              <w:t>03</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sz w:val="20"/>
                <w:szCs w:val="20"/>
              </w:rPr>
              <w:t> </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sz w:val="20"/>
                <w:szCs w:val="20"/>
              </w:rPr>
              <w:t> </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sz w:val="20"/>
                <w:szCs w:val="20"/>
              </w:rPr>
              <w:t> </w:t>
            </w:r>
          </w:p>
        </w:tc>
      </w:tr>
      <w:tr w:rsidR="00CC773A" w:rsidTr="00E94D9E">
        <w:trPr>
          <w:trHeight w:val="224"/>
          <w:jc w:val="center"/>
        </w:trPr>
        <w:tc>
          <w:tcPr>
            <w:cnfStyle w:firstRow="0" w:lastRow="0" w:firstColumn="1" w:lastColumn="0" w:oddVBand="0" w:evenVBand="0" w:oddHBand="0" w:evenHBand="0" w:firstRowFirstColumn="0" w:firstRowLastColumn="0" w:lastRowFirstColumn="0" w:lastRowLastColumn="0"/>
            <w:tcW w:w="57.95pt" w:type="dxa"/>
            <w:vAlign w:val="center"/>
          </w:tcPr>
          <w:p w:rsidR="00CC773A" w:rsidRPr="00611019" w:rsidRDefault="00CC773A" w:rsidP="00CC773A">
            <w:pPr>
              <w:pStyle w:val="CondicionesFinales"/>
              <w:ind w:start="0pt" w:end="0pt"/>
              <w:jc w:val="center"/>
              <w:rPr>
                <w:rFonts w:ascii="Century Gothic" w:hAnsi="Century Gothic"/>
                <w:sz w:val="20"/>
                <w:szCs w:val="20"/>
              </w:rPr>
            </w:pPr>
            <w:r>
              <w:rPr>
                <w:rFonts w:ascii="Century Gothic" w:hAnsi="Century Gothic"/>
                <w:sz w:val="20"/>
                <w:szCs w:val="20"/>
              </w:rPr>
              <w:t>10</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$11</w:t>
            </w:r>
            <w:r w:rsidR="00E94D9E">
              <w:rPr>
                <w:rFonts w:ascii="Century Gothic" w:hAnsi="Century Gothic"/>
                <w:color w:val="000000"/>
                <w:sz w:val="20"/>
                <w:szCs w:val="20"/>
                <w:lang w:val="es-ES_tradnl"/>
              </w:rPr>
              <w:t>0</w:t>
            </w:r>
            <w:r>
              <w:rPr>
                <w:rFonts w:ascii="Century Gothic" w:hAnsi="Century Gothic"/>
                <w:color w:val="000000"/>
                <w:sz w:val="20"/>
                <w:szCs w:val="20"/>
                <w:lang w:val="es-ES_tradnl"/>
              </w:rPr>
              <w:t>.</w:t>
            </w:r>
            <w:r w:rsidR="00E94D9E">
              <w:rPr>
                <w:rFonts w:ascii="Century Gothic" w:hAnsi="Century Gothic"/>
                <w:color w:val="000000"/>
                <w:sz w:val="20"/>
                <w:szCs w:val="20"/>
                <w:lang w:val="es-ES_tradnl"/>
              </w:rPr>
              <w:t>90</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$11</w:t>
            </w:r>
            <w:r w:rsidR="00E94D9E">
              <w:rPr>
                <w:rFonts w:ascii="Century Gothic" w:hAnsi="Century Gothic"/>
                <w:color w:val="000000"/>
                <w:sz w:val="20"/>
                <w:szCs w:val="20"/>
                <w:lang w:val="es-ES_tradnl"/>
              </w:rPr>
              <w:t>0</w:t>
            </w:r>
            <w:r>
              <w:rPr>
                <w:rFonts w:ascii="Century Gothic" w:hAnsi="Century Gothic"/>
                <w:color w:val="000000"/>
                <w:sz w:val="20"/>
                <w:szCs w:val="20"/>
                <w:lang w:val="es-ES_tradnl"/>
              </w:rPr>
              <w:t>.5</w:t>
            </w:r>
            <w:r w:rsidR="00E94D9E">
              <w:rPr>
                <w:rFonts w:ascii="Century Gothic" w:hAnsi="Century Gothic"/>
                <w:color w:val="000000"/>
                <w:sz w:val="20"/>
                <w:szCs w:val="20"/>
                <w:lang w:val="es-ES_tradnl"/>
              </w:rPr>
              <w:t>0</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$10</w:t>
            </w:r>
            <w:r w:rsidR="00E94D9E">
              <w:rPr>
                <w:rFonts w:ascii="Century Gothic" w:hAnsi="Century Gothic"/>
                <w:color w:val="000000"/>
                <w:sz w:val="20"/>
                <w:szCs w:val="20"/>
                <w:lang w:val="es-ES_tradnl"/>
              </w:rPr>
              <w:t>6</w:t>
            </w:r>
            <w:r>
              <w:rPr>
                <w:rFonts w:ascii="Century Gothic" w:hAnsi="Century Gothic"/>
                <w:color w:val="000000"/>
                <w:sz w:val="20"/>
                <w:szCs w:val="20"/>
                <w:lang w:val="es-ES_tradnl"/>
              </w:rPr>
              <w:t>.</w:t>
            </w:r>
            <w:r w:rsidR="00E94D9E">
              <w:rPr>
                <w:rFonts w:ascii="Century Gothic" w:hAnsi="Century Gothic"/>
                <w:color w:val="000000"/>
                <w:sz w:val="20"/>
                <w:szCs w:val="20"/>
                <w:lang w:val="es-ES_tradnl"/>
              </w:rPr>
              <w:t>49</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$1</w:t>
            </w:r>
            <w:r w:rsidR="007A6108">
              <w:rPr>
                <w:rFonts w:ascii="Century Gothic" w:hAnsi="Century Gothic"/>
                <w:sz w:val="20"/>
                <w:szCs w:val="20"/>
              </w:rPr>
              <w:t>33</w:t>
            </w:r>
            <w:r>
              <w:rPr>
                <w:rFonts w:ascii="Century Gothic" w:hAnsi="Century Gothic"/>
                <w:sz w:val="20"/>
                <w:szCs w:val="20"/>
              </w:rPr>
              <w:t>.</w:t>
            </w:r>
            <w:r w:rsidR="00E94D9E">
              <w:rPr>
                <w:rFonts w:ascii="Century Gothic" w:hAnsi="Century Gothic"/>
                <w:sz w:val="20"/>
                <w:szCs w:val="20"/>
              </w:rPr>
              <w:t>1</w:t>
            </w:r>
            <w:r w:rsidR="007A6108">
              <w:rPr>
                <w:rFonts w:ascii="Century Gothic" w:hAnsi="Century Gothic"/>
                <w:sz w:val="20"/>
                <w:szCs w:val="20"/>
              </w:rPr>
              <w:t>7</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$1</w:t>
            </w:r>
            <w:r w:rsidR="00E94D9E">
              <w:rPr>
                <w:rFonts w:ascii="Century Gothic" w:hAnsi="Century Gothic"/>
                <w:sz w:val="20"/>
                <w:szCs w:val="20"/>
              </w:rPr>
              <w:t>30</w:t>
            </w:r>
            <w:r>
              <w:rPr>
                <w:rFonts w:ascii="Century Gothic" w:hAnsi="Century Gothic"/>
                <w:sz w:val="20"/>
                <w:szCs w:val="20"/>
              </w:rPr>
              <w:t>.</w:t>
            </w:r>
            <w:r w:rsidR="00E94D9E">
              <w:rPr>
                <w:rFonts w:ascii="Century Gothic" w:hAnsi="Century Gothic"/>
                <w:sz w:val="20"/>
                <w:szCs w:val="20"/>
              </w:rPr>
              <w:t>30</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$1</w:t>
            </w:r>
            <w:r w:rsidR="00E94D9E">
              <w:rPr>
                <w:rFonts w:ascii="Century Gothic" w:hAnsi="Century Gothic"/>
                <w:sz w:val="20"/>
                <w:szCs w:val="20"/>
              </w:rPr>
              <w:t>17</w:t>
            </w:r>
            <w:r>
              <w:rPr>
                <w:rFonts w:ascii="Century Gothic" w:hAnsi="Century Gothic"/>
                <w:sz w:val="20"/>
                <w:szCs w:val="20"/>
              </w:rPr>
              <w:t>.4</w:t>
            </w:r>
            <w:r w:rsidR="00E94D9E">
              <w:rPr>
                <w:rFonts w:ascii="Century Gothic" w:hAnsi="Century Gothic"/>
                <w:sz w:val="20"/>
                <w:szCs w:val="20"/>
              </w:rPr>
              <w:t>7</w:t>
            </w:r>
          </w:p>
        </w:tc>
      </w:tr>
      <w:tr w:rsidR="00CC773A" w:rsidTr="00E94D9E">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57.95pt" w:type="dxa"/>
            <w:vAlign w:val="center"/>
          </w:tcPr>
          <w:p w:rsidR="00CC773A" w:rsidRPr="00611019" w:rsidRDefault="00CC773A" w:rsidP="00CC773A">
            <w:pPr>
              <w:pStyle w:val="CondicionesFinales"/>
              <w:ind w:start="0pt" w:end="0pt"/>
              <w:jc w:val="center"/>
              <w:rPr>
                <w:rFonts w:ascii="Century Gothic" w:hAnsi="Century Gothic"/>
                <w:sz w:val="20"/>
                <w:szCs w:val="20"/>
              </w:rPr>
            </w:pPr>
            <w:r>
              <w:rPr>
                <w:rFonts w:ascii="Century Gothic" w:hAnsi="Century Gothic"/>
                <w:sz w:val="20"/>
                <w:szCs w:val="20"/>
              </w:rPr>
              <w:t>15</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w:t>
            </w:r>
            <w:r w:rsidR="00E94D9E">
              <w:rPr>
                <w:rFonts w:ascii="Century Gothic" w:hAnsi="Century Gothic"/>
                <w:color w:val="000000"/>
                <w:sz w:val="20"/>
                <w:szCs w:val="20"/>
                <w:lang w:val="es-ES_tradnl"/>
              </w:rPr>
              <w:t>11</w:t>
            </w:r>
            <w:r>
              <w:rPr>
                <w:rFonts w:ascii="Century Gothic" w:hAnsi="Century Gothic"/>
                <w:color w:val="000000"/>
                <w:sz w:val="20"/>
                <w:szCs w:val="20"/>
                <w:lang w:val="es-ES_tradnl"/>
              </w:rPr>
              <w:t>.</w:t>
            </w:r>
            <w:r w:rsidR="00E94D9E">
              <w:rPr>
                <w:rFonts w:ascii="Century Gothic" w:hAnsi="Century Gothic"/>
                <w:color w:val="000000"/>
                <w:sz w:val="20"/>
                <w:szCs w:val="20"/>
                <w:lang w:val="es-ES_tradnl"/>
              </w:rPr>
              <w:t>14</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$11</w:t>
            </w:r>
            <w:r w:rsidR="00E94D9E">
              <w:rPr>
                <w:rFonts w:ascii="Century Gothic" w:hAnsi="Century Gothic"/>
                <w:color w:val="000000"/>
                <w:sz w:val="20"/>
                <w:szCs w:val="20"/>
                <w:lang w:val="es-ES_tradnl"/>
              </w:rPr>
              <w:t>0</w:t>
            </w:r>
            <w:r>
              <w:rPr>
                <w:rFonts w:ascii="Century Gothic" w:hAnsi="Century Gothic"/>
                <w:color w:val="000000"/>
                <w:sz w:val="20"/>
                <w:szCs w:val="20"/>
                <w:lang w:val="es-ES_tradnl"/>
              </w:rPr>
              <w:t>.</w:t>
            </w:r>
            <w:r w:rsidR="00E94D9E">
              <w:rPr>
                <w:rFonts w:ascii="Century Gothic" w:hAnsi="Century Gothic"/>
                <w:color w:val="000000"/>
                <w:sz w:val="20"/>
                <w:szCs w:val="20"/>
                <w:lang w:val="es-ES_tradnl"/>
              </w:rPr>
              <w:t>99</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w:t>
            </w:r>
            <w:r w:rsidR="00E94D9E">
              <w:rPr>
                <w:rFonts w:ascii="Century Gothic" w:hAnsi="Century Gothic"/>
                <w:color w:val="000000"/>
                <w:sz w:val="20"/>
                <w:szCs w:val="20"/>
                <w:lang w:val="es-ES_tradnl"/>
              </w:rPr>
              <w:t>06</w:t>
            </w:r>
            <w:r>
              <w:rPr>
                <w:rFonts w:ascii="Century Gothic" w:hAnsi="Century Gothic"/>
                <w:color w:val="000000"/>
                <w:sz w:val="20"/>
                <w:szCs w:val="20"/>
                <w:lang w:val="es-ES_tradnl"/>
              </w:rPr>
              <w:t>.</w:t>
            </w:r>
            <w:r w:rsidR="00E94D9E">
              <w:rPr>
                <w:rFonts w:ascii="Century Gothic" w:hAnsi="Century Gothic"/>
                <w:color w:val="000000"/>
                <w:sz w:val="20"/>
                <w:szCs w:val="20"/>
                <w:lang w:val="es-ES_tradnl"/>
              </w:rPr>
              <w:t>97</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eastAsiaTheme="minorHAnsi" w:hAnsi="Century Gothic"/>
                <w:sz w:val="20"/>
                <w:szCs w:val="20"/>
                <w:lang w:eastAsia="en-US"/>
              </w:rPr>
              <w:t> </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eastAsiaTheme="minorHAnsi" w:hAnsi="Century Gothic"/>
                <w:sz w:val="20"/>
                <w:szCs w:val="20"/>
                <w:lang w:eastAsia="en-US"/>
              </w:rPr>
              <w:t> </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eastAsiaTheme="minorHAnsi" w:hAnsi="Century Gothic"/>
                <w:sz w:val="20"/>
                <w:szCs w:val="20"/>
                <w:lang w:eastAsia="en-US"/>
              </w:rPr>
              <w:t> </w:t>
            </w:r>
          </w:p>
        </w:tc>
      </w:tr>
      <w:tr w:rsidR="00CC773A" w:rsidTr="00E94D9E">
        <w:trPr>
          <w:trHeight w:val="224"/>
          <w:jc w:val="center"/>
        </w:trPr>
        <w:tc>
          <w:tcPr>
            <w:cnfStyle w:firstRow="0" w:lastRow="0" w:firstColumn="1" w:lastColumn="0" w:oddVBand="0" w:evenVBand="0" w:oddHBand="0" w:evenHBand="0" w:firstRowFirstColumn="0" w:firstRowLastColumn="0" w:lastRowFirstColumn="0" w:lastRowLastColumn="0"/>
            <w:tcW w:w="57.95pt" w:type="dxa"/>
            <w:vAlign w:val="center"/>
          </w:tcPr>
          <w:p w:rsidR="00CC773A" w:rsidRPr="00611019" w:rsidRDefault="00CC773A" w:rsidP="00CC773A">
            <w:pPr>
              <w:pStyle w:val="CondicionesFinales"/>
              <w:ind w:start="0pt" w:end="0pt"/>
              <w:jc w:val="center"/>
              <w:rPr>
                <w:rFonts w:ascii="Century Gothic" w:hAnsi="Century Gothic"/>
                <w:sz w:val="20"/>
                <w:szCs w:val="20"/>
              </w:rPr>
            </w:pPr>
            <w:r>
              <w:rPr>
                <w:rFonts w:ascii="Century Gothic" w:hAnsi="Century Gothic"/>
                <w:sz w:val="20"/>
                <w:szCs w:val="20"/>
              </w:rPr>
              <w:t>20</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$11</w:t>
            </w:r>
            <w:r w:rsidR="00E94D9E">
              <w:rPr>
                <w:rFonts w:ascii="Century Gothic" w:hAnsi="Century Gothic"/>
                <w:color w:val="000000"/>
                <w:sz w:val="20"/>
                <w:szCs w:val="20"/>
                <w:lang w:val="es-ES_tradnl"/>
              </w:rPr>
              <w:t>6</w:t>
            </w:r>
            <w:r>
              <w:rPr>
                <w:rFonts w:ascii="Century Gothic" w:hAnsi="Century Gothic"/>
                <w:color w:val="000000"/>
                <w:sz w:val="20"/>
                <w:szCs w:val="20"/>
                <w:lang w:val="es-ES_tradnl"/>
              </w:rPr>
              <w:t>.</w:t>
            </w:r>
            <w:r w:rsidR="00E94D9E">
              <w:rPr>
                <w:rFonts w:ascii="Century Gothic" w:hAnsi="Century Gothic"/>
                <w:color w:val="000000"/>
                <w:sz w:val="20"/>
                <w:szCs w:val="20"/>
                <w:lang w:val="es-ES_tradnl"/>
              </w:rPr>
              <w:t>68</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w:t>
            </w:r>
            <w:r w:rsidR="00E94D9E">
              <w:rPr>
                <w:rFonts w:ascii="Century Gothic" w:hAnsi="Century Gothic"/>
                <w:color w:val="000000"/>
                <w:sz w:val="20"/>
                <w:szCs w:val="20"/>
                <w:lang w:val="es-ES_tradnl"/>
              </w:rPr>
              <w:t>1</w:t>
            </w:r>
            <w:r>
              <w:rPr>
                <w:rFonts w:ascii="Century Gothic" w:hAnsi="Century Gothic"/>
                <w:color w:val="000000"/>
                <w:sz w:val="20"/>
                <w:szCs w:val="20"/>
                <w:lang w:val="es-ES_tradnl"/>
              </w:rPr>
              <w:t>5.1</w:t>
            </w:r>
            <w:r w:rsidR="00E94D9E">
              <w:rPr>
                <w:rFonts w:ascii="Century Gothic" w:hAnsi="Century Gothic"/>
                <w:color w:val="000000"/>
                <w:sz w:val="20"/>
                <w:szCs w:val="20"/>
                <w:lang w:val="es-ES_tradnl"/>
              </w:rPr>
              <w:t>5</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w:t>
            </w:r>
            <w:r w:rsidR="00E94D9E">
              <w:rPr>
                <w:rFonts w:ascii="Century Gothic" w:hAnsi="Century Gothic"/>
                <w:color w:val="000000"/>
                <w:sz w:val="20"/>
                <w:szCs w:val="20"/>
                <w:lang w:val="es-ES_tradnl"/>
              </w:rPr>
              <w:t>09</w:t>
            </w:r>
            <w:r>
              <w:rPr>
                <w:rFonts w:ascii="Century Gothic" w:hAnsi="Century Gothic"/>
                <w:color w:val="000000"/>
                <w:sz w:val="20"/>
                <w:szCs w:val="20"/>
                <w:lang w:val="es-ES_tradnl"/>
              </w:rPr>
              <w:t>.</w:t>
            </w:r>
            <w:r w:rsidR="00E94D9E">
              <w:rPr>
                <w:rFonts w:ascii="Century Gothic" w:hAnsi="Century Gothic"/>
                <w:color w:val="000000"/>
                <w:sz w:val="20"/>
                <w:szCs w:val="20"/>
                <w:lang w:val="es-ES_tradnl"/>
              </w:rPr>
              <w:t>75</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w:t>
            </w:r>
            <w:r w:rsidR="007A6108">
              <w:rPr>
                <w:rFonts w:ascii="Century Gothic" w:hAnsi="Century Gothic"/>
                <w:color w:val="000000"/>
                <w:sz w:val="20"/>
                <w:szCs w:val="20"/>
                <w:lang w:val="es-ES_tradnl"/>
              </w:rPr>
              <w:t>41</w:t>
            </w:r>
            <w:r>
              <w:rPr>
                <w:rFonts w:ascii="Century Gothic" w:hAnsi="Century Gothic"/>
                <w:color w:val="000000"/>
                <w:sz w:val="20"/>
                <w:szCs w:val="20"/>
                <w:lang w:val="es-ES_tradnl"/>
              </w:rPr>
              <w:t>.</w:t>
            </w:r>
            <w:r w:rsidR="007A6108">
              <w:rPr>
                <w:rFonts w:ascii="Century Gothic" w:hAnsi="Century Gothic"/>
                <w:color w:val="000000"/>
                <w:sz w:val="20"/>
                <w:szCs w:val="20"/>
                <w:lang w:val="es-ES_tradnl"/>
              </w:rPr>
              <w:t>50</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w:t>
            </w:r>
            <w:r w:rsidR="00E94D9E">
              <w:rPr>
                <w:rFonts w:ascii="Century Gothic" w:hAnsi="Century Gothic"/>
                <w:color w:val="000000"/>
                <w:sz w:val="20"/>
                <w:szCs w:val="20"/>
                <w:lang w:val="es-ES_tradnl"/>
              </w:rPr>
              <w:t>40</w:t>
            </w:r>
            <w:r>
              <w:rPr>
                <w:rFonts w:ascii="Century Gothic" w:hAnsi="Century Gothic"/>
                <w:color w:val="000000"/>
                <w:sz w:val="20"/>
                <w:szCs w:val="20"/>
                <w:lang w:val="es-ES_tradnl"/>
              </w:rPr>
              <w:t>.</w:t>
            </w:r>
            <w:r w:rsidR="00E94D9E">
              <w:rPr>
                <w:rFonts w:ascii="Century Gothic" w:hAnsi="Century Gothic"/>
                <w:color w:val="000000"/>
                <w:sz w:val="20"/>
                <w:szCs w:val="20"/>
                <w:lang w:val="es-ES_tradnl"/>
              </w:rPr>
              <w:t>11</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CC773A" w:rsidRPr="00611019" w:rsidRDefault="00CC773A" w:rsidP="00CC773A">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w:t>
            </w:r>
            <w:r w:rsidR="00E94D9E">
              <w:rPr>
                <w:rFonts w:ascii="Century Gothic" w:hAnsi="Century Gothic"/>
                <w:color w:val="000000"/>
                <w:sz w:val="20"/>
                <w:szCs w:val="20"/>
                <w:lang w:val="es-ES_tradnl"/>
              </w:rPr>
              <w:t>25</w:t>
            </w:r>
            <w:r>
              <w:rPr>
                <w:rFonts w:ascii="Century Gothic" w:hAnsi="Century Gothic"/>
                <w:color w:val="000000"/>
                <w:sz w:val="20"/>
                <w:szCs w:val="20"/>
                <w:lang w:val="es-ES_tradnl"/>
              </w:rPr>
              <w:t>.</w:t>
            </w:r>
            <w:r w:rsidR="00E94D9E">
              <w:rPr>
                <w:rFonts w:ascii="Century Gothic" w:hAnsi="Century Gothic"/>
                <w:color w:val="000000"/>
                <w:sz w:val="20"/>
                <w:szCs w:val="20"/>
                <w:lang w:val="es-ES_tradnl"/>
              </w:rPr>
              <w:t>1</w:t>
            </w:r>
            <w:r>
              <w:rPr>
                <w:rFonts w:ascii="Century Gothic" w:hAnsi="Century Gothic"/>
                <w:color w:val="000000"/>
                <w:sz w:val="20"/>
                <w:szCs w:val="20"/>
                <w:lang w:val="es-ES_tradnl"/>
              </w:rPr>
              <w:t>1</w:t>
            </w:r>
          </w:p>
        </w:tc>
      </w:tr>
      <w:tr w:rsidR="00E94D9E" w:rsidTr="00E94D9E">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57.95pt" w:type="dxa"/>
            <w:vAlign w:val="center"/>
          </w:tcPr>
          <w:p w:rsidR="00E94D9E" w:rsidRPr="00611019" w:rsidRDefault="00E94D9E" w:rsidP="00E94D9E">
            <w:pPr>
              <w:pStyle w:val="CondicionesFinales"/>
              <w:ind w:start="0pt" w:end="0pt"/>
              <w:jc w:val="center"/>
              <w:rPr>
                <w:rFonts w:ascii="Century Gothic" w:hAnsi="Century Gothic"/>
                <w:sz w:val="20"/>
                <w:szCs w:val="20"/>
              </w:rPr>
            </w:pPr>
            <w:r>
              <w:rPr>
                <w:rFonts w:ascii="Century Gothic" w:hAnsi="Century Gothic"/>
                <w:sz w:val="20"/>
                <w:szCs w:val="20"/>
              </w:rPr>
              <w:t>30</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$122.22</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$119.31</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$112.52</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sz w:val="20"/>
                <w:szCs w:val="20"/>
              </w:rPr>
              <w:t>$150.52</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sz w:val="20"/>
                <w:szCs w:val="20"/>
              </w:rPr>
              <w:t>$149.91</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sz w:val="20"/>
                <w:szCs w:val="20"/>
              </w:rPr>
              <w:t>$132.74</w:t>
            </w:r>
          </w:p>
        </w:tc>
      </w:tr>
      <w:tr w:rsidR="00E94D9E" w:rsidTr="00E94D9E">
        <w:trPr>
          <w:trHeight w:val="224"/>
          <w:jc w:val="center"/>
        </w:trPr>
        <w:tc>
          <w:tcPr>
            <w:cnfStyle w:firstRow="0" w:lastRow="0" w:firstColumn="1" w:lastColumn="0" w:oddVBand="0" w:evenVBand="0" w:oddHBand="0" w:evenHBand="0" w:firstRowFirstColumn="0" w:firstRowLastColumn="0" w:lastRowFirstColumn="0" w:lastRowLastColumn="0"/>
            <w:tcW w:w="57.95pt" w:type="dxa"/>
            <w:vAlign w:val="center"/>
          </w:tcPr>
          <w:p w:rsidR="00E94D9E" w:rsidRPr="00611019" w:rsidRDefault="00E94D9E" w:rsidP="00E94D9E">
            <w:pPr>
              <w:pStyle w:val="CondicionesFinales"/>
              <w:ind w:start="0pt" w:end="0pt"/>
              <w:jc w:val="center"/>
              <w:rPr>
                <w:rFonts w:ascii="Century Gothic" w:hAnsi="Century Gothic"/>
                <w:sz w:val="20"/>
                <w:szCs w:val="20"/>
              </w:rPr>
            </w:pPr>
            <w:r>
              <w:rPr>
                <w:rFonts w:ascii="Century Gothic" w:hAnsi="Century Gothic"/>
                <w:sz w:val="20"/>
                <w:szCs w:val="20"/>
              </w:rPr>
              <w:t>40</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$131.92</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$125.13</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$118.34</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eastAsiaTheme="minorHAnsi" w:hAnsi="Century Gothic"/>
                <w:sz w:val="20"/>
                <w:szCs w:val="20"/>
                <w:lang w:eastAsia="en-US"/>
              </w:rPr>
              <w:t> </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eastAsiaTheme="minorHAnsi" w:hAnsi="Century Gothic"/>
                <w:sz w:val="20"/>
                <w:szCs w:val="20"/>
                <w:lang w:eastAsia="en-US"/>
              </w:rPr>
              <w:t> </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eastAsiaTheme="minorHAnsi" w:hAnsi="Century Gothic"/>
                <w:sz w:val="20"/>
                <w:szCs w:val="20"/>
                <w:lang w:eastAsia="en-US"/>
              </w:rPr>
              <w:t> </w:t>
            </w:r>
          </w:p>
        </w:tc>
      </w:tr>
      <w:tr w:rsidR="00E94D9E" w:rsidTr="00E94D9E">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57.95pt" w:type="dxa"/>
            <w:vAlign w:val="center"/>
          </w:tcPr>
          <w:p w:rsidR="00E94D9E" w:rsidRPr="00611019" w:rsidRDefault="00E94D9E" w:rsidP="00E94D9E">
            <w:pPr>
              <w:pStyle w:val="CondicionesFinales"/>
              <w:ind w:start="0pt" w:end="0pt"/>
              <w:jc w:val="center"/>
              <w:rPr>
                <w:rFonts w:ascii="Century Gothic" w:hAnsi="Century Gothic"/>
                <w:sz w:val="20"/>
                <w:szCs w:val="20"/>
              </w:rPr>
            </w:pPr>
            <w:r>
              <w:rPr>
                <w:rFonts w:ascii="Century Gothic" w:hAnsi="Century Gothic"/>
                <w:sz w:val="20"/>
                <w:szCs w:val="20"/>
              </w:rPr>
              <w:t>50</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$151.32</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$141.62</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$126.10</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$155.50</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$154.89</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$135.91</w:t>
            </w:r>
          </w:p>
        </w:tc>
      </w:tr>
      <w:tr w:rsidR="00E94D9E" w:rsidTr="00E94D9E">
        <w:trPr>
          <w:trHeight w:val="224"/>
          <w:jc w:val="center"/>
        </w:trPr>
        <w:tc>
          <w:tcPr>
            <w:cnfStyle w:firstRow="0" w:lastRow="0" w:firstColumn="1" w:lastColumn="0" w:oddVBand="0" w:evenVBand="0" w:oddHBand="0" w:evenHBand="0" w:firstRowFirstColumn="0" w:firstRowLastColumn="0" w:lastRowFirstColumn="0" w:lastRowLastColumn="0"/>
            <w:tcW w:w="57.95pt" w:type="dxa"/>
            <w:vAlign w:val="center"/>
          </w:tcPr>
          <w:p w:rsidR="00E94D9E" w:rsidRPr="00611019" w:rsidRDefault="00E94D9E" w:rsidP="00E94D9E">
            <w:pPr>
              <w:pStyle w:val="CondicionesFinales"/>
              <w:ind w:start="0pt" w:end="0pt"/>
              <w:jc w:val="center"/>
              <w:rPr>
                <w:rFonts w:ascii="Century Gothic" w:hAnsi="Century Gothic"/>
                <w:sz w:val="20"/>
                <w:szCs w:val="20"/>
              </w:rPr>
            </w:pPr>
            <w:r>
              <w:rPr>
                <w:rFonts w:ascii="Century Gothic" w:hAnsi="Century Gothic"/>
                <w:sz w:val="20"/>
                <w:szCs w:val="20"/>
              </w:rPr>
              <w:t>60</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$152.29</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$144.53</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$130.95</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$160.48</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$159.87</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$139.07</w:t>
            </w:r>
          </w:p>
        </w:tc>
      </w:tr>
      <w:tr w:rsidR="00E94D9E" w:rsidTr="00E94D9E">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57.95pt" w:type="dxa"/>
            <w:vAlign w:val="center"/>
          </w:tcPr>
          <w:p w:rsidR="00E94D9E" w:rsidRPr="00611019" w:rsidRDefault="00E94D9E" w:rsidP="00E94D9E">
            <w:pPr>
              <w:pStyle w:val="CondicionesFinales"/>
              <w:ind w:start="0pt" w:end="0pt"/>
              <w:jc w:val="center"/>
              <w:rPr>
                <w:rFonts w:ascii="Century Gothic" w:hAnsi="Century Gothic"/>
                <w:sz w:val="20"/>
                <w:szCs w:val="20"/>
              </w:rPr>
            </w:pPr>
            <w:r>
              <w:rPr>
                <w:rFonts w:ascii="Century Gothic" w:hAnsi="Century Gothic"/>
                <w:sz w:val="20"/>
                <w:szCs w:val="20"/>
              </w:rPr>
              <w:t>70</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$162.96</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$161.99</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$140.65</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$165.45</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$163.82</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$142.23</w:t>
            </w:r>
          </w:p>
        </w:tc>
      </w:tr>
      <w:tr w:rsidR="00E94D9E" w:rsidTr="00E94D9E">
        <w:trPr>
          <w:trHeight w:val="224"/>
          <w:jc w:val="center"/>
        </w:trPr>
        <w:tc>
          <w:tcPr>
            <w:cnfStyle w:firstRow="0" w:lastRow="0" w:firstColumn="1" w:lastColumn="0" w:oddVBand="0" w:evenVBand="0" w:oddHBand="0" w:evenHBand="0" w:firstRowFirstColumn="0" w:firstRowLastColumn="0" w:lastRowFirstColumn="0" w:lastRowLastColumn="0"/>
            <w:tcW w:w="57.95pt" w:type="dxa"/>
            <w:vAlign w:val="center"/>
          </w:tcPr>
          <w:p w:rsidR="00E94D9E" w:rsidRPr="00611019" w:rsidRDefault="00E94D9E" w:rsidP="00E94D9E">
            <w:pPr>
              <w:pStyle w:val="CondicionesFinales"/>
              <w:ind w:start="0pt" w:end="0pt"/>
              <w:jc w:val="center"/>
              <w:rPr>
                <w:rFonts w:ascii="Century Gothic" w:hAnsi="Century Gothic"/>
                <w:sz w:val="20"/>
                <w:szCs w:val="20"/>
              </w:rPr>
            </w:pPr>
            <w:r>
              <w:rPr>
                <w:rFonts w:ascii="Century Gothic" w:hAnsi="Century Gothic"/>
                <w:sz w:val="20"/>
                <w:szCs w:val="20"/>
              </w:rPr>
              <w:t>80</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$181.39</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$180.42</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$155.20</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$183.88</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$181.03</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$156.78</w:t>
            </w:r>
          </w:p>
        </w:tc>
      </w:tr>
      <w:tr w:rsidR="00E94D9E" w:rsidTr="00E94D9E">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57.95pt" w:type="dxa"/>
            <w:vAlign w:val="center"/>
          </w:tcPr>
          <w:p w:rsidR="00E94D9E" w:rsidRPr="00611019" w:rsidRDefault="00E94D9E" w:rsidP="00E94D9E">
            <w:pPr>
              <w:pStyle w:val="CondicionesFinales"/>
              <w:ind w:start="0pt" w:end="0pt"/>
              <w:jc w:val="center"/>
              <w:rPr>
                <w:rFonts w:ascii="Century Gothic" w:hAnsi="Century Gothic"/>
                <w:sz w:val="20"/>
                <w:szCs w:val="20"/>
              </w:rPr>
            </w:pPr>
            <w:r>
              <w:rPr>
                <w:rFonts w:ascii="Century Gothic" w:hAnsi="Century Gothic"/>
                <w:sz w:val="20"/>
                <w:szCs w:val="20"/>
              </w:rPr>
              <w:t>100</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$185.27</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$182.36</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$157.14</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$190.46</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$189.44</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$162.96</w:t>
            </w:r>
          </w:p>
        </w:tc>
      </w:tr>
      <w:tr w:rsidR="00E94D9E" w:rsidTr="00E94D9E">
        <w:trPr>
          <w:trHeight w:val="224"/>
          <w:jc w:val="center"/>
        </w:trPr>
        <w:tc>
          <w:tcPr>
            <w:cnfStyle w:firstRow="0" w:lastRow="0" w:firstColumn="1" w:lastColumn="0" w:oddVBand="0" w:evenVBand="0" w:oddHBand="0" w:evenHBand="0" w:firstRowFirstColumn="0" w:firstRowLastColumn="0" w:lastRowFirstColumn="0" w:lastRowLastColumn="0"/>
            <w:tcW w:w="57.95pt" w:type="dxa"/>
            <w:vAlign w:val="center"/>
          </w:tcPr>
          <w:p w:rsidR="00E94D9E" w:rsidRPr="00611019" w:rsidRDefault="00E94D9E" w:rsidP="00E94D9E">
            <w:pPr>
              <w:pStyle w:val="CondicionesFinales"/>
              <w:ind w:start="0pt" w:end="0pt"/>
              <w:jc w:val="center"/>
              <w:rPr>
                <w:rFonts w:ascii="Century Gothic" w:hAnsi="Century Gothic"/>
                <w:sz w:val="20"/>
                <w:szCs w:val="20"/>
              </w:rPr>
            </w:pPr>
            <w:r>
              <w:rPr>
                <w:rFonts w:ascii="Century Gothic" w:hAnsi="Century Gothic"/>
                <w:sz w:val="20"/>
                <w:szCs w:val="20"/>
              </w:rPr>
              <w:t>120</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$188.18</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$186.24</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$159.08</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$197.59</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$195.55</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$167.03</w:t>
            </w:r>
          </w:p>
        </w:tc>
      </w:tr>
      <w:tr w:rsidR="00E94D9E" w:rsidTr="00E94D9E">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57.95pt" w:type="dxa"/>
            <w:vAlign w:val="center"/>
          </w:tcPr>
          <w:p w:rsidR="00E94D9E" w:rsidRPr="00611019" w:rsidRDefault="00E94D9E" w:rsidP="00E94D9E">
            <w:pPr>
              <w:pStyle w:val="CondicionesFinales"/>
              <w:ind w:start="0pt" w:end="0pt"/>
              <w:jc w:val="center"/>
              <w:rPr>
                <w:rFonts w:ascii="Century Gothic" w:hAnsi="Century Gothic"/>
                <w:sz w:val="20"/>
                <w:szCs w:val="20"/>
              </w:rPr>
            </w:pPr>
            <w:r>
              <w:rPr>
                <w:rFonts w:ascii="Century Gothic" w:hAnsi="Century Gothic"/>
                <w:sz w:val="20"/>
                <w:szCs w:val="20"/>
              </w:rPr>
              <w:t>150</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$191.09</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$188.18</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$161.02</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$200.64</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$197.59</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$169.07</w:t>
            </w:r>
          </w:p>
        </w:tc>
      </w:tr>
      <w:tr w:rsidR="00E94D9E" w:rsidTr="00E94D9E">
        <w:trPr>
          <w:trHeight w:val="224"/>
          <w:jc w:val="center"/>
        </w:trPr>
        <w:tc>
          <w:tcPr>
            <w:cnfStyle w:firstRow="0" w:lastRow="0" w:firstColumn="1" w:lastColumn="0" w:oddVBand="0" w:evenVBand="0" w:oddHBand="0" w:evenHBand="0" w:firstRowFirstColumn="0" w:firstRowLastColumn="0" w:lastRowFirstColumn="0" w:lastRowLastColumn="0"/>
            <w:tcW w:w="57.95pt" w:type="dxa"/>
            <w:vAlign w:val="center"/>
          </w:tcPr>
          <w:p w:rsidR="00E94D9E" w:rsidRPr="00611019" w:rsidRDefault="00E94D9E" w:rsidP="00E94D9E">
            <w:pPr>
              <w:pStyle w:val="CondicionesFinales"/>
              <w:ind w:start="0pt" w:end="0pt"/>
              <w:jc w:val="center"/>
              <w:rPr>
                <w:rFonts w:ascii="Century Gothic" w:hAnsi="Century Gothic"/>
                <w:sz w:val="20"/>
                <w:szCs w:val="20"/>
              </w:rPr>
            </w:pPr>
            <w:r>
              <w:rPr>
                <w:rFonts w:ascii="Century Gothic" w:hAnsi="Century Gothic"/>
                <w:sz w:val="20"/>
                <w:szCs w:val="20"/>
              </w:rPr>
              <w:t>200</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$206.61</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$198.85</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$167.81</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$216.94</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$208.79</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$176.20</w:t>
            </w:r>
          </w:p>
        </w:tc>
      </w:tr>
      <w:tr w:rsidR="00E94D9E" w:rsidTr="00E94D9E">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57.95pt" w:type="dxa"/>
            <w:vAlign w:val="center"/>
          </w:tcPr>
          <w:p w:rsidR="00E94D9E" w:rsidRPr="00611019" w:rsidRDefault="00E94D9E" w:rsidP="00E94D9E">
            <w:pPr>
              <w:pStyle w:val="CondicionesFinales"/>
              <w:ind w:start="0pt" w:end="0pt"/>
              <w:jc w:val="center"/>
              <w:rPr>
                <w:rFonts w:ascii="Century Gothic" w:hAnsi="Century Gothic"/>
                <w:sz w:val="20"/>
                <w:szCs w:val="20"/>
              </w:rPr>
            </w:pPr>
            <w:r>
              <w:rPr>
                <w:rFonts w:ascii="Century Gothic" w:hAnsi="Century Gothic"/>
                <w:sz w:val="20"/>
                <w:szCs w:val="20"/>
              </w:rPr>
              <w:t>250</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$223.10</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$209.52</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$175.57</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$234.26</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$220.00</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$184.35</w:t>
            </w:r>
          </w:p>
        </w:tc>
      </w:tr>
      <w:tr w:rsidR="00E94D9E" w:rsidTr="00E94D9E">
        <w:trPr>
          <w:trHeight w:val="224"/>
          <w:jc w:val="center"/>
        </w:trPr>
        <w:tc>
          <w:tcPr>
            <w:cnfStyle w:firstRow="0" w:lastRow="0" w:firstColumn="1" w:lastColumn="0" w:oddVBand="0" w:evenVBand="0" w:oddHBand="0" w:evenHBand="0" w:firstRowFirstColumn="0" w:firstRowLastColumn="0" w:lastRowFirstColumn="0" w:lastRowLastColumn="0"/>
            <w:tcW w:w="57.95pt" w:type="dxa"/>
            <w:vAlign w:val="center"/>
          </w:tcPr>
          <w:p w:rsidR="00E94D9E" w:rsidRPr="00611019" w:rsidRDefault="00E94D9E" w:rsidP="00E94D9E">
            <w:pPr>
              <w:pStyle w:val="CondicionesFinales"/>
              <w:ind w:start="0pt" w:end="0pt"/>
              <w:jc w:val="center"/>
              <w:rPr>
                <w:rFonts w:ascii="Century Gothic" w:hAnsi="Century Gothic"/>
                <w:sz w:val="20"/>
                <w:szCs w:val="20"/>
              </w:rPr>
            </w:pPr>
            <w:r>
              <w:rPr>
                <w:rFonts w:ascii="Century Gothic" w:hAnsi="Century Gothic"/>
                <w:sz w:val="20"/>
                <w:szCs w:val="20"/>
              </w:rPr>
              <w:t>300</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$258.99</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$250.26</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$211.90</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$271.94</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$262.77</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$222.49</w:t>
            </w:r>
          </w:p>
        </w:tc>
      </w:tr>
      <w:tr w:rsidR="00E94D9E" w:rsidTr="00E94D9E">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57.95pt" w:type="dxa"/>
            <w:vAlign w:val="center"/>
          </w:tcPr>
          <w:p w:rsidR="00E94D9E" w:rsidRPr="00611019" w:rsidRDefault="00E94D9E" w:rsidP="00E94D9E">
            <w:pPr>
              <w:pStyle w:val="CondicionesFinales"/>
              <w:ind w:start="0pt" w:end="0pt"/>
              <w:jc w:val="center"/>
              <w:rPr>
                <w:rFonts w:ascii="Century Gothic" w:hAnsi="Century Gothic"/>
                <w:sz w:val="20"/>
                <w:szCs w:val="20"/>
              </w:rPr>
            </w:pPr>
            <w:r>
              <w:rPr>
                <w:rFonts w:ascii="Century Gothic" w:hAnsi="Century Gothic"/>
                <w:sz w:val="20"/>
                <w:szCs w:val="20"/>
              </w:rPr>
              <w:t>350</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$276.45</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$267.72</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$222.31</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sz w:val="20"/>
                <w:szCs w:val="20"/>
              </w:rPr>
              <w:t>$290.27</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sz w:val="20"/>
                <w:szCs w:val="20"/>
              </w:rPr>
              <w:t>$281.11</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sz w:val="20"/>
                <w:szCs w:val="20"/>
              </w:rPr>
              <w:t>$233.43</w:t>
            </w:r>
          </w:p>
        </w:tc>
      </w:tr>
      <w:tr w:rsidR="00E94D9E" w:rsidTr="00E94D9E">
        <w:trPr>
          <w:trHeight w:val="224"/>
          <w:jc w:val="center"/>
        </w:trPr>
        <w:tc>
          <w:tcPr>
            <w:cnfStyle w:firstRow="0" w:lastRow="0" w:firstColumn="1" w:lastColumn="0" w:oddVBand="0" w:evenVBand="0" w:oddHBand="0" w:evenHBand="0" w:firstRowFirstColumn="0" w:firstRowLastColumn="0" w:lastRowFirstColumn="0" w:lastRowLastColumn="0"/>
            <w:tcW w:w="57.95pt" w:type="dxa"/>
            <w:vAlign w:val="center"/>
          </w:tcPr>
          <w:p w:rsidR="00E94D9E" w:rsidRPr="00611019" w:rsidRDefault="00E94D9E" w:rsidP="00E94D9E">
            <w:pPr>
              <w:pStyle w:val="CondicionesFinales"/>
              <w:ind w:start="0pt" w:end="0pt"/>
              <w:jc w:val="center"/>
              <w:rPr>
                <w:rFonts w:ascii="Century Gothic" w:hAnsi="Century Gothic"/>
                <w:sz w:val="20"/>
                <w:szCs w:val="20"/>
              </w:rPr>
            </w:pPr>
            <w:r>
              <w:rPr>
                <w:rFonts w:ascii="Century Gothic" w:hAnsi="Century Gothic"/>
                <w:sz w:val="20"/>
                <w:szCs w:val="20"/>
              </w:rPr>
              <w:t>400</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$302.64</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$293.91</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$236.38</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eastAsiaTheme="minorHAnsi" w:hAnsi="Century Gothic"/>
                <w:sz w:val="20"/>
                <w:szCs w:val="20"/>
                <w:lang w:eastAsia="en-US"/>
              </w:rPr>
              <w:t>$317.77</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eastAsiaTheme="minorHAnsi" w:hAnsi="Century Gothic"/>
                <w:sz w:val="20"/>
                <w:szCs w:val="20"/>
                <w:lang w:eastAsia="en-US"/>
              </w:rPr>
              <w:t>$308.61</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eastAsiaTheme="minorHAnsi" w:hAnsi="Century Gothic"/>
                <w:sz w:val="20"/>
                <w:szCs w:val="20"/>
                <w:lang w:eastAsia="en-US"/>
              </w:rPr>
              <w:t>$248.20</w:t>
            </w:r>
          </w:p>
        </w:tc>
      </w:tr>
      <w:tr w:rsidR="00E94D9E" w:rsidTr="00E94D9E">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57.95pt" w:type="dxa"/>
            <w:vAlign w:val="center"/>
          </w:tcPr>
          <w:p w:rsidR="00E94D9E" w:rsidRPr="00611019" w:rsidRDefault="00E94D9E" w:rsidP="00E94D9E">
            <w:pPr>
              <w:pStyle w:val="CondicionesFinales"/>
              <w:ind w:start="0pt" w:end="0pt"/>
              <w:jc w:val="center"/>
              <w:rPr>
                <w:rFonts w:ascii="Century Gothic" w:hAnsi="Century Gothic"/>
                <w:sz w:val="20"/>
                <w:szCs w:val="20"/>
              </w:rPr>
            </w:pPr>
            <w:r>
              <w:rPr>
                <w:rFonts w:ascii="Century Gothic" w:hAnsi="Century Gothic"/>
                <w:sz w:val="20"/>
                <w:szCs w:val="20"/>
              </w:rPr>
              <w:t>500</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$309.43</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$298.76</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$248.32</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eastAsiaTheme="minorHAnsi" w:hAnsi="Century Gothic"/>
                <w:sz w:val="20"/>
                <w:szCs w:val="20"/>
                <w:lang w:eastAsia="en-US"/>
              </w:rPr>
              <w:t>$320.26</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eastAsiaTheme="minorHAnsi" w:hAnsi="Century Gothic"/>
                <w:sz w:val="20"/>
                <w:szCs w:val="20"/>
                <w:lang w:eastAsia="en-US"/>
              </w:rPr>
              <w:t>$309.22</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eastAsiaTheme="minorHAnsi" w:hAnsi="Century Gothic"/>
                <w:sz w:val="20"/>
                <w:szCs w:val="20"/>
                <w:lang w:eastAsia="en-US"/>
              </w:rPr>
              <w:t>$257.01</w:t>
            </w:r>
          </w:p>
        </w:tc>
      </w:tr>
      <w:tr w:rsidR="00E94D9E" w:rsidTr="00E94D9E">
        <w:trPr>
          <w:trHeight w:val="224"/>
          <w:jc w:val="center"/>
        </w:trPr>
        <w:tc>
          <w:tcPr>
            <w:cnfStyle w:firstRow="0" w:lastRow="0" w:firstColumn="1" w:lastColumn="0" w:oddVBand="0" w:evenVBand="0" w:oddHBand="0" w:evenHBand="0" w:firstRowFirstColumn="0" w:firstRowLastColumn="0" w:lastRowFirstColumn="0" w:lastRowLastColumn="0"/>
            <w:tcW w:w="57.95pt" w:type="dxa"/>
            <w:vAlign w:val="center"/>
          </w:tcPr>
          <w:p w:rsidR="00E94D9E" w:rsidRPr="00611019" w:rsidRDefault="00E94D9E" w:rsidP="00E94D9E">
            <w:pPr>
              <w:pStyle w:val="CondicionesFinales"/>
              <w:ind w:start="0pt" w:end="0pt"/>
              <w:jc w:val="center"/>
              <w:rPr>
                <w:rFonts w:ascii="Century Gothic" w:hAnsi="Century Gothic"/>
                <w:sz w:val="20"/>
                <w:szCs w:val="20"/>
              </w:rPr>
            </w:pPr>
            <w:r>
              <w:rPr>
                <w:rFonts w:ascii="Century Gothic" w:hAnsi="Century Gothic"/>
                <w:sz w:val="20"/>
                <w:szCs w:val="20"/>
              </w:rPr>
              <w:t>750</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$342.41</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$333.68</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$271.60</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$347.55</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$338.69</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E94D9E" w:rsidP="00E94D9E">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$275.67</w:t>
            </w:r>
          </w:p>
        </w:tc>
      </w:tr>
      <w:tr w:rsidR="00E94D9E" w:rsidTr="00E94D9E">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57.95pt" w:type="dxa"/>
            <w:vAlign w:val="center"/>
          </w:tcPr>
          <w:p w:rsidR="00E94D9E" w:rsidRPr="00611019" w:rsidRDefault="00E94D9E" w:rsidP="00E94D9E">
            <w:pPr>
              <w:pStyle w:val="CondicionesFinales"/>
              <w:ind w:start="0pt" w:end="0pt"/>
              <w:jc w:val="center"/>
              <w:rPr>
                <w:rFonts w:ascii="Century Gothic" w:hAnsi="Century Gothic"/>
                <w:sz w:val="20"/>
                <w:szCs w:val="20"/>
              </w:rPr>
            </w:pPr>
            <w:r>
              <w:rPr>
                <w:rFonts w:ascii="Century Gothic" w:hAnsi="Century Gothic"/>
                <w:sz w:val="20"/>
                <w:szCs w:val="20"/>
              </w:rPr>
              <w:t>1000</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BD0DD0"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$432.76</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BD0DD0"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$387.63</w:t>
            </w:r>
          </w:p>
        </w:tc>
        <w:tc>
          <w:tcPr>
            <w:tcW w:w="59.6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BD0DD0"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$301.75</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BD0DD0"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$710.59</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BD0DD0"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$608.92</w:t>
            </w:r>
          </w:p>
        </w:tc>
        <w:tc>
          <w:tcPr>
            <w:tcW w:w="77.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94D9E" w:rsidRPr="00611019" w:rsidRDefault="00BD0DD0" w:rsidP="00E94D9E">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color w:val="000000"/>
                <w:sz w:val="20"/>
                <w:szCs w:val="20"/>
                <w:lang w:val="es-ES_tradnl"/>
              </w:rPr>
              <w:t>$458.43</w:t>
            </w:r>
          </w:p>
        </w:tc>
      </w:tr>
    </w:tbl>
    <w:p w:rsidR="007E2393" w:rsidRDefault="00E56462" w:rsidP="00035D2C">
      <w:pPr>
        <w:jc w:val="both"/>
        <w:rPr>
          <w:rFonts w:ascii="Century Gothic" w:hAnsi="Century Gothic"/>
          <w:sz w:val="18"/>
          <w:szCs w:val="18"/>
        </w:rPr>
      </w:pPr>
      <w:r>
        <w:rPr>
          <w:rFonts w:ascii="Century Gothic" w:hAnsi="Century Gothic"/>
        </w:rPr>
        <w:t>*/</w:t>
      </w:r>
      <w:r>
        <w:rPr>
          <w:rFonts w:ascii="Century Gothic" w:hAnsi="Century Gothic" w:cs="Arial"/>
          <w:sz w:val="18"/>
          <w:szCs w:val="18"/>
        </w:rPr>
        <w:t xml:space="preserve"> </w:t>
      </w:r>
      <w:r>
        <w:rPr>
          <w:rFonts w:ascii="Century Gothic" w:hAnsi="Century Gothic"/>
          <w:sz w:val="18"/>
          <w:szCs w:val="18"/>
        </w:rPr>
        <w:t>El ancho de banda es de bajada de información debido a que es un servicio asimétrico.</w:t>
      </w:r>
    </w:p>
    <w:p w:rsidR="0031512C" w:rsidRDefault="0031512C" w:rsidP="00035D2C">
      <w:pPr>
        <w:jc w:val="both"/>
        <w:rPr>
          <w:rFonts w:ascii="Century Gothic" w:hAnsi="Century Gothic"/>
          <w:sz w:val="18"/>
          <w:szCs w:val="18"/>
        </w:rPr>
      </w:pPr>
    </w:p>
    <w:p w:rsidR="0031512C" w:rsidRDefault="0031512C" w:rsidP="00035D2C">
      <w:pPr>
        <w:jc w:val="both"/>
        <w:rPr>
          <w:rFonts w:ascii="Century Gothic" w:hAnsi="Century Gothic"/>
          <w:sz w:val="18"/>
          <w:szCs w:val="18"/>
        </w:rPr>
      </w:pPr>
    </w:p>
    <w:p w:rsidR="0031512C" w:rsidRPr="00611019" w:rsidRDefault="0031512C" w:rsidP="00035D2C">
      <w:pPr>
        <w:jc w:val="both"/>
        <w:rPr>
          <w:rFonts w:ascii="Century Gothic" w:hAnsi="Century Gothic"/>
          <w:sz w:val="18"/>
          <w:szCs w:val="18"/>
        </w:rPr>
      </w:pPr>
    </w:p>
    <w:tbl>
      <w:tblPr>
        <w:tblStyle w:val="Tablanormal1"/>
        <w:tblW w:w="100.0%" w:type="pct"/>
        <w:jc w:val="center"/>
        <w:tblLook w:firstRow="1" w:lastRow="0" w:firstColumn="1" w:lastColumn="0" w:noHBand="0" w:noVBand="1"/>
      </w:tblPr>
      <w:tblGrid>
        <w:gridCol w:w="1698"/>
        <w:gridCol w:w="1129"/>
        <w:gridCol w:w="1414"/>
        <w:gridCol w:w="1414"/>
        <w:gridCol w:w="1100"/>
        <w:gridCol w:w="1224"/>
        <w:gridCol w:w="1415"/>
      </w:tblGrid>
      <w:tr w:rsidR="0061711D" w:rsidTr="008B798A">
        <w:trPr>
          <w:cnfStyle w:firstRow="1" w:lastRow="0" w:firstColumn="0" w:lastColumn="0" w:oddVBand="0" w:evenVBand="0" w:oddHBand="0"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18.0%" w:type="pct"/>
            <w:shd w:val="clear" w:color="auto" w:fill="009AD9"/>
            <w:vAlign w:val="center"/>
          </w:tcPr>
          <w:p w:rsidR="00866B6B" w:rsidRPr="00611019" w:rsidRDefault="00E56462" w:rsidP="00035D2C">
            <w:pPr>
              <w:jc w:val="center"/>
              <w:rPr>
                <w:rFonts w:ascii="Century Gothic" w:hAnsi="Century Gothic"/>
                <w:color w:val="FFFFFF" w:themeColor="background1"/>
                <w:sz w:val="20"/>
                <w:szCs w:val="20"/>
                <w:lang w:val="es-ES_tradnl"/>
              </w:rPr>
            </w:pPr>
            <w:r>
              <w:rPr>
                <w:rFonts w:ascii="Century Gothic" w:eastAsia="Times New Roman" w:hAnsi="Century Gothic" w:cs="Arial"/>
                <w:iCs/>
                <w:color w:val="000000"/>
              </w:rPr>
              <w:t xml:space="preserve"> </w:t>
            </w:r>
          </w:p>
        </w:tc>
        <w:tc>
          <w:tcPr>
            <w:tcW w:w="81.0%" w:type="pct"/>
            <w:gridSpan w:val="6"/>
            <w:shd w:val="clear" w:color="auto" w:fill="009AD9"/>
            <w:vAlign w:val="center"/>
          </w:tcPr>
          <w:p w:rsidR="00866B6B" w:rsidRPr="00611019" w:rsidRDefault="00E56462" w:rsidP="00035D2C">
            <w:pPr>
              <w:jc w:val="center"/>
              <w:cnfStyle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szCs w:val="20"/>
                <w:lang w:val="es-ES_tradnl"/>
              </w:rPr>
            </w:pPr>
            <w:r>
              <w:rPr>
                <w:rFonts w:ascii="Century Gothic" w:hAnsi="Century Gothic"/>
                <w:color w:val="FFFFFF" w:themeColor="background1"/>
                <w:sz w:val="20"/>
                <w:szCs w:val="20"/>
                <w:lang w:val="es-ES_tradnl"/>
              </w:rPr>
              <w:t>Renta mensual por entrega del servicio a nivel</w:t>
            </w:r>
          </w:p>
        </w:tc>
      </w:tr>
      <w:tr w:rsidR="0061711D" w:rsidTr="008B798A">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18.0%" w:type="pct"/>
            <w:vAlign w:val="center"/>
          </w:tcPr>
          <w:p w:rsidR="00866B6B" w:rsidRPr="00611019" w:rsidRDefault="00E56462" w:rsidP="00035D2C">
            <w:pPr>
              <w:jc w:val="center"/>
              <w:rPr>
                <w:rFonts w:ascii="Century Gothic" w:hAnsi="Century Gothic"/>
                <w:color w:val="000000"/>
                <w:sz w:val="20"/>
                <w:szCs w:val="20"/>
                <w:lang w:val="es-ES_tradnl"/>
              </w:rPr>
            </w:pPr>
            <w:r>
              <w:rPr>
                <w:rFonts w:ascii="Century Gothic" w:hAnsi="Century Gothic"/>
                <w:color w:val="000000"/>
                <w:sz w:val="20"/>
                <w:szCs w:val="20"/>
                <w:lang w:val="es-ES_tradnl"/>
              </w:rPr>
              <w:t xml:space="preserve">Calidad </w:t>
            </w:r>
            <w:r>
              <w:rPr>
                <w:rFonts w:ascii="Century Gothic" w:hAnsi="Century Gothic"/>
                <w:color w:val="000000"/>
                <w:sz w:val="20"/>
                <w:szCs w:val="20"/>
              </w:rPr>
              <w:t>triple (d): VoIP/Datos Críticos/ Datos Generales</w:t>
            </w:r>
          </w:p>
        </w:tc>
        <w:tc>
          <w:tcPr>
            <w:tcW w:w="42.0%" w:type="pct"/>
            <w:gridSpan w:val="3"/>
            <w:vAlign w:val="center"/>
          </w:tcPr>
          <w:p w:rsidR="00866B6B" w:rsidRPr="00611019"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b/>
                <w:color w:val="000000"/>
                <w:sz w:val="20"/>
                <w:szCs w:val="20"/>
                <w:lang w:val="es-ES_tradnl"/>
              </w:rPr>
              <w:t>Asimétrico*/</w:t>
            </w:r>
          </w:p>
        </w:tc>
        <w:tc>
          <w:tcPr>
            <w:tcW w:w="39.0%" w:type="pct"/>
            <w:gridSpan w:val="3"/>
            <w:vAlign w:val="center"/>
          </w:tcPr>
          <w:p w:rsidR="00866B6B" w:rsidRPr="00611019"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b/>
                <w:color w:val="000000"/>
                <w:sz w:val="20"/>
                <w:szCs w:val="20"/>
                <w:lang w:val="es-ES_tradnl"/>
              </w:rPr>
              <w:t>Simétrico</w:t>
            </w:r>
          </w:p>
        </w:tc>
      </w:tr>
      <w:tr w:rsidR="0061711D" w:rsidTr="008B798A">
        <w:trPr>
          <w:trHeight w:val="224"/>
          <w:jc w:val="center"/>
        </w:trPr>
        <w:tc>
          <w:tcPr>
            <w:cnfStyle w:firstRow="0" w:lastRow="0" w:firstColumn="1" w:lastColumn="0" w:oddVBand="0" w:evenVBand="0" w:oddHBand="0" w:evenHBand="0" w:firstRowFirstColumn="0" w:firstRowLastColumn="0" w:lastRowFirstColumn="0" w:lastRowLastColumn="0"/>
            <w:tcW w:w="18.0%" w:type="pct"/>
            <w:vAlign w:val="center"/>
          </w:tcPr>
          <w:p w:rsidR="00866B6B" w:rsidRPr="00611019" w:rsidRDefault="00E56462" w:rsidP="00035D2C">
            <w:pPr>
              <w:jc w:val="center"/>
              <w:rPr>
                <w:rFonts w:ascii="Century Gothic" w:hAnsi="Century Gothic"/>
                <w:color w:val="000000"/>
                <w:sz w:val="20"/>
                <w:szCs w:val="20"/>
                <w:lang w:val="es-ES_tradnl"/>
              </w:rPr>
            </w:pPr>
            <w:r>
              <w:rPr>
                <w:rFonts w:ascii="Century Gothic" w:hAnsi="Century Gothic"/>
                <w:color w:val="000000"/>
                <w:sz w:val="20"/>
                <w:szCs w:val="20"/>
                <w:lang w:val="es-ES_tradnl"/>
              </w:rPr>
              <w:t>Velocidad de bajada (Mbps)</w:t>
            </w:r>
          </w:p>
        </w:tc>
        <w:tc>
          <w:tcPr>
            <w:tcW w:w="12.0%" w:type="pct"/>
            <w:vAlign w:val="center"/>
          </w:tcPr>
          <w:p w:rsidR="00866B6B" w:rsidRPr="00611019"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b/>
                <w:color w:val="000000"/>
                <w:sz w:val="20"/>
                <w:szCs w:val="20"/>
                <w:lang w:val="es-ES_tradnl"/>
              </w:rPr>
              <w:t>Nacional</w:t>
            </w:r>
          </w:p>
        </w:tc>
        <w:tc>
          <w:tcPr>
            <w:tcW w:w="15.0%" w:type="pct"/>
            <w:vAlign w:val="center"/>
          </w:tcPr>
          <w:p w:rsidR="00866B6B" w:rsidRPr="00611019"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b/>
                <w:color w:val="000000"/>
                <w:sz w:val="20"/>
                <w:szCs w:val="20"/>
                <w:lang w:val="es-ES_tradnl"/>
              </w:rPr>
              <w:t>Regional</w:t>
            </w:r>
          </w:p>
        </w:tc>
        <w:tc>
          <w:tcPr>
            <w:tcW w:w="15.0%" w:type="pct"/>
            <w:vAlign w:val="center"/>
          </w:tcPr>
          <w:p w:rsidR="00866B6B" w:rsidRPr="00611019"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b/>
                <w:color w:val="000000"/>
                <w:sz w:val="20"/>
                <w:szCs w:val="20"/>
                <w:lang w:val="es-ES_tradnl"/>
              </w:rPr>
              <w:t>Local</w:t>
            </w:r>
          </w:p>
        </w:tc>
        <w:tc>
          <w:tcPr>
            <w:tcW w:w="11.0%" w:type="pct"/>
            <w:vAlign w:val="center"/>
          </w:tcPr>
          <w:p w:rsidR="00866B6B" w:rsidRPr="00611019"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b/>
                <w:color w:val="000000"/>
                <w:sz w:val="20"/>
                <w:szCs w:val="20"/>
                <w:lang w:val="es-ES_tradnl"/>
              </w:rPr>
              <w:t>Nacional</w:t>
            </w:r>
          </w:p>
        </w:tc>
        <w:tc>
          <w:tcPr>
            <w:tcW w:w="13.0%" w:type="pct"/>
            <w:vAlign w:val="center"/>
          </w:tcPr>
          <w:p w:rsidR="00866B6B" w:rsidRPr="00611019"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b/>
                <w:color w:val="000000"/>
                <w:sz w:val="20"/>
                <w:szCs w:val="20"/>
                <w:lang w:val="es-ES_tradnl"/>
              </w:rPr>
              <w:t>Regional</w:t>
            </w:r>
          </w:p>
        </w:tc>
        <w:tc>
          <w:tcPr>
            <w:tcW w:w="15.0%" w:type="pct"/>
            <w:vAlign w:val="center"/>
          </w:tcPr>
          <w:p w:rsidR="00866B6B" w:rsidRPr="00611019"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b/>
                <w:color w:val="000000"/>
                <w:sz w:val="20"/>
                <w:szCs w:val="20"/>
                <w:lang w:val="es-ES_tradnl"/>
              </w:rPr>
              <w:t>Local</w:t>
            </w:r>
          </w:p>
        </w:tc>
      </w:tr>
      <w:tr w:rsidR="0061711D" w:rsidTr="008B798A">
        <w:trPr>
          <w:cnfStyle w:firstRow="0" w:lastRow="0" w:firstColumn="0" w:lastColumn="0" w:oddVBand="0" w:evenVBand="0" w:oddHBand="1" w:evenHBand="0" w:firstRowFirstColumn="0" w:firstRowLastColumn="0" w:lastRowFirstColumn="0" w:lastRowLastColumn="0"/>
          <w:trHeight w:val="224"/>
          <w:jc w:val="center"/>
        </w:trPr>
        <w:tc>
          <w:tcPr>
            <w:cnfStyle w:firstRow="0" w:lastRow="0" w:firstColumn="1" w:lastColumn="0" w:oddVBand="0" w:evenVBand="0" w:oddHBand="0" w:evenHBand="0" w:firstRowFirstColumn="0" w:firstRowLastColumn="0" w:lastRowFirstColumn="0" w:lastRowLastColumn="0"/>
            <w:tcW w:w="18.0%" w:type="pct"/>
            <w:vAlign w:val="center"/>
          </w:tcPr>
          <w:p w:rsidR="008B672A" w:rsidRPr="00611019" w:rsidRDefault="00E56462" w:rsidP="00035D2C">
            <w:pPr>
              <w:pStyle w:val="CondicionesFinales"/>
              <w:ind w:start="0pt" w:end="0pt"/>
              <w:jc w:val="center"/>
              <w:rPr>
                <w:rFonts w:ascii="Century Gothic" w:hAnsi="Century Gothic"/>
                <w:sz w:val="20"/>
                <w:szCs w:val="20"/>
              </w:rPr>
            </w:pPr>
            <w:r>
              <w:rPr>
                <w:rFonts w:ascii="Century Gothic" w:hAnsi="Century Gothic"/>
                <w:sz w:val="20"/>
                <w:szCs w:val="20"/>
              </w:rPr>
              <w:t>3</w:t>
            </w:r>
          </w:p>
        </w:tc>
        <w:tc>
          <w:tcPr>
            <w:tcW w:w="12.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8B672A" w:rsidRPr="00611019"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sz w:val="20"/>
                <w:szCs w:val="20"/>
              </w:rPr>
              <w:t>$189.00</w:t>
            </w:r>
          </w:p>
        </w:tc>
        <w:tc>
          <w:tcPr>
            <w:tcW w:w="15.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8B672A" w:rsidRPr="00611019"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sz w:val="20"/>
                <w:szCs w:val="20"/>
              </w:rPr>
              <w:t>$176.00</w:t>
            </w:r>
          </w:p>
        </w:tc>
        <w:tc>
          <w:tcPr>
            <w:tcW w:w="15.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8B672A" w:rsidRPr="00611019"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sz w:val="20"/>
                <w:szCs w:val="20"/>
              </w:rPr>
              <w:t>$158.00</w:t>
            </w:r>
          </w:p>
        </w:tc>
        <w:tc>
          <w:tcPr>
            <w:tcW w:w="11.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8B672A" w:rsidRPr="00611019" w:rsidRDefault="008B672A"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p>
        </w:tc>
        <w:tc>
          <w:tcPr>
            <w:tcW w:w="13.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8B672A" w:rsidRPr="00611019" w:rsidRDefault="008B672A"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p>
        </w:tc>
        <w:tc>
          <w:tcPr>
            <w:tcW w:w="15.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8B672A" w:rsidRPr="00611019" w:rsidRDefault="008B672A"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p>
        </w:tc>
      </w:tr>
      <w:tr w:rsidR="0061711D" w:rsidTr="008B798A">
        <w:trPr>
          <w:trHeight w:val="224"/>
          <w:jc w:val="center"/>
        </w:trPr>
        <w:tc>
          <w:tcPr>
            <w:cnfStyle w:firstRow="0" w:lastRow="0" w:firstColumn="1" w:lastColumn="0" w:oddVBand="0" w:evenVBand="0" w:oddHBand="0" w:evenHBand="0" w:firstRowFirstColumn="0" w:firstRowLastColumn="0" w:lastRowFirstColumn="0" w:lastRowLastColumn="0"/>
            <w:tcW w:w="18.0%" w:type="pct"/>
            <w:vAlign w:val="center"/>
          </w:tcPr>
          <w:p w:rsidR="008B672A" w:rsidRPr="00611019" w:rsidRDefault="00E56462" w:rsidP="00035D2C">
            <w:pPr>
              <w:pStyle w:val="CondicionesFinales"/>
              <w:ind w:start="0pt" w:end="0pt"/>
              <w:jc w:val="center"/>
              <w:rPr>
                <w:rFonts w:ascii="Century Gothic" w:hAnsi="Century Gothic"/>
                <w:sz w:val="20"/>
                <w:szCs w:val="20"/>
              </w:rPr>
            </w:pPr>
            <w:r>
              <w:rPr>
                <w:rFonts w:ascii="Century Gothic" w:hAnsi="Century Gothic"/>
                <w:sz w:val="20"/>
                <w:szCs w:val="20"/>
              </w:rPr>
              <w:t>200</w:t>
            </w:r>
          </w:p>
        </w:tc>
        <w:tc>
          <w:tcPr>
            <w:tcW w:w="12.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8B672A" w:rsidRPr="00611019" w:rsidRDefault="008B672A" w:rsidP="00035D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p>
        </w:tc>
        <w:tc>
          <w:tcPr>
            <w:tcW w:w="15.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8B672A" w:rsidRPr="00611019" w:rsidRDefault="008B672A" w:rsidP="00035D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p>
        </w:tc>
        <w:tc>
          <w:tcPr>
            <w:tcW w:w="15.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8B672A" w:rsidRPr="00611019" w:rsidRDefault="008B672A" w:rsidP="00035D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p>
        </w:tc>
        <w:tc>
          <w:tcPr>
            <w:tcW w:w="11.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8B672A" w:rsidRPr="00611019" w:rsidRDefault="00E56462" w:rsidP="00035D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$536.00</w:t>
            </w:r>
          </w:p>
        </w:tc>
        <w:tc>
          <w:tcPr>
            <w:tcW w:w="13.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8B672A" w:rsidRPr="00611019" w:rsidRDefault="00E56462" w:rsidP="00035D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$524.00</w:t>
            </w:r>
          </w:p>
        </w:tc>
        <w:tc>
          <w:tcPr>
            <w:tcW w:w="15.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8B672A" w:rsidRPr="00611019" w:rsidRDefault="00E56462" w:rsidP="00035D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$440.00</w:t>
            </w:r>
          </w:p>
        </w:tc>
      </w:tr>
    </w:tbl>
    <w:p w:rsidR="00866B6B" w:rsidRPr="00611019" w:rsidRDefault="00E56462" w:rsidP="00035D2C">
      <w:pPr>
        <w:jc w:val="both"/>
        <w:rPr>
          <w:rFonts w:ascii="Century Gothic" w:hAnsi="Century Gothic"/>
          <w:sz w:val="18"/>
          <w:szCs w:val="18"/>
        </w:rPr>
      </w:pPr>
      <w:r>
        <w:rPr>
          <w:rFonts w:ascii="Century Gothic" w:hAnsi="Century Gothic"/>
          <w:sz w:val="18"/>
          <w:szCs w:val="18"/>
        </w:rPr>
        <w:lastRenderedPageBreak/>
        <w:t>*/ El ancho de banda es de bajada de información debido a que es un servicio asimétrico.</w:t>
      </w:r>
    </w:p>
    <w:p w:rsidR="00CC773A" w:rsidRPr="00611019" w:rsidRDefault="00CC773A" w:rsidP="00035D2C">
      <w:pPr>
        <w:spacing w:after="6pt"/>
        <w:jc w:val="both"/>
        <w:rPr>
          <w:rFonts w:ascii="Century Gothic" w:eastAsia="Times New Roman" w:hAnsi="Century Gothic" w:cs="Arial"/>
          <w:b/>
        </w:rPr>
      </w:pPr>
    </w:p>
    <w:p w:rsidR="00277ED2" w:rsidRPr="00611019" w:rsidRDefault="00E56462" w:rsidP="00035D2C">
      <w:pPr>
        <w:spacing w:after="6pt"/>
        <w:jc w:val="both"/>
        <w:rPr>
          <w:rFonts w:ascii="Century Gothic" w:eastAsia="Times New Roman" w:hAnsi="Century Gothic" w:cs="Arial"/>
          <w:b/>
        </w:rPr>
      </w:pPr>
      <w:r>
        <w:rPr>
          <w:rFonts w:ascii="Century Gothic" w:eastAsia="Times New Roman" w:hAnsi="Century Gothic" w:cs="Arial"/>
          <w:b/>
        </w:rPr>
        <w:t>- Caso II.</w:t>
      </w:r>
    </w:p>
    <w:p w:rsidR="00866B6B" w:rsidRPr="00611019" w:rsidRDefault="00E56462" w:rsidP="00035D2C">
      <w:pPr>
        <w:spacing w:after="6pt"/>
        <w:jc w:val="both"/>
        <w:rPr>
          <w:rFonts w:ascii="Century Gothic" w:eastAsia="Times New Roman" w:hAnsi="Century Gothic" w:cs="Arial"/>
        </w:rPr>
      </w:pPr>
      <w:bookmarkStart w:id="2287" w:name="_Hlk153900198"/>
      <w:r>
        <w:rPr>
          <w:rFonts w:ascii="Century Gothic" w:eastAsia="Times New Roman" w:hAnsi="Century Gothic" w:cs="Arial"/>
        </w:rPr>
        <w:t>Los niveles tarifarios descritos a continuación son aplicables cuando los Servicios se prestan a través de cobre y se encuentran en uso por parte del mismo CS, la Empresa Mayorista u otro CS las frecuencias bajas (SDTBL) para prestar servicios de voz.</w:t>
      </w:r>
    </w:p>
    <w:p w:rsidR="00C36A82" w:rsidRPr="00611019" w:rsidRDefault="00C36A82" w:rsidP="00035D2C">
      <w:pPr>
        <w:spacing w:after="6pt"/>
        <w:jc w:val="both"/>
        <w:rPr>
          <w:rFonts w:ascii="Century Gothic" w:eastAsia="Times New Roman" w:hAnsi="Century Gothic" w:cs="Arial"/>
          <w:sz w:val="8"/>
        </w:rPr>
      </w:pPr>
    </w:p>
    <w:tbl>
      <w:tblPr>
        <w:tblStyle w:val="Tablanormal1"/>
        <w:tblW w:w="0pt" w:type="dxa"/>
        <w:jc w:val="center"/>
        <w:tblLook w:firstRow="1" w:lastRow="0" w:firstColumn="1" w:lastColumn="0" w:noHBand="0" w:noVBand="1"/>
      </w:tblPr>
      <w:tblGrid>
        <w:gridCol w:w="2153"/>
        <w:gridCol w:w="1732"/>
        <w:gridCol w:w="1683"/>
        <w:gridCol w:w="1301"/>
      </w:tblGrid>
      <w:tr w:rsidR="0061711D" w:rsidTr="0061711D">
        <w:trPr>
          <w:cnfStyle w:firstRow="1" w:lastRow="0" w:firstColumn="0" w:lastColumn="0" w:oddVBand="0" w:evenVBand="0" w:oddHBand="0"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107.65pt" w:type="dxa"/>
            <w:shd w:val="clear" w:color="auto" w:fill="009AD9"/>
            <w:vAlign w:val="center"/>
          </w:tcPr>
          <w:bookmarkEnd w:id="2287"/>
          <w:p w:rsidR="00F56A31" w:rsidRPr="00611019" w:rsidRDefault="00E56462" w:rsidP="00035D2C">
            <w:pPr>
              <w:jc w:val="center"/>
              <w:rPr>
                <w:rFonts w:ascii="Century Gothic" w:hAnsi="Century Gothic"/>
                <w:b w:val="0"/>
                <w:bCs w:val="0"/>
                <w:color w:val="FFFFFF" w:themeColor="background1"/>
                <w:sz w:val="20"/>
                <w:szCs w:val="20"/>
                <w:lang w:val="es-ES_tradnl"/>
              </w:rPr>
            </w:pPr>
            <w:r>
              <w:rPr>
                <w:rFonts w:ascii="Century Gothic" w:hAnsi="Century Gothic"/>
                <w:color w:val="FFFFFF" w:themeColor="background1"/>
                <w:sz w:val="20"/>
                <w:szCs w:val="20"/>
                <w:lang w:val="es-ES_tradnl"/>
              </w:rPr>
              <w:t>Calidad (a):</w:t>
            </w:r>
          </w:p>
          <w:p w:rsidR="00866B6B" w:rsidRPr="00611019" w:rsidRDefault="00E56462" w:rsidP="00035D2C">
            <w:pPr>
              <w:jc w:val="center"/>
              <w:rPr>
                <w:rFonts w:ascii="Century Gothic" w:hAnsi="Century Gothic"/>
                <w:color w:val="FFFFFF" w:themeColor="background1"/>
                <w:sz w:val="20"/>
                <w:szCs w:val="20"/>
                <w:lang w:val="es-ES_tradnl"/>
              </w:rPr>
            </w:pPr>
            <w:r>
              <w:rPr>
                <w:rFonts w:ascii="Century Gothic" w:hAnsi="Century Gothic"/>
                <w:i/>
                <w:color w:val="FFFFFF" w:themeColor="background1"/>
                <w:sz w:val="20"/>
                <w:szCs w:val="20"/>
                <w:lang w:val="es-ES_tradnl"/>
              </w:rPr>
              <w:t>Best Effort</w:t>
            </w:r>
          </w:p>
        </w:tc>
        <w:tc>
          <w:tcPr>
            <w:tcW w:w="235.80pt" w:type="dxa"/>
            <w:gridSpan w:val="3"/>
            <w:shd w:val="clear" w:color="auto" w:fill="009AD9"/>
            <w:vAlign w:val="center"/>
          </w:tcPr>
          <w:p w:rsidR="00866B6B" w:rsidRPr="00611019" w:rsidRDefault="00866B6B" w:rsidP="00035D2C">
            <w:pPr>
              <w:jc w:val="center"/>
              <w:cnfStyle w:firstRow="1" w:lastRow="0" w:firstColumn="0" w:lastColumn="0" w:oddVBand="0" w:evenVBand="0" w:oddHBand="0" w:evenHBand="0" w:firstRowFirstColumn="0" w:firstRowLastColumn="0" w:lastRowFirstColumn="0" w:lastRowLastColumn="0"/>
              <w:rPr>
                <w:rFonts w:ascii="Century Gothic" w:eastAsia="Times New Roman" w:hAnsi="Century Gothic" w:cs="Arial"/>
                <w:bCs w:val="0"/>
                <w:color w:val="FFFFFF" w:themeColor="background1"/>
                <w:sz w:val="20"/>
                <w:szCs w:val="20"/>
                <w:lang w:val="es-ES_tradnl" w:eastAsia="es-ES"/>
              </w:rPr>
            </w:pPr>
          </w:p>
          <w:p w:rsidR="00866B6B" w:rsidRPr="00611019" w:rsidRDefault="00E56462" w:rsidP="00035D2C">
            <w:pPr>
              <w:jc w:val="center"/>
              <w:cnfStyle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szCs w:val="20"/>
                <w:lang w:val="es-ES_tradnl"/>
              </w:rPr>
            </w:pPr>
            <w:r>
              <w:rPr>
                <w:rFonts w:ascii="Century Gothic" w:hAnsi="Century Gothic"/>
                <w:color w:val="FFFFFF" w:themeColor="background1"/>
                <w:sz w:val="20"/>
                <w:szCs w:val="20"/>
                <w:lang w:val="es-ES_tradnl"/>
              </w:rPr>
              <w:t>Renta mensual por entrega del servicio a nivel</w:t>
            </w:r>
          </w:p>
          <w:p w:rsidR="00866B6B" w:rsidRPr="00611019" w:rsidRDefault="00866B6B" w:rsidP="00035D2C">
            <w:pPr>
              <w:jc w:val="center"/>
              <w:cnfStyle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szCs w:val="20"/>
                <w:lang w:val="es-ES_tradnl"/>
              </w:rPr>
            </w:pPr>
          </w:p>
        </w:tc>
      </w:tr>
      <w:tr w:rsidR="0061711D" w:rsidTr="0061711D">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107.65pt" w:type="dxa"/>
            <w:vAlign w:val="center"/>
          </w:tcPr>
          <w:p w:rsidR="00866B6B" w:rsidRPr="00611019" w:rsidRDefault="00E56462" w:rsidP="00035D2C">
            <w:pPr>
              <w:jc w:val="center"/>
              <w:rPr>
                <w:rFonts w:ascii="Century Gothic" w:hAnsi="Century Gothic"/>
                <w:color w:val="000000"/>
                <w:sz w:val="20"/>
                <w:szCs w:val="20"/>
                <w:lang w:val="es-ES_tradnl"/>
              </w:rPr>
            </w:pPr>
            <w:r>
              <w:rPr>
                <w:rFonts w:ascii="Century Gothic" w:hAnsi="Century Gothic"/>
                <w:color w:val="000000"/>
                <w:sz w:val="20"/>
                <w:szCs w:val="20"/>
                <w:lang w:val="es-ES_tradnl"/>
              </w:rPr>
              <w:t>Velocidad (Mbps</w:t>
            </w:r>
            <w:r>
              <w:rPr>
                <w:rFonts w:ascii="Century Gothic" w:eastAsia="Times New Roman" w:hAnsi="Century Gothic" w:cs="Arial"/>
                <w:color w:val="000000"/>
                <w:sz w:val="20"/>
                <w:szCs w:val="20"/>
                <w:lang w:val="es-ES_tradnl" w:eastAsia="es-ES"/>
              </w:rPr>
              <w:t>)*/</w:t>
            </w:r>
          </w:p>
        </w:tc>
        <w:tc>
          <w:tcPr>
            <w:tcW w:w="86.60pt" w:type="dxa"/>
            <w:vAlign w:val="center"/>
          </w:tcPr>
          <w:p w:rsidR="00866B6B" w:rsidRPr="00611019"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b/>
                <w:color w:val="000000"/>
                <w:sz w:val="20"/>
                <w:szCs w:val="20"/>
                <w:lang w:val="es-ES_tradnl"/>
              </w:rPr>
              <w:t>Nacional</w:t>
            </w:r>
          </w:p>
        </w:tc>
        <w:tc>
          <w:tcPr>
            <w:tcW w:w="84.15pt" w:type="dxa"/>
            <w:vAlign w:val="center"/>
          </w:tcPr>
          <w:p w:rsidR="00866B6B" w:rsidRPr="00611019"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b/>
                <w:color w:val="000000"/>
                <w:sz w:val="20"/>
                <w:szCs w:val="20"/>
                <w:lang w:val="es-ES_tradnl"/>
              </w:rPr>
              <w:t>Regional</w:t>
            </w:r>
          </w:p>
        </w:tc>
        <w:tc>
          <w:tcPr>
            <w:tcW w:w="65.05pt" w:type="dxa"/>
            <w:vAlign w:val="center"/>
          </w:tcPr>
          <w:p w:rsidR="00866B6B" w:rsidRPr="00611019"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b/>
                <w:color w:val="000000"/>
                <w:sz w:val="20"/>
                <w:szCs w:val="20"/>
                <w:lang w:val="es-ES_tradnl"/>
              </w:rPr>
              <w:t>Local</w:t>
            </w:r>
          </w:p>
        </w:tc>
      </w:tr>
      <w:tr w:rsidR="0061711D" w:rsidTr="0061711D">
        <w:trPr>
          <w:trHeight w:val="283"/>
          <w:jc w:val="center"/>
        </w:trPr>
        <w:tc>
          <w:tcPr>
            <w:cnfStyle w:firstRow="0" w:lastRow="0" w:firstColumn="1" w:lastColumn="0" w:oddVBand="0" w:evenVBand="0" w:oddHBand="0" w:evenHBand="0" w:firstRowFirstColumn="0" w:firstRowLastColumn="0" w:lastRowFirstColumn="0" w:lastRowLastColumn="0"/>
            <w:tcW w:w="107.65pt" w:type="dxa"/>
            <w:vAlign w:val="center"/>
          </w:tcPr>
          <w:p w:rsidR="006C1DE4" w:rsidRPr="00611019" w:rsidRDefault="00E56462" w:rsidP="00035D2C">
            <w:pPr>
              <w:jc w:val="center"/>
              <w:rPr>
                <w:rFonts w:ascii="Century Gothic" w:hAnsi="Century Gothic"/>
                <w:color w:val="000000"/>
                <w:sz w:val="20"/>
                <w:szCs w:val="20"/>
                <w:lang w:val="es-ES_tradnl"/>
              </w:rPr>
            </w:pPr>
            <w:r>
              <w:rPr>
                <w:rFonts w:ascii="Century Gothic" w:hAnsi="Century Gothic"/>
                <w:color w:val="000000"/>
                <w:sz w:val="20"/>
                <w:szCs w:val="20"/>
                <w:lang w:val="es-ES_tradnl"/>
              </w:rPr>
              <w:t>2</w:t>
            </w:r>
          </w:p>
        </w:tc>
        <w:tc>
          <w:tcPr>
            <w:tcW w:w="86.60pt" w:type="dxa"/>
            <w:vAlign w:val="center"/>
          </w:tcPr>
          <w:p w:rsidR="006C1DE4" w:rsidRPr="00611019"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color w:val="000000"/>
                <w:sz w:val="20"/>
                <w:szCs w:val="20"/>
                <w:lang w:val="es-ES_tradnl"/>
              </w:rPr>
              <w:t>$25.20</w:t>
            </w:r>
          </w:p>
        </w:tc>
        <w:tc>
          <w:tcPr>
            <w:tcW w:w="84.15pt" w:type="dxa"/>
            <w:vAlign w:val="center"/>
          </w:tcPr>
          <w:p w:rsidR="006C1DE4" w:rsidRPr="00611019"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color w:val="000000"/>
                <w:sz w:val="20"/>
                <w:szCs w:val="20"/>
                <w:lang w:val="es-ES_tradnl"/>
              </w:rPr>
              <w:t>$17.23</w:t>
            </w:r>
          </w:p>
        </w:tc>
        <w:tc>
          <w:tcPr>
            <w:tcW w:w="65.05pt" w:type="dxa"/>
            <w:vAlign w:val="center"/>
          </w:tcPr>
          <w:p w:rsidR="006C1DE4" w:rsidRPr="00611019"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color w:val="000000"/>
                <w:sz w:val="20"/>
                <w:szCs w:val="20"/>
                <w:lang w:val="es-ES_tradnl"/>
              </w:rPr>
              <w:t>$7.01</w:t>
            </w:r>
          </w:p>
        </w:tc>
      </w:tr>
      <w:tr w:rsidR="0061711D" w:rsidTr="0061711D">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107.65pt" w:type="dxa"/>
          </w:tcPr>
          <w:p w:rsidR="008B672A" w:rsidRPr="00611019" w:rsidRDefault="00E56462" w:rsidP="00035D2C">
            <w:pPr>
              <w:jc w:val="center"/>
              <w:rPr>
                <w:rFonts w:ascii="Century Gothic" w:hAnsi="Century Gothic"/>
                <w:color w:val="000000"/>
                <w:sz w:val="20"/>
                <w:szCs w:val="20"/>
                <w:lang w:val="es-ES_tradnl"/>
              </w:rPr>
            </w:pPr>
            <w:r>
              <w:rPr>
                <w:rFonts w:ascii="Century Gothic" w:hAnsi="Century Gothic"/>
                <w:color w:val="000000"/>
                <w:sz w:val="20"/>
                <w:szCs w:val="20"/>
                <w:lang w:val="es-ES_tradnl"/>
              </w:rPr>
              <w:t>3</w:t>
            </w:r>
          </w:p>
        </w:tc>
        <w:tc>
          <w:tcPr>
            <w:tcW w:w="86.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sz w:val="20"/>
                <w:szCs w:val="20"/>
              </w:rPr>
              <w:t>$36.00</w:t>
            </w:r>
          </w:p>
        </w:tc>
        <w:tc>
          <w:tcPr>
            <w:tcW w:w="84.1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sz w:val="20"/>
                <w:szCs w:val="20"/>
              </w:rPr>
              <w:t>$22.00</w:t>
            </w:r>
          </w:p>
        </w:tc>
        <w:tc>
          <w:tcPr>
            <w:tcW w:w="65.0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sz w:val="20"/>
                <w:szCs w:val="20"/>
              </w:rPr>
              <w:t>$9.00</w:t>
            </w:r>
          </w:p>
        </w:tc>
      </w:tr>
      <w:tr w:rsidR="0061711D" w:rsidTr="0061711D">
        <w:trPr>
          <w:trHeight w:val="283"/>
          <w:jc w:val="center"/>
        </w:trPr>
        <w:tc>
          <w:tcPr>
            <w:cnfStyle w:firstRow="0" w:lastRow="0" w:firstColumn="1" w:lastColumn="0" w:oddVBand="0" w:evenVBand="0" w:oddHBand="0" w:evenHBand="0" w:firstRowFirstColumn="0" w:firstRowLastColumn="0" w:lastRowFirstColumn="0" w:lastRowLastColumn="0"/>
            <w:tcW w:w="107.65pt" w:type="dxa"/>
          </w:tcPr>
          <w:p w:rsidR="008B672A" w:rsidRPr="00611019" w:rsidRDefault="00E56462" w:rsidP="00035D2C">
            <w:pPr>
              <w:pStyle w:val="CondicionesFinales"/>
              <w:ind w:start="0pt" w:end="0pt"/>
              <w:jc w:val="center"/>
              <w:rPr>
                <w:rFonts w:ascii="Century Gothic" w:hAnsi="Century Gothic"/>
                <w:sz w:val="20"/>
                <w:szCs w:val="20"/>
              </w:rPr>
            </w:pPr>
            <w:r>
              <w:rPr>
                <w:rFonts w:ascii="Century Gothic" w:hAnsi="Century Gothic"/>
                <w:sz w:val="20"/>
                <w:szCs w:val="20"/>
              </w:rPr>
              <w:t>5</w:t>
            </w:r>
          </w:p>
        </w:tc>
        <w:tc>
          <w:tcPr>
            <w:tcW w:w="86.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$43.00</w:t>
            </w:r>
          </w:p>
        </w:tc>
        <w:tc>
          <w:tcPr>
            <w:tcW w:w="84.1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$27.00</w:t>
            </w:r>
          </w:p>
        </w:tc>
        <w:tc>
          <w:tcPr>
            <w:tcW w:w="65.0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$12.00</w:t>
            </w:r>
          </w:p>
        </w:tc>
      </w:tr>
      <w:tr w:rsidR="0061711D" w:rsidTr="0061711D">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107.65pt" w:type="dxa"/>
          </w:tcPr>
          <w:p w:rsidR="008B672A" w:rsidRPr="00611019" w:rsidRDefault="00E56462" w:rsidP="00035D2C">
            <w:pPr>
              <w:pStyle w:val="CondicionesFinales"/>
              <w:ind w:start="0pt" w:end="0pt"/>
              <w:jc w:val="center"/>
              <w:rPr>
                <w:rFonts w:ascii="Century Gothic" w:hAnsi="Century Gothic"/>
                <w:sz w:val="20"/>
                <w:szCs w:val="20"/>
              </w:rPr>
            </w:pPr>
            <w:r>
              <w:rPr>
                <w:rFonts w:ascii="Century Gothic" w:hAnsi="Century Gothic"/>
                <w:sz w:val="20"/>
                <w:szCs w:val="20"/>
              </w:rPr>
              <w:t>10</w:t>
            </w:r>
          </w:p>
        </w:tc>
        <w:tc>
          <w:tcPr>
            <w:tcW w:w="86.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sz w:val="20"/>
                <w:szCs w:val="20"/>
              </w:rPr>
              <w:t>$54.00</w:t>
            </w:r>
          </w:p>
        </w:tc>
        <w:tc>
          <w:tcPr>
            <w:tcW w:w="84.1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sz w:val="20"/>
                <w:szCs w:val="20"/>
              </w:rPr>
              <w:t>$36.00</w:t>
            </w:r>
          </w:p>
        </w:tc>
        <w:tc>
          <w:tcPr>
            <w:tcW w:w="65.0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sz w:val="20"/>
                <w:szCs w:val="20"/>
              </w:rPr>
              <w:t>$18.00</w:t>
            </w:r>
          </w:p>
        </w:tc>
      </w:tr>
      <w:tr w:rsidR="0061711D" w:rsidTr="0061711D">
        <w:trPr>
          <w:trHeight w:val="283"/>
          <w:jc w:val="center"/>
        </w:trPr>
        <w:tc>
          <w:tcPr>
            <w:cnfStyle w:firstRow="0" w:lastRow="0" w:firstColumn="1" w:lastColumn="0" w:oddVBand="0" w:evenVBand="0" w:oddHBand="0" w:evenHBand="0" w:firstRowFirstColumn="0" w:firstRowLastColumn="0" w:lastRowFirstColumn="0" w:lastRowLastColumn="0"/>
            <w:tcW w:w="107.65pt" w:type="dxa"/>
          </w:tcPr>
          <w:p w:rsidR="008B672A" w:rsidRPr="00611019" w:rsidRDefault="00E56462" w:rsidP="00035D2C">
            <w:pPr>
              <w:pStyle w:val="CondicionesFinales"/>
              <w:ind w:start="0pt" w:end="0pt"/>
              <w:jc w:val="center"/>
              <w:rPr>
                <w:rFonts w:ascii="Century Gothic" w:hAnsi="Century Gothic"/>
                <w:sz w:val="20"/>
                <w:szCs w:val="20"/>
              </w:rPr>
            </w:pPr>
            <w:r>
              <w:rPr>
                <w:rFonts w:ascii="Century Gothic" w:hAnsi="Century Gothic"/>
                <w:sz w:val="20"/>
                <w:szCs w:val="20"/>
              </w:rPr>
              <w:t>20</w:t>
            </w:r>
          </w:p>
        </w:tc>
        <w:tc>
          <w:tcPr>
            <w:tcW w:w="86.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$68.00</w:t>
            </w:r>
          </w:p>
        </w:tc>
        <w:tc>
          <w:tcPr>
            <w:tcW w:w="84.1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$46.00</w:t>
            </w:r>
          </w:p>
        </w:tc>
        <w:tc>
          <w:tcPr>
            <w:tcW w:w="65.0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$22.00</w:t>
            </w:r>
          </w:p>
        </w:tc>
      </w:tr>
      <w:tr w:rsidR="0061711D" w:rsidTr="0061711D">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107.65pt" w:type="dxa"/>
          </w:tcPr>
          <w:p w:rsidR="008B672A" w:rsidRPr="00611019" w:rsidRDefault="00E56462" w:rsidP="00035D2C">
            <w:pPr>
              <w:pStyle w:val="CondicionesFinales"/>
              <w:ind w:start="0pt" w:end="0pt"/>
              <w:jc w:val="center"/>
              <w:rPr>
                <w:rFonts w:ascii="Century Gothic" w:hAnsi="Century Gothic"/>
                <w:sz w:val="20"/>
                <w:szCs w:val="20"/>
              </w:rPr>
            </w:pPr>
            <w:r>
              <w:rPr>
                <w:rFonts w:ascii="Century Gothic" w:hAnsi="Century Gothic"/>
                <w:sz w:val="20"/>
                <w:szCs w:val="20"/>
              </w:rPr>
              <w:t>30</w:t>
            </w:r>
          </w:p>
        </w:tc>
        <w:tc>
          <w:tcPr>
            <w:tcW w:w="86.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sz w:val="20"/>
                <w:szCs w:val="20"/>
              </w:rPr>
              <w:t>$76.00</w:t>
            </w:r>
          </w:p>
        </w:tc>
        <w:tc>
          <w:tcPr>
            <w:tcW w:w="84.1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sz w:val="20"/>
                <w:szCs w:val="20"/>
              </w:rPr>
              <w:t>$51.00</w:t>
            </w:r>
          </w:p>
        </w:tc>
        <w:tc>
          <w:tcPr>
            <w:tcW w:w="65.0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sz w:val="20"/>
                <w:szCs w:val="20"/>
              </w:rPr>
              <w:t>$27.00</w:t>
            </w:r>
          </w:p>
        </w:tc>
      </w:tr>
      <w:tr w:rsidR="0061711D" w:rsidTr="0061711D">
        <w:trPr>
          <w:trHeight w:val="283"/>
          <w:jc w:val="center"/>
        </w:trPr>
        <w:tc>
          <w:tcPr>
            <w:cnfStyle w:firstRow="0" w:lastRow="0" w:firstColumn="1" w:lastColumn="0" w:oddVBand="0" w:evenVBand="0" w:oddHBand="0" w:evenHBand="0" w:firstRowFirstColumn="0" w:firstRowLastColumn="0" w:lastRowFirstColumn="0" w:lastRowLastColumn="0"/>
            <w:tcW w:w="107.65pt" w:type="dxa"/>
          </w:tcPr>
          <w:p w:rsidR="008B672A" w:rsidRPr="00611019" w:rsidRDefault="00E56462" w:rsidP="00035D2C">
            <w:pPr>
              <w:pStyle w:val="CondicionesFinales"/>
              <w:ind w:start="0pt" w:end="0pt"/>
              <w:jc w:val="center"/>
              <w:rPr>
                <w:rFonts w:ascii="Century Gothic" w:hAnsi="Century Gothic"/>
                <w:sz w:val="20"/>
                <w:szCs w:val="20"/>
              </w:rPr>
            </w:pPr>
            <w:r>
              <w:rPr>
                <w:rFonts w:ascii="Century Gothic" w:hAnsi="Century Gothic"/>
                <w:sz w:val="20"/>
                <w:szCs w:val="20"/>
              </w:rPr>
              <w:t>40</w:t>
            </w:r>
          </w:p>
        </w:tc>
        <w:tc>
          <w:tcPr>
            <w:tcW w:w="86.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$93.00</w:t>
            </w:r>
          </w:p>
        </w:tc>
        <w:tc>
          <w:tcPr>
            <w:tcW w:w="84.1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$67.00</w:t>
            </w:r>
          </w:p>
        </w:tc>
        <w:tc>
          <w:tcPr>
            <w:tcW w:w="65.0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$42.00</w:t>
            </w:r>
          </w:p>
        </w:tc>
      </w:tr>
      <w:tr w:rsidR="0061711D" w:rsidTr="0061711D">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107.65pt" w:type="dxa"/>
          </w:tcPr>
          <w:p w:rsidR="008B672A" w:rsidRPr="00611019" w:rsidRDefault="00E56462" w:rsidP="00035D2C">
            <w:pPr>
              <w:pStyle w:val="CondicionesFinales"/>
              <w:ind w:start="0pt" w:end="0pt"/>
              <w:jc w:val="center"/>
              <w:rPr>
                <w:rFonts w:ascii="Century Gothic" w:hAnsi="Century Gothic"/>
                <w:sz w:val="20"/>
                <w:szCs w:val="20"/>
              </w:rPr>
            </w:pPr>
            <w:r>
              <w:rPr>
                <w:rFonts w:ascii="Century Gothic" w:hAnsi="Century Gothic"/>
                <w:sz w:val="20"/>
                <w:szCs w:val="20"/>
              </w:rPr>
              <w:t>50</w:t>
            </w:r>
          </w:p>
        </w:tc>
        <w:tc>
          <w:tcPr>
            <w:tcW w:w="86.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sz w:val="20"/>
                <w:szCs w:val="20"/>
              </w:rPr>
              <w:t>$105.00</w:t>
            </w:r>
          </w:p>
        </w:tc>
        <w:tc>
          <w:tcPr>
            <w:tcW w:w="84.1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sz w:val="20"/>
                <w:szCs w:val="20"/>
              </w:rPr>
              <w:t>$78.00</w:t>
            </w:r>
          </w:p>
        </w:tc>
        <w:tc>
          <w:tcPr>
            <w:tcW w:w="65.0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Pr>
                <w:rFonts w:ascii="Century Gothic" w:hAnsi="Century Gothic"/>
                <w:sz w:val="20"/>
                <w:szCs w:val="20"/>
              </w:rPr>
              <w:t>$51.00</w:t>
            </w:r>
          </w:p>
        </w:tc>
      </w:tr>
      <w:tr w:rsidR="0061711D" w:rsidTr="0061711D">
        <w:trPr>
          <w:trHeight w:val="283"/>
          <w:jc w:val="center"/>
        </w:trPr>
        <w:tc>
          <w:tcPr>
            <w:cnfStyle w:firstRow="0" w:lastRow="0" w:firstColumn="1" w:lastColumn="0" w:oddVBand="0" w:evenVBand="0" w:oddHBand="0" w:evenHBand="0" w:firstRowFirstColumn="0" w:firstRowLastColumn="0" w:lastRowFirstColumn="0" w:lastRowLastColumn="0"/>
            <w:tcW w:w="107.65pt" w:type="dxa"/>
          </w:tcPr>
          <w:p w:rsidR="008B672A" w:rsidRPr="00611019" w:rsidRDefault="00E56462" w:rsidP="00035D2C">
            <w:pPr>
              <w:pStyle w:val="CondicionesFinales"/>
              <w:ind w:start="0pt" w:end="0pt"/>
              <w:jc w:val="center"/>
              <w:rPr>
                <w:rFonts w:ascii="Century Gothic" w:hAnsi="Century Gothic"/>
                <w:sz w:val="20"/>
                <w:szCs w:val="20"/>
              </w:rPr>
            </w:pPr>
            <w:r>
              <w:rPr>
                <w:rFonts w:ascii="Century Gothic" w:hAnsi="Century Gothic"/>
                <w:sz w:val="20"/>
                <w:szCs w:val="20"/>
              </w:rPr>
              <w:t>60</w:t>
            </w:r>
          </w:p>
        </w:tc>
        <w:tc>
          <w:tcPr>
            <w:tcW w:w="86.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$122.00</w:t>
            </w:r>
          </w:p>
        </w:tc>
        <w:tc>
          <w:tcPr>
            <w:tcW w:w="84.1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$93.00</w:t>
            </w:r>
          </w:p>
        </w:tc>
        <w:tc>
          <w:tcPr>
            <w:tcW w:w="65.0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$64.00</w:t>
            </w:r>
          </w:p>
        </w:tc>
      </w:tr>
    </w:tbl>
    <w:p w:rsidR="00866B6B" w:rsidRPr="00611019" w:rsidRDefault="00E56462" w:rsidP="00035D2C">
      <w:pPr>
        <w:spacing w:before="3pt"/>
        <w:jc w:val="both"/>
        <w:rPr>
          <w:rFonts w:ascii="Century Gothic" w:hAnsi="Century Gothic"/>
          <w:sz w:val="18"/>
        </w:rPr>
      </w:pPr>
      <w:r>
        <w:rPr>
          <w:rFonts w:ascii="Century Gothic" w:hAnsi="Century Gothic" w:cs="Arial"/>
          <w:sz w:val="18"/>
          <w:szCs w:val="18"/>
        </w:rPr>
        <w:t xml:space="preserve">*/ </w:t>
      </w:r>
      <w:r>
        <w:rPr>
          <w:rFonts w:ascii="Century Gothic" w:hAnsi="Century Gothic"/>
          <w:sz w:val="18"/>
        </w:rPr>
        <w:t>El ancho de banda es de bajada de información debido a que es un servicio asimétrico.</w:t>
      </w:r>
    </w:p>
    <w:p w:rsidR="00017D93" w:rsidRPr="00611019" w:rsidRDefault="00017D93" w:rsidP="00035D2C">
      <w:pPr>
        <w:spacing w:before="3pt"/>
        <w:jc w:val="both"/>
        <w:rPr>
          <w:rFonts w:ascii="Century Gothic" w:hAnsi="Century Gothic"/>
          <w:sz w:val="18"/>
        </w:rPr>
      </w:pPr>
    </w:p>
    <w:tbl>
      <w:tblPr>
        <w:tblStyle w:val="Tablanormal1"/>
        <w:tblW w:w="343.45pt" w:type="dxa"/>
        <w:jc w:val="center"/>
        <w:tblLook w:firstRow="1" w:lastRow="0" w:firstColumn="1" w:lastColumn="0" w:noHBand="0" w:noVBand="1"/>
      </w:tblPr>
      <w:tblGrid>
        <w:gridCol w:w="2153"/>
        <w:gridCol w:w="1732"/>
        <w:gridCol w:w="79"/>
        <w:gridCol w:w="1604"/>
        <w:gridCol w:w="1301"/>
      </w:tblGrid>
      <w:tr w:rsidR="0061711D" w:rsidRPr="008B798A" w:rsidTr="0031512C">
        <w:trPr>
          <w:cnfStyle w:firstRow="1" w:lastRow="0" w:firstColumn="0" w:lastColumn="0" w:oddVBand="0" w:evenVBand="0" w:oddHBand="0" w:evenHBand="0" w:firstRowFirstColumn="0" w:firstRowLastColumn="0" w:lastRowFirstColumn="0" w:lastRowLastColumn="0"/>
          <w:trHeight w:val="283"/>
          <w:tblHeader/>
          <w:jc w:val="center"/>
        </w:trPr>
        <w:tc>
          <w:tcPr>
            <w:cnfStyle w:firstRow="0" w:lastRow="0" w:firstColumn="1" w:lastColumn="0" w:oddVBand="0" w:evenVBand="0" w:oddHBand="0" w:evenHBand="0" w:firstRowFirstColumn="0" w:firstRowLastColumn="0" w:lastRowFirstColumn="0" w:lastRowLastColumn="0"/>
            <w:tcW w:w="107.65pt" w:type="dxa"/>
            <w:shd w:val="clear" w:color="auto" w:fill="009AD9"/>
          </w:tcPr>
          <w:p w:rsidR="00F56A31" w:rsidRPr="008B798A" w:rsidRDefault="00E56462" w:rsidP="00035D2C">
            <w:pPr>
              <w:jc w:val="center"/>
              <w:rPr>
                <w:rFonts w:ascii="Century Gothic" w:hAnsi="Century Gothic"/>
                <w:b w:val="0"/>
                <w:bCs w:val="0"/>
                <w:color w:val="FFFFFF" w:themeColor="background1"/>
                <w:sz w:val="20"/>
                <w:szCs w:val="20"/>
                <w:lang w:val="es-ES_tradnl"/>
              </w:rPr>
            </w:pPr>
            <w:r w:rsidRPr="008B798A">
              <w:rPr>
                <w:rFonts w:ascii="Century Gothic" w:hAnsi="Century Gothic"/>
                <w:color w:val="FFFFFF" w:themeColor="background1"/>
                <w:sz w:val="20"/>
                <w:szCs w:val="20"/>
                <w:lang w:val="es-ES_tradnl"/>
              </w:rPr>
              <w:t xml:space="preserve">Calidad doble (b):  </w:t>
            </w:r>
          </w:p>
          <w:p w:rsidR="00866B6B" w:rsidRPr="008B798A" w:rsidRDefault="00E56462" w:rsidP="00035D2C">
            <w:pPr>
              <w:jc w:val="center"/>
              <w:rPr>
                <w:rFonts w:ascii="Century Gothic" w:hAnsi="Century Gothic"/>
                <w:color w:val="FFFFFF" w:themeColor="background1"/>
                <w:sz w:val="20"/>
                <w:szCs w:val="20"/>
                <w:lang w:val="es-ES_tradnl"/>
              </w:rPr>
            </w:pPr>
            <w:r w:rsidRPr="008B798A">
              <w:rPr>
                <w:rFonts w:ascii="Century Gothic" w:hAnsi="Century Gothic"/>
                <w:color w:val="FFFFFF" w:themeColor="background1"/>
                <w:sz w:val="20"/>
                <w:szCs w:val="20"/>
                <w:lang w:val="es-ES_tradnl"/>
              </w:rPr>
              <w:t>VoIP/BE</w:t>
            </w:r>
          </w:p>
        </w:tc>
        <w:tc>
          <w:tcPr>
            <w:tcW w:w="235.80pt" w:type="dxa"/>
            <w:gridSpan w:val="4"/>
            <w:shd w:val="clear" w:color="auto" w:fill="009AD9"/>
          </w:tcPr>
          <w:p w:rsidR="00866B6B" w:rsidRPr="008B798A" w:rsidRDefault="00E56462" w:rsidP="00035D2C">
            <w:pPr>
              <w:jc w:val="center"/>
              <w:cnfStyle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szCs w:val="20"/>
                <w:lang w:val="es-ES_tradnl"/>
              </w:rPr>
            </w:pPr>
            <w:r w:rsidRPr="008B798A">
              <w:rPr>
                <w:rFonts w:ascii="Century Gothic" w:hAnsi="Century Gothic"/>
                <w:color w:val="FFFFFF" w:themeColor="background1"/>
                <w:sz w:val="20"/>
                <w:szCs w:val="20"/>
                <w:lang w:val="es-ES_tradnl"/>
              </w:rPr>
              <w:t>Renta mensual por entrega del servicio a nivel</w:t>
            </w:r>
          </w:p>
          <w:p w:rsidR="00866B6B" w:rsidRPr="008B798A" w:rsidRDefault="00866B6B" w:rsidP="00035D2C">
            <w:pPr>
              <w:jc w:val="center"/>
              <w:cnfStyle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szCs w:val="20"/>
                <w:lang w:val="es-ES_tradnl"/>
              </w:rPr>
            </w:pPr>
          </w:p>
        </w:tc>
      </w:tr>
      <w:tr w:rsidR="0061711D" w:rsidRPr="008B798A" w:rsidTr="00226C80">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107.65pt" w:type="dxa"/>
          </w:tcPr>
          <w:p w:rsidR="00866B6B" w:rsidRPr="008B798A" w:rsidRDefault="00E56462" w:rsidP="00035D2C">
            <w:pPr>
              <w:jc w:val="center"/>
              <w:rPr>
                <w:rFonts w:ascii="Century Gothic" w:hAnsi="Century Gothic"/>
                <w:color w:val="000000"/>
                <w:sz w:val="20"/>
                <w:szCs w:val="20"/>
                <w:lang w:val="es-ES_tradnl"/>
              </w:rPr>
            </w:pPr>
            <w:r w:rsidRPr="008B798A">
              <w:rPr>
                <w:rFonts w:ascii="Century Gothic" w:hAnsi="Century Gothic"/>
                <w:color w:val="000000"/>
                <w:sz w:val="20"/>
                <w:szCs w:val="20"/>
                <w:lang w:val="es-ES_tradnl"/>
              </w:rPr>
              <w:t>Velocidad (Mbps</w:t>
            </w:r>
            <w:r w:rsidRPr="008B798A">
              <w:rPr>
                <w:rFonts w:ascii="Century Gothic" w:eastAsia="Times New Roman" w:hAnsi="Century Gothic" w:cs="Arial"/>
                <w:color w:val="000000"/>
                <w:sz w:val="20"/>
                <w:szCs w:val="20"/>
                <w:lang w:val="es-ES_tradnl" w:eastAsia="es-ES"/>
              </w:rPr>
              <w:t>)*/</w:t>
            </w:r>
          </w:p>
        </w:tc>
        <w:tc>
          <w:tcPr>
            <w:tcW w:w="86.60pt" w:type="dxa"/>
          </w:tcPr>
          <w:p w:rsidR="00866B6B" w:rsidRPr="008B798A"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sidRPr="008B798A">
              <w:rPr>
                <w:rFonts w:ascii="Century Gothic" w:hAnsi="Century Gothic"/>
                <w:b/>
                <w:color w:val="000000"/>
                <w:sz w:val="20"/>
                <w:szCs w:val="20"/>
                <w:lang w:val="es-ES_tradnl"/>
              </w:rPr>
              <w:t>Nacional</w:t>
            </w:r>
          </w:p>
        </w:tc>
        <w:tc>
          <w:tcPr>
            <w:tcW w:w="84.15pt" w:type="dxa"/>
            <w:gridSpan w:val="2"/>
          </w:tcPr>
          <w:p w:rsidR="00866B6B" w:rsidRPr="008B798A"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sidRPr="008B798A">
              <w:rPr>
                <w:rFonts w:ascii="Century Gothic" w:hAnsi="Century Gothic"/>
                <w:b/>
                <w:color w:val="000000"/>
                <w:sz w:val="20"/>
                <w:szCs w:val="20"/>
                <w:lang w:val="es-ES_tradnl"/>
              </w:rPr>
              <w:t>Regional</w:t>
            </w:r>
          </w:p>
        </w:tc>
        <w:tc>
          <w:tcPr>
            <w:tcW w:w="65.05pt" w:type="dxa"/>
          </w:tcPr>
          <w:p w:rsidR="00866B6B" w:rsidRPr="008B798A"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sidRPr="008B798A">
              <w:rPr>
                <w:rFonts w:ascii="Century Gothic" w:hAnsi="Century Gothic"/>
                <w:b/>
                <w:color w:val="000000"/>
                <w:sz w:val="20"/>
                <w:szCs w:val="20"/>
                <w:lang w:val="es-ES_tradnl"/>
              </w:rPr>
              <w:t>Local</w:t>
            </w:r>
          </w:p>
        </w:tc>
      </w:tr>
      <w:tr w:rsidR="0061711D" w:rsidRPr="008B798A" w:rsidTr="00226C80">
        <w:trPr>
          <w:trHeight w:val="283"/>
          <w:jc w:val="center"/>
        </w:trPr>
        <w:tc>
          <w:tcPr>
            <w:cnfStyle w:firstRow="0" w:lastRow="0" w:firstColumn="1" w:lastColumn="0" w:oddVBand="0" w:evenVBand="0" w:oddHBand="0" w:evenHBand="0" w:firstRowFirstColumn="0" w:firstRowLastColumn="0" w:lastRowFirstColumn="0" w:lastRowLastColumn="0"/>
            <w:tcW w:w="107.65pt" w:type="dxa"/>
          </w:tcPr>
          <w:p w:rsidR="008B672A" w:rsidRPr="008B798A" w:rsidRDefault="00E56462" w:rsidP="00035D2C">
            <w:pPr>
              <w:jc w:val="center"/>
              <w:rPr>
                <w:rFonts w:ascii="Century Gothic" w:hAnsi="Century Gothic"/>
                <w:color w:val="000000"/>
                <w:sz w:val="20"/>
                <w:szCs w:val="20"/>
                <w:lang w:val="es-ES_tradnl"/>
              </w:rPr>
            </w:pPr>
            <w:r w:rsidRPr="008B798A">
              <w:rPr>
                <w:rFonts w:ascii="Century Gothic" w:hAnsi="Century Gothic"/>
                <w:color w:val="000000"/>
                <w:sz w:val="20"/>
                <w:szCs w:val="20"/>
                <w:lang w:val="es-ES_tradnl"/>
              </w:rPr>
              <w:t>2</w:t>
            </w:r>
          </w:p>
        </w:tc>
        <w:tc>
          <w:tcPr>
            <w:tcW w:w="86.60pt" w:type="dxa"/>
          </w:tcPr>
          <w:p w:rsidR="008B672A" w:rsidRPr="008B798A"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sidRPr="008B798A">
              <w:rPr>
                <w:rFonts w:ascii="Century Gothic" w:hAnsi="Century Gothic"/>
                <w:color w:val="000000"/>
                <w:sz w:val="20"/>
                <w:szCs w:val="20"/>
                <w:lang w:val="es-ES_tradnl"/>
              </w:rPr>
              <w:t>$32.08</w:t>
            </w:r>
          </w:p>
        </w:tc>
        <w:tc>
          <w:tcPr>
            <w:tcW w:w="84.15pt" w:type="dxa"/>
            <w:gridSpan w:val="2"/>
          </w:tcPr>
          <w:p w:rsidR="008B672A" w:rsidRPr="008B798A"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sidRPr="008B798A">
              <w:rPr>
                <w:rFonts w:ascii="Century Gothic" w:hAnsi="Century Gothic"/>
                <w:color w:val="000000"/>
                <w:sz w:val="20"/>
                <w:szCs w:val="20"/>
                <w:lang w:val="es-ES_tradnl"/>
              </w:rPr>
              <w:t>$23.49</w:t>
            </w:r>
          </w:p>
        </w:tc>
        <w:tc>
          <w:tcPr>
            <w:tcW w:w="65.05pt" w:type="dxa"/>
          </w:tcPr>
          <w:p w:rsidR="008B672A" w:rsidRPr="008B798A"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sidRPr="008B798A">
              <w:rPr>
                <w:rFonts w:ascii="Century Gothic" w:hAnsi="Century Gothic"/>
                <w:color w:val="000000"/>
                <w:sz w:val="20"/>
                <w:szCs w:val="20"/>
                <w:lang w:val="es-ES_tradnl"/>
              </w:rPr>
              <w:t>$16.40</w:t>
            </w:r>
          </w:p>
        </w:tc>
      </w:tr>
      <w:tr w:rsidR="0061711D" w:rsidRPr="008B798A" w:rsidTr="00226C80">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107.65pt" w:type="dxa"/>
          </w:tcPr>
          <w:p w:rsidR="008B672A" w:rsidRPr="008B798A" w:rsidRDefault="00E56462" w:rsidP="00035D2C">
            <w:pPr>
              <w:jc w:val="center"/>
              <w:rPr>
                <w:rFonts w:ascii="Century Gothic" w:hAnsi="Century Gothic"/>
                <w:color w:val="000000"/>
                <w:sz w:val="20"/>
                <w:szCs w:val="20"/>
                <w:lang w:val="es-ES_tradnl"/>
              </w:rPr>
            </w:pPr>
            <w:r w:rsidRPr="008B798A">
              <w:rPr>
                <w:rFonts w:ascii="Century Gothic" w:hAnsi="Century Gothic"/>
                <w:color w:val="000000"/>
                <w:sz w:val="20"/>
                <w:szCs w:val="20"/>
                <w:lang w:val="es-ES_tradnl"/>
              </w:rPr>
              <w:t>3</w:t>
            </w:r>
          </w:p>
        </w:tc>
        <w:tc>
          <w:tcPr>
            <w:tcW w:w="86.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8B798A"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sidRPr="008B798A">
              <w:rPr>
                <w:rFonts w:ascii="Century Gothic" w:hAnsi="Century Gothic"/>
                <w:sz w:val="20"/>
                <w:szCs w:val="20"/>
              </w:rPr>
              <w:t>$51.00</w:t>
            </w:r>
          </w:p>
        </w:tc>
        <w:tc>
          <w:tcPr>
            <w:tcW w:w="84.15pt" w:type="dxa"/>
            <w:gridSpan w:val="2"/>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8B798A"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sidRPr="008B798A">
              <w:rPr>
                <w:rFonts w:ascii="Century Gothic" w:hAnsi="Century Gothic"/>
                <w:sz w:val="20"/>
                <w:szCs w:val="20"/>
              </w:rPr>
              <w:t>$38.00</w:t>
            </w:r>
          </w:p>
        </w:tc>
        <w:tc>
          <w:tcPr>
            <w:tcW w:w="65.0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8B798A"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sidRPr="008B798A">
              <w:rPr>
                <w:rFonts w:ascii="Century Gothic" w:hAnsi="Century Gothic"/>
                <w:sz w:val="20"/>
                <w:szCs w:val="20"/>
              </w:rPr>
              <w:t>$24.00</w:t>
            </w:r>
          </w:p>
        </w:tc>
      </w:tr>
      <w:tr w:rsidR="0061711D" w:rsidRPr="008B798A" w:rsidTr="00226C80">
        <w:trPr>
          <w:trHeight w:val="283"/>
          <w:jc w:val="center"/>
        </w:trPr>
        <w:tc>
          <w:tcPr>
            <w:cnfStyle w:firstRow="0" w:lastRow="0" w:firstColumn="1" w:lastColumn="0" w:oddVBand="0" w:evenVBand="0" w:oddHBand="0" w:evenHBand="0" w:firstRowFirstColumn="0" w:firstRowLastColumn="0" w:lastRowFirstColumn="0" w:lastRowLastColumn="0"/>
            <w:tcW w:w="107.65pt" w:type="dxa"/>
          </w:tcPr>
          <w:p w:rsidR="008B672A" w:rsidRPr="008B798A" w:rsidRDefault="00E56462" w:rsidP="00035D2C">
            <w:pPr>
              <w:pStyle w:val="CondicionesFinales"/>
              <w:ind w:start="0pt" w:end="0pt"/>
              <w:jc w:val="center"/>
              <w:rPr>
                <w:rFonts w:ascii="Century Gothic" w:hAnsi="Century Gothic"/>
                <w:sz w:val="20"/>
                <w:szCs w:val="20"/>
              </w:rPr>
            </w:pPr>
            <w:r w:rsidRPr="008B798A">
              <w:rPr>
                <w:rFonts w:ascii="Century Gothic" w:hAnsi="Century Gothic"/>
                <w:sz w:val="20"/>
                <w:szCs w:val="20"/>
              </w:rPr>
              <w:t>5</w:t>
            </w:r>
          </w:p>
        </w:tc>
        <w:tc>
          <w:tcPr>
            <w:tcW w:w="86.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8B798A"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B798A">
              <w:rPr>
                <w:rFonts w:ascii="Century Gothic" w:hAnsi="Century Gothic"/>
                <w:sz w:val="20"/>
                <w:szCs w:val="20"/>
              </w:rPr>
              <w:t>$58.00</w:t>
            </w:r>
          </w:p>
        </w:tc>
        <w:tc>
          <w:tcPr>
            <w:tcW w:w="84.15pt" w:type="dxa"/>
            <w:gridSpan w:val="2"/>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8B798A"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B798A">
              <w:rPr>
                <w:rFonts w:ascii="Century Gothic" w:hAnsi="Century Gothic"/>
                <w:sz w:val="20"/>
                <w:szCs w:val="20"/>
              </w:rPr>
              <w:t>$43.00</w:t>
            </w:r>
          </w:p>
        </w:tc>
        <w:tc>
          <w:tcPr>
            <w:tcW w:w="65.0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8B798A"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B798A">
              <w:rPr>
                <w:rFonts w:ascii="Century Gothic" w:hAnsi="Century Gothic"/>
                <w:sz w:val="20"/>
                <w:szCs w:val="20"/>
              </w:rPr>
              <w:t>$28.00</w:t>
            </w:r>
          </w:p>
        </w:tc>
      </w:tr>
      <w:tr w:rsidR="0061711D" w:rsidRPr="008B798A" w:rsidTr="00226C80">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107.65pt" w:type="dxa"/>
          </w:tcPr>
          <w:p w:rsidR="008B672A" w:rsidRPr="008B798A" w:rsidRDefault="00E56462" w:rsidP="00035D2C">
            <w:pPr>
              <w:pStyle w:val="CondicionesFinales"/>
              <w:ind w:start="0pt" w:end="0pt"/>
              <w:jc w:val="center"/>
              <w:rPr>
                <w:rFonts w:ascii="Century Gothic" w:hAnsi="Century Gothic"/>
                <w:sz w:val="20"/>
                <w:szCs w:val="20"/>
              </w:rPr>
            </w:pPr>
            <w:r w:rsidRPr="008B798A">
              <w:rPr>
                <w:rFonts w:ascii="Century Gothic" w:hAnsi="Century Gothic"/>
                <w:sz w:val="20"/>
                <w:szCs w:val="20"/>
              </w:rPr>
              <w:t>10</w:t>
            </w:r>
          </w:p>
        </w:tc>
        <w:tc>
          <w:tcPr>
            <w:tcW w:w="86.6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8B798A"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B798A">
              <w:rPr>
                <w:rFonts w:ascii="Century Gothic" w:hAnsi="Century Gothic"/>
                <w:sz w:val="20"/>
                <w:szCs w:val="20"/>
              </w:rPr>
              <w:t>$69.00</w:t>
            </w:r>
          </w:p>
        </w:tc>
        <w:tc>
          <w:tcPr>
            <w:tcW w:w="84.15pt" w:type="dxa"/>
            <w:gridSpan w:val="2"/>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8B798A"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B798A">
              <w:rPr>
                <w:rFonts w:ascii="Century Gothic" w:hAnsi="Century Gothic"/>
                <w:sz w:val="20"/>
                <w:szCs w:val="20"/>
              </w:rPr>
              <w:t>$51.00</w:t>
            </w:r>
          </w:p>
        </w:tc>
        <w:tc>
          <w:tcPr>
            <w:tcW w:w="65.0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8B798A"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B798A">
              <w:rPr>
                <w:rFonts w:ascii="Century Gothic" w:hAnsi="Century Gothic"/>
                <w:sz w:val="20"/>
                <w:szCs w:val="20"/>
              </w:rPr>
              <w:t>$33.00</w:t>
            </w:r>
          </w:p>
        </w:tc>
      </w:tr>
      <w:tr w:rsidR="0061711D" w:rsidRPr="008B798A" w:rsidTr="00226C80">
        <w:trPr>
          <w:trHeight w:val="283"/>
          <w:jc w:val="center"/>
        </w:trPr>
        <w:tc>
          <w:tcPr>
            <w:cnfStyle w:firstRow="0" w:lastRow="0" w:firstColumn="1" w:lastColumn="0" w:oddVBand="0" w:evenVBand="0" w:oddHBand="0" w:evenHBand="0" w:firstRowFirstColumn="0" w:firstRowLastColumn="0" w:lastRowFirstColumn="0" w:lastRowLastColumn="0"/>
            <w:tcW w:w="107.65pt" w:type="dxa"/>
            <w:tcBorders>
              <w:bottom w:val="single" w:sz="4" w:space="0" w:color="5B9BD5" w:themeColor="accent1"/>
            </w:tcBorders>
          </w:tcPr>
          <w:p w:rsidR="008B672A" w:rsidRPr="008B798A" w:rsidRDefault="00E56462" w:rsidP="00035D2C">
            <w:pPr>
              <w:pStyle w:val="CondicionesFinales"/>
              <w:ind w:start="0pt" w:end="0pt"/>
              <w:jc w:val="center"/>
              <w:rPr>
                <w:rFonts w:ascii="Century Gothic" w:hAnsi="Century Gothic"/>
                <w:sz w:val="20"/>
                <w:szCs w:val="20"/>
              </w:rPr>
            </w:pPr>
            <w:r w:rsidRPr="008B798A">
              <w:rPr>
                <w:rFonts w:ascii="Century Gothic" w:hAnsi="Century Gothic"/>
                <w:sz w:val="20"/>
                <w:szCs w:val="20"/>
              </w:rPr>
              <w:t>20</w:t>
            </w:r>
          </w:p>
        </w:tc>
        <w:tc>
          <w:tcPr>
            <w:tcW w:w="86.60pt" w:type="dxa"/>
            <w:tcBorders>
              <w:top w:val="single" w:sz="4" w:space="0" w:color="BFBFBF" w:themeColor="background1" w:themeShade="BF"/>
              <w:start w:val="single" w:sz="4" w:space="0" w:color="BFBFBF" w:themeColor="background1" w:themeShade="BF"/>
              <w:bottom w:val="single" w:sz="4" w:space="0" w:color="5B9BD5" w:themeColor="accent1"/>
              <w:end w:val="single" w:sz="4" w:space="0" w:color="BFBFBF" w:themeColor="background1" w:themeShade="BF"/>
            </w:tcBorders>
          </w:tcPr>
          <w:p w:rsidR="008B672A" w:rsidRPr="008B798A"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B798A">
              <w:rPr>
                <w:rFonts w:ascii="Century Gothic" w:hAnsi="Century Gothic"/>
                <w:sz w:val="20"/>
                <w:szCs w:val="20"/>
              </w:rPr>
              <w:t>$90.00</w:t>
            </w:r>
          </w:p>
        </w:tc>
        <w:tc>
          <w:tcPr>
            <w:tcW w:w="84.15pt" w:type="dxa"/>
            <w:gridSpan w:val="2"/>
            <w:tcBorders>
              <w:top w:val="single" w:sz="4" w:space="0" w:color="BFBFBF" w:themeColor="background1" w:themeShade="BF"/>
              <w:start w:val="single" w:sz="4" w:space="0" w:color="BFBFBF" w:themeColor="background1" w:themeShade="BF"/>
              <w:bottom w:val="single" w:sz="4" w:space="0" w:color="5B9BD5" w:themeColor="accent1"/>
              <w:end w:val="single" w:sz="4" w:space="0" w:color="BFBFBF" w:themeColor="background1" w:themeShade="BF"/>
            </w:tcBorders>
          </w:tcPr>
          <w:p w:rsidR="008B672A" w:rsidRPr="008B798A"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B798A">
              <w:rPr>
                <w:rFonts w:ascii="Century Gothic" w:hAnsi="Century Gothic"/>
                <w:sz w:val="20"/>
                <w:szCs w:val="20"/>
              </w:rPr>
              <w:t>$67.00</w:t>
            </w:r>
          </w:p>
        </w:tc>
        <w:tc>
          <w:tcPr>
            <w:tcW w:w="65.05pt" w:type="dxa"/>
            <w:tcBorders>
              <w:top w:val="single" w:sz="4" w:space="0" w:color="BFBFBF" w:themeColor="background1" w:themeShade="BF"/>
              <w:start w:val="single" w:sz="4" w:space="0" w:color="BFBFBF" w:themeColor="background1" w:themeShade="BF"/>
              <w:bottom w:val="single" w:sz="4" w:space="0" w:color="5B9BD5" w:themeColor="accent1"/>
              <w:end w:val="single" w:sz="4" w:space="0" w:color="BFBFBF" w:themeColor="background1" w:themeShade="BF"/>
            </w:tcBorders>
          </w:tcPr>
          <w:p w:rsidR="008B672A" w:rsidRPr="008B798A"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B798A">
              <w:rPr>
                <w:rFonts w:ascii="Century Gothic" w:hAnsi="Century Gothic"/>
                <w:sz w:val="20"/>
                <w:szCs w:val="20"/>
              </w:rPr>
              <w:t>$45.00</w:t>
            </w:r>
          </w:p>
        </w:tc>
      </w:tr>
      <w:tr w:rsidR="00226C80" w:rsidRPr="008B798A" w:rsidTr="00226C80">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107.65pt" w:type="dxa"/>
            <w:tcBorders>
              <w:top w:val="single" w:sz="4" w:space="0" w:color="5B9BD5" w:themeColor="accent1"/>
            </w:tcBorders>
          </w:tcPr>
          <w:p w:rsidR="00226C80" w:rsidRPr="008B798A" w:rsidRDefault="00226C80" w:rsidP="00226C80">
            <w:pPr>
              <w:pStyle w:val="CondicionesFinales"/>
              <w:ind w:start="0pt" w:end="0pt"/>
              <w:jc w:val="center"/>
              <w:rPr>
                <w:rFonts w:ascii="Century Gothic" w:hAnsi="Century Gothic"/>
                <w:sz w:val="20"/>
                <w:szCs w:val="20"/>
              </w:rPr>
            </w:pPr>
            <w:r w:rsidRPr="008B798A">
              <w:rPr>
                <w:rFonts w:ascii="Century Gothic" w:hAnsi="Century Gothic"/>
                <w:sz w:val="20"/>
                <w:szCs w:val="20"/>
              </w:rPr>
              <w:t>30</w:t>
            </w:r>
          </w:p>
        </w:tc>
        <w:tc>
          <w:tcPr>
            <w:tcW w:w="90.55pt" w:type="dxa"/>
            <w:gridSpan w:val="2"/>
            <w:tcBorders>
              <w:top w:val="single" w:sz="4" w:space="0" w:color="5B9BD5" w:themeColor="accent1"/>
              <w:start w:val="single" w:sz="4" w:space="0" w:color="BFBFBF" w:themeColor="background1" w:themeShade="BF"/>
              <w:bottom w:val="single" w:sz="4" w:space="0" w:color="BFBFBF" w:themeColor="background1" w:themeShade="BF"/>
              <w:end w:val="single" w:sz="4" w:space="0" w:color="BFBFBF" w:themeColor="background1" w:themeShade="BF"/>
            </w:tcBorders>
          </w:tcPr>
          <w:p w:rsidR="00226C80" w:rsidRPr="008B798A" w:rsidRDefault="00226C80" w:rsidP="00226C80">
            <w:pPr>
              <w:jc w:val="center"/>
              <w:cnfStyle w:firstRow="0" w:lastRow="0" w:firstColumn="0" w:lastColumn="0" w:oddVBand="0" w:evenVBand="0" w:oddHBand="1" w:evenHBand="0" w:firstRowFirstColumn="0" w:firstRowLastColumn="0" w:lastRowFirstColumn="0" w:lastRowLastColumn="0"/>
              <w:rPr>
                <w:rFonts w:cs="Arial"/>
                <w:color w:val="000000"/>
                <w:sz w:val="20"/>
                <w:szCs w:val="20"/>
              </w:rPr>
            </w:pPr>
            <w:r w:rsidRPr="008B798A">
              <w:rPr>
                <w:rFonts w:ascii="Century Gothic" w:hAnsi="Century Gothic"/>
                <w:sz w:val="20"/>
                <w:szCs w:val="20"/>
              </w:rPr>
              <w:t>$98.00</w:t>
            </w:r>
          </w:p>
        </w:tc>
        <w:tc>
          <w:tcPr>
            <w:tcW w:w="80.20pt" w:type="dxa"/>
            <w:tcBorders>
              <w:top w:val="single" w:sz="4" w:space="0" w:color="5B9BD5" w:themeColor="accent1"/>
              <w:start w:val="single" w:sz="4" w:space="0" w:color="BFBFBF" w:themeColor="background1" w:themeShade="BF"/>
              <w:bottom w:val="single" w:sz="4" w:space="0" w:color="BFBFBF" w:themeColor="background1" w:themeShade="BF"/>
              <w:end w:val="single" w:sz="4" w:space="0" w:color="BFBFBF" w:themeColor="background1" w:themeShade="BF"/>
            </w:tcBorders>
          </w:tcPr>
          <w:p w:rsidR="00226C80" w:rsidRPr="008B798A" w:rsidRDefault="00226C80" w:rsidP="00226C80">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B798A">
              <w:rPr>
                <w:rFonts w:ascii="Century Gothic" w:hAnsi="Century Gothic"/>
                <w:sz w:val="20"/>
                <w:szCs w:val="20"/>
              </w:rPr>
              <w:t>$73.00</w:t>
            </w:r>
          </w:p>
        </w:tc>
        <w:tc>
          <w:tcPr>
            <w:tcW w:w="65.05pt" w:type="dxa"/>
            <w:tcBorders>
              <w:top w:val="single" w:sz="4" w:space="0" w:color="5B9BD5" w:themeColor="accent1"/>
              <w:start w:val="single" w:sz="4" w:space="0" w:color="BFBFBF" w:themeColor="background1" w:themeShade="BF"/>
              <w:bottom w:val="single" w:sz="4" w:space="0" w:color="BFBFBF" w:themeColor="background1" w:themeShade="BF"/>
              <w:end w:val="single" w:sz="4" w:space="0" w:color="BFBFBF" w:themeColor="background1" w:themeShade="BF"/>
            </w:tcBorders>
          </w:tcPr>
          <w:p w:rsidR="00226C80" w:rsidRPr="008B798A" w:rsidRDefault="00226C80" w:rsidP="00226C80">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B798A">
              <w:rPr>
                <w:rFonts w:ascii="Century Gothic" w:hAnsi="Century Gothic"/>
                <w:sz w:val="20"/>
                <w:szCs w:val="20"/>
              </w:rPr>
              <w:t>$49.00</w:t>
            </w:r>
          </w:p>
        </w:tc>
      </w:tr>
      <w:tr w:rsidR="0061711D" w:rsidRPr="008B798A" w:rsidTr="00226C80">
        <w:trPr>
          <w:trHeight w:val="283"/>
          <w:jc w:val="center"/>
        </w:trPr>
        <w:tc>
          <w:tcPr>
            <w:cnfStyle w:firstRow="0" w:lastRow="0" w:firstColumn="1" w:lastColumn="0" w:oddVBand="0" w:evenVBand="0" w:oddHBand="0" w:evenHBand="0" w:firstRowFirstColumn="0" w:firstRowLastColumn="0" w:lastRowFirstColumn="0" w:lastRowLastColumn="0"/>
            <w:tcW w:w="107.65pt" w:type="dxa"/>
          </w:tcPr>
          <w:p w:rsidR="00F56287" w:rsidRPr="008B798A" w:rsidRDefault="00E56462" w:rsidP="00035D2C">
            <w:pPr>
              <w:pStyle w:val="CondicionesFinales"/>
              <w:ind w:start="0pt" w:end="0pt"/>
              <w:jc w:val="center"/>
              <w:rPr>
                <w:rFonts w:ascii="Century Gothic" w:hAnsi="Century Gothic"/>
                <w:sz w:val="20"/>
                <w:szCs w:val="20"/>
              </w:rPr>
            </w:pPr>
            <w:r w:rsidRPr="008B798A">
              <w:rPr>
                <w:rFonts w:ascii="Century Gothic" w:hAnsi="Century Gothic"/>
                <w:sz w:val="20"/>
                <w:szCs w:val="20"/>
              </w:rPr>
              <w:t>40</w:t>
            </w:r>
          </w:p>
        </w:tc>
        <w:tc>
          <w:tcPr>
            <w:tcW w:w="90.55pt" w:type="dxa"/>
            <w:gridSpan w:val="2"/>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F56287" w:rsidRPr="008B798A"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B798A">
              <w:rPr>
                <w:rFonts w:ascii="Century Gothic" w:hAnsi="Century Gothic"/>
                <w:sz w:val="20"/>
                <w:szCs w:val="20"/>
              </w:rPr>
              <w:t>$115.00</w:t>
            </w:r>
          </w:p>
        </w:tc>
        <w:tc>
          <w:tcPr>
            <w:tcW w:w="80.2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F56287" w:rsidRPr="008B798A"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B798A">
              <w:rPr>
                <w:rFonts w:ascii="Century Gothic" w:hAnsi="Century Gothic"/>
                <w:sz w:val="20"/>
                <w:szCs w:val="20"/>
              </w:rPr>
              <w:t>$</w:t>
            </w:r>
            <w:r w:rsidR="00226C80" w:rsidRPr="008B798A">
              <w:rPr>
                <w:rFonts w:ascii="Century Gothic" w:hAnsi="Century Gothic"/>
                <w:sz w:val="20"/>
                <w:szCs w:val="20"/>
              </w:rPr>
              <w:t>89</w:t>
            </w:r>
            <w:r w:rsidRPr="008B798A">
              <w:rPr>
                <w:rFonts w:ascii="Century Gothic" w:hAnsi="Century Gothic"/>
                <w:sz w:val="20"/>
                <w:szCs w:val="20"/>
              </w:rPr>
              <w:t>.00</w:t>
            </w:r>
          </w:p>
        </w:tc>
        <w:tc>
          <w:tcPr>
            <w:tcW w:w="65.0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F56287" w:rsidRPr="008B798A"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B798A">
              <w:rPr>
                <w:rFonts w:ascii="Century Gothic" w:hAnsi="Century Gothic"/>
                <w:sz w:val="20"/>
                <w:szCs w:val="20"/>
              </w:rPr>
              <w:t>$</w:t>
            </w:r>
            <w:r w:rsidR="00226C80" w:rsidRPr="008B798A">
              <w:rPr>
                <w:rFonts w:ascii="Century Gothic" w:hAnsi="Century Gothic"/>
                <w:sz w:val="20"/>
                <w:szCs w:val="20"/>
              </w:rPr>
              <w:t>64</w:t>
            </w:r>
            <w:r w:rsidRPr="008B798A">
              <w:rPr>
                <w:rFonts w:ascii="Century Gothic" w:hAnsi="Century Gothic"/>
                <w:sz w:val="20"/>
                <w:szCs w:val="20"/>
              </w:rPr>
              <w:t>.00</w:t>
            </w:r>
          </w:p>
        </w:tc>
      </w:tr>
      <w:tr w:rsidR="0061711D" w:rsidRPr="008B798A" w:rsidTr="00226C80">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107.65pt" w:type="dxa"/>
          </w:tcPr>
          <w:p w:rsidR="00F56287" w:rsidRPr="008B798A" w:rsidRDefault="00E56462" w:rsidP="00035D2C">
            <w:pPr>
              <w:pStyle w:val="CondicionesFinales"/>
              <w:ind w:start="0pt" w:end="0pt"/>
              <w:jc w:val="center"/>
              <w:rPr>
                <w:rFonts w:ascii="Century Gothic" w:hAnsi="Century Gothic"/>
                <w:sz w:val="20"/>
                <w:szCs w:val="20"/>
              </w:rPr>
            </w:pPr>
            <w:r w:rsidRPr="008B798A">
              <w:rPr>
                <w:rFonts w:ascii="Century Gothic" w:hAnsi="Century Gothic"/>
                <w:sz w:val="20"/>
                <w:szCs w:val="20"/>
              </w:rPr>
              <w:t>50</w:t>
            </w:r>
          </w:p>
        </w:tc>
        <w:tc>
          <w:tcPr>
            <w:tcW w:w="90.55pt" w:type="dxa"/>
            <w:gridSpan w:val="2"/>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F56287" w:rsidRPr="008B798A"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B798A">
              <w:rPr>
                <w:rFonts w:ascii="Century Gothic" w:hAnsi="Century Gothic"/>
                <w:sz w:val="20"/>
                <w:szCs w:val="20"/>
              </w:rPr>
              <w:t>$127.00</w:t>
            </w:r>
          </w:p>
        </w:tc>
        <w:tc>
          <w:tcPr>
            <w:tcW w:w="80.2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F56287" w:rsidRPr="008B798A"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B798A">
              <w:rPr>
                <w:rFonts w:ascii="Century Gothic" w:hAnsi="Century Gothic"/>
                <w:sz w:val="20"/>
                <w:szCs w:val="20"/>
              </w:rPr>
              <w:t>$</w:t>
            </w:r>
            <w:r w:rsidR="00226C80" w:rsidRPr="008B798A">
              <w:rPr>
                <w:rFonts w:ascii="Century Gothic" w:hAnsi="Century Gothic"/>
                <w:sz w:val="20"/>
                <w:szCs w:val="20"/>
              </w:rPr>
              <w:t>100</w:t>
            </w:r>
            <w:r w:rsidRPr="008B798A">
              <w:rPr>
                <w:rFonts w:ascii="Century Gothic" w:hAnsi="Century Gothic"/>
                <w:sz w:val="20"/>
                <w:szCs w:val="20"/>
              </w:rPr>
              <w:t>.00</w:t>
            </w:r>
          </w:p>
        </w:tc>
        <w:tc>
          <w:tcPr>
            <w:tcW w:w="65.0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F56287" w:rsidRPr="008B798A"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sz w:val="20"/>
                <w:szCs w:val="20"/>
              </w:rPr>
            </w:pPr>
            <w:r w:rsidRPr="008B798A">
              <w:rPr>
                <w:rFonts w:ascii="Century Gothic" w:hAnsi="Century Gothic"/>
                <w:sz w:val="20"/>
                <w:szCs w:val="20"/>
              </w:rPr>
              <w:t>$</w:t>
            </w:r>
            <w:r w:rsidR="00226C80" w:rsidRPr="008B798A">
              <w:rPr>
                <w:rFonts w:ascii="Century Gothic" w:hAnsi="Century Gothic"/>
                <w:sz w:val="20"/>
                <w:szCs w:val="20"/>
              </w:rPr>
              <w:t>73</w:t>
            </w:r>
            <w:r w:rsidRPr="008B798A">
              <w:rPr>
                <w:rFonts w:ascii="Century Gothic" w:hAnsi="Century Gothic"/>
                <w:sz w:val="20"/>
                <w:szCs w:val="20"/>
              </w:rPr>
              <w:t>.00</w:t>
            </w:r>
          </w:p>
        </w:tc>
      </w:tr>
      <w:tr w:rsidR="0061711D" w:rsidRPr="008B798A" w:rsidTr="00226C80">
        <w:trPr>
          <w:trHeight w:val="283"/>
          <w:jc w:val="center"/>
        </w:trPr>
        <w:tc>
          <w:tcPr>
            <w:cnfStyle w:firstRow="0" w:lastRow="0" w:firstColumn="1" w:lastColumn="0" w:oddVBand="0" w:evenVBand="0" w:oddHBand="0" w:evenHBand="0" w:firstRowFirstColumn="0" w:firstRowLastColumn="0" w:lastRowFirstColumn="0" w:lastRowLastColumn="0"/>
            <w:tcW w:w="107.65pt" w:type="dxa"/>
          </w:tcPr>
          <w:p w:rsidR="00F56287" w:rsidRPr="008B798A" w:rsidRDefault="00E56462" w:rsidP="00035D2C">
            <w:pPr>
              <w:pStyle w:val="CondicionesFinales"/>
              <w:ind w:start="0pt" w:end="0pt"/>
              <w:jc w:val="center"/>
              <w:rPr>
                <w:rFonts w:ascii="Century Gothic" w:hAnsi="Century Gothic"/>
                <w:sz w:val="20"/>
                <w:szCs w:val="20"/>
              </w:rPr>
            </w:pPr>
            <w:r w:rsidRPr="008B798A">
              <w:rPr>
                <w:rFonts w:ascii="Century Gothic" w:hAnsi="Century Gothic"/>
                <w:sz w:val="20"/>
                <w:szCs w:val="20"/>
              </w:rPr>
              <w:t>60</w:t>
            </w:r>
          </w:p>
        </w:tc>
        <w:tc>
          <w:tcPr>
            <w:tcW w:w="90.55pt" w:type="dxa"/>
            <w:gridSpan w:val="2"/>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F56287" w:rsidRPr="008B798A"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B798A">
              <w:rPr>
                <w:rFonts w:ascii="Century Gothic" w:hAnsi="Century Gothic"/>
                <w:sz w:val="20"/>
                <w:szCs w:val="20"/>
              </w:rPr>
              <w:t>$144.00</w:t>
            </w:r>
          </w:p>
        </w:tc>
        <w:tc>
          <w:tcPr>
            <w:tcW w:w="80.2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F56287" w:rsidRPr="008B798A"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B798A">
              <w:rPr>
                <w:rFonts w:ascii="Century Gothic" w:hAnsi="Century Gothic"/>
                <w:sz w:val="20"/>
                <w:szCs w:val="20"/>
              </w:rPr>
              <w:t>$1</w:t>
            </w:r>
            <w:r w:rsidR="00226C80" w:rsidRPr="008B798A">
              <w:rPr>
                <w:rFonts w:ascii="Century Gothic" w:hAnsi="Century Gothic"/>
                <w:sz w:val="20"/>
                <w:szCs w:val="20"/>
              </w:rPr>
              <w:t>15</w:t>
            </w:r>
            <w:r w:rsidRPr="008B798A">
              <w:rPr>
                <w:rFonts w:ascii="Century Gothic" w:hAnsi="Century Gothic"/>
                <w:sz w:val="20"/>
                <w:szCs w:val="20"/>
              </w:rPr>
              <w:t>.00</w:t>
            </w:r>
          </w:p>
        </w:tc>
        <w:tc>
          <w:tcPr>
            <w:tcW w:w="65.0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F56287" w:rsidRPr="008B798A"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8B798A">
              <w:rPr>
                <w:rFonts w:ascii="Century Gothic" w:hAnsi="Century Gothic"/>
                <w:sz w:val="20"/>
                <w:szCs w:val="20"/>
              </w:rPr>
              <w:t>$</w:t>
            </w:r>
            <w:r w:rsidR="00226C80" w:rsidRPr="008B798A">
              <w:rPr>
                <w:rFonts w:ascii="Century Gothic" w:hAnsi="Century Gothic"/>
                <w:sz w:val="20"/>
                <w:szCs w:val="20"/>
              </w:rPr>
              <w:t>86</w:t>
            </w:r>
            <w:r w:rsidRPr="008B798A">
              <w:rPr>
                <w:rFonts w:ascii="Century Gothic" w:hAnsi="Century Gothic"/>
                <w:sz w:val="20"/>
                <w:szCs w:val="20"/>
              </w:rPr>
              <w:t>.00</w:t>
            </w:r>
          </w:p>
        </w:tc>
      </w:tr>
    </w:tbl>
    <w:p w:rsidR="00866B6B" w:rsidRPr="00611019" w:rsidRDefault="00E56462" w:rsidP="00035D2C">
      <w:pPr>
        <w:ind w:start="14.20pt" w:hanging="14.20pt"/>
        <w:jc w:val="both"/>
        <w:rPr>
          <w:rFonts w:ascii="Century Gothic" w:hAnsi="Century Gothic"/>
          <w:sz w:val="18"/>
        </w:rPr>
      </w:pPr>
      <w:r>
        <w:rPr>
          <w:rFonts w:ascii="Century Gothic" w:hAnsi="Century Gothic" w:cs="Arial"/>
          <w:sz w:val="18"/>
          <w:szCs w:val="18"/>
        </w:rPr>
        <w:t>*/</w:t>
      </w:r>
      <w:r>
        <w:rPr>
          <w:rFonts w:ascii="Century Gothic" w:hAnsi="Century Gothic" w:cs="Arial"/>
          <w:sz w:val="18"/>
          <w:szCs w:val="18"/>
        </w:rPr>
        <w:tab/>
      </w:r>
      <w:r>
        <w:rPr>
          <w:rFonts w:ascii="Century Gothic" w:hAnsi="Century Gothic"/>
          <w:sz w:val="18"/>
        </w:rPr>
        <w:t>El ancho de banda es de bajada de información debido a que es un servicio asimétrico.</w:t>
      </w:r>
    </w:p>
    <w:p w:rsidR="00F56A31" w:rsidRPr="00611019" w:rsidRDefault="00F56A31" w:rsidP="00035D2C">
      <w:pPr>
        <w:ind w:start="14.20pt" w:hanging="14.20pt"/>
        <w:jc w:val="both"/>
        <w:rPr>
          <w:rFonts w:ascii="Century Gothic" w:hAnsi="Century Gothic"/>
          <w:sz w:val="18"/>
        </w:rPr>
      </w:pPr>
    </w:p>
    <w:p w:rsidR="00866B6B" w:rsidRPr="00611019" w:rsidRDefault="00866B6B" w:rsidP="00035D2C">
      <w:pPr>
        <w:jc w:val="center"/>
        <w:rPr>
          <w:rFonts w:ascii="Century Gothic" w:hAnsi="Century Gothic"/>
        </w:rPr>
      </w:pPr>
    </w:p>
    <w:tbl>
      <w:tblPr>
        <w:tblStyle w:val="Tablanormal1"/>
        <w:tblW w:w="250.10pt" w:type="dxa"/>
        <w:jc w:val="center"/>
        <w:tblLook w:firstRow="1" w:lastRow="0" w:firstColumn="1" w:lastColumn="0" w:noHBand="0" w:noVBand="1"/>
      </w:tblPr>
      <w:tblGrid>
        <w:gridCol w:w="2007"/>
        <w:gridCol w:w="1100"/>
        <w:gridCol w:w="1069"/>
        <w:gridCol w:w="826"/>
      </w:tblGrid>
      <w:tr w:rsidR="0061711D" w:rsidTr="00226C80">
        <w:trPr>
          <w:cnfStyle w:firstRow="1" w:lastRow="0" w:firstColumn="0" w:lastColumn="0" w:oddVBand="0" w:evenVBand="0" w:oddHBand="0"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100.35pt" w:type="dxa"/>
            <w:shd w:val="clear" w:color="auto" w:fill="009AD9"/>
          </w:tcPr>
          <w:p w:rsidR="00866B6B" w:rsidRPr="00611019" w:rsidRDefault="00E56462" w:rsidP="00035D2C">
            <w:pPr>
              <w:jc w:val="center"/>
              <w:rPr>
                <w:rFonts w:ascii="Century Gothic" w:hAnsi="Century Gothic"/>
                <w:color w:val="FFFFFF" w:themeColor="background1"/>
                <w:sz w:val="20"/>
                <w:szCs w:val="20"/>
              </w:rPr>
            </w:pPr>
            <w:r>
              <w:rPr>
                <w:rFonts w:ascii="Century Gothic" w:hAnsi="Century Gothic"/>
                <w:color w:val="FFFFFF" w:themeColor="background1"/>
                <w:sz w:val="20"/>
                <w:szCs w:val="20"/>
                <w:lang w:val="es-ES_tradnl"/>
              </w:rPr>
              <w:t xml:space="preserve">Calidad </w:t>
            </w:r>
            <w:r>
              <w:rPr>
                <w:rFonts w:ascii="Century Gothic" w:hAnsi="Century Gothic"/>
                <w:color w:val="FFFFFF" w:themeColor="background1"/>
                <w:sz w:val="20"/>
                <w:szCs w:val="20"/>
              </w:rPr>
              <w:t xml:space="preserve">triple (d): </w:t>
            </w:r>
          </w:p>
          <w:p w:rsidR="00866B6B" w:rsidRPr="00611019" w:rsidRDefault="00E56462" w:rsidP="00035D2C">
            <w:pPr>
              <w:jc w:val="center"/>
              <w:rPr>
                <w:rFonts w:ascii="Century Gothic" w:hAnsi="Century Gothic"/>
                <w:color w:val="FFFFFF" w:themeColor="background1"/>
                <w:sz w:val="20"/>
                <w:szCs w:val="20"/>
                <w:lang w:val="es-ES_tradnl"/>
              </w:rPr>
            </w:pPr>
            <w:r>
              <w:rPr>
                <w:rFonts w:ascii="Century Gothic" w:hAnsi="Century Gothic"/>
                <w:color w:val="FFFFFF" w:themeColor="background1"/>
                <w:sz w:val="20"/>
                <w:szCs w:val="20"/>
              </w:rPr>
              <w:lastRenderedPageBreak/>
              <w:t>VoIP/Datos Críticos/ Datos Generales</w:t>
            </w:r>
          </w:p>
        </w:tc>
        <w:tc>
          <w:tcPr>
            <w:tcW w:w="149.75pt" w:type="dxa"/>
            <w:gridSpan w:val="3"/>
            <w:shd w:val="clear" w:color="auto" w:fill="009AD9"/>
          </w:tcPr>
          <w:p w:rsidR="00866B6B" w:rsidRPr="00611019" w:rsidRDefault="00866B6B" w:rsidP="00035D2C">
            <w:pPr>
              <w:jc w:val="center"/>
              <w:cnfStyle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szCs w:val="20"/>
                <w:lang w:val="es-ES_tradnl"/>
              </w:rPr>
            </w:pPr>
          </w:p>
          <w:p w:rsidR="00866B6B" w:rsidRPr="00611019" w:rsidRDefault="00E56462" w:rsidP="00035D2C">
            <w:pPr>
              <w:jc w:val="center"/>
              <w:cnfStyle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szCs w:val="20"/>
                <w:lang w:val="es-ES_tradnl"/>
              </w:rPr>
            </w:pPr>
            <w:r>
              <w:rPr>
                <w:rFonts w:ascii="Century Gothic" w:hAnsi="Century Gothic"/>
                <w:color w:val="FFFFFF" w:themeColor="background1"/>
                <w:sz w:val="20"/>
                <w:szCs w:val="20"/>
                <w:lang w:val="es-ES_tradnl"/>
              </w:rPr>
              <w:t>Renta mensual por entrega del servicio a nivel</w:t>
            </w:r>
          </w:p>
          <w:p w:rsidR="00866B6B" w:rsidRPr="00611019" w:rsidRDefault="00866B6B" w:rsidP="00035D2C">
            <w:pPr>
              <w:jc w:val="center"/>
              <w:cnfStyle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szCs w:val="20"/>
                <w:lang w:val="es-ES_tradnl"/>
              </w:rPr>
            </w:pPr>
          </w:p>
        </w:tc>
      </w:tr>
      <w:tr w:rsidR="0061711D" w:rsidTr="00226C80">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100.35pt" w:type="dxa"/>
          </w:tcPr>
          <w:p w:rsidR="00866B6B" w:rsidRPr="00611019" w:rsidRDefault="00E56462" w:rsidP="00035D2C">
            <w:pPr>
              <w:jc w:val="center"/>
              <w:rPr>
                <w:rFonts w:ascii="Century Gothic" w:hAnsi="Century Gothic"/>
                <w:color w:val="000000"/>
                <w:sz w:val="20"/>
                <w:szCs w:val="20"/>
                <w:lang w:val="es-ES_tradnl"/>
              </w:rPr>
            </w:pPr>
            <w:r>
              <w:rPr>
                <w:rFonts w:ascii="Century Gothic" w:hAnsi="Century Gothic"/>
                <w:color w:val="000000"/>
                <w:sz w:val="20"/>
                <w:szCs w:val="20"/>
                <w:lang w:val="es-ES_tradnl"/>
              </w:rPr>
              <w:lastRenderedPageBreak/>
              <w:t>Velocidad (Mbps</w:t>
            </w:r>
            <w:r>
              <w:rPr>
                <w:rFonts w:ascii="Century Gothic" w:eastAsia="Times New Roman" w:hAnsi="Century Gothic" w:cs="Arial"/>
                <w:color w:val="000000"/>
                <w:sz w:val="20"/>
                <w:szCs w:val="20"/>
                <w:lang w:val="es-ES_tradnl" w:eastAsia="es-ES"/>
              </w:rPr>
              <w:t>)*/</w:t>
            </w:r>
          </w:p>
        </w:tc>
        <w:tc>
          <w:tcPr>
            <w:tcW w:w="55pt" w:type="dxa"/>
          </w:tcPr>
          <w:p w:rsidR="00866B6B" w:rsidRPr="00611019"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b/>
                <w:color w:val="000000"/>
                <w:sz w:val="20"/>
                <w:szCs w:val="20"/>
                <w:lang w:val="es-ES_tradnl"/>
              </w:rPr>
              <w:t>Nacional</w:t>
            </w:r>
          </w:p>
        </w:tc>
        <w:tc>
          <w:tcPr>
            <w:tcW w:w="53.45pt" w:type="dxa"/>
          </w:tcPr>
          <w:p w:rsidR="00866B6B" w:rsidRPr="00611019"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b/>
                <w:color w:val="000000"/>
                <w:sz w:val="20"/>
                <w:szCs w:val="20"/>
                <w:lang w:val="es-ES_tradnl"/>
              </w:rPr>
              <w:t>Regional</w:t>
            </w:r>
          </w:p>
        </w:tc>
        <w:tc>
          <w:tcPr>
            <w:tcW w:w="41.30pt" w:type="dxa"/>
          </w:tcPr>
          <w:p w:rsidR="00866B6B" w:rsidRPr="00611019"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b/>
                <w:color w:val="000000"/>
                <w:sz w:val="20"/>
                <w:szCs w:val="20"/>
                <w:lang w:val="es-ES_tradnl"/>
              </w:rPr>
              <w:t>Local</w:t>
            </w:r>
          </w:p>
        </w:tc>
      </w:tr>
      <w:tr w:rsidR="0061711D" w:rsidTr="00226C80">
        <w:trPr>
          <w:trHeight w:val="283"/>
          <w:jc w:val="center"/>
        </w:trPr>
        <w:tc>
          <w:tcPr>
            <w:cnfStyle w:firstRow="0" w:lastRow="0" w:firstColumn="1" w:lastColumn="0" w:oddVBand="0" w:evenVBand="0" w:oddHBand="0" w:evenHBand="0" w:firstRowFirstColumn="0" w:firstRowLastColumn="0" w:lastRowFirstColumn="0" w:lastRowLastColumn="0"/>
            <w:tcW w:w="100.35pt" w:type="dxa"/>
          </w:tcPr>
          <w:p w:rsidR="008B672A" w:rsidRPr="00611019" w:rsidRDefault="00E56462" w:rsidP="00035D2C">
            <w:pPr>
              <w:jc w:val="center"/>
              <w:rPr>
                <w:rFonts w:ascii="Century Gothic" w:hAnsi="Century Gothic"/>
                <w:color w:val="000000"/>
                <w:sz w:val="20"/>
                <w:szCs w:val="20"/>
                <w:lang w:val="es-ES_tradnl"/>
              </w:rPr>
            </w:pPr>
            <w:r>
              <w:rPr>
                <w:rFonts w:ascii="Century Gothic" w:hAnsi="Century Gothic"/>
                <w:color w:val="000000"/>
                <w:sz w:val="20"/>
                <w:szCs w:val="20"/>
                <w:lang w:val="es-ES_tradnl"/>
              </w:rPr>
              <w:t>3</w:t>
            </w:r>
          </w:p>
        </w:tc>
        <w:tc>
          <w:tcPr>
            <w:tcW w:w="5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sz w:val="20"/>
                <w:szCs w:val="20"/>
              </w:rPr>
              <w:t>$71.00</w:t>
            </w:r>
          </w:p>
        </w:tc>
        <w:tc>
          <w:tcPr>
            <w:tcW w:w="53.4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sz w:val="20"/>
                <w:szCs w:val="20"/>
              </w:rPr>
              <w:t>$58.00</w:t>
            </w:r>
          </w:p>
        </w:tc>
        <w:tc>
          <w:tcPr>
            <w:tcW w:w="41.3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8B672A" w:rsidRPr="00611019" w:rsidRDefault="00E56462" w:rsidP="00035D2C">
            <w:pPr>
              <w:jc w:val="center"/>
              <w:cnfStyle w:firstRow="0" w:lastRow="0" w:firstColumn="0" w:lastColumn="0" w:oddVBand="0" w:evenVBand="0" w:oddHBand="0" w:evenHBand="0" w:firstRowFirstColumn="0" w:firstRowLastColumn="0" w:lastRowFirstColumn="0" w:lastRowLastColumn="0"/>
              <w:rPr>
                <w:rFonts w:ascii="Century Gothic" w:hAnsi="Century Gothic"/>
                <w:color w:val="000000"/>
                <w:sz w:val="20"/>
                <w:szCs w:val="20"/>
                <w:lang w:val="es-ES_tradnl"/>
              </w:rPr>
            </w:pPr>
            <w:r>
              <w:rPr>
                <w:rFonts w:ascii="Century Gothic" w:hAnsi="Century Gothic"/>
                <w:sz w:val="20"/>
                <w:szCs w:val="20"/>
              </w:rPr>
              <w:t>$44.00</w:t>
            </w:r>
          </w:p>
        </w:tc>
      </w:tr>
    </w:tbl>
    <w:p w:rsidR="00866B6B" w:rsidRPr="00611019" w:rsidRDefault="00E56462" w:rsidP="00035D2C">
      <w:pPr>
        <w:jc w:val="both"/>
        <w:rPr>
          <w:rFonts w:ascii="Century Gothic" w:hAnsi="Century Gothic"/>
          <w:sz w:val="18"/>
        </w:rPr>
      </w:pPr>
      <w:r>
        <w:rPr>
          <w:rFonts w:ascii="Century Gothic" w:hAnsi="Century Gothic" w:cs="Arial"/>
          <w:sz w:val="18"/>
          <w:szCs w:val="18"/>
        </w:rPr>
        <w:t xml:space="preserve">*/ </w:t>
      </w:r>
      <w:r>
        <w:rPr>
          <w:rFonts w:ascii="Century Gothic" w:hAnsi="Century Gothic"/>
          <w:sz w:val="18"/>
        </w:rPr>
        <w:t>El ancho de banda es de bajada de información debido a que es un servicio asimétrico.</w:t>
      </w:r>
    </w:p>
    <w:p w:rsidR="008B672A" w:rsidRDefault="008B672A" w:rsidP="00035D2C">
      <w:pPr>
        <w:jc w:val="both"/>
        <w:rPr>
          <w:rFonts w:ascii="Century Gothic" w:hAnsi="Century Gothic"/>
          <w:sz w:val="18"/>
        </w:rPr>
      </w:pPr>
    </w:p>
    <w:p w:rsidR="00226C80" w:rsidRPr="00611019" w:rsidRDefault="00226C80" w:rsidP="00035D2C">
      <w:pPr>
        <w:jc w:val="both"/>
        <w:rPr>
          <w:rFonts w:ascii="Century Gothic" w:hAnsi="Century Gothic"/>
          <w:sz w:val="18"/>
        </w:rPr>
      </w:pPr>
    </w:p>
    <w:p w:rsidR="0056297C" w:rsidRDefault="0056297C" w:rsidP="000511F0">
      <w:pPr>
        <w:spacing w:before="1pt" w:after="1pt"/>
        <w:ind w:start="21.30pt" w:hanging="21.30pt"/>
        <w:jc w:val="both"/>
        <w:outlineLvl w:val="0"/>
        <w:rPr>
          <w:rFonts w:ascii="Century Gothic" w:eastAsia="Times New Roman" w:hAnsi="Century Gothic" w:cs="Arial"/>
          <w:b/>
          <w:bCs/>
          <w:sz w:val="24"/>
        </w:rPr>
      </w:pPr>
      <w:r w:rsidRPr="000511F0">
        <w:rPr>
          <w:rFonts w:ascii="Century Gothic" w:eastAsia="Times New Roman" w:hAnsi="Century Gothic" w:cs="Arial"/>
          <w:b/>
          <w:bCs/>
          <w:sz w:val="24"/>
        </w:rPr>
        <w:t>2. Servicio de Desagregación Total del Bucle Local (SDTBL)</w:t>
      </w:r>
      <w:r w:rsidR="000511F0">
        <w:rPr>
          <w:rFonts w:ascii="Century Gothic" w:eastAsia="Times New Roman" w:hAnsi="Century Gothic" w:cs="Arial"/>
          <w:b/>
          <w:bCs/>
          <w:sz w:val="24"/>
        </w:rPr>
        <w:t xml:space="preserve"> y</w:t>
      </w:r>
      <w:r w:rsidRPr="000511F0">
        <w:rPr>
          <w:rFonts w:ascii="Century Gothic" w:eastAsia="Times New Roman" w:hAnsi="Century Gothic" w:cs="Arial"/>
          <w:b/>
          <w:bCs/>
          <w:sz w:val="24"/>
        </w:rPr>
        <w:t xml:space="preserve"> Servicio de Desagregación Total de Fibra Óptica (SDTFO).</w:t>
      </w:r>
    </w:p>
    <w:p w:rsidR="000511F0" w:rsidRPr="000511F0" w:rsidRDefault="000511F0" w:rsidP="000511F0"/>
    <w:p w:rsidR="00277ED2" w:rsidRPr="000511F0" w:rsidRDefault="00E56462" w:rsidP="000511F0">
      <w:pPr>
        <w:pStyle w:val="Prrafodelista"/>
        <w:numPr>
          <w:ilvl w:val="0"/>
          <w:numId w:val="136"/>
        </w:numPr>
        <w:spacing w:after="6pt"/>
        <w:jc w:val="both"/>
        <w:rPr>
          <w:rFonts w:ascii="Century Gothic" w:eastAsia="Times New Roman" w:hAnsi="Century Gothic" w:cs="Arial"/>
          <w:b/>
        </w:rPr>
      </w:pPr>
      <w:r w:rsidRPr="000511F0">
        <w:rPr>
          <w:rFonts w:ascii="Century Gothic" w:eastAsia="Times New Roman" w:hAnsi="Century Gothic" w:cs="Arial"/>
          <w:b/>
        </w:rPr>
        <w:t>Cobros no recurrentes.</w:t>
      </w:r>
    </w:p>
    <w:tbl>
      <w:tblPr>
        <w:tblStyle w:val="Tablanormal1"/>
        <w:tblW w:w="100.0%" w:type="pct"/>
        <w:jc w:val="center"/>
        <w:tblLook w:firstRow="1" w:lastRow="0" w:firstColumn="1" w:lastColumn="0" w:noHBand="0" w:noVBand="1"/>
      </w:tblPr>
      <w:tblGrid>
        <w:gridCol w:w="5915"/>
        <w:gridCol w:w="3479"/>
      </w:tblGrid>
      <w:tr w:rsidR="0061711D" w:rsidTr="0056297C">
        <w:trPr>
          <w:cnfStyle w:firstRow="1" w:lastRow="0" w:firstColumn="0" w:lastColumn="0" w:oddVBand="0" w:evenVBand="0" w:oddHBand="0"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295.75pt" w:type="dxa"/>
            <w:shd w:val="clear" w:color="auto" w:fill="009AD9"/>
          </w:tcPr>
          <w:p w:rsidR="00B86378" w:rsidRPr="00611019" w:rsidRDefault="00E56462" w:rsidP="00035D2C">
            <w:pPr>
              <w:rPr>
                <w:rFonts w:ascii="Century Gothic" w:hAnsi="Century Gothic"/>
                <w:color w:val="FFFFFF" w:themeColor="background1"/>
                <w:sz w:val="20"/>
                <w:lang w:val="es-ES_tradnl"/>
              </w:rPr>
            </w:pPr>
            <w:r>
              <w:rPr>
                <w:rFonts w:ascii="Century Gothic" w:hAnsi="Century Gothic"/>
                <w:color w:val="FFFFFF" w:themeColor="background1"/>
                <w:sz w:val="20"/>
                <w:lang w:val="es-ES_tradnl"/>
              </w:rPr>
              <w:t>Concepto</w:t>
            </w:r>
          </w:p>
        </w:tc>
        <w:tc>
          <w:tcPr>
            <w:tcW w:w="173.95pt" w:type="dxa"/>
            <w:shd w:val="clear" w:color="auto" w:fill="009AD9"/>
          </w:tcPr>
          <w:p w:rsidR="00B86378" w:rsidRPr="00611019" w:rsidRDefault="00E56462" w:rsidP="00035D2C">
            <w:pPr>
              <w:jc w:val="center"/>
              <w:cnfStyle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lang w:val="es-ES_tradnl"/>
              </w:rPr>
            </w:pPr>
            <w:r>
              <w:rPr>
                <w:rFonts w:ascii="Century Gothic" w:hAnsi="Century Gothic"/>
                <w:color w:val="FFFFFF" w:themeColor="background1"/>
                <w:sz w:val="20"/>
                <w:lang w:val="es-ES_tradnl"/>
              </w:rPr>
              <w:t>Contraprestación (por evento)</w:t>
            </w:r>
          </w:p>
        </w:tc>
      </w:tr>
      <w:tr w:rsidR="00651764" w:rsidRPr="0056297C" w:rsidTr="00220735">
        <w:trPr>
          <w:cnfStyle w:firstRow="0" w:lastRow="0" w:firstColumn="0" w:lastColumn="0" w:oddVBand="0" w:evenVBand="0" w:oddHBand="1" w:evenHBand="0" w:firstRowFirstColumn="0" w:firstRowLastColumn="0" w:lastRowFirstColumn="0" w:lastRowLastColumn="0"/>
          <w:trHeight w:val="340"/>
          <w:jc w:val="center"/>
        </w:trPr>
        <w:tc>
          <w:tcPr>
            <w:cnfStyle w:firstRow="0" w:lastRow="0" w:firstColumn="1" w:lastColumn="0" w:oddVBand="0" w:evenVBand="0" w:oddHBand="0" w:evenHBand="0" w:firstRowFirstColumn="0" w:firstRowLastColumn="0" w:lastRowFirstColumn="0" w:lastRowLastColumn="0"/>
            <w:tcW w:w="295.75pt" w:type="dxa"/>
            <w:vAlign w:val="center"/>
          </w:tcPr>
          <w:p w:rsidR="00651764" w:rsidRPr="0056297C" w:rsidRDefault="00651764" w:rsidP="00651764">
            <w:pPr>
              <w:pStyle w:val="CondicionesFinales"/>
              <w:ind w:start="0pt" w:end="0pt"/>
              <w:jc w:val="start"/>
              <w:rPr>
                <w:rFonts w:ascii="Century Gothic" w:hAnsi="Century Gothic"/>
                <w:b w:val="0"/>
                <w:bCs/>
                <w:sz w:val="20"/>
              </w:rPr>
            </w:pPr>
            <w:r w:rsidRPr="0056297C">
              <w:rPr>
                <w:rFonts w:ascii="Century Gothic" w:hAnsi="Century Gothic"/>
                <w:sz w:val="20"/>
              </w:rPr>
              <w:t>Habilitación del SDTBL</w:t>
            </w:r>
          </w:p>
        </w:tc>
        <w:tc>
          <w:tcPr>
            <w:tcW w:w="173.9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567430">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567430">
              <w:rPr>
                <w:rFonts w:ascii="Century Gothic" w:hAnsi="Century Gothic"/>
                <w:sz w:val="20"/>
              </w:rPr>
              <w:t>1013.82</w:t>
            </w:r>
          </w:p>
        </w:tc>
      </w:tr>
      <w:tr w:rsidR="00651764" w:rsidRPr="0056297C" w:rsidTr="00220735">
        <w:tblPrEx>
          <w:jc w:val="start"/>
        </w:tblPrEx>
        <w:trPr>
          <w:trHeight w:val="340"/>
        </w:trPr>
        <w:tc>
          <w:tcPr>
            <w:cnfStyle w:firstRow="0" w:lastRow="0" w:firstColumn="1" w:lastColumn="0" w:oddVBand="0" w:evenVBand="0" w:oddHBand="0" w:evenHBand="0" w:firstRowFirstColumn="0" w:firstRowLastColumn="0" w:lastRowFirstColumn="0" w:lastRowLastColumn="0"/>
            <w:tcW w:w="295.75pt" w:type="dxa"/>
            <w:hideMark/>
          </w:tcPr>
          <w:p w:rsidR="00651764" w:rsidRPr="0056297C" w:rsidRDefault="00651764" w:rsidP="00651764">
            <w:pPr>
              <w:pStyle w:val="CondicionesFinales"/>
              <w:ind w:start="0pt" w:end="1.95pt"/>
              <w:jc w:val="start"/>
              <w:rPr>
                <w:rFonts w:ascii="Century Gothic" w:hAnsi="Century Gothic"/>
                <w:sz w:val="20"/>
                <w:szCs w:val="20"/>
              </w:rPr>
            </w:pPr>
          </w:p>
        </w:tc>
        <w:tc>
          <w:tcPr>
            <w:tcW w:w="173.9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hideMark/>
          </w:tcPr>
          <w:p w:rsidR="00651764" w:rsidRPr="00651764" w:rsidRDefault="00651764" w:rsidP="00651764">
            <w:pPr>
              <w:pStyle w:val="CondicionesFinales"/>
              <w:ind w:start="0pt" w:end="1.95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p>
        </w:tc>
      </w:tr>
      <w:tr w:rsidR="00651764" w:rsidRPr="0056297C" w:rsidTr="00651764">
        <w:trPr>
          <w:cnfStyle w:firstRow="0" w:lastRow="0" w:firstColumn="0" w:lastColumn="0" w:oddVBand="0" w:evenVBand="0" w:oddHBand="1" w:evenHBand="0" w:firstRowFirstColumn="0" w:firstRowLastColumn="0" w:lastRowFirstColumn="0" w:lastRowLastColumn="0"/>
          <w:trHeight w:val="340"/>
          <w:jc w:val="center"/>
        </w:trPr>
        <w:tc>
          <w:tcPr>
            <w:cnfStyle w:firstRow="0" w:lastRow="0" w:firstColumn="1" w:lastColumn="0" w:oddVBand="0" w:evenVBand="0" w:oddHBand="0" w:evenHBand="0" w:firstRowFirstColumn="0" w:firstRowLastColumn="0" w:lastRowFirstColumn="0" w:lastRowLastColumn="0"/>
            <w:tcW w:w="295.75pt" w:type="dxa"/>
            <w:vAlign w:val="center"/>
          </w:tcPr>
          <w:p w:rsidR="00651764" w:rsidRPr="0056297C" w:rsidRDefault="00651764" w:rsidP="00651764">
            <w:pPr>
              <w:pStyle w:val="CondicionesFinales"/>
              <w:ind w:start="0pt" w:end="0pt"/>
              <w:jc w:val="start"/>
              <w:rPr>
                <w:rFonts w:ascii="Century Gothic" w:hAnsi="Century Gothic"/>
                <w:b w:val="0"/>
                <w:bCs/>
                <w:sz w:val="20"/>
              </w:rPr>
            </w:pPr>
          </w:p>
        </w:tc>
        <w:tc>
          <w:tcPr>
            <w:tcW w:w="173.9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51764">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p>
        </w:tc>
      </w:tr>
      <w:tr w:rsidR="00651764" w:rsidRPr="0056297C" w:rsidTr="00220735">
        <w:trPr>
          <w:trHeight w:val="340"/>
          <w:jc w:val="center"/>
        </w:trPr>
        <w:tc>
          <w:tcPr>
            <w:cnfStyle w:firstRow="0" w:lastRow="0" w:firstColumn="1" w:lastColumn="0" w:oddVBand="0" w:evenVBand="0" w:oddHBand="0" w:evenHBand="0" w:firstRowFirstColumn="0" w:firstRowLastColumn="0" w:lastRowFirstColumn="0" w:lastRowLastColumn="0"/>
            <w:tcW w:w="295.75pt" w:type="dxa"/>
            <w:vAlign w:val="center"/>
          </w:tcPr>
          <w:p w:rsidR="00651764" w:rsidRPr="0056297C" w:rsidRDefault="00651764" w:rsidP="00651764">
            <w:pPr>
              <w:pStyle w:val="CondicionesFinales"/>
              <w:ind w:start="0pt" w:end="0pt"/>
              <w:jc w:val="start"/>
              <w:rPr>
                <w:rFonts w:ascii="Century Gothic" w:hAnsi="Century Gothic"/>
                <w:sz w:val="20"/>
              </w:rPr>
            </w:pPr>
          </w:p>
        </w:tc>
        <w:tc>
          <w:tcPr>
            <w:tcW w:w="173.9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51764">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p>
        </w:tc>
      </w:tr>
      <w:tr w:rsidR="00651764" w:rsidRPr="0056297C" w:rsidTr="00220735">
        <w:trPr>
          <w:cnfStyle w:firstRow="0" w:lastRow="0" w:firstColumn="0" w:lastColumn="0" w:oddVBand="0" w:evenVBand="0" w:oddHBand="1" w:evenHBand="0" w:firstRowFirstColumn="0" w:firstRowLastColumn="0" w:lastRowFirstColumn="0" w:lastRowLastColumn="0"/>
          <w:trHeight w:val="340"/>
          <w:jc w:val="center"/>
        </w:trPr>
        <w:tc>
          <w:tcPr>
            <w:cnfStyle w:firstRow="0" w:lastRow="0" w:firstColumn="1" w:lastColumn="0" w:oddVBand="0" w:evenVBand="0" w:oddHBand="0" w:evenHBand="0" w:firstRowFirstColumn="0" w:firstRowLastColumn="0" w:lastRowFirstColumn="0" w:lastRowLastColumn="0"/>
            <w:tcW w:w="295.75pt" w:type="dxa"/>
            <w:vAlign w:val="center"/>
          </w:tcPr>
          <w:p w:rsidR="00651764" w:rsidRPr="0056297C" w:rsidRDefault="00651764" w:rsidP="00651764">
            <w:pPr>
              <w:pStyle w:val="CondicionesFinales"/>
              <w:ind w:start="0pt" w:end="0pt"/>
              <w:jc w:val="start"/>
              <w:rPr>
                <w:rFonts w:ascii="Century Gothic" w:hAnsi="Century Gothic"/>
                <w:b w:val="0"/>
                <w:bCs/>
                <w:sz w:val="20"/>
              </w:rPr>
            </w:pPr>
            <w:r w:rsidRPr="0056297C">
              <w:rPr>
                <w:rFonts w:ascii="Century Gothic" w:hAnsi="Century Gothic"/>
                <w:sz w:val="20"/>
              </w:rPr>
              <w:t>Habilitación del SDTFO</w:t>
            </w:r>
          </w:p>
        </w:tc>
        <w:tc>
          <w:tcPr>
            <w:tcW w:w="173.9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51764">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567430">
              <w:rPr>
                <w:rFonts w:ascii="Century Gothic" w:hAnsi="Century Gothic"/>
                <w:sz w:val="20"/>
              </w:rPr>
              <w:t>1013.82</w:t>
            </w:r>
          </w:p>
        </w:tc>
      </w:tr>
      <w:tr w:rsidR="00651764" w:rsidRPr="0056297C" w:rsidTr="00220735">
        <w:trPr>
          <w:trHeight w:val="340"/>
          <w:jc w:val="center"/>
        </w:trPr>
        <w:tc>
          <w:tcPr>
            <w:cnfStyle w:firstRow="0" w:lastRow="0" w:firstColumn="1" w:lastColumn="0" w:oddVBand="0" w:evenVBand="0" w:oddHBand="0" w:evenHBand="0" w:firstRowFirstColumn="0" w:firstRowLastColumn="0" w:lastRowFirstColumn="0" w:lastRowLastColumn="0"/>
            <w:tcW w:w="295.75pt" w:type="dxa"/>
            <w:vAlign w:val="center"/>
          </w:tcPr>
          <w:p w:rsidR="00651764" w:rsidRPr="0056297C" w:rsidRDefault="00651764" w:rsidP="00651764">
            <w:pPr>
              <w:pStyle w:val="CondicionesFinales"/>
              <w:ind w:start="0pt" w:end="0pt"/>
              <w:jc w:val="start"/>
              <w:rPr>
                <w:rFonts w:ascii="Century Gothic" w:hAnsi="Century Gothic"/>
                <w:b w:val="0"/>
                <w:bCs/>
                <w:sz w:val="20"/>
              </w:rPr>
            </w:pPr>
          </w:p>
        </w:tc>
        <w:tc>
          <w:tcPr>
            <w:tcW w:w="173.9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51764">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p>
        </w:tc>
      </w:tr>
    </w:tbl>
    <w:p w:rsidR="00277ED2" w:rsidRPr="0056297C" w:rsidRDefault="00277ED2" w:rsidP="00035D2C">
      <w:pPr>
        <w:spacing w:before="1pt" w:after="1pt"/>
        <w:jc w:val="both"/>
        <w:rPr>
          <w:rFonts w:ascii="Century Gothic" w:eastAsia="Times New Roman" w:hAnsi="Century Gothic" w:cs="Arial"/>
          <w:b/>
        </w:rPr>
      </w:pPr>
    </w:p>
    <w:p w:rsidR="00277ED2" w:rsidRPr="00611019" w:rsidRDefault="00E56462">
      <w:pPr>
        <w:pStyle w:val="Prrafodelista"/>
        <w:numPr>
          <w:ilvl w:val="0"/>
          <w:numId w:val="136"/>
        </w:numPr>
        <w:spacing w:after="6pt"/>
        <w:jc w:val="both"/>
        <w:rPr>
          <w:rFonts w:ascii="Century Gothic" w:eastAsia="Times New Roman" w:hAnsi="Century Gothic" w:cs="Arial"/>
          <w:b/>
        </w:rPr>
      </w:pPr>
      <w:r>
        <w:rPr>
          <w:rFonts w:ascii="Century Gothic" w:eastAsia="Times New Roman" w:hAnsi="Century Gothic" w:cs="Arial"/>
          <w:b/>
        </w:rPr>
        <w:t>Cobros recurrentes.</w:t>
      </w:r>
    </w:p>
    <w:tbl>
      <w:tblPr>
        <w:tblStyle w:val="Tablanormal1"/>
        <w:tblpPr w:leftFromText="141" w:rightFromText="141" w:vertAnchor="text" w:tblpY="1"/>
        <w:tblOverlap w:val="never"/>
        <w:tblW w:w="100.0%" w:type="pct"/>
        <w:tblLayout w:type="fixed"/>
        <w:tblLook w:firstRow="1" w:lastRow="0" w:firstColumn="1" w:lastColumn="0" w:noHBand="0" w:noVBand="1"/>
      </w:tblPr>
      <w:tblGrid>
        <w:gridCol w:w="4468"/>
        <w:gridCol w:w="2767"/>
        <w:gridCol w:w="2159"/>
      </w:tblGrid>
      <w:tr w:rsidR="0061711D" w:rsidTr="0031512C">
        <w:trPr>
          <w:cnfStyle w:firstRow="1" w:lastRow="0" w:firstColumn="0" w:lastColumn="0" w:oddVBand="0" w:evenVBand="0" w:oddHBand="0" w:evenHBand="0" w:firstRowFirstColumn="0" w:firstRowLastColumn="0" w:lastRowFirstColumn="0" w:lastRowLastColumn="0"/>
          <w:trHeight w:val="283"/>
          <w:tblHeader/>
        </w:trPr>
        <w:tc>
          <w:tcPr>
            <w:cnfStyle w:firstRow="0" w:lastRow="0" w:firstColumn="1" w:lastColumn="0" w:oddVBand="0" w:evenVBand="0" w:oddHBand="0" w:evenHBand="0" w:firstRowFirstColumn="0" w:firstRowLastColumn="0" w:lastRowFirstColumn="0" w:lastRowLastColumn="0"/>
            <w:tcW w:w="223.40pt" w:type="dxa"/>
            <w:shd w:val="clear" w:color="auto" w:fill="009AD9"/>
            <w:vAlign w:val="center"/>
          </w:tcPr>
          <w:p w:rsidR="00B86378" w:rsidRPr="00611019" w:rsidRDefault="00E56462" w:rsidP="0056297C">
            <w:pPr>
              <w:rPr>
                <w:rFonts w:ascii="Century Gothic" w:hAnsi="Century Gothic"/>
                <w:color w:val="FFFFFF" w:themeColor="background1"/>
                <w:sz w:val="20"/>
                <w:lang w:val="es-ES_tradnl"/>
              </w:rPr>
            </w:pPr>
            <w:r>
              <w:rPr>
                <w:rFonts w:ascii="Century Gothic" w:hAnsi="Century Gothic"/>
                <w:color w:val="FFFFFF" w:themeColor="background1"/>
                <w:sz w:val="20"/>
                <w:lang w:val="es-ES_tradnl"/>
              </w:rPr>
              <w:t>Concepto</w:t>
            </w:r>
          </w:p>
        </w:tc>
        <w:tc>
          <w:tcPr>
            <w:tcW w:w="138.35pt" w:type="dxa"/>
            <w:shd w:val="clear" w:color="auto" w:fill="009AD9"/>
            <w:vAlign w:val="center"/>
          </w:tcPr>
          <w:p w:rsidR="00B86378" w:rsidRPr="00611019" w:rsidRDefault="00E56462" w:rsidP="0056297C">
            <w:pPr>
              <w:tabs>
                <w:tab w:val="center" w:pos="76.80pt"/>
              </w:tabs>
              <w:jc w:val="center"/>
              <w:cnfStyle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lang w:val="es-ES_tradnl"/>
              </w:rPr>
            </w:pPr>
            <w:r>
              <w:rPr>
                <w:rFonts w:ascii="Century Gothic" w:hAnsi="Century Gothic"/>
                <w:color w:val="FFFFFF" w:themeColor="background1"/>
                <w:sz w:val="20"/>
                <w:lang w:val="es-ES_tradnl"/>
              </w:rPr>
              <w:t>Unidad de concepto</w:t>
            </w:r>
          </w:p>
        </w:tc>
        <w:tc>
          <w:tcPr>
            <w:tcW w:w="107.95pt" w:type="dxa"/>
            <w:shd w:val="clear" w:color="auto" w:fill="009AD9"/>
            <w:vAlign w:val="center"/>
          </w:tcPr>
          <w:p w:rsidR="00B86378" w:rsidRPr="00611019" w:rsidRDefault="00E56462" w:rsidP="0056297C">
            <w:pPr>
              <w:jc w:val="center"/>
              <w:cnfStyle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lang w:val="es-ES_tradnl"/>
              </w:rPr>
            </w:pPr>
            <w:r>
              <w:rPr>
                <w:rFonts w:ascii="Century Gothic" w:hAnsi="Century Gothic"/>
                <w:color w:val="FFFFFF" w:themeColor="background1"/>
                <w:sz w:val="20"/>
                <w:lang w:val="es-ES_tradnl"/>
              </w:rPr>
              <w:t>Contraprestación</w:t>
            </w:r>
          </w:p>
        </w:tc>
      </w:tr>
      <w:tr w:rsidR="00651764" w:rsidRPr="00651764" w:rsidTr="00220735">
        <w:trPr>
          <w:cnfStyle w:firstRow="0" w:lastRow="0" w:firstColumn="0" w:lastColumn="0" w:oddVBand="0" w:evenVBand="0" w:oddHBand="1" w:evenHBand="0" w:firstRowFirstColumn="0" w:firstRowLastColumn="0" w:lastRowFirstColumn="0" w:lastRowLastColumn="0"/>
          <w:trHeight w:val="283"/>
        </w:trPr>
        <w:tc>
          <w:tcPr>
            <w:cnfStyle w:firstRow="0" w:lastRow="0" w:firstColumn="1" w:lastColumn="0" w:oddVBand="0" w:evenVBand="0" w:oddHBand="0" w:evenHBand="0" w:firstRowFirstColumn="0" w:firstRowLastColumn="0" w:lastRowFirstColumn="0" w:lastRowLastColumn="0"/>
            <w:tcW w:w="223.40pt" w:type="dxa"/>
            <w:vAlign w:val="center"/>
          </w:tcPr>
          <w:p w:rsidR="00651764" w:rsidRPr="00651764" w:rsidRDefault="00651764" w:rsidP="00651764">
            <w:pPr>
              <w:pStyle w:val="CondicionesFinales"/>
              <w:ind w:start="0pt" w:end="0pt"/>
              <w:jc w:val="start"/>
              <w:rPr>
                <w:rFonts w:ascii="Century Gothic" w:hAnsi="Century Gothic"/>
                <w:b w:val="0"/>
                <w:bCs/>
                <w:sz w:val="20"/>
              </w:rPr>
            </w:pPr>
            <w:r w:rsidRPr="00651764">
              <w:rPr>
                <w:rFonts w:ascii="Century Gothic" w:hAnsi="Century Gothic"/>
                <w:sz w:val="20"/>
              </w:rPr>
              <w:t>Renta mensual de SDTBL</w:t>
            </w:r>
          </w:p>
        </w:tc>
        <w:tc>
          <w:tcPr>
            <w:tcW w:w="138.35pt" w:type="dxa"/>
            <w:vAlign w:val="center"/>
          </w:tcPr>
          <w:p w:rsidR="00651764" w:rsidRPr="00651764" w:rsidRDefault="00651764" w:rsidP="00651764">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651764">
              <w:rPr>
                <w:rFonts w:ascii="Century Gothic" w:hAnsi="Century Gothic"/>
                <w:sz w:val="20"/>
              </w:rPr>
              <w:t xml:space="preserve">Renta mensual </w:t>
            </w:r>
          </w:p>
          <w:p w:rsidR="00651764" w:rsidRPr="00651764" w:rsidRDefault="00651764" w:rsidP="00651764">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651764">
              <w:rPr>
                <w:rFonts w:ascii="Century Gothic" w:hAnsi="Century Gothic"/>
                <w:sz w:val="20"/>
              </w:rPr>
              <w:t>(por usuario)</w:t>
            </w:r>
          </w:p>
        </w:tc>
        <w:tc>
          <w:tcPr>
            <w:tcW w:w="107.9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51764">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567430">
              <w:rPr>
                <w:rFonts w:ascii="Century Gothic" w:hAnsi="Century Gothic"/>
                <w:sz w:val="20"/>
              </w:rPr>
              <w:t>94.28</w:t>
            </w:r>
          </w:p>
        </w:tc>
      </w:tr>
      <w:tr w:rsidR="00651764" w:rsidRPr="00651764" w:rsidTr="00220735">
        <w:trPr>
          <w:trHeight w:val="283"/>
        </w:trPr>
        <w:tc>
          <w:tcPr>
            <w:cnfStyle w:firstRow="0" w:lastRow="0" w:firstColumn="1" w:lastColumn="0" w:oddVBand="0" w:evenVBand="0" w:oddHBand="0" w:evenHBand="0" w:firstRowFirstColumn="0" w:firstRowLastColumn="0" w:lastRowFirstColumn="0" w:lastRowLastColumn="0"/>
            <w:tcW w:w="223.40pt" w:type="dxa"/>
            <w:vAlign w:val="center"/>
          </w:tcPr>
          <w:p w:rsidR="00651764" w:rsidRPr="00651764" w:rsidRDefault="00651764" w:rsidP="00651764">
            <w:pPr>
              <w:pStyle w:val="CondicionesFinales"/>
              <w:ind w:start="0pt" w:end="0pt"/>
              <w:jc w:val="start"/>
              <w:rPr>
                <w:rFonts w:ascii="Century Gothic" w:hAnsi="Century Gothic"/>
                <w:b w:val="0"/>
                <w:bCs/>
                <w:sz w:val="20"/>
              </w:rPr>
            </w:pPr>
            <w:r w:rsidRPr="00651764">
              <w:rPr>
                <w:rFonts w:ascii="Century Gothic" w:hAnsi="Century Gothic"/>
                <w:sz w:val="20"/>
              </w:rPr>
              <w:t>Renta mensual de SDTFO (por línea)</w:t>
            </w:r>
          </w:p>
        </w:tc>
        <w:tc>
          <w:tcPr>
            <w:tcW w:w="138.35pt" w:type="dxa"/>
            <w:vAlign w:val="center"/>
          </w:tcPr>
          <w:p w:rsidR="00651764" w:rsidRPr="00651764" w:rsidRDefault="00651764" w:rsidP="00651764">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r w:rsidRPr="00651764">
              <w:rPr>
                <w:rFonts w:ascii="Century Gothic" w:hAnsi="Century Gothic"/>
                <w:sz w:val="20"/>
              </w:rPr>
              <w:t xml:space="preserve">Renta mensual </w:t>
            </w:r>
          </w:p>
          <w:p w:rsidR="00651764" w:rsidRPr="00651764" w:rsidRDefault="00651764" w:rsidP="00651764">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r w:rsidRPr="00651764">
              <w:rPr>
                <w:rFonts w:ascii="Century Gothic" w:hAnsi="Century Gothic"/>
                <w:sz w:val="20"/>
              </w:rPr>
              <w:t>(por usuario)</w:t>
            </w:r>
          </w:p>
        </w:tc>
        <w:tc>
          <w:tcPr>
            <w:tcW w:w="107.9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51764">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567430">
              <w:rPr>
                <w:rFonts w:ascii="Century Gothic" w:hAnsi="Century Gothic"/>
                <w:sz w:val="20"/>
              </w:rPr>
              <w:t>7211.00</w:t>
            </w:r>
          </w:p>
        </w:tc>
      </w:tr>
      <w:tr w:rsidR="00651764" w:rsidRPr="00651764" w:rsidTr="00220735">
        <w:trPr>
          <w:cnfStyle w:firstRow="0" w:lastRow="0" w:firstColumn="0" w:lastColumn="0" w:oddVBand="0" w:evenVBand="0" w:oddHBand="1" w:evenHBand="0" w:firstRowFirstColumn="0" w:firstRowLastColumn="0" w:lastRowFirstColumn="0" w:lastRowLastColumn="0"/>
          <w:trHeight w:val="283"/>
        </w:trPr>
        <w:tc>
          <w:tcPr>
            <w:cnfStyle w:firstRow="0" w:lastRow="0" w:firstColumn="1" w:lastColumn="0" w:oddVBand="0" w:evenVBand="0" w:oddHBand="0" w:evenHBand="0" w:firstRowFirstColumn="0" w:firstRowLastColumn="0" w:lastRowFirstColumn="0" w:lastRowLastColumn="0"/>
            <w:tcW w:w="223.40pt" w:type="dxa"/>
            <w:vAlign w:val="center"/>
          </w:tcPr>
          <w:p w:rsidR="00651764" w:rsidRPr="00651764" w:rsidRDefault="00651764" w:rsidP="00651764">
            <w:pPr>
              <w:pStyle w:val="CondicionesFinales"/>
              <w:ind w:start="0pt" w:end="0pt"/>
              <w:jc w:val="start"/>
              <w:rPr>
                <w:rFonts w:ascii="Century Gothic" w:hAnsi="Century Gothic"/>
                <w:sz w:val="20"/>
              </w:rPr>
            </w:pPr>
          </w:p>
        </w:tc>
        <w:tc>
          <w:tcPr>
            <w:tcW w:w="138.35pt" w:type="dxa"/>
          </w:tcPr>
          <w:p w:rsidR="00651764" w:rsidRPr="00651764" w:rsidRDefault="00651764" w:rsidP="00651764">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p>
        </w:tc>
        <w:tc>
          <w:tcPr>
            <w:tcW w:w="107.9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51764">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p>
        </w:tc>
      </w:tr>
      <w:tr w:rsidR="00651764" w:rsidRPr="00651764" w:rsidTr="00220735">
        <w:trPr>
          <w:trHeight w:val="283"/>
        </w:trPr>
        <w:tc>
          <w:tcPr>
            <w:cnfStyle w:firstRow="0" w:lastRow="0" w:firstColumn="1" w:lastColumn="0" w:oddVBand="0" w:evenVBand="0" w:oddHBand="0" w:evenHBand="0" w:firstRowFirstColumn="0" w:firstRowLastColumn="0" w:lastRowFirstColumn="0" w:lastRowLastColumn="0"/>
            <w:tcW w:w="223.40pt" w:type="dxa"/>
            <w:vAlign w:val="center"/>
          </w:tcPr>
          <w:p w:rsidR="00651764" w:rsidRPr="00651764" w:rsidRDefault="00651764" w:rsidP="00651764">
            <w:pPr>
              <w:pStyle w:val="CondicionesFinales"/>
              <w:ind w:start="0pt" w:end="1.95pt"/>
              <w:jc w:val="start"/>
              <w:rPr>
                <w:rFonts w:ascii="Century Gothic" w:hAnsi="Century Gothic"/>
                <w:sz w:val="20"/>
                <w:szCs w:val="20"/>
              </w:rPr>
            </w:pPr>
          </w:p>
        </w:tc>
        <w:tc>
          <w:tcPr>
            <w:tcW w:w="138.35pt" w:type="dxa"/>
            <w:vAlign w:val="center"/>
          </w:tcPr>
          <w:p w:rsidR="00651764" w:rsidRPr="00651764" w:rsidRDefault="00651764" w:rsidP="00651764">
            <w:pPr>
              <w:pStyle w:val="CondicionesFinales"/>
              <w:ind w:start="0pt" w:end="1.95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p>
        </w:tc>
        <w:tc>
          <w:tcPr>
            <w:tcW w:w="107.9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51764">
            <w:pPr>
              <w:spacing w:after="8pt" w:line="12.95pt" w:lineRule="auto"/>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p>
        </w:tc>
      </w:tr>
      <w:tr w:rsidR="00651764" w:rsidRPr="00651764" w:rsidTr="0056297C">
        <w:trPr>
          <w:cnfStyle w:firstRow="0" w:lastRow="0" w:firstColumn="0" w:lastColumn="0" w:oddVBand="0" w:evenVBand="0" w:oddHBand="1" w:evenHBand="0" w:firstRowFirstColumn="0" w:firstRowLastColumn="0" w:lastRowFirstColumn="0" w:lastRowLastColumn="0"/>
          <w:trHeight w:val="283"/>
        </w:trPr>
        <w:tc>
          <w:tcPr>
            <w:cnfStyle w:firstRow="0" w:lastRow="0" w:firstColumn="1" w:lastColumn="0" w:oddVBand="0" w:evenVBand="0" w:oddHBand="0" w:evenHBand="0" w:firstRowFirstColumn="0" w:firstRowLastColumn="0" w:lastRowFirstColumn="0" w:lastRowLastColumn="0"/>
            <w:tcW w:w="223.4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651764" w:rsidRPr="00651764" w:rsidRDefault="00651764" w:rsidP="00651764">
            <w:pPr>
              <w:pStyle w:val="CondicionesFinales"/>
              <w:ind w:start="0pt" w:end="0pt"/>
              <w:jc w:val="start"/>
              <w:rPr>
                <w:rFonts w:ascii="Century Gothic" w:hAnsi="Century Gothic"/>
                <w:sz w:val="20"/>
              </w:rPr>
            </w:pPr>
          </w:p>
        </w:tc>
        <w:tc>
          <w:tcPr>
            <w:tcW w:w="138.3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51764">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p>
        </w:tc>
        <w:tc>
          <w:tcPr>
            <w:tcW w:w="107.9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51764">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p>
        </w:tc>
      </w:tr>
      <w:tr w:rsidR="00651764" w:rsidRPr="00651764" w:rsidTr="00220735">
        <w:trPr>
          <w:trHeight w:val="283"/>
        </w:trPr>
        <w:tc>
          <w:tcPr>
            <w:cnfStyle w:firstRow="0" w:lastRow="0" w:firstColumn="1" w:lastColumn="0" w:oddVBand="0" w:evenVBand="0" w:oddHBand="0" w:evenHBand="0" w:firstRowFirstColumn="0" w:firstRowLastColumn="0" w:lastRowFirstColumn="0" w:lastRowLastColumn="0"/>
            <w:tcW w:w="223.40pt" w:type="dxa"/>
            <w:vAlign w:val="center"/>
          </w:tcPr>
          <w:p w:rsidR="00651764" w:rsidRPr="00651764" w:rsidRDefault="00651764" w:rsidP="00651764">
            <w:pPr>
              <w:pStyle w:val="CondicionesFinales"/>
              <w:ind w:start="0pt" w:end="0pt"/>
              <w:jc w:val="start"/>
              <w:rPr>
                <w:rFonts w:ascii="Century Gothic" w:hAnsi="Century Gothic"/>
                <w:b w:val="0"/>
                <w:bCs/>
                <w:sz w:val="20"/>
              </w:rPr>
            </w:pPr>
          </w:p>
        </w:tc>
        <w:tc>
          <w:tcPr>
            <w:tcW w:w="138.35pt" w:type="dxa"/>
            <w:vAlign w:val="center"/>
          </w:tcPr>
          <w:p w:rsidR="00651764" w:rsidRPr="00651764" w:rsidRDefault="00651764" w:rsidP="00651764">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p>
        </w:tc>
        <w:tc>
          <w:tcPr>
            <w:tcW w:w="107.9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51764">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p>
        </w:tc>
      </w:tr>
    </w:tbl>
    <w:p w:rsidR="00277ED2" w:rsidRPr="000511F0" w:rsidRDefault="00E56462" w:rsidP="000511F0">
      <w:pPr>
        <w:spacing w:before="1pt" w:after="1pt"/>
        <w:ind w:start="21.30pt" w:hanging="21.30pt"/>
        <w:jc w:val="both"/>
        <w:outlineLvl w:val="0"/>
        <w:rPr>
          <w:rFonts w:ascii="Century Gothic" w:eastAsia="Times New Roman" w:hAnsi="Century Gothic" w:cs="Arial"/>
          <w:b/>
          <w:bCs/>
          <w:sz w:val="24"/>
        </w:rPr>
      </w:pPr>
      <w:bookmarkStart w:id="2288" w:name="_Toc92974100"/>
      <w:bookmarkStart w:id="2289" w:name="_Toc93052411"/>
      <w:bookmarkStart w:id="2290" w:name="_Toc93056366"/>
      <w:bookmarkStart w:id="2291" w:name="_Toc125393430"/>
      <w:bookmarkStart w:id="2292" w:name="_Toc148702286"/>
      <w:bookmarkStart w:id="2293" w:name="_Toc170381902"/>
      <w:r w:rsidRPr="000511F0">
        <w:rPr>
          <w:rFonts w:ascii="Century Gothic" w:eastAsia="Times New Roman" w:hAnsi="Century Gothic" w:cs="Arial"/>
          <w:b/>
          <w:bCs/>
          <w:sz w:val="24"/>
        </w:rPr>
        <w:t>3.</w:t>
      </w:r>
      <w:r w:rsidRPr="000511F0">
        <w:rPr>
          <w:rFonts w:ascii="Century Gothic" w:eastAsia="Times New Roman" w:hAnsi="Century Gothic" w:cs="Arial"/>
          <w:b/>
          <w:bCs/>
          <w:sz w:val="24"/>
        </w:rPr>
        <w:tab/>
        <w:t>Servicio de Coubicación para Desagregación</w:t>
      </w:r>
      <w:bookmarkEnd w:id="2288"/>
      <w:bookmarkEnd w:id="2289"/>
      <w:bookmarkEnd w:id="2290"/>
      <w:bookmarkEnd w:id="2291"/>
      <w:bookmarkEnd w:id="2292"/>
      <w:r w:rsidRPr="000511F0">
        <w:rPr>
          <w:rFonts w:ascii="Century Gothic" w:eastAsia="Times New Roman" w:hAnsi="Century Gothic" w:cs="Arial"/>
          <w:b/>
          <w:bCs/>
          <w:sz w:val="24"/>
        </w:rPr>
        <w:t xml:space="preserve"> del Bucle (SCD)</w:t>
      </w:r>
      <w:bookmarkEnd w:id="2293"/>
      <w:r w:rsidRPr="000511F0">
        <w:rPr>
          <w:rFonts w:ascii="Century Gothic" w:eastAsia="Times New Roman" w:hAnsi="Century Gothic" w:cs="Arial"/>
          <w:b/>
          <w:bCs/>
          <w:sz w:val="24"/>
        </w:rPr>
        <w:t xml:space="preserve"> </w:t>
      </w:r>
    </w:p>
    <w:p w:rsidR="002D00AD" w:rsidRPr="00611019" w:rsidRDefault="002D00AD" w:rsidP="00035D2C"/>
    <w:p w:rsidR="00277ED2" w:rsidRPr="00611019" w:rsidRDefault="00E56462">
      <w:pPr>
        <w:pStyle w:val="Prrafodelista"/>
        <w:numPr>
          <w:ilvl w:val="0"/>
          <w:numId w:val="137"/>
        </w:numPr>
        <w:spacing w:after="6pt"/>
        <w:jc w:val="both"/>
        <w:rPr>
          <w:rFonts w:ascii="Century Gothic" w:eastAsia="Times New Roman" w:hAnsi="Century Gothic" w:cs="Arial"/>
          <w:b/>
        </w:rPr>
      </w:pPr>
      <w:r>
        <w:rPr>
          <w:rFonts w:ascii="Century Gothic" w:eastAsia="Times New Roman" w:hAnsi="Century Gothic" w:cs="Arial"/>
          <w:b/>
        </w:rPr>
        <w:t>Cobros no recurrentes.</w:t>
      </w:r>
    </w:p>
    <w:tbl>
      <w:tblPr>
        <w:tblStyle w:val="Tablanormal1"/>
        <w:tblW w:w="100.0%" w:type="pct"/>
        <w:jc w:val="center"/>
        <w:tblLook w:firstRow="1" w:lastRow="0" w:firstColumn="1" w:lastColumn="0" w:noHBand="0" w:noVBand="1"/>
      </w:tblPr>
      <w:tblGrid>
        <w:gridCol w:w="5916"/>
        <w:gridCol w:w="3478"/>
      </w:tblGrid>
      <w:tr w:rsidR="0061711D" w:rsidTr="00651764">
        <w:trPr>
          <w:cnfStyle w:firstRow="1" w:lastRow="0" w:firstColumn="0" w:lastColumn="0" w:oddVBand="0" w:evenVBand="0" w:oddHBand="0"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295.80pt" w:type="dxa"/>
            <w:shd w:val="clear" w:color="auto" w:fill="009AD9"/>
          </w:tcPr>
          <w:p w:rsidR="002D00AD" w:rsidRPr="00611019" w:rsidRDefault="00E56462" w:rsidP="00035D2C">
            <w:pPr>
              <w:rPr>
                <w:rFonts w:ascii="Century Gothic" w:hAnsi="Century Gothic"/>
                <w:color w:val="FFFFFF" w:themeColor="background1"/>
                <w:sz w:val="20"/>
                <w:lang w:val="es-ES_tradnl"/>
              </w:rPr>
            </w:pPr>
            <w:r>
              <w:rPr>
                <w:rFonts w:ascii="Century Gothic" w:hAnsi="Century Gothic"/>
                <w:color w:val="FFFFFF" w:themeColor="background1"/>
                <w:sz w:val="20"/>
                <w:lang w:val="es-ES_tradnl"/>
              </w:rPr>
              <w:t>Concepto</w:t>
            </w:r>
          </w:p>
        </w:tc>
        <w:tc>
          <w:tcPr>
            <w:tcW w:w="173.90pt" w:type="dxa"/>
            <w:shd w:val="clear" w:color="auto" w:fill="009AD9"/>
          </w:tcPr>
          <w:p w:rsidR="002D00AD" w:rsidRPr="00611019" w:rsidRDefault="00E56462" w:rsidP="00035D2C">
            <w:pPr>
              <w:jc w:val="center"/>
              <w:cnfStyle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lang w:val="es-ES_tradnl"/>
              </w:rPr>
            </w:pPr>
            <w:r>
              <w:rPr>
                <w:rFonts w:ascii="Century Gothic" w:hAnsi="Century Gothic"/>
                <w:color w:val="FFFFFF" w:themeColor="background1"/>
                <w:sz w:val="20"/>
                <w:lang w:val="es-ES_tradnl"/>
              </w:rPr>
              <w:t>Contraprestación (pago único)</w:t>
            </w:r>
          </w:p>
        </w:tc>
      </w:tr>
      <w:tr w:rsidR="00651764" w:rsidTr="00651764">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295.80pt" w:type="dxa"/>
          </w:tcPr>
          <w:p w:rsidR="00651764" w:rsidRPr="00611019" w:rsidRDefault="00651764" w:rsidP="00651764">
            <w:pPr>
              <w:pStyle w:val="CondicionesFinales"/>
              <w:ind w:start="0pt" w:end="0pt"/>
              <w:rPr>
                <w:rFonts w:ascii="Century Gothic" w:hAnsi="Century Gothic"/>
                <w:b w:val="0"/>
                <w:bCs/>
                <w:sz w:val="20"/>
              </w:rPr>
            </w:pPr>
            <w:r>
              <w:rPr>
                <w:rFonts w:ascii="Century Gothic" w:hAnsi="Century Gothic"/>
                <w:sz w:val="20"/>
              </w:rPr>
              <w:t>Gastos de instalación por coubicación de Tipo 1 Interna</w:t>
            </w:r>
          </w:p>
        </w:tc>
        <w:tc>
          <w:tcPr>
            <w:tcW w:w="173.9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51764">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567430">
              <w:rPr>
                <w:rFonts w:ascii="Century Gothic" w:hAnsi="Century Gothic"/>
                <w:sz w:val="20"/>
              </w:rPr>
              <w:t>394,831.74</w:t>
            </w:r>
          </w:p>
        </w:tc>
      </w:tr>
      <w:tr w:rsidR="00651764" w:rsidTr="00651764">
        <w:trPr>
          <w:trHeight w:val="283"/>
          <w:jc w:val="center"/>
        </w:trPr>
        <w:tc>
          <w:tcPr>
            <w:cnfStyle w:firstRow="0" w:lastRow="0" w:firstColumn="1" w:lastColumn="0" w:oddVBand="0" w:evenVBand="0" w:oddHBand="0" w:evenHBand="0" w:firstRowFirstColumn="0" w:firstRowLastColumn="0" w:lastRowFirstColumn="0" w:lastRowLastColumn="0"/>
            <w:tcW w:w="295.80pt" w:type="dxa"/>
          </w:tcPr>
          <w:p w:rsidR="00651764" w:rsidRPr="00611019" w:rsidRDefault="00651764" w:rsidP="00651764">
            <w:pPr>
              <w:pStyle w:val="CondicionesFinales"/>
              <w:ind w:start="0pt" w:end="0pt"/>
              <w:rPr>
                <w:rFonts w:ascii="Century Gothic" w:hAnsi="Century Gothic"/>
                <w:b w:val="0"/>
                <w:bCs/>
                <w:sz w:val="20"/>
              </w:rPr>
            </w:pPr>
            <w:r>
              <w:rPr>
                <w:rFonts w:ascii="Century Gothic" w:hAnsi="Century Gothic"/>
                <w:sz w:val="20"/>
              </w:rPr>
              <w:t>Gastos de instalación por coubicación de Tipo 1 Externa</w:t>
            </w:r>
          </w:p>
        </w:tc>
        <w:tc>
          <w:tcPr>
            <w:tcW w:w="173.9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51764">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567430">
              <w:rPr>
                <w:rFonts w:ascii="Century Gothic" w:hAnsi="Century Gothic"/>
                <w:sz w:val="20"/>
              </w:rPr>
              <w:t>505,404.84</w:t>
            </w:r>
          </w:p>
        </w:tc>
      </w:tr>
      <w:tr w:rsidR="00651764" w:rsidTr="00651764">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295.80pt" w:type="dxa"/>
          </w:tcPr>
          <w:p w:rsidR="00651764" w:rsidRPr="00611019" w:rsidRDefault="00651764" w:rsidP="00651764">
            <w:pPr>
              <w:pStyle w:val="CondicionesFinales"/>
              <w:ind w:start="0pt" w:end="0pt"/>
              <w:rPr>
                <w:rFonts w:ascii="Century Gothic" w:hAnsi="Century Gothic"/>
                <w:b w:val="0"/>
                <w:bCs/>
                <w:sz w:val="20"/>
              </w:rPr>
            </w:pPr>
            <w:r>
              <w:rPr>
                <w:rFonts w:ascii="Century Gothic" w:hAnsi="Century Gothic"/>
                <w:sz w:val="20"/>
              </w:rPr>
              <w:t>Gastos de instalación por coubicación de Tipo 2 Interna</w:t>
            </w:r>
          </w:p>
        </w:tc>
        <w:tc>
          <w:tcPr>
            <w:tcW w:w="173.9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51764">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567430">
              <w:rPr>
                <w:rFonts w:ascii="Century Gothic" w:hAnsi="Century Gothic"/>
                <w:sz w:val="20"/>
              </w:rPr>
              <w:t>187,873.33</w:t>
            </w:r>
          </w:p>
        </w:tc>
      </w:tr>
      <w:tr w:rsidR="00651764" w:rsidTr="00651764">
        <w:trPr>
          <w:trHeight w:val="283"/>
          <w:jc w:val="center"/>
        </w:trPr>
        <w:tc>
          <w:tcPr>
            <w:cnfStyle w:firstRow="0" w:lastRow="0" w:firstColumn="1" w:lastColumn="0" w:oddVBand="0" w:evenVBand="0" w:oddHBand="0" w:evenHBand="0" w:firstRowFirstColumn="0" w:firstRowLastColumn="0" w:lastRowFirstColumn="0" w:lastRowLastColumn="0"/>
            <w:tcW w:w="295.80pt" w:type="dxa"/>
          </w:tcPr>
          <w:p w:rsidR="00651764" w:rsidRPr="00611019" w:rsidRDefault="00651764" w:rsidP="00651764">
            <w:pPr>
              <w:pStyle w:val="CondicionesFinales"/>
              <w:ind w:start="0pt" w:end="0pt"/>
              <w:rPr>
                <w:rFonts w:ascii="Century Gothic" w:hAnsi="Century Gothic"/>
                <w:b w:val="0"/>
                <w:bCs/>
                <w:sz w:val="20"/>
              </w:rPr>
            </w:pPr>
            <w:r>
              <w:rPr>
                <w:rFonts w:ascii="Century Gothic" w:hAnsi="Century Gothic"/>
                <w:sz w:val="20"/>
              </w:rPr>
              <w:t>Gastos de instalación por coubicación de Tipo 2 Externa</w:t>
            </w:r>
          </w:p>
        </w:tc>
        <w:tc>
          <w:tcPr>
            <w:tcW w:w="173.9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51764">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567430">
              <w:rPr>
                <w:rFonts w:ascii="Century Gothic" w:hAnsi="Century Gothic"/>
                <w:sz w:val="20"/>
              </w:rPr>
              <w:t>237,016.93</w:t>
            </w:r>
          </w:p>
        </w:tc>
      </w:tr>
      <w:tr w:rsidR="00651764" w:rsidTr="00651764">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295.80pt" w:type="dxa"/>
          </w:tcPr>
          <w:p w:rsidR="00651764" w:rsidRPr="00611019" w:rsidRDefault="00651764" w:rsidP="00651764">
            <w:pPr>
              <w:pStyle w:val="CondicionesFinales"/>
              <w:ind w:start="0pt" w:end="0pt"/>
              <w:rPr>
                <w:rFonts w:ascii="Century Gothic" w:hAnsi="Century Gothic"/>
                <w:b w:val="0"/>
                <w:bCs/>
                <w:sz w:val="20"/>
              </w:rPr>
            </w:pPr>
            <w:r>
              <w:rPr>
                <w:rFonts w:ascii="Century Gothic" w:hAnsi="Century Gothic"/>
                <w:sz w:val="20"/>
              </w:rPr>
              <w:lastRenderedPageBreak/>
              <w:t>Gastos de instalación por coubicación de Tipo 3 Interna</w:t>
            </w:r>
          </w:p>
        </w:tc>
        <w:tc>
          <w:tcPr>
            <w:tcW w:w="173.9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51764">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567430">
              <w:rPr>
                <w:rFonts w:ascii="Century Gothic" w:hAnsi="Century Gothic"/>
                <w:sz w:val="20"/>
              </w:rPr>
              <w:t>462,861.28</w:t>
            </w:r>
          </w:p>
        </w:tc>
      </w:tr>
      <w:tr w:rsidR="00651764" w:rsidTr="00651764">
        <w:trPr>
          <w:trHeight w:val="283"/>
          <w:jc w:val="center"/>
        </w:trPr>
        <w:tc>
          <w:tcPr>
            <w:cnfStyle w:firstRow="0" w:lastRow="0" w:firstColumn="1" w:lastColumn="0" w:oddVBand="0" w:evenVBand="0" w:oddHBand="0" w:evenHBand="0" w:firstRowFirstColumn="0" w:firstRowLastColumn="0" w:lastRowFirstColumn="0" w:lastRowLastColumn="0"/>
            <w:tcW w:w="295.80pt" w:type="dxa"/>
          </w:tcPr>
          <w:p w:rsidR="00651764" w:rsidRPr="00801C4E" w:rsidRDefault="00651764" w:rsidP="00651764">
            <w:pPr>
              <w:pStyle w:val="CondicionesFinales"/>
              <w:ind w:start="0pt" w:end="0pt"/>
              <w:rPr>
                <w:rFonts w:ascii="Century Gothic" w:hAnsi="Century Gothic"/>
                <w:b w:val="0"/>
                <w:bCs/>
                <w:sz w:val="20"/>
              </w:rPr>
            </w:pPr>
            <w:r w:rsidRPr="00801C4E">
              <w:rPr>
                <w:rFonts w:ascii="Century Gothic" w:hAnsi="Century Gothic"/>
                <w:sz w:val="20"/>
              </w:rPr>
              <w:t>Gastos de instalación por coubicación de Tipo 3 Externa</w:t>
            </w:r>
          </w:p>
        </w:tc>
        <w:tc>
          <w:tcPr>
            <w:tcW w:w="173.9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801C4E" w:rsidRDefault="00651764" w:rsidP="00801C4E">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r w:rsidRPr="00801C4E">
              <w:rPr>
                <w:rFonts w:ascii="Century Gothic" w:hAnsi="Century Gothic"/>
                <w:sz w:val="20"/>
              </w:rPr>
              <w:t>$</w:t>
            </w:r>
            <w:r w:rsidR="00801C4E" w:rsidRPr="00801C4E">
              <w:rPr>
                <w:rFonts w:ascii="Century Gothic" w:hAnsi="Century Gothic" w:cs="Calibri"/>
                <w:bCs w:val="0"/>
                <w:color w:val="5B9BD5"/>
                <w:sz w:val="20"/>
                <w:szCs w:val="20"/>
              </w:rPr>
              <w:t>583,935.78</w:t>
            </w:r>
          </w:p>
        </w:tc>
      </w:tr>
      <w:tr w:rsidR="00651764" w:rsidTr="00651764">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295.80pt" w:type="dxa"/>
          </w:tcPr>
          <w:p w:rsidR="00651764" w:rsidRPr="00611019" w:rsidRDefault="00651764" w:rsidP="00651764">
            <w:pPr>
              <w:pStyle w:val="CondicionesFinales"/>
              <w:ind w:start="0pt" w:end="0pt"/>
              <w:rPr>
                <w:rFonts w:ascii="Century Gothic" w:hAnsi="Century Gothic"/>
                <w:b w:val="0"/>
                <w:bCs/>
                <w:sz w:val="20"/>
              </w:rPr>
            </w:pPr>
            <w:r w:rsidRPr="00247F4A">
              <w:rPr>
                <w:rFonts w:ascii="Century Gothic" w:hAnsi="Century Gothic"/>
                <w:sz w:val="20"/>
                <w:lang w:val="es-MX"/>
              </w:rPr>
              <w:t>Gastos de instalación de metro Lineal de ductería para coubicación Externa</w:t>
            </w:r>
            <w:r>
              <w:rPr>
                <w:rFonts w:ascii="Century Gothic" w:hAnsi="Century Gothic"/>
                <w:sz w:val="20"/>
                <w:lang w:val="es-MX"/>
              </w:rPr>
              <w:t>.</w:t>
            </w:r>
          </w:p>
        </w:tc>
        <w:tc>
          <w:tcPr>
            <w:tcW w:w="173.9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51764">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567430">
              <w:rPr>
                <w:rFonts w:ascii="Century Gothic" w:hAnsi="Century Gothic"/>
                <w:sz w:val="20"/>
              </w:rPr>
              <w:t>3,968.63</w:t>
            </w:r>
          </w:p>
        </w:tc>
      </w:tr>
      <w:tr w:rsidR="00B505F1" w:rsidTr="00651764">
        <w:trPr>
          <w:trHeight w:val="283"/>
          <w:jc w:val="center"/>
        </w:trPr>
        <w:tc>
          <w:tcPr>
            <w:cnfStyle w:firstRow="0" w:lastRow="0" w:firstColumn="1" w:lastColumn="0" w:oddVBand="0" w:evenVBand="0" w:oddHBand="0" w:evenHBand="0" w:firstRowFirstColumn="0" w:firstRowLastColumn="0" w:lastRowFirstColumn="0" w:lastRowLastColumn="0"/>
            <w:tcW w:w="295.80pt" w:type="dxa"/>
          </w:tcPr>
          <w:p w:rsidR="00B505F1" w:rsidRPr="00247F4A" w:rsidRDefault="00B505F1" w:rsidP="00651764">
            <w:pPr>
              <w:pStyle w:val="CondicionesFinales"/>
              <w:ind w:start="0pt" w:end="0pt"/>
              <w:rPr>
                <w:rFonts w:ascii="Century Gothic" w:hAnsi="Century Gothic"/>
                <w:sz w:val="20"/>
                <w:lang w:val="es-MX"/>
              </w:rPr>
            </w:pPr>
            <w:r>
              <w:rPr>
                <w:rFonts w:ascii="Century Gothic" w:hAnsi="Century Gothic"/>
                <w:sz w:val="20"/>
                <w:lang w:val="es-MX"/>
              </w:rPr>
              <w:t>Habilitación de Coubicación de Interconexión para su utilización para Servicios de Desagregación.</w:t>
            </w:r>
          </w:p>
        </w:tc>
        <w:tc>
          <w:tcPr>
            <w:tcW w:w="173.90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B505F1" w:rsidRPr="00651764" w:rsidRDefault="00567430" w:rsidP="00651764">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r>
              <w:rPr>
                <w:rFonts w:ascii="Century Gothic" w:hAnsi="Century Gothic"/>
                <w:sz w:val="20"/>
              </w:rPr>
              <w:t>$715.64</w:t>
            </w:r>
          </w:p>
        </w:tc>
      </w:tr>
    </w:tbl>
    <w:p w:rsidR="00277ED2" w:rsidRPr="00611019" w:rsidRDefault="00277ED2" w:rsidP="00035D2C">
      <w:pPr>
        <w:rPr>
          <w:rFonts w:ascii="Century Gothic" w:hAnsi="Century Gothic" w:cs="Arial"/>
          <w:b/>
        </w:rPr>
      </w:pPr>
    </w:p>
    <w:p w:rsidR="00277ED2" w:rsidRPr="00611019" w:rsidRDefault="00E56462">
      <w:pPr>
        <w:pStyle w:val="Prrafodelista"/>
        <w:numPr>
          <w:ilvl w:val="0"/>
          <w:numId w:val="138"/>
        </w:numPr>
        <w:spacing w:after="6pt"/>
        <w:jc w:val="both"/>
        <w:rPr>
          <w:rFonts w:ascii="Century Gothic" w:eastAsia="Times New Roman" w:hAnsi="Century Gothic" w:cs="Arial"/>
          <w:b/>
        </w:rPr>
      </w:pPr>
      <w:r>
        <w:rPr>
          <w:rFonts w:ascii="Century Gothic" w:eastAsia="Times New Roman" w:hAnsi="Century Gothic" w:cs="Arial"/>
          <w:b/>
        </w:rPr>
        <w:t xml:space="preserve">Cobros recurrentes. </w:t>
      </w:r>
    </w:p>
    <w:tbl>
      <w:tblPr>
        <w:tblStyle w:val="Tablanormal1"/>
        <w:tblW w:w="100.0%" w:type="pct"/>
        <w:jc w:val="center"/>
        <w:tblLook w:firstRow="1" w:lastRow="0" w:firstColumn="1" w:lastColumn="0" w:noHBand="0" w:noVBand="1"/>
      </w:tblPr>
      <w:tblGrid>
        <w:gridCol w:w="4080"/>
        <w:gridCol w:w="1708"/>
        <w:gridCol w:w="1708"/>
        <w:gridCol w:w="1898"/>
      </w:tblGrid>
      <w:tr w:rsidR="0061711D" w:rsidTr="00651764">
        <w:trPr>
          <w:cnfStyle w:firstRow="1" w:lastRow="0" w:firstColumn="0" w:lastColumn="0" w:oddVBand="0" w:evenVBand="0" w:oddHBand="0"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43.0%" w:type="pct"/>
            <w:shd w:val="clear" w:color="auto" w:fill="009AD9"/>
          </w:tcPr>
          <w:p w:rsidR="002D00AD" w:rsidRPr="00611019" w:rsidRDefault="002D00AD" w:rsidP="00035D2C">
            <w:pPr>
              <w:jc w:val="center"/>
              <w:rPr>
                <w:rFonts w:ascii="Century Gothic" w:hAnsi="Century Gothic"/>
                <w:color w:val="FFFFFF" w:themeColor="background1"/>
                <w:sz w:val="20"/>
                <w:lang w:val="es-ES_tradnl"/>
              </w:rPr>
            </w:pPr>
          </w:p>
        </w:tc>
        <w:tc>
          <w:tcPr>
            <w:tcW w:w="56.0%" w:type="pct"/>
            <w:gridSpan w:val="3"/>
            <w:shd w:val="clear" w:color="auto" w:fill="009AD9"/>
          </w:tcPr>
          <w:p w:rsidR="002D00AD" w:rsidRPr="00611019" w:rsidRDefault="00E56462" w:rsidP="00035D2C">
            <w:pPr>
              <w:jc w:val="center"/>
              <w:cnfStyle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lang w:val="es-ES_tradnl"/>
              </w:rPr>
            </w:pPr>
            <w:r>
              <w:rPr>
                <w:rFonts w:ascii="Century Gothic" w:hAnsi="Century Gothic"/>
                <w:color w:val="FFFFFF" w:themeColor="background1"/>
                <w:sz w:val="20"/>
                <w:lang w:val="es-ES_tradnl"/>
              </w:rPr>
              <w:t xml:space="preserve">Contraprestación mensual </w:t>
            </w:r>
          </w:p>
          <w:p w:rsidR="002D00AD" w:rsidRPr="00611019" w:rsidRDefault="00E56462" w:rsidP="00035D2C">
            <w:pPr>
              <w:jc w:val="center"/>
              <w:cnfStyle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lang w:val="es-ES_tradnl"/>
              </w:rPr>
            </w:pPr>
            <w:r>
              <w:rPr>
                <w:rFonts w:ascii="Century Gothic" w:hAnsi="Century Gothic"/>
                <w:color w:val="FFFFFF" w:themeColor="background1"/>
                <w:sz w:val="20"/>
                <w:lang w:val="es-ES_tradnl"/>
              </w:rPr>
              <w:t>(según tipo de zona)</w:t>
            </w:r>
          </w:p>
        </w:tc>
      </w:tr>
      <w:tr w:rsidR="0061711D" w:rsidTr="00651764">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43.0%" w:type="pct"/>
          </w:tcPr>
          <w:p w:rsidR="002D00AD" w:rsidRPr="00611019" w:rsidRDefault="00E56462" w:rsidP="00035D2C">
            <w:pPr>
              <w:jc w:val="center"/>
              <w:rPr>
                <w:rFonts w:ascii="Century Gothic" w:hAnsi="Century Gothic"/>
                <w:color w:val="000000"/>
                <w:sz w:val="20"/>
                <w:lang w:val="es-ES_tradnl"/>
              </w:rPr>
            </w:pPr>
            <w:r>
              <w:rPr>
                <w:rFonts w:ascii="Century Gothic" w:hAnsi="Century Gothic"/>
                <w:color w:val="000000"/>
                <w:sz w:val="20"/>
                <w:lang w:val="es-ES_tradnl"/>
              </w:rPr>
              <w:t>Concepto</w:t>
            </w:r>
          </w:p>
        </w:tc>
        <w:tc>
          <w:tcPr>
            <w:tcW w:w="18.0%" w:type="pct"/>
          </w:tcPr>
          <w:p w:rsidR="002D00AD" w:rsidRPr="00611019"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lang w:val="es-ES_tradnl"/>
              </w:rPr>
            </w:pPr>
            <w:r>
              <w:rPr>
                <w:rFonts w:ascii="Century Gothic" w:hAnsi="Century Gothic"/>
                <w:b/>
                <w:color w:val="000000"/>
                <w:sz w:val="20"/>
                <w:lang w:val="es-ES_tradnl"/>
              </w:rPr>
              <w:t>Alta</w:t>
            </w:r>
          </w:p>
        </w:tc>
        <w:tc>
          <w:tcPr>
            <w:tcW w:w="18.0%" w:type="pct"/>
          </w:tcPr>
          <w:p w:rsidR="002D00AD" w:rsidRPr="00611019"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lang w:val="es-ES_tradnl"/>
              </w:rPr>
            </w:pPr>
            <w:r>
              <w:rPr>
                <w:rFonts w:ascii="Century Gothic" w:hAnsi="Century Gothic"/>
                <w:b/>
                <w:color w:val="000000"/>
                <w:sz w:val="20"/>
                <w:lang w:val="es-ES_tradnl"/>
              </w:rPr>
              <w:t>Media</w:t>
            </w:r>
          </w:p>
        </w:tc>
        <w:tc>
          <w:tcPr>
            <w:tcW w:w="20.0%" w:type="pct"/>
          </w:tcPr>
          <w:p w:rsidR="002D00AD" w:rsidRPr="00611019"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lang w:val="es-ES_tradnl"/>
              </w:rPr>
            </w:pPr>
            <w:r>
              <w:rPr>
                <w:rFonts w:ascii="Century Gothic" w:hAnsi="Century Gothic"/>
                <w:b/>
                <w:color w:val="000000"/>
                <w:sz w:val="20"/>
                <w:lang w:val="es-ES_tradnl"/>
              </w:rPr>
              <w:t>Baja</w:t>
            </w:r>
          </w:p>
        </w:tc>
      </w:tr>
      <w:tr w:rsidR="00651764" w:rsidRPr="00651764" w:rsidTr="00651764">
        <w:trPr>
          <w:trHeight w:val="283"/>
          <w:jc w:val="center"/>
        </w:trPr>
        <w:tc>
          <w:tcPr>
            <w:cnfStyle w:firstRow="0" w:lastRow="0" w:firstColumn="1" w:lastColumn="0" w:oddVBand="0" w:evenVBand="0" w:oddHBand="0" w:evenHBand="0" w:firstRowFirstColumn="0" w:firstRowLastColumn="0" w:lastRowFirstColumn="0" w:lastRowLastColumn="0"/>
            <w:tcW w:w="43.0%" w:type="pct"/>
          </w:tcPr>
          <w:p w:rsidR="00651764" w:rsidRPr="00651764" w:rsidRDefault="00651764" w:rsidP="00651764">
            <w:pPr>
              <w:pStyle w:val="CondicionesFinales"/>
              <w:ind w:start="0pt" w:end="0pt"/>
              <w:rPr>
                <w:rFonts w:ascii="Century Gothic" w:hAnsi="Century Gothic"/>
                <w:b w:val="0"/>
                <w:bCs/>
                <w:sz w:val="20"/>
              </w:rPr>
            </w:pPr>
            <w:r w:rsidRPr="00651764">
              <w:rPr>
                <w:rFonts w:ascii="Century Gothic" w:hAnsi="Century Gothic"/>
                <w:sz w:val="20"/>
              </w:rPr>
              <w:t xml:space="preserve">Renta mensual por metro cuadrado por coubicación de Tipo 1 </w:t>
            </w:r>
          </w:p>
        </w:tc>
        <w:tc>
          <w:tcPr>
            <w:tcW w:w="18.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51764">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bookmarkStart w:id="2294" w:name="RANGE!C19"/>
            <w:r w:rsidRPr="00651764">
              <w:rPr>
                <w:rFonts w:ascii="Century Gothic" w:hAnsi="Century Gothic"/>
                <w:sz w:val="20"/>
              </w:rPr>
              <w:t>$</w:t>
            </w:r>
            <w:bookmarkEnd w:id="2294"/>
            <w:r w:rsidR="006B592C">
              <w:rPr>
                <w:rFonts w:ascii="Century Gothic" w:hAnsi="Century Gothic"/>
                <w:sz w:val="20"/>
              </w:rPr>
              <w:t>5,302.00</w:t>
            </w:r>
          </w:p>
        </w:tc>
        <w:tc>
          <w:tcPr>
            <w:tcW w:w="18.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51764">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bookmarkStart w:id="2295" w:name="RANGE!D19"/>
            <w:r w:rsidRPr="00651764">
              <w:rPr>
                <w:rFonts w:ascii="Century Gothic" w:hAnsi="Century Gothic"/>
                <w:sz w:val="20"/>
              </w:rPr>
              <w:t>$</w:t>
            </w:r>
            <w:bookmarkEnd w:id="2295"/>
            <w:r w:rsidR="006B592C">
              <w:rPr>
                <w:rFonts w:ascii="Century Gothic" w:hAnsi="Century Gothic"/>
                <w:sz w:val="20"/>
              </w:rPr>
              <w:t>5,136.39</w:t>
            </w:r>
          </w:p>
        </w:tc>
        <w:tc>
          <w:tcPr>
            <w:tcW w:w="20.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B59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bookmarkStart w:id="2296" w:name="RANGE!E19"/>
            <w:r w:rsidRPr="00651764">
              <w:rPr>
                <w:rFonts w:ascii="Century Gothic" w:hAnsi="Century Gothic"/>
                <w:sz w:val="20"/>
              </w:rPr>
              <w:t>$</w:t>
            </w:r>
            <w:bookmarkEnd w:id="2296"/>
            <w:r w:rsidR="006B592C">
              <w:rPr>
                <w:rFonts w:ascii="Century Gothic" w:hAnsi="Century Gothic"/>
                <w:sz w:val="20"/>
              </w:rPr>
              <w:t>5,045.20</w:t>
            </w:r>
          </w:p>
        </w:tc>
      </w:tr>
      <w:tr w:rsidR="00651764" w:rsidRPr="00651764" w:rsidTr="00651764">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43.0%" w:type="pct"/>
          </w:tcPr>
          <w:p w:rsidR="00651764" w:rsidRPr="00651764" w:rsidRDefault="00651764" w:rsidP="00651764">
            <w:pPr>
              <w:pStyle w:val="CondicionesFinales"/>
              <w:ind w:start="0pt" w:end="0pt"/>
              <w:rPr>
                <w:rFonts w:ascii="Century Gothic" w:hAnsi="Century Gothic"/>
                <w:b w:val="0"/>
                <w:bCs/>
                <w:sz w:val="20"/>
              </w:rPr>
            </w:pPr>
            <w:r w:rsidRPr="00651764">
              <w:rPr>
                <w:rFonts w:ascii="Century Gothic" w:hAnsi="Century Gothic"/>
                <w:sz w:val="20"/>
              </w:rPr>
              <w:t>Renta mensual por metro cuadrado por coubicación de Tipo 2</w:t>
            </w:r>
          </w:p>
        </w:tc>
        <w:tc>
          <w:tcPr>
            <w:tcW w:w="18.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B59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6B592C">
              <w:rPr>
                <w:rFonts w:ascii="Century Gothic" w:hAnsi="Century Gothic"/>
                <w:sz w:val="20"/>
              </w:rPr>
              <w:t>7,440.92</w:t>
            </w:r>
          </w:p>
        </w:tc>
        <w:tc>
          <w:tcPr>
            <w:tcW w:w="18.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B59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6B592C">
              <w:rPr>
                <w:rFonts w:ascii="Century Gothic" w:hAnsi="Century Gothic"/>
                <w:sz w:val="20"/>
              </w:rPr>
              <w:t>7,275.30</w:t>
            </w:r>
          </w:p>
        </w:tc>
        <w:tc>
          <w:tcPr>
            <w:tcW w:w="20.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B59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6B592C">
              <w:rPr>
                <w:rFonts w:ascii="Century Gothic" w:hAnsi="Century Gothic"/>
                <w:sz w:val="20"/>
              </w:rPr>
              <w:t>7,184.12</w:t>
            </w:r>
          </w:p>
        </w:tc>
      </w:tr>
      <w:tr w:rsidR="00651764" w:rsidRPr="00651764" w:rsidTr="00651764">
        <w:trPr>
          <w:trHeight w:val="283"/>
          <w:jc w:val="center"/>
        </w:trPr>
        <w:tc>
          <w:tcPr>
            <w:cnfStyle w:firstRow="0" w:lastRow="0" w:firstColumn="1" w:lastColumn="0" w:oddVBand="0" w:evenVBand="0" w:oddHBand="0" w:evenHBand="0" w:firstRowFirstColumn="0" w:firstRowLastColumn="0" w:lastRowFirstColumn="0" w:lastRowLastColumn="0"/>
            <w:tcW w:w="43.0%" w:type="pct"/>
          </w:tcPr>
          <w:p w:rsidR="00651764" w:rsidRPr="00651764" w:rsidRDefault="00651764" w:rsidP="00651764">
            <w:pPr>
              <w:pStyle w:val="CondicionesFinales"/>
              <w:ind w:start="0pt" w:end="0pt"/>
              <w:rPr>
                <w:rFonts w:ascii="Century Gothic" w:hAnsi="Century Gothic"/>
                <w:b w:val="0"/>
                <w:bCs/>
                <w:sz w:val="20"/>
              </w:rPr>
            </w:pPr>
            <w:r w:rsidRPr="00651764">
              <w:rPr>
                <w:rFonts w:ascii="Century Gothic" w:hAnsi="Century Gothic"/>
                <w:sz w:val="20"/>
              </w:rPr>
              <w:t>Renta mensual por coubicación de Tipo 3</w:t>
            </w:r>
          </w:p>
        </w:tc>
        <w:tc>
          <w:tcPr>
            <w:tcW w:w="18.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B59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bookmarkStart w:id="2297" w:name="RANGE!C21"/>
            <w:r w:rsidRPr="00651764">
              <w:rPr>
                <w:rFonts w:ascii="Century Gothic" w:hAnsi="Century Gothic"/>
                <w:sz w:val="20"/>
              </w:rPr>
              <w:t>$</w:t>
            </w:r>
            <w:bookmarkEnd w:id="2297"/>
            <w:r w:rsidR="006B592C">
              <w:rPr>
                <w:rFonts w:ascii="Century Gothic" w:hAnsi="Century Gothic"/>
                <w:sz w:val="20"/>
              </w:rPr>
              <w:t>24,367.21</w:t>
            </w:r>
          </w:p>
        </w:tc>
        <w:tc>
          <w:tcPr>
            <w:tcW w:w="18.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B59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bookmarkStart w:id="2298" w:name="RANGE!D21"/>
            <w:r w:rsidRPr="00651764">
              <w:rPr>
                <w:rFonts w:ascii="Century Gothic" w:hAnsi="Century Gothic"/>
                <w:sz w:val="20"/>
              </w:rPr>
              <w:t>$</w:t>
            </w:r>
            <w:bookmarkEnd w:id="2298"/>
            <w:r w:rsidRPr="00651764">
              <w:rPr>
                <w:rFonts w:ascii="Century Gothic" w:hAnsi="Century Gothic"/>
                <w:sz w:val="20"/>
              </w:rPr>
              <w:t>2</w:t>
            </w:r>
            <w:r w:rsidR="006B592C">
              <w:rPr>
                <w:rFonts w:ascii="Century Gothic" w:hAnsi="Century Gothic"/>
                <w:sz w:val="20"/>
              </w:rPr>
              <w:t>4,091.19</w:t>
            </w:r>
          </w:p>
        </w:tc>
        <w:tc>
          <w:tcPr>
            <w:tcW w:w="20.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B59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bookmarkStart w:id="2299" w:name="RANGE!E21"/>
            <w:r w:rsidRPr="00651764">
              <w:rPr>
                <w:rFonts w:ascii="Century Gothic" w:hAnsi="Century Gothic"/>
                <w:sz w:val="20"/>
              </w:rPr>
              <w:t>$</w:t>
            </w:r>
            <w:bookmarkEnd w:id="2299"/>
            <w:r w:rsidRPr="00651764">
              <w:rPr>
                <w:rFonts w:ascii="Century Gothic" w:hAnsi="Century Gothic"/>
                <w:sz w:val="20"/>
              </w:rPr>
              <w:t>2</w:t>
            </w:r>
            <w:r w:rsidR="006B592C">
              <w:rPr>
                <w:rFonts w:ascii="Century Gothic" w:hAnsi="Century Gothic"/>
                <w:sz w:val="20"/>
              </w:rPr>
              <w:t>3,939.22</w:t>
            </w:r>
          </w:p>
        </w:tc>
      </w:tr>
      <w:tr w:rsidR="00651764" w:rsidRPr="00651764" w:rsidTr="00651764">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43.0%" w:type="pct"/>
          </w:tcPr>
          <w:p w:rsidR="00651764" w:rsidRPr="00651764" w:rsidRDefault="00651764" w:rsidP="00651764">
            <w:pPr>
              <w:pStyle w:val="CondicionesFinales"/>
              <w:ind w:start="0pt" w:end="0pt"/>
              <w:rPr>
                <w:rFonts w:ascii="Century Gothic" w:hAnsi="Century Gothic"/>
                <w:b w:val="0"/>
                <w:bCs/>
                <w:sz w:val="20"/>
              </w:rPr>
            </w:pPr>
            <w:r w:rsidRPr="00651764">
              <w:rPr>
                <w:rFonts w:ascii="Century Gothic" w:hAnsi="Century Gothic"/>
                <w:sz w:val="20"/>
              </w:rPr>
              <w:t>Metro Lineal de Ductería para coubicación Externa</w:t>
            </w:r>
          </w:p>
        </w:tc>
        <w:tc>
          <w:tcPr>
            <w:tcW w:w="56.0%" w:type="pct"/>
            <w:gridSpan w:val="3"/>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B59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651764">
              <w:rPr>
                <w:rFonts w:ascii="Century Gothic" w:hAnsi="Century Gothic"/>
                <w:sz w:val="20"/>
              </w:rPr>
              <w:t>$1</w:t>
            </w:r>
            <w:r w:rsidR="006B592C">
              <w:rPr>
                <w:rFonts w:ascii="Century Gothic" w:hAnsi="Century Gothic"/>
                <w:sz w:val="20"/>
              </w:rPr>
              <w:t>01.625</w:t>
            </w:r>
          </w:p>
        </w:tc>
      </w:tr>
    </w:tbl>
    <w:p w:rsidR="00277ED2" w:rsidRPr="00611019" w:rsidRDefault="00E56462" w:rsidP="00035D2C">
      <w:pPr>
        <w:spacing w:before="3pt" w:after="1pt"/>
        <w:jc w:val="both"/>
        <w:rPr>
          <w:rFonts w:ascii="Century Gothic" w:eastAsia="Times New Roman" w:hAnsi="Century Gothic" w:cs="Arial"/>
        </w:rPr>
      </w:pPr>
      <w:r>
        <w:rPr>
          <w:rFonts w:ascii="Century Gothic" w:eastAsia="Times New Roman" w:hAnsi="Century Gothic" w:cs="Arial"/>
        </w:rPr>
        <w:t>Las tarifas anteriores no incluyen el consumo de energía eléctrica correspondiente a los equipos del Concesionario (o Autorizado) Solicitante.</w:t>
      </w:r>
    </w:p>
    <w:p w:rsidR="00CC498B" w:rsidRPr="00611019" w:rsidRDefault="00CC498B" w:rsidP="00035D2C">
      <w:pPr>
        <w:spacing w:before="3pt" w:after="1pt"/>
        <w:jc w:val="both"/>
        <w:rPr>
          <w:rFonts w:ascii="Century Gothic" w:eastAsia="Times New Roman" w:hAnsi="Century Gothic"/>
        </w:rPr>
      </w:pPr>
    </w:p>
    <w:p w:rsidR="00277ED2" w:rsidRPr="00611019" w:rsidRDefault="00E56462" w:rsidP="00035D2C">
      <w:pPr>
        <w:spacing w:after="6pt"/>
        <w:jc w:val="both"/>
        <w:rPr>
          <w:rFonts w:ascii="Century Gothic" w:eastAsia="Times New Roman" w:hAnsi="Century Gothic" w:cs="Arial"/>
          <w:b/>
        </w:rPr>
      </w:pPr>
      <w:r>
        <w:rPr>
          <w:rFonts w:ascii="Century Gothic" w:eastAsia="Times New Roman" w:hAnsi="Century Gothic" w:cs="Arial"/>
          <w:b/>
        </w:rPr>
        <w:t>- Adecuaciones en la coubicación.</w:t>
      </w:r>
    </w:p>
    <w:p w:rsidR="00277ED2" w:rsidRDefault="00E56462">
      <w:pPr>
        <w:pStyle w:val="Prrafodelista"/>
        <w:numPr>
          <w:ilvl w:val="0"/>
          <w:numId w:val="139"/>
        </w:numPr>
        <w:spacing w:after="6pt"/>
        <w:jc w:val="both"/>
        <w:rPr>
          <w:rFonts w:ascii="Century Gothic" w:eastAsia="Times New Roman" w:hAnsi="Century Gothic" w:cs="Arial"/>
          <w:b/>
        </w:rPr>
      </w:pPr>
      <w:r>
        <w:rPr>
          <w:rFonts w:ascii="Century Gothic" w:eastAsia="Times New Roman" w:hAnsi="Century Gothic" w:cs="Arial"/>
          <w:b/>
        </w:rPr>
        <w:t>Cobros no recurrentes.</w:t>
      </w:r>
    </w:p>
    <w:p w:rsidR="008B798A" w:rsidRPr="00611019" w:rsidRDefault="008B798A" w:rsidP="008B798A">
      <w:pPr>
        <w:pStyle w:val="Prrafodelista"/>
        <w:spacing w:after="6pt"/>
        <w:ind w:start="54pt"/>
        <w:jc w:val="both"/>
        <w:rPr>
          <w:rFonts w:ascii="Century Gothic" w:eastAsia="Times New Roman" w:hAnsi="Century Gothic" w:cs="Arial"/>
          <w:b/>
        </w:rPr>
      </w:pPr>
    </w:p>
    <w:tbl>
      <w:tblPr>
        <w:tblStyle w:val="Cuadrculadetablaclara"/>
        <w:tblW w:w="100.0%" w:type="pct"/>
        <w:jc w:val="center"/>
        <w:tblLook w:firstRow="1" w:lastRow="0" w:firstColumn="1" w:lastColumn="0" w:noHBand="0" w:noVBand="1"/>
      </w:tblPr>
      <w:tblGrid>
        <w:gridCol w:w="5978"/>
        <w:gridCol w:w="3416"/>
      </w:tblGrid>
      <w:tr w:rsidR="0061711D" w:rsidTr="002E0A92">
        <w:trPr>
          <w:trHeight w:val="283"/>
          <w:jc w:val="center"/>
        </w:trPr>
        <w:tc>
          <w:tcPr>
            <w:tcW w:w="63.0%" w:type="pct"/>
            <w:shd w:val="clear" w:color="auto" w:fill="009AD9"/>
            <w:vAlign w:val="center"/>
          </w:tcPr>
          <w:p w:rsidR="00277ED2" w:rsidRPr="00611019" w:rsidRDefault="00E56462" w:rsidP="00035D2C">
            <w:pPr>
              <w:spacing w:before="1pt" w:after="1pt"/>
              <w:rPr>
                <w:rFonts w:ascii="Century Gothic" w:eastAsia="Times New Roman" w:hAnsi="Century Gothic" w:cs="Arial"/>
                <w:b/>
                <w:bCs/>
                <w:color w:val="FFFFFF" w:themeColor="background1"/>
                <w:sz w:val="20"/>
                <w:szCs w:val="20"/>
                <w:lang w:val="es-ES_tradnl" w:eastAsia="es-ES"/>
              </w:rPr>
            </w:pPr>
            <w:r>
              <w:rPr>
                <w:rFonts w:ascii="Century Gothic" w:eastAsia="Times New Roman" w:hAnsi="Century Gothic" w:cs="Arial"/>
                <w:b/>
                <w:bCs/>
                <w:color w:val="FFFFFF" w:themeColor="background1"/>
                <w:sz w:val="20"/>
                <w:szCs w:val="20"/>
                <w:lang w:val="es-ES_tradnl" w:eastAsia="es-ES"/>
              </w:rPr>
              <w:t>Concepto</w:t>
            </w:r>
          </w:p>
        </w:tc>
        <w:tc>
          <w:tcPr>
            <w:tcW w:w="36.0%" w:type="pct"/>
            <w:shd w:val="clear" w:color="auto" w:fill="009AD9"/>
            <w:vAlign w:val="center"/>
          </w:tcPr>
          <w:p w:rsidR="00277ED2" w:rsidRPr="00611019" w:rsidRDefault="00E56462" w:rsidP="00035D2C">
            <w:pPr>
              <w:spacing w:before="1pt" w:after="1pt"/>
              <w:rPr>
                <w:rFonts w:ascii="Century Gothic" w:eastAsia="Times New Roman" w:hAnsi="Century Gothic" w:cs="Arial"/>
                <w:b/>
                <w:bCs/>
                <w:color w:val="FFFFFF" w:themeColor="background1"/>
                <w:sz w:val="20"/>
                <w:szCs w:val="20"/>
                <w:lang w:val="es-ES_tradnl" w:eastAsia="es-ES"/>
              </w:rPr>
            </w:pPr>
            <w:r>
              <w:rPr>
                <w:rFonts w:ascii="Century Gothic" w:eastAsia="Times New Roman" w:hAnsi="Century Gothic" w:cs="Arial"/>
                <w:b/>
                <w:bCs/>
                <w:color w:val="FFFFFF" w:themeColor="background1"/>
                <w:sz w:val="20"/>
                <w:szCs w:val="20"/>
                <w:lang w:val="es-ES_tradnl" w:eastAsia="es-ES"/>
              </w:rPr>
              <w:t>Contraprestación (por evento)</w:t>
            </w:r>
          </w:p>
        </w:tc>
      </w:tr>
      <w:tr w:rsidR="0061711D" w:rsidTr="00277ED2">
        <w:trPr>
          <w:trHeight w:val="283"/>
          <w:jc w:val="center"/>
        </w:trPr>
        <w:tc>
          <w:tcPr>
            <w:tcW w:w="63.0%" w:type="pct"/>
          </w:tcPr>
          <w:p w:rsidR="00277ED2" w:rsidRPr="00611019" w:rsidRDefault="00E56462" w:rsidP="00035D2C">
            <w:pPr>
              <w:pStyle w:val="CondicionesFinales"/>
              <w:spacing w:before="1pt" w:after="1pt"/>
              <w:ind w:start="0pt" w:end="0pt"/>
              <w:jc w:val="start"/>
              <w:rPr>
                <w:rFonts w:ascii="Century Gothic" w:hAnsi="Century Gothic"/>
                <w:sz w:val="20"/>
                <w:szCs w:val="20"/>
              </w:rPr>
            </w:pPr>
            <w:r>
              <w:rPr>
                <w:rFonts w:ascii="Century Gothic" w:hAnsi="Century Gothic"/>
                <w:sz w:val="20"/>
                <w:szCs w:val="20"/>
              </w:rPr>
              <w:t>Cambio en la capacidad de interruptor termo magnético</w:t>
            </w:r>
          </w:p>
        </w:tc>
        <w:tc>
          <w:tcPr>
            <w:tcW w:w="36.0%" w:type="pct"/>
            <w:vAlign w:val="center"/>
          </w:tcPr>
          <w:p w:rsidR="00277ED2" w:rsidRPr="00611019" w:rsidRDefault="00651764" w:rsidP="00035D2C">
            <w:pPr>
              <w:pStyle w:val="CondicionesFinales"/>
              <w:spacing w:before="1pt" w:after="1pt"/>
              <w:ind w:start="0pt" w:end="0pt"/>
              <w:jc w:val="center"/>
              <w:rPr>
                <w:rFonts w:ascii="Century Gothic" w:hAnsi="Century Gothic"/>
                <w:sz w:val="20"/>
                <w:szCs w:val="20"/>
              </w:rPr>
            </w:pPr>
            <w:r>
              <w:rPr>
                <w:rFonts w:ascii="Century Gothic" w:hAnsi="Century Gothic"/>
                <w:sz w:val="20"/>
                <w:szCs w:val="20"/>
                <w:lang w:val="es-MX"/>
              </w:rPr>
              <w:t>$</w:t>
            </w:r>
            <w:r w:rsidR="006B592C">
              <w:rPr>
                <w:rFonts w:ascii="Century Gothic" w:hAnsi="Century Gothic"/>
                <w:sz w:val="20"/>
                <w:szCs w:val="20"/>
                <w:lang w:val="es-MX"/>
              </w:rPr>
              <w:t>2,411.74</w:t>
            </w:r>
          </w:p>
        </w:tc>
      </w:tr>
    </w:tbl>
    <w:p w:rsidR="00277ED2" w:rsidRDefault="00277ED2" w:rsidP="00035D2C">
      <w:pPr>
        <w:autoSpaceDE w:val="0"/>
        <w:autoSpaceDN w:val="0"/>
        <w:adjustRightInd w:val="0"/>
        <w:spacing w:before="1pt" w:after="1pt"/>
        <w:jc w:val="both"/>
        <w:rPr>
          <w:rFonts w:ascii="Century Gothic" w:hAnsi="Century Gothic" w:cs="Arial"/>
          <w:b/>
          <w:i/>
          <w:color w:val="000000"/>
        </w:rPr>
      </w:pPr>
    </w:p>
    <w:p w:rsidR="00277ED2" w:rsidRPr="00611019" w:rsidRDefault="00E56462">
      <w:pPr>
        <w:pStyle w:val="Prrafodelista"/>
        <w:numPr>
          <w:ilvl w:val="0"/>
          <w:numId w:val="140"/>
        </w:numPr>
        <w:spacing w:before="1pt" w:after="6pt"/>
        <w:jc w:val="both"/>
        <w:rPr>
          <w:rFonts w:ascii="Century Gothic" w:eastAsia="Times New Roman" w:hAnsi="Century Gothic" w:cs="Arial"/>
          <w:b/>
        </w:rPr>
      </w:pPr>
      <w:r>
        <w:rPr>
          <w:rFonts w:ascii="Century Gothic" w:eastAsia="Times New Roman" w:hAnsi="Century Gothic" w:cs="Arial"/>
          <w:b/>
        </w:rPr>
        <w:t xml:space="preserve">Cobros recurrentes. </w:t>
      </w:r>
    </w:p>
    <w:tbl>
      <w:tblPr>
        <w:tblStyle w:val="Tablanormal1"/>
        <w:tblW w:w="100.0%" w:type="pct"/>
        <w:jc w:val="center"/>
        <w:tblLook w:firstRow="1" w:lastRow="0" w:firstColumn="1" w:lastColumn="0" w:noHBand="0" w:noVBand="1"/>
      </w:tblPr>
      <w:tblGrid>
        <w:gridCol w:w="3605"/>
        <w:gridCol w:w="5789"/>
      </w:tblGrid>
      <w:tr w:rsidR="0061711D" w:rsidTr="00651764">
        <w:trPr>
          <w:cnfStyle w:firstRow="1" w:lastRow="0" w:firstColumn="0" w:lastColumn="0" w:oddVBand="0" w:evenVBand="0" w:oddHBand="0"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38.0%" w:type="pct"/>
            <w:shd w:val="clear" w:color="auto" w:fill="009AD9"/>
            <w:vAlign w:val="center"/>
          </w:tcPr>
          <w:p w:rsidR="002D00AD" w:rsidRPr="00611019" w:rsidRDefault="002D00AD" w:rsidP="00035D2C">
            <w:pPr>
              <w:spacing w:after="6pt"/>
              <w:jc w:val="center"/>
              <w:rPr>
                <w:rFonts w:ascii="Century Gothic" w:hAnsi="Century Gothic"/>
                <w:color w:val="FFFFFF" w:themeColor="background1"/>
                <w:sz w:val="20"/>
                <w:lang w:val="es-ES_tradnl"/>
              </w:rPr>
            </w:pPr>
          </w:p>
        </w:tc>
        <w:tc>
          <w:tcPr>
            <w:tcW w:w="61.0%" w:type="pct"/>
            <w:shd w:val="clear" w:color="auto" w:fill="009AD9"/>
            <w:vAlign w:val="center"/>
          </w:tcPr>
          <w:p w:rsidR="002D00AD" w:rsidRPr="00611019" w:rsidRDefault="00E56462" w:rsidP="00035D2C">
            <w:pPr>
              <w:spacing w:after="6pt"/>
              <w:jc w:val="center"/>
              <w:cnfStyle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lang w:val="es-ES_tradnl"/>
              </w:rPr>
            </w:pPr>
            <w:r>
              <w:rPr>
                <w:rFonts w:ascii="Century Gothic" w:hAnsi="Century Gothic"/>
                <w:color w:val="FFFFFF" w:themeColor="background1"/>
                <w:sz w:val="20"/>
                <w:lang w:val="es-ES_tradnl"/>
              </w:rPr>
              <w:t>Cobro adicional del interruptor termo magnético</w:t>
            </w:r>
          </w:p>
        </w:tc>
      </w:tr>
      <w:tr w:rsidR="0061711D" w:rsidTr="00651764">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38.0%" w:type="pct"/>
            <w:vAlign w:val="center"/>
          </w:tcPr>
          <w:p w:rsidR="002D00AD" w:rsidRPr="00801C4E" w:rsidRDefault="00E56462" w:rsidP="00035D2C">
            <w:pPr>
              <w:pStyle w:val="CondicionesFinales"/>
              <w:ind w:start="0pt" w:end="0pt"/>
              <w:jc w:val="center"/>
              <w:rPr>
                <w:rFonts w:ascii="Century Gothic" w:hAnsi="Century Gothic"/>
                <w:sz w:val="20"/>
              </w:rPr>
            </w:pPr>
            <w:r w:rsidRPr="00801C4E">
              <w:rPr>
                <w:rFonts w:ascii="Century Gothic" w:hAnsi="Century Gothic"/>
                <w:sz w:val="20"/>
              </w:rPr>
              <w:t>Capacidad</w:t>
            </w:r>
          </w:p>
          <w:p w:rsidR="002D00AD" w:rsidRPr="00801C4E" w:rsidRDefault="00E56462" w:rsidP="00035D2C">
            <w:pPr>
              <w:pStyle w:val="CondicionesFinales"/>
              <w:ind w:start="0pt" w:end="0pt"/>
              <w:jc w:val="center"/>
              <w:rPr>
                <w:rFonts w:ascii="Century Gothic" w:hAnsi="Century Gothic"/>
                <w:sz w:val="20"/>
              </w:rPr>
            </w:pPr>
            <w:r w:rsidRPr="00801C4E">
              <w:rPr>
                <w:rFonts w:ascii="Century Gothic" w:hAnsi="Century Gothic"/>
                <w:sz w:val="20"/>
              </w:rPr>
              <w:t>(amperes por tablilla)</w:t>
            </w:r>
          </w:p>
        </w:tc>
        <w:tc>
          <w:tcPr>
            <w:tcW w:w="61.0%" w:type="pct"/>
            <w:vAlign w:val="center"/>
          </w:tcPr>
          <w:p w:rsidR="002D00AD" w:rsidRPr="00801C4E" w:rsidRDefault="00E56462" w:rsidP="00035D2C">
            <w:pPr>
              <w:jc w:val="center"/>
              <w:cnfStyle w:firstRow="0" w:lastRow="0" w:firstColumn="0" w:lastColumn="0" w:oddVBand="0" w:evenVBand="0" w:oddHBand="1" w:evenHBand="0" w:firstRowFirstColumn="0" w:firstRowLastColumn="0" w:lastRowFirstColumn="0" w:lastRowLastColumn="0"/>
              <w:rPr>
                <w:rFonts w:ascii="Century Gothic" w:hAnsi="Century Gothic"/>
                <w:color w:val="000000"/>
                <w:sz w:val="20"/>
                <w:lang w:val="es-ES_tradnl"/>
              </w:rPr>
            </w:pPr>
            <w:r w:rsidRPr="00801C4E">
              <w:rPr>
                <w:rFonts w:ascii="Century Gothic" w:hAnsi="Century Gothic"/>
                <w:b/>
                <w:color w:val="000000"/>
                <w:sz w:val="20"/>
                <w:lang w:val="es-ES_tradnl"/>
              </w:rPr>
              <w:t>Costo por tablilla (contraprestación mensual)</w:t>
            </w:r>
          </w:p>
        </w:tc>
      </w:tr>
      <w:tr w:rsidR="00651764" w:rsidTr="00651764">
        <w:trPr>
          <w:trHeight w:val="283"/>
          <w:jc w:val="center"/>
        </w:trPr>
        <w:tc>
          <w:tcPr>
            <w:cnfStyle w:firstRow="0" w:lastRow="0" w:firstColumn="1" w:lastColumn="0" w:oddVBand="0" w:evenVBand="0" w:oddHBand="0" w:evenHBand="0" w:firstRowFirstColumn="0" w:firstRowLastColumn="0" w:lastRowFirstColumn="0" w:lastRowLastColumn="0"/>
            <w:tcW w:w="38.0%" w:type="pct"/>
          </w:tcPr>
          <w:p w:rsidR="00651764" w:rsidRPr="00611019" w:rsidRDefault="00651764" w:rsidP="00651764">
            <w:pPr>
              <w:pStyle w:val="CondicionesFinales"/>
              <w:ind w:start="0pt" w:end="0pt"/>
              <w:jc w:val="center"/>
              <w:rPr>
                <w:rFonts w:ascii="Century Gothic" w:hAnsi="Century Gothic"/>
                <w:b w:val="0"/>
                <w:bCs/>
                <w:sz w:val="20"/>
              </w:rPr>
            </w:pPr>
            <w:r>
              <w:rPr>
                <w:rFonts w:ascii="Century Gothic" w:hAnsi="Century Gothic"/>
                <w:sz w:val="20"/>
              </w:rPr>
              <w:t>10</w:t>
            </w:r>
          </w:p>
        </w:tc>
        <w:tc>
          <w:tcPr>
            <w:tcW w:w="61.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51764">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6B592C">
              <w:rPr>
                <w:rFonts w:ascii="Century Gothic" w:hAnsi="Century Gothic"/>
                <w:sz w:val="20"/>
              </w:rPr>
              <w:t>11,174.04</w:t>
            </w:r>
          </w:p>
        </w:tc>
      </w:tr>
      <w:tr w:rsidR="00651764" w:rsidTr="00651764">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38.0%" w:type="pct"/>
          </w:tcPr>
          <w:p w:rsidR="00651764" w:rsidRPr="00611019" w:rsidRDefault="00651764" w:rsidP="00651764">
            <w:pPr>
              <w:pStyle w:val="CondicionesFinales"/>
              <w:ind w:start="0pt" w:end="0pt"/>
              <w:jc w:val="center"/>
              <w:rPr>
                <w:rFonts w:ascii="Century Gothic" w:hAnsi="Century Gothic"/>
                <w:b w:val="0"/>
                <w:bCs/>
                <w:sz w:val="20"/>
              </w:rPr>
            </w:pPr>
            <w:r>
              <w:rPr>
                <w:rFonts w:ascii="Century Gothic" w:hAnsi="Century Gothic"/>
                <w:sz w:val="20"/>
              </w:rPr>
              <w:t>15</w:t>
            </w:r>
          </w:p>
        </w:tc>
        <w:tc>
          <w:tcPr>
            <w:tcW w:w="61.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51764">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6B592C">
              <w:rPr>
                <w:rFonts w:ascii="Century Gothic" w:hAnsi="Century Gothic"/>
                <w:sz w:val="20"/>
              </w:rPr>
              <w:t>16,761.06</w:t>
            </w:r>
          </w:p>
        </w:tc>
      </w:tr>
      <w:tr w:rsidR="00651764" w:rsidTr="00651764">
        <w:trPr>
          <w:trHeight w:val="283"/>
          <w:jc w:val="center"/>
        </w:trPr>
        <w:tc>
          <w:tcPr>
            <w:cnfStyle w:firstRow="0" w:lastRow="0" w:firstColumn="1" w:lastColumn="0" w:oddVBand="0" w:evenVBand="0" w:oddHBand="0" w:evenHBand="0" w:firstRowFirstColumn="0" w:firstRowLastColumn="0" w:lastRowFirstColumn="0" w:lastRowLastColumn="0"/>
            <w:tcW w:w="38.0%" w:type="pct"/>
          </w:tcPr>
          <w:p w:rsidR="00651764" w:rsidRPr="00611019" w:rsidRDefault="00651764" w:rsidP="00651764">
            <w:pPr>
              <w:pStyle w:val="CondicionesFinales"/>
              <w:ind w:start="0pt" w:end="0pt"/>
              <w:jc w:val="center"/>
              <w:rPr>
                <w:rFonts w:ascii="Century Gothic" w:hAnsi="Century Gothic"/>
                <w:b w:val="0"/>
                <w:bCs/>
                <w:sz w:val="20"/>
              </w:rPr>
            </w:pPr>
            <w:r>
              <w:rPr>
                <w:rFonts w:ascii="Century Gothic" w:hAnsi="Century Gothic"/>
                <w:sz w:val="20"/>
              </w:rPr>
              <w:t>20</w:t>
            </w:r>
          </w:p>
        </w:tc>
        <w:tc>
          <w:tcPr>
            <w:tcW w:w="61.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51764">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6B592C">
              <w:rPr>
                <w:rFonts w:ascii="Century Gothic" w:hAnsi="Century Gothic"/>
                <w:sz w:val="20"/>
              </w:rPr>
              <w:t>22,348.09</w:t>
            </w:r>
          </w:p>
        </w:tc>
      </w:tr>
      <w:tr w:rsidR="00651764" w:rsidTr="00651764">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38.0%" w:type="pct"/>
          </w:tcPr>
          <w:p w:rsidR="00651764" w:rsidRPr="00611019" w:rsidRDefault="00651764" w:rsidP="00651764">
            <w:pPr>
              <w:pStyle w:val="CondicionesFinales"/>
              <w:ind w:start="0pt" w:end="0pt"/>
              <w:jc w:val="center"/>
              <w:rPr>
                <w:rFonts w:ascii="Century Gothic" w:hAnsi="Century Gothic"/>
                <w:b w:val="0"/>
                <w:bCs/>
                <w:sz w:val="20"/>
              </w:rPr>
            </w:pPr>
            <w:r>
              <w:rPr>
                <w:rFonts w:ascii="Century Gothic" w:hAnsi="Century Gothic"/>
                <w:sz w:val="20"/>
              </w:rPr>
              <w:t>30</w:t>
            </w:r>
          </w:p>
        </w:tc>
        <w:tc>
          <w:tcPr>
            <w:tcW w:w="61.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B59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6B592C">
              <w:rPr>
                <w:rFonts w:ascii="Century Gothic" w:hAnsi="Century Gothic"/>
                <w:sz w:val="20"/>
              </w:rPr>
              <w:t>33,522.13</w:t>
            </w:r>
          </w:p>
        </w:tc>
      </w:tr>
      <w:tr w:rsidR="00651764" w:rsidTr="00651764">
        <w:trPr>
          <w:trHeight w:val="283"/>
          <w:jc w:val="center"/>
        </w:trPr>
        <w:tc>
          <w:tcPr>
            <w:cnfStyle w:firstRow="0" w:lastRow="0" w:firstColumn="1" w:lastColumn="0" w:oddVBand="0" w:evenVBand="0" w:oddHBand="0" w:evenHBand="0" w:firstRowFirstColumn="0" w:firstRowLastColumn="0" w:lastRowFirstColumn="0" w:lastRowLastColumn="0"/>
            <w:tcW w:w="38.0%" w:type="pct"/>
          </w:tcPr>
          <w:p w:rsidR="00651764" w:rsidRPr="00611019" w:rsidRDefault="00651764" w:rsidP="00651764">
            <w:pPr>
              <w:pStyle w:val="CondicionesFinales"/>
              <w:ind w:start="0pt" w:end="0pt"/>
              <w:jc w:val="center"/>
              <w:rPr>
                <w:rFonts w:ascii="Century Gothic" w:hAnsi="Century Gothic"/>
                <w:b w:val="0"/>
                <w:bCs/>
                <w:sz w:val="20"/>
              </w:rPr>
            </w:pPr>
            <w:r>
              <w:rPr>
                <w:rFonts w:ascii="Century Gothic" w:hAnsi="Century Gothic"/>
                <w:sz w:val="20"/>
              </w:rPr>
              <w:t>40</w:t>
            </w:r>
          </w:p>
        </w:tc>
        <w:tc>
          <w:tcPr>
            <w:tcW w:w="61.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B59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6B592C">
              <w:rPr>
                <w:rFonts w:ascii="Century Gothic" w:hAnsi="Century Gothic"/>
                <w:sz w:val="20"/>
              </w:rPr>
              <w:t>44,696.17</w:t>
            </w:r>
            <w:r w:rsidRPr="00651764">
              <w:rPr>
                <w:rFonts w:ascii="Century Gothic" w:hAnsi="Century Gothic"/>
                <w:sz w:val="20"/>
              </w:rPr>
              <w:t xml:space="preserve"> </w:t>
            </w:r>
          </w:p>
        </w:tc>
      </w:tr>
      <w:tr w:rsidR="00651764" w:rsidTr="00651764">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38.0%" w:type="pct"/>
          </w:tcPr>
          <w:p w:rsidR="00651764" w:rsidRPr="00611019" w:rsidRDefault="00651764" w:rsidP="00651764">
            <w:pPr>
              <w:pStyle w:val="CondicionesFinales"/>
              <w:ind w:start="0pt" w:end="0pt"/>
              <w:jc w:val="center"/>
              <w:rPr>
                <w:rFonts w:ascii="Century Gothic" w:hAnsi="Century Gothic"/>
                <w:b w:val="0"/>
                <w:bCs/>
                <w:sz w:val="20"/>
              </w:rPr>
            </w:pPr>
            <w:r>
              <w:rPr>
                <w:rFonts w:ascii="Century Gothic" w:hAnsi="Century Gothic"/>
                <w:sz w:val="20"/>
              </w:rPr>
              <w:t>50</w:t>
            </w:r>
          </w:p>
        </w:tc>
        <w:tc>
          <w:tcPr>
            <w:tcW w:w="61.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B59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6B592C">
              <w:rPr>
                <w:rFonts w:ascii="Century Gothic" w:hAnsi="Century Gothic"/>
                <w:sz w:val="20"/>
              </w:rPr>
              <w:t>55,870.21</w:t>
            </w:r>
            <w:r w:rsidRPr="00651764">
              <w:rPr>
                <w:rFonts w:ascii="Century Gothic" w:hAnsi="Century Gothic"/>
                <w:sz w:val="20"/>
              </w:rPr>
              <w:t xml:space="preserve"> </w:t>
            </w:r>
          </w:p>
        </w:tc>
      </w:tr>
      <w:tr w:rsidR="00651764" w:rsidTr="00651764">
        <w:trPr>
          <w:trHeight w:val="283"/>
          <w:jc w:val="center"/>
        </w:trPr>
        <w:tc>
          <w:tcPr>
            <w:cnfStyle w:firstRow="0" w:lastRow="0" w:firstColumn="1" w:lastColumn="0" w:oddVBand="0" w:evenVBand="0" w:oddHBand="0" w:evenHBand="0" w:firstRowFirstColumn="0" w:firstRowLastColumn="0" w:lastRowFirstColumn="0" w:lastRowLastColumn="0"/>
            <w:tcW w:w="38.0%" w:type="pct"/>
          </w:tcPr>
          <w:p w:rsidR="00651764" w:rsidRPr="00611019" w:rsidRDefault="00651764" w:rsidP="00651764">
            <w:pPr>
              <w:pStyle w:val="CondicionesFinales"/>
              <w:ind w:start="0pt" w:end="0pt"/>
              <w:jc w:val="center"/>
              <w:rPr>
                <w:rFonts w:ascii="Century Gothic" w:hAnsi="Century Gothic"/>
                <w:b w:val="0"/>
                <w:bCs/>
                <w:sz w:val="20"/>
              </w:rPr>
            </w:pPr>
            <w:r>
              <w:rPr>
                <w:rFonts w:ascii="Century Gothic" w:hAnsi="Century Gothic"/>
                <w:sz w:val="20"/>
              </w:rPr>
              <w:lastRenderedPageBreak/>
              <w:t>60</w:t>
            </w:r>
          </w:p>
        </w:tc>
        <w:tc>
          <w:tcPr>
            <w:tcW w:w="61.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B59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6B592C">
              <w:rPr>
                <w:rFonts w:ascii="Century Gothic" w:hAnsi="Century Gothic"/>
                <w:sz w:val="20"/>
              </w:rPr>
              <w:t>67,044.26</w:t>
            </w:r>
            <w:r w:rsidRPr="00651764">
              <w:rPr>
                <w:rFonts w:ascii="Century Gothic" w:hAnsi="Century Gothic"/>
                <w:sz w:val="20"/>
              </w:rPr>
              <w:t xml:space="preserve"> </w:t>
            </w:r>
          </w:p>
        </w:tc>
      </w:tr>
      <w:tr w:rsidR="00651764" w:rsidTr="00651764">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38.0%" w:type="pct"/>
          </w:tcPr>
          <w:p w:rsidR="00651764" w:rsidRPr="00611019" w:rsidRDefault="00651764" w:rsidP="00651764">
            <w:pPr>
              <w:pStyle w:val="CondicionesFinales"/>
              <w:ind w:start="0pt" w:end="0pt"/>
              <w:jc w:val="center"/>
              <w:rPr>
                <w:rFonts w:ascii="Century Gothic" w:hAnsi="Century Gothic"/>
                <w:b w:val="0"/>
                <w:bCs/>
                <w:sz w:val="20"/>
              </w:rPr>
            </w:pPr>
            <w:r>
              <w:rPr>
                <w:rFonts w:ascii="Century Gothic" w:hAnsi="Century Gothic"/>
                <w:sz w:val="20"/>
              </w:rPr>
              <w:t>70</w:t>
            </w:r>
          </w:p>
        </w:tc>
        <w:tc>
          <w:tcPr>
            <w:tcW w:w="61.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B59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6B592C">
              <w:rPr>
                <w:rFonts w:ascii="Century Gothic" w:hAnsi="Century Gothic"/>
                <w:sz w:val="20"/>
              </w:rPr>
              <w:t>78,218.30</w:t>
            </w:r>
            <w:r w:rsidRPr="00651764">
              <w:rPr>
                <w:rFonts w:ascii="Century Gothic" w:hAnsi="Century Gothic"/>
                <w:sz w:val="20"/>
              </w:rPr>
              <w:t xml:space="preserve"> </w:t>
            </w:r>
          </w:p>
        </w:tc>
      </w:tr>
      <w:tr w:rsidR="00651764" w:rsidTr="00651764">
        <w:trPr>
          <w:trHeight w:val="283"/>
          <w:jc w:val="center"/>
        </w:trPr>
        <w:tc>
          <w:tcPr>
            <w:cnfStyle w:firstRow="0" w:lastRow="0" w:firstColumn="1" w:lastColumn="0" w:oddVBand="0" w:evenVBand="0" w:oddHBand="0" w:evenHBand="0" w:firstRowFirstColumn="0" w:firstRowLastColumn="0" w:lastRowFirstColumn="0" w:lastRowLastColumn="0"/>
            <w:tcW w:w="38.0%" w:type="pct"/>
          </w:tcPr>
          <w:p w:rsidR="00651764" w:rsidRPr="00611019" w:rsidRDefault="00651764" w:rsidP="00651764">
            <w:pPr>
              <w:pStyle w:val="CondicionesFinales"/>
              <w:ind w:start="0pt" w:end="0pt"/>
              <w:jc w:val="center"/>
              <w:rPr>
                <w:rFonts w:ascii="Century Gothic" w:hAnsi="Century Gothic"/>
                <w:b w:val="0"/>
                <w:bCs/>
                <w:sz w:val="20"/>
              </w:rPr>
            </w:pPr>
            <w:r>
              <w:rPr>
                <w:rFonts w:ascii="Century Gothic" w:hAnsi="Century Gothic"/>
                <w:sz w:val="20"/>
              </w:rPr>
              <w:t>80</w:t>
            </w:r>
          </w:p>
        </w:tc>
        <w:tc>
          <w:tcPr>
            <w:tcW w:w="61.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B59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6B592C">
              <w:rPr>
                <w:rFonts w:ascii="Century Gothic" w:hAnsi="Century Gothic"/>
                <w:sz w:val="20"/>
              </w:rPr>
              <w:t>89,392.34</w:t>
            </w:r>
            <w:r w:rsidRPr="00651764">
              <w:rPr>
                <w:rFonts w:ascii="Century Gothic" w:hAnsi="Century Gothic"/>
                <w:sz w:val="20"/>
              </w:rPr>
              <w:t xml:space="preserve"> </w:t>
            </w:r>
          </w:p>
        </w:tc>
      </w:tr>
      <w:tr w:rsidR="00651764" w:rsidTr="00651764">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38.0%" w:type="pct"/>
          </w:tcPr>
          <w:p w:rsidR="00651764" w:rsidRPr="00611019" w:rsidRDefault="00651764" w:rsidP="00651764">
            <w:pPr>
              <w:pStyle w:val="CondicionesFinales"/>
              <w:ind w:start="0pt" w:end="0pt"/>
              <w:jc w:val="center"/>
              <w:rPr>
                <w:rFonts w:ascii="Century Gothic" w:hAnsi="Century Gothic"/>
                <w:b w:val="0"/>
                <w:bCs/>
                <w:sz w:val="20"/>
              </w:rPr>
            </w:pPr>
            <w:r>
              <w:rPr>
                <w:rFonts w:ascii="Century Gothic" w:hAnsi="Century Gothic"/>
                <w:sz w:val="20"/>
              </w:rPr>
              <w:t>90</w:t>
            </w:r>
          </w:p>
        </w:tc>
        <w:tc>
          <w:tcPr>
            <w:tcW w:w="61.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B59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6B592C">
              <w:rPr>
                <w:rFonts w:ascii="Century Gothic" w:hAnsi="Century Gothic"/>
                <w:sz w:val="20"/>
              </w:rPr>
              <w:t>100,566.39</w:t>
            </w:r>
          </w:p>
        </w:tc>
      </w:tr>
      <w:tr w:rsidR="00651764" w:rsidTr="00651764">
        <w:trPr>
          <w:trHeight w:val="283"/>
          <w:jc w:val="center"/>
        </w:trPr>
        <w:tc>
          <w:tcPr>
            <w:cnfStyle w:firstRow="0" w:lastRow="0" w:firstColumn="1" w:lastColumn="0" w:oddVBand="0" w:evenVBand="0" w:oddHBand="0" w:evenHBand="0" w:firstRowFirstColumn="0" w:firstRowLastColumn="0" w:lastRowFirstColumn="0" w:lastRowLastColumn="0"/>
            <w:tcW w:w="38.0%" w:type="pct"/>
          </w:tcPr>
          <w:p w:rsidR="00651764" w:rsidRPr="00611019" w:rsidRDefault="00651764" w:rsidP="00651764">
            <w:pPr>
              <w:pStyle w:val="CondicionesFinales"/>
              <w:ind w:start="0pt" w:end="0pt"/>
              <w:jc w:val="center"/>
              <w:rPr>
                <w:rFonts w:ascii="Century Gothic" w:hAnsi="Century Gothic"/>
                <w:b w:val="0"/>
                <w:bCs/>
                <w:sz w:val="20"/>
              </w:rPr>
            </w:pPr>
            <w:r>
              <w:rPr>
                <w:rFonts w:ascii="Century Gothic" w:hAnsi="Century Gothic"/>
                <w:sz w:val="20"/>
              </w:rPr>
              <w:t>100</w:t>
            </w:r>
          </w:p>
        </w:tc>
        <w:tc>
          <w:tcPr>
            <w:tcW w:w="61.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B59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6B592C">
              <w:rPr>
                <w:rFonts w:ascii="Century Gothic" w:hAnsi="Century Gothic"/>
                <w:sz w:val="20"/>
              </w:rPr>
              <w:t>111,740.43</w:t>
            </w:r>
            <w:r w:rsidRPr="00651764">
              <w:rPr>
                <w:rFonts w:ascii="Century Gothic" w:hAnsi="Century Gothic"/>
                <w:sz w:val="20"/>
              </w:rPr>
              <w:t xml:space="preserve"> </w:t>
            </w:r>
          </w:p>
        </w:tc>
      </w:tr>
      <w:tr w:rsidR="00651764" w:rsidTr="00651764">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38.0%" w:type="pct"/>
          </w:tcPr>
          <w:p w:rsidR="00651764" w:rsidRPr="00611019" w:rsidRDefault="00651764" w:rsidP="00651764">
            <w:pPr>
              <w:pStyle w:val="CondicionesFinales"/>
              <w:ind w:start="0pt" w:end="0pt"/>
              <w:jc w:val="center"/>
              <w:rPr>
                <w:rFonts w:ascii="Century Gothic" w:hAnsi="Century Gothic"/>
                <w:b w:val="0"/>
                <w:bCs/>
                <w:sz w:val="20"/>
              </w:rPr>
            </w:pPr>
            <w:r>
              <w:rPr>
                <w:rFonts w:ascii="Century Gothic" w:hAnsi="Century Gothic"/>
                <w:sz w:val="20"/>
              </w:rPr>
              <w:t>150</w:t>
            </w:r>
          </w:p>
        </w:tc>
        <w:tc>
          <w:tcPr>
            <w:tcW w:w="61.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B59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6B592C">
              <w:rPr>
                <w:rFonts w:ascii="Century Gothic" w:hAnsi="Century Gothic"/>
                <w:sz w:val="20"/>
              </w:rPr>
              <w:t>167,610.64</w:t>
            </w:r>
            <w:r w:rsidRPr="00651764">
              <w:rPr>
                <w:rFonts w:ascii="Century Gothic" w:hAnsi="Century Gothic"/>
                <w:sz w:val="20"/>
              </w:rPr>
              <w:t xml:space="preserve"> </w:t>
            </w:r>
          </w:p>
        </w:tc>
      </w:tr>
      <w:tr w:rsidR="00651764" w:rsidTr="00651764">
        <w:trPr>
          <w:trHeight w:val="283"/>
          <w:jc w:val="center"/>
        </w:trPr>
        <w:tc>
          <w:tcPr>
            <w:cnfStyle w:firstRow="0" w:lastRow="0" w:firstColumn="1" w:lastColumn="0" w:oddVBand="0" w:evenVBand="0" w:oddHBand="0" w:evenHBand="0" w:firstRowFirstColumn="0" w:firstRowLastColumn="0" w:lastRowFirstColumn="0" w:lastRowLastColumn="0"/>
            <w:tcW w:w="38.0%" w:type="pct"/>
          </w:tcPr>
          <w:p w:rsidR="00651764" w:rsidRPr="00611019" w:rsidRDefault="00651764" w:rsidP="00651764">
            <w:pPr>
              <w:pStyle w:val="CondicionesFinales"/>
              <w:ind w:start="0pt" w:end="0pt"/>
              <w:jc w:val="center"/>
              <w:rPr>
                <w:rFonts w:ascii="Century Gothic" w:hAnsi="Century Gothic"/>
                <w:b w:val="0"/>
                <w:bCs/>
                <w:sz w:val="20"/>
              </w:rPr>
            </w:pPr>
            <w:r>
              <w:rPr>
                <w:rFonts w:ascii="Century Gothic" w:hAnsi="Century Gothic"/>
                <w:sz w:val="20"/>
              </w:rPr>
              <w:t>200</w:t>
            </w:r>
          </w:p>
        </w:tc>
        <w:tc>
          <w:tcPr>
            <w:tcW w:w="61.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651764" w:rsidRPr="00651764" w:rsidRDefault="00651764" w:rsidP="006B59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r w:rsidRPr="00651764">
              <w:rPr>
                <w:rFonts w:ascii="Century Gothic" w:hAnsi="Century Gothic"/>
                <w:sz w:val="20"/>
              </w:rPr>
              <w:t>$</w:t>
            </w:r>
            <w:r w:rsidR="006B592C">
              <w:rPr>
                <w:rFonts w:ascii="Century Gothic" w:hAnsi="Century Gothic"/>
                <w:sz w:val="20"/>
              </w:rPr>
              <w:t>223,480.86</w:t>
            </w:r>
            <w:r w:rsidRPr="00651764">
              <w:rPr>
                <w:rFonts w:ascii="Century Gothic" w:hAnsi="Century Gothic"/>
                <w:sz w:val="20"/>
              </w:rPr>
              <w:t xml:space="preserve"> </w:t>
            </w:r>
          </w:p>
        </w:tc>
      </w:tr>
    </w:tbl>
    <w:p w:rsidR="00277ED2" w:rsidRPr="00611019" w:rsidRDefault="00E56462" w:rsidP="00035D2C">
      <w:pPr>
        <w:spacing w:before="3pt" w:after="1pt"/>
        <w:jc w:val="both"/>
        <w:rPr>
          <w:rFonts w:ascii="Century Gothic" w:eastAsia="Times New Roman" w:hAnsi="Century Gothic" w:cs="Arial"/>
        </w:rPr>
      </w:pPr>
      <w:r>
        <w:rPr>
          <w:rFonts w:ascii="Century Gothic" w:eastAsia="Times New Roman" w:hAnsi="Century Gothic" w:cs="Arial"/>
        </w:rPr>
        <w:t>La Reasignación y la Recuperación de Espacios se cotizará de manera particular y el precio variará de acuerdo con la cantidad de elementos de infraestructura que sea necesario modificar, reinstalar y/o retirar; considerando los siguientes conceptos: tiempo necesario para realización de los trabajos, distancia recorrida, viáticos, horarios, personal necesario, permisos, etc.</w:t>
      </w:r>
    </w:p>
    <w:p w:rsidR="00D36D7D" w:rsidRPr="00611019" w:rsidRDefault="00D36D7D" w:rsidP="00035D2C">
      <w:pPr>
        <w:spacing w:before="3pt"/>
        <w:jc w:val="both"/>
        <w:rPr>
          <w:rFonts w:ascii="Century Gothic" w:eastAsia="Times New Roman" w:hAnsi="Century Gothic" w:cs="Arial"/>
        </w:rPr>
      </w:pPr>
    </w:p>
    <w:p w:rsidR="00F011D1" w:rsidRPr="00611019" w:rsidRDefault="00E56462" w:rsidP="00035D2C">
      <w:pPr>
        <w:spacing w:before="1pt" w:after="1pt"/>
        <w:ind w:start="21.30pt" w:hanging="21.30pt"/>
        <w:jc w:val="both"/>
        <w:outlineLvl w:val="0"/>
      </w:pPr>
      <w:bookmarkStart w:id="2300" w:name="_Toc92974101"/>
      <w:bookmarkStart w:id="2301" w:name="_Toc93052412"/>
      <w:bookmarkStart w:id="2302" w:name="_Toc93056367"/>
      <w:bookmarkStart w:id="2303" w:name="_Toc125393431"/>
      <w:bookmarkStart w:id="2304" w:name="_Toc148702287"/>
      <w:bookmarkStart w:id="2305" w:name="_Toc170381903"/>
      <w:r>
        <w:rPr>
          <w:rFonts w:ascii="Century Gothic" w:eastAsia="Times New Roman" w:hAnsi="Century Gothic" w:cs="Arial"/>
          <w:b/>
          <w:bCs/>
          <w:sz w:val="24"/>
        </w:rPr>
        <w:t>4.</w:t>
      </w:r>
      <w:r>
        <w:rPr>
          <w:rFonts w:ascii="Century Gothic" w:eastAsia="Times New Roman" w:hAnsi="Century Gothic" w:cs="Arial"/>
          <w:b/>
          <w:bCs/>
          <w:sz w:val="24"/>
        </w:rPr>
        <w:tab/>
      </w:r>
      <w:r>
        <w:rPr>
          <w:rFonts w:ascii="Century Gothic" w:hAnsi="Century Gothic" w:cs="Arial"/>
          <w:b/>
          <w:bCs/>
          <w:i/>
        </w:rPr>
        <w:t>Servicio Auxiliar de Cableado Multipar</w:t>
      </w:r>
      <w:bookmarkEnd w:id="2300"/>
      <w:bookmarkEnd w:id="2301"/>
      <w:bookmarkEnd w:id="2302"/>
      <w:bookmarkEnd w:id="2303"/>
      <w:bookmarkEnd w:id="2304"/>
      <w:bookmarkEnd w:id="2305"/>
      <w:r>
        <w:rPr>
          <w:rFonts w:ascii="Century Gothic" w:hAnsi="Century Gothic" w:cs="Arial"/>
          <w:b/>
          <w:bCs/>
          <w:i/>
        </w:rPr>
        <w:t>.</w:t>
      </w:r>
    </w:p>
    <w:p w:rsidR="00277ED2" w:rsidRPr="00611019" w:rsidRDefault="00E56462" w:rsidP="00035D2C">
      <w:pPr>
        <w:spacing w:before="1pt" w:after="6pt"/>
        <w:jc w:val="both"/>
        <w:rPr>
          <w:rFonts w:ascii="Century Gothic" w:eastAsia="Times New Roman" w:hAnsi="Century Gothic" w:cs="Arial"/>
        </w:rPr>
      </w:pPr>
      <w:r>
        <w:rPr>
          <w:rFonts w:ascii="Century Gothic" w:eastAsia="Times New Roman" w:hAnsi="Century Gothic" w:cs="Arial"/>
        </w:rPr>
        <w:t>Las siguientes contraprestaciones se encuentran asociadas a la prestación del SDTBL a menos que se especifique otro alcance.</w:t>
      </w:r>
    </w:p>
    <w:p w:rsidR="002B0ECA" w:rsidRPr="00611019" w:rsidRDefault="002B0ECA" w:rsidP="00035D2C">
      <w:pPr>
        <w:spacing w:before="1pt" w:after="6pt"/>
        <w:jc w:val="both"/>
        <w:rPr>
          <w:rFonts w:ascii="Century Gothic" w:eastAsia="Times New Roman" w:hAnsi="Century Gothic" w:cs="Arial"/>
        </w:rPr>
      </w:pPr>
    </w:p>
    <w:p w:rsidR="002B0ECA" w:rsidRPr="00611019" w:rsidRDefault="00E56462">
      <w:pPr>
        <w:pStyle w:val="Prrafodelista"/>
        <w:numPr>
          <w:ilvl w:val="0"/>
          <w:numId w:val="141"/>
        </w:numPr>
        <w:spacing w:before="1pt" w:after="1pt"/>
        <w:jc w:val="both"/>
        <w:rPr>
          <w:rFonts w:ascii="Century Gothic" w:eastAsia="Times New Roman" w:hAnsi="Century Gothic" w:cs="Arial"/>
          <w:b/>
        </w:rPr>
      </w:pPr>
      <w:r>
        <w:rPr>
          <w:rFonts w:ascii="Century Gothic" w:eastAsia="Times New Roman" w:hAnsi="Century Gothic" w:cs="Arial"/>
          <w:b/>
        </w:rPr>
        <w:t>Cobros no recurrentes .</w:t>
      </w:r>
    </w:p>
    <w:tbl>
      <w:tblPr>
        <w:tblStyle w:val="Tablanormal1"/>
        <w:tblW w:w="101.0%" w:type="pct"/>
        <w:jc w:val="center"/>
        <w:tblLook w:firstRow="1" w:lastRow="0" w:firstColumn="1" w:lastColumn="0" w:noHBand="0" w:noVBand="1"/>
      </w:tblPr>
      <w:tblGrid>
        <w:gridCol w:w="6038"/>
        <w:gridCol w:w="3450"/>
      </w:tblGrid>
      <w:tr w:rsidR="0061711D" w:rsidTr="0031512C">
        <w:trPr>
          <w:cnfStyle w:firstRow="1" w:lastRow="0" w:firstColumn="0" w:lastColumn="0" w:oddVBand="0" w:evenVBand="0" w:oddHBand="0" w:evenHBand="0" w:firstRowFirstColumn="0" w:firstRowLastColumn="0" w:lastRowFirstColumn="0" w:lastRowLastColumn="0"/>
          <w:trHeight w:val="400"/>
          <w:jc w:val="center"/>
        </w:trPr>
        <w:tc>
          <w:tcPr>
            <w:cnfStyle w:firstRow="0" w:lastRow="0" w:firstColumn="1" w:lastColumn="0" w:oddVBand="0" w:evenVBand="0" w:oddHBand="0" w:evenHBand="0" w:firstRowFirstColumn="0" w:firstRowLastColumn="0" w:lastRowFirstColumn="0" w:lastRowLastColumn="0"/>
            <w:tcW w:w="63.0%" w:type="pct"/>
            <w:shd w:val="clear" w:color="auto" w:fill="009AD9"/>
            <w:vAlign w:val="center"/>
          </w:tcPr>
          <w:p w:rsidR="006850A1" w:rsidRPr="00611019" w:rsidRDefault="00E56462" w:rsidP="00035D2C">
            <w:pPr>
              <w:rPr>
                <w:rFonts w:ascii="Century Gothic" w:hAnsi="Century Gothic"/>
                <w:color w:val="FFFFFF" w:themeColor="background1"/>
                <w:sz w:val="20"/>
                <w:lang w:val="es-ES_tradnl"/>
              </w:rPr>
            </w:pPr>
            <w:r>
              <w:rPr>
                <w:rFonts w:ascii="Century Gothic" w:hAnsi="Century Gothic"/>
                <w:color w:val="FFFFFF" w:themeColor="background1"/>
                <w:sz w:val="20"/>
                <w:lang w:val="es-ES_tradnl"/>
              </w:rPr>
              <w:t>Concepto</w:t>
            </w:r>
          </w:p>
        </w:tc>
        <w:tc>
          <w:tcPr>
            <w:tcW w:w="36.0%" w:type="pct"/>
            <w:shd w:val="clear" w:color="auto" w:fill="009AD9"/>
            <w:vAlign w:val="center"/>
          </w:tcPr>
          <w:p w:rsidR="006850A1" w:rsidRPr="00611019" w:rsidRDefault="00E56462" w:rsidP="00035D2C">
            <w:pPr>
              <w:jc w:val="center"/>
              <w:cnfStyle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lang w:val="es-ES_tradnl"/>
              </w:rPr>
            </w:pPr>
            <w:r>
              <w:rPr>
                <w:rFonts w:ascii="Century Gothic" w:hAnsi="Century Gothic"/>
                <w:color w:val="FFFFFF" w:themeColor="background1"/>
                <w:sz w:val="20"/>
                <w:lang w:val="es-ES_tradnl"/>
              </w:rPr>
              <w:t>Contraprestación (por evento)</w:t>
            </w:r>
          </w:p>
        </w:tc>
      </w:tr>
      <w:tr w:rsidR="00281C0C" w:rsidTr="0031512C">
        <w:trPr>
          <w:cnfStyle w:firstRow="0" w:lastRow="0" w:firstColumn="0" w:lastColumn="0" w:oddVBand="0" w:evenVBand="0" w:oddHBand="1" w:evenHBand="0" w:firstRowFirstColumn="0" w:firstRowLastColumn="0" w:lastRowFirstColumn="0" w:lastRowLastColumn="0"/>
          <w:trHeight w:val="400"/>
          <w:jc w:val="center"/>
        </w:trPr>
        <w:tc>
          <w:tcPr>
            <w:cnfStyle w:firstRow="0" w:lastRow="0" w:firstColumn="1" w:lastColumn="0" w:oddVBand="0" w:evenVBand="0" w:oddHBand="0" w:evenHBand="0" w:firstRowFirstColumn="0" w:firstRowLastColumn="0" w:lastRowFirstColumn="0" w:lastRowLastColumn="0"/>
            <w:tcW w:w="63.0%" w:type="pct"/>
          </w:tcPr>
          <w:p w:rsidR="00281C0C" w:rsidRPr="00611019" w:rsidRDefault="00281C0C" w:rsidP="00281C0C">
            <w:pPr>
              <w:pStyle w:val="CondicionesFinales"/>
              <w:ind w:start="0pt" w:end="0pt"/>
              <w:rPr>
                <w:rFonts w:ascii="Century Gothic" w:hAnsi="Century Gothic"/>
                <w:b w:val="0"/>
                <w:bCs/>
                <w:sz w:val="20"/>
              </w:rPr>
            </w:pPr>
            <w:r>
              <w:rPr>
                <w:rFonts w:ascii="Century Gothic" w:hAnsi="Century Gothic"/>
                <w:sz w:val="20"/>
              </w:rPr>
              <w:t>Tablilla de 64 puertos y módulo splitter VDSL 2</w:t>
            </w:r>
          </w:p>
        </w:tc>
        <w:tc>
          <w:tcPr>
            <w:tcW w:w="36.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281C0C" w:rsidRPr="00281C0C" w:rsidRDefault="00281C0C" w:rsidP="006B59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281C0C">
              <w:rPr>
                <w:rFonts w:ascii="Century Gothic" w:hAnsi="Century Gothic"/>
                <w:sz w:val="20"/>
              </w:rPr>
              <w:t>$1</w:t>
            </w:r>
            <w:r w:rsidR="006B592C">
              <w:rPr>
                <w:rFonts w:ascii="Century Gothic" w:hAnsi="Century Gothic"/>
                <w:sz w:val="20"/>
              </w:rPr>
              <w:t>4,345.41</w:t>
            </w:r>
          </w:p>
        </w:tc>
      </w:tr>
      <w:tr w:rsidR="00281C0C" w:rsidTr="0031512C">
        <w:trPr>
          <w:trHeight w:val="400"/>
          <w:jc w:val="center"/>
        </w:trPr>
        <w:tc>
          <w:tcPr>
            <w:cnfStyle w:firstRow="0" w:lastRow="0" w:firstColumn="1" w:lastColumn="0" w:oddVBand="0" w:evenVBand="0" w:oddHBand="0" w:evenHBand="0" w:firstRowFirstColumn="0" w:firstRowLastColumn="0" w:lastRowFirstColumn="0" w:lastRowLastColumn="0"/>
            <w:tcW w:w="63.0%" w:type="pct"/>
          </w:tcPr>
          <w:p w:rsidR="00281C0C" w:rsidRPr="00611019" w:rsidRDefault="00281C0C" w:rsidP="00281C0C">
            <w:pPr>
              <w:pStyle w:val="CondicionesFinales"/>
              <w:ind w:start="0pt" w:end="0pt"/>
              <w:rPr>
                <w:rFonts w:ascii="Century Gothic" w:hAnsi="Century Gothic"/>
                <w:b w:val="0"/>
                <w:bCs/>
                <w:sz w:val="20"/>
              </w:rPr>
            </w:pPr>
            <w:r>
              <w:rPr>
                <w:rFonts w:ascii="Century Gothic" w:hAnsi="Century Gothic"/>
                <w:sz w:val="20"/>
              </w:rPr>
              <w:t>Escalerilla de aluminio de 6" o 8" para cableado UTP Y/O COAXIAL (por metro lineal)</w:t>
            </w:r>
          </w:p>
        </w:tc>
        <w:tc>
          <w:tcPr>
            <w:tcW w:w="36.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281C0C" w:rsidRPr="00281C0C" w:rsidRDefault="00281C0C" w:rsidP="006B59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r w:rsidRPr="00281C0C">
              <w:rPr>
                <w:rFonts w:ascii="Century Gothic" w:hAnsi="Century Gothic"/>
                <w:sz w:val="20"/>
              </w:rPr>
              <w:t>$</w:t>
            </w:r>
            <w:r w:rsidR="006B592C">
              <w:rPr>
                <w:rFonts w:ascii="Century Gothic" w:hAnsi="Century Gothic"/>
                <w:sz w:val="20"/>
              </w:rPr>
              <w:t>1,721.18</w:t>
            </w:r>
          </w:p>
        </w:tc>
      </w:tr>
    </w:tbl>
    <w:p w:rsidR="00277ED2" w:rsidRPr="00611019" w:rsidRDefault="00E56462">
      <w:pPr>
        <w:pStyle w:val="Prrafodelista"/>
        <w:numPr>
          <w:ilvl w:val="0"/>
          <w:numId w:val="142"/>
        </w:numPr>
        <w:spacing w:before="1pt" w:after="1pt"/>
        <w:jc w:val="both"/>
        <w:rPr>
          <w:rFonts w:ascii="Century Gothic" w:eastAsia="Times New Roman" w:hAnsi="Century Gothic" w:cs="Arial"/>
          <w:b/>
          <w:i/>
          <w:iCs/>
          <w:color w:val="000000"/>
        </w:rPr>
      </w:pPr>
      <w:r>
        <w:rPr>
          <w:rFonts w:ascii="Century Gothic" w:eastAsia="Times New Roman" w:hAnsi="Century Gothic" w:cs="Arial"/>
          <w:b/>
        </w:rPr>
        <w:t>Cobros recurrentes.</w:t>
      </w:r>
    </w:p>
    <w:p w:rsidR="00C36A82" w:rsidRPr="00611019" w:rsidRDefault="00C36A82" w:rsidP="00035D2C">
      <w:pPr>
        <w:pStyle w:val="Prrafodelista"/>
        <w:spacing w:before="1pt" w:after="1pt"/>
        <w:ind w:start="36pt"/>
        <w:jc w:val="both"/>
        <w:rPr>
          <w:rFonts w:ascii="Century Gothic" w:eastAsia="Times New Roman" w:hAnsi="Century Gothic" w:cs="Arial"/>
          <w:b/>
          <w:i/>
          <w:iCs/>
          <w:color w:val="000000"/>
          <w:sz w:val="8"/>
        </w:rPr>
      </w:pPr>
    </w:p>
    <w:tbl>
      <w:tblPr>
        <w:tblStyle w:val="Cuadrculadetablaclara"/>
        <w:tblW w:w="102.0%" w:type="pct"/>
        <w:jc w:val="center"/>
        <w:tblLook w:firstRow="1" w:lastRow="0" w:firstColumn="1" w:lastColumn="0" w:noHBand="0" w:noVBand="1"/>
      </w:tblPr>
      <w:tblGrid>
        <w:gridCol w:w="6098"/>
        <w:gridCol w:w="3484"/>
      </w:tblGrid>
      <w:tr w:rsidR="0061711D" w:rsidTr="00CC498B">
        <w:trPr>
          <w:trHeight w:val="372"/>
          <w:jc w:val="center"/>
        </w:trPr>
        <w:tc>
          <w:tcPr>
            <w:tcW w:w="63.0%" w:type="pct"/>
            <w:shd w:val="clear" w:color="auto" w:fill="009AD9"/>
            <w:vAlign w:val="center"/>
          </w:tcPr>
          <w:p w:rsidR="00277ED2" w:rsidRPr="00611019" w:rsidRDefault="00E56462" w:rsidP="00035D2C">
            <w:pPr>
              <w:spacing w:before="1pt" w:after="1pt"/>
              <w:rPr>
                <w:rFonts w:ascii="Century Gothic" w:eastAsia="Times New Roman" w:hAnsi="Century Gothic" w:cs="Arial"/>
                <w:b/>
                <w:bCs/>
                <w:color w:val="FFFFFF" w:themeColor="background1"/>
                <w:sz w:val="20"/>
                <w:szCs w:val="20"/>
                <w:lang w:val="es-ES_tradnl" w:eastAsia="es-ES"/>
              </w:rPr>
            </w:pPr>
            <w:r>
              <w:rPr>
                <w:rFonts w:ascii="Century Gothic" w:eastAsia="Times New Roman" w:hAnsi="Century Gothic" w:cs="Arial"/>
                <w:b/>
                <w:bCs/>
                <w:color w:val="FFFFFF" w:themeColor="background1"/>
                <w:sz w:val="20"/>
                <w:szCs w:val="20"/>
                <w:lang w:val="es-ES_tradnl" w:eastAsia="es-ES"/>
              </w:rPr>
              <w:t>Concepto</w:t>
            </w:r>
          </w:p>
        </w:tc>
        <w:tc>
          <w:tcPr>
            <w:tcW w:w="36.0%" w:type="pct"/>
            <w:shd w:val="clear" w:color="auto" w:fill="009AD9"/>
            <w:vAlign w:val="center"/>
          </w:tcPr>
          <w:p w:rsidR="00277ED2" w:rsidRPr="00611019" w:rsidRDefault="00E56462" w:rsidP="00035D2C">
            <w:pPr>
              <w:spacing w:before="1pt" w:after="1pt"/>
              <w:jc w:val="center"/>
              <w:rPr>
                <w:rFonts w:ascii="Century Gothic" w:eastAsia="Times New Roman" w:hAnsi="Century Gothic" w:cs="Arial"/>
                <w:b/>
                <w:bCs/>
                <w:color w:val="FFFFFF" w:themeColor="background1"/>
                <w:sz w:val="20"/>
                <w:szCs w:val="20"/>
                <w:lang w:val="es-ES_tradnl" w:eastAsia="es-ES"/>
              </w:rPr>
            </w:pPr>
            <w:r>
              <w:rPr>
                <w:rFonts w:ascii="Century Gothic" w:eastAsia="Times New Roman" w:hAnsi="Century Gothic" w:cs="Arial"/>
                <w:b/>
                <w:bCs/>
                <w:color w:val="FFFFFF" w:themeColor="background1"/>
                <w:sz w:val="20"/>
                <w:szCs w:val="20"/>
                <w:lang w:val="es-ES_tradnl" w:eastAsia="es-ES"/>
              </w:rPr>
              <w:t>Contraprestación anual</w:t>
            </w:r>
          </w:p>
        </w:tc>
      </w:tr>
      <w:tr w:rsidR="0061711D" w:rsidTr="00277ED2">
        <w:trPr>
          <w:trHeight w:val="537"/>
          <w:jc w:val="center"/>
        </w:trPr>
        <w:tc>
          <w:tcPr>
            <w:tcW w:w="63.0%" w:type="pct"/>
            <w:vAlign w:val="center"/>
          </w:tcPr>
          <w:p w:rsidR="00277ED2" w:rsidRPr="00611019" w:rsidRDefault="00E56462" w:rsidP="00035D2C">
            <w:pPr>
              <w:pStyle w:val="CondicionesFinales"/>
              <w:spacing w:before="1pt" w:after="1pt"/>
              <w:ind w:start="0pt" w:end="0pt"/>
              <w:jc w:val="start"/>
              <w:rPr>
                <w:rFonts w:ascii="Century Gothic" w:hAnsi="Century Gothic"/>
                <w:sz w:val="20"/>
                <w:szCs w:val="20"/>
              </w:rPr>
            </w:pPr>
            <w:r>
              <w:rPr>
                <w:rFonts w:ascii="Century Gothic" w:hAnsi="Century Gothic"/>
                <w:sz w:val="20"/>
                <w:szCs w:val="20"/>
              </w:rPr>
              <w:t>Cableado Multipar de 70 pares con blindaje y estañado de línea (por metro lineal)</w:t>
            </w:r>
          </w:p>
        </w:tc>
        <w:tc>
          <w:tcPr>
            <w:tcW w:w="36.0%" w:type="pct"/>
            <w:vAlign w:val="center"/>
          </w:tcPr>
          <w:p w:rsidR="00277ED2" w:rsidRPr="00611019" w:rsidRDefault="00E56462" w:rsidP="006B592C">
            <w:pPr>
              <w:spacing w:before="1pt" w:after="1pt"/>
              <w:jc w:val="center"/>
              <w:rPr>
                <w:rFonts w:ascii="Century Gothic" w:hAnsi="Century Gothic" w:cs="Arial"/>
                <w:color w:val="000000"/>
                <w:sz w:val="20"/>
                <w:szCs w:val="20"/>
              </w:rPr>
            </w:pPr>
            <w:r>
              <w:rPr>
                <w:rFonts w:ascii="Century Gothic" w:hAnsi="Century Gothic" w:cs="Arial"/>
                <w:color w:val="000000"/>
                <w:sz w:val="20"/>
                <w:szCs w:val="20"/>
              </w:rPr>
              <w:t>$</w:t>
            </w:r>
            <w:r w:rsidR="006B592C">
              <w:rPr>
                <w:rFonts w:ascii="Century Gothic" w:hAnsi="Century Gothic" w:cs="Arial"/>
                <w:color w:val="000000"/>
                <w:sz w:val="20"/>
                <w:szCs w:val="20"/>
              </w:rPr>
              <w:t>1,143.01</w:t>
            </w:r>
          </w:p>
        </w:tc>
      </w:tr>
    </w:tbl>
    <w:p w:rsidR="00277ED2" w:rsidRPr="00611019" w:rsidRDefault="00277ED2" w:rsidP="00035D2C">
      <w:pPr>
        <w:spacing w:before="1pt"/>
        <w:rPr>
          <w:rFonts w:ascii="Century Gothic" w:eastAsia="Times New Roman" w:hAnsi="Century Gothic" w:cs="Arial"/>
          <w:b/>
          <w:i/>
          <w:iCs/>
          <w:color w:val="000000"/>
        </w:rPr>
      </w:pPr>
    </w:p>
    <w:p w:rsidR="00277ED2" w:rsidRPr="00611019" w:rsidRDefault="00E56462" w:rsidP="00035D2C">
      <w:pPr>
        <w:spacing w:before="1pt" w:after="6pt"/>
        <w:ind w:start="21.30pt" w:hanging="18pt"/>
        <w:jc w:val="both"/>
        <w:outlineLvl w:val="0"/>
        <w:rPr>
          <w:rFonts w:ascii="Century Gothic" w:hAnsi="Century Gothic" w:cs="Arial"/>
          <w:b/>
          <w:i/>
        </w:rPr>
      </w:pPr>
      <w:bookmarkStart w:id="2306" w:name="_Toc92974102"/>
      <w:bookmarkStart w:id="2307" w:name="_Toc93052413"/>
      <w:bookmarkStart w:id="2308" w:name="_Toc93056368"/>
      <w:bookmarkStart w:id="2309" w:name="_Toc125393432"/>
      <w:bookmarkStart w:id="2310" w:name="_Toc148702288"/>
      <w:bookmarkStart w:id="2311" w:name="_Toc170381904"/>
      <w:r>
        <w:rPr>
          <w:rFonts w:ascii="Century Gothic" w:eastAsia="Calibri" w:hAnsi="Century Gothic" w:cs="Arial"/>
          <w:b/>
          <w:i/>
          <w:sz w:val="24"/>
        </w:rPr>
        <w:t>5.</w:t>
      </w:r>
      <w:r>
        <w:rPr>
          <w:rFonts w:ascii="Century Gothic" w:eastAsia="Calibri" w:hAnsi="Century Gothic" w:cs="Arial"/>
          <w:b/>
          <w:i/>
          <w:sz w:val="24"/>
        </w:rPr>
        <w:tab/>
      </w:r>
      <w:r>
        <w:rPr>
          <w:rFonts w:ascii="Century Gothic" w:hAnsi="Century Gothic" w:cs="Arial"/>
          <w:b/>
          <w:i/>
        </w:rPr>
        <w:t xml:space="preserve">Servicio de Cableado de DFO de </w:t>
      </w:r>
      <w:r>
        <w:rPr>
          <w:rFonts w:ascii="Century Gothic" w:hAnsi="Century Gothic" w:cs="Arial"/>
          <w:b/>
          <w:bCs/>
          <w:i/>
          <w:iCs/>
          <w:spacing w:val="-3"/>
        </w:rPr>
        <w:t>RED NACIONAL</w:t>
      </w:r>
      <w:r>
        <w:rPr>
          <w:rFonts w:ascii="Century Gothic" w:hAnsi="Century Gothic" w:cs="Arial"/>
          <w:b/>
          <w:i/>
        </w:rPr>
        <w:t xml:space="preserve"> a DFO del CS*</w:t>
      </w:r>
      <w:bookmarkEnd w:id="2306"/>
      <w:bookmarkEnd w:id="2307"/>
      <w:bookmarkEnd w:id="2308"/>
      <w:bookmarkEnd w:id="2309"/>
      <w:bookmarkEnd w:id="2310"/>
      <w:bookmarkEnd w:id="2311"/>
      <w:r>
        <w:rPr>
          <w:rFonts w:ascii="Century Gothic" w:hAnsi="Century Gothic" w:cs="Arial"/>
          <w:b/>
          <w:i/>
        </w:rPr>
        <w:t>.</w:t>
      </w:r>
    </w:p>
    <w:p w:rsidR="00277ED2" w:rsidRPr="00611019" w:rsidRDefault="00E56462" w:rsidP="00035D2C">
      <w:pPr>
        <w:spacing w:before="1pt" w:after="6pt"/>
        <w:jc w:val="both"/>
        <w:rPr>
          <w:rFonts w:ascii="Century Gothic" w:eastAsia="Times New Roman" w:hAnsi="Century Gothic" w:cs="Arial"/>
        </w:rPr>
      </w:pPr>
      <w:r>
        <w:rPr>
          <w:rFonts w:ascii="Century Gothic" w:eastAsia="Times New Roman" w:hAnsi="Century Gothic" w:cs="Arial"/>
        </w:rPr>
        <w:t>*Estas contraprestaciones se encuentran asociadas exclusivamente a la prestación del SAIB.</w:t>
      </w:r>
    </w:p>
    <w:p w:rsidR="00277ED2" w:rsidRPr="00611019" w:rsidRDefault="00E56462">
      <w:pPr>
        <w:pStyle w:val="Prrafodelista"/>
        <w:numPr>
          <w:ilvl w:val="0"/>
          <w:numId w:val="143"/>
        </w:numPr>
        <w:spacing w:before="1pt" w:after="6pt"/>
        <w:jc w:val="both"/>
        <w:rPr>
          <w:rFonts w:ascii="Century Gothic" w:eastAsia="Times New Roman" w:hAnsi="Century Gothic" w:cs="Arial"/>
          <w:b/>
        </w:rPr>
      </w:pPr>
      <w:r>
        <w:rPr>
          <w:rFonts w:ascii="Century Gothic" w:eastAsia="Times New Roman" w:hAnsi="Century Gothic" w:cs="Arial"/>
          <w:b/>
        </w:rPr>
        <w:t xml:space="preserve">Cobros no recurrentes </w:t>
      </w:r>
    </w:p>
    <w:p w:rsidR="00F011D1" w:rsidRPr="00611019" w:rsidRDefault="00F011D1" w:rsidP="00035D2C">
      <w:pPr>
        <w:spacing w:before="1pt" w:after="1pt"/>
        <w:jc w:val="both"/>
        <w:rPr>
          <w:rFonts w:ascii="Century Gothic" w:eastAsia="Times New Roman" w:hAnsi="Century Gothic" w:cs="Arial"/>
          <w:b/>
        </w:rPr>
      </w:pPr>
    </w:p>
    <w:p w:rsidR="00277ED2" w:rsidRPr="00611019" w:rsidRDefault="00E56462" w:rsidP="00035D2C">
      <w:pPr>
        <w:spacing w:before="1pt" w:after="1pt"/>
        <w:jc w:val="both"/>
        <w:rPr>
          <w:rFonts w:ascii="Century Gothic" w:eastAsia="Times New Roman" w:hAnsi="Century Gothic" w:cs="Arial"/>
          <w:b/>
        </w:rPr>
      </w:pPr>
      <w:r>
        <w:rPr>
          <w:rFonts w:ascii="Century Gothic" w:eastAsia="Times New Roman" w:hAnsi="Century Gothic" w:cs="Arial"/>
          <w:b/>
        </w:rPr>
        <w:t>- Gastos de instalación</w:t>
      </w:r>
    </w:p>
    <w:p w:rsidR="00C36A82" w:rsidRPr="00611019" w:rsidRDefault="00C36A82" w:rsidP="00035D2C">
      <w:pPr>
        <w:spacing w:before="1pt" w:after="1pt"/>
        <w:jc w:val="both"/>
        <w:rPr>
          <w:rFonts w:ascii="Century Gothic" w:eastAsia="Times New Roman" w:hAnsi="Century Gothic" w:cs="Arial"/>
          <w:b/>
          <w:sz w:val="8"/>
        </w:rPr>
      </w:pPr>
    </w:p>
    <w:tbl>
      <w:tblPr>
        <w:tblStyle w:val="Tablanormal1"/>
        <w:tblW w:w="100.0%" w:type="pct"/>
        <w:jc w:val="center"/>
        <w:tblLook w:firstRow="1" w:lastRow="0" w:firstColumn="1" w:lastColumn="0" w:noHBand="0" w:noVBand="1"/>
      </w:tblPr>
      <w:tblGrid>
        <w:gridCol w:w="5978"/>
        <w:gridCol w:w="3416"/>
      </w:tblGrid>
      <w:tr w:rsidR="0061711D" w:rsidTr="00281C0C">
        <w:trPr>
          <w:cnfStyle w:firstRow="1" w:lastRow="0" w:firstColumn="0" w:lastColumn="0" w:oddVBand="0" w:evenVBand="0" w:oddHBand="0"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63.0%" w:type="pct"/>
            <w:shd w:val="clear" w:color="auto" w:fill="009AD9"/>
          </w:tcPr>
          <w:p w:rsidR="006850A1" w:rsidRPr="00611019" w:rsidRDefault="00E56462" w:rsidP="00035D2C">
            <w:pPr>
              <w:shd w:val="clear" w:color="auto" w:fill="009AD9"/>
              <w:rPr>
                <w:rFonts w:ascii="Century Gothic" w:hAnsi="Century Gothic"/>
                <w:color w:val="FFFFFF" w:themeColor="background1"/>
                <w:sz w:val="20"/>
                <w:lang w:val="es-ES_tradnl"/>
              </w:rPr>
            </w:pPr>
            <w:r>
              <w:rPr>
                <w:rFonts w:ascii="Century Gothic" w:hAnsi="Century Gothic"/>
                <w:color w:val="FFFFFF" w:themeColor="background1"/>
                <w:sz w:val="20"/>
                <w:lang w:val="es-ES_tradnl"/>
              </w:rPr>
              <w:t>Concepto</w:t>
            </w:r>
          </w:p>
        </w:tc>
        <w:tc>
          <w:tcPr>
            <w:tcW w:w="36.0%" w:type="pct"/>
            <w:shd w:val="clear" w:color="auto" w:fill="009AD9"/>
          </w:tcPr>
          <w:p w:rsidR="006850A1" w:rsidRPr="00611019" w:rsidRDefault="00E56462" w:rsidP="00035D2C">
            <w:pPr>
              <w:shd w:val="clear" w:color="auto" w:fill="009AD9"/>
              <w:jc w:val="center"/>
              <w:cnfStyle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lang w:val="es-ES_tradnl"/>
              </w:rPr>
            </w:pPr>
            <w:r>
              <w:rPr>
                <w:rFonts w:ascii="Century Gothic" w:hAnsi="Century Gothic"/>
                <w:color w:val="FFFFFF" w:themeColor="background1"/>
                <w:sz w:val="20"/>
                <w:lang w:val="es-ES_tradnl"/>
              </w:rPr>
              <w:t>Contraprestación (por evento)</w:t>
            </w:r>
          </w:p>
        </w:tc>
      </w:tr>
      <w:tr w:rsidR="00281C0C" w:rsidTr="00281C0C">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63.0%" w:type="pct"/>
          </w:tcPr>
          <w:p w:rsidR="00281C0C" w:rsidRPr="00611019" w:rsidRDefault="00281C0C" w:rsidP="00281C0C">
            <w:pPr>
              <w:pStyle w:val="CondicionesFinales"/>
              <w:ind w:start="0pt" w:end="0pt"/>
              <w:jc w:val="start"/>
              <w:rPr>
                <w:rFonts w:ascii="Century Gothic" w:hAnsi="Century Gothic"/>
                <w:b w:val="0"/>
                <w:bCs/>
                <w:sz w:val="20"/>
                <w:szCs w:val="20"/>
              </w:rPr>
            </w:pPr>
            <w:r>
              <w:rPr>
                <w:rFonts w:ascii="Century Gothic" w:hAnsi="Century Gothic"/>
                <w:sz w:val="20"/>
                <w:szCs w:val="20"/>
              </w:rPr>
              <w:t>Despliegue de fibra (por metro lineal)</w:t>
            </w:r>
          </w:p>
        </w:tc>
        <w:tc>
          <w:tcPr>
            <w:tcW w:w="36.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281C0C" w:rsidRPr="00281C0C" w:rsidRDefault="00281C0C" w:rsidP="006B59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color w:val="auto"/>
                <w:sz w:val="20"/>
              </w:rPr>
            </w:pPr>
            <w:r w:rsidRPr="00281C0C">
              <w:rPr>
                <w:rFonts w:ascii="Century Gothic" w:hAnsi="Century Gothic"/>
                <w:sz w:val="20"/>
              </w:rPr>
              <w:t>$</w:t>
            </w:r>
            <w:r w:rsidR="006B592C">
              <w:rPr>
                <w:rFonts w:ascii="Century Gothic" w:hAnsi="Century Gothic"/>
                <w:sz w:val="20"/>
              </w:rPr>
              <w:t>269.79</w:t>
            </w:r>
          </w:p>
        </w:tc>
      </w:tr>
      <w:tr w:rsidR="00281C0C" w:rsidTr="00281C0C">
        <w:tblPrEx>
          <w:jc w:val="start"/>
        </w:tblPrEx>
        <w:trPr>
          <w:trHeight w:val="283"/>
        </w:trPr>
        <w:tc>
          <w:tcPr>
            <w:cnfStyle w:firstRow="0" w:lastRow="0" w:firstColumn="1" w:lastColumn="0" w:oddVBand="0" w:evenVBand="0" w:oddHBand="0" w:evenHBand="0" w:firstRowFirstColumn="0" w:firstRowLastColumn="0" w:lastRowFirstColumn="0" w:lastRowLastColumn="0"/>
            <w:tcW w:w="63.0%" w:type="pct"/>
          </w:tcPr>
          <w:p w:rsidR="00281C0C" w:rsidRPr="00611019" w:rsidRDefault="00281C0C" w:rsidP="00281C0C">
            <w:pPr>
              <w:pStyle w:val="CondicionesFinales"/>
              <w:ind w:start="0pt" w:end="0pt"/>
              <w:jc w:val="start"/>
              <w:rPr>
                <w:rFonts w:ascii="Century Gothic" w:hAnsi="Century Gothic"/>
                <w:b w:val="0"/>
                <w:bCs/>
                <w:sz w:val="20"/>
                <w:szCs w:val="20"/>
              </w:rPr>
            </w:pPr>
            <w:r>
              <w:rPr>
                <w:rFonts w:ascii="Century Gothic" w:hAnsi="Century Gothic"/>
                <w:sz w:val="20"/>
                <w:szCs w:val="20"/>
              </w:rPr>
              <w:t>Despliegue de fibra (fijo por cable)</w:t>
            </w:r>
          </w:p>
        </w:tc>
        <w:tc>
          <w:tcPr>
            <w:tcW w:w="36.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281C0C" w:rsidRPr="00281C0C" w:rsidRDefault="00281C0C" w:rsidP="006B59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color w:val="auto"/>
                <w:sz w:val="20"/>
                <w:szCs w:val="20"/>
              </w:rPr>
            </w:pPr>
            <w:r w:rsidRPr="00281C0C">
              <w:rPr>
                <w:rFonts w:ascii="Century Gothic" w:hAnsi="Century Gothic"/>
                <w:sz w:val="20"/>
              </w:rPr>
              <w:t>$2</w:t>
            </w:r>
            <w:r w:rsidR="006B592C">
              <w:rPr>
                <w:rFonts w:ascii="Century Gothic" w:hAnsi="Century Gothic"/>
                <w:sz w:val="20"/>
              </w:rPr>
              <w:t>6,975.80</w:t>
            </w:r>
          </w:p>
        </w:tc>
      </w:tr>
      <w:tr w:rsidR="00281C0C" w:rsidTr="00281C0C">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63.0%" w:type="pct"/>
          </w:tcPr>
          <w:p w:rsidR="00281C0C" w:rsidRPr="00611019" w:rsidRDefault="00281C0C" w:rsidP="00281C0C">
            <w:pPr>
              <w:pStyle w:val="CondicionesFinales"/>
              <w:ind w:start="0pt" w:end="0pt"/>
              <w:jc w:val="start"/>
              <w:rPr>
                <w:rFonts w:ascii="Century Gothic" w:hAnsi="Century Gothic"/>
                <w:b w:val="0"/>
                <w:bCs/>
                <w:sz w:val="20"/>
                <w:szCs w:val="20"/>
              </w:rPr>
            </w:pPr>
            <w:r>
              <w:rPr>
                <w:rFonts w:ascii="Century Gothic" w:hAnsi="Century Gothic"/>
                <w:sz w:val="20"/>
                <w:szCs w:val="20"/>
              </w:rPr>
              <w:lastRenderedPageBreak/>
              <w:t>Escalerilla o canaleta por fibra óptica con fijación en losa (por metro lineal)</w:t>
            </w:r>
          </w:p>
        </w:tc>
        <w:tc>
          <w:tcPr>
            <w:tcW w:w="36.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281C0C" w:rsidRPr="00281C0C" w:rsidRDefault="00281C0C" w:rsidP="006B59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color w:val="auto"/>
                <w:sz w:val="20"/>
              </w:rPr>
            </w:pPr>
            <w:r w:rsidRPr="00281C0C">
              <w:rPr>
                <w:rFonts w:ascii="Century Gothic" w:hAnsi="Century Gothic"/>
                <w:sz w:val="20"/>
              </w:rPr>
              <w:t>$</w:t>
            </w:r>
            <w:r w:rsidR="006B592C">
              <w:rPr>
                <w:rFonts w:ascii="Century Gothic" w:hAnsi="Century Gothic"/>
                <w:sz w:val="20"/>
              </w:rPr>
              <w:t>3,015.03</w:t>
            </w:r>
          </w:p>
        </w:tc>
      </w:tr>
      <w:tr w:rsidR="00281C0C" w:rsidTr="00281C0C">
        <w:tblPrEx>
          <w:jc w:val="start"/>
        </w:tblPrEx>
        <w:trPr>
          <w:trHeight w:val="283"/>
        </w:trPr>
        <w:tc>
          <w:tcPr>
            <w:cnfStyle w:firstRow="0" w:lastRow="0" w:firstColumn="1" w:lastColumn="0" w:oddVBand="0" w:evenVBand="0" w:oddHBand="0" w:evenHBand="0" w:firstRowFirstColumn="0" w:firstRowLastColumn="0" w:lastRowFirstColumn="0" w:lastRowLastColumn="0"/>
            <w:tcW w:w="63.0%" w:type="pct"/>
          </w:tcPr>
          <w:p w:rsidR="00281C0C" w:rsidRPr="00611019" w:rsidRDefault="00281C0C" w:rsidP="00281C0C">
            <w:pPr>
              <w:pStyle w:val="CondicionesFinales"/>
              <w:ind w:start="0pt" w:end="0pt"/>
              <w:jc w:val="start"/>
              <w:rPr>
                <w:rFonts w:ascii="Century Gothic" w:hAnsi="Century Gothic"/>
                <w:b w:val="0"/>
                <w:bCs/>
                <w:sz w:val="20"/>
                <w:szCs w:val="20"/>
              </w:rPr>
            </w:pPr>
            <w:r>
              <w:rPr>
                <w:rFonts w:ascii="Century Gothic" w:hAnsi="Century Gothic"/>
                <w:sz w:val="20"/>
                <w:szCs w:val="20"/>
              </w:rPr>
              <w:t>Escalerilla o canaleta por fibra óptica con fijación en losa (fijo por cable)</w:t>
            </w:r>
          </w:p>
        </w:tc>
        <w:tc>
          <w:tcPr>
            <w:tcW w:w="36.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281C0C" w:rsidRPr="00281C0C" w:rsidRDefault="00281C0C" w:rsidP="006B59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color w:val="auto"/>
                <w:sz w:val="20"/>
                <w:szCs w:val="20"/>
              </w:rPr>
            </w:pPr>
            <w:r w:rsidRPr="00281C0C">
              <w:rPr>
                <w:rFonts w:ascii="Century Gothic" w:hAnsi="Century Gothic"/>
                <w:sz w:val="20"/>
              </w:rPr>
              <w:t>$</w:t>
            </w:r>
            <w:r w:rsidR="006B592C">
              <w:rPr>
                <w:rFonts w:ascii="Century Gothic" w:hAnsi="Century Gothic"/>
                <w:sz w:val="20"/>
              </w:rPr>
              <w:t>60,300.58</w:t>
            </w:r>
          </w:p>
        </w:tc>
      </w:tr>
    </w:tbl>
    <w:p w:rsidR="006850A1" w:rsidRPr="00611019" w:rsidRDefault="00E56462" w:rsidP="00035D2C">
      <w:pPr>
        <w:spacing w:before="1pt" w:after="1pt"/>
        <w:jc w:val="both"/>
        <w:rPr>
          <w:rFonts w:ascii="Century Gothic" w:eastAsia="Times New Roman" w:hAnsi="Century Gothic" w:cs="Arial"/>
          <w:b/>
        </w:rPr>
      </w:pPr>
      <w:r>
        <w:rPr>
          <w:rFonts w:ascii="Century Gothic" w:eastAsia="Times New Roman" w:hAnsi="Century Gothic" w:cs="Arial"/>
          <w:b/>
          <w:sz w:val="18"/>
          <w:szCs w:val="18"/>
        </w:rPr>
        <w:t>Nota:</w:t>
      </w:r>
      <w:r>
        <w:rPr>
          <w:rFonts w:ascii="Century Gothic" w:eastAsia="Times New Roman" w:hAnsi="Century Gothic" w:cs="Arial"/>
          <w:bCs/>
          <w:sz w:val="18"/>
          <w:szCs w:val="18"/>
        </w:rPr>
        <w:t xml:space="preserve"> Las tarifas fijas resultas equivalen a 50 metros de longitud de las tarifas variables por metro lineal, proporción que será aplicable a todos los conceptos de tarifas fijas.</w:t>
      </w:r>
    </w:p>
    <w:p w:rsidR="00CC498B" w:rsidRPr="00611019" w:rsidRDefault="00CC498B" w:rsidP="00035D2C">
      <w:pPr>
        <w:spacing w:before="1pt"/>
        <w:jc w:val="both"/>
        <w:rPr>
          <w:rFonts w:ascii="Century Gothic" w:eastAsia="Times New Roman" w:hAnsi="Century Gothic" w:cs="Arial"/>
          <w:b/>
        </w:rPr>
      </w:pPr>
    </w:p>
    <w:p w:rsidR="00277ED2" w:rsidRPr="00611019" w:rsidRDefault="00E56462" w:rsidP="00035D2C">
      <w:pPr>
        <w:spacing w:before="1pt" w:after="1pt"/>
        <w:jc w:val="both"/>
        <w:rPr>
          <w:rFonts w:ascii="Century Gothic" w:eastAsia="Times New Roman" w:hAnsi="Century Gothic" w:cs="Arial"/>
          <w:b/>
        </w:rPr>
      </w:pPr>
      <w:r>
        <w:rPr>
          <w:rFonts w:ascii="Century Gothic" w:eastAsia="Times New Roman" w:hAnsi="Century Gothic" w:cs="Arial"/>
          <w:b/>
        </w:rPr>
        <w:t>- Empalme.</w:t>
      </w:r>
    </w:p>
    <w:p w:rsidR="00F011D1" w:rsidRPr="00611019" w:rsidRDefault="00F011D1" w:rsidP="00035D2C">
      <w:pPr>
        <w:spacing w:before="1pt" w:after="1pt"/>
        <w:jc w:val="both"/>
        <w:rPr>
          <w:rFonts w:ascii="Century Gothic" w:eastAsia="Times New Roman" w:hAnsi="Century Gothic" w:cs="Arial"/>
          <w:b/>
          <w:sz w:val="8"/>
        </w:rPr>
      </w:pPr>
    </w:p>
    <w:tbl>
      <w:tblPr>
        <w:tblStyle w:val="Cuadrculadetablaclara"/>
        <w:tblW w:w="100.0%" w:type="pct"/>
        <w:jc w:val="center"/>
        <w:tblLook w:firstRow="1" w:lastRow="0" w:firstColumn="1" w:lastColumn="0" w:noHBand="0" w:noVBand="1"/>
      </w:tblPr>
      <w:tblGrid>
        <w:gridCol w:w="6072"/>
        <w:gridCol w:w="3322"/>
      </w:tblGrid>
      <w:tr w:rsidR="0061711D" w:rsidTr="00281C0C">
        <w:trPr>
          <w:trHeight w:val="283"/>
          <w:jc w:val="center"/>
        </w:trPr>
        <w:tc>
          <w:tcPr>
            <w:tcW w:w="64.0%" w:type="pct"/>
            <w:shd w:val="clear" w:color="auto" w:fill="009AD9"/>
            <w:vAlign w:val="center"/>
          </w:tcPr>
          <w:p w:rsidR="00277ED2" w:rsidRPr="00611019" w:rsidRDefault="00E56462" w:rsidP="00035D2C">
            <w:pPr>
              <w:spacing w:before="1pt" w:after="1pt"/>
              <w:rPr>
                <w:rFonts w:ascii="Century Gothic" w:eastAsia="Times New Roman" w:hAnsi="Century Gothic" w:cs="Arial"/>
                <w:b/>
                <w:bCs/>
                <w:color w:val="FFFFFF" w:themeColor="background1"/>
                <w:sz w:val="20"/>
                <w:szCs w:val="20"/>
                <w:lang w:val="es-ES_tradnl" w:eastAsia="es-ES"/>
              </w:rPr>
            </w:pPr>
            <w:r>
              <w:rPr>
                <w:rFonts w:ascii="Century Gothic" w:eastAsia="Times New Roman" w:hAnsi="Century Gothic" w:cs="Arial"/>
                <w:b/>
                <w:bCs/>
                <w:color w:val="FFFFFF" w:themeColor="background1"/>
                <w:sz w:val="20"/>
                <w:szCs w:val="20"/>
                <w:lang w:val="es-ES_tradnl" w:eastAsia="es-ES"/>
              </w:rPr>
              <w:t>Concepto</w:t>
            </w:r>
          </w:p>
        </w:tc>
        <w:tc>
          <w:tcPr>
            <w:tcW w:w="35.0%" w:type="pct"/>
            <w:shd w:val="clear" w:color="auto" w:fill="009AD9"/>
            <w:vAlign w:val="center"/>
          </w:tcPr>
          <w:p w:rsidR="00277ED2" w:rsidRPr="00611019" w:rsidRDefault="00E56462" w:rsidP="00035D2C">
            <w:pPr>
              <w:spacing w:before="1pt" w:after="1pt"/>
              <w:jc w:val="center"/>
              <w:rPr>
                <w:rFonts w:ascii="Century Gothic" w:eastAsia="Times New Roman" w:hAnsi="Century Gothic" w:cs="Arial"/>
                <w:b/>
                <w:bCs/>
                <w:color w:val="FFFFFF" w:themeColor="background1"/>
                <w:sz w:val="20"/>
                <w:szCs w:val="20"/>
                <w:lang w:val="es-ES_tradnl" w:eastAsia="es-ES"/>
              </w:rPr>
            </w:pPr>
            <w:r>
              <w:rPr>
                <w:rFonts w:ascii="Century Gothic" w:eastAsia="Times New Roman" w:hAnsi="Century Gothic" w:cs="Arial"/>
                <w:b/>
                <w:bCs/>
                <w:color w:val="FFFFFF" w:themeColor="background1"/>
                <w:sz w:val="20"/>
                <w:szCs w:val="20"/>
                <w:lang w:val="es-ES_tradnl" w:eastAsia="es-ES"/>
              </w:rPr>
              <w:t>Contraprestación</w:t>
            </w:r>
          </w:p>
        </w:tc>
      </w:tr>
      <w:tr w:rsidR="00281C0C" w:rsidTr="00281C0C">
        <w:trPr>
          <w:trHeight w:val="283"/>
          <w:jc w:val="center"/>
        </w:trPr>
        <w:tc>
          <w:tcPr>
            <w:tcW w:w="64.0%" w:type="pct"/>
          </w:tcPr>
          <w:p w:rsidR="00281C0C" w:rsidRPr="00611019" w:rsidRDefault="00281C0C" w:rsidP="00281C0C">
            <w:pPr>
              <w:pStyle w:val="CondicionesFinales"/>
              <w:spacing w:before="1pt" w:after="1pt"/>
              <w:ind w:start="0pt" w:end="0pt"/>
              <w:rPr>
                <w:rFonts w:ascii="Century Gothic" w:hAnsi="Century Gothic"/>
                <w:sz w:val="20"/>
                <w:szCs w:val="20"/>
              </w:rPr>
            </w:pPr>
            <w:r>
              <w:rPr>
                <w:rFonts w:ascii="Century Gothic" w:hAnsi="Century Gothic"/>
                <w:sz w:val="20"/>
                <w:szCs w:val="20"/>
                <w:lang w:val="es-MX"/>
              </w:rPr>
              <w:t>Empalme (costo fijo)</w:t>
            </w:r>
          </w:p>
        </w:tc>
        <w:tc>
          <w:tcPr>
            <w:tcW w:w="35.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281C0C" w:rsidRPr="00281C0C" w:rsidRDefault="00281C0C" w:rsidP="00281C0C">
            <w:pPr>
              <w:pStyle w:val="CondicionesFinales1"/>
              <w:ind w:start="0pt" w:end="0pt"/>
              <w:jc w:val="center"/>
              <w:rPr>
                <w:rFonts w:ascii="Century Gothic" w:hAnsi="Century Gothic"/>
                <w:sz w:val="20"/>
                <w:szCs w:val="20"/>
              </w:rPr>
            </w:pPr>
            <w:r w:rsidRPr="00281C0C">
              <w:rPr>
                <w:rFonts w:ascii="Century Gothic" w:hAnsi="Century Gothic"/>
                <w:sz w:val="20"/>
              </w:rPr>
              <w:t>$291.37</w:t>
            </w:r>
          </w:p>
        </w:tc>
      </w:tr>
      <w:tr w:rsidR="00281C0C" w:rsidTr="00281C0C">
        <w:trPr>
          <w:trHeight w:val="283"/>
          <w:jc w:val="center"/>
        </w:trPr>
        <w:tc>
          <w:tcPr>
            <w:tcW w:w="64.0%" w:type="pct"/>
            <w:shd w:val="clear" w:color="auto" w:fill="F2F2F2" w:themeFill="background1" w:themeFillShade="F2"/>
          </w:tcPr>
          <w:p w:rsidR="00281C0C" w:rsidRPr="00611019" w:rsidRDefault="00281C0C" w:rsidP="00281C0C">
            <w:pPr>
              <w:pStyle w:val="CondicionesFinales"/>
              <w:spacing w:before="1pt" w:after="1pt"/>
              <w:ind w:start="0pt" w:end="0pt"/>
              <w:rPr>
                <w:rFonts w:ascii="Century Gothic" w:hAnsi="Century Gothic"/>
                <w:sz w:val="20"/>
                <w:szCs w:val="20"/>
                <w:lang w:val="es-MX"/>
              </w:rPr>
            </w:pPr>
            <w:r>
              <w:rPr>
                <w:rFonts w:ascii="Century Gothic" w:hAnsi="Century Gothic"/>
                <w:sz w:val="20"/>
                <w:szCs w:val="20"/>
                <w:lang w:val="es-MX"/>
              </w:rPr>
              <w:t>Empalme (costo variable por hilo)</w:t>
            </w:r>
          </w:p>
        </w:tc>
        <w:tc>
          <w:tcPr>
            <w:tcW w:w="35.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281C0C" w:rsidRPr="00281C0C" w:rsidRDefault="00281C0C" w:rsidP="00281C0C">
            <w:pPr>
              <w:pStyle w:val="CondicionesFinales"/>
              <w:spacing w:before="1pt" w:after="1pt"/>
              <w:ind w:start="0pt" w:end="0pt"/>
              <w:jc w:val="center"/>
              <w:rPr>
                <w:rFonts w:ascii="Century Gothic" w:hAnsi="Century Gothic"/>
                <w:sz w:val="20"/>
                <w:szCs w:val="20"/>
              </w:rPr>
            </w:pPr>
            <w:r w:rsidRPr="00281C0C">
              <w:rPr>
                <w:rFonts w:ascii="Century Gothic" w:hAnsi="Century Gothic"/>
                <w:sz w:val="20"/>
              </w:rPr>
              <w:t>$</w:t>
            </w:r>
            <w:r w:rsidR="006B592C">
              <w:rPr>
                <w:rFonts w:ascii="Century Gothic" w:hAnsi="Century Gothic"/>
                <w:sz w:val="20"/>
              </w:rPr>
              <w:t>461.73</w:t>
            </w:r>
          </w:p>
        </w:tc>
      </w:tr>
    </w:tbl>
    <w:p w:rsidR="00277ED2" w:rsidRPr="00611019" w:rsidRDefault="00E56462" w:rsidP="00035D2C">
      <w:pPr>
        <w:spacing w:before="1pt" w:after="1pt"/>
        <w:rPr>
          <w:rFonts w:ascii="Century Gothic" w:eastAsia="Times New Roman" w:hAnsi="Century Gothic" w:cs="Arial"/>
          <w:sz w:val="18"/>
          <w:szCs w:val="18"/>
        </w:rPr>
      </w:pPr>
      <w:r>
        <w:rPr>
          <w:rFonts w:ascii="Century Gothic" w:eastAsia="Times New Roman" w:hAnsi="Century Gothic" w:cs="Arial"/>
          <w:b/>
          <w:sz w:val="18"/>
          <w:szCs w:val="18"/>
        </w:rPr>
        <w:t xml:space="preserve">Nota: </w:t>
      </w:r>
      <w:r>
        <w:rPr>
          <w:rFonts w:ascii="Century Gothic" w:eastAsia="Times New Roman" w:hAnsi="Century Gothic" w:cs="Arial"/>
          <w:sz w:val="18"/>
          <w:szCs w:val="18"/>
        </w:rPr>
        <w:t>En caso de requerirse instalación del DFO, el costo asociado se determinará caso a caso, dependiendo de las especificaciones y actividades necesarias.</w:t>
      </w:r>
    </w:p>
    <w:p w:rsidR="00277ED2" w:rsidRPr="00611019" w:rsidRDefault="00E56462" w:rsidP="00035D2C">
      <w:pPr>
        <w:tabs>
          <w:tab w:val="start" w:pos="121.50pt"/>
        </w:tabs>
        <w:spacing w:before="1pt" w:after="1pt"/>
        <w:rPr>
          <w:rFonts w:ascii="Century Gothic" w:eastAsia="Times New Roman" w:hAnsi="Century Gothic" w:cs="Arial"/>
        </w:rPr>
      </w:pPr>
      <w:r>
        <w:rPr>
          <w:rFonts w:ascii="Century Gothic" w:eastAsia="Times New Roman" w:hAnsi="Century Gothic" w:cs="Arial"/>
        </w:rPr>
        <w:tab/>
      </w:r>
    </w:p>
    <w:p w:rsidR="00277ED2" w:rsidRPr="00611019" w:rsidRDefault="00E56462">
      <w:pPr>
        <w:pStyle w:val="Prrafodelista"/>
        <w:numPr>
          <w:ilvl w:val="0"/>
          <w:numId w:val="144"/>
        </w:numPr>
        <w:spacing w:before="1pt" w:after="1pt"/>
        <w:jc w:val="both"/>
        <w:rPr>
          <w:rFonts w:ascii="Century Gothic" w:eastAsia="Times New Roman" w:hAnsi="Century Gothic" w:cs="Arial"/>
          <w:b/>
        </w:rPr>
      </w:pPr>
      <w:r>
        <w:rPr>
          <w:rFonts w:ascii="Century Gothic" w:eastAsia="Times New Roman" w:hAnsi="Century Gothic" w:cs="Arial"/>
          <w:b/>
        </w:rPr>
        <w:t xml:space="preserve">Cobros recurrentes. </w:t>
      </w:r>
    </w:p>
    <w:tbl>
      <w:tblPr>
        <w:tblStyle w:val="Tablanormal1"/>
        <w:tblW w:w="100.0%" w:type="pct"/>
        <w:jc w:val="center"/>
        <w:tblLook w:firstRow="1" w:lastRow="0" w:firstColumn="1" w:lastColumn="0" w:noHBand="0" w:noVBand="1"/>
      </w:tblPr>
      <w:tblGrid>
        <w:gridCol w:w="5978"/>
        <w:gridCol w:w="3416"/>
      </w:tblGrid>
      <w:tr w:rsidR="0061711D" w:rsidTr="00281C0C">
        <w:trPr>
          <w:cnfStyle w:firstRow="1" w:lastRow="0" w:firstColumn="0" w:lastColumn="0" w:oddVBand="0" w:evenVBand="0" w:oddHBand="0"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63.0%" w:type="pct"/>
            <w:shd w:val="clear" w:color="auto" w:fill="009AD9"/>
          </w:tcPr>
          <w:p w:rsidR="006850A1" w:rsidRPr="00611019" w:rsidRDefault="00E56462" w:rsidP="00035D2C">
            <w:pPr>
              <w:rPr>
                <w:rFonts w:ascii="Century Gothic" w:hAnsi="Century Gothic"/>
                <w:color w:val="FFFFFF" w:themeColor="background1"/>
                <w:sz w:val="20"/>
                <w:lang w:val="es-ES_tradnl"/>
              </w:rPr>
            </w:pPr>
            <w:r>
              <w:rPr>
                <w:rFonts w:ascii="Century Gothic" w:hAnsi="Century Gothic"/>
                <w:color w:val="FFFFFF" w:themeColor="background1"/>
                <w:sz w:val="20"/>
                <w:lang w:val="es-ES_tradnl"/>
              </w:rPr>
              <w:t>Concepto</w:t>
            </w:r>
          </w:p>
        </w:tc>
        <w:tc>
          <w:tcPr>
            <w:tcW w:w="36.0%" w:type="pct"/>
            <w:shd w:val="clear" w:color="auto" w:fill="009AD9"/>
          </w:tcPr>
          <w:p w:rsidR="006850A1" w:rsidRPr="00611019" w:rsidRDefault="00E56462" w:rsidP="00035D2C">
            <w:pPr>
              <w:jc w:val="center"/>
              <w:cnfStyle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lang w:val="es-ES_tradnl"/>
              </w:rPr>
            </w:pPr>
            <w:r>
              <w:rPr>
                <w:rFonts w:ascii="Century Gothic" w:hAnsi="Century Gothic"/>
                <w:color w:val="FFFFFF" w:themeColor="background1"/>
                <w:sz w:val="20"/>
                <w:lang w:val="es-ES_tradnl"/>
              </w:rPr>
              <w:t>Contraprestación</w:t>
            </w:r>
          </w:p>
        </w:tc>
      </w:tr>
      <w:tr w:rsidR="00281C0C" w:rsidTr="00281C0C">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63.0%" w:type="pct"/>
          </w:tcPr>
          <w:p w:rsidR="00281C0C" w:rsidRPr="00611019" w:rsidRDefault="00281C0C" w:rsidP="00281C0C">
            <w:pPr>
              <w:pStyle w:val="CondicionesFinales"/>
              <w:ind w:start="0pt" w:end="0pt"/>
              <w:rPr>
                <w:rFonts w:ascii="Century Gothic" w:hAnsi="Century Gothic"/>
                <w:b w:val="0"/>
                <w:bCs/>
                <w:sz w:val="20"/>
              </w:rPr>
            </w:pPr>
            <w:r>
              <w:rPr>
                <w:rFonts w:ascii="Century Gothic" w:hAnsi="Century Gothic"/>
                <w:sz w:val="20"/>
                <w:lang w:val="es-MX"/>
              </w:rPr>
              <w:t>Mantenimiento de escalerilla y fibra (por metro lineal)</w:t>
            </w:r>
          </w:p>
        </w:tc>
        <w:tc>
          <w:tcPr>
            <w:tcW w:w="36.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281C0C" w:rsidRPr="00281C0C" w:rsidRDefault="00281C0C" w:rsidP="00281C0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281C0C">
              <w:rPr>
                <w:rFonts w:ascii="Century Gothic" w:hAnsi="Century Gothic"/>
                <w:sz w:val="20"/>
              </w:rPr>
              <w:t>$</w:t>
            </w:r>
            <w:r w:rsidR="006B592C">
              <w:rPr>
                <w:rFonts w:ascii="Century Gothic" w:hAnsi="Century Gothic"/>
                <w:sz w:val="20"/>
              </w:rPr>
              <w:t>20.01</w:t>
            </w:r>
          </w:p>
        </w:tc>
      </w:tr>
      <w:tr w:rsidR="00281C0C" w:rsidTr="00281C0C">
        <w:tblPrEx>
          <w:jc w:val="start"/>
        </w:tblPrEx>
        <w:trPr>
          <w:trHeight w:val="283"/>
        </w:trPr>
        <w:tc>
          <w:tcPr>
            <w:cnfStyle w:firstRow="0" w:lastRow="0" w:firstColumn="1" w:lastColumn="0" w:oddVBand="0" w:evenVBand="0" w:oddHBand="0" w:evenHBand="0" w:firstRowFirstColumn="0" w:firstRowLastColumn="0" w:lastRowFirstColumn="0" w:lastRowLastColumn="0"/>
            <w:tcW w:w="63.0%" w:type="pct"/>
          </w:tcPr>
          <w:p w:rsidR="00281C0C" w:rsidRPr="00611019" w:rsidRDefault="00281C0C" w:rsidP="00281C0C">
            <w:pPr>
              <w:pStyle w:val="CondicionesFinales"/>
              <w:ind w:start="0pt" w:end="0pt"/>
              <w:rPr>
                <w:rFonts w:ascii="Century Gothic" w:hAnsi="Century Gothic"/>
                <w:b w:val="0"/>
                <w:bCs/>
                <w:sz w:val="20"/>
                <w:szCs w:val="20"/>
                <w:lang w:val="es-MX"/>
              </w:rPr>
            </w:pPr>
            <w:r>
              <w:rPr>
                <w:rFonts w:ascii="Century Gothic" w:hAnsi="Century Gothic"/>
                <w:sz w:val="20"/>
                <w:szCs w:val="20"/>
                <w:lang w:val="es-MX"/>
              </w:rPr>
              <w:t>Mantenimiento de escalerilla y fibra (fijo por cable)</w:t>
            </w:r>
          </w:p>
        </w:tc>
        <w:tc>
          <w:tcPr>
            <w:tcW w:w="36.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281C0C" w:rsidRPr="00281C0C" w:rsidRDefault="00281C0C" w:rsidP="006B59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sidRPr="00281C0C">
              <w:rPr>
                <w:rFonts w:ascii="Century Gothic" w:hAnsi="Century Gothic"/>
                <w:sz w:val="20"/>
              </w:rPr>
              <w:t>$</w:t>
            </w:r>
            <w:r w:rsidR="006B592C">
              <w:rPr>
                <w:rFonts w:ascii="Century Gothic" w:hAnsi="Century Gothic"/>
                <w:sz w:val="20"/>
              </w:rPr>
              <w:t>2,141.71</w:t>
            </w:r>
          </w:p>
        </w:tc>
      </w:tr>
      <w:tr w:rsidR="00281C0C" w:rsidTr="00281C0C">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63.0%" w:type="pct"/>
          </w:tcPr>
          <w:p w:rsidR="00281C0C" w:rsidRPr="00611019" w:rsidRDefault="00281C0C" w:rsidP="00281C0C">
            <w:pPr>
              <w:pStyle w:val="CondicionesFinales"/>
              <w:ind w:start="0pt" w:end="0pt"/>
              <w:rPr>
                <w:rFonts w:ascii="Century Gothic" w:hAnsi="Century Gothic"/>
                <w:b w:val="0"/>
                <w:bCs/>
                <w:sz w:val="20"/>
                <w:lang w:val="es-MX"/>
              </w:rPr>
            </w:pPr>
            <w:r>
              <w:rPr>
                <w:rFonts w:ascii="Century Gothic" w:hAnsi="Century Gothic"/>
                <w:sz w:val="20"/>
                <w:lang w:val="es-MX"/>
              </w:rPr>
              <w:t>Renta de instalaciones</w:t>
            </w:r>
          </w:p>
        </w:tc>
        <w:tc>
          <w:tcPr>
            <w:tcW w:w="36.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281C0C" w:rsidRPr="00281C0C" w:rsidRDefault="00281C0C" w:rsidP="006B59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281C0C">
              <w:rPr>
                <w:rFonts w:ascii="Century Gothic" w:hAnsi="Century Gothic"/>
                <w:sz w:val="20"/>
              </w:rPr>
              <w:t>$</w:t>
            </w:r>
            <w:r w:rsidR="006B592C">
              <w:rPr>
                <w:rFonts w:ascii="Century Gothic" w:hAnsi="Century Gothic"/>
                <w:sz w:val="20"/>
              </w:rPr>
              <w:t>141.08</w:t>
            </w:r>
            <w:r w:rsidRPr="00281C0C">
              <w:rPr>
                <w:rFonts w:ascii="Century Gothic" w:hAnsi="Century Gothic"/>
                <w:sz w:val="18"/>
                <w:szCs w:val="18"/>
              </w:rPr>
              <w:t>*/</w:t>
            </w:r>
          </w:p>
        </w:tc>
      </w:tr>
    </w:tbl>
    <w:p w:rsidR="006850A1" w:rsidRPr="00611019" w:rsidRDefault="00E56462" w:rsidP="00035D2C">
      <w:pPr>
        <w:spacing w:before="1pt" w:after="1pt"/>
        <w:jc w:val="both"/>
        <w:rPr>
          <w:rFonts w:ascii="Century Gothic" w:eastAsia="Times New Roman" w:hAnsi="Century Gothic" w:cs="Arial"/>
          <w:bCs/>
          <w:sz w:val="18"/>
          <w:szCs w:val="18"/>
        </w:rPr>
      </w:pPr>
      <w:r>
        <w:rPr>
          <w:rFonts w:ascii="Century Gothic" w:eastAsia="Times New Roman" w:hAnsi="Century Gothic" w:cs="Arial"/>
          <w:bCs/>
          <w:sz w:val="18"/>
          <w:szCs w:val="18"/>
        </w:rPr>
        <w:t>Nota: El CS podrá optar por cobros recurrentes fijos o variables, independientemente de la alternativa que elija para cualquiera de los cobros no recurrentes de este servicio.</w:t>
      </w:r>
    </w:p>
    <w:p w:rsidR="00281C0C" w:rsidRPr="00281C0C" w:rsidRDefault="00281C0C" w:rsidP="00281C0C">
      <w:pPr>
        <w:spacing w:before="1pt" w:after="1pt"/>
        <w:jc w:val="both"/>
        <w:rPr>
          <w:rFonts w:ascii="Century Gothic" w:eastAsia="Times New Roman" w:hAnsi="Century Gothic" w:cs="Arial"/>
          <w:bCs/>
          <w:sz w:val="18"/>
          <w:szCs w:val="18"/>
        </w:rPr>
      </w:pPr>
      <w:r w:rsidRPr="00281C0C">
        <w:rPr>
          <w:rFonts w:ascii="Century Gothic" w:eastAsia="Times New Roman" w:hAnsi="Century Gothic" w:cs="Arial"/>
          <w:bCs/>
          <w:sz w:val="18"/>
          <w:szCs w:val="18"/>
        </w:rPr>
        <w:t>*/ En el caso particular de esta tarifa, el Instituto resuelve adoptar la tarifa solicitada por RED NACIONAL en virtud de que genera mejores condiciones para la prestación de los servicios de telecomunicaciones.</w:t>
      </w:r>
    </w:p>
    <w:p w:rsidR="00247F4A" w:rsidRPr="00247F4A" w:rsidRDefault="00247F4A" w:rsidP="00247F4A">
      <w:pPr>
        <w:spacing w:before="1pt" w:after="1pt" w:line="13.20pt" w:lineRule="auto"/>
        <w:jc w:val="both"/>
        <w:rPr>
          <w:rFonts w:ascii="Century Gothic" w:eastAsia="Times New Roman" w:hAnsi="Century Gothic" w:cs="Arial"/>
        </w:rPr>
      </w:pPr>
    </w:p>
    <w:p w:rsidR="00277ED2" w:rsidRPr="00611019" w:rsidRDefault="000511F0" w:rsidP="00035D2C">
      <w:pPr>
        <w:spacing w:before="1pt" w:after="1pt"/>
        <w:ind w:start="14.20pt" w:hanging="18pt"/>
        <w:jc w:val="both"/>
        <w:outlineLvl w:val="0"/>
        <w:rPr>
          <w:rFonts w:ascii="Century Gothic" w:hAnsi="Century Gothic" w:cs="Arial"/>
          <w:b/>
          <w:i/>
        </w:rPr>
      </w:pPr>
      <w:bookmarkStart w:id="2312" w:name="_Toc92974104"/>
      <w:bookmarkStart w:id="2313" w:name="_Toc93052415"/>
      <w:bookmarkStart w:id="2314" w:name="_Toc93056370"/>
      <w:bookmarkStart w:id="2315" w:name="_Toc125393434"/>
      <w:bookmarkStart w:id="2316" w:name="_Toc148702290"/>
      <w:bookmarkStart w:id="2317" w:name="_Toc170381905"/>
      <w:r>
        <w:rPr>
          <w:rFonts w:ascii="Century Gothic" w:eastAsia="Calibri" w:hAnsi="Century Gothic" w:cs="Arial"/>
          <w:b/>
          <w:i/>
          <w:sz w:val="24"/>
        </w:rPr>
        <w:t>6</w:t>
      </w:r>
      <w:r w:rsidR="00E56462">
        <w:rPr>
          <w:rFonts w:ascii="Century Gothic" w:eastAsia="Calibri" w:hAnsi="Century Gothic" w:cs="Arial"/>
          <w:b/>
          <w:i/>
          <w:sz w:val="24"/>
        </w:rPr>
        <w:t>.</w:t>
      </w:r>
      <w:r w:rsidR="00E56462">
        <w:rPr>
          <w:rFonts w:ascii="Century Gothic" w:eastAsia="Calibri" w:hAnsi="Century Gothic" w:cs="Arial"/>
          <w:b/>
          <w:i/>
          <w:sz w:val="24"/>
        </w:rPr>
        <w:tab/>
      </w:r>
      <w:r w:rsidR="00E56462">
        <w:rPr>
          <w:rFonts w:ascii="Century Gothic" w:hAnsi="Century Gothic" w:cs="Arial"/>
          <w:b/>
          <w:i/>
        </w:rPr>
        <w:t>Generale</w:t>
      </w:r>
      <w:bookmarkEnd w:id="2312"/>
      <w:bookmarkEnd w:id="2313"/>
      <w:bookmarkEnd w:id="2314"/>
      <w:bookmarkEnd w:id="2315"/>
      <w:bookmarkEnd w:id="2316"/>
      <w:bookmarkEnd w:id="2317"/>
      <w:r w:rsidR="00860070">
        <w:rPr>
          <w:rFonts w:ascii="Century Gothic" w:hAnsi="Century Gothic" w:cs="Arial"/>
          <w:b/>
          <w:i/>
        </w:rPr>
        <w:t>s</w:t>
      </w:r>
      <w:r w:rsidR="00E56462">
        <w:rPr>
          <w:rFonts w:ascii="Century Gothic" w:hAnsi="Century Gothic" w:cs="Arial"/>
          <w:b/>
          <w:i/>
        </w:rPr>
        <w:t>.</w:t>
      </w:r>
    </w:p>
    <w:p w:rsidR="00277ED2" w:rsidRPr="00611019" w:rsidRDefault="00E56462">
      <w:pPr>
        <w:pStyle w:val="Prrafodelista"/>
        <w:numPr>
          <w:ilvl w:val="0"/>
          <w:numId w:val="145"/>
        </w:numPr>
        <w:spacing w:before="1pt" w:after="1pt"/>
        <w:jc w:val="both"/>
        <w:rPr>
          <w:rFonts w:ascii="Century Gothic" w:eastAsia="Times New Roman" w:hAnsi="Century Gothic" w:cs="Arial"/>
          <w:b/>
        </w:rPr>
      </w:pPr>
      <w:r>
        <w:rPr>
          <w:rFonts w:ascii="Century Gothic" w:eastAsia="Times New Roman" w:hAnsi="Century Gothic" w:cs="Arial"/>
          <w:b/>
        </w:rPr>
        <w:t xml:space="preserve">Cobros no recurrentes. </w:t>
      </w:r>
    </w:p>
    <w:tbl>
      <w:tblPr>
        <w:tblStyle w:val="Tablanormal1"/>
        <w:tblW w:w="100.0%" w:type="pct"/>
        <w:jc w:val="center"/>
        <w:tblLook w:firstRow="1" w:lastRow="0" w:firstColumn="1" w:lastColumn="0" w:noHBand="0" w:noVBand="1"/>
      </w:tblPr>
      <w:tblGrid>
        <w:gridCol w:w="4777"/>
        <w:gridCol w:w="4617"/>
      </w:tblGrid>
      <w:tr w:rsidR="0061711D" w:rsidTr="00247F4A">
        <w:trPr>
          <w:cnfStyle w:firstRow="1" w:lastRow="0" w:firstColumn="0" w:lastColumn="0" w:oddVBand="0" w:evenVBand="0" w:oddHBand="0"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238.85pt" w:type="dxa"/>
            <w:shd w:val="clear" w:color="auto" w:fill="009AD9"/>
            <w:vAlign w:val="center"/>
          </w:tcPr>
          <w:p w:rsidR="0042017E" w:rsidRPr="00611019" w:rsidRDefault="00E56462" w:rsidP="00035D2C">
            <w:pPr>
              <w:ind w:start="18pt"/>
              <w:rPr>
                <w:rFonts w:ascii="Century Gothic" w:hAnsi="Century Gothic"/>
                <w:color w:val="FFFFFF" w:themeColor="background1"/>
                <w:sz w:val="20"/>
                <w:lang w:val="es-ES_tradnl"/>
              </w:rPr>
            </w:pPr>
            <w:r>
              <w:rPr>
                <w:rFonts w:ascii="Century Gothic" w:hAnsi="Century Gothic"/>
                <w:color w:val="FFFFFF" w:themeColor="background1"/>
                <w:sz w:val="20"/>
                <w:lang w:val="es-ES_tradnl"/>
              </w:rPr>
              <w:t>Concepto</w:t>
            </w:r>
          </w:p>
        </w:tc>
        <w:tc>
          <w:tcPr>
            <w:tcW w:w="230.85pt" w:type="dxa"/>
            <w:shd w:val="clear" w:color="auto" w:fill="009AD9"/>
            <w:vAlign w:val="center"/>
          </w:tcPr>
          <w:p w:rsidR="0042017E" w:rsidRPr="00611019" w:rsidRDefault="00E56462" w:rsidP="00035D2C">
            <w:pPr>
              <w:jc w:val="center"/>
              <w:cnfStyle w:firstRow="1" w:lastRow="0" w:firstColumn="0" w:lastColumn="0" w:oddVBand="0" w:evenVBand="0" w:oddHBand="0" w:evenHBand="0" w:firstRowFirstColumn="0" w:firstRowLastColumn="0" w:lastRowFirstColumn="0" w:lastRowLastColumn="0"/>
              <w:rPr>
                <w:rFonts w:ascii="Century Gothic" w:hAnsi="Century Gothic"/>
                <w:color w:val="FFFFFF" w:themeColor="background1"/>
                <w:sz w:val="20"/>
                <w:lang w:val="es-ES_tradnl"/>
              </w:rPr>
            </w:pPr>
            <w:r>
              <w:rPr>
                <w:rFonts w:ascii="Century Gothic" w:hAnsi="Century Gothic"/>
                <w:color w:val="FFFFFF" w:themeColor="background1"/>
                <w:sz w:val="20"/>
                <w:lang w:val="es-ES_tradnl"/>
              </w:rPr>
              <w:t>Contraprestación (por evento)</w:t>
            </w:r>
          </w:p>
        </w:tc>
      </w:tr>
      <w:tr w:rsidR="00281C0C" w:rsidTr="00220735">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238.85pt" w:type="dxa"/>
            <w:vAlign w:val="center"/>
          </w:tcPr>
          <w:p w:rsidR="00281C0C" w:rsidRPr="00611019" w:rsidRDefault="00281C0C" w:rsidP="00281C0C">
            <w:pPr>
              <w:pStyle w:val="CondicionesFinales"/>
              <w:ind w:start="0pt" w:end="0pt"/>
              <w:jc w:val="start"/>
              <w:rPr>
                <w:rFonts w:ascii="Century Gothic" w:hAnsi="Century Gothic"/>
                <w:b w:val="0"/>
                <w:bCs/>
                <w:sz w:val="20"/>
              </w:rPr>
            </w:pPr>
            <w:r>
              <w:rPr>
                <w:rFonts w:ascii="Century Gothic" w:hAnsi="Century Gothic"/>
                <w:sz w:val="20"/>
              </w:rPr>
              <w:t>Instalación de acometida de cobre</w:t>
            </w:r>
          </w:p>
        </w:tc>
        <w:tc>
          <w:tcPr>
            <w:tcW w:w="230.8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281C0C" w:rsidRPr="00281C0C" w:rsidRDefault="00281C0C" w:rsidP="006B59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281C0C">
              <w:rPr>
                <w:rFonts w:ascii="Century Gothic" w:hAnsi="Century Gothic"/>
                <w:sz w:val="20"/>
              </w:rPr>
              <w:t>$</w:t>
            </w:r>
            <w:r w:rsidR="006B592C">
              <w:rPr>
                <w:rFonts w:ascii="Century Gothic" w:hAnsi="Century Gothic"/>
                <w:sz w:val="20"/>
              </w:rPr>
              <w:t>760.74</w:t>
            </w:r>
          </w:p>
        </w:tc>
      </w:tr>
      <w:tr w:rsidR="00281C0C" w:rsidTr="00220735">
        <w:trPr>
          <w:trHeight w:val="283"/>
          <w:jc w:val="center"/>
        </w:trPr>
        <w:tc>
          <w:tcPr>
            <w:cnfStyle w:firstRow="0" w:lastRow="0" w:firstColumn="1" w:lastColumn="0" w:oddVBand="0" w:evenVBand="0" w:oddHBand="0" w:evenHBand="0" w:firstRowFirstColumn="0" w:firstRowLastColumn="0" w:lastRowFirstColumn="0" w:lastRowLastColumn="0"/>
            <w:tcW w:w="238.85pt" w:type="dxa"/>
            <w:vAlign w:val="center"/>
          </w:tcPr>
          <w:p w:rsidR="00281C0C" w:rsidRPr="00611019" w:rsidRDefault="00281C0C" w:rsidP="00281C0C">
            <w:pPr>
              <w:pStyle w:val="CondicionesFinales"/>
              <w:ind w:start="0pt" w:end="0pt"/>
              <w:jc w:val="start"/>
              <w:rPr>
                <w:rFonts w:ascii="Century Gothic" w:hAnsi="Century Gothic"/>
                <w:b w:val="0"/>
                <w:bCs/>
                <w:sz w:val="20"/>
              </w:rPr>
            </w:pPr>
            <w:r>
              <w:rPr>
                <w:rFonts w:ascii="Century Gothic" w:hAnsi="Century Gothic"/>
                <w:sz w:val="20"/>
              </w:rPr>
              <w:t>Instalación de acometida de fibra óptica</w:t>
            </w:r>
          </w:p>
        </w:tc>
        <w:tc>
          <w:tcPr>
            <w:tcW w:w="230.8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281C0C" w:rsidRPr="00281C0C" w:rsidRDefault="00281C0C" w:rsidP="00281C0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r w:rsidRPr="00281C0C">
              <w:rPr>
                <w:rFonts w:ascii="Century Gothic" w:hAnsi="Century Gothic"/>
                <w:sz w:val="20"/>
              </w:rPr>
              <w:t>$1,948.64</w:t>
            </w:r>
          </w:p>
        </w:tc>
      </w:tr>
      <w:tr w:rsidR="00281C0C" w:rsidTr="00220735">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238.85pt" w:type="dxa"/>
            <w:vAlign w:val="center"/>
          </w:tcPr>
          <w:p w:rsidR="00281C0C" w:rsidRPr="00611019" w:rsidRDefault="00281C0C" w:rsidP="00281C0C">
            <w:pPr>
              <w:pStyle w:val="CondicionesFinales"/>
              <w:ind w:start="0pt" w:end="0pt"/>
              <w:jc w:val="start"/>
              <w:rPr>
                <w:rFonts w:ascii="Century Gothic" w:hAnsi="Century Gothic"/>
                <w:b w:val="0"/>
                <w:bCs/>
                <w:sz w:val="20"/>
              </w:rPr>
            </w:pPr>
            <w:r>
              <w:rPr>
                <w:rFonts w:ascii="Century Gothic" w:hAnsi="Century Gothic"/>
                <w:sz w:val="20"/>
              </w:rPr>
              <w:t>Visita en falso</w:t>
            </w:r>
          </w:p>
        </w:tc>
        <w:tc>
          <w:tcPr>
            <w:tcW w:w="230.8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281C0C" w:rsidRPr="00281C0C" w:rsidRDefault="00281C0C" w:rsidP="00281C0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281C0C">
              <w:rPr>
                <w:rFonts w:ascii="Century Gothic" w:hAnsi="Century Gothic"/>
                <w:sz w:val="20"/>
              </w:rPr>
              <w:t>$651.62</w:t>
            </w:r>
          </w:p>
        </w:tc>
      </w:tr>
      <w:tr w:rsidR="0091787F" w:rsidTr="00220735">
        <w:trPr>
          <w:trHeight w:val="283"/>
          <w:jc w:val="center"/>
        </w:trPr>
        <w:tc>
          <w:tcPr>
            <w:cnfStyle w:firstRow="0" w:lastRow="0" w:firstColumn="1" w:lastColumn="0" w:oddVBand="0" w:evenVBand="0" w:oddHBand="0" w:evenHBand="0" w:firstRowFirstColumn="0" w:firstRowLastColumn="0" w:lastRowFirstColumn="0" w:lastRowLastColumn="0"/>
            <w:tcW w:w="238.85pt" w:type="dxa"/>
            <w:vAlign w:val="center"/>
          </w:tcPr>
          <w:p w:rsidR="0091787F" w:rsidRDefault="0091787F" w:rsidP="00281C0C">
            <w:pPr>
              <w:pStyle w:val="CondicionesFinales"/>
              <w:ind w:start="0pt" w:end="0pt"/>
              <w:jc w:val="start"/>
              <w:rPr>
                <w:rFonts w:ascii="Century Gothic" w:hAnsi="Century Gothic"/>
                <w:sz w:val="20"/>
              </w:rPr>
            </w:pPr>
            <w:r>
              <w:rPr>
                <w:rFonts w:ascii="Century Gothic" w:hAnsi="Century Gothic"/>
                <w:sz w:val="20"/>
              </w:rPr>
              <w:t>Instalación de acometida de SDTFO</w:t>
            </w:r>
          </w:p>
        </w:tc>
        <w:tc>
          <w:tcPr>
            <w:tcW w:w="230.8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91787F" w:rsidRPr="00281C0C" w:rsidRDefault="006B592C" w:rsidP="00281C0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r>
              <w:rPr>
                <w:rFonts w:ascii="Century Gothic" w:hAnsi="Century Gothic"/>
                <w:sz w:val="20"/>
              </w:rPr>
              <w:t>$24,066.96</w:t>
            </w:r>
          </w:p>
        </w:tc>
      </w:tr>
      <w:tr w:rsidR="00281C0C" w:rsidTr="00220735">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238.85pt" w:type="dxa"/>
            <w:vAlign w:val="center"/>
          </w:tcPr>
          <w:p w:rsidR="00281C0C" w:rsidRPr="00611019" w:rsidRDefault="00281C0C" w:rsidP="00281C0C">
            <w:pPr>
              <w:pStyle w:val="CondicionesFinales"/>
              <w:ind w:start="0pt" w:end="0pt"/>
              <w:jc w:val="start"/>
              <w:rPr>
                <w:rFonts w:ascii="Century Gothic" w:hAnsi="Century Gothic"/>
                <w:b w:val="0"/>
                <w:bCs/>
                <w:sz w:val="20"/>
              </w:rPr>
            </w:pPr>
            <w:r>
              <w:rPr>
                <w:rFonts w:ascii="Century Gothic" w:hAnsi="Century Gothic"/>
                <w:sz w:val="20"/>
              </w:rPr>
              <w:t>Visita técnica por SDTFO</w:t>
            </w:r>
          </w:p>
        </w:tc>
        <w:tc>
          <w:tcPr>
            <w:tcW w:w="230.8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281C0C" w:rsidRPr="00281C0C" w:rsidRDefault="00281C0C" w:rsidP="006B59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281C0C">
              <w:rPr>
                <w:rFonts w:ascii="Century Gothic" w:hAnsi="Century Gothic"/>
                <w:sz w:val="20"/>
              </w:rPr>
              <w:t>$1</w:t>
            </w:r>
            <w:r w:rsidR="006B592C">
              <w:rPr>
                <w:rFonts w:ascii="Century Gothic" w:hAnsi="Century Gothic"/>
                <w:sz w:val="20"/>
              </w:rPr>
              <w:t>4,948.84</w:t>
            </w:r>
          </w:p>
        </w:tc>
      </w:tr>
      <w:tr w:rsidR="00281C0C" w:rsidTr="00220735">
        <w:trPr>
          <w:trHeight w:val="283"/>
          <w:jc w:val="center"/>
        </w:trPr>
        <w:tc>
          <w:tcPr>
            <w:cnfStyle w:firstRow="0" w:lastRow="0" w:firstColumn="1" w:lastColumn="0" w:oddVBand="0" w:evenVBand="0" w:oddHBand="0" w:evenHBand="0" w:firstRowFirstColumn="0" w:firstRowLastColumn="0" w:lastRowFirstColumn="0" w:lastRowLastColumn="0"/>
            <w:tcW w:w="238.85pt" w:type="dxa"/>
            <w:vAlign w:val="center"/>
          </w:tcPr>
          <w:p w:rsidR="00281C0C" w:rsidRPr="00611019" w:rsidRDefault="00281C0C" w:rsidP="00281C0C">
            <w:pPr>
              <w:pStyle w:val="CondicionesFinales"/>
              <w:ind w:start="0pt" w:end="0pt"/>
              <w:jc w:val="start"/>
              <w:rPr>
                <w:rFonts w:ascii="Century Gothic" w:hAnsi="Century Gothic"/>
                <w:b w:val="0"/>
                <w:bCs/>
                <w:sz w:val="20"/>
              </w:rPr>
            </w:pPr>
            <w:r>
              <w:rPr>
                <w:rFonts w:ascii="Century Gothic" w:hAnsi="Century Gothic"/>
                <w:sz w:val="20"/>
              </w:rPr>
              <w:t>Cableado interior (primero adicional y segundo adicional)</w:t>
            </w:r>
            <w:r>
              <w:rPr>
                <w:rFonts w:ascii="Century Gothic" w:hAnsi="Century Gothic"/>
                <w:sz w:val="20"/>
                <w:vertAlign w:val="superscript"/>
              </w:rPr>
              <w:t>1/</w:t>
            </w:r>
          </w:p>
        </w:tc>
        <w:tc>
          <w:tcPr>
            <w:tcW w:w="230.8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281C0C" w:rsidRPr="00281C0C" w:rsidRDefault="00281C0C" w:rsidP="00281C0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r w:rsidRPr="00281C0C">
              <w:rPr>
                <w:rFonts w:ascii="Century Gothic" w:hAnsi="Century Gothic"/>
                <w:sz w:val="20"/>
              </w:rPr>
              <w:t>$598.00</w:t>
            </w:r>
          </w:p>
        </w:tc>
      </w:tr>
      <w:tr w:rsidR="00281C0C" w:rsidTr="00220735">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238.85pt" w:type="dxa"/>
            <w:vAlign w:val="center"/>
          </w:tcPr>
          <w:p w:rsidR="00281C0C" w:rsidRPr="00611019" w:rsidRDefault="00281C0C" w:rsidP="00281C0C">
            <w:pPr>
              <w:pStyle w:val="CondicionesFinales"/>
              <w:ind w:start="0pt" w:end="0pt"/>
              <w:jc w:val="start"/>
              <w:rPr>
                <w:rFonts w:ascii="Century Gothic" w:hAnsi="Century Gothic"/>
                <w:b w:val="0"/>
                <w:bCs/>
                <w:sz w:val="20"/>
              </w:rPr>
            </w:pPr>
            <w:r>
              <w:rPr>
                <w:rFonts w:ascii="Century Gothic" w:hAnsi="Century Gothic"/>
                <w:sz w:val="20"/>
              </w:rPr>
              <w:t xml:space="preserve">Cableado interior (tercero y subsiguientes) </w:t>
            </w:r>
            <w:r>
              <w:rPr>
                <w:rFonts w:ascii="Century Gothic" w:hAnsi="Century Gothic"/>
                <w:sz w:val="20"/>
                <w:vertAlign w:val="superscript"/>
              </w:rPr>
              <w:t>1/</w:t>
            </w:r>
          </w:p>
        </w:tc>
        <w:tc>
          <w:tcPr>
            <w:tcW w:w="230.8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281C0C" w:rsidRPr="00281C0C" w:rsidRDefault="00281C0C" w:rsidP="00281C0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281C0C">
              <w:rPr>
                <w:rFonts w:ascii="Century Gothic" w:hAnsi="Century Gothic"/>
                <w:sz w:val="20"/>
              </w:rPr>
              <w:t>$299.00</w:t>
            </w:r>
          </w:p>
        </w:tc>
      </w:tr>
      <w:tr w:rsidR="00281C0C" w:rsidTr="00220735">
        <w:trPr>
          <w:trHeight w:val="283"/>
          <w:jc w:val="center"/>
        </w:trPr>
        <w:tc>
          <w:tcPr>
            <w:cnfStyle w:firstRow="0" w:lastRow="0" w:firstColumn="1" w:lastColumn="0" w:oddVBand="0" w:evenVBand="0" w:oddHBand="0" w:evenHBand="0" w:firstRowFirstColumn="0" w:firstRowLastColumn="0" w:lastRowFirstColumn="0" w:lastRowLastColumn="0"/>
            <w:tcW w:w="238.85pt" w:type="dxa"/>
            <w:vAlign w:val="center"/>
          </w:tcPr>
          <w:p w:rsidR="00281C0C" w:rsidRPr="00611019" w:rsidRDefault="00281C0C" w:rsidP="00281C0C">
            <w:pPr>
              <w:pStyle w:val="CondicionesFinales"/>
              <w:ind w:start="0pt" w:end="0pt"/>
              <w:jc w:val="start"/>
              <w:rPr>
                <w:rFonts w:ascii="Century Gothic" w:hAnsi="Century Gothic"/>
                <w:b w:val="0"/>
                <w:bCs/>
                <w:sz w:val="20"/>
              </w:rPr>
            </w:pPr>
            <w:r>
              <w:rPr>
                <w:rFonts w:ascii="Century Gothic" w:hAnsi="Century Gothic"/>
                <w:sz w:val="20"/>
              </w:rPr>
              <w:t>Atención de avería inexistente por reporte de falla</w:t>
            </w:r>
          </w:p>
        </w:tc>
        <w:tc>
          <w:tcPr>
            <w:tcW w:w="230.8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281C0C" w:rsidRPr="00281C0C" w:rsidRDefault="00281C0C" w:rsidP="006B592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r w:rsidRPr="00281C0C">
              <w:rPr>
                <w:rFonts w:ascii="Century Gothic" w:hAnsi="Century Gothic"/>
                <w:sz w:val="20"/>
              </w:rPr>
              <w:t>$</w:t>
            </w:r>
            <w:r w:rsidR="006B592C">
              <w:rPr>
                <w:rFonts w:ascii="Century Gothic" w:hAnsi="Century Gothic"/>
                <w:sz w:val="20"/>
              </w:rPr>
              <w:t>1,881.81</w:t>
            </w:r>
          </w:p>
        </w:tc>
      </w:tr>
      <w:tr w:rsidR="00281C0C" w:rsidTr="00220735">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238.85pt" w:type="dxa"/>
            <w:vAlign w:val="center"/>
          </w:tcPr>
          <w:p w:rsidR="00281C0C" w:rsidRPr="00611019" w:rsidRDefault="00281C0C" w:rsidP="00281C0C">
            <w:pPr>
              <w:pStyle w:val="CondicionesFinales"/>
              <w:ind w:start="0pt" w:end="0pt"/>
              <w:jc w:val="start"/>
              <w:rPr>
                <w:rFonts w:ascii="Century Gothic" w:hAnsi="Century Gothic"/>
                <w:b w:val="0"/>
                <w:bCs/>
                <w:sz w:val="20"/>
              </w:rPr>
            </w:pPr>
            <w:r>
              <w:rPr>
                <w:rFonts w:ascii="Century Gothic" w:hAnsi="Century Gothic"/>
                <w:sz w:val="20"/>
              </w:rPr>
              <w:t>Reubicación de ONT</w:t>
            </w:r>
            <w:r>
              <w:rPr>
                <w:rFonts w:ascii="Century Gothic" w:hAnsi="Century Gothic"/>
                <w:sz w:val="20"/>
                <w:vertAlign w:val="superscript"/>
              </w:rPr>
              <w:t>2/</w:t>
            </w:r>
          </w:p>
        </w:tc>
        <w:tc>
          <w:tcPr>
            <w:tcW w:w="230.8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281C0C" w:rsidRPr="00281C0C" w:rsidRDefault="00281C0C" w:rsidP="006B592C">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281C0C">
              <w:rPr>
                <w:rFonts w:ascii="Century Gothic" w:hAnsi="Century Gothic"/>
                <w:sz w:val="20"/>
              </w:rPr>
              <w:t>$</w:t>
            </w:r>
            <w:r w:rsidR="006B592C">
              <w:rPr>
                <w:rFonts w:ascii="Century Gothic" w:hAnsi="Century Gothic"/>
                <w:sz w:val="20"/>
              </w:rPr>
              <w:t>1,948.64</w:t>
            </w:r>
          </w:p>
        </w:tc>
      </w:tr>
      <w:tr w:rsidR="00281C0C" w:rsidTr="00220735">
        <w:trPr>
          <w:trHeight w:val="283"/>
          <w:jc w:val="center"/>
        </w:trPr>
        <w:tc>
          <w:tcPr>
            <w:cnfStyle w:firstRow="0" w:lastRow="0" w:firstColumn="1" w:lastColumn="0" w:oddVBand="0" w:evenVBand="0" w:oddHBand="0" w:evenHBand="0" w:firstRowFirstColumn="0" w:firstRowLastColumn="0" w:lastRowFirstColumn="0" w:lastRowLastColumn="0"/>
            <w:tcW w:w="238.85pt" w:type="dxa"/>
            <w:vAlign w:val="center"/>
          </w:tcPr>
          <w:p w:rsidR="00281C0C" w:rsidRPr="00611019" w:rsidRDefault="00281C0C" w:rsidP="00281C0C">
            <w:pPr>
              <w:pStyle w:val="CondicionesFinales"/>
              <w:ind w:start="0pt" w:end="0pt"/>
              <w:jc w:val="start"/>
              <w:rPr>
                <w:rFonts w:ascii="Century Gothic" w:hAnsi="Century Gothic"/>
                <w:b w:val="0"/>
                <w:bCs/>
                <w:sz w:val="20"/>
              </w:rPr>
            </w:pPr>
            <w:r>
              <w:rPr>
                <w:rFonts w:ascii="Century Gothic" w:hAnsi="Century Gothic"/>
                <w:sz w:val="20"/>
              </w:rPr>
              <w:t>Cambio de Tecnología</w:t>
            </w:r>
            <w:r>
              <w:rPr>
                <w:rFonts w:ascii="Century Gothic" w:hAnsi="Century Gothic"/>
                <w:sz w:val="20"/>
                <w:vertAlign w:val="superscript"/>
              </w:rPr>
              <w:t>2/</w:t>
            </w:r>
            <w:r>
              <w:rPr>
                <w:rFonts w:ascii="Century Gothic" w:hAnsi="Century Gothic"/>
                <w:sz w:val="20"/>
              </w:rPr>
              <w:t xml:space="preserve"> </w:t>
            </w:r>
          </w:p>
        </w:tc>
        <w:tc>
          <w:tcPr>
            <w:tcW w:w="230.8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281C0C" w:rsidRPr="00281C0C" w:rsidRDefault="00281C0C" w:rsidP="00281C0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rPr>
            </w:pPr>
            <w:r w:rsidRPr="00281C0C">
              <w:rPr>
                <w:rFonts w:ascii="Century Gothic" w:hAnsi="Century Gothic"/>
                <w:sz w:val="20"/>
              </w:rPr>
              <w:t>$1,948.64</w:t>
            </w:r>
          </w:p>
        </w:tc>
      </w:tr>
      <w:tr w:rsidR="00281C0C" w:rsidTr="00220735">
        <w:trPr>
          <w:cnfStyle w:firstRow="0" w:lastRow="0" w:firstColumn="0" w:lastColumn="0" w:oddVBand="0" w:evenVBand="0" w:oddHBand="1" w:evenHBand="0" w:firstRowFirstColumn="0" w:firstRowLastColumn="0" w:lastRowFirstColumn="0" w:lastRowLastColumn="0"/>
          <w:trHeight w:val="283"/>
          <w:jc w:val="center"/>
        </w:trPr>
        <w:tc>
          <w:tcPr>
            <w:cnfStyle w:firstRow="0" w:lastRow="0" w:firstColumn="1" w:lastColumn="0" w:oddVBand="0" w:evenVBand="0" w:oddHBand="0" w:evenHBand="0" w:firstRowFirstColumn="0" w:firstRowLastColumn="0" w:lastRowFirstColumn="0" w:lastRowLastColumn="0"/>
            <w:tcW w:w="238.85pt" w:type="dxa"/>
            <w:vAlign w:val="center"/>
          </w:tcPr>
          <w:p w:rsidR="00281C0C" w:rsidRPr="00860070" w:rsidRDefault="00281C0C" w:rsidP="00281C0C">
            <w:pPr>
              <w:pStyle w:val="CondicionesFinales"/>
              <w:ind w:start="0pt" w:end="0pt"/>
              <w:jc w:val="start"/>
              <w:rPr>
                <w:rFonts w:ascii="Century Gothic" w:hAnsi="Century Gothic"/>
                <w:bCs/>
                <w:sz w:val="20"/>
              </w:rPr>
            </w:pPr>
            <w:r w:rsidRPr="00860070">
              <w:rPr>
                <w:rFonts w:ascii="Century Gothic" w:hAnsi="Century Gothic"/>
                <w:bCs/>
                <w:sz w:val="20"/>
              </w:rPr>
              <w:lastRenderedPageBreak/>
              <w:t>Cotización de Análisis de Factibilidad para Servicios Auxiliares y Trabajos Especiales</w:t>
            </w:r>
          </w:p>
        </w:tc>
        <w:tc>
          <w:tcPr>
            <w:tcW w:w="230.8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281C0C" w:rsidRPr="00281C0C" w:rsidRDefault="00281C0C" w:rsidP="00A535A5">
            <w:pPr>
              <w:pStyle w:val="CondicionesFinales"/>
              <w:ind w:start="0pt" w:end="0pt"/>
              <w:jc w:val="center"/>
              <w:cnfStyle w:firstRow="0" w:lastRow="0" w:firstColumn="0" w:lastColumn="0" w:oddVBand="0" w:evenVBand="0" w:oddHBand="1" w:evenHBand="0" w:firstRowFirstColumn="0" w:firstRowLastColumn="0" w:lastRowFirstColumn="0" w:lastRowLastColumn="0"/>
              <w:rPr>
                <w:rFonts w:ascii="Century Gothic" w:hAnsi="Century Gothic"/>
                <w:sz w:val="20"/>
              </w:rPr>
            </w:pPr>
            <w:r w:rsidRPr="00281C0C">
              <w:rPr>
                <w:rFonts w:ascii="Century Gothic" w:hAnsi="Century Gothic"/>
                <w:sz w:val="20"/>
                <w:szCs w:val="20"/>
              </w:rPr>
              <w:t>$5,</w:t>
            </w:r>
            <w:r w:rsidR="00A535A5">
              <w:rPr>
                <w:rFonts w:ascii="Century Gothic" w:hAnsi="Century Gothic"/>
                <w:sz w:val="20"/>
                <w:szCs w:val="20"/>
              </w:rPr>
              <w:t>642</w:t>
            </w:r>
            <w:r w:rsidRPr="00281C0C">
              <w:rPr>
                <w:rFonts w:ascii="Century Gothic" w:hAnsi="Century Gothic"/>
                <w:sz w:val="20"/>
                <w:szCs w:val="20"/>
              </w:rPr>
              <w:t>.</w:t>
            </w:r>
            <w:r w:rsidR="00A535A5" w:rsidRPr="00281C0C">
              <w:rPr>
                <w:rFonts w:ascii="Century Gothic" w:hAnsi="Century Gothic"/>
                <w:sz w:val="20"/>
                <w:szCs w:val="20"/>
              </w:rPr>
              <w:t>2</w:t>
            </w:r>
            <w:r w:rsidR="00A535A5">
              <w:rPr>
                <w:rFonts w:ascii="Century Gothic" w:hAnsi="Century Gothic"/>
                <w:sz w:val="20"/>
                <w:szCs w:val="20"/>
              </w:rPr>
              <w:t>6</w:t>
            </w:r>
            <w:r w:rsidR="00A535A5" w:rsidRPr="00281C0C">
              <w:rPr>
                <w:rFonts w:ascii="Century Gothic" w:hAnsi="Century Gothic"/>
                <w:sz w:val="20"/>
                <w:szCs w:val="20"/>
              </w:rPr>
              <w:t xml:space="preserve"> </w:t>
            </w:r>
            <w:r w:rsidRPr="00281C0C">
              <w:rPr>
                <w:rFonts w:ascii="Century Gothic" w:hAnsi="Century Gothic"/>
                <w:sz w:val="20"/>
                <w:szCs w:val="20"/>
              </w:rPr>
              <w:t>por evento</w:t>
            </w:r>
          </w:p>
        </w:tc>
      </w:tr>
      <w:tr w:rsidR="0091787F" w:rsidTr="00220735">
        <w:trPr>
          <w:trHeight w:val="283"/>
          <w:jc w:val="center"/>
        </w:trPr>
        <w:tc>
          <w:tcPr>
            <w:cnfStyle w:firstRow="0" w:lastRow="0" w:firstColumn="1" w:lastColumn="0" w:oddVBand="0" w:evenVBand="0" w:oddHBand="0" w:evenHBand="0" w:firstRowFirstColumn="0" w:firstRowLastColumn="0" w:lastRowFirstColumn="0" w:lastRowLastColumn="0"/>
            <w:tcW w:w="238.85pt" w:type="dxa"/>
            <w:vAlign w:val="center"/>
          </w:tcPr>
          <w:p w:rsidR="0091787F" w:rsidRPr="00860070" w:rsidRDefault="0091787F" w:rsidP="00281C0C">
            <w:pPr>
              <w:pStyle w:val="CondicionesFinales"/>
              <w:ind w:start="0pt" w:end="0pt"/>
              <w:jc w:val="start"/>
              <w:rPr>
                <w:rFonts w:ascii="Century Gothic" w:hAnsi="Century Gothic"/>
                <w:bCs/>
                <w:sz w:val="20"/>
              </w:rPr>
            </w:pPr>
            <w:r>
              <w:rPr>
                <w:rFonts w:ascii="Century Gothic" w:hAnsi="Century Gothic"/>
                <w:bCs/>
                <w:sz w:val="20"/>
              </w:rPr>
              <w:t xml:space="preserve">Servicio de interoperabilidad </w:t>
            </w:r>
          </w:p>
        </w:tc>
        <w:tc>
          <w:tcPr>
            <w:tcW w:w="230.85pt" w:type="dxa"/>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tcPr>
          <w:p w:rsidR="0091787F" w:rsidRPr="00281C0C" w:rsidRDefault="00A535A5" w:rsidP="00281C0C">
            <w:pPr>
              <w:pStyle w:val="CondicionesFinales"/>
              <w:ind w:start="0pt" w:end="0pt"/>
              <w:jc w:val="center"/>
              <w:cnfStyle w:firstRow="0" w:lastRow="0" w:firstColumn="0" w:lastColumn="0" w:oddVBand="0" w:evenVBand="0" w:oddHBand="0" w:evenHBand="0" w:firstRowFirstColumn="0" w:firstRowLastColumn="0" w:lastRowFirstColumn="0" w:lastRowLastColumn="0"/>
              <w:rPr>
                <w:rFonts w:ascii="Century Gothic" w:hAnsi="Century Gothic"/>
                <w:sz w:val="20"/>
                <w:szCs w:val="20"/>
              </w:rPr>
            </w:pPr>
            <w:r>
              <w:rPr>
                <w:rFonts w:ascii="Century Gothic" w:hAnsi="Century Gothic"/>
                <w:sz w:val="20"/>
                <w:szCs w:val="20"/>
              </w:rPr>
              <w:t>$231,866.47</w:t>
            </w:r>
          </w:p>
        </w:tc>
      </w:tr>
    </w:tbl>
    <w:p w:rsidR="0042017E" w:rsidRPr="00611019" w:rsidRDefault="00E56462" w:rsidP="00035D2C">
      <w:pPr>
        <w:pStyle w:val="Prrafodelista"/>
        <w:spacing w:before="1pt" w:after="1pt"/>
        <w:ind w:start="14.20pt" w:hanging="14.20pt"/>
        <w:contextualSpacing w:val="0"/>
        <w:jc w:val="both"/>
        <w:rPr>
          <w:rFonts w:ascii="Century Gothic" w:hAnsi="Century Gothic"/>
          <w:sz w:val="18"/>
          <w:szCs w:val="18"/>
        </w:rPr>
      </w:pPr>
      <w:r>
        <w:rPr>
          <w:rFonts w:ascii="Century Gothic" w:hAnsi="Century Gothic"/>
          <w:sz w:val="18"/>
          <w:szCs w:val="18"/>
          <w:vertAlign w:val="superscript"/>
        </w:rPr>
        <w:t>1/</w:t>
      </w:r>
      <w:r>
        <w:rPr>
          <w:rFonts w:ascii="Century Gothic" w:hAnsi="Century Gothic"/>
          <w:sz w:val="18"/>
          <w:szCs w:val="18"/>
        </w:rPr>
        <w:t xml:space="preserve"> </w:t>
      </w:r>
      <w:r>
        <w:rPr>
          <w:rFonts w:ascii="Century Gothic" w:hAnsi="Century Gothic"/>
          <w:sz w:val="18"/>
          <w:szCs w:val="18"/>
        </w:rPr>
        <w:tab/>
        <w:t xml:space="preserve">Servicio opcional aplicable para nuevas contrataciones o instalación de cableados adicionales. Dicho Servicio no aplica en caso de la primera instalación, dado que en este caso el cableado interior es sin costo. </w:t>
      </w:r>
    </w:p>
    <w:p w:rsidR="002B0ECA" w:rsidRPr="00611019" w:rsidRDefault="00E56462" w:rsidP="00035D2C">
      <w:pPr>
        <w:spacing w:after="8pt"/>
        <w:rPr>
          <w:rFonts w:ascii="Century Gothic" w:hAnsi="Century Gothic"/>
          <w:sz w:val="18"/>
          <w:szCs w:val="18"/>
        </w:rPr>
      </w:pPr>
      <w:r>
        <w:rPr>
          <w:rFonts w:ascii="Century Gothic" w:hAnsi="Century Gothic"/>
          <w:sz w:val="18"/>
          <w:szCs w:val="18"/>
          <w:vertAlign w:val="superscript"/>
        </w:rPr>
        <w:t>2/</w:t>
      </w:r>
      <w:r>
        <w:rPr>
          <w:rFonts w:ascii="Century Gothic" w:hAnsi="Century Gothic"/>
          <w:sz w:val="18"/>
          <w:szCs w:val="18"/>
        </w:rPr>
        <w:t xml:space="preserve">   Servicio opcional</w:t>
      </w:r>
      <w:bookmarkStart w:id="2318" w:name="_Toc92974105"/>
      <w:bookmarkStart w:id="2319" w:name="_Toc93052416"/>
      <w:bookmarkStart w:id="2320" w:name="_Toc93056371"/>
    </w:p>
    <w:p w:rsidR="00316289" w:rsidRPr="00611019" w:rsidRDefault="00247F4A" w:rsidP="00035D2C">
      <w:pPr>
        <w:spacing w:after="8pt"/>
        <w:rPr>
          <w:rFonts w:ascii="Century Gothic" w:hAnsi="Century Gothic" w:cs="Arial"/>
          <w:b/>
          <w:i/>
        </w:rPr>
      </w:pPr>
      <w:r>
        <w:rPr>
          <w:rFonts w:ascii="Century Gothic" w:eastAsia="Times New Roman" w:hAnsi="Century Gothic" w:cs="Arial"/>
          <w:b/>
          <w:sz w:val="24"/>
        </w:rPr>
        <w:t>8</w:t>
      </w:r>
      <w:r w:rsidR="00E56462">
        <w:rPr>
          <w:rFonts w:ascii="Century Gothic" w:eastAsia="Times New Roman" w:hAnsi="Century Gothic" w:cs="Arial"/>
          <w:b/>
          <w:sz w:val="24"/>
        </w:rPr>
        <w:t>.</w:t>
      </w:r>
      <w:r w:rsidR="00E56462">
        <w:rPr>
          <w:rFonts w:ascii="Century Gothic" w:eastAsia="Times New Roman" w:hAnsi="Century Gothic" w:cs="Arial"/>
          <w:b/>
          <w:sz w:val="24"/>
        </w:rPr>
        <w:tab/>
      </w:r>
      <w:r w:rsidR="00E56462">
        <w:rPr>
          <w:rFonts w:ascii="Century Gothic" w:hAnsi="Century Gothic" w:cs="Arial"/>
          <w:b/>
          <w:i/>
        </w:rPr>
        <w:t>Cobros opcionales</w:t>
      </w:r>
      <w:bookmarkEnd w:id="2318"/>
      <w:bookmarkEnd w:id="2319"/>
      <w:bookmarkEnd w:id="2320"/>
      <w:r w:rsidR="00E56462">
        <w:rPr>
          <w:rFonts w:ascii="Century Gothic" w:hAnsi="Century Gothic" w:cs="Arial"/>
          <w:b/>
          <w:i/>
        </w:rPr>
        <w:t>.</w:t>
      </w:r>
    </w:p>
    <w:p w:rsidR="00277ED2" w:rsidRPr="00611019" w:rsidRDefault="00E56462" w:rsidP="00035D2C">
      <w:pPr>
        <w:spacing w:before="1pt" w:after="6pt"/>
        <w:jc w:val="both"/>
        <w:rPr>
          <w:rFonts w:ascii="Century Gothic" w:eastAsia="Times New Roman" w:hAnsi="Century Gothic" w:cs="Arial"/>
          <w:b/>
          <w:i/>
        </w:rPr>
      </w:pPr>
      <w:r>
        <w:rPr>
          <w:rFonts w:ascii="Century Gothic" w:eastAsia="Times New Roman" w:hAnsi="Century Gothic" w:cs="Arial"/>
          <w:b/>
          <w:i/>
        </w:rPr>
        <w:t>- Equipos Modem Blanco y ONT para Acceso de Datos por lote de 15,000 unidades</w:t>
      </w:r>
    </w:p>
    <w:tbl>
      <w:tblPr>
        <w:tblStyle w:val="Cuadrculadetablaclara"/>
        <w:tblW w:w="100.0%" w:type="pct"/>
        <w:jc w:val="center"/>
        <w:tblLook w:firstRow="1" w:lastRow="0" w:firstColumn="1" w:lastColumn="0" w:noHBand="0" w:noVBand="1"/>
      </w:tblPr>
      <w:tblGrid>
        <w:gridCol w:w="3605"/>
        <w:gridCol w:w="5789"/>
      </w:tblGrid>
      <w:tr w:rsidR="0061711D" w:rsidTr="006A573B">
        <w:trPr>
          <w:trHeight w:val="283"/>
          <w:jc w:val="center"/>
        </w:trPr>
        <w:tc>
          <w:tcPr>
            <w:tcW w:w="38.0%" w:type="pct"/>
            <w:shd w:val="clear" w:color="auto" w:fill="009AD9"/>
          </w:tcPr>
          <w:p w:rsidR="00277ED2" w:rsidRPr="00611019" w:rsidRDefault="00E56462" w:rsidP="00035D2C">
            <w:pPr>
              <w:pStyle w:val="CondicionesFinales"/>
              <w:spacing w:before="1pt" w:after="1pt"/>
              <w:ind w:start="0pt" w:end="0pt"/>
              <w:jc w:val="center"/>
              <w:rPr>
                <w:rFonts w:ascii="Century Gothic" w:hAnsi="Century Gothic"/>
                <w:b/>
                <w:color w:val="FFFFFF" w:themeColor="background1"/>
                <w:sz w:val="20"/>
                <w:szCs w:val="20"/>
              </w:rPr>
            </w:pPr>
            <w:r>
              <w:rPr>
                <w:rFonts w:ascii="Century Gothic" w:hAnsi="Century Gothic"/>
                <w:b/>
                <w:color w:val="FFFFFF" w:themeColor="background1"/>
                <w:sz w:val="20"/>
                <w:szCs w:val="20"/>
              </w:rPr>
              <w:t>Tecnología</w:t>
            </w:r>
          </w:p>
        </w:tc>
        <w:tc>
          <w:tcPr>
            <w:tcW w:w="61.0%" w:type="pct"/>
            <w:shd w:val="clear" w:color="auto" w:fill="009AD9"/>
            <w:vAlign w:val="center"/>
          </w:tcPr>
          <w:p w:rsidR="00277ED2" w:rsidRPr="00611019" w:rsidRDefault="00E56462" w:rsidP="00035D2C">
            <w:pPr>
              <w:spacing w:before="1pt" w:after="1pt"/>
              <w:jc w:val="center"/>
              <w:rPr>
                <w:rFonts w:ascii="Century Gothic" w:eastAsia="Times New Roman" w:hAnsi="Century Gothic" w:cs="Arial"/>
                <w:b/>
                <w:bCs/>
                <w:color w:val="FFFFFF" w:themeColor="background1"/>
                <w:sz w:val="20"/>
                <w:szCs w:val="20"/>
                <w:lang w:val="es-ES_tradnl" w:eastAsia="es-ES"/>
              </w:rPr>
            </w:pPr>
            <w:r>
              <w:rPr>
                <w:rFonts w:ascii="Century Gothic" w:eastAsia="Times New Roman" w:hAnsi="Century Gothic" w:cs="Arial"/>
                <w:b/>
                <w:bCs/>
                <w:color w:val="FFFFFF" w:themeColor="background1"/>
                <w:sz w:val="20"/>
                <w:szCs w:val="20"/>
                <w:lang w:val="es-ES_tradnl" w:eastAsia="es-ES"/>
              </w:rPr>
              <w:t>Precio</w:t>
            </w:r>
          </w:p>
        </w:tc>
      </w:tr>
      <w:tr w:rsidR="0061711D" w:rsidTr="003106DC">
        <w:trPr>
          <w:trHeight w:val="283"/>
          <w:jc w:val="center"/>
        </w:trPr>
        <w:tc>
          <w:tcPr>
            <w:tcW w:w="38.0%" w:type="pct"/>
            <w:vAlign w:val="center"/>
          </w:tcPr>
          <w:p w:rsidR="00101117" w:rsidRPr="00611019" w:rsidRDefault="00E56462" w:rsidP="00035D2C">
            <w:pPr>
              <w:pStyle w:val="CondicionesFinales"/>
              <w:spacing w:before="1pt" w:after="1pt"/>
              <w:ind w:start="0pt" w:end="0pt"/>
              <w:jc w:val="center"/>
              <w:rPr>
                <w:rFonts w:ascii="Century Gothic" w:hAnsi="Century Gothic"/>
                <w:sz w:val="20"/>
                <w:szCs w:val="20"/>
              </w:rPr>
            </w:pPr>
            <w:r>
              <w:rPr>
                <w:rFonts w:ascii="Century Gothic" w:hAnsi="Century Gothic"/>
                <w:sz w:val="20"/>
                <w:szCs w:val="20"/>
              </w:rPr>
              <w:t>ADSL</w:t>
            </w:r>
          </w:p>
        </w:tc>
        <w:tc>
          <w:tcPr>
            <w:tcW w:w="61.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101117" w:rsidRPr="00611019" w:rsidRDefault="00E56462" w:rsidP="00035D2C">
            <w:pPr>
              <w:pStyle w:val="CondicionesFinales"/>
              <w:spacing w:before="1pt" w:after="1pt"/>
              <w:ind w:start="0pt" w:end="0pt"/>
              <w:jc w:val="center"/>
              <w:rPr>
                <w:rFonts w:ascii="Century Gothic" w:hAnsi="Century Gothic"/>
                <w:sz w:val="20"/>
                <w:szCs w:val="20"/>
              </w:rPr>
            </w:pPr>
            <w:r>
              <w:rPr>
                <w:rFonts w:ascii="Century Gothic" w:hAnsi="Century Gothic"/>
                <w:sz w:val="20"/>
                <w:szCs w:val="20"/>
              </w:rPr>
              <w:t>351,889.20</w:t>
            </w:r>
            <w:r>
              <w:rPr>
                <w:rFonts w:ascii="Century Gothic" w:hAnsi="Century Gothic"/>
                <w:sz w:val="20"/>
              </w:rPr>
              <w:t xml:space="preserve"> USD</w:t>
            </w:r>
          </w:p>
        </w:tc>
      </w:tr>
      <w:tr w:rsidR="0061711D" w:rsidTr="003106DC">
        <w:trPr>
          <w:trHeight w:val="283"/>
          <w:jc w:val="center"/>
        </w:trPr>
        <w:tc>
          <w:tcPr>
            <w:tcW w:w="38.0%" w:type="pct"/>
            <w:shd w:val="clear" w:color="auto" w:fill="F2F2F2" w:themeFill="background1" w:themeFillShade="F2"/>
            <w:vAlign w:val="center"/>
          </w:tcPr>
          <w:p w:rsidR="00101117" w:rsidRPr="00611019" w:rsidRDefault="00E56462" w:rsidP="00035D2C">
            <w:pPr>
              <w:pStyle w:val="CondicionesFinales"/>
              <w:spacing w:before="1pt" w:after="1pt"/>
              <w:ind w:start="0pt" w:end="0pt"/>
              <w:jc w:val="center"/>
              <w:rPr>
                <w:rFonts w:ascii="Century Gothic" w:hAnsi="Century Gothic"/>
                <w:sz w:val="20"/>
                <w:szCs w:val="20"/>
              </w:rPr>
            </w:pPr>
            <w:r>
              <w:rPr>
                <w:rFonts w:ascii="Century Gothic" w:hAnsi="Century Gothic"/>
                <w:sz w:val="20"/>
                <w:szCs w:val="20"/>
              </w:rPr>
              <w:t>VDSL</w:t>
            </w:r>
          </w:p>
        </w:tc>
        <w:tc>
          <w:tcPr>
            <w:tcW w:w="61.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101117" w:rsidRPr="00611019" w:rsidRDefault="00E56462" w:rsidP="00035D2C">
            <w:pPr>
              <w:pStyle w:val="CondicionesFinales"/>
              <w:spacing w:before="1pt" w:after="1pt"/>
              <w:ind w:start="0pt" w:end="0pt"/>
              <w:jc w:val="center"/>
              <w:rPr>
                <w:rFonts w:ascii="Century Gothic" w:hAnsi="Century Gothic"/>
                <w:sz w:val="20"/>
                <w:szCs w:val="20"/>
              </w:rPr>
            </w:pPr>
            <w:r>
              <w:rPr>
                <w:rFonts w:ascii="Century Gothic" w:hAnsi="Century Gothic"/>
                <w:sz w:val="20"/>
                <w:szCs w:val="20"/>
              </w:rPr>
              <w:t xml:space="preserve">520,121.16 </w:t>
            </w:r>
            <w:r>
              <w:rPr>
                <w:rFonts w:ascii="Century Gothic" w:hAnsi="Century Gothic"/>
                <w:sz w:val="20"/>
              </w:rPr>
              <w:t>USD</w:t>
            </w:r>
          </w:p>
        </w:tc>
      </w:tr>
      <w:tr w:rsidR="0061711D" w:rsidTr="003106DC">
        <w:trPr>
          <w:trHeight w:val="283"/>
          <w:jc w:val="center"/>
        </w:trPr>
        <w:tc>
          <w:tcPr>
            <w:tcW w:w="38.0%" w:type="pct"/>
            <w:vAlign w:val="center"/>
          </w:tcPr>
          <w:p w:rsidR="00101117" w:rsidRPr="00611019" w:rsidRDefault="00E56462" w:rsidP="00035D2C">
            <w:pPr>
              <w:pStyle w:val="CondicionesFinales"/>
              <w:spacing w:before="1pt" w:after="1pt"/>
              <w:ind w:start="0pt" w:end="0pt"/>
              <w:jc w:val="center"/>
              <w:rPr>
                <w:rFonts w:ascii="Century Gothic" w:hAnsi="Century Gothic"/>
                <w:sz w:val="20"/>
                <w:szCs w:val="20"/>
              </w:rPr>
            </w:pPr>
            <w:r>
              <w:rPr>
                <w:rFonts w:ascii="Century Gothic" w:hAnsi="Century Gothic"/>
                <w:sz w:val="20"/>
                <w:szCs w:val="20"/>
              </w:rPr>
              <w:t>ONT</w:t>
            </w:r>
          </w:p>
        </w:tc>
        <w:tc>
          <w:tcPr>
            <w:tcW w:w="61.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101117" w:rsidRPr="00611019" w:rsidRDefault="00E56462" w:rsidP="00035D2C">
            <w:pPr>
              <w:pStyle w:val="CondicionesFinales"/>
              <w:spacing w:before="1pt" w:after="1pt"/>
              <w:ind w:start="0pt" w:end="0pt"/>
              <w:jc w:val="center"/>
              <w:rPr>
                <w:rFonts w:ascii="Century Gothic" w:hAnsi="Century Gothic"/>
                <w:sz w:val="20"/>
                <w:szCs w:val="20"/>
              </w:rPr>
            </w:pPr>
            <w:r>
              <w:rPr>
                <w:rFonts w:ascii="Century Gothic" w:hAnsi="Century Gothic"/>
                <w:sz w:val="20"/>
                <w:szCs w:val="20"/>
              </w:rPr>
              <w:t xml:space="preserve">1,486,290.00 </w:t>
            </w:r>
            <w:r>
              <w:rPr>
                <w:rFonts w:ascii="Century Gothic" w:hAnsi="Century Gothic"/>
                <w:sz w:val="20"/>
              </w:rPr>
              <w:t>USD</w:t>
            </w:r>
          </w:p>
        </w:tc>
      </w:tr>
    </w:tbl>
    <w:p w:rsidR="00277ED2" w:rsidRPr="00611019" w:rsidRDefault="00E56462" w:rsidP="00035D2C">
      <w:pPr>
        <w:spacing w:before="3pt" w:after="1pt"/>
        <w:jc w:val="both"/>
        <w:rPr>
          <w:rFonts w:ascii="Century Gothic" w:eastAsia="Times New Roman" w:hAnsi="Century Gothic" w:cs="Arial"/>
          <w:sz w:val="20"/>
          <w:szCs w:val="20"/>
        </w:rPr>
      </w:pPr>
      <w:r>
        <w:rPr>
          <w:rFonts w:ascii="Century Gothic" w:eastAsia="Times New Roman" w:hAnsi="Century Gothic" w:cs="Arial"/>
          <w:b/>
          <w:sz w:val="20"/>
          <w:szCs w:val="20"/>
        </w:rPr>
        <w:t>Nota:</w:t>
      </w:r>
      <w:r>
        <w:rPr>
          <w:rFonts w:ascii="Century Gothic" w:eastAsia="Times New Roman" w:hAnsi="Century Gothic" w:cs="Arial"/>
          <w:sz w:val="20"/>
          <w:szCs w:val="20"/>
        </w:rPr>
        <w:t xml:space="preserve"> El monto considerado por cada unidad, contempla única y exclusivamente el costo por equipo. No contempla valores de manejo, almacenaje y entrega. </w:t>
      </w:r>
      <w:r>
        <w:rPr>
          <w:rFonts w:ascii="Century Gothic" w:eastAsia="Times New Roman" w:hAnsi="Century Gothic" w:cs="Arial"/>
          <w:b/>
          <w:sz w:val="20"/>
          <w:szCs w:val="20"/>
        </w:rPr>
        <w:t>Precio por lote de quince mil equipos</w:t>
      </w:r>
      <w:r>
        <w:rPr>
          <w:rFonts w:ascii="Century Gothic" w:eastAsia="Times New Roman" w:hAnsi="Century Gothic" w:cs="Arial"/>
          <w:sz w:val="20"/>
          <w:szCs w:val="20"/>
        </w:rPr>
        <w:t>.</w:t>
      </w:r>
    </w:p>
    <w:p w:rsidR="00F56287" w:rsidRPr="00611019" w:rsidRDefault="00F56287" w:rsidP="00035D2C">
      <w:pPr>
        <w:spacing w:before="1pt" w:after="1pt"/>
        <w:jc w:val="both"/>
        <w:rPr>
          <w:rFonts w:ascii="Century Gothic" w:eastAsia="Times New Roman" w:hAnsi="Century Gothic" w:cs="Arial"/>
          <w:sz w:val="18"/>
          <w:szCs w:val="18"/>
        </w:rPr>
      </w:pPr>
    </w:p>
    <w:p w:rsidR="00277ED2" w:rsidRPr="00611019" w:rsidRDefault="00E56462" w:rsidP="00035D2C">
      <w:pPr>
        <w:spacing w:before="1pt" w:after="6pt"/>
        <w:jc w:val="both"/>
        <w:rPr>
          <w:rFonts w:ascii="Century Gothic" w:eastAsia="Times New Roman" w:hAnsi="Century Gothic" w:cs="Arial"/>
          <w:b/>
          <w:i/>
        </w:rPr>
      </w:pPr>
      <w:r>
        <w:rPr>
          <w:rFonts w:ascii="Century Gothic" w:eastAsia="Times New Roman" w:hAnsi="Century Gothic" w:cs="Arial"/>
          <w:b/>
          <w:i/>
        </w:rPr>
        <w:t>- Equipos Modem Blanco y ONT para Acceso de Datos por lote de 12,000 unidades</w:t>
      </w:r>
    </w:p>
    <w:tbl>
      <w:tblPr>
        <w:tblStyle w:val="Cuadrculadetablaclara"/>
        <w:tblW w:w="100.0%" w:type="pct"/>
        <w:jc w:val="center"/>
        <w:tblLook w:firstRow="1" w:lastRow="0" w:firstColumn="1" w:lastColumn="0" w:noHBand="0" w:noVBand="1"/>
      </w:tblPr>
      <w:tblGrid>
        <w:gridCol w:w="3605"/>
        <w:gridCol w:w="5789"/>
      </w:tblGrid>
      <w:tr w:rsidR="0061711D" w:rsidTr="006A573B">
        <w:trPr>
          <w:trHeight w:val="283"/>
          <w:jc w:val="center"/>
        </w:trPr>
        <w:tc>
          <w:tcPr>
            <w:tcW w:w="38.0%" w:type="pct"/>
            <w:shd w:val="clear" w:color="auto" w:fill="009AD9"/>
          </w:tcPr>
          <w:p w:rsidR="00277ED2" w:rsidRPr="00611019" w:rsidRDefault="00E56462" w:rsidP="00035D2C">
            <w:pPr>
              <w:pStyle w:val="CondicionesFinales"/>
              <w:spacing w:before="1pt" w:after="1pt"/>
              <w:ind w:start="0pt" w:end="0pt"/>
              <w:jc w:val="center"/>
              <w:rPr>
                <w:rFonts w:ascii="Century Gothic" w:hAnsi="Century Gothic"/>
                <w:b/>
                <w:color w:val="FFFFFF" w:themeColor="background1"/>
                <w:sz w:val="20"/>
                <w:szCs w:val="20"/>
              </w:rPr>
            </w:pPr>
            <w:r>
              <w:rPr>
                <w:rFonts w:ascii="Century Gothic" w:hAnsi="Century Gothic"/>
                <w:b/>
                <w:color w:val="FFFFFF" w:themeColor="background1"/>
                <w:sz w:val="20"/>
                <w:szCs w:val="20"/>
              </w:rPr>
              <w:t>Tecnología</w:t>
            </w:r>
          </w:p>
        </w:tc>
        <w:tc>
          <w:tcPr>
            <w:tcW w:w="61.0%" w:type="pct"/>
            <w:shd w:val="clear" w:color="auto" w:fill="009AD9"/>
            <w:vAlign w:val="center"/>
          </w:tcPr>
          <w:p w:rsidR="00277ED2" w:rsidRPr="00611019" w:rsidRDefault="00E56462" w:rsidP="00035D2C">
            <w:pPr>
              <w:spacing w:before="1pt" w:after="1pt"/>
              <w:jc w:val="center"/>
              <w:rPr>
                <w:rFonts w:ascii="Century Gothic" w:eastAsia="Times New Roman" w:hAnsi="Century Gothic" w:cs="Arial"/>
                <w:b/>
                <w:bCs/>
                <w:color w:val="FFFFFF" w:themeColor="background1"/>
                <w:sz w:val="20"/>
                <w:szCs w:val="20"/>
                <w:lang w:val="es-ES_tradnl" w:eastAsia="es-ES"/>
              </w:rPr>
            </w:pPr>
            <w:r>
              <w:rPr>
                <w:rFonts w:ascii="Century Gothic" w:eastAsia="Times New Roman" w:hAnsi="Century Gothic" w:cs="Arial"/>
                <w:b/>
                <w:bCs/>
                <w:color w:val="FFFFFF" w:themeColor="background1"/>
                <w:sz w:val="20"/>
                <w:szCs w:val="20"/>
                <w:lang w:val="es-ES_tradnl" w:eastAsia="es-ES"/>
              </w:rPr>
              <w:t>Precio</w:t>
            </w:r>
          </w:p>
        </w:tc>
      </w:tr>
      <w:tr w:rsidR="0061711D" w:rsidTr="00A014FB">
        <w:trPr>
          <w:trHeight w:val="283"/>
          <w:jc w:val="center"/>
        </w:trPr>
        <w:tc>
          <w:tcPr>
            <w:tcW w:w="38.0%" w:type="pct"/>
            <w:vAlign w:val="center"/>
          </w:tcPr>
          <w:p w:rsidR="00101117" w:rsidRPr="00611019" w:rsidRDefault="00E56462" w:rsidP="00035D2C">
            <w:pPr>
              <w:pStyle w:val="CondicionesFinales"/>
              <w:spacing w:before="1pt" w:after="1pt"/>
              <w:ind w:start="0pt" w:end="0pt"/>
              <w:jc w:val="center"/>
              <w:rPr>
                <w:rFonts w:ascii="Century Gothic" w:hAnsi="Century Gothic"/>
                <w:sz w:val="20"/>
                <w:szCs w:val="20"/>
              </w:rPr>
            </w:pPr>
            <w:r>
              <w:rPr>
                <w:rFonts w:ascii="Century Gothic" w:hAnsi="Century Gothic"/>
                <w:sz w:val="20"/>
                <w:szCs w:val="20"/>
              </w:rPr>
              <w:t>ADSL</w:t>
            </w:r>
          </w:p>
        </w:tc>
        <w:tc>
          <w:tcPr>
            <w:tcW w:w="61.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101117" w:rsidRPr="00611019" w:rsidRDefault="00E56462" w:rsidP="00035D2C">
            <w:pPr>
              <w:pStyle w:val="CondicionesFinales"/>
              <w:spacing w:before="1pt" w:after="1pt"/>
              <w:ind w:start="0pt" w:end="0pt"/>
              <w:jc w:val="center"/>
              <w:rPr>
                <w:rFonts w:ascii="Century Gothic" w:hAnsi="Century Gothic"/>
                <w:sz w:val="20"/>
                <w:szCs w:val="20"/>
              </w:rPr>
            </w:pPr>
            <w:r>
              <w:rPr>
                <w:rFonts w:ascii="Century Gothic" w:hAnsi="Century Gothic"/>
                <w:sz w:val="20"/>
                <w:szCs w:val="20"/>
              </w:rPr>
              <w:t xml:space="preserve">281,511.36 </w:t>
            </w:r>
            <w:r>
              <w:rPr>
                <w:rFonts w:ascii="Century Gothic" w:hAnsi="Century Gothic"/>
                <w:sz w:val="20"/>
              </w:rPr>
              <w:t>USD</w:t>
            </w:r>
          </w:p>
        </w:tc>
      </w:tr>
      <w:tr w:rsidR="0061711D" w:rsidTr="00281C0C">
        <w:trPr>
          <w:trHeight w:val="283"/>
          <w:jc w:val="center"/>
        </w:trPr>
        <w:tc>
          <w:tcPr>
            <w:tcW w:w="38.0%" w:type="pct"/>
            <w:shd w:val="clear" w:color="auto" w:fill="F2F2F2" w:themeFill="background1" w:themeFillShade="F2"/>
            <w:vAlign w:val="center"/>
          </w:tcPr>
          <w:p w:rsidR="00101117" w:rsidRPr="00611019" w:rsidRDefault="00E56462" w:rsidP="00035D2C">
            <w:pPr>
              <w:pStyle w:val="CondicionesFinales"/>
              <w:spacing w:before="1pt" w:after="1pt"/>
              <w:ind w:start="0pt" w:end="0pt"/>
              <w:jc w:val="center"/>
              <w:rPr>
                <w:rFonts w:ascii="Century Gothic" w:hAnsi="Century Gothic"/>
                <w:sz w:val="20"/>
                <w:szCs w:val="20"/>
              </w:rPr>
            </w:pPr>
            <w:r>
              <w:rPr>
                <w:rFonts w:ascii="Century Gothic" w:hAnsi="Century Gothic"/>
                <w:sz w:val="20"/>
                <w:szCs w:val="20"/>
              </w:rPr>
              <w:t>VDSL</w:t>
            </w:r>
          </w:p>
        </w:tc>
        <w:tc>
          <w:tcPr>
            <w:tcW w:w="61.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shd w:val="clear" w:color="auto" w:fill="F2F2F2" w:themeFill="background1" w:themeFillShade="F2"/>
            <w:vAlign w:val="center"/>
          </w:tcPr>
          <w:p w:rsidR="00101117" w:rsidRPr="00611019" w:rsidRDefault="00E56462" w:rsidP="00035D2C">
            <w:pPr>
              <w:pStyle w:val="CondicionesFinales"/>
              <w:spacing w:before="1pt" w:after="1pt"/>
              <w:ind w:start="0pt" w:end="0pt"/>
              <w:jc w:val="center"/>
              <w:rPr>
                <w:rFonts w:ascii="Century Gothic" w:hAnsi="Century Gothic"/>
                <w:sz w:val="20"/>
                <w:szCs w:val="20"/>
              </w:rPr>
            </w:pPr>
            <w:r>
              <w:rPr>
                <w:rFonts w:ascii="Century Gothic" w:hAnsi="Century Gothic"/>
                <w:sz w:val="20"/>
                <w:szCs w:val="20"/>
              </w:rPr>
              <w:t xml:space="preserve">416,096.93 </w:t>
            </w:r>
            <w:r>
              <w:rPr>
                <w:rFonts w:ascii="Century Gothic" w:hAnsi="Century Gothic"/>
                <w:sz w:val="20"/>
              </w:rPr>
              <w:t>USD</w:t>
            </w:r>
          </w:p>
        </w:tc>
      </w:tr>
      <w:tr w:rsidR="0061711D" w:rsidTr="00A014FB">
        <w:trPr>
          <w:trHeight w:val="283"/>
          <w:jc w:val="center"/>
        </w:trPr>
        <w:tc>
          <w:tcPr>
            <w:tcW w:w="38.0%" w:type="pct"/>
            <w:vAlign w:val="center"/>
          </w:tcPr>
          <w:p w:rsidR="00101117" w:rsidRPr="00611019" w:rsidRDefault="00E56462" w:rsidP="00035D2C">
            <w:pPr>
              <w:pStyle w:val="CondicionesFinales"/>
              <w:spacing w:before="1pt" w:after="1pt"/>
              <w:ind w:start="0pt" w:end="0pt"/>
              <w:jc w:val="center"/>
              <w:rPr>
                <w:rFonts w:ascii="Century Gothic" w:hAnsi="Century Gothic"/>
                <w:sz w:val="20"/>
                <w:szCs w:val="20"/>
              </w:rPr>
            </w:pPr>
            <w:r>
              <w:rPr>
                <w:rFonts w:ascii="Century Gothic" w:hAnsi="Century Gothic"/>
                <w:sz w:val="20"/>
                <w:szCs w:val="20"/>
              </w:rPr>
              <w:t>ONT</w:t>
            </w:r>
          </w:p>
        </w:tc>
        <w:tc>
          <w:tcPr>
            <w:tcW w:w="61.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101117" w:rsidRPr="00611019" w:rsidRDefault="00E56462" w:rsidP="00035D2C">
            <w:pPr>
              <w:pStyle w:val="CondicionesFinales"/>
              <w:spacing w:before="1pt" w:after="1pt"/>
              <w:ind w:start="0pt" w:end="0pt"/>
              <w:jc w:val="center"/>
              <w:rPr>
                <w:rFonts w:ascii="Century Gothic" w:hAnsi="Century Gothic"/>
                <w:sz w:val="20"/>
                <w:szCs w:val="20"/>
              </w:rPr>
            </w:pPr>
            <w:r>
              <w:rPr>
                <w:rFonts w:ascii="Century Gothic" w:hAnsi="Century Gothic"/>
                <w:sz w:val="20"/>
                <w:szCs w:val="20"/>
              </w:rPr>
              <w:t xml:space="preserve">1,189,032.00 </w:t>
            </w:r>
            <w:r>
              <w:rPr>
                <w:rFonts w:ascii="Century Gothic" w:hAnsi="Century Gothic"/>
                <w:sz w:val="20"/>
              </w:rPr>
              <w:t>USD</w:t>
            </w:r>
          </w:p>
        </w:tc>
      </w:tr>
    </w:tbl>
    <w:p w:rsidR="00277ED2" w:rsidRPr="00611019" w:rsidRDefault="00E56462" w:rsidP="00035D2C">
      <w:pPr>
        <w:spacing w:before="3pt" w:after="1pt"/>
        <w:jc w:val="both"/>
        <w:rPr>
          <w:rFonts w:ascii="Century Gothic" w:eastAsia="Times New Roman" w:hAnsi="Century Gothic" w:cs="Arial"/>
          <w:sz w:val="20"/>
          <w:szCs w:val="20"/>
        </w:rPr>
      </w:pPr>
      <w:r>
        <w:rPr>
          <w:rFonts w:ascii="Century Gothic" w:eastAsia="Times New Roman" w:hAnsi="Century Gothic" w:cs="Arial"/>
          <w:b/>
          <w:sz w:val="20"/>
          <w:szCs w:val="20"/>
        </w:rPr>
        <w:t>Nota:</w:t>
      </w:r>
      <w:r>
        <w:rPr>
          <w:rFonts w:ascii="Century Gothic" w:eastAsia="Times New Roman" w:hAnsi="Century Gothic" w:cs="Arial"/>
          <w:sz w:val="20"/>
          <w:szCs w:val="20"/>
        </w:rPr>
        <w:t xml:space="preserve"> El monto considerado por cada unidad, contempla única y exclusivamente el costo por equipo. No contempla valores de manejo, almacenaje y entrega. </w:t>
      </w:r>
      <w:r>
        <w:rPr>
          <w:rFonts w:ascii="Century Gothic" w:eastAsia="Times New Roman" w:hAnsi="Century Gothic" w:cs="Arial"/>
          <w:b/>
          <w:sz w:val="20"/>
          <w:szCs w:val="20"/>
        </w:rPr>
        <w:t>Precio por lote de doce mil equipos</w:t>
      </w:r>
      <w:r>
        <w:rPr>
          <w:rFonts w:ascii="Century Gothic" w:eastAsia="Times New Roman" w:hAnsi="Century Gothic" w:cs="Arial"/>
          <w:sz w:val="20"/>
          <w:szCs w:val="20"/>
        </w:rPr>
        <w:t xml:space="preserve">.  </w:t>
      </w:r>
    </w:p>
    <w:p w:rsidR="00363996" w:rsidRPr="00611019" w:rsidRDefault="00363996" w:rsidP="00035D2C">
      <w:pPr>
        <w:spacing w:before="3pt" w:after="1pt"/>
        <w:jc w:val="both"/>
        <w:rPr>
          <w:rFonts w:ascii="Century Gothic" w:eastAsia="Times New Roman" w:hAnsi="Century Gothic" w:cs="Arial"/>
          <w:sz w:val="20"/>
          <w:szCs w:val="20"/>
        </w:rPr>
      </w:pPr>
    </w:p>
    <w:p w:rsidR="00277ED2" w:rsidRPr="00611019" w:rsidRDefault="00E56462" w:rsidP="00035D2C">
      <w:pPr>
        <w:spacing w:before="1pt" w:after="6pt"/>
        <w:jc w:val="both"/>
        <w:rPr>
          <w:rFonts w:ascii="Century Gothic" w:eastAsia="Times New Roman" w:hAnsi="Century Gothic" w:cs="Arial"/>
          <w:b/>
          <w:i/>
        </w:rPr>
      </w:pPr>
      <w:r>
        <w:rPr>
          <w:rFonts w:ascii="Century Gothic" w:eastAsia="Times New Roman" w:hAnsi="Century Gothic" w:cs="Arial"/>
          <w:b/>
          <w:i/>
        </w:rPr>
        <w:t>- Equipos Modem blanco y ONT para Acceso de Datos provisto por unidad</w:t>
      </w:r>
    </w:p>
    <w:tbl>
      <w:tblPr>
        <w:tblStyle w:val="Cuadrculadetablaclara"/>
        <w:tblW w:w="100.0%" w:type="pct"/>
        <w:jc w:val="center"/>
        <w:tblLook w:firstRow="1" w:lastRow="0" w:firstColumn="1" w:lastColumn="0" w:noHBand="0" w:noVBand="1"/>
      </w:tblPr>
      <w:tblGrid>
        <w:gridCol w:w="3605"/>
        <w:gridCol w:w="5789"/>
      </w:tblGrid>
      <w:tr w:rsidR="0061711D" w:rsidTr="00E27996">
        <w:trPr>
          <w:trHeight w:val="283"/>
          <w:jc w:val="center"/>
        </w:trPr>
        <w:tc>
          <w:tcPr>
            <w:tcW w:w="38.0%" w:type="pct"/>
            <w:shd w:val="clear" w:color="auto" w:fill="009AD9"/>
          </w:tcPr>
          <w:p w:rsidR="00277ED2" w:rsidRPr="00611019" w:rsidRDefault="00E56462" w:rsidP="00035D2C">
            <w:pPr>
              <w:pStyle w:val="CondicionesFinales"/>
              <w:spacing w:before="1pt" w:after="1pt"/>
              <w:ind w:start="0pt" w:end="0pt"/>
              <w:jc w:val="center"/>
              <w:rPr>
                <w:rFonts w:ascii="Century Gothic" w:hAnsi="Century Gothic"/>
                <w:b/>
                <w:color w:val="FFFFFF" w:themeColor="background1"/>
                <w:sz w:val="20"/>
                <w:szCs w:val="20"/>
              </w:rPr>
            </w:pPr>
            <w:r>
              <w:rPr>
                <w:rFonts w:ascii="Century Gothic" w:hAnsi="Century Gothic"/>
                <w:b/>
                <w:color w:val="FFFFFF" w:themeColor="background1"/>
                <w:sz w:val="20"/>
                <w:szCs w:val="20"/>
              </w:rPr>
              <w:t>Tecnología</w:t>
            </w:r>
          </w:p>
        </w:tc>
        <w:tc>
          <w:tcPr>
            <w:tcW w:w="61.0%" w:type="pct"/>
            <w:shd w:val="clear" w:color="auto" w:fill="009AD9"/>
            <w:vAlign w:val="center"/>
          </w:tcPr>
          <w:p w:rsidR="00277ED2" w:rsidRPr="00611019" w:rsidRDefault="00E56462" w:rsidP="00035D2C">
            <w:pPr>
              <w:spacing w:before="1pt" w:after="1pt"/>
              <w:jc w:val="center"/>
              <w:rPr>
                <w:rFonts w:ascii="Century Gothic" w:eastAsia="Times New Roman" w:hAnsi="Century Gothic" w:cs="Arial"/>
                <w:b/>
                <w:bCs/>
                <w:color w:val="FFFFFF" w:themeColor="background1"/>
                <w:sz w:val="20"/>
                <w:szCs w:val="20"/>
                <w:lang w:val="es-ES_tradnl" w:eastAsia="es-ES"/>
              </w:rPr>
            </w:pPr>
            <w:r>
              <w:rPr>
                <w:rFonts w:ascii="Century Gothic" w:eastAsia="Times New Roman" w:hAnsi="Century Gothic" w:cs="Arial"/>
                <w:b/>
                <w:bCs/>
                <w:color w:val="FFFFFF" w:themeColor="background1"/>
                <w:sz w:val="20"/>
                <w:szCs w:val="20"/>
                <w:lang w:val="es-ES_tradnl" w:eastAsia="es-ES"/>
              </w:rPr>
              <w:t>Precio</w:t>
            </w:r>
          </w:p>
        </w:tc>
      </w:tr>
      <w:tr w:rsidR="00E27996" w:rsidTr="00E27996">
        <w:trPr>
          <w:trHeight w:val="283"/>
          <w:jc w:val="center"/>
        </w:trPr>
        <w:tc>
          <w:tcPr>
            <w:tcW w:w="38.0%" w:type="pct"/>
            <w:vAlign w:val="center"/>
          </w:tcPr>
          <w:p w:rsidR="00E27996" w:rsidRPr="00611019" w:rsidRDefault="00E27996" w:rsidP="00E27996">
            <w:pPr>
              <w:pStyle w:val="CondicionesFinales"/>
              <w:spacing w:before="1pt" w:after="1pt"/>
              <w:ind w:start="0pt" w:end="0pt"/>
              <w:jc w:val="center"/>
              <w:rPr>
                <w:rFonts w:ascii="Century Gothic" w:hAnsi="Century Gothic"/>
                <w:sz w:val="20"/>
                <w:szCs w:val="20"/>
              </w:rPr>
            </w:pPr>
            <w:r>
              <w:rPr>
                <w:rFonts w:ascii="Century Gothic" w:hAnsi="Century Gothic"/>
                <w:sz w:val="20"/>
                <w:szCs w:val="20"/>
              </w:rPr>
              <w:t>ADSL</w:t>
            </w:r>
          </w:p>
        </w:tc>
        <w:tc>
          <w:tcPr>
            <w:tcW w:w="61.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27996" w:rsidRPr="00E27996" w:rsidRDefault="00E27996" w:rsidP="00A535A5">
            <w:pPr>
              <w:pStyle w:val="CondicionesFinales"/>
              <w:spacing w:before="1pt" w:after="1pt"/>
              <w:ind w:start="0pt" w:end="0pt"/>
              <w:jc w:val="center"/>
              <w:rPr>
                <w:rFonts w:ascii="Century Gothic" w:hAnsi="Century Gothic"/>
                <w:sz w:val="20"/>
                <w:szCs w:val="20"/>
              </w:rPr>
            </w:pPr>
            <w:r w:rsidRPr="00E27996">
              <w:rPr>
                <w:rFonts w:ascii="Century Gothic" w:hAnsi="Century Gothic"/>
                <w:sz w:val="20"/>
                <w:szCs w:val="20"/>
              </w:rPr>
              <w:t>$</w:t>
            </w:r>
            <w:r w:rsidR="00A535A5">
              <w:rPr>
                <w:rFonts w:ascii="Century Gothic" w:hAnsi="Century Gothic"/>
                <w:sz w:val="20"/>
                <w:szCs w:val="20"/>
              </w:rPr>
              <w:t>42.54 USD</w:t>
            </w:r>
          </w:p>
        </w:tc>
      </w:tr>
      <w:tr w:rsidR="00E27996" w:rsidTr="00E27996">
        <w:trPr>
          <w:trHeight w:val="283"/>
          <w:jc w:val="center"/>
        </w:trPr>
        <w:tc>
          <w:tcPr>
            <w:tcW w:w="38.0%" w:type="pct"/>
            <w:shd w:val="clear" w:color="auto" w:fill="F2F2F2" w:themeFill="background1" w:themeFillShade="F2"/>
            <w:vAlign w:val="center"/>
          </w:tcPr>
          <w:p w:rsidR="00E27996" w:rsidRPr="00611019" w:rsidRDefault="00E27996" w:rsidP="00E27996">
            <w:pPr>
              <w:pStyle w:val="CondicionesFinales"/>
              <w:spacing w:before="1pt" w:after="1pt"/>
              <w:ind w:start="0pt" w:end="0pt"/>
              <w:jc w:val="center"/>
              <w:rPr>
                <w:rFonts w:ascii="Century Gothic" w:hAnsi="Century Gothic"/>
                <w:sz w:val="20"/>
                <w:szCs w:val="20"/>
              </w:rPr>
            </w:pPr>
            <w:r>
              <w:rPr>
                <w:rFonts w:ascii="Century Gothic" w:hAnsi="Century Gothic"/>
                <w:sz w:val="20"/>
                <w:szCs w:val="20"/>
              </w:rPr>
              <w:t>VDSL</w:t>
            </w:r>
          </w:p>
        </w:tc>
        <w:tc>
          <w:tcPr>
            <w:tcW w:w="61.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27996" w:rsidRPr="00E27996" w:rsidRDefault="00E27996" w:rsidP="00A535A5">
            <w:pPr>
              <w:pStyle w:val="CondicionesFinales"/>
              <w:spacing w:before="1pt" w:after="1pt"/>
              <w:ind w:start="0pt" w:end="0pt"/>
              <w:jc w:val="center"/>
              <w:rPr>
                <w:rFonts w:ascii="Century Gothic" w:hAnsi="Century Gothic"/>
                <w:sz w:val="20"/>
                <w:szCs w:val="20"/>
              </w:rPr>
            </w:pPr>
            <w:r w:rsidRPr="00E27996">
              <w:rPr>
                <w:rFonts w:ascii="Century Gothic" w:hAnsi="Century Gothic"/>
                <w:sz w:val="20"/>
                <w:szCs w:val="20"/>
              </w:rPr>
              <w:t>$</w:t>
            </w:r>
            <w:r w:rsidR="00A535A5">
              <w:rPr>
                <w:rFonts w:ascii="Century Gothic" w:hAnsi="Century Gothic"/>
                <w:sz w:val="20"/>
                <w:szCs w:val="20"/>
              </w:rPr>
              <w:t>54.27 USD</w:t>
            </w:r>
          </w:p>
        </w:tc>
      </w:tr>
      <w:tr w:rsidR="00E27996" w:rsidTr="00E27996">
        <w:trPr>
          <w:trHeight w:val="283"/>
          <w:jc w:val="center"/>
        </w:trPr>
        <w:tc>
          <w:tcPr>
            <w:tcW w:w="38.0%" w:type="pct"/>
            <w:vAlign w:val="center"/>
          </w:tcPr>
          <w:p w:rsidR="00E27996" w:rsidRPr="00611019" w:rsidRDefault="00E27996" w:rsidP="00E27996">
            <w:pPr>
              <w:pStyle w:val="CondicionesFinales"/>
              <w:spacing w:before="1pt" w:after="1pt"/>
              <w:ind w:start="0pt" w:end="0pt"/>
              <w:jc w:val="center"/>
              <w:rPr>
                <w:rFonts w:ascii="Century Gothic" w:hAnsi="Century Gothic"/>
                <w:sz w:val="20"/>
                <w:szCs w:val="20"/>
              </w:rPr>
            </w:pPr>
            <w:r>
              <w:rPr>
                <w:rFonts w:ascii="Century Gothic" w:hAnsi="Century Gothic"/>
                <w:sz w:val="20"/>
                <w:szCs w:val="20"/>
              </w:rPr>
              <w:t>ONT</w:t>
            </w:r>
          </w:p>
        </w:tc>
        <w:tc>
          <w:tcPr>
            <w:tcW w:w="61.0%" w:type="pct"/>
            <w:tc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tcBorders>
            <w:vAlign w:val="center"/>
          </w:tcPr>
          <w:p w:rsidR="00E27996" w:rsidRPr="00E27996" w:rsidRDefault="00E27996" w:rsidP="00A535A5">
            <w:pPr>
              <w:pStyle w:val="CondicionesFinales"/>
              <w:spacing w:before="1pt" w:after="1pt"/>
              <w:ind w:start="0pt" w:end="0pt"/>
              <w:jc w:val="center"/>
              <w:rPr>
                <w:rFonts w:ascii="Century Gothic" w:hAnsi="Century Gothic"/>
                <w:sz w:val="20"/>
                <w:szCs w:val="20"/>
              </w:rPr>
            </w:pPr>
            <w:r w:rsidRPr="00E27996">
              <w:rPr>
                <w:rFonts w:ascii="Century Gothic" w:hAnsi="Century Gothic"/>
                <w:sz w:val="20"/>
                <w:szCs w:val="20"/>
              </w:rPr>
              <w:t>$</w:t>
            </w:r>
            <w:r w:rsidR="00A535A5">
              <w:rPr>
                <w:rFonts w:ascii="Century Gothic" w:hAnsi="Century Gothic"/>
                <w:sz w:val="20"/>
                <w:szCs w:val="20"/>
              </w:rPr>
              <w:t>121.62 USD</w:t>
            </w:r>
          </w:p>
        </w:tc>
      </w:tr>
    </w:tbl>
    <w:p w:rsidR="0090267E" w:rsidRPr="00611019" w:rsidRDefault="00E56462" w:rsidP="00035D2C">
      <w:pPr>
        <w:spacing w:before="3pt" w:after="1pt"/>
        <w:jc w:val="both"/>
        <w:rPr>
          <w:rFonts w:ascii="Century Gothic" w:eastAsia="Times New Roman" w:hAnsi="Century Gothic" w:cs="Arial"/>
          <w:sz w:val="20"/>
          <w:szCs w:val="20"/>
        </w:rPr>
      </w:pPr>
      <w:r>
        <w:rPr>
          <w:rFonts w:ascii="Century Gothic" w:eastAsia="Times New Roman" w:hAnsi="Century Gothic" w:cs="Arial"/>
          <w:b/>
          <w:sz w:val="20"/>
          <w:szCs w:val="20"/>
        </w:rPr>
        <w:t>Nota:</w:t>
      </w:r>
      <w:r>
        <w:rPr>
          <w:rFonts w:ascii="Century Gothic" w:eastAsia="Times New Roman" w:hAnsi="Century Gothic" w:cs="Arial"/>
          <w:sz w:val="20"/>
          <w:szCs w:val="20"/>
        </w:rPr>
        <w:t xml:space="preserve"> Tomando en cuenta dos meses de antelación, el CS desde la solicitud de los Servicios tendrá que definir el número de unidades que necesitará y el procedimiento de entrega.</w:t>
      </w:r>
    </w:p>
    <w:p w:rsidR="000D595E" w:rsidRPr="00611019" w:rsidRDefault="000D595E" w:rsidP="00035D2C">
      <w:pPr>
        <w:spacing w:before="1pt" w:after="1pt"/>
        <w:jc w:val="both"/>
        <w:rPr>
          <w:rFonts w:ascii="Century Gothic" w:eastAsia="Times New Roman" w:hAnsi="Century Gothic" w:cs="Arial"/>
          <w:sz w:val="20"/>
          <w:szCs w:val="20"/>
        </w:rPr>
      </w:pPr>
    </w:p>
    <w:p w:rsidR="007423E7" w:rsidRPr="00611019" w:rsidRDefault="007423E7" w:rsidP="00035D2C">
      <w:pPr>
        <w:rPr>
          <w:rFonts w:eastAsia="Times New Roman" w:cs="Arial"/>
          <w:b/>
          <w:sz w:val="20"/>
          <w:szCs w:val="20"/>
          <w:lang w:eastAsia="es-MX"/>
        </w:rPr>
        <w:sectPr w:rsidR="007423E7" w:rsidRPr="00611019" w:rsidSect="009C03FC">
          <w:headerReference w:type="default" r:id="rId36"/>
          <w:footerReference w:type="default" r:id="rId37"/>
          <w:type w:val="continuous"/>
          <w:pgSz w:w="612pt" w:h="792pt"/>
          <w:pgMar w:top="104.90pt" w:right="70.90pt" w:bottom="56.70pt" w:left="70.90pt" w:header="35.45pt" w:footer="41.40pt" w:gutter="0pt"/>
          <w:cols w:space="35.40pt"/>
          <w:docGrid w:linePitch="360"/>
        </w:sectPr>
      </w:pPr>
    </w:p>
    <w:p w:rsidR="00BD64E5" w:rsidRPr="00611019" w:rsidRDefault="00E56462" w:rsidP="00035D2C">
      <w:pPr>
        <w:spacing w:before="1pt" w:after="1pt"/>
        <w:ind w:start="14.20pt" w:hanging="18pt"/>
        <w:jc w:val="center"/>
        <w:outlineLvl w:val="0"/>
        <w:rPr>
          <w:rFonts w:ascii="Century Gothic" w:eastAsia="Calibri" w:hAnsi="Century Gothic" w:cs="Arial"/>
          <w:b/>
          <w:i/>
          <w:sz w:val="24"/>
        </w:rPr>
      </w:pPr>
      <w:bookmarkStart w:id="2321" w:name="_Toc92974106"/>
      <w:bookmarkStart w:id="2322" w:name="_Toc93052417"/>
      <w:bookmarkStart w:id="2323" w:name="_Toc93056372"/>
      <w:bookmarkStart w:id="2324" w:name="_Toc170381906"/>
      <w:bookmarkStart w:id="2325" w:name="_Hlk92966687"/>
      <w:bookmarkStart w:id="2326" w:name="_Hlk153901710"/>
      <w:r>
        <w:rPr>
          <w:rFonts w:ascii="Century Gothic" w:eastAsia="Calibri" w:hAnsi="Century Gothic" w:cs="Arial"/>
          <w:b/>
          <w:i/>
          <w:sz w:val="24"/>
        </w:rPr>
        <w:lastRenderedPageBreak/>
        <w:t>ADENDUM</w:t>
      </w:r>
      <w:bookmarkEnd w:id="2321"/>
      <w:bookmarkEnd w:id="2322"/>
      <w:bookmarkEnd w:id="2323"/>
      <w:bookmarkEnd w:id="2324"/>
    </w:p>
    <w:bookmarkEnd w:id="2325"/>
    <w:p w:rsidR="00BD64E5" w:rsidRPr="00611019" w:rsidRDefault="00BD64E5" w:rsidP="00035D2C">
      <w:pPr>
        <w:jc w:val="center"/>
        <w:rPr>
          <w:rFonts w:ascii="Century Gothic" w:eastAsia="Calibri" w:hAnsi="Century Gothic" w:cs="Arial"/>
          <w:b/>
          <w:color w:val="000000"/>
          <w:lang w:val="es-ES" w:eastAsia="es-ES"/>
        </w:rPr>
      </w:pPr>
    </w:p>
    <w:p w:rsidR="00BD64E5" w:rsidRPr="00611019" w:rsidRDefault="00E56462" w:rsidP="00035D2C">
      <w:pPr>
        <w:jc w:val="center"/>
        <w:rPr>
          <w:rFonts w:ascii="Century Gothic" w:eastAsia="Calibri" w:hAnsi="Century Gothic" w:cs="Arial"/>
          <w:b/>
          <w:color w:val="000000"/>
          <w:lang w:val="es-ES" w:eastAsia="es-ES"/>
        </w:rPr>
      </w:pPr>
      <w:r>
        <w:rPr>
          <w:rFonts w:ascii="Century Gothic" w:eastAsia="Calibri" w:hAnsi="Century Gothic" w:cs="Arial"/>
          <w:b/>
          <w:color w:val="000000"/>
          <w:lang w:val="es-ES" w:eastAsia="es-ES"/>
        </w:rPr>
        <w:t xml:space="preserve">ANEXO A </w:t>
      </w:r>
    </w:p>
    <w:p w:rsidR="00BD64E5" w:rsidRPr="00611019" w:rsidRDefault="00BD64E5" w:rsidP="00035D2C">
      <w:pPr>
        <w:jc w:val="center"/>
        <w:rPr>
          <w:rFonts w:ascii="Century Gothic" w:eastAsia="Calibri" w:hAnsi="Century Gothic" w:cs="Arial"/>
          <w:b/>
          <w:color w:val="000000"/>
          <w:lang w:val="es-ES" w:eastAsia="es-ES"/>
        </w:rPr>
      </w:pPr>
    </w:p>
    <w:p w:rsidR="00BD64E5" w:rsidRPr="00611019" w:rsidRDefault="00E56462" w:rsidP="00035D2C">
      <w:pPr>
        <w:jc w:val="center"/>
        <w:rPr>
          <w:rFonts w:ascii="Century Gothic" w:eastAsia="Times New Roman" w:hAnsi="Century Gothic" w:cs="Arial"/>
        </w:rPr>
      </w:pPr>
      <w:r>
        <w:rPr>
          <w:rFonts w:ascii="Century Gothic" w:eastAsia="Calibri" w:hAnsi="Century Gothic" w:cs="Arial"/>
          <w:b/>
          <w:color w:val="000000"/>
          <w:lang w:val="es-ES" w:eastAsia="es-ES"/>
        </w:rPr>
        <w:t>Municipios con Libertad Tarifaria para el SAIB</w:t>
      </w:r>
    </w:p>
    <w:p w:rsidR="00BD64E5" w:rsidRDefault="00BD64E5" w:rsidP="00035D2C">
      <w:pPr>
        <w:jc w:val="both"/>
        <w:rPr>
          <w:rFonts w:ascii="Century Gothic" w:hAnsi="Century Gothic" w:cs="Arial"/>
          <w:color w:val="000000"/>
          <w:lang w:eastAsia="es-ES"/>
        </w:rPr>
      </w:pPr>
    </w:p>
    <w:p w:rsidR="00E27996" w:rsidRPr="00E27996" w:rsidRDefault="00E27996" w:rsidP="00E27996">
      <w:pPr>
        <w:jc w:val="both"/>
        <w:rPr>
          <w:rFonts w:ascii="Century Gothic" w:hAnsi="Century Gothic" w:cs="Arial"/>
          <w:color w:val="000000"/>
          <w:lang w:val="es-ES_tradnl" w:eastAsia="es-ES"/>
        </w:rPr>
      </w:pPr>
      <w:r w:rsidRPr="00E27996">
        <w:rPr>
          <w:rFonts w:ascii="Century Gothic" w:hAnsi="Century Gothic" w:cs="Arial"/>
          <w:color w:val="000000"/>
          <w:lang w:eastAsia="es-ES"/>
        </w:rPr>
        <w:t>La</w:t>
      </w:r>
      <w:r w:rsidRPr="00E27996">
        <w:rPr>
          <w:rFonts w:ascii="Century Gothic" w:hAnsi="Century Gothic" w:cs="Arial"/>
          <w:color w:val="000000"/>
          <w:lang w:val="es-ES_tradnl" w:eastAsia="es-ES"/>
        </w:rPr>
        <w:t xml:space="preserve"> Medida TRIGÉSIMA NOVENA de las Medidas de Desagregación </w:t>
      </w:r>
      <w:r w:rsidRPr="00E27996">
        <w:rPr>
          <w:rFonts w:ascii="Century Gothic" w:hAnsi="Century Gothic" w:cs="Arial"/>
          <w:color w:val="000000"/>
          <w:lang w:eastAsia="es-ES"/>
        </w:rPr>
        <w:t>establecen que</w:t>
      </w:r>
      <w:r w:rsidRPr="00E27996">
        <w:rPr>
          <w:rFonts w:ascii="Century Gothic" w:hAnsi="Century Gothic" w:cs="Arial"/>
          <w:color w:val="000000"/>
          <w:lang w:val="es-ES_tradnl" w:eastAsia="es-ES"/>
        </w:rPr>
        <w:t xml:space="preserve"> el Instituto podrá determinar si existen zonas geográficas para las cuales las tarifas del Servicio de Acceso Indirecto al Bucle Local podrán ser determinadas libremente por el Agente Económico Preponderante. </w:t>
      </w:r>
    </w:p>
    <w:p w:rsidR="00E27996" w:rsidRPr="00E27996" w:rsidRDefault="00E27996" w:rsidP="00E27996">
      <w:pPr>
        <w:jc w:val="both"/>
        <w:rPr>
          <w:rFonts w:ascii="Century Gothic" w:hAnsi="Century Gothic" w:cs="Arial"/>
          <w:color w:val="000000"/>
          <w:lang w:val="es-ES_tradnl" w:eastAsia="es-ES"/>
        </w:rPr>
      </w:pPr>
      <w:r w:rsidRPr="00E27996">
        <w:rPr>
          <w:rFonts w:ascii="Century Gothic" w:hAnsi="Century Gothic" w:cs="Arial"/>
          <w:color w:val="000000"/>
          <w:lang w:val="es-ES_tradnl" w:eastAsia="es-ES"/>
        </w:rPr>
        <w:t xml:space="preserve">En este sentido, el Pleno del Instituto en su XIV Sesión Ordinaria aprobó mediante Acuerdo P/IFT/040821/335 la </w:t>
      </w:r>
      <w:r w:rsidRPr="00E27996">
        <w:rPr>
          <w:rFonts w:ascii="Century Gothic" w:hAnsi="Century Gothic" w:cs="Arial"/>
          <w:i/>
          <w:color w:val="000000"/>
          <w:lang w:val="es-ES_tradnl" w:eastAsia="es-ES"/>
        </w:rPr>
        <w:t>“RESOLUCIÓN MEDIANTE LA CUAL EL PLENO DEL INSTITUTO FEDERAL DE TELECOMUNICACIONES DETERMINA LOS CRITERIOS Y UMBRALES DE LOS PARÁMETROS PARA DETERMINAR LA LIBERTAD TARIFARIA, DE CONFORMIDAD CON LO ESTABLECIDO EN LA MEDIDA TRIGÉSIMA NOVENA DEL ANEXO 3 DE LA “RESOLUCIÓN MEDIANTE LA CUAL EL PLENO DEL INSTITUTO FEDERAL DE TELECOMUNICACIONES SUPRIME, MODIFICA Y ADICIONA LAS MEDIDAS IMPUESTAS AL AGENTE ECONÓMICO PREPONDERANTE EN EL SECTOR DE TELECOMUNICACIONES MEDIANTE ACUERDOS P/IFT/EXT/060314/76 Y P/IFT/EXT/270217/119””</w:t>
      </w:r>
      <w:r w:rsidRPr="00E27996">
        <w:rPr>
          <w:rFonts w:ascii="Century Gothic" w:hAnsi="Century Gothic" w:cs="Arial"/>
          <w:iCs/>
          <w:color w:val="000000"/>
          <w:lang w:val="es-ES_tradnl" w:eastAsia="es-ES"/>
        </w:rPr>
        <w:t xml:space="preserve">, en la cual </w:t>
      </w:r>
      <w:r w:rsidRPr="00E27996">
        <w:rPr>
          <w:rFonts w:ascii="Century Gothic" w:hAnsi="Century Gothic" w:cs="Arial"/>
          <w:color w:val="000000"/>
          <w:lang w:val="es-ES_tradnl" w:eastAsia="es-ES"/>
        </w:rPr>
        <w:t xml:space="preserve">definió los criterios y umbrales para la determinación de zonas geográficas de conformidad con lo señalado en la Medida TRIGÉSIMA NOVENA de las Medidas de Desagregación. </w:t>
      </w:r>
    </w:p>
    <w:p w:rsidR="00E27996" w:rsidRPr="00E27996" w:rsidRDefault="00E27996" w:rsidP="00E27996">
      <w:pPr>
        <w:jc w:val="both"/>
        <w:rPr>
          <w:rFonts w:ascii="Century Gothic" w:hAnsi="Century Gothic" w:cs="Arial"/>
          <w:color w:val="000000"/>
          <w:lang w:eastAsia="es-ES"/>
        </w:rPr>
      </w:pPr>
      <w:r w:rsidRPr="00E27996">
        <w:rPr>
          <w:rFonts w:ascii="Century Gothic" w:hAnsi="Century Gothic" w:cs="Arial"/>
          <w:color w:val="000000"/>
          <w:lang w:eastAsia="es-ES"/>
        </w:rPr>
        <w:t>Por lo anterior, a partir del análisis realizado por el Instituto se enlistan los municipios donde el Agente Económico Preponderante podrá determinar tarifas para el Servicio de Acceso Indirecto al Bucle Local para el año 202</w:t>
      </w:r>
      <w:r w:rsidR="000E6222">
        <w:rPr>
          <w:rFonts w:ascii="Century Gothic" w:hAnsi="Century Gothic" w:cs="Arial"/>
          <w:color w:val="000000"/>
          <w:lang w:eastAsia="es-ES"/>
        </w:rPr>
        <w:t>6</w:t>
      </w:r>
      <w:r w:rsidRPr="00E27996">
        <w:rPr>
          <w:rFonts w:ascii="Century Gothic" w:hAnsi="Century Gothic" w:cs="Arial"/>
          <w:color w:val="000000"/>
          <w:lang w:eastAsia="es-ES"/>
        </w:rPr>
        <w:t>, sin menoscabo de su obligación de prestar los servicios mayoristas regulados en términos no discriminatorios, para lo cual deberá publicar en su página de Internet, y notificar en el Sistema Electrónico de Gestión las tarifas aplicables en dichas zonas geográficas.</w:t>
      </w:r>
    </w:p>
    <w:p w:rsidR="00E27996" w:rsidRPr="00E27996" w:rsidRDefault="00E27996" w:rsidP="00E27996">
      <w:pPr>
        <w:spacing w:line="12.95pt" w:lineRule="auto"/>
        <w:jc w:val="both"/>
        <w:rPr>
          <w:rFonts w:ascii="Century Gothic" w:hAnsi="Century Gothic" w:cs="Arial"/>
          <w:b/>
          <w:color w:val="000000"/>
          <w:sz w:val="18"/>
          <w:szCs w:val="18"/>
          <w:lang w:eastAsia="es-ES"/>
        </w:rPr>
      </w:pPr>
    </w:p>
    <w:p w:rsidR="00E27996" w:rsidRPr="00E27996" w:rsidRDefault="00E27996" w:rsidP="00E27996">
      <w:pPr>
        <w:spacing w:line="12.95pt" w:lineRule="auto"/>
        <w:jc w:val="both"/>
        <w:rPr>
          <w:rFonts w:ascii="Century Gothic" w:hAnsi="Century Gothic" w:cs="Arial"/>
          <w:b/>
          <w:color w:val="000000"/>
          <w:sz w:val="18"/>
          <w:szCs w:val="18"/>
          <w:lang w:eastAsia="es-ES"/>
        </w:rPr>
      </w:pPr>
    </w:p>
    <w:p w:rsidR="00E27996" w:rsidRPr="00E27996" w:rsidRDefault="00E27996" w:rsidP="00E27996">
      <w:pPr>
        <w:spacing w:line="12.95pt" w:lineRule="auto"/>
        <w:jc w:val="both"/>
        <w:rPr>
          <w:rFonts w:ascii="Century Gothic" w:hAnsi="Century Gothic" w:cs="Arial"/>
          <w:b/>
          <w:color w:val="000000"/>
          <w:sz w:val="18"/>
          <w:szCs w:val="18"/>
          <w:lang w:eastAsia="es-ES"/>
        </w:rPr>
        <w:sectPr w:rsidR="00E27996" w:rsidRPr="00E27996" w:rsidSect="00E27996">
          <w:headerReference w:type="default" r:id="rId38"/>
          <w:footerReference w:type="default" r:id="rId39"/>
          <w:pgSz w:w="612pt" w:h="792pt"/>
          <w:pgMar w:top="104.90pt" w:right="70.90pt" w:bottom="56.70pt" w:left="70.90pt" w:header="35.45pt" w:footer="41.40pt" w:gutter="0pt"/>
          <w:cols w:space="35.40pt"/>
          <w:docGrid w:linePitch="360"/>
        </w:sectPr>
      </w:pPr>
    </w:p>
    <w:tbl>
      <w:tblPr>
        <w:tblStyle w:val="Tabladecuadrcula4-nfasis6"/>
        <w:tblW w:w="254.30pt" w:type="dxa"/>
        <w:tblBorders>
          <w:top w:val="none" w:sz="0" w:space="0" w:color="auto"/>
          <w:start w:val="none" w:sz="0" w:space="0" w:color="auto"/>
          <w:bottom w:val="none" w:sz="0" w:space="0" w:color="auto"/>
          <w:end w:val="none" w:sz="0" w:space="0" w:color="auto"/>
          <w:insideH w:val="none" w:sz="0" w:space="0" w:color="auto"/>
          <w:insideV w:val="none" w:sz="0" w:space="0" w:color="auto"/>
        </w:tblBorders>
        <w:tblLook w:firstRow="1" w:lastRow="0" w:firstColumn="1" w:lastColumn="0" w:noHBand="0" w:noVBand="1"/>
      </w:tblPr>
      <w:tblGrid>
        <w:gridCol w:w="1225"/>
        <w:gridCol w:w="1872"/>
        <w:gridCol w:w="1989"/>
      </w:tblGrid>
      <w:tr w:rsidR="00E27996" w:rsidRPr="00E27996" w:rsidTr="002460F9">
        <w:trPr>
          <w:cnfStyle w:firstRow="1" w:lastRow="0" w:firstColumn="0" w:lastColumn="0" w:oddVBand="0" w:evenVBand="0" w:oddHBand="0" w:evenHBand="0" w:firstRowFirstColumn="0" w:firstRowLastColumn="0" w:lastRowFirstColumn="0" w:lastRowLastColumn="0"/>
          <w:trHeight w:val="401"/>
          <w:tblHeader/>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vAlign w:val="center"/>
            <w:hideMark/>
          </w:tcPr>
          <w:p w:rsidR="00E27996" w:rsidRPr="00E27996" w:rsidRDefault="00E27996" w:rsidP="00E27996">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Clave</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vAlign w:val="center"/>
            <w:hideMark/>
          </w:tcPr>
          <w:p w:rsidR="00E27996" w:rsidRPr="00E27996" w:rsidRDefault="00E27996" w:rsidP="00E27996">
            <w:pPr>
              <w:spacing w:line="12.95pt" w:lineRule="auto"/>
              <w:jc w:val="both"/>
              <w:cnfStyle w:firstRow="1"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Entidad</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E27996" w:rsidRPr="00E27996" w:rsidRDefault="00E27996" w:rsidP="00E27996">
            <w:pPr>
              <w:spacing w:line="12.95pt" w:lineRule="auto"/>
              <w:jc w:val="both"/>
              <w:cnfStyle w:firstRow="1"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Municipio</w:t>
            </w:r>
          </w:p>
        </w:tc>
      </w:tr>
      <w:tr w:rsidR="00E27996"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E27996" w:rsidRPr="00E27996" w:rsidRDefault="00E27996" w:rsidP="00E27996">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05018</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E27996" w:rsidRPr="00E27996" w:rsidRDefault="00E27996" w:rsidP="00E27996">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Coahuila de Zaragoza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E27996" w:rsidRPr="00E27996" w:rsidRDefault="00E27996" w:rsidP="00E27996">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Monclova</w:t>
            </w:r>
          </w:p>
        </w:tc>
      </w:tr>
      <w:tr w:rsidR="00957848"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957848" w:rsidRPr="00E27996" w:rsidRDefault="00957848" w:rsidP="00E27996">
            <w:pPr>
              <w:spacing w:line="12.95pt" w:lineRule="auto"/>
              <w:jc w:val="both"/>
              <w:rPr>
                <w:rFonts w:ascii="Century Gothic" w:hAnsi="Century Gothic" w:cs="Arial"/>
                <w:color w:val="000000"/>
                <w:sz w:val="18"/>
                <w:szCs w:val="18"/>
                <w:lang w:eastAsia="es-ES"/>
              </w:rPr>
            </w:pPr>
            <w:r>
              <w:rPr>
                <w:rFonts w:ascii="Century Gothic" w:hAnsi="Century Gothic" w:cs="Arial"/>
                <w:color w:val="000000"/>
                <w:sz w:val="18"/>
                <w:szCs w:val="18"/>
                <w:lang w:eastAsia="es-ES"/>
              </w:rPr>
              <w:t>05024</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957848" w:rsidRPr="00E27996" w:rsidRDefault="00957848" w:rsidP="00E27996">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Coahuila de Zaragoza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957848" w:rsidRPr="00E27996" w:rsidRDefault="00957848" w:rsidP="00E27996">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957848">
              <w:rPr>
                <w:rFonts w:ascii="Century Gothic" w:hAnsi="Century Gothic" w:cs="Arial"/>
                <w:color w:val="000000"/>
                <w:sz w:val="18"/>
                <w:szCs w:val="18"/>
                <w:lang w:eastAsia="es-ES"/>
              </w:rPr>
              <w:t>Parras</w:t>
            </w:r>
          </w:p>
        </w:tc>
      </w:tr>
      <w:tr w:rsidR="00957848"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957848" w:rsidRPr="00E27996" w:rsidRDefault="00957848" w:rsidP="00E27996">
            <w:pPr>
              <w:spacing w:line="12.95pt" w:lineRule="auto"/>
              <w:jc w:val="both"/>
              <w:rPr>
                <w:rFonts w:ascii="Century Gothic" w:hAnsi="Century Gothic" w:cs="Arial"/>
                <w:color w:val="000000"/>
                <w:sz w:val="18"/>
                <w:szCs w:val="18"/>
                <w:lang w:eastAsia="es-ES"/>
              </w:rPr>
            </w:pPr>
            <w:r>
              <w:rPr>
                <w:rFonts w:ascii="Century Gothic" w:hAnsi="Century Gothic" w:cs="Arial"/>
                <w:color w:val="000000"/>
                <w:sz w:val="18"/>
                <w:szCs w:val="18"/>
                <w:lang w:eastAsia="es-ES"/>
              </w:rPr>
              <w:t>05027</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957848" w:rsidRPr="00E27996" w:rsidRDefault="00957848" w:rsidP="00E27996">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Coahuila de Zaragoza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957848" w:rsidRPr="00E27996" w:rsidRDefault="00957848" w:rsidP="00E27996">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957848">
              <w:rPr>
                <w:rFonts w:ascii="Century Gothic" w:hAnsi="Century Gothic" w:cs="Arial"/>
                <w:color w:val="000000"/>
                <w:sz w:val="18"/>
                <w:szCs w:val="18"/>
                <w:lang w:eastAsia="es-ES"/>
              </w:rPr>
              <w:t>Ramos Arizpe</w:t>
            </w:r>
          </w:p>
        </w:tc>
      </w:tr>
      <w:tr w:rsidR="001E58E8"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05035</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Coahuila de Zaragoza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Torreón</w:t>
            </w:r>
          </w:p>
        </w:tc>
      </w:tr>
      <w:tr w:rsidR="001E58E8"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06002</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Colima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Colima</w:t>
            </w:r>
          </w:p>
        </w:tc>
      </w:tr>
      <w:tr w:rsidR="001E58E8"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08021</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Chihuahua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Delicias</w:t>
            </w:r>
          </w:p>
        </w:tc>
      </w:tr>
      <w:tr w:rsidR="001E58E8"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rPr>
                <w:rFonts w:ascii="Century Gothic" w:hAnsi="Century Gothic" w:cs="Arial"/>
                <w:color w:val="000000"/>
                <w:sz w:val="18"/>
                <w:szCs w:val="18"/>
                <w:lang w:eastAsia="es-ES"/>
              </w:rPr>
            </w:pPr>
            <w:r>
              <w:rPr>
                <w:rFonts w:ascii="Century Gothic" w:hAnsi="Century Gothic" w:cs="Arial"/>
                <w:color w:val="000000"/>
                <w:sz w:val="18"/>
                <w:szCs w:val="18"/>
                <w:lang w:eastAsia="es-ES"/>
              </w:rPr>
              <w:t>08032</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Chihuahua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Hidalgo del Parral</w:t>
            </w:r>
          </w:p>
        </w:tc>
      </w:tr>
      <w:tr w:rsidR="001E58E8"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08037</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Chihuahua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Juárez</w:t>
            </w:r>
          </w:p>
        </w:tc>
      </w:tr>
      <w:tr w:rsidR="001E58E8"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rPr>
                <w:rFonts w:ascii="Century Gothic" w:hAnsi="Century Gothic" w:cs="Arial"/>
                <w:color w:val="000000"/>
                <w:sz w:val="18"/>
                <w:szCs w:val="18"/>
                <w:lang w:eastAsia="es-ES"/>
              </w:rPr>
            </w:pPr>
            <w:r>
              <w:rPr>
                <w:rFonts w:ascii="Century Gothic" w:hAnsi="Century Gothic" w:cs="Arial"/>
                <w:color w:val="000000"/>
                <w:sz w:val="18"/>
                <w:szCs w:val="18"/>
                <w:lang w:eastAsia="es-ES"/>
              </w:rPr>
              <w:t>09010</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Ciudad de México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Álvaro Obregón</w:t>
            </w:r>
          </w:p>
        </w:tc>
      </w:tr>
      <w:tr w:rsidR="001E58E8"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1E58E8" w:rsidRPr="00E27996" w:rsidRDefault="001E58E8" w:rsidP="001E58E8">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09007</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1E58E8" w:rsidRPr="00E27996" w:rsidRDefault="001E58E8" w:rsidP="001E58E8">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Ciudad de México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1E58E8" w:rsidRPr="00E27996" w:rsidRDefault="001E58E8" w:rsidP="001E58E8">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Iztapalapa</w:t>
            </w:r>
          </w:p>
        </w:tc>
      </w:tr>
      <w:tr w:rsidR="001E58E8"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09008</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Ciudad de México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La Magdalena Contreras</w:t>
            </w:r>
          </w:p>
        </w:tc>
      </w:tr>
      <w:tr w:rsidR="001E58E8"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10005</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Durango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Durango</w:t>
            </w:r>
          </w:p>
        </w:tc>
      </w:tr>
      <w:tr w:rsidR="001E58E8"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rPr>
                <w:rFonts w:ascii="Century Gothic" w:hAnsi="Century Gothic" w:cs="Arial"/>
                <w:color w:val="000000"/>
                <w:sz w:val="18"/>
                <w:szCs w:val="18"/>
                <w:lang w:eastAsia="es-ES"/>
              </w:rPr>
            </w:pPr>
            <w:r>
              <w:rPr>
                <w:rFonts w:ascii="Century Gothic" w:hAnsi="Century Gothic" w:cs="Arial"/>
                <w:color w:val="000000"/>
                <w:sz w:val="18"/>
                <w:szCs w:val="18"/>
                <w:lang w:eastAsia="es-ES"/>
              </w:rPr>
              <w:t>10007</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Durango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1E58E8" w:rsidRPr="00E27996" w:rsidRDefault="001E58E8" w:rsidP="001E58E8">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Gomez Palacios</w:t>
            </w:r>
          </w:p>
        </w:tc>
      </w:tr>
      <w:tr w:rsidR="00E870F3"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E870F3" w:rsidRPr="00E27996" w:rsidRDefault="00E870F3" w:rsidP="00E870F3">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11003</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E870F3" w:rsidRPr="00E27996" w:rsidRDefault="00E870F3" w:rsidP="00E870F3">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Guanajuato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E870F3" w:rsidRPr="00E27996" w:rsidRDefault="00E870F3" w:rsidP="00E870F3">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San Miguel de Allende</w:t>
            </w:r>
          </w:p>
        </w:tc>
      </w:tr>
      <w:tr w:rsidR="00E870F3"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E870F3" w:rsidRPr="00E27996" w:rsidRDefault="00E870F3" w:rsidP="00E870F3">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11027</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E870F3" w:rsidRPr="00E27996" w:rsidRDefault="00E870F3" w:rsidP="00E870F3">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Guanajuato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E870F3" w:rsidRPr="00E27996" w:rsidRDefault="00E870F3" w:rsidP="00E870F3">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Salamanca</w:t>
            </w:r>
          </w:p>
        </w:tc>
      </w:tr>
      <w:tr w:rsidR="00E870F3"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E870F3" w:rsidRPr="00E27996" w:rsidRDefault="00E870F3" w:rsidP="00E870F3">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11020</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E870F3" w:rsidRPr="00E27996" w:rsidRDefault="00E870F3" w:rsidP="00E870F3">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Guanajuato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E870F3" w:rsidRPr="00E27996" w:rsidRDefault="00E870F3" w:rsidP="00E870F3">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León</w:t>
            </w:r>
          </w:p>
        </w:tc>
      </w:tr>
      <w:tr w:rsidR="00E870F3"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E870F3" w:rsidRPr="00E27996" w:rsidRDefault="00E870F3" w:rsidP="00E870F3">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lastRenderedPageBreak/>
              <w:t>12038</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E870F3" w:rsidRPr="00E27996" w:rsidRDefault="00E870F3" w:rsidP="00E870F3">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Guerrero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E870F3" w:rsidRPr="00E27996" w:rsidRDefault="00E870F3" w:rsidP="00E870F3">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Zihuatanejo de Azueta</w:t>
            </w:r>
          </w:p>
        </w:tc>
      </w:tr>
      <w:tr w:rsidR="00E870F3"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E870F3" w:rsidRPr="00E27996" w:rsidRDefault="00E870F3" w:rsidP="00E870F3">
            <w:pPr>
              <w:spacing w:line="12.95pt" w:lineRule="auto"/>
              <w:jc w:val="both"/>
              <w:rPr>
                <w:rFonts w:ascii="Century Gothic" w:hAnsi="Century Gothic" w:cs="Arial"/>
                <w:color w:val="000000"/>
                <w:sz w:val="18"/>
                <w:szCs w:val="18"/>
                <w:lang w:eastAsia="es-ES"/>
              </w:rPr>
            </w:pPr>
            <w:r>
              <w:rPr>
                <w:rFonts w:ascii="Century Gothic" w:hAnsi="Century Gothic" w:cs="Arial"/>
                <w:color w:val="000000"/>
                <w:sz w:val="18"/>
                <w:szCs w:val="18"/>
                <w:lang w:eastAsia="es-ES"/>
              </w:rPr>
              <w:t>13077</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E870F3" w:rsidRPr="00E27996" w:rsidRDefault="00E870F3" w:rsidP="00E870F3">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Hidalgo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E870F3" w:rsidRDefault="00E870F3" w:rsidP="00E870F3">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 xml:space="preserve">Tulancingo de </w:t>
            </w:r>
          </w:p>
          <w:p w:rsidR="00E870F3" w:rsidRPr="00E27996" w:rsidRDefault="00E870F3" w:rsidP="00E870F3">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 xml:space="preserve">Bravo </w:t>
            </w:r>
          </w:p>
        </w:tc>
      </w:tr>
      <w:tr w:rsidR="00E870F3"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E870F3" w:rsidRPr="00E27996" w:rsidRDefault="00E870F3" w:rsidP="00E870F3">
            <w:pPr>
              <w:spacing w:line="12.95pt" w:lineRule="auto"/>
              <w:jc w:val="both"/>
              <w:rPr>
                <w:rFonts w:ascii="Century Gothic" w:hAnsi="Century Gothic" w:cs="Arial"/>
                <w:color w:val="000000"/>
                <w:sz w:val="18"/>
                <w:szCs w:val="18"/>
                <w:lang w:eastAsia="es-ES"/>
              </w:rPr>
            </w:pPr>
            <w:r>
              <w:rPr>
                <w:rFonts w:ascii="Century Gothic" w:hAnsi="Century Gothic" w:cs="Arial"/>
                <w:color w:val="000000"/>
                <w:sz w:val="18"/>
                <w:szCs w:val="18"/>
                <w:lang w:eastAsia="es-ES"/>
              </w:rPr>
              <w:t>13069</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E870F3" w:rsidRPr="00E27996" w:rsidRDefault="00E870F3" w:rsidP="00E870F3">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 xml:space="preserve">Hidalgo </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E870F3" w:rsidRPr="00E27996" w:rsidRDefault="00E870F3" w:rsidP="00E870F3">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 xml:space="preserve">Tizayuca </w:t>
            </w:r>
          </w:p>
        </w:tc>
      </w:tr>
      <w:tr w:rsidR="00E870F3"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E870F3" w:rsidRPr="00E27996" w:rsidRDefault="00E870F3" w:rsidP="00E870F3">
            <w:pPr>
              <w:spacing w:line="12.95pt" w:lineRule="auto"/>
              <w:jc w:val="both"/>
              <w:rPr>
                <w:rFonts w:ascii="Century Gothic" w:hAnsi="Century Gothic" w:cs="Arial"/>
                <w:color w:val="000000"/>
                <w:sz w:val="18"/>
                <w:szCs w:val="18"/>
                <w:lang w:eastAsia="es-ES"/>
              </w:rPr>
            </w:pPr>
            <w:r>
              <w:rPr>
                <w:rFonts w:ascii="Century Gothic" w:hAnsi="Century Gothic" w:cs="Arial"/>
                <w:color w:val="000000"/>
                <w:sz w:val="18"/>
                <w:szCs w:val="18"/>
                <w:lang w:eastAsia="es-ES"/>
              </w:rPr>
              <w:t>14067</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E870F3" w:rsidRPr="00E27996" w:rsidRDefault="00E870F3" w:rsidP="00E870F3">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Jalisco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E870F3" w:rsidRPr="00E27996" w:rsidRDefault="00E870F3" w:rsidP="00E870F3">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Puerto Vallarta</w:t>
            </w:r>
          </w:p>
        </w:tc>
      </w:tr>
      <w:tr w:rsidR="00E870F3"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E870F3" w:rsidRPr="00E27996" w:rsidRDefault="00E870F3" w:rsidP="00E870F3">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14037</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E870F3" w:rsidRPr="00E27996" w:rsidRDefault="00E870F3" w:rsidP="00E870F3">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Jalisco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E870F3" w:rsidRPr="00E27996" w:rsidRDefault="00E870F3" w:rsidP="00E870F3">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El Grullo</w:t>
            </w:r>
          </w:p>
        </w:tc>
      </w:tr>
      <w:tr w:rsidR="00E870F3"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E870F3" w:rsidRPr="00E27996" w:rsidRDefault="00E870F3" w:rsidP="00E870F3">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14044</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E870F3" w:rsidRPr="00E27996" w:rsidRDefault="00E870F3" w:rsidP="00E870F3">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Jalisco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E870F3" w:rsidRPr="00E27996" w:rsidRDefault="00E870F3" w:rsidP="00E870F3">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Ixtlahuacán de los Membrillos</w:t>
            </w:r>
          </w:p>
        </w:tc>
      </w:tr>
      <w:tr w:rsidR="00E870F3" w:rsidRPr="00E27996" w:rsidTr="00E870F3">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E870F3" w:rsidRPr="00E27996" w:rsidRDefault="00E870F3" w:rsidP="00E870F3">
            <w:pPr>
              <w:spacing w:line="12.95pt" w:lineRule="auto"/>
              <w:jc w:val="both"/>
              <w:rPr>
                <w:rFonts w:ascii="Century Gothic" w:hAnsi="Century Gothic" w:cs="Arial"/>
                <w:color w:val="000000"/>
                <w:sz w:val="18"/>
                <w:szCs w:val="18"/>
                <w:lang w:eastAsia="es-ES"/>
              </w:rPr>
            </w:pPr>
            <w:r>
              <w:rPr>
                <w:rFonts w:ascii="Century Gothic" w:hAnsi="Century Gothic" w:cs="Arial"/>
                <w:color w:val="000000"/>
                <w:sz w:val="18"/>
                <w:szCs w:val="18"/>
                <w:lang w:eastAsia="es-ES"/>
              </w:rPr>
              <w:t>14003</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E870F3" w:rsidRPr="00E27996" w:rsidRDefault="00E870F3" w:rsidP="00E870F3">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Jalisco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E870F3" w:rsidRPr="00E27996" w:rsidRDefault="00E870F3" w:rsidP="00E870F3">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t xml:space="preserve"> </w:t>
            </w:r>
            <w:r w:rsidRPr="00957848">
              <w:rPr>
                <w:rFonts w:ascii="Century Gothic" w:hAnsi="Century Gothic" w:cs="Arial"/>
                <w:color w:val="000000"/>
                <w:sz w:val="18"/>
                <w:szCs w:val="18"/>
                <w:lang w:eastAsia="es-ES"/>
              </w:rPr>
              <w:t>Ahualulco de Mercado</w:t>
            </w:r>
          </w:p>
        </w:tc>
      </w:tr>
      <w:tr w:rsidR="00484851" w:rsidRPr="00E27996" w:rsidTr="00E870F3">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Pr>
                <w:rFonts w:ascii="Century Gothic" w:hAnsi="Century Gothic" w:cs="Arial"/>
                <w:color w:val="000000"/>
                <w:sz w:val="18"/>
                <w:szCs w:val="18"/>
                <w:lang w:eastAsia="es-ES"/>
              </w:rPr>
              <w:t>14083</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Jalisco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 xml:space="preserve">Tala </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14094</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Jalisco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Tequila</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Pr>
                <w:rFonts w:ascii="Century Gothic" w:hAnsi="Century Gothic" w:cs="Arial"/>
                <w:color w:val="000000"/>
                <w:sz w:val="18"/>
                <w:szCs w:val="18"/>
                <w:lang w:eastAsia="es-ES"/>
              </w:rPr>
              <w:t>140</w:t>
            </w:r>
            <w:r w:rsidR="00BD0DD0">
              <w:rPr>
                <w:rFonts w:ascii="Century Gothic" w:hAnsi="Century Gothic" w:cs="Arial"/>
                <w:color w:val="000000"/>
                <w:sz w:val="18"/>
                <w:szCs w:val="18"/>
                <w:lang w:eastAsia="es-ES"/>
              </w:rPr>
              <w:t>6</w:t>
            </w:r>
            <w:r>
              <w:rPr>
                <w:rFonts w:ascii="Century Gothic" w:hAnsi="Century Gothic" w:cs="Arial"/>
                <w:color w:val="000000"/>
                <w:sz w:val="18"/>
                <w:szCs w:val="18"/>
                <w:lang w:eastAsia="es-ES"/>
              </w:rPr>
              <w:t>3</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Jalisco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Ocotlán</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14097</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Jalisco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Tlajomulco de Zúñiga</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14120</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Jalisco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Zapopan</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14098</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Jalisco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San Pedro Tlaquepaque</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14101</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Jalisco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Tonalá</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14121</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Jalisco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Zapotiltic</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15024</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México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Cuautitlán</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15039</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México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Ixtapaluca</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15051</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México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Lerma</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15053</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México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Melchor Ocampo</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15058</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México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Nezahualcóyotl</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15081</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México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Tecámac</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15091</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México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Teoloyucan</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15101</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México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Tianguistenco</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15106</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México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Toluca</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15109</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México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Tultitlán</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15030</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México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Chiconcuac</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15118</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México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Zinacantepec</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15031</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México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Chimalhuacán</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15033</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México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Ecatepec de Morelos</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15035</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México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Huehuetoca</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15054</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México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Metepec</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15088</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México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Tenancingo</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15115</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México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Xonacatlán</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15120</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México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Zumpango</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15122</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México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Valle de Chalco Solidaridad</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Pr>
                <w:rFonts w:ascii="Century Gothic" w:hAnsi="Century Gothic" w:cs="Arial"/>
                <w:color w:val="000000"/>
                <w:sz w:val="18"/>
                <w:szCs w:val="18"/>
                <w:lang w:eastAsia="es-ES"/>
              </w:rPr>
              <w:t>16043</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Michoacán de Ocampo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Jacona</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16053</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Michoacán de Ocampo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Morelia</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16069</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Michoacán de Ocampo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La Piedad</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16108</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Michoacán de Ocampo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Zamora</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16102</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Michoacán de Ocampo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Uruapan</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17006</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Morelos</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Cuautla</w:t>
            </w:r>
          </w:p>
        </w:tc>
      </w:tr>
      <w:tr w:rsidR="00484851" w:rsidRPr="00E27996" w:rsidTr="00E870F3">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17008</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Morelos</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Emiliano Zapata</w:t>
            </w:r>
          </w:p>
        </w:tc>
      </w:tr>
      <w:tr w:rsidR="00484851" w:rsidRPr="00E27996" w:rsidTr="00E870F3">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17011</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Morelos</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Jiutepec</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17017</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Morelos</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Puente de Ixtla</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17018</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Morelos</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Temixco</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17028</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Morelos</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Xochitepec</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17031</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Morelos</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Zacatepec</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18008</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Nayarit</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Xalisco</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18017</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Nayarit</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Tepic</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19006</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Nuevo León</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Apodaca</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Pr>
                <w:rFonts w:ascii="Century Gothic" w:hAnsi="Century Gothic" w:cs="Arial"/>
                <w:color w:val="000000"/>
                <w:sz w:val="18"/>
                <w:szCs w:val="18"/>
                <w:lang w:eastAsia="es-ES"/>
              </w:rPr>
              <w:t>19009</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Nuevo León</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2460F9">
              <w:rPr>
                <w:rFonts w:ascii="Century Gothic" w:hAnsi="Century Gothic" w:cs="Arial"/>
                <w:color w:val="000000"/>
                <w:sz w:val="18"/>
                <w:szCs w:val="18"/>
                <w:lang w:eastAsia="es-ES"/>
              </w:rPr>
              <w:t>Cadereyta Jiménez</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19012</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Nuevo León</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Ciénega de Flores</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19018</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Nuevo León</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García</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19021</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Nuevo León</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General Escobedo</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19025</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Nuevo León</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General Zuazua</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19026</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Nuevo León</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Guadalupe</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19031</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Nuevo León</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Juárez</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Pr>
                <w:rFonts w:ascii="Century Gothic" w:hAnsi="Century Gothic" w:cs="Arial"/>
                <w:color w:val="000000"/>
                <w:sz w:val="18"/>
                <w:szCs w:val="18"/>
                <w:lang w:eastAsia="es-ES"/>
              </w:rPr>
              <w:t>19041</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Nuevo León</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 xml:space="preserve">Pesquería </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19045</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Nuevo León</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Salinas Victoria</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19046</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Nuevo León</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San Nicolás de los Garza</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19048</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Nuevo León</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Santa Catarina</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20079</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Oaxaca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Salina Cruz</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21041</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Puebla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Cuautlancingo</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21114</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Puebla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Puebla</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21119</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Puebla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San Andrés Cholula</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Pr>
                <w:rFonts w:ascii="Century Gothic" w:hAnsi="Century Gothic" w:cs="Arial"/>
                <w:color w:val="000000"/>
                <w:sz w:val="18"/>
                <w:szCs w:val="18"/>
                <w:lang w:eastAsia="es-ES"/>
              </w:rPr>
              <w:t>21154</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Puebla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Tecamachalco</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21163</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Puebla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Tepatlaxco de Hidalgo</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22006</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Querétaro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Corregidora</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22014</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Querétaro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Querétaro</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22017</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Querétaro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Tequisquiapan</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23008</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Quintana Roo</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Solidaridad</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Pr>
                <w:rFonts w:ascii="Century Gothic" w:hAnsi="Century Gothic" w:cs="Arial"/>
                <w:color w:val="000000"/>
                <w:sz w:val="18"/>
                <w:szCs w:val="18"/>
                <w:lang w:eastAsia="es-ES"/>
              </w:rPr>
              <w:t>24020</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D95B4C">
              <w:rPr>
                <w:rFonts w:ascii="Century Gothic" w:hAnsi="Century Gothic" w:cs="Arial"/>
                <w:color w:val="000000"/>
                <w:sz w:val="18"/>
                <w:szCs w:val="18"/>
                <w:lang w:eastAsia="es-ES"/>
              </w:rPr>
              <w:t>San Luis Potosí</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Matehuala</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25001</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Sinaloa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Ahome</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25006</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Sinaloa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Culiacán</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25012</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Sinaloa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Mazatlán</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25015</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Sinaloa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Salvador Alvarado</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26002</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Sonora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Agua Prieta</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26017</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Sonora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Caborca</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26018</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Sonora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Cajeme</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26019</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Sonora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Cananea</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26029</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Sonora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Guaymas</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26030</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Sonora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Hermosillo</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lastRenderedPageBreak/>
              <w:t>26043</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Sonora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Nogales</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26055</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Sonora</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San Luis Río Colorado</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rPr>
                <w:rFonts w:ascii="Century Gothic" w:hAnsi="Century Gothic" w:cs="Arial"/>
                <w:color w:val="000000"/>
                <w:sz w:val="18"/>
                <w:szCs w:val="18"/>
                <w:lang w:eastAsia="es-ES"/>
              </w:rPr>
            </w:pPr>
            <w:r>
              <w:rPr>
                <w:rFonts w:ascii="Century Gothic" w:hAnsi="Century Gothic" w:cs="Arial"/>
                <w:color w:val="000000"/>
                <w:sz w:val="18"/>
                <w:szCs w:val="18"/>
                <w:lang w:eastAsia="es-ES"/>
              </w:rPr>
              <w:t>28022</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Tamaulipas</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Matamoros</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30026</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Veracruz de Ignacio de la Llave</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Banderilla</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30108</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Veracruz de Ignacio de la Llave</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Minatitlán</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30118</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Veracruz de Ignacio de la Llave</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Orizaba</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30128</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Veracruz de Ignacio de la Llave</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Perote</w:t>
            </w:r>
          </w:p>
        </w:tc>
      </w:tr>
      <w:tr w:rsidR="00484851" w:rsidRPr="00E27996" w:rsidTr="00484851">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Default="00484851" w:rsidP="00484851">
            <w:pPr>
              <w:spacing w:line="12.95pt" w:lineRule="auto"/>
              <w:jc w:val="both"/>
              <w:rPr>
                <w:rFonts w:ascii="Century Gothic" w:hAnsi="Century Gothic" w:cs="Arial"/>
                <w:color w:val="000000"/>
                <w:sz w:val="18"/>
                <w:szCs w:val="18"/>
                <w:lang w:eastAsia="es-ES"/>
              </w:rPr>
            </w:pPr>
            <w:r>
              <w:rPr>
                <w:rFonts w:ascii="Century Gothic" w:hAnsi="Century Gothic" w:cs="Arial"/>
                <w:color w:val="000000"/>
                <w:sz w:val="18"/>
                <w:szCs w:val="18"/>
                <w:lang w:eastAsia="es-ES"/>
              </w:rPr>
              <w:t>30189</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Veracruz de Ignacio de la Llave</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tcPr>
          <w:p w:rsidR="00484851"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Pr>
                <w:rFonts w:ascii="Century Gothic" w:hAnsi="Century Gothic" w:cs="Arial"/>
                <w:color w:val="000000"/>
                <w:sz w:val="18"/>
                <w:szCs w:val="18"/>
                <w:lang w:eastAsia="es-ES"/>
              </w:rPr>
              <w:t>Tuxpan</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30193</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Veracruz de Ignacio de la Llave</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Veracruz</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31059</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Yucatán</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0"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Progreso</w:t>
            </w:r>
          </w:p>
        </w:tc>
      </w:tr>
      <w:tr w:rsidR="00484851" w:rsidRPr="00E27996" w:rsidTr="002460F9">
        <w:trPr>
          <w:cnfStyle w:firstRow="0" w:lastRow="0" w:firstColumn="0" w:lastColumn="0" w:oddVBand="0" w:evenVBand="0" w:oddHBand="1" w:evenHBand="0" w:firstRowFirstColumn="0" w:firstRowLastColumn="0" w:lastRowFirstColumn="0" w:lastRowLastColumn="0"/>
          <w:trHeight w:val="227"/>
        </w:trPr>
        <w:tc>
          <w:tcPr>
            <w:cnfStyle w:firstRow="0" w:lastRow="0" w:firstColumn="1" w:lastColumn="0" w:oddVBand="0" w:evenVBand="0" w:oddHBand="0" w:evenHBand="0" w:firstRowFirstColumn="0" w:firstRowLastColumn="0" w:lastRowFirstColumn="0" w:lastRowLastColumn="0"/>
            <w:tcW w:w="61.2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32056</w:t>
            </w:r>
          </w:p>
        </w:tc>
        <w:tc>
          <w:tcPr>
            <w:tcW w:w="93.60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Zacatecas</w:t>
            </w:r>
          </w:p>
        </w:tc>
        <w:tc>
          <w:tcPr>
            <w:tcW w:w="99.45pt" w:type="dxa"/>
            <w:tc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tcBorders>
            <w:noWrap/>
            <w:vAlign w:val="center"/>
            <w:hideMark/>
          </w:tcPr>
          <w:p w:rsidR="00484851" w:rsidRPr="00E27996" w:rsidRDefault="00484851" w:rsidP="00484851">
            <w:pPr>
              <w:spacing w:line="12.95pt" w:lineRule="auto"/>
              <w:jc w:val="both"/>
              <w:cnfStyle w:firstRow="0" w:lastRow="0" w:firstColumn="0" w:lastColumn="0" w:oddVBand="0" w:evenVBand="0" w:oddHBand="1" w:evenHBand="0" w:firstRowFirstColumn="0" w:firstRowLastColumn="0" w:lastRowFirstColumn="0" w:lastRowLastColumn="0"/>
              <w:rPr>
                <w:rFonts w:ascii="Century Gothic" w:hAnsi="Century Gothic" w:cs="Arial"/>
                <w:color w:val="000000"/>
                <w:sz w:val="18"/>
                <w:szCs w:val="18"/>
                <w:lang w:eastAsia="es-ES"/>
              </w:rPr>
            </w:pPr>
            <w:r w:rsidRPr="00E27996">
              <w:rPr>
                <w:rFonts w:ascii="Century Gothic" w:hAnsi="Century Gothic" w:cs="Arial"/>
                <w:color w:val="000000"/>
                <w:sz w:val="18"/>
                <w:szCs w:val="18"/>
                <w:lang w:eastAsia="es-ES"/>
              </w:rPr>
              <w:t>Zacatecas</w:t>
            </w:r>
          </w:p>
        </w:tc>
      </w:tr>
      <w:tr w:rsidR="00484851" w:rsidRPr="00E27996" w:rsidTr="002460F9">
        <w:trPr>
          <w:trHeight w:val="227"/>
        </w:trPr>
        <w:tc>
          <w:tcPr>
            <w:cnfStyle w:firstRow="0" w:lastRow="0" w:firstColumn="1" w:lastColumn="0" w:oddVBand="0" w:evenVBand="0" w:oddHBand="0" w:evenHBand="0" w:firstRowFirstColumn="0" w:firstRowLastColumn="0" w:lastRowFirstColumn="0" w:lastRowLastColumn="0"/>
            <w:tcW w:w="254.30pt" w:type="dxa"/>
            <w:gridSpan w:val="3"/>
            <w:tcBorders>
              <w:top w:val="single" w:sz="4" w:space="0" w:color="A8D08D" w:themeColor="accent6" w:themeTint="99"/>
            </w:tcBorders>
            <w:shd w:val="clear" w:color="auto" w:fill="auto"/>
            <w:noWrap/>
            <w:vAlign w:val="center"/>
          </w:tcPr>
          <w:p w:rsidR="00484851" w:rsidRPr="00E27996" w:rsidRDefault="00484851" w:rsidP="00484851">
            <w:pPr>
              <w:spacing w:line="12.95pt" w:lineRule="auto"/>
              <w:jc w:val="both"/>
              <w:rPr>
                <w:rFonts w:ascii="Century Gothic" w:hAnsi="Century Gothic" w:cs="Arial"/>
                <w:b w:val="0"/>
                <w:bCs w:val="0"/>
                <w:color w:val="000000"/>
                <w:sz w:val="16"/>
                <w:szCs w:val="16"/>
                <w:lang w:eastAsia="es-ES"/>
              </w:rPr>
            </w:pPr>
            <w:r w:rsidRPr="00E27996">
              <w:rPr>
                <w:rFonts w:ascii="Century Gothic" w:hAnsi="Century Gothic" w:cs="Arial"/>
                <w:b w:val="0"/>
                <w:bCs w:val="0"/>
                <w:color w:val="000000"/>
                <w:sz w:val="16"/>
                <w:szCs w:val="16"/>
                <w:lang w:eastAsia="es-ES"/>
              </w:rPr>
              <w:t>Fuente: IFT, con información del BIT al tercer trimestre de 202</w:t>
            </w:r>
            <w:r>
              <w:rPr>
                <w:rFonts w:ascii="Century Gothic" w:hAnsi="Century Gothic" w:cs="Arial"/>
                <w:b w:val="0"/>
                <w:bCs w:val="0"/>
                <w:color w:val="000000"/>
                <w:sz w:val="16"/>
                <w:szCs w:val="16"/>
                <w:lang w:eastAsia="es-ES"/>
              </w:rPr>
              <w:t>4</w:t>
            </w:r>
            <w:r w:rsidRPr="00E27996">
              <w:rPr>
                <w:rFonts w:ascii="Century Gothic" w:hAnsi="Century Gothic" w:cs="Arial"/>
                <w:b w:val="0"/>
                <w:bCs w:val="0"/>
                <w:color w:val="000000"/>
                <w:sz w:val="16"/>
                <w:szCs w:val="16"/>
                <w:lang w:eastAsia="es-ES"/>
              </w:rPr>
              <w:t>.</w:t>
            </w:r>
          </w:p>
        </w:tc>
      </w:tr>
    </w:tbl>
    <w:p w:rsidR="00E27996" w:rsidRPr="00E27996" w:rsidRDefault="00E27996" w:rsidP="00E27996">
      <w:pPr>
        <w:spacing w:line="12.95pt" w:lineRule="auto"/>
        <w:jc w:val="both"/>
        <w:rPr>
          <w:rFonts w:ascii="Century Gothic" w:hAnsi="Century Gothic" w:cs="Arial"/>
          <w:color w:val="000000"/>
          <w:sz w:val="18"/>
          <w:szCs w:val="18"/>
          <w:lang w:eastAsia="es-ES"/>
        </w:rPr>
        <w:sectPr w:rsidR="00E27996" w:rsidRPr="00E27996" w:rsidSect="00E27996">
          <w:type w:val="continuous"/>
          <w:pgSz w:w="612pt" w:h="792pt"/>
          <w:pgMar w:top="104.90pt" w:right="70.90pt" w:bottom="56.70pt" w:left="70.90pt" w:header="35.45pt" w:footer="41.40pt" w:gutter="0pt"/>
          <w:cols w:num="2" w:space="35.40pt"/>
          <w:docGrid w:linePitch="360"/>
        </w:sectPr>
      </w:pPr>
    </w:p>
    <w:p w:rsidR="00E27996" w:rsidRDefault="00E27996" w:rsidP="00E27996">
      <w:pPr>
        <w:spacing w:line="12.95pt" w:lineRule="auto"/>
        <w:jc w:val="both"/>
        <w:rPr>
          <w:rFonts w:ascii="Century Gothic" w:hAnsi="Century Gothic" w:cs="Arial"/>
          <w:b/>
          <w:color w:val="000000"/>
          <w:sz w:val="18"/>
          <w:szCs w:val="18"/>
          <w:lang w:eastAsia="es-ES"/>
        </w:rPr>
      </w:pPr>
    </w:p>
    <w:p w:rsidR="00C55BA1" w:rsidRDefault="00C55BA1" w:rsidP="00E27996">
      <w:pPr>
        <w:spacing w:line="12.95pt" w:lineRule="auto"/>
        <w:jc w:val="both"/>
        <w:rPr>
          <w:rFonts w:ascii="Century Gothic" w:hAnsi="Century Gothic" w:cs="Arial"/>
          <w:b/>
          <w:color w:val="000000"/>
          <w:sz w:val="18"/>
          <w:szCs w:val="18"/>
          <w:lang w:eastAsia="es-ES"/>
        </w:rPr>
      </w:pPr>
    </w:p>
    <w:p w:rsidR="00C55BA1" w:rsidRPr="00C55BA1" w:rsidRDefault="00C55BA1" w:rsidP="00C55BA1">
      <w:pPr>
        <w:spacing w:line="12.95pt" w:lineRule="auto"/>
        <w:jc w:val="both"/>
        <w:rPr>
          <w:rFonts w:ascii="Century Gothic" w:hAnsi="Century Gothic" w:cs="Arial"/>
          <w:bCs/>
          <w:color w:val="000000"/>
          <w:lang w:val="es-ES_tradnl" w:eastAsia="es-ES"/>
        </w:rPr>
      </w:pPr>
      <w:r w:rsidRPr="00C55BA1">
        <w:rPr>
          <w:rFonts w:ascii="Century Gothic" w:hAnsi="Century Gothic" w:cs="Arial"/>
          <w:bCs/>
          <w:color w:val="000000"/>
          <w:lang w:val="es-ES_tradnl" w:eastAsia="es-ES"/>
        </w:rPr>
        <w:t>Leído que fue el presente Anexo “A” y enteradas las partes de su contenido y alcance, los representantes debidamente facultados de RED NACIONAL y el CONCESIONARIO [AUTORIZADO] SOLICITANTE lo firman por duplicado en la Ciudad de México, el día [*] de[*] de 202</w:t>
      </w:r>
      <w:r w:rsidR="000E6222">
        <w:rPr>
          <w:rFonts w:ascii="Century Gothic" w:hAnsi="Century Gothic" w:cs="Arial"/>
          <w:bCs/>
          <w:color w:val="000000"/>
          <w:lang w:val="es-ES_tradnl" w:eastAsia="es-ES"/>
        </w:rPr>
        <w:t>6</w:t>
      </w:r>
      <w:r w:rsidRPr="00C55BA1">
        <w:rPr>
          <w:rFonts w:ascii="Century Gothic" w:hAnsi="Century Gothic" w:cs="Arial"/>
          <w:bCs/>
          <w:color w:val="000000"/>
          <w:lang w:val="es-ES_tradnl" w:eastAsia="es-ES"/>
        </w:rPr>
        <w:t>.</w:t>
      </w:r>
    </w:p>
    <w:p w:rsidR="00C55BA1" w:rsidRPr="00C55BA1" w:rsidRDefault="00C55BA1" w:rsidP="00C55BA1">
      <w:pPr>
        <w:spacing w:line="12.95pt" w:lineRule="auto"/>
        <w:jc w:val="both"/>
        <w:rPr>
          <w:rFonts w:ascii="Century Gothic" w:hAnsi="Century Gothic" w:cs="Arial"/>
          <w:bCs/>
          <w:color w:val="000000"/>
          <w:lang w:val="es-ES_tradnl" w:eastAsia="es-ES"/>
        </w:rPr>
      </w:pPr>
    </w:p>
    <w:p w:rsidR="00C55BA1" w:rsidRPr="00C55BA1" w:rsidRDefault="00C55BA1" w:rsidP="00C55BA1">
      <w:pPr>
        <w:spacing w:line="12.95pt" w:lineRule="auto"/>
        <w:jc w:val="center"/>
        <w:rPr>
          <w:rFonts w:ascii="Century Gothic" w:hAnsi="Century Gothic" w:cs="Arial"/>
          <w:bCs/>
          <w:color w:val="000000"/>
          <w:lang w:val="es-ES_tradnl" w:eastAsia="es-ES"/>
        </w:rPr>
      </w:pPr>
    </w:p>
    <w:tbl>
      <w:tblPr>
        <w:tblW w:w="507pt" w:type="dxa"/>
        <w:jc w:val="center"/>
        <w:tblLayout w:type="fixed"/>
        <w:tblLook w:firstRow="1" w:lastRow="0" w:firstColumn="1" w:lastColumn="0" w:noHBand="0" w:noVBand="1"/>
      </w:tblPr>
      <w:tblGrid>
        <w:gridCol w:w="4979"/>
        <w:gridCol w:w="236"/>
        <w:gridCol w:w="4925"/>
      </w:tblGrid>
      <w:tr w:rsidR="00C55BA1" w:rsidRPr="00C55BA1" w:rsidTr="00220735">
        <w:trPr>
          <w:trHeight w:val="1696"/>
          <w:jc w:val="center"/>
        </w:trPr>
        <w:tc>
          <w:tcPr>
            <w:tcW w:w="249.20pt" w:type="dxa"/>
          </w:tcPr>
          <w:p w:rsidR="00C55BA1" w:rsidRPr="00C55BA1" w:rsidRDefault="00C55BA1" w:rsidP="00C55BA1">
            <w:pPr>
              <w:spacing w:line="12.95pt" w:lineRule="auto"/>
              <w:jc w:val="center"/>
              <w:rPr>
                <w:rFonts w:ascii="Century Gothic" w:hAnsi="Century Gothic" w:cs="Arial"/>
                <w:bCs/>
                <w:color w:val="000000"/>
                <w:lang w:eastAsia="es-ES"/>
              </w:rPr>
            </w:pPr>
            <w:r w:rsidRPr="00C55BA1">
              <w:rPr>
                <w:rFonts w:ascii="Century Gothic" w:hAnsi="Century Gothic" w:cs="Arial"/>
                <w:bCs/>
                <w:color w:val="000000"/>
                <w:lang w:eastAsia="es-ES"/>
              </w:rPr>
              <w:t>Red Nacional Última Milla, S.A.P.I. de C.V.</w:t>
            </w:r>
          </w:p>
          <w:p w:rsidR="00C55BA1" w:rsidRPr="00C55BA1" w:rsidRDefault="00C55BA1" w:rsidP="00C55BA1">
            <w:pPr>
              <w:spacing w:line="12.95pt" w:lineRule="auto"/>
              <w:jc w:val="center"/>
              <w:rPr>
                <w:rFonts w:ascii="Century Gothic" w:hAnsi="Century Gothic" w:cs="Arial"/>
                <w:bCs/>
                <w:color w:val="000000"/>
                <w:lang w:eastAsia="es-ES"/>
              </w:rPr>
            </w:pPr>
          </w:p>
          <w:p w:rsidR="00C55BA1" w:rsidRPr="00C55BA1" w:rsidRDefault="00C55BA1" w:rsidP="00C55BA1">
            <w:pPr>
              <w:spacing w:line="12.95pt" w:lineRule="auto"/>
              <w:jc w:val="center"/>
              <w:rPr>
                <w:rFonts w:ascii="Century Gothic" w:hAnsi="Century Gothic" w:cs="Arial"/>
                <w:bCs/>
                <w:color w:val="000000"/>
                <w:lang w:eastAsia="es-ES"/>
              </w:rPr>
            </w:pPr>
          </w:p>
          <w:p w:rsidR="00C55BA1" w:rsidRPr="00C55BA1" w:rsidRDefault="00C55BA1" w:rsidP="00C55BA1">
            <w:pPr>
              <w:spacing w:line="12.95pt" w:lineRule="auto"/>
              <w:jc w:val="center"/>
              <w:rPr>
                <w:rFonts w:ascii="Century Gothic" w:hAnsi="Century Gothic" w:cs="Arial"/>
                <w:bCs/>
                <w:color w:val="000000"/>
                <w:lang w:eastAsia="es-ES"/>
              </w:rPr>
            </w:pPr>
            <w:r w:rsidRPr="00C55BA1">
              <w:rPr>
                <w:rFonts w:ascii="Century Gothic" w:hAnsi="Century Gothic" w:cs="Arial"/>
                <w:bCs/>
                <w:color w:val="000000"/>
                <w:lang w:eastAsia="es-ES"/>
              </w:rPr>
              <w:t>________________________________________</w:t>
            </w:r>
          </w:p>
          <w:p w:rsidR="00C55BA1" w:rsidRPr="00C55BA1" w:rsidRDefault="00C55BA1" w:rsidP="00C55BA1">
            <w:pPr>
              <w:spacing w:line="12.95pt" w:lineRule="auto"/>
              <w:jc w:val="center"/>
              <w:rPr>
                <w:rFonts w:ascii="Century Gothic" w:hAnsi="Century Gothic" w:cs="Arial"/>
                <w:bCs/>
                <w:color w:val="000000"/>
                <w:lang w:eastAsia="es-ES"/>
              </w:rPr>
            </w:pPr>
            <w:r w:rsidRPr="00C55BA1">
              <w:rPr>
                <w:rFonts w:ascii="Century Gothic" w:hAnsi="Century Gothic" w:cs="Arial"/>
                <w:bCs/>
                <w:color w:val="000000"/>
                <w:lang w:val="es-ES_tradnl" w:eastAsia="es-ES"/>
              </w:rPr>
              <w:t>[*]</w:t>
            </w:r>
          </w:p>
        </w:tc>
        <w:tc>
          <w:tcPr>
            <w:tcW w:w="11.50pt" w:type="dxa"/>
          </w:tcPr>
          <w:p w:rsidR="00C55BA1" w:rsidRPr="00C55BA1" w:rsidRDefault="00C55BA1" w:rsidP="00C55BA1">
            <w:pPr>
              <w:spacing w:line="12.95pt" w:lineRule="auto"/>
              <w:jc w:val="center"/>
              <w:rPr>
                <w:rFonts w:ascii="Century Gothic" w:hAnsi="Century Gothic" w:cs="Arial"/>
                <w:bCs/>
                <w:color w:val="000000"/>
                <w:lang w:eastAsia="es-ES"/>
              </w:rPr>
            </w:pPr>
          </w:p>
        </w:tc>
        <w:tc>
          <w:tcPr>
            <w:tcW w:w="246.45pt" w:type="dxa"/>
          </w:tcPr>
          <w:p w:rsidR="00C55BA1" w:rsidRPr="00C55BA1" w:rsidRDefault="00C55BA1" w:rsidP="00C55BA1">
            <w:pPr>
              <w:spacing w:line="12.95pt" w:lineRule="auto"/>
              <w:jc w:val="center"/>
              <w:rPr>
                <w:rFonts w:ascii="Century Gothic" w:hAnsi="Century Gothic" w:cs="Arial"/>
                <w:bCs/>
                <w:color w:val="000000"/>
                <w:lang w:val="es-ES_tradnl" w:eastAsia="es-ES"/>
              </w:rPr>
            </w:pPr>
            <w:r w:rsidRPr="00C55BA1">
              <w:rPr>
                <w:rFonts w:ascii="Century Gothic" w:hAnsi="Century Gothic" w:cs="Arial"/>
                <w:bCs/>
                <w:color w:val="000000"/>
                <w:lang w:val="es-ES_tradnl" w:eastAsia="es-ES"/>
              </w:rPr>
              <w:t>Concesionario [Autorizado] Solicitante</w:t>
            </w:r>
          </w:p>
          <w:p w:rsidR="00C55BA1" w:rsidRPr="00C55BA1" w:rsidRDefault="00C55BA1" w:rsidP="00C55BA1">
            <w:pPr>
              <w:spacing w:line="12.95pt" w:lineRule="auto"/>
              <w:jc w:val="center"/>
              <w:rPr>
                <w:rFonts w:ascii="Century Gothic" w:hAnsi="Century Gothic" w:cs="Arial"/>
                <w:bCs/>
                <w:color w:val="000000"/>
                <w:lang w:eastAsia="es-ES"/>
              </w:rPr>
            </w:pPr>
          </w:p>
          <w:p w:rsidR="00C55BA1" w:rsidRPr="00C55BA1" w:rsidRDefault="00C55BA1" w:rsidP="00C55BA1">
            <w:pPr>
              <w:spacing w:line="12.95pt" w:lineRule="auto"/>
              <w:jc w:val="center"/>
              <w:rPr>
                <w:rFonts w:ascii="Century Gothic" w:hAnsi="Century Gothic" w:cs="Arial"/>
                <w:bCs/>
                <w:color w:val="000000"/>
                <w:lang w:eastAsia="es-ES"/>
              </w:rPr>
            </w:pPr>
          </w:p>
          <w:p w:rsidR="00C55BA1" w:rsidRPr="00C55BA1" w:rsidRDefault="00C55BA1" w:rsidP="00C55BA1">
            <w:pPr>
              <w:spacing w:line="12.95pt" w:lineRule="auto"/>
              <w:jc w:val="center"/>
              <w:rPr>
                <w:rFonts w:ascii="Century Gothic" w:hAnsi="Century Gothic" w:cs="Arial"/>
                <w:bCs/>
                <w:color w:val="000000"/>
                <w:lang w:eastAsia="es-ES"/>
              </w:rPr>
            </w:pPr>
            <w:r w:rsidRPr="00C55BA1">
              <w:rPr>
                <w:rFonts w:ascii="Century Gothic" w:hAnsi="Century Gothic" w:cs="Arial"/>
                <w:bCs/>
                <w:color w:val="000000"/>
                <w:lang w:eastAsia="es-ES"/>
              </w:rPr>
              <w:t>________________________________________</w:t>
            </w:r>
          </w:p>
          <w:p w:rsidR="00C55BA1" w:rsidRPr="00C55BA1" w:rsidRDefault="00C55BA1" w:rsidP="00C55BA1">
            <w:pPr>
              <w:spacing w:line="12.95pt" w:lineRule="auto"/>
              <w:jc w:val="center"/>
              <w:rPr>
                <w:rFonts w:ascii="Century Gothic" w:hAnsi="Century Gothic" w:cs="Arial"/>
                <w:bCs/>
                <w:color w:val="000000"/>
                <w:lang w:val="es-ES_tradnl" w:eastAsia="es-ES"/>
              </w:rPr>
            </w:pPr>
            <w:r w:rsidRPr="00C55BA1">
              <w:rPr>
                <w:rFonts w:ascii="Century Gothic" w:hAnsi="Century Gothic" w:cs="Arial"/>
                <w:bCs/>
                <w:color w:val="000000"/>
                <w:lang w:val="es-ES_tradnl" w:eastAsia="es-ES"/>
              </w:rPr>
              <w:t>[*]</w:t>
            </w:r>
          </w:p>
        </w:tc>
      </w:tr>
    </w:tbl>
    <w:p w:rsidR="00C55BA1" w:rsidRDefault="00C55BA1" w:rsidP="00E27996">
      <w:pPr>
        <w:spacing w:line="12.95pt" w:lineRule="auto"/>
        <w:jc w:val="both"/>
        <w:rPr>
          <w:rFonts w:ascii="Century Gothic" w:hAnsi="Century Gothic" w:cs="Arial"/>
          <w:b/>
          <w:color w:val="000000"/>
          <w:sz w:val="18"/>
          <w:szCs w:val="18"/>
          <w:lang w:eastAsia="es-ES"/>
        </w:rPr>
      </w:pPr>
    </w:p>
    <w:p w:rsidR="00C55BA1" w:rsidRDefault="00C55BA1" w:rsidP="00E27996">
      <w:pPr>
        <w:spacing w:line="12.95pt" w:lineRule="auto"/>
        <w:jc w:val="both"/>
        <w:rPr>
          <w:rFonts w:ascii="Century Gothic" w:hAnsi="Century Gothic" w:cs="Arial"/>
          <w:b/>
          <w:color w:val="000000"/>
          <w:sz w:val="18"/>
          <w:szCs w:val="18"/>
          <w:lang w:eastAsia="es-ES"/>
        </w:rPr>
      </w:pPr>
    </w:p>
    <w:p w:rsidR="00C55BA1" w:rsidRDefault="00C55BA1" w:rsidP="00E27996">
      <w:pPr>
        <w:spacing w:line="12.95pt" w:lineRule="auto"/>
        <w:jc w:val="both"/>
        <w:rPr>
          <w:rFonts w:ascii="Century Gothic" w:hAnsi="Century Gothic" w:cs="Arial"/>
          <w:b/>
          <w:color w:val="000000"/>
          <w:sz w:val="18"/>
          <w:szCs w:val="18"/>
          <w:lang w:eastAsia="es-ES"/>
        </w:rPr>
      </w:pPr>
    </w:p>
    <w:p w:rsidR="00C55BA1" w:rsidRDefault="00C55BA1" w:rsidP="00E27996">
      <w:pPr>
        <w:spacing w:line="12.95pt" w:lineRule="auto"/>
        <w:jc w:val="both"/>
        <w:rPr>
          <w:rFonts w:ascii="Century Gothic" w:hAnsi="Century Gothic" w:cs="Arial"/>
          <w:b/>
          <w:color w:val="000000"/>
          <w:sz w:val="18"/>
          <w:szCs w:val="18"/>
          <w:lang w:eastAsia="es-ES"/>
        </w:rPr>
      </w:pPr>
    </w:p>
    <w:p w:rsidR="00C55BA1" w:rsidRDefault="00C55BA1" w:rsidP="00E27996">
      <w:pPr>
        <w:spacing w:line="12.95pt" w:lineRule="auto"/>
        <w:jc w:val="both"/>
        <w:rPr>
          <w:rFonts w:ascii="Century Gothic" w:hAnsi="Century Gothic" w:cs="Arial"/>
          <w:b/>
          <w:color w:val="000000"/>
          <w:sz w:val="18"/>
          <w:szCs w:val="18"/>
          <w:lang w:eastAsia="es-ES"/>
        </w:rPr>
      </w:pPr>
    </w:p>
    <w:p w:rsidR="00C55BA1" w:rsidRDefault="00C55BA1" w:rsidP="00E27996">
      <w:pPr>
        <w:spacing w:line="12.95pt" w:lineRule="auto"/>
        <w:jc w:val="both"/>
        <w:rPr>
          <w:rFonts w:ascii="Century Gothic" w:hAnsi="Century Gothic" w:cs="Arial"/>
          <w:b/>
          <w:color w:val="000000"/>
          <w:sz w:val="18"/>
          <w:szCs w:val="18"/>
          <w:lang w:eastAsia="es-ES"/>
        </w:rPr>
      </w:pPr>
    </w:p>
    <w:p w:rsidR="00C55BA1" w:rsidRDefault="00C55BA1" w:rsidP="00E27996">
      <w:pPr>
        <w:spacing w:line="12.95pt" w:lineRule="auto"/>
        <w:jc w:val="both"/>
        <w:rPr>
          <w:rFonts w:ascii="Century Gothic" w:hAnsi="Century Gothic" w:cs="Arial"/>
          <w:b/>
          <w:color w:val="000000"/>
          <w:sz w:val="18"/>
          <w:szCs w:val="18"/>
          <w:lang w:eastAsia="es-ES"/>
        </w:rPr>
      </w:pPr>
    </w:p>
    <w:p w:rsidR="00C55BA1" w:rsidRPr="00E27996" w:rsidRDefault="00C55BA1" w:rsidP="00E27996">
      <w:pPr>
        <w:spacing w:line="12.95pt" w:lineRule="auto"/>
        <w:jc w:val="both"/>
        <w:rPr>
          <w:rFonts w:ascii="Century Gothic" w:hAnsi="Century Gothic" w:cs="Arial"/>
          <w:b/>
          <w:color w:val="000000"/>
          <w:sz w:val="18"/>
          <w:szCs w:val="18"/>
          <w:lang w:eastAsia="es-ES"/>
        </w:rPr>
        <w:sectPr w:rsidR="00C55BA1" w:rsidRPr="00E27996" w:rsidSect="00E27996">
          <w:type w:val="continuous"/>
          <w:pgSz w:w="612pt" w:h="792pt"/>
          <w:pgMar w:top="104.90pt" w:right="70.90pt" w:bottom="56.70pt" w:left="70.90pt" w:header="35.45pt" w:footer="41.40pt" w:gutter="0pt"/>
          <w:cols w:space="35.40pt"/>
          <w:docGrid w:linePitch="360"/>
        </w:sectPr>
      </w:pPr>
    </w:p>
    <w:p w:rsidR="00101117" w:rsidRPr="00611019" w:rsidRDefault="00101117" w:rsidP="00035D2C">
      <w:pPr>
        <w:jc w:val="both"/>
        <w:rPr>
          <w:rFonts w:cs="Arial"/>
          <w:bCs/>
          <w:lang w:eastAsia="es-MX"/>
        </w:rPr>
        <w:sectPr w:rsidR="00101117" w:rsidRPr="00611019" w:rsidSect="009C03FC">
          <w:headerReference w:type="default" r:id="rId40"/>
          <w:footerReference w:type="default" r:id="rId41"/>
          <w:type w:val="continuous"/>
          <w:pgSz w:w="612pt" w:h="792pt"/>
          <w:pgMar w:top="104.90pt" w:right="70.90pt" w:bottom="56.70pt" w:left="70.90pt" w:header="35.45pt" w:footer="41.40pt" w:gutter="0pt"/>
          <w:cols w:num="2" w:space="35.40pt"/>
          <w:docGrid w:linePitch="360"/>
        </w:sectPr>
      </w:pPr>
    </w:p>
    <w:bookmarkEnd w:id="2326"/>
    <w:p w:rsidR="00A422F5" w:rsidRPr="00611019" w:rsidRDefault="00A422F5" w:rsidP="00035D2C">
      <w:pPr>
        <w:pStyle w:val="IFTnormal"/>
        <w:rPr>
          <w:rFonts w:ascii="Century Gothic" w:hAnsi="Century Gothic"/>
          <w:lang w:val="es-MX"/>
        </w:rPr>
      </w:pPr>
    </w:p>
    <w:p w:rsidR="00A422F5" w:rsidRPr="00611019" w:rsidRDefault="00E56462" w:rsidP="00035D2C">
      <w:pPr>
        <w:pStyle w:val="Texto1"/>
        <w:spacing w:after="10pt" w:line="13.80pt" w:lineRule="auto"/>
        <w:rPr>
          <w:rFonts w:ascii="Century Gothic" w:hAnsi="Century Gothic" w:cs="Arial"/>
          <w:b/>
        </w:rPr>
      </w:pPr>
      <w:r>
        <w:rPr>
          <w:rFonts w:ascii="Century Gothic" w:hAnsi="Century Gothic" w:cs="Arial"/>
          <w:noProof/>
          <w:lang w:val="es-MX" w:eastAsia="es-MX"/>
        </w:rPr>
        <w:drawing>
          <wp:inline distT="0" distB="0" distL="0" distR="0" wp14:anchorId="2A0C837F" wp14:editId="3D1D645F">
            <wp:extent cx="5678303" cy="7528387"/>
            <wp:effectExtent l="38100" t="38100" r="36830" b="34925"/>
            <wp:docPr id="456" name="Rectángulo: esquinas redondeadas 9"/>
            <wp:cNvGraphicFramePr/>
            <a:graphic xmlns:a="http://purl.oclc.org/ooxml/drawingml/main">
              <a:graphicData uri="http://schemas.microsoft.com/office/word/2010/wordprocessingShape">
                <wp:wsp>
                  <wp:cNvSpPr/>
                  <wp:spPr>
                    <a:xfrm>
                      <a:off x="0" y="0"/>
                      <a:ext cx="5678303" cy="7528387"/>
                    </a:xfrm>
                    <a:prstGeom prst="roundRect">
                      <a:avLst>
                        <a:gd name="adj" fmla="val 6030"/>
                      </a:avLst>
                    </a:prstGeom>
                    <a:noFill/>
                    <a:ln w="76200">
                      <a:solidFill>
                        <a:srgbClr val="009AD9"/>
                      </a:solidFill>
                      <a:prstDash val="solid"/>
                      <a:miter lim="800%"/>
                    </a:ln>
                    <a:effectLst/>
                  </wp:spPr>
                  <wp:txbx>
                    <wne:txbxContent>
                      <w:p w:rsidR="000511F0" w:rsidRDefault="000511F0" w:rsidP="00A422F5">
                        <w:pPr>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3B562A58" wp14:editId="73A334A7">
                              <wp:extent cx="2552700" cy="1438275"/>
                              <wp:effectExtent l="0" t="0" r="0" b="9525"/>
                              <wp:docPr id="2" name="Imagen 2"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591"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rsidR="000511F0" w:rsidRDefault="000511F0" w:rsidP="00A422F5">
                        <w:pPr>
                          <w:jc w:val="center"/>
                          <w:rPr>
                            <w:rFonts w:ascii="Century Gothic" w:hAnsi="Century Gothic" w:cs="Arial"/>
                            <w:b/>
                            <w:noProof/>
                            <w:color w:val="000000"/>
                            <w:sz w:val="26"/>
                            <w:szCs w:val="26"/>
                            <w:lang w:eastAsia="es-MX"/>
                          </w:rPr>
                        </w:pPr>
                      </w:p>
                      <w:p w:rsidR="000511F0" w:rsidRDefault="000511F0" w:rsidP="00A422F5">
                        <w:pPr>
                          <w:jc w:val="center"/>
                          <w:rPr>
                            <w:rFonts w:ascii="Century Gothic" w:hAnsi="Century Gothic" w:cs="Arial"/>
                            <w:b/>
                            <w:noProof/>
                            <w:color w:val="000000"/>
                            <w:sz w:val="26"/>
                            <w:szCs w:val="26"/>
                            <w:lang w:eastAsia="es-MX"/>
                          </w:rPr>
                        </w:pPr>
                      </w:p>
                      <w:p w:rsidR="000511F0" w:rsidRDefault="000511F0" w:rsidP="00A422F5">
                        <w:pPr>
                          <w:pStyle w:val="Ttulo1"/>
                          <w:jc w:val="center"/>
                          <w:rPr>
                            <w:rFonts w:ascii="Century Gothic" w:hAnsi="Century Gothic"/>
                            <w:sz w:val="24"/>
                            <w:szCs w:val="24"/>
                            <w:u w:val="single"/>
                          </w:rPr>
                        </w:pPr>
                        <w:bookmarkStart w:id="2327" w:name="_Toc92974107"/>
                        <w:bookmarkStart w:id="2328" w:name="_Toc93052418"/>
                        <w:bookmarkStart w:id="2329" w:name="_Toc93056373"/>
                        <w:bookmarkStart w:id="2330" w:name="_Toc125393436"/>
                        <w:bookmarkStart w:id="2331" w:name="_Toc128477961"/>
                        <w:bookmarkStart w:id="2332" w:name="_Toc148692312"/>
                        <w:bookmarkStart w:id="2333" w:name="_Toc148702292"/>
                        <w:bookmarkStart w:id="2334" w:name="_Toc149644403"/>
                        <w:bookmarkStart w:id="2335" w:name="_Toc149644688"/>
                        <w:bookmarkStart w:id="2336" w:name="_Toc149644993"/>
                        <w:bookmarkStart w:id="2337" w:name="_Toc170380188"/>
                        <w:bookmarkStart w:id="2338" w:name="_Toc170380589"/>
                        <w:bookmarkStart w:id="2339" w:name="_Toc170381123"/>
                        <w:bookmarkStart w:id="2340" w:name="_Toc170381907"/>
                        <w:r>
                          <w:rPr>
                            <w:rFonts w:ascii="Century Gothic" w:hAnsi="Century Gothic"/>
                            <w:sz w:val="24"/>
                            <w:szCs w:val="24"/>
                            <w:u w:val="single"/>
                          </w:rPr>
                          <w:t>ANEXO B</w:t>
                        </w:r>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p>
                      <w:p w:rsidR="000511F0" w:rsidRDefault="000511F0" w:rsidP="00A422F5">
                        <w:pPr>
                          <w:rPr>
                            <w:lang w:val="es-ES" w:eastAsia="es-ES"/>
                          </w:rPr>
                        </w:pPr>
                      </w:p>
                      <w:p w:rsidR="000511F0" w:rsidRPr="00A422F5" w:rsidRDefault="000511F0" w:rsidP="00A422F5">
                        <w:pPr>
                          <w:rPr>
                            <w:lang w:val="es-ES" w:eastAsia="es-ES"/>
                          </w:rPr>
                        </w:pPr>
                      </w:p>
                      <w:p w:rsidR="000511F0" w:rsidRPr="00A422F5" w:rsidRDefault="000511F0" w:rsidP="00A422F5">
                        <w:pPr>
                          <w:pStyle w:val="Ttulo1"/>
                          <w:jc w:val="center"/>
                          <w:rPr>
                            <w:rFonts w:ascii="Century Gothic" w:hAnsi="Century Gothic"/>
                            <w:sz w:val="24"/>
                            <w:szCs w:val="24"/>
                          </w:rPr>
                        </w:pPr>
                        <w:bookmarkStart w:id="2341" w:name="_Toc92974108"/>
                        <w:bookmarkStart w:id="2342" w:name="_Toc93052419"/>
                        <w:bookmarkStart w:id="2343" w:name="_Toc93056374"/>
                        <w:bookmarkStart w:id="2344" w:name="_Toc125393437"/>
                        <w:bookmarkStart w:id="2345" w:name="_Toc128477962"/>
                        <w:bookmarkStart w:id="2346" w:name="_Toc148692313"/>
                        <w:bookmarkStart w:id="2347" w:name="_Toc148702293"/>
                        <w:bookmarkStart w:id="2348" w:name="_Toc149644404"/>
                        <w:bookmarkStart w:id="2349" w:name="_Toc149644689"/>
                        <w:bookmarkStart w:id="2350" w:name="_Toc149644994"/>
                        <w:bookmarkStart w:id="2351" w:name="_Toc170380189"/>
                        <w:bookmarkStart w:id="2352" w:name="_Toc170380590"/>
                        <w:bookmarkStart w:id="2353" w:name="_Toc170381124"/>
                        <w:bookmarkStart w:id="2354" w:name="_Toc170381908"/>
                        <w:r>
                          <w:rPr>
                            <w:rFonts w:ascii="Century Gothic" w:hAnsi="Century Gothic"/>
                            <w:sz w:val="24"/>
                            <w:szCs w:val="24"/>
                          </w:rPr>
                          <w:t>Penas Convencionales</w:t>
                        </w:r>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p>
                      <w:p w:rsidR="000511F0" w:rsidRDefault="000511F0" w:rsidP="00414BEA">
                        <w:pPr>
                          <w:rPr>
                            <w:lang w:val="es-ES" w:eastAsia="es-ES"/>
                          </w:rPr>
                        </w:pPr>
                      </w:p>
                      <w:p w:rsidR="000511F0" w:rsidRPr="006B0514" w:rsidRDefault="000511F0" w:rsidP="00414BEA">
                        <w:pPr>
                          <w:rPr>
                            <w:lang w:val="es-ES" w:eastAsia="es-ES"/>
                          </w:rPr>
                        </w:pPr>
                      </w:p>
                      <w:p w:rsidR="000511F0" w:rsidRPr="008A6791" w:rsidRDefault="000511F0" w:rsidP="00414BEA">
                        <w:pPr>
                          <w:jc w:val="center"/>
                          <w:rPr>
                            <w:rFonts w:ascii="Century Gothic" w:hAnsi="Century Gothic"/>
                            <w:b/>
                            <w:sz w:val="24"/>
                            <w:szCs w:val="24"/>
                          </w:rPr>
                        </w:pPr>
                        <w:r>
                          <w:rPr>
                            <w:rFonts w:ascii="Century Gothic" w:hAnsi="Century Gothic"/>
                            <w:b/>
                            <w:sz w:val="24"/>
                            <w:szCs w:val="24"/>
                          </w:rPr>
                          <w:t>Red Nacional Última Milla, S.A.P.I. de C.V.</w:t>
                        </w:r>
                      </w:p>
                      <w:p w:rsidR="000511F0" w:rsidRPr="00414BEA" w:rsidRDefault="000511F0" w:rsidP="00414BEA">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Pr="008A6791" w:rsidRDefault="000511F0" w:rsidP="00414BEA">
                        <w:pPr>
                          <w:jc w:val="center"/>
                          <w:rPr>
                            <w:rFonts w:ascii="Century Gothic" w:hAnsi="Century Gothic"/>
                            <w:b/>
                            <w:bCs/>
                            <w:sz w:val="24"/>
                            <w:szCs w:val="24"/>
                          </w:rPr>
                        </w:pPr>
                      </w:p>
                      <w:p w:rsidR="000511F0" w:rsidRPr="008A6791" w:rsidRDefault="000511F0" w:rsidP="00414BEA">
                        <w:pPr>
                          <w:jc w:val="center"/>
                          <w:rPr>
                            <w:rFonts w:ascii="Century Gothic" w:hAnsi="Century Gothic"/>
                            <w:b/>
                            <w:sz w:val="24"/>
                            <w:szCs w:val="24"/>
                          </w:rPr>
                        </w:pPr>
                        <w:r>
                          <w:rPr>
                            <w:rFonts w:ascii="Century Gothic" w:hAnsi="Century Gothic"/>
                            <w:b/>
                            <w:sz w:val="24"/>
                            <w:szCs w:val="24"/>
                          </w:rPr>
                          <w:t>2026</w:t>
                        </w: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Pr="002258A2" w:rsidRDefault="000511F0" w:rsidP="00414BEA">
                        <w:pPr>
                          <w:spacing w:line="18pt" w:lineRule="auto"/>
                          <w:jc w:val="center"/>
                          <w:rPr>
                            <w:rFonts w:ascii="Century Gothic" w:hAnsi="Century Gothic" w:cs="Arial"/>
                            <w:b/>
                            <w:sz w:val="24"/>
                            <w:szCs w:val="24"/>
                            <w:lang w:val="es-ES"/>
                          </w:rPr>
                        </w:pPr>
                      </w:p>
                      <w:p w:rsidR="000511F0" w:rsidRPr="002258A2" w:rsidRDefault="000511F0" w:rsidP="00A422F5">
                        <w:pPr>
                          <w:spacing w:line="18pt" w:lineRule="auto"/>
                          <w:jc w:val="center"/>
                          <w:rPr>
                            <w:rFonts w:ascii="Century Gothic" w:hAnsi="Century Gothic" w:cs="Arial"/>
                            <w:b/>
                            <w:sz w:val="24"/>
                            <w:szCs w:val="24"/>
                            <w:lang w:val="es-ES"/>
                          </w:rPr>
                        </w:pPr>
                      </w:p>
                    </wne:txbxContent>
                  </wp:txbx>
                  <wp:bodyPr rot="0" spcFirstLastPara="0" vertOverflow="overflow" horzOverflow="overflow" vert="horz" wrap="square" lIns="91440" tIns="45720" rIns="91440" bIns="45720" numCol="1" spcCol="0" rtlCol="0" fromWordArt="0" anchor="ctr" anchorCtr="0" forceAA="0" compatLnSpc="1">
                    <a:prstTxWarp prst="textNoShape">
                      <a:avLst/>
                    </a:prstTxWarp>
                  </wp:bodyPr>
                </wp:wsp>
              </a:graphicData>
            </a:graphic>
          </wp:inline>
        </w:drawing>
      </w:r>
    </w:p>
    <w:p w:rsidR="00C81874" w:rsidRPr="00611019" w:rsidRDefault="00C81874" w:rsidP="00035D2C">
      <w:pPr>
        <w:spacing w:after="8pt"/>
        <w:rPr>
          <w:rFonts w:ascii="Century Gothic" w:eastAsia="Calibri" w:hAnsi="Century Gothic" w:cs="Arial"/>
          <w:color w:val="000000"/>
          <w:lang w:val="es-ES_tradnl" w:eastAsia="es-ES"/>
        </w:rPr>
      </w:pPr>
    </w:p>
    <w:p w:rsidR="00F40642" w:rsidRPr="00611019" w:rsidRDefault="00F40642" w:rsidP="00035D2C">
      <w:pPr>
        <w:spacing w:after="8pt"/>
        <w:rPr>
          <w:rFonts w:ascii="Century Gothic" w:eastAsia="Calibri" w:hAnsi="Century Gothic" w:cs="Arial"/>
          <w:color w:val="000000"/>
          <w:lang w:val="es-ES_tradnl" w:eastAsia="es-ES"/>
        </w:rPr>
        <w:sectPr w:rsidR="00F40642" w:rsidRPr="00611019" w:rsidSect="00D254F6">
          <w:headerReference w:type="default" r:id="rId42"/>
          <w:headerReference w:type="first" r:id="rId43"/>
          <w:footnotePr>
            <w:numRestart w:val="eachSect"/>
          </w:footnotePr>
          <w:type w:val="oddPage"/>
          <w:pgSz w:w="612pt" w:h="792pt"/>
          <w:pgMar w:top="70.90pt" w:right="70.90pt" w:bottom="70.90pt" w:left="70.90pt" w:header="42.55pt" w:footer="36.85pt" w:gutter="0pt"/>
          <w:cols w:space="35.40pt"/>
          <w:titlePg/>
          <w:docGrid w:linePitch="360"/>
        </w:sectPr>
      </w:pPr>
    </w:p>
    <w:p w:rsidR="00A422F5" w:rsidRPr="00611019" w:rsidRDefault="00A422F5" w:rsidP="00035D2C">
      <w:pPr>
        <w:spacing w:after="8pt"/>
        <w:rPr>
          <w:rFonts w:ascii="Century Gothic" w:eastAsia="Calibri" w:hAnsi="Century Gothic" w:cs="Arial"/>
          <w:color w:val="000000"/>
          <w:lang w:val="es-ES_tradnl" w:eastAsia="es-ES"/>
        </w:rPr>
        <w:sectPr w:rsidR="00A422F5" w:rsidRPr="00611019" w:rsidSect="00D254F6">
          <w:footnotePr>
            <w:numRestart w:val="eachSect"/>
          </w:footnotePr>
          <w:type w:val="oddPage"/>
          <w:pgSz w:w="612pt" w:h="792pt"/>
          <w:pgMar w:top="70.90pt" w:right="70.90pt" w:bottom="70.90pt" w:left="70.90pt" w:header="42.55pt" w:footer="36.85pt" w:gutter="0pt"/>
          <w:cols w:space="35.40pt"/>
          <w:titlePg/>
          <w:docGrid w:linePitch="360"/>
        </w:sectPr>
      </w:pPr>
    </w:p>
    <w:p w:rsidR="00DC44FD" w:rsidRPr="00611019" w:rsidRDefault="00E56462" w:rsidP="00035D2C">
      <w:pPr>
        <w:pStyle w:val="Ttulo1"/>
        <w:jc w:val="center"/>
        <w:rPr>
          <w:rFonts w:ascii="Century Gothic" w:hAnsi="Century Gothic"/>
        </w:rPr>
      </w:pPr>
      <w:bookmarkStart w:id="2355" w:name="_Toc92974109"/>
      <w:bookmarkStart w:id="2356" w:name="_Toc93052420"/>
      <w:bookmarkStart w:id="2357" w:name="_Toc93056375"/>
      <w:bookmarkStart w:id="2358" w:name="_Toc125393438"/>
      <w:bookmarkStart w:id="2359" w:name="_Toc148702294"/>
      <w:bookmarkStart w:id="2360" w:name="_Toc170381909"/>
      <w:bookmarkStart w:id="2361" w:name="_Toc427307537"/>
      <w:r>
        <w:rPr>
          <w:rFonts w:ascii="Century Gothic" w:hAnsi="Century Gothic"/>
        </w:rPr>
        <w:t>ANEXO B</w:t>
      </w:r>
      <w:bookmarkEnd w:id="2355"/>
      <w:bookmarkEnd w:id="2356"/>
      <w:bookmarkEnd w:id="2357"/>
      <w:bookmarkEnd w:id="2358"/>
      <w:bookmarkEnd w:id="2359"/>
      <w:bookmarkEnd w:id="2360"/>
    </w:p>
    <w:p w:rsidR="00CF17C0" w:rsidRPr="00611019" w:rsidRDefault="00E56462" w:rsidP="00035D2C">
      <w:pPr>
        <w:pStyle w:val="Ttulo1"/>
        <w:jc w:val="center"/>
        <w:rPr>
          <w:rFonts w:ascii="Century Gothic" w:hAnsi="Century Gothic"/>
        </w:rPr>
      </w:pPr>
      <w:bookmarkStart w:id="2362" w:name="_Toc92974110"/>
      <w:bookmarkStart w:id="2363" w:name="_Toc93052421"/>
      <w:bookmarkStart w:id="2364" w:name="_Toc93056376"/>
      <w:bookmarkStart w:id="2365" w:name="_Toc125393439"/>
      <w:bookmarkStart w:id="2366" w:name="_Toc148702295"/>
      <w:bookmarkStart w:id="2367" w:name="_Toc170381910"/>
      <w:r>
        <w:rPr>
          <w:rFonts w:ascii="Century Gothic" w:hAnsi="Century Gothic"/>
        </w:rPr>
        <w:t>PENAS CONVENCIONALES</w:t>
      </w:r>
      <w:bookmarkEnd w:id="2362"/>
      <w:bookmarkEnd w:id="2363"/>
      <w:bookmarkEnd w:id="2364"/>
      <w:bookmarkEnd w:id="2365"/>
      <w:bookmarkEnd w:id="2366"/>
      <w:bookmarkEnd w:id="2367"/>
    </w:p>
    <w:p w:rsidR="00CF17C0" w:rsidRPr="00611019" w:rsidRDefault="00CF17C0" w:rsidP="00035D2C">
      <w:pPr>
        <w:pStyle w:val="IFTnormal"/>
        <w:tabs>
          <w:tab w:val="start" w:pos="21.30pt"/>
        </w:tabs>
        <w:spacing w:after="6pt"/>
        <w:rPr>
          <w:rFonts w:ascii="Century Gothic" w:hAnsi="Century Gothic"/>
          <w:b/>
          <w:u w:val="single"/>
        </w:rPr>
      </w:pPr>
    </w:p>
    <w:p w:rsidR="00AC76DF" w:rsidRPr="00611019" w:rsidRDefault="00E56462" w:rsidP="00035D2C">
      <w:pPr>
        <w:pStyle w:val="1TitPrin"/>
        <w:spacing w:after="6pt"/>
        <w:ind w:start="0pt" w:firstLine="0pt"/>
        <w:rPr>
          <w:rFonts w:ascii="Century Gothic" w:hAnsi="Century Gothic" w:cs="Times New Roman"/>
          <w:u w:val="single"/>
          <w14:scene3d>
            <w14:camera w14:prst="orthographicFront"/>
            <w14:lightRig w14:rig="threePt" w14:dir="t">
              <w14:rot w14:lat="0" w14:lon="0" w14:rev="0"/>
            </w14:lightRig>
          </w14:scene3d>
        </w:rPr>
      </w:pPr>
      <w:bookmarkStart w:id="2368" w:name="_Toc92974111"/>
      <w:bookmarkStart w:id="2369" w:name="_Toc93052422"/>
      <w:bookmarkStart w:id="2370" w:name="_Toc93056377"/>
      <w:bookmarkStart w:id="2371" w:name="_Toc125393440"/>
      <w:bookmarkStart w:id="2372" w:name="_Toc148702296"/>
      <w:bookmarkStart w:id="2373" w:name="_Toc170381911"/>
      <w:r>
        <w:rPr>
          <w:rFonts w:ascii="Century Gothic" w:hAnsi="Century Gothic" w:cs="Times New Roman"/>
          <w:u w:val="single"/>
          <w14:scene3d>
            <w14:camera w14:prst="orthographicFront"/>
            <w14:lightRig w14:rig="threePt" w14:dir="t">
              <w14:rot w14:lat="0" w14:lon="0" w14:rev="0"/>
            </w14:lightRig>
          </w14:scene3d>
        </w:rPr>
        <w:t>PENAS CONVENCIONALES</w:t>
      </w:r>
      <w:bookmarkEnd w:id="2361"/>
      <w:r>
        <w:rPr>
          <w:rFonts w:ascii="Century Gothic" w:hAnsi="Century Gothic" w:cs="Times New Roman"/>
          <w:u w:val="single"/>
          <w14:scene3d>
            <w14:camera w14:prst="orthographicFront"/>
            <w14:lightRig w14:rig="threePt" w14:dir="t">
              <w14:rot w14:lat="0" w14:lon="0" w14:rev="0"/>
            </w14:lightRig>
          </w14:scene3d>
        </w:rPr>
        <w:t xml:space="preserve"> A CARGO DE RED NACIONAL</w:t>
      </w:r>
      <w:bookmarkEnd w:id="2368"/>
      <w:bookmarkEnd w:id="2369"/>
      <w:bookmarkEnd w:id="2370"/>
      <w:bookmarkEnd w:id="2371"/>
      <w:bookmarkEnd w:id="2372"/>
      <w:bookmarkEnd w:id="2373"/>
      <w:r>
        <w:rPr>
          <w:rFonts w:ascii="Century Gothic" w:hAnsi="Century Gothic" w:cs="Times New Roman"/>
          <w:u w:val="single"/>
          <w14:scene3d>
            <w14:camera w14:prst="orthographicFront"/>
            <w14:lightRig w14:rig="threePt" w14:dir="t">
              <w14:rot w14:lat="0" w14:lon="0" w14:rev="0"/>
            </w14:lightRig>
          </w14:scene3d>
        </w:rPr>
        <w:t>.</w:t>
      </w:r>
    </w:p>
    <w:p w:rsidR="000E0D60" w:rsidRPr="00611019" w:rsidRDefault="00E56462" w:rsidP="00035D2C">
      <w:pPr>
        <w:pStyle w:val="IFTnormal"/>
        <w:tabs>
          <w:tab w:val="start" w:pos="21.30pt"/>
        </w:tabs>
        <w:spacing w:after="6pt"/>
        <w:rPr>
          <w:rFonts w:ascii="Century Gothic" w:hAnsi="Century Gothic"/>
        </w:rPr>
      </w:pPr>
      <w:r>
        <w:rPr>
          <w:rFonts w:ascii="Century Gothic" w:hAnsi="Century Gothic"/>
        </w:rPr>
        <w:t>RED NACIONAL realizará el aprovisionamiento y atención de reportes de incidencias o fallas de los Servicios dentro de los tiempos establecidos en la Oferta y en el presente Anexo “B”. En caso de incumplimiento imputable a RED NACIONAL, se aplicarán las siguientes penas convencionales tomando en cuenta que en ningún caso la pena aplicable deberá superar el valor del Servicio (gastos de habilitación + renta mensual) donde aplique esta base.</w:t>
      </w:r>
    </w:p>
    <w:p w:rsidR="00AC76DF" w:rsidRPr="00611019" w:rsidRDefault="00E56462" w:rsidP="00035D2C">
      <w:pPr>
        <w:pStyle w:val="IFTnormal"/>
        <w:tabs>
          <w:tab w:val="start" w:pos="21.30pt"/>
        </w:tabs>
        <w:spacing w:after="6pt"/>
        <w:rPr>
          <w:rFonts w:ascii="Century Gothic" w:hAnsi="Century Gothic"/>
          <w:b/>
        </w:rPr>
      </w:pPr>
      <w:r>
        <w:rPr>
          <w:rFonts w:ascii="Century Gothic" w:hAnsi="Century Gothic"/>
          <w:b/>
          <w:u w:val="single"/>
        </w:rPr>
        <w:t xml:space="preserve">Aprovisionamiento de Servicios. </w:t>
      </w:r>
    </w:p>
    <w:p w:rsidR="00AC76DF" w:rsidRPr="00611019" w:rsidRDefault="00E56462" w:rsidP="00035D2C">
      <w:pPr>
        <w:pStyle w:val="IFTnormal"/>
        <w:tabs>
          <w:tab w:val="start" w:pos="21.30pt"/>
        </w:tabs>
        <w:spacing w:after="6pt"/>
        <w:rPr>
          <w:rFonts w:ascii="Century Gothic" w:hAnsi="Century Gothic"/>
        </w:rPr>
      </w:pPr>
      <w:r>
        <w:rPr>
          <w:rFonts w:ascii="Century Gothic" w:hAnsi="Century Gothic"/>
          <w:b/>
        </w:rPr>
        <w:t>Validación y factibilidad.</w:t>
      </w:r>
    </w:p>
    <w:p w:rsidR="000E0D60" w:rsidRPr="00611019" w:rsidRDefault="00E56462" w:rsidP="00035D2C">
      <w:pPr>
        <w:pStyle w:val="IFTnormal"/>
        <w:tabs>
          <w:tab w:val="start" w:pos="21.30pt"/>
        </w:tabs>
        <w:spacing w:after="6pt"/>
        <w:rPr>
          <w:rFonts w:ascii="Century Gothic" w:hAnsi="Century Gothic"/>
        </w:rPr>
      </w:pPr>
      <w:r>
        <w:rPr>
          <w:rFonts w:ascii="Century Gothic" w:hAnsi="Century Gothic"/>
        </w:rPr>
        <w:t>Los parámetros e Indicadores de calidad correspondientes a la validación de solicitud y verificación de factibilidad de los Servicios objeto de la Oferta, son los siguientes:</w:t>
      </w:r>
    </w:p>
    <w:p w:rsidR="000E0D60" w:rsidRPr="00611019" w:rsidRDefault="00E56462">
      <w:pPr>
        <w:pStyle w:val="IFTnormal"/>
        <w:numPr>
          <w:ilvl w:val="0"/>
          <w:numId w:val="146"/>
        </w:numPr>
        <w:spacing w:after="6pt"/>
        <w:rPr>
          <w:rFonts w:ascii="Century Gothic" w:hAnsi="Century Gothic"/>
        </w:rPr>
      </w:pPr>
      <w:r>
        <w:rPr>
          <w:rFonts w:ascii="Century Gothic" w:hAnsi="Century Gothic"/>
        </w:rPr>
        <w:t>Para aquellos Servicios donde aplique la validación de la solicitud junto con verificación de la factibilidad: 95% de las solicitudes en máximo de T1 días naturales. El 5% restante en un máximo de T2</w:t>
      </w:r>
      <w:r>
        <w:rPr>
          <w:rStyle w:val="Refdenotaalpie"/>
          <w:rFonts w:ascii="Century Gothic" w:hAnsi="Century Gothic"/>
        </w:rPr>
        <w:footnoteReference w:id="55"/>
      </w:r>
      <w:r>
        <w:rPr>
          <w:rFonts w:ascii="Century Gothic" w:hAnsi="Century Gothic"/>
        </w:rPr>
        <w:t xml:space="preserve"> días naturales.</w:t>
      </w:r>
    </w:p>
    <w:p w:rsidR="000E0D60" w:rsidRPr="00611019" w:rsidRDefault="00E56462" w:rsidP="00F56183">
      <w:pPr>
        <w:pStyle w:val="IFTnormal"/>
        <w:spacing w:after="6pt"/>
        <w:ind w:start="56.70pt" w:hanging="18pt"/>
        <w:rPr>
          <w:rFonts w:ascii="Century Gothic" w:hAnsi="Century Gothic"/>
        </w:rPr>
      </w:pPr>
      <w:r>
        <w:rPr>
          <w:rFonts w:ascii="Century Gothic" w:hAnsi="Century Gothic"/>
        </w:rPr>
        <w:t>a)</w:t>
      </w:r>
      <w:r>
        <w:rPr>
          <w:rFonts w:ascii="Century Gothic" w:hAnsi="Century Gothic"/>
        </w:rPr>
        <w:tab/>
        <w:t xml:space="preserve">En caso de que no se cumpla el 95% del indicador, RED NACIONAL será acreedor a una pena por la totalidad de los eventos que superen los T1 días naturales y se aplicará una pena de </w:t>
      </w:r>
      <w:r w:rsidR="004B74CA">
        <w:rPr>
          <w:rFonts w:ascii="Century Gothic" w:hAnsi="Century Gothic"/>
        </w:rPr>
        <w:t>25</w:t>
      </w:r>
      <w:r>
        <w:rPr>
          <w:rFonts w:ascii="Century Gothic" w:hAnsi="Century Gothic"/>
        </w:rPr>
        <w:t>% del valor de la renta mensual al Servicio que está asociada la solicitud.</w:t>
      </w:r>
    </w:p>
    <w:p w:rsidR="000E0D60" w:rsidRPr="00611019" w:rsidRDefault="00E56462" w:rsidP="00F56183">
      <w:pPr>
        <w:pStyle w:val="IFTnormal"/>
        <w:spacing w:after="6pt"/>
        <w:ind w:start="56.70pt" w:hanging="18pt"/>
        <w:rPr>
          <w:rFonts w:ascii="Century Gothic" w:hAnsi="Century Gothic"/>
        </w:rPr>
      </w:pPr>
      <w:r>
        <w:rPr>
          <w:rFonts w:ascii="Century Gothic" w:hAnsi="Century Gothic"/>
        </w:rPr>
        <w:t>b)</w:t>
      </w:r>
      <w:r>
        <w:rPr>
          <w:rFonts w:ascii="Century Gothic" w:hAnsi="Century Gothic"/>
        </w:rPr>
        <w:tab/>
        <w:t xml:space="preserve">En caso de que se cumpla el 95% del indicador, RED NACIONAL será acreedor a una pena por la totalidad de los eventos que superen los T2 días naturales y se aplicará una pena de </w:t>
      </w:r>
      <w:r w:rsidR="004B74CA">
        <w:rPr>
          <w:rFonts w:ascii="Century Gothic" w:hAnsi="Century Gothic"/>
        </w:rPr>
        <w:t>25</w:t>
      </w:r>
      <w:r>
        <w:rPr>
          <w:rFonts w:ascii="Century Gothic" w:hAnsi="Century Gothic"/>
        </w:rPr>
        <w:t>% del valor de la renta mensual al Servicio que está asociada la solicitud.</w:t>
      </w:r>
    </w:p>
    <w:p w:rsidR="000E0D60" w:rsidRPr="00611019" w:rsidRDefault="00E56462">
      <w:pPr>
        <w:pStyle w:val="IFTnormal"/>
        <w:numPr>
          <w:ilvl w:val="0"/>
          <w:numId w:val="147"/>
        </w:numPr>
        <w:spacing w:after="6pt"/>
        <w:rPr>
          <w:rFonts w:ascii="Century Gothic" w:hAnsi="Century Gothic"/>
        </w:rPr>
      </w:pPr>
      <w:bookmarkStart w:id="2374" w:name="_Hlk84230938"/>
      <w:r>
        <w:rPr>
          <w:rFonts w:ascii="Century Gothic" w:hAnsi="Century Gothic"/>
        </w:rPr>
        <w:t>Para el SCD la validación de la solicitud junto con la verificación de la factibilidad: 80% de las solicitudes en máximo T1 días hábiles y el 20% restante en un máximo de T2 días hábiles.</w:t>
      </w:r>
    </w:p>
    <w:p w:rsidR="000E0D60" w:rsidRPr="00611019" w:rsidRDefault="00E56462">
      <w:pPr>
        <w:pStyle w:val="IFTnormal"/>
        <w:numPr>
          <w:ilvl w:val="0"/>
          <w:numId w:val="216"/>
        </w:numPr>
        <w:spacing w:after="6pt"/>
        <w:rPr>
          <w:rFonts w:ascii="Century Gothic" w:hAnsi="Century Gothic"/>
        </w:rPr>
      </w:pPr>
      <w:r>
        <w:rPr>
          <w:rFonts w:ascii="Century Gothic" w:hAnsi="Century Gothic"/>
        </w:rPr>
        <w:t xml:space="preserve">En caso de que no se cumpla el 80% del indicador, RED NACIONAL será acreedor a una pena por la totalidad de los eventos que superen los T1 días hábiles y se aplicará una pena de </w:t>
      </w:r>
      <w:r w:rsidR="004B74CA">
        <w:rPr>
          <w:rFonts w:ascii="Century Gothic" w:hAnsi="Century Gothic"/>
        </w:rPr>
        <w:t>25</w:t>
      </w:r>
      <w:r>
        <w:rPr>
          <w:rFonts w:ascii="Century Gothic" w:hAnsi="Century Gothic"/>
        </w:rPr>
        <w:t>% del valor de la renta mensual al Servicio que está asociada la solicitud.</w:t>
      </w:r>
    </w:p>
    <w:p w:rsidR="00FB3C2D" w:rsidRPr="00611019" w:rsidRDefault="00FB3C2D" w:rsidP="00035D2C">
      <w:pPr>
        <w:pStyle w:val="IFTnormal"/>
        <w:spacing w:after="6pt"/>
        <w:ind w:start="56.70pt"/>
        <w:rPr>
          <w:rFonts w:ascii="Century Gothic" w:hAnsi="Century Gothic"/>
        </w:rPr>
      </w:pPr>
    </w:p>
    <w:p w:rsidR="00FB3C2D" w:rsidRPr="00611019" w:rsidRDefault="00FB3C2D" w:rsidP="00035D2C">
      <w:pPr>
        <w:pStyle w:val="IFTnormal"/>
        <w:spacing w:after="6pt"/>
        <w:ind w:start="56.70pt"/>
        <w:rPr>
          <w:rFonts w:ascii="Century Gothic" w:hAnsi="Century Gothic"/>
        </w:rPr>
      </w:pPr>
    </w:p>
    <w:p w:rsidR="000E0D60" w:rsidRPr="00611019" w:rsidRDefault="00E56462" w:rsidP="00F56183">
      <w:pPr>
        <w:pStyle w:val="IFTnormal"/>
        <w:spacing w:after="6pt"/>
        <w:ind w:start="56.70pt" w:hanging="18pt"/>
        <w:rPr>
          <w:rFonts w:ascii="Century Gothic" w:hAnsi="Century Gothic"/>
        </w:rPr>
      </w:pPr>
      <w:r>
        <w:rPr>
          <w:rFonts w:ascii="Century Gothic" w:hAnsi="Century Gothic"/>
        </w:rPr>
        <w:t>b)</w:t>
      </w:r>
      <w:r>
        <w:rPr>
          <w:rFonts w:ascii="Century Gothic" w:hAnsi="Century Gothic"/>
        </w:rPr>
        <w:tab/>
        <w:t xml:space="preserve">En caso de que se cumpla el 80% del indicador, RED NACIONAL será acreedor a una pena por la totalidad de los eventos que superen los T2 días hábiles y se aplicará una pena de </w:t>
      </w:r>
      <w:r w:rsidR="004B74CA">
        <w:rPr>
          <w:rFonts w:ascii="Century Gothic" w:hAnsi="Century Gothic"/>
        </w:rPr>
        <w:t>2</w:t>
      </w:r>
      <w:r>
        <w:rPr>
          <w:rFonts w:ascii="Century Gothic" w:hAnsi="Century Gothic"/>
        </w:rPr>
        <w:t>5% del valor de la renta mensual al servicio que está asociada la solicitud.</w:t>
      </w:r>
    </w:p>
    <w:p w:rsidR="007E3B4A" w:rsidRPr="00611019" w:rsidRDefault="007E3B4A" w:rsidP="00035D2C">
      <w:pPr>
        <w:pStyle w:val="IFTnormal"/>
        <w:spacing w:after="6pt"/>
        <w:ind w:start="56.70pt" w:hanging="18pt"/>
        <w:rPr>
          <w:rFonts w:ascii="Century Gothic" w:hAnsi="Century Gothic"/>
        </w:rPr>
      </w:pPr>
    </w:p>
    <w:tbl>
      <w:tblPr>
        <w:tblW w:w="383.85pt" w:type="dxa"/>
        <w:jc w:val="center"/>
        <w:tblCellMar>
          <w:start w:w="3.50pt" w:type="dxa"/>
          <w:end w:w="3.50pt" w:type="dxa"/>
        </w:tblCellMar>
        <w:tblLook w:firstRow="1" w:lastRow="0" w:firstColumn="1" w:lastColumn="0" w:noHBand="0" w:noVBand="1"/>
      </w:tblPr>
      <w:tblGrid>
        <w:gridCol w:w="5000"/>
        <w:gridCol w:w="1090"/>
        <w:gridCol w:w="1587"/>
      </w:tblGrid>
      <w:tr w:rsidR="0061711D" w:rsidTr="006A573B">
        <w:trPr>
          <w:trHeight w:val="576"/>
          <w:jc w:val="center"/>
        </w:trPr>
        <w:tc>
          <w:tcPr>
            <w:tcW w:w="383.85pt" w:type="dxa"/>
            <w:gridSpan w:val="3"/>
            <w:tcBorders>
              <w:top w:val="nil"/>
              <w:start w:val="nil"/>
              <w:bottom w:val="nil"/>
              <w:end w:val="nil"/>
            </w:tcBorders>
            <w:shd w:val="clear" w:color="auto" w:fill="009AD9"/>
            <w:vAlign w:val="center"/>
            <w:hideMark/>
          </w:tcPr>
          <w:bookmarkEnd w:id="2374"/>
          <w:p w:rsidR="000E0D60" w:rsidRPr="00611019" w:rsidRDefault="00E56462" w:rsidP="00035D2C">
            <w:pPr>
              <w:jc w:val="center"/>
              <w:rPr>
                <w:rFonts w:ascii="Century Gothic" w:hAnsi="Century Gothic" w:cs="Arial"/>
                <w:b/>
                <w:color w:val="FFFFFF"/>
                <w:sz w:val="20"/>
                <w:szCs w:val="20"/>
              </w:rPr>
            </w:pPr>
            <w:r>
              <w:rPr>
                <w:rFonts w:ascii="Century Gothic" w:hAnsi="Century Gothic" w:cs="Arial"/>
                <w:b/>
                <w:color w:val="FFFFFF"/>
                <w:sz w:val="20"/>
                <w:szCs w:val="20"/>
              </w:rPr>
              <w:t>Validación de solicitud junto con verificación de la factibilidad</w:t>
            </w:r>
          </w:p>
        </w:tc>
      </w:tr>
      <w:tr w:rsidR="0061711D" w:rsidTr="000E0D60">
        <w:trPr>
          <w:trHeight w:val="287"/>
          <w:jc w:val="center"/>
        </w:trPr>
        <w:tc>
          <w:tcPr>
            <w:tcW w:w="250pt" w:type="dxa"/>
            <w:tcBorders>
              <w:top w:val="nil"/>
              <w:start w:val="nil"/>
              <w:bottom w:val="single" w:sz="4" w:space="0" w:color="auto"/>
              <w:end w:val="nil"/>
            </w:tcBorders>
            <w:shd w:val="clear" w:color="auto" w:fill="auto"/>
            <w:vAlign w:val="center"/>
            <w:hideMark/>
          </w:tcPr>
          <w:p w:rsidR="000E0D60" w:rsidRPr="00611019" w:rsidRDefault="000E0D60" w:rsidP="00035D2C">
            <w:pPr>
              <w:jc w:val="center"/>
              <w:rPr>
                <w:rFonts w:ascii="Century Gothic" w:hAnsi="Century Gothic" w:cs="Arial"/>
                <w:b/>
                <w:color w:val="FFFFFF"/>
                <w:sz w:val="20"/>
                <w:szCs w:val="20"/>
              </w:rPr>
            </w:pPr>
          </w:p>
        </w:tc>
        <w:tc>
          <w:tcPr>
            <w:tcW w:w="54.50pt" w:type="dxa"/>
            <w:tcBorders>
              <w:top w:val="nil"/>
              <w:start w:val="nil"/>
              <w:bottom w:val="single" w:sz="4" w:space="0" w:color="auto"/>
              <w:end w:val="nil"/>
            </w:tcBorders>
            <w:shd w:val="clear" w:color="auto" w:fill="auto"/>
            <w:vAlign w:val="center"/>
            <w:hideMark/>
          </w:tcPr>
          <w:p w:rsidR="000E0D60" w:rsidRPr="00611019" w:rsidRDefault="00E56462" w:rsidP="00035D2C">
            <w:pPr>
              <w:jc w:val="center"/>
              <w:rPr>
                <w:rFonts w:ascii="Century Gothic" w:hAnsi="Century Gothic" w:cs="Arial"/>
                <w:b/>
                <w:color w:val="000000"/>
                <w:sz w:val="20"/>
                <w:szCs w:val="20"/>
              </w:rPr>
            </w:pPr>
            <w:r>
              <w:rPr>
                <w:rFonts w:ascii="Century Gothic" w:hAnsi="Century Gothic" w:cs="Arial"/>
                <w:b/>
                <w:color w:val="000000"/>
                <w:sz w:val="20"/>
                <w:szCs w:val="20"/>
              </w:rPr>
              <w:t>T1</w:t>
            </w:r>
          </w:p>
        </w:tc>
        <w:tc>
          <w:tcPr>
            <w:tcW w:w="79.35pt" w:type="dxa"/>
            <w:tcBorders>
              <w:top w:val="nil"/>
              <w:start w:val="nil"/>
              <w:bottom w:val="single" w:sz="4" w:space="0" w:color="auto"/>
              <w:end w:val="nil"/>
            </w:tcBorders>
            <w:shd w:val="clear" w:color="auto" w:fill="auto"/>
            <w:vAlign w:val="center"/>
            <w:hideMark/>
          </w:tcPr>
          <w:p w:rsidR="000E0D60" w:rsidRPr="00611019" w:rsidRDefault="00E56462" w:rsidP="00035D2C">
            <w:pPr>
              <w:jc w:val="center"/>
              <w:rPr>
                <w:rFonts w:ascii="Century Gothic" w:hAnsi="Century Gothic" w:cs="Arial"/>
                <w:b/>
                <w:color w:val="000000"/>
                <w:sz w:val="20"/>
                <w:szCs w:val="20"/>
              </w:rPr>
            </w:pPr>
            <w:r>
              <w:rPr>
                <w:rFonts w:ascii="Century Gothic" w:hAnsi="Century Gothic" w:cs="Arial"/>
                <w:b/>
                <w:color w:val="000000"/>
                <w:sz w:val="20"/>
                <w:szCs w:val="20"/>
              </w:rPr>
              <w:t>T2</w:t>
            </w:r>
          </w:p>
        </w:tc>
      </w:tr>
      <w:tr w:rsidR="0061711D" w:rsidTr="000E0D60">
        <w:trPr>
          <w:trHeight w:val="451"/>
          <w:jc w:val="center"/>
        </w:trPr>
        <w:tc>
          <w:tcPr>
            <w:tcW w:w="250pt" w:type="dxa"/>
            <w:vMerge w:val="restart"/>
            <w:tcBorders>
              <w:top w:val="single" w:sz="4" w:space="0" w:color="auto"/>
              <w:start w:val="nil"/>
              <w:bottom w:val="nil"/>
              <w:end w:val="nil"/>
            </w:tcBorders>
            <w:shd w:val="clear" w:color="auto" w:fill="auto"/>
            <w:vAlign w:val="center"/>
            <w:hideMark/>
          </w:tcPr>
          <w:p w:rsidR="000E0D60" w:rsidRPr="00611019" w:rsidRDefault="00E56462" w:rsidP="003E0E9D">
            <w:pPr>
              <w:rPr>
                <w:rFonts w:ascii="Century Gothic" w:hAnsi="Century Gothic" w:cs="Arial"/>
                <w:color w:val="000000"/>
                <w:sz w:val="20"/>
                <w:szCs w:val="20"/>
              </w:rPr>
            </w:pPr>
            <w:r>
              <w:rPr>
                <w:rFonts w:ascii="Century Gothic" w:hAnsi="Century Gothic" w:cs="Arial"/>
                <w:color w:val="000000"/>
                <w:sz w:val="20"/>
                <w:szCs w:val="20"/>
              </w:rPr>
              <w:t>Servicios</w:t>
            </w:r>
            <w:r>
              <w:rPr>
                <w:rStyle w:val="Refdenotaalpie"/>
                <w:rFonts w:ascii="Century Gothic" w:hAnsi="Century Gothic" w:cs="Arial"/>
                <w:color w:val="000000"/>
                <w:sz w:val="20"/>
                <w:szCs w:val="20"/>
              </w:rPr>
              <w:footnoteReference w:id="56"/>
            </w:r>
            <w:r>
              <w:rPr>
                <w:rFonts w:ascii="Century Gothic" w:hAnsi="Century Gothic" w:cs="Arial"/>
                <w:color w:val="000000"/>
                <w:sz w:val="20"/>
                <w:szCs w:val="20"/>
              </w:rPr>
              <w:t>: SAIB (Local, Regional y Nacional)</w:t>
            </w:r>
            <w:r w:rsidR="003E0E9D">
              <w:rPr>
                <w:rFonts w:ascii="Century Gothic" w:hAnsi="Century Gothic" w:cs="Arial"/>
                <w:color w:val="000000"/>
                <w:sz w:val="20"/>
                <w:szCs w:val="20"/>
              </w:rPr>
              <w:t xml:space="preserve"> y </w:t>
            </w:r>
            <w:r>
              <w:rPr>
                <w:rFonts w:ascii="Century Gothic" w:hAnsi="Century Gothic" w:cs="Arial"/>
                <w:color w:val="000000"/>
                <w:sz w:val="20"/>
                <w:szCs w:val="20"/>
              </w:rPr>
              <w:t>SDTBL</w:t>
            </w:r>
          </w:p>
        </w:tc>
        <w:tc>
          <w:tcPr>
            <w:tcW w:w="54.50pt" w:type="dxa"/>
            <w:vMerge w:val="restart"/>
            <w:tcBorders>
              <w:top w:val="single" w:sz="4" w:space="0" w:color="auto"/>
              <w:start w:val="nil"/>
              <w:bottom w:val="nil"/>
              <w:end w:val="nil"/>
            </w:tcBorders>
            <w:shd w:val="clear" w:color="auto" w:fill="auto"/>
            <w:vAlign w:val="center"/>
            <w:hideMark/>
          </w:tcPr>
          <w:p w:rsidR="000E0D60" w:rsidRPr="00611019" w:rsidRDefault="00E56462" w:rsidP="00035D2C">
            <w:pPr>
              <w:jc w:val="center"/>
              <w:rPr>
                <w:rFonts w:ascii="Century Gothic" w:hAnsi="Century Gothic" w:cs="Arial"/>
                <w:color w:val="000000"/>
                <w:sz w:val="20"/>
                <w:szCs w:val="20"/>
              </w:rPr>
            </w:pPr>
            <w:r>
              <w:rPr>
                <w:rFonts w:ascii="Century Gothic" w:hAnsi="Century Gothic" w:cs="Arial"/>
                <w:color w:val="000000"/>
                <w:sz w:val="20"/>
                <w:szCs w:val="20"/>
              </w:rPr>
              <w:t>1</w:t>
            </w:r>
          </w:p>
        </w:tc>
        <w:tc>
          <w:tcPr>
            <w:tcW w:w="79.35pt" w:type="dxa"/>
            <w:vMerge w:val="restart"/>
            <w:tcBorders>
              <w:top w:val="single" w:sz="4" w:space="0" w:color="auto"/>
              <w:start w:val="nil"/>
              <w:bottom w:val="nil"/>
              <w:end w:val="nil"/>
            </w:tcBorders>
            <w:shd w:val="clear" w:color="auto" w:fill="auto"/>
            <w:vAlign w:val="center"/>
            <w:hideMark/>
          </w:tcPr>
          <w:p w:rsidR="000E0D60" w:rsidRPr="00611019" w:rsidRDefault="00E56462" w:rsidP="00035D2C">
            <w:pPr>
              <w:jc w:val="center"/>
              <w:rPr>
                <w:rFonts w:ascii="Century Gothic" w:hAnsi="Century Gothic" w:cs="Arial"/>
                <w:color w:val="000000"/>
                <w:sz w:val="20"/>
                <w:szCs w:val="20"/>
              </w:rPr>
            </w:pPr>
            <w:r>
              <w:rPr>
                <w:rFonts w:ascii="Century Gothic" w:hAnsi="Century Gothic" w:cs="Arial"/>
                <w:color w:val="000000"/>
                <w:sz w:val="20"/>
                <w:szCs w:val="20"/>
              </w:rPr>
              <w:t>2</w:t>
            </w:r>
          </w:p>
        </w:tc>
      </w:tr>
      <w:tr w:rsidR="0061711D" w:rsidTr="000E0D60">
        <w:trPr>
          <w:trHeight w:val="451"/>
          <w:jc w:val="center"/>
        </w:trPr>
        <w:tc>
          <w:tcPr>
            <w:tcW w:w="250pt" w:type="dxa"/>
            <w:vMerge/>
            <w:tcBorders>
              <w:start w:val="nil"/>
              <w:bottom w:val="nil"/>
              <w:end w:val="nil"/>
            </w:tcBorders>
            <w:vAlign w:val="center"/>
            <w:hideMark/>
          </w:tcPr>
          <w:p w:rsidR="000E0D60" w:rsidRPr="00611019" w:rsidRDefault="000E0D60" w:rsidP="00035D2C">
            <w:pPr>
              <w:rPr>
                <w:rFonts w:ascii="Century Gothic" w:hAnsi="Century Gothic" w:cs="Arial"/>
                <w:color w:val="000000"/>
                <w:sz w:val="20"/>
                <w:szCs w:val="20"/>
              </w:rPr>
            </w:pPr>
          </w:p>
        </w:tc>
        <w:tc>
          <w:tcPr>
            <w:tcW w:w="54.50pt" w:type="dxa"/>
            <w:vMerge/>
            <w:tcBorders>
              <w:start w:val="nil"/>
              <w:bottom w:val="nil"/>
              <w:end w:val="nil"/>
            </w:tcBorders>
            <w:shd w:val="clear" w:color="auto" w:fill="auto"/>
            <w:vAlign w:val="center"/>
            <w:hideMark/>
          </w:tcPr>
          <w:p w:rsidR="000E0D60" w:rsidRPr="00611019" w:rsidRDefault="000E0D60" w:rsidP="00035D2C">
            <w:pPr>
              <w:rPr>
                <w:rFonts w:ascii="Century Gothic" w:hAnsi="Century Gothic" w:cs="Arial"/>
                <w:color w:val="000000"/>
                <w:sz w:val="20"/>
                <w:szCs w:val="20"/>
              </w:rPr>
            </w:pPr>
          </w:p>
        </w:tc>
        <w:tc>
          <w:tcPr>
            <w:tcW w:w="79.35pt" w:type="dxa"/>
            <w:vMerge/>
            <w:tcBorders>
              <w:start w:val="nil"/>
              <w:bottom w:val="nil"/>
              <w:end w:val="nil"/>
            </w:tcBorders>
            <w:shd w:val="clear" w:color="auto" w:fill="auto"/>
            <w:vAlign w:val="center"/>
            <w:hideMark/>
          </w:tcPr>
          <w:p w:rsidR="000E0D60" w:rsidRPr="00611019" w:rsidRDefault="000E0D60" w:rsidP="00035D2C">
            <w:pPr>
              <w:rPr>
                <w:rFonts w:ascii="Century Gothic" w:hAnsi="Century Gothic" w:cs="Arial"/>
                <w:color w:val="000000"/>
                <w:sz w:val="20"/>
                <w:szCs w:val="20"/>
              </w:rPr>
            </w:pPr>
          </w:p>
        </w:tc>
      </w:tr>
      <w:tr w:rsidR="0061711D" w:rsidTr="008A6791">
        <w:trPr>
          <w:trHeight w:val="451"/>
          <w:jc w:val="center"/>
        </w:trPr>
        <w:tc>
          <w:tcPr>
            <w:tcW w:w="250pt" w:type="dxa"/>
            <w:vMerge/>
            <w:tcBorders>
              <w:start w:val="nil"/>
              <w:bottom w:val="single" w:sz="4" w:space="0" w:color="auto"/>
              <w:end w:val="nil"/>
            </w:tcBorders>
            <w:vAlign w:val="center"/>
            <w:hideMark/>
          </w:tcPr>
          <w:p w:rsidR="000E0D60" w:rsidRPr="00611019" w:rsidRDefault="000E0D60" w:rsidP="00035D2C">
            <w:pPr>
              <w:rPr>
                <w:rFonts w:ascii="Century Gothic" w:hAnsi="Century Gothic" w:cs="Arial"/>
                <w:color w:val="000000"/>
                <w:sz w:val="20"/>
                <w:szCs w:val="20"/>
              </w:rPr>
            </w:pPr>
          </w:p>
        </w:tc>
        <w:tc>
          <w:tcPr>
            <w:tcW w:w="54.50pt" w:type="dxa"/>
            <w:vMerge/>
            <w:tcBorders>
              <w:start w:val="nil"/>
              <w:bottom w:val="single" w:sz="4" w:space="0" w:color="auto"/>
              <w:end w:val="nil"/>
            </w:tcBorders>
            <w:shd w:val="clear" w:color="auto" w:fill="auto"/>
            <w:vAlign w:val="center"/>
            <w:hideMark/>
          </w:tcPr>
          <w:p w:rsidR="000E0D60" w:rsidRPr="00611019" w:rsidRDefault="000E0D60" w:rsidP="00035D2C">
            <w:pPr>
              <w:rPr>
                <w:rFonts w:ascii="Century Gothic" w:hAnsi="Century Gothic" w:cs="Arial"/>
                <w:color w:val="000000"/>
                <w:sz w:val="20"/>
                <w:szCs w:val="20"/>
              </w:rPr>
            </w:pPr>
          </w:p>
        </w:tc>
        <w:tc>
          <w:tcPr>
            <w:tcW w:w="79.35pt" w:type="dxa"/>
            <w:vMerge/>
            <w:tcBorders>
              <w:start w:val="nil"/>
              <w:bottom w:val="single" w:sz="4" w:space="0" w:color="auto"/>
              <w:end w:val="nil"/>
            </w:tcBorders>
            <w:shd w:val="clear" w:color="auto" w:fill="auto"/>
            <w:vAlign w:val="center"/>
            <w:hideMark/>
          </w:tcPr>
          <w:p w:rsidR="000E0D60" w:rsidRPr="00611019" w:rsidRDefault="000E0D60" w:rsidP="00035D2C">
            <w:pPr>
              <w:rPr>
                <w:rFonts w:ascii="Century Gothic" w:hAnsi="Century Gothic" w:cs="Arial"/>
                <w:color w:val="000000"/>
                <w:sz w:val="20"/>
                <w:szCs w:val="20"/>
              </w:rPr>
            </w:pPr>
          </w:p>
        </w:tc>
      </w:tr>
      <w:tr w:rsidR="0061711D" w:rsidTr="000E0D60">
        <w:trPr>
          <w:trHeight w:val="275"/>
          <w:jc w:val="center"/>
        </w:trPr>
        <w:tc>
          <w:tcPr>
            <w:tcW w:w="250pt" w:type="dxa"/>
            <w:tcBorders>
              <w:start w:val="nil"/>
              <w:bottom w:val="single" w:sz="4" w:space="0" w:color="auto"/>
              <w:end w:val="nil"/>
            </w:tcBorders>
            <w:vAlign w:val="center"/>
          </w:tcPr>
          <w:p w:rsidR="000E0D60" w:rsidRPr="00611019" w:rsidRDefault="00E56462" w:rsidP="00035D2C">
            <w:pPr>
              <w:rPr>
                <w:rFonts w:ascii="Century Gothic" w:hAnsi="Century Gothic" w:cs="Arial"/>
                <w:color w:val="000000"/>
                <w:sz w:val="20"/>
                <w:szCs w:val="20"/>
              </w:rPr>
            </w:pPr>
            <w:r>
              <w:rPr>
                <w:rFonts w:ascii="Century Gothic" w:hAnsi="Century Gothic" w:cs="Arial"/>
                <w:color w:val="000000"/>
                <w:sz w:val="20"/>
                <w:szCs w:val="20"/>
              </w:rPr>
              <w:t>SDTFO: Validación de la solicitud</w:t>
            </w:r>
          </w:p>
        </w:tc>
        <w:tc>
          <w:tcPr>
            <w:tcW w:w="54.50pt" w:type="dxa"/>
            <w:tcBorders>
              <w:start w:val="nil"/>
              <w:bottom w:val="single" w:sz="4" w:space="0" w:color="auto"/>
              <w:end w:val="nil"/>
            </w:tcBorders>
            <w:shd w:val="clear" w:color="auto" w:fill="auto"/>
            <w:vAlign w:val="center"/>
          </w:tcPr>
          <w:p w:rsidR="000E0D60" w:rsidRPr="00611019" w:rsidRDefault="00E56462" w:rsidP="00035D2C">
            <w:pPr>
              <w:jc w:val="center"/>
              <w:rPr>
                <w:rFonts w:ascii="Century Gothic" w:hAnsi="Century Gothic" w:cs="Arial"/>
                <w:color w:val="000000"/>
                <w:sz w:val="20"/>
                <w:szCs w:val="20"/>
              </w:rPr>
            </w:pPr>
            <w:r>
              <w:rPr>
                <w:rFonts w:ascii="Century Gothic" w:hAnsi="Century Gothic" w:cs="Arial"/>
                <w:color w:val="000000"/>
                <w:sz w:val="20"/>
                <w:szCs w:val="20"/>
              </w:rPr>
              <w:t>2</w:t>
            </w:r>
          </w:p>
        </w:tc>
        <w:tc>
          <w:tcPr>
            <w:tcW w:w="79.35pt" w:type="dxa"/>
            <w:tcBorders>
              <w:start w:val="nil"/>
              <w:bottom w:val="single" w:sz="4" w:space="0" w:color="auto"/>
              <w:end w:val="nil"/>
            </w:tcBorders>
            <w:shd w:val="clear" w:color="auto" w:fill="auto"/>
            <w:vAlign w:val="center"/>
          </w:tcPr>
          <w:p w:rsidR="000E0D60" w:rsidRPr="00611019" w:rsidRDefault="00E56462" w:rsidP="00035D2C">
            <w:pPr>
              <w:jc w:val="center"/>
              <w:rPr>
                <w:rFonts w:ascii="Century Gothic" w:hAnsi="Century Gothic" w:cs="Arial"/>
                <w:color w:val="000000"/>
                <w:sz w:val="20"/>
                <w:szCs w:val="20"/>
              </w:rPr>
            </w:pPr>
            <w:r>
              <w:rPr>
                <w:rFonts w:ascii="Century Gothic" w:hAnsi="Century Gothic" w:cs="Arial"/>
                <w:color w:val="000000"/>
                <w:sz w:val="20"/>
                <w:szCs w:val="20"/>
              </w:rPr>
              <w:t>3</w:t>
            </w:r>
          </w:p>
        </w:tc>
      </w:tr>
      <w:tr w:rsidR="0061711D" w:rsidTr="000E0D60">
        <w:trPr>
          <w:trHeight w:val="275"/>
          <w:jc w:val="center"/>
        </w:trPr>
        <w:tc>
          <w:tcPr>
            <w:tcW w:w="250pt" w:type="dxa"/>
            <w:tcBorders>
              <w:start w:val="nil"/>
              <w:bottom w:val="single" w:sz="4" w:space="0" w:color="auto"/>
              <w:end w:val="nil"/>
            </w:tcBorders>
            <w:vAlign w:val="center"/>
          </w:tcPr>
          <w:p w:rsidR="000E0D60" w:rsidRPr="00611019" w:rsidRDefault="00E56462" w:rsidP="00035D2C">
            <w:pPr>
              <w:rPr>
                <w:rFonts w:ascii="Century Gothic" w:hAnsi="Century Gothic" w:cs="Arial"/>
                <w:color w:val="000000"/>
                <w:sz w:val="20"/>
                <w:szCs w:val="20"/>
              </w:rPr>
            </w:pPr>
            <w:r>
              <w:rPr>
                <w:rFonts w:ascii="Century Gothic" w:hAnsi="Century Gothic" w:cs="Arial"/>
                <w:color w:val="000000"/>
                <w:sz w:val="20"/>
                <w:szCs w:val="20"/>
              </w:rPr>
              <w:t>SDTFO: Análisis y verificación de la factibilidad</w:t>
            </w:r>
          </w:p>
        </w:tc>
        <w:tc>
          <w:tcPr>
            <w:tcW w:w="54.50pt" w:type="dxa"/>
            <w:tcBorders>
              <w:start w:val="nil"/>
              <w:bottom w:val="single" w:sz="4" w:space="0" w:color="auto"/>
              <w:end w:val="nil"/>
            </w:tcBorders>
            <w:shd w:val="clear" w:color="auto" w:fill="auto"/>
            <w:vAlign w:val="center"/>
          </w:tcPr>
          <w:p w:rsidR="000E0D60" w:rsidRPr="00611019" w:rsidRDefault="00E56462" w:rsidP="00035D2C">
            <w:pPr>
              <w:jc w:val="center"/>
              <w:rPr>
                <w:rFonts w:ascii="Century Gothic" w:hAnsi="Century Gothic" w:cs="Arial"/>
                <w:color w:val="000000"/>
                <w:sz w:val="20"/>
                <w:szCs w:val="20"/>
              </w:rPr>
            </w:pPr>
            <w:r>
              <w:rPr>
                <w:rFonts w:ascii="Century Gothic" w:hAnsi="Century Gothic" w:cs="Arial"/>
                <w:color w:val="000000"/>
                <w:sz w:val="20"/>
                <w:szCs w:val="20"/>
              </w:rPr>
              <w:t>6</w:t>
            </w:r>
          </w:p>
        </w:tc>
        <w:tc>
          <w:tcPr>
            <w:tcW w:w="79.35pt" w:type="dxa"/>
            <w:tcBorders>
              <w:start w:val="nil"/>
              <w:bottom w:val="single" w:sz="4" w:space="0" w:color="auto"/>
              <w:end w:val="nil"/>
            </w:tcBorders>
            <w:shd w:val="clear" w:color="auto" w:fill="auto"/>
            <w:vAlign w:val="center"/>
          </w:tcPr>
          <w:p w:rsidR="000E0D60" w:rsidRPr="00611019" w:rsidRDefault="00E56462" w:rsidP="00035D2C">
            <w:pPr>
              <w:jc w:val="center"/>
              <w:rPr>
                <w:rFonts w:ascii="Century Gothic" w:hAnsi="Century Gothic" w:cs="Arial"/>
                <w:color w:val="000000"/>
                <w:sz w:val="20"/>
                <w:szCs w:val="20"/>
              </w:rPr>
            </w:pPr>
            <w:r>
              <w:rPr>
                <w:rFonts w:ascii="Century Gothic" w:hAnsi="Century Gothic" w:cs="Arial"/>
                <w:color w:val="000000"/>
                <w:sz w:val="20"/>
                <w:szCs w:val="20"/>
              </w:rPr>
              <w:t>8</w:t>
            </w:r>
          </w:p>
        </w:tc>
      </w:tr>
      <w:tr w:rsidR="0061711D" w:rsidTr="000E0D60">
        <w:trPr>
          <w:trHeight w:val="275"/>
          <w:jc w:val="center"/>
        </w:trPr>
        <w:tc>
          <w:tcPr>
            <w:tcW w:w="250pt" w:type="dxa"/>
            <w:tcBorders>
              <w:start w:val="nil"/>
              <w:bottom w:val="single" w:sz="4" w:space="0" w:color="auto"/>
              <w:end w:val="nil"/>
            </w:tcBorders>
            <w:vAlign w:val="center"/>
          </w:tcPr>
          <w:p w:rsidR="000E0D60" w:rsidRPr="00611019" w:rsidRDefault="00E56462" w:rsidP="00035D2C">
            <w:pPr>
              <w:rPr>
                <w:rFonts w:ascii="Century Gothic" w:hAnsi="Century Gothic" w:cs="Arial"/>
                <w:color w:val="000000"/>
                <w:sz w:val="20"/>
                <w:szCs w:val="20"/>
              </w:rPr>
            </w:pPr>
            <w:r>
              <w:rPr>
                <w:rFonts w:ascii="Century Gothic" w:hAnsi="Century Gothic" w:cs="Arial"/>
                <w:color w:val="000000"/>
                <w:sz w:val="20"/>
                <w:szCs w:val="20"/>
              </w:rPr>
              <w:t xml:space="preserve">SDTFO: </w:t>
            </w:r>
            <w:r>
              <w:rPr>
                <w:rFonts w:ascii="Century Gothic" w:eastAsia="Calibri" w:hAnsi="Century Gothic" w:cs="Arial"/>
                <w:bCs/>
                <w:sz w:val="20"/>
                <w:szCs w:val="20"/>
              </w:rPr>
              <w:t>Elaboración del proyecto de construcción y, en su caso, del proyecto y cotización del trabajo especial</w:t>
            </w:r>
          </w:p>
        </w:tc>
        <w:tc>
          <w:tcPr>
            <w:tcW w:w="54.50pt" w:type="dxa"/>
            <w:tcBorders>
              <w:start w:val="nil"/>
              <w:bottom w:val="single" w:sz="4" w:space="0" w:color="auto"/>
              <w:end w:val="nil"/>
            </w:tcBorders>
            <w:shd w:val="clear" w:color="auto" w:fill="auto"/>
            <w:vAlign w:val="center"/>
          </w:tcPr>
          <w:p w:rsidR="000E0D60" w:rsidRPr="00611019" w:rsidRDefault="00E56462" w:rsidP="00035D2C">
            <w:pPr>
              <w:jc w:val="center"/>
              <w:rPr>
                <w:rFonts w:ascii="Century Gothic" w:hAnsi="Century Gothic" w:cs="Arial"/>
                <w:color w:val="000000"/>
                <w:sz w:val="20"/>
                <w:szCs w:val="20"/>
              </w:rPr>
            </w:pPr>
            <w:r>
              <w:rPr>
                <w:rFonts w:ascii="Century Gothic" w:hAnsi="Century Gothic" w:cs="Arial"/>
                <w:color w:val="000000"/>
                <w:sz w:val="20"/>
                <w:szCs w:val="20"/>
              </w:rPr>
              <w:t>7</w:t>
            </w:r>
          </w:p>
        </w:tc>
        <w:tc>
          <w:tcPr>
            <w:tcW w:w="79.35pt" w:type="dxa"/>
            <w:tcBorders>
              <w:start w:val="nil"/>
              <w:bottom w:val="single" w:sz="4" w:space="0" w:color="auto"/>
              <w:end w:val="nil"/>
            </w:tcBorders>
            <w:shd w:val="clear" w:color="auto" w:fill="auto"/>
            <w:vAlign w:val="center"/>
          </w:tcPr>
          <w:p w:rsidR="000E0D60" w:rsidRPr="00611019" w:rsidRDefault="00E56462" w:rsidP="00035D2C">
            <w:pPr>
              <w:jc w:val="center"/>
              <w:rPr>
                <w:rFonts w:ascii="Century Gothic" w:hAnsi="Century Gothic" w:cs="Arial"/>
                <w:color w:val="000000"/>
                <w:sz w:val="20"/>
                <w:szCs w:val="20"/>
              </w:rPr>
            </w:pPr>
            <w:r>
              <w:rPr>
                <w:rFonts w:ascii="Century Gothic" w:hAnsi="Century Gothic" w:cs="Arial"/>
                <w:color w:val="000000"/>
                <w:sz w:val="20"/>
                <w:szCs w:val="20"/>
              </w:rPr>
              <w:t>9</w:t>
            </w:r>
          </w:p>
        </w:tc>
      </w:tr>
      <w:tr w:rsidR="0061711D" w:rsidTr="000E0D60">
        <w:trPr>
          <w:trHeight w:val="275"/>
          <w:jc w:val="center"/>
        </w:trPr>
        <w:tc>
          <w:tcPr>
            <w:tcW w:w="250pt" w:type="dxa"/>
            <w:tcBorders>
              <w:start w:val="nil"/>
              <w:bottom w:val="single" w:sz="4" w:space="0" w:color="auto"/>
              <w:end w:val="nil"/>
            </w:tcBorders>
            <w:vAlign w:val="center"/>
            <w:hideMark/>
          </w:tcPr>
          <w:p w:rsidR="000E0D60" w:rsidRPr="00611019" w:rsidRDefault="00E56462" w:rsidP="00035D2C">
            <w:pPr>
              <w:rPr>
                <w:rFonts w:ascii="Century Gothic" w:hAnsi="Century Gothic" w:cs="Arial"/>
                <w:color w:val="000000"/>
                <w:sz w:val="20"/>
                <w:szCs w:val="20"/>
              </w:rPr>
            </w:pPr>
            <w:r>
              <w:rPr>
                <w:rFonts w:ascii="Century Gothic" w:hAnsi="Century Gothic" w:cs="Arial"/>
                <w:color w:val="000000"/>
                <w:sz w:val="20"/>
                <w:szCs w:val="20"/>
              </w:rPr>
              <w:t>Servicios SCD</w:t>
            </w:r>
          </w:p>
        </w:tc>
        <w:tc>
          <w:tcPr>
            <w:tcW w:w="54.50pt" w:type="dxa"/>
            <w:tcBorders>
              <w:start w:val="nil"/>
              <w:bottom w:val="single" w:sz="4" w:space="0" w:color="auto"/>
              <w:end w:val="nil"/>
            </w:tcBorders>
            <w:shd w:val="clear" w:color="auto" w:fill="auto"/>
            <w:vAlign w:val="center"/>
            <w:hideMark/>
          </w:tcPr>
          <w:p w:rsidR="000E0D60" w:rsidRPr="00611019" w:rsidRDefault="00E56462" w:rsidP="00035D2C">
            <w:pPr>
              <w:jc w:val="center"/>
              <w:rPr>
                <w:rFonts w:ascii="Century Gothic" w:hAnsi="Century Gothic" w:cs="Arial"/>
                <w:color w:val="000000"/>
                <w:sz w:val="20"/>
                <w:szCs w:val="20"/>
              </w:rPr>
            </w:pPr>
            <w:r>
              <w:rPr>
                <w:rFonts w:ascii="Century Gothic" w:hAnsi="Century Gothic" w:cs="Arial"/>
                <w:color w:val="000000"/>
                <w:sz w:val="20"/>
                <w:szCs w:val="20"/>
              </w:rPr>
              <w:t>5</w:t>
            </w:r>
          </w:p>
        </w:tc>
        <w:tc>
          <w:tcPr>
            <w:tcW w:w="79.35pt" w:type="dxa"/>
            <w:tcBorders>
              <w:start w:val="nil"/>
              <w:bottom w:val="single" w:sz="4" w:space="0" w:color="auto"/>
              <w:end w:val="nil"/>
            </w:tcBorders>
            <w:shd w:val="clear" w:color="auto" w:fill="auto"/>
            <w:vAlign w:val="center"/>
            <w:hideMark/>
          </w:tcPr>
          <w:p w:rsidR="000E0D60" w:rsidRPr="00611019" w:rsidRDefault="00E56462" w:rsidP="00035D2C">
            <w:pPr>
              <w:jc w:val="center"/>
              <w:rPr>
                <w:rFonts w:ascii="Century Gothic" w:hAnsi="Century Gothic" w:cs="Arial"/>
                <w:color w:val="000000"/>
                <w:sz w:val="20"/>
                <w:szCs w:val="20"/>
              </w:rPr>
            </w:pPr>
            <w:r>
              <w:rPr>
                <w:rFonts w:ascii="Century Gothic" w:hAnsi="Century Gothic" w:cs="Arial"/>
                <w:color w:val="000000"/>
                <w:sz w:val="20"/>
                <w:szCs w:val="20"/>
              </w:rPr>
              <w:t>8</w:t>
            </w:r>
          </w:p>
        </w:tc>
      </w:tr>
      <w:tr w:rsidR="0061711D" w:rsidTr="000E0D60">
        <w:trPr>
          <w:trHeight w:val="1069"/>
          <w:jc w:val="center"/>
        </w:trPr>
        <w:tc>
          <w:tcPr>
            <w:tcW w:w="250pt" w:type="dxa"/>
            <w:tcBorders>
              <w:top w:val="single" w:sz="4" w:space="0" w:color="auto"/>
              <w:start w:val="nil"/>
              <w:bottom w:val="single" w:sz="4" w:space="0" w:color="auto"/>
              <w:end w:val="nil"/>
            </w:tcBorders>
            <w:shd w:val="clear" w:color="auto" w:fill="auto"/>
            <w:vAlign w:val="center"/>
          </w:tcPr>
          <w:p w:rsidR="000E0D60" w:rsidRPr="00611019" w:rsidRDefault="00E56462" w:rsidP="00720125">
            <w:pPr>
              <w:rPr>
                <w:rFonts w:ascii="Century Gothic" w:hAnsi="Century Gothic" w:cs="Arial"/>
                <w:color w:val="000000"/>
                <w:sz w:val="20"/>
                <w:szCs w:val="20"/>
              </w:rPr>
            </w:pPr>
            <w:r>
              <w:rPr>
                <w:rFonts w:ascii="Century Gothic" w:hAnsi="Century Gothic" w:cs="Arial"/>
                <w:color w:val="000000"/>
                <w:sz w:val="20"/>
                <w:szCs w:val="20"/>
              </w:rPr>
              <w:t>SCyD (Local, Regional y Nacional)</w:t>
            </w:r>
            <w:r w:rsidR="00720125">
              <w:rPr>
                <w:rFonts w:ascii="Century Gothic" w:hAnsi="Century Gothic" w:cs="Arial"/>
                <w:color w:val="000000"/>
                <w:sz w:val="20"/>
                <w:szCs w:val="20"/>
              </w:rPr>
              <w:t xml:space="preserve"> y del</w:t>
            </w:r>
            <w:r>
              <w:rPr>
                <w:rFonts w:ascii="Century Gothic" w:hAnsi="Century Gothic" w:cs="Arial"/>
                <w:color w:val="000000"/>
                <w:sz w:val="20"/>
                <w:szCs w:val="20"/>
              </w:rPr>
              <w:t>Servicio de Cableado Multipar externo o interno</w:t>
            </w:r>
            <w:r w:rsidR="00AD5CB6">
              <w:rPr>
                <w:rFonts w:ascii="Century Gothic" w:hAnsi="Century Gothic" w:cs="Arial"/>
                <w:color w:val="000000"/>
                <w:sz w:val="20"/>
                <w:szCs w:val="20"/>
              </w:rPr>
              <w:t>.</w:t>
            </w:r>
          </w:p>
        </w:tc>
        <w:tc>
          <w:tcPr>
            <w:tcW w:w="54.50pt" w:type="dxa"/>
            <w:tcBorders>
              <w:top w:val="single" w:sz="4" w:space="0" w:color="auto"/>
              <w:start w:val="nil"/>
              <w:bottom w:val="single" w:sz="4" w:space="0" w:color="auto"/>
              <w:end w:val="nil"/>
            </w:tcBorders>
            <w:shd w:val="clear" w:color="auto" w:fill="auto"/>
            <w:vAlign w:val="center"/>
          </w:tcPr>
          <w:p w:rsidR="000E0D60" w:rsidRPr="00611019" w:rsidRDefault="00E56462" w:rsidP="00035D2C">
            <w:pPr>
              <w:jc w:val="center"/>
              <w:rPr>
                <w:rFonts w:ascii="Century Gothic" w:hAnsi="Century Gothic" w:cs="Arial"/>
                <w:color w:val="000000"/>
                <w:sz w:val="20"/>
                <w:szCs w:val="20"/>
              </w:rPr>
            </w:pPr>
            <w:r>
              <w:rPr>
                <w:rFonts w:ascii="Century Gothic" w:hAnsi="Century Gothic" w:cs="Arial"/>
                <w:color w:val="000000"/>
                <w:sz w:val="20"/>
                <w:szCs w:val="20"/>
              </w:rPr>
              <w:t>4</w:t>
            </w:r>
          </w:p>
        </w:tc>
        <w:tc>
          <w:tcPr>
            <w:tcW w:w="79.35pt" w:type="dxa"/>
            <w:tcBorders>
              <w:top w:val="single" w:sz="4" w:space="0" w:color="auto"/>
              <w:start w:val="nil"/>
              <w:bottom w:val="single" w:sz="4" w:space="0" w:color="auto"/>
              <w:end w:val="nil"/>
            </w:tcBorders>
            <w:shd w:val="clear" w:color="auto" w:fill="auto"/>
            <w:vAlign w:val="center"/>
          </w:tcPr>
          <w:p w:rsidR="000E0D60" w:rsidRPr="00611019" w:rsidRDefault="00E56462" w:rsidP="00035D2C">
            <w:pPr>
              <w:jc w:val="center"/>
              <w:rPr>
                <w:rFonts w:ascii="Century Gothic" w:hAnsi="Century Gothic" w:cs="Arial"/>
                <w:color w:val="000000"/>
                <w:sz w:val="20"/>
                <w:szCs w:val="20"/>
              </w:rPr>
            </w:pPr>
            <w:r>
              <w:rPr>
                <w:rFonts w:ascii="Century Gothic" w:hAnsi="Century Gothic" w:cs="Arial"/>
                <w:color w:val="000000"/>
                <w:sz w:val="20"/>
                <w:szCs w:val="20"/>
              </w:rPr>
              <w:t>6</w:t>
            </w:r>
          </w:p>
        </w:tc>
      </w:tr>
      <w:tr w:rsidR="0061711D" w:rsidTr="000E0D60">
        <w:trPr>
          <w:trHeight w:val="275"/>
          <w:jc w:val="center"/>
        </w:trPr>
        <w:tc>
          <w:tcPr>
            <w:tcW w:w="250pt" w:type="dxa"/>
            <w:tcBorders>
              <w:top w:val="single" w:sz="4" w:space="0" w:color="auto"/>
              <w:start w:val="nil"/>
              <w:bottom w:val="single" w:sz="4" w:space="0" w:color="auto"/>
              <w:end w:val="nil"/>
            </w:tcBorders>
            <w:shd w:val="clear" w:color="auto" w:fill="auto"/>
            <w:vAlign w:val="center"/>
          </w:tcPr>
          <w:p w:rsidR="000E0D60" w:rsidRPr="00611019" w:rsidRDefault="000E0D60" w:rsidP="00AD5CB6">
            <w:pPr>
              <w:jc w:val="both"/>
              <w:rPr>
                <w:rFonts w:ascii="Century Gothic" w:hAnsi="Century Gothic" w:cs="Arial"/>
                <w:color w:val="000000"/>
                <w:sz w:val="20"/>
                <w:szCs w:val="20"/>
              </w:rPr>
            </w:pPr>
          </w:p>
        </w:tc>
        <w:tc>
          <w:tcPr>
            <w:tcW w:w="54.50pt" w:type="dxa"/>
            <w:tcBorders>
              <w:top w:val="single" w:sz="4" w:space="0" w:color="auto"/>
              <w:start w:val="nil"/>
              <w:bottom w:val="single" w:sz="4" w:space="0" w:color="auto"/>
              <w:end w:val="nil"/>
            </w:tcBorders>
            <w:shd w:val="clear" w:color="auto" w:fill="auto"/>
            <w:vAlign w:val="center"/>
          </w:tcPr>
          <w:p w:rsidR="000E0D60" w:rsidRPr="00611019" w:rsidRDefault="000E0D60" w:rsidP="00035D2C">
            <w:pPr>
              <w:jc w:val="center"/>
              <w:rPr>
                <w:rFonts w:ascii="Century Gothic" w:hAnsi="Century Gothic" w:cs="Arial"/>
                <w:color w:val="000000"/>
                <w:sz w:val="20"/>
                <w:szCs w:val="20"/>
              </w:rPr>
            </w:pPr>
          </w:p>
        </w:tc>
        <w:tc>
          <w:tcPr>
            <w:tcW w:w="79.35pt" w:type="dxa"/>
            <w:tcBorders>
              <w:top w:val="single" w:sz="4" w:space="0" w:color="auto"/>
              <w:start w:val="nil"/>
              <w:bottom w:val="single" w:sz="4" w:space="0" w:color="auto"/>
              <w:end w:val="nil"/>
            </w:tcBorders>
            <w:shd w:val="clear" w:color="auto" w:fill="auto"/>
            <w:vAlign w:val="center"/>
          </w:tcPr>
          <w:p w:rsidR="000E0D60" w:rsidRPr="00611019" w:rsidRDefault="000E0D60" w:rsidP="00035D2C">
            <w:pPr>
              <w:jc w:val="center"/>
              <w:rPr>
                <w:rFonts w:ascii="Century Gothic" w:hAnsi="Century Gothic" w:cs="Arial"/>
                <w:color w:val="000000"/>
                <w:sz w:val="20"/>
                <w:szCs w:val="20"/>
              </w:rPr>
            </w:pPr>
          </w:p>
        </w:tc>
      </w:tr>
      <w:tr w:rsidR="0061711D" w:rsidTr="000E0D60">
        <w:trPr>
          <w:trHeight w:val="275"/>
          <w:jc w:val="center"/>
        </w:trPr>
        <w:tc>
          <w:tcPr>
            <w:tcW w:w="250pt" w:type="dxa"/>
            <w:tcBorders>
              <w:top w:val="single" w:sz="4" w:space="0" w:color="auto"/>
              <w:start w:val="nil"/>
              <w:bottom w:val="single" w:sz="4" w:space="0" w:color="auto"/>
              <w:end w:val="nil"/>
            </w:tcBorders>
            <w:shd w:val="clear" w:color="auto" w:fill="auto"/>
            <w:vAlign w:val="center"/>
            <w:hideMark/>
          </w:tcPr>
          <w:p w:rsidR="000E0D60" w:rsidRPr="00611019" w:rsidRDefault="00E56462" w:rsidP="00035D2C">
            <w:pPr>
              <w:rPr>
                <w:rFonts w:ascii="Century Gothic" w:hAnsi="Century Gothic" w:cs="Arial"/>
                <w:color w:val="000000"/>
                <w:sz w:val="20"/>
                <w:szCs w:val="20"/>
              </w:rPr>
            </w:pPr>
            <w:r>
              <w:rPr>
                <w:rFonts w:ascii="Century Gothic" w:hAnsi="Century Gothic" w:cs="Arial"/>
                <w:color w:val="000000"/>
                <w:sz w:val="20"/>
                <w:szCs w:val="20"/>
              </w:rPr>
              <w:t>Trabajos especiales (entrega de los términos bajo los cuales se ofrecerá el Servicio en tiempo)</w:t>
            </w:r>
          </w:p>
        </w:tc>
        <w:tc>
          <w:tcPr>
            <w:tcW w:w="54.50pt" w:type="dxa"/>
            <w:tcBorders>
              <w:top w:val="single" w:sz="4" w:space="0" w:color="auto"/>
              <w:start w:val="nil"/>
              <w:bottom w:val="single" w:sz="4" w:space="0" w:color="auto"/>
              <w:end w:val="nil"/>
            </w:tcBorders>
            <w:shd w:val="clear" w:color="auto" w:fill="auto"/>
            <w:vAlign w:val="center"/>
            <w:hideMark/>
          </w:tcPr>
          <w:p w:rsidR="000E0D60" w:rsidRPr="00611019" w:rsidRDefault="00E56462" w:rsidP="00035D2C">
            <w:pPr>
              <w:jc w:val="center"/>
              <w:rPr>
                <w:rFonts w:ascii="Century Gothic" w:hAnsi="Century Gothic" w:cs="Arial"/>
                <w:color w:val="000000"/>
                <w:sz w:val="20"/>
                <w:szCs w:val="20"/>
              </w:rPr>
            </w:pPr>
            <w:r>
              <w:rPr>
                <w:rFonts w:ascii="Century Gothic" w:hAnsi="Century Gothic" w:cs="Arial"/>
                <w:color w:val="000000"/>
                <w:sz w:val="20"/>
                <w:szCs w:val="20"/>
              </w:rPr>
              <w:t>10</w:t>
            </w:r>
          </w:p>
        </w:tc>
        <w:tc>
          <w:tcPr>
            <w:tcW w:w="79.35pt" w:type="dxa"/>
            <w:tcBorders>
              <w:top w:val="single" w:sz="4" w:space="0" w:color="auto"/>
              <w:start w:val="nil"/>
              <w:bottom w:val="single" w:sz="4" w:space="0" w:color="auto"/>
              <w:end w:val="nil"/>
            </w:tcBorders>
            <w:shd w:val="clear" w:color="auto" w:fill="auto"/>
            <w:vAlign w:val="center"/>
            <w:hideMark/>
          </w:tcPr>
          <w:p w:rsidR="000E0D60" w:rsidRPr="00611019" w:rsidRDefault="00E56462" w:rsidP="00035D2C">
            <w:pPr>
              <w:jc w:val="center"/>
              <w:rPr>
                <w:rFonts w:ascii="Century Gothic" w:hAnsi="Century Gothic" w:cs="Arial"/>
                <w:color w:val="000000"/>
                <w:sz w:val="20"/>
                <w:szCs w:val="20"/>
              </w:rPr>
            </w:pPr>
            <w:r>
              <w:rPr>
                <w:rFonts w:ascii="Century Gothic" w:hAnsi="Century Gothic" w:cs="Arial"/>
                <w:color w:val="000000"/>
                <w:sz w:val="20"/>
                <w:szCs w:val="20"/>
              </w:rPr>
              <w:t>15</w:t>
            </w:r>
          </w:p>
        </w:tc>
      </w:tr>
    </w:tbl>
    <w:p w:rsidR="000E0D60" w:rsidRPr="00611019" w:rsidRDefault="000E0D60" w:rsidP="00035D2C">
      <w:pPr>
        <w:pStyle w:val="IFTnormal"/>
        <w:rPr>
          <w:rFonts w:ascii="Century Gothic" w:hAnsi="Century Gothic"/>
          <w:b/>
        </w:rPr>
      </w:pPr>
    </w:p>
    <w:p w:rsidR="006C75B5" w:rsidRPr="00611019" w:rsidRDefault="00E56462" w:rsidP="00035D2C">
      <w:pPr>
        <w:pStyle w:val="IFTnormal"/>
        <w:rPr>
          <w:rFonts w:ascii="Century Gothic" w:hAnsi="Century Gothic"/>
          <w:b/>
        </w:rPr>
      </w:pPr>
      <w:r>
        <w:rPr>
          <w:rFonts w:ascii="Century Gothic" w:hAnsi="Century Gothic"/>
          <w:b/>
        </w:rPr>
        <w:t>Habilitaciones.</w:t>
      </w:r>
    </w:p>
    <w:p w:rsidR="000E0D60" w:rsidRPr="00611019" w:rsidRDefault="00E56462" w:rsidP="00035D2C">
      <w:pPr>
        <w:pStyle w:val="IFTnormal"/>
        <w:spacing w:after="6pt"/>
        <w:rPr>
          <w:rFonts w:ascii="Century Gothic" w:hAnsi="Century Gothic"/>
        </w:rPr>
      </w:pPr>
      <w:r>
        <w:rPr>
          <w:rFonts w:ascii="Century Gothic" w:hAnsi="Century Gothic"/>
        </w:rPr>
        <w:t>Los parámetros e Indicadores de calidad correspondientes a la habilitación de los Servicios objeto de la Oferta, son los siguientes:</w:t>
      </w:r>
    </w:p>
    <w:p w:rsidR="000E0D60" w:rsidRPr="00611019" w:rsidRDefault="00E56462" w:rsidP="00035D2C">
      <w:pPr>
        <w:pStyle w:val="IFTnormal"/>
        <w:spacing w:after="6pt"/>
        <w:rPr>
          <w:rFonts w:ascii="Century Gothic" w:hAnsi="Century Gothic"/>
        </w:rPr>
      </w:pPr>
      <w:r>
        <w:rPr>
          <w:rFonts w:ascii="Century Gothic" w:hAnsi="Century Gothic"/>
        </w:rPr>
        <w:t xml:space="preserve">En caso de incumplimiento a los parámetros e Indicadores de calidad sobre habilitación del Servicio aplicables al SAIB (local, regional y nacional), y al Servicio Auxiliar de Cableado Multipar y SCyD (Local, Regional y Nacional), Trabajos Especiales. </w:t>
      </w:r>
    </w:p>
    <w:p w:rsidR="000E0D60" w:rsidRPr="00611019" w:rsidRDefault="00E56462" w:rsidP="00035D2C">
      <w:pPr>
        <w:pStyle w:val="IFTnormal"/>
        <w:spacing w:after="6pt"/>
        <w:rPr>
          <w:rFonts w:ascii="Century Gothic" w:hAnsi="Century Gothic"/>
        </w:rPr>
      </w:pPr>
      <w:r>
        <w:rPr>
          <w:rFonts w:ascii="Century Gothic" w:hAnsi="Century Gothic"/>
        </w:rPr>
        <w:t>Las penas siguientes no serán aplicables en los casos en que el CS haya solicitado la habilitación en una fecha específica (Due date).</w:t>
      </w:r>
    </w:p>
    <w:p w:rsidR="000E0D60" w:rsidRPr="00611019" w:rsidRDefault="00E56462">
      <w:pPr>
        <w:pStyle w:val="Prrafodelista"/>
        <w:numPr>
          <w:ilvl w:val="0"/>
          <w:numId w:val="148"/>
        </w:numPr>
        <w:spacing w:after="6pt"/>
        <w:rPr>
          <w:rFonts w:ascii="Century Gothic" w:hAnsi="Century Gothic" w:cs="Arial"/>
        </w:rPr>
      </w:pPr>
      <w:r>
        <w:rPr>
          <w:rFonts w:ascii="Century Gothic" w:hAnsi="Century Gothic" w:cs="Arial"/>
        </w:rPr>
        <w:t>Habilitación en tiempo: 90% en un máximo de T1 días hábiles. El 10% restante habilitados en un máximo de T2 días hábiles.</w:t>
      </w:r>
    </w:p>
    <w:p w:rsidR="002033F6" w:rsidRPr="00AD5CB6" w:rsidRDefault="002033F6" w:rsidP="00035D2C">
      <w:pPr>
        <w:spacing w:after="6pt"/>
        <w:ind w:start="18pt" w:hanging="18pt"/>
        <w:rPr>
          <w:rFonts w:ascii="Century Gothic" w:eastAsia="Calibri" w:hAnsi="Century Gothic" w:cs="Arial"/>
        </w:rPr>
      </w:pPr>
    </w:p>
    <w:p w:rsidR="00AD5CB6" w:rsidRPr="00AD5CB6" w:rsidRDefault="00AD5CB6" w:rsidP="00AD5CB6">
      <w:pPr>
        <w:spacing w:after="6pt" w:line="13.20pt" w:lineRule="auto"/>
        <w:rPr>
          <w:rFonts w:ascii="Century Gothic" w:eastAsia="Calibri" w:hAnsi="Century Gothic" w:cs="Arial"/>
        </w:rPr>
      </w:pPr>
      <w:r w:rsidRPr="00AD5CB6">
        <w:rPr>
          <w:rFonts w:ascii="Century Gothic" w:eastAsia="Calibri" w:hAnsi="Century Gothic" w:cs="Arial"/>
        </w:rPr>
        <w:t>Para el caso de SDTBL:</w:t>
      </w:r>
    </w:p>
    <w:p w:rsidR="000E0D60" w:rsidRPr="00611019" w:rsidRDefault="00E56462">
      <w:pPr>
        <w:pStyle w:val="Prrafodelista"/>
        <w:numPr>
          <w:ilvl w:val="0"/>
          <w:numId w:val="149"/>
        </w:numPr>
        <w:spacing w:after="6pt"/>
        <w:rPr>
          <w:rFonts w:ascii="Century Gothic" w:hAnsi="Century Gothic" w:cs="Arial"/>
        </w:rPr>
      </w:pPr>
      <w:r>
        <w:rPr>
          <w:rFonts w:ascii="Century Gothic" w:hAnsi="Century Gothic" w:cs="Arial"/>
        </w:rPr>
        <w:t>Habilitación en tiempo: 95% con pronóstico y 90% sin pronóstico en un máximo de T1 días hábiles. El 5% restante con pronóstico y 10% restante sin pronóstico habilitados en un máximo de T2 días hábiles.</w:t>
      </w:r>
    </w:p>
    <w:p w:rsidR="000E0D60" w:rsidRPr="00611019" w:rsidRDefault="00E56462" w:rsidP="00F56183">
      <w:pPr>
        <w:spacing w:after="6pt"/>
        <w:ind w:start="35.70pt" w:hanging="17.85pt"/>
        <w:jc w:val="both"/>
        <w:rPr>
          <w:rFonts w:ascii="Century Gothic" w:hAnsi="Century Gothic" w:cs="Arial"/>
        </w:rPr>
      </w:pPr>
      <w:r>
        <w:rPr>
          <w:rFonts w:ascii="Century Gothic" w:eastAsia="Calibri" w:hAnsi="Century Gothic" w:cs="Arial"/>
        </w:rPr>
        <w:t>a)</w:t>
      </w:r>
      <w:r>
        <w:rPr>
          <w:rFonts w:ascii="Century Gothic" w:eastAsia="Calibri" w:hAnsi="Century Gothic" w:cs="Arial"/>
        </w:rPr>
        <w:tab/>
      </w:r>
      <w:r>
        <w:rPr>
          <w:rFonts w:ascii="Century Gothic" w:hAnsi="Century Gothic" w:cs="Arial"/>
        </w:rPr>
        <w:t xml:space="preserve">En caso de que no se cumpla el 95% o el 90% del indicador, según corresponda, </w:t>
      </w:r>
      <w:r>
        <w:rPr>
          <w:rFonts w:ascii="Century Gothic" w:hAnsi="Century Gothic"/>
        </w:rPr>
        <w:t>RED NACIONAL</w:t>
      </w:r>
      <w:r>
        <w:rPr>
          <w:rFonts w:ascii="Century Gothic" w:hAnsi="Century Gothic" w:cs="Arial"/>
        </w:rPr>
        <w:t xml:space="preserve"> será acreedor a una pena por la totalidad de los eventos que superen los T1 días hábiles y se aplicará una pena conforme a lo siguiente:</w:t>
      </w:r>
    </w:p>
    <w:p w:rsidR="000E0D60" w:rsidRPr="00611019" w:rsidRDefault="00E56462" w:rsidP="00F56183">
      <w:pPr>
        <w:pStyle w:val="IFTnormal"/>
        <w:spacing w:after="6pt"/>
        <w:ind w:start="56.70pt" w:hanging="18pt"/>
        <w:rPr>
          <w:rFonts w:ascii="Century Gothic" w:hAnsi="Century Gothic"/>
        </w:rPr>
      </w:pPr>
      <w:r>
        <w:rPr>
          <w:rFonts w:ascii="Century Gothic" w:hAnsi="Century Gothic"/>
        </w:rPr>
        <w:t>-</w:t>
      </w:r>
      <w:r>
        <w:rPr>
          <w:rFonts w:ascii="Century Gothic" w:hAnsi="Century Gothic"/>
        </w:rPr>
        <w:tab/>
        <w:t xml:space="preserve">Cuando exista un retraso que sea menor al 20% del plazo establecido, se aplicará una pena equivalente al </w:t>
      </w:r>
      <w:r w:rsidR="004B74CA">
        <w:rPr>
          <w:rFonts w:ascii="Century Gothic" w:hAnsi="Century Gothic"/>
        </w:rPr>
        <w:t>15</w:t>
      </w:r>
      <w:r>
        <w:rPr>
          <w:rFonts w:ascii="Century Gothic" w:hAnsi="Century Gothic"/>
        </w:rPr>
        <w:t>% del costo de la renta mensual correspondiente.</w:t>
      </w:r>
    </w:p>
    <w:p w:rsidR="000E0D60" w:rsidRPr="00611019" w:rsidRDefault="00E56462" w:rsidP="00F56183">
      <w:pPr>
        <w:pStyle w:val="IFTnormal"/>
        <w:spacing w:after="6pt"/>
        <w:ind w:start="56.70pt" w:hanging="18pt"/>
        <w:rPr>
          <w:rFonts w:ascii="Century Gothic" w:hAnsi="Century Gothic"/>
        </w:rPr>
      </w:pPr>
      <w:r>
        <w:rPr>
          <w:rFonts w:ascii="Century Gothic" w:hAnsi="Century Gothic"/>
        </w:rPr>
        <w:t>-</w:t>
      </w:r>
      <w:r>
        <w:rPr>
          <w:rFonts w:ascii="Century Gothic" w:hAnsi="Century Gothic"/>
        </w:rPr>
        <w:tab/>
        <w:t xml:space="preserve">Cuando exista un retraso comprendido entre el 20% y el 40% del plazo establecido, se aplicará una pena equivalente al </w:t>
      </w:r>
      <w:r w:rsidR="004B74CA">
        <w:rPr>
          <w:rFonts w:ascii="Century Gothic" w:hAnsi="Century Gothic"/>
        </w:rPr>
        <w:t>3</w:t>
      </w:r>
      <w:r>
        <w:rPr>
          <w:rFonts w:ascii="Century Gothic" w:hAnsi="Century Gothic"/>
        </w:rPr>
        <w:t>0% del costo de la renta mensual correspondiente.</w:t>
      </w:r>
    </w:p>
    <w:p w:rsidR="000E0D60" w:rsidRDefault="00E56462" w:rsidP="00F56183">
      <w:pPr>
        <w:pStyle w:val="IFTnormal"/>
        <w:spacing w:after="6pt"/>
        <w:ind w:start="56.70pt" w:hanging="18pt"/>
        <w:rPr>
          <w:rFonts w:ascii="Century Gothic" w:hAnsi="Century Gothic"/>
        </w:rPr>
      </w:pPr>
      <w:r>
        <w:rPr>
          <w:rFonts w:ascii="Century Gothic" w:hAnsi="Century Gothic"/>
        </w:rPr>
        <w:t>-</w:t>
      </w:r>
      <w:r>
        <w:rPr>
          <w:rFonts w:ascii="Century Gothic" w:hAnsi="Century Gothic"/>
        </w:rPr>
        <w:tab/>
        <w:t>Cuando el retraso sea mayor al 40% del plazo establecido, se aplicará una pena calculada de acuerdo a la ecuación:</w:t>
      </w:r>
      <w:r>
        <w:rPr>
          <w:rFonts w:ascii="Century Gothic" w:hAnsi="Century Gothic"/>
          <w:noProof/>
          <w:lang w:val="es-MX" w:eastAsia="es-MX"/>
        </w:rPr>
        <w:drawing>
          <wp:inline distT="0" distB="0" distL="0" distR="0" wp14:anchorId="2BA0640F" wp14:editId="432B5B3B">
            <wp:extent cx="38672" cy="171283"/>
            <wp:effectExtent l="0" t="0" r="0" b="0"/>
            <wp:docPr id="100177" name="Formula Image 16" descr="Formula: "/>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593" name=""/>
                    <pic:cNvPicPr>
                      <a:picLocks noChangeAspect="1"/>
                    </pic:cNvPicPr>
                  </pic:nvPicPr>
                  <pic:blipFill>
                    <a:blip r:embed="rId44"/>
                    <a:stretch>
                      <a:fillRect/>
                    </a:stretch>
                  </pic:blipFill>
                  <pic:spPr>
                    <a:xfrm>
                      <a:off x="0" y="0"/>
                      <a:ext cx="38672" cy="171283"/>
                    </a:xfrm>
                    <a:prstGeom prst="rect">
                      <a:avLst/>
                    </a:prstGeom>
                  </pic:spPr>
                </pic:pic>
              </a:graphicData>
            </a:graphic>
          </wp:inline>
        </w:drawing>
      </w:r>
    </w:p>
    <w:p w:rsidR="004B74CA" w:rsidRPr="00611019" w:rsidRDefault="004B74CA" w:rsidP="004B74CA">
      <w:pPr>
        <w:pStyle w:val="IFTnormal"/>
        <w:spacing w:after="6pt"/>
        <w:ind w:start="56.70pt" w:hanging="18pt"/>
        <w:jc w:val="center"/>
        <w:rPr>
          <w:rFonts w:ascii="Century Gothic" w:hAnsi="Century Gothic"/>
        </w:rPr>
      </w:pPr>
      <w:r>
        <w:rPr>
          <w:rFonts w:ascii="Century Gothic" w:hAnsi="Century Gothic"/>
        </w:rPr>
        <w:t>Pena= (30% + Retraso%) x Renta Mensual</w:t>
      </w:r>
    </w:p>
    <w:p w:rsidR="002033F6" w:rsidRPr="00611019" w:rsidRDefault="002033F6" w:rsidP="00035D2C">
      <w:pPr>
        <w:spacing w:after="6pt"/>
        <w:jc w:val="center"/>
        <w:rPr>
          <w:rFonts w:ascii="Century Gothic" w:eastAsiaTheme="minorEastAsia" w:hAnsi="Century Gothic" w:cs="Arial"/>
        </w:rPr>
      </w:pPr>
    </w:p>
    <w:p w:rsidR="000E0D60" w:rsidRDefault="00E56462" w:rsidP="00F56183">
      <w:pPr>
        <w:pStyle w:val="IFTnormal"/>
        <w:spacing w:after="6pt"/>
        <w:ind w:start="36pt" w:hanging="18pt"/>
        <w:rPr>
          <w:rFonts w:ascii="Century Gothic" w:hAnsi="Century Gothic"/>
        </w:rPr>
      </w:pPr>
      <w:r>
        <w:rPr>
          <w:rFonts w:ascii="Century Gothic" w:hAnsi="Century Gothic"/>
        </w:rPr>
        <w:t>b)</w:t>
      </w:r>
      <w:r>
        <w:rPr>
          <w:rFonts w:ascii="Century Gothic" w:hAnsi="Century Gothic"/>
        </w:rPr>
        <w:tab/>
        <w:t>En caso de que se cumpla el 95% o el 90% del indicador, según corresponda, RED NACIONAL será acreedora a una pena por la totalidad de los eventos que superen los T2 días hábiles y se aplicará una pena conforme a lo siguiente:</w:t>
      </w:r>
    </w:p>
    <w:p w:rsidR="004B74CA" w:rsidRPr="00611019" w:rsidRDefault="004B74CA" w:rsidP="004B74CA">
      <w:pPr>
        <w:pStyle w:val="IFTnormal"/>
        <w:spacing w:after="6pt"/>
        <w:ind w:start="56.70pt" w:hanging="18pt"/>
        <w:jc w:val="center"/>
        <w:rPr>
          <w:rFonts w:ascii="Century Gothic" w:hAnsi="Century Gothic"/>
        </w:rPr>
      </w:pPr>
      <w:r>
        <w:rPr>
          <w:rFonts w:ascii="Century Gothic" w:hAnsi="Century Gothic"/>
        </w:rPr>
        <w:t>Pena= (30% + Retraso%) x Renta Mensual</w:t>
      </w:r>
    </w:p>
    <w:p w:rsidR="002033F6" w:rsidRPr="00611019" w:rsidRDefault="002033F6" w:rsidP="00035D2C">
      <w:pPr>
        <w:spacing w:after="6pt"/>
        <w:jc w:val="center"/>
        <w:rPr>
          <w:rFonts w:ascii="Century Gothic" w:hAnsi="Century Gothic" w:cs="Arial"/>
        </w:rPr>
      </w:pPr>
    </w:p>
    <w:p w:rsidR="000E0D60" w:rsidRPr="00611019" w:rsidRDefault="00E56462">
      <w:pPr>
        <w:pStyle w:val="IFTnormal"/>
        <w:numPr>
          <w:ilvl w:val="0"/>
          <w:numId w:val="150"/>
        </w:numPr>
        <w:spacing w:after="6pt"/>
        <w:rPr>
          <w:rFonts w:ascii="Century Gothic" w:hAnsi="Century Gothic"/>
        </w:rPr>
      </w:pPr>
      <w:r>
        <w:rPr>
          <w:rFonts w:ascii="Century Gothic" w:hAnsi="Century Gothic"/>
        </w:rPr>
        <w:t>Para el SCD los parámetros para la penalización por habilitación serán de acuerdo con lo establecido en la OREDA: 80% de las solicitudes en máximo T1 días hábiles y el 20% restante en un máximo de T2 días hábiles.</w:t>
      </w:r>
    </w:p>
    <w:p w:rsidR="000E0D60" w:rsidRPr="00611019" w:rsidRDefault="00E56462" w:rsidP="00F56183">
      <w:pPr>
        <w:pStyle w:val="IFTnormal"/>
        <w:spacing w:after="6pt"/>
        <w:ind w:start="36pt" w:hanging="18pt"/>
        <w:rPr>
          <w:rFonts w:ascii="Century Gothic" w:hAnsi="Century Gothic"/>
        </w:rPr>
      </w:pPr>
      <w:bookmarkStart w:id="2375" w:name="_Hlk84202978"/>
      <w:r>
        <w:rPr>
          <w:rFonts w:ascii="Century Gothic" w:hAnsi="Century Gothic"/>
        </w:rPr>
        <w:t>a)</w:t>
      </w:r>
      <w:r>
        <w:rPr>
          <w:rFonts w:ascii="Century Gothic" w:hAnsi="Century Gothic"/>
        </w:rPr>
        <w:tab/>
        <w:t>En caso de que no se cumpla el 80% del indicador, RED NACIONAL será acreedor de una pena por la totalidad de los eventos que superen los T1 días hábiles y se aplicará una pena conforme a lo siguiente:</w:t>
      </w:r>
    </w:p>
    <w:p w:rsidR="000E0D60" w:rsidRPr="00611019" w:rsidRDefault="00E56462" w:rsidP="00F56183">
      <w:pPr>
        <w:pStyle w:val="IFTnormal"/>
        <w:spacing w:after="6pt"/>
        <w:ind w:start="56.70pt" w:hanging="18pt"/>
        <w:rPr>
          <w:rFonts w:ascii="Century Gothic" w:hAnsi="Century Gothic"/>
        </w:rPr>
      </w:pPr>
      <w:r>
        <w:rPr>
          <w:rFonts w:ascii="Century Gothic" w:eastAsia="Times New Roman" w:hAnsi="Century Gothic"/>
        </w:rPr>
        <w:t>-</w:t>
      </w:r>
      <w:r>
        <w:rPr>
          <w:rFonts w:ascii="Century Gothic" w:eastAsia="Times New Roman" w:hAnsi="Century Gothic"/>
        </w:rPr>
        <w:tab/>
      </w:r>
      <w:r>
        <w:rPr>
          <w:rFonts w:ascii="Century Gothic" w:hAnsi="Century Gothic"/>
        </w:rPr>
        <w:t xml:space="preserve">Cuando exista un retraso que sea menor al 20% del plazo establecido, se aplicará una pena equivalente al </w:t>
      </w:r>
      <w:r w:rsidR="004B74CA">
        <w:rPr>
          <w:rFonts w:ascii="Century Gothic" w:hAnsi="Century Gothic"/>
        </w:rPr>
        <w:t>15</w:t>
      </w:r>
      <w:r>
        <w:rPr>
          <w:rFonts w:ascii="Century Gothic" w:hAnsi="Century Gothic"/>
        </w:rPr>
        <w:t>% del costo de la renta mensual correspondiente.</w:t>
      </w:r>
    </w:p>
    <w:p w:rsidR="000E0D60" w:rsidRPr="00611019" w:rsidRDefault="00E56462" w:rsidP="00F56183">
      <w:pPr>
        <w:pStyle w:val="IFTnormal"/>
        <w:spacing w:after="6pt"/>
        <w:ind w:start="56.70pt" w:hanging="18pt"/>
        <w:rPr>
          <w:rFonts w:ascii="Century Gothic" w:hAnsi="Century Gothic"/>
        </w:rPr>
      </w:pPr>
      <w:r>
        <w:rPr>
          <w:rFonts w:ascii="Century Gothic" w:eastAsia="Times New Roman" w:hAnsi="Century Gothic"/>
        </w:rPr>
        <w:t>-</w:t>
      </w:r>
      <w:r>
        <w:rPr>
          <w:rFonts w:ascii="Century Gothic" w:eastAsia="Times New Roman" w:hAnsi="Century Gothic"/>
        </w:rPr>
        <w:tab/>
      </w:r>
      <w:r>
        <w:rPr>
          <w:rFonts w:ascii="Century Gothic" w:hAnsi="Century Gothic"/>
        </w:rPr>
        <w:t xml:space="preserve">Cuando exista un retraso comprendido entre el 20% y el 40% del plazo establecido, se aplicará una pena equivalente al </w:t>
      </w:r>
      <w:r w:rsidR="004B74CA">
        <w:rPr>
          <w:rFonts w:ascii="Century Gothic" w:hAnsi="Century Gothic"/>
        </w:rPr>
        <w:t>30</w:t>
      </w:r>
      <w:r>
        <w:rPr>
          <w:rFonts w:ascii="Century Gothic" w:hAnsi="Century Gothic"/>
        </w:rPr>
        <w:t>% del costo de la renta mensual correspondiente.</w:t>
      </w:r>
    </w:p>
    <w:p w:rsidR="000E0D60" w:rsidRPr="00611019" w:rsidRDefault="00E56462" w:rsidP="00F56183">
      <w:pPr>
        <w:pStyle w:val="IFTnormal"/>
        <w:spacing w:after="6pt"/>
        <w:ind w:start="56.70pt" w:hanging="18pt"/>
        <w:rPr>
          <w:rFonts w:ascii="Century Gothic" w:hAnsi="Century Gothic"/>
        </w:rPr>
      </w:pPr>
      <w:r>
        <w:rPr>
          <w:rFonts w:ascii="Century Gothic" w:eastAsia="Times New Roman" w:hAnsi="Century Gothic"/>
        </w:rPr>
        <w:lastRenderedPageBreak/>
        <w:t>-</w:t>
      </w:r>
      <w:r>
        <w:rPr>
          <w:rFonts w:ascii="Century Gothic" w:eastAsia="Times New Roman" w:hAnsi="Century Gothic"/>
        </w:rPr>
        <w:tab/>
      </w:r>
      <w:r>
        <w:rPr>
          <w:rFonts w:ascii="Century Gothic" w:hAnsi="Century Gothic"/>
        </w:rPr>
        <w:t>Cuando el retraso sea mayor al 40% del plazo establecido, se aplicará una pena calculada de acuerdo a la ecuación:</w:t>
      </w:r>
      <w:r>
        <w:rPr>
          <w:rFonts w:ascii="Century Gothic" w:hAnsi="Century Gothic"/>
          <w:noProof/>
          <w:lang w:val="es-MX" w:eastAsia="es-MX"/>
        </w:rPr>
        <w:drawing>
          <wp:inline distT="0" distB="0" distL="0" distR="0" wp14:anchorId="5AD97E0F" wp14:editId="64C5EF52">
            <wp:extent cx="38672" cy="171283"/>
            <wp:effectExtent l="0" t="0" r="0" b="0"/>
            <wp:docPr id="100171" name="Formula Image 21" descr="Formula: "/>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596" name=""/>
                    <pic:cNvPicPr>
                      <a:picLocks noChangeAspect="1"/>
                    </pic:cNvPicPr>
                  </pic:nvPicPr>
                  <pic:blipFill>
                    <a:blip r:embed="rId44"/>
                    <a:stretch>
                      <a:fillRect/>
                    </a:stretch>
                  </pic:blipFill>
                  <pic:spPr>
                    <a:xfrm>
                      <a:off x="0" y="0"/>
                      <a:ext cx="38672" cy="171283"/>
                    </a:xfrm>
                    <a:prstGeom prst="rect">
                      <a:avLst/>
                    </a:prstGeom>
                  </pic:spPr>
                </pic:pic>
              </a:graphicData>
            </a:graphic>
          </wp:inline>
        </w:drawing>
      </w:r>
    </w:p>
    <w:p w:rsidR="004B74CA" w:rsidRPr="00611019" w:rsidRDefault="004B74CA" w:rsidP="004B74CA">
      <w:pPr>
        <w:pStyle w:val="IFTnormal"/>
        <w:spacing w:after="6pt"/>
        <w:ind w:start="56.70pt" w:hanging="18pt"/>
        <w:jc w:val="center"/>
        <w:rPr>
          <w:rFonts w:ascii="Century Gothic" w:hAnsi="Century Gothic"/>
        </w:rPr>
      </w:pPr>
      <w:r>
        <w:rPr>
          <w:rFonts w:ascii="Century Gothic" w:hAnsi="Century Gothic"/>
        </w:rPr>
        <w:t>Pena= (30% + Retraso%) x Renta Mensual</w:t>
      </w:r>
    </w:p>
    <w:p w:rsidR="000E0D60" w:rsidRPr="00611019" w:rsidRDefault="00E56462" w:rsidP="00F56183">
      <w:pPr>
        <w:pStyle w:val="IFTnormal"/>
        <w:spacing w:after="6pt"/>
        <w:ind w:start="36pt" w:hanging="18pt"/>
        <w:rPr>
          <w:rFonts w:ascii="Century Gothic" w:hAnsi="Century Gothic"/>
        </w:rPr>
      </w:pPr>
      <w:r>
        <w:rPr>
          <w:rFonts w:ascii="Century Gothic" w:hAnsi="Century Gothic"/>
        </w:rPr>
        <w:t>b)</w:t>
      </w:r>
      <w:r>
        <w:rPr>
          <w:rFonts w:ascii="Century Gothic" w:hAnsi="Century Gothic"/>
        </w:rPr>
        <w:tab/>
        <w:t>En caso de que se cumpla el 80% del indicador. Serán acreedores de una pena la totalidad de los eventos que superen los T2 días hábiles y se aplicará una pena conforme a lo siguiente:</w:t>
      </w:r>
    </w:p>
    <w:p w:rsidR="004B74CA" w:rsidRPr="00611019" w:rsidRDefault="004B74CA" w:rsidP="004B74CA">
      <w:pPr>
        <w:pStyle w:val="IFTnormal"/>
        <w:spacing w:after="6pt"/>
        <w:ind w:start="56.70pt" w:hanging="18pt"/>
        <w:jc w:val="center"/>
        <w:rPr>
          <w:rFonts w:ascii="Century Gothic" w:hAnsi="Century Gothic"/>
        </w:rPr>
      </w:pPr>
      <w:r>
        <w:rPr>
          <w:rFonts w:ascii="Century Gothic" w:hAnsi="Century Gothic"/>
        </w:rPr>
        <w:t>Pena= (30% + Retraso%) x Renta Mensual</w:t>
      </w:r>
    </w:p>
    <w:p w:rsidR="000E0D60" w:rsidRPr="00611019" w:rsidRDefault="000E0D60" w:rsidP="00035D2C">
      <w:pPr>
        <w:spacing w:after="6pt"/>
        <w:jc w:val="center"/>
        <w:rPr>
          <w:rFonts w:ascii="Century Gothic" w:hAnsi="Century Gothic" w:cs="Arial"/>
        </w:rPr>
      </w:pPr>
    </w:p>
    <w:bookmarkEnd w:id="2375"/>
    <w:p w:rsidR="000E0D60" w:rsidRPr="00611019" w:rsidRDefault="000E0D60" w:rsidP="00035D2C">
      <w:pPr>
        <w:rPr>
          <w:rFonts w:ascii="Century Gothic" w:hAnsi="Century Gothic" w:cs="Arial"/>
        </w:rPr>
      </w:pPr>
    </w:p>
    <w:tbl>
      <w:tblPr>
        <w:tblW w:w="376.40pt" w:type="dxa"/>
        <w:jc w:val="center"/>
        <w:tblCellMar>
          <w:start w:w="3.50pt" w:type="dxa"/>
          <w:end w:w="3.50pt" w:type="dxa"/>
        </w:tblCellMar>
        <w:tblLook w:firstRow="1" w:lastRow="0" w:firstColumn="1" w:lastColumn="0" w:noHBand="0" w:noVBand="1"/>
      </w:tblPr>
      <w:tblGrid>
        <w:gridCol w:w="3658"/>
        <w:gridCol w:w="1357"/>
        <w:gridCol w:w="2513"/>
      </w:tblGrid>
      <w:tr w:rsidR="0061711D" w:rsidTr="00AD5CB6">
        <w:trPr>
          <w:trHeight w:val="586"/>
          <w:tblHeader/>
          <w:jc w:val="center"/>
        </w:trPr>
        <w:tc>
          <w:tcPr>
            <w:tcW w:w="376.40pt" w:type="dxa"/>
            <w:gridSpan w:val="3"/>
            <w:shd w:val="clear" w:color="auto" w:fill="009AD9"/>
            <w:vAlign w:val="center"/>
            <w:hideMark/>
          </w:tcPr>
          <w:p w:rsidR="007E3B4A" w:rsidRPr="00611019" w:rsidRDefault="00E56462" w:rsidP="00035D2C">
            <w:pPr>
              <w:jc w:val="center"/>
              <w:rPr>
                <w:rFonts w:ascii="Century Gothic" w:hAnsi="Century Gothic"/>
                <w:b/>
                <w:color w:val="FFFFFF"/>
                <w:sz w:val="20"/>
                <w:szCs w:val="20"/>
              </w:rPr>
            </w:pPr>
            <w:r>
              <w:rPr>
                <w:rFonts w:ascii="Century Gothic" w:hAnsi="Century Gothic"/>
                <w:b/>
                <w:color w:val="FFFFFF"/>
                <w:sz w:val="20"/>
                <w:szCs w:val="20"/>
              </w:rPr>
              <w:t>Habilitación y entrega de Servicios</w:t>
            </w:r>
          </w:p>
        </w:tc>
      </w:tr>
      <w:tr w:rsidR="0061711D" w:rsidTr="00AD5CB6">
        <w:trPr>
          <w:trHeight w:val="351"/>
          <w:jc w:val="center"/>
        </w:trPr>
        <w:tc>
          <w:tcPr>
            <w:tcW w:w="182.95pt" w:type="dxa"/>
            <w:shd w:val="clear" w:color="auto" w:fill="auto"/>
            <w:vAlign w:val="center"/>
            <w:hideMark/>
          </w:tcPr>
          <w:p w:rsidR="007E3B4A" w:rsidRPr="00611019" w:rsidRDefault="007E3B4A" w:rsidP="00035D2C">
            <w:pPr>
              <w:keepNext/>
              <w:jc w:val="center"/>
              <w:rPr>
                <w:rFonts w:ascii="Century Gothic" w:hAnsi="Century Gothic"/>
                <w:b/>
                <w:color w:val="FFFFFF"/>
                <w:sz w:val="20"/>
                <w:szCs w:val="20"/>
              </w:rPr>
            </w:pPr>
          </w:p>
        </w:tc>
        <w:tc>
          <w:tcPr>
            <w:tcW w:w="67.85pt" w:type="dxa"/>
            <w:shd w:val="clear" w:color="auto" w:fill="auto"/>
            <w:vAlign w:val="center"/>
            <w:hideMark/>
          </w:tcPr>
          <w:p w:rsidR="007E3B4A" w:rsidRPr="00611019" w:rsidRDefault="00E56462" w:rsidP="00035D2C">
            <w:pPr>
              <w:keepNext/>
              <w:jc w:val="center"/>
              <w:rPr>
                <w:rFonts w:ascii="Century Gothic" w:hAnsi="Century Gothic"/>
                <w:b/>
                <w:color w:val="000000"/>
                <w:sz w:val="20"/>
                <w:szCs w:val="20"/>
              </w:rPr>
            </w:pPr>
            <w:r>
              <w:rPr>
                <w:rFonts w:ascii="Century Gothic" w:hAnsi="Century Gothic"/>
                <w:b/>
                <w:color w:val="000000"/>
                <w:sz w:val="20"/>
                <w:szCs w:val="20"/>
              </w:rPr>
              <w:t>T1</w:t>
            </w:r>
          </w:p>
        </w:tc>
        <w:tc>
          <w:tcPr>
            <w:tcW w:w="125.60pt" w:type="dxa"/>
            <w:shd w:val="clear" w:color="auto" w:fill="auto"/>
            <w:vAlign w:val="center"/>
            <w:hideMark/>
          </w:tcPr>
          <w:p w:rsidR="007E3B4A" w:rsidRPr="00611019" w:rsidRDefault="00E56462" w:rsidP="00035D2C">
            <w:pPr>
              <w:keepNext/>
              <w:jc w:val="center"/>
              <w:rPr>
                <w:rFonts w:ascii="Century Gothic" w:hAnsi="Century Gothic"/>
                <w:b/>
                <w:color w:val="000000"/>
                <w:sz w:val="20"/>
                <w:szCs w:val="20"/>
              </w:rPr>
            </w:pPr>
            <w:r>
              <w:rPr>
                <w:rFonts w:ascii="Century Gothic" w:hAnsi="Century Gothic"/>
                <w:b/>
                <w:color w:val="000000"/>
                <w:sz w:val="20"/>
                <w:szCs w:val="20"/>
              </w:rPr>
              <w:t>T2</w:t>
            </w:r>
          </w:p>
        </w:tc>
      </w:tr>
      <w:tr w:rsidR="0061711D" w:rsidTr="00AD5CB6">
        <w:trPr>
          <w:trHeight w:val="879"/>
          <w:jc w:val="center"/>
        </w:trPr>
        <w:tc>
          <w:tcPr>
            <w:tcW w:w="182.95pt" w:type="dxa"/>
            <w:shd w:val="clear" w:color="auto" w:fill="auto"/>
            <w:vAlign w:val="center"/>
            <w:hideMark/>
          </w:tcPr>
          <w:p w:rsidR="007E3B4A" w:rsidRPr="00611019" w:rsidRDefault="00E56462" w:rsidP="003E0E9D">
            <w:pPr>
              <w:jc w:val="both"/>
              <w:rPr>
                <w:rFonts w:ascii="Century Gothic" w:hAnsi="Century Gothic"/>
                <w:color w:val="000000"/>
                <w:sz w:val="20"/>
                <w:szCs w:val="20"/>
              </w:rPr>
            </w:pPr>
            <w:r>
              <w:rPr>
                <w:rFonts w:ascii="Century Gothic" w:hAnsi="Century Gothic"/>
                <w:color w:val="000000"/>
                <w:sz w:val="20"/>
                <w:szCs w:val="20"/>
              </w:rPr>
              <w:t xml:space="preserve">Servicios SAIB (Local, Regional y Nacional) </w:t>
            </w:r>
            <w:r w:rsidR="003E0E9D">
              <w:rPr>
                <w:rFonts w:ascii="Century Gothic" w:hAnsi="Century Gothic"/>
                <w:color w:val="000000"/>
                <w:sz w:val="20"/>
                <w:szCs w:val="20"/>
              </w:rPr>
              <w:t>y</w:t>
            </w:r>
            <w:r>
              <w:rPr>
                <w:rFonts w:ascii="Century Gothic" w:hAnsi="Century Gothic"/>
                <w:color w:val="000000"/>
                <w:sz w:val="20"/>
                <w:szCs w:val="20"/>
              </w:rPr>
              <w:t xml:space="preserve"> SDTBL</w:t>
            </w:r>
            <w:r w:rsidR="003E0E9D">
              <w:rPr>
                <w:rFonts w:ascii="Century Gothic" w:hAnsi="Century Gothic"/>
                <w:color w:val="000000"/>
                <w:sz w:val="20"/>
                <w:szCs w:val="20"/>
              </w:rPr>
              <w:t xml:space="preserve"> </w:t>
            </w:r>
            <w:r>
              <w:rPr>
                <w:rFonts w:ascii="Century Gothic" w:hAnsi="Century Gothic"/>
                <w:color w:val="000000"/>
                <w:sz w:val="20"/>
                <w:szCs w:val="20"/>
              </w:rPr>
              <w:t xml:space="preserve">(sin entrega de equipo por parte de </w:t>
            </w:r>
            <w:r>
              <w:rPr>
                <w:rFonts w:ascii="Century Gothic" w:hAnsi="Century Gothic"/>
                <w:sz w:val="20"/>
                <w:szCs w:val="20"/>
              </w:rPr>
              <w:t>RED NACIONAL</w:t>
            </w:r>
            <w:r>
              <w:rPr>
                <w:rFonts w:ascii="Century Gothic" w:hAnsi="Century Gothic"/>
                <w:color w:val="000000"/>
                <w:sz w:val="20"/>
                <w:szCs w:val="20"/>
              </w:rPr>
              <w:t>)</w:t>
            </w:r>
          </w:p>
        </w:tc>
        <w:tc>
          <w:tcPr>
            <w:tcW w:w="67.85pt" w:type="dxa"/>
            <w:shd w:val="clear" w:color="auto" w:fill="auto"/>
            <w:vAlign w:val="center"/>
            <w:hideMark/>
          </w:tcPr>
          <w:p w:rsidR="007E3B4A" w:rsidRPr="00611019" w:rsidRDefault="00E56462" w:rsidP="00035D2C">
            <w:pPr>
              <w:jc w:val="center"/>
              <w:rPr>
                <w:rFonts w:ascii="Century Gothic" w:hAnsi="Century Gothic"/>
                <w:color w:val="000000"/>
                <w:sz w:val="20"/>
                <w:szCs w:val="20"/>
              </w:rPr>
            </w:pPr>
            <w:r>
              <w:rPr>
                <w:rFonts w:ascii="Century Gothic" w:hAnsi="Century Gothic" w:cs="Arial"/>
                <w:color w:val="000000"/>
                <w:sz w:val="20"/>
                <w:szCs w:val="20"/>
              </w:rPr>
              <w:t>6</w:t>
            </w:r>
          </w:p>
        </w:tc>
        <w:tc>
          <w:tcPr>
            <w:tcW w:w="125.60pt" w:type="dxa"/>
            <w:shd w:val="clear" w:color="auto" w:fill="auto"/>
            <w:vAlign w:val="center"/>
            <w:hideMark/>
          </w:tcPr>
          <w:p w:rsidR="007E3B4A" w:rsidRPr="00611019" w:rsidRDefault="00E56462" w:rsidP="00035D2C">
            <w:pPr>
              <w:jc w:val="center"/>
              <w:rPr>
                <w:rFonts w:ascii="Century Gothic" w:hAnsi="Century Gothic"/>
                <w:color w:val="000000"/>
                <w:sz w:val="20"/>
                <w:szCs w:val="20"/>
              </w:rPr>
            </w:pPr>
            <w:r>
              <w:rPr>
                <w:rFonts w:ascii="Century Gothic" w:hAnsi="Century Gothic" w:cs="Arial"/>
                <w:color w:val="000000"/>
                <w:sz w:val="20"/>
                <w:szCs w:val="20"/>
              </w:rPr>
              <w:t>8</w:t>
            </w:r>
          </w:p>
        </w:tc>
      </w:tr>
      <w:tr w:rsidR="0061711D" w:rsidTr="00AD5CB6">
        <w:trPr>
          <w:trHeight w:val="1205"/>
          <w:jc w:val="center"/>
        </w:trPr>
        <w:tc>
          <w:tcPr>
            <w:tcW w:w="182.95pt" w:type="dxa"/>
            <w:shd w:val="clear" w:color="auto" w:fill="auto"/>
            <w:vAlign w:val="center"/>
            <w:hideMark/>
          </w:tcPr>
          <w:p w:rsidR="007E3B4A" w:rsidRPr="00611019" w:rsidRDefault="00E56462" w:rsidP="003E0E9D">
            <w:pPr>
              <w:jc w:val="both"/>
              <w:rPr>
                <w:rFonts w:ascii="Century Gothic" w:hAnsi="Century Gothic"/>
                <w:color w:val="000000"/>
                <w:sz w:val="20"/>
                <w:szCs w:val="20"/>
              </w:rPr>
            </w:pPr>
            <w:r>
              <w:rPr>
                <w:rFonts w:ascii="Century Gothic" w:hAnsi="Century Gothic"/>
                <w:color w:val="000000"/>
                <w:sz w:val="20"/>
                <w:szCs w:val="20"/>
              </w:rPr>
              <w:t>Servicios SAIB (Local, Regional y Nacional)</w:t>
            </w:r>
            <w:r w:rsidR="003E0E9D">
              <w:rPr>
                <w:rFonts w:ascii="Century Gothic" w:hAnsi="Century Gothic"/>
                <w:color w:val="000000"/>
                <w:sz w:val="20"/>
                <w:szCs w:val="20"/>
              </w:rPr>
              <w:t xml:space="preserve"> y</w:t>
            </w:r>
            <w:r>
              <w:rPr>
                <w:rFonts w:ascii="Century Gothic" w:hAnsi="Century Gothic"/>
                <w:color w:val="000000"/>
                <w:sz w:val="20"/>
                <w:szCs w:val="20"/>
              </w:rPr>
              <w:t>SDTBL</w:t>
            </w:r>
            <w:r w:rsidR="003E0E9D">
              <w:rPr>
                <w:rFonts w:ascii="Century Gothic" w:hAnsi="Century Gothic"/>
                <w:color w:val="000000"/>
                <w:sz w:val="20"/>
                <w:szCs w:val="20"/>
              </w:rPr>
              <w:t xml:space="preserve"> </w:t>
            </w:r>
            <w:r>
              <w:rPr>
                <w:rFonts w:ascii="Century Gothic" w:hAnsi="Century Gothic"/>
                <w:color w:val="000000"/>
                <w:sz w:val="20"/>
                <w:szCs w:val="20"/>
              </w:rPr>
              <w:t>(</w:t>
            </w:r>
            <w:r>
              <w:rPr>
                <w:rFonts w:ascii="Century Gothic" w:hAnsi="Century Gothic"/>
                <w:sz w:val="20"/>
                <w:szCs w:val="20"/>
              </w:rPr>
              <w:t>RED NACIONAL</w:t>
            </w:r>
            <w:r>
              <w:rPr>
                <w:rFonts w:ascii="Century Gothic" w:hAnsi="Century Gothic"/>
                <w:color w:val="000000"/>
                <w:sz w:val="20"/>
                <w:szCs w:val="20"/>
              </w:rPr>
              <w:t xml:space="preserve"> entrega algún equipo a solicitud del CS).</w:t>
            </w:r>
          </w:p>
        </w:tc>
        <w:tc>
          <w:tcPr>
            <w:tcW w:w="67.85pt" w:type="dxa"/>
            <w:shd w:val="clear" w:color="auto" w:fill="auto"/>
            <w:vAlign w:val="center"/>
            <w:hideMark/>
          </w:tcPr>
          <w:p w:rsidR="007E3B4A" w:rsidRPr="00611019" w:rsidRDefault="00E56462" w:rsidP="00035D2C">
            <w:pPr>
              <w:jc w:val="center"/>
              <w:rPr>
                <w:rFonts w:ascii="Century Gothic" w:hAnsi="Century Gothic"/>
                <w:color w:val="000000"/>
                <w:sz w:val="20"/>
                <w:szCs w:val="20"/>
              </w:rPr>
            </w:pPr>
            <w:r>
              <w:rPr>
                <w:rFonts w:ascii="Century Gothic" w:hAnsi="Century Gothic" w:cs="Arial"/>
                <w:color w:val="000000"/>
                <w:sz w:val="20"/>
                <w:szCs w:val="20"/>
              </w:rPr>
              <w:t>8</w:t>
            </w:r>
          </w:p>
        </w:tc>
        <w:tc>
          <w:tcPr>
            <w:tcW w:w="125.60pt" w:type="dxa"/>
            <w:shd w:val="clear" w:color="auto" w:fill="auto"/>
            <w:vAlign w:val="center"/>
            <w:hideMark/>
          </w:tcPr>
          <w:p w:rsidR="007E3B4A" w:rsidRPr="00611019" w:rsidRDefault="00E56462" w:rsidP="00035D2C">
            <w:pPr>
              <w:jc w:val="center"/>
              <w:rPr>
                <w:rFonts w:ascii="Century Gothic" w:hAnsi="Century Gothic"/>
                <w:color w:val="000000"/>
                <w:sz w:val="20"/>
                <w:szCs w:val="20"/>
              </w:rPr>
            </w:pPr>
            <w:r>
              <w:rPr>
                <w:rFonts w:ascii="Century Gothic" w:hAnsi="Century Gothic" w:cs="Arial"/>
                <w:color w:val="000000"/>
                <w:sz w:val="20"/>
                <w:szCs w:val="20"/>
              </w:rPr>
              <w:t>10</w:t>
            </w:r>
          </w:p>
        </w:tc>
      </w:tr>
      <w:tr w:rsidR="0061711D" w:rsidTr="00AD5CB6">
        <w:trPr>
          <w:trHeight w:val="586"/>
          <w:jc w:val="center"/>
        </w:trPr>
        <w:tc>
          <w:tcPr>
            <w:tcW w:w="182.95pt" w:type="dxa"/>
            <w:shd w:val="clear" w:color="auto" w:fill="auto"/>
            <w:vAlign w:val="center"/>
          </w:tcPr>
          <w:p w:rsidR="007E3B4A" w:rsidRPr="00611019" w:rsidRDefault="00E56462" w:rsidP="00035D2C">
            <w:pPr>
              <w:jc w:val="both"/>
              <w:rPr>
                <w:rFonts w:ascii="Century Gothic" w:hAnsi="Century Gothic"/>
                <w:color w:val="000000"/>
                <w:sz w:val="20"/>
                <w:szCs w:val="20"/>
              </w:rPr>
            </w:pPr>
            <w:r>
              <w:rPr>
                <w:rFonts w:ascii="Century Gothic" w:hAnsi="Century Gothic"/>
                <w:color w:val="000000"/>
                <w:sz w:val="20"/>
                <w:szCs w:val="20"/>
              </w:rPr>
              <w:t>SDTFO</w:t>
            </w:r>
          </w:p>
        </w:tc>
        <w:tc>
          <w:tcPr>
            <w:tcW w:w="67.85pt" w:type="dxa"/>
            <w:shd w:val="clear" w:color="auto" w:fill="auto"/>
            <w:vAlign w:val="center"/>
          </w:tcPr>
          <w:p w:rsidR="007E3B4A" w:rsidRPr="00611019" w:rsidRDefault="00E56462" w:rsidP="00035D2C">
            <w:pPr>
              <w:jc w:val="center"/>
              <w:rPr>
                <w:rFonts w:ascii="Century Gothic" w:hAnsi="Century Gothic"/>
                <w:color w:val="000000"/>
                <w:sz w:val="20"/>
                <w:szCs w:val="20"/>
              </w:rPr>
            </w:pPr>
            <w:r>
              <w:rPr>
                <w:rFonts w:ascii="Century Gothic" w:hAnsi="Century Gothic"/>
                <w:color w:val="000000"/>
                <w:sz w:val="20"/>
                <w:szCs w:val="20"/>
              </w:rPr>
              <w:t>7</w:t>
            </w:r>
          </w:p>
        </w:tc>
        <w:tc>
          <w:tcPr>
            <w:tcW w:w="125.60pt" w:type="dxa"/>
            <w:shd w:val="clear" w:color="auto" w:fill="auto"/>
            <w:vAlign w:val="center"/>
          </w:tcPr>
          <w:p w:rsidR="007E3B4A" w:rsidRPr="00611019" w:rsidRDefault="00E56462" w:rsidP="00035D2C">
            <w:pPr>
              <w:jc w:val="center"/>
              <w:rPr>
                <w:rFonts w:ascii="Century Gothic" w:hAnsi="Century Gothic"/>
                <w:color w:val="000000"/>
                <w:sz w:val="20"/>
                <w:szCs w:val="20"/>
              </w:rPr>
            </w:pPr>
            <w:r>
              <w:rPr>
                <w:rFonts w:ascii="Century Gothic" w:hAnsi="Century Gothic"/>
                <w:color w:val="000000"/>
                <w:sz w:val="20"/>
                <w:szCs w:val="20"/>
              </w:rPr>
              <w:t>9</w:t>
            </w:r>
          </w:p>
        </w:tc>
      </w:tr>
      <w:tr w:rsidR="0061711D" w:rsidTr="00AD5CB6">
        <w:trPr>
          <w:trHeight w:val="586"/>
          <w:jc w:val="center"/>
        </w:trPr>
        <w:tc>
          <w:tcPr>
            <w:tcW w:w="182.95pt" w:type="dxa"/>
            <w:shd w:val="clear" w:color="auto" w:fill="auto"/>
            <w:vAlign w:val="center"/>
            <w:hideMark/>
          </w:tcPr>
          <w:p w:rsidR="007E3B4A" w:rsidRPr="00611019" w:rsidRDefault="00E56462" w:rsidP="00035D2C">
            <w:pPr>
              <w:jc w:val="both"/>
              <w:rPr>
                <w:rFonts w:ascii="Century Gothic" w:hAnsi="Century Gothic"/>
                <w:color w:val="000000"/>
                <w:sz w:val="20"/>
                <w:szCs w:val="20"/>
              </w:rPr>
            </w:pPr>
            <w:r>
              <w:rPr>
                <w:rFonts w:ascii="Century Gothic" w:hAnsi="Century Gothic"/>
                <w:color w:val="000000"/>
                <w:sz w:val="20"/>
                <w:szCs w:val="20"/>
              </w:rPr>
              <w:t xml:space="preserve">Servicio Auxiliar de Cableado Multipar (Coubicación Interna) </w:t>
            </w:r>
          </w:p>
        </w:tc>
        <w:tc>
          <w:tcPr>
            <w:tcW w:w="67.85pt" w:type="dxa"/>
            <w:shd w:val="clear" w:color="auto" w:fill="auto"/>
            <w:vAlign w:val="center"/>
            <w:hideMark/>
          </w:tcPr>
          <w:p w:rsidR="007E3B4A" w:rsidRPr="00611019" w:rsidRDefault="00E56462" w:rsidP="00035D2C">
            <w:pPr>
              <w:jc w:val="center"/>
              <w:rPr>
                <w:rFonts w:ascii="Century Gothic" w:hAnsi="Century Gothic"/>
                <w:color w:val="000000"/>
                <w:sz w:val="20"/>
                <w:szCs w:val="20"/>
              </w:rPr>
            </w:pPr>
            <w:r>
              <w:rPr>
                <w:rFonts w:ascii="Century Gothic" w:hAnsi="Century Gothic"/>
                <w:color w:val="000000"/>
                <w:sz w:val="20"/>
                <w:szCs w:val="20"/>
              </w:rPr>
              <w:t>15</w:t>
            </w:r>
          </w:p>
        </w:tc>
        <w:tc>
          <w:tcPr>
            <w:tcW w:w="125.60pt" w:type="dxa"/>
            <w:shd w:val="clear" w:color="auto" w:fill="auto"/>
            <w:vAlign w:val="center"/>
            <w:hideMark/>
          </w:tcPr>
          <w:p w:rsidR="007E3B4A" w:rsidRPr="00611019" w:rsidRDefault="00E56462" w:rsidP="00035D2C">
            <w:pPr>
              <w:jc w:val="center"/>
              <w:rPr>
                <w:rFonts w:ascii="Century Gothic" w:hAnsi="Century Gothic"/>
                <w:color w:val="000000"/>
                <w:sz w:val="20"/>
                <w:szCs w:val="20"/>
              </w:rPr>
            </w:pPr>
            <w:r>
              <w:rPr>
                <w:rFonts w:ascii="Century Gothic" w:hAnsi="Century Gothic"/>
                <w:color w:val="000000"/>
                <w:sz w:val="20"/>
                <w:szCs w:val="20"/>
              </w:rPr>
              <w:t>25</w:t>
            </w:r>
          </w:p>
        </w:tc>
      </w:tr>
      <w:tr w:rsidR="0061711D" w:rsidTr="00AD5CB6">
        <w:trPr>
          <w:trHeight w:val="645"/>
          <w:jc w:val="center"/>
        </w:trPr>
        <w:tc>
          <w:tcPr>
            <w:tcW w:w="182.95pt" w:type="dxa"/>
            <w:shd w:val="clear" w:color="auto" w:fill="auto"/>
            <w:vAlign w:val="center"/>
            <w:hideMark/>
          </w:tcPr>
          <w:p w:rsidR="007E3B4A" w:rsidRPr="00611019" w:rsidRDefault="00E56462" w:rsidP="00035D2C">
            <w:pPr>
              <w:jc w:val="both"/>
              <w:rPr>
                <w:rFonts w:ascii="Century Gothic" w:hAnsi="Century Gothic"/>
                <w:color w:val="000000"/>
                <w:sz w:val="20"/>
                <w:szCs w:val="20"/>
              </w:rPr>
            </w:pPr>
            <w:r>
              <w:rPr>
                <w:rFonts w:ascii="Century Gothic" w:hAnsi="Century Gothic"/>
                <w:color w:val="000000"/>
                <w:sz w:val="20"/>
                <w:szCs w:val="20"/>
              </w:rPr>
              <w:t xml:space="preserve">Servicio Auxiliar de Cableado Multipar (Coubicación Externa) </w:t>
            </w:r>
          </w:p>
        </w:tc>
        <w:tc>
          <w:tcPr>
            <w:tcW w:w="67.85pt" w:type="dxa"/>
            <w:shd w:val="clear" w:color="auto" w:fill="auto"/>
            <w:vAlign w:val="center"/>
            <w:hideMark/>
          </w:tcPr>
          <w:p w:rsidR="007E3B4A" w:rsidRPr="00611019" w:rsidRDefault="00E56462" w:rsidP="00035D2C">
            <w:pPr>
              <w:jc w:val="center"/>
              <w:rPr>
                <w:rFonts w:ascii="Century Gothic" w:hAnsi="Century Gothic"/>
                <w:color w:val="000000"/>
                <w:sz w:val="20"/>
                <w:szCs w:val="20"/>
              </w:rPr>
            </w:pPr>
            <w:r>
              <w:rPr>
                <w:rFonts w:ascii="Century Gothic" w:hAnsi="Century Gothic"/>
                <w:color w:val="000000"/>
                <w:sz w:val="20"/>
                <w:szCs w:val="20"/>
              </w:rPr>
              <w:t>25</w:t>
            </w:r>
          </w:p>
        </w:tc>
        <w:tc>
          <w:tcPr>
            <w:tcW w:w="125.60pt" w:type="dxa"/>
            <w:shd w:val="clear" w:color="auto" w:fill="auto"/>
            <w:vAlign w:val="center"/>
            <w:hideMark/>
          </w:tcPr>
          <w:p w:rsidR="007E3B4A" w:rsidRPr="00611019" w:rsidRDefault="00E56462" w:rsidP="00035D2C">
            <w:pPr>
              <w:jc w:val="center"/>
              <w:rPr>
                <w:rFonts w:ascii="Century Gothic" w:hAnsi="Century Gothic"/>
                <w:color w:val="000000"/>
                <w:sz w:val="20"/>
                <w:szCs w:val="20"/>
              </w:rPr>
            </w:pPr>
            <w:r>
              <w:rPr>
                <w:rFonts w:ascii="Century Gothic" w:hAnsi="Century Gothic"/>
                <w:color w:val="000000"/>
                <w:sz w:val="20"/>
                <w:szCs w:val="20"/>
              </w:rPr>
              <w:t>40</w:t>
            </w:r>
          </w:p>
        </w:tc>
      </w:tr>
      <w:tr w:rsidR="0061711D" w:rsidTr="00AD5CB6">
        <w:trPr>
          <w:trHeight w:val="711"/>
          <w:jc w:val="center"/>
        </w:trPr>
        <w:tc>
          <w:tcPr>
            <w:tcW w:w="182.95pt" w:type="dxa"/>
            <w:shd w:val="clear" w:color="auto" w:fill="auto"/>
            <w:vAlign w:val="center"/>
            <w:hideMark/>
          </w:tcPr>
          <w:p w:rsidR="007E3B4A" w:rsidRPr="00611019" w:rsidRDefault="00E56462" w:rsidP="00035D2C">
            <w:pPr>
              <w:jc w:val="both"/>
              <w:rPr>
                <w:rFonts w:ascii="Century Gothic" w:hAnsi="Century Gothic"/>
                <w:color w:val="000000"/>
                <w:sz w:val="20"/>
                <w:szCs w:val="20"/>
              </w:rPr>
            </w:pPr>
            <w:r>
              <w:rPr>
                <w:rFonts w:ascii="Century Gothic" w:hAnsi="Century Gothic"/>
                <w:color w:val="000000"/>
                <w:sz w:val="20"/>
                <w:szCs w:val="20"/>
              </w:rPr>
              <w:lastRenderedPageBreak/>
              <w:t xml:space="preserve">Servicio Auxiliar de Cableado Multipar (Ubicación Distante) </w:t>
            </w:r>
          </w:p>
        </w:tc>
        <w:tc>
          <w:tcPr>
            <w:tcW w:w="67.85pt" w:type="dxa"/>
            <w:shd w:val="clear" w:color="auto" w:fill="auto"/>
            <w:vAlign w:val="center"/>
            <w:hideMark/>
          </w:tcPr>
          <w:p w:rsidR="007E3B4A" w:rsidRPr="00611019" w:rsidRDefault="00E56462" w:rsidP="00035D2C">
            <w:pPr>
              <w:jc w:val="center"/>
              <w:rPr>
                <w:rFonts w:ascii="Century Gothic" w:hAnsi="Century Gothic"/>
                <w:color w:val="000000"/>
                <w:sz w:val="20"/>
                <w:szCs w:val="20"/>
              </w:rPr>
            </w:pPr>
            <w:r>
              <w:rPr>
                <w:rFonts w:ascii="Century Gothic" w:hAnsi="Century Gothic"/>
                <w:color w:val="000000"/>
                <w:sz w:val="20"/>
                <w:szCs w:val="20"/>
              </w:rPr>
              <w:t>45</w:t>
            </w:r>
          </w:p>
        </w:tc>
        <w:tc>
          <w:tcPr>
            <w:tcW w:w="125.60pt" w:type="dxa"/>
            <w:shd w:val="clear" w:color="auto" w:fill="auto"/>
            <w:vAlign w:val="center"/>
            <w:hideMark/>
          </w:tcPr>
          <w:p w:rsidR="007E3B4A" w:rsidRPr="00611019" w:rsidRDefault="00E56462" w:rsidP="00035D2C">
            <w:pPr>
              <w:jc w:val="center"/>
              <w:rPr>
                <w:rFonts w:ascii="Century Gothic" w:hAnsi="Century Gothic"/>
                <w:color w:val="000000"/>
                <w:sz w:val="20"/>
                <w:szCs w:val="20"/>
              </w:rPr>
            </w:pPr>
            <w:r>
              <w:rPr>
                <w:rFonts w:ascii="Century Gothic" w:hAnsi="Century Gothic"/>
                <w:color w:val="000000"/>
                <w:sz w:val="20"/>
                <w:szCs w:val="20"/>
              </w:rPr>
              <w:t>70</w:t>
            </w:r>
          </w:p>
        </w:tc>
      </w:tr>
      <w:tr w:rsidR="00AD5CB6" w:rsidTr="00AD5CB6">
        <w:trPr>
          <w:trHeight w:val="711"/>
          <w:jc w:val="center"/>
        </w:trPr>
        <w:tc>
          <w:tcPr>
            <w:tcW w:w="182.95pt" w:type="dxa"/>
            <w:shd w:val="clear" w:color="auto" w:fill="auto"/>
            <w:vAlign w:val="center"/>
            <w:hideMark/>
          </w:tcPr>
          <w:p w:rsidR="00AD5CB6" w:rsidRPr="00AD5CB6" w:rsidRDefault="00AD5CB6" w:rsidP="00AD5CB6">
            <w:pPr>
              <w:jc w:val="both"/>
              <w:rPr>
                <w:rFonts w:ascii="Century Gothic" w:hAnsi="Century Gothic"/>
                <w:color w:val="000000"/>
                <w:sz w:val="20"/>
                <w:szCs w:val="20"/>
              </w:rPr>
            </w:pPr>
          </w:p>
        </w:tc>
        <w:tc>
          <w:tcPr>
            <w:tcW w:w="67.85pt" w:type="dxa"/>
            <w:shd w:val="clear" w:color="auto" w:fill="auto"/>
            <w:vAlign w:val="center"/>
            <w:hideMark/>
          </w:tcPr>
          <w:p w:rsidR="00AD5CB6" w:rsidRPr="00AD5CB6" w:rsidRDefault="00AD5CB6" w:rsidP="00AD5CB6">
            <w:pPr>
              <w:jc w:val="center"/>
              <w:rPr>
                <w:rFonts w:ascii="Century Gothic" w:hAnsi="Century Gothic"/>
                <w:color w:val="000000"/>
                <w:sz w:val="20"/>
                <w:szCs w:val="20"/>
              </w:rPr>
            </w:pPr>
          </w:p>
        </w:tc>
        <w:tc>
          <w:tcPr>
            <w:tcW w:w="125.60pt" w:type="dxa"/>
            <w:shd w:val="clear" w:color="auto" w:fill="auto"/>
            <w:vAlign w:val="center"/>
            <w:hideMark/>
          </w:tcPr>
          <w:p w:rsidR="00AD5CB6" w:rsidRPr="00AD5CB6" w:rsidRDefault="00AD5CB6" w:rsidP="00AD5CB6">
            <w:pPr>
              <w:jc w:val="center"/>
              <w:rPr>
                <w:rFonts w:ascii="Century Gothic" w:hAnsi="Century Gothic"/>
                <w:color w:val="000000"/>
                <w:sz w:val="20"/>
                <w:szCs w:val="20"/>
              </w:rPr>
            </w:pPr>
          </w:p>
        </w:tc>
      </w:tr>
      <w:tr w:rsidR="00AD5CB6" w:rsidTr="00AD5CB6">
        <w:trPr>
          <w:trHeight w:val="711"/>
          <w:jc w:val="center"/>
        </w:trPr>
        <w:tc>
          <w:tcPr>
            <w:tcW w:w="182.95pt" w:type="dxa"/>
            <w:shd w:val="clear" w:color="auto" w:fill="auto"/>
            <w:vAlign w:val="center"/>
            <w:hideMark/>
          </w:tcPr>
          <w:p w:rsidR="00AD5CB6" w:rsidRPr="00AD5CB6" w:rsidRDefault="00AD5CB6" w:rsidP="00AD5CB6">
            <w:pPr>
              <w:jc w:val="both"/>
              <w:rPr>
                <w:rFonts w:ascii="Century Gothic" w:hAnsi="Century Gothic"/>
                <w:color w:val="000000"/>
                <w:sz w:val="20"/>
                <w:szCs w:val="20"/>
              </w:rPr>
            </w:pPr>
          </w:p>
        </w:tc>
        <w:tc>
          <w:tcPr>
            <w:tcW w:w="67.85pt" w:type="dxa"/>
            <w:shd w:val="clear" w:color="auto" w:fill="auto"/>
            <w:vAlign w:val="center"/>
            <w:hideMark/>
          </w:tcPr>
          <w:p w:rsidR="00AD5CB6" w:rsidRPr="00AD5CB6" w:rsidRDefault="00AD5CB6" w:rsidP="00AD5CB6">
            <w:pPr>
              <w:jc w:val="center"/>
              <w:rPr>
                <w:rFonts w:ascii="Century Gothic" w:hAnsi="Century Gothic"/>
                <w:color w:val="000000"/>
                <w:sz w:val="20"/>
                <w:szCs w:val="20"/>
              </w:rPr>
            </w:pPr>
          </w:p>
        </w:tc>
        <w:tc>
          <w:tcPr>
            <w:tcW w:w="125.60pt" w:type="dxa"/>
            <w:shd w:val="clear" w:color="auto" w:fill="auto"/>
            <w:vAlign w:val="center"/>
            <w:hideMark/>
          </w:tcPr>
          <w:p w:rsidR="00AD5CB6" w:rsidRPr="00AD5CB6" w:rsidRDefault="00AD5CB6" w:rsidP="00AD5CB6">
            <w:pPr>
              <w:jc w:val="center"/>
              <w:rPr>
                <w:rFonts w:ascii="Century Gothic" w:hAnsi="Century Gothic"/>
                <w:color w:val="000000"/>
                <w:sz w:val="20"/>
                <w:szCs w:val="20"/>
              </w:rPr>
            </w:pPr>
          </w:p>
        </w:tc>
      </w:tr>
      <w:tr w:rsidR="0061711D" w:rsidTr="00AD5CB6">
        <w:trPr>
          <w:trHeight w:val="586"/>
          <w:jc w:val="center"/>
        </w:trPr>
        <w:tc>
          <w:tcPr>
            <w:tcW w:w="182.95pt" w:type="dxa"/>
            <w:shd w:val="clear" w:color="auto" w:fill="auto"/>
            <w:vAlign w:val="center"/>
            <w:hideMark/>
          </w:tcPr>
          <w:p w:rsidR="007E3B4A" w:rsidRPr="00611019" w:rsidRDefault="00E56462" w:rsidP="00035D2C">
            <w:pPr>
              <w:jc w:val="both"/>
              <w:rPr>
                <w:rFonts w:ascii="Century Gothic" w:hAnsi="Century Gothic"/>
                <w:color w:val="000000"/>
                <w:sz w:val="20"/>
                <w:szCs w:val="20"/>
              </w:rPr>
            </w:pPr>
            <w:r>
              <w:rPr>
                <w:rFonts w:ascii="Century Gothic" w:hAnsi="Century Gothic"/>
                <w:color w:val="000000"/>
                <w:sz w:val="20"/>
                <w:szCs w:val="20"/>
              </w:rPr>
              <w:t>SCyD (Coubicación Interna)</w:t>
            </w:r>
          </w:p>
        </w:tc>
        <w:tc>
          <w:tcPr>
            <w:tcW w:w="67.80pt" w:type="dxa"/>
            <w:shd w:val="clear" w:color="auto" w:fill="auto"/>
            <w:vAlign w:val="center"/>
            <w:hideMark/>
          </w:tcPr>
          <w:p w:rsidR="007E3B4A" w:rsidRPr="00611019" w:rsidRDefault="00E56462" w:rsidP="00035D2C">
            <w:pPr>
              <w:jc w:val="center"/>
              <w:rPr>
                <w:rFonts w:ascii="Century Gothic" w:hAnsi="Century Gothic"/>
                <w:color w:val="000000"/>
                <w:sz w:val="20"/>
                <w:szCs w:val="20"/>
              </w:rPr>
            </w:pPr>
            <w:r>
              <w:rPr>
                <w:rFonts w:ascii="Century Gothic" w:hAnsi="Century Gothic"/>
                <w:color w:val="000000"/>
                <w:sz w:val="20"/>
                <w:szCs w:val="20"/>
              </w:rPr>
              <w:t>20</w:t>
            </w:r>
          </w:p>
        </w:tc>
        <w:tc>
          <w:tcPr>
            <w:tcW w:w="125.65pt" w:type="dxa"/>
            <w:shd w:val="clear" w:color="auto" w:fill="auto"/>
            <w:vAlign w:val="center"/>
            <w:hideMark/>
          </w:tcPr>
          <w:p w:rsidR="007E3B4A" w:rsidRPr="00611019" w:rsidRDefault="00E56462" w:rsidP="00035D2C">
            <w:pPr>
              <w:jc w:val="center"/>
              <w:rPr>
                <w:rFonts w:ascii="Century Gothic" w:hAnsi="Century Gothic"/>
                <w:color w:val="000000"/>
                <w:sz w:val="20"/>
                <w:szCs w:val="20"/>
              </w:rPr>
            </w:pPr>
            <w:r>
              <w:rPr>
                <w:rFonts w:ascii="Century Gothic" w:hAnsi="Century Gothic"/>
                <w:color w:val="000000"/>
                <w:sz w:val="20"/>
                <w:szCs w:val="20"/>
              </w:rPr>
              <w:t>30</w:t>
            </w:r>
          </w:p>
        </w:tc>
      </w:tr>
      <w:tr w:rsidR="0061711D" w:rsidTr="00AD5CB6">
        <w:trPr>
          <w:trHeight w:val="517"/>
          <w:jc w:val="center"/>
        </w:trPr>
        <w:tc>
          <w:tcPr>
            <w:tcW w:w="182.95pt" w:type="dxa"/>
            <w:shd w:val="clear" w:color="auto" w:fill="auto"/>
            <w:vAlign w:val="center"/>
            <w:hideMark/>
          </w:tcPr>
          <w:p w:rsidR="007E3B4A" w:rsidRPr="00611019" w:rsidRDefault="00E56462" w:rsidP="00035D2C">
            <w:pPr>
              <w:jc w:val="both"/>
              <w:rPr>
                <w:rFonts w:ascii="Century Gothic" w:hAnsi="Century Gothic"/>
                <w:color w:val="000000"/>
                <w:sz w:val="20"/>
                <w:szCs w:val="20"/>
              </w:rPr>
            </w:pPr>
            <w:r>
              <w:rPr>
                <w:rFonts w:ascii="Century Gothic" w:hAnsi="Century Gothic"/>
                <w:color w:val="000000"/>
                <w:sz w:val="20"/>
                <w:szCs w:val="20"/>
              </w:rPr>
              <w:t>SCyD (Coubicación Externa)</w:t>
            </w:r>
          </w:p>
        </w:tc>
        <w:tc>
          <w:tcPr>
            <w:tcW w:w="67.80pt" w:type="dxa"/>
            <w:shd w:val="clear" w:color="auto" w:fill="auto"/>
            <w:vAlign w:val="center"/>
            <w:hideMark/>
          </w:tcPr>
          <w:p w:rsidR="007E3B4A" w:rsidRPr="00611019" w:rsidRDefault="00E56462" w:rsidP="00035D2C">
            <w:pPr>
              <w:jc w:val="center"/>
              <w:rPr>
                <w:rFonts w:ascii="Century Gothic" w:hAnsi="Century Gothic"/>
                <w:color w:val="000000"/>
                <w:sz w:val="20"/>
                <w:szCs w:val="20"/>
              </w:rPr>
            </w:pPr>
            <w:r>
              <w:rPr>
                <w:rFonts w:ascii="Century Gothic" w:hAnsi="Century Gothic"/>
                <w:color w:val="000000"/>
                <w:sz w:val="20"/>
                <w:szCs w:val="20"/>
              </w:rPr>
              <w:t>30</w:t>
            </w:r>
          </w:p>
        </w:tc>
        <w:tc>
          <w:tcPr>
            <w:tcW w:w="125.65pt" w:type="dxa"/>
            <w:shd w:val="clear" w:color="auto" w:fill="auto"/>
            <w:vAlign w:val="center"/>
            <w:hideMark/>
          </w:tcPr>
          <w:p w:rsidR="007E3B4A" w:rsidRPr="00611019" w:rsidRDefault="00E56462" w:rsidP="00035D2C">
            <w:pPr>
              <w:jc w:val="center"/>
              <w:rPr>
                <w:rFonts w:ascii="Century Gothic" w:hAnsi="Century Gothic"/>
                <w:color w:val="000000"/>
                <w:sz w:val="20"/>
                <w:szCs w:val="20"/>
              </w:rPr>
            </w:pPr>
            <w:r>
              <w:rPr>
                <w:rFonts w:ascii="Century Gothic" w:hAnsi="Century Gothic"/>
                <w:color w:val="000000"/>
                <w:sz w:val="20"/>
                <w:szCs w:val="20"/>
              </w:rPr>
              <w:t>45</w:t>
            </w:r>
          </w:p>
        </w:tc>
      </w:tr>
      <w:tr w:rsidR="0061711D" w:rsidTr="00AD5CB6">
        <w:trPr>
          <w:trHeight w:val="497"/>
          <w:jc w:val="center"/>
        </w:trPr>
        <w:tc>
          <w:tcPr>
            <w:tcW w:w="182.95pt" w:type="dxa"/>
            <w:shd w:val="clear" w:color="auto" w:fill="auto"/>
            <w:vAlign w:val="center"/>
          </w:tcPr>
          <w:p w:rsidR="007E3B4A" w:rsidRPr="00611019" w:rsidRDefault="00E56462" w:rsidP="00035D2C">
            <w:pPr>
              <w:jc w:val="both"/>
              <w:rPr>
                <w:rFonts w:ascii="Century Gothic" w:hAnsi="Century Gothic"/>
                <w:color w:val="000000"/>
                <w:sz w:val="20"/>
                <w:szCs w:val="20"/>
              </w:rPr>
            </w:pPr>
            <w:r>
              <w:rPr>
                <w:rFonts w:ascii="Century Gothic" w:hAnsi="Century Gothic"/>
                <w:color w:val="000000"/>
                <w:sz w:val="20"/>
                <w:szCs w:val="20"/>
              </w:rPr>
              <w:t>SCyD (Ubicación Distante)</w:t>
            </w:r>
          </w:p>
        </w:tc>
        <w:tc>
          <w:tcPr>
            <w:tcW w:w="67.80pt" w:type="dxa"/>
            <w:shd w:val="clear" w:color="auto" w:fill="auto"/>
            <w:vAlign w:val="center"/>
          </w:tcPr>
          <w:p w:rsidR="007E3B4A" w:rsidRPr="00611019" w:rsidRDefault="00E56462" w:rsidP="00035D2C">
            <w:pPr>
              <w:jc w:val="center"/>
              <w:rPr>
                <w:rFonts w:ascii="Century Gothic" w:hAnsi="Century Gothic"/>
                <w:color w:val="000000"/>
                <w:sz w:val="20"/>
                <w:szCs w:val="20"/>
              </w:rPr>
            </w:pPr>
            <w:r>
              <w:rPr>
                <w:rFonts w:ascii="Century Gothic" w:hAnsi="Century Gothic"/>
                <w:color w:val="000000"/>
                <w:sz w:val="20"/>
                <w:szCs w:val="20"/>
              </w:rPr>
              <w:t>45</w:t>
            </w:r>
          </w:p>
        </w:tc>
        <w:tc>
          <w:tcPr>
            <w:tcW w:w="125.65pt" w:type="dxa"/>
            <w:shd w:val="clear" w:color="auto" w:fill="auto"/>
            <w:vAlign w:val="center"/>
          </w:tcPr>
          <w:p w:rsidR="007E3B4A" w:rsidRPr="00611019" w:rsidRDefault="00E56462" w:rsidP="00035D2C">
            <w:pPr>
              <w:jc w:val="center"/>
              <w:rPr>
                <w:rFonts w:ascii="Century Gothic" w:hAnsi="Century Gothic"/>
                <w:color w:val="000000"/>
                <w:sz w:val="20"/>
                <w:szCs w:val="20"/>
              </w:rPr>
            </w:pPr>
            <w:r>
              <w:rPr>
                <w:rFonts w:ascii="Century Gothic" w:hAnsi="Century Gothic"/>
                <w:color w:val="000000"/>
                <w:sz w:val="20"/>
                <w:szCs w:val="20"/>
              </w:rPr>
              <w:t>68</w:t>
            </w:r>
          </w:p>
        </w:tc>
      </w:tr>
      <w:tr w:rsidR="0061711D" w:rsidTr="00AD5CB6">
        <w:trPr>
          <w:trHeight w:val="561"/>
          <w:jc w:val="center"/>
        </w:trPr>
        <w:tc>
          <w:tcPr>
            <w:tcW w:w="182.95pt" w:type="dxa"/>
            <w:shd w:val="clear" w:color="auto" w:fill="auto"/>
            <w:vAlign w:val="center"/>
          </w:tcPr>
          <w:p w:rsidR="007E3B4A" w:rsidRPr="00611019" w:rsidRDefault="00E56462" w:rsidP="00035D2C">
            <w:pPr>
              <w:jc w:val="both"/>
              <w:rPr>
                <w:rFonts w:ascii="Century Gothic" w:hAnsi="Century Gothic"/>
                <w:color w:val="000000"/>
                <w:sz w:val="20"/>
                <w:szCs w:val="20"/>
              </w:rPr>
            </w:pPr>
            <w:r>
              <w:rPr>
                <w:rFonts w:ascii="Century Gothic" w:hAnsi="Century Gothic"/>
                <w:color w:val="000000"/>
                <w:sz w:val="20"/>
                <w:szCs w:val="20"/>
              </w:rPr>
              <w:t>SCD (coubicación nueva)</w:t>
            </w:r>
          </w:p>
        </w:tc>
        <w:tc>
          <w:tcPr>
            <w:tcW w:w="67.80pt" w:type="dxa"/>
            <w:shd w:val="clear" w:color="auto" w:fill="auto"/>
            <w:vAlign w:val="center"/>
          </w:tcPr>
          <w:p w:rsidR="007E3B4A" w:rsidRPr="00611019" w:rsidRDefault="00E56462" w:rsidP="00035D2C">
            <w:pPr>
              <w:jc w:val="center"/>
              <w:rPr>
                <w:rFonts w:ascii="Century Gothic" w:hAnsi="Century Gothic"/>
                <w:color w:val="000000"/>
                <w:sz w:val="20"/>
                <w:szCs w:val="20"/>
              </w:rPr>
            </w:pPr>
            <w:r>
              <w:rPr>
                <w:rFonts w:ascii="Century Gothic" w:hAnsi="Century Gothic"/>
                <w:color w:val="000000"/>
                <w:sz w:val="20"/>
                <w:szCs w:val="20"/>
              </w:rPr>
              <w:t>62</w:t>
            </w:r>
          </w:p>
        </w:tc>
        <w:tc>
          <w:tcPr>
            <w:tcW w:w="125.65pt" w:type="dxa"/>
            <w:shd w:val="clear" w:color="auto" w:fill="auto"/>
            <w:vAlign w:val="center"/>
          </w:tcPr>
          <w:p w:rsidR="007E3B4A" w:rsidRPr="00611019" w:rsidRDefault="00E56462" w:rsidP="00035D2C">
            <w:pPr>
              <w:jc w:val="center"/>
              <w:rPr>
                <w:rFonts w:ascii="Century Gothic" w:hAnsi="Century Gothic"/>
                <w:color w:val="000000"/>
                <w:sz w:val="20"/>
                <w:szCs w:val="20"/>
              </w:rPr>
            </w:pPr>
            <w:r>
              <w:rPr>
                <w:rFonts w:ascii="Century Gothic" w:hAnsi="Century Gothic"/>
                <w:color w:val="000000"/>
                <w:sz w:val="20"/>
                <w:szCs w:val="20"/>
              </w:rPr>
              <w:t>92</w:t>
            </w:r>
          </w:p>
        </w:tc>
      </w:tr>
      <w:tr w:rsidR="0061711D" w:rsidTr="00AD5CB6">
        <w:trPr>
          <w:trHeight w:val="413"/>
          <w:jc w:val="center"/>
        </w:trPr>
        <w:tc>
          <w:tcPr>
            <w:tcW w:w="182.95pt" w:type="dxa"/>
            <w:shd w:val="clear" w:color="auto" w:fill="auto"/>
            <w:vAlign w:val="center"/>
          </w:tcPr>
          <w:p w:rsidR="007E3B4A" w:rsidRPr="00611019" w:rsidRDefault="00E56462" w:rsidP="00035D2C">
            <w:pPr>
              <w:jc w:val="both"/>
              <w:rPr>
                <w:rFonts w:ascii="Century Gothic" w:hAnsi="Century Gothic"/>
                <w:color w:val="000000"/>
                <w:sz w:val="20"/>
                <w:szCs w:val="20"/>
              </w:rPr>
            </w:pPr>
            <w:r>
              <w:rPr>
                <w:rFonts w:ascii="Century Gothic" w:hAnsi="Century Gothic"/>
                <w:color w:val="000000"/>
                <w:sz w:val="20"/>
                <w:szCs w:val="20"/>
              </w:rPr>
              <w:lastRenderedPageBreak/>
              <w:t>SCD (modificación de coubicación existente)</w:t>
            </w:r>
          </w:p>
        </w:tc>
        <w:tc>
          <w:tcPr>
            <w:tcW w:w="67.80pt" w:type="dxa"/>
            <w:shd w:val="clear" w:color="auto" w:fill="auto"/>
            <w:vAlign w:val="center"/>
          </w:tcPr>
          <w:p w:rsidR="007E3B4A" w:rsidRPr="00611019" w:rsidRDefault="00E56462" w:rsidP="00035D2C">
            <w:pPr>
              <w:jc w:val="center"/>
              <w:rPr>
                <w:rFonts w:ascii="Century Gothic" w:hAnsi="Century Gothic"/>
                <w:color w:val="000000"/>
                <w:sz w:val="20"/>
                <w:szCs w:val="20"/>
              </w:rPr>
            </w:pPr>
            <w:r>
              <w:rPr>
                <w:rFonts w:ascii="Century Gothic" w:hAnsi="Century Gothic"/>
                <w:color w:val="000000"/>
                <w:sz w:val="20"/>
                <w:szCs w:val="20"/>
              </w:rPr>
              <w:t>32</w:t>
            </w:r>
          </w:p>
        </w:tc>
        <w:tc>
          <w:tcPr>
            <w:tcW w:w="125.65pt" w:type="dxa"/>
            <w:shd w:val="clear" w:color="auto" w:fill="auto"/>
            <w:vAlign w:val="center"/>
          </w:tcPr>
          <w:p w:rsidR="007E3B4A" w:rsidRPr="00611019" w:rsidRDefault="00E56462" w:rsidP="00035D2C">
            <w:pPr>
              <w:jc w:val="center"/>
              <w:rPr>
                <w:rFonts w:ascii="Century Gothic" w:hAnsi="Century Gothic"/>
                <w:color w:val="000000"/>
                <w:sz w:val="20"/>
                <w:szCs w:val="20"/>
              </w:rPr>
            </w:pPr>
            <w:r>
              <w:rPr>
                <w:rFonts w:ascii="Century Gothic" w:hAnsi="Century Gothic"/>
                <w:color w:val="000000"/>
                <w:sz w:val="20"/>
                <w:szCs w:val="20"/>
              </w:rPr>
              <w:t>47</w:t>
            </w:r>
          </w:p>
        </w:tc>
      </w:tr>
      <w:tr w:rsidR="0061711D" w:rsidTr="00AD5CB6">
        <w:trPr>
          <w:trHeight w:val="269"/>
          <w:jc w:val="center"/>
        </w:trPr>
        <w:tc>
          <w:tcPr>
            <w:tcW w:w="182.95pt" w:type="dxa"/>
            <w:shd w:val="clear" w:color="auto" w:fill="auto"/>
            <w:vAlign w:val="center"/>
          </w:tcPr>
          <w:p w:rsidR="007E3B4A" w:rsidRPr="00611019" w:rsidRDefault="00E56462" w:rsidP="00035D2C">
            <w:pPr>
              <w:jc w:val="both"/>
              <w:rPr>
                <w:rFonts w:ascii="Century Gothic" w:hAnsi="Century Gothic"/>
                <w:color w:val="000000"/>
                <w:sz w:val="20"/>
                <w:szCs w:val="20"/>
              </w:rPr>
            </w:pPr>
            <w:r>
              <w:rPr>
                <w:rFonts w:ascii="Century Gothic" w:hAnsi="Century Gothic"/>
                <w:color w:val="000000"/>
                <w:sz w:val="20"/>
                <w:szCs w:val="20"/>
              </w:rPr>
              <w:t>SCD (reasignación y recuperación de espacio</w:t>
            </w:r>
            <w:r>
              <w:rPr>
                <w:rStyle w:val="Refdenotaalpie"/>
                <w:rFonts w:ascii="Century Gothic" w:hAnsi="Century Gothic"/>
                <w:color w:val="000000"/>
                <w:sz w:val="20"/>
                <w:szCs w:val="20"/>
              </w:rPr>
              <w:footnoteReference w:id="57"/>
            </w:r>
            <w:r>
              <w:rPr>
                <w:rFonts w:ascii="Century Gothic" w:hAnsi="Century Gothic"/>
                <w:color w:val="000000"/>
                <w:sz w:val="20"/>
                <w:szCs w:val="20"/>
              </w:rPr>
              <w:t>)</w:t>
            </w:r>
          </w:p>
        </w:tc>
        <w:tc>
          <w:tcPr>
            <w:tcW w:w="67.80pt" w:type="dxa"/>
            <w:shd w:val="clear" w:color="auto" w:fill="auto"/>
            <w:vAlign w:val="center"/>
          </w:tcPr>
          <w:p w:rsidR="007E3B4A" w:rsidRPr="00611019" w:rsidRDefault="00E56462" w:rsidP="00035D2C">
            <w:pPr>
              <w:jc w:val="center"/>
              <w:rPr>
                <w:rFonts w:ascii="Century Gothic" w:hAnsi="Century Gothic"/>
                <w:color w:val="000000"/>
                <w:sz w:val="20"/>
                <w:szCs w:val="20"/>
              </w:rPr>
            </w:pPr>
            <w:r>
              <w:rPr>
                <w:rFonts w:ascii="Century Gothic" w:hAnsi="Century Gothic"/>
                <w:color w:val="000000"/>
                <w:sz w:val="20"/>
                <w:szCs w:val="20"/>
              </w:rPr>
              <w:t>Plazo pactado</w:t>
            </w:r>
          </w:p>
        </w:tc>
        <w:tc>
          <w:tcPr>
            <w:tcW w:w="125.65pt" w:type="dxa"/>
            <w:shd w:val="clear" w:color="auto" w:fill="auto"/>
            <w:vAlign w:val="center"/>
          </w:tcPr>
          <w:p w:rsidR="007E3B4A" w:rsidRPr="00611019" w:rsidRDefault="00E56462" w:rsidP="00035D2C">
            <w:pPr>
              <w:jc w:val="center"/>
              <w:rPr>
                <w:rFonts w:ascii="Century Gothic" w:hAnsi="Century Gothic"/>
                <w:color w:val="000000"/>
                <w:sz w:val="20"/>
                <w:szCs w:val="20"/>
              </w:rPr>
            </w:pPr>
            <w:r>
              <w:rPr>
                <w:rFonts w:ascii="Century Gothic" w:hAnsi="Century Gothic"/>
                <w:color w:val="000000"/>
                <w:sz w:val="20"/>
                <w:szCs w:val="20"/>
              </w:rPr>
              <w:t>50% extra del plazo pactado</w:t>
            </w:r>
          </w:p>
        </w:tc>
      </w:tr>
      <w:tr w:rsidR="0061711D" w:rsidTr="00AD5CB6">
        <w:trPr>
          <w:trHeight w:val="586"/>
          <w:jc w:val="center"/>
        </w:trPr>
        <w:tc>
          <w:tcPr>
            <w:tcW w:w="182.95pt" w:type="dxa"/>
            <w:shd w:val="clear" w:color="auto" w:fill="auto"/>
            <w:vAlign w:val="center"/>
            <w:hideMark/>
          </w:tcPr>
          <w:p w:rsidR="007E3B4A" w:rsidRPr="00611019" w:rsidRDefault="00E56462" w:rsidP="00035D2C">
            <w:pPr>
              <w:jc w:val="both"/>
              <w:rPr>
                <w:rFonts w:ascii="Century Gothic" w:hAnsi="Century Gothic"/>
                <w:color w:val="000000"/>
                <w:sz w:val="20"/>
                <w:szCs w:val="20"/>
              </w:rPr>
            </w:pPr>
            <w:r>
              <w:rPr>
                <w:rFonts w:ascii="Century Gothic" w:hAnsi="Century Gothic"/>
                <w:color w:val="000000"/>
                <w:sz w:val="20"/>
                <w:szCs w:val="20"/>
              </w:rPr>
              <w:t>Trabajos especiales (Servicios habilitados en tiempo)</w:t>
            </w:r>
          </w:p>
        </w:tc>
        <w:tc>
          <w:tcPr>
            <w:tcW w:w="67.80pt" w:type="dxa"/>
            <w:shd w:val="clear" w:color="auto" w:fill="auto"/>
            <w:vAlign w:val="center"/>
            <w:hideMark/>
          </w:tcPr>
          <w:p w:rsidR="007E3B4A" w:rsidRPr="00611019" w:rsidRDefault="00E56462" w:rsidP="00035D2C">
            <w:pPr>
              <w:jc w:val="center"/>
              <w:rPr>
                <w:rFonts w:ascii="Century Gothic" w:hAnsi="Century Gothic"/>
                <w:color w:val="000000"/>
                <w:sz w:val="20"/>
                <w:szCs w:val="20"/>
              </w:rPr>
            </w:pPr>
            <w:r>
              <w:rPr>
                <w:rFonts w:ascii="Century Gothic" w:hAnsi="Century Gothic"/>
                <w:color w:val="000000"/>
                <w:sz w:val="20"/>
                <w:szCs w:val="20"/>
              </w:rPr>
              <w:t>Plazo compromiso</w:t>
            </w:r>
          </w:p>
        </w:tc>
        <w:tc>
          <w:tcPr>
            <w:tcW w:w="125.65pt" w:type="dxa"/>
            <w:shd w:val="clear" w:color="auto" w:fill="auto"/>
            <w:vAlign w:val="center"/>
            <w:hideMark/>
          </w:tcPr>
          <w:p w:rsidR="007E3B4A" w:rsidRPr="00611019" w:rsidRDefault="00E56462" w:rsidP="00035D2C">
            <w:pPr>
              <w:jc w:val="center"/>
              <w:rPr>
                <w:rFonts w:ascii="Century Gothic" w:hAnsi="Century Gothic"/>
                <w:color w:val="000000"/>
                <w:sz w:val="20"/>
                <w:szCs w:val="20"/>
              </w:rPr>
            </w:pPr>
            <w:r>
              <w:rPr>
                <w:rFonts w:ascii="Century Gothic" w:hAnsi="Century Gothic"/>
                <w:color w:val="000000"/>
                <w:sz w:val="20"/>
                <w:szCs w:val="20"/>
              </w:rPr>
              <w:t>50% extra del plazo compromiso</w:t>
            </w:r>
          </w:p>
        </w:tc>
      </w:tr>
    </w:tbl>
    <w:p w:rsidR="006C75B5" w:rsidRPr="00611019" w:rsidRDefault="006C75B5" w:rsidP="00035D2C">
      <w:pPr>
        <w:pStyle w:val="IFTnormal"/>
        <w:spacing w:after="6pt"/>
        <w:rPr>
          <w:rFonts w:ascii="Century Gothic" w:hAnsi="Century Gothic"/>
        </w:rPr>
      </w:pPr>
    </w:p>
    <w:p w:rsidR="000E0D60" w:rsidRPr="00611019" w:rsidRDefault="00E56462" w:rsidP="00035D2C">
      <w:pPr>
        <w:pStyle w:val="IFTnormal"/>
        <w:spacing w:after="6pt"/>
        <w:rPr>
          <w:rFonts w:ascii="Century Gothic" w:hAnsi="Century Gothic"/>
        </w:rPr>
      </w:pPr>
      <w:r>
        <w:rPr>
          <w:rFonts w:ascii="Century Gothic" w:hAnsi="Century Gothic"/>
        </w:rPr>
        <w:t>De no acordar lo contrario el CS podrá entender que RED NACIONAL está denegando el Servicio cuando los retrasos para la habilitación de los Servicios superen en un 100% el plazo establecido para cualquier habilitación, por lo que podrá recurrir a las instancias jurisdiccionales correspondientes, sin perjuicio de que mantenga el monto acumulado de las penas como adeudo por parte de RED NACIONAL.</w:t>
      </w:r>
    </w:p>
    <w:p w:rsidR="000E0D60" w:rsidRPr="00611019" w:rsidRDefault="00E56462" w:rsidP="00F56287">
      <w:pPr>
        <w:pStyle w:val="IFTnormal"/>
        <w:rPr>
          <w:rFonts w:ascii="Century Gothic" w:hAnsi="Century Gothic"/>
        </w:rPr>
      </w:pPr>
      <w:r>
        <w:rPr>
          <w:rFonts w:ascii="Century Gothic" w:hAnsi="Century Gothic"/>
        </w:rPr>
        <w:t>En caso de retrasos en los plazos de entrega de los Servicios, el CS podrá cancelar el Servicio sin que ello exima a RED NACIONAL del pago de las penas convencionales acumuladas al momento de la cancelación.</w:t>
      </w:r>
    </w:p>
    <w:p w:rsidR="00DC15B2" w:rsidRPr="00611019" w:rsidRDefault="00DC15B2" w:rsidP="00F56287">
      <w:pPr>
        <w:pStyle w:val="IFTnormal"/>
        <w:rPr>
          <w:rFonts w:ascii="Century Gothic" w:hAnsi="Century Gothic"/>
        </w:rPr>
      </w:pPr>
    </w:p>
    <w:p w:rsidR="00DC15B2" w:rsidRPr="00611019" w:rsidRDefault="00E56462" w:rsidP="00035D2C">
      <w:pPr>
        <w:pStyle w:val="IFTnormal"/>
        <w:spacing w:after="6pt"/>
        <w:rPr>
          <w:rFonts w:ascii="Century Gothic" w:hAnsi="Century Gothic"/>
        </w:rPr>
      </w:pPr>
      <w:r>
        <w:rPr>
          <w:rFonts w:ascii="Century Gothic" w:hAnsi="Century Gothic"/>
          <w:b/>
        </w:rPr>
        <w:t>Habilitación en fechas específicas acordadas.</w:t>
      </w:r>
    </w:p>
    <w:p w:rsidR="000E0D60" w:rsidRPr="00611019" w:rsidRDefault="00E56462" w:rsidP="00035D2C">
      <w:pPr>
        <w:pStyle w:val="IFTnormal"/>
        <w:spacing w:after="6pt"/>
        <w:rPr>
          <w:rFonts w:ascii="Century Gothic" w:hAnsi="Century Gothic"/>
        </w:rPr>
      </w:pPr>
      <w:r>
        <w:rPr>
          <w:rFonts w:ascii="Century Gothic" w:hAnsi="Century Gothic"/>
        </w:rPr>
        <w:t xml:space="preserve">Cuando el CS solicite una fecha específica para la habilitación de los Servicios, que exceda los plazos establecidos en la OREDA (Due date), los parámetros e Indicadores </w:t>
      </w:r>
      <w:r>
        <w:rPr>
          <w:rFonts w:ascii="Century Gothic" w:hAnsi="Century Gothic"/>
        </w:rPr>
        <w:lastRenderedPageBreak/>
        <w:t xml:space="preserve">de calidad sobre habilitación del servicio, aplicables a SAIB (local, regional, y nacional), </w:t>
      </w:r>
      <w:r w:rsidR="00AD5CB6" w:rsidRPr="00AD5CB6">
        <w:rPr>
          <w:rFonts w:ascii="Century Gothic" w:hAnsi="Century Gothic"/>
          <w:lang w:val="es-MX"/>
        </w:rPr>
        <w:t>SDTBLy SDTFO</w:t>
      </w:r>
      <w:r w:rsidR="00AD5CB6">
        <w:rPr>
          <w:rFonts w:ascii="Century Gothic" w:hAnsi="Century Gothic"/>
          <w:lang w:val="es-MX"/>
        </w:rPr>
        <w:t xml:space="preserve"> </w:t>
      </w:r>
      <w:r>
        <w:rPr>
          <w:rFonts w:ascii="Century Gothic" w:hAnsi="Century Gothic"/>
        </w:rPr>
        <w:t>serán los siguientes:</w:t>
      </w:r>
    </w:p>
    <w:p w:rsidR="000E0D60" w:rsidRPr="00611019" w:rsidRDefault="00E56462">
      <w:pPr>
        <w:pStyle w:val="IFTnormal"/>
        <w:numPr>
          <w:ilvl w:val="0"/>
          <w:numId w:val="151"/>
        </w:numPr>
        <w:spacing w:after="6pt"/>
        <w:rPr>
          <w:rFonts w:ascii="Century Gothic" w:hAnsi="Century Gothic"/>
        </w:rPr>
      </w:pPr>
      <w:r>
        <w:rPr>
          <w:rFonts w:ascii="Century Gothic" w:hAnsi="Century Gothic"/>
        </w:rPr>
        <w:t>Habilitación para Usuarios Finales con acometida o recursos de red el día indicado por el CS en la solicitud.</w:t>
      </w:r>
    </w:p>
    <w:p w:rsidR="000E0D60" w:rsidRPr="00611019" w:rsidRDefault="00E56462" w:rsidP="00035D2C">
      <w:pPr>
        <w:pStyle w:val="IFTnormal"/>
        <w:spacing w:after="6pt"/>
        <w:rPr>
          <w:rFonts w:ascii="Century Gothic" w:hAnsi="Century Gothic"/>
        </w:rPr>
      </w:pPr>
      <w:r>
        <w:rPr>
          <w:rFonts w:ascii="Century Gothic" w:hAnsi="Century Gothic"/>
        </w:rPr>
        <w:t>Serán acreedores de una pena los eventos que se realicen posteriormente a la fecha que el CS indique en la solicitud, calculada según lo siguiente:</w:t>
      </w:r>
    </w:p>
    <w:p w:rsidR="000E0D60" w:rsidRPr="00611019" w:rsidRDefault="00E56462">
      <w:pPr>
        <w:pStyle w:val="IFTnormal"/>
        <w:numPr>
          <w:ilvl w:val="0"/>
          <w:numId w:val="152"/>
        </w:numPr>
        <w:spacing w:after="6pt"/>
        <w:rPr>
          <w:rFonts w:ascii="Century Gothic" w:hAnsi="Century Gothic"/>
        </w:rPr>
      </w:pPr>
      <w:r>
        <w:rPr>
          <w:rFonts w:ascii="Century Gothic" w:hAnsi="Century Gothic"/>
        </w:rPr>
        <w:t>Habilitación para Usuarios Finales en la fecha indicada por el CS: 90%.</w:t>
      </w:r>
    </w:p>
    <w:p w:rsidR="000E0D60" w:rsidRPr="00611019" w:rsidRDefault="00E56462">
      <w:pPr>
        <w:pStyle w:val="IFTnormal"/>
        <w:numPr>
          <w:ilvl w:val="0"/>
          <w:numId w:val="152"/>
        </w:numPr>
        <w:spacing w:after="6pt"/>
        <w:rPr>
          <w:rFonts w:ascii="Century Gothic" w:hAnsi="Century Gothic"/>
        </w:rPr>
      </w:pPr>
      <w:r>
        <w:rPr>
          <w:rFonts w:ascii="Century Gothic" w:hAnsi="Century Gothic"/>
        </w:rPr>
        <w:t>En caso de que no se cumpla el 90% del indicador. Serán acreedores de una pena la totalidad de los eventos que superen los 2 días hábiles adicionales y se aplicará una pena conforme a lo siguiente:</w:t>
      </w:r>
    </w:p>
    <w:p w:rsidR="000E0D60" w:rsidRPr="00611019" w:rsidRDefault="00E56462" w:rsidP="00035D2C">
      <w:pPr>
        <w:pStyle w:val="IFTnormal"/>
        <w:spacing w:after="6pt"/>
        <w:jc w:val="center"/>
        <w:rPr>
          <w:rFonts w:ascii="Century Gothic" w:hAnsi="Century Gothic"/>
          <w:i/>
        </w:rPr>
      </w:pPr>
      <w:r>
        <w:rPr>
          <w:rFonts w:ascii="Century Gothic" w:hAnsi="Century Gothic"/>
          <w:i/>
        </w:rPr>
        <w:t xml:space="preserve">Pena = </w:t>
      </w:r>
      <w:r w:rsidR="004B74CA">
        <w:rPr>
          <w:rFonts w:ascii="Century Gothic" w:hAnsi="Century Gothic"/>
          <w:i/>
        </w:rPr>
        <w:t xml:space="preserve">50% de la </w:t>
      </w:r>
      <w:r>
        <w:rPr>
          <w:rFonts w:ascii="Century Gothic" w:hAnsi="Century Gothic"/>
          <w:i/>
        </w:rPr>
        <w:t>Renta mensual +</w:t>
      </w:r>
      <w:r w:rsidR="00783978">
        <w:rPr>
          <w:rFonts w:ascii="Century Gothic" w:hAnsi="Century Gothic"/>
          <w:i/>
        </w:rPr>
        <w:t>50% del</w:t>
      </w:r>
      <w:r>
        <w:rPr>
          <w:rFonts w:ascii="Century Gothic" w:hAnsi="Century Gothic"/>
          <w:i/>
        </w:rPr>
        <w:t xml:space="preserve"> Gasto de habilitación del Servicio </w:t>
      </w:r>
    </w:p>
    <w:p w:rsidR="000E0D60" w:rsidRPr="00611019" w:rsidRDefault="00E56462" w:rsidP="00F56287">
      <w:pPr>
        <w:pStyle w:val="IFTnormal"/>
        <w:rPr>
          <w:rFonts w:ascii="Century Gothic" w:hAnsi="Century Gothic"/>
        </w:rPr>
      </w:pPr>
      <w:r>
        <w:rPr>
          <w:rFonts w:ascii="Century Gothic" w:hAnsi="Century Gothic"/>
        </w:rPr>
        <w:t xml:space="preserve">En estos casos el CS re-agendará la cita o podrá cancelar el Servicio y </w:t>
      </w:r>
      <w:r>
        <w:rPr>
          <w:rFonts w:ascii="Century Gothic" w:hAnsi="Century Gothic"/>
          <w:spacing w:val="-3"/>
        </w:rPr>
        <w:t>RED NACIONAL</w:t>
      </w:r>
      <w:r>
        <w:rPr>
          <w:rFonts w:ascii="Century Gothic" w:hAnsi="Century Gothic"/>
        </w:rPr>
        <w:t xml:space="preserve"> no cobrará la habilitación del servicio. Si nuevamente RED NACIONAL no se presenta a la habilitación del Servicio el CS podrá entender que se está denegando el Servicio</w:t>
      </w:r>
      <w:r>
        <w:rPr>
          <w:rFonts w:ascii="Century Gothic" w:hAnsi="Century Gothic"/>
          <w:i/>
        </w:rPr>
        <w:t xml:space="preserve"> </w:t>
      </w:r>
      <w:r>
        <w:rPr>
          <w:rFonts w:ascii="Century Gothic" w:hAnsi="Century Gothic"/>
        </w:rPr>
        <w:t xml:space="preserve">por lo que podrá recurrir a las instancias jurisdiccionales necesarias sin perjuicio de que </w:t>
      </w:r>
      <w:r>
        <w:rPr>
          <w:rFonts w:ascii="Century Gothic" w:hAnsi="Century Gothic"/>
        </w:rPr>
        <w:lastRenderedPageBreak/>
        <w:t xml:space="preserve">mantenga el monto acumulado de las penas como adeudo por parte de RED NACIONAL. </w:t>
      </w:r>
    </w:p>
    <w:p w:rsidR="00F56287" w:rsidRPr="00611019" w:rsidRDefault="00F56287" w:rsidP="00F56287">
      <w:pPr>
        <w:pStyle w:val="IFTnormal"/>
        <w:tabs>
          <w:tab w:val="start" w:pos="138.75pt"/>
        </w:tabs>
        <w:rPr>
          <w:rFonts w:ascii="Century Gothic" w:hAnsi="Century Gothic"/>
        </w:rPr>
      </w:pPr>
    </w:p>
    <w:p w:rsidR="00DC15B2" w:rsidRPr="00611019" w:rsidRDefault="00E56462" w:rsidP="00035D2C">
      <w:pPr>
        <w:pStyle w:val="IFTnormal"/>
        <w:spacing w:after="6pt"/>
        <w:rPr>
          <w:rFonts w:ascii="Century Gothic" w:hAnsi="Century Gothic"/>
          <w:b/>
        </w:rPr>
      </w:pPr>
      <w:r>
        <w:rPr>
          <w:rFonts w:ascii="Century Gothic" w:hAnsi="Century Gothic"/>
          <w:b/>
        </w:rPr>
        <w:t>Contabilización de plazos.</w:t>
      </w:r>
    </w:p>
    <w:p w:rsidR="000E0D60" w:rsidRPr="00611019" w:rsidRDefault="00E56462" w:rsidP="00035D2C">
      <w:pPr>
        <w:pStyle w:val="IFTnormal"/>
        <w:spacing w:after="6pt"/>
        <w:rPr>
          <w:rFonts w:ascii="Century Gothic" w:hAnsi="Century Gothic"/>
        </w:rPr>
      </w:pPr>
      <w:r>
        <w:rPr>
          <w:rFonts w:ascii="Century Gothic" w:hAnsi="Century Gothic"/>
        </w:rPr>
        <w:t xml:space="preserve">Total de Días Utilizados (TDU): se refiere a los días hábiles completos empleados para aprovisionar un servicio, contabilizados a partir de la solicitud conforme al cómputo descrito más adelante, menos los días en los que RED NACIONAL no haya tenido responsabilidad por la postergación de la entrega. </w:t>
      </w:r>
    </w:p>
    <w:p w:rsidR="000E0D60" w:rsidRPr="00611019" w:rsidRDefault="00E56462" w:rsidP="00035D2C">
      <w:pPr>
        <w:pStyle w:val="IFTnormal"/>
        <w:spacing w:after="6pt"/>
        <w:rPr>
          <w:rFonts w:ascii="Century Gothic" w:hAnsi="Century Gothic"/>
        </w:rPr>
      </w:pPr>
      <w:r>
        <w:rPr>
          <w:rFonts w:ascii="Century Gothic" w:hAnsi="Century Gothic"/>
        </w:rPr>
        <w:t xml:space="preserve">Se considerará que RED NACIONAL está exenta de responsabilidad cuando el aprovisionamiento no haya podido concluirse por alguno de los siguientes casos enunciativos más no limitativos: </w:t>
      </w:r>
    </w:p>
    <w:p w:rsidR="000E0D60" w:rsidRPr="00611019" w:rsidRDefault="00E56462" w:rsidP="00035D2C">
      <w:pPr>
        <w:pStyle w:val="IFTnormal"/>
        <w:spacing w:after="6pt"/>
        <w:ind w:start="21.30pt" w:hanging="17.45pt"/>
        <w:rPr>
          <w:rFonts w:ascii="Century Gothic" w:hAnsi="Century Gothic"/>
        </w:rPr>
      </w:pPr>
      <w:r>
        <w:rPr>
          <w:rFonts w:ascii="Century Gothic" w:eastAsia="Times New Roman" w:hAnsi="Century Gothic"/>
        </w:rPr>
        <w:t>-</w:t>
      </w:r>
      <w:r>
        <w:rPr>
          <w:rFonts w:ascii="Century Gothic" w:eastAsia="Times New Roman" w:hAnsi="Century Gothic"/>
        </w:rPr>
        <w:tab/>
      </w:r>
      <w:r>
        <w:rPr>
          <w:rFonts w:ascii="Century Gothic" w:hAnsi="Century Gothic"/>
        </w:rPr>
        <w:t>Que no existan condiciones de seguridad para que el personal realice las actividades necesarias para los aprovisionamientos.</w:t>
      </w:r>
    </w:p>
    <w:p w:rsidR="000E0D60" w:rsidRPr="00611019" w:rsidRDefault="00E56462" w:rsidP="00035D2C">
      <w:pPr>
        <w:pStyle w:val="IFTnormal"/>
        <w:spacing w:after="6pt"/>
        <w:ind w:start="21.30pt" w:hanging="17.45pt"/>
        <w:rPr>
          <w:rFonts w:ascii="Century Gothic" w:hAnsi="Century Gothic"/>
        </w:rPr>
      </w:pPr>
      <w:r>
        <w:rPr>
          <w:rFonts w:ascii="Century Gothic" w:eastAsia="Times New Roman" w:hAnsi="Century Gothic"/>
        </w:rPr>
        <w:t>-</w:t>
      </w:r>
      <w:r>
        <w:rPr>
          <w:rFonts w:ascii="Century Gothic" w:eastAsia="Times New Roman" w:hAnsi="Century Gothic"/>
        </w:rPr>
        <w:tab/>
      </w:r>
      <w:r>
        <w:rPr>
          <w:rFonts w:ascii="Century Gothic" w:hAnsi="Century Gothic"/>
        </w:rPr>
        <w:t>Se impidan las actividades necesarias para la realización del aprovisionamiento, ya sea por la falta de acceso al punto necesario, como al domicilio del CS o su Usuario Final, o debido a las condiciones de infraestructura, disponibilidad y recursos en situaciones ajenas a RED NACIONAL y/o casos fortuitos o de fuerza mayor, no lo permitan.</w:t>
      </w:r>
    </w:p>
    <w:p w:rsidR="000E0D60" w:rsidRPr="00611019" w:rsidRDefault="00E56462" w:rsidP="00035D2C">
      <w:pPr>
        <w:pStyle w:val="IFTnormal"/>
        <w:spacing w:after="6pt"/>
        <w:rPr>
          <w:rFonts w:ascii="Century Gothic" w:hAnsi="Century Gothic"/>
        </w:rPr>
      </w:pPr>
      <w:r>
        <w:rPr>
          <w:rFonts w:ascii="Century Gothic" w:hAnsi="Century Gothic"/>
        </w:rPr>
        <w:t>Para el cómputo del TDU se consideran los siguientes puntos:</w:t>
      </w:r>
    </w:p>
    <w:p w:rsidR="000E0D60" w:rsidRPr="00611019" w:rsidRDefault="00E56462">
      <w:pPr>
        <w:pStyle w:val="IFTnormal"/>
        <w:numPr>
          <w:ilvl w:val="0"/>
          <w:numId w:val="153"/>
        </w:numPr>
        <w:spacing w:after="6pt"/>
        <w:rPr>
          <w:rFonts w:ascii="Century Gothic" w:hAnsi="Century Gothic"/>
        </w:rPr>
      </w:pPr>
      <w:r>
        <w:rPr>
          <w:rFonts w:ascii="Century Gothic" w:hAnsi="Century Gothic"/>
        </w:rPr>
        <w:t>Las solicitudes ingresadas en un horario de 9:00 a 14:00 horas se considerarán con fecha de inicio del proceso el mismo día hábil. Las solicitudes que se reciban después de ese horario se contabilizarán a partir del siguiente día hábil.</w:t>
      </w:r>
    </w:p>
    <w:p w:rsidR="000E0D60" w:rsidRPr="00611019" w:rsidRDefault="00E56462">
      <w:pPr>
        <w:pStyle w:val="IFTnormal"/>
        <w:numPr>
          <w:ilvl w:val="0"/>
          <w:numId w:val="153"/>
        </w:numPr>
        <w:spacing w:after="6pt"/>
        <w:rPr>
          <w:rFonts w:ascii="Century Gothic" w:hAnsi="Century Gothic"/>
        </w:rPr>
      </w:pPr>
      <w:r>
        <w:rPr>
          <w:rFonts w:ascii="Century Gothic" w:hAnsi="Century Gothic"/>
        </w:rPr>
        <w:lastRenderedPageBreak/>
        <w:t>Las penas convencionales serán calculadas trimestralmente por cada CS, considerando sólo aquellos Servicios donde se presentó incumplimiento.</w:t>
      </w:r>
    </w:p>
    <w:p w:rsidR="000E0D60" w:rsidRPr="00611019" w:rsidRDefault="00E56462">
      <w:pPr>
        <w:pStyle w:val="IFTnormal"/>
        <w:numPr>
          <w:ilvl w:val="0"/>
          <w:numId w:val="153"/>
        </w:numPr>
        <w:spacing w:after="6pt"/>
        <w:rPr>
          <w:rFonts w:ascii="Century Gothic" w:hAnsi="Century Gothic"/>
        </w:rPr>
      </w:pPr>
      <w:r>
        <w:rPr>
          <w:rFonts w:ascii="Century Gothic" w:hAnsi="Century Gothic"/>
        </w:rPr>
        <w:t>Debido a la naturaleza del TDU, no es posible realizar redondeos, por lo que el TDU deberá corresponder a la parte entera de los días hábiles.</w:t>
      </w:r>
    </w:p>
    <w:p w:rsidR="000E0D60" w:rsidRPr="00611019" w:rsidRDefault="00E56462">
      <w:pPr>
        <w:pStyle w:val="IFTnormal"/>
        <w:numPr>
          <w:ilvl w:val="0"/>
          <w:numId w:val="153"/>
        </w:numPr>
        <w:spacing w:after="6pt"/>
        <w:rPr>
          <w:rFonts w:ascii="Century Gothic" w:hAnsi="Century Gothic"/>
        </w:rPr>
      </w:pPr>
      <w:r>
        <w:rPr>
          <w:rFonts w:ascii="Century Gothic" w:hAnsi="Century Gothic"/>
        </w:rPr>
        <w:t xml:space="preserve">Si por causas atribuibles a </w:t>
      </w:r>
      <w:r>
        <w:rPr>
          <w:rFonts w:ascii="Century Gothic" w:hAnsi="Century Gothic"/>
          <w:spacing w:val="-3"/>
        </w:rPr>
        <w:t>RED NACIONAL</w:t>
      </w:r>
      <w:r>
        <w:rPr>
          <w:rStyle w:val="Refdenotaalpie"/>
          <w:rFonts w:ascii="Century Gothic" w:hAnsi="Century Gothic"/>
        </w:rPr>
        <w:footnoteReference w:id="58"/>
      </w:r>
      <w:r>
        <w:rPr>
          <w:rFonts w:ascii="Century Gothic" w:hAnsi="Century Gothic"/>
        </w:rPr>
        <w:t xml:space="preserve"> no fue factible realizar la prueba de la acometida el día solicitado por el CS, se informará al CS para que acuerde con RED NACIONAL la fecha de reprogramación de la misma, debiendo RED NACIONAL asumir los costos de la visita reprogramada, así como la pena asociada.</w:t>
      </w:r>
    </w:p>
    <w:p w:rsidR="00DC15B2" w:rsidRPr="00611019" w:rsidRDefault="00DC15B2" w:rsidP="00035D2C">
      <w:pPr>
        <w:pStyle w:val="IFTnormal"/>
        <w:spacing w:after="6pt"/>
        <w:rPr>
          <w:rFonts w:ascii="Century Gothic" w:hAnsi="Century Gothic"/>
          <w:b/>
        </w:rPr>
      </w:pPr>
    </w:p>
    <w:p w:rsidR="00DC15B2" w:rsidRPr="00611019" w:rsidRDefault="00E56462" w:rsidP="00035D2C">
      <w:pPr>
        <w:pStyle w:val="IFTnormal"/>
        <w:spacing w:after="6pt"/>
        <w:rPr>
          <w:rFonts w:ascii="Century Gothic" w:hAnsi="Century Gothic"/>
        </w:rPr>
      </w:pPr>
      <w:r>
        <w:rPr>
          <w:rFonts w:ascii="Century Gothic" w:hAnsi="Century Gothic"/>
          <w:b/>
        </w:rPr>
        <w:t>Atención de reportes de incidencias.</w:t>
      </w:r>
    </w:p>
    <w:p w:rsidR="000E0D60" w:rsidRPr="00611019" w:rsidRDefault="00E56462" w:rsidP="00035D2C">
      <w:pPr>
        <w:pStyle w:val="IFTnormal"/>
        <w:spacing w:after="6pt"/>
        <w:rPr>
          <w:rFonts w:ascii="Century Gothic" w:hAnsi="Century Gothic"/>
        </w:rPr>
      </w:pPr>
      <w:r>
        <w:rPr>
          <w:rFonts w:ascii="Century Gothic" w:hAnsi="Century Gothic"/>
        </w:rPr>
        <w:lastRenderedPageBreak/>
        <w:t>Por cada incidencia o falla no resuelta para los Servicios de Desagregación (SAIB, SDTBL,  SDTFO y Servicio Auxiliar de Cableado Multipar interno) en los plazos indicados, se aplicará una penalización de acuerdo con los siguientes porcentajes de cumplimiento</w:t>
      </w:r>
      <w:r>
        <w:rPr>
          <w:rStyle w:val="Refdenotaalpie"/>
          <w:rFonts w:ascii="Century Gothic" w:hAnsi="Century Gothic"/>
        </w:rPr>
        <w:footnoteReference w:id="59"/>
      </w:r>
      <w:r>
        <w:rPr>
          <w:rFonts w:ascii="Century Gothic" w:hAnsi="Century Gothic"/>
        </w:rPr>
        <w:t>:</w:t>
      </w:r>
    </w:p>
    <w:p w:rsidR="000E0D60" w:rsidRPr="00611019" w:rsidRDefault="00E56462">
      <w:pPr>
        <w:pStyle w:val="IFTnormal"/>
        <w:numPr>
          <w:ilvl w:val="0"/>
          <w:numId w:val="154"/>
        </w:numPr>
        <w:spacing w:after="6pt"/>
        <w:rPr>
          <w:rFonts w:ascii="Century Gothic" w:hAnsi="Century Gothic"/>
        </w:rPr>
      </w:pPr>
      <w:r>
        <w:rPr>
          <w:rFonts w:ascii="Century Gothic" w:hAnsi="Century Gothic"/>
        </w:rPr>
        <w:t>85% de reparación en el mismo día hábil.</w:t>
      </w:r>
    </w:p>
    <w:p w:rsidR="000E0D60" w:rsidRPr="00611019" w:rsidRDefault="00E56462">
      <w:pPr>
        <w:pStyle w:val="IFTnormal"/>
        <w:numPr>
          <w:ilvl w:val="0"/>
          <w:numId w:val="154"/>
        </w:numPr>
        <w:spacing w:after="6pt"/>
        <w:rPr>
          <w:rFonts w:ascii="Century Gothic" w:hAnsi="Century Gothic"/>
        </w:rPr>
      </w:pPr>
      <w:r>
        <w:rPr>
          <w:rFonts w:ascii="Century Gothic" w:hAnsi="Century Gothic"/>
        </w:rPr>
        <w:t>95% de reparaciones en un plazo máximo de tres días hábiles.</w:t>
      </w:r>
    </w:p>
    <w:p w:rsidR="00A519D0" w:rsidRPr="00611019" w:rsidRDefault="00E56462">
      <w:pPr>
        <w:pStyle w:val="Prrafodelista"/>
        <w:numPr>
          <w:ilvl w:val="0"/>
          <w:numId w:val="154"/>
        </w:numPr>
        <w:jc w:val="both"/>
        <w:rPr>
          <w:rFonts w:ascii="Century Gothic" w:hAnsi="Century Gothic" w:cs="Arial"/>
          <w:color w:val="000000"/>
          <w:lang w:val="es-ES_tradnl" w:eastAsia="es-ES"/>
        </w:rPr>
      </w:pPr>
      <w:r>
        <w:rPr>
          <w:rFonts w:ascii="Century Gothic" w:hAnsi="Century Gothic" w:cs="Arial"/>
          <w:color w:val="000000"/>
          <w:lang w:val="es-ES_tradnl" w:eastAsia="es-ES"/>
        </w:rPr>
        <w:t xml:space="preserve">El plazo para la reparación de fallas para el 5% de reportes restante será establecido de mutuo acuerdo entre el CS y RED NACIONAL; este acuerdo del plazo fijado deberá ser reflejado en el SEG/SIPO, incluyendo a ambas partes, tanto a RED NACIONAL como al CS que reporte la falla. El mutuo acuerdo deberá realizarse dentro de los cinco días hábiles a partir del reporte de la falla, considerando que no se pudo atender dentro de los primeros tres días hábiles para contabilizarse dentro del 95% del parámetro de calidad.  </w:t>
      </w:r>
      <w:r>
        <w:rPr>
          <w:rFonts w:ascii="Century Gothic" w:hAnsi="Century Gothic" w:cs="Arial"/>
          <w:color w:val="000000"/>
          <w:lang w:eastAsia="es-ES"/>
        </w:rPr>
        <w:t>De no llegar a un mutuo acuerdo para el plazo de reparación de la falla, se considerará un plazo de 20 días hábiles, plazo después del cual se considerará como incumplimiento a la reparación de la falla por parte de RED NACIONAL.</w:t>
      </w:r>
    </w:p>
    <w:p w:rsidR="00A519D0" w:rsidRPr="00611019" w:rsidRDefault="00A519D0" w:rsidP="00035D2C">
      <w:pPr>
        <w:pStyle w:val="IFTnormal"/>
        <w:spacing w:after="6pt"/>
        <w:ind w:start="39.25pt"/>
        <w:rPr>
          <w:rFonts w:ascii="Century Gothic" w:hAnsi="Century Gothic"/>
        </w:rPr>
      </w:pPr>
    </w:p>
    <w:p w:rsidR="00DC15B2" w:rsidRPr="00611019" w:rsidRDefault="00E56462" w:rsidP="00035D2C">
      <w:pPr>
        <w:pStyle w:val="IFTnormal"/>
        <w:keepNext/>
        <w:spacing w:after="6pt"/>
        <w:rPr>
          <w:rFonts w:ascii="Century Gothic" w:hAnsi="Century Gothic"/>
        </w:rPr>
      </w:pPr>
      <w:r>
        <w:rPr>
          <w:rFonts w:ascii="Century Gothic" w:hAnsi="Century Gothic"/>
          <w:b/>
        </w:rPr>
        <w:t>Determinación de Pena Convencional.</w:t>
      </w:r>
    </w:p>
    <w:p w:rsidR="000E0D60" w:rsidRPr="00611019" w:rsidRDefault="00E56462" w:rsidP="00035D2C">
      <w:pPr>
        <w:pStyle w:val="IFTnormal"/>
        <w:spacing w:after="6pt"/>
        <w:rPr>
          <w:rFonts w:ascii="Century Gothic" w:hAnsi="Century Gothic"/>
        </w:rPr>
      </w:pPr>
      <w:r>
        <w:rPr>
          <w:rFonts w:ascii="Century Gothic" w:hAnsi="Century Gothic"/>
        </w:rPr>
        <w:t>Dado que la aplicación se realizará de forma trimestral vencida, con los datos históricos, la regla de aplicación será la siguiente:</w:t>
      </w:r>
    </w:p>
    <w:p w:rsidR="000E0D60" w:rsidRPr="00611019" w:rsidRDefault="00E56462" w:rsidP="00035D2C">
      <w:pPr>
        <w:pStyle w:val="IFTnormal"/>
        <w:spacing w:after="6pt"/>
        <w:ind w:start="21.30pt" w:hanging="21.30pt"/>
        <w:rPr>
          <w:rFonts w:ascii="Century Gothic" w:hAnsi="Century Gothic"/>
        </w:rPr>
      </w:pPr>
      <w:r>
        <w:rPr>
          <w:rFonts w:ascii="Century Gothic" w:hAnsi="Century Gothic"/>
        </w:rPr>
        <w:t>a)</w:t>
      </w:r>
      <w:r>
        <w:rPr>
          <w:rFonts w:ascii="Century Gothic" w:hAnsi="Century Gothic"/>
        </w:rPr>
        <w:tab/>
        <w:t xml:space="preserve">En caso de que no se cumpla el 85% del indicador, serán acreedores de una pena la totalidad de los eventos que superen 1 día hábil, aplicándose una pena de </w:t>
      </w:r>
      <w:r w:rsidR="0054532D">
        <w:rPr>
          <w:rFonts w:ascii="Century Gothic" w:hAnsi="Century Gothic"/>
        </w:rPr>
        <w:t>5</w:t>
      </w:r>
      <w:r>
        <w:rPr>
          <w:rFonts w:ascii="Century Gothic" w:hAnsi="Century Gothic"/>
        </w:rPr>
        <w:t xml:space="preserve">% </w:t>
      </w:r>
      <w:r>
        <w:rPr>
          <w:rFonts w:ascii="Century Gothic" w:hAnsi="Century Gothic"/>
        </w:rPr>
        <w:lastRenderedPageBreak/>
        <w:t>del valor de la renta mensual al Servicio que está asociada la solicitud por cada día de retraso.</w:t>
      </w:r>
    </w:p>
    <w:p w:rsidR="000E0D60" w:rsidRPr="00611019" w:rsidRDefault="00E56462" w:rsidP="00035D2C">
      <w:pPr>
        <w:pStyle w:val="IFTnormal"/>
        <w:spacing w:after="6pt"/>
        <w:ind w:start="21.30pt" w:hanging="21.30pt"/>
        <w:rPr>
          <w:rFonts w:ascii="Century Gothic" w:hAnsi="Century Gothic"/>
        </w:rPr>
      </w:pPr>
      <w:r>
        <w:rPr>
          <w:rFonts w:ascii="Century Gothic" w:hAnsi="Century Gothic"/>
        </w:rPr>
        <w:t>b)</w:t>
      </w:r>
      <w:r>
        <w:rPr>
          <w:rFonts w:ascii="Century Gothic" w:hAnsi="Century Gothic"/>
        </w:rPr>
        <w:tab/>
        <w:t xml:space="preserve">En caso de que se cumpla el 85% del indicador, pero no con el 95%, serán acreedores de una pena la totalidad de los eventos que superen los 3 días hábiles, aplicándose una pena de </w:t>
      </w:r>
      <w:r w:rsidR="0054532D">
        <w:rPr>
          <w:rFonts w:ascii="Century Gothic" w:hAnsi="Century Gothic"/>
        </w:rPr>
        <w:t>5</w:t>
      </w:r>
      <w:r>
        <w:rPr>
          <w:rFonts w:ascii="Century Gothic" w:hAnsi="Century Gothic"/>
        </w:rPr>
        <w:t xml:space="preserve">% del valor de la renta mensual al Servicio que está asociada la solicitud por cada día de retraso más un </w:t>
      </w:r>
      <w:r w:rsidR="0054532D">
        <w:rPr>
          <w:rFonts w:ascii="Century Gothic" w:hAnsi="Century Gothic"/>
        </w:rPr>
        <w:t>15</w:t>
      </w:r>
      <w:r>
        <w:rPr>
          <w:rFonts w:ascii="Century Gothic" w:hAnsi="Century Gothic"/>
        </w:rPr>
        <w:t>% fijo.</w:t>
      </w:r>
    </w:p>
    <w:p w:rsidR="00A519D0" w:rsidRPr="00611019" w:rsidRDefault="00E56462" w:rsidP="00035D2C">
      <w:pPr>
        <w:pStyle w:val="IFTnormal"/>
        <w:spacing w:after="6pt"/>
        <w:ind w:start="21.30pt" w:hanging="21.30pt"/>
        <w:rPr>
          <w:rFonts w:ascii="Century Gothic" w:hAnsi="Century Gothic"/>
        </w:rPr>
      </w:pPr>
      <w:r>
        <w:rPr>
          <w:rFonts w:ascii="Century Gothic" w:hAnsi="Century Gothic"/>
        </w:rPr>
        <w:t>c)</w:t>
      </w:r>
      <w:r>
        <w:rPr>
          <w:rFonts w:ascii="Century Gothic" w:hAnsi="Century Gothic"/>
        </w:rPr>
        <w:tab/>
        <w:t xml:space="preserve">En caso de que se cumpla el 85% y se cumpla con el 95% de los incisos (a) y (b) anteriores, para el 5% de las fallas o incidentes restantes, serán acreedores de una pena la totalidad de los eventos que superen el plazo establecido por mutuo acuerdo entre el CS y RED NACIONAL, así como aquellos que sin acuerdo superen los 20 días hábiles, aplicándose una pena de </w:t>
      </w:r>
      <w:r w:rsidR="0054532D">
        <w:rPr>
          <w:rFonts w:ascii="Century Gothic" w:hAnsi="Century Gothic"/>
        </w:rPr>
        <w:t>50</w:t>
      </w:r>
      <w:r>
        <w:rPr>
          <w:rFonts w:ascii="Century Gothic" w:hAnsi="Century Gothic"/>
        </w:rPr>
        <w:t xml:space="preserve">% del valor de la renta mensual al Servicio que está asociada la solicitud. </w:t>
      </w:r>
    </w:p>
    <w:p w:rsidR="000E0D60" w:rsidRPr="00611019" w:rsidRDefault="00E56462" w:rsidP="00035D2C">
      <w:pPr>
        <w:pStyle w:val="IFTnormal"/>
        <w:spacing w:after="6pt"/>
        <w:rPr>
          <w:rFonts w:ascii="Century Gothic" w:hAnsi="Century Gothic"/>
        </w:rPr>
      </w:pPr>
      <w:r>
        <w:rPr>
          <w:rFonts w:ascii="Century Gothic" w:hAnsi="Century Gothic"/>
        </w:rPr>
        <w:t xml:space="preserve">El CS podrá entender que el AEP está denegando el Servicio cuando los retrasos para la habilitación de los Servicios superen en un 100% el plazo establecido para cualquier habilitación, por lo que podrá recurrir a las instancias jurisdiccionales necesarias, sin </w:t>
      </w:r>
      <w:r>
        <w:rPr>
          <w:rFonts w:ascii="Century Gothic" w:hAnsi="Century Gothic"/>
        </w:rPr>
        <w:lastRenderedPageBreak/>
        <w:t xml:space="preserve">perjuicio de que mantenga el monto acumulado de las penas como adeudo por parte de RED NACIONAL. </w:t>
      </w:r>
    </w:p>
    <w:p w:rsidR="000E0D60" w:rsidRPr="00611019" w:rsidRDefault="00E56462" w:rsidP="00035D2C">
      <w:pPr>
        <w:pStyle w:val="IFTnormal"/>
        <w:spacing w:after="6pt"/>
        <w:rPr>
          <w:rFonts w:ascii="Century Gothic" w:hAnsi="Century Gothic"/>
        </w:rPr>
      </w:pPr>
      <w:bookmarkStart w:id="2376" w:name="_Hlk84010271"/>
      <w:r>
        <w:rPr>
          <w:rFonts w:ascii="Century Gothic" w:hAnsi="Century Gothic"/>
        </w:rPr>
        <w:t>En lo referente al servicio de SCyD la pena se aplicará conforme a los siguientes indicadores:</w:t>
      </w:r>
    </w:p>
    <w:p w:rsidR="000E0D60" w:rsidRPr="00611019" w:rsidRDefault="00E56462">
      <w:pPr>
        <w:pStyle w:val="IFTnormal"/>
        <w:numPr>
          <w:ilvl w:val="0"/>
          <w:numId w:val="155"/>
        </w:numPr>
        <w:spacing w:after="6pt"/>
        <w:rPr>
          <w:rFonts w:ascii="Century Gothic" w:hAnsi="Century Gothic"/>
        </w:rPr>
      </w:pPr>
      <w:r>
        <w:rPr>
          <w:rFonts w:ascii="Century Gothic" w:hAnsi="Century Gothic"/>
        </w:rPr>
        <w:t xml:space="preserve">90% de reparación del Servicio Local en 24 hrs. El 10% restante en un máximo de 36 hrs. </w:t>
      </w:r>
    </w:p>
    <w:p w:rsidR="000E0D60" w:rsidRPr="00611019" w:rsidRDefault="00E56462">
      <w:pPr>
        <w:pStyle w:val="IFTnormal"/>
        <w:numPr>
          <w:ilvl w:val="0"/>
          <w:numId w:val="155"/>
        </w:numPr>
        <w:spacing w:after="6pt"/>
        <w:rPr>
          <w:rFonts w:ascii="Century Gothic" w:hAnsi="Century Gothic"/>
        </w:rPr>
      </w:pPr>
      <w:r>
        <w:rPr>
          <w:rFonts w:ascii="Century Gothic" w:hAnsi="Century Gothic"/>
        </w:rPr>
        <w:t>90% de reparación del Servicio Regional en 16 hrs. El 10% restante en un máximo de 24 hrs.</w:t>
      </w:r>
    </w:p>
    <w:p w:rsidR="000E0D60" w:rsidRPr="00611019" w:rsidRDefault="00E56462">
      <w:pPr>
        <w:pStyle w:val="IFTnormal"/>
        <w:numPr>
          <w:ilvl w:val="0"/>
          <w:numId w:val="155"/>
        </w:numPr>
        <w:rPr>
          <w:rFonts w:ascii="Century Gothic" w:hAnsi="Century Gothic"/>
        </w:rPr>
      </w:pPr>
      <w:r>
        <w:rPr>
          <w:rFonts w:ascii="Century Gothic" w:hAnsi="Century Gothic"/>
        </w:rPr>
        <w:t>90% de reparación del Servicio Nacional en 12 hrs. El 10% restante en un máximo de 18 hrs.</w:t>
      </w:r>
    </w:p>
    <w:bookmarkEnd w:id="2376"/>
    <w:p w:rsidR="002033F6" w:rsidRPr="00AD5CB6" w:rsidRDefault="002033F6" w:rsidP="00F56287">
      <w:pPr>
        <w:pStyle w:val="IFTnormal"/>
        <w:rPr>
          <w:rFonts w:ascii="Century Gothic" w:hAnsi="Century Gothic"/>
        </w:rPr>
      </w:pPr>
    </w:p>
    <w:p w:rsidR="00AD5CB6" w:rsidRPr="00AD5CB6" w:rsidRDefault="00AD5CB6" w:rsidP="00F56287">
      <w:pPr>
        <w:pStyle w:val="IFTnormal"/>
        <w:rPr>
          <w:rFonts w:ascii="Century Gothic" w:hAnsi="Century Gothic"/>
        </w:rPr>
      </w:pPr>
    </w:p>
    <w:p w:rsidR="000E0D60" w:rsidRPr="00611019" w:rsidRDefault="00E56462" w:rsidP="00035D2C">
      <w:pPr>
        <w:pStyle w:val="IFTnormal"/>
        <w:spacing w:after="6pt"/>
        <w:rPr>
          <w:rFonts w:ascii="Century Gothic" w:hAnsi="Century Gothic"/>
        </w:rPr>
      </w:pPr>
      <w:r>
        <w:rPr>
          <w:rFonts w:ascii="Century Gothic" w:hAnsi="Century Gothic"/>
        </w:rPr>
        <w:t>Para realizar las mediciones de estos indicadores, se considerarán los reportes levantados las 24 horas del día, sin embargo, dichos plazos no aplicarán para los casos fortuitos o de fuerza mayor.</w:t>
      </w:r>
    </w:p>
    <w:p w:rsidR="000E0D60" w:rsidRPr="00611019" w:rsidRDefault="00E56462">
      <w:pPr>
        <w:pStyle w:val="IFTnormal"/>
        <w:numPr>
          <w:ilvl w:val="0"/>
          <w:numId w:val="251"/>
        </w:numPr>
        <w:spacing w:after="6pt"/>
        <w:rPr>
          <w:rFonts w:ascii="Century Gothic" w:hAnsi="Century Gothic"/>
        </w:rPr>
      </w:pPr>
      <w:r>
        <w:rPr>
          <w:rFonts w:ascii="Century Gothic" w:hAnsi="Century Gothic"/>
        </w:rPr>
        <w:t>En caso de que no se cumpla el 90% del indicador. Serán acreedores de una pena la totalidad de los eventos que superen las 72, 24, 16 o 12 hrs. respectivamente y se aplicará una pena conforme a lo siguiente:</w:t>
      </w:r>
    </w:p>
    <w:p w:rsidR="006D7179" w:rsidRDefault="006D7179" w:rsidP="00035D2C">
      <w:pPr>
        <w:pStyle w:val="IFTnormal"/>
        <w:rPr>
          <w:rFonts w:ascii="Century Gothic" w:hAnsi="Century Gothic"/>
          <w:sz w:val="10"/>
        </w:rPr>
      </w:pPr>
    </w:p>
    <w:p w:rsidR="0054532D" w:rsidRPr="0054532D" w:rsidRDefault="0054532D" w:rsidP="0054532D">
      <w:pPr>
        <w:pStyle w:val="IFTnormal"/>
        <w:jc w:val="center"/>
        <w:rPr>
          <w:rFonts w:ascii="Century Gothic" w:hAnsi="Century Gothic"/>
        </w:rPr>
      </w:pPr>
      <w:r w:rsidRPr="0054532D">
        <w:rPr>
          <w:rFonts w:ascii="Century Gothic" w:hAnsi="Century Gothic"/>
        </w:rPr>
        <w:t xml:space="preserve">Pena= </w:t>
      </w:r>
      <w:r>
        <w:rPr>
          <w:rFonts w:ascii="Century Gothic" w:hAnsi="Century Gothic"/>
        </w:rPr>
        <w:t>[</w:t>
      </w:r>
      <w:r w:rsidRPr="0054532D">
        <w:rPr>
          <w:rFonts w:ascii="Century Gothic" w:hAnsi="Century Gothic"/>
        </w:rPr>
        <w:t>(TR/Tiempo M</w:t>
      </w:r>
      <w:r>
        <w:rPr>
          <w:rFonts w:ascii="Century Gothic" w:hAnsi="Century Gothic"/>
        </w:rPr>
        <w:t>áxim</w:t>
      </w:r>
      <w:r w:rsidRPr="0054532D">
        <w:rPr>
          <w:rFonts w:ascii="Century Gothic" w:hAnsi="Century Gothic"/>
        </w:rPr>
        <w:t>o)%</w:t>
      </w:r>
      <w:r>
        <w:rPr>
          <w:rFonts w:ascii="Century Gothic" w:hAnsi="Century Gothic"/>
        </w:rPr>
        <w:t>]</w:t>
      </w:r>
      <w:r w:rsidRPr="0054532D">
        <w:rPr>
          <w:rFonts w:ascii="Century Gothic" w:hAnsi="Century Gothic"/>
        </w:rPr>
        <w:t xml:space="preserve"> x </w:t>
      </w:r>
      <w:r>
        <w:rPr>
          <w:rFonts w:ascii="Century Gothic" w:hAnsi="Century Gothic"/>
        </w:rPr>
        <w:t xml:space="preserve">(50% </w:t>
      </w:r>
      <w:r w:rsidRPr="0054532D">
        <w:rPr>
          <w:rFonts w:ascii="Century Gothic" w:hAnsi="Century Gothic"/>
        </w:rPr>
        <w:t>Renta mensual</w:t>
      </w:r>
      <w:r>
        <w:rPr>
          <w:rFonts w:ascii="Century Gothic" w:hAnsi="Century Gothic"/>
        </w:rPr>
        <w:t>)</w:t>
      </w:r>
    </w:p>
    <w:p w:rsidR="008B798A" w:rsidRDefault="008B798A" w:rsidP="00035D2C">
      <w:pPr>
        <w:pStyle w:val="IFTnormal"/>
        <w:spacing w:after="6pt"/>
        <w:rPr>
          <w:rFonts w:ascii="Century Gothic" w:hAnsi="Century Gothic"/>
          <w:b/>
        </w:rPr>
      </w:pPr>
    </w:p>
    <w:p w:rsidR="00E45428" w:rsidRPr="00611019" w:rsidRDefault="00E56462" w:rsidP="00035D2C">
      <w:pPr>
        <w:pStyle w:val="IFTnormal"/>
        <w:spacing w:after="6pt"/>
        <w:rPr>
          <w:rFonts w:ascii="Century Gothic" w:hAnsi="Century Gothic"/>
        </w:rPr>
      </w:pPr>
      <w:r>
        <w:rPr>
          <w:rFonts w:ascii="Century Gothic" w:hAnsi="Century Gothic"/>
          <w:b/>
        </w:rPr>
        <w:t xml:space="preserve">Donde: </w:t>
      </w:r>
    </w:p>
    <w:p w:rsidR="000E0D60" w:rsidRPr="00611019" w:rsidRDefault="00E56462" w:rsidP="00035D2C">
      <w:pPr>
        <w:pStyle w:val="IFTnormal"/>
        <w:spacing w:after="6pt"/>
        <w:rPr>
          <w:rFonts w:ascii="Century Gothic" w:hAnsi="Century Gothic"/>
        </w:rPr>
      </w:pPr>
      <w:r>
        <w:rPr>
          <w:rFonts w:ascii="Century Gothic" w:hAnsi="Century Gothic"/>
        </w:rPr>
        <w:t>Renta Mensual: Se refiere a la renta mensual del Servicio en cuestión.</w:t>
      </w:r>
    </w:p>
    <w:p w:rsidR="000E0D60" w:rsidRPr="00611019" w:rsidRDefault="00E56462" w:rsidP="00035D2C">
      <w:pPr>
        <w:pStyle w:val="IFTnormal"/>
        <w:spacing w:after="6pt"/>
        <w:rPr>
          <w:rFonts w:ascii="Century Gothic" w:hAnsi="Century Gothic"/>
        </w:rPr>
      </w:pPr>
      <w:r>
        <w:rPr>
          <w:rFonts w:ascii="Century Gothic" w:hAnsi="Century Gothic"/>
        </w:rPr>
        <w:t xml:space="preserve">Tiempo Máximo: es el tiempo máximo establecido para llevar a cabo la reparación de la falla. </w:t>
      </w:r>
    </w:p>
    <w:p w:rsidR="000E0D60" w:rsidRPr="00611019" w:rsidRDefault="00E56462" w:rsidP="00035D2C">
      <w:pPr>
        <w:pStyle w:val="IFTnormal"/>
        <w:spacing w:after="6pt"/>
        <w:rPr>
          <w:rFonts w:ascii="Century Gothic" w:hAnsi="Century Gothic"/>
        </w:rPr>
      </w:pPr>
      <w:r>
        <w:rPr>
          <w:rFonts w:ascii="Century Gothic" w:hAnsi="Century Gothic"/>
        </w:rPr>
        <w:t>TR: Tiempo de retraso en la reparación de la falla en cuestión, respecto al tiempo máximo establecido. Las fracciones de hora serán consideradas como horas completas, redondeándose al entero superior inmediato.</w:t>
      </w:r>
    </w:p>
    <w:p w:rsidR="000E0D60" w:rsidRPr="00611019" w:rsidRDefault="00E56462" w:rsidP="00F56287">
      <w:pPr>
        <w:pStyle w:val="IFTnormal"/>
        <w:rPr>
          <w:rFonts w:ascii="Century Gothic" w:hAnsi="Century Gothic"/>
        </w:rPr>
      </w:pPr>
      <w:r>
        <w:rPr>
          <w:rFonts w:ascii="Century Gothic" w:hAnsi="Century Gothic"/>
        </w:rPr>
        <w:t>En caso de que se cumpla el 90% del indicador. Serán acreedores de una pena la totalidad de los eventos que superen las 108, 36, 24 o 18 hrs. respectivamente y se aplicará una pena con la misma fórmula.</w:t>
      </w:r>
    </w:p>
    <w:p w:rsidR="00E57588" w:rsidRPr="00611019" w:rsidRDefault="00E57588" w:rsidP="00F56287">
      <w:pPr>
        <w:pStyle w:val="IFTnormal"/>
        <w:rPr>
          <w:rFonts w:ascii="Century Gothic" w:hAnsi="Century Gothic"/>
          <w:b/>
        </w:rPr>
      </w:pPr>
    </w:p>
    <w:p w:rsidR="00DC15B2" w:rsidRPr="00611019" w:rsidRDefault="00E56462" w:rsidP="00035D2C">
      <w:pPr>
        <w:pStyle w:val="IFTnormal"/>
        <w:rPr>
          <w:rFonts w:ascii="Century Gothic" w:hAnsi="Century Gothic"/>
          <w:b/>
        </w:rPr>
      </w:pPr>
      <w:r>
        <w:rPr>
          <w:rFonts w:ascii="Century Gothic" w:hAnsi="Century Gothic"/>
          <w:b/>
        </w:rPr>
        <w:t>Consideraciones en el cómputo.</w:t>
      </w:r>
    </w:p>
    <w:p w:rsidR="006D7179" w:rsidRPr="00611019" w:rsidRDefault="006D7179" w:rsidP="00035D2C">
      <w:pPr>
        <w:pStyle w:val="IFTnormal"/>
        <w:rPr>
          <w:rFonts w:ascii="Century Gothic" w:hAnsi="Century Gothic"/>
          <w:sz w:val="8"/>
        </w:rPr>
      </w:pPr>
    </w:p>
    <w:p w:rsidR="000E0D60" w:rsidRPr="00611019" w:rsidRDefault="00E56462" w:rsidP="00035D2C">
      <w:pPr>
        <w:pStyle w:val="IFTnormal"/>
        <w:rPr>
          <w:rFonts w:ascii="Century Gothic" w:hAnsi="Century Gothic"/>
        </w:rPr>
      </w:pPr>
      <w:r>
        <w:rPr>
          <w:rFonts w:ascii="Century Gothic" w:hAnsi="Century Gothic"/>
        </w:rPr>
        <w:t xml:space="preserve">Para el cálculo de las penas no se considerarán los sábados y domingos más los días inhábiles establecidos en la Ley Federal del Trabajo así como aquellos señalados en el contrato colectivo de trabajo de AEP, que son: 1° de enero; 5 de febrero; 18 y 21 de marzo; jueves y viernes denominados "Santos" y sábado denominado de "Gloria"; 1°, 5 y </w:t>
      </w:r>
      <w:r>
        <w:rPr>
          <w:rFonts w:ascii="Century Gothic" w:hAnsi="Century Gothic"/>
        </w:rPr>
        <w:lastRenderedPageBreak/>
        <w:t>10 de mayo; 1° de agosto Día del Telefonista; 15 y 16 de septiembre; 12 de octubre; 2 y 20 de noviembre; el que corresponda a la transmisión del Poder Ejecutivo Federal (actualmente el 1° de diciembre de cada seis años);12 y 25 de diciembre; el día que determinen las autoridades para la celebración de Elecciones Federales o Locales.</w:t>
      </w:r>
    </w:p>
    <w:p w:rsidR="006D7179" w:rsidRPr="00611019" w:rsidRDefault="006D7179" w:rsidP="00035D2C">
      <w:pPr>
        <w:pStyle w:val="IFTnormal"/>
        <w:rPr>
          <w:rFonts w:ascii="Century Gothic" w:hAnsi="Century Gothic"/>
        </w:rPr>
      </w:pPr>
    </w:p>
    <w:p w:rsidR="000E0D60" w:rsidRPr="00611019" w:rsidRDefault="00E56462" w:rsidP="00F56287">
      <w:pPr>
        <w:pStyle w:val="IFTnormal"/>
        <w:rPr>
          <w:rFonts w:ascii="Century Gothic" w:hAnsi="Century Gothic"/>
        </w:rPr>
      </w:pPr>
      <w:r>
        <w:rPr>
          <w:rFonts w:ascii="Century Gothic" w:hAnsi="Century Gothic"/>
        </w:rPr>
        <w:t>El mecanismo para que el CS de aviso a RED NACIONAL acerca de la incidencia, será conforme a lo establecido en el Procedimiento de Gestión de Fallas, Continuidad de Servicios y Gestión de Incidencias.</w:t>
      </w:r>
    </w:p>
    <w:p w:rsidR="00DC15B2" w:rsidRPr="00611019" w:rsidRDefault="00DC15B2" w:rsidP="00F56287">
      <w:pPr>
        <w:pStyle w:val="IFTnormal"/>
        <w:rPr>
          <w:rFonts w:ascii="Century Gothic" w:hAnsi="Century Gothic"/>
          <w:b/>
        </w:rPr>
      </w:pPr>
    </w:p>
    <w:p w:rsidR="00DC15B2" w:rsidRPr="00611019" w:rsidRDefault="00E56462" w:rsidP="00035D2C">
      <w:pPr>
        <w:pStyle w:val="IFTnormal"/>
        <w:spacing w:after="6pt"/>
        <w:rPr>
          <w:rFonts w:ascii="Century Gothic" w:hAnsi="Century Gothic"/>
          <w:b/>
          <w:lang w:val="es-ES"/>
        </w:rPr>
      </w:pPr>
      <w:r>
        <w:rPr>
          <w:rFonts w:ascii="Century Gothic" w:hAnsi="Century Gothic"/>
          <w:b/>
          <w:lang w:val="es-ES"/>
        </w:rPr>
        <w:t>Penas adicionales.</w:t>
      </w:r>
    </w:p>
    <w:p w:rsidR="000E0D60" w:rsidRPr="00611019" w:rsidRDefault="00E56462" w:rsidP="00035D2C">
      <w:pPr>
        <w:pStyle w:val="IFTnormal"/>
        <w:spacing w:after="6pt"/>
        <w:rPr>
          <w:rFonts w:ascii="Century Gothic" w:hAnsi="Century Gothic"/>
        </w:rPr>
      </w:pPr>
      <w:r>
        <w:rPr>
          <w:rFonts w:ascii="Century Gothic" w:hAnsi="Century Gothic"/>
        </w:rPr>
        <w:t>En caso de que la negativa de factibilidad de los Servicios de Desagregación sea resultado del establecimiento de información falsa o errónea acerca de los perfiles de velocidad máxima en las bases de información establecidas en el apartado “DESCRIPCIÓN DE LAS BASES DE DATOS” de la Oferta de Referencia, RED NACIONAL se obliga a brindar este perfil de velocidad incluso si son necesarias adecuaciones técnicas o en recursos de red, sin que esto implique algún cobro extra o retraso al CS.</w:t>
      </w:r>
    </w:p>
    <w:p w:rsidR="006D7179" w:rsidRPr="00611019" w:rsidRDefault="00E56462" w:rsidP="00035D2C">
      <w:pPr>
        <w:pStyle w:val="IFTnormal"/>
        <w:spacing w:after="6pt"/>
        <w:rPr>
          <w:rFonts w:ascii="Century Gothic" w:hAnsi="Century Gothic"/>
          <w:lang w:val="es-ES"/>
        </w:rPr>
      </w:pPr>
      <w:r>
        <w:rPr>
          <w:rFonts w:ascii="Century Gothic" w:hAnsi="Century Gothic"/>
          <w:lang w:val="es-ES"/>
        </w:rPr>
        <w:t xml:space="preserve">En caso de que el CS hubiera solicitado a la contratación de un servicio que </w:t>
      </w:r>
      <w:r>
        <w:rPr>
          <w:rFonts w:ascii="Century Gothic" w:hAnsi="Century Gothic"/>
        </w:rPr>
        <w:t>RED NACIONAL</w:t>
      </w:r>
      <w:r>
        <w:rPr>
          <w:rFonts w:ascii="Century Gothic" w:hAnsi="Century Gothic"/>
          <w:lang w:val="es-ES"/>
        </w:rPr>
        <w:t xml:space="preserve"> entregue el módem/ONT blanco al momento de la instalación, si </w:t>
      </w:r>
      <w:r>
        <w:rPr>
          <w:rFonts w:ascii="Century Gothic" w:hAnsi="Century Gothic"/>
        </w:rPr>
        <w:t xml:space="preserve">RED </w:t>
      </w:r>
      <w:r>
        <w:rPr>
          <w:rFonts w:ascii="Century Gothic" w:hAnsi="Century Gothic"/>
        </w:rPr>
        <w:lastRenderedPageBreak/>
        <w:t>NACIONAL</w:t>
      </w:r>
      <w:r>
        <w:rPr>
          <w:rFonts w:ascii="Century Gothic" w:hAnsi="Century Gothic"/>
          <w:lang w:val="es-ES"/>
        </w:rPr>
        <w:t xml:space="preserve"> no entrega el equipo al momento de la instalación, le será aplicable a </w:t>
      </w:r>
      <w:r>
        <w:rPr>
          <w:rFonts w:ascii="Century Gothic" w:hAnsi="Century Gothic"/>
          <w:spacing w:val="-3"/>
        </w:rPr>
        <w:t>RED NACIONAL</w:t>
      </w:r>
      <w:r>
        <w:rPr>
          <w:rFonts w:ascii="Century Gothic" w:hAnsi="Century Gothic"/>
          <w:lang w:val="es-ES"/>
        </w:rPr>
        <w:t xml:space="preserve"> una pena por concepto de visita en falso.</w:t>
      </w:r>
    </w:p>
    <w:p w:rsidR="000E0D60" w:rsidRPr="00611019" w:rsidRDefault="00E56462" w:rsidP="00F56287">
      <w:pPr>
        <w:pStyle w:val="IFTnormal"/>
        <w:rPr>
          <w:rFonts w:ascii="Century Gothic" w:hAnsi="Century Gothic"/>
          <w:lang w:val="es-ES"/>
        </w:rPr>
      </w:pPr>
      <w:r>
        <w:rPr>
          <w:rFonts w:ascii="Century Gothic" w:hAnsi="Century Gothic"/>
          <w:lang w:val="es-ES"/>
        </w:rPr>
        <w:t xml:space="preserve">En caso de que para la prestación de Servicios de Desagregación el CS adquiera un módem/ONT homologado por </w:t>
      </w:r>
      <w:r>
        <w:rPr>
          <w:rFonts w:ascii="Century Gothic" w:hAnsi="Century Gothic"/>
        </w:rPr>
        <w:t>RED NACIONAL</w:t>
      </w:r>
      <w:r>
        <w:rPr>
          <w:rFonts w:ascii="Century Gothic" w:hAnsi="Century Gothic"/>
          <w:lang w:val="es-ES"/>
        </w:rPr>
        <w:t xml:space="preserve"> que cumpla con todos </w:t>
      </w:r>
      <w:r>
        <w:rPr>
          <w:rFonts w:ascii="Century Gothic" w:hAnsi="Century Gothic"/>
        </w:rPr>
        <w:t xml:space="preserve">los estándares, especificaciones y referencias que RED NACIONAL entregue a los </w:t>
      </w:r>
      <w:r w:rsidR="006F2478">
        <w:rPr>
          <w:rFonts w:ascii="Century Gothic" w:hAnsi="Century Gothic"/>
        </w:rPr>
        <w:t>CS</w:t>
      </w:r>
      <w:r>
        <w:rPr>
          <w:rFonts w:ascii="Century Gothic" w:hAnsi="Century Gothic"/>
        </w:rPr>
        <w:t xml:space="preserve"> de acuerdo con lo estipulado en la Oferta de Referencia</w:t>
      </w:r>
      <w:r>
        <w:rPr>
          <w:rFonts w:ascii="Century Gothic" w:hAnsi="Century Gothic"/>
          <w:lang w:val="es-ES"/>
        </w:rPr>
        <w:t xml:space="preserve"> y dicho modem/ONT no funcione para prestar Servicios de Desagregación por la provisión de información falsa, errónea o incompleta de los </w:t>
      </w:r>
      <w:r>
        <w:rPr>
          <w:rFonts w:ascii="Century Gothic" w:hAnsi="Century Gothic"/>
        </w:rPr>
        <w:t>estándares</w:t>
      </w:r>
      <w:r>
        <w:rPr>
          <w:rFonts w:ascii="Century Gothic" w:hAnsi="Century Gothic"/>
          <w:lang w:val="es-ES"/>
        </w:rPr>
        <w:t xml:space="preserve">, referencias, especificaciones o credenciales no configuradas debidamente, </w:t>
      </w:r>
      <w:r>
        <w:rPr>
          <w:rFonts w:ascii="Century Gothic" w:hAnsi="Century Gothic"/>
        </w:rPr>
        <w:t>RED NACIONAL</w:t>
      </w:r>
      <w:r>
        <w:rPr>
          <w:rFonts w:ascii="Century Gothic" w:hAnsi="Century Gothic"/>
          <w:lang w:val="es-ES"/>
        </w:rPr>
        <w:t xml:space="preserve"> deberá proporcionar un módem para la correcta prestación de los Servicios de Desagregación en un plazo máximo de un día hábil y se aplicará una pena que incluirá los gastos de habilitación más el valor de la renta mensual al Servicio que está asociada la solicitud.</w:t>
      </w:r>
    </w:p>
    <w:p w:rsidR="00DC15B2" w:rsidRPr="00611019" w:rsidRDefault="00DC15B2" w:rsidP="00F56287">
      <w:pPr>
        <w:pStyle w:val="IFTnormal"/>
        <w:rPr>
          <w:rFonts w:ascii="Century Gothic" w:hAnsi="Century Gothic"/>
          <w:lang w:val="es-ES"/>
        </w:rPr>
      </w:pPr>
    </w:p>
    <w:p w:rsidR="00DC15B2" w:rsidRPr="00611019" w:rsidRDefault="00E56462" w:rsidP="00035D2C">
      <w:pPr>
        <w:pStyle w:val="1TitPrin"/>
        <w:spacing w:after="6pt"/>
        <w:ind w:start="0pt" w:firstLine="0pt"/>
        <w:rPr>
          <w:rFonts w:ascii="Century Gothic" w:hAnsi="Century Gothic" w:cs="Times New Roman"/>
          <w:u w:val="single"/>
          <w14:scene3d>
            <w14:camera w14:prst="orthographicFront"/>
            <w14:lightRig w14:rig="threePt" w14:dir="t">
              <w14:rot w14:lat="0" w14:lon="0" w14:rev="0"/>
            </w14:lightRig>
          </w14:scene3d>
        </w:rPr>
      </w:pPr>
      <w:bookmarkStart w:id="2377" w:name="_Toc92974112"/>
      <w:bookmarkStart w:id="2378" w:name="_Toc93052423"/>
      <w:bookmarkStart w:id="2379" w:name="_Toc93056378"/>
      <w:bookmarkStart w:id="2380" w:name="_Toc125393441"/>
      <w:bookmarkStart w:id="2381" w:name="_Toc148702297"/>
      <w:bookmarkStart w:id="2382" w:name="_Toc170381912"/>
      <w:r>
        <w:rPr>
          <w:rFonts w:ascii="Century Gothic" w:hAnsi="Century Gothic" w:cs="Times New Roman"/>
          <w:u w:val="single"/>
          <w14:scene3d>
            <w14:camera w14:prst="orthographicFront"/>
            <w14:lightRig w14:rig="threePt" w14:dir="t">
              <w14:rot w14:lat="0" w14:lon="0" w14:rev="0"/>
            </w14:lightRig>
          </w14:scene3d>
        </w:rPr>
        <w:t>PENAS CONVENCIONALES A CARGO DEL CS:</w:t>
      </w:r>
      <w:bookmarkEnd w:id="2377"/>
      <w:bookmarkEnd w:id="2378"/>
      <w:bookmarkEnd w:id="2379"/>
      <w:bookmarkEnd w:id="2380"/>
      <w:bookmarkEnd w:id="2381"/>
      <w:bookmarkEnd w:id="2382"/>
    </w:p>
    <w:p w:rsidR="000E0D60" w:rsidRPr="00611019" w:rsidRDefault="00E56462" w:rsidP="00035D2C">
      <w:pPr>
        <w:pStyle w:val="IFTnormal"/>
        <w:spacing w:after="6pt"/>
        <w:rPr>
          <w:rFonts w:ascii="Century Gothic" w:hAnsi="Century Gothic"/>
          <w:lang w:val="es-ES"/>
        </w:rPr>
      </w:pPr>
      <w:r>
        <w:rPr>
          <w:rFonts w:ascii="Century Gothic" w:hAnsi="Century Gothic"/>
          <w:lang w:val="es-ES"/>
        </w:rPr>
        <w:t>El CS será responsable de pagar la totalidad de los costos en los que RED NACIONAL haya incurrido debido a un requerimiento realizado por el mismo CS, y en caso de que éste haya decidido cancelar o en el caso de que no haya notificado a su usuario de la instalación de la acometida y/o los Servicios solicitados.</w:t>
      </w:r>
    </w:p>
    <w:p w:rsidR="000E0D60" w:rsidRPr="00611019" w:rsidRDefault="00E56462" w:rsidP="00035D2C">
      <w:pPr>
        <w:pStyle w:val="IFTnormal"/>
        <w:spacing w:after="6pt"/>
        <w:rPr>
          <w:rFonts w:ascii="Century Gothic" w:hAnsi="Century Gothic"/>
          <w:lang w:val="es-ES"/>
        </w:rPr>
      </w:pPr>
      <w:r>
        <w:rPr>
          <w:rFonts w:ascii="Century Gothic" w:hAnsi="Century Gothic"/>
          <w:lang w:val="es-ES"/>
        </w:rPr>
        <w:t>Si la cancelación se realiza durante la fase de instalación/habilitación del servicio, será aplicada una pena convencional consistente en un mes de renta del Servicio más los gastos de instalación/habilitación.</w:t>
      </w:r>
    </w:p>
    <w:p w:rsidR="000E0D60" w:rsidRPr="00611019" w:rsidRDefault="00E56462" w:rsidP="00F56287">
      <w:pPr>
        <w:pStyle w:val="IFTnormal"/>
        <w:rPr>
          <w:rFonts w:ascii="Century Gothic" w:hAnsi="Century Gothic"/>
          <w:lang w:val="es-ES"/>
        </w:rPr>
      </w:pPr>
      <w:r>
        <w:rPr>
          <w:rFonts w:ascii="Century Gothic" w:hAnsi="Century Gothic"/>
          <w:lang w:val="es-ES"/>
        </w:rPr>
        <w:lastRenderedPageBreak/>
        <w:t xml:space="preserve">En caso de que </w:t>
      </w:r>
      <w:r>
        <w:rPr>
          <w:rFonts w:ascii="Century Gothic" w:hAnsi="Century Gothic"/>
        </w:rPr>
        <w:t>RED NACIONAL</w:t>
      </w:r>
      <w:r>
        <w:rPr>
          <w:rFonts w:ascii="Century Gothic" w:hAnsi="Century Gothic"/>
          <w:lang w:val="es-ES"/>
        </w:rPr>
        <w:t xml:space="preserve"> no haya podido instalar la acometida y/o los Servicios solicitados por razones asociadas al usuario o al CS, se tendrá una penalización correspondiente por cada evento de “visita en falso”, de conformidad con la tarifa establecida para dicho concepto en el anexo “A” de Tarifas de la Oferta. </w:t>
      </w:r>
    </w:p>
    <w:p w:rsidR="006D7179" w:rsidRPr="00611019" w:rsidRDefault="006D7179" w:rsidP="00F56287">
      <w:pPr>
        <w:pStyle w:val="IFTnormal"/>
        <w:rPr>
          <w:rFonts w:ascii="Century Gothic" w:hAnsi="Century Gothic"/>
          <w:lang w:val="es-ES"/>
        </w:rPr>
      </w:pPr>
    </w:p>
    <w:p w:rsidR="00DC15B2" w:rsidRPr="00611019" w:rsidRDefault="00E56462" w:rsidP="00035D2C">
      <w:pPr>
        <w:pStyle w:val="1TitPrin"/>
        <w:spacing w:after="6pt"/>
        <w:ind w:start="0pt" w:firstLine="0pt"/>
        <w:rPr>
          <w:rFonts w:ascii="Century Gothic" w:hAnsi="Century Gothic" w:cs="Times New Roman"/>
          <w:u w:val="single"/>
          <w14:scene3d>
            <w14:camera w14:prst="orthographicFront"/>
            <w14:lightRig w14:rig="threePt" w14:dir="t">
              <w14:rot w14:lat="0" w14:lon="0" w14:rev="0"/>
            </w14:lightRig>
          </w14:scene3d>
        </w:rPr>
      </w:pPr>
      <w:bookmarkStart w:id="2383" w:name="_Toc92974113"/>
      <w:bookmarkStart w:id="2384" w:name="_Toc93052424"/>
      <w:bookmarkStart w:id="2385" w:name="_Toc93056379"/>
      <w:bookmarkStart w:id="2386" w:name="_Toc125393442"/>
      <w:bookmarkStart w:id="2387" w:name="_Toc148702298"/>
      <w:bookmarkStart w:id="2388" w:name="_Toc170381913"/>
      <w:r>
        <w:rPr>
          <w:rFonts w:ascii="Century Gothic" w:hAnsi="Century Gothic" w:cs="Times New Roman"/>
          <w:u w:val="single"/>
          <w14:scene3d>
            <w14:camera w14:prst="orthographicFront"/>
            <w14:lightRig w14:rig="threePt" w14:dir="t">
              <w14:rot w14:lat="0" w14:lon="0" w14:rev="0"/>
            </w14:lightRig>
          </w14:scene3d>
        </w:rPr>
        <w:t>PROCEDIMIENTO GENERAL DE APLICACIÓN DE PENAS CONVENCIONALES DE DESAGREGACIÓN:</w:t>
      </w:r>
      <w:bookmarkEnd w:id="2383"/>
      <w:bookmarkEnd w:id="2384"/>
      <w:bookmarkEnd w:id="2385"/>
      <w:bookmarkEnd w:id="2386"/>
      <w:bookmarkEnd w:id="2387"/>
      <w:bookmarkEnd w:id="2388"/>
    </w:p>
    <w:p w:rsidR="000E0D60" w:rsidRPr="00611019" w:rsidRDefault="00E56462" w:rsidP="00035D2C">
      <w:pPr>
        <w:pStyle w:val="IFTnormal"/>
        <w:spacing w:after="6pt"/>
        <w:ind w:start="35.70pt" w:hanging="17.85pt"/>
        <w:rPr>
          <w:rFonts w:ascii="Century Gothic" w:hAnsi="Century Gothic"/>
        </w:rPr>
      </w:pPr>
      <w:r>
        <w:rPr>
          <w:rFonts w:ascii="Century Gothic" w:hAnsi="Century Gothic"/>
        </w:rPr>
        <w:t>1.</w:t>
      </w:r>
      <w:r>
        <w:rPr>
          <w:rFonts w:ascii="Century Gothic" w:hAnsi="Century Gothic"/>
        </w:rPr>
        <w:tab/>
        <w:t>El CS enviará un concentrado con los Servicios que no</w:t>
      </w:r>
      <w:r>
        <w:rPr>
          <w:rFonts w:ascii="Century Gothic" w:hAnsi="Century Gothic"/>
          <w:lang w:val="es-ES"/>
        </w:rPr>
        <w:t xml:space="preserve"> cumplan los parámetros e indicadores de los niveles de calidad</w:t>
      </w:r>
      <w:r>
        <w:rPr>
          <w:rFonts w:ascii="Century Gothic" w:hAnsi="Century Gothic"/>
        </w:rPr>
        <w:t xml:space="preserve"> del periodo inmediato anterior, tomando en cuenta los tiempos en que la falla o incidencia haya quedado resuelta. Esta información deberá ser enviada mediante el SEG/SIPO, o en su defecto mediante correo electrónico dentro de los cinco días hábiles siguientes al periodo en cuestión, incluyendo la descripción detallada del incumplimiento, los plazos correspondientes y las responsabilidades en cuanto a comunicación del incumplimiento, presentación de evidencia, resolución del evento, el desglose de la cantidad, servicio penalizado, tipo de penalización e importe. </w:t>
      </w:r>
    </w:p>
    <w:p w:rsidR="000E0D60" w:rsidRPr="00611019" w:rsidRDefault="00E56462" w:rsidP="00035D2C">
      <w:pPr>
        <w:pStyle w:val="IFTnormal"/>
        <w:spacing w:after="6pt"/>
        <w:ind w:start="35.70pt" w:hanging="17.85pt"/>
        <w:rPr>
          <w:rFonts w:ascii="Century Gothic" w:hAnsi="Century Gothic"/>
        </w:rPr>
      </w:pPr>
      <w:r>
        <w:rPr>
          <w:rFonts w:ascii="Century Gothic" w:hAnsi="Century Gothic"/>
        </w:rPr>
        <w:t>2.</w:t>
      </w:r>
      <w:r>
        <w:rPr>
          <w:rFonts w:ascii="Century Gothic" w:hAnsi="Century Gothic"/>
        </w:rPr>
        <w:tab/>
        <w:t>Si una habilitación/reparación aún no se encuentra resuelta al momento del reporte, entonces se reportará en el siguiente periodo.</w:t>
      </w:r>
    </w:p>
    <w:p w:rsidR="000E0D60" w:rsidRPr="00611019" w:rsidRDefault="00E56462" w:rsidP="00035D2C">
      <w:pPr>
        <w:pStyle w:val="IFTnormal"/>
        <w:spacing w:after="6pt"/>
        <w:ind w:start="35.70pt" w:hanging="17.85pt"/>
        <w:rPr>
          <w:rFonts w:ascii="Century Gothic" w:hAnsi="Century Gothic"/>
        </w:rPr>
      </w:pPr>
      <w:r>
        <w:rPr>
          <w:rFonts w:ascii="Century Gothic" w:hAnsi="Century Gothic"/>
        </w:rPr>
        <w:lastRenderedPageBreak/>
        <w:t>3.</w:t>
      </w:r>
      <w:r>
        <w:rPr>
          <w:rFonts w:ascii="Century Gothic" w:hAnsi="Century Gothic"/>
        </w:rPr>
        <w:tab/>
        <w:t>Las Partes validarán la información enviada por la otra parte en un plazo que no excederá de tres días hábiles.</w:t>
      </w:r>
    </w:p>
    <w:p w:rsidR="000E0D60" w:rsidRPr="00611019" w:rsidRDefault="00E56462" w:rsidP="00035D2C">
      <w:pPr>
        <w:pStyle w:val="IFTnormal"/>
        <w:spacing w:after="6pt"/>
        <w:ind w:start="35.70pt" w:hanging="17.85pt"/>
        <w:rPr>
          <w:rFonts w:ascii="Century Gothic" w:hAnsi="Century Gothic"/>
        </w:rPr>
      </w:pPr>
      <w:r>
        <w:rPr>
          <w:rFonts w:ascii="Century Gothic" w:hAnsi="Century Gothic"/>
        </w:rPr>
        <w:t>4.</w:t>
      </w:r>
      <w:r>
        <w:rPr>
          <w:rFonts w:ascii="Century Gothic" w:hAnsi="Century Gothic"/>
        </w:rPr>
        <w:tab/>
        <w:t>Las Partes conciliarán de buena fe los Servicios que sean causa del pago de las penalizaciones del periodo inmediato anterior dentro de los cinco días hábiles posteriores a la fecha de validación.</w:t>
      </w:r>
    </w:p>
    <w:p w:rsidR="000E0D60" w:rsidRPr="00611019" w:rsidRDefault="00E56462" w:rsidP="00035D2C">
      <w:pPr>
        <w:pStyle w:val="IFTnormal"/>
        <w:spacing w:after="6pt"/>
        <w:ind w:start="35.70pt" w:hanging="17.85pt"/>
        <w:rPr>
          <w:rFonts w:ascii="Century Gothic" w:hAnsi="Century Gothic"/>
        </w:rPr>
      </w:pPr>
      <w:r>
        <w:rPr>
          <w:rFonts w:ascii="Century Gothic" w:hAnsi="Century Gothic"/>
        </w:rPr>
        <w:t>5.</w:t>
      </w:r>
      <w:r>
        <w:rPr>
          <w:rFonts w:ascii="Century Gothic" w:hAnsi="Century Gothic"/>
        </w:rPr>
        <w:tab/>
        <w:t>Las Partes acordarán importes y fechas de pago, en las cuentas correspondientes de su relación comercial, para liquidar las penalizaciones de acuerdo a las condiciones establecidas en el Convenio Marco para la Prestación de Servicios de Desagregación.</w:t>
      </w:r>
    </w:p>
    <w:p w:rsidR="000E0D60" w:rsidRPr="00611019" w:rsidRDefault="00E56462" w:rsidP="00035D2C">
      <w:pPr>
        <w:pStyle w:val="IFTnormal"/>
        <w:spacing w:after="6pt"/>
        <w:ind w:start="35.70pt" w:hanging="17.85pt"/>
        <w:rPr>
          <w:rFonts w:ascii="Century Gothic" w:hAnsi="Century Gothic"/>
        </w:rPr>
      </w:pPr>
      <w:r>
        <w:rPr>
          <w:rFonts w:ascii="Century Gothic" w:hAnsi="Century Gothic"/>
        </w:rPr>
        <w:t>6.</w:t>
      </w:r>
      <w:r>
        <w:rPr>
          <w:rFonts w:ascii="Century Gothic" w:hAnsi="Century Gothic"/>
        </w:rPr>
        <w:tab/>
        <w:t>Para el caso de penalizaciones por cancelaciones, y/o cualquier otro concepto de penas imputables al CS, RED NACIONAL enviará al CS el detalle de los cargos que el CS deberá cubrir, mismo que incluirá la descripción a detalle del incumplimiento, los plazos correspondientes y las responsabilidades en cuanto a comunicación del incumplimiento, presentación de evidencia, resolución del evento, el desglose de la cantidad, servicio penalizado, tipo de penalización e importe, debiendo llevar a cabo las partes un proceso de conciliación y validación de importes similar al establecido en los numerales 4 y 5 anteriores. La reagendación de visitas y visitas en falso por fallas o incidencias no imputables a RED NACIONAL serán presentadas al CS en su factura correspondiente.</w:t>
      </w:r>
    </w:p>
    <w:p w:rsidR="00643E58" w:rsidRPr="00611019" w:rsidRDefault="00E56462" w:rsidP="00F56287">
      <w:pPr>
        <w:pStyle w:val="IFTnormal"/>
        <w:spacing w:after="6pt"/>
        <w:ind w:start="36pt" w:hanging="18pt"/>
        <w:rPr>
          <w:rFonts w:ascii="Century Gothic" w:hAnsi="Century Gothic"/>
          <w:b/>
        </w:rPr>
      </w:pPr>
      <w:r>
        <w:rPr>
          <w:rFonts w:ascii="Century Gothic" w:hAnsi="Century Gothic"/>
        </w:rPr>
        <w:lastRenderedPageBreak/>
        <w:t>7.</w:t>
      </w:r>
      <w:r>
        <w:rPr>
          <w:rFonts w:ascii="Century Gothic" w:hAnsi="Century Gothic"/>
        </w:rPr>
        <w:tab/>
        <w:t>Si las Partes de buena fe no pudieran lograr la conciliación correspondiente, entonces podrán iniciar un desacuerdo ante el Instituto para que dicha autoridad determine lo conducente.</w:t>
      </w:r>
    </w:p>
    <w:p w:rsidR="00643E58" w:rsidRPr="00611019" w:rsidRDefault="00643E58" w:rsidP="00035D2C">
      <w:pPr>
        <w:pStyle w:val="Texto1"/>
        <w:spacing w:line="13.80pt" w:lineRule="auto"/>
        <w:rPr>
          <w:rFonts w:ascii="Century Gothic" w:hAnsi="Century Gothic" w:cs="Arial"/>
          <w:b/>
          <w:sz w:val="22"/>
          <w:szCs w:val="22"/>
        </w:rPr>
        <w:sectPr w:rsidR="00643E58" w:rsidRPr="00611019" w:rsidSect="00DC7F25">
          <w:headerReference w:type="first" r:id="rId45"/>
          <w:type w:val="continuous"/>
          <w:pgSz w:w="612pt" w:h="792pt"/>
          <w:pgMar w:top="70.90pt" w:right="70.90pt" w:bottom="70.90pt" w:left="70.90pt" w:header="42.55pt" w:footer="36.85pt" w:gutter="0pt"/>
          <w:cols w:space="35.40pt"/>
          <w:titlePg/>
          <w:docGrid w:linePitch="360"/>
        </w:sectPr>
      </w:pPr>
    </w:p>
    <w:p w:rsidR="00643E58" w:rsidRPr="00611019" w:rsidRDefault="00643E58" w:rsidP="00035D2C">
      <w:pPr>
        <w:pStyle w:val="Texto1"/>
        <w:spacing w:line="13.80pt" w:lineRule="auto"/>
        <w:rPr>
          <w:rFonts w:ascii="Century Gothic" w:hAnsi="Century Gothic" w:cs="Arial"/>
          <w:b/>
          <w:sz w:val="22"/>
          <w:szCs w:val="22"/>
        </w:rPr>
      </w:pPr>
    </w:p>
    <w:p w:rsidR="00C1414C" w:rsidRPr="00611019" w:rsidRDefault="00E56462" w:rsidP="00035D2C">
      <w:pPr>
        <w:pStyle w:val="Texto1"/>
        <w:spacing w:after="10pt" w:line="13.80pt" w:lineRule="auto"/>
        <w:rPr>
          <w:rFonts w:ascii="Century Gothic" w:hAnsi="Century Gothic" w:cs="Arial"/>
          <w:b/>
        </w:rPr>
      </w:pPr>
      <w:r>
        <w:rPr>
          <w:rFonts w:ascii="Century Gothic" w:hAnsi="Century Gothic" w:cs="Arial"/>
          <w:noProof/>
          <w:lang w:val="es-MX" w:eastAsia="es-MX"/>
        </w:rPr>
        <w:drawing>
          <wp:inline distT="0" distB="0" distL="0" distR="0" wp14:anchorId="6C2DE205" wp14:editId="3744BAB3">
            <wp:extent cx="5678303" cy="7528387"/>
            <wp:effectExtent l="38100" t="38100" r="36830" b="34925"/>
            <wp:docPr id="1" name="Rectángulo: esquinas redondeadas 9"/>
            <wp:cNvGraphicFramePr/>
            <a:graphic xmlns:a="http://purl.oclc.org/ooxml/drawingml/main">
              <a:graphicData uri="http://schemas.microsoft.com/office/word/2010/wordprocessingShape">
                <wp:wsp>
                  <wp:cNvSpPr/>
                  <wp:spPr>
                    <a:xfrm>
                      <a:off x="0" y="0"/>
                      <a:ext cx="5678303" cy="7528387"/>
                    </a:xfrm>
                    <a:prstGeom prst="roundRect">
                      <a:avLst>
                        <a:gd name="adj" fmla="val 6030"/>
                      </a:avLst>
                    </a:prstGeom>
                    <a:noFill/>
                    <a:ln w="76200">
                      <a:solidFill>
                        <a:srgbClr val="009AD9"/>
                      </a:solidFill>
                      <a:prstDash val="solid"/>
                      <a:miter lim="800%"/>
                    </a:ln>
                    <a:effectLst/>
                  </wp:spPr>
                  <wp:txbx>
                    <wne:txbxContent>
                      <w:p w:rsidR="000511F0" w:rsidRDefault="000511F0" w:rsidP="00C1414C">
                        <w:pPr>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5727DDD5" wp14:editId="2F761543">
                              <wp:extent cx="2552700" cy="1438275"/>
                              <wp:effectExtent l="0" t="0" r="0" b="9525"/>
                              <wp:docPr id="22" name="Imagen 22"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60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rsidR="000511F0" w:rsidRDefault="000511F0" w:rsidP="00C1414C">
                        <w:pPr>
                          <w:jc w:val="center"/>
                          <w:rPr>
                            <w:rFonts w:ascii="Century Gothic" w:hAnsi="Century Gothic" w:cs="Arial"/>
                            <w:b/>
                            <w:noProof/>
                            <w:color w:val="000000"/>
                            <w:sz w:val="26"/>
                            <w:szCs w:val="26"/>
                            <w:lang w:eastAsia="es-MX"/>
                          </w:rPr>
                        </w:pPr>
                      </w:p>
                      <w:p w:rsidR="000511F0" w:rsidRDefault="000511F0" w:rsidP="00C1414C">
                        <w:pPr>
                          <w:jc w:val="center"/>
                          <w:rPr>
                            <w:rFonts w:ascii="Century Gothic" w:hAnsi="Century Gothic" w:cs="Arial"/>
                            <w:b/>
                            <w:noProof/>
                            <w:color w:val="000000"/>
                            <w:sz w:val="26"/>
                            <w:szCs w:val="26"/>
                            <w:lang w:eastAsia="es-MX"/>
                          </w:rPr>
                        </w:pPr>
                      </w:p>
                      <w:p w:rsidR="000511F0" w:rsidRDefault="000511F0" w:rsidP="00C1414C">
                        <w:pPr>
                          <w:pStyle w:val="Ttulo1"/>
                          <w:jc w:val="center"/>
                          <w:rPr>
                            <w:rFonts w:ascii="Century Gothic" w:hAnsi="Century Gothic"/>
                            <w:sz w:val="24"/>
                            <w:szCs w:val="24"/>
                            <w:u w:val="single"/>
                          </w:rPr>
                        </w:pPr>
                        <w:bookmarkStart w:id="2389" w:name="_Toc92974114"/>
                        <w:bookmarkStart w:id="2390" w:name="_Toc93052425"/>
                        <w:bookmarkStart w:id="2391" w:name="_Toc93056380"/>
                        <w:bookmarkStart w:id="2392" w:name="_Toc125393443"/>
                        <w:bookmarkStart w:id="2393" w:name="_Toc128477968"/>
                        <w:bookmarkStart w:id="2394" w:name="_Toc148692319"/>
                        <w:bookmarkStart w:id="2395" w:name="_Toc148702299"/>
                        <w:bookmarkStart w:id="2396" w:name="_Toc149644410"/>
                        <w:bookmarkStart w:id="2397" w:name="_Toc149644695"/>
                        <w:bookmarkStart w:id="2398" w:name="_Toc149645000"/>
                        <w:bookmarkStart w:id="2399" w:name="_Toc170380195"/>
                        <w:bookmarkStart w:id="2400" w:name="_Toc170380596"/>
                        <w:bookmarkStart w:id="2401" w:name="_Toc170381130"/>
                        <w:bookmarkStart w:id="2402" w:name="_Toc170381914"/>
                        <w:r>
                          <w:rPr>
                            <w:rFonts w:ascii="Century Gothic" w:hAnsi="Century Gothic"/>
                            <w:sz w:val="24"/>
                            <w:szCs w:val="24"/>
                            <w:u w:val="single"/>
                          </w:rPr>
                          <w:t>ANEXO C</w:t>
                        </w:r>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p>
                      <w:p w:rsidR="000511F0" w:rsidRPr="008A6791" w:rsidRDefault="000511F0" w:rsidP="00C1414C">
                        <w:pPr>
                          <w:pStyle w:val="Ttulo1"/>
                          <w:jc w:val="center"/>
                          <w:rPr>
                            <w:rFonts w:ascii="Century Gothic" w:hAnsi="Century Gothic"/>
                            <w:sz w:val="24"/>
                            <w:szCs w:val="24"/>
                          </w:rPr>
                        </w:pPr>
                      </w:p>
                      <w:p w:rsidR="000511F0" w:rsidRDefault="000511F0" w:rsidP="00C1414C">
                        <w:pPr>
                          <w:pStyle w:val="Ttulo1"/>
                          <w:spacing w:line="12pt" w:lineRule="auto"/>
                          <w:jc w:val="center"/>
                          <w:rPr>
                            <w:rFonts w:ascii="Century Gothic" w:hAnsi="Century Gothic"/>
                            <w:sz w:val="26"/>
                            <w:szCs w:val="26"/>
                          </w:rPr>
                        </w:pPr>
                        <w:bookmarkStart w:id="2403" w:name="_Toc92974115"/>
                        <w:bookmarkStart w:id="2404" w:name="_Toc93052426"/>
                        <w:bookmarkStart w:id="2405" w:name="_Toc93056381"/>
                        <w:bookmarkStart w:id="2406" w:name="_Toc125393444"/>
                        <w:bookmarkStart w:id="2407" w:name="_Toc128477969"/>
                        <w:bookmarkStart w:id="2408" w:name="_Toc148692320"/>
                        <w:bookmarkStart w:id="2409" w:name="_Toc148702300"/>
                        <w:bookmarkStart w:id="2410" w:name="_Toc149644411"/>
                        <w:bookmarkStart w:id="2411" w:name="_Toc149644696"/>
                        <w:bookmarkStart w:id="2412" w:name="_Toc149645001"/>
                        <w:bookmarkStart w:id="2413" w:name="_Toc170380196"/>
                        <w:bookmarkStart w:id="2414" w:name="_Toc170380597"/>
                        <w:bookmarkStart w:id="2415" w:name="_Toc170381131"/>
                        <w:bookmarkStart w:id="2416" w:name="_Toc170381915"/>
                        <w:r>
                          <w:rPr>
                            <w:rFonts w:ascii="Century Gothic" w:hAnsi="Century Gothic"/>
                            <w:sz w:val="26"/>
                            <w:szCs w:val="26"/>
                          </w:rPr>
                          <w:t xml:space="preserve">Procedimiento de Gestión de Incidencias y </w:t>
                        </w:r>
                        <w:r>
                          <w:rPr>
                            <w:rFonts w:ascii="Century Gothic" w:hAnsi="Century Gothic"/>
                            <w:sz w:val="26"/>
                            <w:szCs w:val="26"/>
                          </w:rPr>
                          <w:br/>
                          <w:t>Continuidad del Servicio</w:t>
                        </w:r>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p>
                      <w:p w:rsidR="000511F0" w:rsidRDefault="000511F0" w:rsidP="00414BEA">
                        <w:pPr>
                          <w:rPr>
                            <w:lang w:val="es-ES" w:eastAsia="es-ES"/>
                          </w:rPr>
                        </w:pPr>
                      </w:p>
                      <w:p w:rsidR="000511F0" w:rsidRPr="006B0514" w:rsidRDefault="000511F0" w:rsidP="00414BEA">
                        <w:pPr>
                          <w:rPr>
                            <w:lang w:val="es-ES" w:eastAsia="es-ES"/>
                          </w:rPr>
                        </w:pPr>
                      </w:p>
                      <w:p w:rsidR="000511F0" w:rsidRPr="008A6791" w:rsidRDefault="000511F0" w:rsidP="00414BEA">
                        <w:pPr>
                          <w:jc w:val="center"/>
                          <w:rPr>
                            <w:rFonts w:ascii="Century Gothic" w:hAnsi="Century Gothic"/>
                            <w:b/>
                            <w:sz w:val="24"/>
                            <w:szCs w:val="24"/>
                          </w:rPr>
                        </w:pPr>
                        <w:r>
                          <w:rPr>
                            <w:rFonts w:ascii="Century Gothic" w:hAnsi="Century Gothic"/>
                            <w:b/>
                            <w:sz w:val="24"/>
                            <w:szCs w:val="24"/>
                          </w:rPr>
                          <w:t>Red Nacional Última Milla, S.A.P.I. de C.V.</w:t>
                        </w:r>
                      </w:p>
                      <w:p w:rsidR="000511F0" w:rsidRPr="00414BEA" w:rsidRDefault="000511F0" w:rsidP="00414BEA">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Pr="008A6791" w:rsidRDefault="000511F0" w:rsidP="00414BEA">
                        <w:pPr>
                          <w:jc w:val="center"/>
                          <w:rPr>
                            <w:rFonts w:ascii="Century Gothic" w:hAnsi="Century Gothic"/>
                            <w:b/>
                            <w:bCs/>
                            <w:sz w:val="24"/>
                            <w:szCs w:val="24"/>
                          </w:rPr>
                        </w:pPr>
                      </w:p>
                      <w:p w:rsidR="000511F0" w:rsidRPr="008A6791" w:rsidRDefault="000511F0" w:rsidP="00414BEA">
                        <w:pPr>
                          <w:jc w:val="center"/>
                          <w:rPr>
                            <w:rFonts w:ascii="Century Gothic" w:hAnsi="Century Gothic"/>
                            <w:b/>
                            <w:sz w:val="24"/>
                            <w:szCs w:val="24"/>
                          </w:rPr>
                        </w:pPr>
                        <w:r>
                          <w:rPr>
                            <w:rFonts w:ascii="Century Gothic" w:hAnsi="Century Gothic"/>
                            <w:b/>
                            <w:sz w:val="24"/>
                            <w:szCs w:val="24"/>
                          </w:rPr>
                          <w:t>2026</w:t>
                        </w: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C1414C">
                        <w:pPr>
                          <w:spacing w:line="18pt" w:lineRule="auto"/>
                          <w:jc w:val="center"/>
                          <w:rPr>
                            <w:rFonts w:ascii="Century Gothic" w:hAnsi="Century Gothic" w:cs="Arial"/>
                            <w:b/>
                            <w:sz w:val="24"/>
                            <w:szCs w:val="24"/>
                            <w:lang w:val="es-ES"/>
                          </w:rPr>
                        </w:pPr>
                      </w:p>
                      <w:p w:rsidR="000511F0" w:rsidRPr="002258A2" w:rsidRDefault="000511F0" w:rsidP="00C1414C">
                        <w:pPr>
                          <w:spacing w:line="18pt" w:lineRule="auto"/>
                          <w:jc w:val="center"/>
                          <w:rPr>
                            <w:rFonts w:ascii="Century Gothic" w:hAnsi="Century Gothic" w:cs="Arial"/>
                            <w:b/>
                            <w:sz w:val="24"/>
                            <w:szCs w:val="24"/>
                            <w:lang w:val="es-ES"/>
                          </w:rPr>
                        </w:pPr>
                      </w:p>
                    </wne:txbxContent>
                  </wp:txbx>
                  <wp:bodyPr rot="0" spcFirstLastPara="0" vertOverflow="overflow" horzOverflow="overflow" vert="horz" wrap="square" lIns="91440" tIns="45720" rIns="91440" bIns="45720" numCol="1" spcCol="0" rtlCol="0" fromWordArt="0" anchor="ctr" anchorCtr="0" forceAA="0" compatLnSpc="1">
                    <a:prstTxWarp prst="textNoShape">
                      <a:avLst/>
                    </a:prstTxWarp>
                  </wp:bodyPr>
                </wp:wsp>
              </a:graphicData>
            </a:graphic>
          </wp:inline>
        </w:drawing>
      </w:r>
    </w:p>
    <w:p w:rsidR="00B918E5" w:rsidRPr="00611019" w:rsidRDefault="00B918E5" w:rsidP="00035D2C">
      <w:pPr>
        <w:pStyle w:val="Texto1"/>
        <w:spacing w:after="10pt" w:line="13.80pt" w:lineRule="auto"/>
        <w:rPr>
          <w:rFonts w:ascii="Century Gothic" w:hAnsi="Century Gothic" w:cs="Arial"/>
          <w:b/>
        </w:rPr>
        <w:sectPr w:rsidR="00B918E5" w:rsidRPr="00611019" w:rsidSect="00643E58">
          <w:type w:val="oddPage"/>
          <w:pgSz w:w="612pt" w:h="792pt"/>
          <w:pgMar w:top="70.90pt" w:right="70.90pt" w:bottom="70.90pt" w:left="70.90pt" w:header="42.55pt" w:footer="36.85pt" w:gutter="0pt"/>
          <w:cols w:space="35.40pt"/>
          <w:titlePg/>
          <w:docGrid w:linePitch="360"/>
        </w:sectPr>
      </w:pPr>
    </w:p>
    <w:p w:rsidR="00643E58" w:rsidRPr="00611019" w:rsidRDefault="00643E58" w:rsidP="00035D2C">
      <w:pPr>
        <w:spacing w:after="8pt"/>
        <w:rPr>
          <w:rFonts w:ascii="Century Gothic" w:eastAsia="Calibri" w:hAnsi="Century Gothic" w:cs="Arial"/>
          <w:color w:val="000000"/>
          <w:lang w:val="es-ES_tradnl" w:eastAsia="es-ES"/>
        </w:rPr>
        <w:sectPr w:rsidR="00643E58" w:rsidRPr="00611019" w:rsidSect="00643E58">
          <w:type w:val="oddPage"/>
          <w:pgSz w:w="612pt" w:h="792pt"/>
          <w:pgMar w:top="70.90pt" w:right="70.90pt" w:bottom="70.90pt" w:left="70.90pt" w:header="42.55pt" w:footer="36.85pt" w:gutter="0pt"/>
          <w:cols w:space="35.40pt"/>
          <w:titlePg/>
          <w:docGrid w:linePitch="360"/>
        </w:sectPr>
      </w:pPr>
    </w:p>
    <w:p w:rsidR="00DC44FD" w:rsidRPr="00611019" w:rsidRDefault="00E56462" w:rsidP="00035D2C">
      <w:pPr>
        <w:pStyle w:val="Ttulo1"/>
        <w:jc w:val="center"/>
        <w:rPr>
          <w:rFonts w:ascii="Century Gothic" w:hAnsi="Century Gothic"/>
        </w:rPr>
      </w:pPr>
      <w:bookmarkStart w:id="2417" w:name="_Toc92974116"/>
      <w:bookmarkStart w:id="2418" w:name="_Toc93052427"/>
      <w:bookmarkStart w:id="2419" w:name="_Toc93056382"/>
      <w:bookmarkStart w:id="2420" w:name="_Toc125393445"/>
      <w:bookmarkStart w:id="2421" w:name="_Toc148702301"/>
      <w:bookmarkStart w:id="2422" w:name="_Toc170381916"/>
      <w:r>
        <w:rPr>
          <w:rFonts w:ascii="Century Gothic" w:hAnsi="Century Gothic"/>
        </w:rPr>
        <w:lastRenderedPageBreak/>
        <w:t>ANEXO C</w:t>
      </w:r>
      <w:bookmarkEnd w:id="2417"/>
      <w:bookmarkEnd w:id="2418"/>
      <w:bookmarkEnd w:id="2419"/>
      <w:bookmarkEnd w:id="2420"/>
      <w:bookmarkEnd w:id="2421"/>
      <w:bookmarkEnd w:id="2422"/>
    </w:p>
    <w:p w:rsidR="00A92D8F" w:rsidRPr="00611019" w:rsidRDefault="00E56462" w:rsidP="00035D2C">
      <w:pPr>
        <w:pStyle w:val="Ttulo1"/>
        <w:ind w:start="17.85pt"/>
        <w:jc w:val="center"/>
        <w:rPr>
          <w:rFonts w:ascii="Century Gothic" w:hAnsi="Century Gothic"/>
        </w:rPr>
      </w:pPr>
      <w:bookmarkStart w:id="2423" w:name="_Toc92974117"/>
      <w:bookmarkStart w:id="2424" w:name="_Toc93052428"/>
      <w:bookmarkStart w:id="2425" w:name="_Toc93056383"/>
      <w:bookmarkStart w:id="2426" w:name="_Toc125393446"/>
      <w:bookmarkStart w:id="2427" w:name="_Toc148702302"/>
      <w:bookmarkStart w:id="2428" w:name="_Toc170381917"/>
      <w:r>
        <w:rPr>
          <w:rFonts w:ascii="Century Gothic" w:hAnsi="Century Gothic"/>
        </w:rPr>
        <w:t>PROCEDIMIENTO DE GESTIÓN DE INCIDENCIAS Y CONTINUIDAD DEL SERVICIO</w:t>
      </w:r>
      <w:bookmarkEnd w:id="2423"/>
      <w:bookmarkEnd w:id="2424"/>
      <w:bookmarkEnd w:id="2425"/>
      <w:bookmarkEnd w:id="2426"/>
      <w:bookmarkEnd w:id="2427"/>
      <w:bookmarkEnd w:id="2428"/>
    </w:p>
    <w:p w:rsidR="00DC44FD" w:rsidRPr="00611019" w:rsidRDefault="00DC44FD" w:rsidP="00035D2C">
      <w:pPr>
        <w:pStyle w:val="Texto1"/>
        <w:spacing w:after="6pt" w:line="13.80pt" w:lineRule="auto"/>
        <w:ind w:start="0pt"/>
        <w:rPr>
          <w:rFonts w:ascii="Century Gothic" w:hAnsi="Century Gothic" w:cs="Arial"/>
          <w:b/>
          <w:sz w:val="22"/>
          <w:szCs w:val="22"/>
        </w:rPr>
      </w:pPr>
    </w:p>
    <w:p w:rsidR="006976DF" w:rsidRPr="00611019" w:rsidRDefault="00E56462" w:rsidP="00035D2C">
      <w:pPr>
        <w:pStyle w:val="1TitPrin"/>
        <w:spacing w:after="6pt"/>
        <w:ind w:start="0pt" w:firstLine="0pt"/>
        <w:rPr>
          <w:rFonts w:ascii="Century Gothic" w:hAnsi="Century Gothic" w:cs="Times New Roman"/>
          <w14:scene3d>
            <w14:camera w14:prst="orthographicFront"/>
            <w14:lightRig w14:rig="threePt" w14:dir="t">
              <w14:rot w14:lat="0" w14:lon="0" w14:rev="0"/>
            </w14:lightRig>
          </w14:scene3d>
        </w:rPr>
      </w:pPr>
      <w:bookmarkStart w:id="2429" w:name="_Toc92974118"/>
      <w:bookmarkStart w:id="2430" w:name="_Toc93052429"/>
      <w:bookmarkStart w:id="2431" w:name="_Toc93056384"/>
      <w:bookmarkStart w:id="2432" w:name="_Toc125393447"/>
      <w:bookmarkStart w:id="2433" w:name="_Toc148702303"/>
      <w:bookmarkStart w:id="2434" w:name="_Toc170381918"/>
      <w:r>
        <w:rPr>
          <w:rFonts w:ascii="Century Gothic" w:hAnsi="Century Gothic" w:cs="Times New Roman"/>
          <w14:scene3d>
            <w14:camera w14:prst="orthographicFront"/>
            <w14:lightRig w14:rig="threePt" w14:dir="t">
              <w14:rot w14:lat="0" w14:lon="0" w14:rev="0"/>
            </w14:lightRig>
          </w14:scene3d>
        </w:rPr>
        <w:t>1. Introducción</w:t>
      </w:r>
      <w:bookmarkEnd w:id="2429"/>
      <w:bookmarkEnd w:id="2430"/>
      <w:bookmarkEnd w:id="2431"/>
      <w:bookmarkEnd w:id="2432"/>
      <w:bookmarkEnd w:id="2433"/>
      <w:bookmarkEnd w:id="2434"/>
      <w:r>
        <w:rPr>
          <w:rFonts w:ascii="Century Gothic" w:hAnsi="Century Gothic" w:cs="Times New Roman"/>
          <w14:scene3d>
            <w14:camera w14:prst="orthographicFront"/>
            <w14:lightRig w14:rig="threePt" w14:dir="t">
              <w14:rot w14:lat="0" w14:lon="0" w14:rev="0"/>
            </w14:lightRig>
          </w14:scene3d>
        </w:rPr>
        <w:t>.</w:t>
      </w:r>
    </w:p>
    <w:p w:rsidR="00A92D8F" w:rsidRPr="00611019" w:rsidRDefault="00E56462" w:rsidP="00035D2C">
      <w:pPr>
        <w:pStyle w:val="IFTnormal"/>
        <w:spacing w:after="6pt"/>
        <w:rPr>
          <w:rFonts w:ascii="Century Gothic" w:hAnsi="Century Gothic"/>
        </w:rPr>
      </w:pPr>
      <w:r>
        <w:rPr>
          <w:rFonts w:ascii="Century Gothic" w:hAnsi="Century Gothic"/>
        </w:rPr>
        <w:t xml:space="preserve">El presente anexo describe los procedimientos que deberán seguirse para la gestión de incidencias (ejecución de todas aquellas órdenes planificadas y enfocadas a la atención, seguimiento y cierre de reportes de incidencia) por parte de </w:t>
      </w:r>
      <w:bookmarkStart w:id="2435" w:name="_Hlk91084481"/>
      <w:r>
        <w:rPr>
          <w:rFonts w:ascii="Century Gothic" w:hAnsi="Century Gothic"/>
        </w:rPr>
        <w:t>RED NACIONAL</w:t>
      </w:r>
      <w:bookmarkEnd w:id="2435"/>
      <w:r>
        <w:rPr>
          <w:rFonts w:ascii="Century Gothic" w:hAnsi="Century Gothic"/>
        </w:rPr>
        <w:t xml:space="preserve"> y/o del CS, relacionados con los Servicios objeto de la Oferta de Referencia para la Desagregación del Bucle Local; con la finalidad de restaurar la operación normal de los Servicios ofrecidos por RED NACIONAL en el menor tiempo posible y minimizar el impacto de las interrupciones del </w:t>
      </w:r>
      <w:r w:rsidR="0070202C">
        <w:rPr>
          <w:rFonts w:ascii="Century Gothic" w:hAnsi="Century Gothic"/>
        </w:rPr>
        <w:t>Servicio</w:t>
      </w:r>
      <w:r>
        <w:rPr>
          <w:rFonts w:ascii="Century Gothic" w:hAnsi="Century Gothic"/>
        </w:rPr>
        <w:t xml:space="preserve">, las operaciones del Usuario Final y asegurar el cumplimiento de los Acuerdos de Niveles de Servicio (SLA, por sus siglas en inglés). </w:t>
      </w:r>
    </w:p>
    <w:p w:rsidR="00A92D8F" w:rsidRPr="00611019" w:rsidRDefault="00E56462" w:rsidP="00035D2C">
      <w:pPr>
        <w:pStyle w:val="IFTnormal"/>
        <w:rPr>
          <w:rFonts w:ascii="Century Gothic" w:hAnsi="Century Gothic"/>
        </w:rPr>
      </w:pPr>
      <w:r>
        <w:rPr>
          <w:rFonts w:ascii="Century Gothic" w:hAnsi="Century Gothic"/>
        </w:rPr>
        <w:t>Para ello, se definen los siguientes términos:</w:t>
      </w:r>
    </w:p>
    <w:p w:rsidR="00E84294" w:rsidRPr="00611019" w:rsidRDefault="00E84294" w:rsidP="00035D2C">
      <w:pPr>
        <w:pStyle w:val="IFTnormal"/>
        <w:rPr>
          <w:rFonts w:ascii="Century Gothic" w:hAnsi="Century Gothic"/>
        </w:rPr>
      </w:pPr>
    </w:p>
    <w:p w:rsidR="00A92D8F" w:rsidRPr="00611019" w:rsidRDefault="00E56462">
      <w:pPr>
        <w:pStyle w:val="IFTnormal"/>
        <w:numPr>
          <w:ilvl w:val="0"/>
          <w:numId w:val="156"/>
        </w:numPr>
        <w:rPr>
          <w:rFonts w:ascii="Century Gothic" w:hAnsi="Century Gothic"/>
        </w:rPr>
      </w:pPr>
      <w:r>
        <w:rPr>
          <w:rFonts w:ascii="Century Gothic" w:hAnsi="Century Gothic"/>
          <w:b/>
        </w:rPr>
        <w:t>Evento de monitorización:</w:t>
      </w:r>
      <w:r>
        <w:rPr>
          <w:rFonts w:ascii="Century Gothic" w:hAnsi="Century Gothic"/>
        </w:rPr>
        <w:t xml:space="preserve"> Notificación de un posible incidente generada automáticamente por las herramientas de monitoreo de red de RED NACIONAL. Este evento llega al punto de registro de incidentes para su evaluación.</w:t>
      </w:r>
    </w:p>
    <w:p w:rsidR="00A92D8F" w:rsidRPr="00611019" w:rsidRDefault="00E56462">
      <w:pPr>
        <w:pStyle w:val="IFTnormal"/>
        <w:numPr>
          <w:ilvl w:val="0"/>
          <w:numId w:val="156"/>
        </w:numPr>
        <w:rPr>
          <w:rFonts w:ascii="Century Gothic" w:hAnsi="Century Gothic"/>
        </w:rPr>
      </w:pPr>
      <w:r>
        <w:rPr>
          <w:rFonts w:ascii="Century Gothic" w:hAnsi="Century Gothic"/>
          <w:b/>
        </w:rPr>
        <w:t>Falla masiva:</w:t>
      </w:r>
      <w:r>
        <w:rPr>
          <w:rFonts w:ascii="Century Gothic" w:hAnsi="Century Gothic"/>
        </w:rPr>
        <w:t xml:space="preserve"> Más de 10 fallas reconocidas para un mismo distrito.</w:t>
      </w:r>
    </w:p>
    <w:p w:rsidR="00A92D8F" w:rsidRPr="00611019" w:rsidRDefault="00E56462">
      <w:pPr>
        <w:pStyle w:val="IFTnormal"/>
        <w:numPr>
          <w:ilvl w:val="0"/>
          <w:numId w:val="156"/>
        </w:numPr>
        <w:rPr>
          <w:rFonts w:ascii="Century Gothic" w:hAnsi="Century Gothic"/>
        </w:rPr>
      </w:pPr>
      <w:r>
        <w:rPr>
          <w:rFonts w:ascii="Century Gothic" w:hAnsi="Century Gothic"/>
          <w:b/>
        </w:rPr>
        <w:t>Incidente o falla:</w:t>
      </w:r>
      <w:r>
        <w:rPr>
          <w:rFonts w:ascii="Century Gothic" w:hAnsi="Century Gothic"/>
        </w:rPr>
        <w:t xml:space="preserve"> Es la interrupción no planeada de un Servicio o la reducción en la calidad del mismo fuera de los parámetros específicos indicados para cada servicio.</w:t>
      </w:r>
    </w:p>
    <w:p w:rsidR="00A92D8F" w:rsidRPr="00611019" w:rsidRDefault="00E56462">
      <w:pPr>
        <w:pStyle w:val="IFTnormal"/>
        <w:numPr>
          <w:ilvl w:val="0"/>
          <w:numId w:val="156"/>
        </w:numPr>
        <w:rPr>
          <w:rFonts w:ascii="Century Gothic" w:hAnsi="Century Gothic"/>
        </w:rPr>
      </w:pPr>
      <w:r>
        <w:rPr>
          <w:rFonts w:ascii="Century Gothic" w:hAnsi="Century Gothic"/>
          <w:b/>
        </w:rPr>
        <w:t>Operación normal del servicio:</w:t>
      </w:r>
      <w:r>
        <w:rPr>
          <w:rFonts w:ascii="Century Gothic" w:hAnsi="Century Gothic"/>
        </w:rPr>
        <w:t xml:space="preserve"> Funcionamiento del Servicio dentro de lo previsto (según lo recogido en el acuerdo de nivel de Servicio o SLA), de tal forma que el CS no vea interferida su actividad.</w:t>
      </w:r>
    </w:p>
    <w:p w:rsidR="00A92D8F" w:rsidRPr="00611019" w:rsidRDefault="00E56462">
      <w:pPr>
        <w:pStyle w:val="IFTnormal"/>
        <w:numPr>
          <w:ilvl w:val="0"/>
          <w:numId w:val="156"/>
        </w:numPr>
        <w:rPr>
          <w:rFonts w:ascii="Century Gothic" w:hAnsi="Century Gothic"/>
        </w:rPr>
      </w:pPr>
      <w:r>
        <w:rPr>
          <w:rFonts w:ascii="Century Gothic" w:hAnsi="Century Gothic"/>
          <w:b/>
        </w:rPr>
        <w:t>OREDA u Oferta:</w:t>
      </w:r>
      <w:r>
        <w:rPr>
          <w:rFonts w:ascii="Century Gothic" w:hAnsi="Century Gothic"/>
        </w:rPr>
        <w:t xml:space="preserve"> Oferta de Referencia para la Desagregación del Bucle Local.</w:t>
      </w:r>
    </w:p>
    <w:p w:rsidR="00A92D8F" w:rsidRPr="00611019" w:rsidRDefault="00E56462">
      <w:pPr>
        <w:pStyle w:val="IFTnormal"/>
        <w:numPr>
          <w:ilvl w:val="0"/>
          <w:numId w:val="156"/>
        </w:numPr>
        <w:rPr>
          <w:rFonts w:ascii="Century Gothic" w:hAnsi="Century Gothic"/>
        </w:rPr>
      </w:pPr>
      <w:r>
        <w:rPr>
          <w:rFonts w:ascii="Century Gothic" w:hAnsi="Century Gothic"/>
          <w:b/>
        </w:rPr>
        <w:t>Ticket:</w:t>
      </w:r>
      <w:r>
        <w:rPr>
          <w:rFonts w:ascii="Century Gothic" w:hAnsi="Century Gothic"/>
        </w:rPr>
        <w:t xml:space="preserve"> Ficha de registro que se le asigna al reporte de un incidente por el centro de atención o el SEG/SIPO.</w:t>
      </w:r>
    </w:p>
    <w:p w:rsidR="00A92D8F" w:rsidRPr="00611019" w:rsidRDefault="00E56462">
      <w:pPr>
        <w:pStyle w:val="IFTnormal"/>
        <w:numPr>
          <w:ilvl w:val="0"/>
          <w:numId w:val="156"/>
        </w:numPr>
        <w:rPr>
          <w:rFonts w:ascii="Century Gothic" w:hAnsi="Century Gothic"/>
        </w:rPr>
      </w:pPr>
      <w:r>
        <w:rPr>
          <w:rFonts w:ascii="Century Gothic" w:hAnsi="Century Gothic"/>
          <w:b/>
        </w:rPr>
        <w:t>Reincidencia:</w:t>
      </w:r>
      <w:r>
        <w:rPr>
          <w:rFonts w:ascii="Century Gothic" w:hAnsi="Century Gothic"/>
        </w:rPr>
        <w:t xml:space="preserve"> cuando un mismo elemento de red presenta el mismo problema por más de una ocasión en un periodo de dos días.</w:t>
      </w:r>
    </w:p>
    <w:p w:rsidR="00A92D8F" w:rsidRPr="00611019" w:rsidRDefault="00E56462">
      <w:pPr>
        <w:pStyle w:val="IFTnormal"/>
        <w:numPr>
          <w:ilvl w:val="0"/>
          <w:numId w:val="156"/>
        </w:numPr>
        <w:rPr>
          <w:rFonts w:ascii="Century Gothic" w:hAnsi="Century Gothic"/>
        </w:rPr>
      </w:pPr>
      <w:r>
        <w:rPr>
          <w:rFonts w:ascii="Century Gothic" w:hAnsi="Century Gothic"/>
          <w:b/>
        </w:rPr>
        <w:t>Tiempo de resolución:</w:t>
      </w:r>
      <w:r>
        <w:rPr>
          <w:rFonts w:ascii="Century Gothic" w:hAnsi="Century Gothic"/>
        </w:rPr>
        <w:t xml:space="preserve"> Plazo previsto para la solución de incidentes con base en los niveles de servicio establecidos en la Oferta, desde el registro del incidente hasta el cierre del mismo.</w:t>
      </w:r>
    </w:p>
    <w:p w:rsidR="00E84294" w:rsidRPr="00611019" w:rsidRDefault="00E84294" w:rsidP="00035D2C">
      <w:pPr>
        <w:pStyle w:val="IFTnormal"/>
        <w:ind w:start="36pt"/>
        <w:rPr>
          <w:rFonts w:ascii="Century Gothic" w:hAnsi="Century Gothic"/>
        </w:rPr>
      </w:pPr>
    </w:p>
    <w:p w:rsidR="00A92D8F" w:rsidRPr="00611019" w:rsidRDefault="00E56462" w:rsidP="00035D2C">
      <w:pPr>
        <w:pStyle w:val="IFTnormal"/>
        <w:spacing w:after="6pt"/>
        <w:rPr>
          <w:rFonts w:ascii="Century Gothic" w:hAnsi="Century Gothic"/>
        </w:rPr>
      </w:pPr>
      <w:r>
        <w:rPr>
          <w:rFonts w:ascii="Century Gothic" w:hAnsi="Century Gothic"/>
        </w:rPr>
        <w:t>Los plazos para la solución de incidencias se ajustarán a lo establecido en los correspondientes acuerdos de nivel de servicio.</w:t>
      </w:r>
    </w:p>
    <w:p w:rsidR="00A92D8F" w:rsidRPr="00611019" w:rsidRDefault="00E56462" w:rsidP="00035D2C">
      <w:pPr>
        <w:pStyle w:val="IFTnormal"/>
        <w:spacing w:after="6pt"/>
        <w:rPr>
          <w:rFonts w:ascii="Century Gothic" w:hAnsi="Century Gothic"/>
        </w:rPr>
      </w:pPr>
      <w:r>
        <w:rPr>
          <w:rFonts w:ascii="Century Gothic" w:hAnsi="Century Gothic"/>
        </w:rPr>
        <w:t>Las incidencias podrán o no ser responsabilidad de RED NACIONAL, por lo que dicha circunstancia se precisará en el reporte que para tal efecto se levante mediante un identificador que defina al “concesionario/autorizado”.</w:t>
      </w:r>
    </w:p>
    <w:p w:rsidR="00A92D8F" w:rsidRPr="00611019" w:rsidRDefault="00E56462" w:rsidP="00035D2C">
      <w:pPr>
        <w:pStyle w:val="IFTnormal"/>
        <w:rPr>
          <w:rFonts w:ascii="Century Gothic" w:hAnsi="Century Gothic"/>
        </w:rPr>
      </w:pPr>
      <w:r>
        <w:rPr>
          <w:rFonts w:ascii="Century Gothic" w:hAnsi="Century Gothic"/>
        </w:rPr>
        <w:lastRenderedPageBreak/>
        <w:t>Cualquier reporte de falla o incidencia ajeno al alcance de los Servicios de la OREDA que no esté relacionado con un daño en la infraestructura de RED NACIONAL se considera una falla imputable al CS o de caso fortuito o fuerza mayor.</w:t>
      </w:r>
    </w:p>
    <w:p w:rsidR="006976DF" w:rsidRPr="00611019" w:rsidRDefault="006976DF" w:rsidP="00035D2C">
      <w:pPr>
        <w:pStyle w:val="IFTnormal"/>
        <w:rPr>
          <w:rFonts w:ascii="Century Gothic" w:hAnsi="Century Gothic"/>
        </w:rPr>
      </w:pPr>
    </w:p>
    <w:p w:rsidR="006976DF" w:rsidRPr="00611019" w:rsidRDefault="00E56462" w:rsidP="00035D2C">
      <w:pPr>
        <w:pStyle w:val="1TitPrin"/>
        <w:ind w:start="0pt" w:firstLine="0pt"/>
        <w:rPr>
          <w:rFonts w:ascii="Century Gothic" w:hAnsi="Century Gothic" w:cs="Times New Roman"/>
          <w14:scene3d>
            <w14:camera w14:prst="orthographicFront"/>
            <w14:lightRig w14:rig="threePt" w14:dir="t">
              <w14:rot w14:lat="0" w14:lon="0" w14:rev="0"/>
            </w14:lightRig>
          </w14:scene3d>
        </w:rPr>
      </w:pPr>
      <w:bookmarkStart w:id="2436" w:name="_Toc92974119"/>
      <w:bookmarkStart w:id="2437" w:name="_Toc93052430"/>
      <w:bookmarkStart w:id="2438" w:name="_Toc93056385"/>
      <w:bookmarkStart w:id="2439" w:name="_Toc125393448"/>
      <w:bookmarkStart w:id="2440" w:name="_Toc148702304"/>
      <w:bookmarkStart w:id="2441" w:name="_Toc170381919"/>
      <w:r>
        <w:rPr>
          <w:rFonts w:ascii="Century Gothic" w:hAnsi="Century Gothic" w:cs="Times New Roman"/>
          <w14:scene3d>
            <w14:camera w14:prst="orthographicFront"/>
            <w14:lightRig w14:rig="threePt" w14:dir="t">
              <w14:rot w14:lat="0" w14:lon="0" w14:rev="0"/>
            </w14:lightRig>
          </w14:scene3d>
        </w:rPr>
        <w:t>2. Contacto</w:t>
      </w:r>
      <w:bookmarkEnd w:id="2436"/>
      <w:bookmarkEnd w:id="2437"/>
      <w:bookmarkEnd w:id="2438"/>
      <w:bookmarkEnd w:id="2439"/>
      <w:bookmarkEnd w:id="2440"/>
      <w:bookmarkEnd w:id="2441"/>
      <w:r>
        <w:rPr>
          <w:rFonts w:ascii="Century Gothic" w:hAnsi="Century Gothic" w:cs="Times New Roman"/>
          <w14:scene3d>
            <w14:camera w14:prst="orthographicFront"/>
            <w14:lightRig w14:rig="threePt" w14:dir="t">
              <w14:rot w14:lat="0" w14:lon="0" w14:rev="0"/>
            </w14:lightRig>
          </w14:scene3d>
        </w:rPr>
        <w:t>.</w:t>
      </w:r>
    </w:p>
    <w:p w:rsidR="00A92D8F" w:rsidRPr="00611019" w:rsidRDefault="00E56462" w:rsidP="00035D2C">
      <w:pPr>
        <w:pStyle w:val="IFTnormal"/>
        <w:spacing w:after="6pt"/>
        <w:rPr>
          <w:rFonts w:ascii="Century Gothic" w:hAnsi="Century Gothic"/>
          <w:color w:val="auto"/>
        </w:rPr>
      </w:pPr>
      <w:r>
        <w:rPr>
          <w:rFonts w:ascii="Century Gothic" w:hAnsi="Century Gothic"/>
        </w:rPr>
        <w:t>Con la finalidad de atender los incidentes que se presenten en los Servicios de Desagregación del Bucle Local y Servicios Auxiliares asociados que RED NACIONAL suministre, el CS deberá levantar y registra</w:t>
      </w:r>
      <w:r>
        <w:rPr>
          <w:rFonts w:ascii="Century Gothic" w:hAnsi="Century Gothic"/>
          <w:color w:val="auto"/>
        </w:rPr>
        <w:t xml:space="preserve">r un reporte de los mismos a través del SEG/SIPO y en caso de falla del mismo, a través del correo electrónico: </w:t>
      </w:r>
      <w:hyperlink r:id="rId46" w:history="1">
        <w:r>
          <w:rPr>
            <w:rFonts w:ascii="Century Gothic" w:hAnsi="Century Gothic"/>
            <w:color w:val="auto"/>
          </w:rPr>
          <w:t xml:space="preserve">OREDA@rednacional.com </w:t>
        </w:r>
      </w:hyperlink>
    </w:p>
    <w:p w:rsidR="00A92D8F" w:rsidRPr="00611019" w:rsidRDefault="00E56462" w:rsidP="00035D2C">
      <w:pPr>
        <w:pStyle w:val="IFTnormal"/>
        <w:spacing w:after="6pt"/>
        <w:rPr>
          <w:rFonts w:ascii="Century Gothic" w:hAnsi="Century Gothic"/>
        </w:rPr>
      </w:pPr>
      <w:r>
        <w:rPr>
          <w:rFonts w:ascii="Century Gothic" w:hAnsi="Century Gothic"/>
        </w:rPr>
        <w:t>Adicionalmente, se pone a disposición del CS como medio alternativo de contacto para el reporte de incidencias el número 800 4040 735 con cobertura nacional, donde, de igual forma, las incidencias quedarán registradas en el SEG/SIPO para control, consulta y seguimiento de las mismas.</w:t>
      </w:r>
    </w:p>
    <w:p w:rsidR="00A92D8F" w:rsidRPr="00611019" w:rsidRDefault="00E56462" w:rsidP="00035D2C">
      <w:pPr>
        <w:pStyle w:val="IFTnormal"/>
        <w:rPr>
          <w:rFonts w:ascii="Century Gothic" w:hAnsi="Century Gothic"/>
        </w:rPr>
      </w:pPr>
      <w:r>
        <w:rPr>
          <w:rFonts w:ascii="Century Gothic" w:hAnsi="Century Gothic"/>
        </w:rPr>
        <w:t>Los puntos de contacto anteriores estarán disponibles 7x24 horas los 365 días del año, a efecto de que el CS pueda realizar las actividades derivadas de la gestión de incidencias.</w:t>
      </w:r>
    </w:p>
    <w:p w:rsidR="006976DF" w:rsidRPr="00611019" w:rsidRDefault="006976DF" w:rsidP="00035D2C">
      <w:pPr>
        <w:pStyle w:val="IFTnormal"/>
        <w:rPr>
          <w:rFonts w:ascii="Century Gothic" w:hAnsi="Century Gothic"/>
        </w:rPr>
      </w:pPr>
    </w:p>
    <w:p w:rsidR="006976DF" w:rsidRPr="00611019" w:rsidRDefault="00E56462" w:rsidP="00035D2C">
      <w:pPr>
        <w:pStyle w:val="1TitPrin"/>
        <w:ind w:start="0pt" w:firstLine="0pt"/>
        <w:rPr>
          <w:rFonts w:ascii="Century Gothic" w:hAnsi="Century Gothic" w:cs="Times New Roman"/>
          <w14:scene3d>
            <w14:camera w14:prst="orthographicFront"/>
            <w14:lightRig w14:rig="threePt" w14:dir="t">
              <w14:rot w14:lat="0" w14:lon="0" w14:rev="0"/>
            </w14:lightRig>
          </w14:scene3d>
        </w:rPr>
      </w:pPr>
      <w:bookmarkStart w:id="2442" w:name="_Toc92974120"/>
      <w:bookmarkStart w:id="2443" w:name="_Toc93052431"/>
      <w:bookmarkStart w:id="2444" w:name="_Toc93056386"/>
      <w:bookmarkStart w:id="2445" w:name="_Toc125393449"/>
      <w:bookmarkStart w:id="2446" w:name="_Toc148702305"/>
      <w:bookmarkStart w:id="2447" w:name="_Toc170381920"/>
      <w:r>
        <w:rPr>
          <w:rFonts w:ascii="Century Gothic" w:hAnsi="Century Gothic" w:cs="Times New Roman"/>
          <w14:scene3d>
            <w14:camera w14:prst="orthographicFront"/>
            <w14:lightRig w14:rig="threePt" w14:dir="t">
              <w14:rot w14:lat="0" w14:lon="0" w14:rev="0"/>
            </w14:lightRig>
          </w14:scene3d>
        </w:rPr>
        <w:t>3. Verificación previa al reporte de incidencias</w:t>
      </w:r>
      <w:bookmarkEnd w:id="2442"/>
      <w:bookmarkEnd w:id="2443"/>
      <w:bookmarkEnd w:id="2444"/>
      <w:bookmarkEnd w:id="2445"/>
      <w:bookmarkEnd w:id="2446"/>
      <w:bookmarkEnd w:id="2447"/>
      <w:r>
        <w:rPr>
          <w:rFonts w:ascii="Century Gothic" w:hAnsi="Century Gothic" w:cs="Times New Roman"/>
          <w14:scene3d>
            <w14:camera w14:prst="orthographicFront"/>
            <w14:lightRig w14:rig="threePt" w14:dir="t">
              <w14:rot w14:lat="0" w14:lon="0" w14:rev="0"/>
            </w14:lightRig>
          </w14:scene3d>
        </w:rPr>
        <w:t>.</w:t>
      </w:r>
    </w:p>
    <w:p w:rsidR="00A92D8F" w:rsidRPr="00611019" w:rsidRDefault="00E56462" w:rsidP="00035D2C">
      <w:pPr>
        <w:pStyle w:val="Texto1"/>
        <w:spacing w:after="6pt" w:line="13.80pt" w:lineRule="auto"/>
        <w:ind w:start="0pt"/>
        <w:rPr>
          <w:rFonts w:ascii="Century Gothic" w:hAnsi="Century Gothic" w:cs="Arial"/>
          <w:sz w:val="22"/>
        </w:rPr>
      </w:pPr>
      <w:r>
        <w:rPr>
          <w:rFonts w:ascii="Century Gothic" w:hAnsi="Century Gothic" w:cs="Arial"/>
          <w:sz w:val="22"/>
        </w:rPr>
        <w:t xml:space="preserve">Antes de reportar alguna incidencia relacionada con cualquier Servicio de desagregación, el CS o </w:t>
      </w:r>
      <w:r>
        <w:rPr>
          <w:rFonts w:ascii="Century Gothic" w:hAnsi="Century Gothic"/>
          <w:sz w:val="22"/>
          <w:szCs w:val="22"/>
        </w:rPr>
        <w:t>RED NACIONAL</w:t>
      </w:r>
      <w:r>
        <w:rPr>
          <w:rFonts w:ascii="Century Gothic" w:hAnsi="Century Gothic" w:cs="Arial"/>
          <w:sz w:val="22"/>
        </w:rPr>
        <w:t xml:space="preserve"> según aplique, deberán comprobar previamente que la incidencia no obedece a una falla de su propia red o alguna otra situación, por ejemplo:</w:t>
      </w:r>
    </w:p>
    <w:p w:rsidR="00A92D8F" w:rsidRPr="00611019" w:rsidRDefault="00E56462" w:rsidP="00035D2C">
      <w:pPr>
        <w:pStyle w:val="IFTnormal"/>
        <w:spacing w:after="6pt"/>
        <w:ind w:start="21.30pt" w:hanging="21.30pt"/>
        <w:rPr>
          <w:rFonts w:ascii="Century Gothic" w:hAnsi="Century Gothic"/>
        </w:rPr>
      </w:pPr>
      <w:r>
        <w:rPr>
          <w:rFonts w:ascii="Century Gothic" w:hAnsi="Century Gothic"/>
        </w:rPr>
        <w:t>a)</w:t>
      </w:r>
      <w:r>
        <w:rPr>
          <w:rFonts w:ascii="Century Gothic" w:hAnsi="Century Gothic"/>
        </w:rPr>
        <w:tab/>
        <w:t>Mal funcionamiento de los elementos de red del CS o de RED NACIONAL, según aplique.</w:t>
      </w:r>
    </w:p>
    <w:p w:rsidR="00A92D8F" w:rsidRPr="00611019" w:rsidRDefault="00E56462" w:rsidP="00035D2C">
      <w:pPr>
        <w:pStyle w:val="IFTnormal"/>
        <w:spacing w:after="6pt"/>
        <w:ind w:start="21.30pt" w:hanging="21.30pt"/>
        <w:rPr>
          <w:rFonts w:ascii="Century Gothic" w:hAnsi="Century Gothic"/>
        </w:rPr>
      </w:pPr>
      <w:r>
        <w:rPr>
          <w:rFonts w:ascii="Century Gothic" w:hAnsi="Century Gothic"/>
        </w:rPr>
        <w:t>b)</w:t>
      </w:r>
      <w:r>
        <w:rPr>
          <w:rFonts w:ascii="Century Gothic" w:hAnsi="Century Gothic"/>
        </w:rPr>
        <w:tab/>
        <w:t>Defectos, anomalías o interferencias en la red o instalaciones de RED NACIONAL, del CS o de sus Usuarios Finales, según aplique.</w:t>
      </w:r>
    </w:p>
    <w:p w:rsidR="00A92D8F" w:rsidRPr="00611019" w:rsidRDefault="00E56462" w:rsidP="00035D2C">
      <w:pPr>
        <w:pStyle w:val="IFTnormal"/>
        <w:spacing w:after="6pt"/>
        <w:ind w:start="21.30pt" w:hanging="21.30pt"/>
        <w:rPr>
          <w:rFonts w:ascii="Century Gothic" w:hAnsi="Century Gothic"/>
        </w:rPr>
      </w:pPr>
      <w:r>
        <w:rPr>
          <w:rFonts w:ascii="Century Gothic" w:hAnsi="Century Gothic"/>
        </w:rPr>
        <w:t>c)</w:t>
      </w:r>
      <w:r>
        <w:rPr>
          <w:rFonts w:ascii="Century Gothic" w:hAnsi="Century Gothic"/>
        </w:rPr>
        <w:tab/>
        <w:t>Configuración incorrecta de los parámetros de red de RED NACIONAL o del CS, según aplique.</w:t>
      </w:r>
    </w:p>
    <w:p w:rsidR="00A92D8F" w:rsidRPr="00611019" w:rsidRDefault="00E56462" w:rsidP="00035D2C">
      <w:pPr>
        <w:pStyle w:val="IFTnormal"/>
        <w:spacing w:after="6pt"/>
        <w:ind w:start="21.30pt" w:hanging="21.30pt"/>
        <w:rPr>
          <w:rFonts w:ascii="Century Gothic" w:hAnsi="Century Gothic"/>
        </w:rPr>
      </w:pPr>
      <w:r>
        <w:rPr>
          <w:rFonts w:ascii="Century Gothic" w:hAnsi="Century Gothic"/>
        </w:rPr>
        <w:t>d)</w:t>
      </w:r>
      <w:r>
        <w:rPr>
          <w:rFonts w:ascii="Century Gothic" w:hAnsi="Century Gothic"/>
        </w:rPr>
        <w:tab/>
        <w:t>Equipos de fuerza apagados o sitio sin energía eléctrica.</w:t>
      </w:r>
    </w:p>
    <w:p w:rsidR="00A92D8F" w:rsidRPr="00611019" w:rsidRDefault="00E56462" w:rsidP="00035D2C">
      <w:pPr>
        <w:pStyle w:val="Texto1"/>
        <w:spacing w:after="6pt" w:line="13.80pt" w:lineRule="auto"/>
        <w:ind w:start="0pt"/>
        <w:rPr>
          <w:rFonts w:ascii="Century Gothic" w:hAnsi="Century Gothic" w:cs="Arial"/>
          <w:sz w:val="22"/>
        </w:rPr>
      </w:pPr>
      <w:r>
        <w:rPr>
          <w:rFonts w:ascii="Century Gothic" w:hAnsi="Century Gothic" w:cs="Arial"/>
          <w:sz w:val="22"/>
        </w:rPr>
        <w:t xml:space="preserve">Al levantar el reporte de incidencia el CS o </w:t>
      </w:r>
      <w:r>
        <w:rPr>
          <w:rFonts w:ascii="Century Gothic" w:hAnsi="Century Gothic"/>
          <w:sz w:val="22"/>
          <w:szCs w:val="22"/>
        </w:rPr>
        <w:t>RED NACIONAL</w:t>
      </w:r>
      <w:r>
        <w:rPr>
          <w:rFonts w:ascii="Century Gothic" w:hAnsi="Century Gothic" w:cs="Arial"/>
          <w:sz w:val="22"/>
        </w:rPr>
        <w:t>, según aplique, deberán informar concretamente</w:t>
      </w:r>
      <w:r>
        <w:rPr>
          <w:rFonts w:ascii="Century Gothic" w:hAnsi="Century Gothic" w:cs="Arial"/>
          <w:sz w:val="22"/>
          <w:szCs w:val="22"/>
        </w:rPr>
        <w:t xml:space="preserve"> los motivos de</w:t>
      </w:r>
      <w:r>
        <w:rPr>
          <w:rFonts w:ascii="Century Gothic" w:hAnsi="Century Gothic" w:cs="Arial"/>
          <w:sz w:val="22"/>
        </w:rPr>
        <w:t xml:space="preserve"> la falla y las comprobaciones realizadas en sus elementos de red que tengan relación con el Servicio proporcionado.</w:t>
      </w:r>
    </w:p>
    <w:p w:rsidR="00A92D8F" w:rsidRPr="00611019" w:rsidRDefault="00E56462" w:rsidP="00035D2C">
      <w:pPr>
        <w:pStyle w:val="Texto1"/>
        <w:spacing w:after="6pt" w:line="13.80pt" w:lineRule="auto"/>
        <w:ind w:start="0pt"/>
        <w:rPr>
          <w:rFonts w:ascii="Century Gothic" w:hAnsi="Century Gothic" w:cs="Arial"/>
          <w:sz w:val="22"/>
        </w:rPr>
      </w:pPr>
      <w:r>
        <w:rPr>
          <w:rFonts w:ascii="Century Gothic" w:hAnsi="Century Gothic" w:cs="Arial"/>
          <w:sz w:val="22"/>
        </w:rPr>
        <w:t xml:space="preserve">Las comprobaciones realizadas por el CS se informarán mediante un listado de pruebas cortas que se hayan realizado al levantar el reporte de incidencia. El listado de pruebas cortas se conforma de las verificaciones previas que requiera cada Servicio de desagregación que se listan a continuación. </w:t>
      </w:r>
    </w:p>
    <w:p w:rsidR="00A92D8F" w:rsidRPr="00611019" w:rsidRDefault="00E56462" w:rsidP="00035D2C">
      <w:pPr>
        <w:pStyle w:val="Texto1"/>
        <w:spacing w:after="6pt" w:line="13.80pt" w:lineRule="auto"/>
        <w:ind w:start="0pt"/>
        <w:rPr>
          <w:rFonts w:ascii="Century Gothic" w:hAnsi="Century Gothic" w:cs="Arial"/>
          <w:sz w:val="22"/>
        </w:rPr>
      </w:pPr>
      <w:r>
        <w:rPr>
          <w:rFonts w:ascii="Century Gothic" w:hAnsi="Century Gothic" w:cs="Arial"/>
          <w:sz w:val="22"/>
        </w:rPr>
        <w:lastRenderedPageBreak/>
        <w:t>En el caso de los Servicios de Desagregación, es recomendable seguir una lista de puntos para la comprobación del estado de los equipos de red y los equipos e instalación en el domicilio del suscriptor, por lo que, de manera enunciativa mas no limitativa, se muestra a continuación una lista de verificaciones previas al reporte de incidencias por tipo de servicio:</w:t>
      </w:r>
    </w:p>
    <w:tbl>
      <w:tblPr>
        <w:tblW w:w="474.75pt" w:type="dxa"/>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1"/>
      </w:tblPr>
      <w:tblGrid>
        <w:gridCol w:w="2406"/>
        <w:gridCol w:w="7089"/>
      </w:tblGrid>
      <w:tr w:rsidR="0061711D" w:rsidTr="0070202C">
        <w:trPr>
          <w:cantSplit/>
          <w:tblHeader/>
        </w:trPr>
        <w:tc>
          <w:tcPr>
            <w:tcW w:w="120.30pt" w:type="dxa"/>
            <w:shd w:val="clear" w:color="auto" w:fill="009AD9"/>
          </w:tcPr>
          <w:p w:rsidR="00A92D8F" w:rsidRPr="00611019" w:rsidRDefault="00E56462" w:rsidP="00035D2C">
            <w:pPr>
              <w:pStyle w:val="Texto1"/>
              <w:spacing w:before="1pt" w:after="1pt" w:line="13.80pt" w:lineRule="auto"/>
              <w:ind w:start="0pt"/>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t>Servicio</w:t>
            </w:r>
          </w:p>
        </w:tc>
        <w:tc>
          <w:tcPr>
            <w:tcW w:w="354.45pt" w:type="dxa"/>
            <w:shd w:val="clear" w:color="auto" w:fill="009AD9"/>
          </w:tcPr>
          <w:p w:rsidR="00A92D8F" w:rsidRPr="00611019" w:rsidRDefault="00E56462" w:rsidP="00035D2C">
            <w:pPr>
              <w:pStyle w:val="Texto1"/>
              <w:spacing w:before="1pt" w:after="1pt" w:line="13.80pt" w:lineRule="auto"/>
              <w:ind w:start="0pt"/>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t>Verificaciones Previas</w:t>
            </w:r>
          </w:p>
        </w:tc>
      </w:tr>
      <w:tr w:rsidR="0061711D" w:rsidTr="0070202C">
        <w:trPr>
          <w:cantSplit/>
        </w:trPr>
        <w:tc>
          <w:tcPr>
            <w:tcW w:w="120.30pt" w:type="dxa"/>
            <w:shd w:val="clear" w:color="auto" w:fill="auto"/>
            <w:vAlign w:val="center"/>
          </w:tcPr>
          <w:p w:rsidR="00A92D8F" w:rsidRPr="00611019" w:rsidRDefault="00E56462" w:rsidP="00035D2C">
            <w:pPr>
              <w:pStyle w:val="Texto1"/>
              <w:spacing w:before="1pt" w:after="1pt" w:line="13.80pt" w:lineRule="auto"/>
              <w:ind w:start="0pt"/>
              <w:jc w:val="start"/>
              <w:rPr>
                <w:rFonts w:ascii="Century Gothic" w:hAnsi="Century Gothic" w:cs="Arial"/>
                <w:b/>
                <w:sz w:val="20"/>
                <w:szCs w:val="20"/>
              </w:rPr>
            </w:pPr>
            <w:r>
              <w:rPr>
                <w:rFonts w:ascii="Century Gothic" w:hAnsi="Century Gothic" w:cs="Arial"/>
                <w:b/>
                <w:sz w:val="20"/>
                <w:szCs w:val="20"/>
              </w:rPr>
              <w:t>Servicio de Acceso Indirecto al Bucle Local</w:t>
            </w:r>
          </w:p>
          <w:p w:rsidR="00A92D8F" w:rsidRPr="00611019" w:rsidRDefault="00A92D8F" w:rsidP="00035D2C">
            <w:pPr>
              <w:pStyle w:val="Texto1"/>
              <w:spacing w:before="1pt" w:after="1pt" w:line="13.80pt" w:lineRule="auto"/>
              <w:ind w:start="0pt"/>
              <w:jc w:val="start"/>
              <w:rPr>
                <w:rFonts w:ascii="Century Gothic" w:hAnsi="Century Gothic" w:cs="Arial"/>
                <w:b/>
                <w:sz w:val="20"/>
                <w:szCs w:val="20"/>
              </w:rPr>
            </w:pPr>
          </w:p>
        </w:tc>
        <w:tc>
          <w:tcPr>
            <w:tcW w:w="354.45pt" w:type="dxa"/>
            <w:shd w:val="clear" w:color="auto" w:fill="auto"/>
          </w:tcPr>
          <w:p w:rsidR="00A92D8F" w:rsidRPr="00611019" w:rsidRDefault="00E56462">
            <w:pPr>
              <w:pStyle w:val="Texto1"/>
              <w:numPr>
                <w:ilvl w:val="0"/>
                <w:numId w:val="157"/>
              </w:numPr>
              <w:spacing w:before="1pt" w:after="1pt" w:line="13.80pt" w:lineRule="auto"/>
              <w:rPr>
                <w:rFonts w:ascii="Century Gothic" w:hAnsi="Century Gothic" w:cs="Arial"/>
                <w:sz w:val="20"/>
                <w:szCs w:val="20"/>
              </w:rPr>
            </w:pPr>
            <w:r>
              <w:rPr>
                <w:rFonts w:ascii="Century Gothic" w:hAnsi="Century Gothic" w:cs="Arial"/>
                <w:sz w:val="20"/>
                <w:szCs w:val="20"/>
              </w:rPr>
              <w:t>Verificar que la falla o incidencia no se deba a un problema en el cableado interior de usuario.</w:t>
            </w:r>
          </w:p>
          <w:p w:rsidR="00A92D8F" w:rsidRPr="00611019" w:rsidRDefault="00E56462">
            <w:pPr>
              <w:pStyle w:val="Texto1"/>
              <w:numPr>
                <w:ilvl w:val="0"/>
                <w:numId w:val="157"/>
              </w:numPr>
              <w:spacing w:before="1pt" w:after="1pt" w:line="13.80pt" w:lineRule="auto"/>
              <w:rPr>
                <w:rFonts w:ascii="Century Gothic" w:hAnsi="Century Gothic" w:cs="Arial"/>
                <w:sz w:val="20"/>
                <w:szCs w:val="20"/>
              </w:rPr>
            </w:pPr>
            <w:r>
              <w:rPr>
                <w:rFonts w:ascii="Century Gothic" w:hAnsi="Century Gothic" w:cs="Arial"/>
                <w:sz w:val="20"/>
                <w:szCs w:val="20"/>
              </w:rPr>
              <w:t>Verificar que el Módem o la ONT esté encendido.</w:t>
            </w:r>
          </w:p>
          <w:p w:rsidR="00A92D8F" w:rsidRPr="00611019" w:rsidRDefault="00E56462">
            <w:pPr>
              <w:pStyle w:val="Texto1"/>
              <w:numPr>
                <w:ilvl w:val="0"/>
                <w:numId w:val="157"/>
              </w:numPr>
              <w:spacing w:before="1pt" w:after="1pt" w:line="13.80pt" w:lineRule="auto"/>
              <w:rPr>
                <w:rFonts w:ascii="Century Gothic" w:hAnsi="Century Gothic" w:cs="Arial"/>
                <w:sz w:val="20"/>
                <w:szCs w:val="20"/>
              </w:rPr>
            </w:pPr>
            <w:r>
              <w:rPr>
                <w:rFonts w:ascii="Century Gothic" w:hAnsi="Century Gothic" w:cs="Arial"/>
                <w:sz w:val="20"/>
                <w:szCs w:val="20"/>
              </w:rPr>
              <w:t>Verificar que el Módem o la ONT esté conectado a la línea y a su vez la línea esté conectada al PCT.</w:t>
            </w:r>
          </w:p>
          <w:p w:rsidR="00A92D8F" w:rsidRPr="00611019" w:rsidRDefault="00E56462">
            <w:pPr>
              <w:pStyle w:val="Texto1"/>
              <w:numPr>
                <w:ilvl w:val="0"/>
                <w:numId w:val="157"/>
              </w:numPr>
              <w:spacing w:before="1pt" w:after="1pt" w:line="13.80pt" w:lineRule="auto"/>
              <w:rPr>
                <w:rFonts w:ascii="Century Gothic" w:hAnsi="Century Gothic" w:cs="Arial"/>
                <w:sz w:val="20"/>
                <w:szCs w:val="20"/>
              </w:rPr>
            </w:pPr>
            <w:r>
              <w:rPr>
                <w:rFonts w:ascii="Century Gothic" w:hAnsi="Century Gothic" w:cs="Arial"/>
                <w:sz w:val="20"/>
                <w:szCs w:val="20"/>
              </w:rPr>
              <w:t>El equipo terminal de usuario deberá tener sincronía y enlace; en caso de que el medio de acceso sea cobre, deberá verificar que el led DSL este de color verde.</w:t>
            </w:r>
          </w:p>
          <w:p w:rsidR="00A92D8F" w:rsidRPr="00611019" w:rsidRDefault="00E56462">
            <w:pPr>
              <w:pStyle w:val="Texto1"/>
              <w:numPr>
                <w:ilvl w:val="0"/>
                <w:numId w:val="157"/>
              </w:numPr>
              <w:spacing w:before="1pt" w:after="1pt" w:line="13.80pt" w:lineRule="auto"/>
              <w:rPr>
                <w:rFonts w:ascii="Century Gothic" w:hAnsi="Century Gothic" w:cs="Arial"/>
                <w:sz w:val="20"/>
                <w:szCs w:val="20"/>
              </w:rPr>
            </w:pPr>
            <w:r>
              <w:rPr>
                <w:rFonts w:ascii="Century Gothic" w:hAnsi="Century Gothic" w:cs="Arial"/>
                <w:sz w:val="20"/>
                <w:szCs w:val="20"/>
              </w:rPr>
              <w:t>Verificar la configuración de su equipo terminal de usuario.</w:t>
            </w:r>
          </w:p>
          <w:p w:rsidR="00A92D8F" w:rsidRPr="00611019" w:rsidRDefault="00E56462">
            <w:pPr>
              <w:pStyle w:val="Texto1"/>
              <w:numPr>
                <w:ilvl w:val="0"/>
                <w:numId w:val="157"/>
              </w:numPr>
              <w:spacing w:before="1pt" w:after="1pt" w:line="13.80pt" w:lineRule="auto"/>
              <w:rPr>
                <w:rFonts w:ascii="Century Gothic" w:hAnsi="Century Gothic" w:cs="Arial"/>
                <w:sz w:val="20"/>
                <w:szCs w:val="20"/>
              </w:rPr>
            </w:pPr>
            <w:r>
              <w:rPr>
                <w:rFonts w:ascii="Century Gothic" w:hAnsi="Century Gothic" w:cs="Arial"/>
                <w:sz w:val="20"/>
                <w:szCs w:val="20"/>
              </w:rPr>
              <w:t>Verificar el puerto en su equipo donde recibe el tráfico de datos.</w:t>
            </w:r>
          </w:p>
          <w:p w:rsidR="00A92D8F" w:rsidRPr="00611019" w:rsidRDefault="00E56462">
            <w:pPr>
              <w:pStyle w:val="Texto1"/>
              <w:numPr>
                <w:ilvl w:val="0"/>
                <w:numId w:val="157"/>
              </w:numPr>
              <w:spacing w:before="1pt" w:after="1pt" w:line="13.80pt" w:lineRule="auto"/>
              <w:rPr>
                <w:rFonts w:ascii="Century Gothic" w:hAnsi="Century Gothic" w:cs="Arial"/>
                <w:sz w:val="20"/>
                <w:szCs w:val="20"/>
              </w:rPr>
            </w:pPr>
            <w:r>
              <w:rPr>
                <w:rFonts w:ascii="Century Gothic" w:hAnsi="Century Gothic" w:cs="Arial"/>
                <w:sz w:val="20"/>
                <w:szCs w:val="20"/>
              </w:rPr>
              <w:t>Verificar que la falla no es en la configuración de credenciales del módem/ONT o en la navegación proporcionada a través de la red o infraestructura del CS.</w:t>
            </w:r>
          </w:p>
        </w:tc>
      </w:tr>
      <w:tr w:rsidR="0061711D" w:rsidTr="0070202C">
        <w:trPr>
          <w:cantSplit/>
        </w:trPr>
        <w:tc>
          <w:tcPr>
            <w:tcW w:w="120.30pt" w:type="dxa"/>
            <w:shd w:val="clear" w:color="auto" w:fill="auto"/>
            <w:vAlign w:val="center"/>
          </w:tcPr>
          <w:p w:rsidR="00A92D8F" w:rsidRPr="00611019" w:rsidRDefault="00A92D8F" w:rsidP="00720125">
            <w:pPr>
              <w:pStyle w:val="Texto1"/>
              <w:spacing w:before="1pt" w:after="1pt" w:line="13.80pt" w:lineRule="auto"/>
              <w:ind w:start="0pt"/>
              <w:jc w:val="start"/>
              <w:rPr>
                <w:rFonts w:ascii="Century Gothic" w:hAnsi="Century Gothic" w:cs="Arial"/>
                <w:b/>
                <w:sz w:val="20"/>
                <w:szCs w:val="20"/>
              </w:rPr>
            </w:pPr>
          </w:p>
        </w:tc>
        <w:tc>
          <w:tcPr>
            <w:tcW w:w="354.45pt" w:type="dxa"/>
            <w:shd w:val="clear" w:color="auto" w:fill="auto"/>
          </w:tcPr>
          <w:p w:rsidR="00A92D8F" w:rsidRPr="00611019" w:rsidRDefault="00A92D8F">
            <w:pPr>
              <w:pStyle w:val="Texto1"/>
              <w:numPr>
                <w:ilvl w:val="0"/>
                <w:numId w:val="158"/>
              </w:numPr>
              <w:spacing w:before="1pt" w:after="1pt" w:line="13.80pt" w:lineRule="auto"/>
              <w:rPr>
                <w:rFonts w:ascii="Century Gothic" w:hAnsi="Century Gothic" w:cs="Arial"/>
                <w:sz w:val="20"/>
                <w:szCs w:val="20"/>
              </w:rPr>
            </w:pPr>
          </w:p>
        </w:tc>
      </w:tr>
      <w:tr w:rsidR="0061711D" w:rsidTr="0070202C">
        <w:trPr>
          <w:cantSplit/>
        </w:trPr>
        <w:tc>
          <w:tcPr>
            <w:tcW w:w="120.30pt" w:type="dxa"/>
            <w:shd w:val="clear" w:color="auto" w:fill="auto"/>
            <w:vAlign w:val="center"/>
          </w:tcPr>
          <w:p w:rsidR="00A92D8F" w:rsidRPr="00611019" w:rsidRDefault="00E56462" w:rsidP="00035D2C">
            <w:pPr>
              <w:pStyle w:val="Texto1"/>
              <w:spacing w:before="1pt" w:after="1pt" w:line="13.80pt" w:lineRule="auto"/>
              <w:ind w:start="0pt"/>
              <w:jc w:val="start"/>
              <w:rPr>
                <w:rFonts w:ascii="Century Gothic" w:hAnsi="Century Gothic" w:cs="Arial"/>
                <w:b/>
                <w:sz w:val="20"/>
                <w:szCs w:val="20"/>
              </w:rPr>
            </w:pPr>
            <w:r>
              <w:rPr>
                <w:rFonts w:ascii="Century Gothic" w:hAnsi="Century Gothic" w:cs="Arial"/>
                <w:b/>
                <w:sz w:val="20"/>
                <w:szCs w:val="20"/>
              </w:rPr>
              <w:t>Servicio de Concentración y Distribución</w:t>
            </w:r>
          </w:p>
        </w:tc>
        <w:tc>
          <w:tcPr>
            <w:tcW w:w="354.45pt" w:type="dxa"/>
            <w:shd w:val="clear" w:color="auto" w:fill="auto"/>
          </w:tcPr>
          <w:p w:rsidR="00A92D8F" w:rsidRPr="00611019" w:rsidRDefault="00E56462">
            <w:pPr>
              <w:pStyle w:val="Texto1"/>
              <w:numPr>
                <w:ilvl w:val="0"/>
                <w:numId w:val="159"/>
              </w:numPr>
              <w:spacing w:before="1pt" w:after="1pt" w:line="13.80pt" w:lineRule="auto"/>
              <w:rPr>
                <w:rFonts w:ascii="Century Gothic" w:hAnsi="Century Gothic" w:cs="Arial"/>
                <w:sz w:val="20"/>
                <w:szCs w:val="20"/>
              </w:rPr>
            </w:pPr>
            <w:r>
              <w:rPr>
                <w:rFonts w:ascii="Century Gothic" w:hAnsi="Century Gothic" w:cs="Arial"/>
                <w:sz w:val="20"/>
                <w:szCs w:val="20"/>
              </w:rPr>
              <w:t xml:space="preserve">Verificar que el estado de conexión del puerto de entrega del Servicio esté Up-Up. En este caso las redes tienen conectividad y no existe falla en este punto del servicio.  </w:t>
            </w:r>
          </w:p>
          <w:p w:rsidR="00A92D8F" w:rsidRPr="00611019" w:rsidRDefault="00E56462">
            <w:pPr>
              <w:pStyle w:val="Texto1"/>
              <w:numPr>
                <w:ilvl w:val="0"/>
                <w:numId w:val="159"/>
              </w:numPr>
              <w:spacing w:before="1pt" w:after="1pt" w:line="13.80pt" w:lineRule="auto"/>
              <w:rPr>
                <w:rFonts w:ascii="Century Gothic" w:hAnsi="Century Gothic" w:cs="Arial"/>
                <w:sz w:val="20"/>
                <w:szCs w:val="20"/>
              </w:rPr>
            </w:pPr>
            <w:r>
              <w:rPr>
                <w:rFonts w:ascii="Century Gothic" w:hAnsi="Century Gothic" w:cs="Arial"/>
                <w:sz w:val="20"/>
                <w:szCs w:val="20"/>
              </w:rPr>
              <w:t>Hacer un ping entre el pCAI y su red. Si el Ping es exitoso las redes tienen conectividad y no existe falla en este punto del servicio, de lo contrario el CS puede reportar el servicio.</w:t>
            </w:r>
          </w:p>
          <w:p w:rsidR="00A92D8F" w:rsidRPr="00611019" w:rsidRDefault="00E56462">
            <w:pPr>
              <w:pStyle w:val="Texto1"/>
              <w:numPr>
                <w:ilvl w:val="0"/>
                <w:numId w:val="159"/>
              </w:numPr>
              <w:spacing w:before="1pt" w:after="1pt" w:line="13.80pt" w:lineRule="auto"/>
              <w:rPr>
                <w:rFonts w:ascii="Century Gothic" w:hAnsi="Century Gothic" w:cs="Arial"/>
                <w:sz w:val="20"/>
                <w:szCs w:val="20"/>
              </w:rPr>
            </w:pPr>
            <w:r>
              <w:rPr>
                <w:rFonts w:ascii="Century Gothic" w:hAnsi="Century Gothic" w:cs="Arial"/>
                <w:sz w:val="20"/>
                <w:szCs w:val="20"/>
              </w:rPr>
              <w:t>En caso de que el puerto de entrega del Servicio indique Up-Down o Down-Down se debe validar un loop desde el puerto del DFO-CS hasta su red. Si hay continuidad en el Loop el CS puede reportar falla en este punto del servicio.</w:t>
            </w:r>
          </w:p>
        </w:tc>
      </w:tr>
      <w:tr w:rsidR="0061711D" w:rsidTr="0070202C">
        <w:trPr>
          <w:cantSplit/>
        </w:trPr>
        <w:tc>
          <w:tcPr>
            <w:tcW w:w="120.30pt" w:type="dxa"/>
            <w:shd w:val="clear" w:color="auto" w:fill="auto"/>
            <w:vAlign w:val="center"/>
          </w:tcPr>
          <w:p w:rsidR="00A92D8F" w:rsidRPr="00611019" w:rsidRDefault="00E56462" w:rsidP="00720125">
            <w:pPr>
              <w:pStyle w:val="Texto1"/>
              <w:spacing w:before="1pt" w:after="1pt" w:line="13.80pt" w:lineRule="auto"/>
              <w:ind w:start="0pt"/>
              <w:jc w:val="start"/>
              <w:rPr>
                <w:rFonts w:ascii="Century Gothic" w:hAnsi="Century Gothic" w:cs="Arial"/>
                <w:b/>
                <w:sz w:val="20"/>
                <w:szCs w:val="20"/>
              </w:rPr>
            </w:pPr>
            <w:r>
              <w:rPr>
                <w:rFonts w:ascii="Century Gothic" w:hAnsi="Century Gothic" w:cs="Arial"/>
                <w:b/>
                <w:sz w:val="20"/>
                <w:szCs w:val="20"/>
              </w:rPr>
              <w:lastRenderedPageBreak/>
              <w:t xml:space="preserve">Servicio de Desagregación Total del bucle </w:t>
            </w:r>
          </w:p>
        </w:tc>
        <w:tc>
          <w:tcPr>
            <w:tcW w:w="354.45pt" w:type="dxa"/>
            <w:shd w:val="clear" w:color="auto" w:fill="auto"/>
          </w:tcPr>
          <w:p w:rsidR="00A92D8F" w:rsidRPr="00611019" w:rsidRDefault="00E56462">
            <w:pPr>
              <w:pStyle w:val="Texto1"/>
              <w:numPr>
                <w:ilvl w:val="0"/>
                <w:numId w:val="160"/>
              </w:numPr>
              <w:spacing w:before="1pt" w:after="1pt" w:line="13.80pt" w:lineRule="auto"/>
              <w:rPr>
                <w:rFonts w:ascii="Century Gothic" w:hAnsi="Century Gothic" w:cs="Arial"/>
                <w:sz w:val="20"/>
                <w:szCs w:val="20"/>
              </w:rPr>
            </w:pPr>
            <w:r>
              <w:rPr>
                <w:rFonts w:ascii="Century Gothic" w:hAnsi="Century Gothic" w:cs="Arial"/>
                <w:sz w:val="20"/>
                <w:szCs w:val="20"/>
              </w:rPr>
              <w:t xml:space="preserve">Revisar que no existan fallas en el cableado interior en el domicilio del </w:t>
            </w:r>
            <w:r w:rsidR="0070202C">
              <w:rPr>
                <w:rFonts w:ascii="Century Gothic" w:hAnsi="Century Gothic" w:cs="Arial"/>
                <w:sz w:val="20"/>
                <w:szCs w:val="20"/>
              </w:rPr>
              <w:t>Usuario Final</w:t>
            </w:r>
            <w:r>
              <w:rPr>
                <w:rFonts w:ascii="Century Gothic" w:hAnsi="Century Gothic" w:cs="Arial"/>
                <w:sz w:val="20"/>
                <w:szCs w:val="20"/>
              </w:rPr>
              <w:t>.</w:t>
            </w:r>
          </w:p>
          <w:p w:rsidR="00A92D8F" w:rsidRPr="00611019" w:rsidRDefault="00E56462">
            <w:pPr>
              <w:pStyle w:val="Texto1"/>
              <w:numPr>
                <w:ilvl w:val="0"/>
                <w:numId w:val="160"/>
              </w:numPr>
              <w:spacing w:before="1pt" w:after="1pt" w:line="13.80pt" w:lineRule="auto"/>
              <w:rPr>
                <w:rFonts w:ascii="Century Gothic" w:hAnsi="Century Gothic" w:cs="Arial"/>
                <w:sz w:val="20"/>
                <w:szCs w:val="20"/>
              </w:rPr>
            </w:pPr>
            <w:r>
              <w:rPr>
                <w:rFonts w:ascii="Century Gothic" w:hAnsi="Century Gothic" w:cs="Arial"/>
                <w:sz w:val="20"/>
                <w:szCs w:val="20"/>
              </w:rPr>
              <w:t>Verificar la existencia de tono de voz (sólo para Desagregación Compartida).</w:t>
            </w:r>
          </w:p>
          <w:p w:rsidR="00A92D8F" w:rsidRPr="00611019" w:rsidRDefault="00E56462">
            <w:pPr>
              <w:pStyle w:val="Texto1"/>
              <w:numPr>
                <w:ilvl w:val="0"/>
                <w:numId w:val="160"/>
              </w:numPr>
              <w:spacing w:before="1pt" w:after="1pt" w:line="13.80pt" w:lineRule="auto"/>
              <w:rPr>
                <w:rFonts w:ascii="Century Gothic" w:hAnsi="Century Gothic" w:cs="Arial"/>
                <w:sz w:val="20"/>
                <w:szCs w:val="20"/>
              </w:rPr>
            </w:pPr>
            <w:r>
              <w:rPr>
                <w:rFonts w:ascii="Century Gothic" w:hAnsi="Century Gothic" w:cs="Arial"/>
                <w:sz w:val="20"/>
                <w:szCs w:val="20"/>
              </w:rPr>
              <w:t xml:space="preserve">Verificar la configuración de su equipo terminal de </w:t>
            </w:r>
            <w:r w:rsidR="0070202C">
              <w:rPr>
                <w:rFonts w:ascii="Century Gothic" w:hAnsi="Century Gothic" w:cs="Arial"/>
                <w:sz w:val="20"/>
                <w:szCs w:val="20"/>
              </w:rPr>
              <w:t>Usuario Final.</w:t>
            </w:r>
          </w:p>
          <w:p w:rsidR="00A92D8F" w:rsidRPr="00611019" w:rsidRDefault="00E56462">
            <w:pPr>
              <w:pStyle w:val="Texto1"/>
              <w:numPr>
                <w:ilvl w:val="0"/>
                <w:numId w:val="160"/>
              </w:numPr>
              <w:spacing w:before="1pt" w:after="1pt" w:line="13.80pt" w:lineRule="auto"/>
              <w:rPr>
                <w:rFonts w:ascii="Century Gothic" w:hAnsi="Century Gothic" w:cs="Arial"/>
                <w:sz w:val="20"/>
                <w:szCs w:val="20"/>
              </w:rPr>
            </w:pPr>
            <w:r>
              <w:rPr>
                <w:rFonts w:ascii="Century Gothic" w:hAnsi="Century Gothic" w:cs="Arial"/>
                <w:sz w:val="20"/>
                <w:szCs w:val="20"/>
              </w:rPr>
              <w:t>Probar la señal hacia su red del par de cobre en su Coubicación.</w:t>
            </w:r>
          </w:p>
          <w:p w:rsidR="00A92D8F" w:rsidRPr="00611019" w:rsidRDefault="00E56462">
            <w:pPr>
              <w:pStyle w:val="Texto1"/>
              <w:numPr>
                <w:ilvl w:val="0"/>
                <w:numId w:val="160"/>
              </w:numPr>
              <w:spacing w:before="1pt" w:after="1pt" w:line="13.80pt" w:lineRule="auto"/>
              <w:rPr>
                <w:rFonts w:ascii="Century Gothic" w:hAnsi="Century Gothic" w:cs="Arial"/>
                <w:sz w:val="20"/>
                <w:szCs w:val="20"/>
              </w:rPr>
            </w:pPr>
            <w:r>
              <w:rPr>
                <w:rFonts w:ascii="Century Gothic" w:hAnsi="Century Gothic" w:cs="Arial"/>
                <w:sz w:val="20"/>
                <w:szCs w:val="20"/>
              </w:rPr>
              <w:t>Verificar que el tendido de cableado multipar no tenga fallas.</w:t>
            </w:r>
          </w:p>
        </w:tc>
      </w:tr>
      <w:tr w:rsidR="0061711D" w:rsidTr="0070202C">
        <w:trPr>
          <w:cantSplit/>
        </w:trPr>
        <w:tc>
          <w:tcPr>
            <w:tcW w:w="120.30pt" w:type="dxa"/>
            <w:shd w:val="clear" w:color="auto" w:fill="auto"/>
            <w:vAlign w:val="center"/>
          </w:tcPr>
          <w:p w:rsidR="00A92D8F" w:rsidRPr="00611019" w:rsidRDefault="00E56462" w:rsidP="00035D2C">
            <w:pPr>
              <w:pStyle w:val="Texto1"/>
              <w:spacing w:before="1pt" w:after="1pt" w:line="13.80pt" w:lineRule="auto"/>
              <w:ind w:start="0pt"/>
              <w:jc w:val="start"/>
              <w:rPr>
                <w:rFonts w:ascii="Century Gothic" w:hAnsi="Century Gothic" w:cs="Arial"/>
                <w:b/>
                <w:sz w:val="20"/>
                <w:szCs w:val="20"/>
              </w:rPr>
            </w:pPr>
            <w:r>
              <w:rPr>
                <w:rFonts w:ascii="Century Gothic" w:hAnsi="Century Gothic" w:cs="Arial"/>
                <w:b/>
                <w:sz w:val="20"/>
                <w:szCs w:val="20"/>
              </w:rPr>
              <w:lastRenderedPageBreak/>
              <w:t>Servicio de Desagregación Total de Fibra Óptica</w:t>
            </w:r>
          </w:p>
        </w:tc>
        <w:tc>
          <w:tcPr>
            <w:tcW w:w="354.45pt" w:type="dxa"/>
            <w:shd w:val="clear" w:color="auto" w:fill="auto"/>
          </w:tcPr>
          <w:p w:rsidR="00A92D8F" w:rsidRPr="0070202C" w:rsidRDefault="00E56462">
            <w:pPr>
              <w:pStyle w:val="Texto1"/>
              <w:numPr>
                <w:ilvl w:val="0"/>
                <w:numId w:val="161"/>
              </w:numPr>
              <w:spacing w:before="1pt" w:after="1pt" w:line="13.80pt" w:lineRule="auto"/>
              <w:rPr>
                <w:rFonts w:ascii="Century Gothic" w:hAnsi="Century Gothic" w:cs="Arial"/>
                <w:sz w:val="20"/>
                <w:szCs w:val="20"/>
              </w:rPr>
            </w:pPr>
            <w:r>
              <w:rPr>
                <w:rFonts w:ascii="Century Gothic" w:hAnsi="Century Gothic" w:cs="Arial"/>
                <w:sz w:val="20"/>
                <w:szCs w:val="20"/>
              </w:rPr>
              <w:t xml:space="preserve">Revisar que no existan fallas en el cableado interior en el </w:t>
            </w:r>
            <w:r w:rsidRPr="0070202C">
              <w:rPr>
                <w:rFonts w:ascii="Century Gothic" w:hAnsi="Century Gothic" w:cs="Arial"/>
                <w:sz w:val="20"/>
                <w:szCs w:val="20"/>
              </w:rPr>
              <w:t xml:space="preserve">domicilio del </w:t>
            </w:r>
            <w:r w:rsidR="0070202C" w:rsidRPr="0070202C">
              <w:rPr>
                <w:rFonts w:ascii="Century Gothic" w:hAnsi="Century Gothic" w:cs="Arial"/>
                <w:sz w:val="20"/>
                <w:szCs w:val="20"/>
              </w:rPr>
              <w:t>Usuario Final</w:t>
            </w:r>
            <w:r w:rsidRPr="0070202C">
              <w:rPr>
                <w:rFonts w:ascii="Century Gothic" w:hAnsi="Century Gothic" w:cs="Arial"/>
                <w:sz w:val="20"/>
                <w:szCs w:val="20"/>
              </w:rPr>
              <w:t>.</w:t>
            </w:r>
          </w:p>
          <w:p w:rsidR="00A92D8F" w:rsidRPr="0070202C" w:rsidRDefault="00E56462">
            <w:pPr>
              <w:pStyle w:val="Texto1"/>
              <w:numPr>
                <w:ilvl w:val="0"/>
                <w:numId w:val="161"/>
              </w:numPr>
              <w:spacing w:before="1pt" w:after="1pt" w:line="13.80pt" w:lineRule="auto"/>
              <w:rPr>
                <w:rFonts w:ascii="Century Gothic" w:hAnsi="Century Gothic" w:cs="Arial"/>
                <w:sz w:val="20"/>
                <w:szCs w:val="20"/>
              </w:rPr>
            </w:pPr>
            <w:r w:rsidRPr="0070202C">
              <w:rPr>
                <w:rFonts w:ascii="Century Gothic" w:hAnsi="Century Gothic" w:cs="Arial"/>
                <w:sz w:val="20"/>
                <w:szCs w:val="20"/>
              </w:rPr>
              <w:t xml:space="preserve">Verificar la configuración de su equipo terminal de </w:t>
            </w:r>
            <w:r w:rsidR="0070202C" w:rsidRPr="0070202C">
              <w:rPr>
                <w:rFonts w:ascii="Century Gothic" w:hAnsi="Century Gothic" w:cs="Arial"/>
                <w:sz w:val="20"/>
                <w:szCs w:val="20"/>
              </w:rPr>
              <w:t>Usuario Final</w:t>
            </w:r>
            <w:r w:rsidRPr="0070202C">
              <w:rPr>
                <w:rFonts w:ascii="Century Gothic" w:hAnsi="Century Gothic" w:cs="Arial"/>
                <w:sz w:val="20"/>
                <w:szCs w:val="20"/>
              </w:rPr>
              <w:t>.</w:t>
            </w:r>
          </w:p>
          <w:p w:rsidR="00A92D8F" w:rsidRPr="0070202C" w:rsidRDefault="00E56462">
            <w:pPr>
              <w:pStyle w:val="Texto1"/>
              <w:numPr>
                <w:ilvl w:val="0"/>
                <w:numId w:val="161"/>
              </w:numPr>
              <w:spacing w:before="1pt" w:after="1pt" w:line="13.80pt" w:lineRule="auto"/>
              <w:rPr>
                <w:rFonts w:ascii="Century Gothic" w:hAnsi="Century Gothic" w:cs="Arial"/>
                <w:sz w:val="20"/>
                <w:szCs w:val="20"/>
              </w:rPr>
            </w:pPr>
            <w:r w:rsidRPr="0070202C">
              <w:rPr>
                <w:rFonts w:ascii="Century Gothic" w:hAnsi="Century Gothic" w:cs="Arial"/>
                <w:sz w:val="20"/>
                <w:szCs w:val="20"/>
              </w:rPr>
              <w:t xml:space="preserve">Probar la señal de su Coubicación y DFO-CS al sitio del </w:t>
            </w:r>
            <w:r w:rsidRPr="0070202C">
              <w:rPr>
                <w:rFonts w:ascii="Century Gothic" w:hAnsi="Century Gothic"/>
                <w:sz w:val="20"/>
                <w:szCs w:val="20"/>
              </w:rPr>
              <w:t>Usuario Final</w:t>
            </w:r>
            <w:r w:rsidRPr="0070202C">
              <w:rPr>
                <w:rFonts w:ascii="Century Gothic" w:hAnsi="Century Gothic" w:cs="Arial"/>
                <w:sz w:val="20"/>
                <w:szCs w:val="20"/>
              </w:rPr>
              <w:t>.</w:t>
            </w:r>
          </w:p>
          <w:p w:rsidR="00A92D8F" w:rsidRPr="00611019" w:rsidRDefault="00E56462">
            <w:pPr>
              <w:pStyle w:val="Texto1"/>
              <w:numPr>
                <w:ilvl w:val="0"/>
                <w:numId w:val="161"/>
              </w:numPr>
              <w:spacing w:before="1pt" w:after="1pt" w:line="13.80pt" w:lineRule="auto"/>
              <w:rPr>
                <w:rFonts w:ascii="Century Gothic" w:hAnsi="Century Gothic" w:cs="Arial"/>
                <w:sz w:val="20"/>
                <w:szCs w:val="20"/>
              </w:rPr>
            </w:pPr>
            <w:r w:rsidRPr="0070202C">
              <w:rPr>
                <w:rFonts w:ascii="Century Gothic" w:hAnsi="Century Gothic" w:cs="Arial"/>
                <w:sz w:val="20"/>
                <w:szCs w:val="20"/>
              </w:rPr>
              <w:t>Probar las aplicaciones</w:t>
            </w:r>
            <w:r>
              <w:rPr>
                <w:rFonts w:ascii="Century Gothic" w:hAnsi="Century Gothic" w:cs="Arial"/>
                <w:sz w:val="20"/>
                <w:szCs w:val="20"/>
              </w:rPr>
              <w:t xml:space="preserve"> que ofrezca a </w:t>
            </w:r>
            <w:r w:rsidRPr="0070202C">
              <w:rPr>
                <w:rFonts w:ascii="Century Gothic" w:hAnsi="Century Gothic" w:cs="Arial"/>
                <w:sz w:val="20"/>
                <w:szCs w:val="20"/>
              </w:rPr>
              <w:t xml:space="preserve">su </w:t>
            </w:r>
            <w:r w:rsidRPr="0070202C">
              <w:rPr>
                <w:rFonts w:ascii="Century Gothic" w:hAnsi="Century Gothic"/>
                <w:sz w:val="20"/>
                <w:szCs w:val="20"/>
              </w:rPr>
              <w:t xml:space="preserve">Usuario Final </w:t>
            </w:r>
            <w:r w:rsidRPr="0070202C">
              <w:rPr>
                <w:rFonts w:ascii="Century Gothic" w:hAnsi="Century Gothic" w:cs="Arial"/>
                <w:sz w:val="20"/>
                <w:szCs w:val="20"/>
              </w:rPr>
              <w:t>sobre</w:t>
            </w:r>
            <w:r>
              <w:rPr>
                <w:rFonts w:ascii="Century Gothic" w:hAnsi="Century Gothic" w:cs="Arial"/>
                <w:sz w:val="20"/>
                <w:szCs w:val="20"/>
              </w:rPr>
              <w:t xml:space="preserve"> ese servicio de SDTFO.</w:t>
            </w:r>
          </w:p>
        </w:tc>
      </w:tr>
      <w:tr w:rsidR="0070202C" w:rsidTr="0070202C">
        <w:trPr>
          <w:cantSplit/>
        </w:trPr>
        <w:tc>
          <w:tcPr>
            <w:tcW w:w="120.30pt" w:type="dxa"/>
            <w:tcBorders>
              <w:top w:val="single" w:sz="4" w:space="0" w:color="auto"/>
              <w:start w:val="single" w:sz="4" w:space="0" w:color="auto"/>
              <w:bottom w:val="single" w:sz="4" w:space="0" w:color="auto"/>
              <w:end w:val="single" w:sz="4" w:space="0" w:color="auto"/>
            </w:tcBorders>
            <w:vAlign w:val="center"/>
            <w:hideMark/>
          </w:tcPr>
          <w:p w:rsidR="0070202C" w:rsidRPr="0070202C" w:rsidRDefault="0070202C">
            <w:pPr>
              <w:pStyle w:val="Texto1"/>
              <w:spacing w:before="1pt" w:after="1pt" w:line="12.80pt" w:lineRule="auto"/>
              <w:ind w:start="0pt"/>
              <w:jc w:val="start"/>
              <w:rPr>
                <w:rFonts w:ascii="Century Gothic" w:hAnsi="Century Gothic" w:cs="Arial"/>
                <w:b/>
                <w:sz w:val="20"/>
                <w:szCs w:val="20"/>
              </w:rPr>
            </w:pPr>
          </w:p>
        </w:tc>
        <w:tc>
          <w:tcPr>
            <w:tcW w:w="354.45pt" w:type="dxa"/>
            <w:tcBorders>
              <w:top w:val="single" w:sz="4" w:space="0" w:color="auto"/>
              <w:start w:val="single" w:sz="4" w:space="0" w:color="auto"/>
              <w:bottom w:val="single" w:sz="4" w:space="0" w:color="auto"/>
              <w:end w:val="single" w:sz="4" w:space="0" w:color="auto"/>
            </w:tcBorders>
            <w:hideMark/>
          </w:tcPr>
          <w:p w:rsidR="0070202C" w:rsidRPr="0070202C" w:rsidRDefault="0070202C">
            <w:pPr>
              <w:pStyle w:val="Texto1"/>
              <w:numPr>
                <w:ilvl w:val="0"/>
                <w:numId w:val="252"/>
              </w:numPr>
              <w:spacing w:before="1pt" w:after="1pt" w:line="12.80pt" w:lineRule="auto"/>
              <w:rPr>
                <w:rFonts w:ascii="Century Gothic" w:hAnsi="Century Gothic" w:cs="Arial"/>
                <w:sz w:val="20"/>
                <w:szCs w:val="20"/>
              </w:rPr>
            </w:pPr>
          </w:p>
        </w:tc>
      </w:tr>
      <w:tr w:rsidR="0070202C" w:rsidTr="0070202C">
        <w:trPr>
          <w:cantSplit/>
        </w:trPr>
        <w:tc>
          <w:tcPr>
            <w:tcW w:w="120.30pt" w:type="dxa"/>
            <w:shd w:val="clear" w:color="auto" w:fill="auto"/>
            <w:vAlign w:val="center"/>
          </w:tcPr>
          <w:p w:rsidR="0070202C" w:rsidRPr="0070202C" w:rsidRDefault="0070202C" w:rsidP="0070202C">
            <w:pPr>
              <w:pStyle w:val="Texto1"/>
              <w:spacing w:before="1pt" w:after="1pt" w:line="13.80pt" w:lineRule="auto"/>
              <w:ind w:start="0pt"/>
              <w:jc w:val="start"/>
              <w:rPr>
                <w:rFonts w:ascii="Century Gothic" w:hAnsi="Century Gothic" w:cs="Arial"/>
                <w:b/>
                <w:sz w:val="20"/>
                <w:szCs w:val="20"/>
                <w:lang w:val="es-MX"/>
              </w:rPr>
            </w:pPr>
            <w:r>
              <w:rPr>
                <w:rFonts w:ascii="Century Gothic" w:hAnsi="Century Gothic" w:cs="Arial"/>
                <w:b/>
                <w:sz w:val="20"/>
                <w:szCs w:val="20"/>
              </w:rPr>
              <w:t>Coubicación</w:t>
            </w:r>
          </w:p>
        </w:tc>
        <w:tc>
          <w:tcPr>
            <w:tcW w:w="354.45pt" w:type="dxa"/>
            <w:shd w:val="clear" w:color="auto" w:fill="auto"/>
          </w:tcPr>
          <w:p w:rsidR="0070202C" w:rsidRPr="00611019" w:rsidRDefault="0070202C">
            <w:pPr>
              <w:pStyle w:val="Texto1"/>
              <w:numPr>
                <w:ilvl w:val="0"/>
                <w:numId w:val="162"/>
              </w:numPr>
              <w:spacing w:before="1pt" w:after="1pt" w:line="13.80pt" w:lineRule="auto"/>
              <w:rPr>
                <w:rFonts w:ascii="Century Gothic" w:hAnsi="Century Gothic" w:cs="Arial"/>
                <w:sz w:val="20"/>
                <w:szCs w:val="20"/>
              </w:rPr>
            </w:pPr>
            <w:r>
              <w:rPr>
                <w:rFonts w:ascii="Century Gothic" w:hAnsi="Century Gothic" w:cs="Arial"/>
                <w:sz w:val="20"/>
                <w:szCs w:val="20"/>
              </w:rPr>
              <w:t>Verificar parámetros de fuerza respecto a lo contratado.</w:t>
            </w:r>
          </w:p>
          <w:p w:rsidR="0070202C" w:rsidRDefault="0070202C" w:rsidP="0070202C">
            <w:pPr>
              <w:pStyle w:val="Texto1"/>
              <w:spacing w:before="1pt" w:after="1pt" w:line="13.80pt" w:lineRule="auto"/>
              <w:ind w:start="33.85pt"/>
              <w:rPr>
                <w:rFonts w:ascii="Century Gothic" w:hAnsi="Century Gothic" w:cs="Arial"/>
                <w:sz w:val="20"/>
                <w:szCs w:val="20"/>
              </w:rPr>
            </w:pPr>
            <w:r>
              <w:rPr>
                <w:rFonts w:ascii="Century Gothic" w:hAnsi="Century Gothic" w:cs="Arial"/>
                <w:sz w:val="20"/>
                <w:szCs w:val="20"/>
              </w:rPr>
              <w:t>Verificar parámetros de clima respecto a lo contratado.</w:t>
            </w:r>
          </w:p>
        </w:tc>
      </w:tr>
      <w:tr w:rsidR="0070202C" w:rsidTr="0070202C">
        <w:trPr>
          <w:cantSplit/>
        </w:trPr>
        <w:tc>
          <w:tcPr>
            <w:tcW w:w="120.30pt" w:type="dxa"/>
            <w:shd w:val="clear" w:color="auto" w:fill="auto"/>
            <w:vAlign w:val="center"/>
          </w:tcPr>
          <w:p w:rsidR="0070202C" w:rsidRPr="0070202C" w:rsidRDefault="0070202C" w:rsidP="0070202C">
            <w:pPr>
              <w:pStyle w:val="Texto1"/>
              <w:spacing w:before="1pt" w:after="1pt" w:line="13.80pt" w:lineRule="auto"/>
              <w:ind w:start="0pt"/>
              <w:jc w:val="start"/>
              <w:rPr>
                <w:rFonts w:ascii="Century Gothic" w:hAnsi="Century Gothic" w:cs="Arial"/>
                <w:b/>
                <w:sz w:val="20"/>
                <w:szCs w:val="20"/>
              </w:rPr>
            </w:pPr>
          </w:p>
        </w:tc>
        <w:tc>
          <w:tcPr>
            <w:tcW w:w="354.45pt" w:type="dxa"/>
            <w:shd w:val="clear" w:color="auto" w:fill="auto"/>
          </w:tcPr>
          <w:p w:rsidR="0070202C" w:rsidRPr="0070202C" w:rsidRDefault="0070202C">
            <w:pPr>
              <w:pStyle w:val="Texto1"/>
              <w:numPr>
                <w:ilvl w:val="0"/>
                <w:numId w:val="162"/>
              </w:numPr>
              <w:spacing w:before="1pt" w:after="1pt" w:line="13.80pt" w:lineRule="auto"/>
              <w:rPr>
                <w:rFonts w:ascii="Century Gothic" w:hAnsi="Century Gothic" w:cs="Arial"/>
                <w:sz w:val="20"/>
                <w:szCs w:val="20"/>
              </w:rPr>
            </w:pPr>
          </w:p>
        </w:tc>
      </w:tr>
      <w:tr w:rsidR="0061711D" w:rsidTr="0070202C">
        <w:trPr>
          <w:cantSplit/>
        </w:trPr>
        <w:tc>
          <w:tcPr>
            <w:tcW w:w="120.30pt" w:type="dxa"/>
            <w:shd w:val="clear" w:color="auto" w:fill="auto"/>
            <w:vAlign w:val="center"/>
          </w:tcPr>
          <w:p w:rsidR="00A92D8F" w:rsidRPr="00611019" w:rsidRDefault="00E56462" w:rsidP="00035D2C">
            <w:pPr>
              <w:pStyle w:val="Texto1"/>
              <w:spacing w:before="1pt" w:after="1pt" w:line="13.80pt" w:lineRule="auto"/>
              <w:ind w:start="0pt"/>
              <w:jc w:val="start"/>
              <w:rPr>
                <w:rFonts w:ascii="Century Gothic" w:hAnsi="Century Gothic" w:cs="Arial"/>
                <w:b/>
                <w:sz w:val="20"/>
                <w:szCs w:val="20"/>
              </w:rPr>
            </w:pPr>
            <w:r>
              <w:rPr>
                <w:rFonts w:ascii="Century Gothic" w:hAnsi="Century Gothic" w:cs="Arial"/>
                <w:b/>
                <w:sz w:val="20"/>
                <w:szCs w:val="20"/>
              </w:rPr>
              <w:t>Servicio Auxiliar de Cableado Multipar</w:t>
            </w:r>
          </w:p>
        </w:tc>
        <w:tc>
          <w:tcPr>
            <w:tcW w:w="354.45pt" w:type="dxa"/>
            <w:shd w:val="clear" w:color="auto" w:fill="auto"/>
          </w:tcPr>
          <w:p w:rsidR="00A92D8F" w:rsidRPr="00611019" w:rsidRDefault="00E56462">
            <w:pPr>
              <w:pStyle w:val="Texto1"/>
              <w:numPr>
                <w:ilvl w:val="0"/>
                <w:numId w:val="162"/>
              </w:numPr>
              <w:spacing w:before="1pt" w:after="1pt" w:line="13.80pt" w:lineRule="auto"/>
              <w:rPr>
                <w:rFonts w:ascii="Century Gothic" w:hAnsi="Century Gothic" w:cs="Arial"/>
                <w:sz w:val="20"/>
                <w:szCs w:val="20"/>
              </w:rPr>
            </w:pPr>
            <w:r>
              <w:rPr>
                <w:rFonts w:ascii="Century Gothic" w:hAnsi="Century Gothic" w:cs="Arial"/>
                <w:sz w:val="20"/>
                <w:szCs w:val="20"/>
              </w:rPr>
              <w:t>Verificar que el par se encuentre correctamente terminado.</w:t>
            </w:r>
          </w:p>
        </w:tc>
      </w:tr>
    </w:tbl>
    <w:p w:rsidR="00A92D8F" w:rsidRPr="00611019" w:rsidRDefault="00E56462" w:rsidP="00035D2C">
      <w:pPr>
        <w:pStyle w:val="Texto1"/>
        <w:spacing w:before="6pt" w:after="6pt" w:line="13.80pt" w:lineRule="auto"/>
        <w:ind w:start="0pt"/>
        <w:rPr>
          <w:rFonts w:ascii="Century Gothic" w:hAnsi="Century Gothic" w:cs="Arial"/>
          <w:sz w:val="22"/>
        </w:rPr>
      </w:pPr>
      <w:r>
        <w:rPr>
          <w:rFonts w:ascii="Century Gothic" w:hAnsi="Century Gothic" w:cs="Arial"/>
          <w:sz w:val="22"/>
        </w:rPr>
        <w:t>Para los Servicios de Acceso Indirecto al Bucle Local y de Desagregación Virtual del Bucle Local, se deberá verificar el estado del Módem u ONT considerando lo siguiente:</w:t>
      </w:r>
    </w:p>
    <w:tbl>
      <w:tblPr>
        <w:tblW w:w="474.75pt" w:type="dxa"/>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1"/>
      </w:tblPr>
      <w:tblGrid>
        <w:gridCol w:w="988"/>
        <w:gridCol w:w="8507"/>
      </w:tblGrid>
      <w:tr w:rsidR="0061711D" w:rsidTr="0068403C">
        <w:tc>
          <w:tcPr>
            <w:tcW w:w="49.40pt" w:type="dxa"/>
            <w:shd w:val="clear" w:color="auto" w:fill="009AD9"/>
          </w:tcPr>
          <w:p w:rsidR="00A92D8F" w:rsidRPr="00611019" w:rsidRDefault="00E56462" w:rsidP="00035D2C">
            <w:pPr>
              <w:pStyle w:val="Texto1"/>
              <w:spacing w:before="1pt" w:after="1pt" w:line="13.80pt" w:lineRule="auto"/>
              <w:ind w:start="0pt"/>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t>Equipo</w:t>
            </w:r>
          </w:p>
        </w:tc>
        <w:tc>
          <w:tcPr>
            <w:tcW w:w="425.35pt" w:type="dxa"/>
            <w:shd w:val="clear" w:color="auto" w:fill="009AD9"/>
          </w:tcPr>
          <w:p w:rsidR="00A92D8F" w:rsidRPr="00611019" w:rsidRDefault="00E56462" w:rsidP="00035D2C">
            <w:pPr>
              <w:pStyle w:val="Texto1"/>
              <w:spacing w:before="1pt" w:after="1pt" w:line="13.80pt" w:lineRule="auto"/>
              <w:ind w:start="0pt"/>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t>Verificaciones Previas</w:t>
            </w:r>
          </w:p>
        </w:tc>
      </w:tr>
      <w:tr w:rsidR="0061711D" w:rsidTr="0068403C">
        <w:tc>
          <w:tcPr>
            <w:tcW w:w="49.40pt" w:type="dxa"/>
            <w:shd w:val="clear" w:color="auto" w:fill="auto"/>
            <w:vAlign w:val="center"/>
          </w:tcPr>
          <w:p w:rsidR="00A92D8F" w:rsidRPr="00611019" w:rsidRDefault="00E56462" w:rsidP="00035D2C">
            <w:pPr>
              <w:pStyle w:val="Texto1"/>
              <w:spacing w:before="1pt" w:after="1pt" w:line="13.80pt" w:lineRule="auto"/>
              <w:ind w:start="0pt"/>
              <w:jc w:val="start"/>
              <w:rPr>
                <w:rFonts w:ascii="Century Gothic" w:hAnsi="Century Gothic" w:cs="Arial"/>
                <w:b/>
                <w:sz w:val="20"/>
                <w:szCs w:val="20"/>
              </w:rPr>
            </w:pPr>
            <w:r>
              <w:rPr>
                <w:rFonts w:ascii="Century Gothic" w:hAnsi="Century Gothic" w:cs="Arial"/>
                <w:b/>
                <w:sz w:val="20"/>
                <w:szCs w:val="20"/>
              </w:rPr>
              <w:t>Módem</w:t>
            </w:r>
          </w:p>
        </w:tc>
        <w:tc>
          <w:tcPr>
            <w:tcW w:w="425.35pt" w:type="dxa"/>
            <w:shd w:val="clear" w:color="auto" w:fill="auto"/>
          </w:tcPr>
          <w:p w:rsidR="00A92D8F" w:rsidRPr="00611019" w:rsidRDefault="00E56462">
            <w:pPr>
              <w:pStyle w:val="Texto1"/>
              <w:numPr>
                <w:ilvl w:val="0"/>
                <w:numId w:val="163"/>
              </w:numPr>
              <w:spacing w:before="1pt" w:after="1pt" w:line="13.80pt" w:lineRule="auto"/>
              <w:rPr>
                <w:rFonts w:ascii="Century Gothic" w:hAnsi="Century Gothic" w:cs="Arial"/>
                <w:sz w:val="20"/>
                <w:szCs w:val="20"/>
              </w:rPr>
            </w:pPr>
            <w:r>
              <w:rPr>
                <w:rFonts w:ascii="Century Gothic" w:hAnsi="Century Gothic" w:cs="Arial"/>
                <w:sz w:val="20"/>
                <w:szCs w:val="20"/>
              </w:rPr>
              <w:t xml:space="preserve">Validar si el módem es propiedad de </w:t>
            </w:r>
            <w:r>
              <w:rPr>
                <w:rFonts w:ascii="Century Gothic" w:hAnsi="Century Gothic"/>
                <w:sz w:val="20"/>
                <w:szCs w:val="20"/>
              </w:rPr>
              <w:t>RED NACIONAL</w:t>
            </w:r>
            <w:r>
              <w:rPr>
                <w:rFonts w:ascii="Century Gothic" w:hAnsi="Century Gothic" w:cs="Arial"/>
                <w:sz w:val="20"/>
                <w:szCs w:val="20"/>
              </w:rPr>
              <w:t xml:space="preserve"> o del CS.</w:t>
            </w:r>
          </w:p>
          <w:p w:rsidR="00A92D8F" w:rsidRPr="00611019" w:rsidRDefault="00E56462">
            <w:pPr>
              <w:pStyle w:val="Texto1"/>
              <w:numPr>
                <w:ilvl w:val="0"/>
                <w:numId w:val="163"/>
              </w:numPr>
              <w:spacing w:before="1pt" w:after="1pt" w:line="13.80pt" w:lineRule="auto"/>
              <w:rPr>
                <w:rFonts w:ascii="Century Gothic" w:hAnsi="Century Gothic" w:cs="Arial"/>
                <w:sz w:val="20"/>
                <w:szCs w:val="20"/>
              </w:rPr>
            </w:pPr>
            <w:r>
              <w:rPr>
                <w:rFonts w:ascii="Century Gothic" w:hAnsi="Century Gothic" w:cs="Arial"/>
                <w:sz w:val="20"/>
                <w:szCs w:val="20"/>
              </w:rPr>
              <w:t xml:space="preserve">En caso de que el módem hubiera sido vendido por </w:t>
            </w:r>
            <w:r>
              <w:rPr>
                <w:rFonts w:ascii="Century Gothic" w:hAnsi="Century Gothic" w:cs="Arial"/>
                <w:spacing w:val="-3"/>
                <w:sz w:val="20"/>
                <w:szCs w:val="20"/>
              </w:rPr>
              <w:t>RED NACIONAL</w:t>
            </w:r>
            <w:r>
              <w:rPr>
                <w:rFonts w:ascii="Century Gothic" w:hAnsi="Century Gothic" w:cs="Arial"/>
                <w:sz w:val="20"/>
                <w:szCs w:val="20"/>
              </w:rPr>
              <w:t xml:space="preserve"> al CS se verificará si se encuentra dentro del plazo otorgado para hacer válida la garantía.</w:t>
            </w:r>
          </w:p>
          <w:p w:rsidR="00A92D8F" w:rsidRPr="00611019" w:rsidRDefault="00E56462">
            <w:pPr>
              <w:pStyle w:val="Texto1"/>
              <w:numPr>
                <w:ilvl w:val="0"/>
                <w:numId w:val="163"/>
              </w:numPr>
              <w:spacing w:before="1pt" w:after="1pt" w:line="13.80pt" w:lineRule="auto"/>
              <w:rPr>
                <w:rFonts w:ascii="Century Gothic" w:hAnsi="Century Gothic" w:cs="Arial"/>
                <w:sz w:val="20"/>
                <w:szCs w:val="20"/>
              </w:rPr>
            </w:pPr>
            <w:r>
              <w:rPr>
                <w:rFonts w:ascii="Century Gothic" w:hAnsi="Century Gothic" w:cs="Arial"/>
                <w:sz w:val="20"/>
                <w:szCs w:val="20"/>
              </w:rPr>
              <w:t>Validar que los LED del módem estén encendidos para verificar su funcionamiento.</w:t>
            </w:r>
          </w:p>
        </w:tc>
      </w:tr>
      <w:tr w:rsidR="0061711D" w:rsidTr="0068403C">
        <w:tc>
          <w:tcPr>
            <w:tcW w:w="49.40pt" w:type="dxa"/>
            <w:shd w:val="clear" w:color="auto" w:fill="auto"/>
            <w:vAlign w:val="center"/>
          </w:tcPr>
          <w:p w:rsidR="00A92D8F" w:rsidRPr="00611019" w:rsidRDefault="00E56462" w:rsidP="00035D2C">
            <w:pPr>
              <w:pStyle w:val="Texto1"/>
              <w:spacing w:before="1pt" w:after="1pt" w:line="13.80pt" w:lineRule="auto"/>
              <w:ind w:start="0pt"/>
              <w:jc w:val="start"/>
              <w:rPr>
                <w:rFonts w:ascii="Century Gothic" w:hAnsi="Century Gothic" w:cs="Arial"/>
                <w:b/>
                <w:sz w:val="20"/>
                <w:szCs w:val="20"/>
              </w:rPr>
            </w:pPr>
            <w:r>
              <w:rPr>
                <w:rFonts w:ascii="Century Gothic" w:hAnsi="Century Gothic" w:cs="Arial"/>
                <w:b/>
                <w:sz w:val="20"/>
                <w:szCs w:val="20"/>
              </w:rPr>
              <w:t>ONT</w:t>
            </w:r>
          </w:p>
        </w:tc>
        <w:tc>
          <w:tcPr>
            <w:tcW w:w="425.35pt" w:type="dxa"/>
            <w:shd w:val="clear" w:color="auto" w:fill="auto"/>
          </w:tcPr>
          <w:p w:rsidR="00A92D8F" w:rsidRPr="00611019" w:rsidRDefault="00E56462">
            <w:pPr>
              <w:pStyle w:val="Texto1"/>
              <w:numPr>
                <w:ilvl w:val="0"/>
                <w:numId w:val="163"/>
              </w:numPr>
              <w:spacing w:before="1pt" w:after="1pt" w:line="13.80pt" w:lineRule="auto"/>
              <w:rPr>
                <w:rFonts w:ascii="Century Gothic" w:hAnsi="Century Gothic" w:cs="Arial"/>
                <w:sz w:val="20"/>
                <w:szCs w:val="20"/>
              </w:rPr>
            </w:pPr>
            <w:r>
              <w:rPr>
                <w:rFonts w:ascii="Century Gothic" w:hAnsi="Century Gothic" w:cs="Arial"/>
                <w:sz w:val="20"/>
                <w:szCs w:val="20"/>
              </w:rPr>
              <w:t xml:space="preserve">Validar si la ONT es propiedad de </w:t>
            </w:r>
            <w:r>
              <w:rPr>
                <w:rFonts w:ascii="Century Gothic" w:hAnsi="Century Gothic"/>
                <w:sz w:val="20"/>
                <w:szCs w:val="20"/>
              </w:rPr>
              <w:t>RED NACIONAL</w:t>
            </w:r>
            <w:r>
              <w:rPr>
                <w:rFonts w:ascii="Century Gothic" w:hAnsi="Century Gothic" w:cs="Arial"/>
                <w:sz w:val="20"/>
                <w:szCs w:val="20"/>
              </w:rPr>
              <w:t xml:space="preserve"> o del CS. </w:t>
            </w:r>
          </w:p>
          <w:p w:rsidR="00A92D8F" w:rsidRPr="00611019" w:rsidRDefault="00E56462">
            <w:pPr>
              <w:pStyle w:val="Texto1"/>
              <w:numPr>
                <w:ilvl w:val="0"/>
                <w:numId w:val="163"/>
              </w:numPr>
              <w:spacing w:before="1pt" w:after="1pt" w:line="13.80pt" w:lineRule="auto"/>
              <w:rPr>
                <w:rFonts w:ascii="Century Gothic" w:hAnsi="Century Gothic" w:cs="Arial"/>
                <w:sz w:val="20"/>
                <w:szCs w:val="20"/>
              </w:rPr>
            </w:pPr>
            <w:r>
              <w:rPr>
                <w:rFonts w:ascii="Century Gothic" w:hAnsi="Century Gothic" w:cs="Arial"/>
                <w:sz w:val="20"/>
                <w:szCs w:val="20"/>
              </w:rPr>
              <w:t>En caso de que la ONT hubiera sido vendida por RED NACIONAL al CS se verificará si se encuentra dentro del plazo para hacer válida la garantía.</w:t>
            </w:r>
          </w:p>
          <w:p w:rsidR="00A92D8F" w:rsidRPr="00611019" w:rsidRDefault="00E56462">
            <w:pPr>
              <w:pStyle w:val="Texto1"/>
              <w:numPr>
                <w:ilvl w:val="0"/>
                <w:numId w:val="163"/>
              </w:numPr>
              <w:spacing w:before="1pt" w:after="1pt" w:line="13.80pt" w:lineRule="auto"/>
              <w:rPr>
                <w:rFonts w:ascii="Century Gothic" w:hAnsi="Century Gothic" w:cs="Arial"/>
                <w:sz w:val="20"/>
                <w:szCs w:val="20"/>
              </w:rPr>
            </w:pPr>
            <w:r>
              <w:rPr>
                <w:rFonts w:ascii="Century Gothic" w:hAnsi="Century Gothic" w:cs="Arial"/>
                <w:sz w:val="20"/>
                <w:szCs w:val="20"/>
              </w:rPr>
              <w:lastRenderedPageBreak/>
              <w:t>Validar que los LED de la ONT estén encendidos para verificar su funcionamiento.</w:t>
            </w:r>
          </w:p>
        </w:tc>
      </w:tr>
    </w:tbl>
    <w:p w:rsidR="00996C0A" w:rsidRPr="00611019" w:rsidRDefault="00996C0A" w:rsidP="00035D2C">
      <w:pPr>
        <w:pStyle w:val="Texto1"/>
        <w:spacing w:before="3pt" w:line="13.80pt" w:lineRule="auto"/>
        <w:ind w:start="0pt"/>
        <w:rPr>
          <w:rFonts w:ascii="Century Gothic" w:hAnsi="Century Gothic" w:cs="Arial"/>
          <w:b/>
          <w:sz w:val="22"/>
          <w:szCs w:val="22"/>
          <w:u w:val="single"/>
          <w:lang w:val="es-MX"/>
        </w:rPr>
      </w:pPr>
    </w:p>
    <w:p w:rsidR="00A92D8F" w:rsidRPr="00611019" w:rsidRDefault="00E56462" w:rsidP="00035D2C">
      <w:pPr>
        <w:pStyle w:val="Texto1"/>
        <w:spacing w:before="3pt" w:line="13.80pt" w:lineRule="auto"/>
        <w:ind w:start="0pt"/>
        <w:rPr>
          <w:rFonts w:ascii="Century Gothic" w:hAnsi="Century Gothic" w:cs="Arial"/>
          <w:b/>
          <w:sz w:val="22"/>
          <w:szCs w:val="22"/>
          <w:u w:val="single"/>
        </w:rPr>
      </w:pPr>
      <w:r>
        <w:rPr>
          <w:rFonts w:ascii="Century Gothic" w:hAnsi="Century Gothic" w:cs="Arial"/>
          <w:b/>
          <w:sz w:val="22"/>
          <w:szCs w:val="22"/>
          <w:u w:val="single"/>
        </w:rPr>
        <w:t>Importante:</w:t>
      </w:r>
    </w:p>
    <w:p w:rsidR="00A92D8F" w:rsidRPr="00611019" w:rsidRDefault="00E56462">
      <w:pPr>
        <w:pStyle w:val="IFTnormal"/>
        <w:numPr>
          <w:ilvl w:val="0"/>
          <w:numId w:val="164"/>
        </w:numPr>
        <w:spacing w:after="6pt"/>
        <w:rPr>
          <w:rFonts w:ascii="Century Gothic" w:hAnsi="Century Gothic"/>
          <w:lang w:val="es-MX"/>
        </w:rPr>
      </w:pPr>
      <w:r>
        <w:rPr>
          <w:rFonts w:ascii="Century Gothic" w:hAnsi="Century Gothic"/>
          <w:lang w:val="es-MX"/>
        </w:rPr>
        <w:t xml:space="preserve">Cualquier prueba realizada deberá atender cuando menos lo especificado en los estándares de la Unión Internacional de las Telecomunicaciones (UIT) bajo los cuales se regulan las tecnologías, medios y servicios sobre fibra óptica, por ejemplo, la recomendación </w:t>
      </w:r>
      <w:r>
        <w:rPr>
          <w:rFonts w:ascii="Century Gothic" w:hAnsi="Century Gothic"/>
        </w:rPr>
        <w:t>ITU-T G.652, entre otras.</w:t>
      </w:r>
      <w:r>
        <w:rPr>
          <w:rFonts w:ascii="Century Gothic" w:hAnsi="Century Gothic"/>
          <w:lang w:val="es-MX"/>
        </w:rPr>
        <w:t xml:space="preserve"> </w:t>
      </w:r>
    </w:p>
    <w:p w:rsidR="006976DF" w:rsidRPr="00611019" w:rsidRDefault="00E56462">
      <w:pPr>
        <w:pStyle w:val="IFTnormal"/>
        <w:numPr>
          <w:ilvl w:val="0"/>
          <w:numId w:val="164"/>
        </w:numPr>
        <w:rPr>
          <w:rFonts w:ascii="Century Gothic" w:hAnsi="Century Gothic"/>
        </w:rPr>
      </w:pPr>
      <w:r>
        <w:rPr>
          <w:rFonts w:ascii="Century Gothic" w:hAnsi="Century Gothic"/>
        </w:rPr>
        <w:t>En caso de falla en el módem/ONT provisto por RED NACIONAL, el mismo se reemplazará de forma inmediata, sin embargo, los equipos que se encuentren fuera del plazo de garantía o dañados por causa del CS, requerirán una autorización del CS para ser reemplazados ya que serán cobrados a éste.</w:t>
      </w:r>
    </w:p>
    <w:p w:rsidR="00210FAE" w:rsidRPr="00611019" w:rsidRDefault="00210FAE" w:rsidP="00035D2C">
      <w:pPr>
        <w:pStyle w:val="IFTnormal"/>
        <w:ind w:start="36pt" w:hanging="18pt"/>
        <w:rPr>
          <w:rFonts w:ascii="Century Gothic" w:hAnsi="Century Gothic"/>
          <w:lang w:val="es-MX"/>
        </w:rPr>
      </w:pPr>
    </w:p>
    <w:p w:rsidR="00A92D8F" w:rsidRPr="00611019" w:rsidRDefault="00E56462" w:rsidP="00035D2C">
      <w:pPr>
        <w:pStyle w:val="1TitPrin"/>
        <w:spacing w:before="6pt"/>
        <w:ind w:start="0pt" w:firstLine="0pt"/>
        <w:rPr>
          <w:rFonts w:ascii="Century Gothic" w:hAnsi="Century Gothic" w:cs="Times New Roman"/>
          <w14:scene3d>
            <w14:camera w14:prst="orthographicFront"/>
            <w14:lightRig w14:rig="threePt" w14:dir="t">
              <w14:rot w14:lat="0" w14:lon="0" w14:rev="0"/>
            </w14:lightRig>
          </w14:scene3d>
        </w:rPr>
      </w:pPr>
      <w:bookmarkStart w:id="2448" w:name="_Toc92974121"/>
      <w:bookmarkStart w:id="2449" w:name="_Toc93052432"/>
      <w:bookmarkStart w:id="2450" w:name="_Toc93056387"/>
      <w:bookmarkStart w:id="2451" w:name="_Toc125393450"/>
      <w:bookmarkStart w:id="2452" w:name="_Toc148702306"/>
      <w:bookmarkStart w:id="2453" w:name="_Toc170381921"/>
      <w:r>
        <w:rPr>
          <w:rFonts w:ascii="Century Gothic" w:hAnsi="Century Gothic" w:cs="Times New Roman"/>
          <w14:scene3d>
            <w14:camera w14:prst="orthographicFront"/>
            <w14:lightRig w14:rig="threePt" w14:dir="t">
              <w14:rot w14:lat="0" w14:lon="0" w14:rev="0"/>
            </w14:lightRig>
          </w14:scene3d>
        </w:rPr>
        <w:t>4. Gestión de Incidencias</w:t>
      </w:r>
      <w:bookmarkEnd w:id="2448"/>
      <w:bookmarkEnd w:id="2449"/>
      <w:bookmarkEnd w:id="2450"/>
      <w:bookmarkEnd w:id="2451"/>
      <w:bookmarkEnd w:id="2452"/>
      <w:bookmarkEnd w:id="2453"/>
      <w:r>
        <w:rPr>
          <w:rFonts w:ascii="Century Gothic" w:hAnsi="Century Gothic" w:cs="Times New Roman"/>
          <w14:scene3d>
            <w14:camera w14:prst="orthographicFront"/>
            <w14:lightRig w14:rig="threePt" w14:dir="t">
              <w14:rot w14:lat="0" w14:lon="0" w14:rev="0"/>
            </w14:lightRig>
          </w14:scene3d>
        </w:rPr>
        <w:t>.</w:t>
      </w:r>
    </w:p>
    <w:p w:rsidR="006976DF" w:rsidRPr="00611019" w:rsidRDefault="00E56462" w:rsidP="00035D2C">
      <w:pPr>
        <w:pStyle w:val="Ttulo2"/>
        <w:spacing w:after="0pt"/>
        <w:ind w:start="28.80pt" w:hanging="28.80pt"/>
        <w:rPr>
          <w:rFonts w:ascii="Century Gothic" w:hAnsi="Century Gothic"/>
        </w:rPr>
      </w:pPr>
      <w:bookmarkStart w:id="2454" w:name="_Toc92974122"/>
      <w:bookmarkStart w:id="2455" w:name="_Toc93052433"/>
      <w:bookmarkStart w:id="2456" w:name="_Toc93056388"/>
      <w:bookmarkStart w:id="2457" w:name="_Toc125393451"/>
      <w:bookmarkStart w:id="2458" w:name="_Toc148702307"/>
      <w:bookmarkStart w:id="2459" w:name="_Toc170381922"/>
      <w:r>
        <w:rPr>
          <w:rFonts w:ascii="Century Gothic" w:hAnsi="Century Gothic"/>
        </w:rPr>
        <w:lastRenderedPageBreak/>
        <w:t>4.1 Registro</w:t>
      </w:r>
      <w:bookmarkEnd w:id="2454"/>
      <w:bookmarkEnd w:id="2455"/>
      <w:bookmarkEnd w:id="2456"/>
      <w:bookmarkEnd w:id="2457"/>
      <w:bookmarkEnd w:id="2458"/>
      <w:bookmarkEnd w:id="2459"/>
      <w:r>
        <w:rPr>
          <w:rFonts w:ascii="Century Gothic" w:hAnsi="Century Gothic"/>
        </w:rPr>
        <w:t>.</w:t>
      </w:r>
    </w:p>
    <w:p w:rsidR="008932C9" w:rsidRPr="00611019" w:rsidRDefault="008932C9" w:rsidP="00035D2C">
      <w:pPr>
        <w:rPr>
          <w:sz w:val="8"/>
        </w:rPr>
      </w:pPr>
    </w:p>
    <w:p w:rsidR="00A92D8F" w:rsidRPr="00611019" w:rsidRDefault="00E56462" w:rsidP="00035D2C">
      <w:pPr>
        <w:pStyle w:val="IFTnormal"/>
        <w:spacing w:after="6pt"/>
        <w:rPr>
          <w:rFonts w:ascii="Century Gothic" w:hAnsi="Century Gothic"/>
        </w:rPr>
      </w:pPr>
      <w:r>
        <w:rPr>
          <w:rFonts w:ascii="Century Gothic" w:hAnsi="Century Gothic"/>
        </w:rPr>
        <w:t>El CS genera un reporte de incidente hacia RED NACIONAL después de validar que la falla o incidencia no es de su responsabilidad. Al recibir el reporte, el Centro de Atención de RED NACIONAL confirma que el Servicio afectado corresponde al CS y que tiene estatus de Servicio en operación.</w:t>
      </w:r>
    </w:p>
    <w:p w:rsidR="00A92D8F" w:rsidRPr="00611019" w:rsidRDefault="00E56462" w:rsidP="00035D2C">
      <w:pPr>
        <w:pStyle w:val="IFTnormal"/>
        <w:spacing w:after="6pt"/>
        <w:rPr>
          <w:rFonts w:ascii="Century Gothic" w:hAnsi="Century Gothic"/>
        </w:rPr>
      </w:pPr>
      <w:r>
        <w:rPr>
          <w:rFonts w:ascii="Century Gothic" w:hAnsi="Century Gothic"/>
        </w:rPr>
        <w:t>El Centro de Atención de RED NACIONAL registra el reporte en el sistema, generando para cada uno de ellos un ticket e informando al CS para su seguimiento.</w:t>
      </w:r>
    </w:p>
    <w:p w:rsidR="00A92D8F" w:rsidRPr="00611019" w:rsidRDefault="00E56462" w:rsidP="00035D2C">
      <w:pPr>
        <w:pStyle w:val="Texto1"/>
        <w:spacing w:after="6pt" w:line="13.80pt" w:lineRule="auto"/>
        <w:ind w:start="0pt"/>
        <w:rPr>
          <w:rFonts w:ascii="Century Gothic" w:hAnsi="Century Gothic" w:cs="Arial"/>
          <w:color w:val="000000"/>
          <w:sz w:val="22"/>
          <w:szCs w:val="22"/>
        </w:rPr>
      </w:pPr>
      <w:r>
        <w:rPr>
          <w:rFonts w:ascii="Century Gothic" w:hAnsi="Century Gothic" w:cs="Arial"/>
          <w:color w:val="000000"/>
          <w:sz w:val="22"/>
          <w:szCs w:val="22"/>
        </w:rPr>
        <w:t xml:space="preserve">Cualquier CS, podrá alertar sobre la existencia de alguna incidencia real o potencial que afecte a todos los Servicios materia de la OREDA, por tanto, se dará seguimiento a las incidencias detectadas y reportadas por el CS y se advertirá a los operadores afectados sobre las incidencias detectadas. </w:t>
      </w:r>
    </w:p>
    <w:p w:rsidR="00A92D8F" w:rsidRPr="00611019" w:rsidRDefault="00E56462" w:rsidP="00035D2C">
      <w:pPr>
        <w:pStyle w:val="Texto1"/>
        <w:spacing w:line="13.80pt" w:lineRule="auto"/>
        <w:ind w:start="0pt"/>
        <w:rPr>
          <w:rFonts w:ascii="Century Gothic" w:hAnsi="Century Gothic" w:cs="Arial"/>
          <w:color w:val="000000"/>
          <w:sz w:val="22"/>
          <w:szCs w:val="22"/>
        </w:rPr>
      </w:pPr>
      <w:r>
        <w:rPr>
          <w:rFonts w:ascii="Century Gothic" w:hAnsi="Century Gothic" w:cs="Arial"/>
          <w:color w:val="000000"/>
          <w:sz w:val="22"/>
          <w:szCs w:val="22"/>
        </w:rPr>
        <w:t>Los datos obligatorios para el reporte de incidencias son los siguientes:</w:t>
      </w:r>
    </w:p>
    <w:p w:rsidR="008932C9" w:rsidRPr="00611019" w:rsidRDefault="008932C9" w:rsidP="00035D2C">
      <w:pPr>
        <w:pStyle w:val="Texto1"/>
        <w:spacing w:line="13.80pt" w:lineRule="auto"/>
        <w:ind w:start="0pt"/>
        <w:rPr>
          <w:rFonts w:ascii="Century Gothic" w:hAnsi="Century Gothic" w:cs="Arial"/>
          <w:color w:val="000000"/>
          <w:sz w:val="22"/>
          <w:szCs w:val="22"/>
        </w:rPr>
      </w:pPr>
    </w:p>
    <w:p w:rsidR="00A92D8F" w:rsidRPr="00611019" w:rsidRDefault="00E56462">
      <w:pPr>
        <w:pStyle w:val="Texto1"/>
        <w:numPr>
          <w:ilvl w:val="0"/>
          <w:numId w:val="214"/>
        </w:numPr>
        <w:spacing w:line="13.80pt" w:lineRule="auto"/>
        <w:rPr>
          <w:rFonts w:ascii="Century Gothic" w:hAnsi="Century Gothic" w:cs="Arial"/>
          <w:color w:val="000000"/>
          <w:sz w:val="22"/>
          <w:szCs w:val="22"/>
        </w:rPr>
      </w:pPr>
      <w:r>
        <w:rPr>
          <w:rFonts w:ascii="Century Gothic" w:hAnsi="Century Gothic" w:cs="Arial"/>
          <w:color w:val="000000"/>
          <w:sz w:val="22"/>
          <w:szCs w:val="22"/>
        </w:rPr>
        <w:t>Nombre del CS.</w:t>
      </w:r>
    </w:p>
    <w:p w:rsidR="00A92D8F" w:rsidRPr="00611019" w:rsidRDefault="00E56462">
      <w:pPr>
        <w:pStyle w:val="Texto1"/>
        <w:numPr>
          <w:ilvl w:val="0"/>
          <w:numId w:val="214"/>
        </w:numPr>
        <w:spacing w:line="13.80pt" w:lineRule="auto"/>
        <w:rPr>
          <w:rFonts w:ascii="Century Gothic" w:hAnsi="Century Gothic" w:cs="Arial"/>
          <w:color w:val="000000"/>
          <w:sz w:val="22"/>
          <w:szCs w:val="22"/>
        </w:rPr>
      </w:pPr>
      <w:r>
        <w:rPr>
          <w:rFonts w:ascii="Century Gothic" w:hAnsi="Century Gothic" w:cs="Arial"/>
          <w:color w:val="000000"/>
          <w:sz w:val="22"/>
          <w:szCs w:val="22"/>
        </w:rPr>
        <w:t>Nombre de la persona que reporta el servicio.</w:t>
      </w:r>
    </w:p>
    <w:p w:rsidR="00A92D8F" w:rsidRPr="00611019" w:rsidRDefault="00E56462">
      <w:pPr>
        <w:pStyle w:val="Texto1"/>
        <w:numPr>
          <w:ilvl w:val="0"/>
          <w:numId w:val="214"/>
        </w:numPr>
        <w:spacing w:line="13.80pt" w:lineRule="auto"/>
        <w:rPr>
          <w:rFonts w:ascii="Century Gothic" w:hAnsi="Century Gothic" w:cs="Arial"/>
          <w:color w:val="000000"/>
          <w:sz w:val="22"/>
          <w:szCs w:val="22"/>
        </w:rPr>
      </w:pPr>
      <w:r>
        <w:rPr>
          <w:rFonts w:ascii="Century Gothic" w:hAnsi="Century Gothic" w:cs="Arial"/>
          <w:color w:val="000000"/>
          <w:sz w:val="22"/>
          <w:szCs w:val="22"/>
        </w:rPr>
        <w:t>Teléfonos de contacto (principal y alternativo).</w:t>
      </w:r>
    </w:p>
    <w:p w:rsidR="00A92D8F" w:rsidRPr="00611019" w:rsidRDefault="00E56462">
      <w:pPr>
        <w:pStyle w:val="Texto1"/>
        <w:numPr>
          <w:ilvl w:val="0"/>
          <w:numId w:val="214"/>
        </w:numPr>
        <w:spacing w:line="13.80pt" w:lineRule="auto"/>
        <w:rPr>
          <w:rFonts w:ascii="Century Gothic" w:hAnsi="Century Gothic" w:cs="Arial"/>
          <w:color w:val="000000"/>
          <w:sz w:val="22"/>
          <w:szCs w:val="22"/>
        </w:rPr>
      </w:pPr>
      <w:r>
        <w:rPr>
          <w:rFonts w:ascii="Century Gothic" w:hAnsi="Century Gothic" w:cs="Arial"/>
          <w:color w:val="000000"/>
          <w:sz w:val="22"/>
          <w:szCs w:val="22"/>
        </w:rPr>
        <w:t>Direcciones de correo electrónico (principal y alternativa).</w:t>
      </w:r>
    </w:p>
    <w:p w:rsidR="00A92D8F" w:rsidRPr="00611019" w:rsidRDefault="00E56462">
      <w:pPr>
        <w:pStyle w:val="Texto1"/>
        <w:numPr>
          <w:ilvl w:val="0"/>
          <w:numId w:val="214"/>
        </w:numPr>
        <w:spacing w:line="13.80pt" w:lineRule="auto"/>
        <w:rPr>
          <w:rFonts w:ascii="Century Gothic" w:hAnsi="Century Gothic" w:cs="Arial"/>
          <w:color w:val="000000"/>
          <w:sz w:val="22"/>
          <w:szCs w:val="22"/>
        </w:rPr>
      </w:pPr>
      <w:r>
        <w:rPr>
          <w:rFonts w:ascii="Century Gothic" w:hAnsi="Century Gothic" w:cs="Arial"/>
          <w:color w:val="000000"/>
          <w:sz w:val="22"/>
          <w:szCs w:val="22"/>
        </w:rPr>
        <w:t>Referencia del servicio.</w:t>
      </w:r>
    </w:p>
    <w:p w:rsidR="00A92D8F" w:rsidRPr="00611019" w:rsidRDefault="00E56462">
      <w:pPr>
        <w:pStyle w:val="Texto1"/>
        <w:numPr>
          <w:ilvl w:val="0"/>
          <w:numId w:val="214"/>
        </w:numPr>
        <w:spacing w:line="13.80pt" w:lineRule="auto"/>
        <w:rPr>
          <w:rFonts w:ascii="Century Gothic" w:hAnsi="Century Gothic" w:cs="Arial"/>
          <w:color w:val="000000"/>
          <w:sz w:val="22"/>
          <w:szCs w:val="22"/>
        </w:rPr>
      </w:pPr>
      <w:r>
        <w:rPr>
          <w:rFonts w:ascii="Century Gothic" w:hAnsi="Century Gothic" w:cs="Arial"/>
          <w:color w:val="000000"/>
          <w:sz w:val="22"/>
          <w:szCs w:val="22"/>
        </w:rPr>
        <w:t>Descripción de la Incidencia.</w:t>
      </w:r>
    </w:p>
    <w:p w:rsidR="00A92D8F" w:rsidRPr="00611019" w:rsidRDefault="00E56462">
      <w:pPr>
        <w:pStyle w:val="Texto1"/>
        <w:numPr>
          <w:ilvl w:val="0"/>
          <w:numId w:val="214"/>
        </w:numPr>
        <w:spacing w:line="13.80pt" w:lineRule="auto"/>
        <w:rPr>
          <w:rFonts w:ascii="Century Gothic" w:hAnsi="Century Gothic" w:cs="Arial"/>
          <w:color w:val="000000"/>
          <w:sz w:val="22"/>
          <w:szCs w:val="22"/>
        </w:rPr>
      </w:pPr>
      <w:r>
        <w:rPr>
          <w:rFonts w:ascii="Century Gothic" w:hAnsi="Century Gothic" w:cs="Arial"/>
          <w:color w:val="000000"/>
          <w:sz w:val="22"/>
          <w:szCs w:val="22"/>
        </w:rPr>
        <w:t>Identificador de Incidencia del CS.</w:t>
      </w:r>
    </w:p>
    <w:p w:rsidR="00A92D8F" w:rsidRPr="00611019" w:rsidRDefault="00E56462">
      <w:pPr>
        <w:pStyle w:val="Texto1"/>
        <w:numPr>
          <w:ilvl w:val="0"/>
          <w:numId w:val="214"/>
        </w:numPr>
        <w:spacing w:after="6pt" w:line="13.80pt" w:lineRule="auto"/>
        <w:rPr>
          <w:rFonts w:ascii="Century Gothic" w:hAnsi="Century Gothic" w:cs="Arial"/>
          <w:color w:val="000000"/>
          <w:sz w:val="22"/>
          <w:szCs w:val="22"/>
        </w:rPr>
      </w:pPr>
      <w:r>
        <w:rPr>
          <w:rFonts w:ascii="Century Gothic" w:hAnsi="Century Gothic" w:cs="Arial"/>
          <w:color w:val="000000"/>
          <w:sz w:val="22"/>
          <w:szCs w:val="22"/>
        </w:rPr>
        <w:t>Número de serie del módem en servicio (para SAIB).</w:t>
      </w:r>
    </w:p>
    <w:p w:rsidR="00A92D8F" w:rsidRPr="00611019" w:rsidRDefault="00E56462" w:rsidP="00035D2C">
      <w:pPr>
        <w:pStyle w:val="IFTnormal"/>
        <w:rPr>
          <w:rFonts w:ascii="Century Gothic" w:hAnsi="Century Gothic"/>
        </w:rPr>
      </w:pPr>
      <w:r>
        <w:rPr>
          <w:rFonts w:ascii="Century Gothic" w:hAnsi="Century Gothic"/>
        </w:rPr>
        <w:t>Una vez proporcionados todos los datos obligatorios para el reporte de incidencia, quedará registrada la fecha y hora del reporte, por lo que se le podrá dar seguimiento con el número de ticket asignado.</w:t>
      </w:r>
    </w:p>
    <w:p w:rsidR="0069599F" w:rsidRPr="00611019" w:rsidRDefault="0069599F" w:rsidP="00035D2C">
      <w:pPr>
        <w:pStyle w:val="IFTnormal"/>
        <w:rPr>
          <w:rFonts w:ascii="Century Gothic" w:hAnsi="Century Gothic"/>
        </w:rPr>
      </w:pPr>
    </w:p>
    <w:p w:rsidR="00A92D8F" w:rsidRPr="00611019" w:rsidRDefault="00E56462" w:rsidP="00035D2C">
      <w:pPr>
        <w:pStyle w:val="Ttulo2"/>
        <w:spacing w:after="0pt"/>
        <w:rPr>
          <w:rFonts w:ascii="Century Gothic" w:hAnsi="Century Gothic"/>
        </w:rPr>
      </w:pPr>
      <w:bookmarkStart w:id="2460" w:name="_Toc92974123"/>
      <w:bookmarkStart w:id="2461" w:name="_Toc93052434"/>
      <w:bookmarkStart w:id="2462" w:name="_Toc93056389"/>
      <w:bookmarkStart w:id="2463" w:name="_Toc125393452"/>
      <w:bookmarkStart w:id="2464" w:name="_Toc148702308"/>
      <w:bookmarkStart w:id="2465" w:name="_Toc170381923"/>
      <w:r>
        <w:rPr>
          <w:rFonts w:ascii="Century Gothic" w:hAnsi="Century Gothic"/>
        </w:rPr>
        <w:lastRenderedPageBreak/>
        <w:t>4.2 Clasificación</w:t>
      </w:r>
      <w:bookmarkEnd w:id="2460"/>
      <w:bookmarkEnd w:id="2461"/>
      <w:bookmarkEnd w:id="2462"/>
      <w:bookmarkEnd w:id="2463"/>
      <w:bookmarkEnd w:id="2464"/>
      <w:bookmarkEnd w:id="2465"/>
      <w:r>
        <w:rPr>
          <w:rFonts w:ascii="Century Gothic" w:hAnsi="Century Gothic"/>
        </w:rPr>
        <w:t>.</w:t>
      </w:r>
    </w:p>
    <w:p w:rsidR="00A92D8F" w:rsidRPr="00611019" w:rsidRDefault="00E56462" w:rsidP="00035D2C">
      <w:pPr>
        <w:pStyle w:val="IFTnormal"/>
        <w:rPr>
          <w:rFonts w:ascii="Century Gothic" w:hAnsi="Century Gothic"/>
        </w:rPr>
      </w:pPr>
      <w:r>
        <w:rPr>
          <w:rFonts w:ascii="Century Gothic" w:hAnsi="Century Gothic"/>
        </w:rPr>
        <w:t>El Centro de Atención de RED NACIONAL clasificará el reporte de acuerdo con el tipo de Servicio que se está reportando. Esta clasificación tiene como objetivo asignar la solución del Incidente al área correspondiente. Por el nivel de impacto en la cantidad de servicios, un incidente puede ser masivo o individual.</w:t>
      </w:r>
    </w:p>
    <w:p w:rsidR="006A4EFB" w:rsidRPr="00611019" w:rsidRDefault="006A4EFB" w:rsidP="00035D2C">
      <w:pPr>
        <w:pStyle w:val="IFTnormal"/>
        <w:rPr>
          <w:rFonts w:ascii="Century Gothic" w:hAnsi="Century Gothic"/>
        </w:rPr>
      </w:pPr>
    </w:p>
    <w:p w:rsidR="006A4EFB" w:rsidRPr="00611019" w:rsidRDefault="00E56462" w:rsidP="00035D2C">
      <w:pPr>
        <w:pStyle w:val="Ttulo2"/>
        <w:spacing w:after="0pt"/>
        <w:rPr>
          <w:rFonts w:ascii="Century Gothic" w:hAnsi="Century Gothic"/>
        </w:rPr>
      </w:pPr>
      <w:bookmarkStart w:id="2466" w:name="_Toc92974124"/>
      <w:bookmarkStart w:id="2467" w:name="_Toc93052435"/>
      <w:bookmarkStart w:id="2468" w:name="_Toc93056390"/>
      <w:bookmarkStart w:id="2469" w:name="_Toc125393453"/>
      <w:bookmarkStart w:id="2470" w:name="_Toc148702309"/>
      <w:bookmarkStart w:id="2471" w:name="_Toc170381924"/>
      <w:r>
        <w:rPr>
          <w:rFonts w:ascii="Century Gothic" w:hAnsi="Century Gothic"/>
        </w:rPr>
        <w:t>4.3 Diagnóstico</w:t>
      </w:r>
      <w:bookmarkEnd w:id="2466"/>
      <w:bookmarkEnd w:id="2467"/>
      <w:bookmarkEnd w:id="2468"/>
      <w:bookmarkEnd w:id="2469"/>
      <w:bookmarkEnd w:id="2470"/>
      <w:bookmarkEnd w:id="2471"/>
      <w:r>
        <w:rPr>
          <w:rFonts w:ascii="Century Gothic" w:hAnsi="Century Gothic"/>
        </w:rPr>
        <w:t>.</w:t>
      </w:r>
    </w:p>
    <w:p w:rsidR="006A4EFB" w:rsidRPr="00611019" w:rsidRDefault="00E56462" w:rsidP="00035D2C">
      <w:pPr>
        <w:pStyle w:val="IFTnormal"/>
        <w:rPr>
          <w:rFonts w:ascii="Century Gothic" w:hAnsi="Century Gothic"/>
        </w:rPr>
      </w:pPr>
      <w:r>
        <w:rPr>
          <w:rFonts w:ascii="Century Gothic" w:hAnsi="Century Gothic"/>
          <w:u w:val="single"/>
        </w:rPr>
        <w:t>a) Incidentes Individuales:</w:t>
      </w:r>
    </w:p>
    <w:p w:rsidR="00A92D8F" w:rsidRPr="00611019" w:rsidRDefault="00E56462" w:rsidP="00035D2C">
      <w:pPr>
        <w:pStyle w:val="IFTnormal"/>
        <w:rPr>
          <w:rFonts w:ascii="Century Gothic" w:hAnsi="Century Gothic"/>
        </w:rPr>
      </w:pPr>
      <w:r>
        <w:rPr>
          <w:rFonts w:ascii="Century Gothic" w:hAnsi="Century Gothic"/>
        </w:rPr>
        <w:t>Se diagnostica a través de los Centros de Atención registrando un ticket de falla.</w:t>
      </w:r>
    </w:p>
    <w:p w:rsidR="001B3F3B" w:rsidRPr="00611019" w:rsidRDefault="001B3F3B" w:rsidP="00035D2C">
      <w:pPr>
        <w:pStyle w:val="IFTnormal"/>
        <w:rPr>
          <w:rFonts w:ascii="Century Gothic" w:hAnsi="Century Gothic"/>
        </w:rPr>
      </w:pPr>
    </w:p>
    <w:p w:rsidR="006A4EFB" w:rsidRPr="00611019" w:rsidRDefault="00E56462" w:rsidP="00035D2C">
      <w:pPr>
        <w:pStyle w:val="IFTnormal"/>
        <w:rPr>
          <w:rFonts w:ascii="Century Gothic" w:hAnsi="Century Gothic"/>
        </w:rPr>
      </w:pPr>
      <w:r>
        <w:rPr>
          <w:rFonts w:ascii="Century Gothic" w:hAnsi="Century Gothic"/>
          <w:u w:val="single"/>
        </w:rPr>
        <w:t>b) Incidentes Masivos:</w:t>
      </w:r>
    </w:p>
    <w:p w:rsidR="006A4EFB" w:rsidRPr="00611019" w:rsidRDefault="00E56462" w:rsidP="00035D2C">
      <w:pPr>
        <w:pStyle w:val="IFTnormal"/>
        <w:spacing w:after="6pt"/>
        <w:rPr>
          <w:rFonts w:ascii="Century Gothic" w:hAnsi="Century Gothic"/>
        </w:rPr>
      </w:pPr>
      <w:r>
        <w:rPr>
          <w:rFonts w:ascii="Century Gothic" w:hAnsi="Century Gothic"/>
        </w:rPr>
        <w:t xml:space="preserve">Los Centros de Atención de RED NACIONAL realizan el diagnóstico del incidente utilizando sus herramientas de Gestión de Elementos de Red (eventos de monitorización), registran el Incidente y con base en ello determinarán en primera instancia, la posibilidad de recuperar el Servicio de forma remota. </w:t>
      </w:r>
    </w:p>
    <w:p w:rsidR="00A92D8F" w:rsidRPr="00611019" w:rsidRDefault="00E56462" w:rsidP="00035D2C">
      <w:pPr>
        <w:pStyle w:val="IFTnormal"/>
        <w:rPr>
          <w:rFonts w:ascii="Century Gothic" w:hAnsi="Century Gothic"/>
        </w:rPr>
      </w:pPr>
      <w:r>
        <w:rPr>
          <w:rFonts w:ascii="Century Gothic" w:hAnsi="Century Gothic"/>
        </w:rPr>
        <w:lastRenderedPageBreak/>
        <w:t>En caso contrario, el incidente será asignado al Centro Operativo correspondiente para su solución.</w:t>
      </w:r>
    </w:p>
    <w:p w:rsidR="006A4EFB" w:rsidRPr="00611019" w:rsidRDefault="006A4EFB" w:rsidP="00035D2C">
      <w:pPr>
        <w:pStyle w:val="IFTnormal"/>
        <w:rPr>
          <w:rFonts w:ascii="Century Gothic" w:hAnsi="Century Gothic"/>
        </w:rPr>
      </w:pPr>
    </w:p>
    <w:p w:rsidR="006A4EFB" w:rsidRPr="00611019" w:rsidRDefault="00E56462" w:rsidP="00035D2C">
      <w:pPr>
        <w:pStyle w:val="Ttulo2"/>
        <w:spacing w:after="0pt"/>
        <w:rPr>
          <w:rFonts w:ascii="Century Gothic" w:hAnsi="Century Gothic"/>
        </w:rPr>
      </w:pPr>
      <w:bookmarkStart w:id="2472" w:name="_Toc92974125"/>
      <w:bookmarkStart w:id="2473" w:name="_Toc93052436"/>
      <w:bookmarkStart w:id="2474" w:name="_Toc93056391"/>
      <w:bookmarkStart w:id="2475" w:name="_Toc125393454"/>
      <w:bookmarkStart w:id="2476" w:name="_Toc148702310"/>
      <w:bookmarkStart w:id="2477" w:name="_Toc170381925"/>
      <w:r>
        <w:rPr>
          <w:rFonts w:ascii="Century Gothic" w:hAnsi="Century Gothic"/>
        </w:rPr>
        <w:t>4.4 Solución</w:t>
      </w:r>
      <w:bookmarkEnd w:id="2472"/>
      <w:bookmarkEnd w:id="2473"/>
      <w:bookmarkEnd w:id="2474"/>
      <w:bookmarkEnd w:id="2475"/>
      <w:bookmarkEnd w:id="2476"/>
      <w:bookmarkEnd w:id="2477"/>
      <w:r>
        <w:rPr>
          <w:rFonts w:ascii="Century Gothic" w:hAnsi="Century Gothic"/>
        </w:rPr>
        <w:t>.</w:t>
      </w:r>
    </w:p>
    <w:p w:rsidR="00A92D8F" w:rsidRPr="00611019" w:rsidRDefault="00E56462" w:rsidP="00035D2C">
      <w:pPr>
        <w:pStyle w:val="IFTnormal"/>
        <w:spacing w:after="6pt"/>
        <w:rPr>
          <w:rFonts w:ascii="Century Gothic" w:hAnsi="Century Gothic"/>
        </w:rPr>
      </w:pPr>
      <w:r>
        <w:rPr>
          <w:rFonts w:ascii="Century Gothic" w:hAnsi="Century Gothic"/>
        </w:rPr>
        <w:t>En caso de identificar que es posible recuperar el Servicio de forma remota, los Centros de Atención aplican las instrucciones operativas a través de las herramientas de Gestión de Elementos de Red para restablecer el servicio.</w:t>
      </w:r>
    </w:p>
    <w:p w:rsidR="00A92D8F" w:rsidRPr="00611019" w:rsidRDefault="00E56462" w:rsidP="00035D2C">
      <w:pPr>
        <w:pStyle w:val="IFTnormal"/>
        <w:spacing w:after="6pt"/>
        <w:rPr>
          <w:rFonts w:ascii="Century Gothic" w:hAnsi="Century Gothic"/>
        </w:rPr>
      </w:pPr>
      <w:r>
        <w:rPr>
          <w:rFonts w:ascii="Century Gothic" w:hAnsi="Century Gothic"/>
        </w:rPr>
        <w:t>En caso de requerirse asistencia en sitio para la solución del incidente, el reporte del CS se turna al Centro Operativo que corresponda, para que RED NACIONAL realice las pruebas y reparaciones físicas necesarias en la infraestructura afectada.</w:t>
      </w:r>
    </w:p>
    <w:p w:rsidR="00D6054D" w:rsidRPr="00611019" w:rsidRDefault="00E56462" w:rsidP="00035D2C">
      <w:pPr>
        <w:jc w:val="both"/>
        <w:rPr>
          <w:rFonts w:ascii="Century Gothic" w:eastAsia="Calibri" w:hAnsi="Century Gothic" w:cs="Arial"/>
          <w:color w:val="000000"/>
          <w:lang w:val="es-ES_tradnl" w:eastAsia="es-ES"/>
        </w:rPr>
      </w:pPr>
      <w:r>
        <w:rPr>
          <w:rFonts w:ascii="Century Gothic" w:eastAsia="Calibri" w:hAnsi="Century Gothic" w:cs="Arial"/>
          <w:color w:val="000000"/>
          <w:lang w:val="es-ES_tradnl" w:eastAsia="es-ES"/>
        </w:rPr>
        <w:t xml:space="preserve">Los datos del </w:t>
      </w:r>
      <w:r>
        <w:rPr>
          <w:rFonts w:ascii="Century Gothic" w:hAnsi="Century Gothic"/>
        </w:rPr>
        <w:t xml:space="preserve">Usuario Final </w:t>
      </w:r>
      <w:r>
        <w:rPr>
          <w:rFonts w:ascii="Century Gothic" w:eastAsia="Calibri" w:hAnsi="Century Gothic" w:cs="Arial"/>
          <w:color w:val="000000"/>
          <w:lang w:val="es-ES_tradnl" w:eastAsia="es-ES"/>
        </w:rPr>
        <w:t xml:space="preserve">proporcionados por el CS podrán ser utilizados por RED NACIONAL, en caso de que sea necesario ponerse en contacto con </w:t>
      </w:r>
      <w:r w:rsidR="0003517A">
        <w:rPr>
          <w:rFonts w:ascii="Century Gothic" w:eastAsia="Calibri" w:hAnsi="Century Gothic" w:cs="Arial"/>
          <w:color w:val="000000"/>
          <w:lang w:val="es-ES_tradnl" w:eastAsia="es-ES"/>
        </w:rPr>
        <w:t xml:space="preserve">el </w:t>
      </w:r>
      <w:r>
        <w:rPr>
          <w:rFonts w:ascii="Century Gothic" w:hAnsi="Century Gothic"/>
        </w:rPr>
        <w:t xml:space="preserve">Usuario Final </w:t>
      </w:r>
      <w:r>
        <w:rPr>
          <w:rFonts w:ascii="Century Gothic" w:eastAsia="Calibri" w:hAnsi="Century Gothic" w:cs="Arial"/>
          <w:color w:val="000000"/>
          <w:lang w:val="es-ES_tradnl" w:eastAsia="es-ES"/>
        </w:rPr>
        <w:t xml:space="preserve">del CS, para validar, entregar o cualquier otra interacción requerida para garantizar oportunamente la solución del incidente o falla. </w:t>
      </w:r>
    </w:p>
    <w:p w:rsidR="00D6054D" w:rsidRPr="00611019" w:rsidRDefault="00D6054D" w:rsidP="00035D2C">
      <w:pPr>
        <w:jc w:val="both"/>
        <w:rPr>
          <w:rFonts w:ascii="Century Gothic" w:eastAsia="Calibri" w:hAnsi="Century Gothic" w:cs="Arial"/>
          <w:color w:val="000000"/>
          <w:lang w:val="es-ES_tradnl" w:eastAsia="es-ES"/>
        </w:rPr>
      </w:pPr>
    </w:p>
    <w:p w:rsidR="0061711D" w:rsidRDefault="00E56462">
      <w:pPr>
        <w:jc w:val="both"/>
        <w:rPr>
          <w:rFonts w:cs="Arial"/>
        </w:rPr>
        <w:sectPr w:rsidR="0061711D" w:rsidSect="00487B9D">
          <w:headerReference w:type="default" r:id="rId47"/>
          <w:headerReference w:type="first" r:id="rId48"/>
          <w:type w:val="continuous"/>
          <w:pgSz w:w="612pt" w:h="792pt"/>
          <w:pgMar w:top="70.90pt" w:right="70.90pt" w:bottom="70.90pt" w:left="70.90pt" w:header="42.55pt" w:footer="36.85pt" w:gutter="0pt"/>
          <w:cols w:space="35.40pt"/>
          <w:titlePg/>
          <w:docGrid w:linePitch="360"/>
        </w:sectPr>
      </w:pPr>
      <w:r>
        <w:rPr>
          <w:rFonts w:ascii="Century Gothic" w:eastAsia="Calibri" w:hAnsi="Century Gothic" w:cs="Arial"/>
          <w:color w:val="000000"/>
          <w:lang w:val="es-ES_tradnl" w:eastAsia="es-ES"/>
        </w:rPr>
        <w:t xml:space="preserve">La comunicación con el </w:t>
      </w:r>
      <w:r>
        <w:rPr>
          <w:rFonts w:ascii="Century Gothic" w:hAnsi="Century Gothic"/>
        </w:rPr>
        <w:t xml:space="preserve">Usuario Final </w:t>
      </w:r>
      <w:r>
        <w:rPr>
          <w:rFonts w:ascii="Century Gothic" w:eastAsia="Calibri" w:hAnsi="Century Gothic" w:cs="Arial"/>
          <w:color w:val="000000"/>
          <w:lang w:val="es-ES_tradnl" w:eastAsia="es-ES"/>
        </w:rPr>
        <w:t xml:space="preserve">se realizará únicamente el día de la atención del incidente o falla a nombre del CS y los datos del </w:t>
      </w:r>
      <w:r>
        <w:rPr>
          <w:rFonts w:ascii="Century Gothic" w:hAnsi="Century Gothic"/>
        </w:rPr>
        <w:t xml:space="preserve">Usuario Final </w:t>
      </w:r>
      <w:r>
        <w:rPr>
          <w:rFonts w:ascii="Century Gothic" w:eastAsia="Calibri" w:hAnsi="Century Gothic" w:cs="Arial"/>
          <w:color w:val="000000"/>
          <w:lang w:val="es-ES_tradnl" w:eastAsia="es-ES"/>
        </w:rPr>
        <w:t>proporcionados serán tratados por RED NACIONAL con confidencialidad y serán utilizados únicamente para garantizar una oportuna atención de los Servicios, atendiendo a los criterios establecidos en la Ley Federal de Protección de Datos Personales en Posesión de Los Particulares.</w:t>
      </w:r>
      <w:r>
        <w:rPr>
          <w:rStyle w:val="Refdenotaalpie"/>
          <w:rFonts w:eastAsia="Calibri"/>
        </w:rPr>
        <w:footnoteReference w:id="60"/>
      </w:r>
    </w:p>
    <w:p w:rsidR="00C66466" w:rsidRPr="00611019" w:rsidRDefault="00E56462" w:rsidP="00035D2C">
      <w:pPr>
        <w:pStyle w:val="IFTnormal"/>
        <w:rPr>
          <w:rFonts w:ascii="Century Gothic" w:hAnsi="Century Gothic"/>
        </w:rPr>
      </w:pPr>
      <w:r>
        <w:rPr>
          <w:rFonts w:ascii="Century Gothic" w:hAnsi="Century Gothic"/>
        </w:rPr>
        <w:lastRenderedPageBreak/>
        <w:t xml:space="preserve">Adicionalmente, con el objeto de que la reparación de la falla sea expedita y la visita del técnico más eficaz, si al momento de acudir a la atención de una falla, el técnico de RED NACIONAL se percata de que en el mismo acto se pueden efectuar las actividades que se describen a continuación, el CS puede optar por facultar a RED NACIONAL su realización sin necesidad de que se solicite autorización caso por caso: </w:t>
      </w:r>
    </w:p>
    <w:p w:rsidR="008932C9" w:rsidRPr="00611019" w:rsidRDefault="008932C9" w:rsidP="00035D2C">
      <w:pPr>
        <w:pStyle w:val="IFTnormal"/>
        <w:rPr>
          <w:rFonts w:ascii="Century Gothic" w:hAnsi="Century Gothic"/>
        </w:rPr>
      </w:pPr>
    </w:p>
    <w:p w:rsidR="00C66466" w:rsidRPr="00611019" w:rsidRDefault="00E56462">
      <w:pPr>
        <w:pStyle w:val="IFTnormal"/>
        <w:numPr>
          <w:ilvl w:val="0"/>
          <w:numId w:val="165"/>
        </w:numPr>
        <w:spacing w:after="6pt"/>
        <w:rPr>
          <w:rFonts w:ascii="Century Gothic" w:hAnsi="Century Gothic"/>
        </w:rPr>
      </w:pPr>
      <w:r>
        <w:rPr>
          <w:rFonts w:ascii="Century Gothic" w:hAnsi="Century Gothic"/>
          <w:b/>
        </w:rPr>
        <w:t>Migración del servicio a una mejor tecnología</w:t>
      </w:r>
      <w:r>
        <w:rPr>
          <w:rFonts w:ascii="Century Gothic" w:hAnsi="Century Gothic"/>
        </w:rPr>
        <w:t>. En caso de que el servicio esté en condición de ser migrado a una mejor tecnología, RED NACIONAL efectuará en ese mismo acto dicha migración, aplicando la contraprestación correspondiente al Servicio Opcional de Cambio de Tecnología, por lo que el CS deberá considerar el ajuste que se realizará a su facturación recurrente.</w:t>
      </w:r>
    </w:p>
    <w:p w:rsidR="00C66466" w:rsidRPr="00611019" w:rsidRDefault="00E56462">
      <w:pPr>
        <w:pStyle w:val="IFTnormal"/>
        <w:numPr>
          <w:ilvl w:val="0"/>
          <w:numId w:val="166"/>
        </w:numPr>
        <w:spacing w:after="6pt"/>
        <w:rPr>
          <w:rFonts w:ascii="Century Gothic" w:hAnsi="Century Gothic"/>
        </w:rPr>
      </w:pPr>
      <w:r>
        <w:rPr>
          <w:rFonts w:ascii="Century Gothic" w:hAnsi="Century Gothic"/>
          <w:b/>
        </w:rPr>
        <w:t>Cambio de cableado interior</w:t>
      </w:r>
      <w:r>
        <w:rPr>
          <w:rFonts w:ascii="Century Gothic" w:hAnsi="Century Gothic"/>
        </w:rPr>
        <w:t>. En caso de que sea necesario el cambio de cableado interior para la reparación de un servicio, RED NACIONAL podrá efectuar la sustitución en ese mismo acto. En este caso cuando el cableado interior ya no se encuentre dentro del periodo de garantía o cuando la falla en el cableado sea responsabilidad del Usuario Final o del CS, RED NACIONAL cobrará la contraprestación correspondiente a dicho CS.</w:t>
      </w:r>
    </w:p>
    <w:p w:rsidR="00C66466" w:rsidRPr="00611019" w:rsidRDefault="00E56462">
      <w:pPr>
        <w:pStyle w:val="IFTnormal"/>
        <w:numPr>
          <w:ilvl w:val="0"/>
          <w:numId w:val="166"/>
        </w:numPr>
        <w:spacing w:after="6pt"/>
        <w:rPr>
          <w:rFonts w:ascii="Century Gothic" w:hAnsi="Century Gothic"/>
        </w:rPr>
      </w:pPr>
      <w:bookmarkStart w:id="2478" w:name="_Hlk107229126"/>
      <w:r>
        <w:rPr>
          <w:rFonts w:ascii="Century Gothic" w:hAnsi="Century Gothic"/>
          <w:b/>
        </w:rPr>
        <w:t>Cambio del SAIB contratado</w:t>
      </w:r>
      <w:r>
        <w:rPr>
          <w:rFonts w:ascii="Century Gothic" w:hAnsi="Century Gothic"/>
        </w:rPr>
        <w:t>. Si se detecta un daño en el puerto que imposibilite mantener el producto SAIB originalmente contratado, RED NACIONAL actualizará el producto al que es técnicamente factible (y más cercano al originalmente contratado) pero en el nuevo puerto asignado</w:t>
      </w:r>
      <w:bookmarkEnd w:id="2478"/>
      <w:r>
        <w:rPr>
          <w:rFonts w:ascii="Century Gothic" w:hAnsi="Century Gothic"/>
        </w:rPr>
        <w:t>.</w:t>
      </w:r>
    </w:p>
    <w:p w:rsidR="00C66466" w:rsidRPr="00611019" w:rsidRDefault="00E56462" w:rsidP="00035D2C">
      <w:pPr>
        <w:pStyle w:val="IFTnormal"/>
        <w:spacing w:after="6pt"/>
        <w:rPr>
          <w:rFonts w:ascii="Century Gothic" w:hAnsi="Century Gothic"/>
        </w:rPr>
      </w:pPr>
      <w:r>
        <w:rPr>
          <w:rFonts w:ascii="Century Gothic" w:hAnsi="Century Gothic"/>
        </w:rPr>
        <w:t>En caso de que el CS desee otorgar su consentimiento para la realización de estas tres actividades, deberá llenar el formato “Anexo C-1” que se encuentra al final de este Anexo.</w:t>
      </w:r>
    </w:p>
    <w:p w:rsidR="00157EC2" w:rsidRPr="00611019" w:rsidRDefault="00E56462" w:rsidP="00035D2C">
      <w:pPr>
        <w:pStyle w:val="IFTnormal"/>
        <w:spacing w:after="6pt"/>
        <w:rPr>
          <w:rFonts w:ascii="Century Gothic" w:hAnsi="Century Gothic"/>
        </w:rPr>
      </w:pPr>
      <w:r>
        <w:rPr>
          <w:rFonts w:ascii="Century Gothic" w:hAnsi="Century Gothic"/>
        </w:rPr>
        <w:t>En los casos en los que sea necesario realizar alguna actividad en las instalaciones del Usuario Final y éste no sea localizado o rechace la atención, RED NACIONAL dará aviso al CS sobre esta situación con la finalidad de que solucione la situación con su Usuario Final esperando, máximo, los siguientes 30 minutos posteriores al aviso. Si en este tiempo no fue posible la atención de la falla, se implementará un paro de reloj máximo de 48 horas</w:t>
      </w:r>
      <w:r>
        <w:rPr>
          <w:rStyle w:val="Refdenotaalpie"/>
          <w:rFonts w:ascii="Century Gothic" w:hAnsi="Century Gothic"/>
          <w:sz w:val="18"/>
          <w:szCs w:val="18"/>
        </w:rPr>
        <w:footnoteReference w:id="61"/>
      </w:r>
      <w:r>
        <w:rPr>
          <w:rFonts w:ascii="Century Gothic" w:hAnsi="Century Gothic"/>
        </w:rPr>
        <w:t xml:space="preserve"> y se reprogramará la visita, si se excede este plazo se cerrará el reporte de incidencia. </w:t>
      </w:r>
    </w:p>
    <w:p w:rsidR="00C66466" w:rsidRPr="00611019" w:rsidRDefault="00E56462" w:rsidP="00035D2C">
      <w:pPr>
        <w:pStyle w:val="IFTnormal"/>
        <w:spacing w:after="6pt"/>
        <w:rPr>
          <w:rFonts w:ascii="Century Gothic" w:hAnsi="Century Gothic"/>
        </w:rPr>
      </w:pPr>
      <w:r>
        <w:rPr>
          <w:rFonts w:ascii="Century Gothic" w:hAnsi="Century Gothic"/>
        </w:rPr>
        <w:t>El CS deberá considerar que las “visitas en falso” o bien las cancelaciones de atención del reporte de falla al momento de suscitarse la visita, tendrán un costo de acuerdo a lo expuesto en el Anexo “A” de la OREDA.</w:t>
      </w:r>
    </w:p>
    <w:p w:rsidR="0003517A" w:rsidRDefault="0003517A" w:rsidP="00035D2C">
      <w:pPr>
        <w:pStyle w:val="IFTnormal"/>
        <w:rPr>
          <w:rFonts w:ascii="Century Gothic" w:hAnsi="Century Gothic"/>
          <w:b/>
          <w:u w:val="single"/>
        </w:rPr>
      </w:pPr>
    </w:p>
    <w:p w:rsidR="006A4EFB" w:rsidRPr="00611019" w:rsidRDefault="00E56462" w:rsidP="00035D2C">
      <w:pPr>
        <w:pStyle w:val="IFTnormal"/>
        <w:rPr>
          <w:rFonts w:ascii="Century Gothic" w:hAnsi="Century Gothic"/>
          <w:b/>
          <w:u w:val="single"/>
        </w:rPr>
      </w:pPr>
      <w:r>
        <w:rPr>
          <w:rFonts w:ascii="Century Gothic" w:hAnsi="Century Gothic"/>
          <w:b/>
          <w:u w:val="single"/>
        </w:rPr>
        <w:t>Importante:</w:t>
      </w:r>
    </w:p>
    <w:p w:rsidR="00A92D8F" w:rsidRPr="00611019" w:rsidRDefault="00E56462">
      <w:pPr>
        <w:pStyle w:val="IFTnormal"/>
        <w:numPr>
          <w:ilvl w:val="0"/>
          <w:numId w:val="167"/>
        </w:numPr>
        <w:rPr>
          <w:rFonts w:ascii="Century Gothic" w:hAnsi="Century Gothic"/>
          <w:lang w:val="es-MX"/>
        </w:rPr>
      </w:pPr>
      <w:r>
        <w:rPr>
          <w:rFonts w:ascii="Century Gothic" w:hAnsi="Century Gothic"/>
          <w:lang w:val="es-MX"/>
        </w:rPr>
        <w:lastRenderedPageBreak/>
        <w:t xml:space="preserve">En caso de Coubicación, </w:t>
      </w:r>
      <w:r>
        <w:rPr>
          <w:rFonts w:ascii="Century Gothic" w:hAnsi="Century Gothic"/>
        </w:rPr>
        <w:t>RED NACIONAL</w:t>
      </w:r>
      <w:r>
        <w:rPr>
          <w:rFonts w:ascii="Century Gothic" w:hAnsi="Century Gothic"/>
          <w:lang w:val="es-MX"/>
        </w:rPr>
        <w:t xml:space="preserve"> atenderá las fallas que se presenten, sin embargo, si las fallas en energía o clima fueron ocasionadas por un mal uso de las instalaciones o por excesos de consumo de los equipos del CS, éste deberá efectuar el pago de las reparaciones correspondientes.</w:t>
      </w:r>
    </w:p>
    <w:p w:rsidR="008932C9" w:rsidRPr="00611019" w:rsidRDefault="008932C9" w:rsidP="00035D2C">
      <w:pPr>
        <w:pStyle w:val="IFTnormal"/>
        <w:ind w:start="36pt"/>
        <w:rPr>
          <w:rFonts w:ascii="Century Gothic" w:hAnsi="Century Gothic"/>
          <w:lang w:val="es-MX"/>
        </w:rPr>
      </w:pPr>
    </w:p>
    <w:p w:rsidR="006A4EFB" w:rsidRPr="00611019" w:rsidRDefault="00E56462" w:rsidP="00035D2C">
      <w:pPr>
        <w:pStyle w:val="Ttulo2"/>
        <w:spacing w:after="0pt"/>
        <w:rPr>
          <w:rFonts w:ascii="Century Gothic" w:hAnsi="Century Gothic"/>
        </w:rPr>
      </w:pPr>
      <w:bookmarkStart w:id="2479" w:name="_Toc92974126"/>
      <w:bookmarkStart w:id="2480" w:name="_Toc93052437"/>
      <w:bookmarkStart w:id="2481" w:name="_Toc93056392"/>
      <w:bookmarkStart w:id="2482" w:name="_Toc125393455"/>
      <w:bookmarkStart w:id="2483" w:name="_Toc148702311"/>
      <w:bookmarkStart w:id="2484" w:name="_Toc170381926"/>
      <w:r>
        <w:rPr>
          <w:rFonts w:ascii="Century Gothic" w:hAnsi="Century Gothic"/>
        </w:rPr>
        <w:t>4.5 Seguimiento a reportes de incidencias</w:t>
      </w:r>
      <w:bookmarkEnd w:id="2479"/>
      <w:bookmarkEnd w:id="2480"/>
      <w:bookmarkEnd w:id="2481"/>
      <w:bookmarkEnd w:id="2482"/>
      <w:bookmarkEnd w:id="2483"/>
      <w:bookmarkEnd w:id="2484"/>
      <w:r>
        <w:rPr>
          <w:rFonts w:ascii="Century Gothic" w:hAnsi="Century Gothic"/>
        </w:rPr>
        <w:t>.</w:t>
      </w:r>
    </w:p>
    <w:p w:rsidR="008932C9" w:rsidRPr="00611019" w:rsidRDefault="008932C9" w:rsidP="00035D2C">
      <w:pPr>
        <w:rPr>
          <w:sz w:val="8"/>
        </w:rPr>
      </w:pPr>
    </w:p>
    <w:p w:rsidR="00A92D8F" w:rsidRPr="00611019" w:rsidRDefault="00E56462" w:rsidP="00035D2C">
      <w:pPr>
        <w:pStyle w:val="IFTnormal"/>
        <w:spacing w:after="6pt"/>
        <w:rPr>
          <w:rFonts w:ascii="Century Gothic" w:hAnsi="Century Gothic"/>
        </w:rPr>
      </w:pPr>
      <w:r>
        <w:rPr>
          <w:rFonts w:ascii="Century Gothic" w:hAnsi="Century Gothic"/>
        </w:rPr>
        <w:t>El CS podrá realizar el seguimiento a las incidencias reportadas hasta su solución, a través del SEG/SIPO y en caso de falla del SEG/SIPO, a través del número telefónico 800 4040 735.</w:t>
      </w:r>
    </w:p>
    <w:p w:rsidR="00A92D8F" w:rsidRPr="00611019" w:rsidRDefault="00E56462" w:rsidP="00035D2C">
      <w:pPr>
        <w:pStyle w:val="IFTnormal"/>
        <w:rPr>
          <w:rFonts w:ascii="Century Gothic" w:hAnsi="Century Gothic"/>
        </w:rPr>
      </w:pPr>
      <w:r>
        <w:rPr>
          <w:rFonts w:ascii="Century Gothic" w:hAnsi="Century Gothic"/>
        </w:rPr>
        <w:t>Cualquier modificación al estatus de los reportes de incidencias se verá reflejada en el SEG/SIPO, dentro de la bitácora de seguimiento.</w:t>
      </w:r>
    </w:p>
    <w:p w:rsidR="006A4EFB" w:rsidRPr="00611019" w:rsidRDefault="006A4EFB" w:rsidP="00035D2C">
      <w:pPr>
        <w:pStyle w:val="IFTnormal"/>
        <w:rPr>
          <w:rFonts w:ascii="Century Gothic" w:hAnsi="Century Gothic"/>
        </w:rPr>
      </w:pPr>
    </w:p>
    <w:p w:rsidR="006A4EFB" w:rsidRPr="00611019" w:rsidRDefault="00E56462" w:rsidP="00035D2C">
      <w:pPr>
        <w:pStyle w:val="Ttulo2"/>
        <w:spacing w:after="0pt"/>
        <w:rPr>
          <w:rFonts w:ascii="Century Gothic" w:hAnsi="Century Gothic"/>
        </w:rPr>
      </w:pPr>
      <w:bookmarkStart w:id="2485" w:name="_Toc92974127"/>
      <w:bookmarkStart w:id="2486" w:name="_Toc93052438"/>
      <w:bookmarkStart w:id="2487" w:name="_Toc93056393"/>
      <w:bookmarkStart w:id="2488" w:name="_Toc125393456"/>
      <w:bookmarkStart w:id="2489" w:name="_Toc148702312"/>
      <w:bookmarkStart w:id="2490" w:name="_Toc170381927"/>
      <w:r>
        <w:rPr>
          <w:rFonts w:ascii="Century Gothic" w:hAnsi="Century Gothic"/>
        </w:rPr>
        <w:t>4.6 Escalación de incidencias</w:t>
      </w:r>
      <w:bookmarkEnd w:id="2485"/>
      <w:bookmarkEnd w:id="2486"/>
      <w:bookmarkEnd w:id="2487"/>
      <w:bookmarkEnd w:id="2488"/>
      <w:bookmarkEnd w:id="2489"/>
      <w:bookmarkEnd w:id="2490"/>
      <w:r>
        <w:rPr>
          <w:rFonts w:ascii="Century Gothic" w:hAnsi="Century Gothic"/>
        </w:rPr>
        <w:t>.</w:t>
      </w:r>
    </w:p>
    <w:p w:rsidR="008932C9" w:rsidRPr="00611019" w:rsidRDefault="008932C9" w:rsidP="00035D2C">
      <w:pPr>
        <w:rPr>
          <w:sz w:val="8"/>
        </w:rPr>
      </w:pPr>
    </w:p>
    <w:p w:rsidR="00A92D8F" w:rsidRPr="00611019" w:rsidRDefault="00E56462" w:rsidP="00035D2C">
      <w:pPr>
        <w:pStyle w:val="Texto1"/>
        <w:spacing w:after="6pt" w:line="13.80pt" w:lineRule="auto"/>
        <w:ind w:start="0pt"/>
        <w:rPr>
          <w:rFonts w:ascii="Century Gothic" w:hAnsi="Century Gothic" w:cs="Arial"/>
          <w:color w:val="000000"/>
          <w:sz w:val="22"/>
          <w:szCs w:val="22"/>
        </w:rPr>
      </w:pPr>
      <w:r>
        <w:rPr>
          <w:rFonts w:ascii="Century Gothic" w:hAnsi="Century Gothic" w:cs="Arial"/>
          <w:color w:val="000000"/>
          <w:sz w:val="22"/>
          <w:szCs w:val="22"/>
        </w:rPr>
        <w:t>Cuando el CS que reportó la incidencia considere que la solución o la respuesta no han sido satisfactorias podrá iniciar el procedimiento de escalación de incidencias, con el fin de resolver las posibles discrepancias que hayan surgido tras la apertura de la falla.</w:t>
      </w:r>
    </w:p>
    <w:p w:rsidR="00A92D8F" w:rsidRPr="00611019" w:rsidRDefault="00E56462" w:rsidP="00035D2C">
      <w:pPr>
        <w:pStyle w:val="Texto1"/>
        <w:spacing w:after="6pt" w:line="13.80pt" w:lineRule="auto"/>
        <w:ind w:start="0pt"/>
        <w:rPr>
          <w:rFonts w:ascii="Century Gothic" w:hAnsi="Century Gothic" w:cs="Arial"/>
          <w:color w:val="000000"/>
          <w:sz w:val="22"/>
          <w:szCs w:val="22"/>
        </w:rPr>
      </w:pPr>
      <w:r>
        <w:rPr>
          <w:rFonts w:ascii="Century Gothic" w:hAnsi="Century Gothic" w:cs="Arial"/>
          <w:color w:val="000000"/>
          <w:sz w:val="22"/>
          <w:szCs w:val="22"/>
        </w:rPr>
        <w:t xml:space="preserve">El procedimiento de escalación podrá hacerse solo para fallas o incidencias abiertas (activas/pendientes), o bien, para aquellas que se hayan cerrado sin el consentimiento del CS, independientemente del plazo transcurrido desde el reporte de apertura, y se iniciará vía telefónica. </w:t>
      </w:r>
    </w:p>
    <w:p w:rsidR="00A92D8F" w:rsidRPr="00611019" w:rsidRDefault="00E56462" w:rsidP="00035D2C">
      <w:pPr>
        <w:pStyle w:val="Texto1"/>
        <w:spacing w:after="6pt" w:line="13.80pt" w:lineRule="auto"/>
        <w:ind w:start="0pt"/>
        <w:rPr>
          <w:rFonts w:ascii="Century Gothic" w:hAnsi="Century Gothic" w:cs="Arial"/>
          <w:color w:val="000000"/>
          <w:sz w:val="22"/>
          <w:szCs w:val="22"/>
        </w:rPr>
      </w:pPr>
      <w:r>
        <w:rPr>
          <w:rFonts w:ascii="Century Gothic" w:hAnsi="Century Gothic" w:cs="Arial"/>
          <w:color w:val="000000"/>
          <w:sz w:val="22"/>
          <w:szCs w:val="22"/>
        </w:rPr>
        <w:t>Las Partes proporcionarán sus correspondientes cuadros de escalamiento a los que deberán dirigirse para la solución de incidencias según el procedimiento, los cuales deben incluir, al menos: teléfono, correo electrónico y puesto. Las personas responsables de cada nivel de escalación tendrán una disponibilidad de 24 horas. Las Partes deberán proporcionar sus cuadros de escalación al momento de la firma del Convenio de Desagregación.</w:t>
      </w:r>
    </w:p>
    <w:p w:rsidR="00A92D8F" w:rsidRPr="00611019" w:rsidRDefault="00E56462" w:rsidP="00035D2C">
      <w:pPr>
        <w:pStyle w:val="Texto1"/>
        <w:spacing w:line="13.80pt" w:lineRule="auto"/>
        <w:ind w:start="0pt"/>
        <w:rPr>
          <w:rFonts w:ascii="Century Gothic" w:hAnsi="Century Gothic" w:cs="Arial"/>
          <w:color w:val="000000"/>
          <w:sz w:val="22"/>
          <w:szCs w:val="22"/>
        </w:rPr>
      </w:pPr>
      <w:r>
        <w:rPr>
          <w:rFonts w:ascii="Century Gothic" w:hAnsi="Century Gothic" w:cs="Arial"/>
          <w:color w:val="000000"/>
          <w:sz w:val="22"/>
          <w:szCs w:val="22"/>
        </w:rPr>
        <w:t>Ambas partes podrán iniciar el procedimiento de escalación cuando se originen situaciones que generen discrepancias, incluyendo las siguientes:</w:t>
      </w:r>
    </w:p>
    <w:p w:rsidR="00487B9D" w:rsidRPr="00611019" w:rsidRDefault="00487B9D" w:rsidP="00035D2C">
      <w:pPr>
        <w:pStyle w:val="Texto1"/>
        <w:spacing w:line="13.80pt" w:lineRule="auto"/>
        <w:ind w:start="0pt"/>
        <w:rPr>
          <w:rFonts w:ascii="Century Gothic" w:hAnsi="Century Gothic" w:cs="Arial"/>
          <w:color w:val="000000"/>
          <w:sz w:val="22"/>
          <w:szCs w:val="22"/>
        </w:rPr>
      </w:pPr>
    </w:p>
    <w:p w:rsidR="00A92D8F" w:rsidRPr="00611019" w:rsidRDefault="00E56462">
      <w:pPr>
        <w:pStyle w:val="Texto1"/>
        <w:numPr>
          <w:ilvl w:val="0"/>
          <w:numId w:val="215"/>
        </w:numPr>
        <w:spacing w:line="13.80pt" w:lineRule="auto"/>
        <w:rPr>
          <w:rFonts w:ascii="Century Gothic" w:hAnsi="Century Gothic" w:cs="Arial"/>
          <w:color w:val="000000"/>
          <w:sz w:val="22"/>
          <w:szCs w:val="22"/>
        </w:rPr>
      </w:pPr>
      <w:r>
        <w:rPr>
          <w:rFonts w:ascii="Century Gothic" w:hAnsi="Century Gothic" w:cs="Arial"/>
          <w:color w:val="000000"/>
          <w:sz w:val="22"/>
          <w:szCs w:val="22"/>
        </w:rPr>
        <w:t>Rechazos de cierre de reporte que alguna de las partes considere improcedente.</w:t>
      </w:r>
    </w:p>
    <w:p w:rsidR="00A92D8F" w:rsidRPr="00611019" w:rsidRDefault="00E56462">
      <w:pPr>
        <w:pStyle w:val="Texto1"/>
        <w:numPr>
          <w:ilvl w:val="0"/>
          <w:numId w:val="215"/>
        </w:numPr>
        <w:spacing w:line="13.80pt" w:lineRule="auto"/>
        <w:rPr>
          <w:rFonts w:ascii="Century Gothic" w:hAnsi="Century Gothic" w:cs="Arial"/>
          <w:color w:val="000000"/>
          <w:sz w:val="22"/>
          <w:szCs w:val="22"/>
        </w:rPr>
      </w:pPr>
      <w:r>
        <w:rPr>
          <w:rFonts w:ascii="Century Gothic" w:hAnsi="Century Gothic" w:cs="Arial"/>
          <w:color w:val="000000"/>
          <w:sz w:val="22"/>
          <w:szCs w:val="22"/>
        </w:rPr>
        <w:t>Respuesta reiterativa, insuficiente o no actualizada en una solicitud de información relativa a una falla.</w:t>
      </w:r>
    </w:p>
    <w:p w:rsidR="00A92D8F" w:rsidRPr="00611019" w:rsidRDefault="00E56462">
      <w:pPr>
        <w:pStyle w:val="Texto1"/>
        <w:numPr>
          <w:ilvl w:val="0"/>
          <w:numId w:val="215"/>
        </w:numPr>
        <w:spacing w:line="13.80pt" w:lineRule="auto"/>
        <w:rPr>
          <w:rFonts w:ascii="Century Gothic" w:hAnsi="Century Gothic" w:cs="Arial"/>
          <w:color w:val="000000"/>
          <w:sz w:val="22"/>
          <w:szCs w:val="22"/>
        </w:rPr>
      </w:pPr>
      <w:r>
        <w:rPr>
          <w:rFonts w:ascii="Century Gothic" w:hAnsi="Century Gothic" w:cs="Arial"/>
          <w:color w:val="000000"/>
          <w:sz w:val="22"/>
          <w:szCs w:val="22"/>
        </w:rPr>
        <w:t>Expiración de los tiempos de atención o respuesta comprometidos.</w:t>
      </w:r>
    </w:p>
    <w:p w:rsidR="00A92D8F" w:rsidRPr="00611019" w:rsidRDefault="00E56462">
      <w:pPr>
        <w:pStyle w:val="Texto1"/>
        <w:numPr>
          <w:ilvl w:val="0"/>
          <w:numId w:val="215"/>
        </w:numPr>
        <w:spacing w:after="6pt" w:line="13.80pt" w:lineRule="auto"/>
        <w:rPr>
          <w:rFonts w:ascii="Century Gothic" w:hAnsi="Century Gothic" w:cs="Arial"/>
          <w:color w:val="000000"/>
          <w:sz w:val="22"/>
          <w:szCs w:val="22"/>
        </w:rPr>
      </w:pPr>
      <w:r>
        <w:rPr>
          <w:rFonts w:ascii="Century Gothic" w:hAnsi="Century Gothic"/>
          <w:sz w:val="22"/>
          <w:szCs w:val="22"/>
        </w:rPr>
        <w:t xml:space="preserve">Reincidencia de una falla. </w:t>
      </w:r>
    </w:p>
    <w:p w:rsidR="00A92D8F" w:rsidRPr="0003517A" w:rsidRDefault="00E56462" w:rsidP="00035D2C">
      <w:pPr>
        <w:pStyle w:val="IFTnormal"/>
        <w:spacing w:after="6pt"/>
        <w:rPr>
          <w:rFonts w:ascii="Century Gothic" w:hAnsi="Century Gothic"/>
          <w:sz w:val="20"/>
          <w:szCs w:val="20"/>
        </w:rPr>
      </w:pPr>
      <w:r w:rsidRPr="0003517A">
        <w:rPr>
          <w:rFonts w:ascii="Century Gothic" w:hAnsi="Century Gothic"/>
          <w:sz w:val="20"/>
          <w:szCs w:val="20"/>
        </w:rPr>
        <w:t>Nota: Por cuestiones de confidencialidad del personal, la información de las matrices de escalación de RED NACIONAL será proporcionada al CS una vez firmado el convenio de desagregación.</w:t>
      </w:r>
    </w:p>
    <w:p w:rsidR="008932C9" w:rsidRPr="00611019" w:rsidRDefault="008932C9" w:rsidP="00035D2C">
      <w:pPr>
        <w:pStyle w:val="IFTnormal"/>
        <w:spacing w:after="6pt"/>
        <w:rPr>
          <w:rFonts w:ascii="Century Gothic" w:hAnsi="Century Gothic"/>
        </w:rPr>
      </w:pPr>
    </w:p>
    <w:p w:rsidR="00A92D8F" w:rsidRPr="00611019" w:rsidRDefault="00E56462" w:rsidP="00035D2C">
      <w:pPr>
        <w:pStyle w:val="IFTnormal"/>
        <w:spacing w:after="6pt"/>
        <w:rPr>
          <w:rFonts w:ascii="Century Gothic" w:hAnsi="Century Gothic"/>
        </w:rPr>
      </w:pPr>
      <w:r>
        <w:rPr>
          <w:rFonts w:ascii="Century Gothic" w:hAnsi="Century Gothic"/>
        </w:rPr>
        <w:lastRenderedPageBreak/>
        <w:t>Ejemplo de Matriz de escalación del CS:</w:t>
      </w:r>
    </w:p>
    <w:tbl>
      <w:tblPr>
        <w:tblW w:w="100.0%" w:type="pct"/>
        <w:tblCellMar>
          <w:start w:w="0pt" w:type="dxa"/>
          <w:end w:w="0pt" w:type="dxa"/>
        </w:tblCellMar>
        <w:tblLook w:firstRow="1" w:lastRow="0" w:firstColumn="1" w:lastColumn="0" w:noHBand="0" w:noVBand="1"/>
      </w:tblPr>
      <w:tblGrid>
        <w:gridCol w:w="2939"/>
        <w:gridCol w:w="4170"/>
        <w:gridCol w:w="2275"/>
      </w:tblGrid>
      <w:tr w:rsidR="0061711D" w:rsidTr="0069599F">
        <w:tc>
          <w:tcPr>
            <w:tcW w:w="75.0%" w:type="pct"/>
            <w:gridSpan w:val="2"/>
            <w:tcBorders>
              <w:top w:val="single" w:sz="8" w:space="0" w:color="auto"/>
              <w:start w:val="single" w:sz="8" w:space="0" w:color="auto"/>
              <w:bottom w:val="single" w:sz="8" w:space="0" w:color="auto"/>
              <w:end w:val="single" w:sz="8" w:space="0" w:color="auto"/>
            </w:tcBorders>
            <w:shd w:val="clear" w:color="auto" w:fill="009AD9"/>
            <w:tcMar>
              <w:top w:w="0pt" w:type="dxa"/>
              <w:start w:w="5.40pt" w:type="dxa"/>
              <w:bottom w:w="0pt" w:type="dxa"/>
              <w:end w:w="5.40pt" w:type="dxa"/>
            </w:tcMar>
            <w:hideMark/>
          </w:tcPr>
          <w:p w:rsidR="00A92D8F" w:rsidRPr="00611019" w:rsidRDefault="00E56462" w:rsidP="00035D2C">
            <w:pPr>
              <w:spacing w:before="2pt" w:after="2pt"/>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t>Matriz de Escalación CS</w:t>
            </w:r>
          </w:p>
        </w:tc>
        <w:tc>
          <w:tcPr>
            <w:tcW w:w="24.0%" w:type="pct"/>
            <w:tcBorders>
              <w:top w:val="single" w:sz="8" w:space="0" w:color="auto"/>
              <w:start w:val="nil"/>
              <w:bottom w:val="single" w:sz="8" w:space="0" w:color="auto"/>
              <w:end w:val="single" w:sz="8" w:space="0" w:color="auto"/>
            </w:tcBorders>
            <w:shd w:val="clear" w:color="auto" w:fill="009AD9"/>
            <w:tcMar>
              <w:top w:w="0pt" w:type="dxa"/>
              <w:start w:w="5.40pt" w:type="dxa"/>
              <w:bottom w:w="0pt" w:type="dxa"/>
              <w:end w:w="5.40pt" w:type="dxa"/>
            </w:tcMar>
            <w:hideMark/>
          </w:tcPr>
          <w:p w:rsidR="00A92D8F" w:rsidRPr="00611019" w:rsidRDefault="00E56462" w:rsidP="00035D2C">
            <w:pPr>
              <w:spacing w:before="2pt" w:after="2pt"/>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t>Tiempo de Respuesta</w:t>
            </w:r>
          </w:p>
        </w:tc>
      </w:tr>
      <w:tr w:rsidR="0061711D" w:rsidTr="0069599F">
        <w:tc>
          <w:tcPr>
            <w:tcW w:w="31.0%" w:type="pct"/>
            <w:tcBorders>
              <w:top w:val="nil"/>
              <w:start w:val="single" w:sz="8" w:space="0" w:color="auto"/>
              <w:bottom w:val="single" w:sz="8" w:space="0" w:color="auto"/>
              <w:end w:val="single" w:sz="8" w:space="0" w:color="auto"/>
            </w:tcBorders>
            <w:shd w:val="clear" w:color="auto" w:fill="009AD9"/>
            <w:tcMar>
              <w:top w:w="0pt" w:type="dxa"/>
              <w:start w:w="5.40pt" w:type="dxa"/>
              <w:bottom w:w="0pt" w:type="dxa"/>
              <w:end w:w="5.40pt" w:type="dxa"/>
            </w:tcMar>
            <w:hideMark/>
          </w:tcPr>
          <w:p w:rsidR="00A92D8F" w:rsidRPr="00611019" w:rsidRDefault="00E56462" w:rsidP="00035D2C">
            <w:pPr>
              <w:spacing w:before="2pt" w:after="2pt"/>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t>Nivel 1</w:t>
            </w:r>
          </w:p>
        </w:tc>
        <w:tc>
          <w:tcPr>
            <w:tcW w:w="43.0%" w:type="pct"/>
            <w:tcBorders>
              <w:top w:val="nil"/>
              <w:start w:val="nil"/>
              <w:bottom w:val="single" w:sz="8" w:space="0" w:color="auto"/>
              <w:end w:val="single" w:sz="8" w:space="0" w:color="auto"/>
            </w:tcBorders>
            <w:shd w:val="clear" w:color="auto" w:fill="009AD9"/>
            <w:tcMar>
              <w:top w:w="0pt" w:type="dxa"/>
              <w:start w:w="5.40pt" w:type="dxa"/>
              <w:bottom w:w="0pt" w:type="dxa"/>
              <w:end w:w="5.40pt" w:type="dxa"/>
            </w:tcMar>
            <w:hideMark/>
          </w:tcPr>
          <w:p w:rsidR="00A92D8F" w:rsidRPr="00611019" w:rsidRDefault="00E56462" w:rsidP="00035D2C">
            <w:pPr>
              <w:spacing w:before="2pt" w:after="2pt"/>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t>Contacto</w:t>
            </w:r>
          </w:p>
        </w:tc>
        <w:tc>
          <w:tcPr>
            <w:tcW w:w="24.0%" w:type="pct"/>
            <w:tcBorders>
              <w:top w:val="nil"/>
              <w:start w:val="nil"/>
              <w:bottom w:val="single" w:sz="8" w:space="0" w:color="auto"/>
              <w:end w:val="single" w:sz="8" w:space="0" w:color="auto"/>
            </w:tcBorders>
            <w:shd w:val="clear" w:color="auto" w:fill="009AD9"/>
            <w:tcMar>
              <w:top w:w="0pt" w:type="dxa"/>
              <w:start w:w="5.40pt" w:type="dxa"/>
              <w:bottom w:w="0pt" w:type="dxa"/>
              <w:end w:w="5.40pt" w:type="dxa"/>
            </w:tcMar>
          </w:tcPr>
          <w:p w:rsidR="00A92D8F" w:rsidRPr="00611019" w:rsidRDefault="00E56462" w:rsidP="00035D2C">
            <w:pPr>
              <w:spacing w:before="2pt" w:after="2pt"/>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t>24 horas</w:t>
            </w:r>
          </w:p>
        </w:tc>
      </w:tr>
      <w:tr w:rsidR="0061711D" w:rsidTr="0069599F">
        <w:tc>
          <w:tcPr>
            <w:tcW w:w="31.0%" w:type="pct"/>
            <w:tcBorders>
              <w:top w:val="nil"/>
              <w:start w:val="single" w:sz="8" w:space="0" w:color="auto"/>
              <w:bottom w:val="single" w:sz="8" w:space="0" w:color="auto"/>
              <w:end w:val="single" w:sz="8" w:space="0" w:color="auto"/>
            </w:tcBorders>
            <w:tcMar>
              <w:top w:w="0pt" w:type="dxa"/>
              <w:start w:w="5.40pt" w:type="dxa"/>
              <w:bottom w:w="0pt" w:type="dxa"/>
              <w:end w:w="5.40pt" w:type="dxa"/>
            </w:tcMar>
          </w:tcPr>
          <w:p w:rsidR="00A92D8F" w:rsidRPr="00611019" w:rsidRDefault="00A92D8F" w:rsidP="00035D2C">
            <w:pPr>
              <w:spacing w:before="2pt" w:after="2pt"/>
              <w:rPr>
                <w:rFonts w:ascii="Century Gothic" w:hAnsi="Century Gothic" w:cs="Arial"/>
                <w:sz w:val="20"/>
                <w:szCs w:val="20"/>
              </w:rPr>
            </w:pPr>
          </w:p>
        </w:tc>
        <w:tc>
          <w:tcPr>
            <w:tcW w:w="43.0%" w:type="pct"/>
            <w:tcBorders>
              <w:top w:val="nil"/>
              <w:start w:val="nil"/>
              <w:bottom w:val="single" w:sz="8" w:space="0" w:color="auto"/>
              <w:end w:val="single" w:sz="8" w:space="0" w:color="auto"/>
            </w:tcBorders>
            <w:tcMar>
              <w:top w:w="0pt" w:type="dxa"/>
              <w:start w:w="5.40pt" w:type="dxa"/>
              <w:bottom w:w="0pt" w:type="dxa"/>
              <w:end w:w="5.40pt" w:type="dxa"/>
            </w:tcMar>
            <w:hideMark/>
          </w:tcPr>
          <w:p w:rsidR="00A92D8F" w:rsidRPr="00611019" w:rsidRDefault="00E56462" w:rsidP="00035D2C">
            <w:pPr>
              <w:spacing w:before="2pt" w:after="2pt"/>
              <w:rPr>
                <w:rFonts w:ascii="Century Gothic" w:hAnsi="Century Gothic" w:cs="Arial"/>
                <w:sz w:val="20"/>
                <w:szCs w:val="20"/>
              </w:rPr>
            </w:pPr>
            <w:r>
              <w:rPr>
                <w:rFonts w:ascii="Century Gothic" w:hAnsi="Century Gothic" w:cs="Arial"/>
                <w:sz w:val="20"/>
                <w:szCs w:val="20"/>
              </w:rPr>
              <w:t>Correo:</w:t>
            </w:r>
          </w:p>
          <w:p w:rsidR="00A92D8F" w:rsidRPr="00611019" w:rsidRDefault="00E56462" w:rsidP="00035D2C">
            <w:pPr>
              <w:spacing w:before="2pt" w:after="2pt"/>
              <w:rPr>
                <w:rFonts w:ascii="Century Gothic" w:hAnsi="Century Gothic" w:cs="Arial"/>
                <w:sz w:val="20"/>
                <w:szCs w:val="20"/>
              </w:rPr>
            </w:pPr>
            <w:r>
              <w:rPr>
                <w:rFonts w:ascii="Century Gothic" w:hAnsi="Century Gothic" w:cs="Arial"/>
                <w:sz w:val="20"/>
                <w:szCs w:val="20"/>
              </w:rPr>
              <w:t xml:space="preserve">Tel. </w:t>
            </w:r>
          </w:p>
          <w:p w:rsidR="00A92D8F" w:rsidRPr="00611019" w:rsidRDefault="00E56462" w:rsidP="00035D2C">
            <w:pPr>
              <w:spacing w:before="2pt" w:after="2pt"/>
              <w:rPr>
                <w:rFonts w:ascii="Century Gothic" w:hAnsi="Century Gothic" w:cs="Arial"/>
                <w:sz w:val="20"/>
                <w:szCs w:val="20"/>
              </w:rPr>
            </w:pPr>
            <w:r>
              <w:rPr>
                <w:rFonts w:ascii="Century Gothic" w:hAnsi="Century Gothic" w:cs="Arial"/>
                <w:sz w:val="20"/>
                <w:szCs w:val="20"/>
              </w:rPr>
              <w:t>Celular:</w:t>
            </w:r>
          </w:p>
        </w:tc>
        <w:tc>
          <w:tcPr>
            <w:tcW w:w="24.0%" w:type="pct"/>
            <w:tcBorders>
              <w:top w:val="nil"/>
              <w:start w:val="nil"/>
              <w:bottom w:val="single" w:sz="8" w:space="0" w:color="auto"/>
              <w:end w:val="single" w:sz="8" w:space="0" w:color="auto"/>
            </w:tcBorders>
            <w:tcMar>
              <w:top w:w="0pt" w:type="dxa"/>
              <w:start w:w="5.40pt" w:type="dxa"/>
              <w:bottom w:w="0pt" w:type="dxa"/>
              <w:end w:w="5.40pt" w:type="dxa"/>
            </w:tcMar>
            <w:hideMark/>
          </w:tcPr>
          <w:p w:rsidR="00A92D8F" w:rsidRPr="00611019" w:rsidRDefault="00A92D8F" w:rsidP="00035D2C">
            <w:pPr>
              <w:spacing w:before="2pt" w:after="2pt"/>
              <w:rPr>
                <w:rFonts w:ascii="Century Gothic" w:hAnsi="Century Gothic" w:cs="Arial"/>
                <w:sz w:val="20"/>
                <w:szCs w:val="20"/>
              </w:rPr>
            </w:pPr>
          </w:p>
        </w:tc>
      </w:tr>
      <w:tr w:rsidR="0061711D" w:rsidTr="0069599F">
        <w:tc>
          <w:tcPr>
            <w:tcW w:w="31.0%" w:type="pct"/>
            <w:tcBorders>
              <w:top w:val="nil"/>
              <w:start w:val="single" w:sz="8" w:space="0" w:color="auto"/>
              <w:bottom w:val="single" w:sz="8" w:space="0" w:color="auto"/>
              <w:end w:val="single" w:sz="8" w:space="0" w:color="auto"/>
            </w:tcBorders>
            <w:shd w:val="clear" w:color="auto" w:fill="009AD9"/>
            <w:tcMar>
              <w:top w:w="0pt" w:type="dxa"/>
              <w:start w:w="5.40pt" w:type="dxa"/>
              <w:bottom w:w="0pt" w:type="dxa"/>
              <w:end w:w="5.40pt" w:type="dxa"/>
            </w:tcMar>
            <w:hideMark/>
          </w:tcPr>
          <w:p w:rsidR="00A92D8F" w:rsidRPr="00611019" w:rsidRDefault="00E56462" w:rsidP="00035D2C">
            <w:pPr>
              <w:spacing w:before="2pt" w:after="2pt"/>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t>Nivel 2</w:t>
            </w:r>
          </w:p>
        </w:tc>
        <w:tc>
          <w:tcPr>
            <w:tcW w:w="43.0%" w:type="pct"/>
            <w:tcBorders>
              <w:top w:val="nil"/>
              <w:start w:val="nil"/>
              <w:bottom w:val="single" w:sz="8" w:space="0" w:color="auto"/>
              <w:end w:val="single" w:sz="8" w:space="0" w:color="auto"/>
            </w:tcBorders>
            <w:shd w:val="clear" w:color="auto" w:fill="009AD9"/>
            <w:tcMar>
              <w:top w:w="0pt" w:type="dxa"/>
              <w:start w:w="5.40pt" w:type="dxa"/>
              <w:bottom w:w="0pt" w:type="dxa"/>
              <w:end w:w="5.40pt" w:type="dxa"/>
            </w:tcMar>
            <w:hideMark/>
          </w:tcPr>
          <w:p w:rsidR="00A92D8F" w:rsidRPr="00611019" w:rsidRDefault="00E56462" w:rsidP="00035D2C">
            <w:pPr>
              <w:spacing w:before="2pt" w:after="2pt"/>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t>Contacto</w:t>
            </w:r>
          </w:p>
        </w:tc>
        <w:tc>
          <w:tcPr>
            <w:tcW w:w="24.0%" w:type="pct"/>
            <w:tcBorders>
              <w:top w:val="nil"/>
              <w:start w:val="nil"/>
              <w:bottom w:val="single" w:sz="8" w:space="0" w:color="auto"/>
              <w:end w:val="single" w:sz="8" w:space="0" w:color="auto"/>
            </w:tcBorders>
            <w:shd w:val="clear" w:color="auto" w:fill="009AD9"/>
            <w:tcMar>
              <w:top w:w="0pt" w:type="dxa"/>
              <w:start w:w="5.40pt" w:type="dxa"/>
              <w:bottom w:w="0pt" w:type="dxa"/>
              <w:end w:w="5.40pt" w:type="dxa"/>
            </w:tcMar>
          </w:tcPr>
          <w:p w:rsidR="00A92D8F" w:rsidRPr="00611019" w:rsidRDefault="00E56462" w:rsidP="00035D2C">
            <w:pPr>
              <w:spacing w:before="2pt" w:after="2pt"/>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t>48 horas</w:t>
            </w:r>
          </w:p>
        </w:tc>
      </w:tr>
      <w:tr w:rsidR="0061711D" w:rsidTr="0069599F">
        <w:tc>
          <w:tcPr>
            <w:tcW w:w="31.0%" w:type="pct"/>
            <w:tcBorders>
              <w:top w:val="nil"/>
              <w:start w:val="single" w:sz="8" w:space="0" w:color="auto"/>
              <w:bottom w:val="single" w:sz="8" w:space="0" w:color="auto"/>
              <w:end w:val="single" w:sz="8" w:space="0" w:color="auto"/>
            </w:tcBorders>
            <w:tcMar>
              <w:top w:w="0pt" w:type="dxa"/>
              <w:start w:w="5.40pt" w:type="dxa"/>
              <w:bottom w:w="0pt" w:type="dxa"/>
              <w:end w:w="5.40pt" w:type="dxa"/>
            </w:tcMar>
            <w:hideMark/>
          </w:tcPr>
          <w:p w:rsidR="00A92D8F" w:rsidRPr="00611019" w:rsidRDefault="00A92D8F" w:rsidP="00035D2C">
            <w:pPr>
              <w:spacing w:before="2pt" w:after="2pt"/>
              <w:rPr>
                <w:rFonts w:ascii="Century Gothic" w:hAnsi="Century Gothic" w:cs="Arial"/>
                <w:sz w:val="20"/>
                <w:szCs w:val="20"/>
              </w:rPr>
            </w:pPr>
          </w:p>
        </w:tc>
        <w:tc>
          <w:tcPr>
            <w:tcW w:w="43.0%" w:type="pct"/>
            <w:tcBorders>
              <w:top w:val="nil"/>
              <w:start w:val="nil"/>
              <w:bottom w:val="single" w:sz="8" w:space="0" w:color="auto"/>
              <w:end w:val="single" w:sz="8" w:space="0" w:color="auto"/>
            </w:tcBorders>
            <w:tcMar>
              <w:top w:w="0pt" w:type="dxa"/>
              <w:start w:w="5.40pt" w:type="dxa"/>
              <w:bottom w:w="0pt" w:type="dxa"/>
              <w:end w:w="5.40pt" w:type="dxa"/>
            </w:tcMar>
            <w:hideMark/>
          </w:tcPr>
          <w:p w:rsidR="00A92D8F" w:rsidRPr="00611019" w:rsidRDefault="00E56462" w:rsidP="00035D2C">
            <w:pPr>
              <w:spacing w:before="2pt" w:after="2pt"/>
              <w:rPr>
                <w:rFonts w:ascii="Century Gothic" w:hAnsi="Century Gothic" w:cs="Arial"/>
                <w:sz w:val="20"/>
                <w:szCs w:val="20"/>
              </w:rPr>
            </w:pPr>
            <w:r>
              <w:rPr>
                <w:rFonts w:ascii="Century Gothic" w:hAnsi="Century Gothic" w:cs="Arial"/>
                <w:sz w:val="20"/>
                <w:szCs w:val="20"/>
              </w:rPr>
              <w:t>Correo:</w:t>
            </w:r>
          </w:p>
          <w:p w:rsidR="00A92D8F" w:rsidRPr="00611019" w:rsidRDefault="00E56462" w:rsidP="00035D2C">
            <w:pPr>
              <w:spacing w:before="2pt" w:after="2pt"/>
              <w:rPr>
                <w:rFonts w:ascii="Century Gothic" w:hAnsi="Century Gothic" w:cs="Arial"/>
                <w:sz w:val="20"/>
                <w:szCs w:val="20"/>
              </w:rPr>
            </w:pPr>
            <w:r>
              <w:rPr>
                <w:rFonts w:ascii="Century Gothic" w:hAnsi="Century Gothic" w:cs="Arial"/>
                <w:sz w:val="20"/>
                <w:szCs w:val="20"/>
              </w:rPr>
              <w:t xml:space="preserve">Tel. </w:t>
            </w:r>
          </w:p>
          <w:p w:rsidR="00A92D8F" w:rsidRPr="00611019" w:rsidRDefault="00E56462" w:rsidP="00035D2C">
            <w:pPr>
              <w:spacing w:before="2pt" w:after="2pt"/>
              <w:rPr>
                <w:rFonts w:ascii="Century Gothic" w:hAnsi="Century Gothic" w:cs="Arial"/>
                <w:sz w:val="20"/>
                <w:szCs w:val="20"/>
              </w:rPr>
            </w:pPr>
            <w:r>
              <w:rPr>
                <w:rFonts w:ascii="Century Gothic" w:hAnsi="Century Gothic" w:cs="Arial"/>
                <w:sz w:val="20"/>
                <w:szCs w:val="20"/>
              </w:rPr>
              <w:t xml:space="preserve">Celular: </w:t>
            </w:r>
          </w:p>
        </w:tc>
        <w:tc>
          <w:tcPr>
            <w:tcW w:w="24.0%" w:type="pct"/>
            <w:tcBorders>
              <w:top w:val="nil"/>
              <w:start w:val="nil"/>
              <w:bottom w:val="single" w:sz="8" w:space="0" w:color="auto"/>
              <w:end w:val="single" w:sz="8" w:space="0" w:color="auto"/>
            </w:tcBorders>
            <w:tcMar>
              <w:top w:w="0pt" w:type="dxa"/>
              <w:start w:w="5.40pt" w:type="dxa"/>
              <w:bottom w:w="0pt" w:type="dxa"/>
              <w:end w:w="5.40pt" w:type="dxa"/>
            </w:tcMar>
            <w:hideMark/>
          </w:tcPr>
          <w:p w:rsidR="00A92D8F" w:rsidRPr="00611019" w:rsidRDefault="00A92D8F" w:rsidP="00035D2C">
            <w:pPr>
              <w:spacing w:before="2pt" w:after="2pt"/>
              <w:rPr>
                <w:rFonts w:ascii="Century Gothic" w:hAnsi="Century Gothic" w:cs="Arial"/>
                <w:sz w:val="20"/>
                <w:szCs w:val="20"/>
              </w:rPr>
            </w:pPr>
          </w:p>
        </w:tc>
      </w:tr>
    </w:tbl>
    <w:p w:rsidR="00A92D8F" w:rsidRPr="00611019" w:rsidRDefault="00A92D8F" w:rsidP="00035D2C">
      <w:pPr>
        <w:rPr>
          <w:rFonts w:ascii="Century Gothic" w:hAnsi="Century Gothic"/>
        </w:rPr>
      </w:pPr>
    </w:p>
    <w:p w:rsidR="006A4EFB" w:rsidRPr="00611019" w:rsidRDefault="00E56462" w:rsidP="00035D2C">
      <w:pPr>
        <w:pStyle w:val="Ttulo2"/>
        <w:spacing w:after="0pt"/>
        <w:rPr>
          <w:rFonts w:ascii="Century Gothic" w:hAnsi="Century Gothic"/>
        </w:rPr>
      </w:pPr>
      <w:bookmarkStart w:id="2491" w:name="_Toc92974128"/>
      <w:bookmarkStart w:id="2492" w:name="_Toc93052439"/>
      <w:bookmarkStart w:id="2493" w:name="_Toc93056394"/>
      <w:bookmarkStart w:id="2494" w:name="_Toc125393457"/>
      <w:bookmarkStart w:id="2495" w:name="_Toc148702313"/>
      <w:bookmarkStart w:id="2496" w:name="_Toc170381928"/>
      <w:r>
        <w:rPr>
          <w:rFonts w:ascii="Century Gothic" w:hAnsi="Century Gothic"/>
        </w:rPr>
        <w:t>4.7 Cierre de Incidencias</w:t>
      </w:r>
      <w:bookmarkEnd w:id="2491"/>
      <w:bookmarkEnd w:id="2492"/>
      <w:bookmarkEnd w:id="2493"/>
      <w:bookmarkEnd w:id="2494"/>
      <w:bookmarkEnd w:id="2495"/>
      <w:bookmarkEnd w:id="2496"/>
      <w:r>
        <w:rPr>
          <w:rFonts w:ascii="Century Gothic" w:hAnsi="Century Gothic"/>
        </w:rPr>
        <w:t>.</w:t>
      </w:r>
    </w:p>
    <w:p w:rsidR="008932C9" w:rsidRPr="00611019" w:rsidRDefault="008932C9" w:rsidP="00035D2C">
      <w:pPr>
        <w:rPr>
          <w:sz w:val="8"/>
        </w:rPr>
      </w:pPr>
    </w:p>
    <w:p w:rsidR="00A92D8F" w:rsidRPr="00611019" w:rsidRDefault="00E56462" w:rsidP="00035D2C">
      <w:pPr>
        <w:pStyle w:val="IFTnormal"/>
        <w:spacing w:after="6pt"/>
        <w:rPr>
          <w:rFonts w:ascii="Century Gothic" w:hAnsi="Century Gothic"/>
        </w:rPr>
      </w:pPr>
      <w:r>
        <w:rPr>
          <w:rFonts w:ascii="Century Gothic" w:hAnsi="Century Gothic"/>
        </w:rPr>
        <w:t xml:space="preserve">Para efectuar el cierre formal de un incidente, el Centro de Atención de RED NACIONAL, deberá registrar la información relacionada a los tiempos aplicables a la resolución del incidente, la causa raíz y la solución aplicada. </w:t>
      </w:r>
    </w:p>
    <w:p w:rsidR="00A92D8F" w:rsidRPr="00611019" w:rsidRDefault="00E56462" w:rsidP="00035D2C">
      <w:pPr>
        <w:pStyle w:val="IFTnormal"/>
        <w:spacing w:after="6pt"/>
        <w:rPr>
          <w:rFonts w:ascii="Century Gothic" w:hAnsi="Century Gothic"/>
        </w:rPr>
      </w:pPr>
      <w:r>
        <w:rPr>
          <w:rFonts w:ascii="Century Gothic" w:hAnsi="Century Gothic"/>
        </w:rPr>
        <w:t>RED NACIONAL notificará al CS vía el SEG/SIPO la información antes referida</w:t>
      </w:r>
      <w:r>
        <w:rPr>
          <w:rStyle w:val="Refdenotaalpie"/>
          <w:rFonts w:ascii="Century Gothic" w:hAnsi="Century Gothic"/>
        </w:rPr>
        <w:footnoteReference w:id="62"/>
      </w:r>
      <w:r>
        <w:rPr>
          <w:rFonts w:ascii="Century Gothic" w:hAnsi="Century Gothic"/>
        </w:rPr>
        <w:t>, para que éste otorgue su visto bueno para el cierre de la incidencia.</w:t>
      </w:r>
    </w:p>
    <w:p w:rsidR="00A92D8F" w:rsidRPr="00611019" w:rsidRDefault="00E56462" w:rsidP="00035D2C">
      <w:pPr>
        <w:pStyle w:val="IFTnormal"/>
        <w:rPr>
          <w:rFonts w:ascii="Century Gothic" w:hAnsi="Century Gothic"/>
        </w:rPr>
      </w:pPr>
      <w:r>
        <w:rPr>
          <w:rFonts w:ascii="Century Gothic" w:hAnsi="Century Gothic"/>
        </w:rPr>
        <w:t>El CS contará con un plazo de 24 horas a partir de la hora en que le fue notificada la solución de la incidencia y la restauración del Servicio para otorgar su visto bueno para el cierre correspondiente. En caso de no efectuarse la verificación de la solución aplicada dentro de dicho plazo, se entenderá que se ha validado la solución y la incidencia se cerrará de forma automática.</w:t>
      </w:r>
    </w:p>
    <w:p w:rsidR="00C60A24" w:rsidRPr="00611019" w:rsidRDefault="00C60A24" w:rsidP="00035D2C">
      <w:pPr>
        <w:pStyle w:val="IFTnormal"/>
        <w:rPr>
          <w:rFonts w:ascii="Century Gothic" w:hAnsi="Century Gothic"/>
        </w:rPr>
      </w:pPr>
    </w:p>
    <w:p w:rsidR="006A4EFB" w:rsidRPr="00611019" w:rsidRDefault="00E56462" w:rsidP="00035D2C">
      <w:pPr>
        <w:pStyle w:val="1TitPrin"/>
        <w:ind w:start="0pt" w:firstLine="0pt"/>
        <w:rPr>
          <w:rFonts w:ascii="Century Gothic" w:hAnsi="Century Gothic" w:cs="Times New Roman"/>
          <w14:scene3d>
            <w14:camera w14:prst="orthographicFront"/>
            <w14:lightRig w14:rig="threePt" w14:dir="t">
              <w14:rot w14:lat="0" w14:lon="0" w14:rev="0"/>
            </w14:lightRig>
          </w14:scene3d>
        </w:rPr>
      </w:pPr>
      <w:bookmarkStart w:id="2497" w:name="_Toc92974129"/>
      <w:bookmarkStart w:id="2498" w:name="_Toc93052440"/>
      <w:bookmarkStart w:id="2499" w:name="_Toc93056395"/>
      <w:bookmarkStart w:id="2500" w:name="_Toc125393458"/>
      <w:bookmarkStart w:id="2501" w:name="_Toc148702314"/>
      <w:bookmarkStart w:id="2502" w:name="_Toc170381929"/>
      <w:r>
        <w:rPr>
          <w:rFonts w:ascii="Century Gothic" w:hAnsi="Century Gothic" w:cs="Times New Roman"/>
          <w14:scene3d>
            <w14:camera w14:prst="orthographicFront"/>
            <w14:lightRig w14:rig="threePt" w14:dir="t">
              <w14:rot w14:lat="0" w14:lon="0" w14:rev="0"/>
            </w14:lightRig>
          </w14:scene3d>
        </w:rPr>
        <w:t>5. Intervenciones programadas</w:t>
      </w:r>
      <w:bookmarkEnd w:id="2497"/>
      <w:bookmarkEnd w:id="2498"/>
      <w:bookmarkEnd w:id="2499"/>
      <w:bookmarkEnd w:id="2500"/>
      <w:bookmarkEnd w:id="2501"/>
      <w:bookmarkEnd w:id="2502"/>
      <w:r>
        <w:rPr>
          <w:rFonts w:ascii="Century Gothic" w:hAnsi="Century Gothic" w:cs="Times New Roman"/>
          <w14:scene3d>
            <w14:camera w14:prst="orthographicFront"/>
            <w14:lightRig w14:rig="threePt" w14:dir="t">
              <w14:rot w14:lat="0" w14:lon="0" w14:rev="0"/>
            </w14:lightRig>
          </w14:scene3d>
        </w:rPr>
        <w:t>.</w:t>
      </w:r>
    </w:p>
    <w:p w:rsidR="00A92D8F" w:rsidRPr="00611019" w:rsidRDefault="00E56462" w:rsidP="00035D2C">
      <w:pPr>
        <w:pStyle w:val="IFTnormal"/>
        <w:spacing w:after="6pt"/>
        <w:rPr>
          <w:rFonts w:ascii="Century Gothic" w:hAnsi="Century Gothic"/>
        </w:rPr>
      </w:pPr>
      <w:r>
        <w:rPr>
          <w:rFonts w:ascii="Century Gothic" w:hAnsi="Century Gothic"/>
        </w:rPr>
        <w:t>Tanto RED NACIONAL como el CS deberán comunicar oportunamente los trabajos (acciones de mantenimiento preventivo u otros trabajos programados) que vayan a realizar en sus correspondientes redes públicas y con los cuales se pudieran afectar los servicios del CS, así como acordar el horario de los trabajos, a fin de reducir en lo posible su impacto. Esta comunicación se realizará con un tiempo de antelación mínimo de 10 días hábiles.</w:t>
      </w:r>
    </w:p>
    <w:p w:rsidR="00A92D8F" w:rsidRPr="00611019" w:rsidRDefault="00E56462" w:rsidP="00035D2C">
      <w:pPr>
        <w:pStyle w:val="IFTnormal"/>
        <w:spacing w:after="6pt"/>
        <w:rPr>
          <w:rFonts w:ascii="Century Gothic" w:hAnsi="Century Gothic"/>
        </w:rPr>
      </w:pPr>
      <w:r>
        <w:rPr>
          <w:rFonts w:ascii="Century Gothic" w:hAnsi="Century Gothic"/>
        </w:rPr>
        <w:t xml:space="preserve">Los </w:t>
      </w:r>
      <w:r w:rsidR="0003517A">
        <w:rPr>
          <w:rFonts w:ascii="Century Gothic" w:hAnsi="Century Gothic"/>
        </w:rPr>
        <w:t>CS</w:t>
      </w:r>
      <w:r>
        <w:rPr>
          <w:rFonts w:ascii="Century Gothic" w:hAnsi="Century Gothic"/>
        </w:rPr>
        <w:t xml:space="preserve"> o sus contratistas que realicen trabajos de mantenimiento programados o por fallas en instalaciones y/o en infraestructura de RED NACIONAL, deberán apegarse a los lineamientos de seguridad establecidos en las instalaciones en donde se realicen los trabajos.</w:t>
      </w:r>
    </w:p>
    <w:p w:rsidR="00A92D8F" w:rsidRPr="00611019" w:rsidRDefault="00E56462" w:rsidP="00035D2C">
      <w:pPr>
        <w:pStyle w:val="IFTnormal"/>
        <w:rPr>
          <w:rFonts w:ascii="Century Gothic" w:hAnsi="Century Gothic"/>
        </w:rPr>
      </w:pPr>
      <w:r>
        <w:rPr>
          <w:rFonts w:ascii="Century Gothic" w:hAnsi="Century Gothic"/>
        </w:rPr>
        <w:lastRenderedPageBreak/>
        <w:t>Los procedimientos relativos al mantenimiento correctivo y acceso de emergencia aplicables a las operaciones derivadas de los Servicios de Desagregación se encuentran descritos en la OREDA.</w:t>
      </w:r>
    </w:p>
    <w:p w:rsidR="006A4EFB" w:rsidRPr="00611019" w:rsidRDefault="006A4EFB" w:rsidP="00035D2C">
      <w:pPr>
        <w:pStyle w:val="IFTnormal"/>
        <w:rPr>
          <w:rFonts w:ascii="Century Gothic" w:hAnsi="Century Gothic"/>
        </w:rPr>
      </w:pPr>
    </w:p>
    <w:p w:rsidR="006A4EFB" w:rsidRPr="00611019" w:rsidRDefault="00E56462" w:rsidP="00035D2C">
      <w:pPr>
        <w:pStyle w:val="1TitPrin"/>
        <w:ind w:start="0pt" w:firstLine="0pt"/>
        <w:rPr>
          <w:rFonts w:ascii="Century Gothic" w:hAnsi="Century Gothic" w:cs="Times New Roman"/>
          <w14:scene3d>
            <w14:camera w14:prst="orthographicFront"/>
            <w14:lightRig w14:rig="threePt" w14:dir="t">
              <w14:rot w14:lat="0" w14:lon="0" w14:rev="0"/>
            </w14:lightRig>
          </w14:scene3d>
        </w:rPr>
      </w:pPr>
      <w:bookmarkStart w:id="2503" w:name="_Toc92974130"/>
      <w:bookmarkStart w:id="2504" w:name="_Toc93052441"/>
      <w:bookmarkStart w:id="2505" w:name="_Toc93056396"/>
      <w:bookmarkStart w:id="2506" w:name="_Toc125393459"/>
      <w:bookmarkStart w:id="2507" w:name="_Toc148702315"/>
      <w:bookmarkStart w:id="2508" w:name="_Toc170381930"/>
      <w:r>
        <w:rPr>
          <w:rFonts w:ascii="Century Gothic" w:hAnsi="Century Gothic" w:cs="Times New Roman"/>
          <w14:scene3d>
            <w14:camera w14:prst="orthographicFront"/>
            <w14:lightRig w14:rig="threePt" w14:dir="t">
              <w14:rot w14:lat="0" w14:lon="0" w14:rev="0"/>
            </w14:lightRig>
          </w14:scene3d>
        </w:rPr>
        <w:t>6. Responsabilidad de las incidencias</w:t>
      </w:r>
      <w:bookmarkEnd w:id="2503"/>
      <w:bookmarkEnd w:id="2504"/>
      <w:bookmarkEnd w:id="2505"/>
      <w:bookmarkEnd w:id="2506"/>
      <w:bookmarkEnd w:id="2507"/>
      <w:bookmarkEnd w:id="2508"/>
      <w:r>
        <w:rPr>
          <w:rFonts w:ascii="Century Gothic" w:hAnsi="Century Gothic" w:cs="Times New Roman"/>
          <w14:scene3d>
            <w14:camera w14:prst="orthographicFront"/>
            <w14:lightRig w14:rig="threePt" w14:dir="t">
              <w14:rot w14:lat="0" w14:lon="0" w14:rev="0"/>
            </w14:lightRig>
          </w14:scene3d>
        </w:rPr>
        <w:t>.</w:t>
      </w:r>
    </w:p>
    <w:p w:rsidR="00A92D8F" w:rsidRPr="00611019" w:rsidRDefault="00E56462" w:rsidP="00035D2C">
      <w:pPr>
        <w:pStyle w:val="IFTnormal"/>
        <w:spacing w:after="6pt"/>
        <w:rPr>
          <w:rFonts w:ascii="Century Gothic" w:hAnsi="Century Gothic"/>
        </w:rPr>
      </w:pPr>
      <w:r>
        <w:rPr>
          <w:rFonts w:ascii="Century Gothic" w:hAnsi="Century Gothic"/>
        </w:rPr>
        <w:t>El CS podrá reportar una incidencia una vez que haya realizado al menos las pruebas necesarias señaladas en el apartado 3 del presente anexo, y verificado que la falla o incidencia no se encuentra en los equipos y servicios bajo su responsabilidad, incluyendo en la reclamación los datos identificativos del Servicio reclamado así como las anomalías detectadas que dan lugar a la reclamación y que permitan de forma eficiente para ambas partes, determinar la naturaleza u origen de la reclamación de que se trate.</w:t>
      </w:r>
    </w:p>
    <w:p w:rsidR="00A92D8F" w:rsidRPr="00611019" w:rsidRDefault="00E56462" w:rsidP="00035D2C">
      <w:pPr>
        <w:pStyle w:val="IFTnormal"/>
        <w:spacing w:after="6pt"/>
        <w:rPr>
          <w:rFonts w:ascii="Century Gothic" w:hAnsi="Century Gothic"/>
        </w:rPr>
      </w:pPr>
      <w:r>
        <w:rPr>
          <w:rFonts w:ascii="Century Gothic" w:hAnsi="Century Gothic"/>
        </w:rPr>
        <w:t>El CS que haya originado un aviso de incidencia del cual derive la realización de actividades y pruebas que permitan que la falla o incidente sea declarada imputable al mismo CS, deberá pagar a RED NACIONAL por los gastos incurridos durante las actividades realizadas para la atención de la falla.</w:t>
      </w:r>
    </w:p>
    <w:p w:rsidR="00A92D8F" w:rsidRPr="00611019" w:rsidRDefault="00E56462" w:rsidP="00035D2C">
      <w:pPr>
        <w:pStyle w:val="IFTnormal"/>
        <w:spacing w:after="6pt"/>
        <w:rPr>
          <w:rFonts w:ascii="Century Gothic" w:hAnsi="Century Gothic"/>
        </w:rPr>
      </w:pPr>
      <w:r>
        <w:rPr>
          <w:rFonts w:ascii="Century Gothic" w:hAnsi="Century Gothic"/>
        </w:rPr>
        <w:t>De la misma forma, si RED NACIONAL llegase a imputar fallas al CS y éste demostrara que dichas fallas no son imputables a éste, RED NACIONAL deberá pagar al CS por los gastos incurridos durante la atención de la falla.</w:t>
      </w:r>
    </w:p>
    <w:p w:rsidR="00A92D8F" w:rsidRPr="00611019" w:rsidRDefault="00E56462" w:rsidP="00035D2C">
      <w:pPr>
        <w:pStyle w:val="IFTnormal"/>
        <w:rPr>
          <w:rFonts w:ascii="Century Gothic" w:hAnsi="Century Gothic"/>
        </w:rPr>
      </w:pPr>
      <w:r>
        <w:rPr>
          <w:rFonts w:ascii="Century Gothic" w:hAnsi="Century Gothic"/>
        </w:rPr>
        <w:t>RED NACIONAL y la DM serán responsables de atender las fallas identificadas en su red conforme a los tiempos establecidos en sus respectivas Ofertas.</w:t>
      </w:r>
    </w:p>
    <w:p w:rsidR="006A4EFB" w:rsidRPr="00611019" w:rsidRDefault="006A4EFB" w:rsidP="00035D2C">
      <w:pPr>
        <w:pStyle w:val="IFTnormal"/>
        <w:rPr>
          <w:rFonts w:ascii="Century Gothic" w:hAnsi="Century Gothic"/>
        </w:rPr>
      </w:pPr>
    </w:p>
    <w:p w:rsidR="006A4EFB" w:rsidRPr="00611019" w:rsidRDefault="00E56462" w:rsidP="00035D2C">
      <w:pPr>
        <w:pStyle w:val="1TitPrin"/>
        <w:ind w:start="0pt" w:firstLine="0pt"/>
        <w:rPr>
          <w:rFonts w:ascii="Century Gothic" w:hAnsi="Century Gothic" w:cs="Times New Roman"/>
          <w14:scene3d>
            <w14:camera w14:prst="orthographicFront"/>
            <w14:lightRig w14:rig="threePt" w14:dir="t">
              <w14:rot w14:lat="0" w14:lon="0" w14:rev="0"/>
            </w14:lightRig>
          </w14:scene3d>
        </w:rPr>
      </w:pPr>
      <w:bookmarkStart w:id="2509" w:name="_Toc92974131"/>
      <w:bookmarkStart w:id="2510" w:name="_Toc93052442"/>
      <w:bookmarkStart w:id="2511" w:name="_Toc93056397"/>
      <w:bookmarkStart w:id="2512" w:name="_Toc125393460"/>
      <w:bookmarkStart w:id="2513" w:name="_Toc148702316"/>
      <w:bookmarkStart w:id="2514" w:name="_Toc170381931"/>
      <w:r>
        <w:rPr>
          <w:rFonts w:ascii="Century Gothic" w:hAnsi="Century Gothic" w:cs="Times New Roman"/>
          <w14:scene3d>
            <w14:camera w14:prst="orthographicFront"/>
            <w14:lightRig w14:rig="threePt" w14:dir="t">
              <w14:rot w14:lat="0" w14:lon="0" w14:rev="0"/>
            </w14:lightRig>
          </w14:scene3d>
        </w:rPr>
        <w:t>7. Incidencias del SEG/SIPO</w:t>
      </w:r>
      <w:bookmarkEnd w:id="2509"/>
      <w:bookmarkEnd w:id="2510"/>
      <w:bookmarkEnd w:id="2511"/>
      <w:bookmarkEnd w:id="2512"/>
      <w:bookmarkEnd w:id="2513"/>
      <w:bookmarkEnd w:id="2514"/>
      <w:r>
        <w:rPr>
          <w:rFonts w:ascii="Century Gothic" w:hAnsi="Century Gothic" w:cs="Times New Roman"/>
          <w14:scene3d>
            <w14:camera w14:prst="orthographicFront"/>
            <w14:lightRig w14:rig="threePt" w14:dir="t">
              <w14:rot w14:lat="0" w14:lon="0" w14:rev="0"/>
            </w14:lightRig>
          </w14:scene3d>
        </w:rPr>
        <w:t xml:space="preserve">. </w:t>
      </w:r>
    </w:p>
    <w:p w:rsidR="00A92D8F" w:rsidRPr="00611019" w:rsidRDefault="00E56462" w:rsidP="00035D2C">
      <w:pPr>
        <w:jc w:val="both"/>
        <w:rPr>
          <w:rFonts w:ascii="Century Gothic" w:hAnsi="Century Gothic" w:cs="Arial"/>
        </w:rPr>
      </w:pPr>
      <w:r>
        <w:rPr>
          <w:rFonts w:ascii="Century Gothic" w:hAnsi="Century Gothic" w:cs="Arial"/>
        </w:rPr>
        <w:t>Para el caso de la atención de fallas o intermitencias del SEG/SIPO, todas aquellas gestiones que se realicen para darle continuidad a los Servicios mediante cualquier medio alterno al SEG/SIPO, deberán ser registradas en este último cuando se restablezca. Asimismo, para dar continuidad a las solicitudes y a la entrega de información, cualquier interacción que haya existido mediante el uso del medio alterno deberá ser cargado en el SEG/SIPO cuando éste se restablezca.</w:t>
      </w:r>
    </w:p>
    <w:p w:rsidR="006A4EFB" w:rsidRPr="00611019" w:rsidRDefault="006A4EFB" w:rsidP="00035D2C">
      <w:pPr>
        <w:jc w:val="both"/>
        <w:rPr>
          <w:rFonts w:ascii="Century Gothic" w:hAnsi="Century Gothic" w:cs="Arial"/>
        </w:rPr>
      </w:pPr>
    </w:p>
    <w:p w:rsidR="006A4EFB" w:rsidRPr="00611019" w:rsidRDefault="00E56462" w:rsidP="00035D2C">
      <w:pPr>
        <w:pStyle w:val="1TitPrin"/>
        <w:ind w:start="0pt" w:firstLine="0pt"/>
        <w:rPr>
          <w:rFonts w:ascii="Century Gothic" w:hAnsi="Century Gothic" w:cs="Times New Roman"/>
          <w14:scene3d>
            <w14:camera w14:prst="orthographicFront"/>
            <w14:lightRig w14:rig="threePt" w14:dir="t">
              <w14:rot w14:lat="0" w14:lon="0" w14:rev="0"/>
            </w14:lightRig>
          </w14:scene3d>
        </w:rPr>
      </w:pPr>
      <w:bookmarkStart w:id="2515" w:name="_Toc92974132"/>
      <w:bookmarkStart w:id="2516" w:name="_Toc93052443"/>
      <w:bookmarkStart w:id="2517" w:name="_Toc93056398"/>
      <w:bookmarkStart w:id="2518" w:name="_Toc125393461"/>
      <w:bookmarkStart w:id="2519" w:name="_Toc148702317"/>
      <w:bookmarkStart w:id="2520" w:name="_Toc170381932"/>
      <w:r>
        <w:rPr>
          <w:rFonts w:ascii="Century Gothic" w:hAnsi="Century Gothic" w:cs="Times New Roman"/>
          <w14:scene3d>
            <w14:camera w14:prst="orthographicFront"/>
            <w14:lightRig w14:rig="threePt" w14:dir="t">
              <w14:rot w14:lat="0" w14:lon="0" w14:rev="0"/>
            </w14:lightRig>
          </w14:scene3d>
        </w:rPr>
        <w:t>8. Niveles de Servicio</w:t>
      </w:r>
      <w:bookmarkEnd w:id="2515"/>
      <w:bookmarkEnd w:id="2516"/>
      <w:bookmarkEnd w:id="2517"/>
      <w:bookmarkEnd w:id="2518"/>
      <w:bookmarkEnd w:id="2519"/>
      <w:bookmarkEnd w:id="2520"/>
      <w:r>
        <w:rPr>
          <w:rFonts w:ascii="Century Gothic" w:hAnsi="Century Gothic" w:cs="Times New Roman"/>
          <w14:scene3d>
            <w14:camera w14:prst="orthographicFront"/>
            <w14:lightRig w14:rig="threePt" w14:dir="t">
              <w14:rot w14:lat="0" w14:lon="0" w14:rev="0"/>
            </w14:lightRig>
          </w14:scene3d>
        </w:rPr>
        <w:t>.</w:t>
      </w:r>
    </w:p>
    <w:p w:rsidR="00A92D8F" w:rsidRPr="00611019" w:rsidRDefault="00E56462" w:rsidP="00035D2C">
      <w:pPr>
        <w:spacing w:after="6pt"/>
        <w:jc w:val="both"/>
        <w:rPr>
          <w:rFonts w:ascii="Century Gothic" w:hAnsi="Century Gothic" w:cs="Arial"/>
          <w:color w:val="000000"/>
        </w:rPr>
      </w:pPr>
      <w:r>
        <w:rPr>
          <w:rFonts w:ascii="Century Gothic" w:hAnsi="Century Gothic" w:cs="Arial"/>
          <w:color w:val="000000"/>
        </w:rPr>
        <w:t>Los niveles de servicio para la atención de fallas se indican en la sección de “Parámetros e indicadores de calidad” de cada servicio en la Oferta, bajo el rubro: “Reparación de fallas”.</w:t>
      </w:r>
    </w:p>
    <w:p w:rsidR="0003517A" w:rsidRDefault="00E56462" w:rsidP="00035D2C">
      <w:pPr>
        <w:spacing w:after="6pt"/>
        <w:jc w:val="both"/>
        <w:rPr>
          <w:rFonts w:ascii="Century Gothic" w:hAnsi="Century Gothic" w:cs="Arial"/>
          <w:color w:val="000000"/>
        </w:rPr>
      </w:pPr>
      <w:r>
        <w:rPr>
          <w:rFonts w:ascii="Century Gothic" w:hAnsi="Century Gothic" w:cs="Arial"/>
          <w:color w:val="000000"/>
        </w:rPr>
        <w:t xml:space="preserve">Cualquier eventualidad relacionada con el CS o causas externas a </w:t>
      </w:r>
      <w:r>
        <w:rPr>
          <w:rFonts w:ascii="Century Gothic" w:hAnsi="Century Gothic"/>
        </w:rPr>
        <w:t>RED NACIONAL</w:t>
      </w:r>
      <w:r>
        <w:rPr>
          <w:rFonts w:ascii="Century Gothic" w:hAnsi="Century Gothic" w:cs="Arial"/>
          <w:color w:val="000000"/>
        </w:rPr>
        <w:t xml:space="preserve"> que impliquen detener la contabilización del tiempo de la falla en el proceso de solución de la misma, será comunicada al CS y no se contabilizará para el cálculo de índices de calidad.</w:t>
      </w:r>
      <w:bookmarkStart w:id="2521" w:name="_Toc381605358"/>
      <w:r w:rsidR="0003517A">
        <w:rPr>
          <w:rFonts w:ascii="Century Gothic" w:hAnsi="Century Gothic" w:cs="Arial"/>
          <w:color w:val="000000"/>
        </w:rPr>
        <w:br w:type="page"/>
      </w:r>
    </w:p>
    <w:p w:rsidR="008A6791" w:rsidRPr="00611019" w:rsidRDefault="008A6791" w:rsidP="00035D2C">
      <w:pPr>
        <w:spacing w:after="6pt"/>
        <w:jc w:val="both"/>
        <w:rPr>
          <w:rFonts w:ascii="Century Gothic" w:hAnsi="Century Gothic" w:cs="Arial"/>
          <w:color w:val="000000"/>
        </w:rPr>
      </w:pPr>
    </w:p>
    <w:p w:rsidR="00C66466" w:rsidRPr="00611019" w:rsidRDefault="00E56462" w:rsidP="00035D2C">
      <w:pPr>
        <w:pStyle w:val="Ttulo1"/>
        <w:jc w:val="center"/>
        <w:rPr>
          <w:rFonts w:ascii="Century Gothic" w:hAnsi="Century Gothic"/>
          <w:b w:val="0"/>
        </w:rPr>
      </w:pPr>
      <w:bookmarkStart w:id="2522" w:name="_Toc107408454"/>
      <w:bookmarkStart w:id="2523" w:name="_Toc107502340"/>
      <w:bookmarkStart w:id="2524" w:name="_Toc107503161"/>
      <w:bookmarkStart w:id="2525" w:name="_Toc115739199"/>
      <w:bookmarkStart w:id="2526" w:name="_Toc125393462"/>
      <w:bookmarkStart w:id="2527" w:name="_Toc148702318"/>
      <w:bookmarkStart w:id="2528" w:name="_Toc170381933"/>
      <w:r>
        <w:rPr>
          <w:rFonts w:ascii="Century Gothic" w:hAnsi="Century Gothic"/>
        </w:rPr>
        <w:t>Anexo C-1:</w:t>
      </w:r>
      <w:bookmarkEnd w:id="2522"/>
      <w:bookmarkEnd w:id="2523"/>
      <w:bookmarkEnd w:id="2524"/>
      <w:bookmarkEnd w:id="2525"/>
      <w:bookmarkEnd w:id="2526"/>
      <w:bookmarkEnd w:id="2527"/>
      <w:bookmarkEnd w:id="2528"/>
    </w:p>
    <w:p w:rsidR="00C66466" w:rsidRPr="00611019" w:rsidRDefault="00C66466" w:rsidP="00035D2C">
      <w:pPr>
        <w:pStyle w:val="IFTnormal"/>
        <w:spacing w:after="6pt"/>
        <w:rPr>
          <w:rFonts w:ascii="Century Gothic" w:hAnsi="Century Gothic"/>
        </w:rPr>
      </w:pPr>
    </w:p>
    <w:p w:rsidR="00C66466" w:rsidRPr="00611019" w:rsidRDefault="00E56462" w:rsidP="00035D2C">
      <w:pPr>
        <w:pStyle w:val="IFTnormal"/>
        <w:spacing w:after="6pt"/>
        <w:rPr>
          <w:rFonts w:ascii="Century Gothic" w:hAnsi="Century Gothic"/>
        </w:rPr>
      </w:pPr>
      <w:r>
        <w:rPr>
          <w:rFonts w:ascii="Century Gothic" w:hAnsi="Century Gothic"/>
        </w:rPr>
        <w:t xml:space="preserve">Por medio del presente Anexo C-1, el CS manifiesta si desea otorgar su consentimiento para la realización de las actividades que se mencionan a continuación para la atención de las fallas e incidencias en la prestación de los Servicios de </w:t>
      </w:r>
      <w:r w:rsidR="0003517A">
        <w:rPr>
          <w:rFonts w:ascii="Century Gothic" w:hAnsi="Century Gothic"/>
        </w:rPr>
        <w:t xml:space="preserve">Desagregación </w:t>
      </w:r>
      <w:r>
        <w:rPr>
          <w:rFonts w:ascii="Century Gothic" w:hAnsi="Century Gothic"/>
        </w:rPr>
        <w:t>que Red Nacional le proporciona, obligándose a pagar las contraprestaciones correspondientes en términos de lo establecido en la presente Oferta y el Anexo de Tarifas, por lo que el presente Anexo C-1 forma parte integrante de la OREDA:</w:t>
      </w:r>
    </w:p>
    <w:p w:rsidR="00C66466" w:rsidRPr="00611019" w:rsidRDefault="00C66466" w:rsidP="00035D2C">
      <w:pPr>
        <w:pStyle w:val="IFTnormal"/>
        <w:spacing w:after="6pt"/>
        <w:rPr>
          <w:rFonts w:ascii="Century Gothic" w:hAnsi="Century Gothic"/>
        </w:rPr>
      </w:pPr>
    </w:p>
    <w:p w:rsidR="00C66466" w:rsidRPr="00611019" w:rsidRDefault="00E56462" w:rsidP="00035D2C">
      <w:pPr>
        <w:pStyle w:val="IFTnormal"/>
        <w:spacing w:after="6pt"/>
        <w:rPr>
          <w:rFonts w:ascii="Century Gothic" w:hAnsi="Century Gothic"/>
        </w:rPr>
      </w:pPr>
      <w:r>
        <w:rPr>
          <w:rFonts w:ascii="Century Gothic" w:hAnsi="Century Gothic"/>
          <w:b/>
          <w:noProof/>
          <w:color w:val="auto"/>
          <w:lang w:val="es-MX" w:eastAsia="es-MX"/>
        </w:rPr>
        <w:drawing>
          <wp:anchor distT="45720" distB="45720" distL="114300" distR="114300" simplePos="0" relativeHeight="251659264" behindDoc="0" locked="0" layoutInCell="1" allowOverlap="1" wp14:anchorId="62BB399F" wp14:editId="439E6560">
            <wp:simplePos x="0" y="0"/>
            <wp:positionH relativeFrom="column">
              <wp:posOffset>3778250</wp:posOffset>
            </wp:positionH>
            <wp:positionV relativeFrom="paragraph">
              <wp:posOffset>25400</wp:posOffset>
            </wp:positionV>
            <wp:extent cx="1887220" cy="4572000"/>
            <wp:effectExtent l="0" t="0" r="0" b="0"/>
            <wp:wrapSquare wrapText="bothSides"/>
            <wp:docPr id="217" name="Cuadro de texto 2"/>
            <wp:cNvGraphicFramePr>
              <a:graphicFrameLocks xmlns:a="http://purl.oclc.org/ooxml/drawingml/main"/>
            </wp:cNvGraphicFramePr>
            <a:graphic xmlns:a="http://purl.oclc.org/ooxml/drawingml/main">
              <a:graphicData uri="http://schemas.microsoft.com/office/word/2010/wordprocessingShape">
                <wp:wsp>
                  <wp:cNvSpPr txBox="1">
                    <a:spLocks noChangeArrowheads="1"/>
                  </wp:cNvSpPr>
                  <wp:spPr bwMode="auto">
                    <a:xfrm>
                      <a:off x="0" y="0"/>
                      <a:ext cx="1887220" cy="4572000"/>
                    </a:xfrm>
                    <a:prstGeom prst="rect">
                      <a:avLst/>
                    </a:prstGeom>
                    <a:solidFill>
                      <a:srgbClr val="FFFFFF"/>
                    </a:solidFill>
                    <a:ln w="9525">
                      <a:noFill/>
                      <a:miter lim="800%"/>
                      <a:headEnd/>
                      <a:tailEnd/>
                    </a:ln>
                  </wp:spPr>
                  <wp:txbx>
                    <wne:txbxContent>
                      <w:p w:rsidR="000511F0" w:rsidRDefault="000511F0" w:rsidP="00C66466">
                        <w:pPr>
                          <w:jc w:val="center"/>
                        </w:pPr>
                      </w:p>
                      <w:p w:rsidR="000511F0" w:rsidRDefault="000511F0" w:rsidP="00C66466">
                        <w:pPr>
                          <w:jc w:val="center"/>
                        </w:pPr>
                      </w:p>
                      <w:p w:rsidR="000511F0" w:rsidRDefault="000511F0" w:rsidP="00C66466">
                        <w:pPr>
                          <w:jc w:val="center"/>
                        </w:pPr>
                      </w:p>
                      <w:p w:rsidR="000511F0" w:rsidRDefault="000511F0" w:rsidP="00C66466">
                        <w:pPr>
                          <w:jc w:val="center"/>
                        </w:pPr>
                      </w:p>
                      <w:p w:rsidR="000511F0" w:rsidRDefault="000511F0" w:rsidP="00C66466">
                        <w:pPr>
                          <w:jc w:val="center"/>
                        </w:pPr>
                      </w:p>
                      <w:p w:rsidR="000511F0" w:rsidRDefault="000511F0" w:rsidP="00C66466">
                        <w:pPr>
                          <w:jc w:val="center"/>
                        </w:pPr>
                      </w:p>
                      <w:p w:rsidR="000511F0" w:rsidRDefault="000511F0" w:rsidP="00C66466"/>
                      <w:p w:rsidR="000511F0" w:rsidRDefault="000511F0" w:rsidP="00C66466">
                        <w:pPr>
                          <w:jc w:val="center"/>
                        </w:pPr>
                      </w:p>
                      <w:p w:rsidR="000511F0" w:rsidRDefault="000511F0" w:rsidP="00C66466">
                        <w:pPr>
                          <w:jc w:val="center"/>
                        </w:pPr>
                      </w:p>
                      <w:p w:rsidR="000511F0" w:rsidRDefault="000511F0" w:rsidP="00C66466">
                        <w:pPr>
                          <w:jc w:val="center"/>
                        </w:pPr>
                      </w:p>
                      <w:p w:rsidR="000511F0" w:rsidRPr="00BF781A" w:rsidRDefault="000511F0" w:rsidP="00C66466">
                        <w:pPr>
                          <w:jc w:val="center"/>
                          <w:rPr>
                            <w:rFonts w:ascii="Century Gothic" w:hAnsi="Century Gothic"/>
                          </w:rPr>
                        </w:pPr>
                        <w:r>
                          <w:rPr>
                            <w:rFonts w:ascii="Century Gothic" w:hAnsi="Century Gothic"/>
                          </w:rPr>
                          <w:t>Si (       )      No (       )</w:t>
                        </w:r>
                      </w:p>
                    </wne:txbxContent>
                  </wp:txbx>
                  <wp:bodyPr rot="0" vert="horz" wrap="square" lIns="91440" tIns="45720" rIns="91440" bIns="45720" anchor="t" anchorCtr="0"/>
                </wp:wsp>
              </a:graphicData>
            </a:graphic>
            <wp14:sizeRelH relativeFrom="margin">
              <wp14:pctWidth>0%</wp14:pctWidth>
            </wp14:sizeRelH>
            <wp14:sizeRelV relativeFrom="margin">
              <wp14:pctHeight>0%</wp14:pctHeight>
            </wp14:sizeRelV>
          </wp:anchor>
        </w:drawing>
      </w:r>
      <w:r>
        <w:rPr>
          <w:rFonts w:ascii="Century Gothic" w:hAnsi="Century Gothic"/>
          <w:b/>
          <w:color w:val="auto"/>
        </w:rPr>
        <w:t>Migración del servicio a una mejor tecnología</w:t>
      </w:r>
      <w:r>
        <w:rPr>
          <w:rFonts w:ascii="Century Gothic" w:hAnsi="Century Gothic"/>
          <w:color w:val="auto"/>
        </w:rPr>
        <w:t>. En caso de que el servicio esté en condición de ser migrado a una mejor tecnología, RED NACIONAL efectuará en ese mismo acto dicha migración, aplicando la contraprestación correspondiente al Servicio Opcional de Cambio de Tecnología, por lo que el CS deberá considerar el ajuste que se realizará a su facturación recurrente</w:t>
      </w:r>
      <w:r>
        <w:rPr>
          <w:rFonts w:ascii="Century Gothic" w:hAnsi="Century Gothic"/>
        </w:rPr>
        <w:t>.</w:t>
      </w:r>
    </w:p>
    <w:p w:rsidR="00C66466" w:rsidRPr="00611019" w:rsidRDefault="00E56462" w:rsidP="00035D2C">
      <w:pPr>
        <w:pStyle w:val="IFTnormal"/>
        <w:spacing w:after="6pt"/>
        <w:rPr>
          <w:rFonts w:ascii="Century Gothic" w:hAnsi="Century Gothic"/>
        </w:rPr>
      </w:pPr>
      <w:r>
        <w:rPr>
          <w:rFonts w:ascii="Century Gothic" w:hAnsi="Century Gothic"/>
          <w:b/>
          <w:color w:val="auto"/>
        </w:rPr>
        <w:t>Cambio de cableado interior</w:t>
      </w:r>
      <w:r>
        <w:rPr>
          <w:rFonts w:ascii="Century Gothic" w:hAnsi="Century Gothic"/>
          <w:color w:val="auto"/>
        </w:rPr>
        <w:t>. En caso de que sea necesario el cambio de cableado interior para la reparación de un servicio, RED NACIONAL podrá efectuar la sustitución en ese mismo acto. En este caso cuando el cableado interior ya no se encuentre dentro del periodo de garantía o cuando la falla en el cableado sea responsabilidad del Usuario Final o del CS, RED NACIONAL cobrará la contraprestación correspondiente a dicho CS</w:t>
      </w:r>
      <w:r>
        <w:rPr>
          <w:rFonts w:ascii="Century Gothic" w:hAnsi="Century Gothic"/>
        </w:rPr>
        <w:t>.</w:t>
      </w:r>
    </w:p>
    <w:p w:rsidR="00C66466" w:rsidRPr="00611019" w:rsidRDefault="00E56462" w:rsidP="00035D2C">
      <w:pPr>
        <w:pStyle w:val="IFTnormal"/>
        <w:spacing w:after="6pt"/>
        <w:rPr>
          <w:rFonts w:ascii="Century Gothic" w:hAnsi="Century Gothic"/>
        </w:rPr>
      </w:pPr>
      <w:r>
        <w:rPr>
          <w:rFonts w:ascii="Century Gothic" w:hAnsi="Century Gothic"/>
          <w:b/>
          <w:color w:val="auto"/>
        </w:rPr>
        <w:t>Cambio del SAIB contratado</w:t>
      </w:r>
      <w:r>
        <w:rPr>
          <w:rFonts w:ascii="Century Gothic" w:hAnsi="Century Gothic"/>
          <w:color w:val="auto"/>
        </w:rPr>
        <w:t>. Si se detecta un daño en el puerto que imposibilite mantener el producto SAIB originalmente contratado, RED NACIONAL actualizará el producto al que es técnicamente factible (y más cercano al originalmente contratado) pero en el nuevo puerto asignado</w:t>
      </w:r>
      <w:r>
        <w:rPr>
          <w:rFonts w:ascii="Century Gothic" w:hAnsi="Century Gothic"/>
        </w:rPr>
        <w:t>.</w:t>
      </w:r>
    </w:p>
    <w:p w:rsidR="00C66466" w:rsidRPr="00611019" w:rsidRDefault="00C66466" w:rsidP="00035D2C">
      <w:pPr>
        <w:pStyle w:val="IFTnormal"/>
        <w:spacing w:after="6pt"/>
        <w:rPr>
          <w:rFonts w:ascii="Century Gothic" w:hAnsi="Century Gothic"/>
        </w:rPr>
      </w:pPr>
    </w:p>
    <w:p w:rsidR="00C66466" w:rsidRPr="00611019" w:rsidRDefault="00C66466" w:rsidP="00035D2C">
      <w:pPr>
        <w:pStyle w:val="Texto1"/>
        <w:spacing w:after="10pt" w:line="13.80pt" w:lineRule="auto"/>
        <w:rPr>
          <w:rFonts w:ascii="Century Gothic" w:hAnsi="Century Gothic"/>
          <w:b/>
        </w:rPr>
      </w:pPr>
    </w:p>
    <w:p w:rsidR="00C66466" w:rsidRPr="00611019" w:rsidRDefault="00C66466" w:rsidP="00035D2C">
      <w:pPr>
        <w:jc w:val="both"/>
        <w:rPr>
          <w:rFonts w:ascii="Century Gothic" w:hAnsi="Century Gothic" w:cs="Arial"/>
          <w:color w:val="000000"/>
          <w:lang w:val="es-ES_tradnl"/>
        </w:rPr>
      </w:pPr>
    </w:p>
    <w:p w:rsidR="00F2481E" w:rsidRPr="00611019" w:rsidRDefault="00F2481E" w:rsidP="00035D2C">
      <w:pPr>
        <w:pStyle w:val="IFTnormal"/>
        <w:ind w:start="36pt" w:hanging="18pt"/>
        <w:rPr>
          <w:rFonts w:ascii="Century Gothic" w:hAnsi="Century Gothic"/>
        </w:rPr>
        <w:sectPr w:rsidR="00F2481E" w:rsidRPr="00611019" w:rsidSect="00487B9D">
          <w:pgSz w:w="612pt" w:h="792pt"/>
          <w:pgMar w:top="70.90pt" w:right="70.90pt" w:bottom="70.90pt" w:left="70.90pt" w:header="42.55pt" w:footer="36.85pt" w:gutter="0pt"/>
          <w:cols w:space="35.40pt"/>
          <w:titlePg/>
          <w:docGrid w:linePitch="360"/>
        </w:sectPr>
      </w:pPr>
    </w:p>
    <w:p w:rsidR="00A903A4" w:rsidRPr="00611019" w:rsidRDefault="00A903A4" w:rsidP="00035D2C">
      <w:pPr>
        <w:pStyle w:val="IFTnormal"/>
        <w:ind w:start="36pt" w:hanging="18pt"/>
        <w:rPr>
          <w:rFonts w:ascii="Century Gothic" w:hAnsi="Century Gothic"/>
        </w:rPr>
      </w:pPr>
    </w:p>
    <w:p w:rsidR="00A903A4" w:rsidRPr="00611019" w:rsidRDefault="00E56462" w:rsidP="00035D2C">
      <w:pPr>
        <w:pStyle w:val="Texto1"/>
        <w:spacing w:after="10pt" w:line="13.80pt" w:lineRule="auto"/>
        <w:rPr>
          <w:rFonts w:ascii="Century Gothic" w:hAnsi="Century Gothic" w:cs="Arial"/>
          <w:b/>
        </w:rPr>
      </w:pPr>
      <w:r>
        <w:rPr>
          <w:rFonts w:ascii="Century Gothic" w:hAnsi="Century Gothic" w:cs="Arial"/>
          <w:noProof/>
          <w:lang w:val="es-MX" w:eastAsia="es-MX"/>
        </w:rPr>
        <w:drawing>
          <wp:inline distT="0" distB="0" distL="0" distR="0" wp14:anchorId="2EA3DAD5" wp14:editId="5F0EF7BE">
            <wp:extent cx="5678303" cy="7528387"/>
            <wp:effectExtent l="38100" t="38100" r="36830" b="34925"/>
            <wp:docPr id="15" name="Rectángulo: esquinas redondeadas 9"/>
            <wp:cNvGraphicFramePr/>
            <a:graphic xmlns:a="http://purl.oclc.org/ooxml/drawingml/main">
              <a:graphicData uri="http://schemas.microsoft.com/office/word/2010/wordprocessingShape">
                <wp:wsp>
                  <wp:cNvSpPr/>
                  <wp:spPr>
                    <a:xfrm>
                      <a:off x="0" y="0"/>
                      <a:ext cx="5678303" cy="7528387"/>
                    </a:xfrm>
                    <a:prstGeom prst="roundRect">
                      <a:avLst>
                        <a:gd name="adj" fmla="val 6030"/>
                      </a:avLst>
                    </a:prstGeom>
                    <a:noFill/>
                    <a:ln w="76200">
                      <a:solidFill>
                        <a:srgbClr val="009AD9"/>
                      </a:solidFill>
                      <a:prstDash val="solid"/>
                      <a:miter lim="800%"/>
                    </a:ln>
                    <a:effectLst/>
                  </wp:spPr>
                  <wp:txbx>
                    <wne:txbxContent>
                      <w:p w:rsidR="000511F0" w:rsidRDefault="000511F0" w:rsidP="00A903A4">
                        <w:pPr>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601A7FDB" wp14:editId="73A7F090">
                              <wp:extent cx="2552700" cy="1438275"/>
                              <wp:effectExtent l="0" t="0" r="0" b="9525"/>
                              <wp:docPr id="23" name="Imagen 23"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603"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rsidR="000511F0" w:rsidRDefault="000511F0" w:rsidP="00A903A4">
                        <w:pPr>
                          <w:jc w:val="center"/>
                          <w:rPr>
                            <w:rFonts w:ascii="Century Gothic" w:hAnsi="Century Gothic" w:cs="Arial"/>
                            <w:b/>
                            <w:noProof/>
                            <w:color w:val="000000"/>
                            <w:sz w:val="26"/>
                            <w:szCs w:val="26"/>
                            <w:lang w:eastAsia="es-MX"/>
                          </w:rPr>
                        </w:pPr>
                      </w:p>
                      <w:p w:rsidR="000511F0" w:rsidRDefault="000511F0" w:rsidP="00A903A4">
                        <w:pPr>
                          <w:jc w:val="center"/>
                        </w:pPr>
                      </w:p>
                      <w:p w:rsidR="000511F0" w:rsidRDefault="000511F0" w:rsidP="00A903A4">
                        <w:pPr>
                          <w:pStyle w:val="Ttulo1"/>
                          <w:jc w:val="center"/>
                          <w:rPr>
                            <w:rFonts w:ascii="Century Gothic" w:hAnsi="Century Gothic"/>
                            <w:sz w:val="24"/>
                            <w:szCs w:val="24"/>
                            <w:u w:val="single"/>
                          </w:rPr>
                        </w:pPr>
                        <w:bookmarkStart w:id="2529" w:name="_Toc92974133"/>
                        <w:bookmarkStart w:id="2530" w:name="_Toc93052444"/>
                        <w:bookmarkStart w:id="2531" w:name="_Toc93056399"/>
                        <w:bookmarkStart w:id="2532" w:name="_Toc125393463"/>
                        <w:bookmarkStart w:id="2533" w:name="_Toc148702319"/>
                        <w:bookmarkStart w:id="2534" w:name="_Toc170381934"/>
                        <w:r>
                          <w:rPr>
                            <w:rFonts w:ascii="Century Gothic" w:hAnsi="Century Gothic"/>
                            <w:sz w:val="24"/>
                            <w:szCs w:val="24"/>
                            <w:u w:val="single"/>
                          </w:rPr>
                          <w:t>ANEXO D</w:t>
                        </w:r>
                        <w:bookmarkEnd w:id="2529"/>
                        <w:bookmarkEnd w:id="2530"/>
                        <w:bookmarkEnd w:id="2531"/>
                        <w:bookmarkEnd w:id="2532"/>
                        <w:bookmarkEnd w:id="2533"/>
                        <w:bookmarkEnd w:id="2534"/>
                      </w:p>
                      <w:p w:rsidR="000511F0" w:rsidRDefault="000511F0" w:rsidP="00A903A4">
                        <w:pPr>
                          <w:pStyle w:val="Ttulo1"/>
                          <w:spacing w:line="12pt" w:lineRule="auto"/>
                          <w:jc w:val="center"/>
                          <w:rPr>
                            <w:rFonts w:ascii="Century Gothic" w:hAnsi="Century Gothic"/>
                            <w:color w:val="auto"/>
                            <w:sz w:val="26"/>
                            <w:szCs w:val="26"/>
                          </w:rPr>
                        </w:pPr>
                        <w:bookmarkStart w:id="2535" w:name="_Hlk92967273"/>
                      </w:p>
                      <w:p w:rsidR="000511F0" w:rsidRDefault="000511F0" w:rsidP="00A903A4">
                        <w:pPr>
                          <w:pStyle w:val="Ttulo1"/>
                          <w:spacing w:line="12pt" w:lineRule="auto"/>
                          <w:jc w:val="center"/>
                          <w:rPr>
                            <w:rFonts w:ascii="Century Gothic" w:hAnsi="Century Gothic"/>
                            <w:color w:val="auto"/>
                            <w:sz w:val="26"/>
                            <w:szCs w:val="26"/>
                          </w:rPr>
                        </w:pPr>
                      </w:p>
                      <w:p w:rsidR="000511F0" w:rsidRPr="008A6791" w:rsidRDefault="000511F0" w:rsidP="00A903A4">
                        <w:pPr>
                          <w:pStyle w:val="Ttulo1"/>
                          <w:spacing w:line="12pt" w:lineRule="auto"/>
                          <w:jc w:val="center"/>
                          <w:rPr>
                            <w:rFonts w:ascii="Century Gothic" w:hAnsi="Century Gothic"/>
                            <w:b w:val="0"/>
                            <w:color w:val="auto"/>
                            <w:sz w:val="26"/>
                            <w:szCs w:val="26"/>
                          </w:rPr>
                        </w:pPr>
                        <w:bookmarkStart w:id="2536" w:name="_Toc92974134"/>
                        <w:bookmarkStart w:id="2537" w:name="_Toc93052445"/>
                        <w:bookmarkStart w:id="2538" w:name="_Toc93056400"/>
                        <w:bookmarkStart w:id="2539" w:name="_Toc125393464"/>
                        <w:bookmarkStart w:id="2540" w:name="_Toc148702320"/>
                        <w:bookmarkStart w:id="2541" w:name="_Toc170381935"/>
                        <w:r>
                          <w:rPr>
                            <w:rFonts w:ascii="Century Gothic" w:hAnsi="Century Gothic"/>
                            <w:color w:val="auto"/>
                            <w:sz w:val="26"/>
                            <w:szCs w:val="26"/>
                          </w:rPr>
                          <w:t>Plan de gestión del espectro de frecuencias de desagregación</w:t>
                        </w:r>
                        <w:bookmarkEnd w:id="2536"/>
                        <w:bookmarkEnd w:id="2537"/>
                        <w:bookmarkEnd w:id="2538"/>
                        <w:bookmarkEnd w:id="2539"/>
                        <w:bookmarkEnd w:id="2540"/>
                        <w:bookmarkEnd w:id="2541"/>
                      </w:p>
                      <w:bookmarkEnd w:id="2535"/>
                      <w:p w:rsidR="000511F0" w:rsidRPr="006B0514" w:rsidRDefault="000511F0" w:rsidP="00A903A4">
                        <w:pPr>
                          <w:rPr>
                            <w:lang w:val="es-ES" w:eastAsia="es-ES"/>
                          </w:rPr>
                        </w:pPr>
                      </w:p>
                      <w:p w:rsidR="000511F0" w:rsidRPr="006B0514" w:rsidRDefault="000511F0" w:rsidP="00414BEA">
                        <w:pPr>
                          <w:rPr>
                            <w:lang w:val="es-ES" w:eastAsia="es-ES"/>
                          </w:rPr>
                        </w:pPr>
                      </w:p>
                      <w:p w:rsidR="000511F0" w:rsidRPr="008A6791" w:rsidRDefault="000511F0" w:rsidP="00414BEA">
                        <w:pPr>
                          <w:jc w:val="center"/>
                          <w:rPr>
                            <w:rFonts w:ascii="Century Gothic" w:hAnsi="Century Gothic"/>
                            <w:b/>
                            <w:sz w:val="24"/>
                            <w:szCs w:val="24"/>
                          </w:rPr>
                        </w:pPr>
                        <w:r>
                          <w:rPr>
                            <w:rFonts w:ascii="Century Gothic" w:hAnsi="Century Gothic"/>
                            <w:b/>
                            <w:sz w:val="24"/>
                            <w:szCs w:val="24"/>
                          </w:rPr>
                          <w:t>Red Nacional Última Milla, S.A.P.I. de C.V.</w:t>
                        </w:r>
                      </w:p>
                      <w:p w:rsidR="000511F0" w:rsidRPr="00414BEA" w:rsidRDefault="000511F0" w:rsidP="00414BEA">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Pr="008A6791" w:rsidRDefault="000511F0" w:rsidP="00414BEA">
                        <w:pPr>
                          <w:jc w:val="center"/>
                          <w:rPr>
                            <w:rFonts w:ascii="Century Gothic" w:hAnsi="Century Gothic"/>
                            <w:b/>
                            <w:bCs/>
                            <w:sz w:val="24"/>
                            <w:szCs w:val="24"/>
                          </w:rPr>
                        </w:pPr>
                      </w:p>
                      <w:p w:rsidR="000511F0" w:rsidRPr="008A6791" w:rsidRDefault="000511F0" w:rsidP="00414BEA">
                        <w:pPr>
                          <w:jc w:val="center"/>
                          <w:rPr>
                            <w:rFonts w:ascii="Century Gothic" w:hAnsi="Century Gothic"/>
                            <w:b/>
                            <w:sz w:val="24"/>
                            <w:szCs w:val="24"/>
                          </w:rPr>
                        </w:pPr>
                        <w:r>
                          <w:rPr>
                            <w:rFonts w:ascii="Century Gothic" w:hAnsi="Century Gothic"/>
                            <w:b/>
                            <w:sz w:val="24"/>
                            <w:szCs w:val="24"/>
                          </w:rPr>
                          <w:t>2026</w:t>
                        </w: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Pr="002258A2" w:rsidRDefault="000511F0" w:rsidP="00414BEA">
                        <w:pPr>
                          <w:spacing w:line="18pt" w:lineRule="auto"/>
                          <w:jc w:val="center"/>
                          <w:rPr>
                            <w:rFonts w:ascii="Century Gothic" w:hAnsi="Century Gothic" w:cs="Arial"/>
                            <w:b/>
                            <w:sz w:val="24"/>
                            <w:szCs w:val="24"/>
                            <w:lang w:val="es-ES"/>
                          </w:rPr>
                        </w:pPr>
                      </w:p>
                      <w:p w:rsidR="000511F0" w:rsidRPr="002258A2" w:rsidRDefault="000511F0" w:rsidP="00A903A4">
                        <w:pPr>
                          <w:spacing w:line="18pt" w:lineRule="auto"/>
                          <w:jc w:val="center"/>
                          <w:rPr>
                            <w:rFonts w:ascii="Century Gothic" w:hAnsi="Century Gothic" w:cs="Arial"/>
                            <w:b/>
                            <w:sz w:val="24"/>
                            <w:szCs w:val="24"/>
                            <w:lang w:val="es-ES"/>
                          </w:rPr>
                        </w:pPr>
                      </w:p>
                    </wne:txbxContent>
                  </wp:txbx>
                  <wp:bodyPr rot="0" spcFirstLastPara="0" vertOverflow="overflow" horzOverflow="overflow" vert="horz" wrap="square" lIns="91440" tIns="45720" rIns="91440" bIns="45720" numCol="1" spcCol="0" rtlCol="0" fromWordArt="0" anchor="ctr" anchorCtr="0" forceAA="0" compatLnSpc="1">
                    <a:prstTxWarp prst="textNoShape">
                      <a:avLst/>
                    </a:prstTxWarp>
                  </wp:bodyPr>
                </wp:wsp>
              </a:graphicData>
            </a:graphic>
          </wp:inline>
        </w:drawing>
      </w:r>
    </w:p>
    <w:p w:rsidR="00A903A4" w:rsidRPr="00611019" w:rsidRDefault="00A903A4" w:rsidP="00035D2C">
      <w:pPr>
        <w:spacing w:after="8pt"/>
        <w:rPr>
          <w:rFonts w:ascii="Century Gothic" w:eastAsia="Calibri" w:hAnsi="Century Gothic" w:cs="Arial"/>
          <w:color w:val="000000"/>
          <w:lang w:val="es-ES_tradnl" w:eastAsia="es-ES"/>
        </w:rPr>
      </w:pPr>
    </w:p>
    <w:p w:rsidR="00643E58" w:rsidRPr="00611019" w:rsidRDefault="00643E58" w:rsidP="00035D2C">
      <w:pPr>
        <w:spacing w:after="8pt"/>
        <w:rPr>
          <w:rFonts w:ascii="Century Gothic" w:eastAsia="Calibri" w:hAnsi="Century Gothic" w:cs="Arial"/>
          <w:color w:val="000000"/>
          <w:lang w:val="es-ES_tradnl" w:eastAsia="es-ES"/>
        </w:rPr>
        <w:sectPr w:rsidR="00643E58" w:rsidRPr="00611019" w:rsidSect="0041396D">
          <w:footnotePr>
            <w:numRestart w:val="eachSect"/>
          </w:footnotePr>
          <w:type w:val="oddPage"/>
          <w:pgSz w:w="612pt" w:h="792pt"/>
          <w:pgMar w:top="70.90pt" w:right="70.90pt" w:bottom="70.90pt" w:left="70.90pt" w:header="42.55pt" w:footer="36.85pt" w:gutter="0pt"/>
          <w:cols w:space="35.40pt"/>
          <w:titlePg/>
          <w:docGrid w:linePitch="360"/>
        </w:sectPr>
      </w:pPr>
    </w:p>
    <w:p w:rsidR="00A903A4" w:rsidRPr="00611019" w:rsidRDefault="00A903A4" w:rsidP="00035D2C">
      <w:pPr>
        <w:spacing w:after="8pt"/>
        <w:rPr>
          <w:rFonts w:ascii="Century Gothic" w:eastAsia="Calibri" w:hAnsi="Century Gothic" w:cs="Arial"/>
          <w:color w:val="000000"/>
          <w:lang w:val="es-ES_tradnl" w:eastAsia="es-ES"/>
        </w:rPr>
        <w:sectPr w:rsidR="00A903A4" w:rsidRPr="00611019" w:rsidSect="0041396D">
          <w:footnotePr>
            <w:numRestart w:val="eachSect"/>
          </w:footnotePr>
          <w:type w:val="oddPage"/>
          <w:pgSz w:w="612pt" w:h="792pt"/>
          <w:pgMar w:top="70.90pt" w:right="70.90pt" w:bottom="70.90pt" w:left="70.90pt" w:header="42.55pt" w:footer="36.85pt" w:gutter="0pt"/>
          <w:cols w:space="35.40pt"/>
          <w:titlePg/>
          <w:docGrid w:linePitch="360"/>
        </w:sectPr>
      </w:pPr>
    </w:p>
    <w:p w:rsidR="00123BE7" w:rsidRPr="00611019" w:rsidRDefault="00E56462" w:rsidP="00035D2C">
      <w:pPr>
        <w:pStyle w:val="Ttulo1"/>
        <w:jc w:val="center"/>
        <w:rPr>
          <w:rFonts w:ascii="Century Gothic" w:hAnsi="Century Gothic"/>
        </w:rPr>
      </w:pPr>
      <w:bookmarkStart w:id="2542" w:name="_Toc92974135"/>
      <w:bookmarkStart w:id="2543" w:name="_Toc93052446"/>
      <w:bookmarkStart w:id="2544" w:name="_Toc93056401"/>
      <w:bookmarkStart w:id="2545" w:name="_Toc125393465"/>
      <w:bookmarkStart w:id="2546" w:name="_Toc148702321"/>
      <w:bookmarkStart w:id="2547" w:name="_Toc170381936"/>
      <w:bookmarkStart w:id="2548" w:name="_Toc276455864"/>
      <w:bookmarkStart w:id="2549" w:name="_Toc351476562"/>
      <w:bookmarkStart w:id="2550" w:name="_Toc357619712"/>
      <w:bookmarkStart w:id="2551" w:name="_Toc372127304"/>
      <w:bookmarkStart w:id="2552" w:name="_Toc373424122"/>
      <w:bookmarkStart w:id="2553" w:name="_Toc381605359"/>
      <w:bookmarkEnd w:id="2521"/>
      <w:r>
        <w:rPr>
          <w:rFonts w:ascii="Century Gothic" w:hAnsi="Century Gothic"/>
        </w:rPr>
        <w:lastRenderedPageBreak/>
        <w:t>ANEXO D</w:t>
      </w:r>
      <w:bookmarkEnd w:id="2542"/>
      <w:bookmarkEnd w:id="2543"/>
      <w:bookmarkEnd w:id="2544"/>
      <w:bookmarkEnd w:id="2545"/>
      <w:bookmarkEnd w:id="2546"/>
      <w:bookmarkEnd w:id="2547"/>
    </w:p>
    <w:p w:rsidR="00123BE7" w:rsidRPr="00611019" w:rsidRDefault="00E56462" w:rsidP="00035D2C">
      <w:pPr>
        <w:pStyle w:val="Ttulo1"/>
        <w:ind w:start="17.85pt"/>
        <w:jc w:val="center"/>
        <w:rPr>
          <w:rFonts w:ascii="Century Gothic" w:hAnsi="Century Gothic"/>
        </w:rPr>
      </w:pPr>
      <w:bookmarkStart w:id="2554" w:name="_Toc92974136"/>
      <w:bookmarkStart w:id="2555" w:name="_Toc93052447"/>
      <w:bookmarkStart w:id="2556" w:name="_Toc93056402"/>
      <w:bookmarkStart w:id="2557" w:name="_Toc125393466"/>
      <w:bookmarkStart w:id="2558" w:name="_Toc148702322"/>
      <w:bookmarkStart w:id="2559" w:name="_Toc170381937"/>
      <w:r>
        <w:rPr>
          <w:rFonts w:ascii="Century Gothic" w:hAnsi="Century Gothic"/>
        </w:rPr>
        <w:t>PLAN DE GESTIÓN DEL ESPECTRO DE FRECUENCIAS DE DESAGREGACIÓN</w:t>
      </w:r>
      <w:bookmarkEnd w:id="2554"/>
      <w:bookmarkEnd w:id="2555"/>
      <w:bookmarkEnd w:id="2556"/>
      <w:bookmarkEnd w:id="2557"/>
      <w:bookmarkEnd w:id="2558"/>
      <w:bookmarkEnd w:id="2559"/>
    </w:p>
    <w:p w:rsidR="006A4EFB" w:rsidRPr="00611019" w:rsidRDefault="00E56462" w:rsidP="00035D2C">
      <w:pPr>
        <w:pStyle w:val="0Tit1"/>
        <w:spacing w:after="0pt" w:line="13.80pt" w:lineRule="auto"/>
      </w:pPr>
      <w:bookmarkStart w:id="2560" w:name="_Toc92974137"/>
      <w:bookmarkStart w:id="2561" w:name="_Toc93052448"/>
      <w:bookmarkStart w:id="2562" w:name="_Toc93056403"/>
      <w:bookmarkStart w:id="2563" w:name="_Toc125393467"/>
      <w:bookmarkStart w:id="2564" w:name="_Toc148702323"/>
      <w:bookmarkStart w:id="2565" w:name="_Toc170381938"/>
      <w:r>
        <w:t>1.</w:t>
      </w:r>
      <w:r>
        <w:tab/>
        <w:t>Objetivo</w:t>
      </w:r>
      <w:bookmarkEnd w:id="2548"/>
      <w:bookmarkEnd w:id="2549"/>
      <w:bookmarkEnd w:id="2550"/>
      <w:bookmarkEnd w:id="2551"/>
      <w:bookmarkEnd w:id="2552"/>
      <w:bookmarkEnd w:id="2553"/>
      <w:r>
        <w:t>.</w:t>
      </w:r>
      <w:bookmarkEnd w:id="2560"/>
      <w:bookmarkEnd w:id="2561"/>
      <w:bookmarkEnd w:id="2562"/>
      <w:bookmarkEnd w:id="2563"/>
      <w:bookmarkEnd w:id="2564"/>
      <w:bookmarkEnd w:id="2565"/>
    </w:p>
    <w:p w:rsidR="00655060" w:rsidRPr="00611019" w:rsidRDefault="00E56462" w:rsidP="00035D2C">
      <w:pPr>
        <w:pStyle w:val="IFTnormal"/>
        <w:spacing w:after="6pt"/>
        <w:rPr>
          <w:rFonts w:ascii="Century Gothic" w:hAnsi="Century Gothic"/>
        </w:rPr>
      </w:pPr>
      <w:r>
        <w:rPr>
          <w:rFonts w:ascii="Century Gothic" w:hAnsi="Century Gothic"/>
        </w:rPr>
        <w:t>Establecer el conjunto de procedimientos, reglas y tecnologías aplicables en la Red de Acceso de Cobre de RED NACIONAL a fin de mantener en niveles aceptables las posibles afectaciones por interferencias generadas por los diferentes sistemas de transmisión habilitados en los pares de cobre desagregados y proporcionar las mejores condiciones técnicas en los servicios de banda ancha a los Usuarios Finales para fomentar su penetración, incentivar la introducción de nuevas tecnologías que soporten anchos de banda mayores y/o generen menor diafonía, asegurar el uso eficiente de la capacidad de transmisión de los pares de cobre así como asegurar la integridad de la red.</w:t>
      </w:r>
    </w:p>
    <w:p w:rsidR="0003517A" w:rsidRPr="0003517A" w:rsidRDefault="00E56462" w:rsidP="0003517A">
      <w:pPr>
        <w:pStyle w:val="IFTnormal"/>
        <w:rPr>
          <w:rFonts w:ascii="Century Gothic" w:hAnsi="Century Gothic"/>
        </w:rPr>
      </w:pPr>
      <w:r>
        <w:rPr>
          <w:rFonts w:ascii="Century Gothic" w:hAnsi="Century Gothic"/>
        </w:rPr>
        <w:t xml:space="preserve">El plan de gestión del espectro se deberá implementar para </w:t>
      </w:r>
      <w:r w:rsidR="003E0E9D">
        <w:rPr>
          <w:rFonts w:ascii="Century Gothic" w:hAnsi="Century Gothic"/>
        </w:rPr>
        <w:t xml:space="preserve">el </w:t>
      </w:r>
      <w:r>
        <w:rPr>
          <w:rFonts w:ascii="Century Gothic" w:hAnsi="Century Gothic"/>
        </w:rPr>
        <w:t>Servicio de Desagregación Total del Bucle Local (SDTBL)</w:t>
      </w:r>
      <w:r w:rsidR="0003517A" w:rsidRPr="0003517A">
        <w:rPr>
          <w:rFonts w:ascii="Century Gothic" w:hAnsi="Century Gothic"/>
        </w:rPr>
        <w:t>.</w:t>
      </w:r>
    </w:p>
    <w:p w:rsidR="00294E2F" w:rsidRPr="00611019" w:rsidRDefault="00294E2F" w:rsidP="00035D2C">
      <w:pPr>
        <w:pStyle w:val="IFTnormal"/>
        <w:spacing w:after="6pt"/>
        <w:rPr>
          <w:rFonts w:ascii="Century Gothic" w:hAnsi="Century Gothic"/>
        </w:rPr>
      </w:pPr>
    </w:p>
    <w:p w:rsidR="006A4EFB" w:rsidRPr="00611019" w:rsidRDefault="00E56462" w:rsidP="00035D2C">
      <w:pPr>
        <w:pStyle w:val="0Tit1"/>
        <w:spacing w:after="0pt" w:line="13.80pt" w:lineRule="auto"/>
      </w:pPr>
      <w:bookmarkStart w:id="2566" w:name="_Toc92974138"/>
      <w:bookmarkStart w:id="2567" w:name="_Toc93052449"/>
      <w:bookmarkStart w:id="2568" w:name="_Toc93056404"/>
      <w:bookmarkStart w:id="2569" w:name="_Toc125393468"/>
      <w:bookmarkStart w:id="2570" w:name="_Toc148702324"/>
      <w:bookmarkStart w:id="2571" w:name="_Toc170381939"/>
      <w:r>
        <w:t>2.</w:t>
      </w:r>
      <w:r>
        <w:tab/>
        <w:t>Alcance.</w:t>
      </w:r>
      <w:bookmarkEnd w:id="2566"/>
      <w:bookmarkEnd w:id="2567"/>
      <w:bookmarkEnd w:id="2568"/>
      <w:bookmarkEnd w:id="2569"/>
      <w:bookmarkEnd w:id="2570"/>
      <w:bookmarkEnd w:id="2571"/>
    </w:p>
    <w:p w:rsidR="00C66466" w:rsidRPr="00611019" w:rsidRDefault="00E56462" w:rsidP="00035D2C">
      <w:pPr>
        <w:pStyle w:val="IFTnormal"/>
        <w:spacing w:after="6pt"/>
        <w:rPr>
          <w:rFonts w:ascii="Century Gothic" w:hAnsi="Century Gothic"/>
        </w:rPr>
      </w:pPr>
      <w:r>
        <w:rPr>
          <w:rFonts w:ascii="Century Gothic" w:hAnsi="Century Gothic"/>
        </w:rPr>
        <w:t xml:space="preserve">El presente Plan de gestión del espectro aplicará para cualquier CS que haga uso de la red de cobre sujeta a la desagregación. En este sentido, los </w:t>
      </w:r>
      <w:r w:rsidR="00296220">
        <w:rPr>
          <w:rFonts w:ascii="Century Gothic" w:hAnsi="Century Gothic"/>
        </w:rPr>
        <w:t>CS</w:t>
      </w:r>
      <w:r>
        <w:rPr>
          <w:rFonts w:ascii="Century Gothic" w:hAnsi="Century Gothic"/>
        </w:rPr>
        <w:t xml:space="preserve"> deberán aplicar todos los procedimientos incluidos en este documento para el control de interferencias que se presentan en un ambiente desagregado donde varios </w:t>
      </w:r>
      <w:r w:rsidR="00296220">
        <w:rPr>
          <w:rFonts w:ascii="Century Gothic" w:hAnsi="Century Gothic"/>
        </w:rPr>
        <w:t>CS</w:t>
      </w:r>
      <w:r>
        <w:rPr>
          <w:rFonts w:ascii="Century Gothic" w:hAnsi="Century Gothic"/>
        </w:rPr>
        <w:t xml:space="preserve"> utilizan distintos pares del mismo cable multipar empleando el espectro de frecuencias sobre los pares de cobre.</w:t>
      </w:r>
    </w:p>
    <w:p w:rsidR="00655060" w:rsidRPr="00611019" w:rsidRDefault="00E56462" w:rsidP="00035D2C">
      <w:pPr>
        <w:pStyle w:val="IFTnormal"/>
        <w:spacing w:after="6pt"/>
        <w:rPr>
          <w:rFonts w:ascii="Century Gothic" w:hAnsi="Century Gothic"/>
        </w:rPr>
      </w:pPr>
      <w:r>
        <w:rPr>
          <w:rFonts w:ascii="Century Gothic" w:hAnsi="Century Gothic"/>
        </w:rPr>
        <w:t>Las medidas aquí presentadas aplican a todo el conjunto de cables de pares de cobre que RED NACIONAL utiliza -incluyendo la red principal y secundaria de cables multipares y hasta el PCT- así como a aquellos cables de pares de cobre que RED NACIONAL desagrega a otros CS.</w:t>
      </w:r>
    </w:p>
    <w:p w:rsidR="00655060" w:rsidRPr="00611019" w:rsidRDefault="00E56462" w:rsidP="00035D2C">
      <w:pPr>
        <w:pStyle w:val="IFTnormal"/>
        <w:spacing w:after="6pt"/>
        <w:rPr>
          <w:rFonts w:ascii="Century Gothic" w:hAnsi="Century Gothic"/>
        </w:rPr>
      </w:pPr>
      <w:r>
        <w:rPr>
          <w:rFonts w:ascii="Century Gothic" w:hAnsi="Century Gothic"/>
        </w:rPr>
        <w:t xml:space="preserve">El documento establece las reglas que habrán de seguirse cuando los </w:t>
      </w:r>
      <w:r w:rsidR="00296220">
        <w:rPr>
          <w:rFonts w:ascii="Century Gothic" w:hAnsi="Century Gothic"/>
        </w:rPr>
        <w:t>CS</w:t>
      </w:r>
      <w:r>
        <w:rPr>
          <w:rFonts w:ascii="Century Gothic" w:hAnsi="Century Gothic"/>
        </w:rPr>
        <w:t xml:space="preserve"> acceden a los pares desagregados de la red </w:t>
      </w:r>
      <w:r w:rsidRPr="00296220">
        <w:rPr>
          <w:rFonts w:ascii="Century Gothic" w:hAnsi="Century Gothic"/>
        </w:rPr>
        <w:t xml:space="preserve">de pares de cobre de RED NACIONAL, a través </w:t>
      </w:r>
      <w:r w:rsidR="003E0E9D">
        <w:rPr>
          <w:rFonts w:ascii="Century Gothic" w:hAnsi="Century Gothic"/>
        </w:rPr>
        <w:t xml:space="preserve">del </w:t>
      </w:r>
      <w:r w:rsidRPr="00296220">
        <w:rPr>
          <w:rFonts w:ascii="Century Gothic" w:hAnsi="Century Gothic"/>
        </w:rPr>
        <w:t>Servicio de Desagregación Total del Bucle Local (SDTBL)</w:t>
      </w:r>
      <w:r w:rsidR="00296220">
        <w:rPr>
          <w:rFonts w:ascii="Century Gothic" w:hAnsi="Century Gothic"/>
        </w:rPr>
        <w:t>,</w:t>
      </w:r>
      <w:r w:rsidR="003E0E9D">
        <w:rPr>
          <w:rFonts w:ascii="Century Gothic" w:hAnsi="Century Gothic" w:cs="Times New Roman"/>
          <w:color w:val="auto"/>
          <w:lang w:val="es-MX" w:eastAsia="en-US"/>
        </w:rPr>
        <w:t xml:space="preserve"> </w:t>
      </w:r>
      <w:r w:rsidRPr="00296220">
        <w:rPr>
          <w:rFonts w:ascii="Century Gothic" w:hAnsi="Century Gothic"/>
        </w:rPr>
        <w:t>y que a manera de ejemplo se presentan en la</w:t>
      </w:r>
      <w:r w:rsidR="00296220">
        <w:rPr>
          <w:rFonts w:ascii="Century Gothic" w:hAnsi="Century Gothic"/>
        </w:rPr>
        <w:t>s</w:t>
      </w:r>
      <w:r w:rsidRPr="00296220">
        <w:rPr>
          <w:rFonts w:ascii="Century Gothic" w:hAnsi="Century Gothic"/>
        </w:rPr>
        <w:t xml:space="preserve"> figura</w:t>
      </w:r>
      <w:r w:rsidR="00296220">
        <w:rPr>
          <w:rFonts w:ascii="Century Gothic" w:hAnsi="Century Gothic"/>
        </w:rPr>
        <w:t>s</w:t>
      </w:r>
      <w:r w:rsidRPr="00296220">
        <w:rPr>
          <w:rFonts w:ascii="Century Gothic" w:hAnsi="Century Gothic"/>
        </w:rPr>
        <w:t xml:space="preserve"> 1</w:t>
      </w:r>
      <w:r w:rsidR="00296220">
        <w:rPr>
          <w:rFonts w:ascii="Century Gothic" w:hAnsi="Century Gothic"/>
        </w:rPr>
        <w:t xml:space="preserve"> y 2</w:t>
      </w:r>
      <w:r w:rsidRPr="00296220">
        <w:rPr>
          <w:rFonts w:ascii="Century Gothic" w:hAnsi="Century Gothic"/>
        </w:rPr>
        <w:t>, y pongan en funcionamiento tecnologías</w:t>
      </w:r>
      <w:r>
        <w:rPr>
          <w:rFonts w:ascii="Century Gothic" w:hAnsi="Century Gothic"/>
        </w:rPr>
        <w:t xml:space="preserve"> digitales o analógicas para la transferencia de información desde el modem del sitio del Usuario Final hasta el primer equipo de acceso del CS.</w:t>
      </w:r>
    </w:p>
    <w:p w:rsidR="0061711D" w:rsidRDefault="00E56462">
      <w:pPr>
        <w:pStyle w:val="IFTnormal1"/>
        <w:spacing w:after="6pt"/>
        <w:rPr>
          <w:rFonts w:ascii="Century Gothic" w:hAnsi="Century Gothic"/>
        </w:rPr>
      </w:pPr>
      <w:r>
        <w:rPr>
          <w:rFonts w:ascii="Century Gothic" w:hAnsi="Century Gothic"/>
        </w:rPr>
        <w:lastRenderedPageBreak/>
        <w:t xml:space="preserve">Para efectos de actualización de este PGE se establece un periodo de revisión anual (septiembre-noviembre), a fin de liberar los resultados en una versión del PGE en el mes de enero siguiente. Los criterios normativos, información mínima necesaria y demás términos y condiciones para evaluar la procedencia o rechazo de modificaciones al presente PGE requeridas ya sea por algún CS o RED NACIONAL serán sometidos a consideración de las partes involucradas a través del Comité Técnico. La aprobación de </w:t>
      </w:r>
      <w:r>
        <w:rPr>
          <w:rFonts w:ascii="Century Gothic" w:hAnsi="Century Gothic"/>
        </w:rPr>
        <w:lastRenderedPageBreak/>
        <w:t xml:space="preserve">la totalidad del PGE –incluyendo las modificaciones procedentes- la realizará el Pleno del Instituto mediante la autorización de la OREDA. </w:t>
      </w:r>
    </w:p>
    <w:p w:rsidR="00C21169" w:rsidRPr="00611019" w:rsidRDefault="00E56462" w:rsidP="00035D2C">
      <w:pPr>
        <w:widowControl w:val="0"/>
        <w:autoSpaceDE w:val="0"/>
        <w:autoSpaceDN w:val="0"/>
        <w:adjustRightInd w:val="0"/>
        <w:spacing w:after="6pt"/>
        <w:jc w:val="center"/>
        <w:rPr>
          <w:rFonts w:ascii="Century Gothic" w:hAnsi="Century Gothic"/>
          <w:color w:val="000000" w:themeColor="text1"/>
          <w:lang w:val="es-ES"/>
        </w:rPr>
      </w:pPr>
      <w:r>
        <w:rPr>
          <w:rFonts w:ascii="Century Gothic" w:hAnsi="Century Gothic"/>
          <w:noProof/>
          <w:color w:val="000000" w:themeColor="text1"/>
          <w:lang w:eastAsia="es-MX"/>
        </w:rPr>
        <w:drawing>
          <wp:inline distT="0" distB="0" distL="0" distR="0" wp14:anchorId="5C43101C" wp14:editId="13CDE515">
            <wp:extent cx="3151361" cy="1421804"/>
            <wp:effectExtent l="0" t="0" r="0" b="635"/>
            <wp:docPr id="28" name="Imagen 28" descr="Imagen que contiene Diagrama&#10;&#10;Descripción generada automáticamente"/>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605" name="Imagen 28" descr="Imagen que contiene Diagrama&#10;&#10;Descripción generada automáticamente"/>
                    <pic:cNvPicPr>
                      <a:picLocks noChangeAspect="1" noChangeArrowheads="1"/>
                    </pic:cNvPicPr>
                  </pic:nvPicPr>
                  <pic:blipFill>
                    <a:blip r:embed="rId49" cstate="print">
                      <a:extLst>
                        <a:ext uri="{28A0092B-C50C-407E-A947-70E740481C1C}">
                          <a14:useLocalDpi xmlns:a14="http://schemas.microsoft.com/office/drawing/2010/main" val="0"/>
                        </a:ext>
                      </a:extLst>
                    </a:blip>
                    <a:stretch>
                      <a:fillRect/>
                    </a:stretch>
                  </pic:blipFill>
                  <pic:spPr bwMode="auto">
                    <a:xfrm>
                      <a:off x="0" y="0"/>
                      <a:ext cx="3151842" cy="1422021"/>
                    </a:xfrm>
                    <a:prstGeom prst="rect">
                      <a:avLst/>
                    </a:prstGeom>
                    <a:noFill/>
                    <a:ln>
                      <a:noFill/>
                    </a:ln>
                    <a:extLst>
                      <a:ext uri="{FAA26D3D-D897-4be2-8F04-BA451C77F1D7}">
                        <ma14:placeholderFlag xmlns:r="http://schemas.openxmlformats.org/officeDocument/2006/relationships" xmlns:dct="http://purl.org/dc/dcmitype/" xmlns:dc="http://purl.org/dc/elements/1.1/" xmlns:dcterms="http://purl.org/dc/terms/" xmlns:ct="http://schemas.openxmlformats.org/package/2006/content-types" xmlns:mdssi="http://schemas.openxmlformats.org/package/2006/digital-signature" xmlns:cp="http://schemas.openxmlformats.org/package/2006/metadata/core-properties" xmlns:rr="http://schemas.openxmlformats.org/package/2006/relationships" xmlns:xs="http://www.w3.org/2001/XMLSchema" xmlns:m="http://schemas.openxmlformats.org/officeDocument/2006/math" xmlns:sl="http://schemas.openxmlformats.org/schemaLibrary/2006/main" xmlns:wp="http://schemas.openxmlformats.org/drawingml/2006/wordprocessingDrawing" xmlns:c="http://schemas.openxmlformats.org/drawingml/2006/chart" xmlns:cdr="http://schemas.openxmlformats.org/drawingml/2006/chartDrawing" xmlns:ns31="http://schemas.openxmlformats.org/drawingml/2006/compatibility" xmlns:ns32="http://schemas.openxmlformats.org/drawingml/2006/lockedCanvas" xmlns:ns30="http://schemas.openxmlformats.org/officeDocument/2006/bibliography" xmlns:nsc="http://purl.oclc.org/ooxml/officeDocument/characteristics" xmlns:nscp="http://purl.oclc.org/ooxml/officeDocument/customProperties" xmlns:nscx="http://schemas.openxmlformats.org/officeDocument/2006/customXml" xmlns:nsdt="http://purl.oclc.org/ooxml/officeDocument/docPropsVTypes" xmlns:nsep="http://purl.oclc.org/ooxml/officeDocument/extendedProperties" xmlns:s="http://purl.oclc.org/ooxml/officeDocument/sharedTypes" xmlns:vv="http://schemas.microsoft.com/visio/2003/core" xmlns:c2007="http://schemas.microsoft.com/office/drawing/2007/8/2/chart" xmlns:c2012="http://schemas.microsoft.com/office/drawing/2012/chart" xmlns:c2014="http://schemas.microsoft.com/office/drawing/2014/chart" xmlns:dia2008="http://schemas.microsoft.com/office/drawing/2008/diagram" xmlns:dia2010="http://schemas.microsoft.com/office/drawing/2010/diagram" xmlns:dm2012="http://schemas.microsoft.com/office/drawing/2012/main" xmlns:wps="http://schemas.microsoft.com/office/word/2010/wordprocessingShape" xmlns:wpg="http://schemas.microsoft.com/office/word/2010/wordprocessingGroup" xmlns:wpc="http://schemas.microsoft.com/office/word/2010/wordprocessingCanvas" xmlns:cs="http://schemas.microsoft.com/office/drawing/2012/chartStyle" xmlns:lms="http://schemas.litera.com/change-pro/word/2019" xmlns:ax="http://schemas.microsoft.com/office/2006/activeX" xmlns:a="http://schemas.openxmlformats.org/drawingml/2006/main" xmlns:pic="http://schemas.openxmlformats.org/drawingml/2006/picture" xmlns="" xmlns:arto="http://schemas.microsoft.com/office/word/2006/arto" xmlns:ma14="http://schemas.microsoft.com/office/mac/drawingml/2011/main" xmlns:mo="http://schemas.microsoft.com/office/mac/office/2008/main" xmlns:mv="urn:schemas-microsoft-com:mac:vml" xmlns:o="urn:schemas-microsoft-com:office:office" xmlns:v="urn:schemas-microsoft-com:vml" xmlns:ve="http://schemas.openxmlformats.org/markup-compatibility/2006" xmlns:w="http://schemas.openxmlformats.org/wordprocessingml/2006/main" xmlns:w10="urn:schemas-microsoft-com:office:word"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inline>
        </w:drawing>
      </w:r>
    </w:p>
    <w:p w:rsidR="00C21169" w:rsidRPr="00611019" w:rsidRDefault="00E56462" w:rsidP="00035D2C">
      <w:pPr>
        <w:widowControl w:val="0"/>
        <w:autoSpaceDE w:val="0"/>
        <w:autoSpaceDN w:val="0"/>
        <w:adjustRightInd w:val="0"/>
        <w:spacing w:after="6pt"/>
        <w:jc w:val="center"/>
        <w:rPr>
          <w:rFonts w:ascii="Century Gothic" w:hAnsi="Century Gothic"/>
          <w:b/>
          <w:color w:val="000000" w:themeColor="text1"/>
          <w:lang w:val="es-ES"/>
        </w:rPr>
      </w:pPr>
      <w:r>
        <w:rPr>
          <w:rFonts w:ascii="Century Gothic" w:hAnsi="Century Gothic"/>
          <w:b/>
          <w:color w:val="000000" w:themeColor="text1"/>
          <w:lang w:val="es-ES"/>
        </w:rPr>
        <w:t>Figura 1. Servicio de Desagregación de Bucle Local.</w:t>
      </w:r>
    </w:p>
    <w:p w:rsidR="00655060" w:rsidRPr="00611019" w:rsidRDefault="00296220" w:rsidP="00035D2C">
      <w:pPr>
        <w:autoSpaceDE w:val="0"/>
        <w:autoSpaceDN w:val="0"/>
        <w:adjustRightInd w:val="0"/>
        <w:jc w:val="center"/>
        <w:rPr>
          <w:rFonts w:ascii="Century Gothic" w:hAnsi="Century Gothic" w:cs="Arial"/>
          <w:color w:val="000000" w:themeColor="text1"/>
          <w:lang w:val="es-ES"/>
        </w:rPr>
      </w:pPr>
      <w:r>
        <w:rPr>
          <w:noProof/>
          <w:lang w:eastAsia="es-MX"/>
        </w:rPr>
        <w:drawing>
          <wp:inline distT="0" distB="0" distL="0" distR="0" wp14:anchorId="5CDA011D" wp14:editId="32698F00">
            <wp:extent cx="3499485" cy="1457960"/>
            <wp:effectExtent l="0" t="0" r="5715" b="8890"/>
            <wp:docPr id="29" name="Imagen 1" descr="Diagrama&#10;&#10;Descripción generada automáticamente con confianza media"/>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29" name="Imagen 1" descr="Diagrama&#10;&#10;Descripción generada automáticamente con confianza media"/>
                    <pic:cNvPicPr>
                      <a:picLocks noChangeAspect="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499485" cy="1457960"/>
                    </a:xfrm>
                    <a:prstGeom prst="rect">
                      <a:avLst/>
                    </a:prstGeom>
                    <a:noFill/>
                    <a:ln>
                      <a:noFill/>
                    </a:ln>
                  </pic:spPr>
                </pic:pic>
              </a:graphicData>
            </a:graphic>
          </wp:inline>
        </w:drawing>
      </w:r>
    </w:p>
    <w:p w:rsidR="00296220" w:rsidRPr="00192B3D" w:rsidRDefault="00296220" w:rsidP="00192B3D">
      <w:pPr>
        <w:jc w:val="center"/>
        <w:rPr>
          <w:b/>
        </w:rPr>
      </w:pPr>
      <w:bookmarkStart w:id="2572" w:name="_Toc276455865"/>
      <w:bookmarkStart w:id="2573" w:name="_Toc351476563"/>
      <w:bookmarkStart w:id="2574" w:name="_Toc357619713"/>
      <w:bookmarkStart w:id="2575" w:name="_Toc372127305"/>
      <w:bookmarkStart w:id="2576" w:name="_Toc373424123"/>
      <w:bookmarkStart w:id="2577" w:name="_Toc381605360"/>
      <w:bookmarkStart w:id="2578" w:name="_Toc92974139"/>
      <w:bookmarkStart w:id="2579" w:name="_Toc93052450"/>
      <w:bookmarkStart w:id="2580" w:name="_Toc93056405"/>
      <w:bookmarkStart w:id="2581" w:name="_Toc125393469"/>
      <w:bookmarkStart w:id="2582" w:name="_Toc148702325"/>
      <w:bookmarkStart w:id="2583" w:name="_Toc170381940"/>
      <w:r w:rsidRPr="00192B3D">
        <w:rPr>
          <w:b/>
        </w:rPr>
        <w:t>Figura 2. Servicio de Desagregación del Sub-Bucle Local.</w:t>
      </w:r>
    </w:p>
    <w:p w:rsidR="00296220" w:rsidRPr="00192B3D" w:rsidRDefault="00296220" w:rsidP="00192B3D"/>
    <w:p w:rsidR="006A4EFB" w:rsidRPr="00611019" w:rsidRDefault="00E56462" w:rsidP="00035D2C">
      <w:pPr>
        <w:pStyle w:val="0Tit1"/>
        <w:spacing w:before="0pt" w:after="0pt" w:line="13.80pt" w:lineRule="auto"/>
      </w:pPr>
      <w:r>
        <w:t>3.</w:t>
      </w:r>
      <w:r>
        <w:tab/>
        <w:t>Descripción general</w:t>
      </w:r>
      <w:bookmarkEnd w:id="2572"/>
      <w:bookmarkEnd w:id="2573"/>
      <w:bookmarkEnd w:id="2574"/>
      <w:bookmarkEnd w:id="2575"/>
      <w:bookmarkEnd w:id="2576"/>
      <w:bookmarkEnd w:id="2577"/>
      <w:r>
        <w:t xml:space="preserve"> del plan</w:t>
      </w:r>
      <w:bookmarkEnd w:id="2578"/>
      <w:bookmarkEnd w:id="2579"/>
      <w:bookmarkEnd w:id="2580"/>
      <w:bookmarkEnd w:id="2581"/>
      <w:bookmarkEnd w:id="2582"/>
      <w:bookmarkEnd w:id="2583"/>
      <w:r>
        <w:t>.</w:t>
      </w:r>
    </w:p>
    <w:p w:rsidR="00CE2E13" w:rsidRPr="00611019" w:rsidRDefault="00CE2E13" w:rsidP="00035D2C"/>
    <w:p w:rsidR="00655060" w:rsidRPr="00611019" w:rsidRDefault="00E56462" w:rsidP="00035D2C">
      <w:pPr>
        <w:pStyle w:val="IFTnormal"/>
        <w:spacing w:after="6pt"/>
        <w:rPr>
          <w:rFonts w:ascii="Century Gothic" w:hAnsi="Century Gothic"/>
          <w:color w:val="000000" w:themeColor="text1"/>
        </w:rPr>
      </w:pPr>
      <w:r>
        <w:rPr>
          <w:rFonts w:ascii="Century Gothic" w:hAnsi="Century Gothic"/>
        </w:rPr>
        <w:t xml:space="preserve">Cuando los servicios y tecnologías son desplegados para la transmisión de información a través de las redes de cobre sin tomar en cuenta: perfiles definidos y acotados, la compatibilidad espectral, la potencia de transmisión, el ancho de banda de la señal y mecanismos de protección, se genera el riesgo de interferencia entre los pares de cobre por fenómenos de diafonía entre los mismos y por ende degradación en los servicios que se transmiten sobre la red. En virtud de lo anterior, todos los </w:t>
      </w:r>
      <w:r w:rsidR="00296220">
        <w:rPr>
          <w:rFonts w:ascii="Century Gothic" w:hAnsi="Century Gothic"/>
        </w:rPr>
        <w:t>CS</w:t>
      </w:r>
      <w:r>
        <w:rPr>
          <w:rFonts w:ascii="Century Gothic" w:hAnsi="Century Gothic"/>
        </w:rPr>
        <w:t xml:space="preserve"> deben respetar los criterios y lineamientos establecidos en este documento a fin de asegurar la compatibilidad espectral y disminuir la interferencia por diafonía, para mantener la integridad de los servicios que se cursan por la red de acceso.</w:t>
      </w:r>
    </w:p>
    <w:p w:rsidR="00655060" w:rsidRPr="00611019" w:rsidRDefault="00E56462" w:rsidP="00035D2C">
      <w:pPr>
        <w:pStyle w:val="IFTnormal"/>
        <w:spacing w:after="6pt"/>
        <w:rPr>
          <w:rFonts w:ascii="Century Gothic" w:hAnsi="Century Gothic"/>
        </w:rPr>
      </w:pPr>
      <w:r>
        <w:rPr>
          <w:rFonts w:ascii="Century Gothic" w:hAnsi="Century Gothic"/>
        </w:rPr>
        <w:t>El control de la interferencia entre los pares de cobre de un cable multipar, se logra mediante la aplicación de técnicas que aseguran la compatibilidad espectral, en este documento se establecen las siguientes:</w:t>
      </w:r>
    </w:p>
    <w:p w:rsidR="00655060" w:rsidRPr="00611019" w:rsidRDefault="00E56462">
      <w:pPr>
        <w:pStyle w:val="IFTnormal"/>
        <w:numPr>
          <w:ilvl w:val="0"/>
          <w:numId w:val="168"/>
        </w:numPr>
        <w:spacing w:after="6pt"/>
        <w:rPr>
          <w:rFonts w:ascii="Century Gothic" w:hAnsi="Century Gothic"/>
        </w:rPr>
      </w:pPr>
      <w:r>
        <w:rPr>
          <w:rFonts w:ascii="Century Gothic" w:hAnsi="Century Gothic"/>
        </w:rPr>
        <w:lastRenderedPageBreak/>
        <w:t>El empleo de máscaras de densidad espectral de potencia de transmisión PSD (Power Spectral Density).</w:t>
      </w:r>
    </w:p>
    <w:p w:rsidR="00655060" w:rsidRPr="00611019" w:rsidRDefault="00E56462">
      <w:pPr>
        <w:pStyle w:val="IFTnormal"/>
        <w:numPr>
          <w:ilvl w:val="0"/>
          <w:numId w:val="168"/>
        </w:numPr>
        <w:spacing w:after="6pt"/>
        <w:rPr>
          <w:rFonts w:ascii="Century Gothic" w:hAnsi="Century Gothic"/>
        </w:rPr>
      </w:pPr>
      <w:r>
        <w:rPr>
          <w:rFonts w:ascii="Century Gothic" w:hAnsi="Century Gothic"/>
        </w:rPr>
        <w:t>El despliegue de tecnologías espectralmente compatibles.</w:t>
      </w:r>
    </w:p>
    <w:p w:rsidR="00655060" w:rsidRPr="00611019" w:rsidRDefault="00E56462">
      <w:pPr>
        <w:pStyle w:val="IFTnormal"/>
        <w:numPr>
          <w:ilvl w:val="0"/>
          <w:numId w:val="168"/>
        </w:numPr>
        <w:spacing w:after="6pt"/>
        <w:rPr>
          <w:rFonts w:ascii="Century Gothic" w:hAnsi="Century Gothic"/>
        </w:rPr>
      </w:pPr>
      <w:r>
        <w:rPr>
          <w:rFonts w:ascii="Century Gothic" w:hAnsi="Century Gothic"/>
        </w:rPr>
        <w:t>La adecuada configuración para determinado ancho de banda en función del requerimiento de un servicio.</w:t>
      </w:r>
    </w:p>
    <w:p w:rsidR="00655060" w:rsidRDefault="00E56462">
      <w:pPr>
        <w:pStyle w:val="IFTnormal"/>
        <w:numPr>
          <w:ilvl w:val="0"/>
          <w:numId w:val="168"/>
        </w:numPr>
        <w:spacing w:after="6pt"/>
        <w:rPr>
          <w:rFonts w:ascii="Century Gothic" w:hAnsi="Century Gothic"/>
        </w:rPr>
      </w:pPr>
      <w:r>
        <w:rPr>
          <w:rFonts w:ascii="Century Gothic" w:hAnsi="Century Gothic"/>
        </w:rPr>
        <w:lastRenderedPageBreak/>
        <w:t>Cumplir con las reglas de penetración, por ejemplo, la cantidad de sistemas operando en un mismo cable multipar y el tipo de tecnologías habilitadas en ese cable multipar.</w:t>
      </w:r>
    </w:p>
    <w:p w:rsidR="00296220" w:rsidRPr="00296220" w:rsidRDefault="00296220">
      <w:pPr>
        <w:pStyle w:val="IFTnormal"/>
        <w:numPr>
          <w:ilvl w:val="0"/>
          <w:numId w:val="168"/>
        </w:numPr>
        <w:spacing w:after="6pt" w:line="13.20pt" w:lineRule="auto"/>
        <w:rPr>
          <w:rFonts w:ascii="Century Gothic" w:hAnsi="Century Gothic"/>
        </w:rPr>
      </w:pPr>
      <w:r w:rsidRPr="00296220">
        <w:rPr>
          <w:rFonts w:ascii="Century Gothic" w:hAnsi="Century Gothic"/>
        </w:rPr>
        <w:t>Implementación de la configuración de los limitadores de potencia en sentido ascendente y descendente (UPBO y DPBO) en los despliegues de Sub-Bucle Local.</w:t>
      </w:r>
    </w:p>
    <w:p w:rsidR="00655060" w:rsidRPr="00611019" w:rsidRDefault="00E56462">
      <w:pPr>
        <w:pStyle w:val="IFTnormal"/>
        <w:numPr>
          <w:ilvl w:val="0"/>
          <w:numId w:val="168"/>
        </w:numPr>
        <w:spacing w:after="6pt"/>
        <w:rPr>
          <w:rFonts w:ascii="Century Gothic" w:hAnsi="Century Gothic"/>
        </w:rPr>
      </w:pPr>
      <w:r>
        <w:rPr>
          <w:rFonts w:ascii="Century Gothic" w:hAnsi="Century Gothic"/>
        </w:rPr>
        <w:t>El control de incidencias por posibles interferencias a fin de asegurar la aplicación del PGE.</w:t>
      </w:r>
    </w:p>
    <w:p w:rsidR="00655060" w:rsidRPr="00611019" w:rsidRDefault="00E56462">
      <w:pPr>
        <w:pStyle w:val="IFTnormal"/>
        <w:numPr>
          <w:ilvl w:val="0"/>
          <w:numId w:val="168"/>
        </w:numPr>
        <w:spacing w:after="6pt"/>
        <w:rPr>
          <w:rFonts w:ascii="Century Gothic" w:hAnsi="Century Gothic"/>
        </w:rPr>
      </w:pPr>
      <w:r>
        <w:rPr>
          <w:rFonts w:ascii="Century Gothic" w:hAnsi="Century Gothic"/>
        </w:rPr>
        <w:t>La revisión y actualización periódica del PGE.</w:t>
      </w:r>
    </w:p>
    <w:p w:rsidR="00655060" w:rsidRPr="00611019" w:rsidRDefault="00E56462" w:rsidP="00035D2C">
      <w:pPr>
        <w:pStyle w:val="IFTnormal"/>
        <w:rPr>
          <w:rFonts w:ascii="Century Gothic" w:hAnsi="Century Gothic"/>
        </w:rPr>
      </w:pPr>
      <w:r>
        <w:rPr>
          <w:rFonts w:ascii="Century Gothic" w:hAnsi="Century Gothic"/>
        </w:rPr>
        <w:t xml:space="preserve">El presente documento establece diferentes máscaras de PSD que se deben implementar para las distintas clases de tecnologías a aplicarse en el Bucle Local </w:t>
      </w:r>
      <w:r w:rsidR="00296220">
        <w:rPr>
          <w:rFonts w:ascii="Century Gothic" w:hAnsi="Century Gothic"/>
        </w:rPr>
        <w:t xml:space="preserve">o Sub-Bucle Local </w:t>
      </w:r>
      <w:r>
        <w:rPr>
          <w:rFonts w:ascii="Century Gothic" w:hAnsi="Century Gothic"/>
        </w:rPr>
        <w:t>de acuerdo a ETSI TSI TR 101 830-1 y en la ETSI TSI TR 101 830-2. Dichas máscaras delimitan la potencia para las frecuencias que una determinada tecnología emplea de acuerdo al plan de bandas establecido para dicha tecnología como se indica en los puntos 5 y 6 del presente PGE.</w:t>
      </w:r>
    </w:p>
    <w:p w:rsidR="00FB519C" w:rsidRPr="00611019" w:rsidRDefault="00FB519C"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rPr>
        <w:t>El PGE garantiza el despliegue de señales de diferentes tipos en el Bucle Local a través del registro obtenido por RED NACIONAL -de acuerdo al Servicio de desagregación solicitado por el CS- de lo siguiente:</w:t>
      </w:r>
    </w:p>
    <w:p w:rsidR="00FB519C" w:rsidRPr="00611019" w:rsidRDefault="00FB519C" w:rsidP="00035D2C">
      <w:pPr>
        <w:pStyle w:val="IFTnormal"/>
        <w:rPr>
          <w:rFonts w:ascii="Century Gothic" w:hAnsi="Century Gothic"/>
        </w:rPr>
      </w:pPr>
    </w:p>
    <w:p w:rsidR="00655060" w:rsidRPr="00611019" w:rsidRDefault="00E56462" w:rsidP="00035D2C">
      <w:pPr>
        <w:pStyle w:val="IFTnormal"/>
        <w:spacing w:after="6pt"/>
        <w:ind w:start="21.30pt" w:hanging="21.30pt"/>
        <w:rPr>
          <w:rFonts w:ascii="Century Gothic" w:hAnsi="Century Gothic"/>
        </w:rPr>
      </w:pPr>
      <w:r>
        <w:rPr>
          <w:rFonts w:ascii="Century Gothic" w:hAnsi="Century Gothic"/>
        </w:rPr>
        <w:t>1.</w:t>
      </w:r>
      <w:r>
        <w:rPr>
          <w:rFonts w:ascii="Century Gothic" w:hAnsi="Century Gothic"/>
        </w:rPr>
        <w:tab/>
        <w:t>Medidas de atenuación en el Bucle Local de interés.</w:t>
      </w:r>
    </w:p>
    <w:p w:rsidR="00655060" w:rsidRPr="00611019" w:rsidRDefault="00E56462" w:rsidP="00035D2C">
      <w:pPr>
        <w:pStyle w:val="IFTnormal"/>
        <w:spacing w:after="6pt"/>
        <w:ind w:start="21.30pt" w:hanging="21.30pt"/>
        <w:rPr>
          <w:rFonts w:ascii="Century Gothic" w:hAnsi="Century Gothic"/>
        </w:rPr>
      </w:pPr>
      <w:r>
        <w:rPr>
          <w:rFonts w:ascii="Century Gothic" w:hAnsi="Century Gothic"/>
        </w:rPr>
        <w:t>2.</w:t>
      </w:r>
      <w:r>
        <w:rPr>
          <w:rFonts w:ascii="Century Gothic" w:hAnsi="Century Gothic"/>
        </w:rPr>
        <w:tab/>
        <w:t>Medidas de capacidad en el Bucle Local de interés.</w:t>
      </w:r>
    </w:p>
    <w:p w:rsidR="00655060" w:rsidRPr="00611019" w:rsidRDefault="00E56462" w:rsidP="00035D2C">
      <w:pPr>
        <w:pStyle w:val="IFTnormal"/>
        <w:spacing w:after="6pt"/>
        <w:ind w:start="21.30pt" w:hanging="21.30pt"/>
        <w:rPr>
          <w:rFonts w:ascii="Century Gothic" w:hAnsi="Century Gothic"/>
        </w:rPr>
      </w:pPr>
      <w:r>
        <w:rPr>
          <w:rFonts w:ascii="Century Gothic" w:hAnsi="Century Gothic"/>
        </w:rPr>
        <w:t>3.</w:t>
      </w:r>
      <w:r>
        <w:rPr>
          <w:rFonts w:ascii="Century Gothic" w:hAnsi="Century Gothic"/>
        </w:rPr>
        <w:tab/>
        <w:t>Medidas de resistencia de aislamiento en el Bucle Local de interés.</w:t>
      </w:r>
    </w:p>
    <w:p w:rsidR="00655060" w:rsidRPr="00611019" w:rsidRDefault="00E56462" w:rsidP="00035D2C">
      <w:pPr>
        <w:pStyle w:val="IFTnormal"/>
        <w:spacing w:after="6pt"/>
        <w:ind w:start="21.30pt" w:hanging="21.30pt"/>
        <w:rPr>
          <w:rFonts w:ascii="Century Gothic" w:hAnsi="Century Gothic"/>
        </w:rPr>
      </w:pPr>
      <w:r>
        <w:rPr>
          <w:rFonts w:ascii="Century Gothic" w:hAnsi="Century Gothic"/>
        </w:rPr>
        <w:t>4.</w:t>
      </w:r>
      <w:r>
        <w:rPr>
          <w:rFonts w:ascii="Century Gothic" w:hAnsi="Century Gothic"/>
        </w:rPr>
        <w:tab/>
        <w:t>Medidas de velocidad de sincronismo de subida y bajada en el Bucle Local de interés.</w:t>
      </w:r>
    </w:p>
    <w:p w:rsidR="00655060" w:rsidRPr="00611019" w:rsidRDefault="00E56462" w:rsidP="00035D2C">
      <w:pPr>
        <w:pStyle w:val="IFTnormal"/>
        <w:spacing w:after="6pt"/>
        <w:ind w:start="21.30pt" w:hanging="21.30pt"/>
        <w:rPr>
          <w:rFonts w:ascii="Century Gothic" w:hAnsi="Century Gothic"/>
        </w:rPr>
      </w:pPr>
      <w:r>
        <w:rPr>
          <w:rFonts w:ascii="Century Gothic" w:hAnsi="Century Gothic"/>
        </w:rPr>
        <w:t>5.</w:t>
      </w:r>
      <w:r>
        <w:rPr>
          <w:rFonts w:ascii="Century Gothic" w:hAnsi="Century Gothic"/>
        </w:rPr>
        <w:tab/>
        <w:t>Descripción de la(s) prueba(s) eléctrica(s) realizadas en el Bucle Local de interés.</w:t>
      </w:r>
    </w:p>
    <w:p w:rsidR="00655060" w:rsidRPr="00611019" w:rsidRDefault="00E56462" w:rsidP="00035D2C">
      <w:pPr>
        <w:pStyle w:val="IFTnormal"/>
        <w:spacing w:after="6pt"/>
        <w:ind w:start="21.30pt" w:hanging="21.30pt"/>
        <w:rPr>
          <w:rFonts w:ascii="Century Gothic" w:hAnsi="Century Gothic"/>
        </w:rPr>
      </w:pPr>
      <w:r>
        <w:rPr>
          <w:rFonts w:ascii="Century Gothic" w:hAnsi="Century Gothic"/>
        </w:rPr>
        <w:t>6.</w:t>
      </w:r>
      <w:r>
        <w:rPr>
          <w:rFonts w:ascii="Century Gothic" w:hAnsi="Century Gothic"/>
        </w:rPr>
        <w:tab/>
        <w:t>Demás parámetros medidos por RED NACIONAL por protocolo a petición del CS.</w:t>
      </w:r>
    </w:p>
    <w:p w:rsidR="00FB519C" w:rsidRPr="00611019" w:rsidRDefault="00FB519C" w:rsidP="00035D2C">
      <w:pPr>
        <w:pStyle w:val="IFTnormal"/>
        <w:spacing w:after="6pt"/>
        <w:ind w:start="21.30pt" w:hanging="21.30pt"/>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rPr>
        <w:t>RED NACIONAL desplegará los resultados anteriores incluyendo valores de aceptación para la calificación del Bucle Local a modo de tabla personalizada conforme al Servicio de desagregación que solicite el CS.</w:t>
      </w:r>
    </w:p>
    <w:p w:rsidR="00FB519C" w:rsidRPr="00611019" w:rsidRDefault="00FB519C"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rPr>
        <w:lastRenderedPageBreak/>
        <w:t xml:space="preserve">Para la correcta operación del PGE se deben aplicar los siguientes principios por todos los </w:t>
      </w:r>
      <w:r w:rsidR="00296220">
        <w:rPr>
          <w:rFonts w:ascii="Century Gothic" w:hAnsi="Century Gothic"/>
        </w:rPr>
        <w:t>CS</w:t>
      </w:r>
      <w:r>
        <w:rPr>
          <w:rFonts w:ascii="Century Gothic" w:hAnsi="Century Gothic"/>
        </w:rPr>
        <w:t xml:space="preserve"> que hagan uso del Bucle Local</w:t>
      </w:r>
      <w:r w:rsidR="00296220">
        <w:rPr>
          <w:rFonts w:ascii="Century Gothic" w:hAnsi="Century Gothic"/>
        </w:rPr>
        <w:t xml:space="preserve"> o Sub-Bucle Local</w:t>
      </w:r>
      <w:r>
        <w:rPr>
          <w:rFonts w:ascii="Century Gothic" w:hAnsi="Century Gothic"/>
        </w:rPr>
        <w:t>:</w:t>
      </w:r>
    </w:p>
    <w:p w:rsidR="00FB519C" w:rsidRPr="00611019" w:rsidRDefault="00FB519C" w:rsidP="00035D2C">
      <w:pPr>
        <w:pStyle w:val="IFTnormal"/>
        <w:rPr>
          <w:rFonts w:ascii="Century Gothic" w:hAnsi="Century Gothic"/>
        </w:rPr>
      </w:pPr>
    </w:p>
    <w:p w:rsidR="00655060" w:rsidRPr="00611019" w:rsidRDefault="00E56462" w:rsidP="00035D2C">
      <w:pPr>
        <w:pStyle w:val="IFTnormal"/>
        <w:spacing w:after="6pt"/>
        <w:ind w:start="21.30pt" w:hanging="21.30pt"/>
        <w:rPr>
          <w:rFonts w:ascii="Century Gothic" w:hAnsi="Century Gothic"/>
        </w:rPr>
      </w:pPr>
      <w:r>
        <w:rPr>
          <w:rFonts w:ascii="Century Gothic" w:hAnsi="Century Gothic"/>
        </w:rPr>
        <w:t>1.</w:t>
      </w:r>
      <w:r>
        <w:rPr>
          <w:rFonts w:ascii="Century Gothic" w:hAnsi="Century Gothic"/>
        </w:rPr>
        <w:tab/>
        <w:t>El PGE no reservará pares de cobre de la Central Telefónica o Instalación Equivalente para el despliegue de señales específicas.</w:t>
      </w:r>
    </w:p>
    <w:p w:rsidR="00655060" w:rsidRPr="00611019" w:rsidRDefault="00E56462" w:rsidP="00035D2C">
      <w:pPr>
        <w:pStyle w:val="IFTnormal"/>
        <w:spacing w:after="6pt"/>
        <w:ind w:start="21.30pt" w:hanging="21.30pt"/>
        <w:rPr>
          <w:rFonts w:ascii="Century Gothic" w:hAnsi="Century Gothic"/>
        </w:rPr>
      </w:pPr>
      <w:r>
        <w:rPr>
          <w:rFonts w:ascii="Century Gothic" w:hAnsi="Century Gothic"/>
        </w:rPr>
        <w:lastRenderedPageBreak/>
        <w:t>2.</w:t>
      </w:r>
      <w:r>
        <w:rPr>
          <w:rFonts w:ascii="Century Gothic" w:hAnsi="Century Gothic"/>
        </w:rPr>
        <w:tab/>
        <w:t>Todas las reglas asociadas al PGE deberán ser transparentes, de forma que estén basados en principios objetivos (ya sean consideraciones teóricas, simulaciones o pruebas experimentales) conocidos por todos los que conviven en el Bucle Local</w:t>
      </w:r>
      <w:r w:rsidR="00296220">
        <w:rPr>
          <w:rFonts w:ascii="Century Gothic" w:hAnsi="Century Gothic"/>
        </w:rPr>
        <w:t xml:space="preserve"> o Sub-Bucle Local</w:t>
      </w:r>
      <w:r>
        <w:rPr>
          <w:rFonts w:ascii="Century Gothic" w:hAnsi="Century Gothic"/>
        </w:rPr>
        <w:t>.</w:t>
      </w:r>
    </w:p>
    <w:p w:rsidR="00655060" w:rsidRPr="00611019" w:rsidRDefault="00E56462" w:rsidP="00035D2C">
      <w:pPr>
        <w:pStyle w:val="IFTnormal"/>
        <w:spacing w:after="6pt"/>
        <w:ind w:start="21.30pt" w:hanging="21.30pt"/>
        <w:rPr>
          <w:rFonts w:ascii="Century Gothic" w:hAnsi="Century Gothic"/>
        </w:rPr>
      </w:pPr>
      <w:r>
        <w:rPr>
          <w:rFonts w:ascii="Century Gothic" w:hAnsi="Century Gothic"/>
        </w:rPr>
        <w:t>3.</w:t>
      </w:r>
      <w:r>
        <w:rPr>
          <w:rFonts w:ascii="Century Gothic" w:hAnsi="Century Gothic"/>
        </w:rPr>
        <w:tab/>
        <w:t xml:space="preserve">El presente PGE no dará lugar a que cualquiera de los que conviven en el Bucle Local </w:t>
      </w:r>
      <w:r w:rsidR="00296220">
        <w:rPr>
          <w:rFonts w:ascii="Century Gothic" w:hAnsi="Century Gothic"/>
        </w:rPr>
        <w:t xml:space="preserve">o Sub-Bucle Local </w:t>
      </w:r>
      <w:r>
        <w:rPr>
          <w:rFonts w:ascii="Century Gothic" w:hAnsi="Century Gothic"/>
        </w:rPr>
        <w:t>disponga de mayor información -en comparación con otros CS- que conduzca a adaptaciones o modificaciones respecto de los pares de cobre asociados a un Central Telefónica o Instalación Equivalente.</w:t>
      </w:r>
    </w:p>
    <w:p w:rsidR="00655060" w:rsidRPr="00611019" w:rsidRDefault="00E56462" w:rsidP="00035D2C">
      <w:pPr>
        <w:pStyle w:val="IFTnormal"/>
        <w:spacing w:after="6pt"/>
        <w:ind w:start="21.30pt" w:hanging="21.30pt"/>
        <w:rPr>
          <w:rFonts w:ascii="Century Gothic" w:hAnsi="Century Gothic"/>
        </w:rPr>
      </w:pPr>
      <w:r>
        <w:rPr>
          <w:rFonts w:ascii="Century Gothic" w:hAnsi="Century Gothic"/>
        </w:rPr>
        <w:t>4.</w:t>
      </w:r>
      <w:r>
        <w:rPr>
          <w:rFonts w:ascii="Century Gothic" w:hAnsi="Century Gothic"/>
        </w:rPr>
        <w:tab/>
        <w:t>Aunque el PGE ha de permitir la coexistencia de múltiples tipos de señales, se favorecerá la evolución hacia tecnologías más eficaces para la prestación de los Servicios de Desagregación. Ello implica que cuando una señal -para la que existen alternativas con las mismas prestaciones- provoca una disminución severa de la penetración de otras señales con mayor demanda, se debe incentivar la sustitución de la primera señal por la alternativa de la tecnología que mejora las condiciones de penetración y convivencia de señales en el Bucle Local</w:t>
      </w:r>
      <w:r w:rsidR="00296220">
        <w:rPr>
          <w:rFonts w:ascii="Century Gothic" w:hAnsi="Century Gothic"/>
        </w:rPr>
        <w:t xml:space="preserve"> o Sub-Bucle Local</w:t>
      </w:r>
      <w:r>
        <w:rPr>
          <w:rFonts w:ascii="Century Gothic" w:hAnsi="Century Gothic"/>
        </w:rPr>
        <w:t>.</w:t>
      </w:r>
    </w:p>
    <w:p w:rsidR="006A4EFB" w:rsidRPr="00611019" w:rsidRDefault="006A4EFB" w:rsidP="00035D2C">
      <w:pPr>
        <w:pStyle w:val="IFTnormal"/>
        <w:spacing w:after="6pt"/>
        <w:rPr>
          <w:rFonts w:ascii="Century Gothic" w:hAnsi="Century Gothic"/>
        </w:rPr>
      </w:pPr>
    </w:p>
    <w:p w:rsidR="006A4EFB" w:rsidRPr="00611019" w:rsidRDefault="00E56462" w:rsidP="00035D2C">
      <w:pPr>
        <w:pStyle w:val="Ttulo1"/>
        <w:keepNext/>
        <w:spacing w:after="6pt"/>
        <w:ind w:start="21.60pt" w:hanging="21.60pt"/>
        <w:jc w:val="start"/>
        <w:rPr>
          <w:rFonts w:ascii="Century Gothic" w:hAnsi="Century Gothic"/>
        </w:rPr>
      </w:pPr>
      <w:bookmarkStart w:id="2584" w:name="_Toc92974140"/>
      <w:bookmarkStart w:id="2585" w:name="_Toc93052451"/>
      <w:bookmarkStart w:id="2586" w:name="_Toc93056406"/>
      <w:bookmarkStart w:id="2587" w:name="_Toc125393470"/>
      <w:bookmarkStart w:id="2588" w:name="_Toc148702326"/>
      <w:bookmarkStart w:id="2589" w:name="_Toc170381941"/>
      <w:r>
        <w:rPr>
          <w:rFonts w:ascii="Century Gothic" w:hAnsi="Century Gothic"/>
        </w:rPr>
        <w:t>4.</w:t>
      </w:r>
      <w:r>
        <w:rPr>
          <w:rFonts w:ascii="Century Gothic" w:hAnsi="Century Gothic"/>
        </w:rPr>
        <w:tab/>
      </w:r>
      <w:r>
        <w:rPr>
          <w:rFonts w:ascii="Century Gothic" w:hAnsi="Century Gothic"/>
          <w:color w:val="000000" w:themeColor="text1"/>
        </w:rPr>
        <w:t>Reglas de despliegue en pares desagregados.</w:t>
      </w:r>
      <w:bookmarkEnd w:id="2584"/>
      <w:bookmarkEnd w:id="2585"/>
      <w:bookmarkEnd w:id="2586"/>
      <w:bookmarkEnd w:id="2587"/>
      <w:bookmarkEnd w:id="2588"/>
      <w:bookmarkEnd w:id="2589"/>
    </w:p>
    <w:p w:rsidR="00655060" w:rsidRPr="00611019" w:rsidRDefault="00E56462" w:rsidP="00035D2C">
      <w:pPr>
        <w:pStyle w:val="IFTnormal"/>
        <w:spacing w:after="6pt"/>
        <w:rPr>
          <w:rFonts w:ascii="Century Gothic" w:hAnsi="Century Gothic"/>
        </w:rPr>
      </w:pPr>
      <w:r>
        <w:rPr>
          <w:rFonts w:ascii="Century Gothic" w:hAnsi="Century Gothic"/>
        </w:rPr>
        <w:t xml:space="preserve">Cuando se rechace una señal en un Bucle </w:t>
      </w:r>
      <w:r w:rsidR="00296220">
        <w:rPr>
          <w:rFonts w:ascii="Century Gothic" w:hAnsi="Century Gothic"/>
        </w:rPr>
        <w:t xml:space="preserve">o Sub-Bucle Local </w:t>
      </w:r>
      <w:r>
        <w:rPr>
          <w:rFonts w:ascii="Century Gothic" w:hAnsi="Century Gothic"/>
        </w:rPr>
        <w:t xml:space="preserve">debido al incumplimiento del PGE, RED NACIONAL indicará al CS con el máximo detalle posible la regla o principio incumplido y las condiciones particulares en las que se ha producido dicho incumplimiento. El mismo criterio se seguirá cuando se desactive una señal sobre un Bucle </w:t>
      </w:r>
      <w:r w:rsidR="00296220">
        <w:rPr>
          <w:rFonts w:ascii="Century Gothic" w:hAnsi="Century Gothic"/>
        </w:rPr>
        <w:t xml:space="preserve">o Sub-Bucle Local </w:t>
      </w:r>
      <w:r>
        <w:rPr>
          <w:rFonts w:ascii="Century Gothic" w:hAnsi="Century Gothic"/>
        </w:rPr>
        <w:t>como resultado de un procedimiento de control de interferencias.</w:t>
      </w:r>
    </w:p>
    <w:p w:rsidR="00655060" w:rsidRPr="00611019" w:rsidRDefault="00E56462" w:rsidP="00035D2C">
      <w:pPr>
        <w:pStyle w:val="IFTnormal"/>
        <w:spacing w:after="6pt"/>
        <w:rPr>
          <w:rFonts w:ascii="Century Gothic" w:hAnsi="Century Gothic"/>
        </w:rPr>
      </w:pPr>
      <w:r>
        <w:rPr>
          <w:rFonts w:ascii="Century Gothic" w:hAnsi="Century Gothic"/>
        </w:rPr>
        <w:t xml:space="preserve">A continuación, se detallan los criterios que deben aplicar los </w:t>
      </w:r>
      <w:r w:rsidR="00E57833">
        <w:rPr>
          <w:rFonts w:ascii="Century Gothic" w:hAnsi="Century Gothic"/>
        </w:rPr>
        <w:t>CS</w:t>
      </w:r>
      <w:r>
        <w:rPr>
          <w:rFonts w:ascii="Century Gothic" w:hAnsi="Century Gothic"/>
        </w:rPr>
        <w:t xml:space="preserve"> que provean servicios mediante los pares de cobre desagregados de la Red de Acceso de RED NACIONAL, haciendo uso de tecnologías de transmisión analógica o digital.</w:t>
      </w:r>
    </w:p>
    <w:p w:rsidR="006A4EFB" w:rsidRPr="00611019" w:rsidRDefault="006A4EFB" w:rsidP="00035D2C">
      <w:pPr>
        <w:pStyle w:val="IFTnormal"/>
        <w:spacing w:after="6pt"/>
        <w:rPr>
          <w:rFonts w:ascii="Century Gothic" w:hAnsi="Century Gothic"/>
        </w:rPr>
      </w:pPr>
    </w:p>
    <w:p w:rsidR="006A4EFB" w:rsidRPr="00611019" w:rsidRDefault="00E56462" w:rsidP="00035D2C">
      <w:pPr>
        <w:pStyle w:val="Ttulo2"/>
        <w:spacing w:after="6pt"/>
        <w:ind w:start="28.80pt" w:hanging="28.80pt"/>
        <w:rPr>
          <w:rFonts w:ascii="Century Gothic" w:hAnsi="Century Gothic"/>
        </w:rPr>
      </w:pPr>
      <w:bookmarkStart w:id="2590" w:name="_Toc92974141"/>
      <w:bookmarkStart w:id="2591" w:name="_Toc93052452"/>
      <w:bookmarkStart w:id="2592" w:name="_Toc93056407"/>
      <w:bookmarkStart w:id="2593" w:name="_Toc125393471"/>
      <w:bookmarkStart w:id="2594" w:name="_Toc148702327"/>
      <w:bookmarkStart w:id="2595" w:name="_Toc170381942"/>
      <w:r>
        <w:rPr>
          <w:rFonts w:ascii="Century Gothic" w:hAnsi="Century Gothic"/>
        </w:rPr>
        <w:t>4.1</w:t>
      </w:r>
      <w:r>
        <w:rPr>
          <w:rFonts w:ascii="Century Gothic" w:hAnsi="Century Gothic"/>
        </w:rPr>
        <w:tab/>
      </w:r>
      <w:r>
        <w:rPr>
          <w:rFonts w:ascii="Century Gothic" w:hAnsi="Century Gothic"/>
          <w:color w:val="000000" w:themeColor="text1"/>
        </w:rPr>
        <w:t>Reglas Aplicables al uso de la Red de Acceso de Pares de Cobre.</w:t>
      </w:r>
      <w:bookmarkEnd w:id="2590"/>
      <w:bookmarkEnd w:id="2591"/>
      <w:bookmarkEnd w:id="2592"/>
      <w:bookmarkEnd w:id="2593"/>
      <w:bookmarkEnd w:id="2594"/>
      <w:bookmarkEnd w:id="2595"/>
    </w:p>
    <w:p w:rsidR="00655060" w:rsidRPr="00611019" w:rsidRDefault="00E56462" w:rsidP="00035D2C">
      <w:pPr>
        <w:pStyle w:val="IFTnormal"/>
        <w:spacing w:after="6pt"/>
        <w:rPr>
          <w:rFonts w:ascii="Century Gothic" w:hAnsi="Century Gothic"/>
        </w:rPr>
      </w:pPr>
      <w:r>
        <w:rPr>
          <w:rFonts w:ascii="Century Gothic" w:hAnsi="Century Gothic"/>
        </w:rPr>
        <w:t>Todo tipo de informe que RED NACIONAL y/o algún CS realicen deberá formar parte integral del presente PGE, así como a través del SEG/SIPO, entre otros medios.</w:t>
      </w:r>
    </w:p>
    <w:p w:rsidR="00655060" w:rsidRPr="00611019" w:rsidRDefault="00E56462">
      <w:pPr>
        <w:pStyle w:val="IFTnormal"/>
        <w:numPr>
          <w:ilvl w:val="0"/>
          <w:numId w:val="169"/>
        </w:numPr>
        <w:spacing w:after="6pt"/>
        <w:rPr>
          <w:rFonts w:ascii="Century Gothic" w:hAnsi="Century Gothic"/>
        </w:rPr>
      </w:pPr>
      <w:r>
        <w:rPr>
          <w:rFonts w:ascii="Century Gothic" w:hAnsi="Century Gothic"/>
        </w:rPr>
        <w:t xml:space="preserve">Los </w:t>
      </w:r>
      <w:r w:rsidR="00E57833">
        <w:rPr>
          <w:rFonts w:ascii="Century Gothic" w:hAnsi="Century Gothic"/>
        </w:rPr>
        <w:t>CS</w:t>
      </w:r>
      <w:r>
        <w:rPr>
          <w:rFonts w:ascii="Century Gothic" w:hAnsi="Century Gothic"/>
        </w:rPr>
        <w:t xml:space="preserve"> están obligados a informar a través del SEG/SIPO, el tipo de Tecnología y los anchos de banda del Perfil de servicio que implementarán en cada uno de los </w:t>
      </w:r>
      <w:r>
        <w:rPr>
          <w:rFonts w:ascii="Century Gothic" w:hAnsi="Century Gothic"/>
        </w:rPr>
        <w:lastRenderedPageBreak/>
        <w:t xml:space="preserve">pares, así como cualquier cambio posterior a la contratación que realicen los </w:t>
      </w:r>
      <w:r w:rsidR="00E57833">
        <w:rPr>
          <w:rFonts w:ascii="Century Gothic" w:hAnsi="Century Gothic"/>
        </w:rPr>
        <w:t>CS</w:t>
      </w:r>
      <w:r>
        <w:rPr>
          <w:rFonts w:ascii="Century Gothic" w:hAnsi="Century Gothic"/>
        </w:rPr>
        <w:t xml:space="preserve"> en estos parámetros.</w:t>
      </w:r>
    </w:p>
    <w:p w:rsidR="00655060" w:rsidRPr="00611019" w:rsidRDefault="00E56462">
      <w:pPr>
        <w:pStyle w:val="IFTnormal"/>
        <w:numPr>
          <w:ilvl w:val="0"/>
          <w:numId w:val="169"/>
        </w:numPr>
        <w:spacing w:after="6pt"/>
        <w:rPr>
          <w:rFonts w:ascii="Century Gothic" w:hAnsi="Century Gothic"/>
        </w:rPr>
      </w:pPr>
      <w:r>
        <w:rPr>
          <w:rFonts w:ascii="Century Gothic" w:hAnsi="Century Gothic"/>
        </w:rPr>
        <w:t xml:space="preserve">La información que presentarán los </w:t>
      </w:r>
      <w:r w:rsidR="00E57833">
        <w:rPr>
          <w:rFonts w:ascii="Century Gothic" w:hAnsi="Century Gothic"/>
        </w:rPr>
        <w:t>CS</w:t>
      </w:r>
      <w:r>
        <w:rPr>
          <w:rFonts w:ascii="Century Gothic" w:hAnsi="Century Gothic"/>
        </w:rPr>
        <w:t xml:space="preserve"> debe ser proporcionada </w:t>
      </w:r>
      <w:r w:rsidR="00E57833">
        <w:rPr>
          <w:rFonts w:ascii="Century Gothic" w:hAnsi="Century Gothic"/>
        </w:rPr>
        <w:t xml:space="preserve">tanto </w:t>
      </w:r>
      <w:r>
        <w:rPr>
          <w:rFonts w:ascii="Century Gothic" w:hAnsi="Century Gothic"/>
        </w:rPr>
        <w:t xml:space="preserve">para el Bucle Local </w:t>
      </w:r>
      <w:r w:rsidR="00E57833">
        <w:rPr>
          <w:rFonts w:ascii="Century Gothic" w:hAnsi="Century Gothic"/>
        </w:rPr>
        <w:t xml:space="preserve">como para los Sub-Bucles Locales </w:t>
      </w:r>
      <w:r>
        <w:rPr>
          <w:rFonts w:ascii="Century Gothic" w:hAnsi="Century Gothic"/>
        </w:rPr>
        <w:t>desagregados.</w:t>
      </w:r>
    </w:p>
    <w:p w:rsidR="00655060" w:rsidRPr="00611019" w:rsidRDefault="00E56462">
      <w:pPr>
        <w:pStyle w:val="IFTnormal"/>
        <w:numPr>
          <w:ilvl w:val="0"/>
          <w:numId w:val="169"/>
        </w:numPr>
        <w:spacing w:after="6pt"/>
        <w:rPr>
          <w:rFonts w:ascii="Century Gothic" w:hAnsi="Century Gothic"/>
          <w:strike/>
        </w:rPr>
      </w:pPr>
      <w:r>
        <w:rPr>
          <w:rFonts w:ascii="Century Gothic" w:hAnsi="Century Gothic"/>
        </w:rPr>
        <w:lastRenderedPageBreak/>
        <w:t>No se reservará parte de la planta de cobre para el despliegue de señales específicas, las asignaciones serán de manera indistinta y de acuerdo con lo indicado en la Tabla 4.</w:t>
      </w:r>
    </w:p>
    <w:p w:rsidR="00655060" w:rsidRPr="00611019" w:rsidRDefault="00E56462">
      <w:pPr>
        <w:pStyle w:val="IFTnormal"/>
        <w:numPr>
          <w:ilvl w:val="0"/>
          <w:numId w:val="169"/>
        </w:numPr>
        <w:spacing w:after="6pt"/>
        <w:rPr>
          <w:rFonts w:ascii="Century Gothic" w:hAnsi="Century Gothic"/>
        </w:rPr>
      </w:pPr>
      <w:r>
        <w:rPr>
          <w:rFonts w:ascii="Century Gothic" w:hAnsi="Century Gothic"/>
        </w:rPr>
        <w:t>Las tecnologías compatibles indicadas en la Tabla 3 podrán usarse indistintamente en los pares sujetos a desagregación hasta el porcentaje máximo de ocupación que se señala en la Tabla 4 según el tipo de tecnología.</w:t>
      </w:r>
    </w:p>
    <w:p w:rsidR="00655060" w:rsidRPr="00611019" w:rsidRDefault="00E56462">
      <w:pPr>
        <w:pStyle w:val="IFTnormal"/>
        <w:numPr>
          <w:ilvl w:val="0"/>
          <w:numId w:val="169"/>
        </w:numPr>
        <w:spacing w:after="6pt"/>
        <w:rPr>
          <w:rFonts w:ascii="Century Gothic" w:hAnsi="Century Gothic"/>
        </w:rPr>
      </w:pPr>
      <w:r>
        <w:rPr>
          <w:rFonts w:ascii="Century Gothic" w:hAnsi="Century Gothic"/>
        </w:rPr>
        <w:t>Como medida para minimizar el impacto por interferencia solo se permite ocupar un cable de cobre multipar desagregado en cualquier parte de la red de acceso con un máximo del 70% de los pares con las tecnologías compatibles enlistadas en la Tabla 3 y a lo establecido en el punto 6.</w:t>
      </w:r>
    </w:p>
    <w:p w:rsidR="00655060" w:rsidRPr="00611019" w:rsidRDefault="00E56462" w:rsidP="00035D2C">
      <w:pPr>
        <w:pStyle w:val="IFTnormal"/>
        <w:spacing w:after="6pt"/>
        <w:rPr>
          <w:rFonts w:ascii="Century Gothic" w:hAnsi="Century Gothic"/>
        </w:rPr>
      </w:pPr>
      <w:r>
        <w:rPr>
          <w:rFonts w:ascii="Century Gothic" w:hAnsi="Century Gothic"/>
        </w:rPr>
        <w:t>Los perfiles de servicio deberán estar ajustados a las velocidades de Bajada y de Subida de acuerdo con lo establecido en las Tablas 1 y 2 según aplique al tipo de tecnología y al valor de atenuación del par.</w:t>
      </w:r>
    </w:p>
    <w:p w:rsidR="00655060" w:rsidRPr="00611019" w:rsidRDefault="00E56462" w:rsidP="00035D2C">
      <w:pPr>
        <w:pStyle w:val="xxxPiedeCuadroconnombre"/>
        <w:spacing w:before="0pt" w:after="6pt"/>
        <w:jc w:val="center"/>
        <w:rPr>
          <w:rFonts w:ascii="Century Gothic" w:hAnsi="Century Gothic"/>
          <w:b w:val="0"/>
          <w:color w:val="000000" w:themeColor="text1"/>
          <w:szCs w:val="20"/>
        </w:rPr>
      </w:pPr>
      <w:r>
        <w:rPr>
          <w:rFonts w:ascii="Century Gothic" w:hAnsi="Century Gothic"/>
          <w:szCs w:val="20"/>
        </w:rPr>
        <w:t>Tabla 1 Velocidades Alcanzables para Tecnologías A</w:t>
      </w:r>
      <w:r>
        <w:rPr>
          <w:rFonts w:ascii="Century Gothic" w:hAnsi="Century Gothic"/>
          <w:color w:val="000000" w:themeColor="text1"/>
          <w:szCs w:val="20"/>
        </w:rPr>
        <w:t>simétricas</w:t>
      </w:r>
      <w:r>
        <w:rPr>
          <w:rFonts w:ascii="Century Gothic" w:hAnsi="Century Gothic"/>
          <w:b w:val="0"/>
          <w:color w:val="000000" w:themeColor="text1"/>
          <w:szCs w:val="20"/>
        </w:rPr>
        <w:t>.</w:t>
      </w:r>
    </w:p>
    <w:tbl>
      <w:tblPr>
        <w:tblW w:w="351pt" w:type="dxa"/>
        <w:jc w:val="cente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ook w:firstRow="1" w:lastRow="0" w:firstColumn="1" w:lastColumn="0" w:noHBand="0" w:noVBand="1"/>
      </w:tblPr>
      <w:tblGrid>
        <w:gridCol w:w="1351"/>
        <w:gridCol w:w="1248"/>
        <w:gridCol w:w="1359"/>
        <w:gridCol w:w="1359"/>
        <w:gridCol w:w="1525"/>
        <w:gridCol w:w="1525"/>
      </w:tblGrid>
      <w:tr w:rsidR="0061711D" w:rsidTr="0029159C">
        <w:trPr>
          <w:jc w:val="center"/>
        </w:trPr>
        <w:tc>
          <w:tcPr>
            <w:tcW w:w="351pt" w:type="dxa"/>
            <w:gridSpan w:val="6"/>
            <w:tcBorders>
              <w:top w:val="single" w:sz="4" w:space="0" w:color="auto"/>
              <w:start w:val="single" w:sz="4" w:space="0" w:color="auto"/>
              <w:bottom w:val="single" w:sz="4" w:space="0" w:color="auto"/>
              <w:end w:val="single" w:sz="4" w:space="0" w:color="auto"/>
            </w:tcBorders>
            <w:shd w:val="clear" w:color="auto" w:fill="009AD9"/>
            <w:vAlign w:val="center"/>
            <w:hideMark/>
          </w:tcPr>
          <w:p w:rsidR="00655060" w:rsidRPr="00611019" w:rsidRDefault="00E56462" w:rsidP="00035D2C">
            <w:pPr>
              <w:autoSpaceDE w:val="0"/>
              <w:autoSpaceDN w:val="0"/>
              <w:adjustRightInd w:val="0"/>
              <w:spacing w:before="2pt" w:after="2pt"/>
              <w:ind w:start="14.20pt"/>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t>Velocidades de Sincronía (Kbps)</w:t>
            </w:r>
          </w:p>
          <w:p w:rsidR="00655060" w:rsidRPr="00611019" w:rsidRDefault="00E56462" w:rsidP="00035D2C">
            <w:pPr>
              <w:autoSpaceDE w:val="0"/>
              <w:autoSpaceDN w:val="0"/>
              <w:adjustRightInd w:val="0"/>
              <w:spacing w:before="2pt" w:after="2pt"/>
              <w:ind w:start="14.20pt"/>
              <w:jc w:val="center"/>
              <w:rPr>
                <w:rFonts w:ascii="Century Gothic" w:hAnsi="Century Gothic" w:cs="Arial"/>
                <w:b/>
                <w:sz w:val="20"/>
                <w:szCs w:val="20"/>
              </w:rPr>
            </w:pPr>
            <w:r>
              <w:rPr>
                <w:rFonts w:ascii="Century Gothic" w:hAnsi="Century Gothic" w:cs="Arial"/>
                <w:b/>
                <w:color w:val="FFFFFF" w:themeColor="background1"/>
                <w:sz w:val="20"/>
                <w:szCs w:val="20"/>
              </w:rPr>
              <w:t>(Bajada/Subida)</w:t>
            </w:r>
          </w:p>
        </w:tc>
      </w:tr>
      <w:tr w:rsidR="0061711D" w:rsidTr="0029159C">
        <w:trPr>
          <w:jc w:val="center"/>
        </w:trPr>
        <w:tc>
          <w:tcPr>
            <w:tcW w:w="56.95pt" w:type="dxa"/>
            <w:tcBorders>
              <w:top w:val="single" w:sz="4" w:space="0" w:color="auto"/>
              <w:start w:val="single" w:sz="4" w:space="0" w:color="auto"/>
              <w:bottom w:val="single" w:sz="4" w:space="0" w:color="auto"/>
              <w:end w:val="single" w:sz="4" w:space="0" w:color="auto"/>
            </w:tcBorders>
            <w:shd w:val="clear" w:color="auto" w:fill="009AD9"/>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t>Atenuación</w:t>
            </w:r>
          </w:p>
        </w:tc>
        <w:tc>
          <w:tcPr>
            <w:tcW w:w="49.20pt" w:type="dxa"/>
            <w:tcBorders>
              <w:top w:val="single" w:sz="4" w:space="0" w:color="auto"/>
              <w:start w:val="single" w:sz="4" w:space="0" w:color="auto"/>
              <w:bottom w:val="single" w:sz="4" w:space="0" w:color="auto"/>
              <w:end w:val="single" w:sz="4" w:space="0" w:color="auto"/>
            </w:tcBorders>
            <w:shd w:val="clear" w:color="auto" w:fill="009AD9"/>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t>ADSL</w:t>
            </w:r>
          </w:p>
        </w:tc>
        <w:tc>
          <w:tcPr>
            <w:tcW w:w="58.10pt" w:type="dxa"/>
            <w:tcBorders>
              <w:top w:val="single" w:sz="4" w:space="0" w:color="auto"/>
              <w:start w:val="single" w:sz="4" w:space="0" w:color="auto"/>
              <w:bottom w:val="single" w:sz="4" w:space="0" w:color="auto"/>
              <w:end w:val="single" w:sz="4" w:space="0" w:color="auto"/>
            </w:tcBorders>
            <w:shd w:val="clear" w:color="auto" w:fill="009AD9"/>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t>ADSL2+</w:t>
            </w:r>
          </w:p>
        </w:tc>
        <w:tc>
          <w:tcPr>
            <w:tcW w:w="55.40pt" w:type="dxa"/>
            <w:tcBorders>
              <w:top w:val="single" w:sz="4" w:space="0" w:color="auto"/>
              <w:start w:val="single" w:sz="4" w:space="0" w:color="auto"/>
              <w:bottom w:val="single" w:sz="4" w:space="0" w:color="auto"/>
              <w:end w:val="single" w:sz="4" w:space="0" w:color="auto"/>
            </w:tcBorders>
            <w:shd w:val="clear" w:color="auto" w:fill="009AD9"/>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t>VDSL2 8</w:t>
            </w:r>
          </w:p>
        </w:tc>
        <w:tc>
          <w:tcPr>
            <w:tcW w:w="62.10pt" w:type="dxa"/>
            <w:tcBorders>
              <w:top w:val="single" w:sz="4" w:space="0" w:color="auto"/>
              <w:start w:val="single" w:sz="4" w:space="0" w:color="auto"/>
              <w:bottom w:val="single" w:sz="4" w:space="0" w:color="auto"/>
              <w:end w:val="single" w:sz="4" w:space="0" w:color="auto"/>
            </w:tcBorders>
            <w:shd w:val="clear" w:color="auto" w:fill="009AD9"/>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t>VDSL2 12</w:t>
            </w:r>
          </w:p>
        </w:tc>
        <w:tc>
          <w:tcPr>
            <w:tcW w:w="69.25pt" w:type="dxa"/>
            <w:tcBorders>
              <w:top w:val="single" w:sz="4" w:space="0" w:color="auto"/>
              <w:start w:val="single" w:sz="4" w:space="0" w:color="auto"/>
              <w:bottom w:val="single" w:sz="4" w:space="0" w:color="auto"/>
              <w:end w:val="single" w:sz="4" w:space="0" w:color="auto"/>
            </w:tcBorders>
            <w:shd w:val="clear" w:color="auto" w:fill="009AD9"/>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t>VDSL2 17</w:t>
            </w:r>
          </w:p>
        </w:tc>
      </w:tr>
      <w:tr w:rsidR="0061711D" w:rsidTr="0029159C">
        <w:trPr>
          <w:trHeight w:val="227"/>
          <w:jc w:val="center"/>
        </w:trPr>
        <w:tc>
          <w:tcPr>
            <w:tcW w:w="56.95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≤10 dB</w:t>
            </w:r>
          </w:p>
        </w:tc>
        <w:tc>
          <w:tcPr>
            <w:tcW w:w="49.20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4,096/1024</w:t>
            </w:r>
          </w:p>
        </w:tc>
        <w:tc>
          <w:tcPr>
            <w:tcW w:w="58.10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19,200/4800</w:t>
            </w:r>
          </w:p>
        </w:tc>
        <w:tc>
          <w:tcPr>
            <w:tcW w:w="55.40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42,493/8099</w:t>
            </w:r>
          </w:p>
        </w:tc>
        <w:tc>
          <w:tcPr>
            <w:tcW w:w="62.10pt" w:type="dxa"/>
            <w:tcBorders>
              <w:top w:val="single" w:sz="4" w:space="0" w:color="auto"/>
              <w:start w:val="single" w:sz="4" w:space="0" w:color="auto"/>
              <w:bottom w:val="single" w:sz="4" w:space="0" w:color="auto"/>
              <w:end w:val="single" w:sz="4" w:space="0" w:color="auto"/>
            </w:tcBorders>
            <w:vAlign w:val="center"/>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40,710/10,696</w:t>
            </w:r>
          </w:p>
        </w:tc>
        <w:tc>
          <w:tcPr>
            <w:tcW w:w="69.25pt" w:type="dxa"/>
            <w:tcBorders>
              <w:top w:val="single" w:sz="4" w:space="0" w:color="auto"/>
              <w:start w:val="single" w:sz="4" w:space="0" w:color="auto"/>
              <w:bottom w:val="single" w:sz="4" w:space="0" w:color="auto"/>
              <w:end w:val="single" w:sz="4" w:space="0" w:color="auto"/>
            </w:tcBorders>
            <w:vAlign w:val="center"/>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42,490/10,696</w:t>
            </w:r>
          </w:p>
        </w:tc>
      </w:tr>
      <w:tr w:rsidR="0061711D" w:rsidTr="0029159C">
        <w:trPr>
          <w:trHeight w:val="227"/>
          <w:jc w:val="center"/>
        </w:trPr>
        <w:tc>
          <w:tcPr>
            <w:tcW w:w="56.95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 13 dB</w:t>
            </w:r>
          </w:p>
        </w:tc>
        <w:tc>
          <w:tcPr>
            <w:tcW w:w="49.20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4,096/1024</w:t>
            </w:r>
          </w:p>
        </w:tc>
        <w:tc>
          <w:tcPr>
            <w:tcW w:w="58.10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19,200/4800</w:t>
            </w:r>
          </w:p>
        </w:tc>
        <w:tc>
          <w:tcPr>
            <w:tcW w:w="55.40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21,200/5400</w:t>
            </w:r>
          </w:p>
        </w:tc>
        <w:tc>
          <w:tcPr>
            <w:tcW w:w="62.10pt" w:type="dxa"/>
            <w:tcBorders>
              <w:top w:val="single" w:sz="4" w:space="0" w:color="auto"/>
              <w:start w:val="single" w:sz="4" w:space="0" w:color="auto"/>
              <w:bottom w:val="single" w:sz="4" w:space="0" w:color="auto"/>
              <w:end w:val="single" w:sz="4" w:space="0" w:color="auto"/>
            </w:tcBorders>
            <w:vAlign w:val="center"/>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42,493/10,696</w:t>
            </w:r>
          </w:p>
        </w:tc>
        <w:tc>
          <w:tcPr>
            <w:tcW w:w="69.25pt" w:type="dxa"/>
            <w:tcBorders>
              <w:top w:val="single" w:sz="4" w:space="0" w:color="auto"/>
              <w:start w:val="single" w:sz="4" w:space="0" w:color="auto"/>
              <w:bottom w:val="single" w:sz="4" w:space="0" w:color="auto"/>
              <w:end w:val="single" w:sz="4" w:space="0" w:color="auto"/>
            </w:tcBorders>
            <w:vAlign w:val="center"/>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42,490/10,696</w:t>
            </w:r>
          </w:p>
        </w:tc>
      </w:tr>
      <w:tr w:rsidR="0061711D" w:rsidTr="0029159C">
        <w:trPr>
          <w:trHeight w:val="227"/>
          <w:jc w:val="center"/>
        </w:trPr>
        <w:tc>
          <w:tcPr>
            <w:tcW w:w="56.95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 19 dB</w:t>
            </w:r>
          </w:p>
        </w:tc>
        <w:tc>
          <w:tcPr>
            <w:tcW w:w="49.20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4,096/1024</w:t>
            </w:r>
          </w:p>
        </w:tc>
        <w:tc>
          <w:tcPr>
            <w:tcW w:w="58.10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12,544/3136</w:t>
            </w:r>
          </w:p>
        </w:tc>
        <w:tc>
          <w:tcPr>
            <w:tcW w:w="55.40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21,200/5400</w:t>
            </w:r>
          </w:p>
        </w:tc>
        <w:tc>
          <w:tcPr>
            <w:tcW w:w="62.10pt" w:type="dxa"/>
            <w:tcBorders>
              <w:top w:val="single" w:sz="4" w:space="0" w:color="auto"/>
              <w:start w:val="single" w:sz="4" w:space="0" w:color="auto"/>
              <w:bottom w:val="single" w:sz="4" w:space="0" w:color="auto"/>
              <w:end w:val="single" w:sz="4" w:space="0" w:color="auto"/>
            </w:tcBorders>
            <w:vAlign w:val="center"/>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42,493/10,696</w:t>
            </w:r>
          </w:p>
        </w:tc>
        <w:tc>
          <w:tcPr>
            <w:tcW w:w="69.25pt" w:type="dxa"/>
            <w:tcBorders>
              <w:top w:val="single" w:sz="4" w:space="0" w:color="auto"/>
              <w:start w:val="single" w:sz="4" w:space="0" w:color="auto"/>
              <w:bottom w:val="single" w:sz="4" w:space="0" w:color="auto"/>
              <w:end w:val="single" w:sz="4" w:space="0" w:color="auto"/>
            </w:tcBorders>
            <w:vAlign w:val="center"/>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42,493/10,696</w:t>
            </w:r>
          </w:p>
        </w:tc>
      </w:tr>
      <w:tr w:rsidR="0061711D" w:rsidTr="0029159C">
        <w:trPr>
          <w:trHeight w:val="227"/>
          <w:jc w:val="center"/>
        </w:trPr>
        <w:tc>
          <w:tcPr>
            <w:tcW w:w="56.95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 23 dB</w:t>
            </w:r>
          </w:p>
        </w:tc>
        <w:tc>
          <w:tcPr>
            <w:tcW w:w="49.20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4,096/1024</w:t>
            </w:r>
          </w:p>
        </w:tc>
        <w:tc>
          <w:tcPr>
            <w:tcW w:w="58.10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6,016/1504</w:t>
            </w:r>
          </w:p>
        </w:tc>
        <w:tc>
          <w:tcPr>
            <w:tcW w:w="55.40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21,200/4390</w:t>
            </w:r>
          </w:p>
        </w:tc>
        <w:tc>
          <w:tcPr>
            <w:tcW w:w="62.10pt" w:type="dxa"/>
            <w:tcBorders>
              <w:top w:val="single" w:sz="4" w:space="0" w:color="auto"/>
              <w:start w:val="single" w:sz="4" w:space="0" w:color="auto"/>
              <w:bottom w:val="single" w:sz="4" w:space="0" w:color="auto"/>
              <w:end w:val="single" w:sz="4" w:space="0" w:color="auto"/>
            </w:tcBorders>
            <w:vAlign w:val="center"/>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42,493/10,696</w:t>
            </w:r>
          </w:p>
        </w:tc>
        <w:tc>
          <w:tcPr>
            <w:tcW w:w="69.25pt" w:type="dxa"/>
            <w:tcBorders>
              <w:top w:val="single" w:sz="4" w:space="0" w:color="auto"/>
              <w:start w:val="single" w:sz="4" w:space="0" w:color="auto"/>
              <w:bottom w:val="single" w:sz="4" w:space="0" w:color="auto"/>
              <w:end w:val="single" w:sz="4" w:space="0" w:color="auto"/>
            </w:tcBorders>
            <w:vAlign w:val="center"/>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42,490/10,696</w:t>
            </w:r>
          </w:p>
        </w:tc>
      </w:tr>
      <w:tr w:rsidR="0061711D" w:rsidTr="0029159C">
        <w:trPr>
          <w:trHeight w:val="227"/>
          <w:jc w:val="center"/>
        </w:trPr>
        <w:tc>
          <w:tcPr>
            <w:tcW w:w="56.95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 25 dB</w:t>
            </w:r>
          </w:p>
        </w:tc>
        <w:tc>
          <w:tcPr>
            <w:tcW w:w="49.20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4,096/1024</w:t>
            </w:r>
          </w:p>
        </w:tc>
        <w:tc>
          <w:tcPr>
            <w:tcW w:w="58.10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6,016/1504</w:t>
            </w:r>
          </w:p>
        </w:tc>
        <w:tc>
          <w:tcPr>
            <w:tcW w:w="55.40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17119/1935</w:t>
            </w:r>
          </w:p>
        </w:tc>
        <w:tc>
          <w:tcPr>
            <w:tcW w:w="62.10pt" w:type="dxa"/>
            <w:tcBorders>
              <w:top w:val="single" w:sz="4" w:space="0" w:color="auto"/>
              <w:start w:val="single" w:sz="4" w:space="0" w:color="auto"/>
              <w:bottom w:val="single" w:sz="4" w:space="0" w:color="auto"/>
              <w:end w:val="single" w:sz="4" w:space="0" w:color="auto"/>
            </w:tcBorders>
            <w:vAlign w:val="center"/>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42,409/10,636</w:t>
            </w:r>
          </w:p>
        </w:tc>
        <w:tc>
          <w:tcPr>
            <w:tcW w:w="69.25pt" w:type="dxa"/>
            <w:tcBorders>
              <w:top w:val="single" w:sz="4" w:space="0" w:color="auto"/>
              <w:start w:val="single" w:sz="4" w:space="0" w:color="auto"/>
              <w:bottom w:val="single" w:sz="4" w:space="0" w:color="auto"/>
              <w:end w:val="single" w:sz="4" w:space="0" w:color="auto"/>
            </w:tcBorders>
            <w:vAlign w:val="center"/>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31,689/10,696</w:t>
            </w:r>
          </w:p>
        </w:tc>
      </w:tr>
      <w:tr w:rsidR="0061711D" w:rsidTr="0029159C">
        <w:trPr>
          <w:trHeight w:val="227"/>
          <w:jc w:val="center"/>
        </w:trPr>
        <w:tc>
          <w:tcPr>
            <w:tcW w:w="56.95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 26 dB</w:t>
            </w:r>
          </w:p>
        </w:tc>
        <w:tc>
          <w:tcPr>
            <w:tcW w:w="49.20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4,096/1024</w:t>
            </w:r>
          </w:p>
        </w:tc>
        <w:tc>
          <w:tcPr>
            <w:tcW w:w="58.10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6,016/1504</w:t>
            </w:r>
          </w:p>
        </w:tc>
        <w:tc>
          <w:tcPr>
            <w:tcW w:w="55.40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10,635/1047</w:t>
            </w:r>
          </w:p>
        </w:tc>
        <w:tc>
          <w:tcPr>
            <w:tcW w:w="62.10pt" w:type="dxa"/>
            <w:tcBorders>
              <w:top w:val="single" w:sz="4" w:space="0" w:color="auto"/>
              <w:start w:val="single" w:sz="4" w:space="0" w:color="auto"/>
              <w:bottom w:val="single" w:sz="4" w:space="0" w:color="auto"/>
              <w:end w:val="single" w:sz="4" w:space="0" w:color="auto"/>
            </w:tcBorders>
            <w:vAlign w:val="center"/>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31,695/9300</w:t>
            </w:r>
          </w:p>
        </w:tc>
        <w:tc>
          <w:tcPr>
            <w:tcW w:w="69.25pt" w:type="dxa"/>
            <w:tcBorders>
              <w:top w:val="single" w:sz="4" w:space="0" w:color="auto"/>
              <w:start w:val="single" w:sz="4" w:space="0" w:color="auto"/>
              <w:bottom w:val="single" w:sz="4" w:space="0" w:color="auto"/>
              <w:end w:val="single" w:sz="4" w:space="0" w:color="auto"/>
            </w:tcBorders>
            <w:vAlign w:val="center"/>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31,689/8800</w:t>
            </w:r>
          </w:p>
        </w:tc>
      </w:tr>
      <w:tr w:rsidR="0061711D" w:rsidTr="0029159C">
        <w:trPr>
          <w:trHeight w:val="227"/>
          <w:jc w:val="center"/>
        </w:trPr>
        <w:tc>
          <w:tcPr>
            <w:tcW w:w="56.95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 30 dB</w:t>
            </w:r>
          </w:p>
        </w:tc>
        <w:tc>
          <w:tcPr>
            <w:tcW w:w="49.20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3,648/912</w:t>
            </w:r>
          </w:p>
        </w:tc>
        <w:tc>
          <w:tcPr>
            <w:tcW w:w="58.10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3,648/912</w:t>
            </w:r>
          </w:p>
        </w:tc>
        <w:tc>
          <w:tcPr>
            <w:tcW w:w="55.40pt" w:type="dxa"/>
            <w:tcBorders>
              <w:top w:val="single" w:sz="4" w:space="0" w:color="auto"/>
              <w:start w:val="single" w:sz="4" w:space="0" w:color="auto"/>
              <w:bottom w:val="single" w:sz="4" w:space="0" w:color="auto"/>
              <w:end w:val="single" w:sz="4" w:space="0" w:color="auto"/>
            </w:tcBorders>
            <w:shd w:val="clear" w:color="auto" w:fill="BFBFBF"/>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N/A</w:t>
            </w:r>
          </w:p>
        </w:tc>
        <w:tc>
          <w:tcPr>
            <w:tcW w:w="62.10pt" w:type="dxa"/>
            <w:tcBorders>
              <w:top w:val="single" w:sz="4" w:space="0" w:color="auto"/>
              <w:start w:val="single" w:sz="4" w:space="0" w:color="auto"/>
              <w:bottom w:val="single" w:sz="4" w:space="0" w:color="auto"/>
              <w:end w:val="single" w:sz="4" w:space="0" w:color="auto"/>
            </w:tcBorders>
            <w:shd w:val="clear" w:color="auto" w:fill="BFBFBF"/>
            <w:vAlign w:val="center"/>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N/A</w:t>
            </w:r>
          </w:p>
        </w:tc>
        <w:tc>
          <w:tcPr>
            <w:tcW w:w="69.25pt" w:type="dxa"/>
            <w:tcBorders>
              <w:top w:val="single" w:sz="4" w:space="0" w:color="auto"/>
              <w:start w:val="single" w:sz="4" w:space="0" w:color="auto"/>
              <w:bottom w:val="single" w:sz="4" w:space="0" w:color="auto"/>
              <w:end w:val="single" w:sz="4" w:space="0" w:color="auto"/>
            </w:tcBorders>
            <w:shd w:val="clear" w:color="auto" w:fill="BFBFBF"/>
            <w:vAlign w:val="center"/>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N/A</w:t>
            </w:r>
          </w:p>
        </w:tc>
      </w:tr>
      <w:tr w:rsidR="0061711D" w:rsidTr="0029159C">
        <w:trPr>
          <w:trHeight w:val="227"/>
          <w:jc w:val="center"/>
        </w:trPr>
        <w:tc>
          <w:tcPr>
            <w:tcW w:w="56.95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≤39 dB</w:t>
            </w:r>
          </w:p>
        </w:tc>
        <w:tc>
          <w:tcPr>
            <w:tcW w:w="49.20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1,024/256</w:t>
            </w:r>
          </w:p>
        </w:tc>
        <w:tc>
          <w:tcPr>
            <w:tcW w:w="58.10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1,024/256</w:t>
            </w:r>
          </w:p>
        </w:tc>
        <w:tc>
          <w:tcPr>
            <w:tcW w:w="55.40pt" w:type="dxa"/>
            <w:tcBorders>
              <w:top w:val="single" w:sz="4" w:space="0" w:color="auto"/>
              <w:start w:val="single" w:sz="4" w:space="0" w:color="auto"/>
              <w:bottom w:val="single" w:sz="4" w:space="0" w:color="auto"/>
              <w:end w:val="single" w:sz="4" w:space="0" w:color="auto"/>
            </w:tcBorders>
            <w:shd w:val="clear" w:color="auto" w:fill="BFBFBF"/>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N/A</w:t>
            </w:r>
          </w:p>
        </w:tc>
        <w:tc>
          <w:tcPr>
            <w:tcW w:w="62.10pt" w:type="dxa"/>
            <w:tcBorders>
              <w:top w:val="single" w:sz="4" w:space="0" w:color="auto"/>
              <w:start w:val="single" w:sz="4" w:space="0" w:color="auto"/>
              <w:bottom w:val="single" w:sz="4" w:space="0" w:color="auto"/>
              <w:end w:val="single" w:sz="4" w:space="0" w:color="auto"/>
            </w:tcBorders>
            <w:shd w:val="clear" w:color="auto" w:fill="BFBFBF"/>
            <w:vAlign w:val="center"/>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N/A</w:t>
            </w:r>
          </w:p>
        </w:tc>
        <w:tc>
          <w:tcPr>
            <w:tcW w:w="69.25pt" w:type="dxa"/>
            <w:tcBorders>
              <w:top w:val="single" w:sz="4" w:space="0" w:color="auto"/>
              <w:start w:val="single" w:sz="4" w:space="0" w:color="auto"/>
              <w:bottom w:val="single" w:sz="4" w:space="0" w:color="auto"/>
              <w:end w:val="single" w:sz="4" w:space="0" w:color="auto"/>
            </w:tcBorders>
            <w:shd w:val="clear" w:color="auto" w:fill="BFBFBF"/>
            <w:vAlign w:val="center"/>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N/A</w:t>
            </w:r>
          </w:p>
        </w:tc>
      </w:tr>
      <w:tr w:rsidR="0061711D" w:rsidTr="0029159C">
        <w:trPr>
          <w:trHeight w:val="227"/>
          <w:jc w:val="center"/>
        </w:trPr>
        <w:tc>
          <w:tcPr>
            <w:tcW w:w="56.95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&gt; 40dB</w:t>
            </w:r>
          </w:p>
        </w:tc>
        <w:tc>
          <w:tcPr>
            <w:tcW w:w="49.20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512/128</w:t>
            </w:r>
          </w:p>
        </w:tc>
        <w:tc>
          <w:tcPr>
            <w:tcW w:w="58.10pt" w:type="dxa"/>
            <w:tcBorders>
              <w:top w:val="single" w:sz="4" w:space="0" w:color="auto"/>
              <w:start w:val="single" w:sz="4" w:space="0" w:color="auto"/>
              <w:bottom w:val="single" w:sz="4" w:space="0" w:color="auto"/>
              <w:end w:val="single" w:sz="4" w:space="0" w:color="auto"/>
            </w:tcBorders>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512/128</w:t>
            </w:r>
          </w:p>
        </w:tc>
        <w:tc>
          <w:tcPr>
            <w:tcW w:w="55.40pt" w:type="dxa"/>
            <w:tcBorders>
              <w:top w:val="single" w:sz="4" w:space="0" w:color="auto"/>
              <w:start w:val="single" w:sz="4" w:space="0" w:color="auto"/>
              <w:bottom w:val="single" w:sz="4" w:space="0" w:color="auto"/>
              <w:end w:val="single" w:sz="4" w:space="0" w:color="auto"/>
            </w:tcBorders>
            <w:shd w:val="clear" w:color="auto" w:fill="BFBFBF"/>
            <w:vAlign w:val="center"/>
            <w:hideMark/>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N/A</w:t>
            </w:r>
          </w:p>
        </w:tc>
        <w:tc>
          <w:tcPr>
            <w:tcW w:w="62.10pt" w:type="dxa"/>
            <w:tcBorders>
              <w:top w:val="single" w:sz="4" w:space="0" w:color="auto"/>
              <w:start w:val="single" w:sz="4" w:space="0" w:color="auto"/>
              <w:bottom w:val="single" w:sz="4" w:space="0" w:color="auto"/>
              <w:end w:val="single" w:sz="4" w:space="0" w:color="auto"/>
            </w:tcBorders>
            <w:shd w:val="clear" w:color="auto" w:fill="BFBFBF"/>
            <w:vAlign w:val="center"/>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N/A</w:t>
            </w:r>
          </w:p>
        </w:tc>
        <w:tc>
          <w:tcPr>
            <w:tcW w:w="69.25pt" w:type="dxa"/>
            <w:tcBorders>
              <w:top w:val="single" w:sz="4" w:space="0" w:color="auto"/>
              <w:start w:val="single" w:sz="4" w:space="0" w:color="auto"/>
              <w:bottom w:val="single" w:sz="4" w:space="0" w:color="auto"/>
              <w:end w:val="single" w:sz="4" w:space="0" w:color="auto"/>
            </w:tcBorders>
            <w:shd w:val="clear" w:color="auto" w:fill="BFBFBF"/>
            <w:vAlign w:val="center"/>
          </w:tcPr>
          <w:p w:rsidR="00655060" w:rsidRPr="00611019" w:rsidRDefault="00E56462" w:rsidP="00035D2C">
            <w:pPr>
              <w:autoSpaceDE w:val="0"/>
              <w:autoSpaceDN w:val="0"/>
              <w:adjustRightInd w:val="0"/>
              <w:spacing w:before="2pt" w:after="2pt"/>
              <w:ind w:start="0.10pt"/>
              <w:jc w:val="center"/>
              <w:rPr>
                <w:rFonts w:ascii="Century Gothic" w:hAnsi="Century Gothic" w:cs="Arial"/>
                <w:sz w:val="20"/>
                <w:szCs w:val="20"/>
              </w:rPr>
            </w:pPr>
            <w:r>
              <w:rPr>
                <w:rFonts w:ascii="Century Gothic" w:hAnsi="Century Gothic" w:cs="Arial"/>
                <w:sz w:val="20"/>
                <w:szCs w:val="20"/>
              </w:rPr>
              <w:t>N/A</w:t>
            </w:r>
          </w:p>
        </w:tc>
      </w:tr>
    </w:tbl>
    <w:p w:rsidR="00655060" w:rsidRPr="00611019" w:rsidRDefault="00E56462" w:rsidP="00E100F0">
      <w:pPr>
        <w:pStyle w:val="xxxxNotadeCuadro"/>
        <w:jc w:val="center"/>
      </w:pPr>
      <w:r>
        <w:t>VDSL2 8: Plan de banda 8a; VDSL2 12: Plan de banda 12a; VDSL2 17: Plan de banda 17a</w:t>
      </w:r>
    </w:p>
    <w:p w:rsidR="00655060" w:rsidRPr="00611019" w:rsidRDefault="00E56462" w:rsidP="00F645E5">
      <w:pPr>
        <w:pStyle w:val="xxxxNotadeCuadro"/>
      </w:pPr>
      <w:r>
        <w:tab/>
        <w:t>Nota 1:</w:t>
      </w:r>
      <w:r>
        <w:tab/>
        <w:t>Estas velocidades se encuentran estadísticamente como típicas en la red de cobre, no obstante, pudieran existir en algunos casos valores diferentes.</w:t>
      </w:r>
    </w:p>
    <w:p w:rsidR="00655060" w:rsidRPr="00611019" w:rsidRDefault="00E56462" w:rsidP="00F645E5">
      <w:pPr>
        <w:pStyle w:val="xxxxNotadeCuadro"/>
      </w:pPr>
      <w:r>
        <w:tab/>
        <w:t>Nota 2:</w:t>
      </w:r>
      <w:r>
        <w:tab/>
        <w:t>La configuración VDSL2 y VDSL2 con Vectoring, está en revisión y será incluida posteriormente.</w:t>
      </w:r>
    </w:p>
    <w:p w:rsidR="00697C93" w:rsidRPr="00611019" w:rsidRDefault="00697C93" w:rsidP="00035D2C">
      <w:pPr>
        <w:pStyle w:val="IFTnormal"/>
        <w:spacing w:after="6pt"/>
        <w:rPr>
          <w:rFonts w:ascii="Century Gothic" w:hAnsi="Century Gothic"/>
        </w:rPr>
      </w:pPr>
    </w:p>
    <w:p w:rsidR="00655060" w:rsidRPr="00611019" w:rsidRDefault="00E56462" w:rsidP="00035D2C">
      <w:pPr>
        <w:pStyle w:val="IFTnormal"/>
        <w:spacing w:after="6pt"/>
        <w:rPr>
          <w:rFonts w:ascii="Century Gothic" w:hAnsi="Century Gothic"/>
        </w:rPr>
      </w:pPr>
      <w:r>
        <w:rPr>
          <w:rFonts w:ascii="Century Gothic" w:hAnsi="Century Gothic"/>
        </w:rPr>
        <w:lastRenderedPageBreak/>
        <w:t>Para tecnologías simétricas como SHDSL; la velocidad de línea se establece mediante una configuración previa en el equipo de acceso, dentro de los valores discretos establecidos por la propia tecnología (ej. 1,032Kbps, 1,544Kbps, 2,056Kbps, 2,560Kbps, 3,016 Kbps, 4,014 Kbps), las diferentes velocidades podrán utilizarse en el Bucle Local siguiendo la regla de despliegue indicada en el presente documento.</w:t>
      </w:r>
    </w:p>
    <w:p w:rsidR="00697C93" w:rsidRPr="00611019" w:rsidRDefault="00697C93" w:rsidP="00035D2C">
      <w:pPr>
        <w:pStyle w:val="xxxPiedeCuadroconnombre"/>
        <w:spacing w:after="6pt"/>
        <w:ind w:firstLine="21.25pt"/>
        <w:jc w:val="center"/>
        <w:rPr>
          <w:rFonts w:ascii="Century Gothic" w:hAnsi="Century Gothic"/>
          <w:szCs w:val="20"/>
        </w:rPr>
      </w:pPr>
    </w:p>
    <w:p w:rsidR="00655060" w:rsidRPr="00611019" w:rsidRDefault="00E56462" w:rsidP="00035D2C">
      <w:pPr>
        <w:pStyle w:val="xxxPiedeCuadroconnombre"/>
        <w:spacing w:after="6pt"/>
        <w:ind w:firstLine="21.25pt"/>
        <w:jc w:val="center"/>
        <w:rPr>
          <w:rFonts w:ascii="Century Gothic" w:hAnsi="Century Gothic"/>
          <w:b w:val="0"/>
          <w:color w:val="000000" w:themeColor="text1"/>
          <w:szCs w:val="20"/>
        </w:rPr>
      </w:pPr>
      <w:r>
        <w:rPr>
          <w:rFonts w:ascii="Century Gothic" w:hAnsi="Century Gothic"/>
          <w:szCs w:val="20"/>
        </w:rPr>
        <w:t xml:space="preserve">Tabla 2 Velocidades Alcanzables para Tecnologías SHDSL </w:t>
      </w:r>
      <w:r>
        <w:rPr>
          <w:rFonts w:ascii="Century Gothic" w:hAnsi="Century Gothic"/>
          <w:b w:val="0"/>
          <w:color w:val="000000" w:themeColor="text1"/>
          <w:szCs w:val="20"/>
          <w:vertAlign w:val="superscript"/>
        </w:rPr>
        <w:t>1</w:t>
      </w:r>
      <w:r>
        <w:rPr>
          <w:rFonts w:ascii="Century Gothic" w:hAnsi="Century Gothic"/>
          <w:b w:val="0"/>
          <w:color w:val="000000" w:themeColor="text1"/>
          <w:szCs w:val="20"/>
        </w:rPr>
        <w:t>.</w:t>
      </w:r>
    </w:p>
    <w:tbl>
      <w:tblPr>
        <w:tblStyle w:val="Tablaconcuadrcula"/>
        <w:tblW w:w="390.95pt" w:type="dxa"/>
        <w:jc w:val="center"/>
        <w:tblLook w:firstRow="1" w:lastRow="0" w:firstColumn="1" w:lastColumn="0" w:noHBand="0" w:noVBand="1"/>
      </w:tblPr>
      <w:tblGrid>
        <w:gridCol w:w="2814"/>
        <w:gridCol w:w="715"/>
        <w:gridCol w:w="715"/>
        <w:gridCol w:w="715"/>
        <w:gridCol w:w="715"/>
        <w:gridCol w:w="715"/>
        <w:gridCol w:w="715"/>
        <w:gridCol w:w="715"/>
      </w:tblGrid>
      <w:tr w:rsidR="0061711D" w:rsidTr="0029159C">
        <w:trPr>
          <w:trHeight w:val="300"/>
          <w:jc w:val="center"/>
        </w:trPr>
        <w:tc>
          <w:tcPr>
            <w:tcW w:w="140.70pt" w:type="dxa"/>
            <w:shd w:val="clear" w:color="auto" w:fill="009AD9"/>
            <w:noWrap/>
            <w:hideMark/>
          </w:tcPr>
          <w:p w:rsidR="00655060" w:rsidRPr="00611019" w:rsidRDefault="00E56462" w:rsidP="00035D2C">
            <w:pPr>
              <w:autoSpaceDE w:val="0"/>
              <w:autoSpaceDN w:val="0"/>
              <w:adjustRightInd w:val="0"/>
              <w:spacing w:before="2pt" w:after="2pt"/>
              <w:ind w:start="14.20pt"/>
              <w:jc w:val="center"/>
              <w:rPr>
                <w:rFonts w:ascii="Century Gothic" w:hAnsi="Century Gothic" w:cs="Arial"/>
                <w:b/>
                <w:color w:val="FFFFFF" w:themeColor="background1"/>
              </w:rPr>
            </w:pPr>
            <w:r>
              <w:rPr>
                <w:rFonts w:ascii="Century Gothic" w:hAnsi="Century Gothic" w:cs="Arial"/>
                <w:b/>
                <w:color w:val="FFFFFF" w:themeColor="background1"/>
              </w:rPr>
              <w:t>Servicio</w:t>
            </w:r>
          </w:p>
        </w:tc>
        <w:tc>
          <w:tcPr>
            <w:tcW w:w="71.50pt" w:type="dxa"/>
            <w:gridSpan w:val="2"/>
            <w:shd w:val="clear" w:color="auto" w:fill="009AD9"/>
            <w:noWrap/>
            <w:hideMark/>
          </w:tcPr>
          <w:p w:rsidR="00655060" w:rsidRPr="00611019" w:rsidRDefault="00E56462" w:rsidP="00035D2C">
            <w:pPr>
              <w:autoSpaceDE w:val="0"/>
              <w:autoSpaceDN w:val="0"/>
              <w:adjustRightInd w:val="0"/>
              <w:spacing w:before="2pt" w:after="2pt"/>
              <w:ind w:start="14.20pt"/>
              <w:jc w:val="center"/>
              <w:rPr>
                <w:rFonts w:ascii="Century Gothic" w:hAnsi="Century Gothic" w:cs="Arial"/>
                <w:b/>
                <w:color w:val="FFFFFF" w:themeColor="background1"/>
              </w:rPr>
            </w:pPr>
            <w:r>
              <w:rPr>
                <w:rFonts w:ascii="Century Gothic" w:hAnsi="Century Gothic" w:cs="Arial"/>
                <w:b/>
                <w:color w:val="FFFFFF" w:themeColor="background1"/>
              </w:rPr>
              <w:t>2 Mbps</w:t>
            </w:r>
          </w:p>
        </w:tc>
        <w:tc>
          <w:tcPr>
            <w:tcW w:w="107.25pt" w:type="dxa"/>
            <w:gridSpan w:val="3"/>
            <w:shd w:val="clear" w:color="auto" w:fill="009AD9"/>
            <w:noWrap/>
            <w:hideMark/>
          </w:tcPr>
          <w:p w:rsidR="00655060" w:rsidRPr="00611019" w:rsidRDefault="00E56462" w:rsidP="00035D2C">
            <w:pPr>
              <w:autoSpaceDE w:val="0"/>
              <w:autoSpaceDN w:val="0"/>
              <w:adjustRightInd w:val="0"/>
              <w:spacing w:before="2pt" w:after="2pt"/>
              <w:ind w:start="14.20pt"/>
              <w:jc w:val="center"/>
              <w:rPr>
                <w:rFonts w:ascii="Century Gothic" w:hAnsi="Century Gothic" w:cs="Arial"/>
                <w:b/>
                <w:color w:val="FFFFFF" w:themeColor="background1"/>
              </w:rPr>
            </w:pPr>
            <w:r>
              <w:rPr>
                <w:rFonts w:ascii="Century Gothic" w:hAnsi="Century Gothic" w:cs="Arial"/>
                <w:b/>
                <w:color w:val="FFFFFF" w:themeColor="background1"/>
              </w:rPr>
              <w:t>4 Mbps</w:t>
            </w:r>
          </w:p>
        </w:tc>
        <w:tc>
          <w:tcPr>
            <w:tcW w:w="71.50pt" w:type="dxa"/>
            <w:gridSpan w:val="2"/>
            <w:shd w:val="clear" w:color="auto" w:fill="009AD9"/>
            <w:noWrap/>
            <w:hideMark/>
          </w:tcPr>
          <w:p w:rsidR="00655060" w:rsidRPr="00611019" w:rsidRDefault="00E56462" w:rsidP="00035D2C">
            <w:pPr>
              <w:autoSpaceDE w:val="0"/>
              <w:autoSpaceDN w:val="0"/>
              <w:adjustRightInd w:val="0"/>
              <w:spacing w:before="2pt" w:after="2pt"/>
              <w:ind w:start="14.20pt"/>
              <w:jc w:val="center"/>
              <w:rPr>
                <w:rFonts w:ascii="Century Gothic" w:hAnsi="Century Gothic" w:cs="Arial"/>
                <w:b/>
                <w:color w:val="FFFFFF" w:themeColor="background1"/>
              </w:rPr>
            </w:pPr>
            <w:r>
              <w:rPr>
                <w:rFonts w:ascii="Century Gothic" w:hAnsi="Century Gothic" w:cs="Arial"/>
                <w:b/>
                <w:color w:val="FFFFFF" w:themeColor="background1"/>
              </w:rPr>
              <w:t>6 Mbps</w:t>
            </w:r>
          </w:p>
        </w:tc>
      </w:tr>
      <w:tr w:rsidR="0061711D" w:rsidTr="0029159C">
        <w:trPr>
          <w:trHeight w:val="300"/>
          <w:jc w:val="center"/>
        </w:trPr>
        <w:tc>
          <w:tcPr>
            <w:tcW w:w="140.70pt" w:type="dxa"/>
            <w:noWrap/>
            <w:hideMark/>
          </w:tcPr>
          <w:p w:rsidR="00655060" w:rsidRPr="00611019" w:rsidRDefault="00E56462" w:rsidP="00035D2C">
            <w:pPr>
              <w:autoSpaceDE w:val="0"/>
              <w:autoSpaceDN w:val="0"/>
              <w:adjustRightInd w:val="0"/>
              <w:spacing w:before="2pt" w:after="2pt"/>
              <w:jc w:val="center"/>
              <w:rPr>
                <w:rFonts w:ascii="Century Gothic" w:hAnsi="Century Gothic" w:cs="Arial"/>
                <w:b/>
                <w:color w:val="000000" w:themeColor="text1"/>
              </w:rPr>
            </w:pPr>
            <w:r>
              <w:rPr>
                <w:rFonts w:ascii="Century Gothic" w:hAnsi="Century Gothic" w:cs="Arial"/>
                <w:b/>
                <w:color w:val="000000" w:themeColor="text1"/>
              </w:rPr>
              <w:t>Velocidad /Par (Kbps)</w:t>
            </w:r>
          </w:p>
        </w:tc>
        <w:tc>
          <w:tcPr>
            <w:tcW w:w="35.75pt" w:type="dxa"/>
            <w:noWrap/>
            <w:vAlign w:val="center"/>
            <w:hideMark/>
          </w:tcPr>
          <w:p w:rsidR="00655060" w:rsidRPr="00611019" w:rsidRDefault="00E56462" w:rsidP="00035D2C">
            <w:pPr>
              <w:autoSpaceDE w:val="0"/>
              <w:autoSpaceDN w:val="0"/>
              <w:adjustRightInd w:val="0"/>
              <w:spacing w:before="2pt" w:after="2pt"/>
              <w:jc w:val="center"/>
              <w:rPr>
                <w:rFonts w:ascii="Century Gothic" w:hAnsi="Century Gothic" w:cs="Arial"/>
                <w:color w:val="000000" w:themeColor="text1"/>
              </w:rPr>
            </w:pPr>
            <w:r>
              <w:rPr>
                <w:rFonts w:ascii="Century Gothic" w:hAnsi="Century Gothic" w:cs="Arial"/>
                <w:color w:val="000000" w:themeColor="text1"/>
              </w:rPr>
              <w:t>2,056</w:t>
            </w:r>
          </w:p>
        </w:tc>
        <w:tc>
          <w:tcPr>
            <w:tcW w:w="35.75pt" w:type="dxa"/>
            <w:noWrap/>
            <w:vAlign w:val="center"/>
            <w:hideMark/>
          </w:tcPr>
          <w:p w:rsidR="00655060" w:rsidRPr="00611019" w:rsidRDefault="00E56462" w:rsidP="00035D2C">
            <w:pPr>
              <w:autoSpaceDE w:val="0"/>
              <w:autoSpaceDN w:val="0"/>
              <w:adjustRightInd w:val="0"/>
              <w:spacing w:before="2pt" w:after="2pt"/>
              <w:jc w:val="center"/>
              <w:rPr>
                <w:rFonts w:ascii="Century Gothic" w:hAnsi="Century Gothic" w:cs="Arial"/>
                <w:color w:val="000000" w:themeColor="text1"/>
              </w:rPr>
            </w:pPr>
            <w:r>
              <w:rPr>
                <w:rFonts w:ascii="Century Gothic" w:hAnsi="Century Gothic" w:cs="Arial"/>
                <w:color w:val="000000" w:themeColor="text1"/>
              </w:rPr>
              <w:t>1,032</w:t>
            </w:r>
          </w:p>
        </w:tc>
        <w:tc>
          <w:tcPr>
            <w:tcW w:w="35.75pt" w:type="dxa"/>
            <w:noWrap/>
            <w:vAlign w:val="center"/>
            <w:hideMark/>
          </w:tcPr>
          <w:p w:rsidR="00655060" w:rsidRPr="00611019" w:rsidRDefault="00E56462" w:rsidP="00035D2C">
            <w:pPr>
              <w:autoSpaceDE w:val="0"/>
              <w:autoSpaceDN w:val="0"/>
              <w:adjustRightInd w:val="0"/>
              <w:spacing w:before="2pt" w:after="2pt"/>
              <w:jc w:val="center"/>
              <w:rPr>
                <w:rFonts w:ascii="Century Gothic" w:hAnsi="Century Gothic" w:cs="Arial"/>
                <w:color w:val="000000" w:themeColor="text1"/>
              </w:rPr>
            </w:pPr>
            <w:r>
              <w:rPr>
                <w:rFonts w:ascii="Century Gothic" w:hAnsi="Century Gothic" w:cs="Arial"/>
                <w:color w:val="000000" w:themeColor="text1"/>
              </w:rPr>
              <w:t>4,014</w:t>
            </w:r>
          </w:p>
        </w:tc>
        <w:tc>
          <w:tcPr>
            <w:tcW w:w="35.75pt" w:type="dxa"/>
            <w:noWrap/>
            <w:vAlign w:val="center"/>
            <w:hideMark/>
          </w:tcPr>
          <w:p w:rsidR="00655060" w:rsidRPr="00611019" w:rsidRDefault="00E56462" w:rsidP="00035D2C">
            <w:pPr>
              <w:autoSpaceDE w:val="0"/>
              <w:autoSpaceDN w:val="0"/>
              <w:adjustRightInd w:val="0"/>
              <w:spacing w:before="2pt" w:after="2pt"/>
              <w:jc w:val="center"/>
              <w:rPr>
                <w:rFonts w:ascii="Century Gothic" w:hAnsi="Century Gothic" w:cs="Arial"/>
                <w:color w:val="000000" w:themeColor="text1"/>
              </w:rPr>
            </w:pPr>
            <w:r>
              <w:rPr>
                <w:rFonts w:ascii="Century Gothic" w:hAnsi="Century Gothic" w:cs="Arial"/>
                <w:color w:val="000000" w:themeColor="text1"/>
              </w:rPr>
              <w:t>2,560</w:t>
            </w:r>
          </w:p>
        </w:tc>
        <w:tc>
          <w:tcPr>
            <w:tcW w:w="35.75pt" w:type="dxa"/>
            <w:noWrap/>
            <w:vAlign w:val="center"/>
            <w:hideMark/>
          </w:tcPr>
          <w:p w:rsidR="00655060" w:rsidRPr="00611019" w:rsidRDefault="00E56462" w:rsidP="00035D2C">
            <w:pPr>
              <w:autoSpaceDE w:val="0"/>
              <w:autoSpaceDN w:val="0"/>
              <w:adjustRightInd w:val="0"/>
              <w:spacing w:before="2pt" w:after="2pt"/>
              <w:jc w:val="center"/>
              <w:rPr>
                <w:rFonts w:ascii="Century Gothic" w:hAnsi="Century Gothic" w:cs="Arial"/>
                <w:color w:val="000000" w:themeColor="text1"/>
              </w:rPr>
            </w:pPr>
            <w:r>
              <w:rPr>
                <w:rFonts w:ascii="Century Gothic" w:hAnsi="Century Gothic" w:cs="Arial"/>
                <w:color w:val="000000" w:themeColor="text1"/>
              </w:rPr>
              <w:t>1,032</w:t>
            </w:r>
          </w:p>
        </w:tc>
        <w:tc>
          <w:tcPr>
            <w:tcW w:w="35.75pt" w:type="dxa"/>
            <w:noWrap/>
            <w:vAlign w:val="center"/>
            <w:hideMark/>
          </w:tcPr>
          <w:p w:rsidR="00655060" w:rsidRPr="00611019" w:rsidRDefault="00E56462" w:rsidP="00035D2C">
            <w:pPr>
              <w:autoSpaceDE w:val="0"/>
              <w:autoSpaceDN w:val="0"/>
              <w:adjustRightInd w:val="0"/>
              <w:spacing w:before="2pt" w:after="2pt"/>
              <w:jc w:val="center"/>
              <w:rPr>
                <w:rFonts w:ascii="Century Gothic" w:hAnsi="Century Gothic" w:cs="Arial"/>
                <w:color w:val="000000" w:themeColor="text1"/>
              </w:rPr>
            </w:pPr>
            <w:r>
              <w:rPr>
                <w:rFonts w:ascii="Century Gothic" w:hAnsi="Century Gothic" w:cs="Arial"/>
                <w:color w:val="000000" w:themeColor="text1"/>
              </w:rPr>
              <w:t>3,016</w:t>
            </w:r>
          </w:p>
        </w:tc>
        <w:tc>
          <w:tcPr>
            <w:tcW w:w="35.75pt" w:type="dxa"/>
            <w:noWrap/>
            <w:vAlign w:val="center"/>
            <w:hideMark/>
          </w:tcPr>
          <w:p w:rsidR="00655060" w:rsidRPr="00611019" w:rsidRDefault="00E56462" w:rsidP="00035D2C">
            <w:pPr>
              <w:autoSpaceDE w:val="0"/>
              <w:autoSpaceDN w:val="0"/>
              <w:adjustRightInd w:val="0"/>
              <w:spacing w:before="2pt" w:after="2pt"/>
              <w:jc w:val="center"/>
              <w:rPr>
                <w:rFonts w:ascii="Century Gothic" w:hAnsi="Century Gothic" w:cs="Arial"/>
                <w:color w:val="000000" w:themeColor="text1"/>
              </w:rPr>
            </w:pPr>
            <w:r>
              <w:rPr>
                <w:rFonts w:ascii="Century Gothic" w:hAnsi="Century Gothic" w:cs="Arial"/>
                <w:color w:val="000000" w:themeColor="text1"/>
              </w:rPr>
              <w:t>1,544</w:t>
            </w:r>
          </w:p>
        </w:tc>
      </w:tr>
      <w:tr w:rsidR="0061711D" w:rsidTr="0029159C">
        <w:trPr>
          <w:trHeight w:val="300"/>
          <w:jc w:val="center"/>
        </w:trPr>
        <w:tc>
          <w:tcPr>
            <w:tcW w:w="140.70pt" w:type="dxa"/>
            <w:noWrap/>
            <w:hideMark/>
          </w:tcPr>
          <w:p w:rsidR="00655060" w:rsidRPr="00611019" w:rsidRDefault="00E56462" w:rsidP="00035D2C">
            <w:pPr>
              <w:autoSpaceDE w:val="0"/>
              <w:autoSpaceDN w:val="0"/>
              <w:adjustRightInd w:val="0"/>
              <w:spacing w:before="2pt" w:after="2pt"/>
              <w:jc w:val="center"/>
              <w:rPr>
                <w:rFonts w:ascii="Century Gothic" w:hAnsi="Century Gothic" w:cs="Arial"/>
                <w:b/>
                <w:color w:val="000000" w:themeColor="text1"/>
              </w:rPr>
            </w:pPr>
            <w:r>
              <w:rPr>
                <w:rFonts w:ascii="Century Gothic" w:hAnsi="Century Gothic" w:cs="Arial"/>
                <w:b/>
                <w:color w:val="000000" w:themeColor="text1"/>
              </w:rPr>
              <w:t>Cantidad de Pares</w:t>
            </w:r>
          </w:p>
        </w:tc>
        <w:tc>
          <w:tcPr>
            <w:tcW w:w="35.75pt" w:type="dxa"/>
            <w:noWrap/>
            <w:vAlign w:val="center"/>
            <w:hideMark/>
          </w:tcPr>
          <w:p w:rsidR="00655060" w:rsidRPr="00611019" w:rsidRDefault="00E56462" w:rsidP="00035D2C">
            <w:pPr>
              <w:autoSpaceDE w:val="0"/>
              <w:autoSpaceDN w:val="0"/>
              <w:adjustRightInd w:val="0"/>
              <w:spacing w:before="2pt" w:after="2pt"/>
              <w:jc w:val="center"/>
              <w:rPr>
                <w:rFonts w:ascii="Century Gothic" w:hAnsi="Century Gothic" w:cs="Arial"/>
                <w:color w:val="000000" w:themeColor="text1"/>
              </w:rPr>
            </w:pPr>
            <w:r>
              <w:rPr>
                <w:rFonts w:ascii="Century Gothic" w:hAnsi="Century Gothic" w:cs="Arial"/>
                <w:color w:val="000000" w:themeColor="text1"/>
              </w:rPr>
              <w:t>1</w:t>
            </w:r>
          </w:p>
        </w:tc>
        <w:tc>
          <w:tcPr>
            <w:tcW w:w="35.75pt" w:type="dxa"/>
            <w:noWrap/>
            <w:vAlign w:val="center"/>
            <w:hideMark/>
          </w:tcPr>
          <w:p w:rsidR="00655060" w:rsidRPr="00611019" w:rsidRDefault="00E56462" w:rsidP="00035D2C">
            <w:pPr>
              <w:autoSpaceDE w:val="0"/>
              <w:autoSpaceDN w:val="0"/>
              <w:adjustRightInd w:val="0"/>
              <w:spacing w:before="2pt" w:after="2pt"/>
              <w:jc w:val="center"/>
              <w:rPr>
                <w:rFonts w:ascii="Century Gothic" w:hAnsi="Century Gothic" w:cs="Arial"/>
                <w:color w:val="000000" w:themeColor="text1"/>
              </w:rPr>
            </w:pPr>
            <w:r>
              <w:rPr>
                <w:rFonts w:ascii="Century Gothic" w:hAnsi="Century Gothic" w:cs="Arial"/>
                <w:color w:val="000000" w:themeColor="text1"/>
              </w:rPr>
              <w:t>2</w:t>
            </w:r>
          </w:p>
        </w:tc>
        <w:tc>
          <w:tcPr>
            <w:tcW w:w="35.75pt" w:type="dxa"/>
            <w:noWrap/>
            <w:vAlign w:val="center"/>
            <w:hideMark/>
          </w:tcPr>
          <w:p w:rsidR="00655060" w:rsidRPr="00611019" w:rsidRDefault="00E56462" w:rsidP="00035D2C">
            <w:pPr>
              <w:autoSpaceDE w:val="0"/>
              <w:autoSpaceDN w:val="0"/>
              <w:adjustRightInd w:val="0"/>
              <w:spacing w:before="2pt" w:after="2pt"/>
              <w:jc w:val="center"/>
              <w:rPr>
                <w:rFonts w:ascii="Century Gothic" w:hAnsi="Century Gothic" w:cs="Arial"/>
                <w:color w:val="000000" w:themeColor="text1"/>
              </w:rPr>
            </w:pPr>
            <w:r>
              <w:rPr>
                <w:rFonts w:ascii="Century Gothic" w:hAnsi="Century Gothic" w:cs="Arial"/>
                <w:color w:val="000000" w:themeColor="text1"/>
              </w:rPr>
              <w:t>1</w:t>
            </w:r>
          </w:p>
        </w:tc>
        <w:tc>
          <w:tcPr>
            <w:tcW w:w="35.75pt" w:type="dxa"/>
            <w:noWrap/>
            <w:vAlign w:val="center"/>
            <w:hideMark/>
          </w:tcPr>
          <w:p w:rsidR="00655060" w:rsidRPr="00611019" w:rsidRDefault="00E56462" w:rsidP="00035D2C">
            <w:pPr>
              <w:autoSpaceDE w:val="0"/>
              <w:autoSpaceDN w:val="0"/>
              <w:adjustRightInd w:val="0"/>
              <w:spacing w:before="2pt" w:after="2pt"/>
              <w:jc w:val="center"/>
              <w:rPr>
                <w:rFonts w:ascii="Century Gothic" w:hAnsi="Century Gothic" w:cs="Arial"/>
                <w:color w:val="000000" w:themeColor="text1"/>
              </w:rPr>
            </w:pPr>
            <w:r>
              <w:rPr>
                <w:rFonts w:ascii="Century Gothic" w:hAnsi="Century Gothic" w:cs="Arial"/>
                <w:color w:val="000000" w:themeColor="text1"/>
              </w:rPr>
              <w:t>2</w:t>
            </w:r>
          </w:p>
        </w:tc>
        <w:tc>
          <w:tcPr>
            <w:tcW w:w="35.75pt" w:type="dxa"/>
            <w:noWrap/>
            <w:vAlign w:val="center"/>
            <w:hideMark/>
          </w:tcPr>
          <w:p w:rsidR="00655060" w:rsidRPr="00611019" w:rsidRDefault="00E56462" w:rsidP="00035D2C">
            <w:pPr>
              <w:autoSpaceDE w:val="0"/>
              <w:autoSpaceDN w:val="0"/>
              <w:adjustRightInd w:val="0"/>
              <w:spacing w:before="2pt" w:after="2pt"/>
              <w:jc w:val="center"/>
              <w:rPr>
                <w:rFonts w:ascii="Century Gothic" w:hAnsi="Century Gothic" w:cs="Arial"/>
                <w:color w:val="000000" w:themeColor="text1"/>
              </w:rPr>
            </w:pPr>
            <w:r>
              <w:rPr>
                <w:rFonts w:ascii="Century Gothic" w:hAnsi="Century Gothic" w:cs="Arial"/>
                <w:color w:val="000000" w:themeColor="text1"/>
              </w:rPr>
              <w:t>4</w:t>
            </w:r>
          </w:p>
        </w:tc>
        <w:tc>
          <w:tcPr>
            <w:tcW w:w="35.75pt" w:type="dxa"/>
            <w:noWrap/>
            <w:vAlign w:val="center"/>
            <w:hideMark/>
          </w:tcPr>
          <w:p w:rsidR="00655060" w:rsidRPr="00611019" w:rsidRDefault="00E56462" w:rsidP="00035D2C">
            <w:pPr>
              <w:autoSpaceDE w:val="0"/>
              <w:autoSpaceDN w:val="0"/>
              <w:adjustRightInd w:val="0"/>
              <w:spacing w:before="2pt" w:after="2pt"/>
              <w:jc w:val="center"/>
              <w:rPr>
                <w:rFonts w:ascii="Century Gothic" w:hAnsi="Century Gothic" w:cs="Arial"/>
                <w:color w:val="000000" w:themeColor="text1"/>
              </w:rPr>
            </w:pPr>
            <w:r>
              <w:rPr>
                <w:rFonts w:ascii="Century Gothic" w:hAnsi="Century Gothic" w:cs="Arial"/>
                <w:color w:val="000000" w:themeColor="text1"/>
              </w:rPr>
              <w:t>2</w:t>
            </w:r>
          </w:p>
        </w:tc>
        <w:tc>
          <w:tcPr>
            <w:tcW w:w="35.75pt" w:type="dxa"/>
            <w:noWrap/>
            <w:vAlign w:val="center"/>
            <w:hideMark/>
          </w:tcPr>
          <w:p w:rsidR="00655060" w:rsidRPr="00611019" w:rsidRDefault="00E56462" w:rsidP="00035D2C">
            <w:pPr>
              <w:autoSpaceDE w:val="0"/>
              <w:autoSpaceDN w:val="0"/>
              <w:adjustRightInd w:val="0"/>
              <w:spacing w:before="2pt" w:after="2pt"/>
              <w:jc w:val="center"/>
              <w:rPr>
                <w:rFonts w:ascii="Century Gothic" w:hAnsi="Century Gothic" w:cs="Arial"/>
                <w:color w:val="000000" w:themeColor="text1"/>
              </w:rPr>
            </w:pPr>
            <w:r>
              <w:rPr>
                <w:rFonts w:ascii="Century Gothic" w:hAnsi="Century Gothic" w:cs="Arial"/>
                <w:color w:val="000000" w:themeColor="text1"/>
              </w:rPr>
              <w:t>4</w:t>
            </w:r>
          </w:p>
        </w:tc>
      </w:tr>
      <w:tr w:rsidR="0061711D" w:rsidTr="0029159C">
        <w:trPr>
          <w:trHeight w:val="320"/>
          <w:jc w:val="center"/>
        </w:trPr>
        <w:tc>
          <w:tcPr>
            <w:tcW w:w="140.70pt" w:type="dxa"/>
            <w:noWrap/>
            <w:hideMark/>
          </w:tcPr>
          <w:p w:rsidR="00655060" w:rsidRPr="00611019" w:rsidRDefault="00E56462" w:rsidP="00035D2C">
            <w:pPr>
              <w:autoSpaceDE w:val="0"/>
              <w:autoSpaceDN w:val="0"/>
              <w:adjustRightInd w:val="0"/>
              <w:spacing w:before="2pt" w:after="2pt"/>
              <w:jc w:val="center"/>
              <w:rPr>
                <w:rFonts w:ascii="Century Gothic" w:hAnsi="Century Gothic" w:cs="Arial"/>
                <w:b/>
                <w:color w:val="000000" w:themeColor="text1"/>
              </w:rPr>
            </w:pPr>
            <w:r>
              <w:rPr>
                <w:rFonts w:ascii="Century Gothic" w:hAnsi="Century Gothic" w:cs="Arial"/>
                <w:b/>
                <w:color w:val="000000" w:themeColor="text1"/>
              </w:rPr>
              <w:t>Atenuación (dB)</w:t>
            </w:r>
          </w:p>
        </w:tc>
        <w:tc>
          <w:tcPr>
            <w:tcW w:w="35.75pt" w:type="dxa"/>
            <w:noWrap/>
            <w:vAlign w:val="center"/>
            <w:hideMark/>
          </w:tcPr>
          <w:p w:rsidR="00655060" w:rsidRPr="00611019" w:rsidRDefault="00E56462" w:rsidP="00035D2C">
            <w:pPr>
              <w:autoSpaceDE w:val="0"/>
              <w:autoSpaceDN w:val="0"/>
              <w:adjustRightInd w:val="0"/>
              <w:spacing w:before="2pt" w:after="2pt"/>
              <w:jc w:val="center"/>
              <w:rPr>
                <w:rFonts w:ascii="Century Gothic" w:hAnsi="Century Gothic" w:cs="Arial"/>
                <w:color w:val="000000" w:themeColor="text1"/>
              </w:rPr>
            </w:pPr>
            <w:r>
              <w:rPr>
                <w:rFonts w:ascii="Century Gothic" w:hAnsi="Century Gothic" w:cs="Arial"/>
                <w:color w:val="000000" w:themeColor="text1"/>
              </w:rPr>
              <w:t>23.3</w:t>
            </w:r>
          </w:p>
        </w:tc>
        <w:tc>
          <w:tcPr>
            <w:tcW w:w="35.75pt" w:type="dxa"/>
            <w:noWrap/>
            <w:vAlign w:val="center"/>
            <w:hideMark/>
          </w:tcPr>
          <w:p w:rsidR="00655060" w:rsidRPr="00611019" w:rsidRDefault="00E56462" w:rsidP="00035D2C">
            <w:pPr>
              <w:autoSpaceDE w:val="0"/>
              <w:autoSpaceDN w:val="0"/>
              <w:adjustRightInd w:val="0"/>
              <w:spacing w:before="2pt" w:after="2pt"/>
              <w:jc w:val="center"/>
              <w:rPr>
                <w:rFonts w:ascii="Century Gothic" w:hAnsi="Century Gothic" w:cs="Arial"/>
                <w:color w:val="000000" w:themeColor="text1"/>
              </w:rPr>
            </w:pPr>
            <w:r>
              <w:rPr>
                <w:rFonts w:ascii="Century Gothic" w:hAnsi="Century Gothic" w:cs="Arial"/>
                <w:color w:val="000000" w:themeColor="text1"/>
              </w:rPr>
              <w:t>26</w:t>
            </w:r>
          </w:p>
        </w:tc>
        <w:tc>
          <w:tcPr>
            <w:tcW w:w="35.75pt" w:type="dxa"/>
            <w:noWrap/>
            <w:vAlign w:val="center"/>
            <w:hideMark/>
          </w:tcPr>
          <w:p w:rsidR="00655060" w:rsidRPr="00611019" w:rsidRDefault="00E56462" w:rsidP="00035D2C">
            <w:pPr>
              <w:autoSpaceDE w:val="0"/>
              <w:autoSpaceDN w:val="0"/>
              <w:adjustRightInd w:val="0"/>
              <w:spacing w:before="2pt" w:after="2pt"/>
              <w:jc w:val="center"/>
              <w:rPr>
                <w:rFonts w:ascii="Century Gothic" w:hAnsi="Century Gothic" w:cs="Arial"/>
                <w:color w:val="000000" w:themeColor="text1"/>
              </w:rPr>
            </w:pPr>
            <w:r>
              <w:rPr>
                <w:rFonts w:ascii="Century Gothic" w:hAnsi="Century Gothic" w:cs="Arial"/>
                <w:color w:val="000000" w:themeColor="text1"/>
              </w:rPr>
              <w:t>16.6</w:t>
            </w:r>
          </w:p>
        </w:tc>
        <w:tc>
          <w:tcPr>
            <w:tcW w:w="35.75pt" w:type="dxa"/>
            <w:noWrap/>
            <w:vAlign w:val="center"/>
            <w:hideMark/>
          </w:tcPr>
          <w:p w:rsidR="00655060" w:rsidRPr="00611019" w:rsidRDefault="00E56462" w:rsidP="00035D2C">
            <w:pPr>
              <w:autoSpaceDE w:val="0"/>
              <w:autoSpaceDN w:val="0"/>
              <w:adjustRightInd w:val="0"/>
              <w:spacing w:before="2pt" w:after="2pt"/>
              <w:jc w:val="center"/>
              <w:rPr>
                <w:rFonts w:ascii="Century Gothic" w:hAnsi="Century Gothic" w:cs="Arial"/>
                <w:color w:val="000000" w:themeColor="text1"/>
              </w:rPr>
            </w:pPr>
            <w:r>
              <w:rPr>
                <w:rFonts w:ascii="Century Gothic" w:hAnsi="Century Gothic" w:cs="Arial"/>
                <w:color w:val="000000" w:themeColor="text1"/>
              </w:rPr>
              <w:t>23.3</w:t>
            </w:r>
          </w:p>
        </w:tc>
        <w:tc>
          <w:tcPr>
            <w:tcW w:w="35.75pt" w:type="dxa"/>
            <w:noWrap/>
            <w:vAlign w:val="center"/>
            <w:hideMark/>
          </w:tcPr>
          <w:p w:rsidR="00655060" w:rsidRPr="00611019" w:rsidRDefault="00E56462" w:rsidP="00035D2C">
            <w:pPr>
              <w:autoSpaceDE w:val="0"/>
              <w:autoSpaceDN w:val="0"/>
              <w:adjustRightInd w:val="0"/>
              <w:spacing w:before="2pt" w:after="2pt"/>
              <w:jc w:val="center"/>
              <w:rPr>
                <w:rFonts w:ascii="Century Gothic" w:hAnsi="Century Gothic" w:cs="Arial"/>
                <w:color w:val="000000" w:themeColor="text1"/>
              </w:rPr>
            </w:pPr>
            <w:r>
              <w:rPr>
                <w:rFonts w:ascii="Century Gothic" w:hAnsi="Century Gothic" w:cs="Arial"/>
                <w:color w:val="000000" w:themeColor="text1"/>
              </w:rPr>
              <w:t>26.7</w:t>
            </w:r>
          </w:p>
        </w:tc>
        <w:tc>
          <w:tcPr>
            <w:tcW w:w="35.75pt" w:type="dxa"/>
            <w:noWrap/>
            <w:vAlign w:val="center"/>
            <w:hideMark/>
          </w:tcPr>
          <w:p w:rsidR="00655060" w:rsidRPr="00611019" w:rsidRDefault="00E56462" w:rsidP="00035D2C">
            <w:pPr>
              <w:autoSpaceDE w:val="0"/>
              <w:autoSpaceDN w:val="0"/>
              <w:adjustRightInd w:val="0"/>
              <w:spacing w:before="2pt" w:after="2pt"/>
              <w:jc w:val="center"/>
              <w:rPr>
                <w:rFonts w:ascii="Century Gothic" w:hAnsi="Century Gothic" w:cs="Arial"/>
                <w:color w:val="000000" w:themeColor="text1"/>
              </w:rPr>
            </w:pPr>
            <w:r>
              <w:rPr>
                <w:rFonts w:ascii="Century Gothic" w:hAnsi="Century Gothic" w:cs="Arial"/>
                <w:color w:val="000000" w:themeColor="text1"/>
              </w:rPr>
              <w:t>20.8</w:t>
            </w:r>
          </w:p>
        </w:tc>
        <w:tc>
          <w:tcPr>
            <w:tcW w:w="35.75pt" w:type="dxa"/>
            <w:noWrap/>
            <w:vAlign w:val="center"/>
            <w:hideMark/>
          </w:tcPr>
          <w:p w:rsidR="00655060" w:rsidRPr="00611019" w:rsidRDefault="00E56462" w:rsidP="00035D2C">
            <w:pPr>
              <w:autoSpaceDE w:val="0"/>
              <w:autoSpaceDN w:val="0"/>
              <w:adjustRightInd w:val="0"/>
              <w:spacing w:before="2pt" w:after="2pt"/>
              <w:jc w:val="center"/>
              <w:rPr>
                <w:rFonts w:ascii="Century Gothic" w:hAnsi="Century Gothic" w:cs="Arial"/>
                <w:color w:val="000000" w:themeColor="text1"/>
              </w:rPr>
            </w:pPr>
            <w:r>
              <w:rPr>
                <w:rFonts w:ascii="Century Gothic" w:hAnsi="Century Gothic" w:cs="Arial"/>
                <w:color w:val="000000" w:themeColor="text1"/>
              </w:rPr>
              <w:t>24.6</w:t>
            </w:r>
          </w:p>
        </w:tc>
      </w:tr>
    </w:tbl>
    <w:p w:rsidR="00655060" w:rsidRPr="00611019" w:rsidRDefault="00E100F0" w:rsidP="00F645E5">
      <w:pPr>
        <w:pStyle w:val="xxxxNotadeCuadro"/>
      </w:pPr>
      <w:r>
        <w:tab/>
      </w:r>
      <w:r>
        <w:tab/>
      </w:r>
      <w:r w:rsidR="00E56462">
        <w:t>Nota 1:</w:t>
      </w:r>
      <w:r w:rsidR="00E56462">
        <w:tab/>
        <w:t>SHDSL anexo F.</w:t>
      </w:r>
    </w:p>
    <w:p w:rsidR="00655060" w:rsidRPr="00611019" w:rsidRDefault="00E100F0" w:rsidP="00E100F0">
      <w:pPr>
        <w:pStyle w:val="xxxxNotadeCuadro"/>
        <w:tabs>
          <w:tab w:val="clear" w:pos="14.20pt"/>
          <w:tab w:val="start" w:pos="0pt"/>
        </w:tabs>
        <w:ind w:start="70.90pt" w:hanging="70.90pt"/>
      </w:pPr>
      <w:r>
        <w:tab/>
      </w:r>
      <w:r w:rsidR="00E56462">
        <w:t>Nota 2:</w:t>
      </w:r>
      <w:r>
        <w:t xml:space="preserve"> </w:t>
      </w:r>
      <w:r>
        <w:tab/>
      </w:r>
      <w:r w:rsidR="00E56462">
        <w:t>Estas velocidades deben consideran una relación señal a ruido de acuerdo a la tecnología y diseño del servicio.</w:t>
      </w:r>
    </w:p>
    <w:p w:rsidR="006A4EFB" w:rsidRPr="00611019" w:rsidRDefault="006A4EFB" w:rsidP="00035D2C">
      <w:pPr>
        <w:autoSpaceDE w:val="0"/>
        <w:autoSpaceDN w:val="0"/>
        <w:adjustRightInd w:val="0"/>
        <w:spacing w:after="6pt"/>
        <w:ind w:start="56.70pt" w:firstLine="0.05pt"/>
        <w:jc w:val="both"/>
        <w:rPr>
          <w:rFonts w:ascii="Century Gothic" w:hAnsi="Century Gothic" w:cs="Arial"/>
          <w:color w:val="000000" w:themeColor="text1"/>
        </w:rPr>
      </w:pPr>
    </w:p>
    <w:p w:rsidR="00655060" w:rsidRPr="00611019" w:rsidRDefault="00E56462" w:rsidP="00035D2C">
      <w:pPr>
        <w:pStyle w:val="0Tit11"/>
        <w:spacing w:before="0pt" w:line="13.80pt" w:lineRule="auto"/>
      </w:pPr>
      <w:bookmarkStart w:id="2596" w:name="_Toc92974142"/>
      <w:bookmarkStart w:id="2597" w:name="_Toc93052453"/>
      <w:bookmarkStart w:id="2598" w:name="_Toc93056408"/>
      <w:bookmarkStart w:id="2599" w:name="_Toc125393472"/>
      <w:bookmarkStart w:id="2600" w:name="_Toc148702328"/>
      <w:bookmarkStart w:id="2601" w:name="_Toc170381943"/>
      <w:r>
        <w:t>4.2</w:t>
      </w:r>
      <w:r>
        <w:tab/>
        <w:t>Reglas Aplicables a las Tecnologías en el Par de Cobre.</w:t>
      </w:r>
      <w:bookmarkEnd w:id="2596"/>
      <w:bookmarkEnd w:id="2597"/>
      <w:bookmarkEnd w:id="2598"/>
      <w:bookmarkEnd w:id="2599"/>
      <w:bookmarkEnd w:id="2600"/>
      <w:bookmarkEnd w:id="2601"/>
    </w:p>
    <w:p w:rsidR="00FB519C" w:rsidRPr="00611019" w:rsidRDefault="00FB519C" w:rsidP="00035D2C"/>
    <w:p w:rsidR="006A4EFB" w:rsidRPr="00611019" w:rsidRDefault="00E56462" w:rsidP="00035D2C">
      <w:pPr>
        <w:pStyle w:val="IFTnormal"/>
        <w:spacing w:after="6pt"/>
        <w:rPr>
          <w:rFonts w:ascii="Century Gothic" w:hAnsi="Century Gothic"/>
          <w:b/>
          <w:u w:val="single"/>
        </w:rPr>
      </w:pPr>
      <w:r>
        <w:rPr>
          <w:rFonts w:ascii="Century Gothic" w:hAnsi="Century Gothic"/>
          <w:b/>
          <w:u w:val="single"/>
        </w:rPr>
        <w:t>Despliegue de tecnología de transmisión para el Bucle Local</w:t>
      </w:r>
      <w:r w:rsidR="00E57833">
        <w:rPr>
          <w:rFonts w:ascii="Century Gothic" w:hAnsi="Century Gothic"/>
          <w:b/>
          <w:u w:val="single"/>
        </w:rPr>
        <w:t xml:space="preserve"> o el Sub-Bucle Local</w:t>
      </w:r>
      <w:r>
        <w:rPr>
          <w:rFonts w:ascii="Century Gothic" w:hAnsi="Century Gothic"/>
          <w:b/>
          <w:u w:val="single"/>
        </w:rPr>
        <w:t>.</w:t>
      </w:r>
    </w:p>
    <w:p w:rsidR="00655060" w:rsidRPr="00611019" w:rsidRDefault="00E56462">
      <w:pPr>
        <w:pStyle w:val="IFTnormal"/>
        <w:numPr>
          <w:ilvl w:val="0"/>
          <w:numId w:val="170"/>
        </w:numPr>
        <w:spacing w:after="6pt"/>
        <w:rPr>
          <w:rFonts w:ascii="Century Gothic" w:hAnsi="Century Gothic"/>
        </w:rPr>
      </w:pPr>
      <w:r>
        <w:rPr>
          <w:rFonts w:ascii="Century Gothic" w:hAnsi="Century Gothic"/>
        </w:rPr>
        <w:t>Se deben aplicar siempre las máscaras de PSD para todas las tecnologías asimétricas bajo los esquemas de Desagregación Total y Compartida en el Bucle Local</w:t>
      </w:r>
      <w:r w:rsidR="00E57833">
        <w:rPr>
          <w:rFonts w:ascii="Century Gothic" w:hAnsi="Century Gothic"/>
        </w:rPr>
        <w:t xml:space="preserve"> y Sub-Bucle Local</w:t>
      </w:r>
      <w:r>
        <w:rPr>
          <w:rFonts w:ascii="Century Gothic" w:hAnsi="Century Gothic"/>
        </w:rPr>
        <w:t xml:space="preserve">, como son: </w:t>
      </w:r>
    </w:p>
    <w:p w:rsidR="00655060" w:rsidRPr="00611019" w:rsidRDefault="00E56462">
      <w:pPr>
        <w:pStyle w:val="IFTnormal"/>
        <w:numPr>
          <w:ilvl w:val="0"/>
          <w:numId w:val="170"/>
        </w:numPr>
        <w:spacing w:after="6pt"/>
        <w:rPr>
          <w:rFonts w:ascii="Century Gothic" w:hAnsi="Century Gothic"/>
        </w:rPr>
      </w:pPr>
      <w:r>
        <w:rPr>
          <w:rFonts w:ascii="Century Gothic" w:hAnsi="Century Gothic"/>
        </w:rPr>
        <w:t>Las tecnologías ADSL (ADSL, ADSL2 y ADSL2+).</w:t>
      </w:r>
    </w:p>
    <w:p w:rsidR="00655060" w:rsidRPr="00611019" w:rsidRDefault="00E56462">
      <w:pPr>
        <w:pStyle w:val="IFTnormal"/>
        <w:numPr>
          <w:ilvl w:val="0"/>
          <w:numId w:val="170"/>
        </w:numPr>
        <w:spacing w:after="6pt"/>
        <w:rPr>
          <w:rFonts w:ascii="Century Gothic" w:hAnsi="Century Gothic"/>
        </w:rPr>
      </w:pPr>
      <w:r>
        <w:rPr>
          <w:rFonts w:ascii="Century Gothic" w:hAnsi="Century Gothic"/>
        </w:rPr>
        <w:t>La tecnología VDSL2.</w:t>
      </w:r>
    </w:p>
    <w:p w:rsidR="00655060" w:rsidRPr="00611019" w:rsidRDefault="00E56462">
      <w:pPr>
        <w:pStyle w:val="IFTnormal"/>
        <w:numPr>
          <w:ilvl w:val="0"/>
          <w:numId w:val="170"/>
        </w:numPr>
        <w:spacing w:after="6pt"/>
        <w:rPr>
          <w:rFonts w:ascii="Century Gothic" w:hAnsi="Century Gothic"/>
        </w:rPr>
      </w:pPr>
      <w:r>
        <w:rPr>
          <w:rFonts w:ascii="Century Gothic" w:hAnsi="Century Gothic"/>
        </w:rPr>
        <w:t xml:space="preserve">No se podrá negar la desagregación del bucle en los casos en los que aún no se encuentre operando con tecnología VDSL2-Vectoring. Se deberá hacer del conocimiento de los </w:t>
      </w:r>
      <w:r w:rsidR="00E57833">
        <w:rPr>
          <w:rFonts w:ascii="Century Gothic" w:hAnsi="Century Gothic"/>
        </w:rPr>
        <w:t>CS</w:t>
      </w:r>
      <w:r>
        <w:rPr>
          <w:rFonts w:ascii="Century Gothic" w:hAnsi="Century Gothic"/>
        </w:rPr>
        <w:t xml:space="preserve"> la información del segmento de Bucle </w:t>
      </w:r>
      <w:r w:rsidR="00E57833">
        <w:rPr>
          <w:rFonts w:ascii="Century Gothic" w:hAnsi="Century Gothic"/>
        </w:rPr>
        <w:t xml:space="preserve">o Sub-Bucle Local </w:t>
      </w:r>
      <w:r>
        <w:rPr>
          <w:rFonts w:ascii="Century Gothic" w:hAnsi="Century Gothic"/>
        </w:rPr>
        <w:t>sobre el cual opera con tecnología VDSL2-Vectoring para justificar en su caso la negación de entrada de equipos xDSL con esa misma tecnología.</w:t>
      </w:r>
    </w:p>
    <w:p w:rsidR="00655060" w:rsidRPr="00611019" w:rsidRDefault="00E56462">
      <w:pPr>
        <w:pStyle w:val="IFTnormal"/>
        <w:numPr>
          <w:ilvl w:val="0"/>
          <w:numId w:val="170"/>
        </w:numPr>
        <w:rPr>
          <w:rFonts w:ascii="Century Gothic" w:hAnsi="Century Gothic"/>
        </w:rPr>
      </w:pPr>
      <w:r>
        <w:rPr>
          <w:rFonts w:ascii="Century Gothic" w:hAnsi="Century Gothic"/>
        </w:rPr>
        <w:t xml:space="preserve">En caso de existir, se deberá poner a disposición de los </w:t>
      </w:r>
      <w:r w:rsidR="00E57833">
        <w:rPr>
          <w:rFonts w:ascii="Century Gothic" w:hAnsi="Century Gothic"/>
        </w:rPr>
        <w:t>CS</w:t>
      </w:r>
      <w:r>
        <w:rPr>
          <w:rFonts w:ascii="Century Gothic" w:hAnsi="Century Gothic"/>
        </w:rPr>
        <w:t xml:space="preserve"> la información del(los) segmento(s) de Bucle(s) </w:t>
      </w:r>
      <w:r w:rsidR="00E57833">
        <w:rPr>
          <w:rFonts w:ascii="Century Gothic" w:hAnsi="Century Gothic"/>
        </w:rPr>
        <w:t xml:space="preserve">o Sub-Bucle(s) </w:t>
      </w:r>
      <w:r>
        <w:rPr>
          <w:rFonts w:ascii="Century Gothic" w:hAnsi="Century Gothic"/>
        </w:rPr>
        <w:t>Local(es) bajo los cuales ya se encuentra operando con tecnología VDSL2-Vectoring.</w:t>
      </w:r>
    </w:p>
    <w:p w:rsidR="00FB519C" w:rsidRPr="00611019" w:rsidRDefault="00FB519C" w:rsidP="00035D2C">
      <w:pPr>
        <w:pStyle w:val="IFTnormal"/>
        <w:ind w:start="36pt"/>
        <w:rPr>
          <w:rFonts w:ascii="Century Gothic" w:hAnsi="Century Gothic"/>
          <w:sz w:val="18"/>
        </w:rPr>
      </w:pPr>
    </w:p>
    <w:p w:rsidR="00FB519C" w:rsidRPr="00611019" w:rsidRDefault="00FB519C" w:rsidP="00035D2C">
      <w:pPr>
        <w:pStyle w:val="IFTnormal"/>
        <w:ind w:start="36pt"/>
        <w:rPr>
          <w:rFonts w:ascii="Century Gothic" w:hAnsi="Century Gothic"/>
          <w:sz w:val="18"/>
        </w:rPr>
      </w:pPr>
    </w:p>
    <w:p w:rsidR="006A4EFB" w:rsidRPr="00611019" w:rsidRDefault="00E56462" w:rsidP="00035D2C">
      <w:pPr>
        <w:pStyle w:val="Ttulo1"/>
        <w:keepNext/>
        <w:ind w:start="21.60pt" w:hanging="21.60pt"/>
        <w:jc w:val="start"/>
        <w:rPr>
          <w:rFonts w:ascii="Century Gothic" w:hAnsi="Century Gothic"/>
          <w:color w:val="000000" w:themeColor="text1"/>
        </w:rPr>
      </w:pPr>
      <w:bookmarkStart w:id="2602" w:name="_Toc92974143"/>
      <w:bookmarkStart w:id="2603" w:name="_Toc93052454"/>
      <w:bookmarkStart w:id="2604" w:name="_Toc93056409"/>
      <w:bookmarkStart w:id="2605" w:name="_Toc125393473"/>
      <w:bookmarkStart w:id="2606" w:name="_Toc148702329"/>
      <w:bookmarkStart w:id="2607" w:name="_Toc170381944"/>
      <w:r>
        <w:rPr>
          <w:rFonts w:ascii="Century Gothic" w:hAnsi="Century Gothic"/>
        </w:rPr>
        <w:t>5.</w:t>
      </w:r>
      <w:r>
        <w:rPr>
          <w:rFonts w:ascii="Century Gothic" w:hAnsi="Century Gothic"/>
        </w:rPr>
        <w:tab/>
      </w:r>
      <w:r>
        <w:rPr>
          <w:rFonts w:ascii="Century Gothic" w:hAnsi="Century Gothic"/>
          <w:color w:val="000000" w:themeColor="text1"/>
        </w:rPr>
        <w:t>Tecnologías a desplegar en la red de cobre desagregada.</w:t>
      </w:r>
      <w:bookmarkEnd w:id="2602"/>
      <w:bookmarkEnd w:id="2603"/>
      <w:bookmarkEnd w:id="2604"/>
      <w:bookmarkEnd w:id="2605"/>
      <w:bookmarkEnd w:id="2606"/>
      <w:bookmarkEnd w:id="2607"/>
    </w:p>
    <w:p w:rsidR="00FB519C" w:rsidRPr="00611019" w:rsidRDefault="00FB519C" w:rsidP="00035D2C">
      <w:pPr>
        <w:rPr>
          <w:sz w:val="8"/>
          <w:lang w:val="es-ES" w:eastAsia="es-ES"/>
        </w:rPr>
      </w:pPr>
    </w:p>
    <w:p w:rsidR="00655060" w:rsidRPr="00611019" w:rsidRDefault="00E56462" w:rsidP="00035D2C">
      <w:pPr>
        <w:pStyle w:val="IFTnormal"/>
        <w:rPr>
          <w:rFonts w:ascii="Century Gothic" w:hAnsi="Century Gothic"/>
        </w:rPr>
      </w:pPr>
      <w:r>
        <w:rPr>
          <w:rFonts w:ascii="Century Gothic" w:hAnsi="Century Gothic"/>
        </w:rPr>
        <w:t xml:space="preserve">La calidad de una señal sobre un Bucle </w:t>
      </w:r>
      <w:r w:rsidR="008D51C4">
        <w:rPr>
          <w:rFonts w:ascii="Century Gothic" w:hAnsi="Century Gothic"/>
        </w:rPr>
        <w:t xml:space="preserve">o Sub-Bucle </w:t>
      </w:r>
      <w:r>
        <w:rPr>
          <w:rFonts w:ascii="Century Gothic" w:hAnsi="Century Gothic"/>
        </w:rPr>
        <w:t xml:space="preserve">Local se valorará –entre otras formas- de forma teórica o experimental conforme a las interferencias producidas por los Bucles </w:t>
      </w:r>
      <w:r w:rsidR="008D51C4">
        <w:rPr>
          <w:rFonts w:ascii="Century Gothic" w:hAnsi="Century Gothic"/>
        </w:rPr>
        <w:t xml:space="preserve">o Sub-Bucles </w:t>
      </w:r>
      <w:r>
        <w:rPr>
          <w:rFonts w:ascii="Century Gothic" w:hAnsi="Century Gothic"/>
        </w:rPr>
        <w:t xml:space="preserve">Locales que conviven entre sí y otras fuentes externas de interferencias </w:t>
      </w:r>
      <w:r>
        <w:rPr>
          <w:rFonts w:ascii="Century Gothic" w:hAnsi="Century Gothic"/>
        </w:rPr>
        <w:lastRenderedPageBreak/>
        <w:t>considerando el nivel de penetración, atenuación y las tecnologías existentes y por introducir.</w:t>
      </w:r>
    </w:p>
    <w:p w:rsidR="00FB519C" w:rsidRPr="00611019" w:rsidRDefault="00FB519C" w:rsidP="00035D2C">
      <w:pPr>
        <w:pStyle w:val="IFTnormal"/>
        <w:rPr>
          <w:rFonts w:ascii="Century Gothic" w:hAnsi="Century Gothic"/>
          <w:sz w:val="20"/>
        </w:rPr>
      </w:pPr>
    </w:p>
    <w:p w:rsidR="006A4EFB" w:rsidRPr="00611019" w:rsidRDefault="00E56462" w:rsidP="00035D2C">
      <w:pPr>
        <w:pStyle w:val="Ttulo2"/>
        <w:spacing w:after="0pt"/>
        <w:ind w:start="28.80pt" w:hanging="28.80pt"/>
        <w:rPr>
          <w:rFonts w:ascii="Century Gothic" w:hAnsi="Century Gothic"/>
          <w:color w:val="000000" w:themeColor="text1"/>
        </w:rPr>
      </w:pPr>
      <w:bookmarkStart w:id="2608" w:name="_Toc92974144"/>
      <w:bookmarkStart w:id="2609" w:name="_Toc93052455"/>
      <w:bookmarkStart w:id="2610" w:name="_Toc93056410"/>
      <w:bookmarkStart w:id="2611" w:name="_Toc125393474"/>
      <w:bookmarkStart w:id="2612" w:name="_Toc148702330"/>
      <w:bookmarkStart w:id="2613" w:name="_Toc170381945"/>
      <w:r>
        <w:rPr>
          <w:rFonts w:ascii="Century Gothic" w:hAnsi="Century Gothic"/>
        </w:rPr>
        <w:t>5.1</w:t>
      </w:r>
      <w:r>
        <w:rPr>
          <w:rFonts w:ascii="Century Gothic" w:hAnsi="Century Gothic"/>
        </w:rPr>
        <w:tab/>
      </w:r>
      <w:r>
        <w:rPr>
          <w:rFonts w:ascii="Century Gothic" w:hAnsi="Century Gothic"/>
          <w:color w:val="000000" w:themeColor="text1"/>
        </w:rPr>
        <w:t>Tecnologías Compatibles.</w:t>
      </w:r>
      <w:bookmarkEnd w:id="2608"/>
      <w:bookmarkEnd w:id="2609"/>
      <w:bookmarkEnd w:id="2610"/>
      <w:bookmarkEnd w:id="2611"/>
      <w:bookmarkEnd w:id="2612"/>
      <w:bookmarkEnd w:id="2613"/>
    </w:p>
    <w:p w:rsidR="00FB519C" w:rsidRPr="00611019" w:rsidRDefault="00FB519C" w:rsidP="00035D2C">
      <w:pPr>
        <w:rPr>
          <w:sz w:val="8"/>
        </w:rPr>
      </w:pPr>
    </w:p>
    <w:p w:rsidR="00655060" w:rsidRPr="00611019" w:rsidRDefault="00E56462" w:rsidP="00035D2C">
      <w:pPr>
        <w:pStyle w:val="IFTnormal"/>
        <w:rPr>
          <w:rFonts w:ascii="Century Gothic" w:hAnsi="Century Gothic"/>
        </w:rPr>
      </w:pPr>
      <w:r>
        <w:rPr>
          <w:rFonts w:ascii="Century Gothic" w:hAnsi="Century Gothic"/>
        </w:rPr>
        <w:t xml:space="preserve">Las tecnologías que se mencionan de forma explícita en la Tabla 3, podrán ser utilizadas en los pares desagregados. Todas las tecnologías o variantes de la tecnología que no se </w:t>
      </w:r>
      <w:r>
        <w:rPr>
          <w:rFonts w:ascii="Century Gothic" w:hAnsi="Century Gothic"/>
        </w:rPr>
        <w:lastRenderedPageBreak/>
        <w:t>mencionan explícitamente en esta Tabla se consideran como tecnologías no aprobadas, dado que no está demostrada su compatibilidad.</w:t>
      </w:r>
    </w:p>
    <w:p w:rsidR="00FB519C" w:rsidRPr="00611019" w:rsidRDefault="00FB519C" w:rsidP="00035D2C">
      <w:pPr>
        <w:pStyle w:val="IFTnormal"/>
        <w:rPr>
          <w:rFonts w:ascii="Century Gothic" w:hAnsi="Century Gothic"/>
        </w:rPr>
      </w:pPr>
    </w:p>
    <w:p w:rsidR="00FB519C" w:rsidRPr="00611019" w:rsidRDefault="00FB519C" w:rsidP="00035D2C">
      <w:pPr>
        <w:pStyle w:val="IFTnormal"/>
        <w:rPr>
          <w:rFonts w:ascii="Century Gothic" w:hAnsi="Century Gothic"/>
          <w:sz w:val="8"/>
        </w:rPr>
      </w:pPr>
    </w:p>
    <w:p w:rsidR="00655060" w:rsidRPr="00611019" w:rsidRDefault="00E56462" w:rsidP="00035D2C">
      <w:pPr>
        <w:pStyle w:val="xxxPiedeCuadroconnombre"/>
        <w:spacing w:before="3pt" w:after="3pt"/>
        <w:jc w:val="center"/>
        <w:rPr>
          <w:rFonts w:ascii="Century Gothic" w:hAnsi="Century Gothic"/>
        </w:rPr>
      </w:pPr>
      <w:r>
        <w:rPr>
          <w:rFonts w:ascii="Century Gothic" w:hAnsi="Century Gothic"/>
        </w:rPr>
        <w:t>Tabla 3 Grupos de Tecnologías Compatibles.</w:t>
      </w:r>
    </w:p>
    <w:tbl>
      <w:tblPr>
        <w:tblStyle w:val="Cuadrculadetablaclara1"/>
        <w:tblW w:w="104.0%" w:type="pct"/>
        <w:jc w:val="center"/>
        <w:tblLook w:firstRow="1" w:lastRow="0" w:firstColumn="1" w:lastColumn="0" w:noHBand="0" w:noVBand="1"/>
      </w:tblPr>
      <w:tblGrid>
        <w:gridCol w:w="1063"/>
        <w:gridCol w:w="1799"/>
        <w:gridCol w:w="4641"/>
        <w:gridCol w:w="2267"/>
      </w:tblGrid>
      <w:tr w:rsidR="0061711D" w:rsidTr="008D51C4">
        <w:trPr>
          <w:jc w:val="center"/>
        </w:trPr>
        <w:tc>
          <w:tcPr>
            <w:tcW w:w="53.15pt" w:type="dxa"/>
            <w:shd w:val="clear" w:color="auto" w:fill="009AD9"/>
            <w:vAlign w:val="center"/>
          </w:tcPr>
          <w:p w:rsidR="00655060" w:rsidRPr="00611019" w:rsidRDefault="00E56462" w:rsidP="00035D2C">
            <w:pPr>
              <w:autoSpaceDE w:val="0"/>
              <w:autoSpaceDN w:val="0"/>
              <w:adjustRightInd w:val="0"/>
              <w:jc w:val="center"/>
              <w:rPr>
                <w:rFonts w:ascii="Century Gothic" w:hAnsi="Century Gothic" w:cs="Arial"/>
                <w:b/>
                <w:color w:val="FFFFFF" w:themeColor="background1"/>
                <w:sz w:val="18"/>
              </w:rPr>
            </w:pPr>
            <w:r>
              <w:rPr>
                <w:rFonts w:ascii="Century Gothic" w:hAnsi="Century Gothic" w:cs="Arial"/>
                <w:b/>
                <w:color w:val="FFFFFF" w:themeColor="background1"/>
                <w:sz w:val="18"/>
              </w:rPr>
              <w:t>Numero de Grupo</w:t>
            </w:r>
          </w:p>
        </w:tc>
        <w:tc>
          <w:tcPr>
            <w:tcW w:w="89.95pt" w:type="dxa"/>
            <w:shd w:val="clear" w:color="auto" w:fill="009AD9"/>
            <w:vAlign w:val="center"/>
          </w:tcPr>
          <w:p w:rsidR="00655060" w:rsidRPr="00611019" w:rsidRDefault="00E56462" w:rsidP="00035D2C">
            <w:pPr>
              <w:autoSpaceDE w:val="0"/>
              <w:autoSpaceDN w:val="0"/>
              <w:adjustRightInd w:val="0"/>
              <w:jc w:val="center"/>
              <w:rPr>
                <w:rFonts w:ascii="Century Gothic" w:hAnsi="Century Gothic" w:cs="Arial"/>
                <w:b/>
                <w:color w:val="FFFFFF" w:themeColor="background1"/>
                <w:sz w:val="18"/>
              </w:rPr>
            </w:pPr>
            <w:r>
              <w:rPr>
                <w:rFonts w:ascii="Century Gothic" w:hAnsi="Century Gothic" w:cs="Arial"/>
                <w:b/>
                <w:color w:val="FFFFFF" w:themeColor="background1"/>
                <w:sz w:val="18"/>
              </w:rPr>
              <w:t>Clasificación</w:t>
            </w:r>
          </w:p>
        </w:tc>
        <w:tc>
          <w:tcPr>
            <w:tcW w:w="232.05pt" w:type="dxa"/>
            <w:shd w:val="clear" w:color="auto" w:fill="009AD9"/>
            <w:vAlign w:val="center"/>
          </w:tcPr>
          <w:p w:rsidR="00655060" w:rsidRPr="00611019" w:rsidRDefault="00E56462" w:rsidP="00035D2C">
            <w:pPr>
              <w:autoSpaceDE w:val="0"/>
              <w:autoSpaceDN w:val="0"/>
              <w:adjustRightInd w:val="0"/>
              <w:jc w:val="center"/>
              <w:rPr>
                <w:rFonts w:ascii="Century Gothic" w:hAnsi="Century Gothic" w:cs="Arial"/>
                <w:b/>
                <w:color w:val="FFFFFF" w:themeColor="background1"/>
                <w:sz w:val="18"/>
              </w:rPr>
            </w:pPr>
            <w:r>
              <w:rPr>
                <w:rFonts w:ascii="Century Gothic" w:hAnsi="Century Gothic" w:cs="Arial"/>
                <w:b/>
                <w:color w:val="FFFFFF" w:themeColor="background1"/>
                <w:sz w:val="18"/>
              </w:rPr>
              <w:t>Tecnología / Uso</w:t>
            </w:r>
          </w:p>
        </w:tc>
        <w:tc>
          <w:tcPr>
            <w:tcW w:w="113.35pt" w:type="dxa"/>
            <w:shd w:val="clear" w:color="auto" w:fill="009AD9"/>
            <w:vAlign w:val="center"/>
          </w:tcPr>
          <w:p w:rsidR="00655060" w:rsidRPr="00611019" w:rsidRDefault="00E56462" w:rsidP="00035D2C">
            <w:pPr>
              <w:autoSpaceDE w:val="0"/>
              <w:autoSpaceDN w:val="0"/>
              <w:adjustRightInd w:val="0"/>
              <w:jc w:val="center"/>
              <w:rPr>
                <w:rFonts w:ascii="Century Gothic" w:hAnsi="Century Gothic" w:cs="Arial"/>
                <w:b/>
                <w:color w:val="FFFFFF" w:themeColor="background1"/>
                <w:sz w:val="18"/>
              </w:rPr>
            </w:pPr>
            <w:r>
              <w:rPr>
                <w:rFonts w:ascii="Century Gothic" w:hAnsi="Century Gothic" w:cs="Arial"/>
                <w:b/>
                <w:color w:val="FFFFFF" w:themeColor="background1"/>
                <w:sz w:val="18"/>
              </w:rPr>
              <w:t>Referencia de Cumplimiento</w:t>
            </w:r>
          </w:p>
        </w:tc>
      </w:tr>
      <w:tr w:rsidR="0061711D" w:rsidTr="008D51C4">
        <w:trPr>
          <w:jc w:val="center"/>
        </w:trPr>
        <w:tc>
          <w:tcPr>
            <w:tcW w:w="53.15pt" w:type="dxa"/>
            <w:vAlign w:val="center"/>
          </w:tcPr>
          <w:p w:rsidR="00655060" w:rsidRPr="00611019" w:rsidRDefault="00E56462" w:rsidP="00035D2C">
            <w:pPr>
              <w:autoSpaceDE w:val="0"/>
              <w:autoSpaceDN w:val="0"/>
              <w:adjustRightInd w:val="0"/>
              <w:jc w:val="center"/>
              <w:rPr>
                <w:rFonts w:ascii="Century Gothic" w:hAnsi="Century Gothic" w:cs="Arial"/>
                <w:color w:val="000000" w:themeColor="text1"/>
              </w:rPr>
            </w:pPr>
            <w:r>
              <w:rPr>
                <w:rFonts w:ascii="Century Gothic" w:hAnsi="Century Gothic" w:cs="Arial"/>
                <w:color w:val="000000" w:themeColor="text1"/>
              </w:rPr>
              <w:t>A</w:t>
            </w:r>
          </w:p>
        </w:tc>
        <w:tc>
          <w:tcPr>
            <w:tcW w:w="89.95pt" w:type="dxa"/>
            <w:vAlign w:val="center"/>
          </w:tcPr>
          <w:p w:rsidR="00655060" w:rsidRPr="00611019" w:rsidRDefault="00E56462" w:rsidP="00035D2C">
            <w:pPr>
              <w:autoSpaceDE w:val="0"/>
              <w:autoSpaceDN w:val="0"/>
              <w:adjustRightInd w:val="0"/>
              <w:rPr>
                <w:rFonts w:ascii="Century Gothic" w:hAnsi="Century Gothic" w:cs="Arial"/>
                <w:color w:val="000000" w:themeColor="text1"/>
              </w:rPr>
            </w:pPr>
            <w:r>
              <w:rPr>
                <w:rFonts w:ascii="Century Gothic" w:hAnsi="Century Gothic" w:cs="Arial"/>
                <w:color w:val="000000" w:themeColor="text1"/>
              </w:rPr>
              <w:t>Sistemas de Alimentación de Corriente Directa (DC)</w:t>
            </w:r>
          </w:p>
        </w:tc>
        <w:tc>
          <w:tcPr>
            <w:tcW w:w="232.05pt" w:type="dxa"/>
            <w:vAlign w:val="center"/>
          </w:tcPr>
          <w:p w:rsidR="00655060" w:rsidRPr="00611019" w:rsidRDefault="00E56462" w:rsidP="00035D2C">
            <w:pPr>
              <w:autoSpaceDE w:val="0"/>
              <w:autoSpaceDN w:val="0"/>
              <w:adjustRightInd w:val="0"/>
              <w:rPr>
                <w:rFonts w:ascii="Century Gothic" w:hAnsi="Century Gothic" w:cs="Arial"/>
                <w:color w:val="000000" w:themeColor="text1"/>
              </w:rPr>
            </w:pPr>
            <w:r>
              <w:rPr>
                <w:rFonts w:ascii="Century Gothic" w:hAnsi="Century Gothic" w:cs="Arial"/>
                <w:color w:val="000000" w:themeColor="text1"/>
              </w:rPr>
              <w:t>Clase A: Sistemas de Alimentación Remota tipo TNV (Desde Central)</w:t>
            </w:r>
          </w:p>
        </w:tc>
        <w:tc>
          <w:tcPr>
            <w:tcW w:w="113.35pt" w:type="dxa"/>
            <w:vAlign w:val="center"/>
          </w:tcPr>
          <w:p w:rsidR="00655060" w:rsidRPr="00611019" w:rsidRDefault="00E56462" w:rsidP="00035D2C">
            <w:pPr>
              <w:widowControl w:val="0"/>
              <w:autoSpaceDE w:val="0"/>
              <w:autoSpaceDN w:val="0"/>
              <w:adjustRightInd w:val="0"/>
              <w:rPr>
                <w:rFonts w:ascii="Century Gothic" w:hAnsi="Century Gothic" w:cs="Arial"/>
                <w:color w:val="000000" w:themeColor="text1"/>
              </w:rPr>
            </w:pPr>
            <w:r>
              <w:rPr>
                <w:rFonts w:ascii="Century Gothic" w:hAnsi="Century Gothic" w:cs="Arial"/>
                <w:color w:val="000000" w:themeColor="text1"/>
              </w:rPr>
              <w:t>7.1. ETSI TR 101 830-1 V1.5.2 (2009-05)</w:t>
            </w:r>
          </w:p>
          <w:p w:rsidR="00655060" w:rsidRPr="00611019" w:rsidRDefault="00655060" w:rsidP="00035D2C">
            <w:pPr>
              <w:widowControl w:val="0"/>
              <w:autoSpaceDE w:val="0"/>
              <w:autoSpaceDN w:val="0"/>
              <w:adjustRightInd w:val="0"/>
              <w:rPr>
                <w:rFonts w:ascii="Century Gothic" w:hAnsi="Century Gothic" w:cs="Arial"/>
                <w:color w:val="000000" w:themeColor="text1"/>
              </w:rPr>
            </w:pPr>
          </w:p>
        </w:tc>
      </w:tr>
      <w:tr w:rsidR="0061711D" w:rsidTr="008D51C4">
        <w:trPr>
          <w:jc w:val="center"/>
        </w:trPr>
        <w:tc>
          <w:tcPr>
            <w:tcW w:w="53.15pt" w:type="dxa"/>
            <w:vAlign w:val="center"/>
          </w:tcPr>
          <w:p w:rsidR="00655060" w:rsidRPr="00611019" w:rsidRDefault="00E56462" w:rsidP="00035D2C">
            <w:pPr>
              <w:autoSpaceDE w:val="0"/>
              <w:autoSpaceDN w:val="0"/>
              <w:adjustRightInd w:val="0"/>
              <w:jc w:val="center"/>
              <w:rPr>
                <w:rFonts w:ascii="Century Gothic" w:hAnsi="Century Gothic" w:cs="Arial"/>
                <w:color w:val="000000" w:themeColor="text1"/>
              </w:rPr>
            </w:pPr>
            <w:r>
              <w:rPr>
                <w:rFonts w:ascii="Century Gothic" w:hAnsi="Century Gothic" w:cs="Arial"/>
                <w:color w:val="000000" w:themeColor="text1"/>
              </w:rPr>
              <w:t>1</w:t>
            </w:r>
          </w:p>
        </w:tc>
        <w:tc>
          <w:tcPr>
            <w:tcW w:w="89.95pt" w:type="dxa"/>
            <w:vAlign w:val="center"/>
          </w:tcPr>
          <w:p w:rsidR="00655060" w:rsidRPr="00611019" w:rsidRDefault="00E56462" w:rsidP="00035D2C">
            <w:pPr>
              <w:autoSpaceDE w:val="0"/>
              <w:autoSpaceDN w:val="0"/>
              <w:adjustRightInd w:val="0"/>
              <w:rPr>
                <w:rFonts w:ascii="Century Gothic" w:hAnsi="Century Gothic" w:cs="Arial"/>
                <w:color w:val="000000" w:themeColor="text1"/>
              </w:rPr>
            </w:pPr>
            <w:r>
              <w:rPr>
                <w:rFonts w:ascii="Century Gothic" w:hAnsi="Century Gothic" w:cs="Arial"/>
                <w:color w:val="000000" w:themeColor="text1"/>
              </w:rPr>
              <w:t>Servicios de Voz</w:t>
            </w:r>
          </w:p>
        </w:tc>
        <w:tc>
          <w:tcPr>
            <w:tcW w:w="232.05pt" w:type="dxa"/>
            <w:vAlign w:val="center"/>
          </w:tcPr>
          <w:p w:rsidR="00655060" w:rsidRPr="00611019" w:rsidRDefault="00E56462" w:rsidP="00035D2C">
            <w:pPr>
              <w:autoSpaceDE w:val="0"/>
              <w:autoSpaceDN w:val="0"/>
              <w:adjustRightInd w:val="0"/>
              <w:rPr>
                <w:rFonts w:ascii="Century Gothic" w:hAnsi="Century Gothic" w:cs="Arial"/>
                <w:color w:val="000000" w:themeColor="text1"/>
              </w:rPr>
            </w:pPr>
            <w:r>
              <w:rPr>
                <w:rFonts w:ascii="Century Gothic" w:hAnsi="Century Gothic" w:cs="Arial"/>
                <w:color w:val="000000" w:themeColor="text1"/>
              </w:rPr>
              <w:t>Servicios POTS entre 300 Hz – 3,400 Hz [ES 201 970]</w:t>
            </w:r>
          </w:p>
        </w:tc>
        <w:tc>
          <w:tcPr>
            <w:tcW w:w="113.35pt" w:type="dxa"/>
            <w:vAlign w:val="center"/>
          </w:tcPr>
          <w:p w:rsidR="00655060" w:rsidRPr="00611019" w:rsidRDefault="00E56462" w:rsidP="00035D2C">
            <w:pPr>
              <w:widowControl w:val="0"/>
              <w:autoSpaceDE w:val="0"/>
              <w:autoSpaceDN w:val="0"/>
              <w:adjustRightInd w:val="0"/>
              <w:rPr>
                <w:rFonts w:ascii="Century Gothic" w:hAnsi="Century Gothic" w:cs="Arial"/>
                <w:color w:val="000000" w:themeColor="text1"/>
              </w:rPr>
            </w:pPr>
            <w:r>
              <w:rPr>
                <w:rFonts w:ascii="Century Gothic" w:hAnsi="Century Gothic" w:cs="Arial"/>
                <w:color w:val="000000" w:themeColor="text1"/>
              </w:rPr>
              <w:t>8.1. ETSI TR 101 830-1 V1.5.2 (2009-05)</w:t>
            </w:r>
          </w:p>
        </w:tc>
      </w:tr>
      <w:tr w:rsidR="0061711D" w:rsidTr="008D51C4">
        <w:trPr>
          <w:jc w:val="center"/>
        </w:trPr>
        <w:tc>
          <w:tcPr>
            <w:tcW w:w="53.15pt" w:type="dxa"/>
            <w:vAlign w:val="center"/>
          </w:tcPr>
          <w:p w:rsidR="00655060" w:rsidRPr="00611019" w:rsidRDefault="00E56462" w:rsidP="00035D2C">
            <w:pPr>
              <w:autoSpaceDE w:val="0"/>
              <w:autoSpaceDN w:val="0"/>
              <w:adjustRightInd w:val="0"/>
              <w:jc w:val="center"/>
              <w:rPr>
                <w:rFonts w:ascii="Century Gothic" w:hAnsi="Century Gothic" w:cs="Arial"/>
                <w:color w:val="000000" w:themeColor="text1"/>
              </w:rPr>
            </w:pPr>
            <w:r>
              <w:rPr>
                <w:rFonts w:ascii="Century Gothic" w:hAnsi="Century Gothic" w:cs="Arial"/>
                <w:color w:val="000000" w:themeColor="text1"/>
              </w:rPr>
              <w:t>2</w:t>
            </w:r>
          </w:p>
        </w:tc>
        <w:tc>
          <w:tcPr>
            <w:tcW w:w="89.95pt" w:type="dxa"/>
            <w:vAlign w:val="center"/>
          </w:tcPr>
          <w:p w:rsidR="00655060" w:rsidRPr="00611019" w:rsidRDefault="00E56462" w:rsidP="00035D2C">
            <w:pPr>
              <w:autoSpaceDE w:val="0"/>
              <w:autoSpaceDN w:val="0"/>
              <w:adjustRightInd w:val="0"/>
              <w:rPr>
                <w:rFonts w:ascii="Century Gothic" w:hAnsi="Century Gothic" w:cs="Arial"/>
                <w:color w:val="000000" w:themeColor="text1"/>
              </w:rPr>
            </w:pPr>
            <w:r>
              <w:rPr>
                <w:rFonts w:ascii="Century Gothic" w:hAnsi="Century Gothic" w:cs="Arial"/>
                <w:color w:val="000000" w:themeColor="text1"/>
              </w:rPr>
              <w:t>Semi-Banda Ancha</w:t>
            </w:r>
          </w:p>
        </w:tc>
        <w:tc>
          <w:tcPr>
            <w:tcW w:w="232.05pt" w:type="dxa"/>
            <w:vAlign w:val="center"/>
          </w:tcPr>
          <w:p w:rsidR="00655060" w:rsidRPr="00611019" w:rsidRDefault="00E56462" w:rsidP="00035D2C">
            <w:pPr>
              <w:autoSpaceDE w:val="0"/>
              <w:autoSpaceDN w:val="0"/>
              <w:adjustRightInd w:val="0"/>
              <w:rPr>
                <w:rFonts w:ascii="Century Gothic" w:hAnsi="Century Gothic" w:cs="Arial"/>
                <w:color w:val="000000" w:themeColor="text1"/>
                <w:lang w:val="fr-FR"/>
              </w:rPr>
            </w:pPr>
            <w:r>
              <w:rPr>
                <w:rFonts w:ascii="Century Gothic" w:hAnsi="Century Gothic" w:cs="Arial"/>
                <w:color w:val="000000" w:themeColor="text1"/>
                <w:lang w:val="fr-FR"/>
              </w:rPr>
              <w:t>ISDN 2B1Q [TS 102 080]</w:t>
            </w:r>
          </w:p>
          <w:p w:rsidR="00655060" w:rsidRPr="00611019" w:rsidRDefault="00E56462" w:rsidP="00035D2C">
            <w:pPr>
              <w:autoSpaceDE w:val="0"/>
              <w:autoSpaceDN w:val="0"/>
              <w:adjustRightInd w:val="0"/>
              <w:rPr>
                <w:rFonts w:ascii="Century Gothic" w:hAnsi="Century Gothic" w:cs="Arial"/>
                <w:color w:val="000000" w:themeColor="text1"/>
                <w:lang w:val="fr-FR"/>
              </w:rPr>
            </w:pPr>
            <w:r>
              <w:rPr>
                <w:rFonts w:ascii="Century Gothic" w:hAnsi="Century Gothic" w:cs="Arial"/>
                <w:color w:val="000000" w:themeColor="text1"/>
                <w:lang w:val="fr-FR"/>
              </w:rPr>
              <w:t>ISDN MMS43 PRI (4B3T)</w:t>
            </w:r>
          </w:p>
        </w:tc>
        <w:tc>
          <w:tcPr>
            <w:tcW w:w="113.35pt" w:type="dxa"/>
            <w:vAlign w:val="center"/>
          </w:tcPr>
          <w:p w:rsidR="00655060" w:rsidRPr="00611019" w:rsidRDefault="00E56462" w:rsidP="00035D2C">
            <w:pPr>
              <w:widowControl w:val="0"/>
              <w:autoSpaceDE w:val="0"/>
              <w:autoSpaceDN w:val="0"/>
              <w:adjustRightInd w:val="0"/>
              <w:rPr>
                <w:rFonts w:ascii="Century Gothic" w:hAnsi="Century Gothic" w:cs="Arial"/>
                <w:color w:val="000000" w:themeColor="text1"/>
                <w:lang w:val="fr-CA"/>
              </w:rPr>
            </w:pPr>
            <w:r>
              <w:rPr>
                <w:rFonts w:ascii="Century Gothic" w:hAnsi="Century Gothic" w:cs="Arial"/>
                <w:color w:val="000000" w:themeColor="text1"/>
                <w:lang w:val="fr-CA"/>
              </w:rPr>
              <w:t>9.1. ETSI TR 101 830-1 V1.5.2 (2009-05)</w:t>
            </w:r>
          </w:p>
          <w:p w:rsidR="00655060" w:rsidRPr="00611019" w:rsidRDefault="00E56462" w:rsidP="00035D2C">
            <w:pPr>
              <w:autoSpaceDE w:val="0"/>
              <w:autoSpaceDN w:val="0"/>
              <w:adjustRightInd w:val="0"/>
              <w:rPr>
                <w:rFonts w:ascii="Century Gothic" w:hAnsi="Century Gothic" w:cs="Arial"/>
                <w:color w:val="000000" w:themeColor="text1"/>
                <w:lang w:val="fr-CA"/>
              </w:rPr>
            </w:pPr>
            <w:r>
              <w:rPr>
                <w:rFonts w:ascii="Century Gothic" w:hAnsi="Century Gothic" w:cs="Arial"/>
                <w:color w:val="000000" w:themeColor="text1"/>
                <w:lang w:val="fr-CA"/>
              </w:rPr>
              <w:t>9.2. ETSI TR 101 830-1 V1.5.2 (2009-05)</w:t>
            </w:r>
          </w:p>
        </w:tc>
      </w:tr>
      <w:tr w:rsidR="0061711D" w:rsidTr="008D51C4">
        <w:trPr>
          <w:trHeight w:val="771"/>
          <w:jc w:val="center"/>
        </w:trPr>
        <w:tc>
          <w:tcPr>
            <w:tcW w:w="53.15pt" w:type="dxa"/>
            <w:vAlign w:val="center"/>
          </w:tcPr>
          <w:p w:rsidR="00655060" w:rsidRPr="00611019" w:rsidRDefault="00E56462" w:rsidP="00035D2C">
            <w:pPr>
              <w:autoSpaceDE w:val="0"/>
              <w:autoSpaceDN w:val="0"/>
              <w:adjustRightInd w:val="0"/>
              <w:jc w:val="center"/>
              <w:rPr>
                <w:rFonts w:ascii="Century Gothic" w:hAnsi="Century Gothic" w:cs="Arial"/>
                <w:color w:val="000000" w:themeColor="text1"/>
              </w:rPr>
            </w:pPr>
            <w:r>
              <w:rPr>
                <w:rFonts w:ascii="Century Gothic" w:hAnsi="Century Gothic" w:cs="Arial"/>
                <w:color w:val="000000" w:themeColor="text1"/>
              </w:rPr>
              <w:t>3</w:t>
            </w:r>
          </w:p>
        </w:tc>
        <w:tc>
          <w:tcPr>
            <w:tcW w:w="89.95pt" w:type="dxa"/>
            <w:vAlign w:val="center"/>
          </w:tcPr>
          <w:p w:rsidR="00655060" w:rsidRPr="00611019" w:rsidRDefault="00E56462" w:rsidP="00035D2C">
            <w:pPr>
              <w:autoSpaceDE w:val="0"/>
              <w:autoSpaceDN w:val="0"/>
              <w:adjustRightInd w:val="0"/>
              <w:rPr>
                <w:rFonts w:ascii="Century Gothic" w:hAnsi="Century Gothic" w:cs="Arial"/>
                <w:color w:val="000000" w:themeColor="text1"/>
              </w:rPr>
            </w:pPr>
            <w:r>
              <w:rPr>
                <w:rFonts w:ascii="Century Gothic" w:hAnsi="Century Gothic" w:cs="Arial"/>
                <w:color w:val="000000" w:themeColor="text1"/>
              </w:rPr>
              <w:t>Banda Ancha Simétrica</w:t>
            </w:r>
          </w:p>
        </w:tc>
        <w:tc>
          <w:tcPr>
            <w:tcW w:w="232.05pt" w:type="dxa"/>
            <w:vAlign w:val="center"/>
          </w:tcPr>
          <w:p w:rsidR="00655060" w:rsidRPr="00611019" w:rsidRDefault="00E56462" w:rsidP="00035D2C">
            <w:pPr>
              <w:autoSpaceDE w:val="0"/>
              <w:autoSpaceDN w:val="0"/>
              <w:adjustRightInd w:val="0"/>
              <w:rPr>
                <w:rFonts w:ascii="Century Gothic" w:hAnsi="Century Gothic" w:cs="Arial"/>
                <w:color w:val="000000" w:themeColor="text1"/>
                <w:lang w:val="en-US"/>
              </w:rPr>
            </w:pPr>
            <w:r>
              <w:rPr>
                <w:rFonts w:ascii="Century Gothic" w:hAnsi="Century Gothic" w:cs="Arial"/>
                <w:color w:val="000000" w:themeColor="text1"/>
                <w:lang w:val="en-US"/>
              </w:rPr>
              <w:t>SHDSL TC-PAM (G.991.2  Anexo A)</w:t>
            </w:r>
          </w:p>
          <w:p w:rsidR="00655060" w:rsidRPr="00611019" w:rsidRDefault="00E56462" w:rsidP="00035D2C">
            <w:pPr>
              <w:autoSpaceDE w:val="0"/>
              <w:autoSpaceDN w:val="0"/>
              <w:adjustRightInd w:val="0"/>
              <w:rPr>
                <w:rFonts w:ascii="Century Gothic" w:hAnsi="Century Gothic" w:cs="Arial"/>
                <w:color w:val="000000" w:themeColor="text1"/>
              </w:rPr>
            </w:pPr>
            <w:r>
              <w:rPr>
                <w:rFonts w:ascii="Century Gothic" w:hAnsi="Century Gothic" w:cs="Arial"/>
                <w:color w:val="000000" w:themeColor="text1"/>
              </w:rPr>
              <w:t xml:space="preserve">SHDSL TC-PAM (G.991.2 Anexo F) FN hasta 4 pares </w:t>
            </w:r>
          </w:p>
        </w:tc>
        <w:tc>
          <w:tcPr>
            <w:tcW w:w="113.35pt" w:type="dxa"/>
            <w:vAlign w:val="center"/>
          </w:tcPr>
          <w:p w:rsidR="00655060" w:rsidRPr="00611019" w:rsidRDefault="00E56462" w:rsidP="00035D2C">
            <w:pPr>
              <w:autoSpaceDE w:val="0"/>
              <w:autoSpaceDN w:val="0"/>
              <w:adjustRightInd w:val="0"/>
              <w:rPr>
                <w:rFonts w:ascii="Century Gothic" w:hAnsi="Century Gothic" w:cs="Arial"/>
                <w:color w:val="000000" w:themeColor="text1"/>
              </w:rPr>
            </w:pPr>
            <w:r>
              <w:rPr>
                <w:rFonts w:ascii="Century Gothic" w:hAnsi="Century Gothic" w:cs="Arial"/>
                <w:color w:val="000000" w:themeColor="text1"/>
              </w:rPr>
              <w:t>10.7. ETSI TR 101 830-1 V1.5.2 (2009-05)</w:t>
            </w:r>
          </w:p>
        </w:tc>
      </w:tr>
      <w:tr w:rsidR="0061711D" w:rsidTr="008D51C4">
        <w:trPr>
          <w:jc w:val="center"/>
        </w:trPr>
        <w:tc>
          <w:tcPr>
            <w:tcW w:w="53.15pt" w:type="dxa"/>
            <w:vAlign w:val="center"/>
          </w:tcPr>
          <w:p w:rsidR="00655060" w:rsidRPr="00611019" w:rsidRDefault="00E56462" w:rsidP="00035D2C">
            <w:pPr>
              <w:autoSpaceDE w:val="0"/>
              <w:autoSpaceDN w:val="0"/>
              <w:adjustRightInd w:val="0"/>
              <w:jc w:val="center"/>
              <w:rPr>
                <w:rFonts w:ascii="Century Gothic" w:hAnsi="Century Gothic" w:cs="Arial"/>
                <w:color w:val="000000" w:themeColor="text1"/>
              </w:rPr>
            </w:pPr>
            <w:r>
              <w:rPr>
                <w:rFonts w:ascii="Century Gothic" w:hAnsi="Century Gothic" w:cs="Arial"/>
                <w:color w:val="000000" w:themeColor="text1"/>
              </w:rPr>
              <w:t>4</w:t>
            </w:r>
          </w:p>
        </w:tc>
        <w:tc>
          <w:tcPr>
            <w:tcW w:w="89.95pt" w:type="dxa"/>
            <w:vAlign w:val="center"/>
          </w:tcPr>
          <w:p w:rsidR="00655060" w:rsidRPr="00611019" w:rsidRDefault="00E56462" w:rsidP="00035D2C">
            <w:pPr>
              <w:autoSpaceDE w:val="0"/>
              <w:autoSpaceDN w:val="0"/>
              <w:adjustRightInd w:val="0"/>
              <w:rPr>
                <w:rFonts w:ascii="Century Gothic" w:hAnsi="Century Gothic" w:cs="Arial"/>
                <w:color w:val="000000" w:themeColor="text1"/>
              </w:rPr>
            </w:pPr>
            <w:r>
              <w:rPr>
                <w:rFonts w:ascii="Century Gothic" w:hAnsi="Century Gothic" w:cs="Arial"/>
                <w:color w:val="000000" w:themeColor="text1"/>
              </w:rPr>
              <w:t>Banda Ancha Asimétrica</w:t>
            </w:r>
          </w:p>
          <w:p w:rsidR="00655060" w:rsidRPr="00611019" w:rsidRDefault="00E56462" w:rsidP="00035D2C">
            <w:pPr>
              <w:autoSpaceDE w:val="0"/>
              <w:autoSpaceDN w:val="0"/>
              <w:adjustRightInd w:val="0"/>
              <w:rPr>
                <w:rFonts w:ascii="Century Gothic" w:hAnsi="Century Gothic" w:cs="Arial"/>
                <w:color w:val="000000" w:themeColor="text1"/>
              </w:rPr>
            </w:pPr>
            <w:r>
              <w:rPr>
                <w:rFonts w:ascii="Century Gothic" w:hAnsi="Century Gothic" w:cs="Arial"/>
                <w:color w:val="000000" w:themeColor="text1"/>
              </w:rPr>
              <w:t>Hasta 2.2 MHz</w:t>
            </w:r>
          </w:p>
        </w:tc>
        <w:tc>
          <w:tcPr>
            <w:tcW w:w="232.05pt" w:type="dxa"/>
            <w:vAlign w:val="center"/>
          </w:tcPr>
          <w:p w:rsidR="00655060" w:rsidRPr="00611019" w:rsidRDefault="00E56462" w:rsidP="00035D2C">
            <w:pPr>
              <w:autoSpaceDE w:val="0"/>
              <w:autoSpaceDN w:val="0"/>
              <w:adjustRightInd w:val="0"/>
              <w:rPr>
                <w:rFonts w:ascii="Century Gothic" w:hAnsi="Century Gothic" w:cs="Arial"/>
                <w:color w:val="000000" w:themeColor="text1"/>
                <w:lang w:val="en-US"/>
              </w:rPr>
            </w:pPr>
            <w:r>
              <w:rPr>
                <w:rFonts w:ascii="Century Gothic" w:hAnsi="Century Gothic" w:cs="Arial"/>
                <w:color w:val="000000" w:themeColor="text1"/>
                <w:lang w:val="en-US"/>
              </w:rPr>
              <w:t>ADSL/POTS DMT [TS 101 388, G.992.1 Anexo A]</w:t>
            </w:r>
          </w:p>
          <w:p w:rsidR="00655060" w:rsidRPr="00611019" w:rsidRDefault="00E56462" w:rsidP="00035D2C">
            <w:pPr>
              <w:autoSpaceDE w:val="0"/>
              <w:autoSpaceDN w:val="0"/>
              <w:adjustRightInd w:val="0"/>
              <w:rPr>
                <w:rFonts w:ascii="Century Gothic" w:hAnsi="Century Gothic" w:cs="Arial"/>
                <w:color w:val="000000" w:themeColor="text1"/>
                <w:lang w:val="en-US"/>
              </w:rPr>
            </w:pPr>
            <w:r>
              <w:rPr>
                <w:rFonts w:ascii="Century Gothic" w:hAnsi="Century Gothic" w:cs="Arial"/>
                <w:color w:val="000000" w:themeColor="text1"/>
                <w:lang w:val="en-US"/>
              </w:rPr>
              <w:t>ADSL2 DMT</w:t>
            </w:r>
            <w:r>
              <w:rPr>
                <w:rFonts w:ascii="Century Gothic" w:hAnsi="Century Gothic" w:cs="Arial"/>
                <w:color w:val="000000" w:themeColor="text1"/>
                <w:vertAlign w:val="superscript"/>
                <w:lang w:val="en-US"/>
              </w:rPr>
              <w:t>1</w:t>
            </w:r>
            <w:r>
              <w:rPr>
                <w:rFonts w:ascii="Century Gothic" w:hAnsi="Century Gothic" w:cs="Arial"/>
                <w:color w:val="000000" w:themeColor="text1"/>
                <w:lang w:val="en-US"/>
              </w:rPr>
              <w:t xml:space="preserve"> [G.992.3 Anexo A]</w:t>
            </w:r>
          </w:p>
          <w:p w:rsidR="00655060" w:rsidRPr="00611019" w:rsidRDefault="00E56462" w:rsidP="00035D2C">
            <w:pPr>
              <w:autoSpaceDE w:val="0"/>
              <w:autoSpaceDN w:val="0"/>
              <w:adjustRightInd w:val="0"/>
              <w:rPr>
                <w:rFonts w:ascii="Century Gothic" w:hAnsi="Century Gothic" w:cs="Arial"/>
                <w:color w:val="000000" w:themeColor="text1"/>
                <w:lang w:val="en-US"/>
              </w:rPr>
            </w:pPr>
            <w:r>
              <w:rPr>
                <w:rFonts w:ascii="Century Gothic" w:hAnsi="Century Gothic" w:cs="Arial"/>
                <w:color w:val="000000" w:themeColor="text1"/>
                <w:lang w:val="en-US"/>
              </w:rPr>
              <w:t>ADSL2+/A POTS DMT G.992.5 Anexo A</w:t>
            </w:r>
          </w:p>
        </w:tc>
        <w:tc>
          <w:tcPr>
            <w:tcW w:w="113.35pt" w:type="dxa"/>
            <w:vAlign w:val="center"/>
          </w:tcPr>
          <w:p w:rsidR="00655060" w:rsidRPr="00611019" w:rsidRDefault="00E56462" w:rsidP="00035D2C">
            <w:pPr>
              <w:autoSpaceDE w:val="0"/>
              <w:autoSpaceDN w:val="0"/>
              <w:adjustRightInd w:val="0"/>
              <w:rPr>
                <w:rFonts w:ascii="Century Gothic" w:hAnsi="Century Gothic" w:cs="Arial"/>
                <w:color w:val="000000" w:themeColor="text1"/>
                <w:lang w:val="it-IT"/>
              </w:rPr>
            </w:pPr>
            <w:r>
              <w:rPr>
                <w:rFonts w:ascii="Century Gothic" w:hAnsi="Century Gothic" w:cs="Arial"/>
                <w:color w:val="000000" w:themeColor="text1"/>
                <w:lang w:val="it-IT"/>
              </w:rPr>
              <w:t>11.2. ETSI TR 101 830-1 V1.5.2 (2009-05)</w:t>
            </w:r>
          </w:p>
          <w:p w:rsidR="00655060" w:rsidRPr="00611019" w:rsidRDefault="00655060" w:rsidP="00035D2C">
            <w:pPr>
              <w:autoSpaceDE w:val="0"/>
              <w:autoSpaceDN w:val="0"/>
              <w:adjustRightInd w:val="0"/>
              <w:rPr>
                <w:rFonts w:ascii="Century Gothic" w:hAnsi="Century Gothic" w:cs="Arial"/>
                <w:color w:val="000000" w:themeColor="text1"/>
                <w:lang w:val="it-IT"/>
              </w:rPr>
            </w:pPr>
          </w:p>
          <w:p w:rsidR="00655060" w:rsidRPr="00611019" w:rsidRDefault="00E56462" w:rsidP="00035D2C">
            <w:pPr>
              <w:autoSpaceDE w:val="0"/>
              <w:autoSpaceDN w:val="0"/>
              <w:adjustRightInd w:val="0"/>
              <w:rPr>
                <w:rFonts w:ascii="Century Gothic" w:hAnsi="Century Gothic" w:cs="Arial"/>
                <w:color w:val="000000" w:themeColor="text1"/>
                <w:lang w:val="it-IT"/>
              </w:rPr>
            </w:pPr>
            <w:r>
              <w:rPr>
                <w:rFonts w:ascii="Century Gothic" w:hAnsi="Century Gothic" w:cs="Arial"/>
                <w:color w:val="000000" w:themeColor="text1"/>
                <w:lang w:val="it-IT"/>
              </w:rPr>
              <w:t>11.6. ETSI TR 101 830-1 V1.5.2 (2009-05)</w:t>
            </w:r>
          </w:p>
        </w:tc>
      </w:tr>
      <w:tr w:rsidR="0061711D" w:rsidTr="008D51C4">
        <w:trPr>
          <w:jc w:val="center"/>
        </w:trPr>
        <w:tc>
          <w:tcPr>
            <w:tcW w:w="53.15pt" w:type="dxa"/>
            <w:vAlign w:val="center"/>
          </w:tcPr>
          <w:p w:rsidR="00655060" w:rsidRPr="00611019" w:rsidRDefault="00E56462" w:rsidP="00035D2C">
            <w:pPr>
              <w:autoSpaceDE w:val="0"/>
              <w:autoSpaceDN w:val="0"/>
              <w:adjustRightInd w:val="0"/>
              <w:jc w:val="center"/>
              <w:rPr>
                <w:rFonts w:ascii="Century Gothic" w:hAnsi="Century Gothic" w:cs="Arial"/>
                <w:color w:val="000000" w:themeColor="text1"/>
              </w:rPr>
            </w:pPr>
            <w:r>
              <w:rPr>
                <w:rFonts w:ascii="Century Gothic" w:hAnsi="Century Gothic" w:cs="Arial"/>
                <w:color w:val="000000" w:themeColor="text1"/>
              </w:rPr>
              <w:t>5</w:t>
            </w:r>
          </w:p>
        </w:tc>
        <w:tc>
          <w:tcPr>
            <w:tcW w:w="89.95pt" w:type="dxa"/>
            <w:vAlign w:val="center"/>
          </w:tcPr>
          <w:p w:rsidR="00655060" w:rsidRPr="00611019" w:rsidRDefault="00E56462" w:rsidP="00035D2C">
            <w:pPr>
              <w:autoSpaceDE w:val="0"/>
              <w:autoSpaceDN w:val="0"/>
              <w:adjustRightInd w:val="0"/>
              <w:rPr>
                <w:rFonts w:ascii="Century Gothic" w:hAnsi="Century Gothic" w:cs="Arial"/>
                <w:color w:val="000000" w:themeColor="text1"/>
              </w:rPr>
            </w:pPr>
            <w:r>
              <w:rPr>
                <w:rFonts w:ascii="Century Gothic" w:hAnsi="Century Gothic" w:cs="Arial"/>
                <w:color w:val="000000" w:themeColor="text1"/>
              </w:rPr>
              <w:t>Banda Ancha Asimétrica</w:t>
            </w:r>
          </w:p>
          <w:p w:rsidR="00655060" w:rsidRPr="00611019" w:rsidRDefault="00E56462" w:rsidP="00035D2C">
            <w:pPr>
              <w:autoSpaceDE w:val="0"/>
              <w:autoSpaceDN w:val="0"/>
              <w:adjustRightInd w:val="0"/>
              <w:rPr>
                <w:rFonts w:ascii="Century Gothic" w:hAnsi="Century Gothic" w:cs="Arial"/>
                <w:color w:val="000000" w:themeColor="text1"/>
              </w:rPr>
            </w:pPr>
            <w:r>
              <w:rPr>
                <w:rFonts w:ascii="Century Gothic" w:hAnsi="Century Gothic" w:cs="Arial"/>
                <w:color w:val="000000" w:themeColor="text1"/>
              </w:rPr>
              <w:t>Hasta 30 MHz</w:t>
            </w:r>
          </w:p>
        </w:tc>
        <w:tc>
          <w:tcPr>
            <w:tcW w:w="232.05pt" w:type="dxa"/>
            <w:vAlign w:val="center"/>
          </w:tcPr>
          <w:p w:rsidR="00655060" w:rsidRPr="00611019" w:rsidRDefault="00E56462" w:rsidP="00035D2C">
            <w:pPr>
              <w:autoSpaceDE w:val="0"/>
              <w:autoSpaceDN w:val="0"/>
              <w:adjustRightInd w:val="0"/>
              <w:rPr>
                <w:rFonts w:ascii="Century Gothic" w:hAnsi="Century Gothic" w:cs="Arial"/>
                <w:color w:val="000000" w:themeColor="text1"/>
              </w:rPr>
            </w:pPr>
            <w:r>
              <w:rPr>
                <w:rFonts w:ascii="Century Gothic" w:hAnsi="Century Gothic" w:cs="Arial"/>
                <w:color w:val="000000" w:themeColor="text1"/>
              </w:rPr>
              <w:t>VDSL2 NL1 / POTS</w:t>
            </w:r>
          </w:p>
          <w:p w:rsidR="00655060" w:rsidRPr="00611019" w:rsidRDefault="00E56462" w:rsidP="00035D2C">
            <w:pPr>
              <w:rPr>
                <w:rFonts w:ascii="Century Gothic" w:hAnsi="Century Gothic" w:cs="Arial"/>
                <w:color w:val="000000" w:themeColor="text1"/>
              </w:rPr>
            </w:pPr>
            <w:r>
              <w:rPr>
                <w:rFonts w:ascii="Century Gothic" w:hAnsi="Century Gothic" w:cs="Arial"/>
                <w:color w:val="000000" w:themeColor="text1"/>
              </w:rPr>
              <w:t>- Opciones de Máscara para Límites de PSD:</w:t>
            </w:r>
          </w:p>
          <w:p w:rsidR="00655060" w:rsidRPr="00611019" w:rsidRDefault="00E56462" w:rsidP="00035D2C">
            <w:pPr>
              <w:rPr>
                <w:rFonts w:ascii="Century Gothic" w:hAnsi="Century Gothic" w:cs="Arial"/>
                <w:color w:val="000000" w:themeColor="text1"/>
              </w:rPr>
            </w:pPr>
            <w:r>
              <w:rPr>
                <w:rFonts w:ascii="Century Gothic" w:hAnsi="Century Gothic" w:cs="Arial"/>
                <w:color w:val="000000" w:themeColor="text1"/>
              </w:rPr>
              <w:t>- 998-M2x-M (VDSL2 sobre POTS)</w:t>
            </w:r>
          </w:p>
          <w:p w:rsidR="00655060" w:rsidRPr="00611019" w:rsidRDefault="00E56462" w:rsidP="00035D2C">
            <w:pPr>
              <w:rPr>
                <w:rFonts w:ascii="Century Gothic" w:hAnsi="Century Gothic" w:cs="Arial"/>
                <w:color w:val="000000" w:themeColor="text1"/>
              </w:rPr>
            </w:pPr>
            <w:r>
              <w:rPr>
                <w:rFonts w:ascii="Century Gothic" w:hAnsi="Century Gothic" w:cs="Arial"/>
                <w:color w:val="000000" w:themeColor="text1"/>
              </w:rPr>
              <w:t>Aplica para los perfiles 8a-d, 12a/b, 17a.</w:t>
            </w:r>
          </w:p>
        </w:tc>
        <w:tc>
          <w:tcPr>
            <w:tcW w:w="113.35pt" w:type="dxa"/>
            <w:vAlign w:val="center"/>
          </w:tcPr>
          <w:p w:rsidR="00655060" w:rsidRPr="00611019" w:rsidRDefault="00E56462" w:rsidP="00035D2C">
            <w:pPr>
              <w:autoSpaceDE w:val="0"/>
              <w:autoSpaceDN w:val="0"/>
              <w:adjustRightInd w:val="0"/>
              <w:rPr>
                <w:rFonts w:ascii="Century Gothic" w:hAnsi="Century Gothic" w:cs="Arial"/>
                <w:color w:val="000000" w:themeColor="text1"/>
              </w:rPr>
            </w:pPr>
            <w:r>
              <w:rPr>
                <w:rFonts w:ascii="Century Gothic" w:hAnsi="Century Gothic" w:cs="Arial"/>
                <w:color w:val="000000" w:themeColor="text1"/>
              </w:rPr>
              <w:t>12.1. ETSI TR 101 830-1 V1.5.2 (2009-05)</w:t>
            </w:r>
          </w:p>
          <w:p w:rsidR="00655060" w:rsidRPr="00611019" w:rsidRDefault="00655060" w:rsidP="00035D2C">
            <w:pPr>
              <w:autoSpaceDE w:val="0"/>
              <w:autoSpaceDN w:val="0"/>
              <w:adjustRightInd w:val="0"/>
              <w:rPr>
                <w:rFonts w:ascii="Century Gothic" w:hAnsi="Century Gothic" w:cs="Arial"/>
                <w:color w:val="000000" w:themeColor="text1"/>
              </w:rPr>
            </w:pPr>
          </w:p>
        </w:tc>
      </w:tr>
    </w:tbl>
    <w:p w:rsidR="00655060" w:rsidRPr="00611019" w:rsidRDefault="00655060" w:rsidP="00035D2C">
      <w:pPr>
        <w:spacing w:after="6pt"/>
        <w:jc w:val="both"/>
        <w:rPr>
          <w:rFonts w:ascii="Century Gothic" w:hAnsi="Century Gothic" w:cs="Arial"/>
          <w:b/>
          <w:color w:val="000000" w:themeColor="text1"/>
          <w:u w:val="single"/>
        </w:rPr>
      </w:pPr>
      <w:bookmarkStart w:id="2614" w:name="_Toc373424133"/>
      <w:bookmarkStart w:id="2615" w:name="_Toc381605370"/>
    </w:p>
    <w:p w:rsidR="006A4EFB" w:rsidRPr="00611019" w:rsidRDefault="00E56462" w:rsidP="00035D2C">
      <w:pPr>
        <w:jc w:val="both"/>
        <w:rPr>
          <w:rFonts w:ascii="Century Gothic" w:hAnsi="Century Gothic"/>
        </w:rPr>
      </w:pPr>
      <w:r>
        <w:rPr>
          <w:rFonts w:ascii="Century Gothic" w:hAnsi="Century Gothic" w:cs="Arial"/>
          <w:b/>
          <w:color w:val="000000" w:themeColor="text1"/>
          <w:u w:val="single"/>
        </w:rPr>
        <w:t>Plan de Banda por Tecnología.</w:t>
      </w:r>
    </w:p>
    <w:p w:rsidR="00655060" w:rsidRPr="00611019" w:rsidRDefault="00E56462" w:rsidP="00035D2C">
      <w:pPr>
        <w:pStyle w:val="IFTnormal"/>
        <w:spacing w:after="6pt"/>
        <w:rPr>
          <w:rFonts w:ascii="Century Gothic" w:hAnsi="Century Gothic"/>
        </w:rPr>
      </w:pPr>
      <w:r>
        <w:rPr>
          <w:rFonts w:ascii="Century Gothic" w:hAnsi="Century Gothic"/>
        </w:rPr>
        <w:t>A continuación, se especifican los planes de banda para las tecnologías indicadas en la Tabla 3, de acuerdo con lo que el estándar indicado para cada caso establece:</w:t>
      </w:r>
    </w:p>
    <w:p w:rsidR="00FB519C" w:rsidRPr="00611019" w:rsidRDefault="00FB519C" w:rsidP="00035D2C">
      <w:pPr>
        <w:pStyle w:val="IFTnormal"/>
        <w:spacing w:after="6pt"/>
        <w:rPr>
          <w:rFonts w:ascii="Century Gothic" w:hAnsi="Century Gothic"/>
        </w:rPr>
      </w:pPr>
    </w:p>
    <w:p w:rsidR="00655060" w:rsidRPr="00611019" w:rsidRDefault="00E56462" w:rsidP="00035D2C">
      <w:pPr>
        <w:spacing w:after="6pt"/>
        <w:jc w:val="center"/>
        <w:rPr>
          <w:rFonts w:ascii="Century Gothic" w:hAnsi="Century Gothic" w:cs="Arial"/>
          <w:color w:val="000000" w:themeColor="text1"/>
        </w:rPr>
      </w:pPr>
      <w:r>
        <w:rPr>
          <w:rFonts w:ascii="Century Gothic" w:hAnsi="Century Gothic" w:cs="Arial"/>
          <w:noProof/>
          <w:color w:val="000000" w:themeColor="text1"/>
          <w:lang w:eastAsia="es-MX"/>
        </w:rPr>
        <w:lastRenderedPageBreak/>
        <w:drawing>
          <wp:inline distT="0" distB="0" distL="0" distR="0" wp14:anchorId="169FC832" wp14:editId="0ACFEDCD">
            <wp:extent cx="4698257" cy="1955591"/>
            <wp:effectExtent l="0" t="0" r="1270" b="635"/>
            <wp:docPr id="30" name="Imagen 30"/>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606" name="Picture 25"/>
                    <pic:cNvPicPr>
                      <a:picLocks noChangeAspect="1" noChangeArrowheads="1"/>
                    </pic:cNvPicPr>
                  </pic:nvPicPr>
                  <pic:blipFill>
                    <a:blip r:embed="rId51" cstate="print">
                      <a:extLst>
                        <a:ext uri="{28A0092B-C50C-407E-A947-70E740481C1C}">
                          <a14:useLocalDpi xmlns:a14="http://schemas.microsoft.com/office/drawing/2010/main" val="0"/>
                        </a:ext>
                      </a:extLst>
                    </a:blip>
                    <a:stretch>
                      <a:fillRect/>
                    </a:stretch>
                  </pic:blipFill>
                  <pic:spPr bwMode="auto">
                    <a:xfrm>
                      <a:off x="0" y="0"/>
                      <a:ext cx="4699160" cy="1955967"/>
                    </a:xfrm>
                    <a:prstGeom prst="rect">
                      <a:avLst/>
                    </a:prstGeom>
                    <a:noFill/>
                    <a:ln>
                      <a:noFill/>
                    </a:ln>
                  </pic:spPr>
                </pic:pic>
              </a:graphicData>
            </a:graphic>
          </wp:inline>
        </w:drawing>
      </w:r>
    </w:p>
    <w:p w:rsidR="00655060" w:rsidRPr="00611019" w:rsidRDefault="00E56462" w:rsidP="00035D2C">
      <w:pPr>
        <w:pStyle w:val="xxxPiedeCuadroconnombre"/>
        <w:spacing w:before="3pt" w:after="3pt"/>
        <w:jc w:val="center"/>
        <w:rPr>
          <w:rFonts w:ascii="Century Gothic" w:hAnsi="Century Gothic"/>
        </w:rPr>
      </w:pPr>
      <w:r>
        <w:rPr>
          <w:rFonts w:ascii="Century Gothic" w:hAnsi="Century Gothic"/>
        </w:rPr>
        <w:t xml:space="preserve">Figura </w:t>
      </w:r>
      <w:r w:rsidR="008D51C4">
        <w:rPr>
          <w:rFonts w:ascii="Century Gothic" w:hAnsi="Century Gothic"/>
        </w:rPr>
        <w:t>3</w:t>
      </w:r>
      <w:r>
        <w:rPr>
          <w:rFonts w:ascii="Century Gothic" w:hAnsi="Century Gothic"/>
        </w:rPr>
        <w:t>. Plan de Bandas Empleadas por Tipo de Tecnología.</w:t>
      </w:r>
    </w:p>
    <w:p w:rsidR="00FB519C" w:rsidRPr="00611019" w:rsidRDefault="00FB519C" w:rsidP="00035D2C">
      <w:pPr>
        <w:spacing w:after="6pt"/>
        <w:jc w:val="center"/>
        <w:rPr>
          <w:rFonts w:ascii="Century Gothic" w:hAnsi="Century Gothic" w:cs="Arial"/>
          <w:b/>
          <w:color w:val="000000" w:themeColor="text1"/>
        </w:rPr>
      </w:pPr>
    </w:p>
    <w:p w:rsidR="006A4EFB" w:rsidRPr="00611019" w:rsidRDefault="00E56462" w:rsidP="00035D2C">
      <w:pPr>
        <w:pStyle w:val="Ttulo2"/>
        <w:spacing w:after="6pt"/>
        <w:ind w:start="28.80pt" w:hanging="28.80pt"/>
        <w:rPr>
          <w:rFonts w:ascii="Century Gothic" w:hAnsi="Century Gothic"/>
        </w:rPr>
      </w:pPr>
      <w:bookmarkStart w:id="2616" w:name="_Toc92974145"/>
      <w:bookmarkStart w:id="2617" w:name="_Toc93052456"/>
      <w:bookmarkStart w:id="2618" w:name="_Toc93056411"/>
      <w:bookmarkStart w:id="2619" w:name="_Toc125393475"/>
      <w:bookmarkStart w:id="2620" w:name="_Toc148702331"/>
      <w:bookmarkStart w:id="2621" w:name="_Toc170381946"/>
      <w:r>
        <w:rPr>
          <w:rFonts w:ascii="Century Gothic" w:hAnsi="Century Gothic"/>
        </w:rPr>
        <w:t>5.2</w:t>
      </w:r>
      <w:r>
        <w:rPr>
          <w:rFonts w:ascii="Century Gothic" w:hAnsi="Century Gothic"/>
        </w:rPr>
        <w:tab/>
      </w:r>
      <w:r>
        <w:rPr>
          <w:rFonts w:ascii="Century Gothic" w:hAnsi="Century Gothic"/>
          <w:color w:val="000000" w:themeColor="text1"/>
        </w:rPr>
        <w:t>Uso de Tecnologías Antiguas (Legacy).</w:t>
      </w:r>
      <w:bookmarkEnd w:id="2616"/>
      <w:bookmarkEnd w:id="2617"/>
      <w:bookmarkEnd w:id="2618"/>
      <w:bookmarkEnd w:id="2619"/>
      <w:bookmarkEnd w:id="2620"/>
      <w:bookmarkEnd w:id="2621"/>
    </w:p>
    <w:p w:rsidR="00655060" w:rsidRPr="00611019" w:rsidRDefault="00E56462" w:rsidP="00035D2C">
      <w:pPr>
        <w:pStyle w:val="IFTnormal"/>
        <w:spacing w:after="6pt"/>
        <w:rPr>
          <w:rFonts w:ascii="Century Gothic" w:hAnsi="Century Gothic"/>
        </w:rPr>
      </w:pPr>
      <w:r>
        <w:rPr>
          <w:rFonts w:ascii="Century Gothic" w:hAnsi="Century Gothic"/>
        </w:rPr>
        <w:t>Los despliegues de nuevas tecnologías pueden encontrar un ambiente en el par de cobre que incluye uno o más sistemas antiguos (legacy). Un sistema antiguo es una tecnología que fue definida hace más de 10 años y continúa operando.</w:t>
      </w:r>
    </w:p>
    <w:p w:rsidR="00FB519C" w:rsidRPr="00611019" w:rsidRDefault="00FB519C" w:rsidP="00035D2C">
      <w:pPr>
        <w:pStyle w:val="IFTnormal"/>
        <w:spacing w:after="6pt"/>
        <w:rPr>
          <w:rFonts w:ascii="Century Gothic" w:hAnsi="Century Gothic"/>
        </w:rPr>
      </w:pPr>
    </w:p>
    <w:p w:rsidR="00655060" w:rsidRPr="00611019" w:rsidRDefault="00E56462" w:rsidP="00035D2C">
      <w:pPr>
        <w:pStyle w:val="IFTnormal"/>
        <w:spacing w:after="6pt"/>
        <w:rPr>
          <w:rFonts w:ascii="Century Gothic" w:hAnsi="Century Gothic"/>
        </w:rPr>
      </w:pPr>
      <w:r>
        <w:rPr>
          <w:rFonts w:ascii="Century Gothic" w:hAnsi="Century Gothic"/>
        </w:rPr>
        <w:t>Algunas de las tecnologías antiguas en la planta por ejemplo, son:</w:t>
      </w:r>
    </w:p>
    <w:p w:rsidR="00655060" w:rsidRPr="00611019" w:rsidRDefault="00E56462">
      <w:pPr>
        <w:pStyle w:val="IFTnormal"/>
        <w:numPr>
          <w:ilvl w:val="0"/>
          <w:numId w:val="171"/>
        </w:numPr>
        <w:spacing w:after="6pt"/>
        <w:rPr>
          <w:rFonts w:ascii="Century Gothic" w:hAnsi="Century Gothic"/>
        </w:rPr>
      </w:pPr>
      <w:r>
        <w:rPr>
          <w:rFonts w:ascii="Century Gothic" w:hAnsi="Century Gothic"/>
        </w:rPr>
        <w:t>Señalización EyM a dos y cuatro Hilos.</w:t>
      </w:r>
    </w:p>
    <w:p w:rsidR="00655060" w:rsidRPr="00611019" w:rsidRDefault="00E56462">
      <w:pPr>
        <w:pStyle w:val="IFTnormal"/>
        <w:numPr>
          <w:ilvl w:val="0"/>
          <w:numId w:val="171"/>
        </w:numPr>
        <w:spacing w:after="6pt"/>
        <w:rPr>
          <w:rFonts w:ascii="Century Gothic" w:hAnsi="Century Gothic"/>
        </w:rPr>
      </w:pPr>
      <w:r>
        <w:rPr>
          <w:rFonts w:ascii="Century Gothic" w:hAnsi="Century Gothic"/>
        </w:rPr>
        <w:t>Tecnologías que utilizan código de línea HDB3 para E1’s por cobre.</w:t>
      </w:r>
    </w:p>
    <w:p w:rsidR="00655060" w:rsidRPr="00611019" w:rsidRDefault="00E56462">
      <w:pPr>
        <w:pStyle w:val="IFTnormal"/>
        <w:numPr>
          <w:ilvl w:val="0"/>
          <w:numId w:val="171"/>
        </w:numPr>
        <w:spacing w:after="6pt"/>
        <w:rPr>
          <w:rFonts w:ascii="Century Gothic" w:hAnsi="Century Gothic"/>
        </w:rPr>
      </w:pPr>
      <w:r>
        <w:rPr>
          <w:rFonts w:ascii="Century Gothic" w:hAnsi="Century Gothic"/>
        </w:rPr>
        <w:t>Sistemas de modulación/demodulación a 56 kbps sobre pares de cobre.</w:t>
      </w:r>
    </w:p>
    <w:p w:rsidR="00655060" w:rsidRPr="00611019" w:rsidRDefault="00E56462">
      <w:pPr>
        <w:pStyle w:val="IFTnormal"/>
        <w:numPr>
          <w:ilvl w:val="0"/>
          <w:numId w:val="171"/>
        </w:numPr>
        <w:spacing w:after="6pt"/>
        <w:rPr>
          <w:rFonts w:ascii="Century Gothic" w:hAnsi="Century Gothic"/>
        </w:rPr>
      </w:pPr>
      <w:r>
        <w:rPr>
          <w:rFonts w:ascii="Century Gothic" w:hAnsi="Century Gothic"/>
        </w:rPr>
        <w:t>Sistemas de transmisión simétrica como HDSL.</w:t>
      </w:r>
    </w:p>
    <w:p w:rsidR="00655060" w:rsidRPr="00611019" w:rsidRDefault="00E56462" w:rsidP="00035D2C">
      <w:pPr>
        <w:pStyle w:val="IFTnormal"/>
        <w:spacing w:after="6pt"/>
        <w:rPr>
          <w:rFonts w:ascii="Century Gothic" w:hAnsi="Century Gothic"/>
        </w:rPr>
      </w:pPr>
      <w:r>
        <w:rPr>
          <w:rFonts w:ascii="Century Gothic" w:hAnsi="Century Gothic"/>
        </w:rPr>
        <w:t>Dichas tecnologías seguirán operando hasta que sean sustituidas por otras de reciente generación; no obstante por cuestiones de modernización e innovación se permite sólo el uso de nuevas tecnologías en nuevos despliegues, siendo las que se indican en la Tabla 3.</w:t>
      </w:r>
    </w:p>
    <w:p w:rsidR="006A4EFB" w:rsidRPr="00611019" w:rsidRDefault="006A4EFB" w:rsidP="00035D2C">
      <w:pPr>
        <w:pStyle w:val="IFTnormal"/>
        <w:spacing w:after="6pt"/>
        <w:rPr>
          <w:rFonts w:ascii="Century Gothic" w:hAnsi="Century Gothic"/>
        </w:rPr>
      </w:pPr>
    </w:p>
    <w:p w:rsidR="006A4EFB" w:rsidRPr="00611019" w:rsidRDefault="00E56462" w:rsidP="00035D2C">
      <w:pPr>
        <w:pStyle w:val="Ttulo1"/>
        <w:keepNext/>
        <w:ind w:start="21.60pt" w:hanging="21.60pt"/>
        <w:jc w:val="start"/>
        <w:rPr>
          <w:rFonts w:ascii="Century Gothic" w:hAnsi="Century Gothic"/>
          <w:color w:val="000000" w:themeColor="text1"/>
        </w:rPr>
      </w:pPr>
      <w:bookmarkStart w:id="2622" w:name="_Toc373424137"/>
      <w:bookmarkStart w:id="2623" w:name="_Toc381605374"/>
      <w:bookmarkStart w:id="2624" w:name="_Toc92974146"/>
      <w:bookmarkStart w:id="2625" w:name="_Toc93052457"/>
      <w:bookmarkStart w:id="2626" w:name="_Toc93056412"/>
      <w:bookmarkStart w:id="2627" w:name="_Toc125393476"/>
      <w:bookmarkStart w:id="2628" w:name="_Toc148702332"/>
      <w:bookmarkStart w:id="2629" w:name="_Toc170381947"/>
      <w:bookmarkEnd w:id="2614"/>
      <w:bookmarkEnd w:id="2615"/>
      <w:r>
        <w:rPr>
          <w:rFonts w:ascii="Century Gothic" w:hAnsi="Century Gothic"/>
        </w:rPr>
        <w:t>6.</w:t>
      </w:r>
      <w:r>
        <w:rPr>
          <w:rFonts w:ascii="Century Gothic" w:hAnsi="Century Gothic"/>
        </w:rPr>
        <w:tab/>
      </w:r>
      <w:r>
        <w:rPr>
          <w:rFonts w:ascii="Century Gothic" w:hAnsi="Century Gothic"/>
          <w:color w:val="000000" w:themeColor="text1"/>
        </w:rPr>
        <w:t>Reglas de penetración</w:t>
      </w:r>
      <w:bookmarkEnd w:id="2622"/>
      <w:bookmarkEnd w:id="2623"/>
      <w:r>
        <w:rPr>
          <w:rFonts w:ascii="Century Gothic" w:hAnsi="Century Gothic"/>
          <w:color w:val="000000" w:themeColor="text1"/>
        </w:rPr>
        <w:t>.</w:t>
      </w:r>
      <w:bookmarkEnd w:id="2624"/>
      <w:bookmarkEnd w:id="2625"/>
      <w:bookmarkEnd w:id="2626"/>
      <w:bookmarkEnd w:id="2627"/>
      <w:bookmarkEnd w:id="2628"/>
      <w:bookmarkEnd w:id="2629"/>
    </w:p>
    <w:p w:rsidR="00FB519C" w:rsidRPr="00611019" w:rsidRDefault="00FB519C" w:rsidP="00035D2C">
      <w:pPr>
        <w:rPr>
          <w:sz w:val="8"/>
          <w:lang w:val="es-ES" w:eastAsia="es-ES"/>
        </w:rPr>
      </w:pPr>
    </w:p>
    <w:p w:rsidR="00655060" w:rsidRPr="00611019" w:rsidRDefault="00E56462" w:rsidP="00035D2C">
      <w:pPr>
        <w:pStyle w:val="IFTnormal"/>
        <w:rPr>
          <w:rFonts w:ascii="Century Gothic" w:hAnsi="Century Gothic"/>
        </w:rPr>
      </w:pPr>
      <w:r>
        <w:rPr>
          <w:rFonts w:ascii="Century Gothic" w:hAnsi="Century Gothic"/>
        </w:rPr>
        <w:t>Las reglas de penetración aplican a cables multipar de cobre en grupos de 50 pares (Unidad Básica de Bucle Local) en la desagregación del Bucle Local</w:t>
      </w:r>
      <w:r w:rsidR="00203031">
        <w:rPr>
          <w:rFonts w:ascii="Century Gothic" w:hAnsi="Century Gothic"/>
        </w:rPr>
        <w:t xml:space="preserve"> </w:t>
      </w:r>
      <w:r w:rsidR="00203031" w:rsidRPr="00203031">
        <w:rPr>
          <w:rFonts w:ascii="Century Gothic" w:hAnsi="Century Gothic"/>
          <w:lang w:val="es-MX"/>
        </w:rPr>
        <w:t>y cables multipar de cobre en grupos de 10 pares (unidad básica de Sub-Bucle Local) en la desagregación del Sub-Bucle Local</w:t>
      </w:r>
      <w:r>
        <w:rPr>
          <w:rFonts w:ascii="Century Gothic" w:hAnsi="Century Gothic"/>
        </w:rPr>
        <w:t>.</w:t>
      </w:r>
    </w:p>
    <w:p w:rsidR="00FB519C" w:rsidRPr="00611019" w:rsidRDefault="00FB519C"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rPr>
        <w:t>Para las frecuencias de voz, el nivel de ocupación puede llegar al 100% de los pares de la unidad básica para el Bucle Local</w:t>
      </w:r>
      <w:r w:rsidR="00203031">
        <w:rPr>
          <w:rFonts w:ascii="Century Gothic" w:hAnsi="Century Gothic"/>
        </w:rPr>
        <w:t xml:space="preserve"> y el Sub-Bucle Local</w:t>
      </w:r>
      <w:r>
        <w:rPr>
          <w:rFonts w:ascii="Century Gothic" w:hAnsi="Century Gothic"/>
        </w:rPr>
        <w:t>.</w:t>
      </w:r>
    </w:p>
    <w:p w:rsidR="00655060" w:rsidRPr="00611019" w:rsidRDefault="00E56462" w:rsidP="00035D2C">
      <w:pPr>
        <w:pStyle w:val="IFTnormal"/>
        <w:rPr>
          <w:rFonts w:ascii="Century Gothic" w:hAnsi="Century Gothic"/>
        </w:rPr>
      </w:pPr>
      <w:r>
        <w:rPr>
          <w:rFonts w:ascii="Century Gothic" w:hAnsi="Century Gothic"/>
        </w:rPr>
        <w:lastRenderedPageBreak/>
        <w:t>La unidad básica (UB) podrá ocuparse con la cantidad máxima de servicios que se detallan en la Tabla 4, en función al tipo de tecnología a ser desplegada y a la distancia hacia el Usuario Final.</w:t>
      </w:r>
    </w:p>
    <w:p w:rsidR="00FB519C" w:rsidRPr="00611019" w:rsidRDefault="00FB519C"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rPr>
        <w:t>Para cualquier combinación dada de señal xDSL y par de cobre en particular, se pueden contar con varios tipos de Perfiles desplegados, sin embargo, el Ancho de Banda del servicio se debe ajustar al Ancho de Banda del perfil señalado y a la atenuación propia del Bucle Local, restringiendo el uso, ya sea  del esquema de libre adaptación (Free Running) o de la velocidad que identifica el sistema (xDSL) como máxima, ya que dichas prácticas sólo aumentan la contribución de ruido en el cable multipar, lo que agrega estrés a los sistemas adyacentes y no ofrece estabilidad a los servicios que operan bajo este esquema.</w:t>
      </w:r>
    </w:p>
    <w:p w:rsidR="00FB519C" w:rsidRPr="00611019" w:rsidRDefault="00FB519C"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rPr>
        <w:t>Aunado a lo anterior, la cantidad de servicios que conviven en un mismo cable multipar así como la mezcla de diferentes tecnologías en un momento dado, aportan a la contribución de interferencia y en consecuencia, se debe definir la cantidad de sistemas que pueden operar en un mismo cable multipar a fin de minimizar este efecto, por lo que se debe respetar lo indicado en el punto 6 del presente documento.</w:t>
      </w:r>
    </w:p>
    <w:p w:rsidR="00FB519C" w:rsidRPr="00611019" w:rsidRDefault="00FB519C" w:rsidP="00035D2C">
      <w:pPr>
        <w:pStyle w:val="IFTnormal"/>
        <w:rPr>
          <w:rFonts w:ascii="Century Gothic" w:hAnsi="Century Gothic"/>
        </w:rPr>
      </w:pPr>
    </w:p>
    <w:p w:rsidR="006A7D43" w:rsidRPr="00611019" w:rsidRDefault="00E56462" w:rsidP="00035D2C">
      <w:pPr>
        <w:pStyle w:val="IFTnormal"/>
        <w:spacing w:after="6pt"/>
        <w:rPr>
          <w:rFonts w:ascii="Century Gothic" w:hAnsi="Century Gothic"/>
          <w:b/>
          <w:sz w:val="20"/>
        </w:rPr>
      </w:pPr>
      <w:r>
        <w:rPr>
          <w:rFonts w:ascii="Century Gothic" w:hAnsi="Century Gothic"/>
        </w:rPr>
        <w:t>Para las tecnologías digitales (Grupos 2 al 5) de la Tabla 3, la penetración máxima a ser aplicada en un mismo cable multipar por UB, no podrá rebasar el 70% de ocupación en cualquier combinación de tecnologías de estos grupos.</w:t>
      </w:r>
    </w:p>
    <w:p w:rsidR="00655060" w:rsidRPr="00611019" w:rsidRDefault="00E56462" w:rsidP="00035D2C">
      <w:pPr>
        <w:pStyle w:val="xxxPiedeCuadroconnombre"/>
        <w:spacing w:before="3pt" w:after="3pt"/>
        <w:jc w:val="center"/>
        <w:rPr>
          <w:rFonts w:ascii="Century Gothic" w:hAnsi="Century Gothic"/>
        </w:rPr>
      </w:pPr>
      <w:r>
        <w:rPr>
          <w:rFonts w:ascii="Century Gothic" w:hAnsi="Century Gothic"/>
        </w:rPr>
        <w:t>Tabla 4: Proporción de Penetración de Tecnologías en una unidad básica de Bucle Local.</w:t>
      </w:r>
    </w:p>
    <w:tbl>
      <w:tblPr>
        <w:tblStyle w:val="Cuadrculadetablaclara1"/>
        <w:tblW w:w="98.0%" w:type="pct"/>
        <w:jc w:val="center"/>
        <w:tblLook w:firstRow="1" w:lastRow="0" w:firstColumn="1" w:lastColumn="0" w:noHBand="0" w:noVBand="1"/>
      </w:tblPr>
      <w:tblGrid>
        <w:gridCol w:w="1128"/>
        <w:gridCol w:w="3946"/>
        <w:gridCol w:w="1033"/>
        <w:gridCol w:w="1033"/>
        <w:gridCol w:w="1033"/>
        <w:gridCol w:w="1033"/>
      </w:tblGrid>
      <w:tr w:rsidR="0061711D" w:rsidTr="00A728FD">
        <w:trPr>
          <w:jc w:val="center"/>
        </w:trPr>
        <w:tc>
          <w:tcPr>
            <w:tcW w:w="12.0%" w:type="pct"/>
            <w:shd w:val="clear" w:color="auto" w:fill="009AD9"/>
            <w:vAlign w:val="center"/>
          </w:tcPr>
          <w:p w:rsidR="00655060" w:rsidRPr="00611019" w:rsidRDefault="00E56462" w:rsidP="00035D2C">
            <w:pPr>
              <w:spacing w:before="2pt" w:after="2pt"/>
              <w:jc w:val="center"/>
              <w:rPr>
                <w:rFonts w:ascii="Century Gothic" w:hAnsi="Century Gothic" w:cs="Arial"/>
                <w:b/>
                <w:color w:val="FFFFFF" w:themeColor="background1"/>
              </w:rPr>
            </w:pPr>
            <w:r>
              <w:rPr>
                <w:rFonts w:ascii="Century Gothic" w:hAnsi="Century Gothic" w:cs="Arial"/>
                <w:b/>
                <w:color w:val="FFFFFF" w:themeColor="background1"/>
              </w:rPr>
              <w:t>Número de Grupo</w:t>
            </w:r>
          </w:p>
        </w:tc>
        <w:tc>
          <w:tcPr>
            <w:tcW w:w="42.0%" w:type="pct"/>
            <w:shd w:val="clear" w:color="auto" w:fill="009AD9"/>
            <w:vAlign w:val="center"/>
          </w:tcPr>
          <w:p w:rsidR="00655060" w:rsidRPr="00611019" w:rsidRDefault="00E56462" w:rsidP="00035D2C">
            <w:pPr>
              <w:spacing w:before="2pt" w:after="2pt"/>
              <w:jc w:val="center"/>
              <w:rPr>
                <w:rFonts w:ascii="Century Gothic" w:hAnsi="Century Gothic" w:cs="Arial"/>
                <w:b/>
                <w:color w:val="FFFFFF" w:themeColor="background1"/>
              </w:rPr>
            </w:pPr>
            <w:r>
              <w:rPr>
                <w:rFonts w:ascii="Century Gothic" w:hAnsi="Century Gothic" w:cs="Arial"/>
                <w:b/>
                <w:color w:val="FFFFFF" w:themeColor="background1"/>
              </w:rPr>
              <w:t>Clasificación</w:t>
            </w:r>
          </w:p>
        </w:tc>
        <w:tc>
          <w:tcPr>
            <w:tcW w:w="11.0%" w:type="pct"/>
            <w:shd w:val="clear" w:color="auto" w:fill="009AD9"/>
            <w:vAlign w:val="center"/>
          </w:tcPr>
          <w:p w:rsidR="00655060" w:rsidRPr="00611019" w:rsidRDefault="00E56462" w:rsidP="00035D2C">
            <w:pPr>
              <w:spacing w:before="2pt" w:after="2pt"/>
              <w:jc w:val="center"/>
              <w:rPr>
                <w:rFonts w:ascii="Century Gothic" w:hAnsi="Century Gothic" w:cs="Arial"/>
                <w:b/>
                <w:color w:val="FFFFFF" w:themeColor="background1"/>
              </w:rPr>
            </w:pPr>
            <w:r>
              <w:rPr>
                <w:rFonts w:ascii="Century Gothic" w:hAnsi="Century Gothic" w:cs="Arial"/>
                <w:b/>
                <w:color w:val="FFFFFF" w:themeColor="background1"/>
              </w:rPr>
              <w:t>&lt;= 1 Km</w:t>
            </w:r>
          </w:p>
        </w:tc>
        <w:tc>
          <w:tcPr>
            <w:tcW w:w="11.0%" w:type="pct"/>
            <w:shd w:val="clear" w:color="auto" w:fill="009AD9"/>
            <w:vAlign w:val="center"/>
          </w:tcPr>
          <w:p w:rsidR="00655060" w:rsidRPr="00611019" w:rsidRDefault="00E56462" w:rsidP="00035D2C">
            <w:pPr>
              <w:spacing w:before="2pt" w:after="2pt"/>
              <w:jc w:val="center"/>
              <w:rPr>
                <w:rFonts w:ascii="Century Gothic" w:hAnsi="Century Gothic" w:cs="Arial"/>
                <w:b/>
                <w:color w:val="FFFFFF" w:themeColor="background1"/>
              </w:rPr>
            </w:pPr>
            <w:r>
              <w:rPr>
                <w:rFonts w:ascii="Century Gothic" w:hAnsi="Century Gothic" w:cs="Arial"/>
                <w:b/>
                <w:color w:val="FFFFFF" w:themeColor="background1"/>
              </w:rPr>
              <w:t>&lt;= 2 Km</w:t>
            </w:r>
          </w:p>
        </w:tc>
        <w:tc>
          <w:tcPr>
            <w:tcW w:w="11.0%" w:type="pct"/>
            <w:shd w:val="clear" w:color="auto" w:fill="009AD9"/>
            <w:vAlign w:val="center"/>
          </w:tcPr>
          <w:p w:rsidR="00655060" w:rsidRPr="00611019" w:rsidRDefault="00E56462" w:rsidP="00035D2C">
            <w:pPr>
              <w:spacing w:before="2pt" w:after="2pt"/>
              <w:jc w:val="center"/>
              <w:rPr>
                <w:rFonts w:ascii="Century Gothic" w:hAnsi="Century Gothic" w:cs="Arial"/>
                <w:b/>
                <w:color w:val="FFFFFF" w:themeColor="background1"/>
              </w:rPr>
            </w:pPr>
            <w:r>
              <w:rPr>
                <w:rFonts w:ascii="Century Gothic" w:hAnsi="Century Gothic" w:cs="Arial"/>
                <w:b/>
                <w:color w:val="FFFFFF" w:themeColor="background1"/>
              </w:rPr>
              <w:t>&lt;= 3 Km</w:t>
            </w:r>
          </w:p>
        </w:tc>
        <w:tc>
          <w:tcPr>
            <w:tcW w:w="11.0%" w:type="pct"/>
            <w:shd w:val="clear" w:color="auto" w:fill="009AD9"/>
            <w:vAlign w:val="center"/>
          </w:tcPr>
          <w:p w:rsidR="00655060" w:rsidRPr="00611019" w:rsidRDefault="00E56462" w:rsidP="00035D2C">
            <w:pPr>
              <w:spacing w:before="2pt" w:after="2pt"/>
              <w:jc w:val="center"/>
              <w:rPr>
                <w:rFonts w:ascii="Century Gothic" w:hAnsi="Century Gothic" w:cs="Arial"/>
                <w:b/>
                <w:color w:val="FFFFFF" w:themeColor="background1"/>
              </w:rPr>
            </w:pPr>
            <w:r>
              <w:rPr>
                <w:rFonts w:ascii="Century Gothic" w:hAnsi="Century Gothic" w:cs="Arial"/>
                <w:b/>
                <w:color w:val="FFFFFF" w:themeColor="background1"/>
              </w:rPr>
              <w:t>&lt;= 4 Km</w:t>
            </w:r>
          </w:p>
        </w:tc>
      </w:tr>
      <w:tr w:rsidR="0061711D" w:rsidTr="00A728FD">
        <w:trPr>
          <w:jc w:val="center"/>
        </w:trPr>
        <w:tc>
          <w:tcPr>
            <w:tcW w:w="12.0%" w:type="pct"/>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A</w:t>
            </w:r>
          </w:p>
        </w:tc>
        <w:tc>
          <w:tcPr>
            <w:tcW w:w="42.0%" w:type="pct"/>
            <w:vAlign w:val="center"/>
          </w:tcPr>
          <w:p w:rsidR="00655060" w:rsidRPr="00611019" w:rsidRDefault="00E56462" w:rsidP="00035D2C">
            <w:pPr>
              <w:spacing w:before="2pt" w:after="2pt"/>
              <w:rPr>
                <w:rFonts w:ascii="Century Gothic" w:hAnsi="Century Gothic" w:cs="Arial"/>
                <w:color w:val="000000" w:themeColor="text1"/>
              </w:rPr>
            </w:pPr>
            <w:r>
              <w:rPr>
                <w:rFonts w:ascii="Century Gothic" w:hAnsi="Century Gothic" w:cs="Arial"/>
                <w:color w:val="000000" w:themeColor="text1"/>
              </w:rPr>
              <w:t>Sistemas de Alimentación de Corriente Directa (DC)</w:t>
            </w:r>
          </w:p>
        </w:tc>
        <w:tc>
          <w:tcPr>
            <w:tcW w:w="11.0%" w:type="pct"/>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100%</w:t>
            </w:r>
          </w:p>
        </w:tc>
        <w:tc>
          <w:tcPr>
            <w:tcW w:w="11.0%" w:type="pct"/>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100%</w:t>
            </w:r>
          </w:p>
        </w:tc>
        <w:tc>
          <w:tcPr>
            <w:tcW w:w="11.0%" w:type="pct"/>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100%</w:t>
            </w:r>
          </w:p>
        </w:tc>
        <w:tc>
          <w:tcPr>
            <w:tcW w:w="11.0%" w:type="pct"/>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100%</w:t>
            </w:r>
          </w:p>
        </w:tc>
      </w:tr>
      <w:tr w:rsidR="0061711D" w:rsidTr="00A728FD">
        <w:trPr>
          <w:jc w:val="center"/>
        </w:trPr>
        <w:tc>
          <w:tcPr>
            <w:tcW w:w="12.0%" w:type="pct"/>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1</w:t>
            </w:r>
          </w:p>
        </w:tc>
        <w:tc>
          <w:tcPr>
            <w:tcW w:w="42.0%" w:type="pct"/>
            <w:vAlign w:val="center"/>
          </w:tcPr>
          <w:p w:rsidR="00655060" w:rsidRPr="00611019" w:rsidRDefault="00E56462" w:rsidP="00035D2C">
            <w:pPr>
              <w:spacing w:before="2pt" w:after="2pt"/>
              <w:rPr>
                <w:rFonts w:ascii="Century Gothic" w:hAnsi="Century Gothic" w:cs="Arial"/>
                <w:color w:val="000000" w:themeColor="text1"/>
              </w:rPr>
            </w:pPr>
            <w:r>
              <w:rPr>
                <w:rFonts w:ascii="Century Gothic" w:hAnsi="Century Gothic" w:cs="Arial"/>
                <w:color w:val="000000" w:themeColor="text1"/>
              </w:rPr>
              <w:t>Servicios de Voz (POTS)</w:t>
            </w:r>
          </w:p>
        </w:tc>
        <w:tc>
          <w:tcPr>
            <w:tcW w:w="11.0%" w:type="pct"/>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100%</w:t>
            </w:r>
          </w:p>
        </w:tc>
        <w:tc>
          <w:tcPr>
            <w:tcW w:w="11.0%" w:type="pct"/>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100%</w:t>
            </w:r>
          </w:p>
        </w:tc>
        <w:tc>
          <w:tcPr>
            <w:tcW w:w="11.0%" w:type="pct"/>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100%</w:t>
            </w:r>
          </w:p>
        </w:tc>
        <w:tc>
          <w:tcPr>
            <w:tcW w:w="11.0%" w:type="pct"/>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100%</w:t>
            </w:r>
          </w:p>
        </w:tc>
      </w:tr>
      <w:tr w:rsidR="0061711D" w:rsidTr="00A728FD">
        <w:trPr>
          <w:jc w:val="center"/>
        </w:trPr>
        <w:tc>
          <w:tcPr>
            <w:tcW w:w="12.0%" w:type="pct"/>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2</w:t>
            </w:r>
          </w:p>
        </w:tc>
        <w:tc>
          <w:tcPr>
            <w:tcW w:w="42.0%" w:type="pct"/>
            <w:vAlign w:val="center"/>
          </w:tcPr>
          <w:p w:rsidR="00655060" w:rsidRPr="00611019" w:rsidRDefault="00E56462" w:rsidP="00035D2C">
            <w:pPr>
              <w:spacing w:before="2pt" w:after="2pt"/>
              <w:rPr>
                <w:rFonts w:ascii="Century Gothic" w:hAnsi="Century Gothic" w:cs="Arial"/>
                <w:color w:val="000000" w:themeColor="text1"/>
              </w:rPr>
            </w:pPr>
            <w:r>
              <w:rPr>
                <w:rFonts w:ascii="Century Gothic" w:hAnsi="Century Gothic" w:cs="Arial"/>
                <w:color w:val="000000" w:themeColor="text1"/>
              </w:rPr>
              <w:t>Semi-Banda Ancha (ISDN)</w:t>
            </w:r>
          </w:p>
        </w:tc>
        <w:tc>
          <w:tcPr>
            <w:tcW w:w="11.0%" w:type="pct"/>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30%</w:t>
            </w:r>
          </w:p>
        </w:tc>
        <w:tc>
          <w:tcPr>
            <w:tcW w:w="11.0%" w:type="pct"/>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30%</w:t>
            </w:r>
          </w:p>
        </w:tc>
        <w:tc>
          <w:tcPr>
            <w:tcW w:w="11.0%" w:type="pct"/>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30%</w:t>
            </w:r>
          </w:p>
        </w:tc>
        <w:tc>
          <w:tcPr>
            <w:tcW w:w="11.0%" w:type="pct"/>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20%</w:t>
            </w:r>
          </w:p>
        </w:tc>
      </w:tr>
      <w:tr w:rsidR="0061711D" w:rsidTr="00A728FD">
        <w:trPr>
          <w:jc w:val="center"/>
        </w:trPr>
        <w:tc>
          <w:tcPr>
            <w:tcW w:w="12.0%" w:type="pct"/>
            <w:vAlign w:val="center"/>
          </w:tcPr>
          <w:p w:rsidR="00655060" w:rsidRPr="00611019" w:rsidRDefault="00E56462" w:rsidP="00035D2C">
            <w:pPr>
              <w:autoSpaceDE w:val="0"/>
              <w:autoSpaceDN w:val="0"/>
              <w:adjustRightInd w:val="0"/>
              <w:spacing w:before="2pt" w:after="2pt"/>
              <w:jc w:val="center"/>
              <w:rPr>
                <w:rFonts w:ascii="Century Gothic" w:hAnsi="Century Gothic" w:cs="Arial"/>
                <w:color w:val="000000" w:themeColor="text1"/>
              </w:rPr>
            </w:pPr>
            <w:r>
              <w:rPr>
                <w:rFonts w:ascii="Century Gothic" w:hAnsi="Century Gothic" w:cs="Arial"/>
                <w:color w:val="000000" w:themeColor="text1"/>
              </w:rPr>
              <w:t>3</w:t>
            </w:r>
          </w:p>
        </w:tc>
        <w:tc>
          <w:tcPr>
            <w:tcW w:w="42.0%" w:type="pct"/>
            <w:vAlign w:val="center"/>
          </w:tcPr>
          <w:p w:rsidR="00655060" w:rsidRPr="00611019" w:rsidRDefault="00E56462" w:rsidP="00035D2C">
            <w:pPr>
              <w:autoSpaceDE w:val="0"/>
              <w:autoSpaceDN w:val="0"/>
              <w:adjustRightInd w:val="0"/>
              <w:spacing w:before="2pt" w:after="2pt"/>
              <w:rPr>
                <w:rFonts w:ascii="Century Gothic" w:hAnsi="Century Gothic" w:cs="Arial"/>
                <w:color w:val="000000" w:themeColor="text1"/>
              </w:rPr>
            </w:pPr>
            <w:r>
              <w:rPr>
                <w:rFonts w:ascii="Century Gothic" w:hAnsi="Century Gothic" w:cs="Arial"/>
                <w:color w:val="000000" w:themeColor="text1"/>
              </w:rPr>
              <w:t>Banda Ancha Simétrica (SHDSL)</w:t>
            </w:r>
          </w:p>
        </w:tc>
        <w:tc>
          <w:tcPr>
            <w:tcW w:w="11.0%" w:type="pct"/>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30%</w:t>
            </w:r>
          </w:p>
        </w:tc>
        <w:tc>
          <w:tcPr>
            <w:tcW w:w="11.0%" w:type="pct"/>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30%</w:t>
            </w:r>
          </w:p>
        </w:tc>
        <w:tc>
          <w:tcPr>
            <w:tcW w:w="11.0%" w:type="pct"/>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20%</w:t>
            </w:r>
          </w:p>
        </w:tc>
        <w:tc>
          <w:tcPr>
            <w:tcW w:w="11.0%" w:type="pct"/>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20%</w:t>
            </w:r>
          </w:p>
        </w:tc>
      </w:tr>
      <w:tr w:rsidR="0061711D" w:rsidTr="00A728FD">
        <w:trPr>
          <w:jc w:val="center"/>
        </w:trPr>
        <w:tc>
          <w:tcPr>
            <w:tcW w:w="12.0%" w:type="pct"/>
            <w:vAlign w:val="center"/>
          </w:tcPr>
          <w:p w:rsidR="00655060" w:rsidRPr="00611019" w:rsidRDefault="00E56462" w:rsidP="00035D2C">
            <w:pPr>
              <w:autoSpaceDE w:val="0"/>
              <w:autoSpaceDN w:val="0"/>
              <w:adjustRightInd w:val="0"/>
              <w:spacing w:before="2pt" w:after="2pt"/>
              <w:contextualSpacing/>
              <w:jc w:val="center"/>
              <w:rPr>
                <w:rFonts w:ascii="Century Gothic" w:hAnsi="Century Gothic" w:cs="Arial"/>
                <w:color w:val="000000" w:themeColor="text1"/>
              </w:rPr>
            </w:pPr>
            <w:r>
              <w:rPr>
                <w:rFonts w:ascii="Century Gothic" w:hAnsi="Century Gothic" w:cs="Arial"/>
                <w:color w:val="000000" w:themeColor="text1"/>
              </w:rPr>
              <w:t>4</w:t>
            </w:r>
          </w:p>
        </w:tc>
        <w:tc>
          <w:tcPr>
            <w:tcW w:w="42.0%" w:type="pct"/>
            <w:vAlign w:val="center"/>
          </w:tcPr>
          <w:p w:rsidR="00655060" w:rsidRPr="00611019" w:rsidRDefault="00E56462" w:rsidP="00035D2C">
            <w:pPr>
              <w:autoSpaceDE w:val="0"/>
              <w:autoSpaceDN w:val="0"/>
              <w:adjustRightInd w:val="0"/>
              <w:spacing w:before="2pt" w:after="2pt"/>
              <w:contextualSpacing/>
              <w:rPr>
                <w:rFonts w:ascii="Century Gothic" w:hAnsi="Century Gothic" w:cs="Arial"/>
                <w:color w:val="000000" w:themeColor="text1"/>
              </w:rPr>
            </w:pPr>
            <w:r>
              <w:rPr>
                <w:rFonts w:ascii="Century Gothic" w:hAnsi="Century Gothic" w:cs="Arial"/>
                <w:color w:val="000000" w:themeColor="text1"/>
              </w:rPr>
              <w:t xml:space="preserve">Banda Ancha Asimétrica </w:t>
            </w:r>
          </w:p>
          <w:p w:rsidR="00655060" w:rsidRPr="00611019" w:rsidRDefault="00E56462" w:rsidP="00035D2C">
            <w:pPr>
              <w:spacing w:before="2pt" w:after="2pt"/>
              <w:contextualSpacing/>
              <w:rPr>
                <w:rFonts w:ascii="Century Gothic" w:hAnsi="Century Gothic" w:cs="Arial"/>
                <w:color w:val="000000" w:themeColor="text1"/>
              </w:rPr>
            </w:pPr>
            <w:r>
              <w:rPr>
                <w:rFonts w:ascii="Century Gothic" w:hAnsi="Century Gothic" w:cs="Arial"/>
                <w:color w:val="000000" w:themeColor="text1"/>
              </w:rPr>
              <w:t>Hasta 2.2 MHz (ADSL,ADSL2,ADSL2+)</w:t>
            </w:r>
          </w:p>
        </w:tc>
        <w:tc>
          <w:tcPr>
            <w:tcW w:w="11.0%" w:type="pct"/>
            <w:vAlign w:val="center"/>
          </w:tcPr>
          <w:p w:rsidR="00655060" w:rsidRPr="00611019" w:rsidRDefault="00E56462" w:rsidP="00035D2C">
            <w:pPr>
              <w:spacing w:before="2pt" w:after="2pt"/>
              <w:contextualSpacing/>
              <w:jc w:val="center"/>
              <w:rPr>
                <w:rFonts w:ascii="Century Gothic" w:hAnsi="Century Gothic" w:cs="Arial"/>
                <w:color w:val="000000" w:themeColor="text1"/>
              </w:rPr>
            </w:pPr>
            <w:r>
              <w:rPr>
                <w:rFonts w:ascii="Century Gothic" w:hAnsi="Century Gothic" w:cs="Arial"/>
                <w:color w:val="000000" w:themeColor="text1"/>
              </w:rPr>
              <w:t>100%</w:t>
            </w:r>
          </w:p>
        </w:tc>
        <w:tc>
          <w:tcPr>
            <w:tcW w:w="11.0%" w:type="pct"/>
            <w:vAlign w:val="center"/>
          </w:tcPr>
          <w:p w:rsidR="00655060" w:rsidRPr="00611019" w:rsidRDefault="00E56462" w:rsidP="00035D2C">
            <w:pPr>
              <w:spacing w:before="2pt" w:after="2pt"/>
              <w:contextualSpacing/>
              <w:jc w:val="center"/>
              <w:rPr>
                <w:rFonts w:ascii="Century Gothic" w:hAnsi="Century Gothic" w:cs="Arial"/>
                <w:color w:val="000000" w:themeColor="text1"/>
              </w:rPr>
            </w:pPr>
            <w:r>
              <w:rPr>
                <w:rFonts w:ascii="Century Gothic" w:hAnsi="Century Gothic" w:cs="Arial"/>
                <w:color w:val="000000" w:themeColor="text1"/>
              </w:rPr>
              <w:t>60%</w:t>
            </w:r>
          </w:p>
        </w:tc>
        <w:tc>
          <w:tcPr>
            <w:tcW w:w="11.0%" w:type="pct"/>
            <w:vAlign w:val="center"/>
          </w:tcPr>
          <w:p w:rsidR="00655060" w:rsidRPr="00611019" w:rsidRDefault="00E56462" w:rsidP="00035D2C">
            <w:pPr>
              <w:spacing w:before="2pt" w:after="2pt"/>
              <w:contextualSpacing/>
              <w:jc w:val="center"/>
              <w:rPr>
                <w:rFonts w:ascii="Century Gothic" w:hAnsi="Century Gothic" w:cs="Arial"/>
                <w:color w:val="000000" w:themeColor="text1"/>
              </w:rPr>
            </w:pPr>
            <w:r>
              <w:rPr>
                <w:rFonts w:ascii="Century Gothic" w:hAnsi="Century Gothic" w:cs="Arial"/>
                <w:color w:val="000000" w:themeColor="text1"/>
              </w:rPr>
              <w:t>50%</w:t>
            </w:r>
          </w:p>
        </w:tc>
        <w:tc>
          <w:tcPr>
            <w:tcW w:w="11.0%" w:type="pct"/>
            <w:vAlign w:val="center"/>
          </w:tcPr>
          <w:p w:rsidR="00655060" w:rsidRPr="00611019" w:rsidRDefault="00E56462" w:rsidP="00035D2C">
            <w:pPr>
              <w:spacing w:before="2pt" w:after="2pt"/>
              <w:contextualSpacing/>
              <w:jc w:val="center"/>
              <w:rPr>
                <w:rFonts w:ascii="Century Gothic" w:hAnsi="Century Gothic" w:cs="Arial"/>
                <w:color w:val="000000" w:themeColor="text1"/>
              </w:rPr>
            </w:pPr>
            <w:r>
              <w:rPr>
                <w:rFonts w:ascii="Century Gothic" w:hAnsi="Century Gothic" w:cs="Arial"/>
                <w:color w:val="000000" w:themeColor="text1"/>
              </w:rPr>
              <w:t>40%</w:t>
            </w:r>
          </w:p>
        </w:tc>
      </w:tr>
      <w:tr w:rsidR="0061711D" w:rsidTr="00A728FD">
        <w:trPr>
          <w:jc w:val="center"/>
        </w:trPr>
        <w:tc>
          <w:tcPr>
            <w:tcW w:w="12.0%" w:type="pct"/>
            <w:vAlign w:val="center"/>
          </w:tcPr>
          <w:p w:rsidR="00655060" w:rsidRPr="00611019" w:rsidRDefault="00E56462" w:rsidP="00035D2C">
            <w:pPr>
              <w:autoSpaceDE w:val="0"/>
              <w:autoSpaceDN w:val="0"/>
              <w:adjustRightInd w:val="0"/>
              <w:spacing w:before="2pt" w:after="2pt"/>
              <w:jc w:val="center"/>
              <w:rPr>
                <w:rFonts w:ascii="Century Gothic" w:hAnsi="Century Gothic" w:cs="Arial"/>
                <w:color w:val="000000" w:themeColor="text1"/>
              </w:rPr>
            </w:pPr>
            <w:r>
              <w:rPr>
                <w:rFonts w:ascii="Century Gothic" w:hAnsi="Century Gothic" w:cs="Arial"/>
                <w:color w:val="000000" w:themeColor="text1"/>
              </w:rPr>
              <w:t>5</w:t>
            </w:r>
          </w:p>
        </w:tc>
        <w:tc>
          <w:tcPr>
            <w:tcW w:w="42.0%" w:type="pct"/>
            <w:vAlign w:val="center"/>
          </w:tcPr>
          <w:p w:rsidR="00655060" w:rsidRPr="00611019" w:rsidRDefault="00E56462" w:rsidP="00035D2C">
            <w:pPr>
              <w:autoSpaceDE w:val="0"/>
              <w:autoSpaceDN w:val="0"/>
              <w:adjustRightInd w:val="0"/>
              <w:spacing w:before="2pt" w:after="2pt"/>
              <w:rPr>
                <w:rFonts w:ascii="Century Gothic" w:hAnsi="Century Gothic" w:cs="Arial"/>
                <w:color w:val="000000" w:themeColor="text1"/>
              </w:rPr>
            </w:pPr>
            <w:r>
              <w:rPr>
                <w:rFonts w:ascii="Century Gothic" w:hAnsi="Century Gothic" w:cs="Arial"/>
                <w:color w:val="000000" w:themeColor="text1"/>
              </w:rPr>
              <w:t>Banda Ancha Asimétrica</w:t>
            </w:r>
          </w:p>
          <w:p w:rsidR="00655060" w:rsidRPr="00611019" w:rsidRDefault="00E56462" w:rsidP="00035D2C">
            <w:pPr>
              <w:spacing w:before="2pt" w:after="2pt"/>
              <w:rPr>
                <w:rFonts w:ascii="Century Gothic" w:hAnsi="Century Gothic" w:cs="Arial"/>
                <w:color w:val="000000" w:themeColor="text1"/>
              </w:rPr>
            </w:pPr>
            <w:r>
              <w:rPr>
                <w:rFonts w:ascii="Century Gothic" w:hAnsi="Century Gothic" w:cs="Arial"/>
                <w:color w:val="000000" w:themeColor="text1"/>
              </w:rPr>
              <w:t>Hasta 30 MHz (VDSL2)</w:t>
            </w:r>
          </w:p>
        </w:tc>
        <w:tc>
          <w:tcPr>
            <w:tcW w:w="11.0%" w:type="pct"/>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100%</w:t>
            </w:r>
          </w:p>
        </w:tc>
        <w:tc>
          <w:tcPr>
            <w:tcW w:w="11.0%" w:type="pct"/>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50%</w:t>
            </w:r>
          </w:p>
        </w:tc>
        <w:tc>
          <w:tcPr>
            <w:tcW w:w="11.0%" w:type="pct"/>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25%</w:t>
            </w:r>
          </w:p>
        </w:tc>
        <w:tc>
          <w:tcPr>
            <w:tcW w:w="11.0%" w:type="pct"/>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0%</w:t>
            </w:r>
          </w:p>
        </w:tc>
      </w:tr>
    </w:tbl>
    <w:p w:rsidR="00655060" w:rsidRPr="00611019" w:rsidRDefault="00655060" w:rsidP="00035D2C">
      <w:pPr>
        <w:pStyle w:val="IFTnormal"/>
        <w:rPr>
          <w:rFonts w:ascii="Century Gothic" w:hAnsi="Century Gothic"/>
        </w:rPr>
      </w:pPr>
    </w:p>
    <w:p w:rsidR="00655060" w:rsidRPr="00611019" w:rsidRDefault="00E56462" w:rsidP="00035D2C">
      <w:pPr>
        <w:pStyle w:val="IFTnormal"/>
        <w:rPr>
          <w:rFonts w:ascii="Century Gothic" w:hAnsi="Century Gothic"/>
          <w:b/>
          <w:color w:val="000000" w:themeColor="text1"/>
        </w:rPr>
      </w:pPr>
      <w:r>
        <w:rPr>
          <w:rFonts w:ascii="Century Gothic" w:hAnsi="Century Gothic"/>
        </w:rPr>
        <w:t>A manera de ejemplo, se detalla la cantidad de servicios que una UB de Bucle Local pudiera soportar a determinadas distancias, sin considerar la combinación de tecnologías (Tabla 5).</w:t>
      </w:r>
    </w:p>
    <w:p w:rsidR="00D00E2F" w:rsidRPr="00611019" w:rsidRDefault="00D00E2F" w:rsidP="00035D2C">
      <w:pPr>
        <w:pStyle w:val="xxxPiedeCuadroconnombre"/>
        <w:spacing w:before="3pt" w:after="3pt"/>
        <w:jc w:val="center"/>
        <w:rPr>
          <w:rFonts w:ascii="Century Gothic" w:hAnsi="Century Gothic"/>
        </w:rPr>
      </w:pPr>
    </w:p>
    <w:p w:rsidR="00655060" w:rsidRPr="00611019" w:rsidRDefault="00E56462" w:rsidP="00035D2C">
      <w:pPr>
        <w:pStyle w:val="xxxPiedeCuadroconnombre"/>
        <w:spacing w:before="3pt" w:after="3pt"/>
        <w:jc w:val="center"/>
        <w:rPr>
          <w:rFonts w:ascii="Century Gothic" w:hAnsi="Century Gothic"/>
        </w:rPr>
      </w:pPr>
      <w:r>
        <w:rPr>
          <w:rFonts w:ascii="Century Gothic" w:hAnsi="Century Gothic"/>
        </w:rPr>
        <w:lastRenderedPageBreak/>
        <w:t>Tabla 5: Ejemplo de Cantidad de Tecnologías en una unidad básica de Bucle Local.</w:t>
      </w:r>
    </w:p>
    <w:tbl>
      <w:tblPr>
        <w:tblStyle w:val="Cuadrculadetablaclara1"/>
        <w:tblW w:w="361.25pt" w:type="dxa"/>
        <w:jc w:val="center"/>
        <w:tblLook w:firstRow="1" w:lastRow="0" w:firstColumn="1" w:lastColumn="0" w:noHBand="0" w:noVBand="1"/>
      </w:tblPr>
      <w:tblGrid>
        <w:gridCol w:w="2689"/>
        <w:gridCol w:w="1010"/>
        <w:gridCol w:w="1258"/>
        <w:gridCol w:w="1134"/>
        <w:gridCol w:w="1134"/>
      </w:tblGrid>
      <w:tr w:rsidR="0061711D" w:rsidTr="006A573B">
        <w:trPr>
          <w:trHeight w:val="20"/>
          <w:jc w:val="center"/>
        </w:trPr>
        <w:tc>
          <w:tcPr>
            <w:tcW w:w="134.45pt" w:type="dxa"/>
            <w:shd w:val="clear" w:color="auto" w:fill="009AD9"/>
            <w:vAlign w:val="center"/>
          </w:tcPr>
          <w:p w:rsidR="00655060" w:rsidRPr="00611019" w:rsidRDefault="00E56462" w:rsidP="00035D2C">
            <w:pPr>
              <w:spacing w:before="2pt" w:after="2pt"/>
              <w:jc w:val="center"/>
              <w:rPr>
                <w:rFonts w:ascii="Century Gothic" w:hAnsi="Century Gothic" w:cs="Arial"/>
                <w:b/>
                <w:color w:val="FFFFFF" w:themeColor="background1"/>
              </w:rPr>
            </w:pPr>
            <w:r>
              <w:rPr>
                <w:rFonts w:ascii="Century Gothic" w:hAnsi="Century Gothic" w:cs="Arial"/>
                <w:b/>
                <w:color w:val="FFFFFF" w:themeColor="background1"/>
              </w:rPr>
              <w:t>Grupo</w:t>
            </w:r>
          </w:p>
        </w:tc>
        <w:tc>
          <w:tcPr>
            <w:tcW w:w="50.50pt" w:type="dxa"/>
            <w:shd w:val="clear" w:color="auto" w:fill="009AD9"/>
            <w:vAlign w:val="center"/>
          </w:tcPr>
          <w:p w:rsidR="00655060" w:rsidRPr="00611019" w:rsidRDefault="00E56462" w:rsidP="00035D2C">
            <w:pPr>
              <w:spacing w:before="2pt" w:after="2pt"/>
              <w:jc w:val="center"/>
              <w:rPr>
                <w:rFonts w:ascii="Century Gothic" w:hAnsi="Century Gothic" w:cs="Arial"/>
                <w:b/>
                <w:color w:val="FFFFFF" w:themeColor="background1"/>
              </w:rPr>
            </w:pPr>
            <w:r>
              <w:rPr>
                <w:rFonts w:ascii="Century Gothic" w:hAnsi="Century Gothic" w:cs="Arial"/>
                <w:b/>
                <w:color w:val="FFFFFF" w:themeColor="background1"/>
              </w:rPr>
              <w:t>&lt;= 1 Km</w:t>
            </w:r>
          </w:p>
        </w:tc>
        <w:tc>
          <w:tcPr>
            <w:tcW w:w="62.90pt" w:type="dxa"/>
            <w:shd w:val="clear" w:color="auto" w:fill="009AD9"/>
            <w:vAlign w:val="center"/>
          </w:tcPr>
          <w:p w:rsidR="00655060" w:rsidRPr="00611019" w:rsidRDefault="00E56462" w:rsidP="00035D2C">
            <w:pPr>
              <w:spacing w:before="2pt" w:after="2pt"/>
              <w:jc w:val="center"/>
              <w:rPr>
                <w:rFonts w:ascii="Century Gothic" w:hAnsi="Century Gothic" w:cs="Arial"/>
                <w:b/>
                <w:color w:val="FFFFFF" w:themeColor="background1"/>
              </w:rPr>
            </w:pPr>
            <w:r>
              <w:rPr>
                <w:rFonts w:ascii="Century Gothic" w:hAnsi="Century Gothic" w:cs="Arial"/>
                <w:b/>
                <w:color w:val="FFFFFF" w:themeColor="background1"/>
              </w:rPr>
              <w:t>&lt;= 2 Km</w:t>
            </w:r>
          </w:p>
        </w:tc>
        <w:tc>
          <w:tcPr>
            <w:tcW w:w="56.70pt" w:type="dxa"/>
            <w:shd w:val="clear" w:color="auto" w:fill="009AD9"/>
            <w:vAlign w:val="center"/>
          </w:tcPr>
          <w:p w:rsidR="00655060" w:rsidRPr="00611019" w:rsidRDefault="00E56462" w:rsidP="00035D2C">
            <w:pPr>
              <w:spacing w:before="2pt" w:after="2pt"/>
              <w:jc w:val="center"/>
              <w:rPr>
                <w:rFonts w:ascii="Century Gothic" w:hAnsi="Century Gothic" w:cs="Arial"/>
                <w:b/>
                <w:color w:val="FFFFFF" w:themeColor="background1"/>
              </w:rPr>
            </w:pPr>
            <w:r>
              <w:rPr>
                <w:rFonts w:ascii="Century Gothic" w:hAnsi="Century Gothic" w:cs="Arial"/>
                <w:b/>
                <w:color w:val="FFFFFF" w:themeColor="background1"/>
              </w:rPr>
              <w:t>&lt;= 3 Km</w:t>
            </w:r>
          </w:p>
        </w:tc>
        <w:tc>
          <w:tcPr>
            <w:tcW w:w="56.70pt" w:type="dxa"/>
            <w:shd w:val="clear" w:color="auto" w:fill="009AD9"/>
            <w:vAlign w:val="center"/>
          </w:tcPr>
          <w:p w:rsidR="00655060" w:rsidRPr="00611019" w:rsidRDefault="00E56462" w:rsidP="00035D2C">
            <w:pPr>
              <w:spacing w:before="2pt" w:after="2pt"/>
              <w:jc w:val="center"/>
              <w:rPr>
                <w:rFonts w:ascii="Century Gothic" w:hAnsi="Century Gothic" w:cs="Arial"/>
                <w:b/>
                <w:color w:val="FFFFFF" w:themeColor="background1"/>
              </w:rPr>
            </w:pPr>
            <w:r>
              <w:rPr>
                <w:rFonts w:ascii="Century Gothic" w:hAnsi="Century Gothic" w:cs="Arial"/>
                <w:b/>
                <w:color w:val="FFFFFF" w:themeColor="background1"/>
              </w:rPr>
              <w:t>&lt;= 4 Km</w:t>
            </w:r>
          </w:p>
        </w:tc>
      </w:tr>
      <w:tr w:rsidR="0061711D" w:rsidTr="001A28E4">
        <w:trPr>
          <w:trHeight w:val="665"/>
          <w:jc w:val="center"/>
        </w:trPr>
        <w:tc>
          <w:tcPr>
            <w:tcW w:w="134.45pt" w:type="dxa"/>
            <w:vAlign w:val="center"/>
          </w:tcPr>
          <w:p w:rsidR="00655060" w:rsidRPr="00611019" w:rsidRDefault="00E56462" w:rsidP="00035D2C">
            <w:pPr>
              <w:spacing w:before="2pt" w:after="2pt"/>
              <w:rPr>
                <w:rFonts w:ascii="Century Gothic" w:hAnsi="Century Gothic" w:cs="Arial"/>
                <w:color w:val="000000" w:themeColor="text1"/>
              </w:rPr>
            </w:pPr>
            <w:r>
              <w:rPr>
                <w:rFonts w:ascii="Century Gothic" w:hAnsi="Century Gothic" w:cs="Arial"/>
                <w:color w:val="000000" w:themeColor="text1"/>
              </w:rPr>
              <w:t>Sistemas de Alimentación de Corriente Directa (DC)</w:t>
            </w:r>
          </w:p>
        </w:tc>
        <w:tc>
          <w:tcPr>
            <w:tcW w:w="50.50pt" w:type="dxa"/>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50</w:t>
            </w:r>
          </w:p>
        </w:tc>
        <w:tc>
          <w:tcPr>
            <w:tcW w:w="62.90pt" w:type="dxa"/>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50</w:t>
            </w:r>
          </w:p>
        </w:tc>
        <w:tc>
          <w:tcPr>
            <w:tcW w:w="56.70pt" w:type="dxa"/>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50</w:t>
            </w:r>
          </w:p>
        </w:tc>
        <w:tc>
          <w:tcPr>
            <w:tcW w:w="56.70pt" w:type="dxa"/>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50</w:t>
            </w:r>
          </w:p>
        </w:tc>
      </w:tr>
      <w:tr w:rsidR="0061711D" w:rsidTr="00A728FD">
        <w:trPr>
          <w:trHeight w:val="185"/>
          <w:jc w:val="center"/>
        </w:trPr>
        <w:tc>
          <w:tcPr>
            <w:tcW w:w="134.45pt" w:type="dxa"/>
            <w:vAlign w:val="center"/>
          </w:tcPr>
          <w:p w:rsidR="00655060" w:rsidRPr="00611019" w:rsidRDefault="00E56462" w:rsidP="00035D2C">
            <w:pPr>
              <w:spacing w:before="2pt" w:after="2pt"/>
              <w:rPr>
                <w:rFonts w:ascii="Century Gothic" w:hAnsi="Century Gothic" w:cs="Arial"/>
                <w:color w:val="000000" w:themeColor="text1"/>
              </w:rPr>
            </w:pPr>
            <w:r>
              <w:rPr>
                <w:rFonts w:ascii="Century Gothic" w:hAnsi="Century Gothic" w:cs="Arial"/>
                <w:color w:val="000000" w:themeColor="text1"/>
              </w:rPr>
              <w:t>Servicios de Voz</w:t>
            </w:r>
          </w:p>
        </w:tc>
        <w:tc>
          <w:tcPr>
            <w:tcW w:w="50.50pt" w:type="dxa"/>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50</w:t>
            </w:r>
          </w:p>
        </w:tc>
        <w:tc>
          <w:tcPr>
            <w:tcW w:w="62.90pt" w:type="dxa"/>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50</w:t>
            </w:r>
          </w:p>
        </w:tc>
        <w:tc>
          <w:tcPr>
            <w:tcW w:w="56.70pt" w:type="dxa"/>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50</w:t>
            </w:r>
          </w:p>
        </w:tc>
        <w:tc>
          <w:tcPr>
            <w:tcW w:w="56.70pt" w:type="dxa"/>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50</w:t>
            </w:r>
          </w:p>
        </w:tc>
      </w:tr>
      <w:tr w:rsidR="0061711D" w:rsidTr="00A728FD">
        <w:trPr>
          <w:trHeight w:val="121"/>
          <w:jc w:val="center"/>
        </w:trPr>
        <w:tc>
          <w:tcPr>
            <w:tcW w:w="134.45pt" w:type="dxa"/>
            <w:vAlign w:val="center"/>
          </w:tcPr>
          <w:p w:rsidR="00655060" w:rsidRPr="00611019" w:rsidRDefault="00E56462" w:rsidP="00035D2C">
            <w:pPr>
              <w:spacing w:before="2pt" w:after="2pt"/>
              <w:rPr>
                <w:rFonts w:ascii="Century Gothic" w:hAnsi="Century Gothic" w:cs="Arial"/>
                <w:color w:val="000000" w:themeColor="text1"/>
              </w:rPr>
            </w:pPr>
            <w:r>
              <w:rPr>
                <w:rFonts w:ascii="Century Gothic" w:hAnsi="Century Gothic" w:cs="Arial"/>
                <w:color w:val="000000" w:themeColor="text1"/>
              </w:rPr>
              <w:t>Semi-Banda Ancha</w:t>
            </w:r>
          </w:p>
        </w:tc>
        <w:tc>
          <w:tcPr>
            <w:tcW w:w="50.50pt" w:type="dxa"/>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10</w:t>
            </w:r>
          </w:p>
        </w:tc>
        <w:tc>
          <w:tcPr>
            <w:tcW w:w="62.90pt" w:type="dxa"/>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10</w:t>
            </w:r>
          </w:p>
        </w:tc>
        <w:tc>
          <w:tcPr>
            <w:tcW w:w="56.70pt" w:type="dxa"/>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10</w:t>
            </w:r>
          </w:p>
        </w:tc>
        <w:tc>
          <w:tcPr>
            <w:tcW w:w="56.70pt" w:type="dxa"/>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7</w:t>
            </w:r>
          </w:p>
        </w:tc>
      </w:tr>
      <w:tr w:rsidR="0061711D" w:rsidTr="001A28E4">
        <w:trPr>
          <w:trHeight w:val="351"/>
          <w:jc w:val="center"/>
        </w:trPr>
        <w:tc>
          <w:tcPr>
            <w:tcW w:w="134.45pt" w:type="dxa"/>
            <w:vAlign w:val="center"/>
          </w:tcPr>
          <w:p w:rsidR="00655060" w:rsidRPr="00611019" w:rsidRDefault="00E56462" w:rsidP="00035D2C">
            <w:pPr>
              <w:spacing w:before="2pt" w:after="2pt"/>
              <w:rPr>
                <w:rFonts w:ascii="Century Gothic" w:hAnsi="Century Gothic" w:cs="Arial"/>
                <w:color w:val="000000" w:themeColor="text1"/>
              </w:rPr>
            </w:pPr>
            <w:r>
              <w:rPr>
                <w:rFonts w:ascii="Century Gothic" w:hAnsi="Century Gothic" w:cs="Arial"/>
                <w:color w:val="000000" w:themeColor="text1"/>
              </w:rPr>
              <w:t>Banda Ancha Simétrica</w:t>
            </w:r>
          </w:p>
        </w:tc>
        <w:tc>
          <w:tcPr>
            <w:tcW w:w="50.50pt" w:type="dxa"/>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10</w:t>
            </w:r>
          </w:p>
        </w:tc>
        <w:tc>
          <w:tcPr>
            <w:tcW w:w="62.90pt" w:type="dxa"/>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10</w:t>
            </w:r>
          </w:p>
        </w:tc>
        <w:tc>
          <w:tcPr>
            <w:tcW w:w="56.70pt" w:type="dxa"/>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7</w:t>
            </w:r>
          </w:p>
        </w:tc>
        <w:tc>
          <w:tcPr>
            <w:tcW w:w="56.70pt" w:type="dxa"/>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0</w:t>
            </w:r>
          </w:p>
        </w:tc>
      </w:tr>
      <w:tr w:rsidR="0061711D" w:rsidTr="00A728FD">
        <w:trPr>
          <w:trHeight w:val="303"/>
          <w:jc w:val="center"/>
        </w:trPr>
        <w:tc>
          <w:tcPr>
            <w:tcW w:w="134.45pt" w:type="dxa"/>
            <w:vAlign w:val="center"/>
          </w:tcPr>
          <w:p w:rsidR="00655060" w:rsidRPr="00611019" w:rsidRDefault="00E56462" w:rsidP="00035D2C">
            <w:pPr>
              <w:spacing w:before="2pt" w:after="2pt"/>
              <w:rPr>
                <w:rFonts w:ascii="Century Gothic" w:hAnsi="Century Gothic" w:cs="Arial"/>
                <w:color w:val="000000" w:themeColor="text1"/>
              </w:rPr>
            </w:pPr>
            <w:r>
              <w:rPr>
                <w:rFonts w:ascii="Century Gothic" w:hAnsi="Century Gothic" w:cs="Arial"/>
                <w:color w:val="000000" w:themeColor="text1"/>
              </w:rPr>
              <w:t>Banda Ancha Asimétrica</w:t>
            </w:r>
          </w:p>
          <w:p w:rsidR="00655060" w:rsidRPr="00611019" w:rsidRDefault="00E56462" w:rsidP="00035D2C">
            <w:pPr>
              <w:spacing w:before="2pt" w:after="2pt"/>
              <w:rPr>
                <w:rFonts w:ascii="Century Gothic" w:hAnsi="Century Gothic" w:cs="Arial"/>
                <w:color w:val="000000" w:themeColor="text1"/>
              </w:rPr>
            </w:pPr>
            <w:r>
              <w:rPr>
                <w:rFonts w:ascii="Century Gothic" w:hAnsi="Century Gothic" w:cs="Arial"/>
                <w:color w:val="000000" w:themeColor="text1"/>
              </w:rPr>
              <w:t>Hasta 2.2 MHz</w:t>
            </w:r>
          </w:p>
        </w:tc>
        <w:tc>
          <w:tcPr>
            <w:tcW w:w="50.50pt" w:type="dxa"/>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35</w:t>
            </w:r>
          </w:p>
        </w:tc>
        <w:tc>
          <w:tcPr>
            <w:tcW w:w="62.90pt" w:type="dxa"/>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21</w:t>
            </w:r>
          </w:p>
        </w:tc>
        <w:tc>
          <w:tcPr>
            <w:tcW w:w="56.70pt" w:type="dxa"/>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17</w:t>
            </w:r>
          </w:p>
        </w:tc>
        <w:tc>
          <w:tcPr>
            <w:tcW w:w="56.70pt" w:type="dxa"/>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14</w:t>
            </w:r>
          </w:p>
        </w:tc>
      </w:tr>
      <w:tr w:rsidR="0061711D" w:rsidTr="00A728FD">
        <w:trPr>
          <w:trHeight w:val="612"/>
          <w:jc w:val="center"/>
        </w:trPr>
        <w:tc>
          <w:tcPr>
            <w:tcW w:w="134.45pt" w:type="dxa"/>
            <w:vAlign w:val="center"/>
          </w:tcPr>
          <w:p w:rsidR="00655060" w:rsidRPr="00611019" w:rsidRDefault="00E56462" w:rsidP="00035D2C">
            <w:pPr>
              <w:spacing w:before="2pt" w:after="2pt"/>
              <w:rPr>
                <w:rFonts w:ascii="Century Gothic" w:hAnsi="Century Gothic" w:cs="Arial"/>
                <w:color w:val="000000" w:themeColor="text1"/>
              </w:rPr>
            </w:pPr>
            <w:r>
              <w:rPr>
                <w:rFonts w:ascii="Century Gothic" w:hAnsi="Century Gothic" w:cs="Arial"/>
                <w:color w:val="000000" w:themeColor="text1"/>
              </w:rPr>
              <w:t>Banda Ancha Asimétrica</w:t>
            </w:r>
          </w:p>
          <w:p w:rsidR="00655060" w:rsidRPr="00611019" w:rsidRDefault="00E56462" w:rsidP="00035D2C">
            <w:pPr>
              <w:spacing w:before="2pt" w:after="2pt"/>
              <w:rPr>
                <w:rFonts w:ascii="Century Gothic" w:hAnsi="Century Gothic" w:cs="Arial"/>
                <w:color w:val="000000" w:themeColor="text1"/>
              </w:rPr>
            </w:pPr>
            <w:r>
              <w:rPr>
                <w:rFonts w:ascii="Century Gothic" w:hAnsi="Century Gothic" w:cs="Arial"/>
                <w:color w:val="000000" w:themeColor="text1"/>
              </w:rPr>
              <w:t>Hasta 30 MHz</w:t>
            </w:r>
          </w:p>
        </w:tc>
        <w:tc>
          <w:tcPr>
            <w:tcW w:w="50.50pt" w:type="dxa"/>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35</w:t>
            </w:r>
          </w:p>
        </w:tc>
        <w:tc>
          <w:tcPr>
            <w:tcW w:w="62.90pt" w:type="dxa"/>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17</w:t>
            </w:r>
          </w:p>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(&lt;= 2.5Km)</w:t>
            </w:r>
          </w:p>
        </w:tc>
        <w:tc>
          <w:tcPr>
            <w:tcW w:w="56.70pt" w:type="dxa"/>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w:t>
            </w:r>
          </w:p>
        </w:tc>
        <w:tc>
          <w:tcPr>
            <w:tcW w:w="56.70pt" w:type="dxa"/>
            <w:vAlign w:val="center"/>
          </w:tcPr>
          <w:p w:rsidR="00655060" w:rsidRPr="00611019" w:rsidRDefault="00E56462" w:rsidP="00035D2C">
            <w:pPr>
              <w:spacing w:before="2pt" w:after="2pt"/>
              <w:jc w:val="center"/>
              <w:rPr>
                <w:rFonts w:ascii="Century Gothic" w:hAnsi="Century Gothic" w:cs="Arial"/>
                <w:color w:val="000000" w:themeColor="text1"/>
              </w:rPr>
            </w:pPr>
            <w:r>
              <w:rPr>
                <w:rFonts w:ascii="Century Gothic" w:hAnsi="Century Gothic" w:cs="Arial"/>
                <w:color w:val="000000" w:themeColor="text1"/>
              </w:rPr>
              <w:t>(*)</w:t>
            </w:r>
          </w:p>
        </w:tc>
      </w:tr>
    </w:tbl>
    <w:p w:rsidR="00655060" w:rsidRPr="00611019" w:rsidRDefault="00E56462" w:rsidP="00035D2C">
      <w:pPr>
        <w:spacing w:after="6pt"/>
        <w:ind w:start="49.60pt"/>
        <w:jc w:val="both"/>
        <w:rPr>
          <w:rFonts w:ascii="Century Gothic" w:hAnsi="Century Gothic" w:cs="Arial"/>
          <w:color w:val="000000" w:themeColor="text1"/>
          <w:sz w:val="20"/>
          <w:szCs w:val="20"/>
        </w:rPr>
      </w:pPr>
      <w:r>
        <w:rPr>
          <w:rFonts w:ascii="Century Gothic" w:hAnsi="Century Gothic" w:cs="Arial"/>
          <w:color w:val="000000" w:themeColor="text1"/>
          <w:sz w:val="20"/>
          <w:szCs w:val="20"/>
        </w:rPr>
        <w:t>* Nota 1: Estas tecnologías no son operables en distancias mayores a 2.5 Km</w:t>
      </w:r>
    </w:p>
    <w:p w:rsidR="006A4EFB" w:rsidRPr="00611019" w:rsidRDefault="00E56462" w:rsidP="00035D2C">
      <w:pPr>
        <w:pStyle w:val="IFTnormal"/>
        <w:spacing w:after="6pt"/>
        <w:rPr>
          <w:rFonts w:ascii="Century Gothic" w:hAnsi="Century Gothic"/>
        </w:rPr>
      </w:pPr>
      <w:r>
        <w:rPr>
          <w:rFonts w:ascii="Century Gothic" w:hAnsi="Century Gothic"/>
        </w:rPr>
        <w:t>De acuerdo con los niveles de calidad definidos en el segmento de Bucle</w:t>
      </w:r>
      <w:r w:rsidR="00203031">
        <w:rPr>
          <w:rFonts w:ascii="Century Gothic" w:hAnsi="Century Gothic"/>
        </w:rPr>
        <w:t xml:space="preserve"> o Sub-Bucle Local</w:t>
      </w:r>
      <w:r>
        <w:rPr>
          <w:rFonts w:ascii="Century Gothic" w:hAnsi="Century Gothic"/>
        </w:rPr>
        <w:t xml:space="preserve"> de interés del CS.</w:t>
      </w:r>
    </w:p>
    <w:p w:rsidR="00655060" w:rsidRPr="00611019" w:rsidRDefault="00E56462" w:rsidP="00035D2C">
      <w:pPr>
        <w:pStyle w:val="IFTnormal"/>
        <w:tabs>
          <w:tab w:val="start" w:pos="21.30pt"/>
        </w:tabs>
        <w:spacing w:after="6pt"/>
        <w:ind w:start="21pt" w:hanging="21pt"/>
        <w:rPr>
          <w:rFonts w:ascii="Century Gothic" w:hAnsi="Century Gothic"/>
        </w:rPr>
      </w:pPr>
      <w:r>
        <w:rPr>
          <w:rFonts w:ascii="Century Gothic" w:hAnsi="Century Gothic"/>
        </w:rPr>
        <w:t>i)</w:t>
      </w:r>
      <w:r>
        <w:rPr>
          <w:rFonts w:ascii="Century Gothic" w:hAnsi="Century Gothic"/>
        </w:rPr>
        <w:tab/>
        <w:t xml:space="preserve">Se introducirán nuevos niveles de calidad, en caso de que algún servicio desplegado sobre Central Telefónica o Instalación Equivalente no se refleje de forma adecuada con los niveles de calidad existentes. </w:t>
      </w:r>
    </w:p>
    <w:p w:rsidR="00655060" w:rsidRPr="00611019" w:rsidRDefault="00E56462" w:rsidP="00035D2C">
      <w:pPr>
        <w:pStyle w:val="IFTnormal"/>
        <w:tabs>
          <w:tab w:val="start" w:pos="21.30pt"/>
        </w:tabs>
        <w:spacing w:after="6pt"/>
        <w:ind w:start="21pt" w:hanging="21pt"/>
        <w:rPr>
          <w:rFonts w:ascii="Century Gothic" w:hAnsi="Century Gothic"/>
        </w:rPr>
      </w:pPr>
      <w:r>
        <w:rPr>
          <w:rFonts w:ascii="Century Gothic" w:hAnsi="Century Gothic"/>
        </w:rPr>
        <w:t>ii)</w:t>
      </w:r>
      <w:r>
        <w:rPr>
          <w:rFonts w:ascii="Century Gothic" w:hAnsi="Century Gothic"/>
        </w:rPr>
        <w:tab/>
        <w:t xml:space="preserve">Se eliminarán niveles de calidad, cuando se compruebe que su implantación en la Central Telefónica o Instalación Equivalente tiene efectos sobre el control de interferencias. </w:t>
      </w:r>
    </w:p>
    <w:p w:rsidR="00655060" w:rsidRPr="00611019" w:rsidRDefault="00E56462" w:rsidP="00035D2C">
      <w:pPr>
        <w:pStyle w:val="IFTnormal"/>
        <w:tabs>
          <w:tab w:val="start" w:pos="21.30pt"/>
        </w:tabs>
        <w:ind w:start="21pt" w:hanging="21pt"/>
        <w:rPr>
          <w:rFonts w:ascii="Century Gothic" w:hAnsi="Century Gothic"/>
        </w:rPr>
      </w:pPr>
      <w:r>
        <w:rPr>
          <w:rFonts w:ascii="Century Gothic" w:hAnsi="Century Gothic"/>
        </w:rPr>
        <w:t>iii)</w:t>
      </w:r>
      <w:r>
        <w:rPr>
          <w:rFonts w:ascii="Century Gothic" w:hAnsi="Century Gothic"/>
        </w:rPr>
        <w:tab/>
        <w:t>Se modificarán márgenes de calidad cuando se compruebe que no se adaptan a las necesidades de los Servicios prestados, o bien por exigencias del control de interferencias.</w:t>
      </w:r>
    </w:p>
    <w:p w:rsidR="00FB519C" w:rsidRPr="00611019" w:rsidRDefault="00FB519C" w:rsidP="00035D2C">
      <w:pPr>
        <w:pStyle w:val="IFTnormal"/>
        <w:tabs>
          <w:tab w:val="start" w:pos="21.30pt"/>
        </w:tabs>
        <w:ind w:start="21pt" w:hanging="21pt"/>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rPr>
        <w:t xml:space="preserve">Lo anterior se realizará bajo la coordinación y participación de todo CS que haga uso del Bucle </w:t>
      </w:r>
      <w:r w:rsidR="00203031">
        <w:rPr>
          <w:rFonts w:ascii="Century Gothic" w:hAnsi="Century Gothic"/>
        </w:rPr>
        <w:t xml:space="preserve">o Sub-Bucle </w:t>
      </w:r>
      <w:r>
        <w:rPr>
          <w:rFonts w:ascii="Century Gothic" w:hAnsi="Century Gothic"/>
        </w:rPr>
        <w:t>Local.</w:t>
      </w:r>
    </w:p>
    <w:p w:rsidR="00FB519C" w:rsidRPr="00611019" w:rsidRDefault="00FB519C"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rPr>
        <w:t xml:space="preserve">RED NACIONAL informará al CS sobre mejoras en la calidad de segmentos de Bucle(s) </w:t>
      </w:r>
      <w:r w:rsidR="00203031">
        <w:rPr>
          <w:rFonts w:ascii="Century Gothic" w:hAnsi="Century Gothic"/>
        </w:rPr>
        <w:t xml:space="preserve">o Sub-Bucle(s) </w:t>
      </w:r>
      <w:r>
        <w:rPr>
          <w:rFonts w:ascii="Century Gothic" w:hAnsi="Century Gothic"/>
        </w:rPr>
        <w:t>Local(es) si:</w:t>
      </w:r>
    </w:p>
    <w:p w:rsidR="00FB519C" w:rsidRPr="00611019" w:rsidRDefault="00FB519C" w:rsidP="00035D2C">
      <w:pPr>
        <w:pStyle w:val="IFTnormal"/>
        <w:rPr>
          <w:rFonts w:ascii="Century Gothic" w:hAnsi="Century Gothic"/>
        </w:rPr>
      </w:pPr>
    </w:p>
    <w:p w:rsidR="00655060" w:rsidRPr="00611019" w:rsidRDefault="00E56462" w:rsidP="00035D2C">
      <w:pPr>
        <w:pStyle w:val="IFTnormal"/>
        <w:tabs>
          <w:tab w:val="start" w:pos="21.30pt"/>
        </w:tabs>
        <w:ind w:start="21pt" w:hanging="21pt"/>
        <w:rPr>
          <w:rFonts w:ascii="Century Gothic" w:hAnsi="Century Gothic"/>
        </w:rPr>
      </w:pPr>
      <w:r>
        <w:rPr>
          <w:rFonts w:ascii="Century Gothic" w:hAnsi="Century Gothic"/>
        </w:rPr>
        <w:t>-</w:t>
      </w:r>
      <w:r>
        <w:rPr>
          <w:rFonts w:ascii="Century Gothic" w:hAnsi="Century Gothic"/>
        </w:rPr>
        <w:tab/>
        <w:t xml:space="preserve">El CS lo solicita explícitamente, ya sea durante la solicitud del Servicio de </w:t>
      </w:r>
      <w:r w:rsidR="00203031">
        <w:rPr>
          <w:rFonts w:ascii="Century Gothic" w:hAnsi="Century Gothic"/>
        </w:rPr>
        <w:t xml:space="preserve">Desagregación </w:t>
      </w:r>
      <w:r>
        <w:rPr>
          <w:rFonts w:ascii="Century Gothic" w:hAnsi="Century Gothic"/>
        </w:rPr>
        <w:t xml:space="preserve">o una vez que esté activo uno o varios de sus Servicios de </w:t>
      </w:r>
      <w:r w:rsidR="00203031">
        <w:rPr>
          <w:rFonts w:ascii="Century Gothic" w:hAnsi="Century Gothic"/>
        </w:rPr>
        <w:t xml:space="preserve">Desagregación </w:t>
      </w:r>
      <w:r>
        <w:rPr>
          <w:rFonts w:ascii="Century Gothic" w:hAnsi="Century Gothic"/>
        </w:rPr>
        <w:t xml:space="preserve">en el Bucle </w:t>
      </w:r>
      <w:r w:rsidR="00203031">
        <w:rPr>
          <w:rFonts w:ascii="Century Gothic" w:hAnsi="Century Gothic"/>
        </w:rPr>
        <w:t xml:space="preserve">o Sub-Bucle </w:t>
      </w:r>
      <w:r>
        <w:rPr>
          <w:rFonts w:ascii="Century Gothic" w:hAnsi="Century Gothic"/>
        </w:rPr>
        <w:t xml:space="preserve">Local. </w:t>
      </w:r>
    </w:p>
    <w:p w:rsidR="00655060" w:rsidRPr="00611019" w:rsidRDefault="00E56462" w:rsidP="00035D2C">
      <w:pPr>
        <w:pStyle w:val="IFTnormal"/>
        <w:tabs>
          <w:tab w:val="start" w:pos="21.30pt"/>
        </w:tabs>
        <w:ind w:start="21pt" w:hanging="21pt"/>
        <w:rPr>
          <w:rFonts w:ascii="Century Gothic" w:hAnsi="Century Gothic"/>
        </w:rPr>
      </w:pPr>
      <w:r>
        <w:rPr>
          <w:rFonts w:ascii="Century Gothic" w:hAnsi="Century Gothic"/>
        </w:rPr>
        <w:t>-</w:t>
      </w:r>
      <w:r>
        <w:rPr>
          <w:rFonts w:ascii="Century Gothic" w:hAnsi="Century Gothic"/>
        </w:rPr>
        <w:tab/>
        <w:t xml:space="preserve">Existe disponibilidad de Bucles </w:t>
      </w:r>
      <w:r w:rsidR="00203031">
        <w:rPr>
          <w:rFonts w:ascii="Century Gothic" w:hAnsi="Century Gothic"/>
        </w:rPr>
        <w:t xml:space="preserve">o Sub-Bucles </w:t>
      </w:r>
      <w:r>
        <w:rPr>
          <w:rFonts w:ascii="Century Gothic" w:hAnsi="Century Gothic"/>
        </w:rPr>
        <w:t xml:space="preserve">Locales que por sus condiciones físicas o técnicas permitan una calidad superior, para lo cual se deberá entregar detalladamente las condiciones en las que se encuentra la totalidad de su red local. </w:t>
      </w:r>
    </w:p>
    <w:p w:rsidR="00FB519C" w:rsidRPr="00611019" w:rsidRDefault="00FB519C" w:rsidP="00035D2C">
      <w:pPr>
        <w:pStyle w:val="IFTnormal"/>
        <w:tabs>
          <w:tab w:val="start" w:pos="21.30pt"/>
        </w:tabs>
        <w:ind w:start="21pt" w:hanging="21pt"/>
        <w:rPr>
          <w:rFonts w:ascii="Century Gothic" w:hAnsi="Century Gothic"/>
        </w:rPr>
      </w:pPr>
    </w:p>
    <w:p w:rsidR="00203031" w:rsidRDefault="00203031" w:rsidP="00035D2C">
      <w:pPr>
        <w:pStyle w:val="IFTnormal"/>
        <w:rPr>
          <w:rFonts w:ascii="Century Gothic" w:hAnsi="Century Gothic"/>
        </w:rPr>
      </w:pPr>
    </w:p>
    <w:p w:rsidR="00203031" w:rsidRPr="00203031" w:rsidRDefault="00203031" w:rsidP="00203031">
      <w:pPr>
        <w:pStyle w:val="IFTnormal"/>
        <w:rPr>
          <w:rFonts w:ascii="Century Gothic" w:hAnsi="Century Gothic"/>
          <w:lang w:val="es-MX"/>
        </w:rPr>
      </w:pPr>
      <w:bookmarkStart w:id="2630" w:name="_Toc92974147"/>
      <w:bookmarkStart w:id="2631" w:name="_Toc93052458"/>
      <w:bookmarkStart w:id="2632" w:name="_Toc93056413"/>
      <w:r w:rsidRPr="00203031">
        <w:rPr>
          <w:rFonts w:ascii="Century Gothic" w:hAnsi="Century Gothic"/>
          <w:b/>
          <w:lang w:val="es-MX"/>
        </w:rPr>
        <w:lastRenderedPageBreak/>
        <w:t>6.1</w:t>
      </w:r>
      <w:r w:rsidRPr="00203031">
        <w:rPr>
          <w:rFonts w:ascii="Century Gothic" w:hAnsi="Century Gothic"/>
          <w:b/>
          <w:lang w:val="es-MX"/>
        </w:rPr>
        <w:tab/>
        <w:t>Aplicación de PSD-Shaping y UPBO/DPBO.</w:t>
      </w:r>
      <w:bookmarkEnd w:id="2630"/>
      <w:bookmarkEnd w:id="2631"/>
      <w:bookmarkEnd w:id="2632"/>
    </w:p>
    <w:p w:rsidR="00203031" w:rsidRPr="00203031" w:rsidRDefault="00203031" w:rsidP="00203031">
      <w:pPr>
        <w:pStyle w:val="IFTnormal"/>
        <w:spacing w:after="6pt"/>
        <w:ind w:start="17.85pt"/>
        <w:rPr>
          <w:rFonts w:ascii="Century Gothic" w:hAnsi="Century Gothic"/>
        </w:rPr>
      </w:pPr>
      <w:r w:rsidRPr="00203031">
        <w:rPr>
          <w:rFonts w:ascii="Century Gothic" w:hAnsi="Century Gothic"/>
        </w:rPr>
        <w:t xml:space="preserve">En los despliegues de la desagregación de Sub-bucle Local la función del PSD se debe activar para todas aquellas tecnologías en las que se instalarán tarjetas de Línea (LTs) más cercanas al Usuario Final, por ejemplo en equipos de intemperie. Los detalles de la configuración de la máscara de PSD se incluyen más adelante y están basadas en lo indicado en el ETSI TR 101 830-1 V1.5.2 (2009-05). </w:t>
      </w:r>
    </w:p>
    <w:p w:rsidR="00203031" w:rsidRPr="00203031" w:rsidRDefault="00203031" w:rsidP="00203031">
      <w:pPr>
        <w:pStyle w:val="IFTnormal"/>
        <w:spacing w:after="6pt"/>
        <w:ind w:start="17.85pt"/>
        <w:rPr>
          <w:rFonts w:ascii="Century Gothic" w:hAnsi="Century Gothic"/>
        </w:rPr>
      </w:pPr>
      <w:r w:rsidRPr="00203031">
        <w:rPr>
          <w:rFonts w:ascii="Century Gothic" w:hAnsi="Century Gothic"/>
        </w:rPr>
        <w:t>Asimismo, el CS y RED NACIONAL podrán basarse en lo establecido en las disposiciones aplicables, las recomendaciones de la Unión Internacional de Telecomunicaciones, o en su defecto, las recomendaciones emitidas por organismos internacionales reconocidos que resulten aplicables y factibles para la configuración de la máscara de PSD.</w:t>
      </w:r>
    </w:p>
    <w:p w:rsidR="00203031" w:rsidRPr="00203031" w:rsidRDefault="00203031" w:rsidP="00203031">
      <w:pPr>
        <w:pStyle w:val="IFTnormal"/>
        <w:spacing w:after="6pt"/>
        <w:ind w:start="17.85pt"/>
        <w:rPr>
          <w:rFonts w:ascii="Century Gothic" w:hAnsi="Century Gothic"/>
        </w:rPr>
      </w:pPr>
      <w:r w:rsidRPr="00203031">
        <w:rPr>
          <w:rFonts w:ascii="Century Gothic" w:hAnsi="Century Gothic"/>
        </w:rPr>
        <w:t>Dado que las tecnologías como VDSL2 emplean bandas de transmisión a frecuencias más altas en sentido ascendente, la función UPBO/DPBO debe estar correctamente configurada y activa. En caso de no activar correctamente esta función (UPBO/DPBO) las velocidades logradas en longitudes cortas podrían ser elevadas pero interfiriendo los servicios adyacentes que tienen longitudes más largas en el par de cobre.</w:t>
      </w:r>
    </w:p>
    <w:p w:rsidR="00203031" w:rsidRPr="00203031" w:rsidRDefault="00203031" w:rsidP="00203031">
      <w:pPr>
        <w:pStyle w:val="IFTnormal"/>
        <w:spacing w:after="6pt"/>
        <w:ind w:start="17.85pt"/>
        <w:rPr>
          <w:rFonts w:ascii="Century Gothic" w:hAnsi="Century Gothic"/>
        </w:rPr>
      </w:pPr>
      <w:r w:rsidRPr="00203031">
        <w:rPr>
          <w:rFonts w:ascii="Century Gothic" w:hAnsi="Century Gothic"/>
        </w:rPr>
        <w:t xml:space="preserve">Conforme aumente la prestación de servicios xDSL en cada UB, podrá ajustarse la máscara de PSD de manera individual de tal forma que la nueva adición de tecnologías no interfiera o complique las condiciones técnicas que soporta el par de cobre a través del cual se desplegará y transmitirá una señal. </w:t>
      </w:r>
    </w:p>
    <w:p w:rsidR="00203031" w:rsidRPr="00203031" w:rsidRDefault="00203031" w:rsidP="00203031">
      <w:pPr>
        <w:pStyle w:val="IFTnormal"/>
        <w:spacing w:after="6pt"/>
        <w:ind w:start="17.85pt"/>
        <w:rPr>
          <w:rFonts w:ascii="Century Gothic" w:hAnsi="Century Gothic"/>
        </w:rPr>
      </w:pPr>
      <w:r w:rsidRPr="00203031">
        <w:rPr>
          <w:rFonts w:ascii="Century Gothic" w:hAnsi="Century Gothic"/>
        </w:rPr>
        <w:t>Derivado de lo anterior, en aquellas tecnologías que utilizan un espectro de frecuencias &gt;8 MHz, la función UPBO/DPBO debe estar habilitada en las frecuencias de la dirección ascendente (Upstream para UPBO) así como en las frecuencias de la dirección descendente (Downsteam para DPBO). Los parámetros de potencia, frecuencia y distancia de atenuación a la central, están establecidos en las siguientes tablas de este capítulo.</w:t>
      </w:r>
    </w:p>
    <w:p w:rsidR="00203031" w:rsidRPr="00203031" w:rsidRDefault="00203031" w:rsidP="00203031">
      <w:pPr>
        <w:pStyle w:val="IFTnormal"/>
        <w:spacing w:after="6pt"/>
        <w:ind w:start="17.85pt"/>
        <w:rPr>
          <w:rFonts w:ascii="Century Gothic" w:hAnsi="Century Gothic"/>
        </w:rPr>
      </w:pPr>
      <w:r w:rsidRPr="00203031">
        <w:rPr>
          <w:rFonts w:ascii="Century Gothic" w:hAnsi="Century Gothic"/>
        </w:rPr>
        <w:t xml:space="preserve">Se definen los siguientes valores para los parámetros utilizados el uso del espectro de frecuencia conforme a lo siguiente: </w:t>
      </w:r>
    </w:p>
    <w:p w:rsidR="00203031" w:rsidRPr="00203031" w:rsidRDefault="00203031" w:rsidP="00203031">
      <w:pPr>
        <w:pStyle w:val="IFTnormal"/>
        <w:ind w:start="18pt"/>
        <w:rPr>
          <w:rFonts w:ascii="Century Gothic" w:hAnsi="Century Gothic"/>
        </w:rPr>
      </w:pPr>
      <w:r w:rsidRPr="00203031">
        <w:rPr>
          <w:rFonts w:ascii="Century Gothic" w:hAnsi="Century Gothic"/>
        </w:rPr>
        <w:t>-</w:t>
      </w:r>
      <w:r w:rsidRPr="00203031">
        <w:rPr>
          <w:rFonts w:ascii="Century Gothic" w:hAnsi="Century Gothic"/>
        </w:rPr>
        <w:tab/>
        <w:t>Máscara PSD en central (DPBOEPSD): máscara B8-11 para VDSL2.</w:t>
      </w:r>
      <w:r w:rsidRPr="00203031">
        <w:rPr>
          <w:rFonts w:ascii="Century Gothic" w:hAnsi="Century Gothic"/>
          <w:vertAlign w:val="superscript"/>
        </w:rPr>
        <w:footnoteReference w:id="63"/>
      </w:r>
    </w:p>
    <w:p w:rsidR="00203031" w:rsidRPr="00203031" w:rsidRDefault="00203031" w:rsidP="00203031">
      <w:pPr>
        <w:pStyle w:val="IFTnormal"/>
        <w:ind w:start="18pt"/>
        <w:rPr>
          <w:rFonts w:ascii="Century Gothic" w:hAnsi="Century Gothic"/>
        </w:rPr>
      </w:pPr>
      <w:r w:rsidRPr="00203031">
        <w:rPr>
          <w:rFonts w:ascii="Century Gothic" w:hAnsi="Century Gothic"/>
        </w:rPr>
        <w:t>-</w:t>
      </w:r>
      <w:r w:rsidRPr="00203031">
        <w:rPr>
          <w:rFonts w:ascii="Century Gothic" w:hAnsi="Century Gothic"/>
        </w:rPr>
        <w:tab/>
        <w:t>Señal mínima utilizable (DPBOMUS): -123 dBm/Hz.</w:t>
      </w:r>
    </w:p>
    <w:p w:rsidR="00203031" w:rsidRPr="00203031" w:rsidRDefault="00203031" w:rsidP="00203031">
      <w:pPr>
        <w:pStyle w:val="IFTnormal"/>
        <w:ind w:start="18pt"/>
        <w:rPr>
          <w:rFonts w:ascii="Century Gothic" w:hAnsi="Century Gothic"/>
        </w:rPr>
      </w:pPr>
      <w:r w:rsidRPr="00203031">
        <w:rPr>
          <w:rFonts w:ascii="Century Gothic" w:hAnsi="Century Gothic"/>
        </w:rPr>
        <w:t>-</w:t>
      </w:r>
      <w:r w:rsidRPr="00203031">
        <w:rPr>
          <w:rFonts w:ascii="Century Gothic" w:hAnsi="Century Gothic"/>
        </w:rPr>
        <w:tab/>
        <w:t xml:space="preserve">Frecuencia mínima de aplicación del conformado (DPBOFMIN): 138kHz. </w:t>
      </w:r>
    </w:p>
    <w:p w:rsidR="00203031" w:rsidRPr="00203031" w:rsidRDefault="00203031" w:rsidP="00203031">
      <w:pPr>
        <w:pStyle w:val="IFTnormal"/>
        <w:ind w:start="18pt"/>
        <w:rPr>
          <w:rFonts w:ascii="Century Gothic" w:hAnsi="Century Gothic"/>
        </w:rPr>
      </w:pPr>
      <w:r w:rsidRPr="00203031">
        <w:rPr>
          <w:rFonts w:ascii="Century Gothic" w:hAnsi="Century Gothic"/>
        </w:rPr>
        <w:t>-</w:t>
      </w:r>
      <w:r w:rsidRPr="00203031">
        <w:rPr>
          <w:rFonts w:ascii="Century Gothic" w:hAnsi="Century Gothic"/>
        </w:rPr>
        <w:tab/>
        <w:t xml:space="preserve">Frecuencia máxima de aplicación del conformado (DPBOFMAX): 17 MHz. </w:t>
      </w:r>
    </w:p>
    <w:p w:rsidR="00203031" w:rsidRDefault="00203031"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rPr>
        <w:t>Los siguientes parámetros serán definidos para cada tramo o punto de demarcación del Bucle Local según medidas reales:</w:t>
      </w:r>
    </w:p>
    <w:p w:rsidR="00FB519C" w:rsidRPr="00611019" w:rsidRDefault="00FB519C" w:rsidP="00035D2C">
      <w:pPr>
        <w:pStyle w:val="IFTnormal"/>
        <w:rPr>
          <w:rFonts w:ascii="Century Gothic" w:hAnsi="Century Gothic"/>
        </w:rPr>
      </w:pPr>
    </w:p>
    <w:p w:rsidR="00655060" w:rsidRPr="00611019" w:rsidRDefault="00E56462" w:rsidP="00035D2C">
      <w:pPr>
        <w:pStyle w:val="IFTnormal"/>
        <w:tabs>
          <w:tab w:val="start" w:pos="21.30pt"/>
        </w:tabs>
        <w:ind w:start="21pt" w:hanging="21pt"/>
        <w:rPr>
          <w:rFonts w:ascii="Century Gothic" w:hAnsi="Century Gothic"/>
        </w:rPr>
      </w:pPr>
      <w:r>
        <w:rPr>
          <w:rFonts w:ascii="Century Gothic" w:hAnsi="Century Gothic"/>
        </w:rPr>
        <w:lastRenderedPageBreak/>
        <w:t>-</w:t>
      </w:r>
      <w:r>
        <w:rPr>
          <w:rFonts w:ascii="Century Gothic" w:hAnsi="Century Gothic"/>
        </w:rPr>
        <w:tab/>
        <w:t xml:space="preserve">Longitud eléctrica del lado de la Central Telefónica o Instalación Equivalente (DPBOESEL): valor de las pérdidas de inserción medidas para el tramo central-nodo a 1 MHz. </w:t>
      </w:r>
    </w:p>
    <w:p w:rsidR="00655060" w:rsidRPr="00611019" w:rsidRDefault="00E56462" w:rsidP="00035D2C">
      <w:pPr>
        <w:pStyle w:val="IFTnormal"/>
        <w:tabs>
          <w:tab w:val="start" w:pos="21.30pt"/>
        </w:tabs>
        <w:ind w:start="21pt" w:hanging="21pt"/>
        <w:rPr>
          <w:rFonts w:ascii="Century Gothic" w:hAnsi="Century Gothic"/>
        </w:rPr>
      </w:pPr>
      <w:r>
        <w:rPr>
          <w:rFonts w:ascii="Century Gothic" w:hAnsi="Century Gothic"/>
        </w:rPr>
        <w:t>-</w:t>
      </w:r>
      <w:r>
        <w:rPr>
          <w:rFonts w:ascii="Century Gothic" w:hAnsi="Century Gothic"/>
        </w:rPr>
        <w:tab/>
        <w:t>Parámetros del modelo de cable entre la Central Telefónica o Instalación Equivalente y el tramo o punto de demarcación (DPBOESCMx, x=A, B o C) calculados a partir de las pérdidas de inserción medidas.</w:t>
      </w:r>
    </w:p>
    <w:p w:rsidR="00655060" w:rsidRPr="00611019" w:rsidRDefault="00E56462" w:rsidP="00035D2C">
      <w:pPr>
        <w:pStyle w:val="IFTnormal"/>
        <w:rPr>
          <w:rFonts w:ascii="Century Gothic" w:hAnsi="Century Gothic"/>
        </w:rPr>
      </w:pPr>
      <w:r>
        <w:rPr>
          <w:rFonts w:ascii="Century Gothic" w:hAnsi="Century Gothic"/>
        </w:rPr>
        <w:t>Como resultado se obtiene la máscara PSD resultante del espectro de frecuencias que será configurada en los equipos desplegados en el Bucle</w:t>
      </w:r>
      <w:r w:rsidR="00203031">
        <w:rPr>
          <w:rFonts w:ascii="Century Gothic" w:hAnsi="Century Gothic"/>
        </w:rPr>
        <w:t xml:space="preserve"> o Sub-Bucle</w:t>
      </w:r>
      <w:r>
        <w:rPr>
          <w:rFonts w:ascii="Century Gothic" w:hAnsi="Century Gothic"/>
        </w:rPr>
        <w:t xml:space="preserve"> Local.</w:t>
      </w:r>
    </w:p>
    <w:p w:rsidR="00873184" w:rsidRPr="00611019" w:rsidRDefault="00873184" w:rsidP="00035D2C">
      <w:pPr>
        <w:pStyle w:val="IFTnormal"/>
        <w:rPr>
          <w:rFonts w:ascii="Century Gothic" w:hAnsi="Century Gothic"/>
        </w:rPr>
      </w:pPr>
    </w:p>
    <w:p w:rsidR="00655060" w:rsidRPr="00611019" w:rsidRDefault="00E56462" w:rsidP="00035D2C">
      <w:pPr>
        <w:pStyle w:val="0Tit11"/>
        <w:spacing w:line="13.80pt" w:lineRule="auto"/>
      </w:pPr>
      <w:bookmarkStart w:id="2633" w:name="_Toc92974148"/>
      <w:bookmarkStart w:id="2634" w:name="_Toc93052459"/>
      <w:bookmarkStart w:id="2635" w:name="_Toc93056414"/>
      <w:bookmarkStart w:id="2636" w:name="_Toc125393478"/>
      <w:bookmarkStart w:id="2637" w:name="_Toc148702334"/>
      <w:bookmarkStart w:id="2638" w:name="_Toc170381948"/>
      <w:r>
        <w:t>6.2</w:t>
      </w:r>
      <w:r>
        <w:tab/>
        <w:t>Máscaras de PSD aplicables.</w:t>
      </w:r>
      <w:bookmarkEnd w:id="2633"/>
      <w:bookmarkEnd w:id="2634"/>
      <w:bookmarkEnd w:id="2635"/>
      <w:bookmarkEnd w:id="2636"/>
      <w:bookmarkEnd w:id="2637"/>
      <w:bookmarkEnd w:id="2638"/>
    </w:p>
    <w:p w:rsidR="00655060" w:rsidRPr="00611019" w:rsidRDefault="00E56462" w:rsidP="00035D2C">
      <w:pPr>
        <w:pStyle w:val="Ttulo3"/>
        <w:spacing w:line="13.80pt" w:lineRule="auto"/>
        <w:ind w:start="36pt" w:hanging="36pt"/>
        <w:jc w:val="start"/>
        <w:rPr>
          <w:rFonts w:ascii="Century Gothic" w:hAnsi="Century Gothic"/>
        </w:rPr>
      </w:pPr>
      <w:bookmarkStart w:id="2639" w:name="_Toc92974149"/>
      <w:bookmarkStart w:id="2640" w:name="_Toc93052460"/>
      <w:bookmarkStart w:id="2641" w:name="_Toc93056415"/>
      <w:bookmarkStart w:id="2642" w:name="_Toc125393479"/>
      <w:bookmarkStart w:id="2643" w:name="_Toc148702335"/>
      <w:bookmarkStart w:id="2644" w:name="_Toc170381949"/>
      <w:r>
        <w:rPr>
          <w:rFonts w:ascii="Century Gothic" w:hAnsi="Century Gothic"/>
        </w:rPr>
        <w:t>6.2.1</w:t>
      </w:r>
      <w:r>
        <w:rPr>
          <w:rFonts w:ascii="Century Gothic" w:hAnsi="Century Gothic"/>
        </w:rPr>
        <w:tab/>
        <w:t>Sistemas de Alimentación Remota tipo TNV (Telephone Network Voltage) desde central.</w:t>
      </w:r>
      <w:bookmarkEnd w:id="2639"/>
      <w:bookmarkEnd w:id="2640"/>
      <w:bookmarkEnd w:id="2641"/>
      <w:bookmarkEnd w:id="2642"/>
      <w:bookmarkEnd w:id="2643"/>
      <w:bookmarkEnd w:id="2644"/>
    </w:p>
    <w:p w:rsidR="00655060" w:rsidRPr="00611019" w:rsidRDefault="00E56462" w:rsidP="00035D2C">
      <w:pPr>
        <w:pStyle w:val="IFTnormal"/>
        <w:rPr>
          <w:rFonts w:ascii="Century Gothic" w:hAnsi="Century Gothic"/>
        </w:rPr>
      </w:pPr>
      <w:r>
        <w:rPr>
          <w:rFonts w:ascii="Century Gothic" w:hAnsi="Century Gothic"/>
        </w:rPr>
        <w:t>Para que una señal cumpla con esta clasificación, la combinación de alimentación de corriente directa y el pico de la señal de AC no deben exceder los límites calculados mediante la fórmula:</w:t>
      </w:r>
    </w:p>
    <w:p w:rsidR="00655060" w:rsidRPr="00611019" w:rsidRDefault="00E56462" w:rsidP="00035D2C">
      <w:pPr>
        <w:jc w:val="center"/>
        <w:rPr>
          <w:rFonts w:ascii="Century Gothic" w:hAnsi="Century Gothic" w:cs="Arial"/>
          <w:color w:val="000000" w:themeColor="text1"/>
        </w:rPr>
      </w:pPr>
      <w:r>
        <w:rPr>
          <w:rFonts w:ascii="Century Gothic" w:hAnsi="Century Gothic" w:cs="Arial"/>
          <w:color w:val="000000" w:themeColor="text1"/>
        </w:rPr>
        <w:t>(U</w:t>
      </w:r>
      <w:r>
        <w:rPr>
          <w:rFonts w:ascii="Century Gothic" w:hAnsi="Century Gothic" w:cs="Arial"/>
          <w:color w:val="000000" w:themeColor="text1"/>
          <w:vertAlign w:val="subscript"/>
        </w:rPr>
        <w:t>DC</w:t>
      </w:r>
      <w:r>
        <w:rPr>
          <w:rFonts w:ascii="Century Gothic" w:hAnsi="Century Gothic" w:cs="Arial"/>
          <w:color w:val="000000" w:themeColor="text1"/>
        </w:rPr>
        <w:t>/120 V + U</w:t>
      </w:r>
      <w:r>
        <w:rPr>
          <w:rFonts w:ascii="Century Gothic" w:hAnsi="Century Gothic" w:cs="Arial"/>
          <w:color w:val="000000" w:themeColor="text1"/>
          <w:vertAlign w:val="subscript"/>
        </w:rPr>
        <w:t>AC,pico</w:t>
      </w:r>
      <w:r>
        <w:rPr>
          <w:rFonts w:ascii="Century Gothic" w:hAnsi="Century Gothic" w:cs="Arial"/>
          <w:color w:val="000000" w:themeColor="text1"/>
        </w:rPr>
        <w:t>/70,7 V ≤ 1)</w:t>
      </w:r>
    </w:p>
    <w:p w:rsidR="00873184" w:rsidRPr="00611019" w:rsidRDefault="00873184" w:rsidP="00035D2C">
      <w:pPr>
        <w:jc w:val="center"/>
        <w:rPr>
          <w:rFonts w:ascii="Century Gothic" w:hAnsi="Century Gothic" w:cs="Arial"/>
          <w:color w:val="000000" w:themeColor="text1"/>
        </w:rPr>
      </w:pPr>
    </w:p>
    <w:p w:rsidR="00873184" w:rsidRPr="00611019" w:rsidRDefault="00E56462" w:rsidP="00035D2C">
      <w:pPr>
        <w:pStyle w:val="Ttulo3"/>
        <w:spacing w:line="13.80pt" w:lineRule="auto"/>
        <w:ind w:start="36pt" w:hanging="36pt"/>
        <w:jc w:val="start"/>
        <w:rPr>
          <w:rFonts w:ascii="Century Gothic" w:hAnsi="Century Gothic"/>
        </w:rPr>
      </w:pPr>
      <w:bookmarkStart w:id="2645" w:name="_Toc92974150"/>
      <w:bookmarkStart w:id="2646" w:name="_Toc93052461"/>
      <w:bookmarkStart w:id="2647" w:name="_Toc93056416"/>
      <w:bookmarkStart w:id="2648" w:name="_Toc125393480"/>
      <w:bookmarkStart w:id="2649" w:name="_Toc148702336"/>
      <w:bookmarkStart w:id="2650" w:name="_Toc170381950"/>
      <w:r>
        <w:rPr>
          <w:rFonts w:ascii="Century Gothic" w:hAnsi="Century Gothic"/>
        </w:rPr>
        <w:t>6.2.2</w:t>
      </w:r>
      <w:r>
        <w:rPr>
          <w:rFonts w:ascii="Century Gothic" w:hAnsi="Century Gothic"/>
        </w:rPr>
        <w:tab/>
        <w:t>Servicios POTS entre 300 Hz – 3,400 Hz.</w:t>
      </w:r>
      <w:bookmarkEnd w:id="2645"/>
      <w:bookmarkEnd w:id="2646"/>
      <w:bookmarkEnd w:id="2647"/>
      <w:bookmarkEnd w:id="2648"/>
      <w:bookmarkEnd w:id="2649"/>
      <w:bookmarkEnd w:id="2650"/>
    </w:p>
    <w:p w:rsidR="00655060" w:rsidRPr="00611019" w:rsidRDefault="00E56462" w:rsidP="00035D2C">
      <w:pPr>
        <w:pStyle w:val="IFTnormal"/>
        <w:spacing w:after="6pt"/>
        <w:rPr>
          <w:rFonts w:ascii="Century Gothic" w:hAnsi="Century Gothic"/>
        </w:rPr>
      </w:pPr>
      <w:r>
        <w:rPr>
          <w:rFonts w:ascii="Century Gothic" w:hAnsi="Century Gothic"/>
        </w:rPr>
        <w:t xml:space="preserve">En el caso de los servicios POTS las características espectrales se definen mediante el voltaje de banda estrecha. La Tabla 6 presenta los puntos de referencia límite definidos en la cláusula 8.1 de ETSI TR 101 830-1 V1.5.2, donde </w:t>
      </w:r>
      <w:r>
        <w:rPr>
          <w:rFonts w:ascii="Century Gothic" w:hAnsi="Century Gothic"/>
          <w:i/>
        </w:rPr>
        <w:t>Z</w:t>
      </w:r>
      <w:r>
        <w:rPr>
          <w:rFonts w:ascii="Century Gothic" w:hAnsi="Century Gothic"/>
          <w:i/>
          <w:vertAlign w:val="subscript"/>
        </w:rPr>
        <w:t>R</w:t>
      </w:r>
      <w:r>
        <w:rPr>
          <w:rFonts w:ascii="Century Gothic" w:hAnsi="Century Gothic"/>
          <w:i/>
        </w:rPr>
        <w:t xml:space="preserve"> </w:t>
      </w:r>
      <w:r>
        <w:rPr>
          <w:rFonts w:ascii="Century Gothic" w:hAnsi="Century Gothic"/>
        </w:rPr>
        <w:t>se refiere a la impedancia de referencia mostrada en la Figura 4. La Figura 5 ilustra la forma del voltaje espectral para estas señales.</w:t>
      </w:r>
    </w:p>
    <w:p w:rsidR="00655060" w:rsidRPr="00611019" w:rsidRDefault="00E56462" w:rsidP="00035D2C">
      <w:pPr>
        <w:pStyle w:val="xxxPiedeCuadroconnombre"/>
        <w:spacing w:after="3pt"/>
        <w:rPr>
          <w:rFonts w:ascii="Century Gothic" w:hAnsi="Century Gothic"/>
        </w:rPr>
      </w:pPr>
      <w:r>
        <w:rPr>
          <w:rFonts w:ascii="Century Gothic" w:hAnsi="Century Gothic"/>
        </w:rPr>
        <w:t>Tabla 6 Puntos de referencia límite del voltaje de banda estrecha para señales POTS.</w:t>
      </w:r>
    </w:p>
    <w:tbl>
      <w:tblPr>
        <w:tblStyle w:val="Tablaconcuadrcula2"/>
        <w:tblW w:w="98.0%" w:type="pct"/>
        <w:jc w:val="center"/>
        <w:tblLook w:firstRow="1" w:lastRow="0" w:firstColumn="1" w:lastColumn="0" w:noHBand="0" w:noVBand="1"/>
      </w:tblPr>
      <w:tblGrid>
        <w:gridCol w:w="1473"/>
        <w:gridCol w:w="1565"/>
        <w:gridCol w:w="1749"/>
        <w:gridCol w:w="1933"/>
        <w:gridCol w:w="2486"/>
      </w:tblGrid>
      <w:tr w:rsidR="0061711D" w:rsidTr="006A7D43">
        <w:trPr>
          <w:tblHeader/>
          <w:jc w:val="center"/>
        </w:trPr>
        <w:tc>
          <w:tcPr>
            <w:tcW w:w="16.0%" w:type="pct"/>
            <w:shd w:val="clear" w:color="auto" w:fill="009AD9"/>
            <w:vAlign w:val="center"/>
          </w:tcPr>
          <w:p w:rsidR="00655060" w:rsidRPr="00611019" w:rsidRDefault="00E56462" w:rsidP="00035D2C">
            <w:pPr>
              <w:ind w:start="1.45pt"/>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t>Frecuencia</w:t>
            </w:r>
          </w:p>
          <w:p w:rsidR="00655060" w:rsidRPr="00611019" w:rsidRDefault="00E56462" w:rsidP="00035D2C">
            <w:pPr>
              <w:ind w:start="1.45pt"/>
              <w:jc w:val="center"/>
              <w:rPr>
                <w:rFonts w:ascii="Century Gothic" w:hAnsi="Century Gothic" w:cs="Arial"/>
                <w:color w:val="FFFFFF" w:themeColor="background1"/>
                <w:sz w:val="20"/>
                <w:szCs w:val="20"/>
              </w:rPr>
            </w:pPr>
            <w:r>
              <w:rPr>
                <w:rFonts w:ascii="Century Gothic" w:hAnsi="Century Gothic" w:cs="Arial"/>
                <w:b/>
                <w:color w:val="FFFFFF" w:themeColor="background1"/>
                <w:sz w:val="20"/>
                <w:szCs w:val="20"/>
              </w:rPr>
              <w:t>f</w:t>
            </w:r>
          </w:p>
        </w:tc>
        <w:tc>
          <w:tcPr>
            <w:tcW w:w="17.0%" w:type="pct"/>
            <w:shd w:val="clear" w:color="auto" w:fill="009AD9"/>
            <w:vAlign w:val="center"/>
          </w:tcPr>
          <w:p w:rsidR="00655060" w:rsidRPr="00611019" w:rsidRDefault="00E56462" w:rsidP="00035D2C">
            <w:pPr>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t>Impedancia</w:t>
            </w:r>
          </w:p>
          <w:p w:rsidR="00655060" w:rsidRPr="00611019" w:rsidRDefault="00E56462" w:rsidP="00035D2C">
            <w:pPr>
              <w:jc w:val="center"/>
              <w:rPr>
                <w:rFonts w:ascii="Century Gothic" w:hAnsi="Century Gothic" w:cs="Arial"/>
                <w:color w:val="FFFFFF" w:themeColor="background1"/>
                <w:sz w:val="20"/>
                <w:szCs w:val="20"/>
              </w:rPr>
            </w:pPr>
            <w:r>
              <w:rPr>
                <w:rFonts w:ascii="Century Gothic" w:hAnsi="Century Gothic" w:cs="Arial"/>
                <w:b/>
                <w:color w:val="FFFFFF" w:themeColor="background1"/>
                <w:sz w:val="20"/>
                <w:szCs w:val="20"/>
              </w:rPr>
              <w:t>Z</w:t>
            </w:r>
          </w:p>
        </w:tc>
        <w:tc>
          <w:tcPr>
            <w:tcW w:w="19.0%" w:type="pct"/>
            <w:shd w:val="clear" w:color="auto" w:fill="009AD9"/>
            <w:vAlign w:val="center"/>
          </w:tcPr>
          <w:p w:rsidR="00655060" w:rsidRPr="00611019" w:rsidRDefault="00E56462" w:rsidP="00035D2C">
            <w:pPr>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t>Nivel de Señal</w:t>
            </w:r>
          </w:p>
          <w:p w:rsidR="00655060" w:rsidRPr="00611019" w:rsidRDefault="00E56462" w:rsidP="00035D2C">
            <w:pPr>
              <w:jc w:val="center"/>
              <w:rPr>
                <w:rFonts w:ascii="Century Gothic" w:hAnsi="Century Gothic" w:cs="Arial"/>
                <w:color w:val="FFFFFF" w:themeColor="background1"/>
                <w:sz w:val="20"/>
                <w:szCs w:val="20"/>
              </w:rPr>
            </w:pPr>
            <w:r>
              <w:rPr>
                <w:rFonts w:ascii="Century Gothic" w:hAnsi="Century Gothic" w:cs="Arial"/>
                <w:b/>
                <w:color w:val="FFFFFF" w:themeColor="background1"/>
                <w:sz w:val="20"/>
                <w:szCs w:val="20"/>
              </w:rPr>
              <w:t>U</w:t>
            </w:r>
          </w:p>
        </w:tc>
        <w:tc>
          <w:tcPr>
            <w:tcW w:w="21.0%" w:type="pct"/>
            <w:shd w:val="clear" w:color="auto" w:fill="009AD9"/>
            <w:vAlign w:val="center"/>
          </w:tcPr>
          <w:p w:rsidR="00655060" w:rsidRPr="00611019" w:rsidRDefault="00E56462" w:rsidP="00035D2C">
            <w:pPr>
              <w:ind w:start="2.85pt"/>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t>Ancho de Banda</w:t>
            </w:r>
          </w:p>
          <w:p w:rsidR="00655060" w:rsidRPr="00611019" w:rsidRDefault="00E56462" w:rsidP="00035D2C">
            <w:pPr>
              <w:ind w:start="2.85pt"/>
              <w:jc w:val="center"/>
              <w:rPr>
                <w:rFonts w:ascii="Century Gothic" w:hAnsi="Century Gothic" w:cs="Arial"/>
                <w:color w:val="FFFFFF" w:themeColor="background1"/>
                <w:sz w:val="20"/>
                <w:szCs w:val="20"/>
              </w:rPr>
            </w:pPr>
            <w:r>
              <w:rPr>
                <w:rFonts w:ascii="Century Gothic" w:hAnsi="Century Gothic" w:cs="Arial"/>
                <w:b/>
                <w:color w:val="FFFFFF" w:themeColor="background1"/>
                <w:sz w:val="20"/>
                <w:szCs w:val="20"/>
              </w:rPr>
              <w:t>B</w:t>
            </w:r>
          </w:p>
        </w:tc>
        <w:tc>
          <w:tcPr>
            <w:tcW w:w="24.0%" w:type="pct"/>
            <w:shd w:val="clear" w:color="auto" w:fill="009AD9"/>
            <w:vAlign w:val="center"/>
          </w:tcPr>
          <w:p w:rsidR="00655060" w:rsidRPr="00611019" w:rsidRDefault="00E56462" w:rsidP="00035D2C">
            <w:pPr>
              <w:ind w:start="1.70pt"/>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t>Voltaje Espectral</w:t>
            </w:r>
          </w:p>
          <w:p w:rsidR="00655060" w:rsidRPr="00611019" w:rsidRDefault="00E56462" w:rsidP="00035D2C">
            <w:pPr>
              <w:ind w:start="1.70pt"/>
              <w:jc w:val="center"/>
              <w:rPr>
                <w:rFonts w:ascii="Century Gothic" w:hAnsi="Century Gothic" w:cs="Arial"/>
                <w:color w:val="FFFFFF" w:themeColor="background1"/>
                <w:sz w:val="20"/>
                <w:szCs w:val="20"/>
              </w:rPr>
            </w:pPr>
            <w:r>
              <w:rPr>
                <w:rFonts w:ascii="Century Gothic" w:hAnsi="Century Gothic" w:cs="Arial"/>
                <w:b/>
                <w:color w:val="FFFFFF" w:themeColor="background1"/>
                <w:sz w:val="20"/>
                <w:szCs w:val="20"/>
              </w:rPr>
              <w:t>U/</w:t>
            </w:r>
            <w:r>
              <w:rPr>
                <w:rFonts w:ascii="Century Gothic" w:hAnsi="Century Gothic" w:cs="Arial"/>
                <w:color w:val="FFFFFF" w:themeColor="background1"/>
                <w:sz w:val="20"/>
                <w:szCs w:val="20"/>
              </w:rPr>
              <w:t>√</w:t>
            </w:r>
            <w:r>
              <w:rPr>
                <w:rFonts w:ascii="Century Gothic" w:hAnsi="Century Gothic" w:cs="Arial"/>
                <w:b/>
                <w:color w:val="FFFFFF" w:themeColor="background1"/>
                <w:sz w:val="20"/>
                <w:szCs w:val="20"/>
              </w:rPr>
              <w:t>B</w:t>
            </w:r>
          </w:p>
        </w:tc>
      </w:tr>
      <w:tr w:rsidR="0061711D" w:rsidRPr="00D12671" w:rsidTr="00C50B72">
        <w:trPr>
          <w:jc w:val="center"/>
        </w:trPr>
        <w:tc>
          <w:tcPr>
            <w:tcW w:w="16.0%" w:type="pct"/>
            <w:shd w:val="clear" w:color="auto" w:fill="auto"/>
          </w:tcPr>
          <w:p w:rsidR="00655060" w:rsidRPr="00611019" w:rsidRDefault="00E56462" w:rsidP="00035D2C">
            <w:pPr>
              <w:spacing w:before="2pt" w:after="2pt"/>
              <w:ind w:start="1.45pt"/>
              <w:jc w:val="center"/>
              <w:rPr>
                <w:rFonts w:ascii="Century Gothic" w:hAnsi="Century Gothic" w:cs="Arial"/>
                <w:color w:val="000000" w:themeColor="text1"/>
                <w:sz w:val="20"/>
                <w:szCs w:val="20"/>
                <w:lang w:val="de-DE"/>
              </w:rPr>
            </w:pPr>
            <w:r>
              <w:rPr>
                <w:rFonts w:ascii="Century Gothic" w:hAnsi="Century Gothic" w:cs="Arial"/>
                <w:color w:val="000000" w:themeColor="text1"/>
                <w:sz w:val="20"/>
                <w:szCs w:val="20"/>
                <w:lang w:val="de-DE"/>
              </w:rPr>
              <w:t>30 Hz</w:t>
            </w:r>
            <w:r>
              <w:rPr>
                <w:rFonts w:ascii="Century Gothic" w:hAnsi="Century Gothic" w:cs="Arial"/>
                <w:color w:val="000000" w:themeColor="text1"/>
                <w:sz w:val="20"/>
                <w:szCs w:val="20"/>
                <w:lang w:val="de-DE"/>
              </w:rPr>
              <w:br/>
              <w:t>100 Hz</w:t>
            </w:r>
            <w:r>
              <w:rPr>
                <w:rFonts w:ascii="Century Gothic" w:hAnsi="Century Gothic" w:cs="Arial"/>
                <w:color w:val="000000" w:themeColor="text1"/>
                <w:sz w:val="20"/>
                <w:szCs w:val="20"/>
                <w:lang w:val="de-DE"/>
              </w:rPr>
              <w:br/>
              <w:t>200 Hz</w:t>
            </w:r>
            <w:r>
              <w:rPr>
                <w:rFonts w:ascii="Century Gothic" w:hAnsi="Century Gothic" w:cs="Arial"/>
                <w:color w:val="000000" w:themeColor="text1"/>
                <w:sz w:val="20"/>
                <w:szCs w:val="20"/>
                <w:lang w:val="de-DE"/>
              </w:rPr>
              <w:br/>
              <w:t>3,8 kHz</w:t>
            </w:r>
            <w:r>
              <w:rPr>
                <w:rFonts w:ascii="Century Gothic" w:hAnsi="Century Gothic" w:cs="Arial"/>
                <w:color w:val="000000" w:themeColor="text1"/>
                <w:sz w:val="20"/>
                <w:szCs w:val="20"/>
                <w:lang w:val="de-DE"/>
              </w:rPr>
              <w:br/>
              <w:t>3,9 kHz</w:t>
            </w:r>
            <w:r>
              <w:rPr>
                <w:rFonts w:ascii="Century Gothic" w:hAnsi="Century Gothic" w:cs="Arial"/>
                <w:color w:val="000000" w:themeColor="text1"/>
                <w:sz w:val="20"/>
                <w:szCs w:val="20"/>
                <w:lang w:val="de-DE"/>
              </w:rPr>
              <w:br/>
              <w:t>4,0 kHz</w:t>
            </w:r>
            <w:r>
              <w:rPr>
                <w:rFonts w:ascii="Century Gothic" w:hAnsi="Century Gothic" w:cs="Arial"/>
                <w:color w:val="000000" w:themeColor="text1"/>
                <w:sz w:val="20"/>
                <w:szCs w:val="20"/>
                <w:lang w:val="de-DE"/>
              </w:rPr>
              <w:br/>
              <w:t>4,3 kHz</w:t>
            </w:r>
          </w:p>
        </w:tc>
        <w:tc>
          <w:tcPr>
            <w:tcW w:w="17.0%" w:type="pct"/>
            <w:shd w:val="clear" w:color="auto" w:fill="auto"/>
          </w:tcPr>
          <w:p w:rsidR="00655060" w:rsidRPr="00611019" w:rsidRDefault="00E56462" w:rsidP="00035D2C">
            <w:pPr>
              <w:spacing w:before="2pt" w:after="2pt"/>
              <w:jc w:val="center"/>
              <w:rPr>
                <w:rFonts w:ascii="Century Gothic" w:hAnsi="Century Gothic" w:cs="Arial"/>
                <w:color w:val="000000" w:themeColor="text1"/>
                <w:sz w:val="20"/>
                <w:szCs w:val="20"/>
                <w:lang w:val="de-DE"/>
              </w:rPr>
            </w:pPr>
            <w:r>
              <w:rPr>
                <w:rFonts w:ascii="Century Gothic" w:hAnsi="Century Gothic" w:cs="Arial"/>
                <w:i/>
                <w:color w:val="000000" w:themeColor="text1"/>
                <w:sz w:val="20"/>
                <w:szCs w:val="20"/>
                <w:lang w:val="de-DE"/>
              </w:rPr>
              <w:t>Z</w:t>
            </w:r>
            <w:r>
              <w:rPr>
                <w:rFonts w:ascii="Century Gothic" w:hAnsi="Century Gothic" w:cs="Arial"/>
                <w:color w:val="000000" w:themeColor="text1"/>
                <w:sz w:val="20"/>
                <w:szCs w:val="20"/>
                <w:lang w:val="de-DE"/>
              </w:rPr>
              <w:t>R</w:t>
            </w:r>
            <w:r>
              <w:rPr>
                <w:rFonts w:ascii="Century Gothic" w:hAnsi="Century Gothic" w:cs="Arial"/>
                <w:color w:val="000000" w:themeColor="text1"/>
                <w:sz w:val="20"/>
                <w:szCs w:val="20"/>
                <w:lang w:val="de-DE"/>
              </w:rPr>
              <w:br/>
            </w:r>
            <w:r>
              <w:rPr>
                <w:rFonts w:ascii="Century Gothic" w:hAnsi="Century Gothic" w:cs="Arial"/>
                <w:i/>
                <w:color w:val="000000" w:themeColor="text1"/>
                <w:sz w:val="20"/>
                <w:szCs w:val="20"/>
                <w:lang w:val="de-DE"/>
              </w:rPr>
              <w:t>Z</w:t>
            </w:r>
            <w:r>
              <w:rPr>
                <w:rFonts w:ascii="Century Gothic" w:hAnsi="Century Gothic" w:cs="Arial"/>
                <w:color w:val="000000" w:themeColor="text1"/>
                <w:sz w:val="20"/>
                <w:szCs w:val="20"/>
                <w:lang w:val="de-DE"/>
              </w:rPr>
              <w:t>R</w:t>
            </w:r>
          </w:p>
          <w:p w:rsidR="00655060" w:rsidRPr="00611019" w:rsidRDefault="00E56462" w:rsidP="00035D2C">
            <w:pPr>
              <w:spacing w:before="2pt" w:after="2pt"/>
              <w:jc w:val="center"/>
              <w:rPr>
                <w:rFonts w:ascii="Century Gothic" w:hAnsi="Century Gothic" w:cs="Arial"/>
                <w:color w:val="000000" w:themeColor="text1"/>
                <w:sz w:val="20"/>
                <w:szCs w:val="20"/>
                <w:lang w:val="de-DE"/>
              </w:rPr>
            </w:pPr>
            <w:r>
              <w:rPr>
                <w:rFonts w:ascii="Century Gothic" w:hAnsi="Century Gothic" w:cs="Arial"/>
                <w:i/>
                <w:color w:val="000000" w:themeColor="text1"/>
                <w:sz w:val="20"/>
                <w:szCs w:val="20"/>
                <w:lang w:val="de-DE"/>
              </w:rPr>
              <w:t>Z</w:t>
            </w:r>
            <w:r>
              <w:rPr>
                <w:rFonts w:ascii="Century Gothic" w:hAnsi="Century Gothic" w:cs="Arial"/>
                <w:color w:val="000000" w:themeColor="text1"/>
                <w:sz w:val="20"/>
                <w:szCs w:val="20"/>
                <w:lang w:val="de-DE"/>
              </w:rPr>
              <w:t>R</w:t>
            </w:r>
          </w:p>
          <w:p w:rsidR="00655060" w:rsidRPr="00611019" w:rsidRDefault="00E56462" w:rsidP="00035D2C">
            <w:pPr>
              <w:spacing w:before="2pt" w:after="2pt"/>
              <w:jc w:val="center"/>
              <w:rPr>
                <w:rFonts w:ascii="Century Gothic" w:hAnsi="Century Gothic" w:cs="Arial"/>
                <w:color w:val="000000" w:themeColor="text1"/>
                <w:sz w:val="20"/>
                <w:szCs w:val="20"/>
                <w:lang w:val="de-DE"/>
              </w:rPr>
            </w:pPr>
            <w:r>
              <w:rPr>
                <w:rFonts w:ascii="Century Gothic" w:hAnsi="Century Gothic" w:cs="Arial"/>
                <w:i/>
                <w:color w:val="000000" w:themeColor="text1"/>
                <w:sz w:val="20"/>
                <w:szCs w:val="20"/>
                <w:lang w:val="de-DE"/>
              </w:rPr>
              <w:t>Z</w:t>
            </w:r>
            <w:r>
              <w:rPr>
                <w:rFonts w:ascii="Century Gothic" w:hAnsi="Century Gothic" w:cs="Arial"/>
                <w:color w:val="000000" w:themeColor="text1"/>
                <w:sz w:val="20"/>
                <w:szCs w:val="20"/>
                <w:lang w:val="de-DE"/>
              </w:rPr>
              <w:t>R</w:t>
            </w:r>
          </w:p>
          <w:p w:rsidR="00655060" w:rsidRPr="00611019" w:rsidRDefault="00E56462" w:rsidP="00035D2C">
            <w:pPr>
              <w:spacing w:before="2pt" w:after="2pt"/>
              <w:jc w:val="center"/>
              <w:rPr>
                <w:rFonts w:ascii="Century Gothic" w:hAnsi="Century Gothic" w:cs="Arial"/>
                <w:color w:val="000000" w:themeColor="text1"/>
                <w:sz w:val="20"/>
                <w:szCs w:val="20"/>
                <w:lang w:val="de-DE"/>
              </w:rPr>
            </w:pPr>
            <w:r>
              <w:rPr>
                <w:rFonts w:ascii="Century Gothic" w:hAnsi="Century Gothic" w:cs="Arial"/>
                <w:i/>
                <w:color w:val="000000" w:themeColor="text1"/>
                <w:sz w:val="20"/>
                <w:szCs w:val="20"/>
                <w:lang w:val="de-DE"/>
              </w:rPr>
              <w:t>Z</w:t>
            </w:r>
            <w:r>
              <w:rPr>
                <w:rFonts w:ascii="Century Gothic" w:hAnsi="Century Gothic" w:cs="Arial"/>
                <w:color w:val="000000" w:themeColor="text1"/>
                <w:sz w:val="20"/>
                <w:szCs w:val="20"/>
                <w:lang w:val="de-DE"/>
              </w:rPr>
              <w:t>R</w:t>
            </w:r>
          </w:p>
          <w:p w:rsidR="00655060" w:rsidRPr="00611019" w:rsidRDefault="00E56462" w:rsidP="00035D2C">
            <w:pPr>
              <w:spacing w:before="2pt" w:after="2pt"/>
              <w:jc w:val="center"/>
              <w:rPr>
                <w:rFonts w:ascii="Century Gothic" w:hAnsi="Century Gothic" w:cs="Arial"/>
                <w:color w:val="000000" w:themeColor="text1"/>
                <w:sz w:val="20"/>
                <w:szCs w:val="20"/>
                <w:lang w:val="de-DE"/>
              </w:rPr>
            </w:pPr>
            <w:r>
              <w:rPr>
                <w:rFonts w:ascii="Century Gothic" w:hAnsi="Century Gothic" w:cs="Arial"/>
                <w:i/>
                <w:color w:val="000000" w:themeColor="text1"/>
                <w:sz w:val="20"/>
                <w:szCs w:val="20"/>
                <w:lang w:val="de-DE"/>
              </w:rPr>
              <w:t>Z</w:t>
            </w:r>
            <w:r>
              <w:rPr>
                <w:rFonts w:ascii="Century Gothic" w:hAnsi="Century Gothic" w:cs="Arial"/>
                <w:color w:val="000000" w:themeColor="text1"/>
                <w:sz w:val="20"/>
                <w:szCs w:val="20"/>
                <w:lang w:val="de-DE"/>
              </w:rPr>
              <w:t>R</w:t>
            </w:r>
          </w:p>
          <w:p w:rsidR="00655060" w:rsidRPr="00611019" w:rsidRDefault="00E56462" w:rsidP="00035D2C">
            <w:pPr>
              <w:spacing w:before="2pt" w:after="2pt"/>
              <w:jc w:val="center"/>
              <w:rPr>
                <w:rFonts w:ascii="Century Gothic" w:hAnsi="Century Gothic" w:cs="Arial"/>
                <w:color w:val="000000" w:themeColor="text1"/>
                <w:sz w:val="20"/>
                <w:szCs w:val="20"/>
              </w:rPr>
            </w:pPr>
            <w:r>
              <w:rPr>
                <w:rFonts w:ascii="Century Gothic" w:hAnsi="Century Gothic" w:cs="Arial"/>
                <w:i/>
                <w:color w:val="000000" w:themeColor="text1"/>
                <w:sz w:val="20"/>
                <w:szCs w:val="20"/>
              </w:rPr>
              <w:t>Z</w:t>
            </w:r>
            <w:r>
              <w:rPr>
                <w:rFonts w:ascii="Century Gothic" w:hAnsi="Century Gothic" w:cs="Arial"/>
                <w:color w:val="000000" w:themeColor="text1"/>
                <w:sz w:val="20"/>
                <w:szCs w:val="20"/>
              </w:rPr>
              <w:t>R</w:t>
            </w:r>
          </w:p>
        </w:tc>
        <w:tc>
          <w:tcPr>
            <w:tcW w:w="19.0%" w:type="pct"/>
            <w:shd w:val="clear" w:color="auto" w:fill="auto"/>
          </w:tcPr>
          <w:p w:rsidR="00655060" w:rsidRPr="00721B79" w:rsidRDefault="00E56462" w:rsidP="00035D2C">
            <w:pPr>
              <w:spacing w:before="2pt" w:after="2pt"/>
              <w:jc w:val="center"/>
              <w:rPr>
                <w:rFonts w:ascii="Century Gothic" w:hAnsi="Century Gothic" w:cs="Arial"/>
                <w:color w:val="000000" w:themeColor="text1"/>
                <w:sz w:val="20"/>
                <w:szCs w:val="20"/>
                <w:lang w:val="en-US"/>
              </w:rPr>
            </w:pPr>
            <w:r w:rsidRPr="00721B79">
              <w:rPr>
                <w:rFonts w:ascii="Century Gothic" w:hAnsi="Century Gothic" w:cs="Arial"/>
                <w:color w:val="000000" w:themeColor="text1"/>
                <w:sz w:val="20"/>
                <w:szCs w:val="20"/>
                <w:lang w:val="en-US"/>
              </w:rPr>
              <w:t>-33,7 dBV</w:t>
            </w:r>
            <w:r w:rsidRPr="00721B79">
              <w:rPr>
                <w:rFonts w:ascii="Century Gothic" w:hAnsi="Century Gothic" w:cs="Arial"/>
                <w:color w:val="000000" w:themeColor="text1"/>
                <w:sz w:val="20"/>
                <w:szCs w:val="20"/>
                <w:lang w:val="en-US"/>
              </w:rPr>
              <w:br/>
              <w:t>-10,7 dBV</w:t>
            </w:r>
            <w:r w:rsidRPr="00721B79">
              <w:rPr>
                <w:rFonts w:ascii="Century Gothic" w:hAnsi="Century Gothic" w:cs="Arial"/>
                <w:color w:val="000000" w:themeColor="text1"/>
                <w:sz w:val="20"/>
                <w:szCs w:val="20"/>
                <w:lang w:val="en-US"/>
              </w:rPr>
              <w:br/>
              <w:t>-6,7 dBV</w:t>
            </w:r>
            <w:r w:rsidRPr="00721B79">
              <w:rPr>
                <w:rFonts w:ascii="Century Gothic" w:hAnsi="Century Gothic" w:cs="Arial"/>
                <w:color w:val="000000" w:themeColor="text1"/>
                <w:sz w:val="20"/>
                <w:szCs w:val="20"/>
                <w:lang w:val="en-US"/>
              </w:rPr>
              <w:br/>
              <w:t>-6,7 dBV</w:t>
            </w:r>
            <w:r w:rsidRPr="00721B79">
              <w:rPr>
                <w:rFonts w:ascii="Century Gothic" w:hAnsi="Century Gothic" w:cs="Arial"/>
                <w:color w:val="000000" w:themeColor="text1"/>
                <w:sz w:val="20"/>
                <w:szCs w:val="20"/>
                <w:lang w:val="en-US"/>
              </w:rPr>
              <w:br/>
              <w:t>-10,7 dBV</w:t>
            </w:r>
            <w:r w:rsidRPr="00721B79">
              <w:rPr>
                <w:rFonts w:ascii="Century Gothic" w:hAnsi="Century Gothic" w:cs="Arial"/>
                <w:color w:val="000000" w:themeColor="text1"/>
                <w:sz w:val="20"/>
                <w:szCs w:val="20"/>
                <w:lang w:val="en-US"/>
              </w:rPr>
              <w:br/>
              <w:t>-16,7 dBV</w:t>
            </w:r>
            <w:r w:rsidRPr="00721B79">
              <w:rPr>
                <w:rFonts w:ascii="Century Gothic" w:hAnsi="Century Gothic" w:cs="Arial"/>
                <w:color w:val="000000" w:themeColor="text1"/>
                <w:sz w:val="20"/>
                <w:szCs w:val="20"/>
                <w:lang w:val="en-US"/>
              </w:rPr>
              <w:br/>
              <w:t>-44,7 dBV</w:t>
            </w:r>
          </w:p>
        </w:tc>
        <w:tc>
          <w:tcPr>
            <w:tcW w:w="21.0%" w:type="pct"/>
            <w:shd w:val="clear" w:color="auto" w:fill="auto"/>
          </w:tcPr>
          <w:p w:rsidR="00655060" w:rsidRPr="00721B79" w:rsidRDefault="00E56462" w:rsidP="00035D2C">
            <w:pPr>
              <w:spacing w:before="2pt" w:after="2pt"/>
              <w:ind w:start="2.85pt"/>
              <w:jc w:val="center"/>
              <w:rPr>
                <w:rFonts w:ascii="Century Gothic" w:hAnsi="Century Gothic" w:cs="Arial"/>
                <w:color w:val="000000" w:themeColor="text1"/>
                <w:sz w:val="20"/>
                <w:szCs w:val="20"/>
                <w:lang w:val="en-US"/>
              </w:rPr>
            </w:pPr>
            <w:r w:rsidRPr="00721B79">
              <w:rPr>
                <w:rFonts w:ascii="Century Gothic" w:hAnsi="Century Gothic" w:cs="Arial"/>
                <w:color w:val="000000" w:themeColor="text1"/>
                <w:sz w:val="20"/>
                <w:szCs w:val="20"/>
                <w:lang w:val="en-US"/>
              </w:rPr>
              <w:t>10 Hz</w:t>
            </w:r>
            <w:r w:rsidRPr="00721B79">
              <w:rPr>
                <w:rFonts w:ascii="Century Gothic" w:hAnsi="Century Gothic" w:cs="Arial"/>
                <w:color w:val="000000" w:themeColor="text1"/>
                <w:sz w:val="20"/>
                <w:szCs w:val="20"/>
                <w:lang w:val="en-US"/>
              </w:rPr>
              <w:br/>
              <w:t>10 Hz</w:t>
            </w:r>
            <w:r w:rsidRPr="00721B79">
              <w:rPr>
                <w:rFonts w:ascii="Century Gothic" w:hAnsi="Century Gothic" w:cs="Arial"/>
                <w:color w:val="000000" w:themeColor="text1"/>
                <w:sz w:val="20"/>
                <w:szCs w:val="20"/>
                <w:lang w:val="en-US"/>
              </w:rPr>
              <w:br/>
              <w:t>10 Hz</w:t>
            </w:r>
            <w:r w:rsidRPr="00721B79">
              <w:rPr>
                <w:rFonts w:ascii="Century Gothic" w:hAnsi="Century Gothic" w:cs="Arial"/>
                <w:color w:val="000000" w:themeColor="text1"/>
                <w:sz w:val="20"/>
                <w:szCs w:val="20"/>
                <w:lang w:val="en-US"/>
              </w:rPr>
              <w:br/>
              <w:t>10 Hz</w:t>
            </w:r>
            <w:r w:rsidRPr="00721B79">
              <w:rPr>
                <w:rFonts w:ascii="Century Gothic" w:hAnsi="Century Gothic" w:cs="Arial"/>
                <w:color w:val="000000" w:themeColor="text1"/>
                <w:sz w:val="20"/>
                <w:szCs w:val="20"/>
                <w:lang w:val="en-US"/>
              </w:rPr>
              <w:br/>
              <w:t>10 Hz</w:t>
            </w:r>
            <w:r w:rsidRPr="00721B79">
              <w:rPr>
                <w:rFonts w:ascii="Century Gothic" w:hAnsi="Century Gothic" w:cs="Arial"/>
                <w:color w:val="000000" w:themeColor="text1"/>
                <w:sz w:val="20"/>
                <w:szCs w:val="20"/>
                <w:lang w:val="en-US"/>
              </w:rPr>
              <w:br/>
              <w:t>10 Hz</w:t>
            </w:r>
            <w:r w:rsidRPr="00721B79">
              <w:rPr>
                <w:rFonts w:ascii="Century Gothic" w:hAnsi="Century Gothic" w:cs="Arial"/>
                <w:color w:val="000000" w:themeColor="text1"/>
                <w:sz w:val="20"/>
                <w:szCs w:val="20"/>
                <w:lang w:val="en-US"/>
              </w:rPr>
              <w:br/>
              <w:t>10 Hz</w:t>
            </w:r>
          </w:p>
        </w:tc>
        <w:tc>
          <w:tcPr>
            <w:tcW w:w="24.0%" w:type="pct"/>
            <w:shd w:val="clear" w:color="auto" w:fill="auto"/>
          </w:tcPr>
          <w:p w:rsidR="00655060" w:rsidRPr="00721B79" w:rsidRDefault="00E56462" w:rsidP="00035D2C">
            <w:pPr>
              <w:spacing w:before="2pt" w:after="2pt"/>
              <w:ind w:start="1.70pt"/>
              <w:jc w:val="center"/>
              <w:rPr>
                <w:rFonts w:ascii="Century Gothic" w:hAnsi="Century Gothic" w:cs="Arial"/>
                <w:color w:val="000000" w:themeColor="text1"/>
                <w:sz w:val="20"/>
                <w:szCs w:val="20"/>
                <w:lang w:val="en-US"/>
              </w:rPr>
            </w:pPr>
            <w:r w:rsidRPr="00721B79">
              <w:rPr>
                <w:rFonts w:ascii="Century Gothic" w:hAnsi="Century Gothic" w:cs="Arial"/>
                <w:color w:val="000000" w:themeColor="text1"/>
                <w:sz w:val="20"/>
                <w:szCs w:val="20"/>
                <w:lang w:val="en-US"/>
              </w:rPr>
              <w:t>-43,7 dBV/√Hz</w:t>
            </w:r>
            <w:r w:rsidRPr="00721B79">
              <w:rPr>
                <w:rFonts w:ascii="Century Gothic" w:hAnsi="Century Gothic" w:cs="Arial"/>
                <w:color w:val="000000" w:themeColor="text1"/>
                <w:sz w:val="20"/>
                <w:szCs w:val="20"/>
                <w:lang w:val="en-US"/>
              </w:rPr>
              <w:br/>
              <w:t>-20,7 dBV/√Hz</w:t>
            </w:r>
            <w:r w:rsidRPr="00721B79">
              <w:rPr>
                <w:rFonts w:ascii="Century Gothic" w:hAnsi="Century Gothic" w:cs="Arial"/>
                <w:color w:val="000000" w:themeColor="text1"/>
                <w:sz w:val="20"/>
                <w:szCs w:val="20"/>
                <w:lang w:val="en-US"/>
              </w:rPr>
              <w:br/>
              <w:t>-16,7 dBV/√Hz</w:t>
            </w:r>
            <w:r w:rsidRPr="00721B79">
              <w:rPr>
                <w:rFonts w:ascii="Century Gothic" w:hAnsi="Century Gothic" w:cs="Arial"/>
                <w:color w:val="000000" w:themeColor="text1"/>
                <w:sz w:val="20"/>
                <w:szCs w:val="20"/>
                <w:lang w:val="en-US"/>
              </w:rPr>
              <w:br/>
              <w:t>-16,7 dBV/√Hz</w:t>
            </w:r>
            <w:r w:rsidRPr="00721B79">
              <w:rPr>
                <w:rFonts w:ascii="Century Gothic" w:hAnsi="Century Gothic" w:cs="Arial"/>
                <w:color w:val="000000" w:themeColor="text1"/>
                <w:sz w:val="20"/>
                <w:szCs w:val="20"/>
                <w:lang w:val="en-US"/>
              </w:rPr>
              <w:br/>
              <w:t>-20,7 dBV/√Hz</w:t>
            </w:r>
            <w:r w:rsidRPr="00721B79">
              <w:rPr>
                <w:rFonts w:ascii="Century Gothic" w:hAnsi="Century Gothic" w:cs="Arial"/>
                <w:color w:val="000000" w:themeColor="text1"/>
                <w:sz w:val="20"/>
                <w:szCs w:val="20"/>
                <w:lang w:val="en-US"/>
              </w:rPr>
              <w:br/>
              <w:t>-26,7 dBV/√Hz</w:t>
            </w:r>
            <w:r w:rsidRPr="00721B79">
              <w:rPr>
                <w:rFonts w:ascii="Century Gothic" w:hAnsi="Century Gothic" w:cs="Arial"/>
                <w:color w:val="000000" w:themeColor="text1"/>
                <w:sz w:val="20"/>
                <w:szCs w:val="20"/>
                <w:lang w:val="en-US"/>
              </w:rPr>
              <w:br/>
              <w:t>-54,7 dBV/√Hz</w:t>
            </w:r>
          </w:p>
        </w:tc>
      </w:tr>
      <w:tr w:rsidR="0061711D" w:rsidTr="00C50B72">
        <w:trPr>
          <w:jc w:val="center"/>
        </w:trPr>
        <w:tc>
          <w:tcPr>
            <w:tcW w:w="16.0%" w:type="pct"/>
            <w:shd w:val="clear" w:color="auto" w:fill="auto"/>
          </w:tcPr>
          <w:p w:rsidR="00655060" w:rsidRPr="00611019" w:rsidRDefault="00E56462" w:rsidP="00035D2C">
            <w:pPr>
              <w:spacing w:before="2pt" w:after="2pt"/>
              <w:ind w:start="1.45pt"/>
              <w:jc w:val="center"/>
              <w:rPr>
                <w:rFonts w:ascii="Century Gothic" w:hAnsi="Century Gothic" w:cs="Arial"/>
                <w:color w:val="000000" w:themeColor="text1"/>
                <w:sz w:val="20"/>
                <w:szCs w:val="20"/>
              </w:rPr>
            </w:pPr>
            <w:r>
              <w:rPr>
                <w:rFonts w:ascii="Century Gothic" w:hAnsi="Century Gothic" w:cs="Arial"/>
                <w:color w:val="000000" w:themeColor="text1"/>
                <w:sz w:val="20"/>
                <w:szCs w:val="20"/>
              </w:rPr>
              <w:t>4,3 kHz</w:t>
            </w:r>
            <w:r>
              <w:rPr>
                <w:rFonts w:ascii="Century Gothic" w:hAnsi="Century Gothic" w:cs="Arial"/>
                <w:color w:val="000000" w:themeColor="text1"/>
                <w:sz w:val="20"/>
                <w:szCs w:val="20"/>
              </w:rPr>
              <w:br/>
              <w:t>5,1 kHz</w:t>
            </w:r>
            <w:r>
              <w:rPr>
                <w:rFonts w:ascii="Century Gothic" w:hAnsi="Century Gothic" w:cs="Arial"/>
                <w:color w:val="000000" w:themeColor="text1"/>
                <w:sz w:val="20"/>
                <w:szCs w:val="20"/>
              </w:rPr>
              <w:br/>
              <w:t>8,9 kHz</w:t>
            </w:r>
            <w:r>
              <w:rPr>
                <w:rFonts w:ascii="Century Gothic" w:hAnsi="Century Gothic" w:cs="Arial"/>
                <w:color w:val="000000" w:themeColor="text1"/>
                <w:sz w:val="20"/>
                <w:szCs w:val="20"/>
              </w:rPr>
              <w:br/>
              <w:t>11,0 kHz</w:t>
            </w:r>
          </w:p>
        </w:tc>
        <w:tc>
          <w:tcPr>
            <w:tcW w:w="17.0%" w:type="pct"/>
            <w:shd w:val="clear" w:color="auto" w:fill="auto"/>
          </w:tcPr>
          <w:p w:rsidR="00655060" w:rsidRPr="00611019" w:rsidRDefault="00E56462" w:rsidP="00035D2C">
            <w:pPr>
              <w:spacing w:before="2pt" w:after="2pt"/>
              <w:jc w:val="center"/>
              <w:rPr>
                <w:rFonts w:ascii="Century Gothic" w:hAnsi="Century Gothic" w:cs="Arial"/>
                <w:color w:val="000000" w:themeColor="text1"/>
                <w:sz w:val="20"/>
                <w:szCs w:val="20"/>
              </w:rPr>
            </w:pPr>
            <w:r>
              <w:rPr>
                <w:rFonts w:ascii="Century Gothic" w:hAnsi="Century Gothic" w:cs="Arial"/>
                <w:i/>
                <w:color w:val="000000" w:themeColor="text1"/>
                <w:sz w:val="20"/>
                <w:szCs w:val="20"/>
              </w:rPr>
              <w:t>Z</w:t>
            </w:r>
            <w:r>
              <w:rPr>
                <w:rFonts w:ascii="Century Gothic" w:hAnsi="Century Gothic" w:cs="Arial"/>
                <w:color w:val="000000" w:themeColor="text1"/>
                <w:sz w:val="20"/>
                <w:szCs w:val="20"/>
              </w:rPr>
              <w:t>R</w:t>
            </w:r>
            <w:r>
              <w:rPr>
                <w:rFonts w:ascii="Century Gothic" w:hAnsi="Century Gothic" w:cs="Arial"/>
                <w:color w:val="000000" w:themeColor="text1"/>
                <w:sz w:val="20"/>
                <w:szCs w:val="20"/>
              </w:rPr>
              <w:br/>
            </w:r>
            <w:r>
              <w:rPr>
                <w:rFonts w:ascii="Century Gothic" w:hAnsi="Century Gothic" w:cs="Arial"/>
                <w:i/>
                <w:color w:val="000000" w:themeColor="text1"/>
                <w:sz w:val="20"/>
                <w:szCs w:val="20"/>
              </w:rPr>
              <w:t>Z</w:t>
            </w:r>
            <w:r>
              <w:rPr>
                <w:rFonts w:ascii="Century Gothic" w:hAnsi="Century Gothic" w:cs="Arial"/>
                <w:color w:val="000000" w:themeColor="text1"/>
                <w:sz w:val="20"/>
                <w:szCs w:val="20"/>
              </w:rPr>
              <w:t>R</w:t>
            </w:r>
          </w:p>
          <w:p w:rsidR="00655060" w:rsidRPr="00611019" w:rsidRDefault="00E56462" w:rsidP="00035D2C">
            <w:pPr>
              <w:spacing w:before="2pt" w:after="2pt"/>
              <w:jc w:val="center"/>
              <w:rPr>
                <w:rFonts w:ascii="Century Gothic" w:hAnsi="Century Gothic" w:cs="Arial"/>
                <w:color w:val="000000" w:themeColor="text1"/>
                <w:sz w:val="20"/>
                <w:szCs w:val="20"/>
              </w:rPr>
            </w:pPr>
            <w:r>
              <w:rPr>
                <w:rFonts w:ascii="Century Gothic" w:hAnsi="Century Gothic" w:cs="Arial"/>
                <w:i/>
                <w:color w:val="000000" w:themeColor="text1"/>
                <w:sz w:val="20"/>
                <w:szCs w:val="20"/>
              </w:rPr>
              <w:t>Z</w:t>
            </w:r>
            <w:r>
              <w:rPr>
                <w:rFonts w:ascii="Century Gothic" w:hAnsi="Century Gothic" w:cs="Arial"/>
                <w:color w:val="000000" w:themeColor="text1"/>
                <w:sz w:val="20"/>
                <w:szCs w:val="20"/>
              </w:rPr>
              <w:t>R</w:t>
            </w:r>
          </w:p>
          <w:p w:rsidR="00655060" w:rsidRPr="00611019" w:rsidRDefault="00E56462" w:rsidP="00035D2C">
            <w:pPr>
              <w:spacing w:before="2pt" w:after="2pt"/>
              <w:jc w:val="center"/>
              <w:rPr>
                <w:rFonts w:ascii="Century Gothic" w:hAnsi="Century Gothic" w:cs="Arial"/>
                <w:color w:val="000000" w:themeColor="text1"/>
                <w:sz w:val="20"/>
                <w:szCs w:val="20"/>
              </w:rPr>
            </w:pPr>
            <w:r>
              <w:rPr>
                <w:rFonts w:ascii="Century Gothic" w:hAnsi="Century Gothic" w:cs="Arial"/>
                <w:i/>
                <w:color w:val="000000" w:themeColor="text1"/>
                <w:sz w:val="20"/>
                <w:szCs w:val="20"/>
              </w:rPr>
              <w:t>Z</w:t>
            </w:r>
            <w:r>
              <w:rPr>
                <w:rFonts w:ascii="Century Gothic" w:hAnsi="Century Gothic" w:cs="Arial"/>
                <w:color w:val="000000" w:themeColor="text1"/>
                <w:sz w:val="20"/>
                <w:szCs w:val="20"/>
              </w:rPr>
              <w:t>R</w:t>
            </w:r>
          </w:p>
        </w:tc>
        <w:tc>
          <w:tcPr>
            <w:tcW w:w="19.0%" w:type="pct"/>
            <w:shd w:val="clear" w:color="auto" w:fill="auto"/>
          </w:tcPr>
          <w:p w:rsidR="00655060" w:rsidRPr="00611019" w:rsidRDefault="00E56462" w:rsidP="00035D2C">
            <w:pPr>
              <w:spacing w:before="2pt" w:after="2pt"/>
              <w:jc w:val="center"/>
              <w:rPr>
                <w:rFonts w:ascii="Century Gothic" w:hAnsi="Century Gothic" w:cs="Arial"/>
                <w:color w:val="000000" w:themeColor="text1"/>
                <w:sz w:val="20"/>
                <w:szCs w:val="20"/>
              </w:rPr>
            </w:pPr>
            <w:r>
              <w:rPr>
                <w:rFonts w:ascii="Century Gothic" w:hAnsi="Century Gothic" w:cs="Arial"/>
                <w:color w:val="000000" w:themeColor="text1"/>
                <w:sz w:val="20"/>
                <w:szCs w:val="20"/>
              </w:rPr>
              <w:t>-40 dBV</w:t>
            </w:r>
            <w:r>
              <w:rPr>
                <w:rFonts w:ascii="Century Gothic" w:hAnsi="Century Gothic" w:cs="Arial"/>
                <w:color w:val="000000" w:themeColor="text1"/>
                <w:sz w:val="20"/>
                <w:szCs w:val="20"/>
              </w:rPr>
              <w:br/>
              <w:t>-44 dBV</w:t>
            </w:r>
            <w:r>
              <w:rPr>
                <w:rFonts w:ascii="Century Gothic" w:hAnsi="Century Gothic" w:cs="Arial"/>
                <w:color w:val="000000" w:themeColor="text1"/>
                <w:sz w:val="20"/>
                <w:szCs w:val="20"/>
              </w:rPr>
              <w:br/>
              <w:t>-44 dBV</w:t>
            </w:r>
            <w:r>
              <w:rPr>
                <w:rFonts w:ascii="Century Gothic" w:hAnsi="Century Gothic" w:cs="Arial"/>
                <w:color w:val="000000" w:themeColor="text1"/>
                <w:sz w:val="20"/>
                <w:szCs w:val="20"/>
              </w:rPr>
              <w:br/>
              <w:t>-58,5 dBV</w:t>
            </w:r>
          </w:p>
        </w:tc>
        <w:tc>
          <w:tcPr>
            <w:tcW w:w="21.0%" w:type="pct"/>
            <w:shd w:val="clear" w:color="auto" w:fill="auto"/>
          </w:tcPr>
          <w:p w:rsidR="00655060" w:rsidRPr="00611019" w:rsidRDefault="00E56462" w:rsidP="00035D2C">
            <w:pPr>
              <w:spacing w:before="2pt" w:after="2pt"/>
              <w:ind w:start="2.85pt"/>
              <w:jc w:val="center"/>
              <w:rPr>
                <w:rFonts w:ascii="Century Gothic" w:hAnsi="Century Gothic" w:cs="Arial"/>
                <w:color w:val="000000" w:themeColor="text1"/>
                <w:sz w:val="20"/>
                <w:szCs w:val="20"/>
              </w:rPr>
            </w:pPr>
            <w:r>
              <w:rPr>
                <w:rFonts w:ascii="Century Gothic" w:hAnsi="Century Gothic" w:cs="Arial"/>
                <w:color w:val="000000" w:themeColor="text1"/>
                <w:sz w:val="20"/>
                <w:szCs w:val="20"/>
              </w:rPr>
              <w:t>300 Hz</w:t>
            </w:r>
            <w:r>
              <w:rPr>
                <w:rFonts w:ascii="Century Gothic" w:hAnsi="Century Gothic" w:cs="Arial"/>
                <w:color w:val="000000" w:themeColor="text1"/>
                <w:sz w:val="20"/>
                <w:szCs w:val="20"/>
              </w:rPr>
              <w:br/>
              <w:t>300 Hz</w:t>
            </w:r>
            <w:r>
              <w:rPr>
                <w:rFonts w:ascii="Century Gothic" w:hAnsi="Century Gothic" w:cs="Arial"/>
                <w:color w:val="000000" w:themeColor="text1"/>
                <w:sz w:val="20"/>
                <w:szCs w:val="20"/>
              </w:rPr>
              <w:br/>
              <w:t>300 Hz</w:t>
            </w:r>
            <w:r>
              <w:rPr>
                <w:rFonts w:ascii="Century Gothic" w:hAnsi="Century Gothic" w:cs="Arial"/>
                <w:color w:val="000000" w:themeColor="text1"/>
                <w:sz w:val="20"/>
                <w:szCs w:val="20"/>
              </w:rPr>
              <w:br/>
              <w:t>300 Hz</w:t>
            </w:r>
          </w:p>
        </w:tc>
        <w:tc>
          <w:tcPr>
            <w:tcW w:w="24.0%" w:type="pct"/>
            <w:shd w:val="clear" w:color="auto" w:fill="auto"/>
          </w:tcPr>
          <w:p w:rsidR="00655060" w:rsidRPr="00611019" w:rsidRDefault="00E56462" w:rsidP="00035D2C">
            <w:pPr>
              <w:spacing w:before="2pt" w:after="2pt"/>
              <w:ind w:start="1.70pt"/>
              <w:jc w:val="center"/>
              <w:rPr>
                <w:rFonts w:ascii="Century Gothic" w:hAnsi="Century Gothic" w:cs="Arial"/>
                <w:color w:val="000000" w:themeColor="text1"/>
                <w:sz w:val="20"/>
                <w:szCs w:val="20"/>
              </w:rPr>
            </w:pPr>
            <w:r>
              <w:rPr>
                <w:rFonts w:ascii="Century Gothic" w:hAnsi="Century Gothic" w:cs="Arial"/>
                <w:color w:val="000000" w:themeColor="text1"/>
                <w:sz w:val="20"/>
                <w:szCs w:val="20"/>
              </w:rPr>
              <w:t>-65 dBV/√Hz</w:t>
            </w:r>
            <w:r>
              <w:rPr>
                <w:rFonts w:ascii="Century Gothic" w:hAnsi="Century Gothic" w:cs="Arial"/>
                <w:color w:val="000000" w:themeColor="text1"/>
                <w:sz w:val="20"/>
                <w:szCs w:val="20"/>
              </w:rPr>
              <w:br/>
              <w:t>-69 dBV/√Hz</w:t>
            </w:r>
            <w:r>
              <w:rPr>
                <w:rFonts w:ascii="Century Gothic" w:hAnsi="Century Gothic" w:cs="Arial"/>
                <w:color w:val="000000" w:themeColor="text1"/>
                <w:sz w:val="20"/>
                <w:szCs w:val="20"/>
              </w:rPr>
              <w:br/>
              <w:t>-69 dBV/√Hz</w:t>
            </w:r>
            <w:r>
              <w:rPr>
                <w:rFonts w:ascii="Century Gothic" w:hAnsi="Century Gothic" w:cs="Arial"/>
                <w:color w:val="000000" w:themeColor="text1"/>
                <w:sz w:val="20"/>
                <w:szCs w:val="20"/>
              </w:rPr>
              <w:br/>
              <w:t>-83,5 dBV/√Hz</w:t>
            </w:r>
          </w:p>
        </w:tc>
      </w:tr>
      <w:tr w:rsidR="0061711D" w:rsidTr="00C50B72">
        <w:trPr>
          <w:jc w:val="center"/>
        </w:trPr>
        <w:tc>
          <w:tcPr>
            <w:tcW w:w="16.0%" w:type="pct"/>
            <w:shd w:val="clear" w:color="auto" w:fill="auto"/>
          </w:tcPr>
          <w:p w:rsidR="00655060" w:rsidRPr="00611019" w:rsidRDefault="00E56462" w:rsidP="00035D2C">
            <w:pPr>
              <w:spacing w:before="2pt" w:after="2pt"/>
              <w:ind w:start="1.45pt"/>
              <w:jc w:val="center"/>
              <w:rPr>
                <w:rFonts w:ascii="Century Gothic" w:hAnsi="Century Gothic" w:cs="Arial"/>
                <w:color w:val="000000" w:themeColor="text1"/>
                <w:sz w:val="20"/>
                <w:szCs w:val="20"/>
              </w:rPr>
            </w:pPr>
            <w:r>
              <w:rPr>
                <w:rFonts w:ascii="Century Gothic" w:hAnsi="Century Gothic" w:cs="Arial"/>
                <w:color w:val="000000" w:themeColor="text1"/>
                <w:sz w:val="20"/>
                <w:szCs w:val="20"/>
              </w:rPr>
              <w:t>11,0 kHz</w:t>
            </w:r>
            <w:r>
              <w:rPr>
                <w:rFonts w:ascii="Century Gothic" w:hAnsi="Century Gothic" w:cs="Arial"/>
                <w:color w:val="000000" w:themeColor="text1"/>
                <w:sz w:val="20"/>
                <w:szCs w:val="20"/>
              </w:rPr>
              <w:br/>
              <w:t>200 kHz</w:t>
            </w:r>
          </w:p>
        </w:tc>
        <w:tc>
          <w:tcPr>
            <w:tcW w:w="17.0%" w:type="pct"/>
            <w:shd w:val="clear" w:color="auto" w:fill="auto"/>
          </w:tcPr>
          <w:p w:rsidR="00655060" w:rsidRPr="00611019" w:rsidRDefault="00E56462" w:rsidP="00035D2C">
            <w:pPr>
              <w:spacing w:before="2pt" w:after="2pt"/>
              <w:jc w:val="center"/>
              <w:rPr>
                <w:rFonts w:ascii="Century Gothic" w:hAnsi="Century Gothic" w:cs="Arial"/>
                <w:color w:val="000000" w:themeColor="text1"/>
                <w:sz w:val="20"/>
                <w:szCs w:val="20"/>
              </w:rPr>
            </w:pPr>
            <w:r>
              <w:rPr>
                <w:rFonts w:ascii="Century Gothic" w:hAnsi="Century Gothic" w:cs="Arial"/>
                <w:i/>
                <w:color w:val="000000" w:themeColor="text1"/>
                <w:sz w:val="20"/>
                <w:szCs w:val="20"/>
              </w:rPr>
              <w:t>Z</w:t>
            </w:r>
            <w:r>
              <w:rPr>
                <w:rFonts w:ascii="Century Gothic" w:hAnsi="Century Gothic" w:cs="Arial"/>
                <w:color w:val="000000" w:themeColor="text1"/>
                <w:sz w:val="20"/>
                <w:szCs w:val="20"/>
              </w:rPr>
              <w:t>R</w:t>
            </w:r>
            <w:r>
              <w:rPr>
                <w:rFonts w:ascii="Century Gothic" w:hAnsi="Century Gothic" w:cs="Arial"/>
                <w:color w:val="000000" w:themeColor="text1"/>
                <w:sz w:val="20"/>
                <w:szCs w:val="20"/>
              </w:rPr>
              <w:br/>
            </w:r>
            <w:r>
              <w:rPr>
                <w:rFonts w:ascii="Century Gothic" w:hAnsi="Century Gothic" w:cs="Arial"/>
                <w:i/>
                <w:color w:val="000000" w:themeColor="text1"/>
                <w:sz w:val="20"/>
                <w:szCs w:val="20"/>
              </w:rPr>
              <w:t>Z</w:t>
            </w:r>
            <w:r>
              <w:rPr>
                <w:rFonts w:ascii="Century Gothic" w:hAnsi="Century Gothic" w:cs="Arial"/>
                <w:color w:val="000000" w:themeColor="text1"/>
                <w:sz w:val="20"/>
                <w:szCs w:val="20"/>
              </w:rPr>
              <w:t>R</w:t>
            </w:r>
          </w:p>
        </w:tc>
        <w:tc>
          <w:tcPr>
            <w:tcW w:w="19.0%" w:type="pct"/>
            <w:shd w:val="clear" w:color="auto" w:fill="auto"/>
          </w:tcPr>
          <w:p w:rsidR="00655060" w:rsidRPr="00611019" w:rsidRDefault="00E56462" w:rsidP="00035D2C">
            <w:pPr>
              <w:spacing w:before="2pt" w:after="2pt"/>
              <w:jc w:val="center"/>
              <w:rPr>
                <w:rFonts w:ascii="Century Gothic" w:hAnsi="Century Gothic" w:cs="Arial"/>
                <w:color w:val="000000" w:themeColor="text1"/>
                <w:sz w:val="20"/>
                <w:szCs w:val="20"/>
              </w:rPr>
            </w:pPr>
            <w:r>
              <w:rPr>
                <w:rFonts w:ascii="Century Gothic" w:hAnsi="Century Gothic" w:cs="Arial"/>
                <w:color w:val="000000" w:themeColor="text1"/>
                <w:sz w:val="20"/>
                <w:szCs w:val="20"/>
              </w:rPr>
              <w:t>-58,5 dBV</w:t>
            </w:r>
            <w:r>
              <w:rPr>
                <w:rFonts w:ascii="Century Gothic" w:hAnsi="Century Gothic" w:cs="Arial"/>
                <w:color w:val="000000" w:themeColor="text1"/>
                <w:sz w:val="20"/>
                <w:szCs w:val="20"/>
              </w:rPr>
              <w:br/>
              <w:t>-58,5 dBV</w:t>
            </w:r>
          </w:p>
        </w:tc>
        <w:tc>
          <w:tcPr>
            <w:tcW w:w="21.0%" w:type="pct"/>
            <w:shd w:val="clear" w:color="auto" w:fill="auto"/>
          </w:tcPr>
          <w:p w:rsidR="00655060" w:rsidRPr="00611019" w:rsidRDefault="00E56462" w:rsidP="00035D2C">
            <w:pPr>
              <w:spacing w:before="2pt" w:after="2pt"/>
              <w:ind w:start="2.85pt"/>
              <w:jc w:val="center"/>
              <w:rPr>
                <w:rFonts w:ascii="Century Gothic" w:hAnsi="Century Gothic" w:cs="Arial"/>
                <w:color w:val="000000" w:themeColor="text1"/>
                <w:sz w:val="20"/>
                <w:szCs w:val="20"/>
              </w:rPr>
            </w:pPr>
            <w:r>
              <w:rPr>
                <w:rFonts w:ascii="Century Gothic" w:hAnsi="Century Gothic" w:cs="Arial"/>
                <w:color w:val="000000" w:themeColor="text1"/>
                <w:sz w:val="20"/>
                <w:szCs w:val="20"/>
              </w:rPr>
              <w:t>1 kHz</w:t>
            </w:r>
            <w:r>
              <w:rPr>
                <w:rFonts w:ascii="Century Gothic" w:hAnsi="Century Gothic" w:cs="Arial"/>
                <w:color w:val="000000" w:themeColor="text1"/>
                <w:sz w:val="20"/>
                <w:szCs w:val="20"/>
              </w:rPr>
              <w:br/>
              <w:t>1 kHz</w:t>
            </w:r>
          </w:p>
        </w:tc>
        <w:tc>
          <w:tcPr>
            <w:tcW w:w="24.0%" w:type="pct"/>
            <w:shd w:val="clear" w:color="auto" w:fill="auto"/>
          </w:tcPr>
          <w:p w:rsidR="00655060" w:rsidRPr="00611019" w:rsidRDefault="00E56462" w:rsidP="00035D2C">
            <w:pPr>
              <w:spacing w:before="2pt" w:after="2pt"/>
              <w:ind w:start="1.70pt"/>
              <w:jc w:val="center"/>
              <w:rPr>
                <w:rFonts w:ascii="Century Gothic" w:hAnsi="Century Gothic" w:cs="Arial"/>
                <w:color w:val="000000" w:themeColor="text1"/>
                <w:sz w:val="20"/>
                <w:szCs w:val="20"/>
              </w:rPr>
            </w:pPr>
            <w:r>
              <w:rPr>
                <w:rFonts w:ascii="Century Gothic" w:hAnsi="Century Gothic" w:cs="Arial"/>
                <w:color w:val="000000" w:themeColor="text1"/>
                <w:sz w:val="20"/>
                <w:szCs w:val="20"/>
              </w:rPr>
              <w:t>-88,5 dBV/√Hz</w:t>
            </w:r>
            <w:r>
              <w:rPr>
                <w:rFonts w:ascii="Century Gothic" w:hAnsi="Century Gothic" w:cs="Arial"/>
                <w:color w:val="000000" w:themeColor="text1"/>
                <w:sz w:val="20"/>
                <w:szCs w:val="20"/>
              </w:rPr>
              <w:br/>
              <w:t>-88,5 dBV/√Hz</w:t>
            </w:r>
          </w:p>
        </w:tc>
      </w:tr>
      <w:tr w:rsidR="0061711D" w:rsidTr="00C50B72">
        <w:trPr>
          <w:jc w:val="center"/>
        </w:trPr>
        <w:tc>
          <w:tcPr>
            <w:tcW w:w="16.0%" w:type="pct"/>
            <w:shd w:val="clear" w:color="auto" w:fill="auto"/>
          </w:tcPr>
          <w:p w:rsidR="00655060" w:rsidRPr="00611019" w:rsidRDefault="00E56462" w:rsidP="00035D2C">
            <w:pPr>
              <w:spacing w:before="2pt" w:after="2pt"/>
              <w:ind w:start="1.45pt"/>
              <w:jc w:val="center"/>
              <w:rPr>
                <w:rFonts w:ascii="Century Gothic" w:hAnsi="Century Gothic" w:cs="Arial"/>
                <w:color w:val="000000" w:themeColor="text1"/>
                <w:sz w:val="20"/>
                <w:szCs w:val="20"/>
              </w:rPr>
            </w:pPr>
            <w:r>
              <w:rPr>
                <w:rFonts w:ascii="Century Gothic" w:hAnsi="Century Gothic" w:cs="Arial"/>
                <w:color w:val="000000" w:themeColor="text1"/>
                <w:sz w:val="20"/>
                <w:szCs w:val="20"/>
              </w:rPr>
              <w:lastRenderedPageBreak/>
              <w:t>200 kHz</w:t>
            </w:r>
            <w:r>
              <w:rPr>
                <w:rFonts w:ascii="Century Gothic" w:hAnsi="Century Gothic" w:cs="Arial"/>
                <w:color w:val="000000" w:themeColor="text1"/>
                <w:sz w:val="20"/>
                <w:szCs w:val="20"/>
              </w:rPr>
              <w:br/>
              <w:t>500 kHz</w:t>
            </w:r>
          </w:p>
        </w:tc>
        <w:tc>
          <w:tcPr>
            <w:tcW w:w="17.0%" w:type="pct"/>
            <w:shd w:val="clear" w:color="auto" w:fill="auto"/>
          </w:tcPr>
          <w:p w:rsidR="00655060" w:rsidRPr="00611019" w:rsidRDefault="00E56462" w:rsidP="00035D2C">
            <w:pPr>
              <w:spacing w:before="2pt" w:after="2pt"/>
              <w:jc w:val="center"/>
              <w:rPr>
                <w:rFonts w:ascii="Century Gothic" w:hAnsi="Century Gothic" w:cs="Arial"/>
                <w:color w:val="000000" w:themeColor="text1"/>
                <w:sz w:val="20"/>
                <w:szCs w:val="20"/>
              </w:rPr>
            </w:pPr>
            <w:r>
              <w:rPr>
                <w:rFonts w:ascii="Century Gothic" w:hAnsi="Century Gothic" w:cs="Arial"/>
                <w:color w:val="000000" w:themeColor="text1"/>
                <w:sz w:val="20"/>
                <w:szCs w:val="20"/>
              </w:rPr>
              <w:t>135 Ω</w:t>
            </w:r>
            <w:r>
              <w:rPr>
                <w:rFonts w:ascii="Century Gothic" w:hAnsi="Century Gothic" w:cs="Arial"/>
                <w:color w:val="000000" w:themeColor="text1"/>
                <w:sz w:val="20"/>
                <w:szCs w:val="20"/>
              </w:rPr>
              <w:br/>
              <w:t>135 Ω</w:t>
            </w:r>
          </w:p>
        </w:tc>
        <w:tc>
          <w:tcPr>
            <w:tcW w:w="19.0%" w:type="pct"/>
            <w:shd w:val="clear" w:color="auto" w:fill="auto"/>
          </w:tcPr>
          <w:p w:rsidR="00655060" w:rsidRPr="00611019" w:rsidRDefault="00E56462" w:rsidP="00035D2C">
            <w:pPr>
              <w:spacing w:before="2pt" w:after="2pt"/>
              <w:jc w:val="center"/>
              <w:rPr>
                <w:rFonts w:ascii="Century Gothic" w:hAnsi="Century Gothic" w:cs="Arial"/>
                <w:color w:val="000000" w:themeColor="text1"/>
                <w:sz w:val="20"/>
                <w:szCs w:val="20"/>
              </w:rPr>
            </w:pPr>
            <w:r>
              <w:rPr>
                <w:rFonts w:ascii="Century Gothic" w:hAnsi="Century Gothic" w:cs="Arial"/>
                <w:color w:val="000000" w:themeColor="text1"/>
                <w:sz w:val="20"/>
                <w:szCs w:val="20"/>
              </w:rPr>
              <w:t>-60 dBV</w:t>
            </w:r>
            <w:r>
              <w:rPr>
                <w:rFonts w:ascii="Century Gothic" w:hAnsi="Century Gothic" w:cs="Arial"/>
                <w:color w:val="000000" w:themeColor="text1"/>
                <w:sz w:val="20"/>
                <w:szCs w:val="20"/>
              </w:rPr>
              <w:br/>
              <w:t>-90 dBV</w:t>
            </w:r>
          </w:p>
        </w:tc>
        <w:tc>
          <w:tcPr>
            <w:tcW w:w="21.0%" w:type="pct"/>
            <w:shd w:val="clear" w:color="auto" w:fill="auto"/>
          </w:tcPr>
          <w:p w:rsidR="00655060" w:rsidRPr="00611019" w:rsidRDefault="00E56462" w:rsidP="00035D2C">
            <w:pPr>
              <w:spacing w:before="2pt" w:after="2pt"/>
              <w:ind w:start="2.85pt"/>
              <w:jc w:val="center"/>
              <w:rPr>
                <w:rFonts w:ascii="Century Gothic" w:hAnsi="Century Gothic" w:cs="Arial"/>
                <w:color w:val="000000" w:themeColor="text1"/>
                <w:sz w:val="20"/>
                <w:szCs w:val="20"/>
              </w:rPr>
            </w:pPr>
            <w:r>
              <w:rPr>
                <w:rFonts w:ascii="Century Gothic" w:hAnsi="Century Gothic" w:cs="Arial"/>
                <w:color w:val="000000" w:themeColor="text1"/>
                <w:sz w:val="20"/>
                <w:szCs w:val="20"/>
              </w:rPr>
              <w:t>1 kHz</w:t>
            </w:r>
            <w:r>
              <w:rPr>
                <w:rFonts w:ascii="Century Gothic" w:hAnsi="Century Gothic" w:cs="Arial"/>
                <w:color w:val="000000" w:themeColor="text1"/>
                <w:sz w:val="20"/>
                <w:szCs w:val="20"/>
              </w:rPr>
              <w:br/>
              <w:t>1 kHz</w:t>
            </w:r>
          </w:p>
        </w:tc>
        <w:tc>
          <w:tcPr>
            <w:tcW w:w="24.0%" w:type="pct"/>
            <w:shd w:val="clear" w:color="auto" w:fill="auto"/>
          </w:tcPr>
          <w:p w:rsidR="00655060" w:rsidRPr="00611019" w:rsidRDefault="00E56462" w:rsidP="00035D2C">
            <w:pPr>
              <w:spacing w:before="2pt" w:after="2pt"/>
              <w:ind w:start="1.70pt"/>
              <w:jc w:val="center"/>
              <w:rPr>
                <w:rFonts w:ascii="Century Gothic" w:hAnsi="Century Gothic" w:cs="Arial"/>
                <w:color w:val="000000" w:themeColor="text1"/>
                <w:sz w:val="20"/>
                <w:szCs w:val="20"/>
              </w:rPr>
            </w:pPr>
            <w:r>
              <w:rPr>
                <w:rFonts w:ascii="Century Gothic" w:hAnsi="Century Gothic" w:cs="Arial"/>
                <w:color w:val="000000" w:themeColor="text1"/>
                <w:sz w:val="20"/>
                <w:szCs w:val="20"/>
              </w:rPr>
              <w:t>-90 dBV/√Hz</w:t>
            </w:r>
            <w:r>
              <w:rPr>
                <w:rFonts w:ascii="Century Gothic" w:hAnsi="Century Gothic" w:cs="Arial"/>
                <w:color w:val="000000" w:themeColor="text1"/>
                <w:sz w:val="20"/>
                <w:szCs w:val="20"/>
              </w:rPr>
              <w:br/>
              <w:t>-120 dBV/√Hz</w:t>
            </w:r>
          </w:p>
        </w:tc>
      </w:tr>
      <w:tr w:rsidR="0061711D" w:rsidTr="00C50B72">
        <w:trPr>
          <w:jc w:val="center"/>
        </w:trPr>
        <w:tc>
          <w:tcPr>
            <w:tcW w:w="16.0%" w:type="pct"/>
            <w:shd w:val="clear" w:color="auto" w:fill="auto"/>
          </w:tcPr>
          <w:p w:rsidR="00655060" w:rsidRPr="00611019" w:rsidRDefault="00E56462" w:rsidP="00035D2C">
            <w:pPr>
              <w:spacing w:before="2pt" w:after="2pt"/>
              <w:ind w:start="1.45pt"/>
              <w:jc w:val="center"/>
              <w:rPr>
                <w:rFonts w:ascii="Century Gothic" w:hAnsi="Century Gothic" w:cs="Arial"/>
                <w:color w:val="000000" w:themeColor="text1"/>
                <w:sz w:val="20"/>
                <w:szCs w:val="20"/>
              </w:rPr>
            </w:pPr>
            <w:r>
              <w:rPr>
                <w:rFonts w:ascii="Century Gothic" w:hAnsi="Century Gothic" w:cs="Arial"/>
                <w:color w:val="000000" w:themeColor="text1"/>
                <w:sz w:val="20"/>
                <w:szCs w:val="20"/>
              </w:rPr>
              <w:t>500 kHz</w:t>
            </w:r>
            <w:r>
              <w:rPr>
                <w:rFonts w:ascii="Century Gothic" w:hAnsi="Century Gothic" w:cs="Arial"/>
                <w:color w:val="000000" w:themeColor="text1"/>
                <w:sz w:val="20"/>
                <w:szCs w:val="20"/>
              </w:rPr>
              <w:br/>
              <w:t>30 MHz</w:t>
            </w:r>
          </w:p>
        </w:tc>
        <w:tc>
          <w:tcPr>
            <w:tcW w:w="17.0%" w:type="pct"/>
            <w:shd w:val="clear" w:color="auto" w:fill="auto"/>
          </w:tcPr>
          <w:p w:rsidR="00655060" w:rsidRPr="00611019" w:rsidRDefault="00E56462" w:rsidP="00035D2C">
            <w:pPr>
              <w:spacing w:before="2pt" w:after="2pt"/>
              <w:jc w:val="center"/>
              <w:rPr>
                <w:rFonts w:ascii="Century Gothic" w:hAnsi="Century Gothic" w:cs="Arial"/>
                <w:color w:val="000000" w:themeColor="text1"/>
                <w:sz w:val="20"/>
                <w:szCs w:val="20"/>
              </w:rPr>
            </w:pPr>
            <w:r>
              <w:rPr>
                <w:rFonts w:ascii="Century Gothic" w:hAnsi="Century Gothic" w:cs="Arial"/>
                <w:color w:val="000000" w:themeColor="text1"/>
                <w:sz w:val="20"/>
                <w:szCs w:val="20"/>
              </w:rPr>
              <w:t>135 Ω</w:t>
            </w:r>
            <w:r>
              <w:rPr>
                <w:rFonts w:ascii="Century Gothic" w:hAnsi="Century Gothic" w:cs="Arial"/>
                <w:color w:val="000000" w:themeColor="text1"/>
                <w:sz w:val="20"/>
                <w:szCs w:val="20"/>
              </w:rPr>
              <w:br/>
              <w:t>135 Ω</w:t>
            </w:r>
          </w:p>
        </w:tc>
        <w:tc>
          <w:tcPr>
            <w:tcW w:w="19.0%" w:type="pct"/>
            <w:shd w:val="clear" w:color="auto" w:fill="auto"/>
          </w:tcPr>
          <w:p w:rsidR="00655060" w:rsidRPr="00611019" w:rsidRDefault="00E56462" w:rsidP="00035D2C">
            <w:pPr>
              <w:spacing w:before="2pt" w:after="2pt"/>
              <w:jc w:val="center"/>
              <w:rPr>
                <w:rFonts w:ascii="Century Gothic" w:hAnsi="Century Gothic" w:cs="Arial"/>
                <w:color w:val="000000" w:themeColor="text1"/>
                <w:sz w:val="20"/>
                <w:szCs w:val="20"/>
              </w:rPr>
            </w:pPr>
            <w:r>
              <w:rPr>
                <w:rFonts w:ascii="Century Gothic" w:hAnsi="Century Gothic" w:cs="Arial"/>
                <w:color w:val="000000" w:themeColor="text1"/>
                <w:sz w:val="20"/>
                <w:szCs w:val="20"/>
              </w:rPr>
              <w:t>-60 dBV</w:t>
            </w:r>
            <w:r>
              <w:rPr>
                <w:rFonts w:ascii="Century Gothic" w:hAnsi="Century Gothic" w:cs="Arial"/>
                <w:color w:val="000000" w:themeColor="text1"/>
                <w:sz w:val="20"/>
                <w:szCs w:val="20"/>
              </w:rPr>
              <w:br/>
              <w:t>-60 dBV</w:t>
            </w:r>
          </w:p>
        </w:tc>
        <w:tc>
          <w:tcPr>
            <w:tcW w:w="21.0%" w:type="pct"/>
            <w:shd w:val="clear" w:color="auto" w:fill="auto"/>
          </w:tcPr>
          <w:p w:rsidR="00655060" w:rsidRPr="00611019" w:rsidRDefault="00E56462" w:rsidP="00035D2C">
            <w:pPr>
              <w:spacing w:before="2pt" w:after="2pt"/>
              <w:ind w:start="2.85pt"/>
              <w:jc w:val="center"/>
              <w:rPr>
                <w:rFonts w:ascii="Century Gothic" w:hAnsi="Century Gothic" w:cs="Arial"/>
                <w:color w:val="000000" w:themeColor="text1"/>
                <w:sz w:val="20"/>
                <w:szCs w:val="20"/>
              </w:rPr>
            </w:pPr>
            <w:r>
              <w:rPr>
                <w:rFonts w:ascii="Century Gothic" w:hAnsi="Century Gothic" w:cs="Arial"/>
                <w:color w:val="000000" w:themeColor="text1"/>
                <w:sz w:val="20"/>
                <w:szCs w:val="20"/>
              </w:rPr>
              <w:t>1 MHz</w:t>
            </w:r>
            <w:r>
              <w:rPr>
                <w:rFonts w:ascii="Century Gothic" w:hAnsi="Century Gothic" w:cs="Arial"/>
                <w:color w:val="000000" w:themeColor="text1"/>
                <w:sz w:val="20"/>
                <w:szCs w:val="20"/>
              </w:rPr>
              <w:br/>
              <w:t>1 MHz</w:t>
            </w:r>
          </w:p>
        </w:tc>
        <w:tc>
          <w:tcPr>
            <w:tcW w:w="24.0%" w:type="pct"/>
            <w:shd w:val="clear" w:color="auto" w:fill="auto"/>
          </w:tcPr>
          <w:p w:rsidR="00655060" w:rsidRPr="00611019" w:rsidRDefault="00E56462" w:rsidP="00035D2C">
            <w:pPr>
              <w:spacing w:before="2pt" w:after="2pt"/>
              <w:ind w:start="1.70pt"/>
              <w:jc w:val="center"/>
              <w:rPr>
                <w:rFonts w:ascii="Century Gothic" w:hAnsi="Century Gothic" w:cs="Arial"/>
                <w:color w:val="000000" w:themeColor="text1"/>
                <w:sz w:val="20"/>
                <w:szCs w:val="20"/>
              </w:rPr>
            </w:pPr>
            <w:r>
              <w:rPr>
                <w:rFonts w:ascii="Century Gothic" w:hAnsi="Century Gothic" w:cs="Arial"/>
                <w:color w:val="000000" w:themeColor="text1"/>
                <w:sz w:val="20"/>
                <w:szCs w:val="20"/>
              </w:rPr>
              <w:t>-120 dBV/√Hz</w:t>
            </w:r>
            <w:r>
              <w:rPr>
                <w:rFonts w:ascii="Century Gothic" w:hAnsi="Century Gothic" w:cs="Arial"/>
                <w:color w:val="000000" w:themeColor="text1"/>
                <w:sz w:val="20"/>
                <w:szCs w:val="20"/>
              </w:rPr>
              <w:br/>
              <w:t>-120 dBV/√Hz</w:t>
            </w:r>
          </w:p>
        </w:tc>
      </w:tr>
      <w:tr w:rsidR="0061711D" w:rsidTr="00C50B72">
        <w:trPr>
          <w:jc w:val="center"/>
        </w:trPr>
        <w:tc>
          <w:tcPr>
            <w:tcW w:w="100.0%" w:type="pct"/>
            <w:gridSpan w:val="5"/>
            <w:shd w:val="clear" w:color="auto" w:fill="auto"/>
          </w:tcPr>
          <w:p w:rsidR="00655060" w:rsidRPr="00611019" w:rsidRDefault="00E56462" w:rsidP="00035D2C">
            <w:pPr>
              <w:spacing w:before="2pt" w:after="2pt"/>
              <w:ind w:start="14.20pt"/>
              <w:jc w:val="both"/>
              <w:rPr>
                <w:rFonts w:ascii="Century Gothic" w:hAnsi="Century Gothic" w:cs="Arial"/>
                <w:color w:val="000000" w:themeColor="text1"/>
                <w:sz w:val="20"/>
                <w:szCs w:val="20"/>
              </w:rPr>
            </w:pPr>
            <w:r>
              <w:rPr>
                <w:rFonts w:ascii="Century Gothic" w:hAnsi="Century Gothic" w:cs="Arial"/>
                <w:color w:val="000000" w:themeColor="text1"/>
                <w:sz w:val="20"/>
                <w:szCs w:val="20"/>
              </w:rPr>
              <w:t>NOTA: Un voltaje de 1 V equivale a 0 dBV, y provoca una potencia de +2.2 dBm en una resistencia de 600 Ω y +8.7 dBm en 135 Ω</w:t>
            </w:r>
          </w:p>
        </w:tc>
      </w:tr>
    </w:tbl>
    <w:p w:rsidR="00655060" w:rsidRPr="00611019" w:rsidRDefault="00655060" w:rsidP="00035D2C">
      <w:pPr>
        <w:pStyle w:val="Formatolibre"/>
        <w:spacing w:line="13.80pt" w:lineRule="auto"/>
        <w:jc w:val="both"/>
        <w:rPr>
          <w:rFonts w:ascii="Century Gothic" w:hAnsi="Century Gothic" w:cs="Arial"/>
          <w:color w:val="000000" w:themeColor="text1"/>
          <w:sz w:val="22"/>
          <w:szCs w:val="22"/>
          <w:lang w:val="es-MX"/>
        </w:rPr>
      </w:pPr>
    </w:p>
    <w:p w:rsidR="00655060" w:rsidRPr="00611019" w:rsidRDefault="00E56462" w:rsidP="00035D2C">
      <w:pPr>
        <w:pStyle w:val="Formatolibre"/>
        <w:spacing w:line="13.80pt" w:lineRule="auto"/>
        <w:jc w:val="center"/>
        <w:rPr>
          <w:rFonts w:ascii="Century Gothic" w:hAnsi="Century Gothic" w:cs="Arial"/>
          <w:color w:val="000000" w:themeColor="text1"/>
          <w:sz w:val="22"/>
          <w:szCs w:val="22"/>
          <w:lang w:val="es-MX"/>
        </w:rPr>
      </w:pPr>
      <w:r>
        <w:rPr>
          <w:rFonts w:ascii="Century Gothic" w:hAnsi="Century Gothic" w:cs="Arial"/>
          <w:noProof/>
          <w:color w:val="000000" w:themeColor="text1"/>
          <w:sz w:val="22"/>
          <w:szCs w:val="22"/>
          <w:lang w:val="es-MX"/>
        </w:rPr>
        <w:drawing>
          <wp:inline distT="0" distB="0" distL="0" distR="0" wp14:anchorId="65E27776" wp14:editId="3C0DC73A">
            <wp:extent cx="3676650" cy="1532082"/>
            <wp:effectExtent l="0" t="0" r="0" b="0"/>
            <wp:docPr id="31" name="Picture 15"/>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607" name="Picture 15"/>
                    <pic:cNvPicPr>
                      <a:picLocks noChangeAspect="1" noChangeArrowheads="1"/>
                    </pic:cNvPicPr>
                  </pic:nvPicPr>
                  <pic:blipFill>
                    <a:blip r:embed="rId52" cstate="print"/>
                    <a:stretch>
                      <a:fillRect/>
                    </a:stretch>
                  </pic:blipFill>
                  <pic:spPr bwMode="auto">
                    <a:xfrm>
                      <a:off x="0" y="0"/>
                      <a:ext cx="3686031" cy="1535991"/>
                    </a:xfrm>
                    <a:prstGeom prst="rect">
                      <a:avLst/>
                    </a:prstGeom>
                    <a:noFill/>
                    <a:ln w="9525">
                      <a:noFill/>
                      <a:miter lim="800%"/>
                      <a:headEnd/>
                      <a:tailEnd/>
                    </a:ln>
                  </pic:spPr>
                </pic:pic>
              </a:graphicData>
            </a:graphic>
          </wp:inline>
        </w:drawing>
      </w:r>
    </w:p>
    <w:p w:rsidR="00655060" w:rsidRPr="00611019" w:rsidRDefault="00E56462" w:rsidP="00035D2C">
      <w:pPr>
        <w:pStyle w:val="xxxPiedeCuadroconnombre"/>
        <w:jc w:val="center"/>
        <w:rPr>
          <w:rFonts w:ascii="Century Gothic" w:hAnsi="Century Gothic"/>
          <w:color w:val="000000" w:themeColor="text1"/>
          <w:szCs w:val="20"/>
        </w:rPr>
      </w:pPr>
      <w:r>
        <w:rPr>
          <w:rFonts w:ascii="Century Gothic" w:hAnsi="Century Gothic"/>
          <w:szCs w:val="20"/>
        </w:rPr>
        <w:t xml:space="preserve">Figura </w:t>
      </w:r>
      <w:r w:rsidR="00203031">
        <w:rPr>
          <w:rFonts w:ascii="Century Gothic" w:hAnsi="Century Gothic"/>
          <w:szCs w:val="20"/>
        </w:rPr>
        <w:t>4</w:t>
      </w:r>
      <w:r>
        <w:rPr>
          <w:rFonts w:ascii="Century Gothic" w:hAnsi="Century Gothic"/>
          <w:szCs w:val="20"/>
        </w:rPr>
        <w:t xml:space="preserve">. </w:t>
      </w:r>
      <w:r>
        <w:rPr>
          <w:rFonts w:ascii="Century Gothic" w:hAnsi="Century Gothic"/>
          <w:color w:val="000000" w:themeColor="text1"/>
          <w:szCs w:val="20"/>
        </w:rPr>
        <w:t>Impedancia de referencia.</w:t>
      </w:r>
    </w:p>
    <w:p w:rsidR="00655060" w:rsidRPr="00611019" w:rsidRDefault="00E56462" w:rsidP="00035D2C">
      <w:pPr>
        <w:pStyle w:val="Formatolibre"/>
        <w:spacing w:line="13.80pt" w:lineRule="auto"/>
        <w:jc w:val="center"/>
        <w:rPr>
          <w:rFonts w:ascii="Century Gothic" w:hAnsi="Century Gothic" w:cs="Arial"/>
          <w:color w:val="000000" w:themeColor="text1"/>
          <w:sz w:val="22"/>
          <w:szCs w:val="22"/>
          <w:lang w:val="es-MX"/>
        </w:rPr>
      </w:pPr>
      <w:r>
        <w:rPr>
          <w:rFonts w:ascii="Century Gothic" w:hAnsi="Century Gothic" w:cs="Arial"/>
          <w:noProof/>
          <w:color w:val="000000" w:themeColor="text1"/>
          <w:sz w:val="22"/>
          <w:szCs w:val="22"/>
          <w:lang w:val="es-MX"/>
        </w:rPr>
        <w:drawing>
          <wp:inline distT="0" distB="0" distL="0" distR="0" wp14:anchorId="77A0E258" wp14:editId="721847D8">
            <wp:extent cx="4609037" cy="1838325"/>
            <wp:effectExtent l="0" t="0" r="1270" b="0"/>
            <wp:docPr id="37" name="Imagen 37"/>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608" name="Picture 37"/>
                    <pic:cNvPicPr>
                      <a:picLocks noChangeAspect="1" noChangeArrowheads="1"/>
                    </pic:cNvPicPr>
                  </pic:nvPicPr>
                  <pic:blipFill>
                    <a:blip r:embed="rId53" cstate="print"/>
                    <a:stretch>
                      <a:fillRect/>
                    </a:stretch>
                  </pic:blipFill>
                  <pic:spPr bwMode="auto">
                    <a:xfrm>
                      <a:off x="0" y="0"/>
                      <a:ext cx="4619890" cy="1842654"/>
                    </a:xfrm>
                    <a:prstGeom prst="rect">
                      <a:avLst/>
                    </a:prstGeom>
                    <a:noFill/>
                    <a:ln w="9525">
                      <a:noFill/>
                      <a:miter lim="800%"/>
                      <a:headEnd/>
                      <a:tailEnd/>
                    </a:ln>
                    <a:extLst>
                      <a:ext uri="{FAA26D3D-D897-4be2-8F04-BA451C77F1D7}">
                        <ma14:placeholderFlag xmlns:r="http://schemas.openxmlformats.org/officeDocument/2006/relationships" xmlns:dct="http://purl.org/dc/dcmitype/" xmlns:dc="http://purl.org/dc/elements/1.1/" xmlns:dcterms="http://purl.org/dc/terms/" xmlns:ct="http://schemas.openxmlformats.org/package/2006/content-types" xmlns:mdssi="http://schemas.openxmlformats.org/package/2006/digital-signature" xmlns:cp="http://schemas.openxmlformats.org/package/2006/metadata/core-properties" xmlns:rr="http://schemas.openxmlformats.org/package/2006/relationships" xmlns:xs="http://www.w3.org/2001/XMLSchema" xmlns:m="http://schemas.openxmlformats.org/officeDocument/2006/math" xmlns:sl="http://schemas.openxmlformats.org/schemaLibrary/2006/main" xmlns:wp="http://schemas.openxmlformats.org/drawingml/2006/wordprocessingDrawing" xmlns:c="http://schemas.openxmlformats.org/drawingml/2006/chart" xmlns:cdr="http://schemas.openxmlformats.org/drawingml/2006/chartDrawing" xmlns:ns31="http://schemas.openxmlformats.org/drawingml/2006/compatibility" xmlns:ns32="http://schemas.openxmlformats.org/drawingml/2006/lockedCanvas" xmlns:ns30="http://schemas.openxmlformats.org/officeDocument/2006/bibliography" xmlns:nsc="http://purl.oclc.org/ooxml/officeDocument/characteristics" xmlns:nscp="http://purl.oclc.org/ooxml/officeDocument/customProperties" xmlns:nscx="http://schemas.openxmlformats.org/officeDocument/2006/customXml" xmlns:nsdt="http://purl.oclc.org/ooxml/officeDocument/docPropsVTypes" xmlns:nsep="http://purl.oclc.org/ooxml/officeDocument/extendedProperties" xmlns:s="http://purl.oclc.org/ooxml/officeDocument/sharedTypes" xmlns:vv="http://schemas.microsoft.com/visio/2003/core" xmlns:c2007="http://schemas.microsoft.com/office/drawing/2007/8/2/chart" xmlns:c2012="http://schemas.microsoft.com/office/drawing/2012/chart" xmlns:c2014="http://schemas.microsoft.com/office/drawing/2014/chart" xmlns:dia2008="http://schemas.microsoft.com/office/drawing/2008/diagram" xmlns:dia2010="http://schemas.microsoft.com/office/drawing/2010/diagram" xmlns:dm2012="http://schemas.microsoft.com/office/drawing/2012/main" xmlns:wps="http://schemas.microsoft.com/office/word/2010/wordprocessingShape" xmlns:wpg="http://schemas.microsoft.com/office/word/2010/wordprocessingGroup" xmlns:wpc="http://schemas.microsoft.com/office/word/2010/wordprocessingCanvas" xmlns:cs="http://schemas.microsoft.com/office/drawing/2012/chartStyle" xmlns:lms="http://schemas.litera.com/change-pro/word/2019" xmlns:ax="http://schemas.microsoft.com/office/2006/activeX" xmlns:a="http://schemas.openxmlformats.org/drawingml/2006/main" xmlns:pic="http://schemas.openxmlformats.org/drawingml/2006/picture" xmlns="" xmlns:arto="http://schemas.microsoft.com/office/word/2006/arto" xmlns:ma14="http://schemas.microsoft.com/office/mac/drawingml/2011/main" xmlns:mo="http://schemas.microsoft.com/office/mac/office/2008/main" xmlns:mv="urn:schemas-microsoft-com:mac:vml" xmlns:o="urn:schemas-microsoft-com:office:office" xmlns:v="urn:schemas-microsoft-com:vml" xmlns:ve="http://schemas.openxmlformats.org/markup-compatibility/2006" xmlns:w="http://schemas.openxmlformats.org/wordprocessingml/2006/main" xmlns:w10="urn:schemas-microsoft-com:office:word"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inline>
        </w:drawing>
      </w:r>
    </w:p>
    <w:p w:rsidR="00655060" w:rsidRPr="00611019" w:rsidRDefault="00E56462" w:rsidP="00035D2C">
      <w:pPr>
        <w:pStyle w:val="xxxPiedeCuadroconnombre"/>
        <w:jc w:val="center"/>
        <w:rPr>
          <w:rFonts w:ascii="Century Gothic" w:hAnsi="Century Gothic"/>
          <w:color w:val="000000" w:themeColor="text1"/>
        </w:rPr>
      </w:pPr>
      <w:r>
        <w:rPr>
          <w:rFonts w:ascii="Century Gothic" w:hAnsi="Century Gothic"/>
        </w:rPr>
        <w:t xml:space="preserve">Figura </w:t>
      </w:r>
      <w:r w:rsidR="00203031">
        <w:rPr>
          <w:rFonts w:ascii="Century Gothic" w:hAnsi="Century Gothic"/>
        </w:rPr>
        <w:t>5</w:t>
      </w:r>
      <w:r>
        <w:rPr>
          <w:rFonts w:ascii="Century Gothic" w:hAnsi="Century Gothic"/>
          <w:color w:val="000000" w:themeColor="text1"/>
        </w:rPr>
        <w:t>. Voltaje espectral para señales POTS.</w:t>
      </w:r>
    </w:p>
    <w:p w:rsidR="0097368A" w:rsidRPr="00611019" w:rsidRDefault="0097368A" w:rsidP="00035D2C">
      <w:pPr>
        <w:pStyle w:val="xxxPiedeCuadroconnombre"/>
        <w:rPr>
          <w:rFonts w:ascii="Century Gothic" w:hAnsi="Century Gothic"/>
        </w:rPr>
      </w:pPr>
    </w:p>
    <w:p w:rsidR="0097368A" w:rsidRPr="00611019" w:rsidRDefault="00E56462" w:rsidP="00035D2C">
      <w:pPr>
        <w:spacing w:after="8pt"/>
        <w:rPr>
          <w:rFonts w:ascii="Century Gothic" w:hAnsi="Century Gothic"/>
          <w:b/>
          <w:bCs/>
        </w:rPr>
      </w:pPr>
      <w:bookmarkStart w:id="2651" w:name="_Toc92974151"/>
      <w:bookmarkStart w:id="2652" w:name="_Toc93052462"/>
      <w:bookmarkStart w:id="2653" w:name="_Toc93056417"/>
      <w:bookmarkStart w:id="2654" w:name="_Toc125393481"/>
      <w:r>
        <w:rPr>
          <w:rFonts w:ascii="Century Gothic" w:hAnsi="Century Gothic"/>
          <w:b/>
          <w:bCs/>
        </w:rPr>
        <w:t>6.2.3</w:t>
      </w:r>
      <w:r>
        <w:rPr>
          <w:rFonts w:ascii="Century Gothic" w:hAnsi="Century Gothic"/>
          <w:b/>
          <w:bCs/>
        </w:rPr>
        <w:tab/>
      </w:r>
      <w:r>
        <w:rPr>
          <w:rFonts w:ascii="Century Gothic" w:hAnsi="Century Gothic" w:cs="Arial"/>
          <w:b/>
          <w:bCs/>
          <w:color w:val="000000" w:themeColor="text1"/>
        </w:rPr>
        <w:t>ISDN 2B1Q.</w:t>
      </w:r>
      <w:bookmarkEnd w:id="2651"/>
      <w:bookmarkEnd w:id="2652"/>
      <w:bookmarkEnd w:id="2653"/>
      <w:bookmarkEnd w:id="2654"/>
    </w:p>
    <w:p w:rsidR="00655060" w:rsidRPr="00611019" w:rsidRDefault="00E56462" w:rsidP="00035D2C">
      <w:pPr>
        <w:pStyle w:val="IFTnormal"/>
        <w:spacing w:after="6pt"/>
        <w:rPr>
          <w:rFonts w:ascii="Century Gothic" w:hAnsi="Century Gothic"/>
        </w:rPr>
      </w:pPr>
      <w:r>
        <w:rPr>
          <w:rFonts w:ascii="Century Gothic" w:hAnsi="Century Gothic"/>
        </w:rPr>
        <w:t>En el caso de las señales ISDN 2B1Q las características espectrales se definen en términos de la potencia de banda estrecha de la señal medida sobre una carga resistiva de impedancia R. La Tabla 7 presenta los puntos de referencia límite definidos en la cláusula 9.1 de ETSI TR 101 830-1 V1.5.2, mientras que la Figura 6 ilustra la forma de la densidad espectral de potencia para estas señales.</w:t>
      </w:r>
    </w:p>
    <w:p w:rsidR="00655060" w:rsidRPr="00611019" w:rsidRDefault="00E56462" w:rsidP="00035D2C">
      <w:pPr>
        <w:pStyle w:val="IFTnormal"/>
        <w:spacing w:after="6pt"/>
        <w:rPr>
          <w:rFonts w:ascii="Century Gothic" w:hAnsi="Century Gothic"/>
        </w:rPr>
      </w:pPr>
      <w:r>
        <w:rPr>
          <w:rFonts w:ascii="Century Gothic" w:hAnsi="Century Gothic"/>
        </w:rPr>
        <w:t>Las señales de este tipo deben satisfacer simultáneamente los límites para los anchos de banda de frecuencia (B) definidos mediante la etiqueta “X” así como los correspondientes a la etiqueta “Y”, lo cual implica que para algunas frecuencias se deberán realizar mediciones con dos diferentes anchos de banda.</w:t>
      </w:r>
    </w:p>
    <w:p w:rsidR="00655060" w:rsidRPr="00611019" w:rsidRDefault="00E56462" w:rsidP="00035D2C">
      <w:pPr>
        <w:pStyle w:val="xxxPiedeCuadroconnombre"/>
        <w:spacing w:after="3pt"/>
        <w:rPr>
          <w:rFonts w:ascii="Century Gothic" w:hAnsi="Century Gothic"/>
          <w:color w:val="000000" w:themeColor="text1"/>
          <w:szCs w:val="20"/>
        </w:rPr>
      </w:pPr>
      <w:r>
        <w:rPr>
          <w:rFonts w:ascii="Century Gothic" w:hAnsi="Century Gothic"/>
          <w:szCs w:val="20"/>
        </w:rPr>
        <w:lastRenderedPageBreak/>
        <w:t xml:space="preserve">Tabla 7 Puntos de referencia límite de potencia de banda estrecha </w:t>
      </w:r>
      <w:r>
        <w:rPr>
          <w:rFonts w:ascii="Century Gothic" w:hAnsi="Century Gothic"/>
          <w:color w:val="000000" w:themeColor="text1"/>
          <w:szCs w:val="20"/>
        </w:rPr>
        <w:t>para señales ISDN 2B1Q.</w:t>
      </w:r>
    </w:p>
    <w:tbl>
      <w:tblPr>
        <w:tblStyle w:val="Cuadrculadetablaclara1"/>
        <w:tblW w:w="106.0%" w:type="pct"/>
        <w:jc w:val="center"/>
        <w:tblLayout w:type="fixed"/>
        <w:tblLook w:firstRow="1" w:lastRow="0" w:firstColumn="1" w:lastColumn="0" w:noHBand="0" w:noVBand="1"/>
      </w:tblPr>
      <w:tblGrid>
        <w:gridCol w:w="2098"/>
        <w:gridCol w:w="1571"/>
        <w:gridCol w:w="1782"/>
        <w:gridCol w:w="1886"/>
        <w:gridCol w:w="2097"/>
        <w:gridCol w:w="524"/>
      </w:tblGrid>
      <w:tr w:rsidR="0061711D" w:rsidTr="00C50B72">
        <w:trPr>
          <w:trHeight w:val="619"/>
          <w:jc w:val="center"/>
        </w:trPr>
        <w:tc>
          <w:tcPr>
            <w:tcW w:w="20.0%" w:type="pct"/>
            <w:shd w:val="clear" w:color="auto" w:fill="009AD9"/>
            <w:hideMark/>
          </w:tcPr>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Frecuencia Central</w:t>
            </w:r>
          </w:p>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F</w:t>
            </w:r>
          </w:p>
        </w:tc>
        <w:tc>
          <w:tcPr>
            <w:tcW w:w="15.0%" w:type="pct"/>
            <w:shd w:val="clear" w:color="auto" w:fill="009AD9"/>
            <w:hideMark/>
          </w:tcPr>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Impedancia</w:t>
            </w:r>
          </w:p>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R</w:t>
            </w:r>
          </w:p>
        </w:tc>
        <w:tc>
          <w:tcPr>
            <w:tcW w:w="17.0%" w:type="pct"/>
            <w:shd w:val="clear" w:color="auto" w:fill="009AD9"/>
            <w:hideMark/>
          </w:tcPr>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Nivel de Señal</w:t>
            </w:r>
          </w:p>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P</w:t>
            </w:r>
          </w:p>
        </w:tc>
        <w:tc>
          <w:tcPr>
            <w:tcW w:w="18.0%" w:type="pct"/>
            <w:shd w:val="clear" w:color="auto" w:fill="009AD9"/>
            <w:hideMark/>
          </w:tcPr>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Ancho de Banda</w:t>
            </w:r>
          </w:p>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B</w:t>
            </w:r>
          </w:p>
        </w:tc>
        <w:tc>
          <w:tcPr>
            <w:tcW w:w="20.0%" w:type="pct"/>
            <w:shd w:val="clear" w:color="auto" w:fill="009AD9"/>
            <w:hideMark/>
          </w:tcPr>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Potencia Espectral</w:t>
            </w:r>
          </w:p>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P/B</w:t>
            </w:r>
          </w:p>
        </w:tc>
        <w:tc>
          <w:tcPr>
            <w:tcW w:w="5.0%" w:type="pct"/>
            <w:shd w:val="clear" w:color="auto" w:fill="009AD9"/>
            <w:hideMark/>
          </w:tcPr>
          <w:p w:rsidR="00655060" w:rsidRPr="00611019" w:rsidRDefault="00655060" w:rsidP="00035D2C">
            <w:pPr>
              <w:pStyle w:val="Formatolibre"/>
              <w:spacing w:before="2pt" w:after="2pt" w:line="13.80pt" w:lineRule="auto"/>
              <w:contextualSpacing/>
              <w:jc w:val="center"/>
              <w:rPr>
                <w:rFonts w:ascii="Century Gothic" w:hAnsi="Century Gothic" w:cs="Arial"/>
                <w:b/>
                <w:color w:val="FFFFFF" w:themeColor="background1"/>
                <w:sz w:val="20"/>
              </w:rPr>
            </w:pPr>
          </w:p>
        </w:tc>
      </w:tr>
      <w:tr w:rsidR="0061711D" w:rsidTr="00C50B72">
        <w:trPr>
          <w:trHeight w:val="439"/>
          <w:jc w:val="center"/>
        </w:trPr>
        <w:tc>
          <w:tcPr>
            <w:tcW w:w="20.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510 Hz</w:t>
            </w:r>
            <w:r>
              <w:rPr>
                <w:rFonts w:ascii="Century Gothic" w:hAnsi="Century Gothic" w:cs="Arial"/>
                <w:color w:val="000000" w:themeColor="text1"/>
                <w:sz w:val="20"/>
              </w:rPr>
              <w:br/>
              <w:t>10 kHz</w:t>
            </w:r>
          </w:p>
        </w:tc>
        <w:tc>
          <w:tcPr>
            <w:tcW w:w="15.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135 Ω</w:t>
            </w:r>
            <w:r>
              <w:rPr>
                <w:rFonts w:ascii="Century Gothic" w:hAnsi="Century Gothic" w:cs="Arial"/>
                <w:color w:val="000000" w:themeColor="text1"/>
                <w:sz w:val="20"/>
              </w:rPr>
              <w:br/>
              <w:t>135 Ω</w:t>
            </w:r>
          </w:p>
        </w:tc>
        <w:tc>
          <w:tcPr>
            <w:tcW w:w="17.0%" w:type="pct"/>
            <w:hideMark/>
          </w:tcPr>
          <w:p w:rsidR="00655060" w:rsidRPr="00611019" w:rsidRDefault="00E56462" w:rsidP="00035D2C">
            <w:pPr>
              <w:pStyle w:val="Formatolibre"/>
              <w:spacing w:before="2pt" w:after="2pt" w:line="13.80pt" w:lineRule="auto"/>
              <w:ind w:start="0.55pt"/>
              <w:jc w:val="center"/>
              <w:rPr>
                <w:rFonts w:ascii="Century Gothic" w:hAnsi="Century Gothic" w:cs="Arial"/>
                <w:color w:val="000000" w:themeColor="text1"/>
                <w:sz w:val="20"/>
              </w:rPr>
            </w:pPr>
            <w:r>
              <w:rPr>
                <w:rFonts w:ascii="Century Gothic" w:hAnsi="Century Gothic" w:cs="Arial"/>
                <w:color w:val="000000" w:themeColor="text1"/>
                <w:sz w:val="20"/>
              </w:rPr>
              <w:t>-0 dBm</w:t>
            </w:r>
            <w:r>
              <w:rPr>
                <w:rFonts w:ascii="Century Gothic" w:hAnsi="Century Gothic" w:cs="Arial"/>
                <w:color w:val="000000" w:themeColor="text1"/>
                <w:sz w:val="20"/>
              </w:rPr>
              <w:br/>
              <w:t>-0 dBm</w:t>
            </w:r>
          </w:p>
        </w:tc>
        <w:tc>
          <w:tcPr>
            <w:tcW w:w="18.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 kHz</w:t>
            </w:r>
            <w:r>
              <w:rPr>
                <w:rFonts w:ascii="Century Gothic" w:hAnsi="Century Gothic" w:cs="Arial"/>
                <w:color w:val="000000" w:themeColor="text1"/>
                <w:sz w:val="20"/>
              </w:rPr>
              <w:br/>
              <w:t>1 kHz</w:t>
            </w:r>
          </w:p>
        </w:tc>
        <w:tc>
          <w:tcPr>
            <w:tcW w:w="20.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-30 dBm/Hz</w:t>
            </w:r>
            <w:r>
              <w:rPr>
                <w:rFonts w:ascii="Century Gothic" w:hAnsi="Century Gothic" w:cs="Arial"/>
                <w:color w:val="000000" w:themeColor="text1"/>
                <w:sz w:val="20"/>
              </w:rPr>
              <w:br/>
              <w:t>-30 dBm/Hz</w:t>
            </w:r>
          </w:p>
        </w:tc>
        <w:tc>
          <w:tcPr>
            <w:tcW w:w="5.0%" w:type="pct"/>
            <w:vMerge w:val="restar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"X"</w:t>
            </w:r>
          </w:p>
        </w:tc>
      </w:tr>
      <w:tr w:rsidR="0061711D" w:rsidRPr="00D12671" w:rsidTr="00C50B72">
        <w:trPr>
          <w:trHeight w:val="1320"/>
          <w:jc w:val="center"/>
        </w:trPr>
        <w:tc>
          <w:tcPr>
            <w:tcW w:w="20.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 kHz</w:t>
            </w:r>
            <w:r>
              <w:rPr>
                <w:rFonts w:ascii="Century Gothic" w:hAnsi="Century Gothic" w:cs="Arial"/>
                <w:color w:val="000000" w:themeColor="text1"/>
                <w:sz w:val="20"/>
                <w:lang w:val="de-DE"/>
              </w:rPr>
              <w:br/>
              <w:t>50 kHz</w:t>
            </w:r>
            <w:r>
              <w:rPr>
                <w:rFonts w:ascii="Century Gothic" w:hAnsi="Century Gothic" w:cs="Arial"/>
                <w:color w:val="000000" w:themeColor="text1"/>
                <w:sz w:val="20"/>
                <w:lang w:val="de-DE"/>
              </w:rPr>
              <w:br/>
              <w:t>500 kHz</w:t>
            </w:r>
            <w:r>
              <w:rPr>
                <w:rFonts w:ascii="Century Gothic" w:hAnsi="Century Gothic" w:cs="Arial"/>
                <w:color w:val="000000" w:themeColor="text1"/>
                <w:sz w:val="20"/>
                <w:lang w:val="de-DE"/>
              </w:rPr>
              <w:br/>
              <w:t>1,4 MHz</w:t>
            </w:r>
            <w:r>
              <w:rPr>
                <w:rFonts w:ascii="Century Gothic" w:hAnsi="Century Gothic" w:cs="Arial"/>
                <w:color w:val="000000" w:themeColor="text1"/>
                <w:sz w:val="20"/>
                <w:lang w:val="de-DE"/>
              </w:rPr>
              <w:br/>
              <w:t>5 MHz</w:t>
            </w:r>
            <w:r>
              <w:rPr>
                <w:rFonts w:ascii="Century Gothic" w:hAnsi="Century Gothic" w:cs="Arial"/>
                <w:color w:val="000000" w:themeColor="text1"/>
                <w:sz w:val="20"/>
                <w:lang w:val="de-DE"/>
              </w:rPr>
              <w:br/>
              <w:t>30 MHz</w:t>
            </w:r>
          </w:p>
        </w:tc>
        <w:tc>
          <w:tcPr>
            <w:tcW w:w="15.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135 Ω</w:t>
            </w:r>
            <w:r>
              <w:rPr>
                <w:rFonts w:ascii="Century Gothic" w:hAnsi="Century Gothic" w:cs="Arial"/>
                <w:color w:val="000000" w:themeColor="text1"/>
                <w:sz w:val="20"/>
              </w:rPr>
              <w:br/>
              <w:t>135 Ω</w:t>
            </w:r>
            <w:r>
              <w:rPr>
                <w:rFonts w:ascii="Century Gothic" w:hAnsi="Century Gothic" w:cs="Arial"/>
                <w:color w:val="000000" w:themeColor="text1"/>
                <w:sz w:val="20"/>
              </w:rPr>
              <w:br/>
              <w:t>135 Ω</w:t>
            </w:r>
            <w:r>
              <w:rPr>
                <w:rFonts w:ascii="Century Gothic" w:hAnsi="Century Gothic" w:cs="Arial"/>
                <w:color w:val="000000" w:themeColor="text1"/>
                <w:sz w:val="20"/>
              </w:rPr>
              <w:br/>
              <w:t>135 Ω</w:t>
            </w:r>
            <w:r>
              <w:rPr>
                <w:rFonts w:ascii="Century Gothic" w:hAnsi="Century Gothic" w:cs="Arial"/>
                <w:color w:val="000000" w:themeColor="text1"/>
                <w:sz w:val="20"/>
              </w:rPr>
              <w:br/>
              <w:t>135 Ω</w:t>
            </w:r>
            <w:r>
              <w:rPr>
                <w:rFonts w:ascii="Century Gothic" w:hAnsi="Century Gothic" w:cs="Arial"/>
                <w:color w:val="000000" w:themeColor="text1"/>
                <w:sz w:val="20"/>
              </w:rPr>
              <w:br/>
              <w:t>135 Ω</w:t>
            </w:r>
          </w:p>
        </w:tc>
        <w:tc>
          <w:tcPr>
            <w:tcW w:w="17.0%" w:type="pct"/>
            <w:hideMark/>
          </w:tcPr>
          <w:p w:rsidR="00655060" w:rsidRPr="00721B79" w:rsidRDefault="00E56462" w:rsidP="00035D2C">
            <w:pPr>
              <w:pStyle w:val="Formatolibre"/>
              <w:spacing w:before="2pt" w:after="2pt" w:line="13.80pt" w:lineRule="auto"/>
              <w:jc w:val="center"/>
              <w:rPr>
                <w:rFonts w:ascii="Century Gothic" w:hAnsi="Century Gothic" w:cs="Arial"/>
                <w:color w:val="000000" w:themeColor="text1"/>
                <w:sz w:val="20"/>
                <w:lang w:val="en-US"/>
              </w:rPr>
            </w:pPr>
            <w:r w:rsidRPr="00721B79">
              <w:rPr>
                <w:rFonts w:ascii="Century Gothic" w:hAnsi="Century Gothic" w:cs="Arial"/>
                <w:color w:val="000000" w:themeColor="text1"/>
                <w:sz w:val="20"/>
                <w:lang w:val="en-US"/>
              </w:rPr>
              <w:t>10 dBm</w:t>
            </w:r>
            <w:r w:rsidRPr="00721B79">
              <w:rPr>
                <w:rFonts w:ascii="Century Gothic" w:hAnsi="Century Gothic" w:cs="Arial"/>
                <w:color w:val="000000" w:themeColor="text1"/>
                <w:sz w:val="20"/>
                <w:lang w:val="en-US"/>
              </w:rPr>
              <w:br/>
              <w:t>10 dBm</w:t>
            </w:r>
            <w:r w:rsidRPr="00721B79">
              <w:rPr>
                <w:rFonts w:ascii="Century Gothic" w:hAnsi="Century Gothic" w:cs="Arial"/>
                <w:color w:val="000000" w:themeColor="text1"/>
                <w:sz w:val="20"/>
                <w:lang w:val="en-US"/>
              </w:rPr>
              <w:br/>
              <w:t>-40 dBm</w:t>
            </w:r>
            <w:r w:rsidRPr="00721B79">
              <w:rPr>
                <w:rFonts w:ascii="Century Gothic" w:hAnsi="Century Gothic" w:cs="Arial"/>
                <w:color w:val="000000" w:themeColor="text1"/>
                <w:sz w:val="20"/>
                <w:lang w:val="en-US"/>
              </w:rPr>
              <w:br/>
              <w:t>-40 dBm</w:t>
            </w:r>
            <w:r w:rsidRPr="00721B79">
              <w:rPr>
                <w:rFonts w:ascii="Century Gothic" w:hAnsi="Century Gothic" w:cs="Arial"/>
                <w:color w:val="000000" w:themeColor="text1"/>
                <w:sz w:val="20"/>
                <w:lang w:val="en-US"/>
              </w:rPr>
              <w:br/>
              <w:t>-80 dBm</w:t>
            </w:r>
            <w:r w:rsidRPr="00721B79">
              <w:rPr>
                <w:rFonts w:ascii="Century Gothic" w:hAnsi="Century Gothic" w:cs="Arial"/>
                <w:color w:val="000000" w:themeColor="text1"/>
                <w:sz w:val="20"/>
                <w:lang w:val="en-US"/>
              </w:rPr>
              <w:br/>
              <w:t>-80 dBm</w:t>
            </w:r>
          </w:p>
        </w:tc>
        <w:tc>
          <w:tcPr>
            <w:tcW w:w="18.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 kHz</w:t>
            </w:r>
            <w:r>
              <w:rPr>
                <w:rFonts w:ascii="Century Gothic" w:hAnsi="Century Gothic" w:cs="Arial"/>
                <w:color w:val="000000" w:themeColor="text1"/>
                <w:sz w:val="20"/>
                <w:lang w:val="de-DE"/>
              </w:rPr>
              <w:br/>
              <w:t>10 kHz</w:t>
            </w:r>
            <w:r>
              <w:rPr>
                <w:rFonts w:ascii="Century Gothic" w:hAnsi="Century Gothic" w:cs="Arial"/>
                <w:color w:val="000000" w:themeColor="text1"/>
                <w:sz w:val="20"/>
                <w:lang w:val="de-DE"/>
              </w:rPr>
              <w:br/>
              <w:t>10 kHz</w:t>
            </w:r>
            <w:r>
              <w:rPr>
                <w:rFonts w:ascii="Century Gothic" w:hAnsi="Century Gothic" w:cs="Arial"/>
                <w:color w:val="000000" w:themeColor="text1"/>
                <w:sz w:val="20"/>
                <w:lang w:val="de-DE"/>
              </w:rPr>
              <w:br/>
              <w:t>10 kHz</w:t>
            </w:r>
            <w:r>
              <w:rPr>
                <w:rFonts w:ascii="Century Gothic" w:hAnsi="Century Gothic" w:cs="Arial"/>
                <w:color w:val="000000" w:themeColor="text1"/>
                <w:sz w:val="20"/>
                <w:lang w:val="de-DE"/>
              </w:rPr>
              <w:br/>
              <w:t>10 kHz</w:t>
            </w:r>
            <w:r>
              <w:rPr>
                <w:rFonts w:ascii="Century Gothic" w:hAnsi="Century Gothic" w:cs="Arial"/>
                <w:color w:val="000000" w:themeColor="text1"/>
                <w:sz w:val="20"/>
                <w:lang w:val="de-DE"/>
              </w:rPr>
              <w:br/>
              <w:t>10 kHz</w:t>
            </w:r>
          </w:p>
        </w:tc>
        <w:tc>
          <w:tcPr>
            <w:tcW w:w="20.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-30 dBm/Hz</w:t>
            </w:r>
            <w:r>
              <w:rPr>
                <w:rFonts w:ascii="Century Gothic" w:hAnsi="Century Gothic" w:cs="Arial"/>
                <w:color w:val="000000" w:themeColor="text1"/>
                <w:sz w:val="20"/>
                <w:lang w:val="de-DE"/>
              </w:rPr>
              <w:br/>
              <w:t>-30 dBm/Hz</w:t>
            </w:r>
            <w:r>
              <w:rPr>
                <w:rFonts w:ascii="Century Gothic" w:hAnsi="Century Gothic" w:cs="Arial"/>
                <w:color w:val="000000" w:themeColor="text1"/>
                <w:sz w:val="20"/>
                <w:lang w:val="de-DE"/>
              </w:rPr>
              <w:br/>
              <w:t>-80 dBm/Hz</w:t>
            </w:r>
            <w:r>
              <w:rPr>
                <w:rFonts w:ascii="Century Gothic" w:hAnsi="Century Gothic" w:cs="Arial"/>
                <w:color w:val="000000" w:themeColor="text1"/>
                <w:sz w:val="20"/>
                <w:lang w:val="de-DE"/>
              </w:rPr>
              <w:br/>
              <w:t>-80 dBm/Hz</w:t>
            </w:r>
            <w:r>
              <w:rPr>
                <w:rFonts w:ascii="Century Gothic" w:hAnsi="Century Gothic" w:cs="Arial"/>
                <w:color w:val="000000" w:themeColor="text1"/>
                <w:sz w:val="20"/>
                <w:lang w:val="de-DE"/>
              </w:rPr>
              <w:br/>
              <w:t>-120 dBm/Hz</w:t>
            </w:r>
            <w:r>
              <w:rPr>
                <w:rFonts w:ascii="Century Gothic" w:hAnsi="Century Gothic" w:cs="Arial"/>
                <w:color w:val="000000" w:themeColor="text1"/>
                <w:sz w:val="20"/>
                <w:lang w:val="de-DE"/>
              </w:rPr>
              <w:br/>
              <w:t>-120 dBm/Hz</w:t>
            </w:r>
          </w:p>
        </w:tc>
        <w:tc>
          <w:tcPr>
            <w:tcW w:w="5.0%" w:type="pct"/>
            <w:vMerge/>
            <w:hideMark/>
          </w:tcPr>
          <w:p w:rsidR="00655060" w:rsidRPr="00611019" w:rsidRDefault="00655060" w:rsidP="00035D2C">
            <w:pPr>
              <w:pStyle w:val="Formatolibre"/>
              <w:spacing w:before="2pt" w:after="2pt" w:line="13.80pt" w:lineRule="auto"/>
              <w:jc w:val="center"/>
              <w:rPr>
                <w:rFonts w:ascii="Century Gothic" w:hAnsi="Century Gothic" w:cs="Arial"/>
                <w:color w:val="000000" w:themeColor="text1"/>
                <w:sz w:val="20"/>
                <w:lang w:val="de-DE"/>
              </w:rPr>
            </w:pPr>
          </w:p>
        </w:tc>
      </w:tr>
      <w:tr w:rsidR="0061711D" w:rsidTr="00C50B72">
        <w:trPr>
          <w:trHeight w:val="882"/>
          <w:jc w:val="center"/>
        </w:trPr>
        <w:tc>
          <w:tcPr>
            <w:tcW w:w="20.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800 kHz</w:t>
            </w:r>
            <w:r>
              <w:rPr>
                <w:rFonts w:ascii="Century Gothic" w:hAnsi="Century Gothic" w:cs="Arial"/>
                <w:color w:val="000000" w:themeColor="text1"/>
                <w:sz w:val="20"/>
              </w:rPr>
              <w:br/>
              <w:t>1,4 MHz</w:t>
            </w:r>
            <w:r>
              <w:rPr>
                <w:rFonts w:ascii="Century Gothic" w:hAnsi="Century Gothic" w:cs="Arial"/>
                <w:color w:val="000000" w:themeColor="text1"/>
                <w:sz w:val="20"/>
              </w:rPr>
              <w:br/>
              <w:t>3,637 MHz</w:t>
            </w:r>
            <w:r>
              <w:rPr>
                <w:rFonts w:ascii="Century Gothic" w:hAnsi="Century Gothic" w:cs="Arial"/>
                <w:color w:val="000000" w:themeColor="text1"/>
                <w:sz w:val="20"/>
              </w:rPr>
              <w:br/>
              <w:t>30 MHz</w:t>
            </w:r>
          </w:p>
        </w:tc>
        <w:tc>
          <w:tcPr>
            <w:tcW w:w="15.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135 Ω</w:t>
            </w:r>
            <w:r>
              <w:rPr>
                <w:rFonts w:ascii="Century Gothic" w:hAnsi="Century Gothic" w:cs="Arial"/>
                <w:color w:val="000000" w:themeColor="text1"/>
                <w:sz w:val="20"/>
              </w:rPr>
              <w:br/>
              <w:t>135 Ω</w:t>
            </w:r>
            <w:r>
              <w:rPr>
                <w:rFonts w:ascii="Century Gothic" w:hAnsi="Century Gothic" w:cs="Arial"/>
                <w:color w:val="000000" w:themeColor="text1"/>
                <w:sz w:val="20"/>
              </w:rPr>
              <w:br/>
              <w:t>135 Ω</w:t>
            </w:r>
            <w:r>
              <w:rPr>
                <w:rFonts w:ascii="Century Gothic" w:hAnsi="Century Gothic" w:cs="Arial"/>
                <w:color w:val="000000" w:themeColor="text1"/>
                <w:sz w:val="20"/>
              </w:rPr>
              <w:br/>
              <w:t>135 Ω</w:t>
            </w:r>
          </w:p>
        </w:tc>
        <w:tc>
          <w:tcPr>
            <w:tcW w:w="17.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-30 dBm</w:t>
            </w:r>
            <w:r>
              <w:rPr>
                <w:rFonts w:ascii="Century Gothic" w:hAnsi="Century Gothic" w:cs="Arial"/>
                <w:color w:val="000000" w:themeColor="text1"/>
                <w:sz w:val="20"/>
              </w:rPr>
              <w:br/>
              <w:t>-30 dBm</w:t>
            </w:r>
            <w:r>
              <w:rPr>
                <w:rFonts w:ascii="Century Gothic" w:hAnsi="Century Gothic" w:cs="Arial"/>
                <w:color w:val="000000" w:themeColor="text1"/>
                <w:sz w:val="20"/>
              </w:rPr>
              <w:br/>
              <w:t>-60 dBm</w:t>
            </w:r>
            <w:r>
              <w:rPr>
                <w:rFonts w:ascii="Century Gothic" w:hAnsi="Century Gothic" w:cs="Arial"/>
                <w:color w:val="000000" w:themeColor="text1"/>
                <w:sz w:val="20"/>
              </w:rPr>
              <w:br/>
              <w:t>-60 dBm</w:t>
            </w:r>
          </w:p>
        </w:tc>
        <w:tc>
          <w:tcPr>
            <w:tcW w:w="18.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 MHz</w:t>
            </w:r>
            <w:r>
              <w:rPr>
                <w:rFonts w:ascii="Century Gothic" w:hAnsi="Century Gothic" w:cs="Arial"/>
                <w:color w:val="000000" w:themeColor="text1"/>
                <w:sz w:val="20"/>
              </w:rPr>
              <w:br/>
              <w:t>1 MHz</w:t>
            </w:r>
            <w:r>
              <w:rPr>
                <w:rFonts w:ascii="Century Gothic" w:hAnsi="Century Gothic" w:cs="Arial"/>
                <w:color w:val="000000" w:themeColor="text1"/>
                <w:sz w:val="20"/>
              </w:rPr>
              <w:br/>
              <w:t>1 MHz</w:t>
            </w:r>
            <w:r>
              <w:rPr>
                <w:rFonts w:ascii="Century Gothic" w:hAnsi="Century Gothic" w:cs="Arial"/>
                <w:color w:val="000000" w:themeColor="text1"/>
                <w:sz w:val="20"/>
              </w:rPr>
              <w:br/>
              <w:t>1 MHz</w:t>
            </w:r>
          </w:p>
        </w:tc>
        <w:tc>
          <w:tcPr>
            <w:tcW w:w="20.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-90 dBm/Hz</w:t>
            </w:r>
            <w:r>
              <w:rPr>
                <w:rFonts w:ascii="Century Gothic" w:hAnsi="Century Gothic" w:cs="Arial"/>
                <w:color w:val="000000" w:themeColor="text1"/>
                <w:sz w:val="20"/>
              </w:rPr>
              <w:br/>
              <w:t>-90 dBm/Hz</w:t>
            </w:r>
            <w:r>
              <w:rPr>
                <w:rFonts w:ascii="Century Gothic" w:hAnsi="Century Gothic" w:cs="Arial"/>
                <w:color w:val="000000" w:themeColor="text1"/>
                <w:sz w:val="20"/>
              </w:rPr>
              <w:br/>
              <w:t>-120 dBm/Hz</w:t>
            </w:r>
            <w:r>
              <w:rPr>
                <w:rFonts w:ascii="Century Gothic" w:hAnsi="Century Gothic" w:cs="Arial"/>
                <w:color w:val="000000" w:themeColor="text1"/>
                <w:sz w:val="20"/>
              </w:rPr>
              <w:br/>
              <w:t>-120 dBm/Hz</w:t>
            </w:r>
          </w:p>
        </w:tc>
        <w:tc>
          <w:tcPr>
            <w:tcW w:w="5.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"Y"</w:t>
            </w:r>
          </w:p>
        </w:tc>
      </w:tr>
    </w:tbl>
    <w:p w:rsidR="00655060" w:rsidRPr="00611019" w:rsidRDefault="00655060" w:rsidP="00035D2C">
      <w:pPr>
        <w:pStyle w:val="Formatolibre"/>
        <w:spacing w:line="13.80pt" w:lineRule="auto"/>
        <w:jc w:val="both"/>
        <w:rPr>
          <w:rFonts w:ascii="Century Gothic" w:hAnsi="Century Gothic" w:cs="Arial"/>
          <w:color w:val="000000" w:themeColor="text1"/>
          <w:sz w:val="22"/>
          <w:szCs w:val="22"/>
          <w:lang w:val="es-MX"/>
        </w:rPr>
      </w:pPr>
    </w:p>
    <w:p w:rsidR="00655060" w:rsidRPr="00611019" w:rsidRDefault="00E56462" w:rsidP="00035D2C">
      <w:pPr>
        <w:pStyle w:val="Formatolibre"/>
        <w:spacing w:line="13.80pt" w:lineRule="auto"/>
        <w:jc w:val="center"/>
        <w:rPr>
          <w:rFonts w:ascii="Century Gothic" w:hAnsi="Century Gothic" w:cs="Arial"/>
          <w:color w:val="000000" w:themeColor="text1"/>
          <w:sz w:val="22"/>
          <w:szCs w:val="22"/>
          <w:lang w:val="es-MX"/>
        </w:rPr>
      </w:pPr>
      <w:r>
        <w:rPr>
          <w:rFonts w:ascii="Century Gothic" w:hAnsi="Century Gothic" w:cs="Arial"/>
          <w:noProof/>
          <w:color w:val="000000" w:themeColor="text1"/>
          <w:sz w:val="22"/>
          <w:szCs w:val="22"/>
          <w:lang w:val="es-MX"/>
        </w:rPr>
        <w:drawing>
          <wp:inline distT="0" distB="0" distL="0" distR="0" wp14:anchorId="28892FAB" wp14:editId="31F672E3">
            <wp:extent cx="4608000" cy="1956878"/>
            <wp:effectExtent l="0" t="0" r="2540" b="5715"/>
            <wp:docPr id="38" name="Picture 38"/>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609" name="Picture 38"/>
                    <pic:cNvPicPr>
                      <a:picLocks noChangeAspect="1" noChangeArrowheads="1"/>
                    </pic:cNvPicPr>
                  </pic:nvPicPr>
                  <pic:blipFill>
                    <a:blip r:embed="rId54" cstate="print"/>
                    <a:stretch>
                      <a:fillRect/>
                    </a:stretch>
                  </pic:blipFill>
                  <pic:spPr bwMode="auto">
                    <a:xfrm>
                      <a:off x="0" y="0"/>
                      <a:ext cx="4608000" cy="1956878"/>
                    </a:xfrm>
                    <a:prstGeom prst="rect">
                      <a:avLst/>
                    </a:prstGeom>
                    <a:noFill/>
                    <a:ln w="9525">
                      <a:noFill/>
                      <a:miter lim="800%"/>
                      <a:headEnd/>
                      <a:tailEnd/>
                    </a:ln>
                  </pic:spPr>
                </pic:pic>
              </a:graphicData>
            </a:graphic>
          </wp:inline>
        </w:drawing>
      </w:r>
    </w:p>
    <w:p w:rsidR="00655060" w:rsidRPr="00611019" w:rsidRDefault="00E56462" w:rsidP="00035D2C">
      <w:pPr>
        <w:pStyle w:val="xxxPiedeCuadroconnombre"/>
        <w:jc w:val="center"/>
        <w:rPr>
          <w:rFonts w:ascii="Century Gothic" w:hAnsi="Century Gothic"/>
          <w:color w:val="000000" w:themeColor="text1"/>
        </w:rPr>
      </w:pPr>
      <w:r>
        <w:rPr>
          <w:rFonts w:ascii="Century Gothic" w:hAnsi="Century Gothic"/>
        </w:rPr>
        <w:t xml:space="preserve">Figura </w:t>
      </w:r>
      <w:r w:rsidR="00203031">
        <w:rPr>
          <w:rFonts w:ascii="Century Gothic" w:hAnsi="Century Gothic"/>
        </w:rPr>
        <w:t>6</w:t>
      </w:r>
      <w:r>
        <w:rPr>
          <w:rFonts w:ascii="Century Gothic" w:hAnsi="Century Gothic"/>
          <w:color w:val="000000" w:themeColor="text1"/>
        </w:rPr>
        <w:t>. Potencia espectral para señales ISDN 2B1Q.</w:t>
      </w:r>
    </w:p>
    <w:p w:rsidR="0097368A" w:rsidRPr="00611019" w:rsidRDefault="0097368A" w:rsidP="00035D2C">
      <w:pPr>
        <w:pStyle w:val="xxxPiedeCuadroconnombre"/>
        <w:spacing w:before="0pt" w:after="6pt"/>
        <w:rPr>
          <w:rFonts w:ascii="Century Gothic" w:hAnsi="Century Gothic"/>
        </w:rPr>
      </w:pPr>
    </w:p>
    <w:p w:rsidR="0097368A" w:rsidRPr="00611019" w:rsidRDefault="00E56462" w:rsidP="00035D2C">
      <w:pPr>
        <w:pStyle w:val="Ttulo3"/>
        <w:spacing w:after="6pt" w:line="13.80pt" w:lineRule="auto"/>
        <w:ind w:start="36pt" w:hanging="36pt"/>
        <w:jc w:val="start"/>
        <w:rPr>
          <w:rFonts w:ascii="Century Gothic" w:hAnsi="Century Gothic"/>
        </w:rPr>
      </w:pPr>
      <w:bookmarkStart w:id="2655" w:name="_Toc92974152"/>
      <w:bookmarkStart w:id="2656" w:name="_Toc93052463"/>
      <w:bookmarkStart w:id="2657" w:name="_Toc93056418"/>
      <w:bookmarkStart w:id="2658" w:name="_Toc125393482"/>
      <w:bookmarkStart w:id="2659" w:name="_Toc148702337"/>
      <w:bookmarkStart w:id="2660" w:name="_Toc170381951"/>
      <w:r>
        <w:rPr>
          <w:rFonts w:ascii="Century Gothic" w:hAnsi="Century Gothic"/>
        </w:rPr>
        <w:t>6.2.4</w:t>
      </w:r>
      <w:r>
        <w:rPr>
          <w:rFonts w:ascii="Century Gothic" w:hAnsi="Century Gothic"/>
        </w:rPr>
        <w:tab/>
      </w:r>
      <w:r>
        <w:rPr>
          <w:rFonts w:ascii="Century Gothic" w:hAnsi="Century Gothic" w:cs="Arial"/>
          <w:color w:val="000000" w:themeColor="text1"/>
        </w:rPr>
        <w:t>ISDN MMS43 PRI (4B3T).</w:t>
      </w:r>
      <w:bookmarkEnd w:id="2655"/>
      <w:bookmarkEnd w:id="2656"/>
      <w:bookmarkEnd w:id="2657"/>
      <w:bookmarkEnd w:id="2658"/>
      <w:bookmarkEnd w:id="2659"/>
      <w:bookmarkEnd w:id="2660"/>
    </w:p>
    <w:p w:rsidR="00655060" w:rsidRPr="00611019" w:rsidRDefault="00E56462" w:rsidP="00035D2C">
      <w:pPr>
        <w:pStyle w:val="IFTnormal"/>
        <w:spacing w:after="6pt"/>
        <w:rPr>
          <w:rFonts w:ascii="Century Gothic" w:hAnsi="Century Gothic"/>
        </w:rPr>
      </w:pPr>
      <w:r>
        <w:rPr>
          <w:rFonts w:ascii="Century Gothic" w:hAnsi="Century Gothic"/>
        </w:rPr>
        <w:t>En el caso de las señales ISDN 4B3T las características espectrales se definen en términos de la potencia de banda estrecha de la señal medida sobre una carga resistiva de impedancia R. La Tabla 8 presenta los puntos de referencia límite definidos en la cláusula 9.2 de ETSI TR 101 830-1 V1.5.2, mientras que la Figura 7 ilustra la forma de la densidad espectral de potencia para estas señales.</w:t>
      </w:r>
    </w:p>
    <w:p w:rsidR="0029796A" w:rsidRPr="00611019" w:rsidRDefault="0029796A" w:rsidP="00035D2C">
      <w:pPr>
        <w:pStyle w:val="IFTnormal"/>
        <w:spacing w:after="6pt"/>
        <w:rPr>
          <w:rFonts w:ascii="Century Gothic" w:hAnsi="Century Gothic"/>
        </w:rPr>
      </w:pPr>
    </w:p>
    <w:p w:rsidR="00655060" w:rsidRPr="00611019" w:rsidRDefault="00E56462" w:rsidP="00035D2C">
      <w:pPr>
        <w:pStyle w:val="IFTnormal"/>
        <w:spacing w:after="6pt"/>
        <w:rPr>
          <w:rFonts w:ascii="Century Gothic" w:hAnsi="Century Gothic"/>
        </w:rPr>
      </w:pPr>
      <w:r>
        <w:rPr>
          <w:rFonts w:ascii="Century Gothic" w:hAnsi="Century Gothic"/>
        </w:rPr>
        <w:t>Las señales de este tipo deben satisfacer simultáneamente los límites para los anchos de banda de frecuencia, definidos mediante la etiqueta “X” así como los correspondientes a la etiqueta “Y”, lo cual implica que para algunas frecuencias se deberán realizar mediciones con dos diferentes anchos de banda.</w:t>
      </w:r>
    </w:p>
    <w:p w:rsidR="00DE539A" w:rsidRPr="00611019" w:rsidRDefault="00E56462" w:rsidP="00035D2C">
      <w:pPr>
        <w:pStyle w:val="xxxPiedeCuadroconnombre"/>
        <w:spacing w:before="0pt"/>
        <w:jc w:val="center"/>
        <w:rPr>
          <w:rFonts w:ascii="Century Gothic" w:hAnsi="Century Gothic"/>
          <w:color w:val="000000" w:themeColor="text1"/>
          <w:szCs w:val="20"/>
        </w:rPr>
      </w:pPr>
      <w:r>
        <w:rPr>
          <w:rFonts w:ascii="Century Gothic" w:hAnsi="Century Gothic"/>
          <w:szCs w:val="20"/>
        </w:rPr>
        <w:lastRenderedPageBreak/>
        <w:t xml:space="preserve">Tabla 8 Puntos de referencia límite de potencia de banda estrecha </w:t>
      </w:r>
      <w:r>
        <w:rPr>
          <w:rFonts w:ascii="Century Gothic" w:hAnsi="Century Gothic"/>
          <w:color w:val="000000" w:themeColor="text1"/>
          <w:szCs w:val="20"/>
        </w:rPr>
        <w:t xml:space="preserve">para señales </w:t>
      </w:r>
    </w:p>
    <w:p w:rsidR="00655060" w:rsidRPr="00611019" w:rsidRDefault="00E56462" w:rsidP="00035D2C">
      <w:pPr>
        <w:pStyle w:val="xxxPiedeCuadroconnombre"/>
        <w:spacing w:before="0pt"/>
        <w:jc w:val="center"/>
        <w:rPr>
          <w:rFonts w:ascii="Century Gothic" w:hAnsi="Century Gothic"/>
          <w:color w:val="000000" w:themeColor="text1"/>
          <w:szCs w:val="20"/>
        </w:rPr>
      </w:pPr>
      <w:r>
        <w:rPr>
          <w:rFonts w:ascii="Century Gothic" w:hAnsi="Century Gothic"/>
          <w:color w:val="000000" w:themeColor="text1"/>
          <w:szCs w:val="20"/>
        </w:rPr>
        <w:t>ISDN MMS43 PRI.</w:t>
      </w:r>
    </w:p>
    <w:tbl>
      <w:tblPr>
        <w:tblStyle w:val="Cuadrculadetablaclara1"/>
        <w:tblW w:w="105.0%" w:type="pct"/>
        <w:jc w:val="center"/>
        <w:tblLook w:firstRow="1" w:lastRow="0" w:firstColumn="1" w:lastColumn="0" w:noHBand="0" w:noVBand="1"/>
      </w:tblPr>
      <w:tblGrid>
        <w:gridCol w:w="2135"/>
        <w:gridCol w:w="1424"/>
        <w:gridCol w:w="1831"/>
        <w:gridCol w:w="1931"/>
        <w:gridCol w:w="2034"/>
        <w:gridCol w:w="509"/>
      </w:tblGrid>
      <w:tr w:rsidR="0061711D" w:rsidTr="00C50B72">
        <w:trPr>
          <w:trHeight w:val="591"/>
          <w:jc w:val="center"/>
        </w:trPr>
        <w:tc>
          <w:tcPr>
            <w:tcW w:w="21.0%" w:type="pct"/>
            <w:shd w:val="clear" w:color="auto" w:fill="009AD9"/>
            <w:vAlign w:val="center"/>
            <w:hideMark/>
          </w:tcPr>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Frecuencia Central</w:t>
            </w:r>
          </w:p>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f</w:t>
            </w:r>
          </w:p>
        </w:tc>
        <w:tc>
          <w:tcPr>
            <w:tcW w:w="14.0%" w:type="pct"/>
            <w:shd w:val="clear" w:color="auto" w:fill="009AD9"/>
            <w:vAlign w:val="center"/>
            <w:hideMark/>
          </w:tcPr>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Impedancia</w:t>
            </w:r>
          </w:p>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R</w:t>
            </w:r>
          </w:p>
        </w:tc>
        <w:tc>
          <w:tcPr>
            <w:tcW w:w="18.0%" w:type="pct"/>
            <w:shd w:val="clear" w:color="auto" w:fill="009AD9"/>
            <w:vAlign w:val="center"/>
            <w:hideMark/>
          </w:tcPr>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Nivel de Señal</w:t>
            </w:r>
          </w:p>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P</w:t>
            </w:r>
          </w:p>
        </w:tc>
        <w:tc>
          <w:tcPr>
            <w:tcW w:w="19.0%" w:type="pct"/>
            <w:shd w:val="clear" w:color="auto" w:fill="009AD9"/>
            <w:vAlign w:val="center"/>
            <w:hideMark/>
          </w:tcPr>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Ancho de Banda</w:t>
            </w:r>
          </w:p>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B</w:t>
            </w:r>
          </w:p>
        </w:tc>
        <w:tc>
          <w:tcPr>
            <w:tcW w:w="20.0%" w:type="pct"/>
            <w:shd w:val="clear" w:color="auto" w:fill="009AD9"/>
            <w:vAlign w:val="center"/>
            <w:hideMark/>
          </w:tcPr>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Potencia Espectral</w:t>
            </w:r>
          </w:p>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P/B</w:t>
            </w:r>
          </w:p>
        </w:tc>
        <w:tc>
          <w:tcPr>
            <w:tcW w:w="5.0%" w:type="pct"/>
            <w:shd w:val="clear" w:color="auto" w:fill="009AD9"/>
            <w:vAlign w:val="center"/>
            <w:hideMark/>
          </w:tcPr>
          <w:p w:rsidR="00655060" w:rsidRPr="00611019" w:rsidRDefault="00655060" w:rsidP="00035D2C">
            <w:pPr>
              <w:pStyle w:val="Formatolibre"/>
              <w:spacing w:before="2pt" w:after="2pt" w:line="13.80pt" w:lineRule="auto"/>
              <w:contextualSpacing/>
              <w:jc w:val="center"/>
              <w:rPr>
                <w:rFonts w:ascii="Century Gothic" w:hAnsi="Century Gothic" w:cs="Arial"/>
                <w:b/>
                <w:color w:val="FFFFFF" w:themeColor="background1"/>
                <w:sz w:val="20"/>
              </w:rPr>
            </w:pPr>
          </w:p>
        </w:tc>
      </w:tr>
      <w:tr w:rsidR="0061711D" w:rsidTr="00C50B72">
        <w:trPr>
          <w:trHeight w:val="419"/>
          <w:jc w:val="center"/>
        </w:trPr>
        <w:tc>
          <w:tcPr>
            <w:tcW w:w="21.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510 Hz</w:t>
            </w:r>
            <w:r>
              <w:rPr>
                <w:rFonts w:ascii="Century Gothic" w:hAnsi="Century Gothic" w:cs="Arial"/>
                <w:color w:val="000000" w:themeColor="text1"/>
                <w:sz w:val="20"/>
              </w:rPr>
              <w:br/>
              <w:t>10 kHz</w:t>
            </w:r>
          </w:p>
        </w:tc>
        <w:tc>
          <w:tcPr>
            <w:tcW w:w="14.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150 Ω</w:t>
            </w:r>
            <w:r>
              <w:rPr>
                <w:rFonts w:ascii="Century Gothic" w:hAnsi="Century Gothic" w:cs="Arial"/>
                <w:color w:val="000000" w:themeColor="text1"/>
                <w:sz w:val="20"/>
              </w:rPr>
              <w:br/>
              <w:t>150 Ω</w:t>
            </w:r>
          </w:p>
        </w:tc>
        <w:tc>
          <w:tcPr>
            <w:tcW w:w="18.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-0 dBm</w:t>
            </w:r>
            <w:r>
              <w:rPr>
                <w:rFonts w:ascii="Century Gothic" w:hAnsi="Century Gothic" w:cs="Arial"/>
                <w:color w:val="000000" w:themeColor="text1"/>
                <w:sz w:val="20"/>
              </w:rPr>
              <w:br/>
              <w:t>-0 dBm</w:t>
            </w:r>
          </w:p>
        </w:tc>
        <w:tc>
          <w:tcPr>
            <w:tcW w:w="19.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 kHz</w:t>
            </w:r>
            <w:r>
              <w:rPr>
                <w:rFonts w:ascii="Century Gothic" w:hAnsi="Century Gothic" w:cs="Arial"/>
                <w:color w:val="000000" w:themeColor="text1"/>
                <w:sz w:val="20"/>
              </w:rPr>
              <w:br/>
              <w:t>1 kHz</w:t>
            </w:r>
          </w:p>
        </w:tc>
        <w:tc>
          <w:tcPr>
            <w:tcW w:w="20.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-30 dBm/Hz</w:t>
            </w:r>
            <w:r>
              <w:rPr>
                <w:rFonts w:ascii="Century Gothic" w:hAnsi="Century Gothic" w:cs="Arial"/>
                <w:color w:val="000000" w:themeColor="text1"/>
                <w:sz w:val="20"/>
              </w:rPr>
              <w:br/>
              <w:t>-30 dBm/Hz</w:t>
            </w:r>
          </w:p>
        </w:tc>
        <w:tc>
          <w:tcPr>
            <w:tcW w:w="5.0%" w:type="pct"/>
            <w:vMerge w:val="restar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"X"</w:t>
            </w:r>
          </w:p>
        </w:tc>
      </w:tr>
      <w:tr w:rsidR="0061711D" w:rsidRPr="00D12671" w:rsidTr="00C50B72">
        <w:trPr>
          <w:trHeight w:val="1299"/>
          <w:jc w:val="center"/>
        </w:trPr>
        <w:tc>
          <w:tcPr>
            <w:tcW w:w="21.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 kHz</w:t>
            </w:r>
            <w:r>
              <w:rPr>
                <w:rFonts w:ascii="Century Gothic" w:hAnsi="Century Gothic" w:cs="Arial"/>
                <w:color w:val="000000" w:themeColor="text1"/>
                <w:sz w:val="20"/>
                <w:lang w:val="de-DE"/>
              </w:rPr>
              <w:br/>
              <w:t>50 kHz</w:t>
            </w:r>
            <w:r>
              <w:rPr>
                <w:rFonts w:ascii="Century Gothic" w:hAnsi="Century Gothic" w:cs="Arial"/>
                <w:color w:val="000000" w:themeColor="text1"/>
                <w:sz w:val="20"/>
                <w:lang w:val="de-DE"/>
              </w:rPr>
              <w:br/>
              <w:t>300 kHz</w:t>
            </w:r>
            <w:r>
              <w:rPr>
                <w:rFonts w:ascii="Century Gothic" w:hAnsi="Century Gothic" w:cs="Arial"/>
                <w:color w:val="000000" w:themeColor="text1"/>
                <w:sz w:val="20"/>
                <w:lang w:val="de-DE"/>
              </w:rPr>
              <w:br/>
              <w:t>1 MHz</w:t>
            </w:r>
            <w:r>
              <w:rPr>
                <w:rFonts w:ascii="Century Gothic" w:hAnsi="Century Gothic" w:cs="Arial"/>
                <w:color w:val="000000" w:themeColor="text1"/>
                <w:sz w:val="20"/>
                <w:lang w:val="de-DE"/>
              </w:rPr>
              <w:br/>
              <w:t>5MHz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30 MHz</w:t>
            </w:r>
          </w:p>
        </w:tc>
        <w:tc>
          <w:tcPr>
            <w:tcW w:w="14.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150 Ω</w:t>
            </w:r>
            <w:r>
              <w:rPr>
                <w:rFonts w:ascii="Century Gothic" w:hAnsi="Century Gothic" w:cs="Arial"/>
                <w:color w:val="000000" w:themeColor="text1"/>
                <w:sz w:val="20"/>
              </w:rPr>
              <w:br/>
              <w:t>150 Ω</w:t>
            </w:r>
            <w:r>
              <w:rPr>
                <w:rFonts w:ascii="Century Gothic" w:hAnsi="Century Gothic" w:cs="Arial"/>
                <w:color w:val="000000" w:themeColor="text1"/>
                <w:sz w:val="20"/>
              </w:rPr>
              <w:br/>
              <w:t>150 Ω</w:t>
            </w:r>
            <w:r>
              <w:rPr>
                <w:rFonts w:ascii="Century Gothic" w:hAnsi="Century Gothic" w:cs="Arial"/>
                <w:color w:val="000000" w:themeColor="text1"/>
                <w:sz w:val="20"/>
              </w:rPr>
              <w:br/>
              <w:t>150 Ω</w:t>
            </w:r>
            <w:r>
              <w:rPr>
                <w:rFonts w:ascii="Century Gothic" w:hAnsi="Century Gothic" w:cs="Arial"/>
                <w:color w:val="000000" w:themeColor="text1"/>
                <w:sz w:val="20"/>
              </w:rPr>
              <w:br/>
              <w:t>150 Ω</w:t>
            </w:r>
          </w:p>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150 Ω</w:t>
            </w:r>
          </w:p>
        </w:tc>
        <w:tc>
          <w:tcPr>
            <w:tcW w:w="18.0%" w:type="pct"/>
            <w:hideMark/>
          </w:tcPr>
          <w:p w:rsidR="00655060" w:rsidRPr="00721B79" w:rsidRDefault="00E56462" w:rsidP="00035D2C">
            <w:pPr>
              <w:pStyle w:val="Formatolibre"/>
              <w:spacing w:line="13.80pt" w:lineRule="auto"/>
              <w:jc w:val="center"/>
              <w:rPr>
                <w:rFonts w:ascii="Century Gothic" w:hAnsi="Century Gothic" w:cs="Arial"/>
                <w:color w:val="000000" w:themeColor="text1"/>
                <w:sz w:val="20"/>
                <w:lang w:val="en-US"/>
              </w:rPr>
            </w:pPr>
            <w:r w:rsidRPr="00721B79">
              <w:rPr>
                <w:rFonts w:ascii="Century Gothic" w:hAnsi="Century Gothic" w:cs="Arial"/>
                <w:color w:val="000000" w:themeColor="text1"/>
                <w:sz w:val="20"/>
                <w:lang w:val="en-US"/>
              </w:rPr>
              <w:t>+10 dBm</w:t>
            </w:r>
            <w:r w:rsidRPr="00721B79">
              <w:rPr>
                <w:rFonts w:ascii="Century Gothic" w:hAnsi="Century Gothic" w:cs="Arial"/>
                <w:color w:val="000000" w:themeColor="text1"/>
                <w:sz w:val="20"/>
                <w:lang w:val="en-US"/>
              </w:rPr>
              <w:br/>
              <w:t>+10 dBm</w:t>
            </w:r>
            <w:r w:rsidRPr="00721B79">
              <w:rPr>
                <w:rFonts w:ascii="Century Gothic" w:hAnsi="Century Gothic" w:cs="Arial"/>
                <w:color w:val="000000" w:themeColor="text1"/>
                <w:sz w:val="20"/>
                <w:lang w:val="en-US"/>
              </w:rPr>
              <w:br/>
              <w:t>-27 dBm</w:t>
            </w:r>
            <w:r w:rsidRPr="00721B79">
              <w:rPr>
                <w:rFonts w:ascii="Century Gothic" w:hAnsi="Century Gothic" w:cs="Arial"/>
                <w:color w:val="000000" w:themeColor="text1"/>
                <w:sz w:val="20"/>
                <w:lang w:val="en-US"/>
              </w:rPr>
              <w:br/>
              <w:t>-27 dBm</w:t>
            </w:r>
          </w:p>
          <w:p w:rsidR="00655060" w:rsidRPr="00721B79" w:rsidRDefault="00E56462" w:rsidP="00035D2C">
            <w:pPr>
              <w:pStyle w:val="Formatolibre"/>
              <w:spacing w:line="13.80pt" w:lineRule="auto"/>
              <w:jc w:val="center"/>
              <w:rPr>
                <w:rFonts w:ascii="Century Gothic" w:hAnsi="Century Gothic" w:cs="Arial"/>
                <w:color w:val="000000" w:themeColor="text1"/>
                <w:sz w:val="20"/>
                <w:lang w:val="en-US"/>
              </w:rPr>
            </w:pPr>
            <w:r w:rsidRPr="00721B79">
              <w:rPr>
                <w:rFonts w:ascii="Century Gothic" w:hAnsi="Century Gothic" w:cs="Arial"/>
                <w:color w:val="000000" w:themeColor="text1"/>
                <w:sz w:val="20"/>
                <w:lang w:val="en-US"/>
              </w:rPr>
              <w:t>-80 dBm</w:t>
            </w:r>
            <w:r w:rsidRPr="00721B79">
              <w:rPr>
                <w:rFonts w:ascii="Century Gothic" w:hAnsi="Century Gothic" w:cs="Arial"/>
                <w:color w:val="000000" w:themeColor="text1"/>
                <w:sz w:val="20"/>
                <w:lang w:val="en-US"/>
              </w:rPr>
              <w:br/>
              <w:t>-80 dBm</w:t>
            </w:r>
          </w:p>
        </w:tc>
        <w:tc>
          <w:tcPr>
            <w:tcW w:w="19.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 kHz</w:t>
            </w:r>
            <w:r>
              <w:rPr>
                <w:rFonts w:ascii="Century Gothic" w:hAnsi="Century Gothic" w:cs="Arial"/>
                <w:color w:val="000000" w:themeColor="text1"/>
                <w:sz w:val="20"/>
                <w:lang w:val="de-DE"/>
              </w:rPr>
              <w:br/>
              <w:t>10 kHz</w:t>
            </w:r>
            <w:r>
              <w:rPr>
                <w:rFonts w:ascii="Century Gothic" w:hAnsi="Century Gothic" w:cs="Arial"/>
                <w:color w:val="000000" w:themeColor="text1"/>
                <w:sz w:val="20"/>
                <w:lang w:val="de-DE"/>
              </w:rPr>
              <w:br/>
              <w:t>10 kHz</w:t>
            </w:r>
            <w:r>
              <w:rPr>
                <w:rFonts w:ascii="Century Gothic" w:hAnsi="Century Gothic" w:cs="Arial"/>
                <w:color w:val="000000" w:themeColor="text1"/>
                <w:sz w:val="20"/>
                <w:lang w:val="de-DE"/>
              </w:rPr>
              <w:br/>
              <w:t>10 kHz</w:t>
            </w:r>
            <w:r>
              <w:rPr>
                <w:rFonts w:ascii="Century Gothic" w:hAnsi="Century Gothic" w:cs="Arial"/>
                <w:color w:val="000000" w:themeColor="text1"/>
                <w:sz w:val="20"/>
                <w:lang w:val="de-DE"/>
              </w:rPr>
              <w:br/>
              <w:t>10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 kHz</w:t>
            </w:r>
          </w:p>
        </w:tc>
        <w:tc>
          <w:tcPr>
            <w:tcW w:w="20.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-30 dBm/Hz</w:t>
            </w:r>
            <w:r>
              <w:rPr>
                <w:rFonts w:ascii="Century Gothic" w:hAnsi="Century Gothic" w:cs="Arial"/>
                <w:color w:val="000000" w:themeColor="text1"/>
                <w:sz w:val="20"/>
                <w:lang w:val="de-DE"/>
              </w:rPr>
              <w:br/>
              <w:t>-30 dBm/Hz</w:t>
            </w:r>
            <w:r>
              <w:rPr>
                <w:rFonts w:ascii="Century Gothic" w:hAnsi="Century Gothic" w:cs="Arial"/>
                <w:color w:val="000000" w:themeColor="text1"/>
                <w:sz w:val="20"/>
                <w:lang w:val="de-DE"/>
              </w:rPr>
              <w:br/>
              <w:t>-49 dBm/Hz</w:t>
            </w:r>
            <w:r>
              <w:rPr>
                <w:rFonts w:ascii="Century Gothic" w:hAnsi="Century Gothic" w:cs="Arial"/>
                <w:color w:val="000000" w:themeColor="text1"/>
                <w:sz w:val="20"/>
                <w:lang w:val="de-DE"/>
              </w:rPr>
              <w:br/>
              <w:t>-90 dBm/Hz</w:t>
            </w:r>
            <w:r>
              <w:rPr>
                <w:rFonts w:ascii="Century Gothic" w:hAnsi="Century Gothic" w:cs="Arial"/>
                <w:color w:val="000000" w:themeColor="text1"/>
                <w:sz w:val="20"/>
                <w:lang w:val="de-DE"/>
              </w:rPr>
              <w:br/>
              <w:t>-90 dBm/Hz</w:t>
            </w:r>
          </w:p>
        </w:tc>
        <w:tc>
          <w:tcPr>
            <w:tcW w:w="5.0%" w:type="pct"/>
            <w:vMerge/>
            <w:hideMark/>
          </w:tcPr>
          <w:p w:rsidR="00655060" w:rsidRPr="00611019" w:rsidRDefault="00655060" w:rsidP="00035D2C">
            <w:pPr>
              <w:pStyle w:val="Formatolibre"/>
              <w:spacing w:line="13.80pt" w:lineRule="auto"/>
              <w:jc w:val="center"/>
              <w:rPr>
                <w:rFonts w:ascii="Century Gothic" w:hAnsi="Century Gothic" w:cs="Arial"/>
                <w:color w:val="000000" w:themeColor="text1"/>
                <w:sz w:val="20"/>
                <w:lang w:val="de-DE"/>
              </w:rPr>
            </w:pPr>
          </w:p>
        </w:tc>
      </w:tr>
      <w:tr w:rsidR="0061711D" w:rsidTr="00C50B72">
        <w:trPr>
          <w:trHeight w:val="630"/>
          <w:jc w:val="center"/>
        </w:trPr>
        <w:tc>
          <w:tcPr>
            <w:tcW w:w="21.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800 kHz</w:t>
            </w:r>
            <w:r>
              <w:rPr>
                <w:rFonts w:ascii="Century Gothic" w:hAnsi="Century Gothic" w:cs="Arial"/>
                <w:color w:val="000000" w:themeColor="text1"/>
                <w:sz w:val="20"/>
              </w:rPr>
              <w:br/>
              <w:t>1 MHz</w:t>
            </w:r>
            <w:r>
              <w:rPr>
                <w:rFonts w:ascii="Century Gothic" w:hAnsi="Century Gothic" w:cs="Arial"/>
                <w:color w:val="000000" w:themeColor="text1"/>
                <w:sz w:val="20"/>
              </w:rPr>
              <w:br/>
              <w:t>3,69 MHz</w:t>
            </w:r>
          </w:p>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30 MHz</w:t>
            </w:r>
          </w:p>
        </w:tc>
        <w:tc>
          <w:tcPr>
            <w:tcW w:w="14.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150 Ω</w:t>
            </w:r>
            <w:r>
              <w:rPr>
                <w:rFonts w:ascii="Century Gothic" w:hAnsi="Century Gothic" w:cs="Arial"/>
                <w:color w:val="000000" w:themeColor="text1"/>
                <w:sz w:val="20"/>
              </w:rPr>
              <w:br/>
              <w:t>150 Ω</w:t>
            </w:r>
            <w:r>
              <w:rPr>
                <w:rFonts w:ascii="Century Gothic" w:hAnsi="Century Gothic" w:cs="Arial"/>
                <w:color w:val="000000" w:themeColor="text1"/>
                <w:sz w:val="20"/>
              </w:rPr>
              <w:br/>
              <w:t>150 Ω</w:t>
            </w:r>
          </w:p>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150 Ω</w:t>
            </w:r>
          </w:p>
        </w:tc>
        <w:tc>
          <w:tcPr>
            <w:tcW w:w="18.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-17 dBm</w:t>
            </w:r>
            <w:r>
              <w:rPr>
                <w:rFonts w:ascii="Century Gothic" w:hAnsi="Century Gothic" w:cs="Arial"/>
                <w:color w:val="000000" w:themeColor="text1"/>
                <w:sz w:val="20"/>
              </w:rPr>
              <w:br/>
              <w:t>-17 dBm</w:t>
            </w:r>
            <w:r>
              <w:rPr>
                <w:rFonts w:ascii="Century Gothic" w:hAnsi="Century Gothic" w:cs="Arial"/>
                <w:color w:val="000000" w:themeColor="text1"/>
                <w:sz w:val="20"/>
              </w:rPr>
              <w:br/>
              <w:t>-60 dBm</w:t>
            </w:r>
          </w:p>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-60 dBm</w:t>
            </w:r>
          </w:p>
        </w:tc>
        <w:tc>
          <w:tcPr>
            <w:tcW w:w="19.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 MHz</w:t>
            </w:r>
            <w:r>
              <w:rPr>
                <w:rFonts w:ascii="Century Gothic" w:hAnsi="Century Gothic" w:cs="Arial"/>
                <w:color w:val="000000" w:themeColor="text1"/>
                <w:sz w:val="20"/>
              </w:rPr>
              <w:br/>
              <w:t>1 MHz</w:t>
            </w:r>
            <w:r>
              <w:rPr>
                <w:rFonts w:ascii="Century Gothic" w:hAnsi="Century Gothic" w:cs="Arial"/>
                <w:color w:val="000000" w:themeColor="text1"/>
                <w:sz w:val="20"/>
              </w:rPr>
              <w:br/>
              <w:t>1 MHz</w:t>
            </w:r>
          </w:p>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 MHz</w:t>
            </w:r>
          </w:p>
        </w:tc>
        <w:tc>
          <w:tcPr>
            <w:tcW w:w="20.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-77 dBm/Hz</w:t>
            </w:r>
            <w:r>
              <w:rPr>
                <w:rFonts w:ascii="Century Gothic" w:hAnsi="Century Gothic" w:cs="Arial"/>
                <w:color w:val="000000" w:themeColor="text1"/>
                <w:sz w:val="20"/>
              </w:rPr>
              <w:br/>
              <w:t>-77 dBm/Hz</w:t>
            </w:r>
            <w:r>
              <w:rPr>
                <w:rFonts w:ascii="Century Gothic" w:hAnsi="Century Gothic" w:cs="Arial"/>
                <w:color w:val="000000" w:themeColor="text1"/>
                <w:sz w:val="20"/>
              </w:rPr>
              <w:br/>
              <w:t>-110 dBm/Hz</w:t>
            </w:r>
          </w:p>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-110 dBm/Hz</w:t>
            </w:r>
          </w:p>
        </w:tc>
        <w:tc>
          <w:tcPr>
            <w:tcW w:w="5.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"Y"</w:t>
            </w:r>
          </w:p>
        </w:tc>
      </w:tr>
    </w:tbl>
    <w:p w:rsidR="00655060" w:rsidRPr="00611019" w:rsidRDefault="00655060" w:rsidP="00035D2C">
      <w:pPr>
        <w:pStyle w:val="Formatolibre"/>
        <w:spacing w:line="13.80pt" w:lineRule="auto"/>
        <w:jc w:val="both"/>
        <w:rPr>
          <w:rFonts w:ascii="Century Gothic" w:hAnsi="Century Gothic" w:cs="Arial"/>
          <w:color w:val="000000" w:themeColor="text1"/>
          <w:sz w:val="22"/>
          <w:szCs w:val="22"/>
          <w:lang w:val="es-MX"/>
        </w:rPr>
      </w:pPr>
    </w:p>
    <w:p w:rsidR="00655060" w:rsidRPr="00611019" w:rsidRDefault="00E56462" w:rsidP="00035D2C">
      <w:pPr>
        <w:pStyle w:val="Formatolibre"/>
        <w:spacing w:line="13.80pt" w:lineRule="auto"/>
        <w:jc w:val="center"/>
        <w:rPr>
          <w:rFonts w:ascii="Century Gothic" w:hAnsi="Century Gothic" w:cs="Arial"/>
          <w:color w:val="000000" w:themeColor="text1"/>
          <w:sz w:val="22"/>
          <w:szCs w:val="22"/>
          <w:lang w:val="es-MX"/>
        </w:rPr>
      </w:pPr>
      <w:r>
        <w:rPr>
          <w:rFonts w:ascii="Century Gothic" w:hAnsi="Century Gothic" w:cs="Arial"/>
          <w:noProof/>
          <w:color w:val="000000" w:themeColor="text1"/>
          <w:sz w:val="22"/>
          <w:szCs w:val="22"/>
          <w:lang w:val="es-MX"/>
        </w:rPr>
        <w:drawing>
          <wp:inline distT="0" distB="0" distL="0" distR="0" wp14:anchorId="56A2380B" wp14:editId="284CE613">
            <wp:extent cx="4608000" cy="1951199"/>
            <wp:effectExtent l="0" t="0" r="2540" b="0"/>
            <wp:docPr id="39" name="Picture 39"/>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610" name="Picture 39"/>
                    <pic:cNvPicPr>
                      <a:picLocks noChangeAspect="1" noChangeArrowheads="1"/>
                    </pic:cNvPicPr>
                  </pic:nvPicPr>
                  <pic:blipFill>
                    <a:blip r:embed="rId55" cstate="print"/>
                    <a:stretch>
                      <a:fillRect/>
                    </a:stretch>
                  </pic:blipFill>
                  <pic:spPr bwMode="auto">
                    <a:xfrm>
                      <a:off x="0" y="0"/>
                      <a:ext cx="4608000" cy="1951199"/>
                    </a:xfrm>
                    <a:prstGeom prst="rect">
                      <a:avLst/>
                    </a:prstGeom>
                    <a:noFill/>
                    <a:ln w="9525">
                      <a:noFill/>
                      <a:miter lim="800%"/>
                      <a:headEnd/>
                      <a:tailEnd/>
                    </a:ln>
                  </pic:spPr>
                </pic:pic>
              </a:graphicData>
            </a:graphic>
          </wp:inline>
        </w:drawing>
      </w:r>
    </w:p>
    <w:p w:rsidR="00655060" w:rsidRPr="00611019" w:rsidRDefault="00E56462" w:rsidP="00035D2C">
      <w:pPr>
        <w:pStyle w:val="xxxPiedeCuadroconnombre"/>
        <w:jc w:val="center"/>
        <w:rPr>
          <w:rFonts w:ascii="Century Gothic" w:hAnsi="Century Gothic"/>
          <w:color w:val="000000" w:themeColor="text1"/>
        </w:rPr>
      </w:pPr>
      <w:r>
        <w:rPr>
          <w:rFonts w:ascii="Century Gothic" w:hAnsi="Century Gothic"/>
        </w:rPr>
        <w:t xml:space="preserve">Figura </w:t>
      </w:r>
      <w:r w:rsidR="004F0984">
        <w:rPr>
          <w:rFonts w:ascii="Century Gothic" w:hAnsi="Century Gothic"/>
        </w:rPr>
        <w:t>7</w:t>
      </w:r>
      <w:r>
        <w:rPr>
          <w:rFonts w:ascii="Century Gothic" w:hAnsi="Century Gothic"/>
          <w:color w:val="000000" w:themeColor="text1"/>
        </w:rPr>
        <w:t>. Potencia espectral para señales ISDN MMS43 PRI.</w:t>
      </w:r>
    </w:p>
    <w:p w:rsidR="0097368A" w:rsidRPr="00611019" w:rsidRDefault="0097368A" w:rsidP="00035D2C">
      <w:pPr>
        <w:pStyle w:val="xxxPiedeCuadroconnombre"/>
        <w:spacing w:after="12pt"/>
        <w:rPr>
          <w:rFonts w:ascii="Century Gothic" w:hAnsi="Century Gothic"/>
        </w:rPr>
      </w:pPr>
    </w:p>
    <w:p w:rsidR="0097368A" w:rsidRPr="00611019" w:rsidRDefault="00E56462" w:rsidP="00035D2C">
      <w:pPr>
        <w:pStyle w:val="Ttulo3"/>
        <w:spacing w:line="13.80pt" w:lineRule="auto"/>
        <w:ind w:start="36pt" w:hanging="36pt"/>
        <w:jc w:val="start"/>
        <w:rPr>
          <w:rFonts w:ascii="Century Gothic" w:hAnsi="Century Gothic"/>
        </w:rPr>
      </w:pPr>
      <w:bookmarkStart w:id="2661" w:name="_Toc92974153"/>
      <w:bookmarkStart w:id="2662" w:name="_Toc93052464"/>
      <w:bookmarkStart w:id="2663" w:name="_Toc93056419"/>
      <w:bookmarkStart w:id="2664" w:name="_Toc125393483"/>
      <w:bookmarkStart w:id="2665" w:name="_Toc148702338"/>
      <w:bookmarkStart w:id="2666" w:name="_Toc170381952"/>
      <w:r>
        <w:rPr>
          <w:rFonts w:ascii="Century Gothic" w:hAnsi="Century Gothic"/>
        </w:rPr>
        <w:t>6.2.5</w:t>
      </w:r>
      <w:r>
        <w:rPr>
          <w:rFonts w:ascii="Century Gothic" w:hAnsi="Century Gothic"/>
        </w:rPr>
        <w:tab/>
        <w:t>SHDSL FN hasta 4 pares, TC-PAM SHDSL TC-PAM [G.991.2].</w:t>
      </w:r>
      <w:bookmarkEnd w:id="2661"/>
      <w:bookmarkEnd w:id="2662"/>
      <w:bookmarkEnd w:id="2663"/>
      <w:bookmarkEnd w:id="2664"/>
      <w:bookmarkEnd w:id="2665"/>
      <w:bookmarkEnd w:id="2666"/>
    </w:p>
    <w:p w:rsidR="00655060" w:rsidRPr="00611019" w:rsidRDefault="00E56462" w:rsidP="00035D2C">
      <w:pPr>
        <w:pStyle w:val="IFTnormal"/>
        <w:spacing w:after="6pt"/>
        <w:rPr>
          <w:rFonts w:ascii="Century Gothic" w:hAnsi="Century Gothic"/>
        </w:rPr>
      </w:pPr>
      <w:r>
        <w:rPr>
          <w:rFonts w:ascii="Century Gothic" w:hAnsi="Century Gothic"/>
        </w:rPr>
        <w:t>En el caso de las señales SHDSL Fn, las características espectrales se definen en términos de la potencia de banda estrecha de la señal medida sobre una carga resistiva de impedancia R. La Tabla 9 presenta los puntos de referencia límite definidos en las cláusulas 10.5 y 10.7 de ETSI TR 101 830-1 V1.5.2.</w:t>
      </w:r>
    </w:p>
    <w:p w:rsidR="00655060" w:rsidRDefault="00E56462" w:rsidP="00035D2C">
      <w:pPr>
        <w:pStyle w:val="IFTnormal"/>
        <w:spacing w:after="6pt"/>
        <w:rPr>
          <w:rFonts w:ascii="Century Gothic" w:hAnsi="Century Gothic"/>
        </w:rPr>
      </w:pPr>
      <w:r>
        <w:rPr>
          <w:rFonts w:ascii="Century Gothic" w:hAnsi="Century Gothic"/>
        </w:rPr>
        <w:t>La Figura 8 ilustra la forma de la densidad espectral de potencia para estas señales con Fn=686 kHz.</w:t>
      </w:r>
    </w:p>
    <w:p w:rsidR="004F0984" w:rsidRDefault="004F0984" w:rsidP="00035D2C">
      <w:pPr>
        <w:pStyle w:val="IFTnormal"/>
        <w:spacing w:after="6pt"/>
        <w:rPr>
          <w:rFonts w:ascii="Century Gothic" w:hAnsi="Century Gothic"/>
        </w:rPr>
      </w:pPr>
    </w:p>
    <w:p w:rsidR="004F0984" w:rsidRDefault="004F0984" w:rsidP="00035D2C">
      <w:pPr>
        <w:pStyle w:val="IFTnormal"/>
        <w:spacing w:after="6pt"/>
        <w:rPr>
          <w:rFonts w:ascii="Century Gothic" w:hAnsi="Century Gothic"/>
        </w:rPr>
      </w:pPr>
    </w:p>
    <w:p w:rsidR="00E100F0" w:rsidRPr="00611019" w:rsidRDefault="00E100F0" w:rsidP="00035D2C">
      <w:pPr>
        <w:pStyle w:val="IFTnormal"/>
        <w:spacing w:after="6pt"/>
        <w:rPr>
          <w:rFonts w:ascii="Century Gothic" w:hAnsi="Century Gothic"/>
        </w:rPr>
      </w:pPr>
    </w:p>
    <w:p w:rsidR="00655060" w:rsidRPr="00611019" w:rsidRDefault="00E56462" w:rsidP="00035D2C">
      <w:pPr>
        <w:pStyle w:val="xxxPiedeCuadroconnombre"/>
        <w:spacing w:before="0pt" w:after="6pt"/>
        <w:jc w:val="center"/>
        <w:rPr>
          <w:rFonts w:ascii="Century Gothic" w:hAnsi="Century Gothic"/>
          <w:szCs w:val="20"/>
        </w:rPr>
      </w:pPr>
      <w:r>
        <w:rPr>
          <w:rFonts w:ascii="Century Gothic" w:hAnsi="Century Gothic"/>
          <w:szCs w:val="20"/>
        </w:rPr>
        <w:lastRenderedPageBreak/>
        <w:t>Tabla 9 Puntos de referencia límite de potencia de banda estrecha para señales SHDSL Fn.</w:t>
      </w:r>
    </w:p>
    <w:tbl>
      <w:tblPr>
        <w:tblStyle w:val="Cuadrculadetablaclara1"/>
        <w:tblW w:w="90.0%" w:type="pct"/>
        <w:jc w:val="center"/>
        <w:tblLook w:firstRow="1" w:lastRow="0" w:firstColumn="1" w:lastColumn="0" w:noHBand="0" w:noVBand="1"/>
      </w:tblPr>
      <w:tblGrid>
        <w:gridCol w:w="1381"/>
        <w:gridCol w:w="1467"/>
        <w:gridCol w:w="1812"/>
        <w:gridCol w:w="2070"/>
        <w:gridCol w:w="1725"/>
      </w:tblGrid>
      <w:tr w:rsidR="0061711D" w:rsidTr="006A573B">
        <w:trPr>
          <w:trHeight w:val="580"/>
          <w:jc w:val="center"/>
        </w:trPr>
        <w:tc>
          <w:tcPr>
            <w:tcW w:w="16.0%" w:type="pct"/>
            <w:shd w:val="clear" w:color="auto" w:fill="009AD9"/>
            <w:vAlign w:val="center"/>
            <w:hideMark/>
          </w:tcPr>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Frecuencia</w:t>
            </w:r>
          </w:p>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f</w:t>
            </w:r>
          </w:p>
        </w:tc>
        <w:tc>
          <w:tcPr>
            <w:tcW w:w="17.0%" w:type="pct"/>
            <w:shd w:val="clear" w:color="auto" w:fill="009AD9"/>
            <w:vAlign w:val="center"/>
            <w:hideMark/>
          </w:tcPr>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Impedancia</w:t>
            </w:r>
          </w:p>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R</w:t>
            </w:r>
          </w:p>
        </w:tc>
        <w:tc>
          <w:tcPr>
            <w:tcW w:w="21.0%" w:type="pct"/>
            <w:shd w:val="clear" w:color="auto" w:fill="009AD9"/>
            <w:vAlign w:val="center"/>
            <w:hideMark/>
          </w:tcPr>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Nivel de Señal</w:t>
            </w:r>
          </w:p>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P (dBm)</w:t>
            </w:r>
          </w:p>
        </w:tc>
        <w:tc>
          <w:tcPr>
            <w:tcW w:w="24.0%" w:type="pct"/>
            <w:shd w:val="clear" w:color="auto" w:fill="009AD9"/>
            <w:vAlign w:val="center"/>
            <w:hideMark/>
          </w:tcPr>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Ancho de Banda</w:t>
            </w:r>
          </w:p>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de Ruido</w:t>
            </w:r>
          </w:p>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B</w:t>
            </w:r>
          </w:p>
        </w:tc>
        <w:tc>
          <w:tcPr>
            <w:tcW w:w="20.0%" w:type="pct"/>
            <w:shd w:val="clear" w:color="auto" w:fill="009AD9"/>
            <w:vAlign w:val="center"/>
            <w:hideMark/>
          </w:tcPr>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Potencia</w:t>
            </w:r>
          </w:p>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Espectral</w:t>
            </w:r>
          </w:p>
          <w:p w:rsidR="00655060" w:rsidRPr="00611019"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P/B (dBm/Hz)</w:t>
            </w:r>
          </w:p>
        </w:tc>
      </w:tr>
      <w:tr w:rsidR="0061711D" w:rsidTr="001A28E4">
        <w:trPr>
          <w:trHeight w:val="489"/>
          <w:jc w:val="center"/>
        </w:trPr>
        <w:tc>
          <w:tcPr>
            <w:tcW w:w="16.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0,1 kHz</w:t>
            </w:r>
            <w:r>
              <w:rPr>
                <w:rFonts w:ascii="Century Gothic" w:hAnsi="Century Gothic" w:cs="Arial"/>
                <w:color w:val="000000" w:themeColor="text1"/>
                <w:sz w:val="20"/>
              </w:rPr>
              <w:br/>
              <w:t>1 kHz</w:t>
            </w:r>
          </w:p>
        </w:tc>
        <w:tc>
          <w:tcPr>
            <w:tcW w:w="17.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135 Ω</w:t>
            </w:r>
            <w:r>
              <w:rPr>
                <w:rFonts w:ascii="Century Gothic" w:hAnsi="Century Gothic" w:cs="Arial"/>
                <w:color w:val="000000" w:themeColor="text1"/>
                <w:sz w:val="20"/>
              </w:rPr>
              <w:br/>
              <w:t>135 Ω</w:t>
            </w:r>
          </w:p>
        </w:tc>
        <w:tc>
          <w:tcPr>
            <w:tcW w:w="21.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P0 + 1,4 + 20</w:t>
            </w:r>
            <w:r>
              <w:rPr>
                <w:rFonts w:ascii="Century Gothic" w:hAnsi="Century Gothic" w:cs="Arial"/>
                <w:color w:val="000000" w:themeColor="text1"/>
                <w:sz w:val="20"/>
              </w:rPr>
              <w:br/>
              <w:t>P0 + 1,4 + 20</w:t>
            </w:r>
          </w:p>
        </w:tc>
        <w:tc>
          <w:tcPr>
            <w:tcW w:w="24.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100 Hz</w:t>
            </w:r>
            <w:r>
              <w:rPr>
                <w:rFonts w:ascii="Century Gothic" w:hAnsi="Century Gothic" w:cs="Arial"/>
                <w:color w:val="000000" w:themeColor="text1"/>
                <w:sz w:val="20"/>
              </w:rPr>
              <w:br/>
              <w:t>100 Hz</w:t>
            </w:r>
          </w:p>
        </w:tc>
        <w:tc>
          <w:tcPr>
            <w:tcW w:w="20.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P0 + 1,4</w:t>
            </w:r>
            <w:r>
              <w:rPr>
                <w:rFonts w:ascii="Century Gothic" w:hAnsi="Century Gothic" w:cs="Arial"/>
                <w:color w:val="000000" w:themeColor="text1"/>
                <w:sz w:val="20"/>
              </w:rPr>
              <w:br/>
              <w:t>P0 + 1,4</w:t>
            </w:r>
          </w:p>
        </w:tc>
      </w:tr>
      <w:tr w:rsidR="0061711D" w:rsidTr="001A28E4">
        <w:trPr>
          <w:trHeight w:val="506"/>
          <w:jc w:val="center"/>
        </w:trPr>
        <w:tc>
          <w:tcPr>
            <w:tcW w:w="16.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 kHz</w:t>
            </w:r>
            <w:r>
              <w:rPr>
                <w:rFonts w:ascii="Century Gothic" w:hAnsi="Century Gothic" w:cs="Arial"/>
                <w:color w:val="000000" w:themeColor="text1"/>
                <w:sz w:val="20"/>
              </w:rPr>
              <w:br/>
              <w:t>10 kHz</w:t>
            </w:r>
          </w:p>
        </w:tc>
        <w:tc>
          <w:tcPr>
            <w:tcW w:w="17.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135 Ω</w:t>
            </w:r>
            <w:r>
              <w:rPr>
                <w:rFonts w:ascii="Century Gothic" w:hAnsi="Century Gothic" w:cs="Arial"/>
                <w:color w:val="000000" w:themeColor="text1"/>
                <w:sz w:val="20"/>
              </w:rPr>
              <w:br/>
              <w:t>135 Ω</w:t>
            </w:r>
          </w:p>
        </w:tc>
        <w:tc>
          <w:tcPr>
            <w:tcW w:w="21.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P0 + 1,4 + 30</w:t>
            </w:r>
            <w:r>
              <w:rPr>
                <w:rFonts w:ascii="Century Gothic" w:hAnsi="Century Gothic" w:cs="Arial"/>
                <w:color w:val="000000" w:themeColor="text1"/>
                <w:sz w:val="20"/>
              </w:rPr>
              <w:br/>
              <w:t>P0 + 1,4 + 30</w:t>
            </w:r>
          </w:p>
        </w:tc>
        <w:tc>
          <w:tcPr>
            <w:tcW w:w="24.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 kHz</w:t>
            </w:r>
            <w:r>
              <w:rPr>
                <w:rFonts w:ascii="Century Gothic" w:hAnsi="Century Gothic" w:cs="Arial"/>
                <w:color w:val="000000" w:themeColor="text1"/>
                <w:sz w:val="20"/>
              </w:rPr>
              <w:br/>
              <w:t>1 kHz</w:t>
            </w:r>
          </w:p>
        </w:tc>
        <w:tc>
          <w:tcPr>
            <w:tcW w:w="20.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P0 + 1,4</w:t>
            </w:r>
            <w:r>
              <w:rPr>
                <w:rFonts w:ascii="Century Gothic" w:hAnsi="Century Gothic" w:cs="Arial"/>
                <w:color w:val="000000" w:themeColor="text1"/>
                <w:sz w:val="20"/>
              </w:rPr>
              <w:br/>
              <w:t>P0 + 1,4</w:t>
            </w:r>
          </w:p>
        </w:tc>
      </w:tr>
      <w:tr w:rsidR="0061711D" w:rsidTr="001A28E4">
        <w:trPr>
          <w:trHeight w:val="847"/>
          <w:jc w:val="center"/>
        </w:trPr>
        <w:tc>
          <w:tcPr>
            <w:tcW w:w="16.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10 kHz</w:t>
            </w:r>
            <w:r>
              <w:rPr>
                <w:rFonts w:ascii="Century Gothic" w:hAnsi="Century Gothic" w:cs="Arial"/>
                <w:color w:val="000000" w:themeColor="text1"/>
                <w:sz w:val="20"/>
              </w:rPr>
              <w:br/>
              <w:t>0,1 × FN</w:t>
            </w:r>
            <w:r>
              <w:rPr>
                <w:rFonts w:ascii="Century Gothic" w:hAnsi="Century Gothic" w:cs="Arial"/>
                <w:color w:val="000000" w:themeColor="text1"/>
                <w:sz w:val="20"/>
              </w:rPr>
              <w:br/>
              <w:t>0,275 × FN</w:t>
            </w:r>
            <w:r>
              <w:rPr>
                <w:rFonts w:ascii="Century Gothic" w:hAnsi="Century Gothic" w:cs="Arial"/>
                <w:color w:val="000000" w:themeColor="text1"/>
                <w:sz w:val="20"/>
              </w:rPr>
              <w:br/>
              <w:t>0,4 × FN</w:t>
            </w:r>
            <w:r>
              <w:rPr>
                <w:rFonts w:ascii="Century Gothic" w:hAnsi="Century Gothic" w:cs="Arial"/>
                <w:color w:val="000000" w:themeColor="text1"/>
                <w:sz w:val="20"/>
              </w:rPr>
              <w:br/>
              <w:t>0,475 × FN</w:t>
            </w:r>
            <w:r>
              <w:rPr>
                <w:rFonts w:ascii="Century Gothic" w:hAnsi="Century Gothic" w:cs="Arial"/>
                <w:color w:val="000000" w:themeColor="text1"/>
                <w:sz w:val="20"/>
              </w:rPr>
              <w:br/>
              <w:t>0,6 × FN</w:t>
            </w:r>
            <w:r>
              <w:rPr>
                <w:rFonts w:ascii="Century Gothic" w:hAnsi="Century Gothic" w:cs="Arial"/>
                <w:color w:val="000000" w:themeColor="text1"/>
                <w:sz w:val="20"/>
              </w:rPr>
              <w:br/>
              <w:t>0,9 × FN</w:t>
            </w:r>
            <w:r>
              <w:rPr>
                <w:rFonts w:ascii="Century Gothic" w:hAnsi="Century Gothic" w:cs="Arial"/>
                <w:color w:val="000000" w:themeColor="text1"/>
                <w:sz w:val="20"/>
              </w:rPr>
              <w:br/>
              <w:t>0,96 × FN</w:t>
            </w:r>
            <w:r>
              <w:rPr>
                <w:rFonts w:ascii="Century Gothic" w:hAnsi="Century Gothic" w:cs="Arial"/>
                <w:color w:val="000000" w:themeColor="text1"/>
                <w:sz w:val="20"/>
              </w:rPr>
              <w:br/>
              <w:t>1,5 MHz</w:t>
            </w:r>
          </w:p>
        </w:tc>
        <w:tc>
          <w:tcPr>
            <w:tcW w:w="17.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135 Ω</w:t>
            </w:r>
            <w:r>
              <w:rPr>
                <w:rFonts w:ascii="Century Gothic" w:hAnsi="Century Gothic" w:cs="Arial"/>
                <w:color w:val="000000" w:themeColor="text1"/>
                <w:sz w:val="20"/>
              </w:rPr>
              <w:br/>
              <w:t>135 Ω</w:t>
            </w:r>
            <w:r>
              <w:rPr>
                <w:rFonts w:ascii="Century Gothic" w:hAnsi="Century Gothic" w:cs="Arial"/>
                <w:color w:val="000000" w:themeColor="text1"/>
                <w:sz w:val="20"/>
              </w:rPr>
              <w:br/>
              <w:t>135 Ω</w:t>
            </w:r>
            <w:r>
              <w:rPr>
                <w:rFonts w:ascii="Century Gothic" w:hAnsi="Century Gothic" w:cs="Arial"/>
                <w:color w:val="000000" w:themeColor="text1"/>
                <w:sz w:val="20"/>
              </w:rPr>
              <w:br/>
              <w:t>135 Ω</w:t>
            </w:r>
            <w:r>
              <w:rPr>
                <w:rFonts w:ascii="Century Gothic" w:hAnsi="Century Gothic" w:cs="Arial"/>
                <w:color w:val="000000" w:themeColor="text1"/>
                <w:sz w:val="20"/>
              </w:rPr>
              <w:br/>
              <w:t>135 Ω</w:t>
            </w:r>
            <w:r>
              <w:rPr>
                <w:rFonts w:ascii="Century Gothic" w:hAnsi="Century Gothic" w:cs="Arial"/>
                <w:color w:val="000000" w:themeColor="text1"/>
                <w:sz w:val="20"/>
              </w:rPr>
              <w:br/>
              <w:t>135 Ω</w:t>
            </w:r>
            <w:r>
              <w:rPr>
                <w:rFonts w:ascii="Century Gothic" w:hAnsi="Century Gothic" w:cs="Arial"/>
                <w:color w:val="000000" w:themeColor="text1"/>
                <w:sz w:val="20"/>
              </w:rPr>
              <w:br/>
              <w:t>135 Ω</w:t>
            </w:r>
            <w:r>
              <w:rPr>
                <w:rFonts w:ascii="Century Gothic" w:hAnsi="Century Gothic" w:cs="Arial"/>
                <w:color w:val="000000" w:themeColor="text1"/>
                <w:sz w:val="20"/>
              </w:rPr>
              <w:br/>
              <w:t>135 Ω</w:t>
            </w:r>
            <w:r>
              <w:rPr>
                <w:rFonts w:ascii="Century Gothic" w:hAnsi="Century Gothic" w:cs="Arial"/>
                <w:color w:val="000000" w:themeColor="text1"/>
                <w:sz w:val="20"/>
              </w:rPr>
              <w:br/>
              <w:t>135 Ω</w:t>
            </w:r>
          </w:p>
        </w:tc>
        <w:tc>
          <w:tcPr>
            <w:tcW w:w="21.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P0 + 1,4 + 40</w:t>
            </w:r>
            <w:r>
              <w:rPr>
                <w:rFonts w:ascii="Century Gothic" w:hAnsi="Century Gothic" w:cs="Arial"/>
                <w:color w:val="000000" w:themeColor="text1"/>
                <w:sz w:val="20"/>
              </w:rPr>
              <w:br/>
              <w:t>P0 + 1,4 + 40</w:t>
            </w:r>
            <w:r>
              <w:rPr>
                <w:rFonts w:ascii="Century Gothic" w:hAnsi="Century Gothic" w:cs="Arial"/>
                <w:color w:val="000000" w:themeColor="text1"/>
                <w:sz w:val="20"/>
              </w:rPr>
              <w:br/>
              <w:t>P0 + 40</w:t>
            </w:r>
            <w:r>
              <w:rPr>
                <w:rFonts w:ascii="Century Gothic" w:hAnsi="Century Gothic" w:cs="Arial"/>
                <w:color w:val="000000" w:themeColor="text1"/>
                <w:sz w:val="20"/>
              </w:rPr>
              <w:br/>
              <w:t>P0 - 2 + 40</w:t>
            </w:r>
            <w:r>
              <w:rPr>
                <w:rFonts w:ascii="Century Gothic" w:hAnsi="Century Gothic" w:cs="Arial"/>
                <w:color w:val="000000" w:themeColor="text1"/>
                <w:sz w:val="20"/>
              </w:rPr>
              <w:br/>
              <w:t>P0 - 4,5 + 40</w:t>
            </w:r>
            <w:r>
              <w:rPr>
                <w:rFonts w:ascii="Century Gothic" w:hAnsi="Century Gothic" w:cs="Arial"/>
                <w:color w:val="000000" w:themeColor="text1"/>
                <w:sz w:val="20"/>
              </w:rPr>
              <w:br/>
              <w:t>P0 - 14 + 40</w:t>
            </w:r>
            <w:r>
              <w:rPr>
                <w:rFonts w:ascii="Century Gothic" w:hAnsi="Century Gothic" w:cs="Arial"/>
                <w:color w:val="000000" w:themeColor="text1"/>
                <w:sz w:val="20"/>
              </w:rPr>
              <w:br/>
              <w:t>P0 - 45 + 40</w:t>
            </w:r>
            <w:r>
              <w:rPr>
                <w:rFonts w:ascii="Century Gothic" w:hAnsi="Century Gothic" w:cs="Arial"/>
                <w:color w:val="000000" w:themeColor="text1"/>
                <w:sz w:val="20"/>
              </w:rPr>
              <w:br/>
              <w:t>P1 + 40</w:t>
            </w:r>
            <w:r>
              <w:rPr>
                <w:rFonts w:ascii="Century Gothic" w:hAnsi="Century Gothic" w:cs="Arial"/>
                <w:color w:val="000000" w:themeColor="text1"/>
                <w:sz w:val="20"/>
              </w:rPr>
              <w:br/>
              <w:t>-65</w:t>
            </w:r>
          </w:p>
        </w:tc>
        <w:tc>
          <w:tcPr>
            <w:tcW w:w="24.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10 kHz</w:t>
            </w:r>
            <w:r>
              <w:rPr>
                <w:rFonts w:ascii="Century Gothic" w:hAnsi="Century Gothic" w:cs="Arial"/>
                <w:color w:val="000000" w:themeColor="text1"/>
                <w:sz w:val="20"/>
              </w:rPr>
              <w:br/>
              <w:t>10 kHz</w:t>
            </w:r>
            <w:r>
              <w:rPr>
                <w:rFonts w:ascii="Century Gothic" w:hAnsi="Century Gothic" w:cs="Arial"/>
                <w:color w:val="000000" w:themeColor="text1"/>
                <w:sz w:val="20"/>
              </w:rPr>
              <w:br/>
              <w:t>10 kHz</w:t>
            </w:r>
            <w:r>
              <w:rPr>
                <w:rFonts w:ascii="Century Gothic" w:hAnsi="Century Gothic" w:cs="Arial"/>
                <w:color w:val="000000" w:themeColor="text1"/>
                <w:sz w:val="20"/>
              </w:rPr>
              <w:br/>
              <w:t>10 kHz</w:t>
            </w:r>
            <w:r>
              <w:rPr>
                <w:rFonts w:ascii="Century Gothic" w:hAnsi="Century Gothic" w:cs="Arial"/>
                <w:color w:val="000000" w:themeColor="text1"/>
                <w:sz w:val="20"/>
              </w:rPr>
              <w:br/>
              <w:t>10 kHz</w:t>
            </w:r>
            <w:r>
              <w:rPr>
                <w:rFonts w:ascii="Century Gothic" w:hAnsi="Century Gothic" w:cs="Arial"/>
                <w:color w:val="000000" w:themeColor="text1"/>
                <w:sz w:val="20"/>
              </w:rPr>
              <w:br/>
              <w:t>10 kHz</w:t>
            </w:r>
            <w:r>
              <w:rPr>
                <w:rFonts w:ascii="Century Gothic" w:hAnsi="Century Gothic" w:cs="Arial"/>
                <w:color w:val="000000" w:themeColor="text1"/>
                <w:sz w:val="20"/>
              </w:rPr>
              <w:br/>
              <w:t>10 kHz</w:t>
            </w:r>
            <w:r>
              <w:rPr>
                <w:rFonts w:ascii="Century Gothic" w:hAnsi="Century Gothic" w:cs="Arial"/>
                <w:color w:val="000000" w:themeColor="text1"/>
                <w:sz w:val="20"/>
              </w:rPr>
              <w:br/>
              <w:t>10 kHz</w:t>
            </w:r>
            <w:r>
              <w:rPr>
                <w:rFonts w:ascii="Century Gothic" w:hAnsi="Century Gothic" w:cs="Arial"/>
                <w:color w:val="000000" w:themeColor="text1"/>
                <w:sz w:val="20"/>
              </w:rPr>
              <w:br/>
              <w:t>10 kHz</w:t>
            </w:r>
          </w:p>
        </w:tc>
        <w:tc>
          <w:tcPr>
            <w:tcW w:w="20.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P0 + 1,4</w:t>
            </w:r>
            <w:r>
              <w:rPr>
                <w:rFonts w:ascii="Century Gothic" w:hAnsi="Century Gothic" w:cs="Arial"/>
                <w:color w:val="000000" w:themeColor="text1"/>
                <w:sz w:val="20"/>
              </w:rPr>
              <w:br/>
              <w:t>P0 + 1,4</w:t>
            </w:r>
            <w:r>
              <w:rPr>
                <w:rFonts w:ascii="Century Gothic" w:hAnsi="Century Gothic" w:cs="Arial"/>
                <w:color w:val="000000" w:themeColor="text1"/>
                <w:sz w:val="20"/>
              </w:rPr>
              <w:br/>
              <w:t>P0</w:t>
            </w:r>
            <w:r>
              <w:rPr>
                <w:rFonts w:ascii="Century Gothic" w:hAnsi="Century Gothic" w:cs="Arial"/>
                <w:color w:val="000000" w:themeColor="text1"/>
                <w:sz w:val="20"/>
              </w:rPr>
              <w:br/>
              <w:t>P0 - 2</w:t>
            </w:r>
            <w:r>
              <w:rPr>
                <w:rFonts w:ascii="Century Gothic" w:hAnsi="Century Gothic" w:cs="Arial"/>
                <w:color w:val="000000" w:themeColor="text1"/>
                <w:sz w:val="20"/>
              </w:rPr>
              <w:br/>
              <w:t>P0 - 4,5</w:t>
            </w:r>
            <w:r>
              <w:rPr>
                <w:rFonts w:ascii="Century Gothic" w:hAnsi="Century Gothic" w:cs="Arial"/>
                <w:color w:val="000000" w:themeColor="text1"/>
                <w:sz w:val="20"/>
              </w:rPr>
              <w:br/>
              <w:t>P0 - 14</w:t>
            </w:r>
            <w:r>
              <w:rPr>
                <w:rFonts w:ascii="Century Gothic" w:hAnsi="Century Gothic" w:cs="Arial"/>
                <w:color w:val="000000" w:themeColor="text1"/>
                <w:sz w:val="20"/>
              </w:rPr>
              <w:br/>
              <w:t>P0 - 45</w:t>
            </w:r>
            <w:r>
              <w:rPr>
                <w:rFonts w:ascii="Century Gothic" w:hAnsi="Century Gothic" w:cs="Arial"/>
                <w:color w:val="000000" w:themeColor="text1"/>
                <w:sz w:val="20"/>
              </w:rPr>
              <w:br/>
              <w:t>P1</w:t>
            </w:r>
            <w:r>
              <w:rPr>
                <w:rFonts w:ascii="Century Gothic" w:hAnsi="Century Gothic" w:cs="Arial"/>
                <w:color w:val="000000" w:themeColor="text1"/>
                <w:sz w:val="20"/>
              </w:rPr>
              <w:br/>
              <w:t>-105</w:t>
            </w:r>
          </w:p>
        </w:tc>
      </w:tr>
      <w:tr w:rsidR="0061711D" w:rsidTr="001A28E4">
        <w:trPr>
          <w:trHeight w:val="411"/>
          <w:jc w:val="center"/>
        </w:trPr>
        <w:tc>
          <w:tcPr>
            <w:tcW w:w="16.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1,5 MHz</w:t>
            </w:r>
            <w:r>
              <w:rPr>
                <w:rFonts w:ascii="Century Gothic" w:hAnsi="Century Gothic" w:cs="Arial"/>
                <w:color w:val="000000" w:themeColor="text1"/>
                <w:sz w:val="20"/>
              </w:rPr>
              <w:br/>
              <w:t>30 MHz</w:t>
            </w:r>
          </w:p>
        </w:tc>
        <w:tc>
          <w:tcPr>
            <w:tcW w:w="17.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135 Ω</w:t>
            </w:r>
            <w:r>
              <w:rPr>
                <w:rFonts w:ascii="Century Gothic" w:hAnsi="Century Gothic" w:cs="Arial"/>
                <w:color w:val="000000" w:themeColor="text1"/>
                <w:sz w:val="20"/>
              </w:rPr>
              <w:br/>
              <w:t>135 Ω</w:t>
            </w:r>
          </w:p>
        </w:tc>
        <w:tc>
          <w:tcPr>
            <w:tcW w:w="21.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-50</w:t>
            </w:r>
            <w:r>
              <w:rPr>
                <w:rFonts w:ascii="Century Gothic" w:hAnsi="Century Gothic" w:cs="Arial"/>
                <w:color w:val="000000" w:themeColor="text1"/>
                <w:sz w:val="20"/>
              </w:rPr>
              <w:br/>
              <w:t>-50</w:t>
            </w:r>
          </w:p>
        </w:tc>
        <w:tc>
          <w:tcPr>
            <w:tcW w:w="24.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 MHz</w:t>
            </w:r>
            <w:r>
              <w:rPr>
                <w:rFonts w:ascii="Century Gothic" w:hAnsi="Century Gothic" w:cs="Arial"/>
                <w:color w:val="000000" w:themeColor="text1"/>
                <w:sz w:val="20"/>
              </w:rPr>
              <w:br/>
              <w:t>1 MHz</w:t>
            </w:r>
          </w:p>
        </w:tc>
        <w:tc>
          <w:tcPr>
            <w:tcW w:w="20.0%" w:type="pct"/>
            <w:hideMark/>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-110</w:t>
            </w:r>
            <w:r>
              <w:rPr>
                <w:rFonts w:ascii="Century Gothic" w:hAnsi="Century Gothic" w:cs="Arial"/>
                <w:color w:val="000000" w:themeColor="text1"/>
                <w:sz w:val="20"/>
              </w:rPr>
              <w:br/>
              <w:t>-110</w:t>
            </w:r>
          </w:p>
        </w:tc>
      </w:tr>
    </w:tbl>
    <w:p w:rsidR="00655060" w:rsidRPr="00611019" w:rsidRDefault="00655060" w:rsidP="00035D2C">
      <w:pPr>
        <w:pStyle w:val="Formatolibre"/>
        <w:spacing w:line="13.80pt" w:lineRule="auto"/>
        <w:jc w:val="both"/>
        <w:rPr>
          <w:rFonts w:ascii="Century Gothic" w:hAnsi="Century Gothic" w:cs="Arial"/>
          <w:color w:val="000000" w:themeColor="text1"/>
          <w:sz w:val="22"/>
          <w:szCs w:val="22"/>
          <w:lang w:val="es-MX"/>
        </w:rPr>
      </w:pPr>
    </w:p>
    <w:p w:rsidR="00655060" w:rsidRPr="00611019" w:rsidRDefault="00E56462" w:rsidP="00035D2C">
      <w:pPr>
        <w:pStyle w:val="Formatolibre"/>
        <w:spacing w:line="13.80pt" w:lineRule="auto"/>
        <w:jc w:val="center"/>
        <w:rPr>
          <w:rFonts w:ascii="Century Gothic" w:hAnsi="Century Gothic" w:cs="Arial"/>
          <w:color w:val="000000" w:themeColor="text1"/>
          <w:sz w:val="22"/>
          <w:szCs w:val="22"/>
          <w:lang w:val="es-MX"/>
        </w:rPr>
      </w:pPr>
      <w:r>
        <w:rPr>
          <w:rFonts w:ascii="Century Gothic" w:hAnsi="Century Gothic" w:cs="Arial"/>
          <w:noProof/>
          <w:color w:val="000000" w:themeColor="text1"/>
          <w:sz w:val="22"/>
          <w:szCs w:val="22"/>
          <w:lang w:val="es-MX"/>
        </w:rPr>
        <w:drawing>
          <wp:inline distT="0" distB="0" distL="0" distR="0" wp14:anchorId="292325D8" wp14:editId="446F9920">
            <wp:extent cx="5048398" cy="2099220"/>
            <wp:effectExtent l="0" t="0" r="6350" b="9525"/>
            <wp:docPr id="41" name="Picture 41"/>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611" name="Picture 41"/>
                    <pic:cNvPicPr>
                      <a:picLocks noChangeAspect="1" noChangeArrowheads="1"/>
                    </pic:cNvPicPr>
                  </pic:nvPicPr>
                  <pic:blipFill>
                    <a:blip r:embed="rId56" cstate="print"/>
                    <a:stretch>
                      <a:fillRect/>
                    </a:stretch>
                  </pic:blipFill>
                  <pic:spPr bwMode="auto">
                    <a:xfrm>
                      <a:off x="0" y="0"/>
                      <a:ext cx="5048398" cy="2099220"/>
                    </a:xfrm>
                    <a:prstGeom prst="rect">
                      <a:avLst/>
                    </a:prstGeom>
                    <a:noFill/>
                    <a:ln w="9525">
                      <a:noFill/>
                      <a:miter lim="800%"/>
                      <a:headEnd/>
                      <a:tailEnd/>
                    </a:ln>
                  </pic:spPr>
                </pic:pic>
              </a:graphicData>
            </a:graphic>
          </wp:inline>
        </w:drawing>
      </w:r>
    </w:p>
    <w:p w:rsidR="00655060" w:rsidRPr="00611019" w:rsidRDefault="00E56462" w:rsidP="00035D2C">
      <w:pPr>
        <w:pStyle w:val="xxxPiedeCuadroconnombre"/>
        <w:spacing w:before="0pt"/>
        <w:jc w:val="center"/>
        <w:rPr>
          <w:rFonts w:ascii="Century Gothic" w:hAnsi="Century Gothic"/>
          <w:szCs w:val="20"/>
        </w:rPr>
      </w:pPr>
      <w:r>
        <w:rPr>
          <w:rFonts w:ascii="Century Gothic" w:hAnsi="Century Gothic"/>
          <w:szCs w:val="20"/>
        </w:rPr>
        <w:t xml:space="preserve">Figura </w:t>
      </w:r>
      <w:r w:rsidR="004F0984">
        <w:rPr>
          <w:rFonts w:ascii="Century Gothic" w:hAnsi="Century Gothic"/>
          <w:szCs w:val="20"/>
        </w:rPr>
        <w:t>8</w:t>
      </w:r>
      <w:r>
        <w:rPr>
          <w:rFonts w:ascii="Century Gothic" w:hAnsi="Century Gothic"/>
          <w:szCs w:val="20"/>
        </w:rPr>
        <w:t>. Potencia espectral para señales SHDSL(SDSL) Fn (Fn=686 kHz).</w:t>
      </w:r>
    </w:p>
    <w:p w:rsidR="006F5935" w:rsidRPr="00611019" w:rsidRDefault="006F5935" w:rsidP="00035D2C">
      <w:pPr>
        <w:pStyle w:val="xxxPiedeCuadroconnombre"/>
        <w:spacing w:before="0pt"/>
        <w:jc w:val="center"/>
        <w:rPr>
          <w:rFonts w:ascii="Century Gothic" w:hAnsi="Century Gothic"/>
          <w:sz w:val="16"/>
          <w:szCs w:val="16"/>
        </w:rPr>
      </w:pPr>
    </w:p>
    <w:p w:rsidR="0097368A" w:rsidRPr="00611019" w:rsidRDefault="00E56462" w:rsidP="00035D2C">
      <w:pPr>
        <w:pStyle w:val="Ttulo3"/>
        <w:spacing w:line="13.80pt" w:lineRule="auto"/>
        <w:ind w:start="36pt" w:hanging="36pt"/>
        <w:jc w:val="start"/>
        <w:rPr>
          <w:rFonts w:ascii="Century Gothic" w:hAnsi="Century Gothic"/>
        </w:rPr>
      </w:pPr>
      <w:bookmarkStart w:id="2667" w:name="_Toc92974154"/>
      <w:bookmarkStart w:id="2668" w:name="_Toc93052465"/>
      <w:bookmarkStart w:id="2669" w:name="_Toc93056420"/>
      <w:bookmarkStart w:id="2670" w:name="_Toc125393484"/>
      <w:bookmarkStart w:id="2671" w:name="_Toc148702339"/>
      <w:bookmarkStart w:id="2672" w:name="_Toc170381953"/>
      <w:r>
        <w:rPr>
          <w:rFonts w:ascii="Century Gothic" w:hAnsi="Century Gothic"/>
        </w:rPr>
        <w:t>6.2.6</w:t>
      </w:r>
      <w:r>
        <w:rPr>
          <w:rFonts w:ascii="Century Gothic" w:hAnsi="Century Gothic"/>
        </w:rPr>
        <w:tab/>
        <w:t>ADSL/POTS DMT.</w:t>
      </w:r>
      <w:bookmarkEnd w:id="2667"/>
      <w:bookmarkEnd w:id="2668"/>
      <w:bookmarkEnd w:id="2669"/>
      <w:bookmarkEnd w:id="2670"/>
      <w:bookmarkEnd w:id="2671"/>
      <w:bookmarkEnd w:id="2672"/>
    </w:p>
    <w:p w:rsidR="00655060" w:rsidRPr="00611019" w:rsidRDefault="00E56462" w:rsidP="00035D2C">
      <w:pPr>
        <w:pStyle w:val="IFTnormal"/>
        <w:spacing w:after="6pt"/>
        <w:rPr>
          <w:rFonts w:ascii="Century Gothic" w:hAnsi="Century Gothic"/>
        </w:rPr>
      </w:pPr>
      <w:r>
        <w:rPr>
          <w:rFonts w:ascii="Century Gothic" w:hAnsi="Century Gothic"/>
        </w:rPr>
        <w:t xml:space="preserve">En el caso de las señales ADSL/POTS DMT las características espectrales se definen en términos de la potencia de banda estrecha de la señal medida sobre una carga resistiva de impedancia R. Dichas características están definidas tanto para la dirección </w:t>
      </w:r>
      <w:r>
        <w:rPr>
          <w:rFonts w:ascii="Century Gothic" w:hAnsi="Century Gothic"/>
          <w:i/>
        </w:rPr>
        <w:t>Downstream</w:t>
      </w:r>
      <w:r>
        <w:rPr>
          <w:rFonts w:ascii="Century Gothic" w:hAnsi="Century Gothic"/>
        </w:rPr>
        <w:t xml:space="preserve"> como para la dirección </w:t>
      </w:r>
      <w:r>
        <w:rPr>
          <w:rFonts w:ascii="Century Gothic" w:hAnsi="Century Gothic"/>
          <w:i/>
        </w:rPr>
        <w:t>Upstream</w:t>
      </w:r>
      <w:r>
        <w:rPr>
          <w:rFonts w:ascii="Century Gothic" w:hAnsi="Century Gothic"/>
        </w:rPr>
        <w:t>, tal como se muestra en las siguientes secciones.</w:t>
      </w:r>
    </w:p>
    <w:p w:rsidR="00655060" w:rsidRPr="00611019" w:rsidRDefault="00E56462" w:rsidP="00035D2C">
      <w:pPr>
        <w:pStyle w:val="IFTnormal"/>
        <w:rPr>
          <w:rFonts w:ascii="Century Gothic" w:hAnsi="Century Gothic"/>
        </w:rPr>
      </w:pPr>
      <w:r>
        <w:rPr>
          <w:rFonts w:ascii="Century Gothic" w:hAnsi="Century Gothic"/>
        </w:rPr>
        <w:t xml:space="preserve">Las señales de este tipo deben satisfacer simultáneamente los límites para los anchos de banda definidos mediante la etiqueta “X” así como los correspondientes a la etiqueta “Y”, lo cual implica que para algunas frecuencias se deberán realizar mediciones con dos diferentes anchos de banda. Adicionalmente los límites de la etiqueta “Y” </w:t>
      </w:r>
      <w:r>
        <w:rPr>
          <w:rFonts w:ascii="Century Gothic" w:hAnsi="Century Gothic"/>
        </w:rPr>
        <w:lastRenderedPageBreak/>
        <w:t>dependerán del valor de P0; la figura 9 muestra las PSDs correspondiente a la etiqueta Y para valores de P0 de -40,-46 y -52 dBm/Hz, etiquetadas como “Y1”, “Y2” y “Y3” respectivamente.</w:t>
      </w:r>
    </w:p>
    <w:p w:rsidR="004F0984" w:rsidRDefault="004F0984" w:rsidP="00035D2C">
      <w:pPr>
        <w:pStyle w:val="Ttulo4"/>
        <w:spacing w:before="0pt" w:after="0pt" w:line="13.80pt" w:lineRule="auto"/>
        <w:ind w:start="43.20pt" w:hanging="43.20pt"/>
        <w:rPr>
          <w:rFonts w:ascii="Century Gothic" w:hAnsi="Century Gothic"/>
          <w:sz w:val="22"/>
          <w:szCs w:val="24"/>
        </w:rPr>
      </w:pPr>
    </w:p>
    <w:p w:rsidR="0097368A" w:rsidRPr="00611019" w:rsidRDefault="00E56462" w:rsidP="00035D2C">
      <w:pPr>
        <w:pStyle w:val="Ttulo4"/>
        <w:spacing w:before="0pt" w:after="0pt" w:line="13.80pt" w:lineRule="auto"/>
        <w:ind w:start="43.20pt" w:hanging="43.20pt"/>
        <w:rPr>
          <w:rFonts w:ascii="Century Gothic" w:hAnsi="Century Gothic"/>
          <w:sz w:val="22"/>
          <w:szCs w:val="22"/>
        </w:rPr>
      </w:pPr>
      <w:r>
        <w:rPr>
          <w:rFonts w:ascii="Century Gothic" w:hAnsi="Century Gothic"/>
          <w:sz w:val="22"/>
          <w:szCs w:val="24"/>
        </w:rPr>
        <w:t>6.2.6.1</w:t>
      </w:r>
      <w:r>
        <w:rPr>
          <w:rFonts w:ascii="Century Gothic" w:hAnsi="Century Gothic"/>
          <w:sz w:val="22"/>
          <w:szCs w:val="24"/>
        </w:rPr>
        <w:tab/>
      </w:r>
      <w:r>
        <w:rPr>
          <w:rFonts w:ascii="Century Gothic" w:hAnsi="Century Gothic" w:cs="Arial"/>
          <w:color w:val="000000" w:themeColor="text1"/>
          <w:sz w:val="22"/>
          <w:szCs w:val="22"/>
        </w:rPr>
        <w:t>Downstream.</w:t>
      </w:r>
    </w:p>
    <w:p w:rsidR="00655060" w:rsidRPr="00611019" w:rsidRDefault="00E56462" w:rsidP="00035D2C">
      <w:pPr>
        <w:pStyle w:val="IFTnormal"/>
        <w:spacing w:after="6pt"/>
        <w:rPr>
          <w:rFonts w:ascii="Century Gothic" w:hAnsi="Century Gothic"/>
        </w:rPr>
      </w:pPr>
      <w:r>
        <w:rPr>
          <w:rFonts w:ascii="Century Gothic" w:hAnsi="Century Gothic"/>
        </w:rPr>
        <w:t xml:space="preserve">La Tabla 10 presenta los puntos de referencia límite definidos en la cláusula 11.2 de ETSI TR 101 830-1 V1.5.2 para la dirección </w:t>
      </w:r>
      <w:r>
        <w:rPr>
          <w:rFonts w:ascii="Century Gothic" w:hAnsi="Century Gothic"/>
          <w:i/>
        </w:rPr>
        <w:t>Downstream</w:t>
      </w:r>
      <w:r>
        <w:rPr>
          <w:rFonts w:ascii="Century Gothic" w:hAnsi="Century Gothic"/>
        </w:rPr>
        <w:t>, mientras que la Figura 9 ilustra la forma de la densidad espectral de potencia para estas señales.</w:t>
      </w:r>
    </w:p>
    <w:p w:rsidR="00655060" w:rsidRPr="00611019" w:rsidRDefault="00E56462" w:rsidP="00035D2C">
      <w:pPr>
        <w:pStyle w:val="xxxPiedeCuadroconnombre"/>
        <w:spacing w:after="3pt"/>
        <w:rPr>
          <w:rFonts w:ascii="Century Gothic" w:hAnsi="Century Gothic"/>
          <w:color w:val="000000" w:themeColor="text1"/>
          <w:szCs w:val="20"/>
        </w:rPr>
      </w:pPr>
      <w:r>
        <w:rPr>
          <w:rFonts w:ascii="Century Gothic" w:hAnsi="Century Gothic"/>
          <w:szCs w:val="20"/>
        </w:rPr>
        <w:t xml:space="preserve">Tabla 10 </w:t>
      </w:r>
      <w:r>
        <w:rPr>
          <w:rFonts w:ascii="Century Gothic" w:hAnsi="Century Gothic"/>
          <w:color w:val="000000" w:themeColor="text1"/>
          <w:szCs w:val="20"/>
        </w:rPr>
        <w:t xml:space="preserve">Puntos de referencia límite de potencia de banda estrecha para señales ADSL/POTS DMT en dirección </w:t>
      </w:r>
      <w:r>
        <w:rPr>
          <w:rFonts w:ascii="Century Gothic" w:hAnsi="Century Gothic"/>
          <w:i/>
          <w:color w:val="000000" w:themeColor="text1"/>
          <w:szCs w:val="20"/>
        </w:rPr>
        <w:t>Downstream</w:t>
      </w:r>
      <w:r>
        <w:rPr>
          <w:rFonts w:ascii="Century Gothic" w:hAnsi="Century Gothic"/>
          <w:color w:val="000000" w:themeColor="text1"/>
          <w:szCs w:val="20"/>
        </w:rPr>
        <w:t>.</w:t>
      </w:r>
    </w:p>
    <w:tbl>
      <w:tblPr>
        <w:tblStyle w:val="Cuadrculadetablaclara1"/>
        <w:tblW w:w="104.0%" w:type="pct"/>
        <w:jc w:val="center"/>
        <w:tblLayout w:type="fixed"/>
        <w:tblLook w:firstRow="1" w:lastRow="0" w:firstColumn="1" w:lastColumn="0" w:noHBand="0" w:noVBand="1"/>
      </w:tblPr>
      <w:tblGrid>
        <w:gridCol w:w="2051"/>
        <w:gridCol w:w="1368"/>
        <w:gridCol w:w="1661"/>
        <w:gridCol w:w="1856"/>
        <w:gridCol w:w="2052"/>
        <w:gridCol w:w="782"/>
      </w:tblGrid>
      <w:tr w:rsidR="0061711D" w:rsidTr="00874A64">
        <w:trPr>
          <w:trHeight w:val="380"/>
          <w:tblHeader/>
          <w:jc w:val="center"/>
        </w:trPr>
        <w:tc>
          <w:tcPr>
            <w:tcW w:w="21.0%" w:type="pct"/>
            <w:shd w:val="clear" w:color="auto" w:fill="009AD9"/>
            <w:vAlign w:val="center"/>
            <w:hideMark/>
          </w:tcPr>
          <w:p w:rsidR="00655060" w:rsidRPr="00611019" w:rsidRDefault="00E56462" w:rsidP="00035D2C">
            <w:pPr>
              <w:pStyle w:val="Formatolibre"/>
              <w:spacing w:line="13.80pt" w:lineRule="auto"/>
              <w:jc w:val="center"/>
              <w:rPr>
                <w:rFonts w:ascii="Century Gothic" w:hAnsi="Century Gothic" w:cs="Arial"/>
                <w:b/>
                <w:color w:val="FFFFFF" w:themeColor="background1"/>
                <w:sz w:val="20"/>
              </w:rPr>
            </w:pPr>
            <w:r>
              <w:rPr>
                <w:rFonts w:ascii="Century Gothic" w:hAnsi="Century Gothic" w:cs="Arial"/>
                <w:b/>
                <w:color w:val="FFFFFF" w:themeColor="background1"/>
                <w:sz w:val="20"/>
              </w:rPr>
              <w:t>Frecuencia Central</w:t>
            </w:r>
          </w:p>
          <w:p w:rsidR="00655060" w:rsidRPr="00611019" w:rsidRDefault="00E56462" w:rsidP="00035D2C">
            <w:pPr>
              <w:pStyle w:val="Formatolibre"/>
              <w:spacing w:line="13.80pt" w:lineRule="auto"/>
              <w:jc w:val="center"/>
              <w:rPr>
                <w:rFonts w:ascii="Century Gothic" w:hAnsi="Century Gothic" w:cs="Arial"/>
                <w:color w:val="FFFFFF" w:themeColor="background1"/>
                <w:sz w:val="20"/>
              </w:rPr>
            </w:pPr>
            <w:r>
              <w:rPr>
                <w:rFonts w:ascii="Century Gothic" w:hAnsi="Century Gothic" w:cs="Arial"/>
                <w:b/>
                <w:color w:val="FFFFFF" w:themeColor="background1"/>
                <w:sz w:val="20"/>
              </w:rPr>
              <w:t>f</w:t>
            </w:r>
          </w:p>
        </w:tc>
        <w:tc>
          <w:tcPr>
            <w:tcW w:w="14.0%" w:type="pct"/>
            <w:shd w:val="clear" w:color="auto" w:fill="009AD9"/>
            <w:vAlign w:val="center"/>
            <w:hideMark/>
          </w:tcPr>
          <w:p w:rsidR="00655060" w:rsidRPr="00611019" w:rsidRDefault="00E56462" w:rsidP="00035D2C">
            <w:pPr>
              <w:pStyle w:val="Formatolibre"/>
              <w:spacing w:line="13.80pt" w:lineRule="auto"/>
              <w:jc w:val="center"/>
              <w:rPr>
                <w:rFonts w:ascii="Century Gothic" w:hAnsi="Century Gothic" w:cs="Arial"/>
                <w:b/>
                <w:color w:val="FFFFFF" w:themeColor="background1"/>
                <w:sz w:val="20"/>
              </w:rPr>
            </w:pPr>
            <w:r>
              <w:rPr>
                <w:rFonts w:ascii="Century Gothic" w:hAnsi="Century Gothic" w:cs="Arial"/>
                <w:b/>
                <w:color w:val="FFFFFF" w:themeColor="background1"/>
                <w:sz w:val="20"/>
              </w:rPr>
              <w:t>Impedancia</w:t>
            </w:r>
          </w:p>
          <w:p w:rsidR="00655060" w:rsidRPr="00611019" w:rsidRDefault="00E56462" w:rsidP="00035D2C">
            <w:pPr>
              <w:pStyle w:val="Formatolibre"/>
              <w:spacing w:line="13.80pt" w:lineRule="auto"/>
              <w:jc w:val="center"/>
              <w:rPr>
                <w:rFonts w:ascii="Century Gothic" w:hAnsi="Century Gothic" w:cs="Arial"/>
                <w:color w:val="FFFFFF" w:themeColor="background1"/>
                <w:sz w:val="20"/>
              </w:rPr>
            </w:pPr>
            <w:r>
              <w:rPr>
                <w:rFonts w:ascii="Century Gothic" w:hAnsi="Century Gothic" w:cs="Arial"/>
                <w:b/>
                <w:color w:val="FFFFFF" w:themeColor="background1"/>
                <w:sz w:val="20"/>
              </w:rPr>
              <w:t>R</w:t>
            </w:r>
          </w:p>
        </w:tc>
        <w:tc>
          <w:tcPr>
            <w:tcW w:w="17.0%" w:type="pct"/>
            <w:shd w:val="clear" w:color="auto" w:fill="009AD9"/>
            <w:vAlign w:val="center"/>
            <w:hideMark/>
          </w:tcPr>
          <w:p w:rsidR="00655060" w:rsidRPr="00611019" w:rsidRDefault="00E56462" w:rsidP="00035D2C">
            <w:pPr>
              <w:pStyle w:val="Formatolibre"/>
              <w:spacing w:line="13.80pt" w:lineRule="auto"/>
              <w:jc w:val="center"/>
              <w:rPr>
                <w:rFonts w:ascii="Century Gothic" w:hAnsi="Century Gothic" w:cs="Arial"/>
                <w:b/>
                <w:color w:val="FFFFFF" w:themeColor="background1"/>
                <w:sz w:val="20"/>
              </w:rPr>
            </w:pPr>
            <w:r>
              <w:rPr>
                <w:rFonts w:ascii="Century Gothic" w:hAnsi="Century Gothic" w:cs="Arial"/>
                <w:b/>
                <w:color w:val="FFFFFF" w:themeColor="background1"/>
                <w:sz w:val="20"/>
              </w:rPr>
              <w:t>Nivel de Señal</w:t>
            </w:r>
          </w:p>
          <w:p w:rsidR="00655060" w:rsidRPr="00611019" w:rsidRDefault="00E56462" w:rsidP="00035D2C">
            <w:pPr>
              <w:pStyle w:val="Formatolibre"/>
              <w:spacing w:line="13.80pt" w:lineRule="auto"/>
              <w:jc w:val="center"/>
              <w:rPr>
                <w:rFonts w:ascii="Century Gothic" w:hAnsi="Century Gothic" w:cs="Arial"/>
                <w:color w:val="FFFFFF" w:themeColor="background1"/>
                <w:sz w:val="20"/>
              </w:rPr>
            </w:pPr>
            <w:r>
              <w:rPr>
                <w:rFonts w:ascii="Century Gothic" w:hAnsi="Century Gothic" w:cs="Arial"/>
                <w:b/>
                <w:color w:val="FFFFFF" w:themeColor="background1"/>
                <w:sz w:val="20"/>
              </w:rPr>
              <w:t>P</w:t>
            </w:r>
          </w:p>
        </w:tc>
        <w:tc>
          <w:tcPr>
            <w:tcW w:w="19.0%" w:type="pct"/>
            <w:shd w:val="clear" w:color="auto" w:fill="009AD9"/>
            <w:vAlign w:val="center"/>
            <w:hideMark/>
          </w:tcPr>
          <w:p w:rsidR="00655060" w:rsidRPr="00611019" w:rsidRDefault="00E56462" w:rsidP="00035D2C">
            <w:pPr>
              <w:pStyle w:val="Formatolibre"/>
              <w:spacing w:line="13.80pt" w:lineRule="auto"/>
              <w:jc w:val="center"/>
              <w:rPr>
                <w:rFonts w:ascii="Century Gothic" w:hAnsi="Century Gothic" w:cs="Arial"/>
                <w:b/>
                <w:color w:val="FFFFFF" w:themeColor="background1"/>
                <w:sz w:val="20"/>
              </w:rPr>
            </w:pPr>
            <w:r>
              <w:rPr>
                <w:rFonts w:ascii="Century Gothic" w:hAnsi="Century Gothic" w:cs="Arial"/>
                <w:b/>
                <w:color w:val="FFFFFF" w:themeColor="background1"/>
                <w:sz w:val="20"/>
              </w:rPr>
              <w:t>Ancho de Banda</w:t>
            </w:r>
          </w:p>
          <w:p w:rsidR="00655060" w:rsidRPr="00611019" w:rsidRDefault="00E56462" w:rsidP="00035D2C">
            <w:pPr>
              <w:pStyle w:val="Formatolibre"/>
              <w:spacing w:line="13.80pt" w:lineRule="auto"/>
              <w:jc w:val="center"/>
              <w:rPr>
                <w:rFonts w:ascii="Century Gothic" w:hAnsi="Century Gothic" w:cs="Arial"/>
                <w:color w:val="FFFFFF" w:themeColor="background1"/>
                <w:sz w:val="20"/>
              </w:rPr>
            </w:pPr>
            <w:r>
              <w:rPr>
                <w:rFonts w:ascii="Century Gothic" w:hAnsi="Century Gothic" w:cs="Arial"/>
                <w:b/>
                <w:color w:val="FFFFFF" w:themeColor="background1"/>
                <w:sz w:val="20"/>
              </w:rPr>
              <w:t>B</w:t>
            </w:r>
          </w:p>
        </w:tc>
        <w:tc>
          <w:tcPr>
            <w:tcW w:w="21.0%" w:type="pct"/>
            <w:shd w:val="clear" w:color="auto" w:fill="009AD9"/>
            <w:vAlign w:val="center"/>
            <w:hideMark/>
          </w:tcPr>
          <w:p w:rsidR="00655060" w:rsidRPr="00611019" w:rsidRDefault="00E56462" w:rsidP="00035D2C">
            <w:pPr>
              <w:pStyle w:val="Formatolibre"/>
              <w:spacing w:line="13.80pt" w:lineRule="auto"/>
              <w:jc w:val="center"/>
              <w:rPr>
                <w:rFonts w:ascii="Century Gothic" w:hAnsi="Century Gothic" w:cs="Arial"/>
                <w:b/>
                <w:color w:val="FFFFFF" w:themeColor="background1"/>
                <w:sz w:val="20"/>
              </w:rPr>
            </w:pPr>
            <w:r>
              <w:rPr>
                <w:rFonts w:ascii="Century Gothic" w:hAnsi="Century Gothic" w:cs="Arial"/>
                <w:b/>
                <w:color w:val="FFFFFF" w:themeColor="background1"/>
                <w:sz w:val="20"/>
              </w:rPr>
              <w:t>Potencia Espectral</w:t>
            </w:r>
          </w:p>
          <w:p w:rsidR="00655060" w:rsidRPr="00611019" w:rsidRDefault="00E56462" w:rsidP="00035D2C">
            <w:pPr>
              <w:pStyle w:val="Formatolibre"/>
              <w:spacing w:line="13.80pt" w:lineRule="auto"/>
              <w:jc w:val="center"/>
              <w:rPr>
                <w:rFonts w:ascii="Century Gothic" w:hAnsi="Century Gothic" w:cs="Arial"/>
                <w:color w:val="FFFFFF" w:themeColor="background1"/>
                <w:sz w:val="20"/>
              </w:rPr>
            </w:pPr>
            <w:r>
              <w:rPr>
                <w:rFonts w:ascii="Century Gothic" w:hAnsi="Century Gothic" w:cs="Arial"/>
                <w:b/>
                <w:color w:val="FFFFFF" w:themeColor="background1"/>
                <w:sz w:val="20"/>
              </w:rPr>
              <w:t>P/B</w:t>
            </w:r>
          </w:p>
        </w:tc>
        <w:tc>
          <w:tcPr>
            <w:tcW w:w="5.0%" w:type="pct"/>
            <w:shd w:val="clear" w:color="auto" w:fill="009AD9"/>
            <w:hideMark/>
          </w:tcPr>
          <w:p w:rsidR="00655060" w:rsidRPr="00611019" w:rsidRDefault="00655060" w:rsidP="00035D2C">
            <w:pPr>
              <w:pStyle w:val="Formatolibre"/>
              <w:spacing w:line="13.80pt" w:lineRule="auto"/>
              <w:jc w:val="center"/>
              <w:rPr>
                <w:rFonts w:ascii="Century Gothic" w:hAnsi="Century Gothic" w:cs="Arial"/>
                <w:color w:val="FFFFFF" w:themeColor="background1"/>
                <w:sz w:val="20"/>
              </w:rPr>
            </w:pPr>
          </w:p>
        </w:tc>
      </w:tr>
      <w:tr w:rsidR="0061711D" w:rsidTr="00874A64">
        <w:trPr>
          <w:trHeight w:val="439"/>
          <w:jc w:val="center"/>
        </w:trPr>
        <w:tc>
          <w:tcPr>
            <w:tcW w:w="21.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0,1 kHz</w:t>
            </w:r>
            <w:r>
              <w:rPr>
                <w:rFonts w:ascii="Century Gothic" w:hAnsi="Century Gothic" w:cs="Arial"/>
                <w:color w:val="000000" w:themeColor="text1"/>
                <w:sz w:val="20"/>
              </w:rPr>
              <w:br/>
              <w:t>1 kHz</w:t>
            </w:r>
          </w:p>
        </w:tc>
        <w:tc>
          <w:tcPr>
            <w:tcW w:w="14.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600 Ω</w:t>
            </w:r>
            <w:r>
              <w:rPr>
                <w:rFonts w:ascii="Century Gothic" w:hAnsi="Century Gothic" w:cs="Arial"/>
                <w:color w:val="000000" w:themeColor="text1"/>
                <w:sz w:val="20"/>
              </w:rPr>
              <w:br/>
              <w:t>600 Ω</w:t>
            </w:r>
          </w:p>
        </w:tc>
        <w:tc>
          <w:tcPr>
            <w:tcW w:w="17.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-77,5 dBm</w:t>
            </w:r>
            <w:r>
              <w:rPr>
                <w:rFonts w:ascii="Century Gothic" w:hAnsi="Century Gothic" w:cs="Arial"/>
                <w:color w:val="000000" w:themeColor="text1"/>
                <w:sz w:val="20"/>
              </w:rPr>
              <w:br/>
              <w:t>-77,5 dBm</w:t>
            </w:r>
          </w:p>
        </w:tc>
        <w:tc>
          <w:tcPr>
            <w:tcW w:w="19.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100 Hz</w:t>
            </w:r>
            <w:r>
              <w:rPr>
                <w:rFonts w:ascii="Century Gothic" w:hAnsi="Century Gothic" w:cs="Arial"/>
                <w:color w:val="000000" w:themeColor="text1"/>
                <w:sz w:val="20"/>
              </w:rPr>
              <w:br/>
              <w:t>100 Hz</w:t>
            </w:r>
          </w:p>
        </w:tc>
        <w:tc>
          <w:tcPr>
            <w:tcW w:w="21.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-97,5 dBm/Hz</w:t>
            </w:r>
            <w:r>
              <w:rPr>
                <w:rFonts w:ascii="Century Gothic" w:hAnsi="Century Gothic" w:cs="Arial"/>
                <w:color w:val="000000" w:themeColor="text1"/>
                <w:sz w:val="20"/>
              </w:rPr>
              <w:br/>
              <w:t>-97,5 dBm/Hz</w:t>
            </w:r>
          </w:p>
        </w:tc>
        <w:tc>
          <w:tcPr>
            <w:tcW w:w="5.0%" w:type="pct"/>
            <w:vMerge w:val="restar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"X"</w:t>
            </w:r>
          </w:p>
        </w:tc>
      </w:tr>
      <w:tr w:rsidR="0061711D" w:rsidTr="00874A64">
        <w:trPr>
          <w:trHeight w:val="439"/>
          <w:jc w:val="center"/>
        </w:trPr>
        <w:tc>
          <w:tcPr>
            <w:tcW w:w="21.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 kHz</w:t>
            </w:r>
            <w:r>
              <w:rPr>
                <w:rFonts w:ascii="Century Gothic" w:hAnsi="Century Gothic" w:cs="Arial"/>
                <w:color w:val="000000" w:themeColor="text1"/>
                <w:sz w:val="20"/>
              </w:rPr>
              <w:br/>
              <w:t>4 kHz</w:t>
            </w:r>
          </w:p>
        </w:tc>
        <w:tc>
          <w:tcPr>
            <w:tcW w:w="14.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600 Ω</w:t>
            </w:r>
            <w:r>
              <w:rPr>
                <w:rFonts w:ascii="Century Gothic" w:hAnsi="Century Gothic" w:cs="Arial"/>
                <w:color w:val="000000" w:themeColor="text1"/>
                <w:sz w:val="20"/>
              </w:rPr>
              <w:br/>
              <w:t>600 Ω</w:t>
            </w:r>
          </w:p>
        </w:tc>
        <w:tc>
          <w:tcPr>
            <w:tcW w:w="17.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-67,5 dBm</w:t>
            </w:r>
            <w:r>
              <w:rPr>
                <w:rFonts w:ascii="Century Gothic" w:hAnsi="Century Gothic" w:cs="Arial"/>
                <w:color w:val="000000" w:themeColor="text1"/>
                <w:sz w:val="20"/>
              </w:rPr>
              <w:br/>
              <w:t>-67,5 dBm</w:t>
            </w:r>
          </w:p>
        </w:tc>
        <w:tc>
          <w:tcPr>
            <w:tcW w:w="19.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 kHz</w:t>
            </w:r>
            <w:r>
              <w:rPr>
                <w:rFonts w:ascii="Century Gothic" w:hAnsi="Century Gothic" w:cs="Arial"/>
                <w:color w:val="000000" w:themeColor="text1"/>
                <w:sz w:val="20"/>
              </w:rPr>
              <w:br/>
              <w:t>1 kHz</w:t>
            </w:r>
          </w:p>
        </w:tc>
        <w:tc>
          <w:tcPr>
            <w:tcW w:w="21.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-97,5 dBm/Hz</w:t>
            </w:r>
            <w:r>
              <w:rPr>
                <w:rFonts w:ascii="Century Gothic" w:hAnsi="Century Gothic" w:cs="Arial"/>
                <w:color w:val="000000" w:themeColor="text1"/>
                <w:sz w:val="20"/>
              </w:rPr>
              <w:br/>
              <w:t>-97,5 dBm/Hz</w:t>
            </w:r>
          </w:p>
        </w:tc>
        <w:tc>
          <w:tcPr>
            <w:tcW w:w="5.0%" w:type="pct"/>
            <w:vMerge/>
            <w:hideMark/>
          </w:tcPr>
          <w:p w:rsidR="00655060" w:rsidRPr="00611019" w:rsidRDefault="00655060" w:rsidP="00035D2C">
            <w:pPr>
              <w:pStyle w:val="Formatolibre"/>
              <w:spacing w:before="2pt" w:after="2pt" w:line="13.80pt" w:lineRule="auto"/>
              <w:jc w:val="center"/>
              <w:rPr>
                <w:rFonts w:ascii="Century Gothic" w:hAnsi="Century Gothic" w:cs="Arial"/>
                <w:color w:val="000000" w:themeColor="text1"/>
                <w:sz w:val="20"/>
              </w:rPr>
            </w:pPr>
          </w:p>
        </w:tc>
      </w:tr>
      <w:tr w:rsidR="0061711D" w:rsidRPr="00D12671" w:rsidTr="00874A64">
        <w:trPr>
          <w:trHeight w:val="563"/>
          <w:jc w:val="center"/>
        </w:trPr>
        <w:tc>
          <w:tcPr>
            <w:tcW w:w="21.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4 kHz</w:t>
            </w:r>
            <w:r>
              <w:rPr>
                <w:rFonts w:ascii="Century Gothic" w:hAnsi="Century Gothic" w:cs="Arial"/>
                <w:color w:val="000000" w:themeColor="text1"/>
                <w:sz w:val="20"/>
              </w:rPr>
              <w:br/>
              <w:t>80 kHz</w:t>
            </w:r>
            <w:r>
              <w:rPr>
                <w:rFonts w:ascii="Century Gothic" w:hAnsi="Century Gothic" w:cs="Arial"/>
                <w:color w:val="000000" w:themeColor="text1"/>
                <w:sz w:val="20"/>
              </w:rPr>
              <w:br/>
              <w:t>137,9 kHz</w:t>
            </w:r>
            <w:r>
              <w:rPr>
                <w:rFonts w:ascii="Century Gothic" w:hAnsi="Century Gothic" w:cs="Arial"/>
                <w:color w:val="000000" w:themeColor="text1"/>
                <w:sz w:val="20"/>
              </w:rPr>
              <w:br/>
              <w:t>138 kHz</w:t>
            </w:r>
            <w:r>
              <w:rPr>
                <w:rFonts w:ascii="Century Gothic" w:hAnsi="Century Gothic" w:cs="Arial"/>
                <w:color w:val="000000" w:themeColor="text1"/>
                <w:sz w:val="20"/>
              </w:rPr>
              <w:br/>
              <w:t>1 104 kHz</w:t>
            </w:r>
            <w:r>
              <w:rPr>
                <w:rFonts w:ascii="Century Gothic" w:hAnsi="Century Gothic" w:cs="Arial"/>
                <w:color w:val="000000" w:themeColor="text1"/>
                <w:sz w:val="20"/>
              </w:rPr>
              <w:br/>
              <w:t>3 093 kHz</w:t>
            </w:r>
            <w:r>
              <w:rPr>
                <w:rFonts w:ascii="Century Gothic" w:hAnsi="Century Gothic" w:cs="Arial"/>
                <w:color w:val="000000" w:themeColor="text1"/>
                <w:sz w:val="20"/>
              </w:rPr>
              <w:br/>
              <w:t>11 040 kHz</w:t>
            </w:r>
            <w:r>
              <w:rPr>
                <w:rFonts w:ascii="Century Gothic" w:hAnsi="Century Gothic" w:cs="Arial"/>
                <w:color w:val="000000" w:themeColor="text1"/>
                <w:sz w:val="20"/>
              </w:rPr>
              <w:br/>
              <w:t>30 000 kHz</w:t>
            </w:r>
          </w:p>
        </w:tc>
        <w:tc>
          <w:tcPr>
            <w:tcW w:w="14.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100 Ω</w:t>
            </w:r>
            <w:r>
              <w:rPr>
                <w:rFonts w:ascii="Century Gothic" w:hAnsi="Century Gothic" w:cs="Arial"/>
                <w:color w:val="000000" w:themeColor="text1"/>
                <w:sz w:val="20"/>
              </w:rPr>
              <w:br/>
              <w:t>100 Ω</w:t>
            </w:r>
            <w:r>
              <w:rPr>
                <w:rFonts w:ascii="Century Gothic" w:hAnsi="Century Gothic" w:cs="Arial"/>
                <w:color w:val="000000" w:themeColor="text1"/>
                <w:sz w:val="20"/>
              </w:rPr>
              <w:br/>
              <w:t>100 Ω</w:t>
            </w:r>
            <w:r>
              <w:rPr>
                <w:rFonts w:ascii="Century Gothic" w:hAnsi="Century Gothic" w:cs="Arial"/>
                <w:color w:val="000000" w:themeColor="text1"/>
                <w:sz w:val="20"/>
              </w:rPr>
              <w:br/>
              <w:t>100 Ω</w:t>
            </w:r>
            <w:r>
              <w:rPr>
                <w:rFonts w:ascii="Century Gothic" w:hAnsi="Century Gothic" w:cs="Arial"/>
                <w:color w:val="000000" w:themeColor="text1"/>
                <w:sz w:val="20"/>
              </w:rPr>
              <w:br/>
              <w:t>100 Ω</w:t>
            </w:r>
            <w:r>
              <w:rPr>
                <w:rFonts w:ascii="Century Gothic" w:hAnsi="Century Gothic" w:cs="Arial"/>
                <w:color w:val="000000" w:themeColor="text1"/>
                <w:sz w:val="20"/>
              </w:rPr>
              <w:br/>
              <w:t>100 Ω</w:t>
            </w:r>
            <w:r>
              <w:rPr>
                <w:rFonts w:ascii="Century Gothic" w:hAnsi="Century Gothic" w:cs="Arial"/>
                <w:color w:val="000000" w:themeColor="text1"/>
                <w:sz w:val="20"/>
              </w:rPr>
              <w:br/>
              <w:t>100 Ω</w:t>
            </w:r>
            <w:r>
              <w:rPr>
                <w:rFonts w:ascii="Century Gothic" w:hAnsi="Century Gothic" w:cs="Arial"/>
                <w:color w:val="000000" w:themeColor="text1"/>
                <w:sz w:val="20"/>
              </w:rPr>
              <w:br/>
              <w:t>100 Ω</w:t>
            </w:r>
          </w:p>
        </w:tc>
        <w:tc>
          <w:tcPr>
            <w:tcW w:w="17.0%" w:type="pct"/>
            <w:hideMark/>
          </w:tcPr>
          <w:p w:rsidR="00655060" w:rsidRPr="00721B79" w:rsidRDefault="00E56462" w:rsidP="00035D2C">
            <w:pPr>
              <w:pStyle w:val="Formatolibre"/>
              <w:spacing w:before="2pt" w:after="2pt" w:line="13.80pt" w:lineRule="auto"/>
              <w:jc w:val="center"/>
              <w:rPr>
                <w:rFonts w:ascii="Century Gothic" w:hAnsi="Century Gothic" w:cs="Arial"/>
                <w:color w:val="000000" w:themeColor="text1"/>
                <w:sz w:val="20"/>
                <w:lang w:val="en-US"/>
              </w:rPr>
            </w:pPr>
            <w:r w:rsidRPr="00721B79">
              <w:rPr>
                <w:rFonts w:ascii="Century Gothic" w:hAnsi="Century Gothic" w:cs="Arial"/>
                <w:color w:val="000000" w:themeColor="text1"/>
                <w:sz w:val="20"/>
                <w:lang w:val="en-US"/>
              </w:rPr>
              <w:t>-52,5 dBm</w:t>
            </w:r>
            <w:r w:rsidRPr="00721B79">
              <w:rPr>
                <w:rFonts w:ascii="Century Gothic" w:hAnsi="Century Gothic" w:cs="Arial"/>
                <w:color w:val="000000" w:themeColor="text1"/>
                <w:sz w:val="20"/>
                <w:lang w:val="en-US"/>
              </w:rPr>
              <w:br/>
              <w:t>-32,5 dBm</w:t>
            </w:r>
            <w:r w:rsidRPr="00721B79">
              <w:rPr>
                <w:rFonts w:ascii="Century Gothic" w:hAnsi="Century Gothic" w:cs="Arial"/>
                <w:color w:val="000000" w:themeColor="text1"/>
                <w:sz w:val="20"/>
                <w:lang w:val="en-US"/>
              </w:rPr>
              <w:br/>
              <w:t>-4,2 dBm</w:t>
            </w:r>
            <w:r w:rsidRPr="00721B79">
              <w:rPr>
                <w:rFonts w:ascii="Century Gothic" w:hAnsi="Century Gothic" w:cs="Arial"/>
                <w:color w:val="000000" w:themeColor="text1"/>
                <w:sz w:val="20"/>
                <w:lang w:val="en-US"/>
              </w:rPr>
              <w:br/>
              <w:t>+3,5 dBm</w:t>
            </w:r>
            <w:r w:rsidRPr="00721B79">
              <w:rPr>
                <w:rFonts w:ascii="Century Gothic" w:hAnsi="Century Gothic" w:cs="Arial"/>
                <w:color w:val="000000" w:themeColor="text1"/>
                <w:sz w:val="20"/>
                <w:lang w:val="en-US"/>
              </w:rPr>
              <w:br/>
              <w:t>+3,5 dBm</w:t>
            </w:r>
            <w:r w:rsidRPr="00721B79">
              <w:rPr>
                <w:rFonts w:ascii="Century Gothic" w:hAnsi="Century Gothic" w:cs="Arial"/>
                <w:color w:val="000000" w:themeColor="text1"/>
                <w:sz w:val="20"/>
                <w:lang w:val="en-US"/>
              </w:rPr>
              <w:br/>
              <w:t>-50 dBm</w:t>
            </w:r>
            <w:r w:rsidRPr="00721B79">
              <w:rPr>
                <w:rFonts w:ascii="Century Gothic" w:hAnsi="Century Gothic" w:cs="Arial"/>
                <w:color w:val="000000" w:themeColor="text1"/>
                <w:sz w:val="20"/>
                <w:lang w:val="en-US"/>
              </w:rPr>
              <w:br/>
              <w:t>-50 dBm</w:t>
            </w:r>
            <w:r w:rsidRPr="00721B79">
              <w:rPr>
                <w:rFonts w:ascii="Century Gothic" w:hAnsi="Century Gothic" w:cs="Arial"/>
                <w:color w:val="000000" w:themeColor="text1"/>
                <w:sz w:val="20"/>
                <w:lang w:val="en-US"/>
              </w:rPr>
              <w:br/>
              <w:t>-50 dBm</w:t>
            </w:r>
          </w:p>
        </w:tc>
        <w:tc>
          <w:tcPr>
            <w:tcW w:w="19.0%" w:type="pct"/>
            <w:hideMark/>
          </w:tcPr>
          <w:p w:rsidR="00655060" w:rsidRPr="00721B79" w:rsidRDefault="00E56462" w:rsidP="00035D2C">
            <w:pPr>
              <w:pStyle w:val="Formatolibre"/>
              <w:spacing w:before="2pt" w:after="2pt" w:line="13.80pt" w:lineRule="auto"/>
              <w:jc w:val="center"/>
              <w:rPr>
                <w:rFonts w:ascii="Century Gothic" w:hAnsi="Century Gothic" w:cs="Arial"/>
                <w:color w:val="000000" w:themeColor="text1"/>
                <w:sz w:val="20"/>
                <w:lang w:val="en-US"/>
              </w:rPr>
            </w:pPr>
            <w:r w:rsidRPr="00721B79">
              <w:rPr>
                <w:rFonts w:ascii="Century Gothic" w:hAnsi="Century Gothic" w:cs="Arial"/>
                <w:color w:val="000000" w:themeColor="text1"/>
                <w:sz w:val="20"/>
                <w:lang w:val="en-US"/>
              </w:rPr>
              <w:t>10 kHz</w:t>
            </w:r>
            <w:r w:rsidRPr="00721B79">
              <w:rPr>
                <w:rFonts w:ascii="Century Gothic" w:hAnsi="Century Gothic" w:cs="Arial"/>
                <w:color w:val="000000" w:themeColor="text1"/>
                <w:sz w:val="20"/>
                <w:lang w:val="en-US"/>
              </w:rPr>
              <w:br/>
              <w:t>10 kHz</w:t>
            </w:r>
            <w:r w:rsidRPr="00721B79">
              <w:rPr>
                <w:rFonts w:ascii="Century Gothic" w:hAnsi="Century Gothic" w:cs="Arial"/>
                <w:color w:val="000000" w:themeColor="text1"/>
                <w:sz w:val="20"/>
                <w:lang w:val="en-US"/>
              </w:rPr>
              <w:br/>
              <w:t>10 kHz</w:t>
            </w:r>
            <w:r w:rsidRPr="00721B79">
              <w:rPr>
                <w:rFonts w:ascii="Century Gothic" w:hAnsi="Century Gothic" w:cs="Arial"/>
                <w:color w:val="000000" w:themeColor="text1"/>
                <w:sz w:val="20"/>
                <w:lang w:val="en-US"/>
              </w:rPr>
              <w:br/>
              <w:t>10 kHz</w:t>
            </w:r>
            <w:r w:rsidRPr="00721B79">
              <w:rPr>
                <w:rFonts w:ascii="Century Gothic" w:hAnsi="Century Gothic" w:cs="Arial"/>
                <w:color w:val="000000" w:themeColor="text1"/>
                <w:sz w:val="20"/>
                <w:lang w:val="en-US"/>
              </w:rPr>
              <w:br/>
              <w:t>10 kHz</w:t>
            </w:r>
            <w:r w:rsidRPr="00721B79">
              <w:rPr>
                <w:rFonts w:ascii="Century Gothic" w:hAnsi="Century Gothic" w:cs="Arial"/>
                <w:color w:val="000000" w:themeColor="text1"/>
                <w:sz w:val="20"/>
                <w:lang w:val="en-US"/>
              </w:rPr>
              <w:br/>
              <w:t>10 kHz</w:t>
            </w:r>
            <w:r w:rsidRPr="00721B79">
              <w:rPr>
                <w:rFonts w:ascii="Century Gothic" w:hAnsi="Century Gothic" w:cs="Arial"/>
                <w:color w:val="000000" w:themeColor="text1"/>
                <w:sz w:val="20"/>
                <w:lang w:val="en-US"/>
              </w:rPr>
              <w:br/>
              <w:t>10 kHz</w:t>
            </w:r>
            <w:r w:rsidRPr="00721B79">
              <w:rPr>
                <w:rFonts w:ascii="Century Gothic" w:hAnsi="Century Gothic" w:cs="Arial"/>
                <w:color w:val="000000" w:themeColor="text1"/>
                <w:sz w:val="20"/>
                <w:lang w:val="en-US"/>
              </w:rPr>
              <w:br/>
              <w:t>10 kHz</w:t>
            </w:r>
          </w:p>
        </w:tc>
        <w:tc>
          <w:tcPr>
            <w:tcW w:w="21.0%" w:type="pct"/>
            <w:hideMark/>
          </w:tcPr>
          <w:p w:rsidR="00655060" w:rsidRPr="00721B79" w:rsidRDefault="00E56462" w:rsidP="00035D2C">
            <w:pPr>
              <w:pStyle w:val="Formatolibre"/>
              <w:spacing w:before="2pt" w:after="2pt" w:line="13.80pt" w:lineRule="auto"/>
              <w:jc w:val="center"/>
              <w:rPr>
                <w:rFonts w:ascii="Century Gothic" w:hAnsi="Century Gothic" w:cs="Arial"/>
                <w:color w:val="000000" w:themeColor="text1"/>
                <w:sz w:val="20"/>
                <w:lang w:val="en-US"/>
              </w:rPr>
            </w:pPr>
            <w:r w:rsidRPr="00721B79">
              <w:rPr>
                <w:rFonts w:ascii="Century Gothic" w:hAnsi="Century Gothic" w:cs="Arial"/>
                <w:color w:val="000000" w:themeColor="text1"/>
                <w:sz w:val="20"/>
                <w:lang w:val="en-US"/>
              </w:rPr>
              <w:t>-92,5 dBm/Hz</w:t>
            </w:r>
            <w:r w:rsidRPr="00721B79">
              <w:rPr>
                <w:rFonts w:ascii="Century Gothic" w:hAnsi="Century Gothic" w:cs="Arial"/>
                <w:color w:val="000000" w:themeColor="text1"/>
                <w:sz w:val="20"/>
                <w:lang w:val="en-US"/>
              </w:rPr>
              <w:br/>
              <w:t>-72,5 dBm/Hz</w:t>
            </w:r>
            <w:r w:rsidRPr="00721B79">
              <w:rPr>
                <w:rFonts w:ascii="Century Gothic" w:hAnsi="Century Gothic" w:cs="Arial"/>
                <w:color w:val="000000" w:themeColor="text1"/>
                <w:sz w:val="20"/>
                <w:lang w:val="en-US"/>
              </w:rPr>
              <w:br/>
              <w:t>-44,2 dBm/Hz</w:t>
            </w:r>
            <w:r w:rsidRPr="00721B79">
              <w:rPr>
                <w:rFonts w:ascii="Century Gothic" w:hAnsi="Century Gothic" w:cs="Arial"/>
                <w:color w:val="000000" w:themeColor="text1"/>
                <w:sz w:val="20"/>
                <w:lang w:val="en-US"/>
              </w:rPr>
              <w:br/>
              <w:t>-36,5 dBm/Hz</w:t>
            </w:r>
            <w:r w:rsidRPr="00721B79">
              <w:rPr>
                <w:rFonts w:ascii="Century Gothic" w:hAnsi="Century Gothic" w:cs="Arial"/>
                <w:color w:val="000000" w:themeColor="text1"/>
                <w:sz w:val="20"/>
                <w:lang w:val="en-US"/>
              </w:rPr>
              <w:br/>
              <w:t>-36,5 dBm/Hz</w:t>
            </w:r>
            <w:r w:rsidRPr="00721B79">
              <w:rPr>
                <w:rFonts w:ascii="Century Gothic" w:hAnsi="Century Gothic" w:cs="Arial"/>
                <w:color w:val="000000" w:themeColor="text1"/>
                <w:sz w:val="20"/>
                <w:lang w:val="en-US"/>
              </w:rPr>
              <w:br/>
              <w:t>-90 dBm/Hz</w:t>
            </w:r>
            <w:r w:rsidRPr="00721B79">
              <w:rPr>
                <w:rFonts w:ascii="Century Gothic" w:hAnsi="Century Gothic" w:cs="Arial"/>
                <w:color w:val="000000" w:themeColor="text1"/>
                <w:sz w:val="20"/>
                <w:lang w:val="en-US"/>
              </w:rPr>
              <w:br/>
              <w:t>-90 dBm/Hz</w:t>
            </w:r>
            <w:r w:rsidRPr="00721B79">
              <w:rPr>
                <w:rFonts w:ascii="Century Gothic" w:hAnsi="Century Gothic" w:cs="Arial"/>
                <w:color w:val="000000" w:themeColor="text1"/>
                <w:sz w:val="20"/>
                <w:lang w:val="en-US"/>
              </w:rPr>
              <w:br/>
              <w:t>-90 dBm/Hz</w:t>
            </w:r>
          </w:p>
        </w:tc>
        <w:tc>
          <w:tcPr>
            <w:tcW w:w="5.0%" w:type="pct"/>
            <w:hideMark/>
          </w:tcPr>
          <w:p w:rsidR="00655060" w:rsidRPr="00721B79" w:rsidRDefault="00655060" w:rsidP="00035D2C">
            <w:pPr>
              <w:pStyle w:val="Formatolibre"/>
              <w:spacing w:before="2pt" w:after="2pt" w:line="13.80pt" w:lineRule="auto"/>
              <w:jc w:val="center"/>
              <w:rPr>
                <w:rFonts w:ascii="Century Gothic" w:hAnsi="Century Gothic" w:cs="Arial"/>
                <w:color w:val="000000" w:themeColor="text1"/>
                <w:sz w:val="20"/>
                <w:lang w:val="en-US"/>
              </w:rPr>
            </w:pPr>
          </w:p>
        </w:tc>
      </w:tr>
      <w:tr w:rsidR="0061711D" w:rsidTr="00874A64">
        <w:trPr>
          <w:trHeight w:val="693"/>
          <w:jc w:val="center"/>
        </w:trPr>
        <w:tc>
          <w:tcPr>
            <w:tcW w:w="21.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170 kHz</w:t>
            </w:r>
            <w:r>
              <w:rPr>
                <w:rFonts w:ascii="Century Gothic" w:hAnsi="Century Gothic" w:cs="Arial"/>
                <w:color w:val="000000" w:themeColor="text1"/>
                <w:sz w:val="20"/>
              </w:rPr>
              <w:br/>
              <w:t>1 104 kHz</w:t>
            </w:r>
            <w:r>
              <w:rPr>
                <w:rFonts w:ascii="Century Gothic" w:hAnsi="Century Gothic" w:cs="Arial"/>
                <w:color w:val="000000" w:themeColor="text1"/>
                <w:sz w:val="20"/>
              </w:rPr>
              <w:br/>
              <w:t>3 093 kHz</w:t>
            </w:r>
          </w:p>
        </w:tc>
        <w:tc>
          <w:tcPr>
            <w:tcW w:w="14.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100 Ω</w:t>
            </w:r>
            <w:r>
              <w:rPr>
                <w:rFonts w:ascii="Century Gothic" w:hAnsi="Century Gothic" w:cs="Arial"/>
                <w:color w:val="000000" w:themeColor="text1"/>
                <w:sz w:val="20"/>
              </w:rPr>
              <w:br/>
              <w:t>100 Ω</w:t>
            </w:r>
            <w:r>
              <w:rPr>
                <w:rFonts w:ascii="Century Gothic" w:hAnsi="Century Gothic" w:cs="Arial"/>
                <w:color w:val="000000" w:themeColor="text1"/>
                <w:sz w:val="20"/>
              </w:rPr>
              <w:br/>
              <w:t>100 Ω</w:t>
            </w:r>
          </w:p>
        </w:tc>
        <w:tc>
          <w:tcPr>
            <w:tcW w:w="17.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P0 + 50 dBm</w:t>
            </w:r>
            <w:r>
              <w:rPr>
                <w:rFonts w:ascii="Century Gothic" w:hAnsi="Century Gothic" w:cs="Arial"/>
                <w:color w:val="000000" w:themeColor="text1"/>
                <w:sz w:val="20"/>
                <w:lang w:val="en-US"/>
              </w:rPr>
              <w:br/>
              <w:t>P0 + 50 dBm</w:t>
            </w:r>
            <w:r>
              <w:rPr>
                <w:rFonts w:ascii="Century Gothic" w:hAnsi="Century Gothic" w:cs="Arial"/>
                <w:color w:val="000000" w:themeColor="text1"/>
                <w:sz w:val="20"/>
                <w:lang w:val="en-US"/>
              </w:rPr>
              <w:br/>
              <w:t>-40 dBm</w:t>
            </w:r>
          </w:p>
        </w:tc>
        <w:tc>
          <w:tcPr>
            <w:tcW w:w="19.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100 kHz</w:t>
            </w:r>
            <w:r>
              <w:rPr>
                <w:rFonts w:ascii="Century Gothic" w:hAnsi="Century Gothic" w:cs="Arial"/>
                <w:color w:val="000000" w:themeColor="text1"/>
                <w:sz w:val="20"/>
              </w:rPr>
              <w:br/>
              <w:t>100 kHz</w:t>
            </w:r>
            <w:r>
              <w:rPr>
                <w:rFonts w:ascii="Century Gothic" w:hAnsi="Century Gothic" w:cs="Arial"/>
                <w:color w:val="000000" w:themeColor="text1"/>
                <w:sz w:val="20"/>
              </w:rPr>
              <w:br/>
              <w:t>100 kHz</w:t>
            </w:r>
          </w:p>
        </w:tc>
        <w:tc>
          <w:tcPr>
            <w:tcW w:w="21.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P0 dBm/Hz</w:t>
            </w:r>
            <w:r>
              <w:rPr>
                <w:rFonts w:ascii="Century Gothic" w:hAnsi="Century Gothic" w:cs="Arial"/>
                <w:color w:val="000000" w:themeColor="text1"/>
                <w:sz w:val="20"/>
              </w:rPr>
              <w:br/>
              <w:t>P0 dBm/Hz</w:t>
            </w:r>
            <w:r>
              <w:rPr>
                <w:rFonts w:ascii="Century Gothic" w:hAnsi="Century Gothic" w:cs="Arial"/>
                <w:color w:val="000000" w:themeColor="text1"/>
                <w:sz w:val="20"/>
              </w:rPr>
              <w:br/>
              <w:t>-90 dBm/Hz</w:t>
            </w:r>
          </w:p>
        </w:tc>
        <w:tc>
          <w:tcPr>
            <w:tcW w:w="5.0%" w:type="pct"/>
            <w:vMerge w:val="restar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"Y"</w:t>
            </w:r>
          </w:p>
        </w:tc>
      </w:tr>
      <w:tr w:rsidR="0061711D" w:rsidTr="00874A64">
        <w:trPr>
          <w:trHeight w:val="660"/>
          <w:jc w:val="center"/>
        </w:trPr>
        <w:tc>
          <w:tcPr>
            <w:tcW w:w="21.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3 093 kHz</w:t>
            </w:r>
            <w:r>
              <w:rPr>
                <w:rFonts w:ascii="Century Gothic" w:hAnsi="Century Gothic" w:cs="Arial"/>
                <w:color w:val="000000" w:themeColor="text1"/>
                <w:sz w:val="20"/>
              </w:rPr>
              <w:br/>
              <w:t>4 545 kHz</w:t>
            </w:r>
            <w:r>
              <w:rPr>
                <w:rFonts w:ascii="Century Gothic" w:hAnsi="Century Gothic" w:cs="Arial"/>
                <w:color w:val="000000" w:themeColor="text1"/>
                <w:sz w:val="20"/>
              </w:rPr>
              <w:br/>
              <w:t>30 000 kHz</w:t>
            </w:r>
          </w:p>
        </w:tc>
        <w:tc>
          <w:tcPr>
            <w:tcW w:w="14.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100 Ω</w:t>
            </w:r>
            <w:r>
              <w:rPr>
                <w:rFonts w:ascii="Century Gothic" w:hAnsi="Century Gothic" w:cs="Arial"/>
                <w:color w:val="000000" w:themeColor="text1"/>
                <w:sz w:val="20"/>
              </w:rPr>
              <w:br/>
              <w:t>100 Ω</w:t>
            </w:r>
            <w:r>
              <w:rPr>
                <w:rFonts w:ascii="Century Gothic" w:hAnsi="Century Gothic" w:cs="Arial"/>
                <w:color w:val="000000" w:themeColor="text1"/>
                <w:sz w:val="20"/>
              </w:rPr>
              <w:br/>
              <w:t>100 Ω</w:t>
            </w:r>
          </w:p>
        </w:tc>
        <w:tc>
          <w:tcPr>
            <w:tcW w:w="17.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-30 dBm</w:t>
            </w:r>
            <w:r>
              <w:rPr>
                <w:rFonts w:ascii="Century Gothic" w:hAnsi="Century Gothic" w:cs="Arial"/>
                <w:color w:val="000000" w:themeColor="text1"/>
                <w:sz w:val="20"/>
              </w:rPr>
              <w:br/>
              <w:t>-50 dBm</w:t>
            </w:r>
            <w:r>
              <w:rPr>
                <w:rFonts w:ascii="Century Gothic" w:hAnsi="Century Gothic" w:cs="Arial"/>
                <w:color w:val="000000" w:themeColor="text1"/>
                <w:sz w:val="20"/>
              </w:rPr>
              <w:br/>
              <w:t>-50 dBm</w:t>
            </w:r>
          </w:p>
        </w:tc>
        <w:tc>
          <w:tcPr>
            <w:tcW w:w="19.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1 MHz</w:t>
            </w:r>
            <w:r>
              <w:rPr>
                <w:rFonts w:ascii="Century Gothic" w:hAnsi="Century Gothic" w:cs="Arial"/>
                <w:color w:val="000000" w:themeColor="text1"/>
                <w:sz w:val="20"/>
              </w:rPr>
              <w:br/>
              <w:t>1 MHz</w:t>
            </w:r>
            <w:r>
              <w:rPr>
                <w:rFonts w:ascii="Century Gothic" w:hAnsi="Century Gothic" w:cs="Arial"/>
                <w:color w:val="000000" w:themeColor="text1"/>
                <w:sz w:val="20"/>
              </w:rPr>
              <w:br/>
              <w:t>1 MHz</w:t>
            </w:r>
          </w:p>
        </w:tc>
        <w:tc>
          <w:tcPr>
            <w:tcW w:w="21.0%" w:type="pct"/>
            <w:hideMark/>
          </w:tcPr>
          <w:p w:rsidR="00655060" w:rsidRPr="00611019" w:rsidRDefault="00E56462" w:rsidP="00035D2C">
            <w:pPr>
              <w:pStyle w:val="Formatolibre"/>
              <w:spacing w:before="2pt" w:after="2pt"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-90 dBm/Hz</w:t>
            </w:r>
            <w:r>
              <w:rPr>
                <w:rFonts w:ascii="Century Gothic" w:hAnsi="Century Gothic" w:cs="Arial"/>
                <w:color w:val="000000" w:themeColor="text1"/>
                <w:sz w:val="20"/>
              </w:rPr>
              <w:br/>
              <w:t>-110 dBm/Hz</w:t>
            </w:r>
            <w:r>
              <w:rPr>
                <w:rFonts w:ascii="Century Gothic" w:hAnsi="Century Gothic" w:cs="Arial"/>
                <w:color w:val="000000" w:themeColor="text1"/>
                <w:sz w:val="20"/>
              </w:rPr>
              <w:br/>
              <w:t>-110 dBm/Hz</w:t>
            </w:r>
          </w:p>
        </w:tc>
        <w:tc>
          <w:tcPr>
            <w:tcW w:w="5.0%" w:type="pct"/>
            <w:vMerge/>
            <w:hideMark/>
          </w:tcPr>
          <w:p w:rsidR="00655060" w:rsidRPr="00611019" w:rsidRDefault="00655060" w:rsidP="00035D2C">
            <w:pPr>
              <w:pStyle w:val="Formatolibre"/>
              <w:spacing w:before="2pt" w:after="2pt" w:line="13.80pt" w:lineRule="auto"/>
              <w:jc w:val="center"/>
              <w:rPr>
                <w:rFonts w:ascii="Century Gothic" w:hAnsi="Century Gothic" w:cs="Arial"/>
                <w:color w:val="000000" w:themeColor="text1"/>
                <w:sz w:val="20"/>
              </w:rPr>
            </w:pPr>
          </w:p>
        </w:tc>
      </w:tr>
      <w:tr w:rsidR="0061711D" w:rsidTr="00874A64">
        <w:trPr>
          <w:trHeight w:val="660"/>
          <w:jc w:val="center"/>
        </w:trPr>
        <w:tc>
          <w:tcPr>
            <w:tcW w:w="100.0%" w:type="pct"/>
            <w:gridSpan w:val="6"/>
            <w:hideMark/>
          </w:tcPr>
          <w:p w:rsidR="00655060" w:rsidRPr="00611019" w:rsidRDefault="00E56462" w:rsidP="00035D2C">
            <w:pPr>
              <w:pStyle w:val="Formatolibre"/>
              <w:spacing w:before="2pt" w:after="2pt" w:line="13.80pt" w:lineRule="auto"/>
              <w:jc w:val="both"/>
              <w:rPr>
                <w:rFonts w:ascii="Century Gothic" w:hAnsi="Century Gothic" w:cs="Arial"/>
                <w:color w:val="000000" w:themeColor="text1"/>
                <w:sz w:val="20"/>
              </w:rPr>
            </w:pPr>
            <w:r>
              <w:rPr>
                <w:rFonts w:ascii="Century Gothic" w:hAnsi="Century Gothic" w:cs="Arial"/>
                <w:color w:val="000000" w:themeColor="text1"/>
                <w:sz w:val="20"/>
              </w:rPr>
              <w:t xml:space="preserve">NOTA: Los valores del parámetro P0 dependen de la potencia recibida en la dirección </w:t>
            </w:r>
            <w:r>
              <w:rPr>
                <w:rFonts w:ascii="Century Gothic" w:hAnsi="Century Gothic" w:cs="Arial"/>
                <w:i/>
                <w:color w:val="000000" w:themeColor="text1"/>
                <w:sz w:val="20"/>
              </w:rPr>
              <w:t>Upstream</w:t>
            </w:r>
            <w:r>
              <w:rPr>
                <w:rFonts w:ascii="Century Gothic" w:hAnsi="Century Gothic" w:cs="Arial"/>
                <w:color w:val="000000" w:themeColor="text1"/>
                <w:sz w:val="20"/>
              </w:rPr>
              <w:t>, de acuerdo con lo siguiente:</w:t>
            </w:r>
          </w:p>
          <w:tbl>
            <w:tblPr>
              <w:tblStyle w:val="Tablaconcuadrcula"/>
              <w:tblW w:w="432.30pt" w:type="dxa"/>
              <w:tblInd w:w="0.75pt" w:type="dxa"/>
              <w:tblLayout w:type="fixed"/>
              <w:tblLook w:firstRow="1" w:lastRow="0" w:firstColumn="1" w:lastColumn="0" w:noHBand="0" w:noVBand="1"/>
            </w:tblPr>
            <w:tblGrid>
              <w:gridCol w:w="4021"/>
              <w:gridCol w:w="659"/>
              <w:gridCol w:w="659"/>
              <w:gridCol w:w="659"/>
              <w:gridCol w:w="659"/>
              <w:gridCol w:w="659"/>
              <w:gridCol w:w="659"/>
              <w:gridCol w:w="671"/>
            </w:tblGrid>
            <w:tr w:rsidR="0061711D" w:rsidTr="001A28E4">
              <w:trPr>
                <w:trHeight w:val="200"/>
              </w:trPr>
              <w:tc>
                <w:tcPr>
                  <w:tcW w:w="200.95pt" w:type="dxa"/>
                </w:tcPr>
                <w:p w:rsidR="00655060" w:rsidRPr="00611019" w:rsidRDefault="00E56462" w:rsidP="00035D2C">
                  <w:pPr>
                    <w:pStyle w:val="Formatolibre"/>
                    <w:spacing w:before="2pt" w:after="2pt" w:line="13.80pt" w:lineRule="auto"/>
                    <w:jc w:val="both"/>
                    <w:rPr>
                      <w:rFonts w:ascii="Century Gothic" w:hAnsi="Century Gothic" w:cs="Arial"/>
                      <w:b/>
                      <w:color w:val="000000" w:themeColor="text1"/>
                      <w:sz w:val="20"/>
                    </w:rPr>
                  </w:pPr>
                  <w:r>
                    <w:rPr>
                      <w:rFonts w:ascii="Century Gothic" w:hAnsi="Century Gothic" w:cs="Arial"/>
                      <w:b/>
                      <w:color w:val="000000" w:themeColor="text1"/>
                      <w:sz w:val="20"/>
                    </w:rPr>
                    <w:t xml:space="preserve">Potencia recibida en </w:t>
                  </w:r>
                  <w:r>
                    <w:rPr>
                      <w:rFonts w:ascii="Century Gothic" w:hAnsi="Century Gothic" w:cs="Arial"/>
                      <w:b/>
                      <w:i/>
                      <w:color w:val="000000" w:themeColor="text1"/>
                      <w:sz w:val="20"/>
                    </w:rPr>
                    <w:t>Upstream</w:t>
                  </w:r>
                  <w:r>
                    <w:rPr>
                      <w:rFonts w:ascii="Century Gothic" w:hAnsi="Century Gothic" w:cs="Arial"/>
                      <w:b/>
                      <w:color w:val="000000" w:themeColor="text1"/>
                      <w:sz w:val="20"/>
                    </w:rPr>
                    <w:t xml:space="preserve"> (dBm)</w:t>
                  </w:r>
                </w:p>
              </w:tc>
              <w:tc>
                <w:tcPr>
                  <w:tcW w:w="32.95pt" w:type="dxa"/>
                </w:tcPr>
                <w:p w:rsidR="00655060" w:rsidRPr="00611019" w:rsidRDefault="00E56462" w:rsidP="00035D2C">
                  <w:pPr>
                    <w:pStyle w:val="Formatolibre"/>
                    <w:spacing w:before="2pt" w:after="2pt" w:line="13.80pt" w:lineRule="auto"/>
                    <w:jc w:val="both"/>
                    <w:rPr>
                      <w:rFonts w:ascii="Century Gothic" w:hAnsi="Century Gothic" w:cs="Arial"/>
                      <w:color w:val="000000" w:themeColor="text1"/>
                      <w:sz w:val="20"/>
                    </w:rPr>
                  </w:pPr>
                  <w:r>
                    <w:rPr>
                      <w:rFonts w:ascii="Century Gothic" w:hAnsi="Century Gothic" w:cs="Arial"/>
                      <w:color w:val="000000" w:themeColor="text1"/>
                      <w:sz w:val="20"/>
                    </w:rPr>
                    <w:t>&lt;3</w:t>
                  </w:r>
                </w:p>
              </w:tc>
              <w:tc>
                <w:tcPr>
                  <w:tcW w:w="32.95pt" w:type="dxa"/>
                </w:tcPr>
                <w:p w:rsidR="00655060" w:rsidRPr="00611019" w:rsidRDefault="00E56462" w:rsidP="00035D2C">
                  <w:pPr>
                    <w:pStyle w:val="Formatolibre"/>
                    <w:spacing w:before="2pt" w:after="2pt" w:line="13.80pt" w:lineRule="auto"/>
                    <w:jc w:val="both"/>
                    <w:rPr>
                      <w:rFonts w:ascii="Century Gothic" w:hAnsi="Century Gothic" w:cs="Arial"/>
                      <w:color w:val="000000" w:themeColor="text1"/>
                      <w:sz w:val="20"/>
                    </w:rPr>
                  </w:pPr>
                  <w:r>
                    <w:rPr>
                      <w:rFonts w:ascii="Century Gothic" w:hAnsi="Century Gothic" w:cs="Arial"/>
                      <w:color w:val="000000" w:themeColor="text1"/>
                      <w:sz w:val="20"/>
                    </w:rPr>
                    <w:t>&lt;4</w:t>
                  </w:r>
                </w:p>
              </w:tc>
              <w:tc>
                <w:tcPr>
                  <w:tcW w:w="32.95pt" w:type="dxa"/>
                </w:tcPr>
                <w:p w:rsidR="00655060" w:rsidRPr="00611019" w:rsidRDefault="00E56462" w:rsidP="00035D2C">
                  <w:pPr>
                    <w:pStyle w:val="Formatolibre"/>
                    <w:spacing w:before="2pt" w:after="2pt" w:line="13.80pt" w:lineRule="auto"/>
                    <w:jc w:val="both"/>
                    <w:rPr>
                      <w:rFonts w:ascii="Century Gothic" w:hAnsi="Century Gothic" w:cs="Arial"/>
                      <w:color w:val="000000" w:themeColor="text1"/>
                      <w:sz w:val="20"/>
                    </w:rPr>
                  </w:pPr>
                  <w:r>
                    <w:rPr>
                      <w:rFonts w:ascii="Century Gothic" w:hAnsi="Century Gothic" w:cs="Arial"/>
                      <w:color w:val="000000" w:themeColor="text1"/>
                      <w:sz w:val="20"/>
                    </w:rPr>
                    <w:t>&lt;5</w:t>
                  </w:r>
                </w:p>
              </w:tc>
              <w:tc>
                <w:tcPr>
                  <w:tcW w:w="32.95pt" w:type="dxa"/>
                </w:tcPr>
                <w:p w:rsidR="00655060" w:rsidRPr="00611019" w:rsidRDefault="00E56462" w:rsidP="00035D2C">
                  <w:pPr>
                    <w:pStyle w:val="Formatolibre"/>
                    <w:spacing w:before="2pt" w:after="2pt" w:line="13.80pt" w:lineRule="auto"/>
                    <w:jc w:val="both"/>
                    <w:rPr>
                      <w:rFonts w:ascii="Century Gothic" w:hAnsi="Century Gothic" w:cs="Arial"/>
                      <w:color w:val="000000" w:themeColor="text1"/>
                      <w:sz w:val="20"/>
                    </w:rPr>
                  </w:pPr>
                  <w:r>
                    <w:rPr>
                      <w:rFonts w:ascii="Century Gothic" w:hAnsi="Century Gothic" w:cs="Arial"/>
                      <w:color w:val="000000" w:themeColor="text1"/>
                      <w:sz w:val="20"/>
                    </w:rPr>
                    <w:t>&lt;6</w:t>
                  </w:r>
                </w:p>
              </w:tc>
              <w:tc>
                <w:tcPr>
                  <w:tcW w:w="32.95pt" w:type="dxa"/>
                </w:tcPr>
                <w:p w:rsidR="00655060" w:rsidRPr="00611019" w:rsidRDefault="00E56462" w:rsidP="00035D2C">
                  <w:pPr>
                    <w:pStyle w:val="Formatolibre"/>
                    <w:spacing w:before="2pt" w:after="2pt" w:line="13.80pt" w:lineRule="auto"/>
                    <w:jc w:val="both"/>
                    <w:rPr>
                      <w:rFonts w:ascii="Century Gothic" w:hAnsi="Century Gothic" w:cs="Arial"/>
                      <w:color w:val="000000" w:themeColor="text1"/>
                      <w:sz w:val="20"/>
                    </w:rPr>
                  </w:pPr>
                  <w:r>
                    <w:rPr>
                      <w:rFonts w:ascii="Century Gothic" w:hAnsi="Century Gothic" w:cs="Arial"/>
                      <w:color w:val="000000" w:themeColor="text1"/>
                      <w:sz w:val="20"/>
                    </w:rPr>
                    <w:t>&lt;7</w:t>
                  </w:r>
                </w:p>
              </w:tc>
              <w:tc>
                <w:tcPr>
                  <w:tcW w:w="32.95pt" w:type="dxa"/>
                </w:tcPr>
                <w:p w:rsidR="00655060" w:rsidRPr="00611019" w:rsidRDefault="00E56462" w:rsidP="00035D2C">
                  <w:pPr>
                    <w:pStyle w:val="Formatolibre"/>
                    <w:spacing w:before="2pt" w:after="2pt" w:line="13.80pt" w:lineRule="auto"/>
                    <w:jc w:val="both"/>
                    <w:rPr>
                      <w:rFonts w:ascii="Century Gothic" w:hAnsi="Century Gothic" w:cs="Arial"/>
                      <w:color w:val="000000" w:themeColor="text1"/>
                      <w:sz w:val="20"/>
                    </w:rPr>
                  </w:pPr>
                  <w:r>
                    <w:rPr>
                      <w:rFonts w:ascii="Century Gothic" w:hAnsi="Century Gothic" w:cs="Arial"/>
                      <w:color w:val="000000" w:themeColor="text1"/>
                      <w:sz w:val="20"/>
                    </w:rPr>
                    <w:t>&lt;8</w:t>
                  </w:r>
                </w:p>
              </w:tc>
              <w:tc>
                <w:tcPr>
                  <w:tcW w:w="33.55pt" w:type="dxa"/>
                </w:tcPr>
                <w:p w:rsidR="00655060" w:rsidRPr="00611019" w:rsidRDefault="00E56462" w:rsidP="00035D2C">
                  <w:pPr>
                    <w:pStyle w:val="Formatolibre"/>
                    <w:spacing w:before="2pt" w:after="2pt" w:line="13.80pt" w:lineRule="auto"/>
                    <w:jc w:val="both"/>
                    <w:rPr>
                      <w:rFonts w:ascii="Century Gothic" w:hAnsi="Century Gothic" w:cs="Arial"/>
                      <w:color w:val="000000" w:themeColor="text1"/>
                      <w:sz w:val="20"/>
                    </w:rPr>
                  </w:pPr>
                  <w:r>
                    <w:rPr>
                      <w:rFonts w:ascii="Century Gothic" w:hAnsi="Century Gothic" w:cs="Arial"/>
                      <w:color w:val="000000" w:themeColor="text1"/>
                      <w:sz w:val="20"/>
                    </w:rPr>
                    <w:t>&lt;9</w:t>
                  </w:r>
                </w:p>
              </w:tc>
            </w:tr>
            <w:tr w:rsidR="0061711D" w:rsidTr="001A28E4">
              <w:trPr>
                <w:trHeight w:val="200"/>
              </w:trPr>
              <w:tc>
                <w:tcPr>
                  <w:tcW w:w="200.95pt" w:type="dxa"/>
                </w:tcPr>
                <w:p w:rsidR="00655060" w:rsidRPr="00611019" w:rsidRDefault="00E56462" w:rsidP="00035D2C">
                  <w:pPr>
                    <w:pStyle w:val="Formatolibre"/>
                    <w:spacing w:before="2pt" w:after="2pt" w:line="13.80pt" w:lineRule="auto"/>
                    <w:jc w:val="both"/>
                    <w:rPr>
                      <w:rFonts w:ascii="Century Gothic" w:hAnsi="Century Gothic" w:cs="Arial"/>
                      <w:b/>
                      <w:color w:val="000000" w:themeColor="text1"/>
                      <w:sz w:val="20"/>
                    </w:rPr>
                  </w:pPr>
                  <w:r>
                    <w:rPr>
                      <w:rFonts w:ascii="Century Gothic" w:hAnsi="Century Gothic" w:cs="Arial"/>
                      <w:b/>
                      <w:color w:val="000000" w:themeColor="text1"/>
                      <w:sz w:val="20"/>
                    </w:rPr>
                    <w:t>P0 (dBm/Hz)</w:t>
                  </w:r>
                </w:p>
              </w:tc>
              <w:tc>
                <w:tcPr>
                  <w:tcW w:w="32.95pt" w:type="dxa"/>
                </w:tcPr>
                <w:p w:rsidR="00655060" w:rsidRPr="00611019" w:rsidRDefault="00E56462" w:rsidP="00035D2C">
                  <w:pPr>
                    <w:pStyle w:val="Formatolibre"/>
                    <w:spacing w:before="2pt" w:after="2pt" w:line="13.80pt" w:lineRule="auto"/>
                    <w:jc w:val="both"/>
                    <w:rPr>
                      <w:rFonts w:ascii="Century Gothic" w:hAnsi="Century Gothic" w:cs="Arial"/>
                      <w:color w:val="000000" w:themeColor="text1"/>
                      <w:sz w:val="20"/>
                    </w:rPr>
                  </w:pPr>
                  <w:r>
                    <w:rPr>
                      <w:rFonts w:ascii="Century Gothic" w:hAnsi="Century Gothic" w:cs="Arial"/>
                      <w:color w:val="000000" w:themeColor="text1"/>
                      <w:sz w:val="20"/>
                    </w:rPr>
                    <w:t>-40</w:t>
                  </w:r>
                </w:p>
              </w:tc>
              <w:tc>
                <w:tcPr>
                  <w:tcW w:w="32.95pt" w:type="dxa"/>
                </w:tcPr>
                <w:p w:rsidR="00655060" w:rsidRPr="00611019" w:rsidRDefault="00E56462" w:rsidP="00035D2C">
                  <w:pPr>
                    <w:pStyle w:val="Formatolibre"/>
                    <w:spacing w:before="2pt" w:after="2pt" w:line="13.80pt" w:lineRule="auto"/>
                    <w:jc w:val="both"/>
                    <w:rPr>
                      <w:rFonts w:ascii="Century Gothic" w:hAnsi="Century Gothic" w:cs="Arial"/>
                      <w:color w:val="000000" w:themeColor="text1"/>
                      <w:sz w:val="20"/>
                    </w:rPr>
                  </w:pPr>
                  <w:r>
                    <w:rPr>
                      <w:rFonts w:ascii="Century Gothic" w:hAnsi="Century Gothic" w:cs="Arial"/>
                      <w:color w:val="000000" w:themeColor="text1"/>
                      <w:sz w:val="20"/>
                    </w:rPr>
                    <w:t>-42</w:t>
                  </w:r>
                </w:p>
              </w:tc>
              <w:tc>
                <w:tcPr>
                  <w:tcW w:w="32.95pt" w:type="dxa"/>
                </w:tcPr>
                <w:p w:rsidR="00655060" w:rsidRPr="00611019" w:rsidRDefault="00E56462" w:rsidP="00035D2C">
                  <w:pPr>
                    <w:pStyle w:val="Formatolibre"/>
                    <w:spacing w:before="2pt" w:after="2pt" w:line="13.80pt" w:lineRule="auto"/>
                    <w:jc w:val="both"/>
                    <w:rPr>
                      <w:rFonts w:ascii="Century Gothic" w:hAnsi="Century Gothic" w:cs="Arial"/>
                      <w:color w:val="000000" w:themeColor="text1"/>
                      <w:sz w:val="20"/>
                    </w:rPr>
                  </w:pPr>
                  <w:r>
                    <w:rPr>
                      <w:rFonts w:ascii="Century Gothic" w:hAnsi="Century Gothic" w:cs="Arial"/>
                      <w:color w:val="000000" w:themeColor="text1"/>
                      <w:sz w:val="20"/>
                    </w:rPr>
                    <w:t>-44</w:t>
                  </w:r>
                </w:p>
              </w:tc>
              <w:tc>
                <w:tcPr>
                  <w:tcW w:w="32.95pt" w:type="dxa"/>
                </w:tcPr>
                <w:p w:rsidR="00655060" w:rsidRPr="00611019" w:rsidRDefault="00E56462" w:rsidP="00035D2C">
                  <w:pPr>
                    <w:pStyle w:val="Formatolibre"/>
                    <w:spacing w:before="2pt" w:after="2pt" w:line="13.80pt" w:lineRule="auto"/>
                    <w:jc w:val="both"/>
                    <w:rPr>
                      <w:rFonts w:ascii="Century Gothic" w:hAnsi="Century Gothic" w:cs="Arial"/>
                      <w:color w:val="000000" w:themeColor="text1"/>
                      <w:sz w:val="20"/>
                    </w:rPr>
                  </w:pPr>
                  <w:r>
                    <w:rPr>
                      <w:rFonts w:ascii="Century Gothic" w:hAnsi="Century Gothic" w:cs="Arial"/>
                      <w:color w:val="000000" w:themeColor="text1"/>
                      <w:sz w:val="20"/>
                    </w:rPr>
                    <w:t>-46</w:t>
                  </w:r>
                </w:p>
              </w:tc>
              <w:tc>
                <w:tcPr>
                  <w:tcW w:w="32.95pt" w:type="dxa"/>
                </w:tcPr>
                <w:p w:rsidR="00655060" w:rsidRPr="00611019" w:rsidRDefault="00E56462" w:rsidP="00035D2C">
                  <w:pPr>
                    <w:pStyle w:val="Formatolibre"/>
                    <w:spacing w:before="2pt" w:after="2pt" w:line="13.80pt" w:lineRule="auto"/>
                    <w:jc w:val="both"/>
                    <w:rPr>
                      <w:rFonts w:ascii="Century Gothic" w:hAnsi="Century Gothic" w:cs="Arial"/>
                      <w:color w:val="000000" w:themeColor="text1"/>
                      <w:sz w:val="20"/>
                    </w:rPr>
                  </w:pPr>
                  <w:r>
                    <w:rPr>
                      <w:rFonts w:ascii="Century Gothic" w:hAnsi="Century Gothic" w:cs="Arial"/>
                      <w:color w:val="000000" w:themeColor="text1"/>
                      <w:sz w:val="20"/>
                    </w:rPr>
                    <w:t>-48</w:t>
                  </w:r>
                </w:p>
              </w:tc>
              <w:tc>
                <w:tcPr>
                  <w:tcW w:w="32.95pt" w:type="dxa"/>
                </w:tcPr>
                <w:p w:rsidR="00655060" w:rsidRPr="00611019" w:rsidRDefault="00E56462" w:rsidP="00035D2C">
                  <w:pPr>
                    <w:pStyle w:val="Formatolibre"/>
                    <w:spacing w:before="2pt" w:after="2pt" w:line="13.80pt" w:lineRule="auto"/>
                    <w:jc w:val="both"/>
                    <w:rPr>
                      <w:rFonts w:ascii="Century Gothic" w:hAnsi="Century Gothic" w:cs="Arial"/>
                      <w:color w:val="000000" w:themeColor="text1"/>
                      <w:sz w:val="20"/>
                    </w:rPr>
                  </w:pPr>
                  <w:r>
                    <w:rPr>
                      <w:rFonts w:ascii="Century Gothic" w:hAnsi="Century Gothic" w:cs="Arial"/>
                      <w:color w:val="000000" w:themeColor="text1"/>
                      <w:sz w:val="20"/>
                    </w:rPr>
                    <w:t>-50</w:t>
                  </w:r>
                </w:p>
              </w:tc>
              <w:tc>
                <w:tcPr>
                  <w:tcW w:w="33.55pt" w:type="dxa"/>
                </w:tcPr>
                <w:p w:rsidR="00655060" w:rsidRPr="00611019" w:rsidRDefault="00E56462" w:rsidP="00035D2C">
                  <w:pPr>
                    <w:pStyle w:val="Formatolibre"/>
                    <w:spacing w:before="2pt" w:after="2pt" w:line="13.80pt" w:lineRule="auto"/>
                    <w:jc w:val="both"/>
                    <w:rPr>
                      <w:rFonts w:ascii="Century Gothic" w:hAnsi="Century Gothic" w:cs="Arial"/>
                      <w:color w:val="000000" w:themeColor="text1"/>
                      <w:sz w:val="20"/>
                    </w:rPr>
                  </w:pPr>
                  <w:r>
                    <w:rPr>
                      <w:rFonts w:ascii="Century Gothic" w:hAnsi="Century Gothic" w:cs="Arial"/>
                      <w:color w:val="000000" w:themeColor="text1"/>
                      <w:sz w:val="20"/>
                    </w:rPr>
                    <w:t>-52</w:t>
                  </w:r>
                </w:p>
              </w:tc>
            </w:tr>
          </w:tbl>
          <w:p w:rsidR="00655060" w:rsidRPr="00611019" w:rsidRDefault="00655060" w:rsidP="00035D2C">
            <w:pPr>
              <w:pStyle w:val="Formatolibre"/>
              <w:spacing w:before="2pt" w:after="2pt" w:line="13.80pt" w:lineRule="auto"/>
              <w:jc w:val="both"/>
              <w:rPr>
                <w:rFonts w:ascii="Century Gothic" w:hAnsi="Century Gothic" w:cs="Arial"/>
                <w:color w:val="000000" w:themeColor="text1"/>
                <w:sz w:val="20"/>
              </w:rPr>
            </w:pPr>
          </w:p>
        </w:tc>
      </w:tr>
    </w:tbl>
    <w:p w:rsidR="00655060" w:rsidRPr="00611019" w:rsidRDefault="00E56462" w:rsidP="00035D2C">
      <w:pPr>
        <w:pStyle w:val="xxxPiedeCuadroconnombre"/>
        <w:rPr>
          <w:rFonts w:ascii="Century Gothic" w:hAnsi="Century Gothic"/>
          <w:color w:val="000000" w:themeColor="text1"/>
        </w:rPr>
      </w:pPr>
      <w:r>
        <w:rPr>
          <w:rFonts w:ascii="Century Gothic" w:hAnsi="Century Gothic"/>
          <w:noProof/>
          <w:lang w:eastAsia="es-MX"/>
        </w:rPr>
        <w:lastRenderedPageBreak/>
        <w:drawing>
          <wp:inline distT="0" distB="0" distL="0" distR="0" wp14:anchorId="0852294F" wp14:editId="53077684">
            <wp:extent cx="5309063" cy="2228850"/>
            <wp:effectExtent l="0" t="0" r="6350" b="0"/>
            <wp:docPr id="42" name="Picture 42"/>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612" name="Picture 42"/>
                    <pic:cNvPicPr>
                      <a:picLocks noChangeAspect="1" noChangeArrowheads="1"/>
                    </pic:cNvPicPr>
                  </pic:nvPicPr>
                  <pic:blipFill>
                    <a:blip r:embed="rId57" cstate="print"/>
                    <a:srcRect b="17.059%"/>
                    <a:stretch>
                      <a:fillRect/>
                    </a:stretch>
                  </pic:blipFill>
                  <pic:spPr bwMode="auto">
                    <a:xfrm>
                      <a:off x="0" y="0"/>
                      <a:ext cx="5444228" cy="2285595"/>
                    </a:xfrm>
                    <a:prstGeom prst="rect">
                      <a:avLst/>
                    </a:prstGeom>
                    <a:noFill/>
                    <a:ln w="9525">
                      <a:noFill/>
                      <a:miter lim="800%"/>
                      <a:headEnd/>
                      <a:tailEnd/>
                    </a:ln>
                  </pic:spPr>
                </pic:pic>
              </a:graphicData>
            </a:graphic>
          </wp:inline>
        </w:drawing>
      </w:r>
    </w:p>
    <w:p w:rsidR="0097368A" w:rsidRPr="00611019" w:rsidRDefault="00E56462" w:rsidP="00035D2C">
      <w:pPr>
        <w:pStyle w:val="xxxPiedeCuadroconnombre"/>
        <w:spacing w:after="3pt"/>
        <w:rPr>
          <w:rFonts w:ascii="Century Gothic" w:hAnsi="Century Gothic"/>
          <w:szCs w:val="20"/>
        </w:rPr>
      </w:pPr>
      <w:r>
        <w:rPr>
          <w:rFonts w:ascii="Century Gothic" w:hAnsi="Century Gothic"/>
          <w:szCs w:val="20"/>
        </w:rPr>
        <w:t xml:space="preserve">Figura </w:t>
      </w:r>
      <w:r w:rsidR="004F0984">
        <w:rPr>
          <w:rFonts w:ascii="Century Gothic" w:hAnsi="Century Gothic"/>
          <w:szCs w:val="20"/>
        </w:rPr>
        <w:t>9</w:t>
      </w:r>
      <w:r>
        <w:rPr>
          <w:rFonts w:ascii="Century Gothic" w:hAnsi="Century Gothic"/>
          <w:szCs w:val="20"/>
        </w:rPr>
        <w:t>. Potencia espectral para señales ADSL/POTS DMT en dirección Downstream para los casos de P0=(-40,-46,-52) dBm/Hz.</w:t>
      </w:r>
    </w:p>
    <w:p w:rsidR="0097368A" w:rsidRPr="00611019" w:rsidRDefault="00E56462" w:rsidP="00035D2C">
      <w:pPr>
        <w:pStyle w:val="Ttulo4"/>
        <w:spacing w:before="0pt" w:after="6pt" w:line="13.80pt" w:lineRule="auto"/>
        <w:ind w:start="43.20pt" w:hanging="43.20pt"/>
        <w:rPr>
          <w:rFonts w:ascii="Century Gothic" w:hAnsi="Century Gothic"/>
        </w:rPr>
      </w:pPr>
      <w:r>
        <w:rPr>
          <w:rFonts w:ascii="Century Gothic" w:hAnsi="Century Gothic"/>
          <w:sz w:val="22"/>
          <w:szCs w:val="24"/>
        </w:rPr>
        <w:t>6.2.6.2</w:t>
      </w:r>
      <w:r>
        <w:rPr>
          <w:rFonts w:ascii="Century Gothic" w:hAnsi="Century Gothic"/>
          <w:sz w:val="22"/>
          <w:szCs w:val="24"/>
        </w:rPr>
        <w:tab/>
      </w:r>
      <w:r>
        <w:rPr>
          <w:rFonts w:ascii="Century Gothic" w:hAnsi="Century Gothic" w:cs="Arial"/>
          <w:color w:val="000000" w:themeColor="text1"/>
          <w:sz w:val="22"/>
          <w:szCs w:val="22"/>
        </w:rPr>
        <w:t>Upstream</w:t>
      </w:r>
      <w:r>
        <w:rPr>
          <w:rFonts w:ascii="Century Gothic" w:hAnsi="Century Gothic" w:cs="Arial"/>
          <w:color w:val="000000" w:themeColor="text1"/>
        </w:rPr>
        <w:t>.</w:t>
      </w:r>
    </w:p>
    <w:p w:rsidR="00655060" w:rsidRPr="00611019" w:rsidRDefault="00E56462" w:rsidP="00035D2C">
      <w:pPr>
        <w:pStyle w:val="IFTnormal"/>
        <w:spacing w:after="6pt"/>
        <w:rPr>
          <w:rFonts w:ascii="Century Gothic" w:hAnsi="Century Gothic"/>
        </w:rPr>
      </w:pPr>
      <w:r>
        <w:rPr>
          <w:rFonts w:ascii="Century Gothic" w:hAnsi="Century Gothic"/>
        </w:rPr>
        <w:t xml:space="preserve">La Tabla 11 presenta los puntos de referencia límite definidos en la cláusula 11.2 de ETSI TR 101 830-1 V1.5.2 para la dirección </w:t>
      </w:r>
      <w:r>
        <w:rPr>
          <w:rFonts w:ascii="Century Gothic" w:hAnsi="Century Gothic"/>
          <w:i/>
        </w:rPr>
        <w:t>Upstream</w:t>
      </w:r>
      <w:r>
        <w:rPr>
          <w:rFonts w:ascii="Century Gothic" w:hAnsi="Century Gothic"/>
        </w:rPr>
        <w:t>, mientras que la Figura 10 ilustra la forma de la densidad espectral de potencia para estas señales.</w:t>
      </w:r>
    </w:p>
    <w:p w:rsidR="00655060" w:rsidRPr="00611019" w:rsidRDefault="00E56462" w:rsidP="00035D2C">
      <w:pPr>
        <w:pStyle w:val="IFTnormal"/>
        <w:spacing w:after="6pt"/>
        <w:rPr>
          <w:rFonts w:ascii="Century Gothic" w:hAnsi="Century Gothic"/>
        </w:rPr>
      </w:pPr>
      <w:r>
        <w:rPr>
          <w:rFonts w:ascii="Century Gothic" w:hAnsi="Century Gothic"/>
        </w:rPr>
        <w:t>Las señales de este tipo deben satisfacer simultáneamente los límites para los anchos de banda definidos mediante la etiqueta “X” así como los correspondientes a la etiqueta “Y”, lo cual implica que para algunas frecuencias se deberán realizar mediciones con dos diferentes anchos de banda.</w:t>
      </w:r>
    </w:p>
    <w:p w:rsidR="00655060" w:rsidRPr="00611019" w:rsidRDefault="00E56462" w:rsidP="00035D2C">
      <w:pPr>
        <w:pStyle w:val="Formatolibre"/>
        <w:spacing w:after="6pt" w:line="13.80pt" w:lineRule="auto"/>
        <w:ind w:start="35.45pt"/>
        <w:jc w:val="center"/>
        <w:rPr>
          <w:rFonts w:ascii="Century Gothic" w:eastAsiaTheme="minorHAnsi" w:hAnsi="Century Gothic" w:cs="Arial"/>
          <w:b/>
          <w:color w:val="auto"/>
          <w:sz w:val="20"/>
          <w:szCs w:val="22"/>
          <w:lang w:val="es-MX" w:eastAsia="en-US"/>
        </w:rPr>
      </w:pPr>
      <w:r>
        <w:rPr>
          <w:rFonts w:ascii="Century Gothic" w:eastAsiaTheme="minorHAnsi" w:hAnsi="Century Gothic" w:cs="Arial"/>
          <w:b/>
          <w:color w:val="auto"/>
          <w:sz w:val="20"/>
          <w:szCs w:val="22"/>
          <w:lang w:val="es-MX" w:eastAsia="en-US"/>
        </w:rPr>
        <w:t>Tabla 11 Puntos de referencia límite de potencia de banda estrecha para señales ADSL/POTS DMT en dirección Upstream.</w:t>
      </w:r>
    </w:p>
    <w:tbl>
      <w:tblPr>
        <w:tblStyle w:val="Cuadrculadetablaclara1"/>
        <w:tblW w:w="105.0%" w:type="pct"/>
        <w:jc w:val="center"/>
        <w:tblLayout w:type="fixed"/>
        <w:tblLook w:firstRow="1" w:lastRow="1" w:firstColumn="1" w:lastColumn="1" w:noHBand="0" w:noVBand="0"/>
      </w:tblPr>
      <w:tblGrid>
        <w:gridCol w:w="2136"/>
        <w:gridCol w:w="1425"/>
        <w:gridCol w:w="1728"/>
        <w:gridCol w:w="1931"/>
        <w:gridCol w:w="2135"/>
        <w:gridCol w:w="509"/>
      </w:tblGrid>
      <w:tr w:rsidR="0061711D" w:rsidRPr="00E100F0" w:rsidTr="00E100F0">
        <w:trPr>
          <w:trHeight w:val="20"/>
          <w:tblHeader/>
          <w:jc w:val="center"/>
        </w:trPr>
        <w:tc>
          <w:tcPr>
            <w:tcW w:w="21.0%" w:type="pct"/>
            <w:shd w:val="clear" w:color="auto" w:fill="009AD9"/>
            <w:vAlign w:val="center"/>
          </w:tcPr>
          <w:p w:rsidR="00655060" w:rsidRPr="00E100F0"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sidRPr="00E100F0">
              <w:rPr>
                <w:rFonts w:ascii="Century Gothic" w:hAnsi="Century Gothic" w:cs="Arial"/>
                <w:b/>
                <w:color w:val="FFFFFF" w:themeColor="background1"/>
                <w:sz w:val="20"/>
              </w:rPr>
              <w:t>Frecuencia Central</w:t>
            </w:r>
          </w:p>
          <w:p w:rsidR="00655060" w:rsidRPr="00E100F0" w:rsidRDefault="00E56462" w:rsidP="00035D2C">
            <w:pPr>
              <w:pStyle w:val="Formatolibre"/>
              <w:spacing w:before="2pt" w:after="2pt" w:line="13.80pt" w:lineRule="auto"/>
              <w:contextualSpacing/>
              <w:jc w:val="center"/>
              <w:rPr>
                <w:rFonts w:ascii="Century Gothic" w:hAnsi="Century Gothic" w:cs="Arial"/>
                <w:color w:val="FFFFFF" w:themeColor="background1"/>
                <w:sz w:val="20"/>
              </w:rPr>
            </w:pPr>
            <w:r w:rsidRPr="00E100F0">
              <w:rPr>
                <w:rFonts w:ascii="Century Gothic" w:hAnsi="Century Gothic" w:cs="Arial"/>
                <w:b/>
                <w:color w:val="FFFFFF" w:themeColor="background1"/>
                <w:sz w:val="20"/>
              </w:rPr>
              <w:t>F</w:t>
            </w:r>
          </w:p>
        </w:tc>
        <w:tc>
          <w:tcPr>
            <w:tcW w:w="14.0%" w:type="pct"/>
            <w:shd w:val="clear" w:color="auto" w:fill="009AD9"/>
            <w:vAlign w:val="center"/>
          </w:tcPr>
          <w:p w:rsidR="00655060" w:rsidRPr="00E100F0"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sidRPr="00E100F0">
              <w:rPr>
                <w:rFonts w:ascii="Century Gothic" w:hAnsi="Century Gothic" w:cs="Arial"/>
                <w:b/>
                <w:color w:val="FFFFFF" w:themeColor="background1"/>
                <w:sz w:val="20"/>
              </w:rPr>
              <w:t>Impedancia</w:t>
            </w:r>
          </w:p>
          <w:p w:rsidR="00655060" w:rsidRPr="00E100F0" w:rsidRDefault="00E56462" w:rsidP="00035D2C">
            <w:pPr>
              <w:pStyle w:val="Formatolibre"/>
              <w:spacing w:before="2pt" w:after="2pt" w:line="13.80pt" w:lineRule="auto"/>
              <w:contextualSpacing/>
              <w:jc w:val="center"/>
              <w:rPr>
                <w:rFonts w:ascii="Century Gothic" w:hAnsi="Century Gothic" w:cs="Arial"/>
                <w:color w:val="FFFFFF" w:themeColor="background1"/>
                <w:sz w:val="20"/>
              </w:rPr>
            </w:pPr>
            <w:r w:rsidRPr="00E100F0">
              <w:rPr>
                <w:rFonts w:ascii="Century Gothic" w:hAnsi="Century Gothic" w:cs="Arial"/>
                <w:b/>
                <w:color w:val="FFFFFF" w:themeColor="background1"/>
                <w:sz w:val="20"/>
              </w:rPr>
              <w:t>R</w:t>
            </w:r>
          </w:p>
        </w:tc>
        <w:tc>
          <w:tcPr>
            <w:tcW w:w="17.0%" w:type="pct"/>
            <w:shd w:val="clear" w:color="auto" w:fill="009AD9"/>
            <w:vAlign w:val="center"/>
          </w:tcPr>
          <w:p w:rsidR="00655060" w:rsidRPr="00E100F0"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sidRPr="00E100F0">
              <w:rPr>
                <w:rFonts w:ascii="Century Gothic" w:hAnsi="Century Gothic" w:cs="Arial"/>
                <w:b/>
                <w:color w:val="FFFFFF" w:themeColor="background1"/>
                <w:sz w:val="20"/>
              </w:rPr>
              <w:t>Nivel de Señal</w:t>
            </w:r>
          </w:p>
          <w:p w:rsidR="00655060" w:rsidRPr="00E100F0" w:rsidRDefault="00E56462" w:rsidP="00035D2C">
            <w:pPr>
              <w:pStyle w:val="Formatolibre"/>
              <w:spacing w:before="2pt" w:after="2pt" w:line="13.80pt" w:lineRule="auto"/>
              <w:contextualSpacing/>
              <w:jc w:val="center"/>
              <w:rPr>
                <w:rFonts w:ascii="Century Gothic" w:hAnsi="Century Gothic" w:cs="Arial"/>
                <w:color w:val="FFFFFF" w:themeColor="background1"/>
                <w:sz w:val="20"/>
              </w:rPr>
            </w:pPr>
            <w:r w:rsidRPr="00E100F0">
              <w:rPr>
                <w:rFonts w:ascii="Century Gothic" w:hAnsi="Century Gothic" w:cs="Arial"/>
                <w:b/>
                <w:color w:val="FFFFFF" w:themeColor="background1"/>
                <w:sz w:val="20"/>
              </w:rPr>
              <w:t>P</w:t>
            </w:r>
          </w:p>
        </w:tc>
        <w:tc>
          <w:tcPr>
            <w:tcW w:w="19.0%" w:type="pct"/>
            <w:shd w:val="clear" w:color="auto" w:fill="009AD9"/>
            <w:vAlign w:val="center"/>
          </w:tcPr>
          <w:p w:rsidR="00655060" w:rsidRPr="00E100F0"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sidRPr="00E100F0">
              <w:rPr>
                <w:rFonts w:ascii="Century Gothic" w:hAnsi="Century Gothic" w:cs="Arial"/>
                <w:b/>
                <w:color w:val="FFFFFF" w:themeColor="background1"/>
                <w:sz w:val="20"/>
              </w:rPr>
              <w:t>Ancho de Banda</w:t>
            </w:r>
          </w:p>
          <w:p w:rsidR="00655060" w:rsidRPr="00E100F0" w:rsidRDefault="00E56462" w:rsidP="00035D2C">
            <w:pPr>
              <w:pStyle w:val="Formatolibre"/>
              <w:spacing w:before="2pt" w:after="2pt" w:line="13.80pt" w:lineRule="auto"/>
              <w:contextualSpacing/>
              <w:jc w:val="center"/>
              <w:rPr>
                <w:rFonts w:ascii="Century Gothic" w:hAnsi="Century Gothic" w:cs="Arial"/>
                <w:color w:val="FFFFFF" w:themeColor="background1"/>
                <w:sz w:val="20"/>
              </w:rPr>
            </w:pPr>
            <w:r w:rsidRPr="00E100F0">
              <w:rPr>
                <w:rFonts w:ascii="Century Gothic" w:hAnsi="Century Gothic" w:cs="Arial"/>
                <w:b/>
                <w:color w:val="FFFFFF" w:themeColor="background1"/>
                <w:sz w:val="20"/>
              </w:rPr>
              <w:t>B</w:t>
            </w:r>
          </w:p>
        </w:tc>
        <w:tc>
          <w:tcPr>
            <w:tcW w:w="21.0%" w:type="pct"/>
            <w:shd w:val="clear" w:color="auto" w:fill="009AD9"/>
            <w:vAlign w:val="center"/>
          </w:tcPr>
          <w:p w:rsidR="00655060" w:rsidRPr="00E100F0" w:rsidRDefault="00E56462" w:rsidP="00035D2C">
            <w:pPr>
              <w:pStyle w:val="Formatolibre"/>
              <w:spacing w:before="2pt" w:after="2pt" w:line="13.80pt" w:lineRule="auto"/>
              <w:contextualSpacing/>
              <w:jc w:val="center"/>
              <w:rPr>
                <w:rFonts w:ascii="Century Gothic" w:hAnsi="Century Gothic" w:cs="Arial"/>
                <w:b/>
                <w:color w:val="FFFFFF" w:themeColor="background1"/>
                <w:sz w:val="20"/>
              </w:rPr>
            </w:pPr>
            <w:r w:rsidRPr="00E100F0">
              <w:rPr>
                <w:rFonts w:ascii="Century Gothic" w:hAnsi="Century Gothic" w:cs="Arial"/>
                <w:b/>
                <w:color w:val="FFFFFF" w:themeColor="background1"/>
                <w:sz w:val="20"/>
              </w:rPr>
              <w:t>Potencia Espectral</w:t>
            </w:r>
          </w:p>
          <w:p w:rsidR="00655060" w:rsidRPr="00E100F0" w:rsidRDefault="00E56462" w:rsidP="00035D2C">
            <w:pPr>
              <w:pStyle w:val="Formatolibre"/>
              <w:spacing w:before="2pt" w:after="2pt" w:line="13.80pt" w:lineRule="auto"/>
              <w:contextualSpacing/>
              <w:jc w:val="center"/>
              <w:rPr>
                <w:rFonts w:ascii="Century Gothic" w:hAnsi="Century Gothic" w:cs="Arial"/>
                <w:color w:val="FFFFFF" w:themeColor="background1"/>
                <w:sz w:val="20"/>
              </w:rPr>
            </w:pPr>
            <w:r w:rsidRPr="00E100F0">
              <w:rPr>
                <w:rFonts w:ascii="Century Gothic" w:hAnsi="Century Gothic" w:cs="Arial"/>
                <w:b/>
                <w:color w:val="FFFFFF" w:themeColor="background1"/>
                <w:sz w:val="20"/>
              </w:rPr>
              <w:t>P/B</w:t>
            </w:r>
          </w:p>
        </w:tc>
        <w:tc>
          <w:tcPr>
            <w:tcW w:w="5.0%" w:type="pct"/>
            <w:shd w:val="clear" w:color="auto" w:fill="009AD9"/>
            <w:vAlign w:val="center"/>
          </w:tcPr>
          <w:p w:rsidR="00655060" w:rsidRPr="00E100F0" w:rsidRDefault="00655060" w:rsidP="00035D2C">
            <w:pPr>
              <w:pStyle w:val="Formatolibre"/>
              <w:spacing w:before="2pt" w:after="2pt" w:line="13.80pt" w:lineRule="auto"/>
              <w:contextualSpacing/>
              <w:jc w:val="center"/>
              <w:rPr>
                <w:rFonts w:ascii="Century Gothic" w:hAnsi="Century Gothic" w:cs="Arial"/>
                <w:color w:val="FFFFFF" w:themeColor="background1"/>
                <w:sz w:val="20"/>
                <w:lang w:val="en-US"/>
              </w:rPr>
            </w:pPr>
          </w:p>
        </w:tc>
      </w:tr>
      <w:tr w:rsidR="0061711D" w:rsidRPr="00E100F0" w:rsidTr="00874A64">
        <w:trPr>
          <w:trHeight w:val="20"/>
          <w:jc w:val="center"/>
        </w:trPr>
        <w:tc>
          <w:tcPr>
            <w:tcW w:w="21.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0,1 kHz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 kHz</w:t>
            </w:r>
          </w:p>
        </w:tc>
        <w:tc>
          <w:tcPr>
            <w:tcW w:w="14.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600 Ω</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600 Ω</w:t>
            </w:r>
          </w:p>
        </w:tc>
        <w:tc>
          <w:tcPr>
            <w:tcW w:w="17.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-77,5 dBm</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-77,5 dBm</w:t>
            </w:r>
          </w:p>
        </w:tc>
        <w:tc>
          <w:tcPr>
            <w:tcW w:w="19.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100 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100 Hz</w:t>
            </w:r>
          </w:p>
        </w:tc>
        <w:tc>
          <w:tcPr>
            <w:tcW w:w="21.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-97,5 dBm/Hz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-97,5 dBm/Hz</w:t>
            </w:r>
          </w:p>
        </w:tc>
        <w:tc>
          <w:tcPr>
            <w:tcW w:w="5.0%" w:type="pct"/>
            <w:vMerge w:val="restar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"X"</w:t>
            </w:r>
          </w:p>
        </w:tc>
      </w:tr>
      <w:tr w:rsidR="0061711D" w:rsidRPr="00E100F0" w:rsidTr="00874A64">
        <w:trPr>
          <w:trHeight w:val="20"/>
          <w:jc w:val="center"/>
        </w:trPr>
        <w:tc>
          <w:tcPr>
            <w:tcW w:w="21.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 kHz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4 kHz</w:t>
            </w:r>
          </w:p>
        </w:tc>
        <w:tc>
          <w:tcPr>
            <w:tcW w:w="14.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600 Ω</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600 Ω</w:t>
            </w:r>
          </w:p>
        </w:tc>
        <w:tc>
          <w:tcPr>
            <w:tcW w:w="17.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-67,5 dBm</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-67,5 dBm</w:t>
            </w:r>
          </w:p>
        </w:tc>
        <w:tc>
          <w:tcPr>
            <w:tcW w:w="19.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 kHz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 kHz</w:t>
            </w:r>
          </w:p>
        </w:tc>
        <w:tc>
          <w:tcPr>
            <w:tcW w:w="21.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-97,5 dBm/Hz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-97,5 dBm/Hz</w:t>
            </w:r>
          </w:p>
        </w:tc>
        <w:tc>
          <w:tcPr>
            <w:tcW w:w="5.0%" w:type="pct"/>
            <w:vMerge/>
          </w:tcPr>
          <w:p w:rsidR="00655060" w:rsidRPr="00E100F0" w:rsidRDefault="00655060" w:rsidP="00035D2C">
            <w:pPr>
              <w:pStyle w:val="Formatolibre"/>
              <w:spacing w:before="2pt" w:after="2pt" w:line="13.80pt" w:lineRule="auto"/>
              <w:contextualSpacing/>
              <w:jc w:val="center"/>
              <w:rPr>
                <w:rFonts w:ascii="Century Gothic" w:hAnsi="Century Gothic" w:cs="Arial"/>
                <w:color w:val="000000" w:themeColor="text1"/>
                <w:sz w:val="20"/>
                <w:lang w:val="en-US"/>
              </w:rPr>
            </w:pPr>
          </w:p>
        </w:tc>
      </w:tr>
      <w:tr w:rsidR="0061711D" w:rsidRPr="00D12671" w:rsidTr="00874A64">
        <w:trPr>
          <w:trHeight w:val="20"/>
          <w:jc w:val="center"/>
        </w:trPr>
        <w:tc>
          <w:tcPr>
            <w:tcW w:w="21.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de-DE"/>
              </w:rPr>
            </w:pPr>
            <w:r w:rsidRPr="00E100F0">
              <w:rPr>
                <w:rFonts w:ascii="Century Gothic" w:hAnsi="Century Gothic" w:cs="Arial"/>
                <w:color w:val="000000" w:themeColor="text1"/>
                <w:sz w:val="20"/>
                <w:lang w:val="de-DE"/>
              </w:rPr>
              <w:t>4 kHz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de-DE"/>
              </w:rPr>
            </w:pPr>
            <w:r w:rsidRPr="00E100F0">
              <w:rPr>
                <w:rFonts w:ascii="Century Gothic" w:hAnsi="Century Gothic" w:cs="Arial"/>
                <w:color w:val="000000" w:themeColor="text1"/>
                <w:sz w:val="20"/>
                <w:lang w:val="de-DE"/>
              </w:rPr>
              <w:t>25,875 kHz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de-DE"/>
              </w:rPr>
            </w:pPr>
            <w:r w:rsidRPr="00E100F0">
              <w:rPr>
                <w:rFonts w:ascii="Century Gothic" w:hAnsi="Century Gothic" w:cs="Arial"/>
                <w:color w:val="000000" w:themeColor="text1"/>
                <w:sz w:val="20"/>
                <w:lang w:val="de-DE"/>
              </w:rPr>
              <w:t>138 kHz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de-DE"/>
              </w:rPr>
            </w:pPr>
            <w:r w:rsidRPr="00E100F0">
              <w:rPr>
                <w:rFonts w:ascii="Century Gothic" w:hAnsi="Century Gothic" w:cs="Arial"/>
                <w:color w:val="000000" w:themeColor="text1"/>
                <w:sz w:val="20"/>
                <w:lang w:val="de-DE"/>
              </w:rPr>
              <w:t>307 kHz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de-DE"/>
              </w:rPr>
            </w:pPr>
            <w:r w:rsidRPr="00E100F0">
              <w:rPr>
                <w:rFonts w:ascii="Century Gothic" w:hAnsi="Century Gothic" w:cs="Arial"/>
                <w:color w:val="000000" w:themeColor="text1"/>
                <w:sz w:val="20"/>
                <w:lang w:val="de-DE"/>
              </w:rPr>
              <w:t>11 040 kHz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de-DE"/>
              </w:rPr>
            </w:pPr>
            <w:r w:rsidRPr="00E100F0">
              <w:rPr>
                <w:rFonts w:ascii="Century Gothic" w:hAnsi="Century Gothic" w:cs="Arial"/>
                <w:color w:val="000000" w:themeColor="text1"/>
                <w:sz w:val="20"/>
                <w:lang w:val="de-DE"/>
              </w:rPr>
              <w:t>30 000 kHz</w:t>
            </w:r>
          </w:p>
        </w:tc>
        <w:tc>
          <w:tcPr>
            <w:tcW w:w="14.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100 Ω</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100 Ω</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100 Ω</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100 Ω</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100 Ω</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100 Ω</w:t>
            </w:r>
          </w:p>
        </w:tc>
        <w:tc>
          <w:tcPr>
            <w:tcW w:w="17.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-52,5 dBm</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+5,5 dBm</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+5,5 dBm</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-50 dBm</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-50 dBm</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-50 dBm</w:t>
            </w:r>
          </w:p>
        </w:tc>
        <w:tc>
          <w:tcPr>
            <w:tcW w:w="19.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de-DE"/>
              </w:rPr>
            </w:pPr>
            <w:r w:rsidRPr="00E100F0">
              <w:rPr>
                <w:rFonts w:ascii="Century Gothic" w:hAnsi="Century Gothic" w:cs="Arial"/>
                <w:color w:val="000000" w:themeColor="text1"/>
                <w:sz w:val="20"/>
                <w:lang w:val="de-DE"/>
              </w:rPr>
              <w:t>10 kHz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de-DE"/>
              </w:rPr>
            </w:pPr>
            <w:r w:rsidRPr="00E100F0">
              <w:rPr>
                <w:rFonts w:ascii="Century Gothic" w:hAnsi="Century Gothic" w:cs="Arial"/>
                <w:color w:val="000000" w:themeColor="text1"/>
                <w:sz w:val="20"/>
                <w:lang w:val="de-DE"/>
              </w:rPr>
              <w:t>10 kHz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de-DE"/>
              </w:rPr>
            </w:pPr>
            <w:r w:rsidRPr="00E100F0">
              <w:rPr>
                <w:rFonts w:ascii="Century Gothic" w:hAnsi="Century Gothic" w:cs="Arial"/>
                <w:color w:val="000000" w:themeColor="text1"/>
                <w:sz w:val="20"/>
                <w:lang w:val="de-DE"/>
              </w:rPr>
              <w:t>10 kHz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de-DE"/>
              </w:rPr>
            </w:pPr>
            <w:r w:rsidRPr="00E100F0">
              <w:rPr>
                <w:rFonts w:ascii="Century Gothic" w:hAnsi="Century Gothic" w:cs="Arial"/>
                <w:color w:val="000000" w:themeColor="text1"/>
                <w:sz w:val="20"/>
                <w:lang w:val="de-DE"/>
              </w:rPr>
              <w:t>10 kHz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de-DE"/>
              </w:rPr>
            </w:pPr>
            <w:r w:rsidRPr="00E100F0">
              <w:rPr>
                <w:rFonts w:ascii="Century Gothic" w:hAnsi="Century Gothic" w:cs="Arial"/>
                <w:color w:val="000000" w:themeColor="text1"/>
                <w:sz w:val="20"/>
                <w:lang w:val="de-DE"/>
              </w:rPr>
              <w:t>10 kHz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de-DE"/>
              </w:rPr>
            </w:pPr>
            <w:r w:rsidRPr="00E100F0">
              <w:rPr>
                <w:rFonts w:ascii="Century Gothic" w:hAnsi="Century Gothic" w:cs="Arial"/>
                <w:color w:val="000000" w:themeColor="text1"/>
                <w:sz w:val="20"/>
                <w:lang w:val="de-DE"/>
              </w:rPr>
              <w:t>10 kHz</w:t>
            </w:r>
          </w:p>
        </w:tc>
        <w:tc>
          <w:tcPr>
            <w:tcW w:w="21.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de-DE"/>
              </w:rPr>
            </w:pPr>
            <w:r w:rsidRPr="00E100F0">
              <w:rPr>
                <w:rFonts w:ascii="Century Gothic" w:hAnsi="Century Gothic" w:cs="Arial"/>
                <w:color w:val="000000" w:themeColor="text1"/>
                <w:sz w:val="20"/>
                <w:lang w:val="de-DE"/>
              </w:rPr>
              <w:t>-92,5 dBm/Hz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de-DE"/>
              </w:rPr>
            </w:pPr>
            <w:r w:rsidRPr="00E100F0">
              <w:rPr>
                <w:rFonts w:ascii="Century Gothic" w:hAnsi="Century Gothic" w:cs="Arial"/>
                <w:color w:val="000000" w:themeColor="text1"/>
                <w:sz w:val="20"/>
                <w:lang w:val="de-DE"/>
              </w:rPr>
              <w:t>-34,5 dBm/Hz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de-DE"/>
              </w:rPr>
            </w:pPr>
            <w:r w:rsidRPr="00E100F0">
              <w:rPr>
                <w:rFonts w:ascii="Century Gothic" w:hAnsi="Century Gothic" w:cs="Arial"/>
                <w:color w:val="000000" w:themeColor="text1"/>
                <w:sz w:val="20"/>
                <w:lang w:val="de-DE"/>
              </w:rPr>
              <w:t>-34,5 dBm/Hz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de-DE"/>
              </w:rPr>
            </w:pPr>
            <w:r w:rsidRPr="00E100F0">
              <w:rPr>
                <w:rFonts w:ascii="Century Gothic" w:hAnsi="Century Gothic" w:cs="Arial"/>
                <w:color w:val="000000" w:themeColor="text1"/>
                <w:sz w:val="20"/>
                <w:lang w:val="de-DE"/>
              </w:rPr>
              <w:t>-90 dBm/Hz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de-DE"/>
              </w:rPr>
            </w:pPr>
            <w:r w:rsidRPr="00E100F0">
              <w:rPr>
                <w:rFonts w:ascii="Century Gothic" w:hAnsi="Century Gothic" w:cs="Arial"/>
                <w:color w:val="000000" w:themeColor="text1"/>
                <w:sz w:val="20"/>
                <w:lang w:val="de-DE"/>
              </w:rPr>
              <w:t>-90 dBm/Hz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de-DE"/>
              </w:rPr>
            </w:pPr>
            <w:r w:rsidRPr="00E100F0">
              <w:rPr>
                <w:rFonts w:ascii="Century Gothic" w:hAnsi="Century Gothic" w:cs="Arial"/>
                <w:color w:val="000000" w:themeColor="text1"/>
                <w:sz w:val="20"/>
                <w:lang w:val="de-DE"/>
              </w:rPr>
              <w:t>-90 dBm/Hz</w:t>
            </w:r>
          </w:p>
        </w:tc>
        <w:tc>
          <w:tcPr>
            <w:tcW w:w="5.0%" w:type="pct"/>
            <w:vMerge/>
          </w:tcPr>
          <w:p w:rsidR="00655060" w:rsidRPr="00E100F0" w:rsidRDefault="00655060" w:rsidP="00035D2C">
            <w:pPr>
              <w:pStyle w:val="Formatolibre"/>
              <w:spacing w:before="2pt" w:after="2pt" w:line="13.80pt" w:lineRule="auto"/>
              <w:contextualSpacing/>
              <w:jc w:val="center"/>
              <w:rPr>
                <w:rFonts w:ascii="Century Gothic" w:hAnsi="Century Gothic" w:cs="Arial"/>
                <w:color w:val="000000" w:themeColor="text1"/>
                <w:sz w:val="20"/>
                <w:lang w:val="de-DE"/>
              </w:rPr>
            </w:pPr>
          </w:p>
        </w:tc>
      </w:tr>
      <w:tr w:rsidR="0061711D" w:rsidRPr="00E100F0" w:rsidTr="00874A64">
        <w:trPr>
          <w:trHeight w:val="20"/>
          <w:jc w:val="center"/>
        </w:trPr>
        <w:tc>
          <w:tcPr>
            <w:tcW w:w="21.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60 kHz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138 kHz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307 kHz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1 221 kHz</w:t>
            </w:r>
          </w:p>
        </w:tc>
        <w:tc>
          <w:tcPr>
            <w:tcW w:w="14.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100 Ω</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100 Ω</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100 Ω</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100 Ω</w:t>
            </w:r>
          </w:p>
        </w:tc>
        <w:tc>
          <w:tcPr>
            <w:tcW w:w="17.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+12 dBm</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+12 dBm</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-40 dBm</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-40 dBm</w:t>
            </w:r>
          </w:p>
        </w:tc>
        <w:tc>
          <w:tcPr>
            <w:tcW w:w="19.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100 kHz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100 kHz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100 kHz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100 kHz</w:t>
            </w:r>
          </w:p>
        </w:tc>
        <w:tc>
          <w:tcPr>
            <w:tcW w:w="21.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-38 dBm/Hz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-38 dBm/Hz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-90 dBm/Hz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-90 dBm/Hz</w:t>
            </w:r>
          </w:p>
        </w:tc>
        <w:tc>
          <w:tcPr>
            <w:tcW w:w="5.0%" w:type="pct"/>
            <w:vMerge w:val="restar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"Y"</w:t>
            </w:r>
          </w:p>
        </w:tc>
      </w:tr>
      <w:tr w:rsidR="0061711D" w:rsidRPr="00E100F0" w:rsidTr="00874A64">
        <w:trPr>
          <w:trHeight w:val="20"/>
          <w:jc w:val="center"/>
        </w:trPr>
        <w:tc>
          <w:tcPr>
            <w:tcW w:w="21.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1 221 kHz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lastRenderedPageBreak/>
              <w:t>1 630 kHz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11 040 kHz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30 000 kHz</w:t>
            </w:r>
          </w:p>
        </w:tc>
        <w:tc>
          <w:tcPr>
            <w:tcW w:w="14.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lastRenderedPageBreak/>
              <w:t>100 Ω</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lastRenderedPageBreak/>
              <w:t>100 Ω</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100 Ω</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100 Ω</w:t>
            </w:r>
          </w:p>
        </w:tc>
        <w:tc>
          <w:tcPr>
            <w:tcW w:w="17.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lastRenderedPageBreak/>
              <w:t>-30 dBm</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lastRenderedPageBreak/>
              <w:t>-50 dBm</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-50 dBm</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-50 dBm</w:t>
            </w:r>
          </w:p>
        </w:tc>
        <w:tc>
          <w:tcPr>
            <w:tcW w:w="19.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lastRenderedPageBreak/>
              <w:t>1 MHz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lastRenderedPageBreak/>
              <w:t>1 MHz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 MHz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 MHz</w:t>
            </w:r>
          </w:p>
        </w:tc>
        <w:tc>
          <w:tcPr>
            <w:tcW w:w="21.0%" w:type="pct"/>
          </w:tcPr>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lastRenderedPageBreak/>
              <w:t>-90 dBm/Hz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lastRenderedPageBreak/>
              <w:t>-110 dBm/Hz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-110 dBm/Hz</w:t>
            </w:r>
          </w:p>
          <w:p w:rsidR="00655060" w:rsidRPr="00E100F0" w:rsidRDefault="00E56462" w:rsidP="00035D2C">
            <w:pPr>
              <w:pStyle w:val="Formatolibre"/>
              <w:spacing w:before="2pt" w:after="2pt" w:line="13.80pt" w:lineRule="auto"/>
              <w:contextualSpacing/>
              <w:jc w:val="center"/>
              <w:rPr>
                <w:rFonts w:ascii="Century Gothic" w:hAnsi="Century Gothic" w:cs="Arial"/>
                <w:color w:val="000000" w:themeColor="text1"/>
                <w:sz w:val="20"/>
                <w:lang w:val="en-US"/>
              </w:rPr>
            </w:pPr>
            <w:r w:rsidRPr="00E100F0">
              <w:rPr>
                <w:rFonts w:ascii="Century Gothic" w:hAnsi="Century Gothic" w:cs="Arial"/>
                <w:color w:val="000000" w:themeColor="text1"/>
                <w:sz w:val="20"/>
                <w:lang w:val="en-US"/>
              </w:rPr>
              <w:t>-110 dBm/Hz</w:t>
            </w:r>
          </w:p>
        </w:tc>
        <w:tc>
          <w:tcPr>
            <w:tcW w:w="5.0%" w:type="pct"/>
            <w:vMerge/>
          </w:tcPr>
          <w:p w:rsidR="00655060" w:rsidRPr="00E100F0" w:rsidRDefault="00655060" w:rsidP="00035D2C">
            <w:pPr>
              <w:pStyle w:val="Formatolibre"/>
              <w:spacing w:before="2pt" w:after="2pt" w:line="13.80pt" w:lineRule="auto"/>
              <w:contextualSpacing/>
              <w:jc w:val="center"/>
              <w:rPr>
                <w:rFonts w:ascii="Century Gothic" w:hAnsi="Century Gothic" w:cs="Arial"/>
                <w:color w:val="000000" w:themeColor="text1"/>
                <w:sz w:val="20"/>
                <w:lang w:val="en-US"/>
              </w:rPr>
            </w:pPr>
          </w:p>
        </w:tc>
      </w:tr>
    </w:tbl>
    <w:p w:rsidR="00655060" w:rsidRPr="00611019" w:rsidRDefault="00655060" w:rsidP="00035D2C">
      <w:pPr>
        <w:pStyle w:val="Formatolibre"/>
        <w:spacing w:line="13.80pt" w:lineRule="auto"/>
        <w:ind w:start="35.40pt" w:hanging="35.40pt"/>
        <w:jc w:val="center"/>
        <w:rPr>
          <w:rFonts w:ascii="Century Gothic" w:hAnsi="Century Gothic" w:cs="Arial"/>
          <w:b/>
          <w:color w:val="000000" w:themeColor="text1"/>
          <w:sz w:val="22"/>
          <w:lang w:val="es-MX"/>
        </w:rPr>
      </w:pPr>
    </w:p>
    <w:p w:rsidR="00655060" w:rsidRPr="00611019" w:rsidRDefault="00E56462" w:rsidP="00035D2C">
      <w:pPr>
        <w:pStyle w:val="Formatolibre"/>
        <w:spacing w:line="13.80pt" w:lineRule="auto"/>
        <w:jc w:val="center"/>
        <w:rPr>
          <w:rFonts w:ascii="Century Gothic" w:hAnsi="Century Gothic" w:cs="Arial"/>
          <w:color w:val="000000" w:themeColor="text1"/>
          <w:sz w:val="22"/>
          <w:szCs w:val="22"/>
          <w:lang w:val="es-MX"/>
        </w:rPr>
      </w:pPr>
      <w:r>
        <w:rPr>
          <w:rFonts w:ascii="Century Gothic" w:hAnsi="Century Gothic" w:cs="Arial"/>
          <w:noProof/>
          <w:color w:val="000000" w:themeColor="text1"/>
          <w:sz w:val="22"/>
          <w:szCs w:val="22"/>
          <w:lang w:val="es-MX"/>
        </w:rPr>
        <w:drawing>
          <wp:inline distT="0" distB="0" distL="0" distR="0" wp14:anchorId="605A9658" wp14:editId="0E46997F">
            <wp:extent cx="5096399" cy="2028931"/>
            <wp:effectExtent l="0" t="0" r="9525" b="3175"/>
            <wp:docPr id="43" name="Picture 43"/>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613" name="Picture 43"/>
                    <pic:cNvPicPr>
                      <a:picLocks noChangeAspect="1" noChangeArrowheads="1"/>
                    </pic:cNvPicPr>
                  </pic:nvPicPr>
                  <pic:blipFill>
                    <a:blip r:embed="rId58" cstate="print"/>
                    <a:srcRect t="9.091%"/>
                    <a:stretch>
                      <a:fillRect/>
                    </a:stretch>
                  </pic:blipFill>
                  <pic:spPr bwMode="auto">
                    <a:xfrm>
                      <a:off x="0" y="0"/>
                      <a:ext cx="5096399" cy="2028931"/>
                    </a:xfrm>
                    <a:prstGeom prst="rect">
                      <a:avLst/>
                    </a:prstGeom>
                    <a:noFill/>
                    <a:ln w="9525">
                      <a:noFill/>
                      <a:miter lim="800%"/>
                      <a:headEnd/>
                      <a:tailEnd/>
                    </a:ln>
                  </pic:spPr>
                </pic:pic>
              </a:graphicData>
            </a:graphic>
          </wp:inline>
        </w:drawing>
      </w:r>
    </w:p>
    <w:p w:rsidR="00655060" w:rsidRPr="00611019" w:rsidRDefault="00E56462" w:rsidP="00035D2C">
      <w:pPr>
        <w:jc w:val="center"/>
        <w:rPr>
          <w:rFonts w:ascii="Century Gothic" w:hAnsi="Century Gothic" w:cs="Arial"/>
          <w:b/>
          <w:sz w:val="20"/>
        </w:rPr>
      </w:pPr>
      <w:r>
        <w:rPr>
          <w:rFonts w:ascii="Century Gothic" w:hAnsi="Century Gothic" w:cs="Arial"/>
          <w:b/>
          <w:sz w:val="20"/>
        </w:rPr>
        <w:t xml:space="preserve">Figura </w:t>
      </w:r>
      <w:r w:rsidR="004F0984">
        <w:rPr>
          <w:rFonts w:ascii="Century Gothic" w:hAnsi="Century Gothic" w:cs="Arial"/>
          <w:b/>
          <w:sz w:val="20"/>
        </w:rPr>
        <w:t>10</w:t>
      </w:r>
      <w:r>
        <w:rPr>
          <w:rFonts w:ascii="Century Gothic" w:hAnsi="Century Gothic" w:cs="Arial"/>
          <w:b/>
          <w:sz w:val="20"/>
        </w:rPr>
        <w:t>. Potencia espectral para señales ADSL/POTS DMT en dirección Upstream.</w:t>
      </w:r>
    </w:p>
    <w:p w:rsidR="0097368A" w:rsidRPr="00611019" w:rsidRDefault="0097368A" w:rsidP="00035D2C">
      <w:pPr>
        <w:jc w:val="center"/>
        <w:rPr>
          <w:rFonts w:ascii="Century Gothic" w:hAnsi="Century Gothic" w:cs="Arial"/>
          <w:b/>
          <w:sz w:val="20"/>
        </w:rPr>
      </w:pPr>
    </w:p>
    <w:p w:rsidR="0097368A" w:rsidRPr="00611019" w:rsidRDefault="00E56462" w:rsidP="00035D2C">
      <w:pPr>
        <w:pStyle w:val="Ttulo3"/>
        <w:spacing w:after="6pt" w:line="13.80pt" w:lineRule="auto"/>
        <w:ind w:start="36pt" w:hanging="36pt"/>
        <w:jc w:val="start"/>
        <w:rPr>
          <w:rFonts w:ascii="Century Gothic" w:hAnsi="Century Gothic"/>
        </w:rPr>
      </w:pPr>
      <w:bookmarkStart w:id="2673" w:name="_Toc92974155"/>
      <w:bookmarkStart w:id="2674" w:name="_Toc93052466"/>
      <w:bookmarkStart w:id="2675" w:name="_Toc93056421"/>
      <w:bookmarkStart w:id="2676" w:name="_Toc125393485"/>
      <w:bookmarkStart w:id="2677" w:name="_Toc148702340"/>
      <w:bookmarkStart w:id="2678" w:name="_Toc170381954"/>
      <w:r>
        <w:rPr>
          <w:rFonts w:ascii="Century Gothic" w:hAnsi="Century Gothic"/>
        </w:rPr>
        <w:t>6.2.7</w:t>
      </w:r>
      <w:r>
        <w:rPr>
          <w:rFonts w:ascii="Century Gothic" w:hAnsi="Century Gothic"/>
        </w:rPr>
        <w:tab/>
      </w:r>
      <w:r>
        <w:rPr>
          <w:rFonts w:ascii="Century Gothic" w:hAnsi="Century Gothic" w:cs="Arial"/>
          <w:color w:val="000000" w:themeColor="text1"/>
        </w:rPr>
        <w:t>ADSL2 DMT1 [G.992.3 Anexo A] y ADSL2+/A DMT G.992.5 Anexo A.</w:t>
      </w:r>
      <w:bookmarkEnd w:id="2673"/>
      <w:bookmarkEnd w:id="2674"/>
      <w:bookmarkEnd w:id="2675"/>
      <w:bookmarkEnd w:id="2676"/>
      <w:bookmarkEnd w:id="2677"/>
      <w:bookmarkEnd w:id="2678"/>
    </w:p>
    <w:p w:rsidR="00655060" w:rsidRPr="00611019" w:rsidRDefault="00E56462" w:rsidP="00035D2C">
      <w:pPr>
        <w:pStyle w:val="IFTnormal"/>
        <w:rPr>
          <w:rFonts w:ascii="Century Gothic" w:hAnsi="Century Gothic"/>
        </w:rPr>
      </w:pPr>
      <w:r>
        <w:rPr>
          <w:rFonts w:ascii="Century Gothic" w:hAnsi="Century Gothic"/>
        </w:rPr>
        <w:t xml:space="preserve">En el caso de las señales ADSL2 DMT1 y ADSL2+/A POTS DMT las características espectrales se definen en términos de la potencia de banda estrecha de la señal medida sobre una carga resistiva de impedancia R. Dichas características están definidas tanto para la dirección </w:t>
      </w:r>
      <w:r>
        <w:rPr>
          <w:rFonts w:ascii="Century Gothic" w:hAnsi="Century Gothic"/>
          <w:i/>
        </w:rPr>
        <w:t>Downstream</w:t>
      </w:r>
      <w:r>
        <w:rPr>
          <w:rFonts w:ascii="Century Gothic" w:hAnsi="Century Gothic"/>
        </w:rPr>
        <w:t xml:space="preserve"> como para la dirección </w:t>
      </w:r>
      <w:r>
        <w:rPr>
          <w:rFonts w:ascii="Century Gothic" w:hAnsi="Century Gothic"/>
          <w:i/>
        </w:rPr>
        <w:t>Upstream</w:t>
      </w:r>
      <w:r>
        <w:rPr>
          <w:rFonts w:ascii="Century Gothic" w:hAnsi="Century Gothic"/>
        </w:rPr>
        <w:t>, tal como se muestra a continuación.</w:t>
      </w:r>
    </w:p>
    <w:p w:rsidR="0097368A" w:rsidRPr="00611019" w:rsidRDefault="0097368A" w:rsidP="00035D2C">
      <w:pPr>
        <w:pStyle w:val="IFTnormal"/>
        <w:rPr>
          <w:rFonts w:ascii="Century Gothic" w:hAnsi="Century Gothic"/>
        </w:rPr>
      </w:pPr>
    </w:p>
    <w:p w:rsidR="0097368A" w:rsidRPr="00611019" w:rsidRDefault="00E56462" w:rsidP="00035D2C">
      <w:pPr>
        <w:pStyle w:val="Ttulo4"/>
        <w:spacing w:before="0pt" w:after="6pt" w:line="13.80pt" w:lineRule="auto"/>
        <w:ind w:start="43.20pt" w:hanging="43.20pt"/>
        <w:rPr>
          <w:rFonts w:ascii="Century Gothic" w:hAnsi="Century Gothic"/>
          <w:sz w:val="22"/>
          <w:szCs w:val="22"/>
        </w:rPr>
      </w:pPr>
      <w:r>
        <w:rPr>
          <w:rFonts w:ascii="Century Gothic" w:hAnsi="Century Gothic"/>
          <w:sz w:val="22"/>
          <w:szCs w:val="24"/>
        </w:rPr>
        <w:t>6.2.7.1</w:t>
      </w:r>
      <w:r>
        <w:rPr>
          <w:rFonts w:ascii="Century Gothic" w:hAnsi="Century Gothic"/>
          <w:sz w:val="22"/>
          <w:szCs w:val="24"/>
        </w:rPr>
        <w:tab/>
      </w:r>
      <w:r>
        <w:rPr>
          <w:rFonts w:ascii="Century Gothic" w:hAnsi="Century Gothic" w:cs="Arial"/>
          <w:color w:val="000000" w:themeColor="text1"/>
          <w:sz w:val="22"/>
          <w:szCs w:val="22"/>
        </w:rPr>
        <w:t>Downstream.</w:t>
      </w:r>
    </w:p>
    <w:p w:rsidR="00655060" w:rsidRPr="00611019" w:rsidRDefault="00E56462" w:rsidP="00035D2C">
      <w:pPr>
        <w:pStyle w:val="IFTnormal"/>
        <w:spacing w:after="6pt"/>
        <w:rPr>
          <w:rFonts w:ascii="Century Gothic" w:hAnsi="Century Gothic"/>
        </w:rPr>
      </w:pPr>
      <w:r>
        <w:rPr>
          <w:rFonts w:ascii="Century Gothic" w:hAnsi="Century Gothic"/>
        </w:rPr>
        <w:t xml:space="preserve">La Tabla 12 presenta los puntos de referencia límite definidos en la cláusula 11.6 de ETSI TR 101 830-1 V1.5.2 para la dirección </w:t>
      </w:r>
      <w:r>
        <w:rPr>
          <w:rFonts w:ascii="Century Gothic" w:hAnsi="Century Gothic"/>
          <w:i/>
        </w:rPr>
        <w:t>Downstream</w:t>
      </w:r>
      <w:r>
        <w:rPr>
          <w:rFonts w:ascii="Century Gothic" w:hAnsi="Century Gothic"/>
        </w:rPr>
        <w:t>, mientras que la Figura 11 ilustra la forma de la densidad espectral de potencia para estas señales.</w:t>
      </w:r>
    </w:p>
    <w:p w:rsidR="00655060" w:rsidRPr="00611019" w:rsidRDefault="00E56462" w:rsidP="00035D2C">
      <w:pPr>
        <w:pStyle w:val="IFTnormal"/>
        <w:spacing w:after="6pt"/>
        <w:rPr>
          <w:rFonts w:ascii="Century Gothic" w:hAnsi="Century Gothic"/>
        </w:rPr>
      </w:pPr>
      <w:r>
        <w:rPr>
          <w:rFonts w:ascii="Century Gothic" w:hAnsi="Century Gothic"/>
        </w:rPr>
        <w:t>Las señales de este tipo deben satisfacer simultáneamente los límites para los anchos de banda definidos mediante la etiqueta “X” así como los correspondientes a la etiqueta “Y”, lo cual implica que para algunas frecuencias se deberán realizar mediciones con dos diferentes anchos de banda.</w:t>
      </w:r>
    </w:p>
    <w:p w:rsidR="00655060" w:rsidRPr="00611019" w:rsidRDefault="00E56462" w:rsidP="00035D2C">
      <w:pPr>
        <w:pStyle w:val="Formatolibre"/>
        <w:spacing w:line="13.80pt" w:lineRule="auto"/>
        <w:ind w:start="35.45pt" w:hanging="35.45pt"/>
        <w:jc w:val="center"/>
        <w:rPr>
          <w:rFonts w:ascii="Century Gothic" w:eastAsiaTheme="minorHAnsi" w:hAnsi="Century Gothic" w:cs="Arial"/>
          <w:b/>
          <w:color w:val="auto"/>
          <w:sz w:val="20"/>
          <w:szCs w:val="22"/>
          <w:lang w:val="es-MX" w:eastAsia="en-US"/>
        </w:rPr>
      </w:pPr>
      <w:r>
        <w:rPr>
          <w:rFonts w:ascii="Century Gothic" w:eastAsiaTheme="minorHAnsi" w:hAnsi="Century Gothic" w:cs="Arial"/>
          <w:b/>
          <w:color w:val="auto"/>
          <w:sz w:val="20"/>
          <w:szCs w:val="22"/>
          <w:lang w:val="es-MX" w:eastAsia="en-US"/>
        </w:rPr>
        <w:t>Tabla 12 Puntos de referencia límite de potencia de banda estrecha para señales ADSL2(+)/A en dirección Downstream.</w:t>
      </w:r>
    </w:p>
    <w:tbl>
      <w:tblPr>
        <w:tblStyle w:val="Cuadrculadetablaclara1"/>
        <w:tblW w:w="105.0%" w:type="pct"/>
        <w:tblLayout w:type="fixed"/>
        <w:tblLook w:firstRow="1" w:lastRow="1" w:firstColumn="1" w:lastColumn="1" w:noHBand="0" w:noVBand="0"/>
      </w:tblPr>
      <w:tblGrid>
        <w:gridCol w:w="2114"/>
        <w:gridCol w:w="1410"/>
        <w:gridCol w:w="1711"/>
        <w:gridCol w:w="2013"/>
        <w:gridCol w:w="2113"/>
        <w:gridCol w:w="503"/>
      </w:tblGrid>
      <w:tr w:rsidR="0061711D" w:rsidTr="00E100F0">
        <w:trPr>
          <w:trHeight w:val="20"/>
          <w:tblHeader/>
        </w:trPr>
        <w:tc>
          <w:tcPr>
            <w:tcW w:w="21.0%" w:type="pct"/>
            <w:shd w:val="clear" w:color="auto" w:fill="009AD9"/>
            <w:vAlign w:val="center"/>
          </w:tcPr>
          <w:p w:rsidR="00655060" w:rsidRPr="00611019" w:rsidRDefault="00E56462" w:rsidP="00035D2C">
            <w:pPr>
              <w:pStyle w:val="Formatolibre"/>
              <w:spacing w:line="13.80pt" w:lineRule="auto"/>
              <w:jc w:val="center"/>
              <w:rPr>
                <w:rFonts w:ascii="Century Gothic" w:hAnsi="Century Gothic" w:cs="Arial"/>
                <w:b/>
                <w:color w:val="FFFFFF" w:themeColor="background1"/>
                <w:sz w:val="20"/>
              </w:rPr>
            </w:pPr>
            <w:r>
              <w:rPr>
                <w:rFonts w:ascii="Century Gothic" w:hAnsi="Century Gothic" w:cs="Arial"/>
                <w:b/>
                <w:color w:val="FFFFFF" w:themeColor="background1"/>
                <w:sz w:val="20"/>
              </w:rPr>
              <w:t>Frecuencia Central</w:t>
            </w:r>
          </w:p>
          <w:p w:rsidR="00655060" w:rsidRPr="00611019" w:rsidRDefault="00E56462" w:rsidP="00035D2C">
            <w:pPr>
              <w:pStyle w:val="Formatolibre"/>
              <w:spacing w:line="13.80pt" w:lineRule="auto"/>
              <w:jc w:val="center"/>
              <w:rPr>
                <w:rFonts w:ascii="Century Gothic" w:hAnsi="Century Gothic" w:cs="Arial"/>
                <w:color w:val="FFFFFF" w:themeColor="background1"/>
                <w:sz w:val="20"/>
              </w:rPr>
            </w:pPr>
            <w:r>
              <w:rPr>
                <w:rFonts w:ascii="Century Gothic" w:hAnsi="Century Gothic" w:cs="Arial"/>
                <w:b/>
                <w:color w:val="FFFFFF" w:themeColor="background1"/>
                <w:sz w:val="20"/>
              </w:rPr>
              <w:t>f</w:t>
            </w:r>
          </w:p>
        </w:tc>
        <w:tc>
          <w:tcPr>
            <w:tcW w:w="14.0%" w:type="pct"/>
            <w:shd w:val="clear" w:color="auto" w:fill="009AD9"/>
            <w:vAlign w:val="center"/>
          </w:tcPr>
          <w:p w:rsidR="00655060" w:rsidRPr="00611019" w:rsidRDefault="00E56462" w:rsidP="00035D2C">
            <w:pPr>
              <w:pStyle w:val="Formatolibre"/>
              <w:spacing w:line="13.80pt" w:lineRule="auto"/>
              <w:jc w:val="center"/>
              <w:rPr>
                <w:rFonts w:ascii="Century Gothic" w:hAnsi="Century Gothic" w:cs="Arial"/>
                <w:b/>
                <w:color w:val="FFFFFF" w:themeColor="background1"/>
                <w:sz w:val="20"/>
              </w:rPr>
            </w:pPr>
            <w:r>
              <w:rPr>
                <w:rFonts w:ascii="Century Gothic" w:hAnsi="Century Gothic" w:cs="Arial"/>
                <w:b/>
                <w:color w:val="FFFFFF" w:themeColor="background1"/>
                <w:sz w:val="20"/>
              </w:rPr>
              <w:t>Impedancia</w:t>
            </w:r>
          </w:p>
          <w:p w:rsidR="00655060" w:rsidRPr="00611019" w:rsidRDefault="00E56462" w:rsidP="00035D2C">
            <w:pPr>
              <w:pStyle w:val="Formatolibre"/>
              <w:spacing w:line="13.80pt" w:lineRule="auto"/>
              <w:jc w:val="center"/>
              <w:rPr>
                <w:rFonts w:ascii="Century Gothic" w:hAnsi="Century Gothic" w:cs="Arial"/>
                <w:color w:val="FFFFFF" w:themeColor="background1"/>
                <w:sz w:val="20"/>
              </w:rPr>
            </w:pPr>
            <w:r>
              <w:rPr>
                <w:rFonts w:ascii="Century Gothic" w:hAnsi="Century Gothic" w:cs="Arial"/>
                <w:b/>
                <w:color w:val="FFFFFF" w:themeColor="background1"/>
                <w:sz w:val="20"/>
              </w:rPr>
              <w:t>R</w:t>
            </w:r>
          </w:p>
        </w:tc>
        <w:tc>
          <w:tcPr>
            <w:tcW w:w="17.0%" w:type="pct"/>
            <w:shd w:val="clear" w:color="auto" w:fill="009AD9"/>
            <w:vAlign w:val="center"/>
          </w:tcPr>
          <w:p w:rsidR="00655060" w:rsidRPr="00611019" w:rsidRDefault="00E56462" w:rsidP="00035D2C">
            <w:pPr>
              <w:pStyle w:val="Formatolibre"/>
              <w:spacing w:line="13.80pt" w:lineRule="auto"/>
              <w:jc w:val="center"/>
              <w:rPr>
                <w:rFonts w:ascii="Century Gothic" w:hAnsi="Century Gothic" w:cs="Arial"/>
                <w:b/>
                <w:color w:val="FFFFFF" w:themeColor="background1"/>
                <w:sz w:val="20"/>
              </w:rPr>
            </w:pPr>
            <w:r>
              <w:rPr>
                <w:rFonts w:ascii="Century Gothic" w:hAnsi="Century Gothic" w:cs="Arial"/>
                <w:b/>
                <w:color w:val="FFFFFF" w:themeColor="background1"/>
                <w:sz w:val="20"/>
              </w:rPr>
              <w:t>Nivel de Señal</w:t>
            </w:r>
          </w:p>
          <w:p w:rsidR="00655060" w:rsidRPr="00611019" w:rsidRDefault="00E56462" w:rsidP="00035D2C">
            <w:pPr>
              <w:pStyle w:val="Formatolibre"/>
              <w:spacing w:line="13.80pt" w:lineRule="auto"/>
              <w:jc w:val="center"/>
              <w:rPr>
                <w:rFonts w:ascii="Century Gothic" w:hAnsi="Century Gothic" w:cs="Arial"/>
                <w:color w:val="FFFFFF" w:themeColor="background1"/>
                <w:sz w:val="20"/>
              </w:rPr>
            </w:pPr>
            <w:r>
              <w:rPr>
                <w:rFonts w:ascii="Century Gothic" w:hAnsi="Century Gothic" w:cs="Arial"/>
                <w:b/>
                <w:color w:val="FFFFFF" w:themeColor="background1"/>
                <w:sz w:val="20"/>
              </w:rPr>
              <w:t>P</w:t>
            </w:r>
          </w:p>
        </w:tc>
        <w:tc>
          <w:tcPr>
            <w:tcW w:w="20.0%" w:type="pct"/>
            <w:shd w:val="clear" w:color="auto" w:fill="009AD9"/>
            <w:vAlign w:val="center"/>
          </w:tcPr>
          <w:p w:rsidR="00655060" w:rsidRPr="00611019" w:rsidRDefault="00E56462" w:rsidP="00035D2C">
            <w:pPr>
              <w:pStyle w:val="Formatolibre"/>
              <w:spacing w:line="13.80pt" w:lineRule="auto"/>
              <w:jc w:val="center"/>
              <w:rPr>
                <w:rFonts w:ascii="Century Gothic" w:hAnsi="Century Gothic" w:cs="Arial"/>
                <w:b/>
                <w:color w:val="FFFFFF" w:themeColor="background1"/>
                <w:sz w:val="20"/>
              </w:rPr>
            </w:pPr>
            <w:r>
              <w:rPr>
                <w:rFonts w:ascii="Century Gothic" w:hAnsi="Century Gothic" w:cs="Arial"/>
                <w:b/>
                <w:color w:val="FFFFFF" w:themeColor="background1"/>
                <w:sz w:val="20"/>
              </w:rPr>
              <w:t>Ancho de Banda</w:t>
            </w:r>
          </w:p>
          <w:p w:rsidR="00655060" w:rsidRPr="00611019" w:rsidRDefault="00E56462" w:rsidP="00035D2C">
            <w:pPr>
              <w:pStyle w:val="Formatolibre"/>
              <w:spacing w:line="13.80pt" w:lineRule="auto"/>
              <w:jc w:val="center"/>
              <w:rPr>
                <w:rFonts w:ascii="Century Gothic" w:hAnsi="Century Gothic" w:cs="Arial"/>
                <w:color w:val="FFFFFF" w:themeColor="background1"/>
                <w:sz w:val="20"/>
              </w:rPr>
            </w:pPr>
            <w:r>
              <w:rPr>
                <w:rFonts w:ascii="Century Gothic" w:hAnsi="Century Gothic" w:cs="Arial"/>
                <w:b/>
                <w:color w:val="FFFFFF" w:themeColor="background1"/>
                <w:sz w:val="20"/>
              </w:rPr>
              <w:t>B</w:t>
            </w:r>
          </w:p>
        </w:tc>
        <w:tc>
          <w:tcPr>
            <w:tcW w:w="21.0%" w:type="pct"/>
            <w:shd w:val="clear" w:color="auto" w:fill="009AD9"/>
            <w:vAlign w:val="center"/>
          </w:tcPr>
          <w:p w:rsidR="00655060" w:rsidRPr="00611019" w:rsidRDefault="00E56462" w:rsidP="00035D2C">
            <w:pPr>
              <w:pStyle w:val="Formatolibre"/>
              <w:spacing w:line="13.80pt" w:lineRule="auto"/>
              <w:jc w:val="center"/>
              <w:rPr>
                <w:rFonts w:ascii="Century Gothic" w:hAnsi="Century Gothic" w:cs="Arial"/>
                <w:b/>
                <w:color w:val="FFFFFF" w:themeColor="background1"/>
                <w:sz w:val="20"/>
              </w:rPr>
            </w:pPr>
            <w:r>
              <w:rPr>
                <w:rFonts w:ascii="Century Gothic" w:hAnsi="Century Gothic" w:cs="Arial"/>
                <w:b/>
                <w:color w:val="FFFFFF" w:themeColor="background1"/>
                <w:sz w:val="20"/>
              </w:rPr>
              <w:t>Potencia Espectral</w:t>
            </w:r>
          </w:p>
          <w:p w:rsidR="00655060" w:rsidRPr="00611019" w:rsidRDefault="00E56462" w:rsidP="00035D2C">
            <w:pPr>
              <w:pStyle w:val="Formatolibre"/>
              <w:spacing w:line="13.80pt" w:lineRule="auto"/>
              <w:jc w:val="center"/>
              <w:rPr>
                <w:rFonts w:ascii="Century Gothic" w:hAnsi="Century Gothic" w:cs="Arial"/>
                <w:color w:val="FFFFFF" w:themeColor="background1"/>
                <w:sz w:val="20"/>
              </w:rPr>
            </w:pPr>
            <w:r>
              <w:rPr>
                <w:rFonts w:ascii="Century Gothic" w:hAnsi="Century Gothic" w:cs="Arial"/>
                <w:b/>
                <w:color w:val="FFFFFF" w:themeColor="background1"/>
                <w:sz w:val="20"/>
              </w:rPr>
              <w:t>P/B</w:t>
            </w:r>
          </w:p>
        </w:tc>
        <w:tc>
          <w:tcPr>
            <w:tcW w:w="5.0%" w:type="pct"/>
            <w:shd w:val="clear" w:color="auto" w:fill="009AD9"/>
          </w:tcPr>
          <w:p w:rsidR="00655060" w:rsidRPr="00611019" w:rsidRDefault="00655060" w:rsidP="00035D2C">
            <w:pPr>
              <w:pStyle w:val="Formatolibre"/>
              <w:spacing w:line="13.80pt" w:lineRule="auto"/>
              <w:jc w:val="center"/>
              <w:rPr>
                <w:rFonts w:ascii="Century Gothic" w:hAnsi="Century Gothic" w:cs="Arial"/>
                <w:color w:val="FFFFFF" w:themeColor="background1"/>
                <w:sz w:val="20"/>
                <w:lang w:val="en-US"/>
              </w:rPr>
            </w:pPr>
          </w:p>
        </w:tc>
      </w:tr>
      <w:tr w:rsidR="0061711D" w:rsidTr="00E01148">
        <w:trPr>
          <w:trHeight w:val="20"/>
        </w:trPr>
        <w:tc>
          <w:tcPr>
            <w:tcW w:w="21.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0,1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 kHz</w:t>
            </w:r>
          </w:p>
        </w:tc>
        <w:tc>
          <w:tcPr>
            <w:tcW w:w="14.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600 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600 Ω</w:t>
            </w:r>
          </w:p>
        </w:tc>
        <w:tc>
          <w:tcPr>
            <w:tcW w:w="17.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-77,5 dBm</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-77,5 dBm</w:t>
            </w:r>
          </w:p>
        </w:tc>
        <w:tc>
          <w:tcPr>
            <w:tcW w:w="20.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Hz</w:t>
            </w:r>
          </w:p>
        </w:tc>
        <w:tc>
          <w:tcPr>
            <w:tcW w:w="21.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-97,5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-97,5 dBm/Hz</w:t>
            </w:r>
          </w:p>
        </w:tc>
        <w:tc>
          <w:tcPr>
            <w:tcW w:w="5.0%" w:type="pct"/>
            <w:vMerge w:val="restar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"X"</w:t>
            </w:r>
          </w:p>
        </w:tc>
      </w:tr>
      <w:tr w:rsidR="0061711D" w:rsidTr="00E01148">
        <w:trPr>
          <w:trHeight w:val="20"/>
        </w:trPr>
        <w:tc>
          <w:tcPr>
            <w:tcW w:w="21.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lastRenderedPageBreak/>
              <w:t>4 kHz</w:t>
            </w:r>
          </w:p>
        </w:tc>
        <w:tc>
          <w:tcPr>
            <w:tcW w:w="14.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lastRenderedPageBreak/>
              <w:t>600 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lastRenderedPageBreak/>
              <w:t>600 Ω</w:t>
            </w:r>
          </w:p>
        </w:tc>
        <w:tc>
          <w:tcPr>
            <w:tcW w:w="17.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lastRenderedPageBreak/>
              <w:t>-67,5 dBm</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lastRenderedPageBreak/>
              <w:t>-67,5 dBm</w:t>
            </w:r>
          </w:p>
        </w:tc>
        <w:tc>
          <w:tcPr>
            <w:tcW w:w="20.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lastRenderedPageBreak/>
              <w:t>1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lastRenderedPageBreak/>
              <w:t>1 kHz</w:t>
            </w:r>
          </w:p>
        </w:tc>
        <w:tc>
          <w:tcPr>
            <w:tcW w:w="21.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lastRenderedPageBreak/>
              <w:t>-97,5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lastRenderedPageBreak/>
              <w:t>-97,5 dBm/Hz</w:t>
            </w:r>
          </w:p>
        </w:tc>
        <w:tc>
          <w:tcPr>
            <w:tcW w:w="5.0%" w:type="pct"/>
            <w:vMerge/>
          </w:tcPr>
          <w:p w:rsidR="00655060" w:rsidRPr="00611019" w:rsidRDefault="00655060" w:rsidP="00035D2C">
            <w:pPr>
              <w:pStyle w:val="Formatolibre"/>
              <w:spacing w:line="13.80pt" w:lineRule="auto"/>
              <w:jc w:val="center"/>
              <w:rPr>
                <w:rFonts w:ascii="Century Gothic" w:hAnsi="Century Gothic" w:cs="Arial"/>
                <w:color w:val="000000" w:themeColor="text1"/>
                <w:sz w:val="20"/>
                <w:lang w:val="en-US"/>
              </w:rPr>
            </w:pPr>
          </w:p>
        </w:tc>
      </w:tr>
      <w:tr w:rsidR="0061711D" w:rsidTr="00E01148">
        <w:trPr>
          <w:trHeight w:val="20"/>
        </w:trPr>
        <w:tc>
          <w:tcPr>
            <w:tcW w:w="21.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4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80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137,9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138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1 104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1 622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2 208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2 500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3 001,5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3 175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30 000 kHz</w:t>
            </w:r>
          </w:p>
        </w:tc>
        <w:tc>
          <w:tcPr>
            <w:tcW w:w="14.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 xml:space="preserve">100 </w:t>
            </w:r>
            <w:r>
              <w:rPr>
                <w:rFonts w:ascii="Century Gothic" w:hAnsi="Century Gothic" w:cs="Arial"/>
                <w:color w:val="000000" w:themeColor="text1"/>
                <w:sz w:val="20"/>
                <w:lang w:val="en-US"/>
              </w:rPr>
              <w:t>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 xml:space="preserve">100 </w:t>
            </w:r>
            <w:r>
              <w:rPr>
                <w:rFonts w:ascii="Century Gothic" w:hAnsi="Century Gothic" w:cs="Arial"/>
                <w:color w:val="000000" w:themeColor="text1"/>
                <w:sz w:val="20"/>
                <w:lang w:val="en-US"/>
              </w:rPr>
              <w:t>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 xml:space="preserve">100 </w:t>
            </w:r>
            <w:r>
              <w:rPr>
                <w:rFonts w:ascii="Century Gothic" w:hAnsi="Century Gothic" w:cs="Arial"/>
                <w:color w:val="000000" w:themeColor="text1"/>
                <w:sz w:val="20"/>
                <w:lang w:val="en-US"/>
              </w:rPr>
              <w:t>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 xml:space="preserve">100 </w:t>
            </w:r>
            <w:r>
              <w:rPr>
                <w:rFonts w:ascii="Century Gothic" w:hAnsi="Century Gothic" w:cs="Arial"/>
                <w:color w:val="000000" w:themeColor="text1"/>
                <w:sz w:val="20"/>
                <w:lang w:val="en-US"/>
              </w:rPr>
              <w:t>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 xml:space="preserve">100 </w:t>
            </w:r>
            <w:r>
              <w:rPr>
                <w:rFonts w:ascii="Century Gothic" w:hAnsi="Century Gothic" w:cs="Arial"/>
                <w:color w:val="000000" w:themeColor="text1"/>
                <w:sz w:val="20"/>
                <w:lang w:val="en-US"/>
              </w:rPr>
              <w:t>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 xml:space="preserve">100 </w:t>
            </w:r>
            <w:r>
              <w:rPr>
                <w:rFonts w:ascii="Century Gothic" w:hAnsi="Century Gothic" w:cs="Arial"/>
                <w:color w:val="000000" w:themeColor="text1"/>
                <w:sz w:val="20"/>
                <w:lang w:val="en-US"/>
              </w:rPr>
              <w:t>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 xml:space="preserve">100 </w:t>
            </w:r>
            <w:r>
              <w:rPr>
                <w:rFonts w:ascii="Century Gothic" w:hAnsi="Century Gothic" w:cs="Arial"/>
                <w:color w:val="000000" w:themeColor="text1"/>
                <w:sz w:val="20"/>
                <w:lang w:val="en-US"/>
              </w:rPr>
              <w:t>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 xml:space="preserve">100 </w:t>
            </w:r>
            <w:r>
              <w:rPr>
                <w:rFonts w:ascii="Century Gothic" w:hAnsi="Century Gothic" w:cs="Arial"/>
                <w:color w:val="000000" w:themeColor="text1"/>
                <w:sz w:val="20"/>
                <w:lang w:val="en-US"/>
              </w:rPr>
              <w:t>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 xml:space="preserve">100 </w:t>
            </w:r>
            <w:r>
              <w:rPr>
                <w:rFonts w:ascii="Century Gothic" w:hAnsi="Century Gothic" w:cs="Arial"/>
                <w:color w:val="000000" w:themeColor="text1"/>
                <w:sz w:val="20"/>
                <w:lang w:val="en-US"/>
              </w:rPr>
              <w:t>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 xml:space="preserve">100 </w:t>
            </w:r>
            <w:r>
              <w:rPr>
                <w:rFonts w:ascii="Century Gothic" w:hAnsi="Century Gothic" w:cs="Arial"/>
                <w:color w:val="000000" w:themeColor="text1"/>
                <w:sz w:val="20"/>
                <w:lang w:val="en-US"/>
              </w:rPr>
              <w:t>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 xml:space="preserve">100 </w:t>
            </w:r>
            <w:r>
              <w:rPr>
                <w:rFonts w:ascii="Century Gothic" w:hAnsi="Century Gothic" w:cs="Arial"/>
                <w:color w:val="000000" w:themeColor="text1"/>
                <w:sz w:val="20"/>
                <w:lang w:val="en-US"/>
              </w:rPr>
              <w:t>Ω</w:t>
            </w:r>
          </w:p>
        </w:tc>
        <w:tc>
          <w:tcPr>
            <w:tcW w:w="17.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-52,5 dBm</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-32,5 dBm</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-4,2 dBm</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+3,5 dBm</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+3,5 dBm</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-6,5 dBm</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-7,8 dBm</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-19,4 dBm</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-40 dBm</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-60 dBm</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-60 dBm</w:t>
            </w:r>
          </w:p>
        </w:tc>
        <w:tc>
          <w:tcPr>
            <w:tcW w:w="20.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 kHz</w:t>
            </w:r>
          </w:p>
        </w:tc>
        <w:tc>
          <w:tcPr>
            <w:tcW w:w="21.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-92,5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-72,5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-44,2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-36,5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-36,5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-46,5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-47,8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-59,4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-80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dBm/Hz</w:t>
            </w:r>
          </w:p>
        </w:tc>
        <w:tc>
          <w:tcPr>
            <w:tcW w:w="5.0%" w:type="pct"/>
            <w:vMerge/>
          </w:tcPr>
          <w:p w:rsidR="00655060" w:rsidRPr="00611019" w:rsidRDefault="00655060" w:rsidP="00035D2C">
            <w:pPr>
              <w:pStyle w:val="Formatolibre"/>
              <w:spacing w:line="13.80pt" w:lineRule="auto"/>
              <w:jc w:val="center"/>
              <w:rPr>
                <w:rFonts w:ascii="Century Gothic" w:hAnsi="Century Gothic" w:cs="Arial"/>
                <w:color w:val="000000" w:themeColor="text1"/>
                <w:sz w:val="20"/>
                <w:lang w:val="en-US"/>
              </w:rPr>
            </w:pPr>
          </w:p>
        </w:tc>
      </w:tr>
      <w:tr w:rsidR="0061711D" w:rsidTr="00E01148">
        <w:trPr>
          <w:trHeight w:val="20"/>
        </w:trPr>
        <w:tc>
          <w:tcPr>
            <w:tcW w:w="21.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170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1 104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1 622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2 208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2 500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3 001,5 kHz</w:t>
            </w:r>
          </w:p>
        </w:tc>
        <w:tc>
          <w:tcPr>
            <w:tcW w:w="14.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tc>
        <w:tc>
          <w:tcPr>
            <w:tcW w:w="17.0%" w:type="pct"/>
          </w:tcPr>
          <w:p w:rsidR="00655060" w:rsidRPr="00611019" w:rsidRDefault="00E56462" w:rsidP="00035D2C">
            <w:pPr>
              <w:pStyle w:val="Formatolibre"/>
              <w:spacing w:line="13.80pt" w:lineRule="auto"/>
              <w:jc w:val="center"/>
              <w:rPr>
                <w:rFonts w:ascii="Century Gothic" w:eastAsia="Arial" w:hAnsi="Century Gothic" w:cs="Arial"/>
                <w:color w:val="000000" w:themeColor="text1"/>
                <w:spacing w:val="1"/>
                <w:sz w:val="20"/>
                <w:lang w:val="en-US"/>
              </w:rPr>
            </w:pPr>
            <w:r>
              <w:rPr>
                <w:rFonts w:ascii="Century Gothic" w:eastAsia="Arial" w:hAnsi="Century Gothic" w:cs="Arial"/>
                <w:color w:val="000000" w:themeColor="text1"/>
                <w:spacing w:val="1"/>
                <w:sz w:val="20"/>
                <w:lang w:val="en-US"/>
              </w:rPr>
              <w:t>+10 dBm</w:t>
            </w:r>
          </w:p>
          <w:p w:rsidR="00655060" w:rsidRPr="00611019" w:rsidRDefault="00E56462" w:rsidP="00035D2C">
            <w:pPr>
              <w:pStyle w:val="Formatolibre"/>
              <w:spacing w:line="13.80pt" w:lineRule="auto"/>
              <w:jc w:val="center"/>
              <w:rPr>
                <w:rFonts w:ascii="Century Gothic" w:eastAsia="Arial" w:hAnsi="Century Gothic" w:cs="Arial"/>
                <w:color w:val="000000" w:themeColor="text1"/>
                <w:spacing w:val="1"/>
                <w:sz w:val="20"/>
                <w:lang w:val="en-US"/>
              </w:rPr>
            </w:pPr>
            <w:r>
              <w:rPr>
                <w:rFonts w:ascii="Century Gothic" w:eastAsia="Arial" w:hAnsi="Century Gothic" w:cs="Arial"/>
                <w:color w:val="000000" w:themeColor="text1"/>
                <w:spacing w:val="1"/>
                <w:sz w:val="20"/>
                <w:lang w:val="en-US"/>
              </w:rPr>
              <w:t>+10 dBm</w:t>
            </w:r>
          </w:p>
          <w:p w:rsidR="00655060" w:rsidRPr="00611019" w:rsidRDefault="00E56462" w:rsidP="00035D2C">
            <w:pPr>
              <w:pStyle w:val="Formatolibre"/>
              <w:spacing w:line="13.80pt" w:lineRule="auto"/>
              <w:jc w:val="center"/>
              <w:rPr>
                <w:rFonts w:ascii="Century Gothic" w:eastAsia="Arial" w:hAnsi="Century Gothic" w:cs="Arial"/>
                <w:color w:val="000000" w:themeColor="text1"/>
                <w:spacing w:val="1"/>
                <w:sz w:val="20"/>
                <w:lang w:val="en-US"/>
              </w:rPr>
            </w:pPr>
            <w:r>
              <w:rPr>
                <w:rFonts w:ascii="Century Gothic" w:eastAsia="Arial" w:hAnsi="Century Gothic" w:cs="Arial"/>
                <w:color w:val="000000" w:themeColor="text1"/>
                <w:spacing w:val="1"/>
                <w:sz w:val="20"/>
                <w:lang w:val="en-US"/>
              </w:rPr>
              <w:t>0 dBm</w:t>
            </w:r>
          </w:p>
          <w:p w:rsidR="00655060" w:rsidRPr="00611019" w:rsidRDefault="00E56462" w:rsidP="00035D2C">
            <w:pPr>
              <w:pStyle w:val="Formatolibre"/>
              <w:spacing w:line="13.80pt" w:lineRule="auto"/>
              <w:jc w:val="center"/>
              <w:rPr>
                <w:rFonts w:ascii="Century Gothic" w:eastAsia="Arial" w:hAnsi="Century Gothic" w:cs="Arial"/>
                <w:color w:val="000000" w:themeColor="text1"/>
                <w:spacing w:val="1"/>
                <w:sz w:val="20"/>
                <w:lang w:val="en-US"/>
              </w:rPr>
            </w:pPr>
            <w:r>
              <w:rPr>
                <w:rFonts w:ascii="Century Gothic" w:eastAsia="Arial" w:hAnsi="Century Gothic" w:cs="Arial"/>
                <w:color w:val="000000" w:themeColor="text1"/>
                <w:spacing w:val="1"/>
                <w:sz w:val="20"/>
                <w:lang w:val="en-US"/>
              </w:rPr>
              <w:t>-1,3 dBm</w:t>
            </w:r>
          </w:p>
          <w:p w:rsidR="00655060" w:rsidRPr="00611019" w:rsidRDefault="00E56462" w:rsidP="00035D2C">
            <w:pPr>
              <w:pStyle w:val="Formatolibre"/>
              <w:spacing w:line="13.80pt" w:lineRule="auto"/>
              <w:jc w:val="center"/>
              <w:rPr>
                <w:rFonts w:ascii="Century Gothic" w:eastAsia="Arial" w:hAnsi="Century Gothic" w:cs="Arial"/>
                <w:color w:val="000000" w:themeColor="text1"/>
                <w:spacing w:val="1"/>
                <w:sz w:val="20"/>
                <w:lang w:val="en-US"/>
              </w:rPr>
            </w:pPr>
            <w:r>
              <w:rPr>
                <w:rFonts w:ascii="Century Gothic" w:eastAsia="Arial" w:hAnsi="Century Gothic" w:cs="Arial"/>
                <w:color w:val="000000" w:themeColor="text1"/>
                <w:spacing w:val="1"/>
                <w:sz w:val="20"/>
                <w:lang w:val="en-US"/>
              </w:rPr>
              <w:t>-12,9 dBm</w:t>
            </w:r>
          </w:p>
          <w:p w:rsidR="00655060" w:rsidRPr="00611019" w:rsidRDefault="00E56462" w:rsidP="00035D2C">
            <w:pPr>
              <w:pStyle w:val="Formatolibre"/>
              <w:spacing w:line="13.80pt" w:lineRule="auto"/>
              <w:jc w:val="center"/>
              <w:rPr>
                <w:rFonts w:ascii="Century Gothic" w:eastAsia="Arial" w:hAnsi="Century Gothic" w:cs="Arial"/>
                <w:color w:val="000000" w:themeColor="text1"/>
                <w:spacing w:val="1"/>
                <w:sz w:val="20"/>
                <w:lang w:val="en-US"/>
              </w:rPr>
            </w:pPr>
            <w:r>
              <w:rPr>
                <w:rFonts w:ascii="Century Gothic" w:eastAsia="Arial" w:hAnsi="Century Gothic" w:cs="Arial"/>
                <w:color w:val="000000" w:themeColor="text1"/>
                <w:spacing w:val="1"/>
                <w:sz w:val="20"/>
                <w:lang w:val="en-US"/>
              </w:rPr>
              <w:t>-33,5 dBm</w:t>
            </w:r>
          </w:p>
        </w:tc>
        <w:tc>
          <w:tcPr>
            <w:tcW w:w="20.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100 kHz</w:t>
            </w:r>
          </w:p>
        </w:tc>
        <w:tc>
          <w:tcPr>
            <w:tcW w:w="21.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-40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-40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-50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-51,3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-62,9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-83,5 dBm/Hz</w:t>
            </w:r>
          </w:p>
        </w:tc>
        <w:tc>
          <w:tcPr>
            <w:tcW w:w="5.0%" w:type="pct"/>
            <w:vMerge w:val="restar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"Y"</w:t>
            </w:r>
          </w:p>
        </w:tc>
      </w:tr>
      <w:tr w:rsidR="0061711D" w:rsidTr="00E01148">
        <w:trPr>
          <w:trHeight w:val="20"/>
        </w:trPr>
        <w:tc>
          <w:tcPr>
            <w:tcW w:w="21.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3 175 kHz</w:t>
            </w:r>
          </w:p>
        </w:tc>
        <w:tc>
          <w:tcPr>
            <w:tcW w:w="14.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tc>
        <w:tc>
          <w:tcPr>
            <w:tcW w:w="17.0%" w:type="pct"/>
          </w:tcPr>
          <w:p w:rsidR="00655060" w:rsidRPr="00611019" w:rsidRDefault="00E56462" w:rsidP="00035D2C">
            <w:pPr>
              <w:pStyle w:val="Formatolibre"/>
              <w:spacing w:line="13.80pt" w:lineRule="auto"/>
              <w:jc w:val="center"/>
              <w:rPr>
                <w:rFonts w:ascii="Century Gothic" w:eastAsia="Arial" w:hAnsi="Century Gothic" w:cs="Arial"/>
                <w:color w:val="000000" w:themeColor="text1"/>
                <w:spacing w:val="1"/>
                <w:sz w:val="20"/>
              </w:rPr>
            </w:pPr>
            <w:r>
              <w:rPr>
                <w:rFonts w:ascii="Century Gothic" w:eastAsia="Arial" w:hAnsi="Century Gothic" w:cs="Arial"/>
                <w:color w:val="000000" w:themeColor="text1"/>
                <w:spacing w:val="1"/>
                <w:sz w:val="20"/>
              </w:rPr>
              <w:t>-50 dBm</w:t>
            </w:r>
          </w:p>
        </w:tc>
        <w:tc>
          <w:tcPr>
            <w:tcW w:w="20.0%" w:type="pct"/>
          </w:tcPr>
          <w:p w:rsidR="00655060" w:rsidRPr="00611019" w:rsidRDefault="00E56462" w:rsidP="00035D2C">
            <w:pPr>
              <w:jc w:val="center"/>
              <w:rPr>
                <w:rFonts w:ascii="Century Gothic" w:hAnsi="Century Gothic" w:cs="Arial"/>
                <w:color w:val="000000" w:themeColor="text1"/>
              </w:rPr>
            </w:pPr>
            <w:r>
              <w:rPr>
                <w:rFonts w:ascii="Century Gothic" w:hAnsi="Century Gothic" w:cs="Arial"/>
                <w:color w:val="000000" w:themeColor="text1"/>
              </w:rPr>
              <w:t>100</w:t>
            </w:r>
            <w:r>
              <w:rPr>
                <w:rFonts w:ascii="Century Gothic" w:hAnsi="Century Gothic" w:cs="Arial"/>
                <w:color w:val="000000" w:themeColor="text1"/>
                <w:spacing w:val="-2"/>
              </w:rPr>
              <w:t xml:space="preserve"> </w:t>
            </w:r>
            <w:r>
              <w:rPr>
                <w:rFonts w:ascii="Century Gothic" w:hAnsi="Century Gothic" w:cs="Arial"/>
                <w:color w:val="000000" w:themeColor="text1"/>
              </w:rPr>
              <w:t>k</w:t>
            </w:r>
            <w:r>
              <w:rPr>
                <w:rFonts w:ascii="Century Gothic" w:hAnsi="Century Gothic" w:cs="Arial"/>
                <w:color w:val="000000" w:themeColor="text1"/>
                <w:spacing w:val="-1"/>
              </w:rPr>
              <w:t>H</w:t>
            </w:r>
            <w:r>
              <w:rPr>
                <w:rFonts w:ascii="Century Gothic" w:hAnsi="Century Gothic" w:cs="Arial"/>
                <w:color w:val="000000" w:themeColor="text1"/>
              </w:rPr>
              <w:t>z</w:t>
            </w:r>
          </w:p>
        </w:tc>
        <w:tc>
          <w:tcPr>
            <w:tcW w:w="21.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dBm/Hz</w:t>
            </w:r>
          </w:p>
        </w:tc>
        <w:tc>
          <w:tcPr>
            <w:tcW w:w="5.0%" w:type="pct"/>
            <w:vMerge/>
          </w:tcPr>
          <w:p w:rsidR="00655060" w:rsidRPr="00611019" w:rsidRDefault="00655060" w:rsidP="00035D2C">
            <w:pPr>
              <w:pStyle w:val="Formatolibre"/>
              <w:spacing w:line="13.80pt" w:lineRule="auto"/>
              <w:jc w:val="center"/>
              <w:rPr>
                <w:rFonts w:ascii="Century Gothic" w:hAnsi="Century Gothic" w:cs="Arial"/>
                <w:color w:val="000000" w:themeColor="text1"/>
                <w:sz w:val="20"/>
                <w:lang w:val="en-US"/>
              </w:rPr>
            </w:pPr>
          </w:p>
        </w:tc>
      </w:tr>
      <w:tr w:rsidR="0061711D" w:rsidTr="00E01148">
        <w:trPr>
          <w:trHeight w:val="20"/>
        </w:trPr>
        <w:tc>
          <w:tcPr>
            <w:tcW w:w="21.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3 175 kHz</w:t>
            </w:r>
          </w:p>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4 545 kHz</w:t>
            </w:r>
          </w:p>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7 225 kHz</w:t>
            </w:r>
          </w:p>
          <w:p w:rsidR="00655060" w:rsidRPr="00611019" w:rsidRDefault="00E56462" w:rsidP="00035D2C">
            <w:pPr>
              <w:pStyle w:val="Formatolibre"/>
              <w:spacing w:line="13.80pt" w:lineRule="auto"/>
              <w:jc w:val="center"/>
              <w:rPr>
                <w:rFonts w:ascii="Century Gothic" w:hAnsi="Century Gothic" w:cs="Arial"/>
                <w:color w:val="000000" w:themeColor="text1"/>
                <w:sz w:val="20"/>
              </w:rPr>
            </w:pPr>
            <w:r>
              <w:rPr>
                <w:rFonts w:ascii="Century Gothic" w:hAnsi="Century Gothic" w:cs="Arial"/>
                <w:color w:val="000000" w:themeColor="text1"/>
                <w:sz w:val="20"/>
              </w:rPr>
              <w:t>30 000 kHz</w:t>
            </w:r>
          </w:p>
        </w:tc>
        <w:tc>
          <w:tcPr>
            <w:tcW w:w="14.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tc>
        <w:tc>
          <w:tcPr>
            <w:tcW w:w="17.0%" w:type="pct"/>
          </w:tcPr>
          <w:p w:rsidR="00655060" w:rsidRPr="00611019" w:rsidRDefault="00E56462" w:rsidP="00035D2C">
            <w:pPr>
              <w:pStyle w:val="Formatolibre"/>
              <w:spacing w:line="13.80pt" w:lineRule="auto"/>
              <w:jc w:val="center"/>
              <w:rPr>
                <w:rFonts w:ascii="Century Gothic" w:eastAsia="Arial" w:hAnsi="Century Gothic" w:cs="Arial"/>
                <w:color w:val="000000" w:themeColor="text1"/>
                <w:spacing w:val="1"/>
                <w:sz w:val="20"/>
              </w:rPr>
            </w:pPr>
            <w:r>
              <w:rPr>
                <w:rFonts w:ascii="Century Gothic" w:eastAsia="Arial" w:hAnsi="Century Gothic" w:cs="Arial"/>
                <w:color w:val="000000" w:themeColor="text1"/>
                <w:spacing w:val="1"/>
                <w:sz w:val="20"/>
              </w:rPr>
              <w:t>-40 dBm</w:t>
            </w:r>
          </w:p>
          <w:p w:rsidR="00655060" w:rsidRPr="00611019" w:rsidRDefault="00E56462" w:rsidP="00035D2C">
            <w:pPr>
              <w:pStyle w:val="Formatolibre"/>
              <w:spacing w:line="13.80pt" w:lineRule="auto"/>
              <w:jc w:val="center"/>
              <w:rPr>
                <w:rFonts w:ascii="Century Gothic" w:eastAsia="Arial" w:hAnsi="Century Gothic" w:cs="Arial"/>
                <w:color w:val="000000" w:themeColor="text1"/>
                <w:spacing w:val="1"/>
                <w:sz w:val="20"/>
              </w:rPr>
            </w:pPr>
            <w:r>
              <w:rPr>
                <w:rFonts w:ascii="Century Gothic" w:eastAsia="Arial" w:hAnsi="Century Gothic" w:cs="Arial"/>
                <w:color w:val="000000" w:themeColor="text1"/>
                <w:spacing w:val="1"/>
                <w:sz w:val="20"/>
              </w:rPr>
              <w:t>-50 dBm</w:t>
            </w:r>
          </w:p>
          <w:p w:rsidR="00655060" w:rsidRPr="00611019" w:rsidRDefault="00E56462" w:rsidP="00035D2C">
            <w:pPr>
              <w:pStyle w:val="Formatolibre"/>
              <w:spacing w:line="13.80pt" w:lineRule="auto"/>
              <w:jc w:val="center"/>
              <w:rPr>
                <w:rFonts w:ascii="Century Gothic" w:eastAsia="Arial" w:hAnsi="Century Gothic" w:cs="Arial"/>
                <w:color w:val="000000" w:themeColor="text1"/>
                <w:spacing w:val="1"/>
                <w:sz w:val="20"/>
              </w:rPr>
            </w:pPr>
            <w:r>
              <w:rPr>
                <w:rFonts w:ascii="Century Gothic" w:eastAsia="Arial" w:hAnsi="Century Gothic" w:cs="Arial"/>
                <w:color w:val="000000" w:themeColor="text1"/>
                <w:spacing w:val="1"/>
                <w:sz w:val="20"/>
              </w:rPr>
              <w:t>-52 dBm</w:t>
            </w:r>
          </w:p>
          <w:p w:rsidR="00655060" w:rsidRPr="00611019" w:rsidRDefault="00E56462" w:rsidP="00035D2C">
            <w:pPr>
              <w:pStyle w:val="Formatolibre"/>
              <w:spacing w:line="13.80pt" w:lineRule="auto"/>
              <w:jc w:val="center"/>
              <w:rPr>
                <w:rFonts w:ascii="Century Gothic" w:eastAsia="Arial" w:hAnsi="Century Gothic" w:cs="Arial"/>
                <w:color w:val="000000" w:themeColor="text1"/>
                <w:spacing w:val="1"/>
                <w:sz w:val="20"/>
              </w:rPr>
            </w:pPr>
            <w:r>
              <w:rPr>
                <w:rFonts w:ascii="Century Gothic" w:eastAsia="Arial" w:hAnsi="Century Gothic" w:cs="Arial"/>
                <w:color w:val="000000" w:themeColor="text1"/>
                <w:spacing w:val="1"/>
                <w:sz w:val="20"/>
              </w:rPr>
              <w:t>-52 dBm</w:t>
            </w:r>
          </w:p>
        </w:tc>
        <w:tc>
          <w:tcPr>
            <w:tcW w:w="20.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 MHz</w:t>
            </w:r>
          </w:p>
          <w:p w:rsidR="00655060" w:rsidRPr="00611019" w:rsidRDefault="00E56462" w:rsidP="00035D2C">
            <w:pPr>
              <w:pStyle w:val="Formatolibre"/>
              <w:spacing w:line="13.80pt" w:lineRule="auto"/>
              <w:jc w:val="center"/>
              <w:rPr>
                <w:rFonts w:ascii="Century Gothic" w:eastAsia="Arial" w:hAnsi="Century Gothic" w:cs="Arial"/>
                <w:color w:val="000000" w:themeColor="text1"/>
                <w:sz w:val="20"/>
              </w:rPr>
            </w:pPr>
            <w:r>
              <w:rPr>
                <w:rFonts w:ascii="Century Gothic" w:hAnsi="Century Gothic" w:cs="Arial"/>
                <w:color w:val="000000" w:themeColor="text1"/>
                <w:sz w:val="20"/>
                <w:lang w:val="en-US"/>
              </w:rPr>
              <w:t>1</w:t>
            </w:r>
            <w:r>
              <w:rPr>
                <w:rFonts w:ascii="Century Gothic" w:eastAsia="Arial" w:hAnsi="Century Gothic" w:cs="Arial"/>
                <w:color w:val="000000" w:themeColor="text1"/>
                <w:sz w:val="20"/>
              </w:rPr>
              <w:t xml:space="preserve"> </w:t>
            </w:r>
            <w:r>
              <w:rPr>
                <w:rFonts w:ascii="Century Gothic" w:eastAsia="Arial" w:hAnsi="Century Gothic" w:cs="Arial"/>
                <w:color w:val="000000" w:themeColor="text1"/>
                <w:spacing w:val="-5"/>
                <w:sz w:val="20"/>
              </w:rPr>
              <w:t>M</w:t>
            </w:r>
            <w:r>
              <w:rPr>
                <w:rFonts w:ascii="Century Gothic" w:eastAsia="Arial" w:hAnsi="Century Gothic" w:cs="Arial"/>
                <w:color w:val="000000" w:themeColor="text1"/>
                <w:spacing w:val="1"/>
                <w:sz w:val="20"/>
              </w:rPr>
              <w:t>H</w:t>
            </w:r>
            <w:r>
              <w:rPr>
                <w:rFonts w:ascii="Century Gothic" w:eastAsia="Arial" w:hAnsi="Century Gothic" w:cs="Arial"/>
                <w:color w:val="000000" w:themeColor="text1"/>
                <w:sz w:val="20"/>
              </w:rPr>
              <w:t>z</w:t>
            </w:r>
          </w:p>
          <w:p w:rsidR="00874A64" w:rsidRPr="00611019" w:rsidRDefault="00E56462" w:rsidP="00035D2C">
            <w:pPr>
              <w:jc w:val="center"/>
              <w:rPr>
                <w:rFonts w:ascii="Century Gothic" w:hAnsi="Century Gothic" w:cs="Arial"/>
                <w:color w:val="000000" w:themeColor="text1"/>
              </w:rPr>
            </w:pPr>
            <w:r>
              <w:rPr>
                <w:rFonts w:ascii="Century Gothic" w:hAnsi="Century Gothic" w:cs="Arial"/>
                <w:color w:val="000000" w:themeColor="text1"/>
              </w:rPr>
              <w:t xml:space="preserve">1 </w:t>
            </w:r>
            <w:r>
              <w:rPr>
                <w:rFonts w:ascii="Century Gothic" w:hAnsi="Century Gothic" w:cs="Arial"/>
                <w:color w:val="000000" w:themeColor="text1"/>
                <w:spacing w:val="-5"/>
              </w:rPr>
              <w:t>M</w:t>
            </w:r>
            <w:r>
              <w:rPr>
                <w:rFonts w:ascii="Century Gothic" w:hAnsi="Century Gothic" w:cs="Arial"/>
                <w:color w:val="000000" w:themeColor="text1"/>
                <w:spacing w:val="1"/>
              </w:rPr>
              <w:t>H</w:t>
            </w:r>
            <w:r>
              <w:rPr>
                <w:rFonts w:ascii="Century Gothic" w:hAnsi="Century Gothic" w:cs="Arial"/>
                <w:color w:val="000000" w:themeColor="text1"/>
              </w:rPr>
              <w:t>z</w:t>
            </w:r>
          </w:p>
          <w:p w:rsidR="00655060" w:rsidRPr="00611019" w:rsidRDefault="00E56462" w:rsidP="00035D2C">
            <w:pPr>
              <w:jc w:val="center"/>
              <w:rPr>
                <w:rFonts w:ascii="Century Gothic" w:hAnsi="Century Gothic" w:cs="Arial"/>
                <w:color w:val="000000" w:themeColor="text1"/>
              </w:rPr>
            </w:pPr>
            <w:r>
              <w:rPr>
                <w:rFonts w:ascii="Century Gothic" w:hAnsi="Century Gothic" w:cs="Arial"/>
                <w:color w:val="000000" w:themeColor="text1"/>
              </w:rPr>
              <w:t xml:space="preserve">1 </w:t>
            </w:r>
            <w:r>
              <w:rPr>
                <w:rFonts w:ascii="Century Gothic" w:hAnsi="Century Gothic" w:cs="Arial"/>
                <w:color w:val="000000" w:themeColor="text1"/>
                <w:spacing w:val="-5"/>
              </w:rPr>
              <w:t>M</w:t>
            </w:r>
            <w:r>
              <w:rPr>
                <w:rFonts w:ascii="Century Gothic" w:hAnsi="Century Gothic" w:cs="Arial"/>
                <w:color w:val="000000" w:themeColor="text1"/>
                <w:spacing w:val="1"/>
              </w:rPr>
              <w:t>H</w:t>
            </w:r>
            <w:r>
              <w:rPr>
                <w:rFonts w:ascii="Century Gothic" w:hAnsi="Century Gothic" w:cs="Arial"/>
                <w:color w:val="000000" w:themeColor="text1"/>
              </w:rPr>
              <w:t>z</w:t>
            </w:r>
          </w:p>
        </w:tc>
        <w:tc>
          <w:tcPr>
            <w:tcW w:w="21.0%" w:type="pct"/>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s-MX"/>
              </w:rPr>
            </w:pPr>
            <w:r>
              <w:rPr>
                <w:rFonts w:ascii="Century Gothic" w:hAnsi="Century Gothic" w:cs="Arial"/>
                <w:color w:val="000000" w:themeColor="text1"/>
                <w:sz w:val="20"/>
                <w:lang w:val="es-MX"/>
              </w:rPr>
              <w:t>-100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s-MX"/>
              </w:rPr>
            </w:pPr>
            <w:r>
              <w:rPr>
                <w:rFonts w:ascii="Century Gothic" w:hAnsi="Century Gothic" w:cs="Arial"/>
                <w:color w:val="000000" w:themeColor="text1"/>
                <w:sz w:val="20"/>
                <w:lang w:val="es-MX"/>
              </w:rPr>
              <w:t>-110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s-MX"/>
              </w:rPr>
            </w:pPr>
            <w:r>
              <w:rPr>
                <w:rFonts w:ascii="Century Gothic" w:hAnsi="Century Gothic" w:cs="Arial"/>
                <w:color w:val="000000" w:themeColor="text1"/>
                <w:sz w:val="20"/>
                <w:lang w:val="es-MX"/>
              </w:rPr>
              <w:t>-112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-112 dBm/Hz</w:t>
            </w:r>
          </w:p>
        </w:tc>
        <w:tc>
          <w:tcPr>
            <w:tcW w:w="5.0%" w:type="pct"/>
            <w:vMerge/>
          </w:tcPr>
          <w:p w:rsidR="00655060" w:rsidRPr="00611019" w:rsidRDefault="00655060" w:rsidP="00035D2C">
            <w:pPr>
              <w:pStyle w:val="Formatolibre"/>
              <w:spacing w:line="13.80pt" w:lineRule="auto"/>
              <w:jc w:val="center"/>
              <w:rPr>
                <w:rFonts w:ascii="Century Gothic" w:hAnsi="Century Gothic" w:cs="Arial"/>
                <w:color w:val="000000" w:themeColor="text1"/>
                <w:sz w:val="20"/>
                <w:lang w:val="en-US"/>
              </w:rPr>
            </w:pPr>
          </w:p>
        </w:tc>
      </w:tr>
    </w:tbl>
    <w:p w:rsidR="00655060" w:rsidRPr="00611019" w:rsidRDefault="00E56462" w:rsidP="00035D2C">
      <w:pPr>
        <w:pStyle w:val="Formatolibre"/>
        <w:spacing w:line="13.80pt" w:lineRule="auto"/>
        <w:jc w:val="center"/>
        <w:rPr>
          <w:rFonts w:ascii="Century Gothic" w:hAnsi="Century Gothic" w:cs="Arial"/>
          <w:color w:val="000000" w:themeColor="text1"/>
          <w:sz w:val="22"/>
          <w:szCs w:val="22"/>
          <w:lang w:val="es-MX"/>
        </w:rPr>
      </w:pPr>
      <w:r>
        <w:rPr>
          <w:rFonts w:ascii="Century Gothic" w:hAnsi="Century Gothic" w:cs="Arial"/>
          <w:noProof/>
          <w:color w:val="000000" w:themeColor="text1"/>
          <w:sz w:val="22"/>
          <w:szCs w:val="22"/>
          <w:lang w:val="es-MX"/>
        </w:rPr>
        <w:drawing>
          <wp:inline distT="0" distB="0" distL="0" distR="0" wp14:anchorId="457B435A" wp14:editId="24D39F9A">
            <wp:extent cx="4743077" cy="1950777"/>
            <wp:effectExtent l="0" t="0" r="635" b="0"/>
            <wp:docPr id="44" name="Picture 44"/>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614" name="Picture 44"/>
                    <pic:cNvPicPr>
                      <a:picLocks noChangeAspect="1" noChangeArrowheads="1"/>
                    </pic:cNvPicPr>
                  </pic:nvPicPr>
                  <pic:blipFill>
                    <a:blip r:embed="rId59" cstate="print"/>
                    <a:stretch>
                      <a:fillRect/>
                    </a:stretch>
                  </pic:blipFill>
                  <pic:spPr bwMode="auto">
                    <a:xfrm>
                      <a:off x="0" y="0"/>
                      <a:ext cx="4763133" cy="1959026"/>
                    </a:xfrm>
                    <a:prstGeom prst="rect">
                      <a:avLst/>
                    </a:prstGeom>
                    <a:noFill/>
                    <a:ln w="9525">
                      <a:noFill/>
                      <a:miter lim="800%"/>
                      <a:headEnd/>
                      <a:tailEnd/>
                    </a:ln>
                  </pic:spPr>
                </pic:pic>
              </a:graphicData>
            </a:graphic>
          </wp:inline>
        </w:drawing>
      </w:r>
    </w:p>
    <w:p w:rsidR="00655060" w:rsidRPr="00611019" w:rsidRDefault="00E56462" w:rsidP="00035D2C">
      <w:pPr>
        <w:pStyle w:val="Formatolibre"/>
        <w:spacing w:line="13.80pt" w:lineRule="auto"/>
        <w:ind w:start="35.40pt" w:hanging="35.40pt"/>
        <w:jc w:val="center"/>
        <w:rPr>
          <w:rFonts w:ascii="Century Gothic" w:eastAsiaTheme="minorHAnsi" w:hAnsi="Century Gothic" w:cs="Arial"/>
          <w:b/>
          <w:color w:val="auto"/>
          <w:sz w:val="20"/>
          <w:szCs w:val="22"/>
          <w:lang w:val="es-MX" w:eastAsia="en-US"/>
        </w:rPr>
      </w:pPr>
      <w:r>
        <w:rPr>
          <w:rFonts w:ascii="Century Gothic" w:eastAsiaTheme="minorHAnsi" w:hAnsi="Century Gothic" w:cs="Arial"/>
          <w:b/>
          <w:color w:val="auto"/>
          <w:sz w:val="20"/>
          <w:szCs w:val="22"/>
          <w:lang w:val="es-MX" w:eastAsia="en-US"/>
        </w:rPr>
        <w:t>Figura 1</w:t>
      </w:r>
      <w:r w:rsidR="004F0984">
        <w:rPr>
          <w:rFonts w:ascii="Century Gothic" w:eastAsiaTheme="minorHAnsi" w:hAnsi="Century Gothic" w:cs="Arial"/>
          <w:b/>
          <w:color w:val="auto"/>
          <w:sz w:val="20"/>
          <w:szCs w:val="22"/>
          <w:lang w:val="es-MX" w:eastAsia="en-US"/>
        </w:rPr>
        <w:t>1</w:t>
      </w:r>
      <w:r>
        <w:rPr>
          <w:rFonts w:ascii="Century Gothic" w:eastAsiaTheme="minorHAnsi" w:hAnsi="Century Gothic" w:cs="Arial"/>
          <w:b/>
          <w:color w:val="auto"/>
          <w:sz w:val="20"/>
          <w:szCs w:val="22"/>
          <w:lang w:val="es-MX" w:eastAsia="en-US"/>
        </w:rPr>
        <w:t>. Potencia espectral para señales ADSL2(+)/A en dirección Downstream.</w:t>
      </w:r>
    </w:p>
    <w:p w:rsidR="00655060" w:rsidRPr="00611019" w:rsidRDefault="00655060" w:rsidP="00035D2C">
      <w:pPr>
        <w:pStyle w:val="Formatolibre"/>
        <w:spacing w:line="13.80pt" w:lineRule="auto"/>
        <w:ind w:start="35.40pt" w:hanging="35.40pt"/>
        <w:jc w:val="center"/>
        <w:rPr>
          <w:rFonts w:ascii="Century Gothic" w:eastAsiaTheme="minorHAnsi" w:hAnsi="Century Gothic" w:cs="Arial"/>
          <w:b/>
          <w:color w:val="auto"/>
          <w:sz w:val="20"/>
          <w:szCs w:val="22"/>
          <w:lang w:val="es-MX" w:eastAsia="en-US"/>
        </w:rPr>
      </w:pPr>
    </w:p>
    <w:p w:rsidR="001A4D73" w:rsidRPr="00611019" w:rsidRDefault="00E56462" w:rsidP="00035D2C">
      <w:pPr>
        <w:pStyle w:val="Ttulo4"/>
        <w:spacing w:before="0pt" w:after="0pt" w:line="13.80pt" w:lineRule="auto"/>
        <w:ind w:start="43.20pt" w:hanging="43.20pt"/>
        <w:rPr>
          <w:rFonts w:ascii="Century Gothic" w:hAnsi="Century Gothic"/>
          <w:sz w:val="22"/>
          <w:szCs w:val="22"/>
        </w:rPr>
      </w:pPr>
      <w:r>
        <w:rPr>
          <w:rFonts w:ascii="Century Gothic" w:hAnsi="Century Gothic"/>
          <w:sz w:val="22"/>
          <w:szCs w:val="24"/>
        </w:rPr>
        <w:t>6.2.7.2</w:t>
      </w:r>
      <w:r>
        <w:rPr>
          <w:rFonts w:ascii="Century Gothic" w:hAnsi="Century Gothic"/>
          <w:sz w:val="22"/>
          <w:szCs w:val="24"/>
        </w:rPr>
        <w:tab/>
      </w:r>
      <w:r>
        <w:rPr>
          <w:rFonts w:ascii="Century Gothic" w:hAnsi="Century Gothic" w:cs="Arial"/>
          <w:color w:val="000000" w:themeColor="text1"/>
          <w:sz w:val="22"/>
          <w:szCs w:val="22"/>
        </w:rPr>
        <w:t>Upstream.</w:t>
      </w:r>
    </w:p>
    <w:p w:rsidR="00655060" w:rsidRPr="00611019" w:rsidRDefault="00E56462" w:rsidP="00035D2C">
      <w:pPr>
        <w:pStyle w:val="IFTnormal"/>
        <w:spacing w:after="6pt"/>
        <w:rPr>
          <w:rFonts w:ascii="Century Gothic" w:hAnsi="Century Gothic"/>
        </w:rPr>
      </w:pPr>
      <w:r>
        <w:rPr>
          <w:rFonts w:ascii="Century Gothic" w:hAnsi="Century Gothic"/>
        </w:rPr>
        <w:t xml:space="preserve">La Tabla 13 presenta los puntos de referencia límite definidos en la cláusula 11.6 de ETSI TR 101 830-1 V1.5.2 para la dirección </w:t>
      </w:r>
      <w:r>
        <w:rPr>
          <w:rFonts w:ascii="Century Gothic" w:hAnsi="Century Gothic"/>
          <w:i/>
        </w:rPr>
        <w:t>Upstream</w:t>
      </w:r>
      <w:r>
        <w:rPr>
          <w:rFonts w:ascii="Century Gothic" w:hAnsi="Century Gothic"/>
        </w:rPr>
        <w:t>, mientras que la Figura 12 ilustra la forma de la densidad espectral de potencia para estas señales.</w:t>
      </w:r>
    </w:p>
    <w:p w:rsidR="00521F2F" w:rsidRDefault="00E56462" w:rsidP="00035D2C">
      <w:pPr>
        <w:pStyle w:val="IFTnormal"/>
        <w:spacing w:after="6pt"/>
        <w:rPr>
          <w:rFonts w:ascii="Century Gothic" w:hAnsi="Century Gothic"/>
        </w:rPr>
      </w:pPr>
      <w:r>
        <w:rPr>
          <w:rFonts w:ascii="Century Gothic" w:hAnsi="Century Gothic"/>
        </w:rPr>
        <w:lastRenderedPageBreak/>
        <w:t>Las señales de este tipo deben satisfacer simultáneamente los límites para los anchos de banda definidos mediante la etiqueta “X” así como los correspondientes a la etiqueta “Y”, lo cual implica que para algunas frecuencias se deberán realizar mediciones con dos diferentes anchos de banda</w:t>
      </w:r>
      <w:r w:rsidR="004F0984">
        <w:rPr>
          <w:rFonts w:ascii="Century Gothic" w:hAnsi="Century Gothic"/>
        </w:rPr>
        <w:t>.</w:t>
      </w:r>
    </w:p>
    <w:p w:rsidR="004F0984" w:rsidRPr="00611019" w:rsidRDefault="004F0984" w:rsidP="00035D2C">
      <w:pPr>
        <w:pStyle w:val="IFTnormal"/>
        <w:spacing w:after="6pt"/>
        <w:rPr>
          <w:rFonts w:ascii="Century Gothic" w:hAnsi="Century Gothic"/>
        </w:rPr>
      </w:pPr>
    </w:p>
    <w:p w:rsidR="00084FBB" w:rsidRPr="00611019" w:rsidRDefault="00E56462" w:rsidP="00035D2C">
      <w:pPr>
        <w:pStyle w:val="Formatolibre"/>
        <w:spacing w:line="13.80pt" w:lineRule="auto"/>
        <w:jc w:val="center"/>
        <w:rPr>
          <w:rFonts w:ascii="Century Gothic" w:eastAsiaTheme="minorHAnsi" w:hAnsi="Century Gothic" w:cs="Arial"/>
          <w:b/>
          <w:color w:val="auto"/>
          <w:sz w:val="20"/>
          <w:szCs w:val="22"/>
          <w:lang w:val="es-MX" w:eastAsia="en-US"/>
        </w:rPr>
      </w:pPr>
      <w:r>
        <w:rPr>
          <w:rFonts w:ascii="Century Gothic" w:eastAsiaTheme="minorHAnsi" w:hAnsi="Century Gothic" w:cs="Arial"/>
          <w:b/>
          <w:color w:val="auto"/>
          <w:sz w:val="20"/>
          <w:szCs w:val="22"/>
          <w:lang w:val="es-MX" w:eastAsia="en-US"/>
        </w:rPr>
        <w:t xml:space="preserve">Tabla 13 Puntos de referencia límite de potencia de banda estrecha para </w:t>
      </w:r>
    </w:p>
    <w:p w:rsidR="00655060" w:rsidRPr="00611019" w:rsidRDefault="00E56462" w:rsidP="00035D2C">
      <w:pPr>
        <w:pStyle w:val="Formatolibre"/>
        <w:spacing w:line="13.80pt" w:lineRule="auto"/>
        <w:jc w:val="center"/>
        <w:rPr>
          <w:rFonts w:ascii="Century Gothic" w:eastAsiaTheme="minorHAnsi" w:hAnsi="Century Gothic" w:cs="Arial"/>
          <w:b/>
          <w:color w:val="auto"/>
          <w:sz w:val="20"/>
          <w:szCs w:val="22"/>
          <w:lang w:val="es-MX" w:eastAsia="en-US"/>
        </w:rPr>
      </w:pPr>
      <w:r>
        <w:rPr>
          <w:rFonts w:ascii="Century Gothic" w:eastAsiaTheme="minorHAnsi" w:hAnsi="Century Gothic" w:cs="Arial"/>
          <w:b/>
          <w:color w:val="auto"/>
          <w:sz w:val="20"/>
          <w:szCs w:val="22"/>
          <w:lang w:val="es-MX" w:eastAsia="en-US"/>
        </w:rPr>
        <w:t>Señales ADSL2(+)/A en dirección Upstream.</w:t>
      </w:r>
    </w:p>
    <w:tbl>
      <w:tblPr>
        <w:tblStyle w:val="Cuadrculadetablaclara1"/>
        <w:tblW w:w="503.10pt" w:type="dxa"/>
        <w:tblLayout w:type="fixed"/>
        <w:tblLook w:firstRow="1" w:lastRow="1" w:firstColumn="1" w:lastColumn="1" w:noHBand="0" w:noVBand="0"/>
      </w:tblPr>
      <w:tblGrid>
        <w:gridCol w:w="2123"/>
        <w:gridCol w:w="1528"/>
        <w:gridCol w:w="1757"/>
        <w:gridCol w:w="1960"/>
        <w:gridCol w:w="2150"/>
        <w:gridCol w:w="544"/>
      </w:tblGrid>
      <w:tr w:rsidR="0061711D" w:rsidTr="00C50B72">
        <w:trPr>
          <w:trHeight w:val="20"/>
        </w:trPr>
        <w:tc>
          <w:tcPr>
            <w:tcW w:w="106.10pt" w:type="dxa"/>
            <w:shd w:val="clear" w:color="auto" w:fill="009AD9"/>
          </w:tcPr>
          <w:p w:rsidR="00655060" w:rsidRPr="00611019" w:rsidRDefault="00E56462" w:rsidP="00035D2C">
            <w:pPr>
              <w:pStyle w:val="Formatolibre"/>
              <w:spacing w:line="13.80pt" w:lineRule="auto"/>
              <w:contextualSpacing/>
              <w:jc w:val="center"/>
              <w:rPr>
                <w:rFonts w:ascii="Century Gothic" w:hAnsi="Century Gothic" w:cs="Arial"/>
                <w:b/>
                <w:color w:val="FFFFFF" w:themeColor="background1"/>
                <w:sz w:val="20"/>
              </w:rPr>
            </w:pPr>
            <w:r>
              <w:rPr>
                <w:rFonts w:ascii="Century Gothic" w:hAnsi="Century Gothic" w:cs="Arial"/>
                <w:b/>
                <w:color w:val="FFFFFF" w:themeColor="background1"/>
                <w:sz w:val="20"/>
              </w:rPr>
              <w:t>Frecuencia Central</w:t>
            </w:r>
          </w:p>
          <w:p w:rsidR="00655060" w:rsidRPr="00611019" w:rsidRDefault="00E56462" w:rsidP="00035D2C">
            <w:pPr>
              <w:pStyle w:val="Formatolibre"/>
              <w:spacing w:line="13.80pt" w:lineRule="auto"/>
              <w:contextualSpacing/>
              <w:jc w:val="center"/>
              <w:rPr>
                <w:rFonts w:ascii="Century Gothic" w:hAnsi="Century Gothic" w:cs="Arial"/>
                <w:color w:val="FFFFFF" w:themeColor="background1"/>
                <w:sz w:val="20"/>
              </w:rPr>
            </w:pPr>
            <w:r>
              <w:rPr>
                <w:rFonts w:ascii="Century Gothic" w:hAnsi="Century Gothic" w:cs="Arial"/>
                <w:b/>
                <w:color w:val="FFFFFF" w:themeColor="background1"/>
                <w:sz w:val="20"/>
              </w:rPr>
              <w:t>f</w:t>
            </w:r>
          </w:p>
        </w:tc>
        <w:tc>
          <w:tcPr>
            <w:tcW w:w="76.35pt" w:type="dxa"/>
            <w:shd w:val="clear" w:color="auto" w:fill="009AD9"/>
          </w:tcPr>
          <w:p w:rsidR="00655060" w:rsidRPr="00611019" w:rsidRDefault="00E56462" w:rsidP="00035D2C">
            <w:pPr>
              <w:pStyle w:val="Formatolibre"/>
              <w:spacing w:line="13.80pt" w:lineRule="auto"/>
              <w:contextualSpacing/>
              <w:jc w:val="center"/>
              <w:rPr>
                <w:rFonts w:ascii="Century Gothic" w:hAnsi="Century Gothic" w:cs="Arial"/>
                <w:color w:val="FFFFFF" w:themeColor="background1"/>
                <w:sz w:val="20"/>
              </w:rPr>
            </w:pPr>
            <w:r>
              <w:rPr>
                <w:rFonts w:ascii="Century Gothic" w:hAnsi="Century Gothic" w:cs="Arial"/>
                <w:b/>
                <w:color w:val="FFFFFF" w:themeColor="background1"/>
                <w:sz w:val="20"/>
              </w:rPr>
              <w:t>Impedancia</w:t>
            </w:r>
            <w:r>
              <w:rPr>
                <w:rFonts w:ascii="Century Gothic" w:hAnsi="Century Gothic" w:cs="Arial"/>
                <w:b/>
                <w:color w:val="FFFFFF" w:themeColor="background1"/>
                <w:sz w:val="20"/>
              </w:rPr>
              <w:br/>
              <w:t>R</w:t>
            </w:r>
          </w:p>
        </w:tc>
        <w:tc>
          <w:tcPr>
            <w:tcW w:w="87.85pt" w:type="dxa"/>
            <w:shd w:val="clear" w:color="auto" w:fill="009AD9"/>
          </w:tcPr>
          <w:p w:rsidR="00655060" w:rsidRPr="00611019" w:rsidRDefault="00E56462" w:rsidP="00035D2C">
            <w:pPr>
              <w:pStyle w:val="Formatolibre"/>
              <w:spacing w:line="13.80pt" w:lineRule="auto"/>
              <w:contextualSpacing/>
              <w:jc w:val="center"/>
              <w:rPr>
                <w:rFonts w:ascii="Century Gothic" w:hAnsi="Century Gothic" w:cs="Arial"/>
                <w:color w:val="FFFFFF" w:themeColor="background1"/>
                <w:sz w:val="20"/>
              </w:rPr>
            </w:pPr>
            <w:r>
              <w:rPr>
                <w:rFonts w:ascii="Century Gothic" w:hAnsi="Century Gothic" w:cs="Arial"/>
                <w:b/>
                <w:color w:val="FFFFFF" w:themeColor="background1"/>
                <w:sz w:val="20"/>
              </w:rPr>
              <w:t>Nivel de Señal</w:t>
            </w:r>
            <w:r>
              <w:rPr>
                <w:rFonts w:ascii="Century Gothic" w:hAnsi="Century Gothic" w:cs="Arial"/>
                <w:b/>
                <w:color w:val="FFFFFF" w:themeColor="background1"/>
                <w:sz w:val="20"/>
              </w:rPr>
              <w:br/>
              <w:t>P</w:t>
            </w:r>
          </w:p>
        </w:tc>
        <w:tc>
          <w:tcPr>
            <w:tcW w:w="98pt" w:type="dxa"/>
            <w:shd w:val="clear" w:color="auto" w:fill="009AD9"/>
          </w:tcPr>
          <w:p w:rsidR="00655060" w:rsidRPr="00611019" w:rsidRDefault="00E56462" w:rsidP="00035D2C">
            <w:pPr>
              <w:pStyle w:val="Formatolibre"/>
              <w:spacing w:line="13.80pt" w:lineRule="auto"/>
              <w:contextualSpacing/>
              <w:jc w:val="center"/>
              <w:rPr>
                <w:rFonts w:ascii="Century Gothic" w:hAnsi="Century Gothic" w:cs="Arial"/>
                <w:color w:val="FFFFFF" w:themeColor="background1"/>
                <w:sz w:val="20"/>
              </w:rPr>
            </w:pPr>
            <w:r>
              <w:rPr>
                <w:rFonts w:ascii="Century Gothic" w:hAnsi="Century Gothic" w:cs="Arial"/>
                <w:b/>
                <w:color w:val="FFFFFF" w:themeColor="background1"/>
                <w:sz w:val="20"/>
              </w:rPr>
              <w:t>Ancho de Banda</w:t>
            </w:r>
            <w:r>
              <w:rPr>
                <w:rFonts w:ascii="Century Gothic" w:hAnsi="Century Gothic" w:cs="Arial"/>
                <w:b/>
                <w:color w:val="FFFFFF" w:themeColor="background1"/>
                <w:sz w:val="20"/>
              </w:rPr>
              <w:br/>
              <w:t>B</w:t>
            </w:r>
          </w:p>
        </w:tc>
        <w:tc>
          <w:tcPr>
            <w:tcW w:w="107.50pt" w:type="dxa"/>
            <w:shd w:val="clear" w:color="auto" w:fill="009AD9"/>
          </w:tcPr>
          <w:p w:rsidR="00655060" w:rsidRPr="00611019" w:rsidRDefault="00E56462" w:rsidP="00035D2C">
            <w:pPr>
              <w:pStyle w:val="Formatolibre"/>
              <w:spacing w:line="13.80pt" w:lineRule="auto"/>
              <w:contextualSpacing/>
              <w:jc w:val="center"/>
              <w:rPr>
                <w:rFonts w:ascii="Century Gothic" w:hAnsi="Century Gothic" w:cs="Arial"/>
                <w:color w:val="FFFFFF" w:themeColor="background1"/>
                <w:sz w:val="20"/>
              </w:rPr>
            </w:pPr>
            <w:r>
              <w:rPr>
                <w:rFonts w:ascii="Century Gothic" w:hAnsi="Century Gothic" w:cs="Arial"/>
                <w:b/>
                <w:color w:val="FFFFFF" w:themeColor="background1"/>
                <w:sz w:val="20"/>
              </w:rPr>
              <w:t>Potencia Espectral</w:t>
            </w:r>
            <w:r>
              <w:rPr>
                <w:rFonts w:ascii="Century Gothic" w:hAnsi="Century Gothic" w:cs="Arial"/>
                <w:b/>
                <w:color w:val="FFFFFF" w:themeColor="background1"/>
                <w:sz w:val="20"/>
              </w:rPr>
              <w:br/>
              <w:t>P/B</w:t>
            </w:r>
          </w:p>
        </w:tc>
        <w:tc>
          <w:tcPr>
            <w:tcW w:w="27.20pt" w:type="dxa"/>
            <w:shd w:val="clear" w:color="auto" w:fill="009AD9"/>
          </w:tcPr>
          <w:p w:rsidR="00655060" w:rsidRPr="00611019" w:rsidRDefault="00655060" w:rsidP="00035D2C">
            <w:pPr>
              <w:pStyle w:val="Formatolibre"/>
              <w:spacing w:line="13.80pt" w:lineRule="auto"/>
              <w:contextualSpacing/>
              <w:jc w:val="center"/>
              <w:rPr>
                <w:rFonts w:ascii="Century Gothic" w:hAnsi="Century Gothic" w:cs="Arial"/>
                <w:color w:val="FFFFFF" w:themeColor="background1"/>
                <w:sz w:val="20"/>
                <w:lang w:val="en-US"/>
              </w:rPr>
            </w:pPr>
          </w:p>
        </w:tc>
      </w:tr>
      <w:tr w:rsidR="0061711D" w:rsidTr="00C50B72">
        <w:trPr>
          <w:trHeight w:val="20"/>
        </w:trPr>
        <w:tc>
          <w:tcPr>
            <w:tcW w:w="106.10pt" w:type="dxa"/>
          </w:tcPr>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0,1 kHz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4 kHz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4 kHz</w:t>
            </w:r>
          </w:p>
        </w:tc>
        <w:tc>
          <w:tcPr>
            <w:tcW w:w="76.35pt" w:type="dxa"/>
          </w:tcPr>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600 Ω</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600 Ω</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600 Ω</w:t>
            </w:r>
          </w:p>
        </w:tc>
        <w:tc>
          <w:tcPr>
            <w:tcW w:w="87.85pt" w:type="dxa"/>
          </w:tcPr>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-77,5 dBm</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-77,5 dBm</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-72,5 dBm</w:t>
            </w:r>
          </w:p>
        </w:tc>
        <w:tc>
          <w:tcPr>
            <w:tcW w:w="98pt" w:type="dxa"/>
          </w:tcPr>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Hz</w:t>
            </w:r>
          </w:p>
        </w:tc>
        <w:tc>
          <w:tcPr>
            <w:tcW w:w="107.50pt" w:type="dxa"/>
          </w:tcPr>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-97,5 dBm/Hz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-97,5 dBm/Hz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-92,5 dBm/Hz</w:t>
            </w:r>
          </w:p>
        </w:tc>
        <w:tc>
          <w:tcPr>
            <w:tcW w:w="27.20pt" w:type="dxa"/>
            <w:vMerge w:val="restart"/>
          </w:tcPr>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"X"</w:t>
            </w:r>
          </w:p>
        </w:tc>
      </w:tr>
      <w:tr w:rsidR="0061711D" w:rsidTr="00C50B72">
        <w:trPr>
          <w:trHeight w:val="20"/>
        </w:trPr>
        <w:tc>
          <w:tcPr>
            <w:tcW w:w="106.10pt" w:type="dxa"/>
          </w:tcPr>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25,875 kHz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1 104 kHz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1 622 kHz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2 208 kHz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2 500 kHz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3 001,5 kHz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3 175 kHz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30 000 kHz</w:t>
            </w:r>
          </w:p>
        </w:tc>
        <w:tc>
          <w:tcPr>
            <w:tcW w:w="76.35pt" w:type="dxa"/>
          </w:tcPr>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tc>
        <w:tc>
          <w:tcPr>
            <w:tcW w:w="87.85pt" w:type="dxa"/>
          </w:tcPr>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+3,5 dBm</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+3,5 dBm</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-6,5 dBm</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-7,8 dBm</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-19,4 dBm</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-40 dBm</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-60 dBm</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-60 dBm</w:t>
            </w:r>
          </w:p>
        </w:tc>
        <w:tc>
          <w:tcPr>
            <w:tcW w:w="98pt" w:type="dxa"/>
          </w:tcPr>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 kHz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 kHz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 kHz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 kHz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 kHz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 kHz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 kHz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 kHz</w:t>
            </w:r>
          </w:p>
        </w:tc>
        <w:tc>
          <w:tcPr>
            <w:tcW w:w="107.50pt" w:type="dxa"/>
          </w:tcPr>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-36,5 dBm/Hz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-36,5 dBm/Hz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-46,5 dBm/Hz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-47,8 dBm/Hz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-59,4 dBm/Hz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-80 dBm/Hz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dBm/Hz</w:t>
            </w:r>
          </w:p>
          <w:p w:rsidR="00655060" w:rsidRPr="00611019" w:rsidRDefault="00E56462" w:rsidP="00035D2C">
            <w:pPr>
              <w:pStyle w:val="Formatolibre"/>
              <w:spacing w:line="13.80pt" w:lineRule="auto"/>
              <w:contextualSpacing/>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dBm/Hz</w:t>
            </w:r>
          </w:p>
        </w:tc>
        <w:tc>
          <w:tcPr>
            <w:tcW w:w="27.20pt" w:type="dxa"/>
            <w:vMerge/>
          </w:tcPr>
          <w:p w:rsidR="00655060" w:rsidRPr="00611019" w:rsidRDefault="00655060" w:rsidP="00035D2C">
            <w:pPr>
              <w:pStyle w:val="Formatolibre"/>
              <w:spacing w:line="13.80pt" w:lineRule="auto"/>
              <w:contextualSpacing/>
              <w:jc w:val="center"/>
              <w:rPr>
                <w:rFonts w:ascii="Century Gothic" w:hAnsi="Century Gothic" w:cs="Arial"/>
                <w:color w:val="000000" w:themeColor="text1"/>
                <w:sz w:val="20"/>
                <w:lang w:val="en-US"/>
              </w:rPr>
            </w:pPr>
          </w:p>
        </w:tc>
      </w:tr>
      <w:tr w:rsidR="0061711D" w:rsidTr="00C50B72">
        <w:trPr>
          <w:trHeight w:val="20"/>
        </w:trPr>
        <w:tc>
          <w:tcPr>
            <w:tcW w:w="106.1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60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1 104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1 622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2 208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2 500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3 001,5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3 175 kHz</w:t>
            </w:r>
          </w:p>
        </w:tc>
        <w:tc>
          <w:tcPr>
            <w:tcW w:w="76.3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tc>
        <w:tc>
          <w:tcPr>
            <w:tcW w:w="87.8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 dBm</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 dBm</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0 dBm</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-1,3 dBm</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-12,9 dBm</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-33,5 dBm</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-50 dBm</w:t>
            </w:r>
          </w:p>
        </w:tc>
        <w:tc>
          <w:tcPr>
            <w:tcW w:w="98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de-DE"/>
              </w:rPr>
            </w:pPr>
            <w:r>
              <w:rPr>
                <w:rFonts w:ascii="Century Gothic" w:hAnsi="Century Gothic" w:cs="Arial"/>
                <w:color w:val="000000" w:themeColor="text1"/>
                <w:sz w:val="20"/>
                <w:lang w:val="de-DE"/>
              </w:rPr>
              <w:t>100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kHz</w:t>
            </w:r>
          </w:p>
        </w:tc>
        <w:tc>
          <w:tcPr>
            <w:tcW w:w="107.5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-40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-40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-50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-51,3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-62,9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-83,5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dBm/Hz</w:t>
            </w:r>
          </w:p>
        </w:tc>
        <w:tc>
          <w:tcPr>
            <w:tcW w:w="27.2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"Y"</w:t>
            </w:r>
          </w:p>
        </w:tc>
      </w:tr>
      <w:tr w:rsidR="0061711D" w:rsidTr="00C50B72">
        <w:trPr>
          <w:trHeight w:val="20"/>
        </w:trPr>
        <w:tc>
          <w:tcPr>
            <w:tcW w:w="106.1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3 175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4 545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7 225 kHz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30 000 kHz</w:t>
            </w:r>
          </w:p>
        </w:tc>
        <w:tc>
          <w:tcPr>
            <w:tcW w:w="76.3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Ω</w:t>
            </w:r>
          </w:p>
        </w:tc>
        <w:tc>
          <w:tcPr>
            <w:tcW w:w="87.8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-40 dBm</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-50 dBm</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-52 dBm</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-52 dBm</w:t>
            </w:r>
          </w:p>
        </w:tc>
        <w:tc>
          <w:tcPr>
            <w:tcW w:w="98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 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 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 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 MHz</w:t>
            </w:r>
          </w:p>
        </w:tc>
        <w:tc>
          <w:tcPr>
            <w:tcW w:w="107.5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-100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-110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-112 dBm/Hz</w:t>
            </w:r>
          </w:p>
          <w:p w:rsidR="00655060" w:rsidRPr="00611019" w:rsidRDefault="00E56462" w:rsidP="00035D2C">
            <w:pPr>
              <w:pStyle w:val="Formatolibre"/>
              <w:spacing w:line="13.80pt" w:lineRule="auto"/>
              <w:jc w:val="center"/>
              <w:rPr>
                <w:rFonts w:ascii="Century Gothic" w:hAnsi="Century Gothic" w:cs="Arial"/>
                <w:color w:val="000000" w:themeColor="text1"/>
                <w:sz w:val="20"/>
                <w:lang w:val="en-US"/>
              </w:rPr>
            </w:pPr>
            <w:r>
              <w:rPr>
                <w:rFonts w:ascii="Century Gothic" w:hAnsi="Century Gothic" w:cs="Arial"/>
                <w:color w:val="000000" w:themeColor="text1"/>
                <w:sz w:val="20"/>
                <w:lang w:val="en-US"/>
              </w:rPr>
              <w:t>-112 dBm/Hz</w:t>
            </w:r>
          </w:p>
        </w:tc>
        <w:tc>
          <w:tcPr>
            <w:tcW w:w="27.20pt" w:type="dxa"/>
          </w:tcPr>
          <w:p w:rsidR="00655060" w:rsidRPr="00611019" w:rsidRDefault="00655060" w:rsidP="00035D2C">
            <w:pPr>
              <w:pStyle w:val="Formatolibre"/>
              <w:spacing w:line="13.80pt" w:lineRule="auto"/>
              <w:jc w:val="center"/>
              <w:rPr>
                <w:rFonts w:ascii="Century Gothic" w:hAnsi="Century Gothic" w:cs="Arial"/>
                <w:color w:val="000000" w:themeColor="text1"/>
                <w:sz w:val="20"/>
                <w:lang w:val="en-US"/>
              </w:rPr>
            </w:pPr>
          </w:p>
        </w:tc>
      </w:tr>
    </w:tbl>
    <w:p w:rsidR="00655060" w:rsidRPr="00611019" w:rsidRDefault="00E56462" w:rsidP="00035D2C">
      <w:pPr>
        <w:pStyle w:val="Formatolibre"/>
        <w:spacing w:line="13.80pt" w:lineRule="auto"/>
        <w:jc w:val="center"/>
        <w:rPr>
          <w:rFonts w:ascii="Century Gothic" w:hAnsi="Century Gothic" w:cs="Arial"/>
          <w:color w:val="000000" w:themeColor="text1"/>
          <w:sz w:val="22"/>
          <w:szCs w:val="22"/>
          <w:lang w:val="es-MX"/>
        </w:rPr>
      </w:pPr>
      <w:r>
        <w:rPr>
          <w:rFonts w:ascii="Century Gothic" w:hAnsi="Century Gothic" w:cs="Arial"/>
          <w:noProof/>
          <w:color w:val="000000" w:themeColor="text1"/>
          <w:sz w:val="22"/>
          <w:szCs w:val="22"/>
          <w:lang w:val="es-MX"/>
        </w:rPr>
        <w:drawing>
          <wp:inline distT="0" distB="0" distL="0" distR="0" wp14:anchorId="659E8A7E" wp14:editId="0E3402C8">
            <wp:extent cx="5016952" cy="2106008"/>
            <wp:effectExtent l="0" t="0" r="0" b="2540"/>
            <wp:docPr id="46" name="Picture 46"/>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615" name="Picture 46"/>
                    <pic:cNvPicPr>
                      <a:picLocks noChangeAspect="1" noChangeArrowheads="1"/>
                    </pic:cNvPicPr>
                  </pic:nvPicPr>
                  <pic:blipFill>
                    <a:blip r:embed="rId60" cstate="print"/>
                    <a:stretch>
                      <a:fillRect/>
                    </a:stretch>
                  </pic:blipFill>
                  <pic:spPr bwMode="auto">
                    <a:xfrm>
                      <a:off x="0" y="0"/>
                      <a:ext cx="5017645" cy="2106299"/>
                    </a:xfrm>
                    <a:prstGeom prst="rect">
                      <a:avLst/>
                    </a:prstGeom>
                    <a:noFill/>
                    <a:ln w="9525">
                      <a:noFill/>
                      <a:miter lim="800%"/>
                      <a:headEnd/>
                      <a:tailEnd/>
                    </a:ln>
                  </pic:spPr>
                </pic:pic>
              </a:graphicData>
            </a:graphic>
          </wp:inline>
        </w:drawing>
      </w:r>
    </w:p>
    <w:p w:rsidR="00655060" w:rsidRPr="00611019" w:rsidRDefault="00E56462" w:rsidP="00035D2C">
      <w:pPr>
        <w:pStyle w:val="Formatolibre"/>
        <w:spacing w:line="13.80pt" w:lineRule="auto"/>
        <w:ind w:start="35.40pt" w:hanging="35.40pt"/>
        <w:jc w:val="center"/>
        <w:rPr>
          <w:rFonts w:ascii="Century Gothic" w:hAnsi="Century Gothic" w:cs="Arial"/>
          <w:b/>
          <w:color w:val="000000" w:themeColor="text1"/>
          <w:sz w:val="20"/>
        </w:rPr>
      </w:pPr>
      <w:r>
        <w:rPr>
          <w:rFonts w:ascii="Century Gothic" w:eastAsiaTheme="minorHAnsi" w:hAnsi="Century Gothic" w:cs="Arial"/>
          <w:b/>
          <w:color w:val="auto"/>
          <w:sz w:val="20"/>
          <w:lang w:val="es-MX" w:eastAsia="en-US"/>
        </w:rPr>
        <w:t>Figura 1</w:t>
      </w:r>
      <w:r w:rsidR="004F0984">
        <w:rPr>
          <w:rFonts w:ascii="Century Gothic" w:eastAsiaTheme="minorHAnsi" w:hAnsi="Century Gothic" w:cs="Arial"/>
          <w:b/>
          <w:color w:val="auto"/>
          <w:sz w:val="20"/>
          <w:lang w:val="es-MX" w:eastAsia="en-US"/>
        </w:rPr>
        <w:t>2</w:t>
      </w:r>
      <w:r>
        <w:rPr>
          <w:rFonts w:ascii="Century Gothic" w:hAnsi="Century Gothic" w:cs="Arial"/>
          <w:b/>
          <w:color w:val="000000" w:themeColor="text1"/>
          <w:sz w:val="20"/>
        </w:rPr>
        <w:t xml:space="preserve">. Potencia espectral para señales ADSL2(+)/A en dirección </w:t>
      </w:r>
      <w:r>
        <w:rPr>
          <w:rFonts w:ascii="Century Gothic" w:hAnsi="Century Gothic" w:cs="Arial"/>
          <w:b/>
          <w:i/>
          <w:color w:val="000000" w:themeColor="text1"/>
          <w:sz w:val="20"/>
        </w:rPr>
        <w:t>Upstream</w:t>
      </w:r>
      <w:r>
        <w:rPr>
          <w:rFonts w:ascii="Century Gothic" w:hAnsi="Century Gothic" w:cs="Arial"/>
          <w:b/>
          <w:color w:val="000000" w:themeColor="text1"/>
          <w:sz w:val="20"/>
        </w:rPr>
        <w:t>.</w:t>
      </w:r>
    </w:p>
    <w:p w:rsidR="001A4D73" w:rsidRPr="00611019" w:rsidRDefault="00E56462" w:rsidP="00035D2C">
      <w:pPr>
        <w:pStyle w:val="Ttulo3"/>
        <w:spacing w:after="6pt" w:line="13.80pt" w:lineRule="auto"/>
        <w:ind w:start="36pt" w:hanging="36pt"/>
        <w:jc w:val="start"/>
        <w:rPr>
          <w:rFonts w:ascii="Century Gothic" w:hAnsi="Century Gothic"/>
        </w:rPr>
      </w:pPr>
      <w:bookmarkStart w:id="2679" w:name="_Toc92974156"/>
      <w:bookmarkStart w:id="2680" w:name="_Toc93052467"/>
      <w:bookmarkStart w:id="2681" w:name="_Toc93056422"/>
      <w:bookmarkStart w:id="2682" w:name="_Toc125393486"/>
      <w:bookmarkStart w:id="2683" w:name="_Toc148702341"/>
      <w:bookmarkStart w:id="2684" w:name="_Toc170381955"/>
      <w:r>
        <w:rPr>
          <w:rFonts w:ascii="Century Gothic" w:hAnsi="Century Gothic"/>
        </w:rPr>
        <w:lastRenderedPageBreak/>
        <w:t>6.2.8</w:t>
      </w:r>
      <w:r>
        <w:rPr>
          <w:rFonts w:ascii="Century Gothic" w:hAnsi="Century Gothic"/>
        </w:rPr>
        <w:tab/>
      </w:r>
      <w:r>
        <w:rPr>
          <w:rFonts w:ascii="Century Gothic" w:hAnsi="Century Gothic" w:cs="Arial"/>
          <w:color w:val="000000" w:themeColor="text1"/>
        </w:rPr>
        <w:t>VDSL2 NL1 / POTS.</w:t>
      </w:r>
      <w:bookmarkEnd w:id="2679"/>
      <w:bookmarkEnd w:id="2680"/>
      <w:bookmarkEnd w:id="2681"/>
      <w:bookmarkEnd w:id="2682"/>
      <w:bookmarkEnd w:id="2683"/>
      <w:bookmarkEnd w:id="2684"/>
    </w:p>
    <w:p w:rsidR="00655060" w:rsidRPr="00611019" w:rsidRDefault="00E56462" w:rsidP="00035D2C">
      <w:pPr>
        <w:pStyle w:val="IFTnormal"/>
        <w:spacing w:after="6pt"/>
        <w:rPr>
          <w:rFonts w:ascii="Century Gothic" w:hAnsi="Century Gothic"/>
        </w:rPr>
      </w:pPr>
      <w:r>
        <w:rPr>
          <w:rFonts w:ascii="Century Gothic" w:hAnsi="Century Gothic"/>
        </w:rPr>
        <w:t xml:space="preserve">En el caso de las señales VDSL2 NL1/POTS, las características espectrales se definen en términos de la potencia de banda estrecha de la señal medida sobre una carga resistiva de impedancia R. Dichas características están definidas tanto para la dirección </w:t>
      </w:r>
      <w:r>
        <w:rPr>
          <w:rFonts w:ascii="Century Gothic" w:hAnsi="Century Gothic"/>
          <w:i/>
        </w:rPr>
        <w:t>Downstream</w:t>
      </w:r>
      <w:r>
        <w:rPr>
          <w:rFonts w:ascii="Century Gothic" w:hAnsi="Century Gothic"/>
        </w:rPr>
        <w:t xml:space="preserve"> como para la dirección </w:t>
      </w:r>
      <w:r>
        <w:rPr>
          <w:rFonts w:ascii="Century Gothic" w:hAnsi="Century Gothic"/>
          <w:i/>
        </w:rPr>
        <w:t>Upstream</w:t>
      </w:r>
      <w:r>
        <w:rPr>
          <w:rFonts w:ascii="Century Gothic" w:hAnsi="Century Gothic"/>
        </w:rPr>
        <w:t>, tal como se muestra a continuación.</w:t>
      </w:r>
    </w:p>
    <w:p w:rsidR="001A4D73" w:rsidRPr="00611019" w:rsidRDefault="00E56462" w:rsidP="00035D2C">
      <w:pPr>
        <w:pStyle w:val="Ttulo4"/>
        <w:spacing w:before="0pt" w:after="6pt" w:line="13.80pt" w:lineRule="auto"/>
        <w:ind w:start="43.20pt" w:hanging="43.20pt"/>
        <w:rPr>
          <w:rFonts w:ascii="Century Gothic" w:hAnsi="Century Gothic"/>
        </w:rPr>
      </w:pPr>
      <w:r>
        <w:rPr>
          <w:rFonts w:ascii="Century Gothic" w:hAnsi="Century Gothic"/>
          <w:sz w:val="22"/>
          <w:szCs w:val="24"/>
        </w:rPr>
        <w:t>6.2.8.1</w:t>
      </w:r>
      <w:r>
        <w:rPr>
          <w:rFonts w:ascii="Century Gothic" w:hAnsi="Century Gothic"/>
          <w:sz w:val="22"/>
          <w:szCs w:val="24"/>
        </w:rPr>
        <w:tab/>
      </w:r>
      <w:r>
        <w:rPr>
          <w:rFonts w:ascii="Century Gothic" w:hAnsi="Century Gothic" w:cs="Arial"/>
          <w:color w:val="000000" w:themeColor="text1"/>
          <w:sz w:val="22"/>
          <w:szCs w:val="22"/>
        </w:rPr>
        <w:t>Downstream</w:t>
      </w:r>
      <w:r>
        <w:rPr>
          <w:rFonts w:ascii="Century Gothic" w:hAnsi="Century Gothic" w:cs="Arial"/>
          <w:color w:val="000000" w:themeColor="text1"/>
        </w:rPr>
        <w:t>.</w:t>
      </w:r>
    </w:p>
    <w:p w:rsidR="00655060" w:rsidRPr="00611019" w:rsidRDefault="00E56462" w:rsidP="00035D2C">
      <w:pPr>
        <w:pStyle w:val="IFTnormal"/>
        <w:spacing w:after="6pt"/>
        <w:rPr>
          <w:rFonts w:ascii="Century Gothic" w:hAnsi="Century Gothic"/>
        </w:rPr>
      </w:pPr>
      <w:r>
        <w:rPr>
          <w:rFonts w:ascii="Century Gothic" w:hAnsi="Century Gothic"/>
        </w:rPr>
        <w:t xml:space="preserve">La Tabla 14 presenta los puntos de referencia límite definidos en la cláusula 12.1 de ETSI TR 101 830-1 V1.5.2 para la dirección </w:t>
      </w:r>
      <w:r>
        <w:rPr>
          <w:rFonts w:ascii="Century Gothic" w:hAnsi="Century Gothic"/>
          <w:i/>
        </w:rPr>
        <w:t>Downstream</w:t>
      </w:r>
      <w:r>
        <w:rPr>
          <w:rFonts w:ascii="Century Gothic" w:hAnsi="Century Gothic"/>
        </w:rPr>
        <w:t>, mismos que tienen una dependencia directa con la distancia de atenuación entre la central y el punto de conexión al Bucle Local</w:t>
      </w:r>
      <w:r w:rsidR="004F0984">
        <w:rPr>
          <w:rFonts w:ascii="Century Gothic" w:hAnsi="Century Gothic"/>
        </w:rPr>
        <w:t xml:space="preserve"> / Sub-Bucle Local</w:t>
      </w:r>
      <w:r>
        <w:rPr>
          <w:rFonts w:ascii="Century Gothic" w:hAnsi="Century Gothic"/>
        </w:rPr>
        <w:t xml:space="preserve">. </w:t>
      </w:r>
    </w:p>
    <w:p w:rsidR="00655060" w:rsidRPr="00611019" w:rsidRDefault="00E56462" w:rsidP="00035D2C">
      <w:pPr>
        <w:pStyle w:val="IFTnormal"/>
        <w:spacing w:after="6pt"/>
        <w:rPr>
          <w:rFonts w:ascii="Century Gothic" w:hAnsi="Century Gothic"/>
        </w:rPr>
      </w:pPr>
      <w:r>
        <w:rPr>
          <w:rFonts w:ascii="Century Gothic" w:hAnsi="Century Gothic"/>
        </w:rPr>
        <w:t>Las señales de este tipo deben satisfacer simultáneamente los límites para los anchos de banda definidos mediante la etiqueta “X” así como los correspondientes a la etiqueta “Y” y la etiqueta “Z”, lo cual implica que para algunas frecuencias se deberán realizar mediciones con tres diferentes anchos de banda.</w:t>
      </w:r>
    </w:p>
    <w:p w:rsidR="00655060" w:rsidRPr="00611019" w:rsidRDefault="00E56462" w:rsidP="00035D2C">
      <w:pPr>
        <w:pStyle w:val="IFTnormal"/>
        <w:spacing w:after="6pt"/>
        <w:rPr>
          <w:rFonts w:ascii="Century Gothic" w:hAnsi="Century Gothic"/>
        </w:rPr>
      </w:pPr>
      <w:r>
        <w:rPr>
          <w:rFonts w:ascii="Century Gothic" w:hAnsi="Century Gothic"/>
        </w:rPr>
        <w:t>La Tabla 15 muestra dicha dependencia a través de la definición de los valores fk y Pk en función de la distancia de atenuación (IL). Por otra parte, las Figuras 13 y 14 ilustran ejemplos de la forma de la densidad espectral de potencia para diferentes valores de distancia de atenuación.</w:t>
      </w:r>
    </w:p>
    <w:p w:rsidR="00084FBB" w:rsidRPr="00611019" w:rsidRDefault="00E56462" w:rsidP="00035D2C">
      <w:pPr>
        <w:pStyle w:val="Formatolibre"/>
        <w:spacing w:line="13.80pt" w:lineRule="auto"/>
        <w:ind w:start="35.40pt" w:hanging="35.40pt"/>
        <w:jc w:val="center"/>
        <w:rPr>
          <w:rFonts w:ascii="Century Gothic" w:eastAsiaTheme="minorHAnsi" w:hAnsi="Century Gothic" w:cs="Arial"/>
          <w:b/>
          <w:color w:val="auto"/>
          <w:sz w:val="20"/>
          <w:szCs w:val="22"/>
          <w:lang w:val="es-MX" w:eastAsia="en-US"/>
        </w:rPr>
      </w:pPr>
      <w:r>
        <w:rPr>
          <w:rFonts w:ascii="Century Gothic" w:eastAsiaTheme="minorHAnsi" w:hAnsi="Century Gothic" w:cs="Arial"/>
          <w:b/>
          <w:color w:val="auto"/>
          <w:sz w:val="20"/>
          <w:szCs w:val="22"/>
          <w:lang w:val="es-MX" w:eastAsia="en-US"/>
        </w:rPr>
        <w:t xml:space="preserve">Tabla 14 Puntos de referencia límite de potencia de banda </w:t>
      </w:r>
    </w:p>
    <w:p w:rsidR="00655060" w:rsidRPr="00611019" w:rsidRDefault="00E56462" w:rsidP="00035D2C">
      <w:pPr>
        <w:pStyle w:val="Formatolibre"/>
        <w:spacing w:after="6pt" w:line="13.80pt" w:lineRule="auto"/>
        <w:ind w:start="35.45pt" w:hanging="35.45pt"/>
        <w:jc w:val="center"/>
        <w:rPr>
          <w:rFonts w:ascii="Century Gothic" w:eastAsiaTheme="minorHAnsi" w:hAnsi="Century Gothic" w:cs="Arial"/>
          <w:b/>
          <w:color w:val="auto"/>
          <w:sz w:val="20"/>
          <w:szCs w:val="18"/>
          <w:lang w:val="es-MX" w:eastAsia="en-US"/>
        </w:rPr>
      </w:pPr>
      <w:r>
        <w:rPr>
          <w:rFonts w:ascii="Century Gothic" w:eastAsiaTheme="minorHAnsi" w:hAnsi="Century Gothic" w:cs="Arial"/>
          <w:b/>
          <w:color w:val="auto"/>
          <w:sz w:val="20"/>
          <w:szCs w:val="18"/>
          <w:lang w:val="es-MX" w:eastAsia="en-US"/>
        </w:rPr>
        <w:t>estrecha para señales dirección Downstream.</w:t>
      </w:r>
    </w:p>
    <w:tbl>
      <w:tblPr>
        <w:tblStyle w:val="Cuadrculadetablaclara1"/>
        <w:tblW w:w="109.0%" w:type="pct"/>
        <w:tblInd w:w="0.05pt" w:type="dxa"/>
        <w:tblLayout w:type="fixed"/>
        <w:tblLook w:firstRow="1" w:lastRow="1" w:firstColumn="1" w:lastColumn="1" w:noHBand="0" w:noVBand="0"/>
      </w:tblPr>
      <w:tblGrid>
        <w:gridCol w:w="2049"/>
        <w:gridCol w:w="1536"/>
        <w:gridCol w:w="1638"/>
        <w:gridCol w:w="1945"/>
        <w:gridCol w:w="1945"/>
        <w:gridCol w:w="1126"/>
      </w:tblGrid>
      <w:tr w:rsidR="0061711D" w:rsidTr="00EB34C0">
        <w:trPr>
          <w:trHeight w:val="20"/>
          <w:tblHeader/>
        </w:trPr>
        <w:tc>
          <w:tcPr>
            <w:tcW w:w="20.0%" w:type="pct"/>
            <w:shd w:val="clear" w:color="auto" w:fill="009AD9"/>
            <w:vAlign w:val="center"/>
          </w:tcPr>
          <w:p w:rsidR="00655060" w:rsidRPr="00611019" w:rsidRDefault="00E56462" w:rsidP="00035D2C">
            <w:pPr>
              <w:pStyle w:val="Formatolibre"/>
              <w:spacing w:line="13.80pt" w:lineRule="auto"/>
              <w:contextualSpacing/>
              <w:jc w:val="center"/>
              <w:rPr>
                <w:rFonts w:ascii="Century Gothic" w:hAnsi="Century Gothic" w:cs="Arial"/>
                <w:b/>
                <w:color w:val="FFFFFF" w:themeColor="background1"/>
                <w:sz w:val="18"/>
                <w:szCs w:val="18"/>
              </w:rPr>
            </w:pPr>
            <w:r>
              <w:rPr>
                <w:rFonts w:ascii="Century Gothic" w:hAnsi="Century Gothic" w:cs="Arial"/>
                <w:b/>
                <w:color w:val="FFFFFF" w:themeColor="background1"/>
                <w:sz w:val="18"/>
                <w:szCs w:val="18"/>
              </w:rPr>
              <w:t>Frecuencia Central</w:t>
            </w:r>
          </w:p>
          <w:p w:rsidR="00655060" w:rsidRPr="00611019" w:rsidRDefault="00E56462" w:rsidP="00035D2C">
            <w:pPr>
              <w:pStyle w:val="Formatolibre"/>
              <w:spacing w:line="13.80pt" w:lineRule="auto"/>
              <w:contextualSpacing/>
              <w:jc w:val="center"/>
              <w:rPr>
                <w:rFonts w:ascii="Century Gothic" w:hAnsi="Century Gothic" w:cs="Arial"/>
                <w:color w:val="FFFFFF" w:themeColor="background1"/>
                <w:sz w:val="18"/>
                <w:szCs w:val="18"/>
              </w:rPr>
            </w:pPr>
            <w:r>
              <w:rPr>
                <w:rFonts w:ascii="Century Gothic" w:hAnsi="Century Gothic" w:cs="Arial"/>
                <w:b/>
                <w:color w:val="FFFFFF" w:themeColor="background1"/>
                <w:sz w:val="18"/>
                <w:szCs w:val="18"/>
              </w:rPr>
              <w:t>F</w:t>
            </w:r>
          </w:p>
        </w:tc>
        <w:tc>
          <w:tcPr>
            <w:tcW w:w="15.0%" w:type="pct"/>
            <w:shd w:val="clear" w:color="auto" w:fill="009AD9"/>
            <w:vAlign w:val="center"/>
          </w:tcPr>
          <w:p w:rsidR="00655060" w:rsidRPr="00611019" w:rsidRDefault="00E56462" w:rsidP="00035D2C">
            <w:pPr>
              <w:pStyle w:val="Formatolibre"/>
              <w:spacing w:line="13.80pt" w:lineRule="auto"/>
              <w:contextualSpacing/>
              <w:jc w:val="center"/>
              <w:rPr>
                <w:rFonts w:ascii="Century Gothic" w:hAnsi="Century Gothic" w:cs="Arial"/>
                <w:color w:val="FFFFFF" w:themeColor="background1"/>
                <w:sz w:val="18"/>
                <w:szCs w:val="18"/>
              </w:rPr>
            </w:pPr>
            <w:r>
              <w:rPr>
                <w:rFonts w:ascii="Century Gothic" w:hAnsi="Century Gothic" w:cs="Arial"/>
                <w:b/>
                <w:color w:val="FFFFFF" w:themeColor="background1"/>
                <w:sz w:val="18"/>
                <w:szCs w:val="18"/>
              </w:rPr>
              <w:t>Impedancia</w:t>
            </w:r>
            <w:r>
              <w:rPr>
                <w:rFonts w:ascii="Century Gothic" w:hAnsi="Century Gothic" w:cs="Arial"/>
                <w:b/>
                <w:color w:val="FFFFFF" w:themeColor="background1"/>
                <w:sz w:val="18"/>
                <w:szCs w:val="18"/>
              </w:rPr>
              <w:br/>
              <w:t>R</w:t>
            </w:r>
          </w:p>
        </w:tc>
        <w:tc>
          <w:tcPr>
            <w:tcW w:w="16.0%" w:type="pct"/>
            <w:shd w:val="clear" w:color="auto" w:fill="009AD9"/>
            <w:vAlign w:val="center"/>
          </w:tcPr>
          <w:p w:rsidR="00655060" w:rsidRPr="00611019" w:rsidRDefault="00E56462" w:rsidP="00035D2C">
            <w:pPr>
              <w:pStyle w:val="Formatolibre"/>
              <w:spacing w:line="13.80pt" w:lineRule="auto"/>
              <w:contextualSpacing/>
              <w:jc w:val="center"/>
              <w:rPr>
                <w:rFonts w:ascii="Century Gothic" w:hAnsi="Century Gothic" w:cs="Arial"/>
                <w:color w:val="FFFFFF" w:themeColor="background1"/>
                <w:sz w:val="18"/>
                <w:szCs w:val="18"/>
              </w:rPr>
            </w:pPr>
            <w:r>
              <w:rPr>
                <w:rFonts w:ascii="Century Gothic" w:hAnsi="Century Gothic" w:cs="Arial"/>
                <w:b/>
                <w:color w:val="FFFFFF" w:themeColor="background1"/>
                <w:sz w:val="18"/>
                <w:szCs w:val="18"/>
              </w:rPr>
              <w:t>Nivel de Señal</w:t>
            </w:r>
            <w:r>
              <w:rPr>
                <w:rFonts w:ascii="Century Gothic" w:hAnsi="Century Gothic" w:cs="Arial"/>
                <w:b/>
                <w:color w:val="FFFFFF" w:themeColor="background1"/>
                <w:sz w:val="18"/>
                <w:szCs w:val="18"/>
              </w:rPr>
              <w:br/>
              <w:t>P</w:t>
            </w:r>
          </w:p>
        </w:tc>
        <w:tc>
          <w:tcPr>
            <w:tcW w:w="19.0%" w:type="pct"/>
            <w:shd w:val="clear" w:color="auto" w:fill="009AD9"/>
            <w:vAlign w:val="center"/>
          </w:tcPr>
          <w:p w:rsidR="00655060" w:rsidRPr="00611019" w:rsidRDefault="00E56462" w:rsidP="00035D2C">
            <w:pPr>
              <w:pStyle w:val="Formatolibre"/>
              <w:spacing w:line="13.80pt" w:lineRule="auto"/>
              <w:contextualSpacing/>
              <w:jc w:val="center"/>
              <w:rPr>
                <w:rFonts w:ascii="Century Gothic" w:hAnsi="Century Gothic" w:cs="Arial"/>
                <w:color w:val="FFFFFF" w:themeColor="background1"/>
                <w:sz w:val="18"/>
                <w:szCs w:val="18"/>
              </w:rPr>
            </w:pPr>
            <w:r>
              <w:rPr>
                <w:rFonts w:ascii="Century Gothic" w:hAnsi="Century Gothic" w:cs="Arial"/>
                <w:b/>
                <w:color w:val="FFFFFF" w:themeColor="background1"/>
                <w:sz w:val="18"/>
                <w:szCs w:val="18"/>
              </w:rPr>
              <w:t>Ancho de Banda</w:t>
            </w:r>
            <w:r>
              <w:rPr>
                <w:rFonts w:ascii="Century Gothic" w:hAnsi="Century Gothic" w:cs="Arial"/>
                <w:b/>
                <w:color w:val="FFFFFF" w:themeColor="background1"/>
                <w:sz w:val="18"/>
                <w:szCs w:val="18"/>
              </w:rPr>
              <w:br/>
              <w:t>B</w:t>
            </w:r>
          </w:p>
        </w:tc>
        <w:tc>
          <w:tcPr>
            <w:tcW w:w="19.0%" w:type="pct"/>
            <w:shd w:val="clear" w:color="auto" w:fill="009AD9"/>
            <w:vAlign w:val="center"/>
          </w:tcPr>
          <w:p w:rsidR="00655060" w:rsidRPr="00611019" w:rsidRDefault="00E56462" w:rsidP="00035D2C">
            <w:pPr>
              <w:pStyle w:val="Formatolibre"/>
              <w:spacing w:line="13.80pt" w:lineRule="auto"/>
              <w:contextualSpacing/>
              <w:jc w:val="center"/>
              <w:rPr>
                <w:rFonts w:ascii="Century Gothic" w:hAnsi="Century Gothic" w:cs="Arial"/>
                <w:color w:val="FFFFFF" w:themeColor="background1"/>
                <w:sz w:val="18"/>
                <w:szCs w:val="18"/>
              </w:rPr>
            </w:pPr>
            <w:r>
              <w:rPr>
                <w:rFonts w:ascii="Century Gothic" w:hAnsi="Century Gothic" w:cs="Arial"/>
                <w:b/>
                <w:color w:val="FFFFFF" w:themeColor="background1"/>
                <w:sz w:val="18"/>
                <w:szCs w:val="18"/>
              </w:rPr>
              <w:t>Potencia Espectral</w:t>
            </w:r>
            <w:r>
              <w:rPr>
                <w:rFonts w:ascii="Century Gothic" w:hAnsi="Century Gothic" w:cs="Arial"/>
                <w:b/>
                <w:color w:val="FFFFFF" w:themeColor="background1"/>
                <w:sz w:val="18"/>
                <w:szCs w:val="18"/>
              </w:rPr>
              <w:br/>
              <w:t>P/B</w:t>
            </w:r>
          </w:p>
        </w:tc>
        <w:tc>
          <w:tcPr>
            <w:tcW w:w="8.0%" w:type="pct"/>
            <w:shd w:val="clear" w:color="auto" w:fill="009AD9"/>
            <w:vAlign w:val="center"/>
          </w:tcPr>
          <w:p w:rsidR="00655060" w:rsidRPr="00611019" w:rsidRDefault="00655060" w:rsidP="00035D2C">
            <w:pPr>
              <w:pStyle w:val="Formatolibre"/>
              <w:spacing w:line="13.80pt" w:lineRule="auto"/>
              <w:contextualSpacing/>
              <w:jc w:val="center"/>
              <w:rPr>
                <w:rFonts w:ascii="Century Gothic" w:hAnsi="Century Gothic" w:cs="Arial"/>
                <w:color w:val="FFFFFF" w:themeColor="background1"/>
                <w:sz w:val="18"/>
                <w:szCs w:val="18"/>
                <w:lang w:val="en-US"/>
              </w:rPr>
            </w:pPr>
          </w:p>
        </w:tc>
      </w:tr>
      <w:tr w:rsidR="0061711D" w:rsidTr="00EB34C0">
        <w:trPr>
          <w:trHeight w:val="20"/>
        </w:trPr>
        <w:tc>
          <w:tcPr>
            <w:tcW w:w="20.0%" w:type="pct"/>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0,1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4 kHz</w:t>
            </w:r>
          </w:p>
        </w:tc>
        <w:tc>
          <w:tcPr>
            <w:tcW w:w="15.0%" w:type="pct"/>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600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600 </w:t>
            </w:r>
            <w:r>
              <w:rPr>
                <w:rFonts w:ascii="Symbol" w:hAnsi="Symbol" w:cs="Arial"/>
                <w:color w:val="000000" w:themeColor="text1"/>
                <w:sz w:val="18"/>
                <w:szCs w:val="18"/>
                <w:lang w:val="en-US"/>
              </w:rPr>
              <w:sym w:font="Symbol" w:char="F057"/>
            </w:r>
          </w:p>
        </w:tc>
        <w:tc>
          <w:tcPr>
            <w:tcW w:w="16.0%" w:type="pct"/>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-77,5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-77,5 dBm</w:t>
            </w:r>
          </w:p>
        </w:tc>
        <w:tc>
          <w:tcPr>
            <w:tcW w:w="19.0%" w:type="pct"/>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100 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100 Hz</w:t>
            </w:r>
          </w:p>
        </w:tc>
        <w:tc>
          <w:tcPr>
            <w:tcW w:w="19.0%" w:type="pct"/>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-97,5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-97,5 dBm/Hz</w:t>
            </w:r>
          </w:p>
        </w:tc>
        <w:tc>
          <w:tcPr>
            <w:tcW w:w="8.0%" w:type="pct"/>
            <w:vMerge w:val="restart"/>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"X"</w:t>
            </w:r>
          </w:p>
        </w:tc>
      </w:tr>
      <w:tr w:rsidR="0061711D" w:rsidTr="00EB34C0">
        <w:trPr>
          <w:trHeight w:val="20"/>
        </w:trPr>
        <w:tc>
          <w:tcPr>
            <w:tcW w:w="20.0%" w:type="pct"/>
          </w:tcPr>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4 kHz</w:t>
            </w:r>
          </w:p>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f1</w:t>
            </w:r>
          </w:p>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 xml:space="preserve"> f2</w:t>
            </w:r>
          </w:p>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 xml:space="preserve"> f3</w:t>
            </w:r>
          </w:p>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 xml:space="preserve"> f4</w:t>
            </w:r>
          </w:p>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 xml:space="preserve"> f5</w:t>
            </w:r>
          </w:p>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 xml:space="preserve"> f6</w:t>
            </w:r>
          </w:p>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 xml:space="preserve"> f7</w:t>
            </w:r>
          </w:p>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 xml:space="preserve"> f8</w:t>
            </w:r>
          </w:p>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 xml:space="preserve"> f9</w:t>
            </w:r>
          </w:p>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 xml:space="preserve"> f10</w:t>
            </w:r>
          </w:p>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 xml:space="preserve"> f11</w:t>
            </w:r>
          </w:p>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 xml:space="preserve"> f12</w:t>
            </w:r>
          </w:p>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 xml:space="preserve"> f13</w:t>
            </w:r>
          </w:p>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 xml:space="preserve"> f14</w:t>
            </w:r>
          </w:p>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2 500 kHz</w:t>
            </w:r>
          </w:p>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3 749,999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lastRenderedPageBreak/>
              <w:t>3 750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3 925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4 925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5 025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5 199,999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5 200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8 499,999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8 500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8 675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30 000 kHz</w:t>
            </w:r>
          </w:p>
        </w:tc>
        <w:tc>
          <w:tcPr>
            <w:tcW w:w="15.0%" w:type="pct"/>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lastRenderedPageBreak/>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lastRenderedPageBreak/>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tc>
        <w:tc>
          <w:tcPr>
            <w:tcW w:w="16.0%" w:type="pct"/>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lastRenderedPageBreak/>
              <w:t>-52,5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P1 + 40 dB </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P2 + 40 dB </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P3 + 40 dB </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P4 + 40 dB </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P5 + 40 dB </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P6 + 40 dB </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P7 + 40 dB </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P8 + 40 dB </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P9 + 40 dB </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P10 + 40 dB </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P11 + 40 dB </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P12 + 40 dB </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P13 </w:t>
            </w:r>
            <w:r>
              <w:rPr>
                <w:rFonts w:ascii="Century Gothic" w:hAnsi="Century Gothic" w:cs="Arial"/>
                <w:color w:val="auto"/>
                <w:sz w:val="18"/>
                <w:szCs w:val="18"/>
                <w:lang w:val="en-US"/>
              </w:rPr>
              <w:t>+</w:t>
            </w:r>
            <w:r>
              <w:rPr>
                <w:rFonts w:ascii="Century Gothic" w:hAnsi="Century Gothic" w:cs="Arial"/>
                <w:color w:val="000000" w:themeColor="text1"/>
                <w:sz w:val="18"/>
                <w:szCs w:val="18"/>
                <w:lang w:val="en-US"/>
              </w:rPr>
              <w:t xml:space="preserve"> 40 dB </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P14 + 40 dB</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-8,8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-11,2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lastRenderedPageBreak/>
              <w:t>-40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-40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-12,7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-14,8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-40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-60 dBm</w:t>
            </w:r>
          </w:p>
        </w:tc>
        <w:tc>
          <w:tcPr>
            <w:tcW w:w="19.0%" w:type="pct"/>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lastRenderedPageBreak/>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lastRenderedPageBreak/>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10 kHz</w:t>
            </w:r>
          </w:p>
        </w:tc>
        <w:tc>
          <w:tcPr>
            <w:tcW w:w="19.0%" w:type="pct"/>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lastRenderedPageBreak/>
              <w:t>-92,5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P1</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P2</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P3</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P4</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P5</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P6</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P7</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P8</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P9</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P10</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P11</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P12</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P13</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P14</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-48,8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-51,2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lastRenderedPageBreak/>
              <w:t>-80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-80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-52,7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-54,8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-80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-100 dBm/Hz</w:t>
            </w:r>
          </w:p>
        </w:tc>
        <w:tc>
          <w:tcPr>
            <w:tcW w:w="8.0%" w:type="pct"/>
            <w:vMerge/>
          </w:tcPr>
          <w:p w:rsidR="00655060" w:rsidRPr="00611019" w:rsidRDefault="00655060" w:rsidP="00035D2C">
            <w:pPr>
              <w:pStyle w:val="Formatolibre"/>
              <w:spacing w:before="1pt" w:after="1pt" w:line="13.80pt" w:lineRule="auto"/>
              <w:jc w:val="center"/>
              <w:rPr>
                <w:rFonts w:ascii="Century Gothic" w:hAnsi="Century Gothic" w:cs="Arial"/>
                <w:color w:val="000000" w:themeColor="text1"/>
                <w:sz w:val="18"/>
                <w:szCs w:val="18"/>
                <w:lang w:val="en-US"/>
              </w:rPr>
            </w:pPr>
          </w:p>
        </w:tc>
      </w:tr>
      <w:tr w:rsidR="0061711D" w:rsidTr="00EB34C0">
        <w:trPr>
          <w:trHeight w:val="20"/>
        </w:trPr>
        <w:tc>
          <w:tcPr>
            <w:tcW w:w="20.0%" w:type="pct"/>
            <w:vAlign w:val="center"/>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50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f1</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 f2</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 f3</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 f4</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 f5</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 f6</w:t>
            </w:r>
          </w:p>
        </w:tc>
        <w:tc>
          <w:tcPr>
            <w:tcW w:w="15.0%" w:type="pct"/>
            <w:vAlign w:val="center"/>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tc>
        <w:tc>
          <w:tcPr>
            <w:tcW w:w="16.0%" w:type="pct"/>
            <w:vAlign w:val="center"/>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-46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P1 + 46,5 dB</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 P2 + 46,5 dB </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P3 + 46,5 dB </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P4 + 46,5 dB </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P5 + 46,5 dB </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P6 + 46,5 dB</w:t>
            </w:r>
          </w:p>
        </w:tc>
        <w:tc>
          <w:tcPr>
            <w:tcW w:w="19.0%" w:type="pct"/>
            <w:vAlign w:val="center"/>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100 kHz</w:t>
            </w:r>
          </w:p>
        </w:tc>
        <w:tc>
          <w:tcPr>
            <w:tcW w:w="19.0%" w:type="pct"/>
            <w:vAlign w:val="center"/>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-96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P1 -3,5 dB</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 P2 -3,5 dB</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 P3 -3,5 dB</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 P4 -3,5 dB</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 P5 -3,5 dB</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 P6 -3,5 dB</w:t>
            </w:r>
          </w:p>
        </w:tc>
        <w:tc>
          <w:tcPr>
            <w:tcW w:w="8.0%" w:type="pct"/>
            <w:vMerge w:val="restart"/>
            <w:vAlign w:val="center"/>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"Y"</w:t>
            </w:r>
          </w:p>
        </w:tc>
      </w:tr>
      <w:tr w:rsidR="0061711D" w:rsidTr="00EB34C0">
        <w:trPr>
          <w:trHeight w:val="20"/>
        </w:trPr>
        <w:tc>
          <w:tcPr>
            <w:tcW w:w="20.0%" w:type="pct"/>
            <w:vAlign w:val="center"/>
          </w:tcPr>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f7</w:t>
            </w:r>
          </w:p>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f8</w:t>
            </w:r>
          </w:p>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f9</w:t>
            </w:r>
          </w:p>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 xml:space="preserve"> f10</w:t>
            </w:r>
          </w:p>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 xml:space="preserve"> f11</w:t>
            </w:r>
          </w:p>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 xml:space="preserve"> f12</w:t>
            </w:r>
          </w:p>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 xml:space="preserve"> f13</w:t>
            </w:r>
          </w:p>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 xml:space="preserve"> f14</w:t>
            </w:r>
          </w:p>
          <w:p w:rsidR="00655060" w:rsidRPr="00721B7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sidRPr="00721B79">
              <w:rPr>
                <w:rFonts w:ascii="Century Gothic" w:hAnsi="Century Gothic" w:cs="Arial"/>
                <w:color w:val="000000" w:themeColor="text1"/>
                <w:sz w:val="18"/>
                <w:szCs w:val="18"/>
                <w:lang w:val="en-US"/>
              </w:rPr>
              <w:t>2 500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3 749,999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3 750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3 894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3 999,999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4 000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5 055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5 056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5 199,999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5 200 kHz</w:t>
            </w:r>
          </w:p>
        </w:tc>
        <w:tc>
          <w:tcPr>
            <w:tcW w:w="15.0%" w:type="pct"/>
            <w:vAlign w:val="center"/>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tc>
        <w:tc>
          <w:tcPr>
            <w:tcW w:w="16.0%" w:type="pct"/>
            <w:vAlign w:val="center"/>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P7 + 46,5 dB</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P8 + 46,5 dB</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P9 + 46,5 dB</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 P10 + 46,5 dB P11 + 46,5 dB </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P12 + 46,5 dB </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P13 + 46,5 dB </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P14 + 46,5 dB</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-2,3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-4,5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-33,5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-50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-50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-62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-33,5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-6,2 dBm</w:t>
            </w:r>
          </w:p>
        </w:tc>
        <w:tc>
          <w:tcPr>
            <w:tcW w:w="19.0%" w:type="pct"/>
            <w:vAlign w:val="center"/>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tc>
        <w:tc>
          <w:tcPr>
            <w:tcW w:w="19.0%" w:type="pct"/>
            <w:vAlign w:val="center"/>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P7 -3,5 dB</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P8 -3,5 dB</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P9 -3,5 dB </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P10 -3,5 dB</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 P11 -3,5 dB</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 P12 -3,5 dB </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P13 -3,5 dB </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P14 -3,5 dB</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-52,3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-54,7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-83,5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-110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-110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-99,9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-83,5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-56,2 dBm/Hz</w:t>
            </w:r>
          </w:p>
        </w:tc>
        <w:tc>
          <w:tcPr>
            <w:tcW w:w="8.0%" w:type="pct"/>
            <w:vMerge/>
            <w:vAlign w:val="center"/>
          </w:tcPr>
          <w:p w:rsidR="00655060" w:rsidRPr="00611019" w:rsidRDefault="00655060" w:rsidP="00035D2C">
            <w:pPr>
              <w:pStyle w:val="Formatolibre"/>
              <w:spacing w:before="1pt" w:after="1pt" w:line="13.80pt" w:lineRule="auto"/>
              <w:jc w:val="center"/>
              <w:rPr>
                <w:rFonts w:ascii="Century Gothic" w:hAnsi="Century Gothic" w:cs="Arial"/>
                <w:color w:val="000000" w:themeColor="text1"/>
                <w:sz w:val="18"/>
                <w:szCs w:val="18"/>
                <w:lang w:val="en-US"/>
              </w:rPr>
            </w:pPr>
          </w:p>
        </w:tc>
      </w:tr>
      <w:tr w:rsidR="0061711D" w:rsidTr="00EB34C0">
        <w:trPr>
          <w:trHeight w:val="20"/>
        </w:trPr>
        <w:tc>
          <w:tcPr>
            <w:tcW w:w="20.0%" w:type="pct"/>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8 499,999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8 500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8 644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8 645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30 000 kHz</w:t>
            </w:r>
          </w:p>
        </w:tc>
        <w:tc>
          <w:tcPr>
            <w:tcW w:w="15.0%" w:type="pct"/>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tc>
        <w:tc>
          <w:tcPr>
            <w:tcW w:w="16.0%" w:type="pct"/>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-8,3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-33,5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-50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-60 dBm</w:t>
            </w:r>
          </w:p>
        </w:tc>
        <w:tc>
          <w:tcPr>
            <w:tcW w:w="19.0%" w:type="pct"/>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kHz</w:t>
            </w:r>
          </w:p>
        </w:tc>
        <w:tc>
          <w:tcPr>
            <w:tcW w:w="19.0%" w:type="pct"/>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-58,3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-83,5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de-DE"/>
              </w:rPr>
            </w:pPr>
            <w:r>
              <w:rPr>
                <w:rFonts w:ascii="Century Gothic" w:hAnsi="Century Gothic" w:cs="Arial"/>
                <w:color w:val="000000" w:themeColor="text1"/>
                <w:sz w:val="18"/>
                <w:szCs w:val="18"/>
                <w:lang w:val="de-DE"/>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-110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-110 dBm/Hz</w:t>
            </w:r>
          </w:p>
        </w:tc>
        <w:tc>
          <w:tcPr>
            <w:tcW w:w="8.0%" w:type="pct"/>
          </w:tcPr>
          <w:p w:rsidR="00655060" w:rsidRPr="00611019" w:rsidRDefault="00655060" w:rsidP="00035D2C">
            <w:pPr>
              <w:pStyle w:val="Formatolibre"/>
              <w:spacing w:before="1pt" w:after="1pt" w:line="13.80pt" w:lineRule="auto"/>
              <w:jc w:val="center"/>
              <w:rPr>
                <w:rFonts w:ascii="Century Gothic" w:hAnsi="Century Gothic" w:cs="Arial"/>
                <w:color w:val="000000" w:themeColor="text1"/>
                <w:sz w:val="18"/>
                <w:szCs w:val="18"/>
                <w:lang w:val="en-US"/>
              </w:rPr>
            </w:pPr>
          </w:p>
        </w:tc>
      </w:tr>
      <w:tr w:rsidR="0061711D" w:rsidTr="00EB34C0">
        <w:trPr>
          <w:trHeight w:val="20"/>
        </w:trPr>
        <w:tc>
          <w:tcPr>
            <w:tcW w:w="20.0%" w:type="pct"/>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9 145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30 000 kHz</w:t>
            </w:r>
          </w:p>
        </w:tc>
        <w:tc>
          <w:tcPr>
            <w:tcW w:w="15.0%" w:type="pct"/>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 xml:space="preserve">100 </w:t>
            </w:r>
            <w:r>
              <w:rPr>
                <w:rFonts w:ascii="Symbol" w:hAnsi="Symbol" w:cs="Arial"/>
                <w:color w:val="000000" w:themeColor="text1"/>
                <w:sz w:val="18"/>
                <w:szCs w:val="18"/>
                <w:lang w:val="en-US"/>
              </w:rPr>
              <w:sym w:font="Symbol" w:char="F057"/>
            </w:r>
          </w:p>
        </w:tc>
        <w:tc>
          <w:tcPr>
            <w:tcW w:w="16.0%" w:type="pct"/>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-52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-52 dBm</w:t>
            </w:r>
          </w:p>
        </w:tc>
        <w:tc>
          <w:tcPr>
            <w:tcW w:w="19.0%" w:type="pct"/>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1 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1 MHz</w:t>
            </w:r>
          </w:p>
        </w:tc>
        <w:tc>
          <w:tcPr>
            <w:tcW w:w="19.0%" w:type="pct"/>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-112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-112 dBm/Hz</w:t>
            </w:r>
          </w:p>
        </w:tc>
        <w:tc>
          <w:tcPr>
            <w:tcW w:w="8.0%" w:type="pct"/>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8"/>
                <w:szCs w:val="18"/>
                <w:lang w:val="en-US"/>
              </w:rPr>
            </w:pPr>
            <w:r>
              <w:rPr>
                <w:rFonts w:ascii="Century Gothic" w:hAnsi="Century Gothic" w:cs="Arial"/>
                <w:color w:val="000000" w:themeColor="text1"/>
                <w:sz w:val="18"/>
                <w:szCs w:val="18"/>
                <w:lang w:val="en-US"/>
              </w:rPr>
              <w:t>"Z"</w:t>
            </w:r>
          </w:p>
        </w:tc>
      </w:tr>
      <w:tr w:rsidR="0061711D" w:rsidTr="00BB6358">
        <w:trPr>
          <w:trHeight w:val="20"/>
        </w:trPr>
        <w:tc>
          <w:tcPr>
            <w:tcW w:w="100.0%" w:type="pct"/>
            <w:gridSpan w:val="6"/>
          </w:tcPr>
          <w:p w:rsidR="00BB6358" w:rsidRPr="00611019" w:rsidRDefault="00E56462" w:rsidP="00035D2C">
            <w:pPr>
              <w:jc w:val="both"/>
              <w:rPr>
                <w:rFonts w:ascii="Century Gothic" w:hAnsi="Century Gothic" w:cs="Arial"/>
                <w:color w:val="000000" w:themeColor="text1"/>
                <w:sz w:val="18"/>
                <w:szCs w:val="18"/>
              </w:rPr>
            </w:pPr>
            <w:r>
              <w:rPr>
                <w:rFonts w:ascii="Century Gothic" w:eastAsia="Arial" w:hAnsi="Century Gothic" w:cs="Arial"/>
                <w:color w:val="000000" w:themeColor="text1"/>
                <w:sz w:val="18"/>
                <w:szCs w:val="18"/>
              </w:rPr>
              <w:t>NOTA 1: Los límites entre los puntos de referencia deberán obtenerse mediante interpolación entre los puntos adyacentes con una base dB/log(f) por debajo de 2500 kHz y con una base dB/f para frecuencias superiores a 2500 KHz</w:t>
            </w:r>
          </w:p>
        </w:tc>
      </w:tr>
    </w:tbl>
    <w:p w:rsidR="00EB34C0" w:rsidRPr="00611019" w:rsidRDefault="00EB34C0" w:rsidP="00035D2C">
      <w:pPr>
        <w:jc w:val="center"/>
        <w:rPr>
          <w:rFonts w:ascii="Century Gothic" w:hAnsi="Century Gothic" w:cs="Arial"/>
          <w:b/>
          <w:sz w:val="4"/>
        </w:rPr>
      </w:pPr>
    </w:p>
    <w:p w:rsidR="00655060" w:rsidRPr="00611019" w:rsidRDefault="00E56462" w:rsidP="00035D2C">
      <w:pPr>
        <w:jc w:val="center"/>
        <w:rPr>
          <w:rFonts w:ascii="Century Gothic" w:hAnsi="Century Gothic" w:cs="Arial"/>
          <w:b/>
          <w:sz w:val="20"/>
        </w:rPr>
      </w:pPr>
      <w:r>
        <w:rPr>
          <w:rFonts w:ascii="Century Gothic" w:hAnsi="Century Gothic" w:cs="Arial"/>
          <w:b/>
          <w:sz w:val="20"/>
        </w:rPr>
        <w:lastRenderedPageBreak/>
        <w:t>Tabla 15 Definición de los parámetros fk y Pk (con k= 1 hasta 14) en la Tabla 12.</w:t>
      </w:r>
    </w:p>
    <w:tbl>
      <w:tblPr>
        <w:tblW w:w="457.95pt" w:type="dxa"/>
        <w:jc w:val="center"/>
        <w:tblLayout w:type="fixed"/>
        <w:tblCellMar>
          <w:start w:w="0pt" w:type="dxa"/>
          <w:end w:w="0pt" w:type="dxa"/>
        </w:tblCellMar>
        <w:tblLook w:firstRow="1" w:lastRow="1" w:firstColumn="1" w:lastColumn="1" w:noHBand="0" w:noVBand="0"/>
      </w:tblPr>
      <w:tblGrid>
        <w:gridCol w:w="503"/>
        <w:gridCol w:w="373"/>
        <w:gridCol w:w="748"/>
        <w:gridCol w:w="734"/>
        <w:gridCol w:w="577"/>
        <w:gridCol w:w="584"/>
        <w:gridCol w:w="564"/>
        <w:gridCol w:w="564"/>
        <w:gridCol w:w="564"/>
        <w:gridCol w:w="564"/>
        <w:gridCol w:w="564"/>
        <w:gridCol w:w="564"/>
        <w:gridCol w:w="564"/>
        <w:gridCol w:w="564"/>
        <w:gridCol w:w="564"/>
        <w:gridCol w:w="564"/>
      </w:tblGrid>
      <w:tr w:rsidR="0061711D" w:rsidTr="00BD3372">
        <w:trPr>
          <w:trHeight w:val="20"/>
          <w:tblHeader/>
          <w:jc w:val="center"/>
        </w:trPr>
        <w:tc>
          <w:tcPr>
            <w:tcW w:w="25.10pt" w:type="dxa"/>
            <w:tcBorders>
              <w:top w:val="single" w:sz="4" w:space="0" w:color="000000"/>
              <w:start w:val="single" w:sz="4" w:space="0" w:color="000000"/>
              <w:bottom w:val="single" w:sz="4" w:space="0" w:color="000000"/>
              <w:end w:val="single" w:sz="4" w:space="0" w:color="000000"/>
            </w:tcBorders>
            <w:shd w:val="clear" w:color="auto" w:fill="009AD9"/>
            <w:vAlign w:val="center"/>
          </w:tcPr>
          <w:p w:rsidR="00655060" w:rsidRPr="00611019" w:rsidRDefault="00E56462" w:rsidP="00035D2C">
            <w:pPr>
              <w:spacing w:before="3pt" w:after="3pt"/>
              <w:ind w:start="6.20pt"/>
              <w:jc w:val="center"/>
              <w:rPr>
                <w:rFonts w:ascii="Century Gothic" w:hAnsi="Century Gothic" w:cs="Arial"/>
                <w:b/>
                <w:color w:val="FFFFFF" w:themeColor="background1"/>
                <w:sz w:val="18"/>
              </w:rPr>
            </w:pPr>
            <w:r>
              <w:rPr>
                <w:rFonts w:ascii="Century Gothic" w:hAnsi="Century Gothic" w:cs="Arial"/>
                <w:b/>
                <w:color w:val="FFFFFF" w:themeColor="background1"/>
                <w:sz w:val="18"/>
              </w:rPr>
              <w:t>IL</w:t>
            </w:r>
          </w:p>
          <w:p w:rsidR="00655060" w:rsidRPr="00611019" w:rsidRDefault="00E56462" w:rsidP="00035D2C">
            <w:pPr>
              <w:spacing w:before="3pt" w:after="3pt"/>
              <w:ind w:start="6.20pt"/>
              <w:jc w:val="center"/>
              <w:rPr>
                <w:rFonts w:ascii="Century Gothic" w:hAnsi="Century Gothic" w:cs="Arial"/>
                <w:color w:val="FFFFFF" w:themeColor="background1"/>
                <w:sz w:val="18"/>
              </w:rPr>
            </w:pPr>
            <w:r>
              <w:rPr>
                <w:rFonts w:ascii="Century Gothic" w:hAnsi="Century Gothic" w:cs="Arial"/>
                <w:b/>
                <w:color w:val="FFFFFF" w:themeColor="background1"/>
                <w:sz w:val="18"/>
              </w:rPr>
              <w:t>(dB)</w:t>
            </w:r>
          </w:p>
        </w:tc>
        <w:tc>
          <w:tcPr>
            <w:tcW w:w="18.60pt" w:type="dxa"/>
            <w:tcBorders>
              <w:top w:val="single" w:sz="4" w:space="0" w:color="000000"/>
              <w:start w:val="single" w:sz="4" w:space="0" w:color="000000"/>
              <w:bottom w:val="single" w:sz="4" w:space="0" w:color="000000"/>
              <w:end w:val="single" w:sz="4" w:space="0" w:color="000000"/>
            </w:tcBorders>
            <w:shd w:val="clear" w:color="auto" w:fill="009AD9"/>
            <w:vAlign w:val="center"/>
          </w:tcPr>
          <w:p w:rsidR="00655060" w:rsidRPr="00611019" w:rsidRDefault="00655060" w:rsidP="00035D2C">
            <w:pPr>
              <w:spacing w:before="3pt" w:after="3pt"/>
              <w:jc w:val="center"/>
              <w:rPr>
                <w:rFonts w:ascii="Century Gothic" w:hAnsi="Century Gothic" w:cs="Arial"/>
                <w:color w:val="FFFFFF" w:themeColor="background1"/>
                <w:sz w:val="18"/>
              </w:rPr>
            </w:pPr>
          </w:p>
        </w:tc>
        <w:tc>
          <w:tcPr>
            <w:tcW w:w="37.40pt" w:type="dxa"/>
            <w:tcBorders>
              <w:top w:val="single" w:sz="4" w:space="0" w:color="000000"/>
              <w:start w:val="single" w:sz="4" w:space="0" w:color="000000"/>
              <w:bottom w:val="single" w:sz="4" w:space="0" w:color="000000"/>
              <w:end w:val="single" w:sz="4" w:space="0" w:color="000000"/>
            </w:tcBorders>
            <w:shd w:val="clear" w:color="auto" w:fill="009AD9"/>
            <w:vAlign w:val="center"/>
          </w:tcPr>
          <w:p w:rsidR="00655060" w:rsidRPr="00611019" w:rsidRDefault="00E56462" w:rsidP="00035D2C">
            <w:pPr>
              <w:spacing w:before="3pt" w:after="3pt"/>
              <w:ind w:start="11.55pt"/>
              <w:jc w:val="center"/>
              <w:rPr>
                <w:rFonts w:ascii="Century Gothic" w:hAnsi="Century Gothic" w:cs="Arial"/>
                <w:color w:val="FFFFFF" w:themeColor="background1"/>
                <w:sz w:val="18"/>
              </w:rPr>
            </w:pPr>
            <w:r>
              <w:rPr>
                <w:rFonts w:ascii="Century Gothic" w:hAnsi="Century Gothic" w:cs="Arial"/>
                <w:b/>
                <w:i/>
                <w:color w:val="FFFFFF" w:themeColor="background1"/>
                <w:sz w:val="18"/>
              </w:rPr>
              <w:t>f</w:t>
            </w:r>
            <w:r>
              <w:rPr>
                <w:rFonts w:ascii="Century Gothic" w:hAnsi="Century Gothic" w:cs="Arial"/>
                <w:b/>
                <w:i/>
                <w:color w:val="FFFFFF" w:themeColor="background1"/>
                <w:spacing w:val="-16"/>
                <w:sz w:val="18"/>
              </w:rPr>
              <w:t xml:space="preserve"> </w:t>
            </w:r>
            <w:r>
              <w:rPr>
                <w:rFonts w:ascii="Century Gothic" w:hAnsi="Century Gothic" w:cs="Arial"/>
                <w:b/>
                <w:color w:val="FFFFFF" w:themeColor="background1"/>
                <w:position w:val="-2"/>
                <w:sz w:val="18"/>
              </w:rPr>
              <w:t>1</w:t>
            </w:r>
          </w:p>
          <w:p w:rsidR="00655060" w:rsidRPr="00611019" w:rsidRDefault="00E56462" w:rsidP="00035D2C">
            <w:pPr>
              <w:spacing w:before="3pt" w:after="3pt"/>
              <w:ind w:start="10.95pt"/>
              <w:jc w:val="center"/>
              <w:rPr>
                <w:rFonts w:ascii="Century Gothic" w:hAnsi="Century Gothic" w:cs="Arial"/>
                <w:color w:val="FFFFFF" w:themeColor="background1"/>
                <w:sz w:val="18"/>
              </w:rPr>
            </w:pPr>
            <w:r>
              <w:rPr>
                <w:rFonts w:ascii="Century Gothic" w:hAnsi="Century Gothic" w:cs="Arial"/>
                <w:b/>
                <w:i/>
                <w:color w:val="FFFFFF" w:themeColor="background1"/>
                <w:sz w:val="18"/>
              </w:rPr>
              <w:t>P</w:t>
            </w:r>
            <w:r>
              <w:rPr>
                <w:rFonts w:ascii="Century Gothic" w:hAnsi="Century Gothic" w:cs="Arial"/>
                <w:b/>
                <w:color w:val="FFFFFF" w:themeColor="background1"/>
                <w:position w:val="-2"/>
                <w:sz w:val="18"/>
              </w:rPr>
              <w:t>1</w:t>
            </w:r>
          </w:p>
        </w:tc>
        <w:tc>
          <w:tcPr>
            <w:tcW w:w="36.70pt" w:type="dxa"/>
            <w:tcBorders>
              <w:top w:val="single" w:sz="4" w:space="0" w:color="000000"/>
              <w:start w:val="single" w:sz="4" w:space="0" w:color="000000"/>
              <w:bottom w:val="single" w:sz="4" w:space="0" w:color="000000"/>
              <w:end w:val="single" w:sz="4" w:space="0" w:color="000000"/>
            </w:tcBorders>
            <w:shd w:val="clear" w:color="auto" w:fill="009AD9"/>
            <w:vAlign w:val="center"/>
          </w:tcPr>
          <w:p w:rsidR="00655060" w:rsidRPr="00611019" w:rsidRDefault="00E56462" w:rsidP="00035D2C">
            <w:pPr>
              <w:spacing w:before="3pt" w:after="3pt"/>
              <w:ind w:start="12.15pt"/>
              <w:jc w:val="center"/>
              <w:rPr>
                <w:rFonts w:ascii="Century Gothic" w:hAnsi="Century Gothic" w:cs="Arial"/>
                <w:color w:val="FFFFFF" w:themeColor="background1"/>
                <w:sz w:val="18"/>
              </w:rPr>
            </w:pPr>
            <w:r>
              <w:rPr>
                <w:rFonts w:ascii="Century Gothic" w:hAnsi="Century Gothic" w:cs="Arial"/>
                <w:b/>
                <w:i/>
                <w:color w:val="FFFFFF" w:themeColor="background1"/>
                <w:sz w:val="18"/>
              </w:rPr>
              <w:t>f</w:t>
            </w:r>
            <w:r>
              <w:rPr>
                <w:rFonts w:ascii="Century Gothic" w:hAnsi="Century Gothic" w:cs="Arial"/>
                <w:b/>
                <w:color w:val="FFFFFF" w:themeColor="background1"/>
                <w:position w:val="-2"/>
                <w:sz w:val="18"/>
              </w:rPr>
              <w:t>2</w:t>
            </w:r>
          </w:p>
          <w:p w:rsidR="00655060" w:rsidRPr="00611019" w:rsidRDefault="00E56462" w:rsidP="00035D2C">
            <w:pPr>
              <w:spacing w:before="3pt" w:after="3pt"/>
              <w:ind w:start="10.60pt"/>
              <w:jc w:val="center"/>
              <w:rPr>
                <w:rFonts w:ascii="Century Gothic" w:hAnsi="Century Gothic" w:cs="Arial"/>
                <w:color w:val="FFFFFF" w:themeColor="background1"/>
                <w:sz w:val="18"/>
              </w:rPr>
            </w:pPr>
            <w:r>
              <w:rPr>
                <w:rFonts w:ascii="Century Gothic" w:hAnsi="Century Gothic" w:cs="Arial"/>
                <w:b/>
                <w:i/>
                <w:color w:val="FFFFFF" w:themeColor="background1"/>
                <w:sz w:val="18"/>
              </w:rPr>
              <w:t>P</w:t>
            </w:r>
            <w:r>
              <w:rPr>
                <w:rFonts w:ascii="Century Gothic" w:hAnsi="Century Gothic" w:cs="Arial"/>
                <w:b/>
                <w:color w:val="FFFFFF" w:themeColor="background1"/>
                <w:position w:val="-2"/>
                <w:sz w:val="18"/>
              </w:rPr>
              <w:t>2</w:t>
            </w:r>
          </w:p>
        </w:tc>
        <w:tc>
          <w:tcPr>
            <w:tcW w:w="28.85pt" w:type="dxa"/>
            <w:tcBorders>
              <w:top w:val="single" w:sz="4" w:space="0" w:color="000000"/>
              <w:start w:val="single" w:sz="4" w:space="0" w:color="000000"/>
              <w:bottom w:val="single" w:sz="4" w:space="0" w:color="000000"/>
              <w:end w:val="single" w:sz="4" w:space="0" w:color="000000"/>
            </w:tcBorders>
            <w:shd w:val="clear" w:color="auto" w:fill="009AD9"/>
            <w:vAlign w:val="center"/>
          </w:tcPr>
          <w:p w:rsidR="00655060" w:rsidRPr="00611019" w:rsidRDefault="00E56462" w:rsidP="00035D2C">
            <w:pPr>
              <w:spacing w:before="3pt" w:after="3pt"/>
              <w:ind w:start="8.80pt"/>
              <w:jc w:val="center"/>
              <w:rPr>
                <w:rFonts w:ascii="Century Gothic" w:hAnsi="Century Gothic" w:cs="Arial"/>
                <w:color w:val="FFFFFF" w:themeColor="background1"/>
                <w:sz w:val="18"/>
              </w:rPr>
            </w:pPr>
            <w:r>
              <w:rPr>
                <w:rFonts w:ascii="Century Gothic" w:hAnsi="Century Gothic" w:cs="Arial"/>
                <w:b/>
                <w:i/>
                <w:color w:val="FFFFFF" w:themeColor="background1"/>
                <w:sz w:val="18"/>
              </w:rPr>
              <w:t>f</w:t>
            </w:r>
            <w:r>
              <w:rPr>
                <w:rFonts w:ascii="Century Gothic" w:hAnsi="Century Gothic" w:cs="Arial"/>
                <w:b/>
                <w:color w:val="FFFFFF" w:themeColor="background1"/>
                <w:position w:val="-2"/>
                <w:sz w:val="18"/>
              </w:rPr>
              <w:t>3</w:t>
            </w:r>
          </w:p>
          <w:p w:rsidR="00655060" w:rsidRPr="00611019" w:rsidRDefault="00E56462" w:rsidP="00035D2C">
            <w:pPr>
              <w:spacing w:before="3pt" w:after="3pt"/>
              <w:ind w:start="7.25pt"/>
              <w:jc w:val="center"/>
              <w:rPr>
                <w:rFonts w:ascii="Century Gothic" w:hAnsi="Century Gothic" w:cs="Arial"/>
                <w:color w:val="FFFFFF" w:themeColor="background1"/>
                <w:sz w:val="18"/>
              </w:rPr>
            </w:pPr>
            <w:r>
              <w:rPr>
                <w:rFonts w:ascii="Century Gothic" w:hAnsi="Century Gothic" w:cs="Arial"/>
                <w:b/>
                <w:i/>
                <w:color w:val="FFFFFF" w:themeColor="background1"/>
                <w:sz w:val="18"/>
              </w:rPr>
              <w:t>P</w:t>
            </w:r>
            <w:r>
              <w:rPr>
                <w:rFonts w:ascii="Century Gothic" w:hAnsi="Century Gothic" w:cs="Arial"/>
                <w:b/>
                <w:color w:val="FFFFFF" w:themeColor="background1"/>
                <w:position w:val="-2"/>
                <w:sz w:val="18"/>
              </w:rPr>
              <w:t>3</w:t>
            </w:r>
          </w:p>
        </w:tc>
        <w:tc>
          <w:tcPr>
            <w:tcW w:w="29.20pt" w:type="dxa"/>
            <w:tcBorders>
              <w:top w:val="single" w:sz="4" w:space="0" w:color="000000"/>
              <w:start w:val="single" w:sz="4" w:space="0" w:color="000000"/>
              <w:bottom w:val="single" w:sz="4" w:space="0" w:color="000000"/>
              <w:end w:val="single" w:sz="4" w:space="0" w:color="000000"/>
            </w:tcBorders>
            <w:shd w:val="clear" w:color="auto" w:fill="009AD9"/>
            <w:vAlign w:val="center"/>
          </w:tcPr>
          <w:p w:rsidR="00655060" w:rsidRPr="00611019" w:rsidRDefault="00E56462" w:rsidP="00035D2C">
            <w:pPr>
              <w:spacing w:before="3pt" w:after="3pt"/>
              <w:ind w:start="8.90pt"/>
              <w:jc w:val="center"/>
              <w:rPr>
                <w:rFonts w:ascii="Century Gothic" w:hAnsi="Century Gothic" w:cs="Arial"/>
                <w:color w:val="FFFFFF" w:themeColor="background1"/>
                <w:sz w:val="18"/>
              </w:rPr>
            </w:pPr>
            <w:r>
              <w:rPr>
                <w:rFonts w:ascii="Century Gothic" w:hAnsi="Century Gothic" w:cs="Arial"/>
                <w:b/>
                <w:i/>
                <w:color w:val="FFFFFF" w:themeColor="background1"/>
                <w:sz w:val="18"/>
              </w:rPr>
              <w:t>f</w:t>
            </w:r>
            <w:r>
              <w:rPr>
                <w:rFonts w:ascii="Century Gothic" w:hAnsi="Century Gothic" w:cs="Arial"/>
                <w:b/>
                <w:color w:val="FFFFFF" w:themeColor="background1"/>
                <w:position w:val="-2"/>
                <w:sz w:val="18"/>
              </w:rPr>
              <w:t>4</w:t>
            </w:r>
          </w:p>
          <w:p w:rsidR="00655060" w:rsidRPr="00611019" w:rsidRDefault="00E56462" w:rsidP="00035D2C">
            <w:pPr>
              <w:spacing w:before="3pt" w:after="3pt"/>
              <w:ind w:start="7.50pt"/>
              <w:jc w:val="center"/>
              <w:rPr>
                <w:rFonts w:ascii="Century Gothic" w:hAnsi="Century Gothic" w:cs="Arial"/>
                <w:color w:val="FFFFFF" w:themeColor="background1"/>
                <w:sz w:val="18"/>
              </w:rPr>
            </w:pPr>
            <w:r>
              <w:rPr>
                <w:rFonts w:ascii="Century Gothic" w:hAnsi="Century Gothic" w:cs="Arial"/>
                <w:b/>
                <w:i/>
                <w:color w:val="FFFFFF" w:themeColor="background1"/>
                <w:sz w:val="18"/>
              </w:rPr>
              <w:t>P</w:t>
            </w:r>
            <w:r>
              <w:rPr>
                <w:rFonts w:ascii="Century Gothic" w:hAnsi="Century Gothic" w:cs="Arial"/>
                <w:b/>
                <w:color w:val="FFFFFF" w:themeColor="background1"/>
                <w:position w:val="-2"/>
                <w:sz w:val="18"/>
              </w:rPr>
              <w:t>4</w:t>
            </w:r>
          </w:p>
        </w:tc>
        <w:tc>
          <w:tcPr>
            <w:tcW w:w="28.20pt" w:type="dxa"/>
            <w:tcBorders>
              <w:top w:val="single" w:sz="4" w:space="0" w:color="000000"/>
              <w:start w:val="single" w:sz="4" w:space="0" w:color="000000"/>
              <w:bottom w:val="single" w:sz="4" w:space="0" w:color="000000"/>
              <w:end w:val="single" w:sz="4" w:space="0" w:color="000000"/>
            </w:tcBorders>
            <w:shd w:val="clear" w:color="auto" w:fill="009AD9"/>
            <w:vAlign w:val="center"/>
          </w:tcPr>
          <w:p w:rsidR="00655060" w:rsidRPr="00611019" w:rsidRDefault="00E56462" w:rsidP="00035D2C">
            <w:pPr>
              <w:spacing w:before="3pt" w:after="3pt"/>
              <w:ind w:start="8.90pt"/>
              <w:jc w:val="center"/>
              <w:rPr>
                <w:rFonts w:ascii="Century Gothic" w:hAnsi="Century Gothic" w:cs="Arial"/>
                <w:color w:val="FFFFFF" w:themeColor="background1"/>
                <w:sz w:val="18"/>
              </w:rPr>
            </w:pPr>
            <w:r>
              <w:rPr>
                <w:rFonts w:ascii="Century Gothic" w:hAnsi="Century Gothic" w:cs="Arial"/>
                <w:b/>
                <w:i/>
                <w:color w:val="FFFFFF" w:themeColor="background1"/>
                <w:sz w:val="18"/>
              </w:rPr>
              <w:t>f</w:t>
            </w:r>
            <w:r>
              <w:rPr>
                <w:rFonts w:ascii="Century Gothic" w:hAnsi="Century Gothic" w:cs="Arial"/>
                <w:b/>
                <w:color w:val="FFFFFF" w:themeColor="background1"/>
                <w:position w:val="-2"/>
                <w:sz w:val="18"/>
              </w:rPr>
              <w:t>5</w:t>
            </w:r>
          </w:p>
          <w:p w:rsidR="00655060" w:rsidRPr="00611019" w:rsidRDefault="00E56462" w:rsidP="00035D2C">
            <w:pPr>
              <w:spacing w:before="3pt" w:after="3pt"/>
              <w:ind w:start="7.50pt"/>
              <w:jc w:val="center"/>
              <w:rPr>
                <w:rFonts w:ascii="Century Gothic" w:hAnsi="Century Gothic" w:cs="Arial"/>
                <w:color w:val="FFFFFF" w:themeColor="background1"/>
                <w:sz w:val="18"/>
              </w:rPr>
            </w:pPr>
            <w:r>
              <w:rPr>
                <w:rFonts w:ascii="Century Gothic" w:hAnsi="Century Gothic" w:cs="Arial"/>
                <w:b/>
                <w:i/>
                <w:color w:val="FFFFFF" w:themeColor="background1"/>
                <w:sz w:val="18"/>
              </w:rPr>
              <w:t>P</w:t>
            </w:r>
            <w:r>
              <w:rPr>
                <w:rFonts w:ascii="Century Gothic" w:hAnsi="Century Gothic" w:cs="Arial"/>
                <w:b/>
                <w:color w:val="FFFFFF" w:themeColor="background1"/>
                <w:position w:val="-2"/>
                <w:sz w:val="18"/>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009AD9"/>
            <w:vAlign w:val="center"/>
          </w:tcPr>
          <w:p w:rsidR="00655060" w:rsidRPr="00611019" w:rsidRDefault="00E56462" w:rsidP="00035D2C">
            <w:pPr>
              <w:spacing w:before="3pt" w:after="3pt"/>
              <w:ind w:start="8.90pt"/>
              <w:jc w:val="center"/>
              <w:rPr>
                <w:rFonts w:ascii="Century Gothic" w:hAnsi="Century Gothic" w:cs="Arial"/>
                <w:color w:val="FFFFFF" w:themeColor="background1"/>
                <w:sz w:val="18"/>
              </w:rPr>
            </w:pPr>
            <w:r>
              <w:rPr>
                <w:rFonts w:ascii="Century Gothic" w:hAnsi="Century Gothic" w:cs="Arial"/>
                <w:b/>
                <w:i/>
                <w:color w:val="FFFFFF" w:themeColor="background1"/>
                <w:sz w:val="18"/>
              </w:rPr>
              <w:t>f</w:t>
            </w:r>
            <w:r>
              <w:rPr>
                <w:rFonts w:ascii="Century Gothic" w:hAnsi="Century Gothic" w:cs="Arial"/>
                <w:b/>
                <w:color w:val="FFFFFF" w:themeColor="background1"/>
                <w:position w:val="-2"/>
                <w:sz w:val="18"/>
              </w:rPr>
              <w:t>6</w:t>
            </w:r>
          </w:p>
          <w:p w:rsidR="00655060" w:rsidRPr="00611019" w:rsidRDefault="00E56462" w:rsidP="00035D2C">
            <w:pPr>
              <w:spacing w:before="3pt" w:after="3pt"/>
              <w:ind w:start="7.50pt"/>
              <w:jc w:val="center"/>
              <w:rPr>
                <w:rFonts w:ascii="Century Gothic" w:hAnsi="Century Gothic" w:cs="Arial"/>
                <w:color w:val="FFFFFF" w:themeColor="background1"/>
                <w:sz w:val="18"/>
              </w:rPr>
            </w:pPr>
            <w:r>
              <w:rPr>
                <w:rFonts w:ascii="Century Gothic" w:hAnsi="Century Gothic" w:cs="Arial"/>
                <w:b/>
                <w:i/>
                <w:color w:val="FFFFFF" w:themeColor="background1"/>
                <w:sz w:val="18"/>
              </w:rPr>
              <w:t>P</w:t>
            </w:r>
            <w:r>
              <w:rPr>
                <w:rFonts w:ascii="Century Gothic" w:hAnsi="Century Gothic" w:cs="Arial"/>
                <w:b/>
                <w:color w:val="FFFFFF" w:themeColor="background1"/>
                <w:position w:val="-2"/>
                <w:sz w:val="18"/>
              </w:rPr>
              <w:t>6</w:t>
            </w:r>
          </w:p>
        </w:tc>
        <w:tc>
          <w:tcPr>
            <w:tcW w:w="28.20pt" w:type="dxa"/>
            <w:tcBorders>
              <w:top w:val="single" w:sz="4" w:space="0" w:color="000000"/>
              <w:start w:val="single" w:sz="4" w:space="0" w:color="000000"/>
              <w:bottom w:val="single" w:sz="4" w:space="0" w:color="000000"/>
              <w:end w:val="single" w:sz="4" w:space="0" w:color="000000"/>
            </w:tcBorders>
            <w:shd w:val="clear" w:color="auto" w:fill="009AD9"/>
            <w:vAlign w:val="center"/>
          </w:tcPr>
          <w:p w:rsidR="00655060" w:rsidRPr="00611019" w:rsidRDefault="00E56462" w:rsidP="00035D2C">
            <w:pPr>
              <w:spacing w:before="3pt" w:after="3pt"/>
              <w:ind w:start="9.05pt"/>
              <w:jc w:val="center"/>
              <w:rPr>
                <w:rFonts w:ascii="Century Gothic" w:hAnsi="Century Gothic" w:cs="Arial"/>
                <w:color w:val="FFFFFF" w:themeColor="background1"/>
                <w:sz w:val="18"/>
              </w:rPr>
            </w:pPr>
            <w:r>
              <w:rPr>
                <w:rFonts w:ascii="Century Gothic" w:hAnsi="Century Gothic" w:cs="Arial"/>
                <w:b/>
                <w:i/>
                <w:color w:val="FFFFFF" w:themeColor="background1"/>
                <w:sz w:val="18"/>
              </w:rPr>
              <w:t>f</w:t>
            </w:r>
            <w:r>
              <w:rPr>
                <w:rFonts w:ascii="Century Gothic" w:hAnsi="Century Gothic" w:cs="Arial"/>
                <w:b/>
                <w:color w:val="FFFFFF" w:themeColor="background1"/>
                <w:position w:val="-2"/>
                <w:sz w:val="18"/>
              </w:rPr>
              <w:t>7</w:t>
            </w:r>
          </w:p>
          <w:p w:rsidR="00655060" w:rsidRPr="00611019" w:rsidRDefault="00E56462" w:rsidP="00035D2C">
            <w:pPr>
              <w:spacing w:before="3pt" w:after="3pt"/>
              <w:ind w:start="7.60pt"/>
              <w:jc w:val="center"/>
              <w:rPr>
                <w:rFonts w:ascii="Century Gothic" w:hAnsi="Century Gothic" w:cs="Arial"/>
                <w:color w:val="FFFFFF" w:themeColor="background1"/>
                <w:sz w:val="18"/>
              </w:rPr>
            </w:pPr>
            <w:r>
              <w:rPr>
                <w:rFonts w:ascii="Century Gothic" w:hAnsi="Century Gothic" w:cs="Arial"/>
                <w:b/>
                <w:i/>
                <w:color w:val="FFFFFF" w:themeColor="background1"/>
                <w:sz w:val="18"/>
              </w:rPr>
              <w:t>P</w:t>
            </w:r>
            <w:r>
              <w:rPr>
                <w:rFonts w:ascii="Century Gothic" w:hAnsi="Century Gothic" w:cs="Arial"/>
                <w:b/>
                <w:color w:val="FFFFFF" w:themeColor="background1"/>
                <w:position w:val="-2"/>
                <w:sz w:val="18"/>
              </w:rPr>
              <w:t>7</w:t>
            </w:r>
          </w:p>
        </w:tc>
        <w:tc>
          <w:tcPr>
            <w:tcW w:w="28.20pt" w:type="dxa"/>
            <w:tcBorders>
              <w:top w:val="single" w:sz="4" w:space="0" w:color="000000"/>
              <w:start w:val="single" w:sz="4" w:space="0" w:color="000000"/>
              <w:bottom w:val="single" w:sz="4" w:space="0" w:color="000000"/>
              <w:end w:val="single" w:sz="4" w:space="0" w:color="000000"/>
            </w:tcBorders>
            <w:shd w:val="clear" w:color="auto" w:fill="009AD9"/>
            <w:vAlign w:val="center"/>
          </w:tcPr>
          <w:p w:rsidR="00655060" w:rsidRPr="00611019" w:rsidRDefault="00E56462" w:rsidP="00035D2C">
            <w:pPr>
              <w:spacing w:before="3pt" w:after="3pt"/>
              <w:ind w:start="8.90pt"/>
              <w:jc w:val="center"/>
              <w:rPr>
                <w:rFonts w:ascii="Century Gothic" w:hAnsi="Century Gothic" w:cs="Arial"/>
                <w:color w:val="FFFFFF" w:themeColor="background1"/>
                <w:sz w:val="18"/>
              </w:rPr>
            </w:pPr>
            <w:r>
              <w:rPr>
                <w:rFonts w:ascii="Century Gothic" w:hAnsi="Century Gothic" w:cs="Arial"/>
                <w:b/>
                <w:i/>
                <w:color w:val="FFFFFF" w:themeColor="background1"/>
                <w:sz w:val="18"/>
              </w:rPr>
              <w:t>f</w:t>
            </w:r>
            <w:r>
              <w:rPr>
                <w:rFonts w:ascii="Century Gothic" w:hAnsi="Century Gothic" w:cs="Arial"/>
                <w:b/>
                <w:color w:val="FFFFFF" w:themeColor="background1"/>
                <w:position w:val="-2"/>
                <w:sz w:val="18"/>
              </w:rPr>
              <w:t>8</w:t>
            </w:r>
          </w:p>
          <w:p w:rsidR="00655060" w:rsidRPr="00611019" w:rsidRDefault="00E56462" w:rsidP="00035D2C">
            <w:pPr>
              <w:spacing w:before="3pt" w:after="3pt"/>
              <w:ind w:start="7.50pt"/>
              <w:jc w:val="center"/>
              <w:rPr>
                <w:rFonts w:ascii="Century Gothic" w:hAnsi="Century Gothic" w:cs="Arial"/>
                <w:color w:val="FFFFFF" w:themeColor="background1"/>
                <w:sz w:val="18"/>
              </w:rPr>
            </w:pPr>
            <w:r>
              <w:rPr>
                <w:rFonts w:ascii="Century Gothic" w:hAnsi="Century Gothic" w:cs="Arial"/>
                <w:b/>
                <w:i/>
                <w:color w:val="FFFFFF" w:themeColor="background1"/>
                <w:sz w:val="18"/>
              </w:rPr>
              <w:t>P</w:t>
            </w:r>
            <w:r>
              <w:rPr>
                <w:rFonts w:ascii="Century Gothic" w:hAnsi="Century Gothic" w:cs="Arial"/>
                <w:b/>
                <w:color w:val="FFFFFF" w:themeColor="background1"/>
                <w:position w:val="-2"/>
                <w:sz w:val="18"/>
              </w:rPr>
              <w:t>8</w:t>
            </w:r>
          </w:p>
        </w:tc>
        <w:tc>
          <w:tcPr>
            <w:tcW w:w="28.20pt" w:type="dxa"/>
            <w:tcBorders>
              <w:top w:val="single" w:sz="4" w:space="0" w:color="000000"/>
              <w:start w:val="single" w:sz="4" w:space="0" w:color="000000"/>
              <w:bottom w:val="single" w:sz="4" w:space="0" w:color="000000"/>
              <w:end w:val="single" w:sz="4" w:space="0" w:color="000000"/>
            </w:tcBorders>
            <w:shd w:val="clear" w:color="auto" w:fill="009AD9"/>
            <w:vAlign w:val="center"/>
          </w:tcPr>
          <w:p w:rsidR="00655060" w:rsidRPr="00611019" w:rsidRDefault="00E56462" w:rsidP="00035D2C">
            <w:pPr>
              <w:spacing w:before="3pt" w:after="3pt"/>
              <w:ind w:start="8.90pt"/>
              <w:jc w:val="center"/>
              <w:rPr>
                <w:rFonts w:ascii="Century Gothic" w:hAnsi="Century Gothic" w:cs="Arial"/>
                <w:color w:val="FFFFFF" w:themeColor="background1"/>
                <w:sz w:val="18"/>
              </w:rPr>
            </w:pPr>
            <w:r>
              <w:rPr>
                <w:rFonts w:ascii="Century Gothic" w:hAnsi="Century Gothic" w:cs="Arial"/>
                <w:b/>
                <w:i/>
                <w:color w:val="FFFFFF" w:themeColor="background1"/>
                <w:sz w:val="18"/>
              </w:rPr>
              <w:t>f</w:t>
            </w:r>
            <w:r>
              <w:rPr>
                <w:rFonts w:ascii="Century Gothic" w:hAnsi="Century Gothic" w:cs="Arial"/>
                <w:b/>
                <w:color w:val="FFFFFF" w:themeColor="background1"/>
                <w:position w:val="-2"/>
                <w:sz w:val="18"/>
              </w:rPr>
              <w:t>9</w:t>
            </w:r>
          </w:p>
          <w:p w:rsidR="00655060" w:rsidRPr="00611019" w:rsidRDefault="00E56462" w:rsidP="00035D2C">
            <w:pPr>
              <w:spacing w:before="3pt" w:after="3pt"/>
              <w:ind w:start="7.50pt"/>
              <w:jc w:val="center"/>
              <w:rPr>
                <w:rFonts w:ascii="Century Gothic" w:hAnsi="Century Gothic" w:cs="Arial"/>
                <w:color w:val="FFFFFF" w:themeColor="background1"/>
                <w:sz w:val="18"/>
              </w:rPr>
            </w:pPr>
            <w:r>
              <w:rPr>
                <w:rFonts w:ascii="Century Gothic" w:hAnsi="Century Gothic" w:cs="Arial"/>
                <w:b/>
                <w:i/>
                <w:color w:val="FFFFFF" w:themeColor="background1"/>
                <w:sz w:val="18"/>
              </w:rPr>
              <w:t>P</w:t>
            </w:r>
            <w:r>
              <w:rPr>
                <w:rFonts w:ascii="Century Gothic" w:hAnsi="Century Gothic" w:cs="Arial"/>
                <w:b/>
                <w:color w:val="FFFFFF" w:themeColor="background1"/>
                <w:position w:val="-2"/>
                <w:sz w:val="18"/>
              </w:rPr>
              <w:t>9</w:t>
            </w:r>
          </w:p>
        </w:tc>
        <w:tc>
          <w:tcPr>
            <w:tcW w:w="28.20pt" w:type="dxa"/>
            <w:tcBorders>
              <w:top w:val="single" w:sz="4" w:space="0" w:color="000000"/>
              <w:start w:val="single" w:sz="4" w:space="0" w:color="000000"/>
              <w:bottom w:val="single" w:sz="4" w:space="0" w:color="000000"/>
              <w:end w:val="single" w:sz="4" w:space="0" w:color="000000"/>
            </w:tcBorders>
            <w:shd w:val="clear" w:color="auto" w:fill="009AD9"/>
            <w:vAlign w:val="center"/>
          </w:tcPr>
          <w:p w:rsidR="00655060" w:rsidRPr="00611019" w:rsidRDefault="00E56462" w:rsidP="00035D2C">
            <w:pPr>
              <w:spacing w:before="3pt" w:after="3pt"/>
              <w:ind w:start="8.90pt"/>
              <w:jc w:val="center"/>
              <w:rPr>
                <w:rFonts w:ascii="Century Gothic" w:hAnsi="Century Gothic" w:cs="Arial"/>
                <w:color w:val="FFFFFF" w:themeColor="background1"/>
                <w:sz w:val="18"/>
              </w:rPr>
            </w:pPr>
            <w:r>
              <w:rPr>
                <w:rFonts w:ascii="Century Gothic" w:hAnsi="Century Gothic" w:cs="Arial"/>
                <w:b/>
                <w:i/>
                <w:color w:val="FFFFFF" w:themeColor="background1"/>
                <w:sz w:val="18"/>
              </w:rPr>
              <w:t>f</w:t>
            </w:r>
            <w:r>
              <w:rPr>
                <w:rFonts w:ascii="Century Gothic" w:hAnsi="Century Gothic" w:cs="Arial"/>
                <w:b/>
                <w:color w:val="FFFFFF" w:themeColor="background1"/>
                <w:position w:val="-2"/>
                <w:sz w:val="18"/>
              </w:rPr>
              <w:t>10</w:t>
            </w:r>
          </w:p>
          <w:p w:rsidR="00655060" w:rsidRPr="00611019" w:rsidRDefault="00E56462" w:rsidP="00035D2C">
            <w:pPr>
              <w:spacing w:before="3pt" w:after="3pt"/>
              <w:ind w:start="7.50pt"/>
              <w:jc w:val="center"/>
              <w:rPr>
                <w:rFonts w:ascii="Century Gothic" w:hAnsi="Century Gothic" w:cs="Arial"/>
                <w:color w:val="FFFFFF" w:themeColor="background1"/>
                <w:sz w:val="18"/>
              </w:rPr>
            </w:pPr>
            <w:r>
              <w:rPr>
                <w:rFonts w:ascii="Century Gothic" w:hAnsi="Century Gothic" w:cs="Arial"/>
                <w:b/>
                <w:i/>
                <w:color w:val="FFFFFF" w:themeColor="background1"/>
                <w:sz w:val="18"/>
              </w:rPr>
              <w:t>P</w:t>
            </w:r>
            <w:r>
              <w:rPr>
                <w:rFonts w:ascii="Century Gothic" w:hAnsi="Century Gothic" w:cs="Arial"/>
                <w:b/>
                <w:color w:val="FFFFFF" w:themeColor="background1"/>
                <w:position w:val="-2"/>
                <w:sz w:val="18"/>
              </w:rPr>
              <w:t>10</w:t>
            </w:r>
          </w:p>
        </w:tc>
        <w:tc>
          <w:tcPr>
            <w:tcW w:w="28.20pt" w:type="dxa"/>
            <w:tcBorders>
              <w:top w:val="single" w:sz="4" w:space="0" w:color="000000"/>
              <w:start w:val="single" w:sz="4" w:space="0" w:color="000000"/>
              <w:bottom w:val="single" w:sz="4" w:space="0" w:color="000000"/>
              <w:end w:val="single" w:sz="4" w:space="0" w:color="000000"/>
            </w:tcBorders>
            <w:shd w:val="clear" w:color="auto" w:fill="009AD9"/>
            <w:vAlign w:val="center"/>
          </w:tcPr>
          <w:p w:rsidR="00655060" w:rsidRPr="00611019" w:rsidRDefault="00E56462" w:rsidP="00035D2C">
            <w:pPr>
              <w:spacing w:before="3pt" w:after="3pt"/>
              <w:ind w:start="8.90pt"/>
              <w:jc w:val="center"/>
              <w:rPr>
                <w:rFonts w:ascii="Century Gothic" w:hAnsi="Century Gothic" w:cs="Arial"/>
                <w:color w:val="FFFFFF" w:themeColor="background1"/>
                <w:sz w:val="18"/>
              </w:rPr>
            </w:pPr>
            <w:r>
              <w:rPr>
                <w:rFonts w:ascii="Century Gothic" w:hAnsi="Century Gothic" w:cs="Arial"/>
                <w:b/>
                <w:i/>
                <w:color w:val="FFFFFF" w:themeColor="background1"/>
                <w:sz w:val="18"/>
              </w:rPr>
              <w:t>f</w:t>
            </w:r>
            <w:r>
              <w:rPr>
                <w:rFonts w:ascii="Century Gothic" w:hAnsi="Century Gothic" w:cs="Arial"/>
                <w:b/>
                <w:color w:val="FFFFFF" w:themeColor="background1"/>
                <w:position w:val="-2"/>
                <w:sz w:val="18"/>
              </w:rPr>
              <w:t>11</w:t>
            </w:r>
          </w:p>
          <w:p w:rsidR="00655060" w:rsidRPr="00611019" w:rsidRDefault="00E56462" w:rsidP="00035D2C">
            <w:pPr>
              <w:spacing w:before="3pt" w:after="3pt"/>
              <w:ind w:start="7.50pt"/>
              <w:jc w:val="center"/>
              <w:rPr>
                <w:rFonts w:ascii="Century Gothic" w:hAnsi="Century Gothic" w:cs="Arial"/>
                <w:color w:val="FFFFFF" w:themeColor="background1"/>
                <w:sz w:val="18"/>
              </w:rPr>
            </w:pPr>
            <w:r>
              <w:rPr>
                <w:rFonts w:ascii="Century Gothic" w:hAnsi="Century Gothic" w:cs="Arial"/>
                <w:b/>
                <w:i/>
                <w:color w:val="FFFFFF" w:themeColor="background1"/>
                <w:sz w:val="18"/>
              </w:rPr>
              <w:t>P</w:t>
            </w:r>
            <w:r>
              <w:rPr>
                <w:rFonts w:ascii="Century Gothic" w:hAnsi="Century Gothic" w:cs="Arial"/>
                <w:b/>
                <w:color w:val="FFFFFF" w:themeColor="background1"/>
                <w:position w:val="-2"/>
                <w:sz w:val="18"/>
              </w:rPr>
              <w:t>11</w:t>
            </w:r>
          </w:p>
        </w:tc>
        <w:tc>
          <w:tcPr>
            <w:tcW w:w="28.20pt" w:type="dxa"/>
            <w:tcBorders>
              <w:top w:val="single" w:sz="4" w:space="0" w:color="000000"/>
              <w:start w:val="single" w:sz="4" w:space="0" w:color="000000"/>
              <w:bottom w:val="single" w:sz="4" w:space="0" w:color="000000"/>
              <w:end w:val="single" w:sz="4" w:space="0" w:color="000000"/>
            </w:tcBorders>
            <w:shd w:val="clear" w:color="auto" w:fill="009AD9"/>
            <w:vAlign w:val="center"/>
          </w:tcPr>
          <w:p w:rsidR="00655060" w:rsidRPr="00611019" w:rsidRDefault="00E56462" w:rsidP="00035D2C">
            <w:pPr>
              <w:spacing w:before="3pt" w:after="3pt"/>
              <w:ind w:start="9.05pt"/>
              <w:jc w:val="center"/>
              <w:rPr>
                <w:rFonts w:ascii="Century Gothic" w:hAnsi="Century Gothic" w:cs="Arial"/>
                <w:color w:val="FFFFFF" w:themeColor="background1"/>
                <w:sz w:val="18"/>
              </w:rPr>
            </w:pPr>
            <w:r>
              <w:rPr>
                <w:rFonts w:ascii="Century Gothic" w:hAnsi="Century Gothic" w:cs="Arial"/>
                <w:b/>
                <w:i/>
                <w:color w:val="FFFFFF" w:themeColor="background1"/>
                <w:sz w:val="18"/>
              </w:rPr>
              <w:t>f</w:t>
            </w:r>
            <w:r>
              <w:rPr>
                <w:rFonts w:ascii="Century Gothic" w:hAnsi="Century Gothic" w:cs="Arial"/>
                <w:b/>
                <w:color w:val="FFFFFF" w:themeColor="background1"/>
                <w:position w:val="-2"/>
                <w:sz w:val="18"/>
              </w:rPr>
              <w:t>12</w:t>
            </w:r>
          </w:p>
          <w:p w:rsidR="00655060" w:rsidRPr="00611019" w:rsidRDefault="00E56462" w:rsidP="00035D2C">
            <w:pPr>
              <w:spacing w:before="3pt" w:after="3pt"/>
              <w:ind w:start="7.65pt"/>
              <w:jc w:val="center"/>
              <w:rPr>
                <w:rFonts w:ascii="Century Gothic" w:hAnsi="Century Gothic" w:cs="Arial"/>
                <w:color w:val="FFFFFF" w:themeColor="background1"/>
                <w:sz w:val="18"/>
              </w:rPr>
            </w:pPr>
            <w:r>
              <w:rPr>
                <w:rFonts w:ascii="Century Gothic" w:hAnsi="Century Gothic" w:cs="Arial"/>
                <w:b/>
                <w:i/>
                <w:color w:val="FFFFFF" w:themeColor="background1"/>
                <w:sz w:val="18"/>
              </w:rPr>
              <w:t>P</w:t>
            </w:r>
            <w:r>
              <w:rPr>
                <w:rFonts w:ascii="Century Gothic" w:hAnsi="Century Gothic" w:cs="Arial"/>
                <w:b/>
                <w:color w:val="FFFFFF" w:themeColor="background1"/>
                <w:position w:val="-2"/>
                <w:sz w:val="18"/>
              </w:rPr>
              <w:t>12</w:t>
            </w:r>
          </w:p>
        </w:tc>
        <w:tc>
          <w:tcPr>
            <w:tcW w:w="28.20pt" w:type="dxa"/>
            <w:tcBorders>
              <w:top w:val="single" w:sz="4" w:space="0" w:color="000000"/>
              <w:start w:val="single" w:sz="4" w:space="0" w:color="000000"/>
              <w:bottom w:val="single" w:sz="4" w:space="0" w:color="000000"/>
              <w:end w:val="single" w:sz="4" w:space="0" w:color="000000"/>
            </w:tcBorders>
            <w:shd w:val="clear" w:color="auto" w:fill="009AD9"/>
            <w:vAlign w:val="center"/>
          </w:tcPr>
          <w:p w:rsidR="00655060" w:rsidRPr="00611019" w:rsidRDefault="00E56462" w:rsidP="00035D2C">
            <w:pPr>
              <w:spacing w:before="3pt" w:after="3pt"/>
              <w:ind w:start="8.90pt"/>
              <w:jc w:val="center"/>
              <w:rPr>
                <w:rFonts w:ascii="Century Gothic" w:hAnsi="Century Gothic" w:cs="Arial"/>
                <w:color w:val="FFFFFF" w:themeColor="background1"/>
                <w:sz w:val="18"/>
              </w:rPr>
            </w:pPr>
            <w:r>
              <w:rPr>
                <w:rFonts w:ascii="Century Gothic" w:hAnsi="Century Gothic" w:cs="Arial"/>
                <w:b/>
                <w:i/>
                <w:color w:val="FFFFFF" w:themeColor="background1"/>
                <w:sz w:val="18"/>
              </w:rPr>
              <w:t>f</w:t>
            </w:r>
            <w:r>
              <w:rPr>
                <w:rFonts w:ascii="Century Gothic" w:hAnsi="Century Gothic" w:cs="Arial"/>
                <w:b/>
                <w:color w:val="FFFFFF" w:themeColor="background1"/>
                <w:position w:val="-2"/>
                <w:sz w:val="18"/>
              </w:rPr>
              <w:t>13</w:t>
            </w:r>
          </w:p>
          <w:p w:rsidR="00655060" w:rsidRPr="00611019" w:rsidRDefault="00E56462" w:rsidP="00035D2C">
            <w:pPr>
              <w:spacing w:before="3pt" w:after="3pt"/>
              <w:ind w:start="7.50pt"/>
              <w:jc w:val="center"/>
              <w:rPr>
                <w:rFonts w:ascii="Century Gothic" w:hAnsi="Century Gothic" w:cs="Arial"/>
                <w:color w:val="FFFFFF" w:themeColor="background1"/>
                <w:sz w:val="18"/>
              </w:rPr>
            </w:pPr>
            <w:r>
              <w:rPr>
                <w:rFonts w:ascii="Century Gothic" w:hAnsi="Century Gothic" w:cs="Arial"/>
                <w:b/>
                <w:i/>
                <w:color w:val="FFFFFF" w:themeColor="background1"/>
                <w:sz w:val="18"/>
              </w:rPr>
              <w:t>P</w:t>
            </w:r>
            <w:r>
              <w:rPr>
                <w:rFonts w:ascii="Century Gothic" w:hAnsi="Century Gothic" w:cs="Arial"/>
                <w:b/>
                <w:color w:val="FFFFFF" w:themeColor="background1"/>
                <w:position w:val="-2"/>
                <w:sz w:val="18"/>
              </w:rPr>
              <w:t>13</w:t>
            </w:r>
          </w:p>
        </w:tc>
        <w:tc>
          <w:tcPr>
            <w:tcW w:w="28.20pt" w:type="dxa"/>
            <w:tcBorders>
              <w:top w:val="single" w:sz="4" w:space="0" w:color="000000"/>
              <w:start w:val="single" w:sz="4" w:space="0" w:color="000000"/>
              <w:bottom w:val="single" w:sz="4" w:space="0" w:color="000000"/>
              <w:end w:val="single" w:sz="4" w:space="0" w:color="000000"/>
            </w:tcBorders>
            <w:shd w:val="clear" w:color="auto" w:fill="009AD9"/>
            <w:vAlign w:val="center"/>
          </w:tcPr>
          <w:p w:rsidR="00655060" w:rsidRPr="00611019" w:rsidRDefault="00E56462" w:rsidP="00035D2C">
            <w:pPr>
              <w:spacing w:before="3pt" w:after="3pt"/>
              <w:ind w:start="8.90pt"/>
              <w:jc w:val="center"/>
              <w:rPr>
                <w:rFonts w:ascii="Century Gothic" w:hAnsi="Century Gothic" w:cs="Arial"/>
                <w:color w:val="FFFFFF" w:themeColor="background1"/>
                <w:sz w:val="18"/>
              </w:rPr>
            </w:pPr>
            <w:r>
              <w:rPr>
                <w:rFonts w:ascii="Century Gothic" w:hAnsi="Century Gothic" w:cs="Arial"/>
                <w:b/>
                <w:i/>
                <w:color w:val="FFFFFF" w:themeColor="background1"/>
                <w:sz w:val="18"/>
              </w:rPr>
              <w:t>f</w:t>
            </w:r>
            <w:r>
              <w:rPr>
                <w:rFonts w:ascii="Century Gothic" w:hAnsi="Century Gothic" w:cs="Arial"/>
                <w:b/>
                <w:color w:val="FFFFFF" w:themeColor="background1"/>
                <w:position w:val="-2"/>
                <w:sz w:val="18"/>
              </w:rPr>
              <w:t>14</w:t>
            </w:r>
          </w:p>
          <w:p w:rsidR="00655060" w:rsidRPr="00611019" w:rsidRDefault="00E56462" w:rsidP="00035D2C">
            <w:pPr>
              <w:spacing w:before="3pt" w:after="3pt"/>
              <w:ind w:start="7.50pt"/>
              <w:jc w:val="center"/>
              <w:rPr>
                <w:rFonts w:ascii="Century Gothic" w:hAnsi="Century Gothic" w:cs="Arial"/>
                <w:color w:val="FFFFFF" w:themeColor="background1"/>
                <w:sz w:val="18"/>
              </w:rPr>
            </w:pPr>
            <w:r>
              <w:rPr>
                <w:rFonts w:ascii="Century Gothic" w:hAnsi="Century Gothic" w:cs="Arial"/>
                <w:b/>
                <w:i/>
                <w:color w:val="FFFFFF" w:themeColor="background1"/>
                <w:sz w:val="18"/>
              </w:rPr>
              <w:t>P</w:t>
            </w:r>
            <w:r>
              <w:rPr>
                <w:rFonts w:ascii="Century Gothic" w:hAnsi="Century Gothic" w:cs="Arial"/>
                <w:b/>
                <w:color w:val="FFFFFF" w:themeColor="background1"/>
                <w:position w:val="-2"/>
                <w:sz w:val="18"/>
              </w:rPr>
              <w:t>14</w:t>
            </w:r>
          </w:p>
        </w:tc>
      </w:tr>
      <w:tr w:rsidR="0061711D" w:rsidTr="00BD3372">
        <w:trPr>
          <w:trHeight w:val="20"/>
          <w:jc w:val="center"/>
        </w:trPr>
        <w:tc>
          <w:tcPr>
            <w:tcW w:w="25.10pt" w:type="dxa"/>
            <w:vMerge w:val="restart"/>
            <w:tcBorders>
              <w:top w:val="single" w:sz="4" w:space="0" w:color="000000"/>
              <w:start w:val="single" w:sz="4" w:space="0" w:color="000000"/>
              <w:end w:val="single" w:sz="4" w:space="0" w:color="000000"/>
            </w:tcBorders>
          </w:tcPr>
          <w:p w:rsidR="00655060" w:rsidRPr="00611019" w:rsidRDefault="00E56462" w:rsidP="00035D2C">
            <w:pPr>
              <w:spacing w:before="3pt" w:after="3pt"/>
              <w:ind w:start="6.40pt"/>
              <w:jc w:val="center"/>
              <w:rPr>
                <w:rFonts w:ascii="Century Gothic" w:hAnsi="Century Gothic" w:cs="Arial"/>
                <w:color w:val="000000" w:themeColor="text1"/>
                <w:sz w:val="16"/>
              </w:rPr>
            </w:pPr>
            <w:r>
              <w:rPr>
                <w:rFonts w:ascii="Century Gothic" w:hAnsi="Century Gothic" w:cs="Arial"/>
                <w:b/>
                <w:color w:val="000000" w:themeColor="text1"/>
                <w:sz w:val="16"/>
              </w:rPr>
              <w:t>0</w:t>
            </w: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2.60pt"/>
              <w:rPr>
                <w:rFonts w:ascii="Century Gothic" w:hAnsi="Century Gothic" w:cs="Arial"/>
                <w:color w:val="000000" w:themeColor="text1"/>
                <w:sz w:val="16"/>
              </w:rPr>
            </w:pPr>
            <w:r>
              <w:rPr>
                <w:rFonts w:ascii="Century Gothic" w:hAnsi="Century Gothic" w:cs="Arial"/>
                <w:color w:val="000000" w:themeColor="text1"/>
                <w:spacing w:val="-1"/>
                <w:sz w:val="16"/>
              </w:rPr>
              <w:t>137</w:t>
            </w:r>
            <w:r>
              <w:rPr>
                <w:rFonts w:ascii="Century Gothic" w:hAnsi="Century Gothic" w:cs="Arial"/>
                <w:color w:val="000000" w:themeColor="text1"/>
                <w:spacing w:val="1"/>
                <w:sz w:val="16"/>
              </w:rPr>
              <w:t>,</w:t>
            </w:r>
            <w:r>
              <w:rPr>
                <w:rFonts w:ascii="Century Gothic" w:hAnsi="Century Gothic" w:cs="Arial"/>
                <w:color w:val="000000" w:themeColor="text1"/>
                <w:spacing w:val="-1"/>
                <w:sz w:val="16"/>
              </w:rPr>
              <w:t>999</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4.9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4.9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4.90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0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0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0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0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–44</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–36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–36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0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0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0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tcBorders>
              <w:top w:val="single" w:sz="4" w:space="0" w:color="000000"/>
              <w:start w:val="single" w:sz="4" w:space="0" w:color="000000"/>
              <w:bottom w:val="single" w:sz="4" w:space="0" w:color="E6E6E6"/>
              <w:end w:val="single" w:sz="4" w:space="0" w:color="000000"/>
            </w:tcBorders>
            <w:shd w:val="clear" w:color="auto" w:fill="E6E6E6"/>
          </w:tcPr>
          <w:p w:rsidR="00655060" w:rsidRPr="00611019" w:rsidRDefault="00E56462" w:rsidP="00035D2C">
            <w:pPr>
              <w:spacing w:before="3pt" w:after="3pt"/>
              <w:ind w:start="6.40pt"/>
              <w:jc w:val="center"/>
              <w:rPr>
                <w:rFonts w:ascii="Century Gothic" w:hAnsi="Century Gothic" w:cs="Arial"/>
                <w:color w:val="000000" w:themeColor="text1"/>
                <w:sz w:val="16"/>
              </w:rPr>
            </w:pPr>
            <w:r>
              <w:rPr>
                <w:rFonts w:ascii="Century Gothic" w:hAnsi="Century Gothic" w:cs="Arial"/>
                <w:b/>
                <w:color w:val="000000" w:themeColor="text1"/>
                <w:sz w:val="16"/>
              </w:rPr>
              <w:t>1</w:t>
            </w:r>
          </w:p>
        </w:tc>
        <w:tc>
          <w:tcPr>
            <w:tcW w:w="18.6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2.60pt"/>
              <w:rPr>
                <w:rFonts w:ascii="Century Gothic" w:hAnsi="Century Gothic" w:cs="Arial"/>
                <w:color w:val="000000" w:themeColor="text1"/>
                <w:sz w:val="16"/>
              </w:rPr>
            </w:pPr>
            <w:r>
              <w:rPr>
                <w:rFonts w:ascii="Century Gothic" w:hAnsi="Century Gothic" w:cs="Arial"/>
                <w:color w:val="000000" w:themeColor="text1"/>
                <w:spacing w:val="-1"/>
                <w:sz w:val="16"/>
              </w:rPr>
              <w:t>137</w:t>
            </w:r>
            <w:r>
              <w:rPr>
                <w:rFonts w:ascii="Century Gothic" w:hAnsi="Century Gothic" w:cs="Arial"/>
                <w:color w:val="000000" w:themeColor="text1"/>
                <w:spacing w:val="1"/>
                <w:sz w:val="16"/>
              </w:rPr>
              <w:t>,</w:t>
            </w:r>
            <w:r>
              <w:rPr>
                <w:rFonts w:ascii="Century Gothic" w:hAnsi="Century Gothic" w:cs="Arial"/>
                <w:color w:val="000000" w:themeColor="text1"/>
                <w:spacing w:val="-1"/>
                <w:sz w:val="16"/>
              </w:rPr>
              <w:t>999</w:t>
            </w:r>
          </w:p>
        </w:tc>
        <w:tc>
          <w:tcPr>
            <w:tcW w:w="28.85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2211</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tcBorders>
              <w:top w:val="single" w:sz="4" w:space="0" w:color="E6E6E6"/>
              <w:start w:val="single" w:sz="4" w:space="0" w:color="000000"/>
              <w:bottom w:val="single" w:sz="4" w:space="0" w:color="000000"/>
              <w:end w:val="single" w:sz="4" w:space="0" w:color="000000"/>
            </w:tcBorders>
            <w:shd w:val="clear" w:color="auto" w:fill="E6E6E6"/>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–44</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85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–37</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9.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–37</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–38</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–50</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top w:val="single" w:sz="4" w:space="0" w:color="000000"/>
              <w:start w:val="single" w:sz="4" w:space="0" w:color="000000"/>
              <w:end w:val="single" w:sz="4" w:space="0" w:color="000000"/>
            </w:tcBorders>
          </w:tcPr>
          <w:p w:rsidR="00655060" w:rsidRPr="00611019" w:rsidRDefault="00E56462" w:rsidP="00035D2C">
            <w:pPr>
              <w:spacing w:before="3pt" w:after="3pt"/>
              <w:ind w:start="6.40pt"/>
              <w:jc w:val="center"/>
              <w:rPr>
                <w:rFonts w:ascii="Century Gothic" w:hAnsi="Century Gothic" w:cs="Arial"/>
                <w:color w:val="000000" w:themeColor="text1"/>
                <w:sz w:val="16"/>
              </w:rPr>
            </w:pPr>
            <w:r>
              <w:rPr>
                <w:rFonts w:ascii="Century Gothic" w:hAnsi="Century Gothic" w:cs="Arial"/>
                <w:b/>
                <w:color w:val="000000" w:themeColor="text1"/>
                <w:sz w:val="16"/>
              </w:rPr>
              <w:t>2</w:t>
            </w: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2.60pt"/>
              <w:rPr>
                <w:rFonts w:ascii="Century Gothic" w:hAnsi="Century Gothic" w:cs="Arial"/>
                <w:color w:val="000000" w:themeColor="text1"/>
                <w:sz w:val="16"/>
              </w:rPr>
            </w:pPr>
            <w:r>
              <w:rPr>
                <w:rFonts w:ascii="Century Gothic" w:hAnsi="Century Gothic" w:cs="Arial"/>
                <w:color w:val="000000" w:themeColor="text1"/>
                <w:spacing w:val="-1"/>
                <w:sz w:val="16"/>
              </w:rPr>
              <w:t>137</w:t>
            </w:r>
            <w:r>
              <w:rPr>
                <w:rFonts w:ascii="Century Gothic" w:hAnsi="Century Gothic" w:cs="Arial"/>
                <w:color w:val="000000" w:themeColor="text1"/>
                <w:spacing w:val="1"/>
                <w:sz w:val="16"/>
              </w:rPr>
              <w:t>,</w:t>
            </w:r>
            <w:r>
              <w:rPr>
                <w:rFonts w:ascii="Century Gothic" w:hAnsi="Century Gothic" w:cs="Arial"/>
                <w:color w:val="000000" w:themeColor="text1"/>
                <w:spacing w:val="-1"/>
                <w:sz w:val="16"/>
              </w:rPr>
              <w:t>999</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4.9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4.9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4.90pt"/>
              <w:rPr>
                <w:rFonts w:ascii="Century Gothic" w:hAnsi="Century Gothic" w:cs="Arial"/>
                <w:color w:val="000000" w:themeColor="text1"/>
                <w:sz w:val="16"/>
              </w:rPr>
            </w:pPr>
            <w:r>
              <w:rPr>
                <w:rFonts w:ascii="Century Gothic" w:hAnsi="Century Gothic" w:cs="Arial"/>
                <w:color w:val="000000" w:themeColor="text1"/>
                <w:spacing w:val="-1"/>
                <w:sz w:val="16"/>
              </w:rPr>
              <w:t>2214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0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0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0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–44</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–37</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–38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–38</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–39</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–50</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–52</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0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0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tcBorders>
              <w:top w:val="single" w:sz="4" w:space="0" w:color="000000"/>
              <w:start w:val="single" w:sz="4" w:space="0" w:color="000000"/>
              <w:bottom w:val="single" w:sz="4" w:space="0" w:color="E6E6E6"/>
              <w:end w:val="single" w:sz="4" w:space="0" w:color="000000"/>
            </w:tcBorders>
            <w:shd w:val="clear" w:color="auto" w:fill="E6E6E6"/>
          </w:tcPr>
          <w:p w:rsidR="00655060" w:rsidRPr="00611019" w:rsidRDefault="00E56462" w:rsidP="00035D2C">
            <w:pPr>
              <w:spacing w:before="3pt" w:after="3pt"/>
              <w:ind w:start="6.40pt"/>
              <w:jc w:val="center"/>
              <w:rPr>
                <w:rFonts w:ascii="Century Gothic" w:hAnsi="Century Gothic" w:cs="Arial"/>
                <w:color w:val="000000" w:themeColor="text1"/>
                <w:sz w:val="16"/>
              </w:rPr>
            </w:pPr>
            <w:r>
              <w:rPr>
                <w:rFonts w:ascii="Century Gothic" w:hAnsi="Century Gothic" w:cs="Arial"/>
                <w:b/>
                <w:color w:val="000000" w:themeColor="text1"/>
                <w:sz w:val="16"/>
              </w:rPr>
              <w:t>3</w:t>
            </w:r>
          </w:p>
        </w:tc>
        <w:tc>
          <w:tcPr>
            <w:tcW w:w="18.6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2.60pt"/>
              <w:rPr>
                <w:rFonts w:ascii="Century Gothic" w:hAnsi="Century Gothic" w:cs="Arial"/>
                <w:color w:val="000000" w:themeColor="text1"/>
                <w:sz w:val="16"/>
              </w:rPr>
            </w:pPr>
            <w:r>
              <w:rPr>
                <w:rFonts w:ascii="Century Gothic" w:hAnsi="Century Gothic" w:cs="Arial"/>
                <w:color w:val="000000" w:themeColor="text1"/>
                <w:spacing w:val="-1"/>
                <w:sz w:val="16"/>
              </w:rPr>
              <w:t>137</w:t>
            </w:r>
            <w:r>
              <w:rPr>
                <w:rFonts w:ascii="Century Gothic" w:hAnsi="Century Gothic" w:cs="Arial"/>
                <w:color w:val="000000" w:themeColor="text1"/>
                <w:spacing w:val="1"/>
                <w:sz w:val="16"/>
              </w:rPr>
              <w:t>,</w:t>
            </w:r>
            <w:r>
              <w:rPr>
                <w:rFonts w:ascii="Century Gothic" w:hAnsi="Century Gothic" w:cs="Arial"/>
                <w:color w:val="000000" w:themeColor="text1"/>
                <w:spacing w:val="-1"/>
                <w:sz w:val="16"/>
              </w:rPr>
              <w:t>999</w:t>
            </w:r>
          </w:p>
        </w:tc>
        <w:tc>
          <w:tcPr>
            <w:tcW w:w="28.85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2217</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tcBorders>
              <w:top w:val="single" w:sz="4" w:space="0" w:color="E6E6E6"/>
              <w:start w:val="single" w:sz="4" w:space="0" w:color="000000"/>
              <w:bottom w:val="single" w:sz="4" w:space="0" w:color="000000"/>
              <w:end w:val="single" w:sz="4" w:space="0" w:color="000000"/>
            </w:tcBorders>
            <w:shd w:val="clear" w:color="auto" w:fill="E6E6E6"/>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–44</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85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–38</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9.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–38</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–39</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–40</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–40</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–52</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–55</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top w:val="single" w:sz="4" w:space="0" w:color="000000"/>
              <w:start w:val="single" w:sz="4" w:space="0" w:color="000000"/>
              <w:end w:val="single" w:sz="4" w:space="0" w:color="000000"/>
            </w:tcBorders>
          </w:tcPr>
          <w:p w:rsidR="00655060" w:rsidRPr="00611019" w:rsidRDefault="00E56462" w:rsidP="00035D2C">
            <w:pPr>
              <w:spacing w:before="3pt" w:after="3pt"/>
              <w:ind w:start="6.40pt"/>
              <w:jc w:val="center"/>
              <w:rPr>
                <w:rFonts w:ascii="Century Gothic" w:hAnsi="Century Gothic" w:cs="Arial"/>
                <w:color w:val="000000" w:themeColor="text1"/>
                <w:sz w:val="16"/>
              </w:rPr>
            </w:pPr>
            <w:r>
              <w:rPr>
                <w:rFonts w:ascii="Century Gothic" w:hAnsi="Century Gothic" w:cs="Arial"/>
                <w:b/>
                <w:color w:val="000000" w:themeColor="text1"/>
                <w:sz w:val="16"/>
              </w:rPr>
              <w:t>4</w:t>
            </w: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2.60pt"/>
              <w:rPr>
                <w:rFonts w:ascii="Century Gothic" w:hAnsi="Century Gothic" w:cs="Arial"/>
                <w:color w:val="000000" w:themeColor="text1"/>
                <w:sz w:val="16"/>
              </w:rPr>
            </w:pPr>
            <w:r>
              <w:rPr>
                <w:rFonts w:ascii="Century Gothic" w:hAnsi="Century Gothic" w:cs="Arial"/>
                <w:color w:val="000000" w:themeColor="text1"/>
                <w:spacing w:val="-1"/>
                <w:sz w:val="16"/>
              </w:rPr>
              <w:t>137</w:t>
            </w:r>
            <w:r>
              <w:rPr>
                <w:rFonts w:ascii="Century Gothic" w:hAnsi="Century Gothic" w:cs="Arial"/>
                <w:color w:val="000000" w:themeColor="text1"/>
                <w:spacing w:val="1"/>
                <w:sz w:val="16"/>
              </w:rPr>
              <w:t>,</w:t>
            </w:r>
            <w:r>
              <w:rPr>
                <w:rFonts w:ascii="Century Gothic" w:hAnsi="Century Gothic" w:cs="Arial"/>
                <w:color w:val="000000" w:themeColor="text1"/>
                <w:spacing w:val="-1"/>
                <w:sz w:val="16"/>
              </w:rPr>
              <w:t>999</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4.9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4.9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4.9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4.95pt"/>
              <w:rPr>
                <w:rFonts w:ascii="Century Gothic" w:hAnsi="Century Gothic" w:cs="Arial"/>
                <w:color w:val="000000" w:themeColor="text1"/>
                <w:sz w:val="16"/>
              </w:rPr>
            </w:pPr>
            <w:r>
              <w:rPr>
                <w:rFonts w:ascii="Century Gothic" w:hAnsi="Century Gothic" w:cs="Arial"/>
                <w:color w:val="000000" w:themeColor="text1"/>
                <w:spacing w:val="-1"/>
                <w:sz w:val="16"/>
              </w:rPr>
              <w:t>2220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0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0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0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–44</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–38</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–39</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–40</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–41</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–42</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–43</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–54</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–57</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tcBorders>
              <w:top w:val="single" w:sz="4" w:space="0" w:color="000000"/>
              <w:start w:val="single" w:sz="4" w:space="0" w:color="000000"/>
              <w:bottom w:val="single" w:sz="4" w:space="0" w:color="E6E6E6"/>
              <w:end w:val="single" w:sz="4" w:space="0" w:color="000000"/>
            </w:tcBorders>
            <w:shd w:val="clear" w:color="auto" w:fill="E6E6E6"/>
          </w:tcPr>
          <w:p w:rsidR="00655060" w:rsidRPr="00611019" w:rsidRDefault="00E56462" w:rsidP="00035D2C">
            <w:pPr>
              <w:spacing w:before="3pt" w:after="3pt"/>
              <w:ind w:start="6.40pt"/>
              <w:jc w:val="center"/>
              <w:rPr>
                <w:rFonts w:ascii="Century Gothic" w:hAnsi="Century Gothic" w:cs="Arial"/>
                <w:color w:val="000000" w:themeColor="text1"/>
                <w:sz w:val="16"/>
              </w:rPr>
            </w:pPr>
            <w:r>
              <w:rPr>
                <w:rFonts w:ascii="Century Gothic" w:hAnsi="Century Gothic" w:cs="Arial"/>
                <w:b/>
                <w:color w:val="000000" w:themeColor="text1"/>
                <w:sz w:val="16"/>
              </w:rPr>
              <w:t>5</w:t>
            </w:r>
          </w:p>
        </w:tc>
        <w:tc>
          <w:tcPr>
            <w:tcW w:w="18.6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2.60pt"/>
              <w:rPr>
                <w:rFonts w:ascii="Century Gothic" w:hAnsi="Century Gothic" w:cs="Arial"/>
                <w:color w:val="000000" w:themeColor="text1"/>
                <w:sz w:val="16"/>
              </w:rPr>
            </w:pPr>
            <w:r>
              <w:rPr>
                <w:rFonts w:ascii="Century Gothic" w:hAnsi="Century Gothic" w:cs="Arial"/>
                <w:color w:val="000000" w:themeColor="text1"/>
                <w:spacing w:val="-1"/>
                <w:sz w:val="16"/>
              </w:rPr>
              <w:t>137</w:t>
            </w:r>
            <w:r>
              <w:rPr>
                <w:rFonts w:ascii="Century Gothic" w:hAnsi="Century Gothic" w:cs="Arial"/>
                <w:color w:val="000000" w:themeColor="text1"/>
                <w:spacing w:val="1"/>
                <w:sz w:val="16"/>
              </w:rPr>
              <w:t>,</w:t>
            </w:r>
            <w:r>
              <w:rPr>
                <w:rFonts w:ascii="Century Gothic" w:hAnsi="Century Gothic" w:cs="Arial"/>
                <w:color w:val="000000" w:themeColor="text1"/>
                <w:spacing w:val="-1"/>
                <w:sz w:val="16"/>
              </w:rPr>
              <w:t>999</w:t>
            </w:r>
          </w:p>
        </w:tc>
        <w:tc>
          <w:tcPr>
            <w:tcW w:w="28.85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2223</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tcBorders>
              <w:top w:val="single" w:sz="4" w:space="0" w:color="E6E6E6"/>
              <w:start w:val="single" w:sz="4" w:space="0" w:color="000000"/>
              <w:bottom w:val="single" w:sz="4" w:space="0" w:color="000000"/>
              <w:end w:val="single" w:sz="4" w:space="0" w:color="000000"/>
            </w:tcBorders>
            <w:shd w:val="clear" w:color="auto" w:fill="E6E6E6"/>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–44</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85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–39</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9.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–40</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–41</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–42</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–43</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–44</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–51</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–56</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–60</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top w:val="single" w:sz="4" w:space="0" w:color="000000"/>
              <w:start w:val="single" w:sz="4" w:space="0" w:color="000000"/>
              <w:end w:val="single" w:sz="4" w:space="0" w:color="000000"/>
            </w:tcBorders>
          </w:tcPr>
          <w:p w:rsidR="00655060" w:rsidRPr="00611019" w:rsidRDefault="00E56462" w:rsidP="00035D2C">
            <w:pPr>
              <w:spacing w:before="3pt" w:after="3pt"/>
              <w:ind w:start="6.40pt"/>
              <w:jc w:val="center"/>
              <w:rPr>
                <w:rFonts w:ascii="Century Gothic" w:hAnsi="Century Gothic" w:cs="Arial"/>
                <w:color w:val="000000" w:themeColor="text1"/>
                <w:sz w:val="16"/>
              </w:rPr>
            </w:pPr>
            <w:r>
              <w:rPr>
                <w:rFonts w:ascii="Century Gothic" w:hAnsi="Century Gothic" w:cs="Arial"/>
                <w:b/>
                <w:color w:val="000000" w:themeColor="text1"/>
                <w:sz w:val="16"/>
              </w:rPr>
              <w:t>6</w:t>
            </w: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2.60pt"/>
              <w:rPr>
                <w:rFonts w:ascii="Century Gothic" w:hAnsi="Century Gothic" w:cs="Arial"/>
                <w:color w:val="000000" w:themeColor="text1"/>
                <w:sz w:val="16"/>
              </w:rPr>
            </w:pPr>
            <w:r>
              <w:rPr>
                <w:rFonts w:ascii="Century Gothic" w:hAnsi="Century Gothic" w:cs="Arial"/>
                <w:color w:val="000000" w:themeColor="text1"/>
                <w:spacing w:val="-1"/>
                <w:sz w:val="16"/>
              </w:rPr>
              <w:t>137</w:t>
            </w:r>
            <w:r>
              <w:rPr>
                <w:rFonts w:ascii="Century Gothic" w:hAnsi="Century Gothic" w:cs="Arial"/>
                <w:color w:val="000000" w:themeColor="text1"/>
                <w:spacing w:val="1"/>
                <w:sz w:val="16"/>
              </w:rPr>
              <w:t>,</w:t>
            </w:r>
            <w:r>
              <w:rPr>
                <w:rFonts w:ascii="Century Gothic" w:hAnsi="Century Gothic" w:cs="Arial"/>
                <w:color w:val="000000" w:themeColor="text1"/>
                <w:spacing w:val="-1"/>
                <w:sz w:val="16"/>
              </w:rPr>
              <w:t>999</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2226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–44</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–39</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–41</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–42</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–43</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–45</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–52</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–58</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tcBorders>
              <w:top w:val="single" w:sz="4" w:space="0" w:color="000000"/>
              <w:start w:val="single" w:sz="4" w:space="0" w:color="000000"/>
              <w:bottom w:val="single" w:sz="4" w:space="0" w:color="E6E6E6"/>
              <w:end w:val="single" w:sz="4" w:space="0" w:color="000000"/>
            </w:tcBorders>
            <w:shd w:val="clear" w:color="auto" w:fill="E6E6E6"/>
          </w:tcPr>
          <w:p w:rsidR="00655060" w:rsidRPr="00611019" w:rsidRDefault="00E56462" w:rsidP="00035D2C">
            <w:pPr>
              <w:spacing w:before="3pt" w:after="3pt"/>
              <w:ind w:start="6.40pt"/>
              <w:jc w:val="center"/>
              <w:rPr>
                <w:rFonts w:ascii="Century Gothic" w:hAnsi="Century Gothic" w:cs="Arial"/>
                <w:color w:val="000000" w:themeColor="text1"/>
                <w:sz w:val="16"/>
              </w:rPr>
            </w:pPr>
            <w:r>
              <w:rPr>
                <w:rFonts w:ascii="Century Gothic" w:hAnsi="Century Gothic" w:cs="Arial"/>
                <w:b/>
                <w:color w:val="000000" w:themeColor="text1"/>
                <w:sz w:val="16"/>
              </w:rPr>
              <w:t>7</w:t>
            </w:r>
          </w:p>
        </w:tc>
        <w:tc>
          <w:tcPr>
            <w:tcW w:w="18.6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2.60pt"/>
              <w:rPr>
                <w:rFonts w:ascii="Century Gothic" w:hAnsi="Century Gothic" w:cs="Arial"/>
                <w:color w:val="000000" w:themeColor="text1"/>
                <w:sz w:val="16"/>
              </w:rPr>
            </w:pPr>
            <w:r>
              <w:rPr>
                <w:rFonts w:ascii="Century Gothic" w:hAnsi="Century Gothic" w:cs="Arial"/>
                <w:color w:val="000000" w:themeColor="text1"/>
                <w:spacing w:val="-1"/>
                <w:sz w:val="16"/>
              </w:rPr>
              <w:t>137</w:t>
            </w:r>
            <w:r>
              <w:rPr>
                <w:rFonts w:ascii="Century Gothic" w:hAnsi="Century Gothic" w:cs="Arial"/>
                <w:color w:val="000000" w:themeColor="text1"/>
                <w:spacing w:val="1"/>
                <w:sz w:val="16"/>
              </w:rPr>
              <w:t>,</w:t>
            </w:r>
            <w:r>
              <w:rPr>
                <w:rFonts w:ascii="Century Gothic" w:hAnsi="Century Gothic" w:cs="Arial"/>
                <w:color w:val="000000" w:themeColor="text1"/>
                <w:spacing w:val="-1"/>
                <w:sz w:val="16"/>
              </w:rPr>
              <w:t>999</w:t>
            </w:r>
          </w:p>
        </w:tc>
        <w:tc>
          <w:tcPr>
            <w:tcW w:w="28.85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2229</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tcBorders>
              <w:top w:val="single" w:sz="4" w:space="0" w:color="E6E6E6"/>
              <w:start w:val="single" w:sz="4" w:space="0" w:color="000000"/>
              <w:bottom w:val="single" w:sz="4" w:space="0" w:color="000000"/>
              <w:end w:val="single" w:sz="4" w:space="0" w:color="000000"/>
            </w:tcBorders>
            <w:shd w:val="clear" w:color="auto" w:fill="E6E6E6"/>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–44</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85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–40</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9.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–41</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–43</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–45</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–54</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–61</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–65</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top w:val="single" w:sz="4" w:space="0" w:color="000000"/>
              <w:start w:val="single" w:sz="4" w:space="0" w:color="000000"/>
              <w:end w:val="single" w:sz="4" w:space="0" w:color="000000"/>
            </w:tcBorders>
          </w:tcPr>
          <w:p w:rsidR="00655060" w:rsidRPr="00611019" w:rsidRDefault="00E56462" w:rsidP="00035D2C">
            <w:pPr>
              <w:spacing w:before="3pt" w:after="3pt"/>
              <w:ind w:start="6.40pt"/>
              <w:jc w:val="center"/>
              <w:rPr>
                <w:rFonts w:ascii="Century Gothic" w:hAnsi="Century Gothic" w:cs="Arial"/>
                <w:color w:val="000000" w:themeColor="text1"/>
                <w:sz w:val="16"/>
              </w:rPr>
            </w:pPr>
            <w:r>
              <w:rPr>
                <w:rFonts w:ascii="Century Gothic" w:hAnsi="Century Gothic" w:cs="Arial"/>
                <w:b/>
                <w:color w:val="000000" w:themeColor="text1"/>
                <w:sz w:val="16"/>
              </w:rPr>
              <w:t>8</w:t>
            </w: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2.60pt"/>
              <w:rPr>
                <w:rFonts w:ascii="Century Gothic" w:hAnsi="Century Gothic" w:cs="Arial"/>
                <w:color w:val="000000" w:themeColor="text1"/>
                <w:sz w:val="16"/>
              </w:rPr>
            </w:pPr>
            <w:r>
              <w:rPr>
                <w:rFonts w:ascii="Century Gothic" w:hAnsi="Century Gothic" w:cs="Arial"/>
                <w:color w:val="000000" w:themeColor="text1"/>
                <w:spacing w:val="-1"/>
                <w:sz w:val="16"/>
              </w:rPr>
              <w:t>137</w:t>
            </w:r>
            <w:r>
              <w:rPr>
                <w:rFonts w:ascii="Century Gothic" w:hAnsi="Century Gothic" w:cs="Arial"/>
                <w:color w:val="000000" w:themeColor="text1"/>
                <w:spacing w:val="1"/>
                <w:sz w:val="16"/>
              </w:rPr>
              <w:t>,</w:t>
            </w:r>
            <w:r>
              <w:rPr>
                <w:rFonts w:ascii="Century Gothic" w:hAnsi="Century Gothic" w:cs="Arial"/>
                <w:color w:val="000000" w:themeColor="text1"/>
                <w:spacing w:val="-1"/>
                <w:sz w:val="16"/>
              </w:rPr>
              <w:t>999</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2232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–44</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–41</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–42</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–44</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–49</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–56</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–67</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tcBorders>
              <w:top w:val="single" w:sz="4" w:space="0" w:color="000000"/>
              <w:start w:val="single" w:sz="4" w:space="0" w:color="000000"/>
              <w:bottom w:val="single" w:sz="4" w:space="0" w:color="E6E6E6"/>
              <w:end w:val="single" w:sz="4" w:space="0" w:color="000000"/>
            </w:tcBorders>
            <w:shd w:val="clear" w:color="auto" w:fill="E6E6E6"/>
          </w:tcPr>
          <w:p w:rsidR="00655060" w:rsidRPr="00611019" w:rsidRDefault="00E56462" w:rsidP="00035D2C">
            <w:pPr>
              <w:keepNext/>
              <w:spacing w:before="3pt" w:after="3pt"/>
              <w:ind w:start="6.40pt"/>
              <w:jc w:val="center"/>
              <w:rPr>
                <w:rFonts w:ascii="Century Gothic" w:hAnsi="Century Gothic" w:cs="Arial"/>
                <w:color w:val="000000" w:themeColor="text1"/>
                <w:sz w:val="16"/>
              </w:rPr>
            </w:pPr>
            <w:r>
              <w:rPr>
                <w:rFonts w:ascii="Century Gothic" w:hAnsi="Century Gothic" w:cs="Arial"/>
                <w:b/>
                <w:color w:val="000000" w:themeColor="text1"/>
                <w:sz w:val="16"/>
              </w:rPr>
              <w:t>9</w:t>
            </w:r>
          </w:p>
        </w:tc>
        <w:tc>
          <w:tcPr>
            <w:tcW w:w="18.6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keepNext/>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keepNext/>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keepNext/>
              <w:spacing w:before="3pt" w:after="3pt"/>
              <w:ind w:start="2.60pt"/>
              <w:rPr>
                <w:rFonts w:ascii="Century Gothic" w:hAnsi="Century Gothic" w:cs="Arial"/>
                <w:color w:val="000000" w:themeColor="text1"/>
                <w:sz w:val="16"/>
              </w:rPr>
            </w:pPr>
            <w:r>
              <w:rPr>
                <w:rFonts w:ascii="Century Gothic" w:hAnsi="Century Gothic" w:cs="Arial"/>
                <w:color w:val="000000" w:themeColor="text1"/>
                <w:spacing w:val="-1"/>
                <w:sz w:val="16"/>
              </w:rPr>
              <w:t>137</w:t>
            </w:r>
            <w:r>
              <w:rPr>
                <w:rFonts w:ascii="Century Gothic" w:hAnsi="Century Gothic" w:cs="Arial"/>
                <w:color w:val="000000" w:themeColor="text1"/>
                <w:spacing w:val="1"/>
                <w:sz w:val="16"/>
              </w:rPr>
              <w:t>,</w:t>
            </w:r>
            <w:r>
              <w:rPr>
                <w:rFonts w:ascii="Century Gothic" w:hAnsi="Century Gothic" w:cs="Arial"/>
                <w:color w:val="000000" w:themeColor="text1"/>
                <w:spacing w:val="-1"/>
                <w:sz w:val="16"/>
              </w:rPr>
              <w:t>999</w:t>
            </w:r>
          </w:p>
        </w:tc>
        <w:tc>
          <w:tcPr>
            <w:tcW w:w="28.85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keepNext/>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keepNext/>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keepNext/>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keepNext/>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keepNext/>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keepNext/>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keepNext/>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keepNext/>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keepNext/>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keepNext/>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2235</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keepNext/>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keepNext/>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tcBorders>
              <w:top w:val="single" w:sz="4" w:space="0" w:color="E6E6E6"/>
              <w:start w:val="single" w:sz="4" w:space="0" w:color="000000"/>
              <w:bottom w:val="single" w:sz="4" w:space="0" w:color="000000"/>
              <w:end w:val="single" w:sz="4" w:space="0" w:color="000000"/>
            </w:tcBorders>
            <w:shd w:val="clear" w:color="auto" w:fill="E6E6E6"/>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–44</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85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–41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9.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–43</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–45</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–47</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–49</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–51</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–58</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–65</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–69</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top w:val="single" w:sz="4" w:space="0" w:color="000000"/>
              <w:start w:val="single" w:sz="4" w:space="0" w:color="000000"/>
              <w:end w:val="single" w:sz="4" w:space="0" w:color="000000"/>
            </w:tcBorders>
          </w:tcPr>
          <w:p w:rsidR="00655060" w:rsidRPr="00611019" w:rsidRDefault="00E56462" w:rsidP="00035D2C">
            <w:pPr>
              <w:spacing w:before="3pt" w:after="3pt"/>
              <w:ind w:start="5.85pt"/>
              <w:rPr>
                <w:rFonts w:ascii="Century Gothic" w:hAnsi="Century Gothic" w:cs="Arial"/>
                <w:color w:val="000000" w:themeColor="text1"/>
                <w:sz w:val="16"/>
              </w:rPr>
            </w:pPr>
            <w:r>
              <w:rPr>
                <w:rFonts w:ascii="Century Gothic" w:hAnsi="Century Gothic" w:cs="Arial"/>
                <w:b/>
                <w:color w:val="000000" w:themeColor="text1"/>
                <w:spacing w:val="-1"/>
                <w:sz w:val="16"/>
              </w:rPr>
              <w:t>10</w:t>
            </w: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2.60pt"/>
              <w:rPr>
                <w:rFonts w:ascii="Century Gothic" w:hAnsi="Century Gothic" w:cs="Arial"/>
                <w:color w:val="000000" w:themeColor="text1"/>
                <w:sz w:val="16"/>
              </w:rPr>
            </w:pPr>
            <w:r>
              <w:rPr>
                <w:rFonts w:ascii="Century Gothic" w:hAnsi="Century Gothic" w:cs="Arial"/>
                <w:color w:val="000000" w:themeColor="text1"/>
                <w:spacing w:val="-1"/>
                <w:sz w:val="16"/>
              </w:rPr>
              <w:t>137</w:t>
            </w:r>
            <w:r>
              <w:rPr>
                <w:rFonts w:ascii="Century Gothic" w:hAnsi="Century Gothic" w:cs="Arial"/>
                <w:color w:val="000000" w:themeColor="text1"/>
                <w:spacing w:val="1"/>
                <w:sz w:val="16"/>
              </w:rPr>
              <w:t>,</w:t>
            </w:r>
            <w:r>
              <w:rPr>
                <w:rFonts w:ascii="Century Gothic" w:hAnsi="Century Gothic" w:cs="Arial"/>
                <w:color w:val="000000" w:themeColor="text1"/>
                <w:spacing w:val="-1"/>
                <w:sz w:val="16"/>
              </w:rPr>
              <w:t>999</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2239</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–44</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–42</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–44</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–51</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–53</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–60</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–67</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tcBorders>
              <w:top w:val="single" w:sz="4" w:space="0" w:color="000000"/>
              <w:start w:val="single" w:sz="4" w:space="0" w:color="000000"/>
              <w:bottom w:val="single" w:sz="4" w:space="0" w:color="E6E6E6"/>
              <w:end w:val="single" w:sz="4" w:space="0" w:color="000000"/>
            </w:tcBorders>
            <w:shd w:val="clear" w:color="auto" w:fill="E6E6E6"/>
          </w:tcPr>
          <w:p w:rsidR="00655060" w:rsidRPr="00611019" w:rsidRDefault="00E56462" w:rsidP="00035D2C">
            <w:pPr>
              <w:spacing w:before="3pt" w:after="3pt"/>
              <w:ind w:start="5.85pt"/>
              <w:rPr>
                <w:rFonts w:ascii="Century Gothic" w:hAnsi="Century Gothic" w:cs="Arial"/>
                <w:color w:val="000000" w:themeColor="text1"/>
                <w:sz w:val="16"/>
              </w:rPr>
            </w:pPr>
            <w:r>
              <w:rPr>
                <w:rFonts w:ascii="Century Gothic" w:hAnsi="Century Gothic" w:cs="Arial"/>
                <w:b/>
                <w:color w:val="000000" w:themeColor="text1"/>
                <w:spacing w:val="-1"/>
                <w:sz w:val="16"/>
              </w:rPr>
              <w:t>11</w:t>
            </w:r>
          </w:p>
        </w:tc>
        <w:tc>
          <w:tcPr>
            <w:tcW w:w="18.6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2.60pt"/>
              <w:rPr>
                <w:rFonts w:ascii="Century Gothic" w:hAnsi="Century Gothic" w:cs="Arial"/>
                <w:color w:val="000000" w:themeColor="text1"/>
                <w:sz w:val="16"/>
              </w:rPr>
            </w:pPr>
            <w:r>
              <w:rPr>
                <w:rFonts w:ascii="Century Gothic" w:hAnsi="Century Gothic" w:cs="Arial"/>
                <w:color w:val="000000" w:themeColor="text1"/>
                <w:spacing w:val="-1"/>
                <w:sz w:val="16"/>
              </w:rPr>
              <w:t>137</w:t>
            </w:r>
            <w:r>
              <w:rPr>
                <w:rFonts w:ascii="Century Gothic" w:hAnsi="Century Gothic" w:cs="Arial"/>
                <w:color w:val="000000" w:themeColor="text1"/>
                <w:spacing w:val="1"/>
                <w:sz w:val="16"/>
              </w:rPr>
              <w:t>,</w:t>
            </w:r>
            <w:r>
              <w:rPr>
                <w:rFonts w:ascii="Century Gothic" w:hAnsi="Century Gothic" w:cs="Arial"/>
                <w:color w:val="000000" w:themeColor="text1"/>
                <w:spacing w:val="-1"/>
                <w:sz w:val="16"/>
              </w:rPr>
              <w:t>999</w:t>
            </w:r>
          </w:p>
        </w:tc>
        <w:tc>
          <w:tcPr>
            <w:tcW w:w="28.85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2242</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tcBorders>
              <w:top w:val="single" w:sz="4" w:space="0" w:color="E6E6E6"/>
              <w:start w:val="single" w:sz="4" w:space="0" w:color="000000"/>
              <w:bottom w:val="single" w:sz="4" w:space="0" w:color="000000"/>
              <w:end w:val="single" w:sz="4" w:space="0" w:color="000000"/>
            </w:tcBorders>
            <w:shd w:val="clear" w:color="auto" w:fill="E6E6E6"/>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–44</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85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–42</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9.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–45</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–47</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–50</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–52</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–55</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–62</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–69</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–75</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top w:val="single" w:sz="4" w:space="0" w:color="000000"/>
              <w:start w:val="single" w:sz="4" w:space="0" w:color="000000"/>
              <w:end w:val="single" w:sz="4" w:space="0" w:color="000000"/>
            </w:tcBorders>
          </w:tcPr>
          <w:p w:rsidR="00655060" w:rsidRPr="00611019" w:rsidRDefault="00E56462" w:rsidP="00035D2C">
            <w:pPr>
              <w:keepNext/>
              <w:spacing w:before="3pt" w:after="3pt"/>
              <w:ind w:start="5.85pt"/>
              <w:rPr>
                <w:rFonts w:ascii="Century Gothic" w:hAnsi="Century Gothic" w:cs="Arial"/>
                <w:color w:val="000000" w:themeColor="text1"/>
                <w:sz w:val="16"/>
              </w:rPr>
            </w:pPr>
            <w:r>
              <w:rPr>
                <w:rFonts w:ascii="Century Gothic" w:hAnsi="Century Gothic" w:cs="Arial"/>
                <w:b/>
                <w:color w:val="000000" w:themeColor="text1"/>
                <w:spacing w:val="-1"/>
                <w:sz w:val="16"/>
              </w:rPr>
              <w:t>12</w:t>
            </w: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2.60pt"/>
              <w:rPr>
                <w:rFonts w:ascii="Century Gothic" w:hAnsi="Century Gothic" w:cs="Arial"/>
                <w:color w:val="000000" w:themeColor="text1"/>
                <w:sz w:val="16"/>
              </w:rPr>
            </w:pPr>
            <w:r>
              <w:rPr>
                <w:rFonts w:ascii="Century Gothic" w:hAnsi="Century Gothic" w:cs="Arial"/>
                <w:color w:val="000000" w:themeColor="text1"/>
                <w:spacing w:val="-1"/>
                <w:sz w:val="16"/>
              </w:rPr>
              <w:t>137</w:t>
            </w:r>
            <w:r>
              <w:rPr>
                <w:rFonts w:ascii="Century Gothic" w:hAnsi="Century Gothic" w:cs="Arial"/>
                <w:color w:val="000000" w:themeColor="text1"/>
                <w:spacing w:val="1"/>
                <w:sz w:val="16"/>
              </w:rPr>
              <w:t>,</w:t>
            </w:r>
            <w:r>
              <w:rPr>
                <w:rFonts w:ascii="Century Gothic" w:hAnsi="Century Gothic" w:cs="Arial"/>
                <w:color w:val="000000" w:themeColor="text1"/>
                <w:spacing w:val="-1"/>
                <w:sz w:val="16"/>
              </w:rPr>
              <w:t>999</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2246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–44</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–43</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–45</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–54</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–57</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–64</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–71</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–78</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tcBorders>
              <w:top w:val="single" w:sz="4" w:space="0" w:color="000000"/>
              <w:start w:val="single" w:sz="4" w:space="0" w:color="000000"/>
              <w:bottom w:val="single" w:sz="4" w:space="0" w:color="E6E6E6"/>
              <w:end w:val="single" w:sz="4" w:space="0" w:color="000000"/>
            </w:tcBorders>
            <w:shd w:val="clear" w:color="auto" w:fill="E6E6E6"/>
          </w:tcPr>
          <w:p w:rsidR="00655060" w:rsidRPr="00611019" w:rsidRDefault="00E56462" w:rsidP="00035D2C">
            <w:pPr>
              <w:spacing w:before="3pt" w:after="3pt"/>
              <w:ind w:start="5.85pt"/>
              <w:rPr>
                <w:rFonts w:ascii="Century Gothic" w:hAnsi="Century Gothic" w:cs="Arial"/>
                <w:color w:val="000000" w:themeColor="text1"/>
                <w:sz w:val="16"/>
              </w:rPr>
            </w:pPr>
            <w:r>
              <w:rPr>
                <w:rFonts w:ascii="Century Gothic" w:hAnsi="Century Gothic" w:cs="Arial"/>
                <w:b/>
                <w:color w:val="000000" w:themeColor="text1"/>
                <w:spacing w:val="-1"/>
                <w:sz w:val="16"/>
              </w:rPr>
              <w:t>13</w:t>
            </w:r>
          </w:p>
        </w:tc>
        <w:tc>
          <w:tcPr>
            <w:tcW w:w="18.6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2.60pt"/>
              <w:rPr>
                <w:rFonts w:ascii="Century Gothic" w:hAnsi="Century Gothic" w:cs="Arial"/>
                <w:color w:val="000000" w:themeColor="text1"/>
                <w:sz w:val="16"/>
              </w:rPr>
            </w:pPr>
            <w:r>
              <w:rPr>
                <w:rFonts w:ascii="Century Gothic" w:hAnsi="Century Gothic" w:cs="Arial"/>
                <w:color w:val="000000" w:themeColor="text1"/>
                <w:spacing w:val="-1"/>
                <w:sz w:val="16"/>
              </w:rPr>
              <w:t>137</w:t>
            </w:r>
            <w:r>
              <w:rPr>
                <w:rFonts w:ascii="Century Gothic" w:hAnsi="Century Gothic" w:cs="Arial"/>
                <w:color w:val="000000" w:themeColor="text1"/>
                <w:spacing w:val="1"/>
                <w:sz w:val="16"/>
              </w:rPr>
              <w:t>,</w:t>
            </w:r>
            <w:r>
              <w:rPr>
                <w:rFonts w:ascii="Century Gothic" w:hAnsi="Century Gothic" w:cs="Arial"/>
                <w:color w:val="000000" w:themeColor="text1"/>
                <w:spacing w:val="-1"/>
                <w:sz w:val="16"/>
              </w:rPr>
              <w:t>999</w:t>
            </w:r>
          </w:p>
        </w:tc>
        <w:tc>
          <w:tcPr>
            <w:tcW w:w="28.85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2198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2248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tcBorders>
              <w:top w:val="single" w:sz="4" w:space="0" w:color="E6E6E6"/>
              <w:start w:val="single" w:sz="4" w:space="0" w:color="000000"/>
              <w:bottom w:val="single" w:sz="4" w:space="0" w:color="000000"/>
              <w:end w:val="single" w:sz="4" w:space="0" w:color="000000"/>
            </w:tcBorders>
            <w:shd w:val="clear" w:color="auto" w:fill="E6E6E6"/>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–44</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85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–44</w:t>
            </w:r>
          </w:p>
        </w:tc>
        <w:tc>
          <w:tcPr>
            <w:tcW w:w="29.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–49</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–52</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–56</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–58</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–66</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–74</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–80</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top w:val="single" w:sz="4" w:space="0" w:color="000000"/>
              <w:start w:val="single" w:sz="4" w:space="0" w:color="000000"/>
              <w:end w:val="single" w:sz="4" w:space="0" w:color="000000"/>
            </w:tcBorders>
          </w:tcPr>
          <w:p w:rsidR="00655060" w:rsidRPr="00611019" w:rsidRDefault="00E56462" w:rsidP="00035D2C">
            <w:pPr>
              <w:spacing w:before="3pt" w:after="3pt"/>
              <w:ind w:start="5.85pt"/>
              <w:rPr>
                <w:rFonts w:ascii="Century Gothic" w:hAnsi="Century Gothic" w:cs="Arial"/>
                <w:color w:val="000000" w:themeColor="text1"/>
                <w:sz w:val="16"/>
              </w:rPr>
            </w:pPr>
            <w:r>
              <w:rPr>
                <w:rFonts w:ascii="Century Gothic" w:hAnsi="Century Gothic" w:cs="Arial"/>
                <w:b/>
                <w:color w:val="000000" w:themeColor="text1"/>
                <w:spacing w:val="-1"/>
                <w:sz w:val="16"/>
              </w:rPr>
              <w:t>14</w:t>
            </w: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137</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2162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2248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–44</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–47</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–50</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–54</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–57</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–60</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–68</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–76</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–82</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tcBorders>
              <w:top w:val="single" w:sz="4" w:space="0" w:color="000000"/>
              <w:start w:val="single" w:sz="4" w:space="0" w:color="000000"/>
              <w:bottom w:val="single" w:sz="4" w:space="0" w:color="E6E6E6"/>
              <w:end w:val="single" w:sz="4" w:space="0" w:color="000000"/>
            </w:tcBorders>
            <w:shd w:val="clear" w:color="auto" w:fill="E6E6E6"/>
          </w:tcPr>
          <w:p w:rsidR="00655060" w:rsidRPr="00611019" w:rsidRDefault="00E56462" w:rsidP="00035D2C">
            <w:pPr>
              <w:spacing w:before="3pt" w:after="3pt"/>
              <w:ind w:start="5.85pt"/>
              <w:rPr>
                <w:rFonts w:ascii="Century Gothic" w:hAnsi="Century Gothic" w:cs="Arial"/>
                <w:color w:val="000000" w:themeColor="text1"/>
                <w:sz w:val="16"/>
              </w:rPr>
            </w:pPr>
            <w:r>
              <w:rPr>
                <w:rFonts w:ascii="Century Gothic" w:hAnsi="Century Gothic" w:cs="Arial"/>
                <w:b/>
                <w:color w:val="000000" w:themeColor="text1"/>
                <w:spacing w:val="-1"/>
                <w:sz w:val="16"/>
              </w:rPr>
              <w:t>15</w:t>
            </w:r>
          </w:p>
        </w:tc>
        <w:tc>
          <w:tcPr>
            <w:tcW w:w="18.6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136</w:t>
            </w:r>
          </w:p>
        </w:tc>
        <w:tc>
          <w:tcPr>
            <w:tcW w:w="28.85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2129</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2248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tcBorders>
              <w:top w:val="single" w:sz="4" w:space="0" w:color="E6E6E6"/>
              <w:start w:val="single" w:sz="4" w:space="0" w:color="000000"/>
              <w:bottom w:val="single" w:sz="4" w:space="0" w:color="000000"/>
              <w:end w:val="single" w:sz="4" w:space="0" w:color="000000"/>
            </w:tcBorders>
            <w:shd w:val="clear" w:color="auto" w:fill="E6E6E6"/>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–45</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85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–45</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9.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–51</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–55</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–59</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–70</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–78</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–85</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top w:val="single" w:sz="4" w:space="0" w:color="000000"/>
              <w:start w:val="single" w:sz="4" w:space="0" w:color="000000"/>
              <w:end w:val="single" w:sz="4" w:space="0" w:color="000000"/>
            </w:tcBorders>
          </w:tcPr>
          <w:p w:rsidR="00655060" w:rsidRPr="00611019" w:rsidRDefault="00E56462" w:rsidP="00035D2C">
            <w:pPr>
              <w:spacing w:before="3pt" w:after="3pt"/>
              <w:ind w:start="5.85pt"/>
              <w:rPr>
                <w:rFonts w:ascii="Century Gothic" w:hAnsi="Century Gothic" w:cs="Arial"/>
                <w:color w:val="000000" w:themeColor="text1"/>
                <w:sz w:val="16"/>
              </w:rPr>
            </w:pPr>
            <w:r>
              <w:rPr>
                <w:rFonts w:ascii="Century Gothic" w:hAnsi="Century Gothic" w:cs="Arial"/>
                <w:b/>
                <w:color w:val="000000" w:themeColor="text1"/>
                <w:spacing w:val="-1"/>
                <w:sz w:val="16"/>
              </w:rPr>
              <w:t>16</w:t>
            </w: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134</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2097</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2248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–45</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–45</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–49</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–52</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–56</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–60</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–64</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–80</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–87</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tcBorders>
              <w:top w:val="single" w:sz="4" w:space="0" w:color="000000"/>
              <w:start w:val="single" w:sz="4" w:space="0" w:color="000000"/>
              <w:bottom w:val="single" w:sz="4" w:space="0" w:color="E6E6E6"/>
              <w:end w:val="single" w:sz="4" w:space="0" w:color="000000"/>
            </w:tcBorders>
            <w:shd w:val="clear" w:color="auto" w:fill="E6E6E6"/>
          </w:tcPr>
          <w:p w:rsidR="00655060" w:rsidRPr="00611019" w:rsidRDefault="00E56462" w:rsidP="00035D2C">
            <w:pPr>
              <w:spacing w:before="3pt" w:after="3pt"/>
              <w:ind w:start="5.85pt"/>
              <w:rPr>
                <w:rFonts w:ascii="Century Gothic" w:hAnsi="Century Gothic" w:cs="Arial"/>
                <w:color w:val="000000" w:themeColor="text1"/>
                <w:sz w:val="16"/>
              </w:rPr>
            </w:pPr>
            <w:r>
              <w:rPr>
                <w:rFonts w:ascii="Century Gothic" w:hAnsi="Century Gothic" w:cs="Arial"/>
                <w:b/>
                <w:color w:val="000000" w:themeColor="text1"/>
                <w:spacing w:val="-1"/>
                <w:sz w:val="16"/>
              </w:rPr>
              <w:t>17</w:t>
            </w:r>
          </w:p>
        </w:tc>
        <w:tc>
          <w:tcPr>
            <w:tcW w:w="18.6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133</w:t>
            </w:r>
          </w:p>
        </w:tc>
        <w:tc>
          <w:tcPr>
            <w:tcW w:w="28.85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2067</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2248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tcBorders>
              <w:top w:val="single" w:sz="4" w:space="0" w:color="E6E6E6"/>
              <w:start w:val="single" w:sz="4" w:space="0" w:color="000000"/>
              <w:bottom w:val="single" w:sz="4" w:space="0" w:color="000000"/>
              <w:end w:val="single" w:sz="4" w:space="0" w:color="000000"/>
            </w:tcBorders>
            <w:shd w:val="clear" w:color="auto" w:fill="E6E6E6"/>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85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9.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–49</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–53</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–57</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–62</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–65</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–74</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–82</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–89</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top w:val="single" w:sz="4" w:space="0" w:color="000000"/>
              <w:start w:val="single" w:sz="4" w:space="0" w:color="000000"/>
              <w:end w:val="single" w:sz="4" w:space="0" w:color="000000"/>
            </w:tcBorders>
          </w:tcPr>
          <w:p w:rsidR="00655060" w:rsidRPr="00611019" w:rsidRDefault="00E56462" w:rsidP="00035D2C">
            <w:pPr>
              <w:spacing w:before="3pt" w:after="3pt"/>
              <w:ind w:start="5.85pt"/>
              <w:rPr>
                <w:rFonts w:ascii="Century Gothic" w:hAnsi="Century Gothic" w:cs="Arial"/>
                <w:color w:val="000000" w:themeColor="text1"/>
                <w:sz w:val="16"/>
              </w:rPr>
            </w:pPr>
            <w:r>
              <w:rPr>
                <w:rFonts w:ascii="Century Gothic" w:hAnsi="Century Gothic" w:cs="Arial"/>
                <w:b/>
                <w:color w:val="000000" w:themeColor="text1"/>
                <w:spacing w:val="-1"/>
                <w:sz w:val="16"/>
              </w:rPr>
              <w:t>18</w:t>
            </w: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131</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2039</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2248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–50</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–54</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–59</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–63</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–67</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–76</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–84</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tcBorders>
              <w:top w:val="single" w:sz="4" w:space="0" w:color="000000"/>
              <w:start w:val="single" w:sz="4" w:space="0" w:color="000000"/>
              <w:bottom w:val="single" w:sz="4" w:space="0" w:color="E6E6E6"/>
              <w:end w:val="single" w:sz="4" w:space="0" w:color="000000"/>
            </w:tcBorders>
            <w:shd w:val="clear" w:color="auto" w:fill="E6E6E6"/>
          </w:tcPr>
          <w:p w:rsidR="00655060" w:rsidRPr="00611019" w:rsidRDefault="00E56462" w:rsidP="00035D2C">
            <w:pPr>
              <w:spacing w:before="3pt" w:after="3pt"/>
              <w:ind w:start="5.85pt"/>
              <w:rPr>
                <w:rFonts w:ascii="Century Gothic" w:hAnsi="Century Gothic" w:cs="Arial"/>
                <w:color w:val="000000" w:themeColor="text1"/>
                <w:sz w:val="16"/>
              </w:rPr>
            </w:pPr>
            <w:r>
              <w:rPr>
                <w:rFonts w:ascii="Century Gothic" w:hAnsi="Century Gothic" w:cs="Arial"/>
                <w:b/>
                <w:color w:val="000000" w:themeColor="text1"/>
                <w:spacing w:val="-1"/>
                <w:sz w:val="16"/>
              </w:rPr>
              <w:t>19</w:t>
            </w:r>
          </w:p>
        </w:tc>
        <w:tc>
          <w:tcPr>
            <w:tcW w:w="18.6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130</w:t>
            </w:r>
          </w:p>
        </w:tc>
        <w:tc>
          <w:tcPr>
            <w:tcW w:w="28.85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1350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1912</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2033</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2248</w:t>
            </w:r>
          </w:p>
        </w:tc>
      </w:tr>
      <w:tr w:rsidR="0061711D" w:rsidTr="00BD3372">
        <w:trPr>
          <w:trHeight w:val="20"/>
          <w:jc w:val="center"/>
        </w:trPr>
        <w:tc>
          <w:tcPr>
            <w:tcW w:w="25.10pt" w:type="dxa"/>
            <w:tcBorders>
              <w:top w:val="single" w:sz="4" w:space="0" w:color="E6E6E6"/>
              <w:start w:val="single" w:sz="4" w:space="0" w:color="000000"/>
              <w:bottom w:val="single" w:sz="4" w:space="0" w:color="auto"/>
              <w:end w:val="single" w:sz="4" w:space="0" w:color="000000"/>
            </w:tcBorders>
            <w:shd w:val="clear" w:color="auto" w:fill="E6E6E6"/>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–47</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85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–47</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9.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–51</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–55</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–60</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–64</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–69</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–78</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–86</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shd w:val="clear" w:color="auto" w:fill="E6E6E6"/>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r>
      <w:tr w:rsidR="0061711D" w:rsidTr="00BD3372">
        <w:trPr>
          <w:trHeight w:val="20"/>
          <w:jc w:val="center"/>
        </w:trPr>
        <w:tc>
          <w:tcPr>
            <w:tcW w:w="25.10pt" w:type="dxa"/>
            <w:vMerge w:val="restart"/>
            <w:tcBorders>
              <w:top w:val="single" w:sz="4" w:space="0" w:color="auto"/>
              <w:start w:val="single" w:sz="4" w:space="0" w:color="auto"/>
              <w:bottom w:val="single" w:sz="4" w:space="0" w:color="auto"/>
              <w:end w:val="single" w:sz="4" w:space="0" w:color="auto"/>
            </w:tcBorders>
          </w:tcPr>
          <w:p w:rsidR="00655060" w:rsidRPr="00611019" w:rsidRDefault="00E56462" w:rsidP="00035D2C">
            <w:pPr>
              <w:spacing w:before="3pt" w:after="3pt"/>
              <w:ind w:start="5.85pt"/>
              <w:rPr>
                <w:rFonts w:ascii="Century Gothic" w:hAnsi="Century Gothic" w:cs="Arial"/>
                <w:color w:val="000000" w:themeColor="text1"/>
                <w:sz w:val="16"/>
              </w:rPr>
            </w:pPr>
            <w:r>
              <w:rPr>
                <w:rFonts w:ascii="Century Gothic" w:hAnsi="Century Gothic" w:cs="Arial"/>
                <w:b/>
                <w:color w:val="000000" w:themeColor="text1"/>
                <w:spacing w:val="-1"/>
                <w:sz w:val="16"/>
              </w:rPr>
              <w:t>20</w:t>
            </w:r>
          </w:p>
        </w:tc>
        <w:tc>
          <w:tcPr>
            <w:tcW w:w="18.60pt" w:type="dxa"/>
            <w:tcBorders>
              <w:top w:val="single" w:sz="4" w:space="0" w:color="000000"/>
              <w:start w:val="single" w:sz="4" w:space="0" w:color="auto"/>
              <w:bottom w:val="single" w:sz="4" w:space="0" w:color="000000"/>
              <w:end w:val="single" w:sz="4" w:space="0" w:color="000000"/>
            </w:tcBorders>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129</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1782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2033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2248</w:t>
            </w:r>
          </w:p>
        </w:tc>
      </w:tr>
      <w:tr w:rsidR="0061711D" w:rsidTr="00BD3372">
        <w:trPr>
          <w:trHeight w:val="20"/>
          <w:jc w:val="center"/>
        </w:trPr>
        <w:tc>
          <w:tcPr>
            <w:tcW w:w="25.10pt" w:type="dxa"/>
            <w:vMerge/>
            <w:tcBorders>
              <w:top w:val="single" w:sz="4" w:space="0" w:color="auto"/>
              <w:start w:val="single" w:sz="4" w:space="0" w:color="auto"/>
              <w:bottom w:val="single" w:sz="4" w:space="0" w:color="auto"/>
              <w:end w:val="single" w:sz="4" w:space="0" w:color="auto"/>
            </w:tcBorders>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auto"/>
              <w:bottom w:val="single" w:sz="4" w:space="0" w:color="000000"/>
              <w:end w:val="single" w:sz="4" w:space="0" w:color="000000"/>
            </w:tcBorders>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–47</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–47</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–52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–56</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–61</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–66</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–70</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–79</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–88</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r>
      <w:tr w:rsidR="0061711D" w:rsidTr="00BD3372">
        <w:trPr>
          <w:trHeight w:val="20"/>
          <w:jc w:val="center"/>
        </w:trPr>
        <w:tc>
          <w:tcPr>
            <w:tcW w:w="25.10pt" w:type="dxa"/>
            <w:vMerge w:val="restart"/>
            <w:tcBorders>
              <w:top w:val="single" w:sz="4" w:space="0" w:color="auto"/>
              <w:start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30pt"/>
              <w:rPr>
                <w:rFonts w:ascii="Century Gothic" w:hAnsi="Century Gothic" w:cs="Arial"/>
                <w:color w:val="000000" w:themeColor="text1"/>
                <w:sz w:val="16"/>
              </w:rPr>
            </w:pPr>
            <w:r>
              <w:rPr>
                <w:rFonts w:ascii="Century Gothic" w:hAnsi="Century Gothic" w:cs="Arial"/>
                <w:b/>
                <w:color w:val="000000" w:themeColor="text1"/>
                <w:spacing w:val="-1"/>
                <w:sz w:val="16"/>
              </w:rPr>
              <w:t>21</w:t>
            </w:r>
          </w:p>
        </w:tc>
        <w:tc>
          <w:tcPr>
            <w:tcW w:w="18.6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127</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1673</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2033</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2248</w:t>
            </w:r>
          </w:p>
        </w:tc>
      </w:tr>
      <w:tr w:rsidR="0061711D" w:rsidTr="00BD3372">
        <w:trPr>
          <w:trHeight w:val="20"/>
          <w:jc w:val="center"/>
        </w:trPr>
        <w:tc>
          <w:tcPr>
            <w:tcW w:w="25.10pt" w:type="dxa"/>
            <w:vMerge/>
            <w:tcBorders>
              <w:start w:val="single" w:sz="4" w:space="0" w:color="000000"/>
              <w:bottom w:val="single" w:sz="4" w:space="0" w:color="auto"/>
              <w:end w:val="single" w:sz="4" w:space="0" w:color="000000"/>
            </w:tcBorders>
            <w:shd w:val="clear" w:color="auto" w:fill="D9D9D9" w:themeFill="background1" w:themeFillShade="D9"/>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–52</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–57</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–62</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–67</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–90</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r>
      <w:tr w:rsidR="0061711D" w:rsidTr="00BD3372">
        <w:trPr>
          <w:trHeight w:val="20"/>
          <w:jc w:val="center"/>
        </w:trPr>
        <w:tc>
          <w:tcPr>
            <w:tcW w:w="25.10pt" w:type="dxa"/>
            <w:vMerge w:val="restart"/>
            <w:tcBorders>
              <w:top w:val="single" w:sz="4" w:space="0" w:color="auto"/>
              <w:start w:val="single" w:sz="4" w:space="0" w:color="auto"/>
              <w:end w:val="single" w:sz="4" w:space="0" w:color="auto"/>
            </w:tcBorders>
          </w:tcPr>
          <w:p w:rsidR="00655060" w:rsidRPr="00611019" w:rsidRDefault="00E56462" w:rsidP="00035D2C">
            <w:pPr>
              <w:spacing w:before="3pt" w:after="3pt"/>
              <w:ind w:start="5.30pt"/>
              <w:rPr>
                <w:rFonts w:ascii="Century Gothic" w:hAnsi="Century Gothic" w:cs="Arial"/>
                <w:color w:val="000000" w:themeColor="text1"/>
                <w:sz w:val="16"/>
              </w:rPr>
            </w:pPr>
            <w:r>
              <w:rPr>
                <w:rFonts w:ascii="Century Gothic" w:hAnsi="Century Gothic" w:cs="Arial"/>
                <w:b/>
                <w:color w:val="000000" w:themeColor="text1"/>
                <w:spacing w:val="-1"/>
                <w:sz w:val="16"/>
              </w:rPr>
              <w:t>22</w:t>
            </w:r>
          </w:p>
        </w:tc>
        <w:tc>
          <w:tcPr>
            <w:tcW w:w="18.60pt" w:type="dxa"/>
            <w:tcBorders>
              <w:top w:val="single" w:sz="4" w:space="0" w:color="000000"/>
              <w:start w:val="single" w:sz="4" w:space="0" w:color="auto"/>
              <w:bottom w:val="single" w:sz="4" w:space="0" w:color="000000"/>
              <w:end w:val="single" w:sz="4" w:space="0" w:color="000000"/>
            </w:tcBorders>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126</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1594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2033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2248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auto"/>
              <w:bottom w:val="single" w:sz="4" w:space="0" w:color="000000"/>
              <w:end w:val="single" w:sz="4" w:space="0" w:color="auto"/>
            </w:tcBorders>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auto"/>
              <w:bottom w:val="single" w:sz="4" w:space="0" w:color="000000"/>
              <w:end w:val="single" w:sz="4" w:space="0" w:color="000000"/>
            </w:tcBorders>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–53</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–58</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–63</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–68</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–73</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–83</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start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30pt"/>
              <w:rPr>
                <w:rFonts w:ascii="Century Gothic" w:hAnsi="Century Gothic" w:cs="Arial"/>
                <w:color w:val="000000" w:themeColor="text1"/>
                <w:sz w:val="16"/>
              </w:rPr>
            </w:pPr>
            <w:r>
              <w:rPr>
                <w:rFonts w:ascii="Century Gothic" w:hAnsi="Century Gothic" w:cs="Arial"/>
                <w:b/>
                <w:color w:val="000000" w:themeColor="text1"/>
                <w:spacing w:val="-1"/>
                <w:sz w:val="16"/>
              </w:rPr>
              <w:t>23</w:t>
            </w:r>
          </w:p>
        </w:tc>
        <w:tc>
          <w:tcPr>
            <w:tcW w:w="18.6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125</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1540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2033</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2248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shd w:val="clear" w:color="auto" w:fill="D9D9D9" w:themeFill="background1" w:themeFillShade="D9"/>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–49</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–49</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–54</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–59</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–64</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–70</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–75</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–84</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start w:val="single" w:sz="4" w:space="0" w:color="000000"/>
              <w:end w:val="single" w:sz="4" w:space="0" w:color="000000"/>
            </w:tcBorders>
          </w:tcPr>
          <w:p w:rsidR="00655060" w:rsidRPr="00611019" w:rsidRDefault="00E56462" w:rsidP="00035D2C">
            <w:pPr>
              <w:spacing w:before="3pt" w:after="3pt"/>
              <w:ind w:start="5.30pt"/>
              <w:rPr>
                <w:rFonts w:ascii="Century Gothic" w:hAnsi="Century Gothic" w:cs="Arial"/>
                <w:color w:val="000000" w:themeColor="text1"/>
                <w:sz w:val="16"/>
              </w:rPr>
            </w:pPr>
            <w:r>
              <w:rPr>
                <w:rFonts w:ascii="Century Gothic" w:hAnsi="Century Gothic" w:cs="Arial"/>
                <w:b/>
                <w:color w:val="000000" w:themeColor="text1"/>
                <w:spacing w:val="-1"/>
                <w:sz w:val="16"/>
              </w:rPr>
              <w:t>24</w:t>
            </w: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124</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1491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2031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2206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2246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–49</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–49</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–54</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–65</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–71</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–86</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–48</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start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30pt"/>
              <w:rPr>
                <w:rFonts w:ascii="Century Gothic" w:hAnsi="Century Gothic" w:cs="Arial"/>
                <w:color w:val="000000" w:themeColor="text1"/>
                <w:sz w:val="16"/>
              </w:rPr>
            </w:pPr>
            <w:r>
              <w:rPr>
                <w:rFonts w:ascii="Century Gothic" w:hAnsi="Century Gothic" w:cs="Arial"/>
                <w:b/>
                <w:color w:val="000000" w:themeColor="text1"/>
                <w:spacing w:val="-1"/>
                <w:sz w:val="16"/>
              </w:rPr>
              <w:t>25</w:t>
            </w:r>
          </w:p>
        </w:tc>
        <w:tc>
          <w:tcPr>
            <w:tcW w:w="18.6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123</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1447</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1911</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2086</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2126</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shd w:val="clear" w:color="auto" w:fill="D9D9D9" w:themeFill="background1" w:themeFillShade="D9"/>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–50</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–50</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–55</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–60</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–77</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–87</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–47</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–48</w:t>
            </w:r>
          </w:p>
        </w:tc>
      </w:tr>
      <w:tr w:rsidR="0061711D" w:rsidTr="00BD3372">
        <w:trPr>
          <w:trHeight w:val="20"/>
          <w:jc w:val="center"/>
        </w:trPr>
        <w:tc>
          <w:tcPr>
            <w:tcW w:w="25.10pt" w:type="dxa"/>
            <w:vMerge w:val="restart"/>
            <w:tcBorders>
              <w:start w:val="single" w:sz="4" w:space="0" w:color="000000"/>
              <w:end w:val="single" w:sz="4" w:space="0" w:color="000000"/>
            </w:tcBorders>
          </w:tcPr>
          <w:p w:rsidR="00655060" w:rsidRPr="00611019" w:rsidRDefault="00E56462" w:rsidP="00035D2C">
            <w:pPr>
              <w:spacing w:before="3pt" w:after="3pt"/>
              <w:ind w:start="5.30pt"/>
              <w:rPr>
                <w:rFonts w:ascii="Century Gothic" w:hAnsi="Century Gothic" w:cs="Arial"/>
                <w:color w:val="000000" w:themeColor="text1"/>
                <w:sz w:val="16"/>
              </w:rPr>
            </w:pPr>
            <w:r>
              <w:rPr>
                <w:rFonts w:ascii="Century Gothic" w:hAnsi="Century Gothic" w:cs="Arial"/>
                <w:b/>
                <w:color w:val="000000" w:themeColor="text1"/>
                <w:spacing w:val="-1"/>
                <w:sz w:val="16"/>
              </w:rPr>
              <w:t>26</w:t>
            </w: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122</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1406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1807</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1982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2022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–50</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–50</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–55</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–61</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–67</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–73</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–79</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–89</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–47</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–48</w:t>
            </w:r>
          </w:p>
        </w:tc>
      </w:tr>
      <w:tr w:rsidR="0061711D" w:rsidTr="00BD3372">
        <w:trPr>
          <w:trHeight w:val="20"/>
          <w:jc w:val="center"/>
        </w:trPr>
        <w:tc>
          <w:tcPr>
            <w:tcW w:w="25.10pt" w:type="dxa"/>
            <w:vMerge w:val="restart"/>
            <w:tcBorders>
              <w:start w:val="single" w:sz="4" w:space="0" w:color="000000"/>
              <w:end w:val="single" w:sz="4" w:space="0" w:color="000000"/>
            </w:tcBorders>
            <w:shd w:val="clear" w:color="auto" w:fill="D9D9D9" w:themeFill="background1" w:themeFillShade="D9"/>
          </w:tcPr>
          <w:p w:rsidR="00655060" w:rsidRPr="00611019" w:rsidRDefault="00E56462" w:rsidP="00035D2C">
            <w:pPr>
              <w:keepNext/>
              <w:spacing w:before="3pt" w:after="3pt"/>
              <w:ind w:start="5.30pt"/>
              <w:rPr>
                <w:rFonts w:ascii="Century Gothic" w:hAnsi="Century Gothic" w:cs="Arial"/>
                <w:color w:val="000000" w:themeColor="text1"/>
                <w:sz w:val="16"/>
              </w:rPr>
            </w:pPr>
            <w:r>
              <w:rPr>
                <w:rFonts w:ascii="Century Gothic" w:hAnsi="Century Gothic" w:cs="Arial"/>
                <w:b/>
                <w:color w:val="000000" w:themeColor="text1"/>
                <w:spacing w:val="-1"/>
                <w:sz w:val="16"/>
              </w:rPr>
              <w:t>27</w:t>
            </w:r>
          </w:p>
        </w:tc>
        <w:tc>
          <w:tcPr>
            <w:tcW w:w="18.6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keepNext/>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keepNext/>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keepNext/>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121</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keepNext/>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keepNext/>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keepNext/>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keepNext/>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keepNext/>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keepNext/>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keepNext/>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1369</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keepNext/>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1693</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keepNext/>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1868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keepNext/>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1908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keepNext/>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keepNext/>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shd w:val="clear" w:color="auto" w:fill="D9D9D9" w:themeFill="background1" w:themeFillShade="D9"/>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–51</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–51</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–56</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–62</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–68</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–74</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–80</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–47</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start w:val="single" w:sz="4" w:space="0" w:color="000000"/>
              <w:end w:val="single" w:sz="4" w:space="0" w:color="000000"/>
            </w:tcBorders>
          </w:tcPr>
          <w:p w:rsidR="00655060" w:rsidRPr="00611019" w:rsidRDefault="00E56462" w:rsidP="00035D2C">
            <w:pPr>
              <w:spacing w:before="3pt" w:after="3pt"/>
              <w:ind w:start="5.30pt"/>
              <w:rPr>
                <w:rFonts w:ascii="Century Gothic" w:hAnsi="Century Gothic" w:cs="Arial"/>
                <w:color w:val="000000" w:themeColor="text1"/>
                <w:sz w:val="16"/>
              </w:rPr>
            </w:pPr>
            <w:r>
              <w:rPr>
                <w:rFonts w:ascii="Century Gothic" w:hAnsi="Century Gothic" w:cs="Arial"/>
                <w:b/>
                <w:color w:val="000000" w:themeColor="text1"/>
                <w:spacing w:val="-1"/>
                <w:sz w:val="16"/>
              </w:rPr>
              <w:t>28</w:t>
            </w: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120</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1334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1593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1768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1808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–51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–51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–57</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–63</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–69</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–75</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–81</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–47</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start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30pt"/>
              <w:rPr>
                <w:rFonts w:ascii="Century Gothic" w:hAnsi="Century Gothic" w:cs="Arial"/>
                <w:color w:val="000000" w:themeColor="text1"/>
                <w:sz w:val="16"/>
              </w:rPr>
            </w:pPr>
            <w:r>
              <w:rPr>
                <w:rFonts w:ascii="Century Gothic" w:hAnsi="Century Gothic" w:cs="Arial"/>
                <w:b/>
                <w:color w:val="000000" w:themeColor="text1"/>
                <w:spacing w:val="-1"/>
                <w:sz w:val="16"/>
              </w:rPr>
              <w:t>29</w:t>
            </w:r>
          </w:p>
        </w:tc>
        <w:tc>
          <w:tcPr>
            <w:tcW w:w="18.6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119</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1301</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1505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1680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1720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shd w:val="clear" w:color="auto" w:fill="D9D9D9" w:themeFill="background1" w:themeFillShade="D9"/>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–51</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–51</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–57</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–63</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–70</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–76</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–82</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start w:val="single" w:sz="4" w:space="0" w:color="000000"/>
              <w:end w:val="single" w:sz="4" w:space="0" w:color="000000"/>
            </w:tcBorders>
          </w:tcPr>
          <w:p w:rsidR="00655060" w:rsidRPr="00611019" w:rsidRDefault="00E56462" w:rsidP="00035D2C">
            <w:pPr>
              <w:keepNext/>
              <w:spacing w:before="3pt" w:after="3pt"/>
              <w:ind w:start="5.30pt"/>
              <w:rPr>
                <w:rFonts w:ascii="Century Gothic" w:hAnsi="Century Gothic" w:cs="Arial"/>
                <w:color w:val="000000" w:themeColor="text1"/>
                <w:sz w:val="16"/>
              </w:rPr>
            </w:pPr>
            <w:r>
              <w:rPr>
                <w:rFonts w:ascii="Century Gothic" w:hAnsi="Century Gothic" w:cs="Arial"/>
                <w:b/>
                <w:color w:val="000000" w:themeColor="text1"/>
                <w:spacing w:val="-1"/>
                <w:sz w:val="16"/>
              </w:rPr>
              <w:t>30</w:t>
            </w: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118</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1270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1433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1608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1648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keepNext/>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–52</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–52</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–58</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–64</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–71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–77</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start w:val="single" w:sz="4" w:space="0" w:color="000000"/>
              <w:end w:val="single" w:sz="4" w:space="0" w:color="000000"/>
            </w:tcBorders>
            <w:shd w:val="clear" w:color="auto" w:fill="D9D9D9" w:themeFill="background1" w:themeFillShade="D9"/>
          </w:tcPr>
          <w:p w:rsidR="00655060" w:rsidRPr="00611019" w:rsidRDefault="00E56462" w:rsidP="00035D2C">
            <w:pPr>
              <w:ind w:start="5.30pt"/>
              <w:rPr>
                <w:rFonts w:ascii="Century Gothic" w:hAnsi="Century Gothic" w:cs="Arial"/>
                <w:color w:val="000000" w:themeColor="text1"/>
                <w:sz w:val="16"/>
              </w:rPr>
            </w:pPr>
            <w:r>
              <w:rPr>
                <w:rFonts w:ascii="Century Gothic" w:hAnsi="Century Gothic" w:cs="Arial"/>
                <w:b/>
                <w:color w:val="000000" w:themeColor="text1"/>
                <w:spacing w:val="-1"/>
                <w:sz w:val="16"/>
              </w:rPr>
              <w:t>31</w:t>
            </w:r>
          </w:p>
        </w:tc>
        <w:tc>
          <w:tcPr>
            <w:tcW w:w="18.6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10.40pt"/>
              <w:rPr>
                <w:rFonts w:ascii="Century Gothic" w:hAnsi="Century Gothic" w:cs="Arial"/>
                <w:color w:val="000000" w:themeColor="text1"/>
                <w:sz w:val="16"/>
              </w:rPr>
            </w:pPr>
            <w:r>
              <w:rPr>
                <w:rFonts w:ascii="Century Gothic" w:hAnsi="Century Gothic" w:cs="Arial"/>
                <w:color w:val="000000" w:themeColor="text1"/>
                <w:spacing w:val="-1"/>
                <w:sz w:val="16"/>
              </w:rPr>
              <w:t>117</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5pt"/>
              <w:rPr>
                <w:rFonts w:ascii="Century Gothic" w:hAnsi="Century Gothic" w:cs="Arial"/>
                <w:color w:val="000000" w:themeColor="text1"/>
                <w:sz w:val="16"/>
              </w:rPr>
            </w:pPr>
            <w:r>
              <w:rPr>
                <w:rFonts w:ascii="Century Gothic" w:hAnsi="Century Gothic" w:cs="Arial"/>
                <w:color w:val="000000" w:themeColor="text1"/>
                <w:spacing w:val="-1"/>
                <w:sz w:val="16"/>
              </w:rPr>
              <w:t>1240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5pt"/>
              <w:rPr>
                <w:rFonts w:ascii="Century Gothic" w:hAnsi="Century Gothic" w:cs="Arial"/>
                <w:color w:val="000000" w:themeColor="text1"/>
                <w:sz w:val="16"/>
              </w:rPr>
            </w:pPr>
            <w:r>
              <w:rPr>
                <w:rFonts w:ascii="Century Gothic" w:hAnsi="Century Gothic" w:cs="Arial"/>
                <w:color w:val="000000" w:themeColor="text1"/>
                <w:spacing w:val="-1"/>
                <w:sz w:val="16"/>
              </w:rPr>
              <w:t>1380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5pt"/>
              <w:rPr>
                <w:rFonts w:ascii="Century Gothic" w:hAnsi="Century Gothic" w:cs="Arial"/>
                <w:color w:val="000000" w:themeColor="text1"/>
                <w:sz w:val="16"/>
              </w:rPr>
            </w:pPr>
            <w:r>
              <w:rPr>
                <w:rFonts w:ascii="Century Gothic" w:hAnsi="Century Gothic" w:cs="Arial"/>
                <w:color w:val="000000" w:themeColor="text1"/>
                <w:spacing w:val="-1"/>
                <w:sz w:val="16"/>
              </w:rPr>
              <w:t>1555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5.05pt"/>
              <w:rPr>
                <w:rFonts w:ascii="Century Gothic" w:hAnsi="Century Gothic" w:cs="Arial"/>
                <w:color w:val="000000" w:themeColor="text1"/>
                <w:sz w:val="16"/>
              </w:rPr>
            </w:pPr>
            <w:r>
              <w:rPr>
                <w:rFonts w:ascii="Century Gothic" w:hAnsi="Century Gothic" w:cs="Arial"/>
                <w:color w:val="000000" w:themeColor="text1"/>
                <w:spacing w:val="-1"/>
                <w:sz w:val="16"/>
              </w:rPr>
              <w:t>1595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shd w:val="clear" w:color="auto" w:fill="D9D9D9" w:themeFill="background1" w:themeFillShade="D9"/>
          </w:tcPr>
          <w:p w:rsidR="00655060" w:rsidRPr="00611019" w:rsidRDefault="00655060" w:rsidP="00035D2C">
            <w:pPr>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7.05pt"/>
              <w:rPr>
                <w:rFonts w:ascii="Century Gothic" w:hAnsi="Century Gothic" w:cs="Arial"/>
                <w:color w:val="000000" w:themeColor="text1"/>
                <w:sz w:val="16"/>
              </w:rPr>
            </w:pPr>
            <w:r>
              <w:rPr>
                <w:rFonts w:ascii="Century Gothic" w:hAnsi="Century Gothic" w:cs="Arial"/>
                <w:color w:val="000000" w:themeColor="text1"/>
                <w:spacing w:val="-1"/>
                <w:sz w:val="16"/>
              </w:rPr>
              <w:t>–52</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3.65pt"/>
              <w:rPr>
                <w:rFonts w:ascii="Century Gothic" w:hAnsi="Century Gothic" w:cs="Arial"/>
                <w:color w:val="000000" w:themeColor="text1"/>
                <w:sz w:val="16"/>
              </w:rPr>
            </w:pPr>
            <w:r>
              <w:rPr>
                <w:rFonts w:ascii="Century Gothic" w:hAnsi="Century Gothic" w:cs="Arial"/>
                <w:color w:val="000000" w:themeColor="text1"/>
                <w:spacing w:val="-1"/>
                <w:sz w:val="16"/>
              </w:rPr>
              <w:t>–52</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3.80pt"/>
              <w:rPr>
                <w:rFonts w:ascii="Century Gothic" w:hAnsi="Century Gothic" w:cs="Arial"/>
                <w:color w:val="000000" w:themeColor="text1"/>
                <w:sz w:val="16"/>
              </w:rPr>
            </w:pPr>
            <w:r>
              <w:rPr>
                <w:rFonts w:ascii="Century Gothic" w:hAnsi="Century Gothic" w:cs="Arial"/>
                <w:color w:val="000000" w:themeColor="text1"/>
                <w:spacing w:val="-1"/>
                <w:sz w:val="16"/>
              </w:rPr>
              <w:t>–58</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3.80pt"/>
              <w:rPr>
                <w:rFonts w:ascii="Century Gothic" w:hAnsi="Century Gothic" w:cs="Arial"/>
                <w:color w:val="000000" w:themeColor="text1"/>
                <w:sz w:val="16"/>
              </w:rPr>
            </w:pPr>
            <w:r>
              <w:rPr>
                <w:rFonts w:ascii="Century Gothic" w:hAnsi="Century Gothic" w:cs="Arial"/>
                <w:color w:val="000000" w:themeColor="text1"/>
                <w:spacing w:val="-1"/>
                <w:sz w:val="16"/>
              </w:rPr>
              <w:t>–65</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3.80pt"/>
              <w:rPr>
                <w:rFonts w:ascii="Century Gothic" w:hAnsi="Century Gothic" w:cs="Arial"/>
                <w:color w:val="000000" w:themeColor="text1"/>
                <w:sz w:val="16"/>
              </w:rPr>
            </w:pPr>
            <w:r>
              <w:rPr>
                <w:rFonts w:ascii="Century Gothic" w:hAnsi="Century Gothic" w:cs="Arial"/>
                <w:color w:val="000000" w:themeColor="text1"/>
                <w:spacing w:val="-1"/>
                <w:sz w:val="16"/>
              </w:rPr>
              <w:t>–71</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3.90pt"/>
              <w:rPr>
                <w:rFonts w:ascii="Century Gothic" w:hAnsi="Century Gothic" w:cs="Arial"/>
                <w:color w:val="000000" w:themeColor="text1"/>
                <w:sz w:val="16"/>
              </w:rPr>
            </w:pPr>
            <w:r>
              <w:rPr>
                <w:rFonts w:ascii="Century Gothic" w:hAnsi="Century Gothic" w:cs="Arial"/>
                <w:color w:val="000000" w:themeColor="text1"/>
                <w:spacing w:val="-1"/>
                <w:sz w:val="16"/>
              </w:rPr>
              <w:t>–78</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3.80pt"/>
              <w:rPr>
                <w:rFonts w:ascii="Century Gothic" w:hAnsi="Century Gothic" w:cs="Arial"/>
                <w:color w:val="000000" w:themeColor="text1"/>
                <w:sz w:val="16"/>
              </w:rPr>
            </w:pPr>
            <w:r>
              <w:rPr>
                <w:rFonts w:ascii="Century Gothic" w:hAnsi="Century Gothic" w:cs="Arial"/>
                <w:color w:val="000000" w:themeColor="text1"/>
                <w:spacing w:val="-1"/>
                <w:sz w:val="16"/>
              </w:rPr>
              <w:t>–85</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7.1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3.9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3.8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ind w:start="7.15pt"/>
              <w:rPr>
                <w:rFonts w:ascii="Century Gothic" w:hAnsi="Century Gothic" w:cs="Arial"/>
                <w:color w:val="000000" w:themeColor="text1"/>
                <w:sz w:val="16"/>
              </w:rPr>
            </w:pPr>
            <w:r>
              <w:rPr>
                <w:rFonts w:ascii="Century Gothic" w:hAnsi="Century Gothic" w:cs="Arial"/>
                <w:color w:val="000000" w:themeColor="text1"/>
                <w:spacing w:val="-1"/>
                <w:sz w:val="16"/>
              </w:rPr>
              <w:t>–48</w:t>
            </w:r>
          </w:p>
        </w:tc>
      </w:tr>
      <w:tr w:rsidR="0061711D" w:rsidTr="00BD3372">
        <w:trPr>
          <w:trHeight w:val="20"/>
          <w:jc w:val="center"/>
        </w:trPr>
        <w:tc>
          <w:tcPr>
            <w:tcW w:w="25.10pt" w:type="dxa"/>
            <w:vMerge w:val="restart"/>
            <w:tcBorders>
              <w:start w:val="single" w:sz="4" w:space="0" w:color="000000"/>
              <w:end w:val="single" w:sz="4" w:space="0" w:color="000000"/>
            </w:tcBorders>
          </w:tcPr>
          <w:p w:rsidR="00655060" w:rsidRPr="00611019" w:rsidRDefault="00E56462" w:rsidP="00035D2C">
            <w:pPr>
              <w:spacing w:before="3pt" w:after="3pt"/>
              <w:ind w:start="5.30pt"/>
              <w:rPr>
                <w:rFonts w:ascii="Century Gothic" w:hAnsi="Century Gothic" w:cs="Arial"/>
                <w:color w:val="000000" w:themeColor="text1"/>
                <w:sz w:val="16"/>
              </w:rPr>
            </w:pPr>
            <w:r>
              <w:rPr>
                <w:rFonts w:ascii="Century Gothic" w:hAnsi="Century Gothic" w:cs="Arial"/>
                <w:b/>
                <w:color w:val="000000" w:themeColor="text1"/>
                <w:spacing w:val="-1"/>
                <w:sz w:val="16"/>
              </w:rPr>
              <w:t>32</w:t>
            </w: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116</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1205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1322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1497</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1538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–53</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–53</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–59</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–73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–80</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–86</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–45</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–48</w:t>
            </w:r>
          </w:p>
        </w:tc>
      </w:tr>
      <w:tr w:rsidR="0061711D" w:rsidTr="00BD3372">
        <w:trPr>
          <w:trHeight w:val="20"/>
          <w:jc w:val="center"/>
        </w:trPr>
        <w:tc>
          <w:tcPr>
            <w:tcW w:w="25.10pt" w:type="dxa"/>
            <w:vMerge w:val="restart"/>
            <w:tcBorders>
              <w:start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30pt"/>
              <w:rPr>
                <w:rFonts w:ascii="Century Gothic" w:hAnsi="Century Gothic" w:cs="Arial"/>
                <w:color w:val="000000" w:themeColor="text1"/>
                <w:sz w:val="16"/>
              </w:rPr>
            </w:pPr>
            <w:r>
              <w:rPr>
                <w:rFonts w:ascii="Century Gothic" w:hAnsi="Century Gothic" w:cs="Arial"/>
                <w:b/>
                <w:color w:val="000000" w:themeColor="text1"/>
                <w:spacing w:val="-1"/>
                <w:sz w:val="16"/>
              </w:rPr>
              <w:t>33</w:t>
            </w:r>
          </w:p>
        </w:tc>
        <w:tc>
          <w:tcPr>
            <w:tcW w:w="18.6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115</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1172</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1268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1443</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1485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shd w:val="clear" w:color="auto" w:fill="D9D9D9" w:themeFill="background1" w:themeFillShade="D9"/>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–53</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–53</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–59</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–66</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–74</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–81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–88</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–44</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–48</w:t>
            </w:r>
          </w:p>
        </w:tc>
      </w:tr>
      <w:tr w:rsidR="0061711D" w:rsidTr="00BD3372">
        <w:trPr>
          <w:trHeight w:val="20"/>
          <w:jc w:val="center"/>
        </w:trPr>
        <w:tc>
          <w:tcPr>
            <w:tcW w:w="25.10pt" w:type="dxa"/>
            <w:vMerge w:val="restart"/>
            <w:tcBorders>
              <w:start w:val="single" w:sz="4" w:space="0" w:color="000000"/>
              <w:end w:val="single" w:sz="4" w:space="0" w:color="000000"/>
            </w:tcBorders>
          </w:tcPr>
          <w:p w:rsidR="00655060" w:rsidRPr="00611019" w:rsidRDefault="00E56462" w:rsidP="00035D2C">
            <w:pPr>
              <w:spacing w:before="3pt" w:after="3pt"/>
              <w:ind w:start="5.30pt"/>
              <w:rPr>
                <w:rFonts w:ascii="Century Gothic" w:hAnsi="Century Gothic" w:cs="Arial"/>
                <w:color w:val="000000" w:themeColor="text1"/>
                <w:sz w:val="16"/>
              </w:rPr>
            </w:pPr>
            <w:r>
              <w:rPr>
                <w:rFonts w:ascii="Century Gothic" w:hAnsi="Century Gothic" w:cs="Arial"/>
                <w:b/>
                <w:color w:val="000000" w:themeColor="text1"/>
                <w:spacing w:val="-1"/>
                <w:sz w:val="16"/>
              </w:rPr>
              <w:lastRenderedPageBreak/>
              <w:t>34</w:t>
            </w: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114</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1141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1217</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1392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1434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–54</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–54</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–60</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–67</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–75</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–82</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–89</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–43</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–48</w:t>
            </w:r>
          </w:p>
        </w:tc>
      </w:tr>
      <w:tr w:rsidR="0061711D" w:rsidTr="00BD3372">
        <w:trPr>
          <w:trHeight w:val="20"/>
          <w:jc w:val="center"/>
        </w:trPr>
        <w:tc>
          <w:tcPr>
            <w:tcW w:w="25.10pt" w:type="dxa"/>
            <w:vMerge w:val="restart"/>
            <w:tcBorders>
              <w:start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30pt"/>
              <w:rPr>
                <w:rFonts w:ascii="Century Gothic" w:hAnsi="Century Gothic" w:cs="Arial"/>
                <w:color w:val="000000" w:themeColor="text1"/>
                <w:sz w:val="16"/>
              </w:rPr>
            </w:pPr>
            <w:r>
              <w:rPr>
                <w:rFonts w:ascii="Century Gothic" w:hAnsi="Century Gothic" w:cs="Arial"/>
                <w:b/>
                <w:color w:val="000000" w:themeColor="text1"/>
                <w:spacing w:val="-1"/>
                <w:sz w:val="16"/>
              </w:rPr>
              <w:t>35</w:t>
            </w:r>
          </w:p>
        </w:tc>
        <w:tc>
          <w:tcPr>
            <w:tcW w:w="18.6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113</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1111</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1169</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1344</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1387</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shd w:val="clear" w:color="auto" w:fill="D9D9D9" w:themeFill="background1" w:themeFillShade="D9"/>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–54</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–54</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–61</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–68</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–76</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–84</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–42</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–48</w:t>
            </w:r>
          </w:p>
        </w:tc>
      </w:tr>
      <w:tr w:rsidR="0061711D" w:rsidTr="00BD3372">
        <w:trPr>
          <w:trHeight w:val="20"/>
          <w:jc w:val="center"/>
        </w:trPr>
        <w:tc>
          <w:tcPr>
            <w:tcW w:w="25.10pt" w:type="dxa"/>
            <w:vMerge w:val="restart"/>
            <w:tcBorders>
              <w:start w:val="single" w:sz="4" w:space="0" w:color="000000"/>
              <w:end w:val="single" w:sz="4" w:space="0" w:color="000000"/>
            </w:tcBorders>
          </w:tcPr>
          <w:p w:rsidR="00655060" w:rsidRPr="00611019" w:rsidRDefault="00E56462" w:rsidP="00035D2C">
            <w:pPr>
              <w:spacing w:before="3pt" w:after="3pt"/>
              <w:ind w:start="5.30pt"/>
              <w:rPr>
                <w:rFonts w:ascii="Century Gothic" w:hAnsi="Century Gothic" w:cs="Arial"/>
                <w:color w:val="000000" w:themeColor="text1"/>
                <w:sz w:val="16"/>
              </w:rPr>
            </w:pPr>
            <w:r>
              <w:rPr>
                <w:rFonts w:ascii="Century Gothic" w:hAnsi="Century Gothic" w:cs="Arial"/>
                <w:b/>
                <w:color w:val="000000" w:themeColor="text1"/>
                <w:spacing w:val="-1"/>
                <w:sz w:val="16"/>
              </w:rPr>
              <w:t>36</w:t>
            </w: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112</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1061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1122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1297</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1341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auto"/>
              <w:end w:val="single" w:sz="4" w:space="0" w:color="000000"/>
            </w:tcBorders>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–55</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–55</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–61</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–69</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–77</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–85</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–41</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top w:val="single" w:sz="4" w:space="0" w:color="auto"/>
              <w:start w:val="single" w:sz="4" w:space="0" w:color="auto"/>
              <w:bottom w:val="single" w:sz="4" w:space="0" w:color="auto"/>
              <w:end w:val="single" w:sz="4" w:space="0" w:color="auto"/>
            </w:tcBorders>
            <w:shd w:val="clear" w:color="auto" w:fill="D9D9D9" w:themeFill="background1" w:themeFillShade="D9"/>
          </w:tcPr>
          <w:p w:rsidR="00655060" w:rsidRPr="00611019" w:rsidRDefault="00E56462" w:rsidP="00035D2C">
            <w:pPr>
              <w:spacing w:before="3pt" w:after="3pt"/>
              <w:ind w:start="5.30pt"/>
              <w:rPr>
                <w:rFonts w:ascii="Century Gothic" w:hAnsi="Century Gothic" w:cs="Arial"/>
                <w:color w:val="000000" w:themeColor="text1"/>
                <w:sz w:val="16"/>
              </w:rPr>
            </w:pPr>
            <w:r>
              <w:rPr>
                <w:rFonts w:ascii="Century Gothic" w:hAnsi="Century Gothic" w:cs="Arial"/>
                <w:b/>
                <w:color w:val="000000" w:themeColor="text1"/>
                <w:spacing w:val="-1"/>
                <w:sz w:val="16"/>
              </w:rPr>
              <w:t>37</w:t>
            </w:r>
          </w:p>
        </w:tc>
        <w:tc>
          <w:tcPr>
            <w:tcW w:w="18.60pt" w:type="dxa"/>
            <w:tcBorders>
              <w:top w:val="single" w:sz="4" w:space="0" w:color="000000"/>
              <w:start w:val="single" w:sz="4" w:space="0" w:color="auto"/>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111</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1009</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1077</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1252</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1296</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top w:val="single" w:sz="4" w:space="0" w:color="auto"/>
              <w:start w:val="single" w:sz="4" w:space="0" w:color="auto"/>
              <w:bottom w:val="single" w:sz="4" w:space="0" w:color="auto"/>
              <w:end w:val="single" w:sz="4" w:space="0" w:color="auto"/>
            </w:tcBorders>
            <w:shd w:val="clear" w:color="auto" w:fill="D9D9D9" w:themeFill="background1" w:themeFillShade="D9"/>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auto"/>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–55</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–55</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–62</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–70</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–78</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–86</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–41</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top w:val="single" w:sz="4" w:space="0" w:color="auto"/>
              <w:start w:val="single" w:sz="4" w:space="0" w:color="000000"/>
              <w:end w:val="single" w:sz="4" w:space="0" w:color="000000"/>
            </w:tcBorders>
          </w:tcPr>
          <w:p w:rsidR="00655060" w:rsidRPr="00611019" w:rsidRDefault="00E56462" w:rsidP="00035D2C">
            <w:pPr>
              <w:spacing w:before="3pt" w:after="3pt"/>
              <w:ind w:start="5.30pt"/>
              <w:rPr>
                <w:rFonts w:ascii="Century Gothic" w:hAnsi="Century Gothic" w:cs="Arial"/>
                <w:color w:val="000000" w:themeColor="text1"/>
                <w:sz w:val="16"/>
              </w:rPr>
            </w:pPr>
            <w:r>
              <w:rPr>
                <w:rFonts w:ascii="Century Gothic" w:hAnsi="Century Gothic" w:cs="Arial"/>
                <w:b/>
                <w:color w:val="000000" w:themeColor="text1"/>
                <w:spacing w:val="-1"/>
                <w:sz w:val="16"/>
              </w:rPr>
              <w:t>38</w:t>
            </w: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110</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962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1036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1211</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1256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–56</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–56</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–63</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–71</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–79</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–87</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–39</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start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30pt"/>
              <w:rPr>
                <w:rFonts w:ascii="Century Gothic" w:hAnsi="Century Gothic" w:cs="Arial"/>
                <w:color w:val="000000" w:themeColor="text1"/>
                <w:sz w:val="16"/>
              </w:rPr>
            </w:pPr>
            <w:r>
              <w:rPr>
                <w:rFonts w:ascii="Century Gothic" w:hAnsi="Century Gothic" w:cs="Arial"/>
                <w:b/>
                <w:color w:val="000000" w:themeColor="text1"/>
                <w:spacing w:val="-1"/>
                <w:sz w:val="16"/>
              </w:rPr>
              <w:t>39</w:t>
            </w:r>
          </w:p>
        </w:tc>
        <w:tc>
          <w:tcPr>
            <w:tcW w:w="18.6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109</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919</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996</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1171</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1217</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shd w:val="clear" w:color="auto" w:fill="D9D9D9" w:themeFill="background1" w:themeFillShade="D9"/>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–56</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–56</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–63</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–80</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–89</w:t>
            </w:r>
            <w:r>
              <w:rPr>
                <w:rFonts w:ascii="Century Gothic" w:hAnsi="Century Gothic" w:cs="Arial"/>
                <w:color w:val="000000" w:themeColor="text1"/>
                <w:spacing w:val="1"/>
                <w:sz w:val="16"/>
              </w:rPr>
              <w:t>,</w:t>
            </w:r>
            <w:r>
              <w:rPr>
                <w:rFonts w:ascii="Century Gothic" w:hAnsi="Century Gothic" w:cs="Arial"/>
                <w:color w:val="000000" w:themeColor="text1"/>
                <w:sz w:val="16"/>
              </w:rPr>
              <w:t>2</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–39</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start w:val="single" w:sz="4" w:space="0" w:color="000000"/>
              <w:end w:val="single" w:sz="4" w:space="0" w:color="000000"/>
            </w:tcBorders>
          </w:tcPr>
          <w:p w:rsidR="00655060" w:rsidRPr="00611019" w:rsidRDefault="00E56462" w:rsidP="00035D2C">
            <w:pPr>
              <w:spacing w:before="3pt" w:after="3pt"/>
              <w:ind w:start="5.30pt"/>
              <w:rPr>
                <w:rFonts w:ascii="Century Gothic" w:hAnsi="Century Gothic" w:cs="Arial"/>
                <w:color w:val="000000" w:themeColor="text1"/>
                <w:sz w:val="16"/>
              </w:rPr>
            </w:pPr>
            <w:r>
              <w:rPr>
                <w:rFonts w:ascii="Century Gothic" w:hAnsi="Century Gothic" w:cs="Arial"/>
                <w:b/>
                <w:color w:val="000000" w:themeColor="text1"/>
                <w:spacing w:val="-1"/>
                <w:sz w:val="16"/>
              </w:rPr>
              <w:t>40</w:t>
            </w: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108</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880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959</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1134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1180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–57</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–57</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–64</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–73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–90</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–38</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start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30pt"/>
              <w:rPr>
                <w:rFonts w:ascii="Century Gothic" w:hAnsi="Century Gothic" w:cs="Arial"/>
                <w:color w:val="000000" w:themeColor="text1"/>
                <w:sz w:val="16"/>
              </w:rPr>
            </w:pPr>
            <w:r>
              <w:rPr>
                <w:rFonts w:ascii="Century Gothic" w:hAnsi="Century Gothic" w:cs="Arial"/>
                <w:b/>
                <w:color w:val="000000" w:themeColor="text1"/>
                <w:spacing w:val="-1"/>
                <w:sz w:val="16"/>
              </w:rPr>
              <w:t>41</w:t>
            </w:r>
          </w:p>
        </w:tc>
        <w:tc>
          <w:tcPr>
            <w:tcW w:w="18.6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107</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843</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921</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1096</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1143</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shd w:val="clear" w:color="auto" w:fill="D9D9D9" w:themeFill="background1" w:themeFillShade="D9"/>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–57</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–57</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–65</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–73</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–82</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–37</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–48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start w:val="single" w:sz="4" w:space="0" w:color="000000"/>
              <w:end w:val="single" w:sz="4" w:space="0" w:color="000000"/>
            </w:tcBorders>
          </w:tcPr>
          <w:p w:rsidR="00655060" w:rsidRPr="00611019" w:rsidRDefault="00E56462" w:rsidP="00035D2C">
            <w:pPr>
              <w:spacing w:before="3pt" w:after="3pt"/>
              <w:ind w:start="5.30pt"/>
              <w:rPr>
                <w:rFonts w:ascii="Century Gothic" w:hAnsi="Century Gothic" w:cs="Arial"/>
                <w:color w:val="000000" w:themeColor="text1"/>
                <w:sz w:val="16"/>
              </w:rPr>
            </w:pPr>
            <w:r>
              <w:rPr>
                <w:rFonts w:ascii="Century Gothic" w:hAnsi="Century Gothic" w:cs="Arial"/>
                <w:b/>
                <w:color w:val="000000" w:themeColor="text1"/>
                <w:spacing w:val="-1"/>
                <w:sz w:val="16"/>
              </w:rPr>
              <w:t>42</w:t>
            </w: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106</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803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857</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1032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1079</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–58</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–58</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–66</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–74</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–83</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–36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–36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start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30pt"/>
              <w:rPr>
                <w:rFonts w:ascii="Century Gothic" w:hAnsi="Century Gothic" w:cs="Arial"/>
                <w:color w:val="000000" w:themeColor="text1"/>
                <w:sz w:val="16"/>
              </w:rPr>
            </w:pPr>
            <w:r>
              <w:rPr>
                <w:rFonts w:ascii="Century Gothic" w:hAnsi="Century Gothic" w:cs="Arial"/>
                <w:b/>
                <w:color w:val="000000" w:themeColor="text1"/>
                <w:spacing w:val="-1"/>
                <w:sz w:val="16"/>
              </w:rPr>
              <w:t>43</w:t>
            </w:r>
          </w:p>
        </w:tc>
        <w:tc>
          <w:tcPr>
            <w:tcW w:w="18.6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105</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768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975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1021</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shd w:val="clear" w:color="auto" w:fill="D9D9D9" w:themeFill="background1" w:themeFillShade="D9"/>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–58</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–58</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–66</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–75</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–84</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–36</w:t>
            </w:r>
            <w:r>
              <w:rPr>
                <w:rFonts w:ascii="Century Gothic" w:hAnsi="Century Gothic" w:cs="Arial"/>
                <w:color w:val="000000" w:themeColor="text1"/>
                <w:spacing w:val="1"/>
                <w:sz w:val="16"/>
              </w:rPr>
              <w:t>,</w:t>
            </w:r>
            <w:r>
              <w:rPr>
                <w:rFonts w:ascii="Century Gothic" w:hAnsi="Century Gothic" w:cs="Arial"/>
                <w:color w:val="000000" w:themeColor="text1"/>
                <w:sz w:val="16"/>
              </w:rPr>
              <w:t>7</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–36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start w:val="single" w:sz="4" w:space="0" w:color="000000"/>
              <w:end w:val="single" w:sz="4" w:space="0" w:color="000000"/>
            </w:tcBorders>
          </w:tcPr>
          <w:p w:rsidR="00655060" w:rsidRPr="00611019" w:rsidRDefault="00E56462" w:rsidP="00035D2C">
            <w:pPr>
              <w:spacing w:before="3pt" w:after="3pt"/>
              <w:ind w:start="5.30pt"/>
              <w:rPr>
                <w:rFonts w:ascii="Century Gothic" w:hAnsi="Century Gothic" w:cs="Arial"/>
                <w:color w:val="000000" w:themeColor="text1"/>
                <w:sz w:val="16"/>
              </w:rPr>
            </w:pPr>
            <w:r>
              <w:rPr>
                <w:rFonts w:ascii="Century Gothic" w:hAnsi="Century Gothic" w:cs="Arial"/>
                <w:b/>
                <w:color w:val="000000" w:themeColor="text1"/>
                <w:spacing w:val="-1"/>
                <w:sz w:val="16"/>
              </w:rPr>
              <w:t>44</w:t>
            </w: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104</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735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749</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924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970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–59</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–59</w:t>
            </w:r>
            <w:r>
              <w:rPr>
                <w:rFonts w:ascii="Century Gothic" w:hAnsi="Century Gothic" w:cs="Arial"/>
                <w:color w:val="000000" w:themeColor="text1"/>
                <w:spacing w:val="1"/>
                <w:sz w:val="16"/>
              </w:rPr>
              <w:t>,</w:t>
            </w:r>
            <w:r>
              <w:rPr>
                <w:rFonts w:ascii="Century Gothic" w:hAnsi="Century Gothic" w:cs="Arial"/>
                <w:color w:val="000000" w:themeColor="text1"/>
                <w:sz w:val="16"/>
              </w:rPr>
              <w:t>1</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–67</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–76</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–85</w:t>
            </w:r>
            <w:r>
              <w:rPr>
                <w:rFonts w:ascii="Century Gothic" w:hAnsi="Century Gothic" w:cs="Arial"/>
                <w:color w:val="000000" w:themeColor="text1"/>
                <w:spacing w:val="1"/>
                <w:sz w:val="16"/>
              </w:rPr>
              <w:t>,</w:t>
            </w:r>
            <w:r>
              <w:rPr>
                <w:rFonts w:ascii="Century Gothic" w:hAnsi="Century Gothic" w:cs="Arial"/>
                <w:color w:val="000000" w:themeColor="text1"/>
                <w:sz w:val="16"/>
              </w:rPr>
              <w:t>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–36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–36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start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30pt"/>
              <w:rPr>
                <w:rFonts w:ascii="Century Gothic" w:hAnsi="Century Gothic" w:cs="Arial"/>
                <w:color w:val="000000" w:themeColor="text1"/>
                <w:sz w:val="16"/>
              </w:rPr>
            </w:pPr>
            <w:r>
              <w:rPr>
                <w:rFonts w:ascii="Century Gothic" w:hAnsi="Century Gothic" w:cs="Arial"/>
                <w:b/>
                <w:color w:val="000000" w:themeColor="text1"/>
                <w:spacing w:val="-1"/>
                <w:sz w:val="16"/>
              </w:rPr>
              <w:t>45</w:t>
            </w:r>
          </w:p>
        </w:tc>
        <w:tc>
          <w:tcPr>
            <w:tcW w:w="18.6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103</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703</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877</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922</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shd w:val="clear" w:color="auto" w:fill="D9D9D9" w:themeFill="background1" w:themeFillShade="D9"/>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–72</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–59</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8.85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–59</w:t>
            </w:r>
            <w:r>
              <w:rPr>
                <w:rFonts w:ascii="Century Gothic" w:hAnsi="Century Gothic" w:cs="Arial"/>
                <w:color w:val="000000" w:themeColor="text1"/>
                <w:spacing w:val="1"/>
                <w:sz w:val="16"/>
              </w:rPr>
              <w:t>,</w:t>
            </w:r>
            <w:r>
              <w:rPr>
                <w:rFonts w:ascii="Century Gothic" w:hAnsi="Century Gothic" w:cs="Arial"/>
                <w:color w:val="000000" w:themeColor="text1"/>
                <w:sz w:val="16"/>
              </w:rPr>
              <w:t>6</w:t>
            </w:r>
          </w:p>
        </w:tc>
        <w:tc>
          <w:tcPr>
            <w:tcW w:w="29.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–77</w:t>
            </w:r>
            <w:r>
              <w:rPr>
                <w:rFonts w:ascii="Century Gothic" w:hAnsi="Century Gothic" w:cs="Arial"/>
                <w:color w:val="000000" w:themeColor="text1"/>
                <w:spacing w:val="1"/>
                <w:sz w:val="16"/>
              </w:rPr>
              <w:t>,</w:t>
            </w:r>
            <w:r>
              <w:rPr>
                <w:rFonts w:ascii="Century Gothic" w:hAnsi="Century Gothic" w:cs="Arial"/>
                <w:color w:val="000000" w:themeColor="text1"/>
                <w:sz w:val="16"/>
              </w:rPr>
              <w:t>3</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–86</w:t>
            </w:r>
            <w:r>
              <w:rPr>
                <w:rFonts w:ascii="Century Gothic" w:hAnsi="Century Gothic" w:cs="Arial"/>
                <w:color w:val="000000" w:themeColor="text1"/>
                <w:spacing w:val="1"/>
                <w:sz w:val="16"/>
              </w:rPr>
              <w:t>,</w:t>
            </w:r>
            <w:r>
              <w:rPr>
                <w:rFonts w:ascii="Century Gothic" w:hAnsi="Century Gothic" w:cs="Arial"/>
                <w:color w:val="000000" w:themeColor="text1"/>
                <w:sz w:val="16"/>
              </w:rPr>
              <w:t>9</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–36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–36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–48</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shd w:val="clear" w:color="auto" w:fill="D9D9D9" w:themeFill="background1" w:themeFillShade="D9"/>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val="restart"/>
            <w:tcBorders>
              <w:start w:val="single" w:sz="4" w:space="0" w:color="000000"/>
              <w:end w:val="single" w:sz="4" w:space="0" w:color="000000"/>
            </w:tcBorders>
          </w:tcPr>
          <w:p w:rsidR="00655060" w:rsidRPr="00611019" w:rsidRDefault="00E56462" w:rsidP="00035D2C">
            <w:pPr>
              <w:spacing w:before="3pt" w:after="3pt"/>
              <w:ind w:start="2.90pt"/>
              <w:rPr>
                <w:rFonts w:ascii="Century Gothic" w:hAnsi="Century Gothic" w:cs="Arial"/>
                <w:color w:val="000000" w:themeColor="text1"/>
                <w:sz w:val="16"/>
              </w:rPr>
            </w:pPr>
            <w:r>
              <w:rPr>
                <w:rFonts w:ascii="Century Gothic" w:hAnsi="Century Gothic" w:cs="Arial"/>
                <w:b/>
                <w:color w:val="000000" w:themeColor="text1"/>
                <w:sz w:val="16"/>
              </w:rPr>
              <w:t>&gt;45</w:t>
            </w: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85pt"/>
              <w:jc w:val="center"/>
              <w:rPr>
                <w:rFonts w:ascii="Century Gothic" w:hAnsi="Century Gothic" w:cs="Arial"/>
                <w:color w:val="000000" w:themeColor="text1"/>
                <w:sz w:val="16"/>
              </w:rPr>
            </w:pPr>
            <w:r>
              <w:rPr>
                <w:rFonts w:ascii="Century Gothic" w:hAnsi="Century Gothic" w:cs="Arial"/>
                <w:color w:val="000000" w:themeColor="text1"/>
                <w:sz w:val="16"/>
              </w:rPr>
              <w:t>f</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1.30pt"/>
              <w:jc w:val="center"/>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10.40pt"/>
              <w:rPr>
                <w:rFonts w:ascii="Century Gothic" w:hAnsi="Century Gothic" w:cs="Arial"/>
                <w:color w:val="000000" w:themeColor="text1"/>
                <w:sz w:val="16"/>
              </w:rPr>
            </w:pPr>
            <w:r>
              <w:rPr>
                <w:rFonts w:ascii="Century Gothic" w:hAnsi="Century Gothic" w:cs="Arial"/>
                <w:color w:val="000000" w:themeColor="text1"/>
                <w:spacing w:val="-1"/>
                <w:sz w:val="16"/>
              </w:rPr>
              <w:t>103</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138</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250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400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600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703</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877</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922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1104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pt"/>
              <w:rPr>
                <w:rFonts w:ascii="Century Gothic" w:hAnsi="Century Gothic" w:cs="Arial"/>
                <w:color w:val="000000" w:themeColor="text1"/>
                <w:sz w:val="16"/>
              </w:rPr>
            </w:pPr>
            <w:r>
              <w:rPr>
                <w:rFonts w:ascii="Century Gothic" w:hAnsi="Century Gothic" w:cs="Arial"/>
                <w:color w:val="000000" w:themeColor="text1"/>
                <w:spacing w:val="-1"/>
                <w:sz w:val="16"/>
              </w:rPr>
              <w:t>1622</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5.05pt"/>
              <w:rPr>
                <w:rFonts w:ascii="Century Gothic" w:hAnsi="Century Gothic" w:cs="Arial"/>
                <w:color w:val="000000" w:themeColor="text1"/>
                <w:sz w:val="16"/>
              </w:rPr>
            </w:pPr>
            <w:r>
              <w:rPr>
                <w:rFonts w:ascii="Century Gothic" w:hAnsi="Century Gothic" w:cs="Arial"/>
                <w:color w:val="000000" w:themeColor="text1"/>
                <w:spacing w:val="-1"/>
                <w:sz w:val="16"/>
              </w:rPr>
              <w:t>2208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r w:rsidR="0061711D" w:rsidTr="00BD3372">
        <w:trPr>
          <w:trHeight w:val="20"/>
          <w:jc w:val="center"/>
        </w:trPr>
        <w:tc>
          <w:tcPr>
            <w:tcW w:w="25.10pt" w:type="dxa"/>
            <w:vMerge/>
            <w:tcBorders>
              <w:start w:val="single" w:sz="4" w:space="0" w:color="000000"/>
              <w:bottom w:val="single" w:sz="4" w:space="0" w:color="000000"/>
              <w:end w:val="single" w:sz="4" w:space="0" w:color="000000"/>
            </w:tcBorders>
          </w:tcPr>
          <w:p w:rsidR="00655060" w:rsidRPr="00611019" w:rsidRDefault="00655060" w:rsidP="00035D2C">
            <w:pPr>
              <w:spacing w:before="3pt" w:after="3pt"/>
              <w:rPr>
                <w:rFonts w:ascii="Century Gothic" w:hAnsi="Century Gothic" w:cs="Arial"/>
                <w:color w:val="000000" w:themeColor="text1"/>
                <w:sz w:val="16"/>
              </w:rPr>
            </w:pPr>
          </w:p>
        </w:tc>
        <w:tc>
          <w:tcPr>
            <w:tcW w:w="18.6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6.25pt"/>
              <w:jc w:val="center"/>
              <w:rPr>
                <w:rFonts w:ascii="Century Gothic" w:hAnsi="Century Gothic" w:cs="Arial"/>
                <w:color w:val="000000" w:themeColor="text1"/>
                <w:sz w:val="16"/>
              </w:rPr>
            </w:pPr>
            <w:r>
              <w:rPr>
                <w:rFonts w:ascii="Century Gothic" w:hAnsi="Century Gothic" w:cs="Arial"/>
                <w:color w:val="000000" w:themeColor="text1"/>
                <w:sz w:val="16"/>
              </w:rPr>
              <w:t>P</w:t>
            </w:r>
          </w:p>
        </w:tc>
        <w:tc>
          <w:tcPr>
            <w:tcW w:w="37.4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36.7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05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85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65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9.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90pt"/>
              <w:rPr>
                <w:rFonts w:ascii="Century Gothic" w:hAnsi="Century Gothic" w:cs="Arial"/>
                <w:color w:val="000000" w:themeColor="text1"/>
                <w:sz w:val="16"/>
              </w:rPr>
            </w:pPr>
            <w:r>
              <w:rPr>
                <w:rFonts w:ascii="Century Gothic" w:hAnsi="Century Gothic" w:cs="Arial"/>
                <w:color w:val="000000" w:themeColor="text1"/>
                <w:spacing w:val="-1"/>
                <w:sz w:val="16"/>
              </w:rPr>
              <w:t>–91</w:t>
            </w:r>
            <w:r>
              <w:rPr>
                <w:rFonts w:ascii="Century Gothic" w:hAnsi="Century Gothic" w:cs="Arial"/>
                <w:color w:val="000000" w:themeColor="text1"/>
                <w:spacing w:val="1"/>
                <w:sz w:val="16"/>
              </w:rPr>
              <w:t>,</w:t>
            </w:r>
            <w:r>
              <w:rPr>
                <w:rFonts w:ascii="Century Gothic" w:hAnsi="Century Gothic" w:cs="Arial"/>
                <w:color w:val="000000" w:themeColor="text1"/>
                <w:sz w:val="16"/>
              </w:rPr>
              <w:t>4</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–80</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–36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–36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3.80pt"/>
              <w:rPr>
                <w:rFonts w:ascii="Century Gothic" w:hAnsi="Century Gothic" w:cs="Arial"/>
                <w:color w:val="000000" w:themeColor="text1"/>
                <w:sz w:val="16"/>
              </w:rPr>
            </w:pPr>
            <w:r>
              <w:rPr>
                <w:rFonts w:ascii="Century Gothic" w:hAnsi="Century Gothic" w:cs="Arial"/>
                <w:color w:val="000000" w:themeColor="text1"/>
                <w:spacing w:val="-1"/>
                <w:sz w:val="16"/>
              </w:rPr>
              <w:t>–46</w:t>
            </w:r>
            <w:r>
              <w:rPr>
                <w:rFonts w:ascii="Century Gothic" w:hAnsi="Century Gothic" w:cs="Arial"/>
                <w:color w:val="000000" w:themeColor="text1"/>
                <w:spacing w:val="1"/>
                <w:sz w:val="16"/>
              </w:rPr>
              <w:t>,</w:t>
            </w:r>
            <w:r>
              <w:rPr>
                <w:rFonts w:ascii="Century Gothic" w:hAnsi="Century Gothic" w:cs="Arial"/>
                <w:color w:val="000000" w:themeColor="text1"/>
                <w:sz w:val="16"/>
              </w:rPr>
              <w:t>5</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25pt"/>
              <w:rPr>
                <w:rFonts w:ascii="Century Gothic" w:hAnsi="Century Gothic" w:cs="Arial"/>
                <w:color w:val="000000" w:themeColor="text1"/>
                <w:sz w:val="16"/>
              </w:rPr>
            </w:pPr>
            <w:r>
              <w:rPr>
                <w:rFonts w:ascii="Century Gothic" w:hAnsi="Century Gothic" w:cs="Arial"/>
                <w:color w:val="000000" w:themeColor="text1"/>
                <w:spacing w:val="-1"/>
                <w:sz w:val="16"/>
              </w:rPr>
              <w:t>–48</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c>
          <w:tcPr>
            <w:tcW w:w="28.20pt" w:type="dxa"/>
            <w:tcBorders>
              <w:top w:val="single" w:sz="4" w:space="0" w:color="000000"/>
              <w:start w:val="single" w:sz="4" w:space="0" w:color="000000"/>
              <w:bottom w:val="single" w:sz="4" w:space="0" w:color="000000"/>
              <w:end w:val="single" w:sz="4" w:space="0" w:color="000000"/>
            </w:tcBorders>
          </w:tcPr>
          <w:p w:rsidR="00655060" w:rsidRPr="00611019" w:rsidRDefault="00E56462" w:rsidP="00035D2C">
            <w:pPr>
              <w:spacing w:before="3pt" w:after="3pt"/>
              <w:ind w:start="7.15pt"/>
              <w:rPr>
                <w:rFonts w:ascii="Century Gothic" w:hAnsi="Century Gothic" w:cs="Arial"/>
                <w:color w:val="000000" w:themeColor="text1"/>
                <w:sz w:val="16"/>
              </w:rPr>
            </w:pPr>
            <w:r>
              <w:rPr>
                <w:rFonts w:ascii="Century Gothic" w:hAnsi="Century Gothic" w:cs="Arial"/>
                <w:color w:val="000000" w:themeColor="text1"/>
                <w:spacing w:val="-1"/>
                <w:sz w:val="16"/>
              </w:rPr>
              <w:t>N</w:t>
            </w:r>
            <w:r>
              <w:rPr>
                <w:rFonts w:ascii="Century Gothic" w:hAnsi="Century Gothic" w:cs="Arial"/>
                <w:color w:val="000000" w:themeColor="text1"/>
                <w:spacing w:val="1"/>
                <w:sz w:val="16"/>
              </w:rPr>
              <w:t>/</w:t>
            </w:r>
            <w:r>
              <w:rPr>
                <w:rFonts w:ascii="Century Gothic" w:hAnsi="Century Gothic" w:cs="Arial"/>
                <w:color w:val="000000" w:themeColor="text1"/>
                <w:sz w:val="16"/>
              </w:rPr>
              <w:t>A</w:t>
            </w:r>
          </w:p>
        </w:tc>
      </w:tr>
    </w:tbl>
    <w:p w:rsidR="00655060" w:rsidRPr="00611019" w:rsidRDefault="00655060" w:rsidP="00035D2C">
      <w:pPr>
        <w:pStyle w:val="Formatolibre"/>
        <w:spacing w:line="13.80pt" w:lineRule="auto"/>
        <w:jc w:val="both"/>
        <w:rPr>
          <w:rFonts w:ascii="Century Gothic" w:hAnsi="Century Gothic" w:cs="Arial"/>
          <w:color w:val="000000" w:themeColor="text1"/>
          <w:lang w:val="es-MX"/>
        </w:rPr>
      </w:pPr>
    </w:p>
    <w:p w:rsidR="00655060" w:rsidRPr="00611019" w:rsidRDefault="00E56462" w:rsidP="00035D2C">
      <w:pPr>
        <w:pStyle w:val="Formatolibre"/>
        <w:spacing w:line="13.80pt" w:lineRule="auto"/>
        <w:jc w:val="center"/>
        <w:rPr>
          <w:rFonts w:ascii="Century Gothic" w:hAnsi="Century Gothic" w:cs="Arial"/>
          <w:color w:val="000000" w:themeColor="text1"/>
          <w:lang w:val="es-MX"/>
        </w:rPr>
      </w:pPr>
      <w:r>
        <w:rPr>
          <w:rFonts w:ascii="Century Gothic" w:hAnsi="Century Gothic" w:cs="Arial"/>
          <w:noProof/>
          <w:color w:val="000000" w:themeColor="text1"/>
          <w:lang w:val="es-MX"/>
        </w:rPr>
        <w:lastRenderedPageBreak/>
        <w:drawing>
          <wp:inline distT="0" distB="0" distL="0" distR="0" wp14:anchorId="7C5B618F" wp14:editId="58BA9FE9">
            <wp:extent cx="4743450" cy="1962984"/>
            <wp:effectExtent l="0" t="0" r="0" b="0"/>
            <wp:docPr id="47" name="Picture 47"/>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616" name="Picture 47"/>
                    <pic:cNvPicPr>
                      <a:picLocks noChangeAspect="1" noChangeArrowheads="1"/>
                    </pic:cNvPicPr>
                  </pic:nvPicPr>
                  <pic:blipFill>
                    <a:blip r:embed="rId61" cstate="print"/>
                    <a:stretch>
                      <a:fillRect/>
                    </a:stretch>
                  </pic:blipFill>
                  <pic:spPr bwMode="auto">
                    <a:xfrm>
                      <a:off x="0" y="0"/>
                      <a:ext cx="4748387" cy="1965027"/>
                    </a:xfrm>
                    <a:prstGeom prst="rect">
                      <a:avLst/>
                    </a:prstGeom>
                    <a:noFill/>
                    <a:ln w="9525">
                      <a:noFill/>
                      <a:miter lim="800%"/>
                      <a:headEnd/>
                      <a:tailEnd/>
                    </a:ln>
                  </pic:spPr>
                </pic:pic>
              </a:graphicData>
            </a:graphic>
          </wp:inline>
        </w:drawing>
      </w:r>
    </w:p>
    <w:p w:rsidR="004F0984" w:rsidRDefault="00E56462" w:rsidP="00035D2C">
      <w:pPr>
        <w:pStyle w:val="Formatolibre"/>
        <w:spacing w:after="6pt" w:line="13.80pt" w:lineRule="auto"/>
        <w:ind w:start="35.45pt" w:hanging="35.45pt"/>
        <w:jc w:val="center"/>
        <w:rPr>
          <w:rFonts w:ascii="Century Gothic" w:eastAsiaTheme="minorHAnsi" w:hAnsi="Century Gothic" w:cs="Arial"/>
          <w:b/>
          <w:color w:val="auto"/>
          <w:sz w:val="20"/>
          <w:szCs w:val="22"/>
          <w:lang w:val="es-MX" w:eastAsia="en-US"/>
        </w:rPr>
      </w:pPr>
      <w:r>
        <w:rPr>
          <w:rFonts w:ascii="Century Gothic" w:eastAsiaTheme="minorHAnsi" w:hAnsi="Century Gothic" w:cs="Arial"/>
          <w:b/>
          <w:color w:val="auto"/>
          <w:sz w:val="20"/>
          <w:szCs w:val="22"/>
          <w:lang w:val="es-MX" w:eastAsia="en-US"/>
        </w:rPr>
        <w:t>Figura 1</w:t>
      </w:r>
      <w:r w:rsidR="004F0984">
        <w:rPr>
          <w:rFonts w:ascii="Century Gothic" w:eastAsiaTheme="minorHAnsi" w:hAnsi="Century Gothic" w:cs="Arial"/>
          <w:b/>
          <w:color w:val="auto"/>
          <w:sz w:val="20"/>
          <w:szCs w:val="22"/>
          <w:lang w:val="es-MX" w:eastAsia="en-US"/>
        </w:rPr>
        <w:t>3</w:t>
      </w:r>
      <w:r>
        <w:rPr>
          <w:rFonts w:ascii="Century Gothic" w:eastAsiaTheme="minorHAnsi" w:hAnsi="Century Gothic" w:cs="Arial"/>
          <w:b/>
          <w:color w:val="auto"/>
          <w:sz w:val="20"/>
          <w:szCs w:val="22"/>
          <w:lang w:val="es-MX" w:eastAsia="en-US"/>
        </w:rPr>
        <w:t xml:space="preserve">. Potencia espectral para señales VDSL2-NL1 en dirección Downstream </w:t>
      </w:r>
    </w:p>
    <w:p w:rsidR="00655060" w:rsidRPr="00611019" w:rsidRDefault="00E56462" w:rsidP="00035D2C">
      <w:pPr>
        <w:pStyle w:val="Formatolibre"/>
        <w:spacing w:after="6pt" w:line="13.80pt" w:lineRule="auto"/>
        <w:ind w:start="35.45pt" w:hanging="35.45pt"/>
        <w:jc w:val="center"/>
        <w:rPr>
          <w:rFonts w:ascii="Century Gothic" w:eastAsiaTheme="minorHAnsi" w:hAnsi="Century Gothic" w:cs="Arial"/>
          <w:b/>
          <w:color w:val="auto"/>
          <w:sz w:val="20"/>
          <w:szCs w:val="22"/>
          <w:lang w:val="es-MX" w:eastAsia="en-US"/>
        </w:rPr>
      </w:pPr>
      <w:r>
        <w:rPr>
          <w:rFonts w:ascii="Century Gothic" w:eastAsiaTheme="minorHAnsi" w:hAnsi="Century Gothic" w:cs="Arial"/>
          <w:b/>
          <w:color w:val="auto"/>
          <w:sz w:val="20"/>
          <w:szCs w:val="22"/>
          <w:lang w:val="es-MX" w:eastAsia="en-US"/>
        </w:rPr>
        <w:t>desplegadas desde central. (IL=0 dB)</w:t>
      </w:r>
    </w:p>
    <w:p w:rsidR="004F0984" w:rsidRPr="004F0984" w:rsidRDefault="004F0984" w:rsidP="004F0984">
      <w:pPr>
        <w:pStyle w:val="Ttulo4"/>
        <w:spacing w:before="6pt" w:after="6pt" w:line="13.80pt" w:lineRule="auto"/>
        <w:ind w:start="43.10pt" w:hanging="43.10pt"/>
        <w:jc w:val="center"/>
        <w:rPr>
          <w:rFonts w:ascii="Century Gothic" w:hAnsi="Century Gothic"/>
          <w:szCs w:val="24"/>
        </w:rPr>
      </w:pPr>
      <w:r w:rsidRPr="004F0984">
        <w:rPr>
          <w:rFonts w:ascii="Century Gothic" w:hAnsi="Century Gothic"/>
          <w:noProof/>
          <w:szCs w:val="24"/>
          <w:lang w:eastAsia="es-MX"/>
        </w:rPr>
        <w:drawing>
          <wp:inline distT="0" distB="0" distL="0" distR="0" wp14:anchorId="0A959C51" wp14:editId="289A8DC5">
            <wp:extent cx="4630420" cy="2618740"/>
            <wp:effectExtent l="0" t="0" r="0" b="0"/>
            <wp:docPr id="1323046558" name="Imagen 17"/>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4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630420" cy="2618740"/>
                    </a:xfrm>
                    <a:prstGeom prst="rect">
                      <a:avLst/>
                    </a:prstGeom>
                    <a:noFill/>
                    <a:ln>
                      <a:noFill/>
                    </a:ln>
                  </pic:spPr>
                </pic:pic>
              </a:graphicData>
            </a:graphic>
          </wp:inline>
        </w:drawing>
      </w:r>
    </w:p>
    <w:p w:rsidR="004F0984" w:rsidRPr="004F0984" w:rsidRDefault="004F0984" w:rsidP="004F0984">
      <w:pPr>
        <w:pStyle w:val="Ttulo4"/>
        <w:spacing w:before="6pt" w:after="6pt" w:line="13.80pt" w:lineRule="auto"/>
        <w:ind w:start="43.10pt" w:hanging="43.10pt"/>
        <w:rPr>
          <w:rFonts w:ascii="Century Gothic" w:hAnsi="Century Gothic"/>
          <w:sz w:val="20"/>
          <w:szCs w:val="18"/>
        </w:rPr>
      </w:pPr>
      <w:r w:rsidRPr="004F0984">
        <w:rPr>
          <w:rFonts w:ascii="Century Gothic" w:hAnsi="Century Gothic"/>
          <w:sz w:val="20"/>
          <w:szCs w:val="18"/>
        </w:rPr>
        <w:t>Figura 14. Potencia espectral para señales VDSLS-NL1 dirección Downstream desplegadas desde el Sub-bucle Local para diferentes distancias de atenuación (IL).</w:t>
      </w:r>
    </w:p>
    <w:p w:rsidR="003106DC" w:rsidRPr="00611019" w:rsidRDefault="003106DC" w:rsidP="00035D2C">
      <w:pPr>
        <w:pStyle w:val="Ttulo4"/>
        <w:spacing w:before="6pt" w:after="6pt" w:line="13.80pt" w:lineRule="auto"/>
        <w:ind w:start="43.10pt" w:hanging="43.10pt"/>
        <w:rPr>
          <w:rFonts w:ascii="Century Gothic" w:hAnsi="Century Gothic"/>
          <w:sz w:val="22"/>
          <w:szCs w:val="24"/>
        </w:rPr>
      </w:pPr>
    </w:p>
    <w:p w:rsidR="001A4D73" w:rsidRPr="00611019" w:rsidRDefault="00E56462" w:rsidP="00035D2C">
      <w:pPr>
        <w:pStyle w:val="Ttulo4"/>
        <w:spacing w:before="6pt" w:after="0pt" w:line="13.80pt" w:lineRule="auto"/>
        <w:ind w:start="43.10pt" w:hanging="43.10pt"/>
        <w:rPr>
          <w:rFonts w:ascii="Century Gothic" w:hAnsi="Century Gothic"/>
        </w:rPr>
      </w:pPr>
      <w:r>
        <w:rPr>
          <w:rFonts w:ascii="Century Gothic" w:hAnsi="Century Gothic"/>
          <w:sz w:val="22"/>
          <w:szCs w:val="24"/>
        </w:rPr>
        <w:t>6.2.8.2</w:t>
      </w:r>
      <w:r>
        <w:rPr>
          <w:rFonts w:ascii="Century Gothic" w:hAnsi="Century Gothic"/>
          <w:sz w:val="22"/>
          <w:szCs w:val="24"/>
        </w:rPr>
        <w:tab/>
      </w:r>
      <w:r>
        <w:rPr>
          <w:rFonts w:ascii="Century Gothic" w:hAnsi="Century Gothic" w:cs="Arial"/>
          <w:color w:val="000000" w:themeColor="text1"/>
        </w:rPr>
        <w:t xml:space="preserve"> </w:t>
      </w:r>
      <w:r>
        <w:rPr>
          <w:rFonts w:ascii="Century Gothic" w:hAnsi="Century Gothic" w:cs="Arial"/>
          <w:color w:val="000000" w:themeColor="text1"/>
          <w:sz w:val="22"/>
          <w:szCs w:val="22"/>
        </w:rPr>
        <w:t>Upstream</w:t>
      </w:r>
      <w:r>
        <w:rPr>
          <w:rFonts w:ascii="Century Gothic" w:hAnsi="Century Gothic" w:cs="Arial"/>
          <w:color w:val="000000" w:themeColor="text1"/>
        </w:rPr>
        <w:t>.</w:t>
      </w:r>
    </w:p>
    <w:p w:rsidR="0050705A" w:rsidRPr="00611019" w:rsidRDefault="00E56462" w:rsidP="00035D2C">
      <w:pPr>
        <w:pStyle w:val="IFTnormal"/>
        <w:rPr>
          <w:rFonts w:ascii="Century Gothic" w:hAnsi="Century Gothic"/>
        </w:rPr>
      </w:pPr>
      <w:r>
        <w:rPr>
          <w:rFonts w:ascii="Century Gothic" w:hAnsi="Century Gothic"/>
        </w:rPr>
        <w:t xml:space="preserve">La señal en dirección </w:t>
      </w:r>
      <w:r>
        <w:rPr>
          <w:rFonts w:ascii="Century Gothic" w:hAnsi="Century Gothic"/>
          <w:i/>
        </w:rPr>
        <w:t>Upstream</w:t>
      </w:r>
      <w:r>
        <w:rPr>
          <w:rFonts w:ascii="Century Gothic" w:hAnsi="Century Gothic"/>
        </w:rPr>
        <w:t xml:space="preserve"> debe cumplir simultáneamente con límites de transmisión observados en el punto de terminación de red del Bucle Local</w:t>
      </w:r>
      <w:r w:rsidR="004F0984">
        <w:rPr>
          <w:rFonts w:ascii="Century Gothic" w:hAnsi="Century Gothic"/>
        </w:rPr>
        <w:t>/Sub-Bucle Local</w:t>
      </w:r>
      <w:r>
        <w:rPr>
          <w:rFonts w:ascii="Century Gothic" w:hAnsi="Century Gothic"/>
        </w:rPr>
        <w:t>; y con límites de recepción observados en el punto de terminación de línea del Bucle Local</w:t>
      </w:r>
      <w:r w:rsidR="004F0984">
        <w:rPr>
          <w:rFonts w:ascii="Century Gothic" w:hAnsi="Century Gothic"/>
        </w:rPr>
        <w:t>/Sub-Bucle Local</w:t>
      </w:r>
      <w:r>
        <w:rPr>
          <w:rFonts w:ascii="Century Gothic" w:hAnsi="Century Gothic"/>
        </w:rPr>
        <w:t>.</w:t>
      </w:r>
    </w:p>
    <w:p w:rsidR="00E100F0" w:rsidRDefault="00E100F0" w:rsidP="00035D2C">
      <w:pPr>
        <w:pStyle w:val="IFTnormal"/>
        <w:spacing w:after="6pt"/>
        <w:rPr>
          <w:rFonts w:ascii="Century Gothic" w:hAnsi="Century Gothic"/>
        </w:rPr>
      </w:pPr>
    </w:p>
    <w:p w:rsidR="00655060" w:rsidRPr="00611019" w:rsidRDefault="00E56462" w:rsidP="00035D2C">
      <w:pPr>
        <w:pStyle w:val="IFTnormal"/>
        <w:spacing w:after="6pt"/>
        <w:rPr>
          <w:rFonts w:ascii="Century Gothic" w:hAnsi="Century Gothic"/>
        </w:rPr>
      </w:pPr>
      <w:r>
        <w:rPr>
          <w:rFonts w:ascii="Century Gothic" w:hAnsi="Century Gothic"/>
        </w:rPr>
        <w:t xml:space="preserve">La Tabla 16 presenta los puntos de referencia límite definidos en la cláusula 12.1 de ETSI TR 101 830-1 V1.5.2 para la señal transmitida en dirección </w:t>
      </w:r>
      <w:r>
        <w:rPr>
          <w:rFonts w:ascii="Century Gothic" w:hAnsi="Century Gothic"/>
          <w:i/>
        </w:rPr>
        <w:t>Upstream</w:t>
      </w:r>
      <w:r>
        <w:rPr>
          <w:rFonts w:ascii="Century Gothic" w:hAnsi="Century Gothic"/>
        </w:rPr>
        <w:t xml:space="preserve">, </w:t>
      </w:r>
    </w:p>
    <w:p w:rsidR="00E100F0" w:rsidRDefault="00E100F0" w:rsidP="00035D2C">
      <w:pPr>
        <w:pStyle w:val="IFTnormal"/>
        <w:spacing w:after="6pt"/>
        <w:rPr>
          <w:rFonts w:ascii="Century Gothic" w:hAnsi="Century Gothic"/>
        </w:rPr>
      </w:pPr>
    </w:p>
    <w:p w:rsidR="00655060" w:rsidRPr="00611019" w:rsidRDefault="00E56462" w:rsidP="00035D2C">
      <w:pPr>
        <w:pStyle w:val="IFTnormal"/>
        <w:spacing w:after="6pt"/>
        <w:rPr>
          <w:rFonts w:ascii="Century Gothic" w:hAnsi="Century Gothic"/>
        </w:rPr>
      </w:pPr>
      <w:r>
        <w:rPr>
          <w:rFonts w:ascii="Century Gothic" w:hAnsi="Century Gothic"/>
        </w:rPr>
        <w:lastRenderedPageBreak/>
        <w:t>Las señales transmitidas de este tipo deben satisfacer simultáneamente los límites para los anchos de banda definidos mediante la etiqueta “X” así como los correspondientes a la etiqueta “Y” y la etiqueta “Z”, lo cual implica que para algunas frecuencias se deberán realizar mediciones con tres diferentes anchos de banda.</w:t>
      </w:r>
    </w:p>
    <w:p w:rsidR="00655060" w:rsidRPr="00611019" w:rsidRDefault="00E56462" w:rsidP="00035D2C">
      <w:pPr>
        <w:pStyle w:val="IFTnormal"/>
        <w:rPr>
          <w:rFonts w:ascii="Century Gothic" w:hAnsi="Century Gothic"/>
        </w:rPr>
      </w:pPr>
      <w:r>
        <w:rPr>
          <w:rFonts w:ascii="Century Gothic" w:hAnsi="Century Gothic"/>
        </w:rPr>
        <w:t>Adicionalmente, la Tabla 17 muestra los puntos de referencia límite correspondientes a la señal recibida en dirección upstream. Las señales recibidas de este tipo deben satisfacer simultáneamente los límites para los anchos de banda definidos por las etiquetas “X1”, “X2”, “Y1”, “Y2”; lo anterior implica que para algunas frecuencias se deberán realizar mediciones con dos o más anchos de banda.</w:t>
      </w:r>
    </w:p>
    <w:p w:rsidR="00EB34C0" w:rsidRPr="00611019" w:rsidRDefault="00EB34C0"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rPr>
        <w:t>Adicionalmente que las figuras 15 y 16 ilustran la forma de la densidad espectral de potencia para estas señales en transmisión y en recepción, respectivamente.</w:t>
      </w:r>
    </w:p>
    <w:p w:rsidR="00BB6358" w:rsidRPr="00611019" w:rsidRDefault="00BB6358" w:rsidP="00035D2C">
      <w:pPr>
        <w:pStyle w:val="IFTnormal"/>
        <w:rPr>
          <w:rFonts w:ascii="Century Gothic" w:hAnsi="Century Gothic"/>
          <w:sz w:val="12"/>
        </w:rPr>
      </w:pPr>
    </w:p>
    <w:p w:rsidR="00655060" w:rsidRDefault="00E56462" w:rsidP="00035D2C">
      <w:pPr>
        <w:pStyle w:val="Formatolibre"/>
        <w:spacing w:line="13.80pt" w:lineRule="auto"/>
        <w:ind w:start="35.40pt" w:hanging="35.40pt"/>
        <w:jc w:val="center"/>
        <w:rPr>
          <w:rFonts w:ascii="Century Gothic" w:eastAsiaTheme="minorHAnsi" w:hAnsi="Century Gothic" w:cs="Arial"/>
          <w:b/>
          <w:color w:val="auto"/>
          <w:sz w:val="20"/>
          <w:szCs w:val="22"/>
          <w:lang w:val="es-MX" w:eastAsia="en-US"/>
        </w:rPr>
      </w:pPr>
      <w:r>
        <w:rPr>
          <w:rFonts w:ascii="Century Gothic" w:eastAsiaTheme="minorHAnsi" w:hAnsi="Century Gothic" w:cs="Arial"/>
          <w:b/>
          <w:color w:val="auto"/>
          <w:sz w:val="20"/>
          <w:szCs w:val="22"/>
          <w:lang w:val="es-MX" w:eastAsia="en-US"/>
        </w:rPr>
        <w:t>Tabla 16 Puntos de referencia límite de potencia de banda estrecha para señales VDSL2-NL1/POTS transmitidas en dirección Upstream.</w:t>
      </w:r>
    </w:p>
    <w:p w:rsidR="00E100F0" w:rsidRPr="00611019" w:rsidRDefault="00E100F0" w:rsidP="00035D2C">
      <w:pPr>
        <w:pStyle w:val="Formatolibre"/>
        <w:spacing w:line="13.80pt" w:lineRule="auto"/>
        <w:ind w:start="35.40pt" w:hanging="35.40pt"/>
        <w:jc w:val="center"/>
        <w:rPr>
          <w:rFonts w:ascii="Century Gothic" w:eastAsiaTheme="minorHAnsi" w:hAnsi="Century Gothic" w:cs="Arial"/>
          <w:b/>
          <w:color w:val="auto"/>
          <w:sz w:val="20"/>
          <w:szCs w:val="22"/>
          <w:lang w:val="es-MX" w:eastAsia="en-US"/>
        </w:rPr>
      </w:pPr>
    </w:p>
    <w:tbl>
      <w:tblPr>
        <w:tblStyle w:val="Cuadrculadetablaclara1"/>
        <w:tblW w:w="491.65pt" w:type="dxa"/>
        <w:jc w:val="center"/>
        <w:tblLayout w:type="fixed"/>
        <w:tblLook w:firstRow="1" w:lastRow="1" w:firstColumn="1" w:lastColumn="1" w:noHBand="0" w:noVBand="0"/>
      </w:tblPr>
      <w:tblGrid>
        <w:gridCol w:w="2260"/>
        <w:gridCol w:w="1421"/>
        <w:gridCol w:w="1701"/>
        <w:gridCol w:w="1701"/>
        <w:gridCol w:w="2126"/>
        <w:gridCol w:w="624"/>
      </w:tblGrid>
      <w:tr w:rsidR="0061711D" w:rsidTr="00E100F0">
        <w:trPr>
          <w:trHeight w:val="20"/>
          <w:tblHeader/>
          <w:jc w:val="center"/>
        </w:trPr>
        <w:tc>
          <w:tcPr>
            <w:tcW w:w="113pt" w:type="dxa"/>
            <w:shd w:val="clear" w:color="auto" w:fill="009AD9"/>
            <w:vAlign w:val="center"/>
          </w:tcPr>
          <w:p w:rsidR="00655060" w:rsidRPr="00611019" w:rsidRDefault="00E56462" w:rsidP="00035D2C">
            <w:pPr>
              <w:pStyle w:val="Formatolibre"/>
              <w:spacing w:before="1pt" w:after="1pt" w:line="13.80pt" w:lineRule="auto"/>
              <w:jc w:val="center"/>
              <w:rPr>
                <w:rFonts w:ascii="Century Gothic" w:hAnsi="Century Gothic" w:cs="Arial"/>
                <w:b/>
                <w:color w:val="FFFFFF" w:themeColor="background1"/>
                <w:sz w:val="18"/>
              </w:rPr>
            </w:pPr>
            <w:r>
              <w:rPr>
                <w:rFonts w:ascii="Century Gothic" w:hAnsi="Century Gothic" w:cs="Arial"/>
                <w:b/>
                <w:color w:val="FFFFFF" w:themeColor="background1"/>
                <w:sz w:val="18"/>
              </w:rPr>
              <w:t>Frecuencia Central</w:t>
            </w:r>
          </w:p>
          <w:p w:rsidR="00655060" w:rsidRPr="00611019" w:rsidRDefault="00E56462" w:rsidP="00035D2C">
            <w:pPr>
              <w:pStyle w:val="Formatolibre"/>
              <w:spacing w:before="1pt" w:after="1pt" w:line="13.80pt" w:lineRule="auto"/>
              <w:jc w:val="center"/>
              <w:rPr>
                <w:rFonts w:ascii="Century Gothic" w:hAnsi="Century Gothic" w:cs="Arial"/>
                <w:color w:val="FFFFFF" w:themeColor="background1"/>
                <w:sz w:val="18"/>
              </w:rPr>
            </w:pPr>
            <w:r>
              <w:rPr>
                <w:rFonts w:ascii="Century Gothic" w:hAnsi="Century Gothic" w:cs="Arial"/>
                <w:b/>
                <w:color w:val="FFFFFF" w:themeColor="background1"/>
                <w:sz w:val="18"/>
              </w:rPr>
              <w:t>F</w:t>
            </w:r>
          </w:p>
        </w:tc>
        <w:tc>
          <w:tcPr>
            <w:tcW w:w="71.05pt" w:type="dxa"/>
            <w:shd w:val="clear" w:color="auto" w:fill="009AD9"/>
            <w:vAlign w:val="center"/>
          </w:tcPr>
          <w:p w:rsidR="00655060" w:rsidRPr="00611019" w:rsidRDefault="00E56462" w:rsidP="00035D2C">
            <w:pPr>
              <w:pStyle w:val="Formatolibre"/>
              <w:spacing w:before="1pt" w:after="1pt" w:line="13.80pt" w:lineRule="auto"/>
              <w:jc w:val="center"/>
              <w:rPr>
                <w:rFonts w:ascii="Century Gothic" w:hAnsi="Century Gothic" w:cs="Arial"/>
                <w:color w:val="FFFFFF" w:themeColor="background1"/>
                <w:sz w:val="18"/>
              </w:rPr>
            </w:pPr>
            <w:r>
              <w:rPr>
                <w:rFonts w:ascii="Century Gothic" w:hAnsi="Century Gothic" w:cs="Arial"/>
                <w:b/>
                <w:color w:val="FFFFFF" w:themeColor="background1"/>
                <w:sz w:val="18"/>
              </w:rPr>
              <w:t>Impedancia</w:t>
            </w:r>
            <w:r>
              <w:rPr>
                <w:rFonts w:ascii="Century Gothic" w:hAnsi="Century Gothic" w:cs="Arial"/>
                <w:b/>
                <w:color w:val="FFFFFF" w:themeColor="background1"/>
                <w:sz w:val="18"/>
              </w:rPr>
              <w:br/>
              <w:t>R</w:t>
            </w:r>
          </w:p>
        </w:tc>
        <w:tc>
          <w:tcPr>
            <w:tcW w:w="85.05pt" w:type="dxa"/>
            <w:shd w:val="clear" w:color="auto" w:fill="009AD9"/>
            <w:vAlign w:val="center"/>
          </w:tcPr>
          <w:p w:rsidR="00655060" w:rsidRPr="00611019" w:rsidRDefault="00E56462" w:rsidP="00035D2C">
            <w:pPr>
              <w:pStyle w:val="Formatolibre"/>
              <w:spacing w:before="1pt" w:after="1pt" w:line="13.80pt" w:lineRule="auto"/>
              <w:jc w:val="center"/>
              <w:rPr>
                <w:rFonts w:ascii="Century Gothic" w:hAnsi="Century Gothic" w:cs="Arial"/>
                <w:color w:val="FFFFFF" w:themeColor="background1"/>
                <w:sz w:val="18"/>
              </w:rPr>
            </w:pPr>
            <w:r>
              <w:rPr>
                <w:rFonts w:ascii="Century Gothic" w:hAnsi="Century Gothic" w:cs="Arial"/>
                <w:b/>
                <w:color w:val="FFFFFF" w:themeColor="background1"/>
                <w:sz w:val="18"/>
              </w:rPr>
              <w:t>Nivel de Señal</w:t>
            </w:r>
            <w:r>
              <w:rPr>
                <w:rFonts w:ascii="Century Gothic" w:hAnsi="Century Gothic" w:cs="Arial"/>
                <w:b/>
                <w:color w:val="FFFFFF" w:themeColor="background1"/>
                <w:sz w:val="18"/>
              </w:rPr>
              <w:br/>
              <w:t>P</w:t>
            </w:r>
          </w:p>
        </w:tc>
        <w:tc>
          <w:tcPr>
            <w:tcW w:w="85.05pt" w:type="dxa"/>
            <w:shd w:val="clear" w:color="auto" w:fill="009AD9"/>
            <w:vAlign w:val="center"/>
          </w:tcPr>
          <w:p w:rsidR="00655060" w:rsidRPr="00611019" w:rsidRDefault="00E56462" w:rsidP="00035D2C">
            <w:pPr>
              <w:pStyle w:val="Formatolibre"/>
              <w:spacing w:before="1pt" w:after="1pt" w:line="13.80pt" w:lineRule="auto"/>
              <w:jc w:val="center"/>
              <w:rPr>
                <w:rFonts w:ascii="Century Gothic" w:hAnsi="Century Gothic" w:cs="Arial"/>
                <w:color w:val="FFFFFF" w:themeColor="background1"/>
                <w:sz w:val="18"/>
              </w:rPr>
            </w:pPr>
            <w:r>
              <w:rPr>
                <w:rFonts w:ascii="Century Gothic" w:hAnsi="Century Gothic" w:cs="Arial"/>
                <w:b/>
                <w:color w:val="FFFFFF" w:themeColor="background1"/>
                <w:sz w:val="18"/>
              </w:rPr>
              <w:t>Ancho de Banda</w:t>
            </w:r>
            <w:r>
              <w:rPr>
                <w:rFonts w:ascii="Century Gothic" w:hAnsi="Century Gothic" w:cs="Arial"/>
                <w:b/>
                <w:color w:val="FFFFFF" w:themeColor="background1"/>
                <w:sz w:val="18"/>
              </w:rPr>
              <w:br/>
              <w:t>B</w:t>
            </w:r>
          </w:p>
        </w:tc>
        <w:tc>
          <w:tcPr>
            <w:tcW w:w="106.30pt" w:type="dxa"/>
            <w:shd w:val="clear" w:color="auto" w:fill="009AD9"/>
            <w:vAlign w:val="center"/>
          </w:tcPr>
          <w:p w:rsidR="00655060" w:rsidRPr="00611019" w:rsidRDefault="00E56462" w:rsidP="00035D2C">
            <w:pPr>
              <w:pStyle w:val="Formatolibre"/>
              <w:spacing w:before="1pt" w:after="1pt" w:line="13.80pt" w:lineRule="auto"/>
              <w:jc w:val="center"/>
              <w:rPr>
                <w:rFonts w:ascii="Century Gothic" w:hAnsi="Century Gothic" w:cs="Arial"/>
                <w:color w:val="FFFFFF" w:themeColor="background1"/>
                <w:sz w:val="18"/>
              </w:rPr>
            </w:pPr>
            <w:r>
              <w:rPr>
                <w:rFonts w:ascii="Century Gothic" w:hAnsi="Century Gothic" w:cs="Arial"/>
                <w:b/>
                <w:color w:val="FFFFFF" w:themeColor="background1"/>
                <w:sz w:val="18"/>
              </w:rPr>
              <w:t>Potencia Espectral</w:t>
            </w:r>
            <w:r>
              <w:rPr>
                <w:rFonts w:ascii="Century Gothic" w:hAnsi="Century Gothic" w:cs="Arial"/>
                <w:b/>
                <w:color w:val="FFFFFF" w:themeColor="background1"/>
                <w:sz w:val="18"/>
              </w:rPr>
              <w:br/>
              <w:t>P/B</w:t>
            </w:r>
          </w:p>
        </w:tc>
        <w:tc>
          <w:tcPr>
            <w:tcW w:w="31.20pt" w:type="dxa"/>
            <w:shd w:val="clear" w:color="auto" w:fill="009AD9"/>
            <w:vAlign w:val="center"/>
          </w:tcPr>
          <w:p w:rsidR="00655060" w:rsidRPr="00611019" w:rsidRDefault="00655060" w:rsidP="00035D2C">
            <w:pPr>
              <w:pStyle w:val="Formatolibre"/>
              <w:spacing w:before="1pt" w:after="1pt" w:line="13.80pt" w:lineRule="auto"/>
              <w:jc w:val="center"/>
              <w:rPr>
                <w:rFonts w:ascii="Century Gothic" w:hAnsi="Century Gothic" w:cs="Arial"/>
                <w:color w:val="FFFFFF" w:themeColor="background1"/>
                <w:sz w:val="18"/>
                <w:lang w:val="en-US"/>
              </w:rPr>
            </w:pPr>
          </w:p>
        </w:tc>
      </w:tr>
      <w:tr w:rsidR="0061711D" w:rsidTr="00E100F0">
        <w:trPr>
          <w:trHeight w:val="20"/>
          <w:jc w:val="center"/>
        </w:trPr>
        <w:tc>
          <w:tcPr>
            <w:tcW w:w="113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0,1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4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4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25,875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50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80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120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138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243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686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783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2 825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3 000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3 000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3 575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3 750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3 750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5 200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5 200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5 375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6 875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7 050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7 050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8 325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8 500 kHz</w:t>
            </w:r>
          </w:p>
        </w:tc>
        <w:tc>
          <w:tcPr>
            <w:tcW w:w="71.05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600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600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tc>
        <w:tc>
          <w:tcPr>
            <w:tcW w:w="85.05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-77,5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-77,5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-52,5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+5,5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+5,5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+5,5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+5,5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+5,5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-53,2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-40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-11,2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-12,7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-40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-40 dBm</w:t>
            </w:r>
          </w:p>
        </w:tc>
        <w:tc>
          <w:tcPr>
            <w:tcW w:w="85.05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10 kHz</w:t>
            </w:r>
          </w:p>
        </w:tc>
        <w:tc>
          <w:tcPr>
            <w:tcW w:w="106.30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-97,5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-97,5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-92,5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-34,5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-34,5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-34,5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-34,5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-34,5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-93,2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-80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-51,2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-52,7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-80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-80 dBm/Hz</w:t>
            </w:r>
          </w:p>
        </w:tc>
        <w:tc>
          <w:tcPr>
            <w:tcW w:w="31.20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"X"</w:t>
            </w:r>
          </w:p>
        </w:tc>
      </w:tr>
      <w:tr w:rsidR="0061711D" w:rsidTr="00E100F0">
        <w:trPr>
          <w:trHeight w:val="20"/>
          <w:jc w:val="center"/>
        </w:trPr>
        <w:tc>
          <w:tcPr>
            <w:tcW w:w="113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8 500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10 000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12 000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12 000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12 175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lastRenderedPageBreak/>
              <w:t>14 350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14 351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14 526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30 000 kHz</w:t>
            </w:r>
          </w:p>
        </w:tc>
        <w:tc>
          <w:tcPr>
            <w:tcW w:w="71.05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lastRenderedPageBreak/>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lastRenderedPageBreak/>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tc>
        <w:tc>
          <w:tcPr>
            <w:tcW w:w="85.05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lastRenderedPageBreak/>
              <w:t>-14,8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-15,5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-15,5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-40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lastRenderedPageBreak/>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-60 dBm</w:t>
            </w:r>
          </w:p>
        </w:tc>
        <w:tc>
          <w:tcPr>
            <w:tcW w:w="85.05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lastRenderedPageBreak/>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lastRenderedPageBreak/>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10 kHz</w:t>
            </w:r>
          </w:p>
        </w:tc>
        <w:tc>
          <w:tcPr>
            <w:tcW w:w="106.30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lastRenderedPageBreak/>
              <w:t>-54,8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-55,5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-55,5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-80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lastRenderedPageBreak/>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-100 dBm/Hz</w:t>
            </w:r>
          </w:p>
        </w:tc>
        <w:tc>
          <w:tcPr>
            <w:tcW w:w="31.20pt" w:type="dxa"/>
          </w:tcPr>
          <w:p w:rsidR="00655060" w:rsidRPr="00611019" w:rsidRDefault="00655060" w:rsidP="00035D2C">
            <w:pPr>
              <w:pStyle w:val="Formatolibre"/>
              <w:spacing w:before="1pt" w:after="1pt" w:line="13.80pt" w:lineRule="auto"/>
              <w:jc w:val="center"/>
              <w:rPr>
                <w:rFonts w:ascii="Century Gothic" w:hAnsi="Century Gothic" w:cs="Arial"/>
                <w:color w:val="000000" w:themeColor="text1"/>
                <w:sz w:val="16"/>
              </w:rPr>
            </w:pPr>
          </w:p>
        </w:tc>
      </w:tr>
      <w:tr w:rsidR="0061711D" w:rsidTr="00E100F0">
        <w:trPr>
          <w:trHeight w:val="20"/>
          <w:jc w:val="center"/>
        </w:trPr>
        <w:tc>
          <w:tcPr>
            <w:tcW w:w="113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50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80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120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138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243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686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783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2 825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2 999,999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3 000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3 575 kHz</w:t>
            </w:r>
          </w:p>
        </w:tc>
        <w:tc>
          <w:tcPr>
            <w:tcW w:w="71.05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tc>
        <w:tc>
          <w:tcPr>
            <w:tcW w:w="85.05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+12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+12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+12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+12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-46,7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-50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-50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-50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-50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-50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-50 dBm</w:t>
            </w:r>
          </w:p>
        </w:tc>
        <w:tc>
          <w:tcPr>
            <w:tcW w:w="85.05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tc>
        <w:tc>
          <w:tcPr>
            <w:tcW w:w="106.30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-38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-38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-38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-38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-96,7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-100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-100 dBm/Hz</w:t>
            </w:r>
          </w:p>
        </w:tc>
        <w:tc>
          <w:tcPr>
            <w:tcW w:w="31.20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"Y"</w:t>
            </w:r>
          </w:p>
        </w:tc>
      </w:tr>
      <w:tr w:rsidR="0061711D" w:rsidTr="00E100F0">
        <w:trPr>
          <w:trHeight w:val="20"/>
          <w:jc w:val="center"/>
        </w:trPr>
        <w:tc>
          <w:tcPr>
            <w:tcW w:w="113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3 749,999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3 750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5 199,999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5 200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5 375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6 875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7 049,999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7 050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8 325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8 499,999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8 500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10 000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11 999,999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12 000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12 175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14 350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14 351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14 526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30 000 kHz</w:t>
            </w:r>
          </w:p>
        </w:tc>
        <w:tc>
          <w:tcPr>
            <w:tcW w:w="71.05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tc>
        <w:tc>
          <w:tcPr>
            <w:tcW w:w="85.05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-33,5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-5,7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-6,2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-33,5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-33,5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-8,3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-9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-9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-33,5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-60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-60 dBm</w:t>
            </w:r>
          </w:p>
        </w:tc>
        <w:tc>
          <w:tcPr>
            <w:tcW w:w="85.05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100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100 kHz</w:t>
            </w:r>
          </w:p>
        </w:tc>
        <w:tc>
          <w:tcPr>
            <w:tcW w:w="106.30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-83,5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-54,7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-56,2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-83,5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-110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-110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-110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-110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-110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-83,5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-58,3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-59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-59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-83,5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-110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-110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-110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-110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-110 dBm/Hz</w:t>
            </w:r>
          </w:p>
        </w:tc>
        <w:tc>
          <w:tcPr>
            <w:tcW w:w="31.20pt" w:type="dxa"/>
          </w:tcPr>
          <w:p w:rsidR="00655060" w:rsidRPr="00611019" w:rsidRDefault="00655060" w:rsidP="00035D2C">
            <w:pPr>
              <w:pStyle w:val="Formatolibre"/>
              <w:spacing w:before="1pt" w:after="1pt" w:line="13.80pt" w:lineRule="auto"/>
              <w:jc w:val="center"/>
              <w:rPr>
                <w:rFonts w:ascii="Century Gothic" w:hAnsi="Century Gothic" w:cs="Arial"/>
                <w:color w:val="000000" w:themeColor="text1"/>
                <w:sz w:val="16"/>
              </w:rPr>
            </w:pPr>
          </w:p>
        </w:tc>
      </w:tr>
      <w:tr w:rsidR="0061711D" w:rsidTr="00E100F0">
        <w:trPr>
          <w:trHeight w:val="20"/>
          <w:jc w:val="center"/>
        </w:trPr>
        <w:tc>
          <w:tcPr>
            <w:tcW w:w="113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12 675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14 350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14 351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14 526 kHz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30 000 kHz</w:t>
            </w:r>
          </w:p>
        </w:tc>
        <w:tc>
          <w:tcPr>
            <w:tcW w:w="71.05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 xml:space="preserve">100 </w:t>
            </w:r>
            <w:r>
              <w:rPr>
                <w:rFonts w:ascii="Symbol" w:hAnsi="Symbol" w:cs="Arial"/>
                <w:color w:val="000000" w:themeColor="text1"/>
                <w:sz w:val="16"/>
              </w:rPr>
              <w:sym w:font="Symbol" w:char="F057"/>
            </w:r>
          </w:p>
        </w:tc>
        <w:tc>
          <w:tcPr>
            <w:tcW w:w="85.05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-52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-52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-52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-52 dBm</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en-US"/>
              </w:rPr>
            </w:pPr>
            <w:r>
              <w:rPr>
                <w:rFonts w:ascii="Century Gothic" w:hAnsi="Century Gothic" w:cs="Arial"/>
                <w:color w:val="000000" w:themeColor="text1"/>
                <w:sz w:val="16"/>
                <w:lang w:val="en-US"/>
              </w:rPr>
              <w:t>-52 dBm</w:t>
            </w:r>
          </w:p>
        </w:tc>
        <w:tc>
          <w:tcPr>
            <w:tcW w:w="85.05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 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 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 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 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 MHz</w:t>
            </w:r>
          </w:p>
        </w:tc>
        <w:tc>
          <w:tcPr>
            <w:tcW w:w="106.30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-112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-112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lang w:val="de-DE"/>
              </w:rPr>
            </w:pPr>
            <w:r>
              <w:rPr>
                <w:rFonts w:ascii="Century Gothic" w:hAnsi="Century Gothic" w:cs="Arial"/>
                <w:color w:val="000000" w:themeColor="text1"/>
                <w:sz w:val="16"/>
                <w:lang w:val="de-DE"/>
              </w:rPr>
              <w:t>-112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-112 dBm/Hz</w:t>
            </w:r>
          </w:p>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-112 dBm/Hz</w:t>
            </w:r>
          </w:p>
        </w:tc>
        <w:tc>
          <w:tcPr>
            <w:tcW w:w="31.20pt" w:type="dxa"/>
          </w:tcPr>
          <w:p w:rsidR="00655060" w:rsidRPr="00611019" w:rsidRDefault="00E56462" w:rsidP="00035D2C">
            <w:pPr>
              <w:pStyle w:val="Formatolibre"/>
              <w:spacing w:before="1pt" w:after="1pt" w:line="13.80pt" w:lineRule="auto"/>
              <w:jc w:val="center"/>
              <w:rPr>
                <w:rFonts w:ascii="Century Gothic" w:hAnsi="Century Gothic" w:cs="Arial"/>
                <w:color w:val="000000" w:themeColor="text1"/>
                <w:sz w:val="16"/>
              </w:rPr>
            </w:pPr>
            <w:r>
              <w:rPr>
                <w:rFonts w:ascii="Century Gothic" w:hAnsi="Century Gothic" w:cs="Arial"/>
                <w:color w:val="000000" w:themeColor="text1"/>
                <w:sz w:val="16"/>
              </w:rPr>
              <w:t>"Z"</w:t>
            </w:r>
          </w:p>
        </w:tc>
      </w:tr>
      <w:tr w:rsidR="0061711D" w:rsidTr="00874A64">
        <w:trPr>
          <w:trHeight w:val="20"/>
          <w:jc w:val="center"/>
        </w:trPr>
        <w:tc>
          <w:tcPr>
            <w:tcW w:w="491.65pt" w:type="dxa"/>
            <w:gridSpan w:val="6"/>
          </w:tcPr>
          <w:p w:rsidR="00655060" w:rsidRPr="00611019" w:rsidRDefault="00E56462" w:rsidP="00035D2C">
            <w:pPr>
              <w:spacing w:before="1pt" w:after="1pt"/>
              <w:ind w:start="41.65pt" w:hanging="32.60pt"/>
              <w:jc w:val="both"/>
              <w:rPr>
                <w:rFonts w:ascii="Century Gothic" w:hAnsi="Century Gothic" w:cs="Arial"/>
                <w:color w:val="000000" w:themeColor="text1"/>
                <w:sz w:val="16"/>
              </w:rPr>
            </w:pPr>
            <w:r>
              <w:rPr>
                <w:rFonts w:ascii="Century Gothic" w:hAnsi="Century Gothic" w:cs="Arial"/>
                <w:color w:val="000000" w:themeColor="text1"/>
                <w:sz w:val="16"/>
              </w:rPr>
              <w:t>NOTA: Los valores de PSD entre los puntos de referencia deberán obtenerse por interpolación entre los puntos adyacentes de la siguiente forma:</w:t>
            </w:r>
          </w:p>
          <w:p w:rsidR="00655060" w:rsidRPr="00611019" w:rsidRDefault="00E56462" w:rsidP="00035D2C">
            <w:pPr>
              <w:spacing w:before="1pt" w:after="1pt"/>
              <w:ind w:start="41.65pt"/>
              <w:jc w:val="both"/>
              <w:rPr>
                <w:rFonts w:ascii="Century Gothic" w:hAnsi="Century Gothic" w:cs="Arial"/>
                <w:color w:val="000000" w:themeColor="text1"/>
                <w:sz w:val="16"/>
              </w:rPr>
            </w:pPr>
            <w:r>
              <w:rPr>
                <w:rFonts w:ascii="Century Gothic" w:hAnsi="Century Gothic" w:cs="Arial"/>
                <w:color w:val="000000" w:themeColor="text1"/>
                <w:sz w:val="16"/>
              </w:rPr>
              <w:t>-debajo de 3 575 kHz con una base dB/log(f),</w:t>
            </w:r>
          </w:p>
          <w:p w:rsidR="00655060" w:rsidRPr="00611019" w:rsidRDefault="00E56462" w:rsidP="00035D2C">
            <w:pPr>
              <w:spacing w:before="1pt" w:after="1pt"/>
              <w:ind w:start="41.60pt"/>
              <w:jc w:val="both"/>
              <w:rPr>
                <w:rFonts w:ascii="Century Gothic" w:hAnsi="Century Gothic" w:cs="Arial"/>
                <w:color w:val="000000" w:themeColor="text1"/>
                <w:sz w:val="16"/>
              </w:rPr>
            </w:pPr>
            <w:r>
              <w:rPr>
                <w:rFonts w:ascii="Century Gothic" w:hAnsi="Century Gothic" w:cs="Arial"/>
                <w:color w:val="000000" w:themeColor="text1"/>
                <w:sz w:val="16"/>
              </w:rPr>
              <w:t>-por arriba de 3 575 kHz con una base dB/f.</w:t>
            </w:r>
          </w:p>
        </w:tc>
      </w:tr>
    </w:tbl>
    <w:p w:rsidR="00EB34C0" w:rsidRDefault="00EB34C0" w:rsidP="00035D2C">
      <w:pPr>
        <w:pStyle w:val="Formatolibre"/>
        <w:spacing w:before="6pt" w:line="13.80pt" w:lineRule="auto"/>
        <w:ind w:start="35.45pt" w:hanging="35.45pt"/>
        <w:jc w:val="center"/>
        <w:rPr>
          <w:rFonts w:ascii="Century Gothic" w:eastAsiaTheme="minorHAnsi" w:hAnsi="Century Gothic" w:cs="Arial"/>
          <w:b/>
          <w:color w:val="auto"/>
          <w:sz w:val="20"/>
          <w:szCs w:val="22"/>
          <w:lang w:val="es-MX" w:eastAsia="en-US"/>
        </w:rPr>
      </w:pPr>
    </w:p>
    <w:p w:rsidR="00E100F0" w:rsidRDefault="00E100F0" w:rsidP="00035D2C">
      <w:pPr>
        <w:pStyle w:val="Formatolibre"/>
        <w:spacing w:before="6pt" w:line="13.80pt" w:lineRule="auto"/>
        <w:ind w:start="35.45pt" w:hanging="35.45pt"/>
        <w:jc w:val="center"/>
        <w:rPr>
          <w:rFonts w:ascii="Century Gothic" w:eastAsiaTheme="minorHAnsi" w:hAnsi="Century Gothic" w:cs="Arial"/>
          <w:b/>
          <w:color w:val="auto"/>
          <w:sz w:val="20"/>
          <w:szCs w:val="22"/>
          <w:lang w:val="es-MX" w:eastAsia="en-US"/>
        </w:rPr>
      </w:pPr>
    </w:p>
    <w:p w:rsidR="00E100F0" w:rsidRDefault="00E100F0" w:rsidP="00035D2C">
      <w:pPr>
        <w:pStyle w:val="Formatolibre"/>
        <w:spacing w:before="6pt" w:line="13.80pt" w:lineRule="auto"/>
        <w:ind w:start="35.45pt" w:hanging="35.45pt"/>
        <w:jc w:val="center"/>
        <w:rPr>
          <w:rFonts w:ascii="Century Gothic" w:eastAsiaTheme="minorHAnsi" w:hAnsi="Century Gothic" w:cs="Arial"/>
          <w:b/>
          <w:color w:val="auto"/>
          <w:sz w:val="20"/>
          <w:szCs w:val="22"/>
          <w:lang w:val="es-MX" w:eastAsia="en-US"/>
        </w:rPr>
      </w:pPr>
    </w:p>
    <w:p w:rsidR="00E100F0" w:rsidRPr="00611019" w:rsidRDefault="00E100F0" w:rsidP="00035D2C">
      <w:pPr>
        <w:pStyle w:val="Formatolibre"/>
        <w:spacing w:before="6pt" w:line="13.80pt" w:lineRule="auto"/>
        <w:ind w:start="35.45pt" w:hanging="35.45pt"/>
        <w:jc w:val="center"/>
        <w:rPr>
          <w:rFonts w:ascii="Century Gothic" w:eastAsiaTheme="minorHAnsi" w:hAnsi="Century Gothic" w:cs="Arial"/>
          <w:b/>
          <w:color w:val="auto"/>
          <w:sz w:val="20"/>
          <w:szCs w:val="22"/>
          <w:lang w:val="es-MX" w:eastAsia="en-US"/>
        </w:rPr>
      </w:pPr>
    </w:p>
    <w:p w:rsidR="00655060" w:rsidRPr="00611019" w:rsidRDefault="00E56462" w:rsidP="00035D2C">
      <w:pPr>
        <w:pStyle w:val="Formatolibre"/>
        <w:spacing w:before="6pt" w:line="13.80pt" w:lineRule="auto"/>
        <w:ind w:start="35.45pt" w:hanging="35.45pt"/>
        <w:jc w:val="center"/>
        <w:rPr>
          <w:rFonts w:ascii="Century Gothic" w:eastAsiaTheme="minorHAnsi" w:hAnsi="Century Gothic" w:cs="Arial"/>
          <w:b/>
          <w:color w:val="auto"/>
          <w:sz w:val="20"/>
          <w:szCs w:val="22"/>
          <w:lang w:val="es-MX" w:eastAsia="en-US"/>
        </w:rPr>
      </w:pPr>
      <w:r>
        <w:rPr>
          <w:rFonts w:ascii="Century Gothic" w:eastAsiaTheme="minorHAnsi" w:hAnsi="Century Gothic" w:cs="Arial"/>
          <w:b/>
          <w:color w:val="auto"/>
          <w:sz w:val="20"/>
          <w:szCs w:val="22"/>
          <w:lang w:val="es-MX" w:eastAsia="en-US"/>
        </w:rPr>
        <w:lastRenderedPageBreak/>
        <w:t>Tabla 17 Puntos de referencia límite de potencia de banda estrecha para señales VDSL2-NL1/POTS recibidas en dirección Upstream.</w:t>
      </w:r>
    </w:p>
    <w:tbl>
      <w:tblPr>
        <w:tblStyle w:val="Cuadrculadetablaclara1"/>
        <w:tblW w:w="515.60pt" w:type="dxa"/>
        <w:jc w:val="center"/>
        <w:tblLayout w:type="fixed"/>
        <w:tblLook w:firstRow="1" w:lastRow="1" w:firstColumn="1" w:lastColumn="1" w:noHBand="0" w:noVBand="0"/>
      </w:tblPr>
      <w:tblGrid>
        <w:gridCol w:w="2123"/>
        <w:gridCol w:w="1418"/>
        <w:gridCol w:w="1843"/>
        <w:gridCol w:w="1984"/>
        <w:gridCol w:w="2127"/>
        <w:gridCol w:w="817"/>
      </w:tblGrid>
      <w:tr w:rsidR="0061711D" w:rsidTr="00CC4C82">
        <w:trPr>
          <w:trHeight w:val="20"/>
          <w:jc w:val="center"/>
        </w:trPr>
        <w:tc>
          <w:tcPr>
            <w:tcW w:w="106.10pt" w:type="dxa"/>
            <w:shd w:val="clear" w:color="auto" w:fill="009AD9"/>
            <w:vAlign w:val="center"/>
          </w:tcPr>
          <w:p w:rsidR="00655060" w:rsidRPr="00611019" w:rsidRDefault="00E56462" w:rsidP="00035D2C">
            <w:pPr>
              <w:pStyle w:val="Formatolibre"/>
              <w:spacing w:line="13.80pt" w:lineRule="auto"/>
              <w:jc w:val="center"/>
              <w:rPr>
                <w:rFonts w:ascii="Century Gothic" w:hAnsi="Century Gothic" w:cs="Arial"/>
                <w:b/>
                <w:color w:val="FFFFFF" w:themeColor="background1"/>
                <w:sz w:val="20"/>
                <w:szCs w:val="22"/>
              </w:rPr>
            </w:pPr>
            <w:r>
              <w:rPr>
                <w:rFonts w:ascii="Century Gothic" w:hAnsi="Century Gothic" w:cs="Arial"/>
                <w:b/>
                <w:color w:val="FFFFFF" w:themeColor="background1"/>
                <w:sz w:val="20"/>
                <w:szCs w:val="22"/>
              </w:rPr>
              <w:t>Frecuencia Central</w:t>
            </w:r>
          </w:p>
          <w:p w:rsidR="00655060" w:rsidRPr="00611019" w:rsidRDefault="00E56462" w:rsidP="00035D2C">
            <w:pPr>
              <w:pStyle w:val="Formatolibre"/>
              <w:spacing w:line="13.80pt" w:lineRule="auto"/>
              <w:jc w:val="center"/>
              <w:rPr>
                <w:rFonts w:ascii="Century Gothic" w:hAnsi="Century Gothic" w:cs="Arial"/>
                <w:color w:val="FFFFFF" w:themeColor="background1"/>
                <w:sz w:val="20"/>
                <w:szCs w:val="22"/>
              </w:rPr>
            </w:pPr>
            <w:r>
              <w:rPr>
                <w:rFonts w:ascii="Century Gothic" w:hAnsi="Century Gothic" w:cs="Arial"/>
                <w:b/>
                <w:color w:val="FFFFFF" w:themeColor="background1"/>
                <w:sz w:val="20"/>
                <w:szCs w:val="22"/>
              </w:rPr>
              <w:t>f</w:t>
            </w:r>
          </w:p>
        </w:tc>
        <w:tc>
          <w:tcPr>
            <w:tcW w:w="70.85pt" w:type="dxa"/>
            <w:shd w:val="clear" w:color="auto" w:fill="009AD9"/>
            <w:vAlign w:val="center"/>
          </w:tcPr>
          <w:p w:rsidR="00655060" w:rsidRPr="00611019" w:rsidRDefault="00E56462" w:rsidP="00035D2C">
            <w:pPr>
              <w:pStyle w:val="Formatolibre"/>
              <w:spacing w:line="13.80pt" w:lineRule="auto"/>
              <w:jc w:val="center"/>
              <w:rPr>
                <w:rFonts w:ascii="Century Gothic" w:hAnsi="Century Gothic" w:cs="Arial"/>
                <w:b/>
                <w:color w:val="FFFFFF" w:themeColor="background1"/>
                <w:sz w:val="20"/>
                <w:szCs w:val="22"/>
              </w:rPr>
            </w:pPr>
            <w:r>
              <w:rPr>
                <w:rFonts w:ascii="Century Gothic" w:hAnsi="Century Gothic" w:cs="Arial"/>
                <w:b/>
                <w:color w:val="FFFFFF" w:themeColor="background1"/>
                <w:sz w:val="20"/>
                <w:szCs w:val="22"/>
              </w:rPr>
              <w:t>Impedancia</w:t>
            </w:r>
          </w:p>
        </w:tc>
        <w:tc>
          <w:tcPr>
            <w:tcW w:w="92.15pt" w:type="dxa"/>
            <w:shd w:val="clear" w:color="auto" w:fill="009AD9"/>
            <w:vAlign w:val="center"/>
          </w:tcPr>
          <w:p w:rsidR="00655060" w:rsidRPr="00611019" w:rsidRDefault="00E56462" w:rsidP="00035D2C">
            <w:pPr>
              <w:pStyle w:val="Formatolibre"/>
              <w:spacing w:line="13.80pt" w:lineRule="auto"/>
              <w:jc w:val="center"/>
              <w:rPr>
                <w:rFonts w:ascii="Century Gothic" w:hAnsi="Century Gothic" w:cs="Arial"/>
                <w:b/>
                <w:color w:val="FFFFFF" w:themeColor="background1"/>
                <w:sz w:val="20"/>
                <w:szCs w:val="22"/>
              </w:rPr>
            </w:pPr>
            <w:r>
              <w:rPr>
                <w:rFonts w:ascii="Century Gothic" w:hAnsi="Century Gothic" w:cs="Arial"/>
                <w:b/>
                <w:color w:val="FFFFFF" w:themeColor="background1"/>
                <w:sz w:val="20"/>
                <w:szCs w:val="22"/>
              </w:rPr>
              <w:t>Nivel de Señal</w:t>
            </w:r>
          </w:p>
          <w:p w:rsidR="00655060" w:rsidRPr="00611019" w:rsidRDefault="00E56462" w:rsidP="00035D2C">
            <w:pPr>
              <w:pStyle w:val="Formatolibre"/>
              <w:spacing w:line="13.80pt" w:lineRule="auto"/>
              <w:jc w:val="center"/>
              <w:rPr>
                <w:rFonts w:ascii="Century Gothic" w:hAnsi="Century Gothic" w:cs="Arial"/>
                <w:color w:val="FFFFFF" w:themeColor="background1"/>
                <w:sz w:val="20"/>
                <w:szCs w:val="22"/>
              </w:rPr>
            </w:pPr>
            <w:r>
              <w:rPr>
                <w:rFonts w:ascii="Century Gothic" w:hAnsi="Century Gothic" w:cs="Arial"/>
                <w:b/>
                <w:color w:val="FFFFFF" w:themeColor="background1"/>
                <w:sz w:val="20"/>
                <w:szCs w:val="22"/>
              </w:rPr>
              <w:t>P</w:t>
            </w:r>
          </w:p>
        </w:tc>
        <w:tc>
          <w:tcPr>
            <w:tcW w:w="99.20pt" w:type="dxa"/>
            <w:shd w:val="clear" w:color="auto" w:fill="009AD9"/>
            <w:vAlign w:val="center"/>
          </w:tcPr>
          <w:p w:rsidR="00655060" w:rsidRPr="00611019" w:rsidRDefault="00E56462" w:rsidP="00035D2C">
            <w:pPr>
              <w:pStyle w:val="Formatolibre"/>
              <w:spacing w:line="13.80pt" w:lineRule="auto"/>
              <w:jc w:val="center"/>
              <w:rPr>
                <w:rFonts w:ascii="Century Gothic" w:hAnsi="Century Gothic" w:cs="Arial"/>
                <w:b/>
                <w:color w:val="FFFFFF" w:themeColor="background1"/>
                <w:sz w:val="20"/>
                <w:szCs w:val="22"/>
              </w:rPr>
            </w:pPr>
            <w:r>
              <w:rPr>
                <w:rFonts w:ascii="Century Gothic" w:hAnsi="Century Gothic" w:cs="Arial"/>
                <w:b/>
                <w:color w:val="FFFFFF" w:themeColor="background1"/>
                <w:sz w:val="20"/>
                <w:szCs w:val="22"/>
              </w:rPr>
              <w:t>Ancho de Banda</w:t>
            </w:r>
          </w:p>
          <w:p w:rsidR="00655060" w:rsidRPr="00611019" w:rsidRDefault="00E56462" w:rsidP="00035D2C">
            <w:pPr>
              <w:pStyle w:val="Formatolibre"/>
              <w:spacing w:line="13.80pt" w:lineRule="auto"/>
              <w:jc w:val="center"/>
              <w:rPr>
                <w:rFonts w:ascii="Century Gothic" w:hAnsi="Century Gothic" w:cs="Arial"/>
                <w:color w:val="FFFFFF" w:themeColor="background1"/>
                <w:sz w:val="20"/>
                <w:szCs w:val="22"/>
              </w:rPr>
            </w:pPr>
            <w:r>
              <w:rPr>
                <w:rFonts w:ascii="Century Gothic" w:hAnsi="Century Gothic" w:cs="Arial"/>
                <w:b/>
                <w:color w:val="FFFFFF" w:themeColor="background1"/>
                <w:sz w:val="20"/>
                <w:szCs w:val="22"/>
              </w:rPr>
              <w:t>B</w:t>
            </w:r>
          </w:p>
        </w:tc>
        <w:tc>
          <w:tcPr>
            <w:tcW w:w="106.35pt" w:type="dxa"/>
            <w:shd w:val="clear" w:color="auto" w:fill="009AD9"/>
            <w:vAlign w:val="center"/>
          </w:tcPr>
          <w:p w:rsidR="00655060" w:rsidRPr="00611019" w:rsidRDefault="00E56462" w:rsidP="00035D2C">
            <w:pPr>
              <w:pStyle w:val="Formatolibre"/>
              <w:spacing w:line="13.80pt" w:lineRule="auto"/>
              <w:jc w:val="center"/>
              <w:rPr>
                <w:rFonts w:ascii="Century Gothic" w:hAnsi="Century Gothic" w:cs="Arial"/>
                <w:b/>
                <w:color w:val="FFFFFF" w:themeColor="background1"/>
                <w:sz w:val="20"/>
                <w:szCs w:val="22"/>
              </w:rPr>
            </w:pPr>
            <w:r>
              <w:rPr>
                <w:rFonts w:ascii="Century Gothic" w:hAnsi="Century Gothic" w:cs="Arial"/>
                <w:b/>
                <w:color w:val="FFFFFF" w:themeColor="background1"/>
                <w:sz w:val="20"/>
                <w:szCs w:val="22"/>
              </w:rPr>
              <w:t>Potencia Espectral</w:t>
            </w:r>
          </w:p>
          <w:p w:rsidR="00655060" w:rsidRPr="00611019" w:rsidRDefault="00E56462" w:rsidP="00035D2C">
            <w:pPr>
              <w:pStyle w:val="Formatolibre"/>
              <w:spacing w:line="13.80pt" w:lineRule="auto"/>
              <w:jc w:val="center"/>
              <w:rPr>
                <w:rFonts w:ascii="Century Gothic" w:hAnsi="Century Gothic" w:cs="Arial"/>
                <w:color w:val="FFFFFF" w:themeColor="background1"/>
                <w:sz w:val="20"/>
                <w:szCs w:val="22"/>
              </w:rPr>
            </w:pPr>
            <w:r>
              <w:rPr>
                <w:rFonts w:ascii="Century Gothic" w:hAnsi="Century Gothic" w:cs="Arial"/>
                <w:b/>
                <w:color w:val="FFFFFF" w:themeColor="background1"/>
                <w:sz w:val="20"/>
                <w:szCs w:val="22"/>
              </w:rPr>
              <w:t>P/B</w:t>
            </w:r>
          </w:p>
        </w:tc>
        <w:tc>
          <w:tcPr>
            <w:tcW w:w="40.85pt" w:type="dxa"/>
            <w:shd w:val="clear" w:color="auto" w:fill="009AD9"/>
            <w:vAlign w:val="center"/>
          </w:tcPr>
          <w:p w:rsidR="00655060" w:rsidRPr="00611019" w:rsidRDefault="00655060" w:rsidP="00035D2C">
            <w:pPr>
              <w:pStyle w:val="Formatolibre"/>
              <w:spacing w:line="13.80pt" w:lineRule="auto"/>
              <w:jc w:val="center"/>
              <w:rPr>
                <w:rFonts w:ascii="Century Gothic" w:hAnsi="Century Gothic" w:cs="Arial"/>
                <w:b/>
                <w:color w:val="FFFFFF" w:themeColor="background1"/>
                <w:sz w:val="20"/>
                <w:szCs w:val="22"/>
              </w:rPr>
            </w:pPr>
          </w:p>
        </w:tc>
      </w:tr>
      <w:tr w:rsidR="0061711D" w:rsidTr="00CC4C82">
        <w:trPr>
          <w:trHeight w:val="20"/>
          <w:jc w:val="center"/>
        </w:trPr>
        <w:tc>
          <w:tcPr>
            <w:tcW w:w="106.1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3 575 kHz</w:t>
            </w:r>
          </w:p>
        </w:tc>
        <w:tc>
          <w:tcPr>
            <w:tcW w:w="70.8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100 Ω</w:t>
            </w:r>
          </w:p>
        </w:tc>
        <w:tc>
          <w:tcPr>
            <w:tcW w:w="92.1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-43,45 dBm</w:t>
            </w:r>
          </w:p>
        </w:tc>
        <w:tc>
          <w:tcPr>
            <w:tcW w:w="99.2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 kHz</w:t>
            </w:r>
          </w:p>
        </w:tc>
        <w:tc>
          <w:tcPr>
            <w:tcW w:w="106.3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-83,45 dBm/Hz</w:t>
            </w:r>
          </w:p>
        </w:tc>
        <w:tc>
          <w:tcPr>
            <w:tcW w:w="40.85pt" w:type="dxa"/>
            <w:vMerge w:val="restart"/>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"X1"</w:t>
            </w:r>
          </w:p>
        </w:tc>
      </w:tr>
      <w:tr w:rsidR="0061711D" w:rsidTr="00CC4C82">
        <w:trPr>
          <w:trHeight w:val="20"/>
          <w:jc w:val="center"/>
        </w:trPr>
        <w:tc>
          <w:tcPr>
            <w:tcW w:w="106.1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w:t>
            </w:r>
          </w:p>
        </w:tc>
        <w:tc>
          <w:tcPr>
            <w:tcW w:w="70.8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100 Ω</w:t>
            </w:r>
          </w:p>
        </w:tc>
        <w:tc>
          <w:tcPr>
            <w:tcW w:w="92.1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Interp</w:t>
            </w:r>
          </w:p>
        </w:tc>
        <w:tc>
          <w:tcPr>
            <w:tcW w:w="99.2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 kHz</w:t>
            </w:r>
          </w:p>
        </w:tc>
        <w:tc>
          <w:tcPr>
            <w:tcW w:w="106.3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interp</w:t>
            </w:r>
          </w:p>
        </w:tc>
        <w:tc>
          <w:tcPr>
            <w:tcW w:w="40.85pt" w:type="dxa"/>
            <w:vMerge/>
          </w:tcPr>
          <w:p w:rsidR="00655060" w:rsidRPr="00611019" w:rsidRDefault="00655060" w:rsidP="00035D2C">
            <w:pPr>
              <w:pStyle w:val="Formatolibre"/>
              <w:spacing w:line="13.80pt" w:lineRule="auto"/>
              <w:jc w:val="center"/>
              <w:rPr>
                <w:rFonts w:ascii="Century Gothic" w:hAnsi="Century Gothic" w:cs="Arial"/>
                <w:color w:val="000000" w:themeColor="text1"/>
                <w:sz w:val="20"/>
                <w:szCs w:val="22"/>
              </w:rPr>
            </w:pPr>
          </w:p>
        </w:tc>
      </w:tr>
      <w:tr w:rsidR="0061711D" w:rsidTr="00CC4C82">
        <w:trPr>
          <w:trHeight w:val="20"/>
          <w:jc w:val="center"/>
        </w:trPr>
        <w:tc>
          <w:tcPr>
            <w:tcW w:w="106.1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5 375 kHz</w:t>
            </w:r>
          </w:p>
        </w:tc>
        <w:tc>
          <w:tcPr>
            <w:tcW w:w="70.8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100 Ω</w:t>
            </w:r>
          </w:p>
        </w:tc>
        <w:tc>
          <w:tcPr>
            <w:tcW w:w="92.1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-52,65 dBm</w:t>
            </w:r>
          </w:p>
        </w:tc>
        <w:tc>
          <w:tcPr>
            <w:tcW w:w="99.2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 kHz</w:t>
            </w:r>
          </w:p>
        </w:tc>
        <w:tc>
          <w:tcPr>
            <w:tcW w:w="106.3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-92,65 dBm/Hz</w:t>
            </w:r>
          </w:p>
        </w:tc>
        <w:tc>
          <w:tcPr>
            <w:tcW w:w="40.85pt" w:type="dxa"/>
            <w:vMerge/>
          </w:tcPr>
          <w:p w:rsidR="00655060" w:rsidRPr="00611019" w:rsidRDefault="00655060" w:rsidP="00035D2C">
            <w:pPr>
              <w:pStyle w:val="Formatolibre"/>
              <w:spacing w:line="13.80pt" w:lineRule="auto"/>
              <w:jc w:val="center"/>
              <w:rPr>
                <w:rFonts w:ascii="Century Gothic" w:hAnsi="Century Gothic" w:cs="Arial"/>
                <w:color w:val="000000" w:themeColor="text1"/>
                <w:sz w:val="20"/>
                <w:szCs w:val="22"/>
              </w:rPr>
            </w:pPr>
          </w:p>
        </w:tc>
      </w:tr>
      <w:tr w:rsidR="0061711D" w:rsidTr="00CC4C82">
        <w:trPr>
          <w:trHeight w:val="20"/>
          <w:jc w:val="center"/>
        </w:trPr>
        <w:tc>
          <w:tcPr>
            <w:tcW w:w="106.1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8 325 kHz</w:t>
            </w:r>
          </w:p>
        </w:tc>
        <w:tc>
          <w:tcPr>
            <w:tcW w:w="70.8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100 Ω</w:t>
            </w:r>
          </w:p>
        </w:tc>
        <w:tc>
          <w:tcPr>
            <w:tcW w:w="92.1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-53,41 dBm</w:t>
            </w:r>
          </w:p>
        </w:tc>
        <w:tc>
          <w:tcPr>
            <w:tcW w:w="99.2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 kHz</w:t>
            </w:r>
          </w:p>
        </w:tc>
        <w:tc>
          <w:tcPr>
            <w:tcW w:w="106.3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-93,41 dBm/Hz</w:t>
            </w:r>
          </w:p>
        </w:tc>
        <w:tc>
          <w:tcPr>
            <w:tcW w:w="40.85pt" w:type="dxa"/>
            <w:vMerge w:val="restart"/>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"X2"</w:t>
            </w:r>
          </w:p>
        </w:tc>
      </w:tr>
      <w:tr w:rsidR="0061711D" w:rsidTr="00CC4C82">
        <w:trPr>
          <w:trHeight w:val="20"/>
          <w:jc w:val="center"/>
        </w:trPr>
        <w:tc>
          <w:tcPr>
            <w:tcW w:w="106.1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w:t>
            </w:r>
          </w:p>
        </w:tc>
        <w:tc>
          <w:tcPr>
            <w:tcW w:w="70.8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100 Ω</w:t>
            </w:r>
          </w:p>
        </w:tc>
        <w:tc>
          <w:tcPr>
            <w:tcW w:w="92.1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Interp</w:t>
            </w:r>
          </w:p>
        </w:tc>
        <w:tc>
          <w:tcPr>
            <w:tcW w:w="99.2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 kHz</w:t>
            </w:r>
          </w:p>
        </w:tc>
        <w:tc>
          <w:tcPr>
            <w:tcW w:w="106.3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interp</w:t>
            </w:r>
          </w:p>
        </w:tc>
        <w:tc>
          <w:tcPr>
            <w:tcW w:w="40.85pt" w:type="dxa"/>
            <w:vMerge/>
          </w:tcPr>
          <w:p w:rsidR="00655060" w:rsidRPr="00611019" w:rsidRDefault="00655060" w:rsidP="00035D2C">
            <w:pPr>
              <w:pStyle w:val="Formatolibre"/>
              <w:spacing w:line="13.80pt" w:lineRule="auto"/>
              <w:jc w:val="center"/>
              <w:rPr>
                <w:rFonts w:ascii="Century Gothic" w:hAnsi="Century Gothic" w:cs="Arial"/>
                <w:color w:val="000000" w:themeColor="text1"/>
                <w:sz w:val="20"/>
                <w:szCs w:val="22"/>
              </w:rPr>
            </w:pPr>
          </w:p>
        </w:tc>
      </w:tr>
      <w:tr w:rsidR="0061711D" w:rsidTr="00CC4C82">
        <w:trPr>
          <w:trHeight w:val="20"/>
          <w:jc w:val="center"/>
        </w:trPr>
        <w:tc>
          <w:tcPr>
            <w:tcW w:w="106.1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12 175 kHz</w:t>
            </w:r>
          </w:p>
        </w:tc>
        <w:tc>
          <w:tcPr>
            <w:tcW w:w="70.8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100 Ω</w:t>
            </w:r>
          </w:p>
        </w:tc>
        <w:tc>
          <w:tcPr>
            <w:tcW w:w="92.1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-63,37 dBm</w:t>
            </w:r>
          </w:p>
        </w:tc>
        <w:tc>
          <w:tcPr>
            <w:tcW w:w="99.2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 kHz</w:t>
            </w:r>
          </w:p>
        </w:tc>
        <w:tc>
          <w:tcPr>
            <w:tcW w:w="106.3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-103,37 dBm/Hz</w:t>
            </w:r>
          </w:p>
        </w:tc>
        <w:tc>
          <w:tcPr>
            <w:tcW w:w="40.85pt" w:type="dxa"/>
            <w:vMerge/>
          </w:tcPr>
          <w:p w:rsidR="00655060" w:rsidRPr="00611019" w:rsidRDefault="00655060" w:rsidP="00035D2C">
            <w:pPr>
              <w:pStyle w:val="Formatolibre"/>
              <w:spacing w:line="13.80pt" w:lineRule="auto"/>
              <w:jc w:val="center"/>
              <w:rPr>
                <w:rFonts w:ascii="Century Gothic" w:hAnsi="Century Gothic" w:cs="Arial"/>
                <w:color w:val="000000" w:themeColor="text1"/>
                <w:sz w:val="20"/>
                <w:szCs w:val="22"/>
              </w:rPr>
            </w:pPr>
          </w:p>
        </w:tc>
      </w:tr>
      <w:tr w:rsidR="0061711D" w:rsidTr="00CC4C82">
        <w:trPr>
          <w:trHeight w:val="20"/>
          <w:jc w:val="center"/>
        </w:trPr>
        <w:tc>
          <w:tcPr>
            <w:tcW w:w="106.1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3 575 kHz</w:t>
            </w:r>
          </w:p>
        </w:tc>
        <w:tc>
          <w:tcPr>
            <w:tcW w:w="70.8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100 Ω</w:t>
            </w:r>
          </w:p>
        </w:tc>
        <w:tc>
          <w:tcPr>
            <w:tcW w:w="92.1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-36,95 dBm</w:t>
            </w:r>
          </w:p>
        </w:tc>
        <w:tc>
          <w:tcPr>
            <w:tcW w:w="99.2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100 kHz</w:t>
            </w:r>
          </w:p>
        </w:tc>
        <w:tc>
          <w:tcPr>
            <w:tcW w:w="106.3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-86,95 dBm/Hz</w:t>
            </w:r>
          </w:p>
        </w:tc>
        <w:tc>
          <w:tcPr>
            <w:tcW w:w="40.85pt" w:type="dxa"/>
            <w:vMerge w:val="restart"/>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"Y1"</w:t>
            </w:r>
          </w:p>
        </w:tc>
      </w:tr>
      <w:tr w:rsidR="0061711D" w:rsidTr="00CC4C82">
        <w:trPr>
          <w:trHeight w:val="20"/>
          <w:jc w:val="center"/>
        </w:trPr>
        <w:tc>
          <w:tcPr>
            <w:tcW w:w="106.1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w:t>
            </w:r>
          </w:p>
        </w:tc>
        <w:tc>
          <w:tcPr>
            <w:tcW w:w="70.8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100 Ω</w:t>
            </w:r>
          </w:p>
        </w:tc>
        <w:tc>
          <w:tcPr>
            <w:tcW w:w="92.1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Interp</w:t>
            </w:r>
          </w:p>
        </w:tc>
        <w:tc>
          <w:tcPr>
            <w:tcW w:w="99.2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100 kHz</w:t>
            </w:r>
          </w:p>
        </w:tc>
        <w:tc>
          <w:tcPr>
            <w:tcW w:w="106.3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interp</w:t>
            </w:r>
          </w:p>
        </w:tc>
        <w:tc>
          <w:tcPr>
            <w:tcW w:w="40.85pt" w:type="dxa"/>
            <w:vMerge/>
          </w:tcPr>
          <w:p w:rsidR="00655060" w:rsidRPr="00611019" w:rsidRDefault="00655060" w:rsidP="00035D2C">
            <w:pPr>
              <w:pStyle w:val="Formatolibre"/>
              <w:spacing w:line="13.80pt" w:lineRule="auto"/>
              <w:jc w:val="center"/>
              <w:rPr>
                <w:rFonts w:ascii="Century Gothic" w:hAnsi="Century Gothic" w:cs="Arial"/>
                <w:color w:val="000000" w:themeColor="text1"/>
                <w:sz w:val="20"/>
                <w:szCs w:val="22"/>
              </w:rPr>
            </w:pPr>
          </w:p>
        </w:tc>
      </w:tr>
      <w:tr w:rsidR="0061711D" w:rsidTr="00CC4C82">
        <w:trPr>
          <w:trHeight w:val="20"/>
          <w:jc w:val="center"/>
        </w:trPr>
        <w:tc>
          <w:tcPr>
            <w:tcW w:w="106.1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5 375 kHz</w:t>
            </w:r>
          </w:p>
        </w:tc>
        <w:tc>
          <w:tcPr>
            <w:tcW w:w="70.8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100 Ω</w:t>
            </w:r>
          </w:p>
        </w:tc>
        <w:tc>
          <w:tcPr>
            <w:tcW w:w="92.1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-46,15 dBm</w:t>
            </w:r>
          </w:p>
        </w:tc>
        <w:tc>
          <w:tcPr>
            <w:tcW w:w="99.2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100 kHz</w:t>
            </w:r>
          </w:p>
        </w:tc>
        <w:tc>
          <w:tcPr>
            <w:tcW w:w="106.3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-96,15 dBm/Hz</w:t>
            </w:r>
          </w:p>
        </w:tc>
        <w:tc>
          <w:tcPr>
            <w:tcW w:w="40.85pt" w:type="dxa"/>
            <w:vMerge/>
          </w:tcPr>
          <w:p w:rsidR="00655060" w:rsidRPr="00611019" w:rsidRDefault="00655060" w:rsidP="00035D2C">
            <w:pPr>
              <w:pStyle w:val="Formatolibre"/>
              <w:spacing w:line="13.80pt" w:lineRule="auto"/>
              <w:jc w:val="center"/>
              <w:rPr>
                <w:rFonts w:ascii="Century Gothic" w:hAnsi="Century Gothic" w:cs="Arial"/>
                <w:color w:val="000000" w:themeColor="text1"/>
                <w:sz w:val="20"/>
                <w:szCs w:val="22"/>
              </w:rPr>
            </w:pPr>
          </w:p>
        </w:tc>
      </w:tr>
      <w:tr w:rsidR="0061711D" w:rsidTr="00CC4C82">
        <w:trPr>
          <w:trHeight w:val="20"/>
          <w:jc w:val="center"/>
        </w:trPr>
        <w:tc>
          <w:tcPr>
            <w:tcW w:w="106.1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8 325 kHz</w:t>
            </w:r>
          </w:p>
        </w:tc>
        <w:tc>
          <w:tcPr>
            <w:tcW w:w="70.8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100 Ω</w:t>
            </w:r>
          </w:p>
        </w:tc>
        <w:tc>
          <w:tcPr>
            <w:tcW w:w="92.1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-46,91 dBm</w:t>
            </w:r>
          </w:p>
        </w:tc>
        <w:tc>
          <w:tcPr>
            <w:tcW w:w="99.2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100 kHz</w:t>
            </w:r>
          </w:p>
        </w:tc>
        <w:tc>
          <w:tcPr>
            <w:tcW w:w="106.3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-96,91 dBm/Hz</w:t>
            </w:r>
          </w:p>
        </w:tc>
        <w:tc>
          <w:tcPr>
            <w:tcW w:w="40.85pt" w:type="dxa"/>
            <w:vMerge w:val="restart"/>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"Y2"</w:t>
            </w:r>
          </w:p>
        </w:tc>
      </w:tr>
      <w:tr w:rsidR="0061711D" w:rsidTr="00CC4C82">
        <w:trPr>
          <w:trHeight w:val="20"/>
          <w:jc w:val="center"/>
        </w:trPr>
        <w:tc>
          <w:tcPr>
            <w:tcW w:w="106.1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w:t>
            </w:r>
          </w:p>
        </w:tc>
        <w:tc>
          <w:tcPr>
            <w:tcW w:w="70.8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100 Ω</w:t>
            </w:r>
          </w:p>
        </w:tc>
        <w:tc>
          <w:tcPr>
            <w:tcW w:w="92.1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Interp</w:t>
            </w:r>
          </w:p>
        </w:tc>
        <w:tc>
          <w:tcPr>
            <w:tcW w:w="99.2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100 kHz</w:t>
            </w:r>
          </w:p>
        </w:tc>
        <w:tc>
          <w:tcPr>
            <w:tcW w:w="106.3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interp</w:t>
            </w:r>
          </w:p>
        </w:tc>
        <w:tc>
          <w:tcPr>
            <w:tcW w:w="40.85pt" w:type="dxa"/>
            <w:vMerge/>
          </w:tcPr>
          <w:p w:rsidR="00655060" w:rsidRPr="00611019" w:rsidRDefault="00655060" w:rsidP="00035D2C">
            <w:pPr>
              <w:pStyle w:val="Formatolibre"/>
              <w:spacing w:line="13.80pt" w:lineRule="auto"/>
              <w:jc w:val="center"/>
              <w:rPr>
                <w:rFonts w:ascii="Century Gothic" w:hAnsi="Century Gothic" w:cs="Arial"/>
                <w:color w:val="000000" w:themeColor="text1"/>
                <w:sz w:val="20"/>
                <w:szCs w:val="22"/>
              </w:rPr>
            </w:pPr>
          </w:p>
        </w:tc>
      </w:tr>
      <w:tr w:rsidR="0061711D" w:rsidTr="00CC4C82">
        <w:trPr>
          <w:trHeight w:val="20"/>
          <w:jc w:val="center"/>
        </w:trPr>
        <w:tc>
          <w:tcPr>
            <w:tcW w:w="106.1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12 175 kHz</w:t>
            </w:r>
          </w:p>
        </w:tc>
        <w:tc>
          <w:tcPr>
            <w:tcW w:w="70.8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100 Ω</w:t>
            </w:r>
          </w:p>
        </w:tc>
        <w:tc>
          <w:tcPr>
            <w:tcW w:w="92.1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-56,87 dBm</w:t>
            </w:r>
          </w:p>
        </w:tc>
        <w:tc>
          <w:tcPr>
            <w:tcW w:w="99.20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100 kHz</w:t>
            </w:r>
          </w:p>
        </w:tc>
        <w:tc>
          <w:tcPr>
            <w:tcW w:w="106.35pt" w:type="dxa"/>
          </w:tcPr>
          <w:p w:rsidR="00655060" w:rsidRPr="00611019" w:rsidRDefault="00E56462" w:rsidP="00035D2C">
            <w:pPr>
              <w:pStyle w:val="Formatolibre"/>
              <w:spacing w:line="13.80pt" w:lineRule="auto"/>
              <w:jc w:val="center"/>
              <w:rPr>
                <w:rFonts w:ascii="Century Gothic" w:hAnsi="Century Gothic" w:cs="Arial"/>
                <w:color w:val="000000" w:themeColor="text1"/>
                <w:sz w:val="20"/>
                <w:szCs w:val="22"/>
              </w:rPr>
            </w:pPr>
            <w:r>
              <w:rPr>
                <w:rFonts w:ascii="Century Gothic" w:hAnsi="Century Gothic" w:cs="Arial"/>
                <w:color w:val="000000" w:themeColor="text1"/>
                <w:sz w:val="20"/>
                <w:szCs w:val="22"/>
              </w:rPr>
              <w:t>-106,87 dBm/Hz</w:t>
            </w:r>
          </w:p>
        </w:tc>
        <w:tc>
          <w:tcPr>
            <w:tcW w:w="40.85pt" w:type="dxa"/>
            <w:vMerge/>
          </w:tcPr>
          <w:p w:rsidR="00655060" w:rsidRPr="00611019" w:rsidRDefault="00655060" w:rsidP="00035D2C">
            <w:pPr>
              <w:pStyle w:val="Formatolibre"/>
              <w:spacing w:line="13.80pt" w:lineRule="auto"/>
              <w:jc w:val="center"/>
              <w:rPr>
                <w:rFonts w:ascii="Century Gothic" w:hAnsi="Century Gothic" w:cs="Arial"/>
                <w:color w:val="000000" w:themeColor="text1"/>
                <w:sz w:val="20"/>
                <w:szCs w:val="22"/>
              </w:rPr>
            </w:pPr>
          </w:p>
        </w:tc>
      </w:tr>
    </w:tbl>
    <w:p w:rsidR="00655060" w:rsidRPr="00611019" w:rsidRDefault="00655060" w:rsidP="00035D2C">
      <w:pPr>
        <w:pStyle w:val="Formatolibre"/>
        <w:spacing w:line="13.80pt" w:lineRule="auto"/>
        <w:jc w:val="center"/>
        <w:rPr>
          <w:rFonts w:ascii="Century Gothic" w:hAnsi="Century Gothic" w:cs="Arial"/>
          <w:color w:val="000000" w:themeColor="text1"/>
          <w:lang w:val="es-MX"/>
        </w:rPr>
      </w:pPr>
    </w:p>
    <w:p w:rsidR="00655060" w:rsidRPr="00611019" w:rsidRDefault="00655060" w:rsidP="00035D2C">
      <w:pPr>
        <w:pStyle w:val="Formatolibre"/>
        <w:spacing w:line="13.80pt" w:lineRule="auto"/>
        <w:jc w:val="center"/>
        <w:rPr>
          <w:rFonts w:ascii="Century Gothic" w:hAnsi="Century Gothic" w:cs="Arial"/>
          <w:color w:val="000000" w:themeColor="text1"/>
          <w:lang w:val="es-MX"/>
        </w:rPr>
      </w:pPr>
    </w:p>
    <w:p w:rsidR="00655060" w:rsidRPr="00611019" w:rsidRDefault="00E56462" w:rsidP="00035D2C">
      <w:pPr>
        <w:pStyle w:val="Formatolibre"/>
        <w:spacing w:line="13.80pt" w:lineRule="auto"/>
        <w:jc w:val="center"/>
        <w:rPr>
          <w:rFonts w:ascii="Century Gothic" w:hAnsi="Century Gothic" w:cs="Arial"/>
          <w:color w:val="000000" w:themeColor="text1"/>
          <w:lang w:val="es-MX"/>
        </w:rPr>
      </w:pPr>
      <w:r>
        <w:rPr>
          <w:rFonts w:ascii="Century Gothic" w:hAnsi="Century Gothic" w:cs="Arial"/>
          <w:noProof/>
          <w:color w:val="000000" w:themeColor="text1"/>
          <w:lang w:val="es-MX"/>
        </w:rPr>
        <w:drawing>
          <wp:inline distT="0" distB="0" distL="0" distR="0" wp14:anchorId="4C3D76D6" wp14:editId="6D04D963">
            <wp:extent cx="4400550" cy="1947520"/>
            <wp:effectExtent l="0" t="0" r="0" b="0"/>
            <wp:docPr id="49" name="Picture 49"/>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617" name="Picture 49"/>
                    <pic:cNvPicPr>
                      <a:picLocks noChangeAspect="1" noChangeArrowheads="1"/>
                    </pic:cNvPicPr>
                  </pic:nvPicPr>
                  <pic:blipFill>
                    <a:blip r:embed="rId63" cstate="print"/>
                    <a:stretch>
                      <a:fillRect/>
                    </a:stretch>
                  </pic:blipFill>
                  <pic:spPr bwMode="auto">
                    <a:xfrm>
                      <a:off x="0" y="0"/>
                      <a:ext cx="4407369" cy="1950538"/>
                    </a:xfrm>
                    <a:prstGeom prst="rect">
                      <a:avLst/>
                    </a:prstGeom>
                    <a:noFill/>
                    <a:ln w="9525">
                      <a:noFill/>
                      <a:miter lim="800%"/>
                      <a:headEnd/>
                      <a:tailEnd/>
                    </a:ln>
                  </pic:spPr>
                </pic:pic>
              </a:graphicData>
            </a:graphic>
          </wp:inline>
        </w:drawing>
      </w:r>
    </w:p>
    <w:p w:rsidR="00655060" w:rsidRPr="00611019" w:rsidRDefault="00E56462" w:rsidP="00035D2C">
      <w:pPr>
        <w:pStyle w:val="Formatolibre"/>
        <w:spacing w:line="13.80pt" w:lineRule="auto"/>
        <w:ind w:start="35.40pt" w:hanging="35.40pt"/>
        <w:jc w:val="center"/>
        <w:rPr>
          <w:rFonts w:ascii="Century Gothic" w:eastAsiaTheme="minorHAnsi" w:hAnsi="Century Gothic" w:cs="Arial"/>
          <w:b/>
          <w:color w:val="auto"/>
          <w:sz w:val="20"/>
          <w:szCs w:val="22"/>
          <w:lang w:val="es-MX" w:eastAsia="en-US"/>
        </w:rPr>
      </w:pPr>
      <w:r>
        <w:rPr>
          <w:rFonts w:ascii="Century Gothic" w:eastAsiaTheme="minorHAnsi" w:hAnsi="Century Gothic" w:cs="Arial"/>
          <w:b/>
          <w:color w:val="auto"/>
          <w:sz w:val="20"/>
          <w:szCs w:val="22"/>
          <w:lang w:val="es-MX" w:eastAsia="en-US"/>
        </w:rPr>
        <w:t>Figura 1</w:t>
      </w:r>
      <w:r w:rsidR="00EB6264">
        <w:rPr>
          <w:rFonts w:ascii="Century Gothic" w:eastAsiaTheme="minorHAnsi" w:hAnsi="Century Gothic" w:cs="Arial"/>
          <w:b/>
          <w:color w:val="auto"/>
          <w:sz w:val="20"/>
          <w:szCs w:val="22"/>
          <w:lang w:val="es-MX" w:eastAsia="en-US"/>
        </w:rPr>
        <w:t>5</w:t>
      </w:r>
      <w:r>
        <w:rPr>
          <w:rFonts w:ascii="Century Gothic" w:eastAsiaTheme="minorHAnsi" w:hAnsi="Century Gothic" w:cs="Arial"/>
          <w:b/>
          <w:color w:val="auto"/>
          <w:sz w:val="20"/>
          <w:szCs w:val="22"/>
          <w:lang w:val="es-MX" w:eastAsia="en-US"/>
        </w:rPr>
        <w:t>. Potencia espectral para señales VDSL2-NL1/POTS transmitidas en dirección Upstream.</w:t>
      </w:r>
    </w:p>
    <w:p w:rsidR="00655060" w:rsidRPr="00611019" w:rsidRDefault="00655060" w:rsidP="00035D2C">
      <w:pPr>
        <w:pStyle w:val="Formatolibre"/>
        <w:spacing w:line="13.80pt" w:lineRule="auto"/>
        <w:ind w:start="35.40pt" w:hanging="35.40pt"/>
        <w:jc w:val="center"/>
        <w:rPr>
          <w:rFonts w:ascii="Century Gothic" w:hAnsi="Century Gothic" w:cs="Arial"/>
          <w:b/>
          <w:color w:val="000000" w:themeColor="text1"/>
          <w:sz w:val="22"/>
          <w:lang w:val="es-MX"/>
        </w:rPr>
      </w:pPr>
    </w:p>
    <w:p w:rsidR="00655060" w:rsidRPr="00611019" w:rsidRDefault="00E56462" w:rsidP="00035D2C">
      <w:pPr>
        <w:pStyle w:val="Formatolibre"/>
        <w:spacing w:line="13.80pt" w:lineRule="auto"/>
        <w:jc w:val="center"/>
        <w:rPr>
          <w:rFonts w:ascii="Century Gothic" w:hAnsi="Century Gothic" w:cs="Arial"/>
          <w:color w:val="000000" w:themeColor="text1"/>
          <w:sz w:val="22"/>
          <w:szCs w:val="22"/>
          <w:lang w:val="es-MX"/>
        </w:rPr>
      </w:pPr>
      <w:r>
        <w:rPr>
          <w:rFonts w:ascii="Century Gothic" w:hAnsi="Century Gothic" w:cs="Arial"/>
          <w:noProof/>
          <w:color w:val="000000" w:themeColor="text1"/>
          <w:sz w:val="22"/>
          <w:szCs w:val="22"/>
          <w:lang w:val="es-MX"/>
        </w:rPr>
        <w:drawing>
          <wp:inline distT="0" distB="0" distL="0" distR="0" wp14:anchorId="6E14AF83" wp14:editId="2A9E1ADE">
            <wp:extent cx="4295775" cy="1837423"/>
            <wp:effectExtent l="0" t="0" r="0" b="0"/>
            <wp:docPr id="50" name="Picture 50"/>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618" name="Picture 50"/>
                    <pic:cNvPicPr>
                      <a:picLocks noChangeAspect="1" noChangeArrowheads="1"/>
                    </pic:cNvPicPr>
                  </pic:nvPicPr>
                  <pic:blipFill>
                    <a:blip r:embed="rId64" cstate="print"/>
                    <a:stretch>
                      <a:fillRect/>
                    </a:stretch>
                  </pic:blipFill>
                  <pic:spPr bwMode="auto">
                    <a:xfrm>
                      <a:off x="0" y="0"/>
                      <a:ext cx="4306677" cy="1842086"/>
                    </a:xfrm>
                    <a:prstGeom prst="rect">
                      <a:avLst/>
                    </a:prstGeom>
                    <a:noFill/>
                    <a:ln w="9525">
                      <a:noFill/>
                      <a:miter lim="800%"/>
                      <a:headEnd/>
                      <a:tailEnd/>
                    </a:ln>
                  </pic:spPr>
                </pic:pic>
              </a:graphicData>
            </a:graphic>
          </wp:inline>
        </w:drawing>
      </w:r>
    </w:p>
    <w:p w:rsidR="00655060" w:rsidRPr="00611019" w:rsidRDefault="00E56462" w:rsidP="00035D2C">
      <w:pPr>
        <w:pStyle w:val="Formatolibre"/>
        <w:spacing w:after="6pt" w:line="13.80pt" w:lineRule="auto"/>
        <w:ind w:start="35.40pt" w:hanging="35.40pt"/>
        <w:jc w:val="center"/>
        <w:rPr>
          <w:rFonts w:ascii="Century Gothic" w:eastAsiaTheme="minorHAnsi" w:hAnsi="Century Gothic" w:cs="Arial"/>
          <w:b/>
          <w:color w:val="auto"/>
          <w:sz w:val="20"/>
          <w:szCs w:val="22"/>
          <w:lang w:val="es-MX" w:eastAsia="en-US"/>
        </w:rPr>
      </w:pPr>
      <w:r>
        <w:rPr>
          <w:rFonts w:ascii="Century Gothic" w:eastAsiaTheme="minorHAnsi" w:hAnsi="Century Gothic" w:cs="Arial"/>
          <w:b/>
          <w:color w:val="auto"/>
          <w:sz w:val="20"/>
          <w:szCs w:val="22"/>
          <w:lang w:val="es-MX" w:eastAsia="en-US"/>
        </w:rPr>
        <w:t>Figura 1</w:t>
      </w:r>
      <w:r w:rsidR="00EB6264">
        <w:rPr>
          <w:rFonts w:ascii="Century Gothic" w:eastAsiaTheme="minorHAnsi" w:hAnsi="Century Gothic" w:cs="Arial"/>
          <w:b/>
          <w:color w:val="auto"/>
          <w:sz w:val="20"/>
          <w:szCs w:val="22"/>
          <w:lang w:val="es-MX" w:eastAsia="en-US"/>
        </w:rPr>
        <w:t>6</w:t>
      </w:r>
      <w:r>
        <w:rPr>
          <w:rFonts w:ascii="Century Gothic" w:eastAsiaTheme="minorHAnsi" w:hAnsi="Century Gothic" w:cs="Arial"/>
          <w:b/>
          <w:color w:val="auto"/>
          <w:sz w:val="20"/>
          <w:szCs w:val="22"/>
          <w:lang w:val="es-MX" w:eastAsia="en-US"/>
        </w:rPr>
        <w:t>. Potencia espectral para señales VDSL2-NL1/POTS recibidas en dirección Upstream.</w:t>
      </w:r>
    </w:p>
    <w:p w:rsidR="00655060" w:rsidRPr="00611019" w:rsidRDefault="00655060" w:rsidP="00035D2C">
      <w:pPr>
        <w:spacing w:after="6pt"/>
        <w:rPr>
          <w:rFonts w:ascii="Century Gothic" w:hAnsi="Century Gothic" w:cs="Arial"/>
          <w:color w:val="000000" w:themeColor="text1"/>
        </w:rPr>
      </w:pPr>
    </w:p>
    <w:p w:rsidR="00655060" w:rsidRPr="00611019" w:rsidRDefault="00E56462" w:rsidP="00035D2C">
      <w:pPr>
        <w:pStyle w:val="Ttulo1"/>
        <w:keepNext/>
        <w:spacing w:after="6pt"/>
        <w:ind w:start="21.60pt" w:hanging="21.60pt"/>
        <w:jc w:val="start"/>
        <w:rPr>
          <w:rFonts w:ascii="Century Gothic" w:hAnsi="Century Gothic"/>
          <w:color w:val="000000" w:themeColor="text1"/>
        </w:rPr>
      </w:pPr>
      <w:bookmarkStart w:id="2685" w:name="_Toc92974157"/>
      <w:bookmarkStart w:id="2686" w:name="_Toc93052468"/>
      <w:bookmarkStart w:id="2687" w:name="_Toc93056423"/>
      <w:bookmarkStart w:id="2688" w:name="_Toc125393487"/>
      <w:bookmarkStart w:id="2689" w:name="_Toc148702342"/>
      <w:bookmarkStart w:id="2690" w:name="_Toc170381956"/>
      <w:r>
        <w:rPr>
          <w:rFonts w:ascii="Century Gothic" w:hAnsi="Century Gothic"/>
          <w:color w:val="000000" w:themeColor="text1"/>
        </w:rPr>
        <w:lastRenderedPageBreak/>
        <w:t>7.</w:t>
      </w:r>
      <w:r>
        <w:rPr>
          <w:rFonts w:ascii="Century Gothic" w:hAnsi="Century Gothic"/>
          <w:color w:val="000000" w:themeColor="text1"/>
        </w:rPr>
        <w:tab/>
        <w:t>Procedimientos asociados al plan de gestión.</w:t>
      </w:r>
      <w:bookmarkEnd w:id="2685"/>
      <w:bookmarkEnd w:id="2686"/>
      <w:bookmarkEnd w:id="2687"/>
      <w:bookmarkEnd w:id="2688"/>
      <w:bookmarkEnd w:id="2689"/>
      <w:bookmarkEnd w:id="2690"/>
    </w:p>
    <w:p w:rsidR="001A4D73" w:rsidRPr="00611019" w:rsidRDefault="00E56462" w:rsidP="00035D2C">
      <w:pPr>
        <w:pStyle w:val="Ttulo2"/>
        <w:spacing w:after="0pt"/>
        <w:ind w:start="28.80pt" w:hanging="28.80pt"/>
        <w:rPr>
          <w:rFonts w:ascii="Century Gothic" w:hAnsi="Century Gothic"/>
          <w:color w:val="000000" w:themeColor="text1"/>
        </w:rPr>
      </w:pPr>
      <w:bookmarkStart w:id="2691" w:name="_Toc92974158"/>
      <w:bookmarkStart w:id="2692" w:name="_Toc93052469"/>
      <w:bookmarkStart w:id="2693" w:name="_Toc93056424"/>
      <w:bookmarkStart w:id="2694" w:name="_Toc125393488"/>
      <w:bookmarkStart w:id="2695" w:name="_Toc148702343"/>
      <w:bookmarkStart w:id="2696" w:name="_Toc170381957"/>
      <w:r>
        <w:rPr>
          <w:rFonts w:ascii="Century Gothic" w:hAnsi="Century Gothic"/>
        </w:rPr>
        <w:t>7.1</w:t>
      </w:r>
      <w:r>
        <w:rPr>
          <w:rFonts w:ascii="Century Gothic" w:hAnsi="Century Gothic"/>
        </w:rPr>
        <w:tab/>
      </w:r>
      <w:r>
        <w:rPr>
          <w:rFonts w:ascii="Century Gothic" w:hAnsi="Century Gothic"/>
          <w:color w:val="000000" w:themeColor="text1"/>
        </w:rPr>
        <w:t>Certificación de la Tecnología en Bucles Locales</w:t>
      </w:r>
      <w:r w:rsidR="00EB6264">
        <w:rPr>
          <w:rFonts w:ascii="Century Gothic" w:hAnsi="Century Gothic"/>
          <w:color w:val="000000" w:themeColor="text1"/>
        </w:rPr>
        <w:t>/Sub-Bucles Locales</w:t>
      </w:r>
      <w:r>
        <w:rPr>
          <w:rFonts w:ascii="Century Gothic" w:hAnsi="Century Gothic"/>
          <w:color w:val="000000" w:themeColor="text1"/>
        </w:rPr>
        <w:t xml:space="preserve"> a desagregar.</w:t>
      </w:r>
      <w:bookmarkEnd w:id="2691"/>
      <w:bookmarkEnd w:id="2692"/>
      <w:bookmarkEnd w:id="2693"/>
      <w:bookmarkEnd w:id="2694"/>
      <w:bookmarkEnd w:id="2695"/>
      <w:bookmarkEnd w:id="2696"/>
    </w:p>
    <w:p w:rsidR="00BB6358" w:rsidRPr="00611019" w:rsidRDefault="00BB6358" w:rsidP="00035D2C">
      <w:pPr>
        <w:rPr>
          <w:sz w:val="8"/>
        </w:rPr>
      </w:pPr>
    </w:p>
    <w:p w:rsidR="00655060" w:rsidRPr="00611019" w:rsidRDefault="00E56462" w:rsidP="00035D2C">
      <w:pPr>
        <w:pStyle w:val="IFTnormal"/>
        <w:rPr>
          <w:rFonts w:ascii="Century Gothic" w:hAnsi="Century Gothic"/>
        </w:rPr>
      </w:pPr>
      <w:r>
        <w:rPr>
          <w:rFonts w:ascii="Century Gothic" w:hAnsi="Century Gothic"/>
        </w:rPr>
        <w:t xml:space="preserve">Previo a la instalación de los equipos de acceso de los </w:t>
      </w:r>
      <w:r w:rsidR="00EB6264">
        <w:rPr>
          <w:rFonts w:ascii="Century Gothic" w:hAnsi="Century Gothic"/>
        </w:rPr>
        <w:t>CS</w:t>
      </w:r>
      <w:r>
        <w:rPr>
          <w:rFonts w:ascii="Century Gothic" w:hAnsi="Century Gothic"/>
        </w:rPr>
        <w:t xml:space="preserve"> y para cada uno de los equipos, se debe garantizar que dicho elemento a instalar en los escenarios de Desagregación Total y Compartida del Bucle Local</w:t>
      </w:r>
      <w:r w:rsidR="00EB6264">
        <w:rPr>
          <w:rFonts w:ascii="Century Gothic" w:hAnsi="Century Gothic"/>
        </w:rPr>
        <w:t xml:space="preserve"> y del Sub-Bucle Local</w:t>
      </w:r>
      <w:r>
        <w:rPr>
          <w:rFonts w:ascii="Century Gothic" w:hAnsi="Century Gothic"/>
        </w:rPr>
        <w:t>, cumple con los lineamientos establecidos en este PGE:</w:t>
      </w:r>
    </w:p>
    <w:p w:rsidR="00BB6358" w:rsidRPr="00611019" w:rsidRDefault="00BB6358" w:rsidP="00035D2C">
      <w:pPr>
        <w:pStyle w:val="IFTnormal"/>
        <w:rPr>
          <w:rFonts w:ascii="Century Gothic" w:hAnsi="Century Gothic"/>
        </w:rPr>
      </w:pPr>
    </w:p>
    <w:p w:rsidR="00655060" w:rsidRPr="00611019" w:rsidRDefault="00E56462">
      <w:pPr>
        <w:pStyle w:val="IFTnormal"/>
        <w:numPr>
          <w:ilvl w:val="0"/>
          <w:numId w:val="172"/>
        </w:numPr>
        <w:spacing w:after="6pt"/>
        <w:rPr>
          <w:rFonts w:ascii="Century Gothic" w:hAnsi="Century Gothic"/>
        </w:rPr>
      </w:pPr>
      <w:r>
        <w:rPr>
          <w:rFonts w:ascii="Century Gothic" w:hAnsi="Century Gothic"/>
        </w:rPr>
        <w:t>Para cada elemento de red, tecnología a emplear y cada vez que se actualice la versión de software/hardware del elemento de red, debe entregar un certificado emitido por el fabricante del equipo de acceso y del equipo terminal de Usuario Final que incluya los siguientes aspectos:</w:t>
      </w:r>
    </w:p>
    <w:p w:rsidR="00655060" w:rsidRPr="00611019" w:rsidRDefault="00E56462" w:rsidP="00035D2C">
      <w:pPr>
        <w:pStyle w:val="IFTnormal"/>
        <w:spacing w:after="6pt"/>
        <w:ind w:start="56.70pt" w:hanging="18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La especificación detallada de la tecnología, que debe estar incluida en la Tabla 3, así como el estándar que cumple la tecnología y organismo emisor del estándar.</w:t>
      </w:r>
    </w:p>
    <w:p w:rsidR="00655060" w:rsidRPr="00611019" w:rsidRDefault="00E56462" w:rsidP="00035D2C">
      <w:pPr>
        <w:pStyle w:val="IFTnormal"/>
        <w:spacing w:after="6pt"/>
        <w:ind w:start="56.70pt" w:hanging="18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El plan de Bandas particular a emplear en la red de cobre.</w:t>
      </w:r>
    </w:p>
    <w:p w:rsidR="00655060" w:rsidRPr="00611019" w:rsidRDefault="00E56462" w:rsidP="00035D2C">
      <w:pPr>
        <w:pStyle w:val="IFTnormal"/>
        <w:spacing w:after="6pt"/>
        <w:ind w:start="56.70pt" w:hanging="18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Las máscaras de PSD aplicadas, de manera tabular y gráfica.</w:t>
      </w:r>
    </w:p>
    <w:p w:rsidR="00655060" w:rsidRPr="00611019" w:rsidRDefault="00E56462">
      <w:pPr>
        <w:pStyle w:val="IFTnormal"/>
        <w:numPr>
          <w:ilvl w:val="0"/>
          <w:numId w:val="172"/>
        </w:numPr>
        <w:spacing w:after="6pt"/>
        <w:rPr>
          <w:rFonts w:ascii="Century Gothic" w:hAnsi="Century Gothic"/>
        </w:rPr>
      </w:pPr>
      <w:r>
        <w:rPr>
          <w:rFonts w:ascii="Century Gothic" w:hAnsi="Century Gothic"/>
        </w:rPr>
        <w:t>Los parámetros de los perfiles de servicio que serán empleados por tipo de tecnología y de acuerdo a la atenuación del Bucle Local</w:t>
      </w:r>
      <w:r w:rsidR="00EB6264">
        <w:rPr>
          <w:rFonts w:ascii="Century Gothic" w:hAnsi="Century Gothic"/>
        </w:rPr>
        <w:t xml:space="preserve"> o Sub-Bucle Local</w:t>
      </w:r>
      <w:r>
        <w:rPr>
          <w:rFonts w:ascii="Century Gothic" w:hAnsi="Century Gothic"/>
        </w:rPr>
        <w:t>, que incluya:</w:t>
      </w:r>
    </w:p>
    <w:p w:rsidR="00655060" w:rsidRPr="00611019" w:rsidRDefault="00E56462" w:rsidP="00035D2C">
      <w:pPr>
        <w:pStyle w:val="IFTnormal"/>
        <w:spacing w:after="6pt"/>
        <w:ind w:start="56.70pt" w:hanging="18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Nombre del perfil.</w:t>
      </w:r>
    </w:p>
    <w:p w:rsidR="00655060" w:rsidRPr="00611019" w:rsidRDefault="00E56462" w:rsidP="00035D2C">
      <w:pPr>
        <w:pStyle w:val="IFTnormal"/>
        <w:spacing w:after="6pt"/>
        <w:ind w:start="56.70pt" w:hanging="18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Tabla de servicios incluyendo velocidad de upstream/downstream.</w:t>
      </w:r>
    </w:p>
    <w:p w:rsidR="00655060" w:rsidRPr="00611019" w:rsidRDefault="00E56462" w:rsidP="00035D2C">
      <w:pPr>
        <w:pStyle w:val="IFTnormal"/>
        <w:spacing w:after="6pt"/>
        <w:ind w:start="56.70pt" w:hanging="18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Tecnología configurada del puerto (ADSL2, ADSL2+, etc.).</w:t>
      </w:r>
    </w:p>
    <w:p w:rsidR="00655060" w:rsidRPr="00611019" w:rsidRDefault="00E56462" w:rsidP="00035D2C">
      <w:pPr>
        <w:pStyle w:val="IFTnormal"/>
        <w:spacing w:after="6pt"/>
        <w:ind w:start="56.70pt" w:hanging="18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Rangos de ancho de banda de upstream y downstream.</w:t>
      </w:r>
    </w:p>
    <w:p w:rsidR="00655060" w:rsidRPr="00611019" w:rsidRDefault="00E56462" w:rsidP="00035D2C">
      <w:pPr>
        <w:pStyle w:val="IFTnormal"/>
        <w:spacing w:after="6pt"/>
        <w:ind w:start="56.70pt" w:hanging="18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Margen objetivo de señal a ruido de upstream y downstream.</w:t>
      </w:r>
    </w:p>
    <w:p w:rsidR="00655060" w:rsidRPr="00611019" w:rsidRDefault="00E56462" w:rsidP="00035D2C">
      <w:pPr>
        <w:pStyle w:val="IFTnormal"/>
        <w:spacing w:after="6pt"/>
        <w:ind w:start="56.70pt" w:hanging="18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Modo de operación del puerto (fast / interleave).</w:t>
      </w:r>
    </w:p>
    <w:p w:rsidR="00655060" w:rsidRPr="00611019" w:rsidRDefault="00E56462" w:rsidP="00035D2C">
      <w:pPr>
        <w:pStyle w:val="IFTnormal"/>
        <w:spacing w:after="6pt"/>
        <w:ind w:start="56.70pt" w:hanging="18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En caso de interleave, cantidad de símbolos de upstream y downstream.</w:t>
      </w:r>
    </w:p>
    <w:p w:rsidR="00655060" w:rsidRPr="00611019" w:rsidRDefault="00E56462" w:rsidP="00035D2C">
      <w:pPr>
        <w:pStyle w:val="IFTnormal"/>
        <w:spacing w:after="6pt"/>
        <w:ind w:start="56.70pt" w:hanging="18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Modo de ahorro de energía.</w:t>
      </w:r>
    </w:p>
    <w:p w:rsidR="00655060" w:rsidRPr="00611019" w:rsidRDefault="00E56462" w:rsidP="00035D2C">
      <w:pPr>
        <w:pStyle w:val="IFTnormal"/>
        <w:spacing w:after="6pt"/>
        <w:ind w:start="56.70pt" w:hanging="18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Función de asociación de pares, en caso de aplicar.</w:t>
      </w:r>
    </w:p>
    <w:p w:rsidR="00655060" w:rsidRPr="00611019" w:rsidRDefault="00E56462" w:rsidP="00035D2C">
      <w:pPr>
        <w:pStyle w:val="IFTnormal"/>
        <w:spacing w:after="6pt"/>
        <w:rPr>
          <w:rFonts w:ascii="Century Gothic" w:hAnsi="Century Gothic"/>
        </w:rPr>
      </w:pPr>
      <w:r>
        <w:rPr>
          <w:rFonts w:ascii="Century Gothic" w:hAnsi="Century Gothic"/>
        </w:rPr>
        <w:t>La información presentada se considera evidencia auditable y se mantendrá en el SEG/SIPO.</w:t>
      </w:r>
    </w:p>
    <w:p w:rsidR="00655060" w:rsidRPr="00611019" w:rsidRDefault="00E56462" w:rsidP="00035D2C">
      <w:pPr>
        <w:pStyle w:val="IFTnormal"/>
        <w:spacing w:after="6pt"/>
        <w:rPr>
          <w:rFonts w:ascii="Century Gothic" w:hAnsi="Century Gothic"/>
        </w:rPr>
      </w:pPr>
      <w:r>
        <w:rPr>
          <w:rFonts w:ascii="Century Gothic" w:hAnsi="Century Gothic"/>
        </w:rPr>
        <w:t xml:space="preserve">Los parámetros asociados que RED NACIONAL deberá dar a conocer al CS de acuerdo con el tipo de servicio solicitado por el CS, </w:t>
      </w:r>
      <w:r w:rsidR="00EB6264">
        <w:rPr>
          <w:rFonts w:ascii="Century Gothic" w:hAnsi="Century Gothic"/>
        </w:rPr>
        <w:t xml:space="preserve">ya sea </w:t>
      </w:r>
      <w:r>
        <w:rPr>
          <w:rFonts w:ascii="Century Gothic" w:hAnsi="Century Gothic"/>
        </w:rPr>
        <w:t xml:space="preserve">en el Bucle Local </w:t>
      </w:r>
      <w:r w:rsidR="00EB6264">
        <w:rPr>
          <w:rFonts w:ascii="Century Gothic" w:hAnsi="Century Gothic"/>
        </w:rPr>
        <w:t xml:space="preserve">o en el Sub-Bucle Local </w:t>
      </w:r>
      <w:r>
        <w:rPr>
          <w:rFonts w:ascii="Century Gothic" w:hAnsi="Century Gothic"/>
        </w:rPr>
        <w:t>son:</w:t>
      </w:r>
    </w:p>
    <w:p w:rsidR="00655060" w:rsidRPr="00611019" w:rsidRDefault="00E56462">
      <w:pPr>
        <w:pStyle w:val="IFTnormal"/>
        <w:numPr>
          <w:ilvl w:val="0"/>
          <w:numId w:val="173"/>
        </w:numPr>
        <w:spacing w:after="6pt"/>
        <w:rPr>
          <w:rFonts w:ascii="Century Gothic" w:hAnsi="Century Gothic"/>
        </w:rPr>
      </w:pPr>
      <w:r>
        <w:rPr>
          <w:rFonts w:ascii="Century Gothic" w:hAnsi="Century Gothic"/>
        </w:rPr>
        <w:t>Selección de pares de cobre en función de los diversos Servicios de Desagregación en operación o por iniciar.</w:t>
      </w:r>
    </w:p>
    <w:p w:rsidR="00655060" w:rsidRPr="00611019" w:rsidRDefault="00E56462">
      <w:pPr>
        <w:pStyle w:val="IFTnormal"/>
        <w:numPr>
          <w:ilvl w:val="0"/>
          <w:numId w:val="173"/>
        </w:numPr>
        <w:spacing w:after="6pt"/>
        <w:rPr>
          <w:rFonts w:ascii="Century Gothic" w:hAnsi="Century Gothic"/>
        </w:rPr>
      </w:pPr>
      <w:r>
        <w:rPr>
          <w:rFonts w:ascii="Century Gothic" w:hAnsi="Century Gothic"/>
        </w:rPr>
        <w:lastRenderedPageBreak/>
        <w:t>Clasificación de los niveles de atenuación del Bucle</w:t>
      </w:r>
      <w:r w:rsidR="00EB6264">
        <w:rPr>
          <w:rFonts w:ascii="Century Gothic" w:hAnsi="Century Gothic"/>
        </w:rPr>
        <w:t xml:space="preserve"> o Sub-Bucle</w:t>
      </w:r>
      <w:r>
        <w:rPr>
          <w:rFonts w:ascii="Century Gothic" w:hAnsi="Century Gothic"/>
        </w:rPr>
        <w:t xml:space="preserve"> Local de interés.</w:t>
      </w:r>
    </w:p>
    <w:p w:rsidR="00655060" w:rsidRPr="00611019" w:rsidRDefault="00E56462">
      <w:pPr>
        <w:pStyle w:val="IFTnormal"/>
        <w:numPr>
          <w:ilvl w:val="0"/>
          <w:numId w:val="173"/>
        </w:numPr>
        <w:spacing w:after="6pt"/>
        <w:rPr>
          <w:rFonts w:ascii="Century Gothic" w:hAnsi="Century Gothic"/>
        </w:rPr>
      </w:pPr>
      <w:r>
        <w:rPr>
          <w:rFonts w:ascii="Century Gothic" w:hAnsi="Century Gothic"/>
        </w:rPr>
        <w:t>Tipos y características de las señales que se pueden desplegar.</w:t>
      </w:r>
    </w:p>
    <w:p w:rsidR="00655060" w:rsidRPr="00611019" w:rsidRDefault="00E56462">
      <w:pPr>
        <w:pStyle w:val="IFTnormal"/>
        <w:numPr>
          <w:ilvl w:val="0"/>
          <w:numId w:val="173"/>
        </w:numPr>
        <w:spacing w:after="6pt"/>
        <w:rPr>
          <w:rFonts w:ascii="Century Gothic" w:hAnsi="Century Gothic"/>
        </w:rPr>
      </w:pPr>
      <w:r>
        <w:rPr>
          <w:rFonts w:ascii="Century Gothic" w:hAnsi="Century Gothic"/>
        </w:rPr>
        <w:t>Niveles de calidad de dichas señales.</w:t>
      </w:r>
    </w:p>
    <w:p w:rsidR="00655060" w:rsidRPr="00611019" w:rsidRDefault="00E56462">
      <w:pPr>
        <w:pStyle w:val="IFTnormal"/>
        <w:numPr>
          <w:ilvl w:val="0"/>
          <w:numId w:val="173"/>
        </w:numPr>
        <w:spacing w:after="6pt"/>
        <w:rPr>
          <w:rFonts w:ascii="Century Gothic" w:hAnsi="Century Gothic"/>
        </w:rPr>
      </w:pPr>
      <w:r>
        <w:rPr>
          <w:rFonts w:ascii="Century Gothic" w:hAnsi="Century Gothic"/>
        </w:rPr>
        <w:t>Interferencias.</w:t>
      </w:r>
    </w:p>
    <w:p w:rsidR="001A4D73" w:rsidRPr="00611019" w:rsidRDefault="00E56462" w:rsidP="00035D2C">
      <w:pPr>
        <w:pStyle w:val="Ttulo2"/>
        <w:spacing w:after="0pt"/>
        <w:ind w:start="28.80pt" w:hanging="28.80pt"/>
        <w:rPr>
          <w:rFonts w:ascii="Century Gothic" w:hAnsi="Century Gothic"/>
        </w:rPr>
      </w:pPr>
      <w:bookmarkStart w:id="2697" w:name="_Toc92974159"/>
      <w:bookmarkStart w:id="2698" w:name="_Toc93052470"/>
      <w:bookmarkStart w:id="2699" w:name="_Toc93056425"/>
      <w:bookmarkStart w:id="2700" w:name="_Toc125393489"/>
      <w:bookmarkStart w:id="2701" w:name="_Toc148702344"/>
      <w:bookmarkStart w:id="2702" w:name="_Toc170381958"/>
      <w:r>
        <w:rPr>
          <w:rFonts w:ascii="Century Gothic" w:hAnsi="Century Gothic"/>
        </w:rPr>
        <w:t>7.2</w:t>
      </w:r>
      <w:r>
        <w:rPr>
          <w:rFonts w:ascii="Century Gothic" w:hAnsi="Century Gothic"/>
        </w:rPr>
        <w:tab/>
      </w:r>
      <w:r>
        <w:rPr>
          <w:rFonts w:ascii="Century Gothic" w:hAnsi="Century Gothic"/>
          <w:color w:val="000000" w:themeColor="text1"/>
        </w:rPr>
        <w:t>Control de Interferencias.</w:t>
      </w:r>
      <w:bookmarkEnd w:id="2697"/>
      <w:bookmarkEnd w:id="2698"/>
      <w:bookmarkEnd w:id="2699"/>
      <w:bookmarkEnd w:id="2700"/>
      <w:bookmarkEnd w:id="2701"/>
      <w:bookmarkEnd w:id="2702"/>
    </w:p>
    <w:p w:rsidR="00EB6264" w:rsidRPr="00EB6264" w:rsidRDefault="00EB6264" w:rsidP="00EB6264">
      <w:pPr>
        <w:pStyle w:val="IFTnormal"/>
        <w:rPr>
          <w:rFonts w:ascii="Century Gothic" w:hAnsi="Century Gothic"/>
        </w:rPr>
      </w:pPr>
      <w:r w:rsidRPr="00EB6264">
        <w:rPr>
          <w:rFonts w:ascii="Century Gothic" w:hAnsi="Century Gothic"/>
        </w:rPr>
        <w:t>El uso de UPBO y DPBO en los despliegues de Sub-bucle Local debe permitir la coexistencia con sistemas que son atendidos desde la Central Telefónica o Instalación Equivalente, donde por efecto de la distancia (atenuación), la potencia que llega al mismo punto desde dónde se operan los Servicios en el Sub-bucle Local está disminuida, lo que hace necesario adecuar la potencia de los Servicios que inician en el Sub-bucle Local para minimizar así el efecto de interferencia provocado por el diferencial de potencia.</w:t>
      </w:r>
    </w:p>
    <w:p w:rsidR="00655060" w:rsidRPr="00611019" w:rsidRDefault="00E56462" w:rsidP="00035D2C">
      <w:pPr>
        <w:pStyle w:val="IFTnormal"/>
        <w:rPr>
          <w:rFonts w:ascii="Century Gothic" w:hAnsi="Century Gothic"/>
        </w:rPr>
      </w:pPr>
      <w:r>
        <w:rPr>
          <w:rFonts w:ascii="Century Gothic" w:hAnsi="Century Gothic"/>
        </w:rPr>
        <w:t>El control de incidencias por posibles interferencias por diafonía permitirá identificar y corregir los sistemas que operan fuera de parámetros a fin de mantener un ambiente estable para los diferentes servicios, además de que la actualización periódica permitirá incorporar las últimas tecnologías disponibles, buscando siempre la compatibilidad espectral y la convivencia de las tecnologías en la Red de cobre de RED NACIONAL, sin afectar los servicios de ningún CS.</w:t>
      </w:r>
    </w:p>
    <w:p w:rsidR="00BB6358" w:rsidRPr="00611019" w:rsidRDefault="00BB6358" w:rsidP="00035D2C">
      <w:pPr>
        <w:pStyle w:val="IFTnormal"/>
        <w:rPr>
          <w:rFonts w:ascii="Century Gothic" w:hAnsi="Century Gothic"/>
        </w:rPr>
      </w:pPr>
    </w:p>
    <w:p w:rsidR="001A4D73" w:rsidRPr="00611019" w:rsidRDefault="00E56462" w:rsidP="00035D2C">
      <w:pPr>
        <w:pStyle w:val="IFTnormal"/>
        <w:spacing w:after="6pt"/>
        <w:rPr>
          <w:rFonts w:ascii="Century Gothic" w:hAnsi="Century Gothic"/>
        </w:rPr>
      </w:pPr>
      <w:r>
        <w:rPr>
          <w:rFonts w:ascii="Century Gothic" w:hAnsi="Century Gothic"/>
        </w:rPr>
        <w:t>Criterios Generales:</w:t>
      </w:r>
    </w:p>
    <w:p w:rsidR="00655060" w:rsidRPr="00611019" w:rsidRDefault="00E56462" w:rsidP="00035D2C">
      <w:pPr>
        <w:pStyle w:val="CondicionesFinales"/>
        <w:spacing w:after="6pt"/>
        <w:ind w:start="21.30pt" w:end="0pt" w:hanging="21.30pt"/>
        <w:rPr>
          <w:rFonts w:ascii="Century Gothic" w:hAnsi="Century Gothic"/>
        </w:rPr>
      </w:pPr>
      <w:r>
        <w:rPr>
          <w:rFonts w:ascii="Century Gothic" w:hAnsi="Century Gothic"/>
        </w:rPr>
        <w:t>•</w:t>
      </w:r>
      <w:r>
        <w:rPr>
          <w:rFonts w:ascii="Century Gothic" w:hAnsi="Century Gothic"/>
        </w:rPr>
        <w:tab/>
        <w:t xml:space="preserve">El procedimiento de control de interferencias debe ser aplicado por todos los </w:t>
      </w:r>
      <w:r w:rsidR="00EB6264">
        <w:rPr>
          <w:rFonts w:ascii="Century Gothic" w:hAnsi="Century Gothic"/>
        </w:rPr>
        <w:t>CS</w:t>
      </w:r>
      <w:r>
        <w:rPr>
          <w:rFonts w:ascii="Century Gothic" w:hAnsi="Century Gothic"/>
        </w:rPr>
        <w:t xml:space="preserve"> que tienen Servicios desplegados en la red de cobre.</w:t>
      </w:r>
    </w:p>
    <w:p w:rsidR="00655060" w:rsidRPr="00611019" w:rsidRDefault="00E56462" w:rsidP="00035D2C">
      <w:pPr>
        <w:pStyle w:val="CondicionesFinales"/>
        <w:spacing w:after="6pt"/>
        <w:ind w:start="21.30pt" w:end="0pt" w:hanging="21.30pt"/>
        <w:rPr>
          <w:rFonts w:ascii="Century Gothic" w:hAnsi="Century Gothic"/>
        </w:rPr>
      </w:pPr>
      <w:r>
        <w:rPr>
          <w:rFonts w:ascii="Century Gothic" w:hAnsi="Century Gothic"/>
        </w:rPr>
        <w:t>•</w:t>
      </w:r>
      <w:r>
        <w:rPr>
          <w:rFonts w:ascii="Century Gothic" w:hAnsi="Century Gothic"/>
        </w:rPr>
        <w:tab/>
        <w:t xml:space="preserve">Es obligación de todos los </w:t>
      </w:r>
      <w:r w:rsidR="00EB6264">
        <w:rPr>
          <w:rFonts w:ascii="Century Gothic" w:hAnsi="Century Gothic"/>
        </w:rPr>
        <w:t>CS</w:t>
      </w:r>
      <w:r>
        <w:rPr>
          <w:rFonts w:ascii="Century Gothic" w:hAnsi="Century Gothic"/>
        </w:rPr>
        <w:t xml:space="preserve"> asegurar que sus servicios garanticen la integridad de la red de cobre, por lo que se deberán respetar los lineamientos establecidos en este PGE.</w:t>
      </w:r>
    </w:p>
    <w:p w:rsidR="00655060" w:rsidRPr="00611019" w:rsidRDefault="00E56462" w:rsidP="00035D2C">
      <w:pPr>
        <w:pStyle w:val="CondicionesFinales"/>
        <w:spacing w:after="6pt"/>
        <w:ind w:start="21.30pt" w:end="0pt" w:hanging="21.30pt"/>
        <w:rPr>
          <w:rFonts w:ascii="Century Gothic" w:hAnsi="Century Gothic"/>
        </w:rPr>
      </w:pPr>
      <w:r>
        <w:rPr>
          <w:rFonts w:ascii="Century Gothic" w:hAnsi="Century Gothic"/>
        </w:rPr>
        <w:t>•</w:t>
      </w:r>
      <w:r>
        <w:rPr>
          <w:rFonts w:ascii="Century Gothic" w:hAnsi="Century Gothic"/>
        </w:rPr>
        <w:tab/>
        <w:t>Al poner en servicio una tecnología sobre un Bucle Local que no cumpla con el PGE, sus efectos de interferencia pueden no manifestarse de inmediato hacia los Bucles Locales vecinos. Sin embargo, la degradación del servicio puede producirse después, al ir aumentando la ocupación de la red con Bucles Locales que no cumplan el PGE y/o por concurrencia de señales en determinados horarios del día.</w:t>
      </w:r>
    </w:p>
    <w:p w:rsidR="00655060" w:rsidRPr="00611019" w:rsidRDefault="00E56462" w:rsidP="00035D2C">
      <w:pPr>
        <w:pStyle w:val="CondicionesFinales"/>
        <w:spacing w:after="6pt"/>
        <w:ind w:start="21.30pt" w:end="0pt" w:hanging="21.30pt"/>
        <w:rPr>
          <w:rFonts w:ascii="Century Gothic" w:hAnsi="Century Gothic"/>
        </w:rPr>
      </w:pPr>
      <w:r>
        <w:rPr>
          <w:rFonts w:ascii="Century Gothic" w:hAnsi="Century Gothic"/>
        </w:rPr>
        <w:t>•</w:t>
      </w:r>
      <w:r>
        <w:rPr>
          <w:rFonts w:ascii="Century Gothic" w:hAnsi="Century Gothic"/>
        </w:rPr>
        <w:tab/>
        <w:t>Se entenderá como degradación del servicio cuando se observe una reducción del margen de SNR hasta 0 dB y ésta sea permanente o estadísticamente significativa.</w:t>
      </w:r>
    </w:p>
    <w:p w:rsidR="00655060" w:rsidRPr="00611019" w:rsidRDefault="00E56462" w:rsidP="00035D2C">
      <w:pPr>
        <w:pStyle w:val="IFTnormal"/>
        <w:spacing w:after="6pt"/>
        <w:ind w:start="21.30pt" w:hanging="21.30pt"/>
        <w:rPr>
          <w:rFonts w:ascii="Century Gothic" w:hAnsi="Century Gothic"/>
        </w:rPr>
      </w:pPr>
      <w:r>
        <w:rPr>
          <w:rFonts w:ascii="Century Gothic" w:hAnsi="Century Gothic"/>
        </w:rPr>
        <w:t>RED NACIONAL pondrá a disposición del CS el reporte de lo siguiente:</w:t>
      </w:r>
    </w:p>
    <w:p w:rsidR="00655060" w:rsidRPr="00611019" w:rsidRDefault="00E56462" w:rsidP="00035D2C">
      <w:pPr>
        <w:pStyle w:val="CondicionesFinales"/>
        <w:spacing w:after="6pt"/>
        <w:ind w:start="21.30pt" w:end="0pt" w:hanging="21.30pt"/>
        <w:rPr>
          <w:rFonts w:ascii="Century Gothic" w:hAnsi="Century Gothic"/>
        </w:rPr>
      </w:pPr>
      <w:r>
        <w:rPr>
          <w:rFonts w:ascii="Century Gothic" w:hAnsi="Century Gothic"/>
        </w:rPr>
        <w:t>­</w:t>
      </w:r>
      <w:r>
        <w:rPr>
          <w:rFonts w:ascii="Century Gothic" w:hAnsi="Century Gothic"/>
        </w:rPr>
        <w:tab/>
        <w:t xml:space="preserve">Valor del índice de rechazos presentados en el Bucle </w:t>
      </w:r>
      <w:r w:rsidR="00EB6264">
        <w:rPr>
          <w:rFonts w:ascii="Century Gothic" w:hAnsi="Century Gothic"/>
        </w:rPr>
        <w:t xml:space="preserve">o Sub-Bucle </w:t>
      </w:r>
      <w:r>
        <w:rPr>
          <w:rFonts w:ascii="Century Gothic" w:hAnsi="Century Gothic"/>
        </w:rPr>
        <w:t>Local de interés del CS.</w:t>
      </w:r>
    </w:p>
    <w:p w:rsidR="00655060" w:rsidRPr="00611019" w:rsidRDefault="00E56462" w:rsidP="00035D2C">
      <w:pPr>
        <w:pStyle w:val="CondicionesFinales"/>
        <w:spacing w:after="6pt"/>
        <w:ind w:start="21.30pt" w:end="0pt" w:hanging="21.30pt"/>
        <w:rPr>
          <w:rFonts w:ascii="Century Gothic" w:hAnsi="Century Gothic"/>
        </w:rPr>
      </w:pPr>
      <w:r>
        <w:rPr>
          <w:rFonts w:ascii="Century Gothic" w:hAnsi="Century Gothic"/>
        </w:rPr>
        <w:t>­</w:t>
      </w:r>
      <w:r>
        <w:rPr>
          <w:rFonts w:ascii="Century Gothic" w:hAnsi="Century Gothic"/>
        </w:rPr>
        <w:tab/>
        <w:t xml:space="preserve">Tendencia a incidencias por interferencias en el Bucle </w:t>
      </w:r>
      <w:r w:rsidR="00EB6264">
        <w:rPr>
          <w:rFonts w:ascii="Century Gothic" w:hAnsi="Century Gothic"/>
        </w:rPr>
        <w:t xml:space="preserve">o Sub-Bucle </w:t>
      </w:r>
      <w:r>
        <w:rPr>
          <w:rFonts w:ascii="Century Gothic" w:hAnsi="Century Gothic"/>
        </w:rPr>
        <w:t>Local de interés del CS.</w:t>
      </w:r>
    </w:p>
    <w:p w:rsidR="001A4D73" w:rsidRPr="00611019" w:rsidRDefault="00E56462" w:rsidP="00E100F0">
      <w:pPr>
        <w:pStyle w:val="Ttulo3"/>
        <w:spacing w:after="6pt" w:line="13.80pt" w:lineRule="auto"/>
        <w:ind w:start="36pt" w:hanging="36pt"/>
        <w:rPr>
          <w:rFonts w:ascii="Century Gothic" w:hAnsi="Century Gothic"/>
          <w:szCs w:val="22"/>
        </w:rPr>
      </w:pPr>
      <w:bookmarkStart w:id="2703" w:name="_Toc92974160"/>
      <w:bookmarkStart w:id="2704" w:name="_Toc93052471"/>
      <w:bookmarkStart w:id="2705" w:name="_Toc93056426"/>
      <w:bookmarkStart w:id="2706" w:name="_Toc125393490"/>
      <w:bookmarkStart w:id="2707" w:name="_Toc148702345"/>
      <w:bookmarkStart w:id="2708" w:name="_Toc170381959"/>
      <w:r>
        <w:rPr>
          <w:rFonts w:ascii="Century Gothic" w:hAnsi="Century Gothic"/>
          <w:szCs w:val="22"/>
        </w:rPr>
        <w:lastRenderedPageBreak/>
        <w:t>7.2.1</w:t>
      </w:r>
      <w:r>
        <w:rPr>
          <w:rFonts w:ascii="Century Gothic" w:hAnsi="Century Gothic"/>
          <w:szCs w:val="22"/>
        </w:rPr>
        <w:tab/>
      </w:r>
      <w:r>
        <w:rPr>
          <w:rFonts w:ascii="Century Gothic" w:hAnsi="Century Gothic" w:cs="Arial"/>
          <w:color w:val="000000" w:themeColor="text1"/>
          <w:szCs w:val="22"/>
        </w:rPr>
        <w:t>Procedimiento previo a levantar solicitudes de atención de incidencias por Interferencia.</w:t>
      </w:r>
      <w:bookmarkEnd w:id="2703"/>
      <w:bookmarkEnd w:id="2704"/>
      <w:bookmarkEnd w:id="2705"/>
      <w:bookmarkEnd w:id="2706"/>
      <w:bookmarkEnd w:id="2707"/>
      <w:bookmarkEnd w:id="2708"/>
    </w:p>
    <w:p w:rsidR="00655060" w:rsidRPr="00611019" w:rsidRDefault="00E56462" w:rsidP="00035D2C">
      <w:pPr>
        <w:pStyle w:val="IFTnormal"/>
        <w:spacing w:after="6pt"/>
        <w:rPr>
          <w:rFonts w:ascii="Century Gothic" w:hAnsi="Century Gothic"/>
        </w:rPr>
      </w:pPr>
      <w:r>
        <w:rPr>
          <w:rFonts w:ascii="Century Gothic" w:hAnsi="Century Gothic"/>
        </w:rPr>
        <w:t>Cuando un CS sospeche la degradación de algún servicio, antes de levantar una incidencia por interferencia, deberá revisar si el problema se manifiesta en forma constante o intermitente y comprobar que el problema no se deba a alguno de los factores siguientes:</w:t>
      </w:r>
    </w:p>
    <w:p w:rsidR="00655060" w:rsidRPr="00611019" w:rsidRDefault="00E56462">
      <w:pPr>
        <w:pStyle w:val="IFTnormal"/>
        <w:numPr>
          <w:ilvl w:val="0"/>
          <w:numId w:val="174"/>
        </w:numPr>
        <w:spacing w:after="6pt"/>
        <w:rPr>
          <w:rFonts w:ascii="Century Gothic" w:hAnsi="Century Gothic"/>
        </w:rPr>
      </w:pPr>
      <w:r>
        <w:rPr>
          <w:rFonts w:ascii="Century Gothic" w:hAnsi="Century Gothic"/>
        </w:rPr>
        <w:t>Incumplimiento del PGE (máscara de PSD, Tecnología no compatible, perfil fuera de la condición de servicio, etc.).</w:t>
      </w:r>
    </w:p>
    <w:p w:rsidR="00655060" w:rsidRPr="00611019" w:rsidRDefault="00E56462">
      <w:pPr>
        <w:pStyle w:val="IFTnormal"/>
        <w:numPr>
          <w:ilvl w:val="0"/>
          <w:numId w:val="174"/>
        </w:numPr>
        <w:spacing w:after="6pt"/>
        <w:rPr>
          <w:rFonts w:ascii="Century Gothic" w:hAnsi="Century Gothic"/>
        </w:rPr>
      </w:pPr>
      <w:r>
        <w:rPr>
          <w:rFonts w:ascii="Century Gothic" w:hAnsi="Century Gothic"/>
        </w:rPr>
        <w:t>Configuración incorrecta de los servicios del CS.</w:t>
      </w:r>
    </w:p>
    <w:p w:rsidR="00655060" w:rsidRPr="00611019" w:rsidRDefault="00E56462">
      <w:pPr>
        <w:pStyle w:val="IFTnormal"/>
        <w:numPr>
          <w:ilvl w:val="0"/>
          <w:numId w:val="174"/>
        </w:numPr>
        <w:spacing w:after="6pt"/>
        <w:rPr>
          <w:rFonts w:ascii="Century Gothic" w:hAnsi="Century Gothic"/>
        </w:rPr>
      </w:pPr>
      <w:r>
        <w:rPr>
          <w:rFonts w:ascii="Century Gothic" w:hAnsi="Century Gothic"/>
        </w:rPr>
        <w:t>Daño en el Bucle Local afectado o en los Bucles Locales vecinos bajo el control del mismo CS.</w:t>
      </w:r>
    </w:p>
    <w:p w:rsidR="00655060" w:rsidRPr="00611019" w:rsidRDefault="00E56462">
      <w:pPr>
        <w:pStyle w:val="IFTnormal"/>
        <w:numPr>
          <w:ilvl w:val="0"/>
          <w:numId w:val="174"/>
        </w:numPr>
        <w:spacing w:after="6pt"/>
        <w:rPr>
          <w:rFonts w:ascii="Century Gothic" w:hAnsi="Century Gothic"/>
        </w:rPr>
      </w:pPr>
      <w:r>
        <w:rPr>
          <w:rFonts w:ascii="Century Gothic" w:hAnsi="Century Gothic"/>
        </w:rPr>
        <w:t>Mal funcionamiento de los equipos del CS.</w:t>
      </w:r>
    </w:p>
    <w:p w:rsidR="00655060" w:rsidRPr="00611019" w:rsidRDefault="00E56462">
      <w:pPr>
        <w:pStyle w:val="IFTnormal"/>
        <w:numPr>
          <w:ilvl w:val="0"/>
          <w:numId w:val="175"/>
        </w:numPr>
        <w:spacing w:after="6pt"/>
        <w:rPr>
          <w:rFonts w:ascii="Century Gothic" w:hAnsi="Century Gothic"/>
        </w:rPr>
      </w:pPr>
      <w:r>
        <w:rPr>
          <w:rFonts w:ascii="Century Gothic" w:hAnsi="Century Gothic"/>
        </w:rPr>
        <w:t>Instalación incorrecta de los equipos del CS.</w:t>
      </w:r>
    </w:p>
    <w:p w:rsidR="00655060" w:rsidRPr="00611019" w:rsidRDefault="00E56462">
      <w:pPr>
        <w:pStyle w:val="IFTnormal"/>
        <w:numPr>
          <w:ilvl w:val="0"/>
          <w:numId w:val="175"/>
        </w:numPr>
        <w:spacing w:after="6pt"/>
        <w:rPr>
          <w:rFonts w:ascii="Century Gothic" w:hAnsi="Century Gothic"/>
        </w:rPr>
      </w:pPr>
      <w:r>
        <w:rPr>
          <w:rFonts w:ascii="Century Gothic" w:hAnsi="Century Gothic"/>
        </w:rPr>
        <w:t>Existencia de una fuente de interferencia externa de valores superiores a los habituales.</w:t>
      </w:r>
    </w:p>
    <w:p w:rsidR="00655060" w:rsidRPr="00611019" w:rsidRDefault="00E56462">
      <w:pPr>
        <w:pStyle w:val="IFTnormal"/>
        <w:numPr>
          <w:ilvl w:val="0"/>
          <w:numId w:val="175"/>
        </w:numPr>
        <w:spacing w:after="6pt"/>
        <w:rPr>
          <w:rFonts w:ascii="Century Gothic" w:hAnsi="Century Gothic"/>
        </w:rPr>
      </w:pPr>
      <w:r>
        <w:rPr>
          <w:rFonts w:ascii="Century Gothic" w:hAnsi="Century Gothic"/>
        </w:rPr>
        <w:t>Deterioro de las condiciones de la red interior del Usuario Final.</w:t>
      </w:r>
    </w:p>
    <w:p w:rsidR="00655060" w:rsidRPr="00611019" w:rsidRDefault="00E56462" w:rsidP="00035D2C">
      <w:pPr>
        <w:pStyle w:val="IFTnormal"/>
        <w:spacing w:after="6pt"/>
        <w:rPr>
          <w:rFonts w:ascii="Century Gothic" w:hAnsi="Century Gothic"/>
        </w:rPr>
      </w:pPr>
      <w:r>
        <w:rPr>
          <w:rFonts w:ascii="Century Gothic" w:hAnsi="Century Gothic"/>
        </w:rPr>
        <w:t>Una vez corroborado que la posible afectación no es debida a alguno de los aspectos señalados con anterioridad y habiendo comprobado que el margen de señal a ruido haya decaído a 0dB en el(los) Bucle(s) Local</w:t>
      </w:r>
      <w:r w:rsidR="00EB6264">
        <w:rPr>
          <w:rFonts w:ascii="Century Gothic" w:hAnsi="Century Gothic"/>
        </w:rPr>
        <w:t xml:space="preserve">(es)/Sub-Bucle(s) Local(es) </w:t>
      </w:r>
      <w:r>
        <w:rPr>
          <w:rFonts w:ascii="Century Gothic" w:hAnsi="Century Gothic"/>
        </w:rPr>
        <w:t>afectado(s), el CS con afectación, podrá levantar una solicitud de atención de incidencia por interferencia, anexando evidencia de las acciones realizadas.</w:t>
      </w:r>
    </w:p>
    <w:p w:rsidR="001A4D73" w:rsidRPr="00611019" w:rsidRDefault="00E56462" w:rsidP="00035D2C">
      <w:pPr>
        <w:pStyle w:val="Ttulo3"/>
        <w:spacing w:line="13.80pt" w:lineRule="auto"/>
        <w:ind w:start="36pt" w:hanging="36pt"/>
        <w:jc w:val="start"/>
        <w:rPr>
          <w:rFonts w:ascii="Century Gothic" w:hAnsi="Century Gothic" w:cs="Arial"/>
          <w:color w:val="000000" w:themeColor="text1"/>
          <w:szCs w:val="22"/>
        </w:rPr>
      </w:pPr>
      <w:bookmarkStart w:id="2709" w:name="_Toc92974161"/>
      <w:bookmarkStart w:id="2710" w:name="_Toc93052472"/>
      <w:bookmarkStart w:id="2711" w:name="_Toc93056427"/>
      <w:bookmarkStart w:id="2712" w:name="_Toc125393491"/>
      <w:bookmarkStart w:id="2713" w:name="_Toc148702346"/>
      <w:bookmarkStart w:id="2714" w:name="_Toc170381960"/>
      <w:r>
        <w:rPr>
          <w:rFonts w:ascii="Century Gothic" w:hAnsi="Century Gothic"/>
          <w:szCs w:val="22"/>
        </w:rPr>
        <w:t>7.2.2</w:t>
      </w:r>
      <w:r>
        <w:rPr>
          <w:rFonts w:ascii="Century Gothic" w:hAnsi="Century Gothic"/>
          <w:szCs w:val="22"/>
        </w:rPr>
        <w:tab/>
      </w:r>
      <w:r>
        <w:rPr>
          <w:rFonts w:ascii="Century Gothic" w:hAnsi="Century Gothic" w:cs="Arial"/>
          <w:color w:val="000000" w:themeColor="text1"/>
          <w:szCs w:val="22"/>
        </w:rPr>
        <w:t>Procedimiento de gestión de incidencias provocadas por interferencias.</w:t>
      </w:r>
      <w:bookmarkEnd w:id="2709"/>
      <w:bookmarkEnd w:id="2710"/>
      <w:bookmarkEnd w:id="2711"/>
      <w:bookmarkEnd w:id="2712"/>
      <w:bookmarkEnd w:id="2713"/>
      <w:bookmarkEnd w:id="2714"/>
    </w:p>
    <w:p w:rsidR="00BB6358" w:rsidRPr="00611019" w:rsidRDefault="00BB6358" w:rsidP="00035D2C">
      <w:pPr>
        <w:rPr>
          <w:sz w:val="8"/>
        </w:rPr>
      </w:pPr>
    </w:p>
    <w:p w:rsidR="00655060" w:rsidRPr="00611019" w:rsidRDefault="00E56462" w:rsidP="00035D2C">
      <w:pPr>
        <w:pStyle w:val="IFTnormal"/>
        <w:rPr>
          <w:rFonts w:ascii="Century Gothic" w:hAnsi="Century Gothic"/>
        </w:rPr>
      </w:pPr>
      <w:r>
        <w:rPr>
          <w:rFonts w:ascii="Century Gothic" w:hAnsi="Century Gothic"/>
        </w:rPr>
        <w:t xml:space="preserve">Si RED NACIONAL detecta una incidencia por interferencia deberá notificar al o los </w:t>
      </w:r>
      <w:r w:rsidR="00EB6264">
        <w:rPr>
          <w:rFonts w:ascii="Century Gothic" w:hAnsi="Century Gothic"/>
        </w:rPr>
        <w:t>CS</w:t>
      </w:r>
      <w:r>
        <w:rPr>
          <w:rFonts w:ascii="Century Gothic" w:hAnsi="Century Gothic"/>
        </w:rPr>
        <w:t xml:space="preserve"> que conviven en el segmento de Bucle </w:t>
      </w:r>
      <w:r w:rsidR="00EB6264">
        <w:rPr>
          <w:rFonts w:ascii="Century Gothic" w:hAnsi="Century Gothic"/>
        </w:rPr>
        <w:t xml:space="preserve">o Sub-Bucle Local </w:t>
      </w:r>
      <w:r>
        <w:rPr>
          <w:rFonts w:ascii="Century Gothic" w:hAnsi="Century Gothic"/>
        </w:rPr>
        <w:t>detectado con interferencia. Si el CS detecta una incidencia por interferencia accederá al SEG/SIPO, para generar una solicitud de atención de incidencia por interferencia, para ambos casos, si RED NACIONAL o el CS identifican la incidencia deberán proporcionar la siguiente información:</w:t>
      </w:r>
    </w:p>
    <w:p w:rsidR="00655060" w:rsidRPr="00611019" w:rsidRDefault="00E56462" w:rsidP="00035D2C">
      <w:pPr>
        <w:pStyle w:val="IFTnormal"/>
        <w:spacing w:after="3pt"/>
        <w:ind w:start="21.30pt" w:hanging="18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Solicitud: Atención de Incidencia por interferencia.</w:t>
      </w:r>
    </w:p>
    <w:p w:rsidR="00655060" w:rsidRPr="00611019" w:rsidRDefault="00E56462" w:rsidP="00035D2C">
      <w:pPr>
        <w:pStyle w:val="IFTnormal"/>
        <w:spacing w:after="3pt"/>
        <w:ind w:start="21.30pt" w:hanging="18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Número de Referencia del CS.</w:t>
      </w:r>
    </w:p>
    <w:p w:rsidR="00655060" w:rsidRPr="00611019" w:rsidRDefault="00E56462" w:rsidP="00035D2C">
      <w:pPr>
        <w:pStyle w:val="IFTnormal"/>
        <w:spacing w:after="3pt"/>
        <w:ind w:start="21.30pt" w:hanging="18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Nombre o Razón Social del CS.</w:t>
      </w:r>
    </w:p>
    <w:p w:rsidR="00655060" w:rsidRPr="00611019" w:rsidRDefault="00E56462" w:rsidP="003E0E9D">
      <w:pPr>
        <w:pStyle w:val="IFTnormal"/>
        <w:spacing w:after="3pt"/>
        <w:ind w:start="21.30pt" w:hanging="18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Folio de contratación del Servicio que se reporta con afectación.</w:t>
      </w:r>
    </w:p>
    <w:p w:rsidR="00655060" w:rsidRPr="00611019" w:rsidRDefault="00E56462" w:rsidP="00035D2C">
      <w:pPr>
        <w:pStyle w:val="IFTnormal"/>
        <w:spacing w:after="3pt"/>
        <w:ind w:start="21.30pt" w:hanging="18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Nombre de la Central Telefónica o Instalación Equivalente.</w:t>
      </w:r>
    </w:p>
    <w:p w:rsidR="00655060" w:rsidRPr="00611019" w:rsidRDefault="00E56462" w:rsidP="00035D2C">
      <w:pPr>
        <w:pStyle w:val="IFTnormal"/>
        <w:spacing w:after="3pt"/>
        <w:ind w:start="21.30pt" w:hanging="18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 xml:space="preserve">Nombre del contacto por parte del CS. </w:t>
      </w:r>
    </w:p>
    <w:p w:rsidR="00655060" w:rsidRPr="00611019" w:rsidRDefault="00E56462" w:rsidP="00035D2C">
      <w:pPr>
        <w:pStyle w:val="IFTnormal"/>
        <w:spacing w:after="3pt"/>
        <w:ind w:start="21.30pt" w:hanging="18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Teléfonos de contacto.</w:t>
      </w:r>
    </w:p>
    <w:p w:rsidR="00655060" w:rsidRPr="00611019" w:rsidRDefault="00E56462" w:rsidP="00035D2C">
      <w:pPr>
        <w:pStyle w:val="IFTnormal"/>
        <w:spacing w:after="3pt"/>
        <w:ind w:start="21.30pt" w:hanging="18pt"/>
        <w:rPr>
          <w:rFonts w:ascii="Century Gothic" w:hAnsi="Century Gothic"/>
        </w:rPr>
      </w:pPr>
      <w:r>
        <w:rPr>
          <w:rFonts w:ascii="Century Gothic" w:hAnsi="Century Gothic" w:cs="Times New Roman"/>
        </w:rPr>
        <w:lastRenderedPageBreak/>
        <w:t>-</w:t>
      </w:r>
      <w:r>
        <w:rPr>
          <w:rFonts w:ascii="Century Gothic" w:hAnsi="Century Gothic" w:cs="Times New Roman"/>
        </w:rPr>
        <w:tab/>
      </w:r>
      <w:r>
        <w:rPr>
          <w:rFonts w:ascii="Century Gothic" w:hAnsi="Century Gothic"/>
        </w:rPr>
        <w:t>Dirección de correo electrónico.</w:t>
      </w:r>
    </w:p>
    <w:p w:rsidR="00655060" w:rsidRPr="00611019" w:rsidRDefault="00E56462" w:rsidP="00035D2C">
      <w:pPr>
        <w:pStyle w:val="IFTnormal"/>
        <w:spacing w:after="3pt"/>
        <w:ind w:start="21.30pt" w:hanging="18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Identificación del Bucle Local (posición de remate).</w:t>
      </w:r>
    </w:p>
    <w:p w:rsidR="00655060" w:rsidRPr="00611019" w:rsidRDefault="00E56462" w:rsidP="00035D2C">
      <w:pPr>
        <w:pStyle w:val="IFTnormal"/>
        <w:spacing w:after="3pt"/>
        <w:ind w:start="21.30pt" w:hanging="18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Efecto de la interferencia.</w:t>
      </w:r>
    </w:p>
    <w:p w:rsidR="00655060" w:rsidRPr="00611019" w:rsidRDefault="00E56462" w:rsidP="00035D2C">
      <w:pPr>
        <w:pStyle w:val="IFTnormal"/>
        <w:spacing w:after="3pt"/>
        <w:ind w:start="21.30pt" w:hanging="18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Fecha de inicio de problema: ddmmaaaa.</w:t>
      </w:r>
    </w:p>
    <w:p w:rsidR="00655060" w:rsidRPr="00611019" w:rsidRDefault="00E56462" w:rsidP="00035D2C">
      <w:pPr>
        <w:pStyle w:val="IFTnormal"/>
        <w:spacing w:after="3pt"/>
        <w:ind w:start="21.30pt" w:hanging="18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Información adicional: datos y mediciones de diagnóstico, identificación del tipo de señal de interferencia.</w:t>
      </w:r>
    </w:p>
    <w:p w:rsidR="00655060" w:rsidRPr="00611019" w:rsidRDefault="00E56462" w:rsidP="00035D2C">
      <w:pPr>
        <w:pStyle w:val="IFTnormal"/>
        <w:ind w:start="21.30pt" w:hanging="18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Folio de incidencia (en caso de existir reporte previo de otro CS).</w:t>
      </w:r>
    </w:p>
    <w:p w:rsidR="00BB6358" w:rsidRPr="00611019" w:rsidRDefault="00BB6358" w:rsidP="00035D2C">
      <w:pPr>
        <w:pStyle w:val="IFTnormal"/>
        <w:ind w:start="21.30pt" w:hanging="18pt"/>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rPr>
        <w:t>El SEG/SIPO emitirá un folio de incidencia al CS con el cual se dará seguimiento.</w:t>
      </w:r>
    </w:p>
    <w:p w:rsidR="00BB6358" w:rsidRPr="00611019" w:rsidRDefault="00BB6358"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rPr>
        <w:t>Una vez recibida la solicitud, RED NACIONAL llevará a cabo la revisión de la misma en un plazo máximo de dos días hábiles, si la solicitud no procede (datos imprecisos) se le indicará al CS el motivo del rechazo vía correo electrónico o del SEG/SIPO.</w:t>
      </w:r>
    </w:p>
    <w:p w:rsidR="00BB6358" w:rsidRPr="00611019" w:rsidRDefault="00BB6358"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rPr>
        <w:t xml:space="preserve">RED NACIONAL identificará si existen servicios de otros CS en la misma UB del servicio afectado, para lo cual, en un plazo no mayor a 3 días hábiles, notificará a través de correo electrónico o del SEG/SIPO, a los </w:t>
      </w:r>
      <w:r w:rsidR="00EB6264">
        <w:rPr>
          <w:rFonts w:ascii="Century Gothic" w:hAnsi="Century Gothic"/>
        </w:rPr>
        <w:t>CS</w:t>
      </w:r>
      <w:r>
        <w:rPr>
          <w:rFonts w:ascii="Century Gothic" w:hAnsi="Century Gothic"/>
        </w:rPr>
        <w:t xml:space="preserve"> que estén compartiendo la unidad básica donde se presentó la incidencia incluyendo el Folio de incidencia generado previamente.</w:t>
      </w:r>
    </w:p>
    <w:p w:rsidR="00BB6358" w:rsidRPr="00611019" w:rsidRDefault="00BB6358"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rPr>
        <w:t xml:space="preserve">Todos los </w:t>
      </w:r>
      <w:r w:rsidR="00EB6264">
        <w:rPr>
          <w:rFonts w:ascii="Century Gothic" w:hAnsi="Century Gothic"/>
        </w:rPr>
        <w:t>CS</w:t>
      </w:r>
      <w:r>
        <w:rPr>
          <w:rFonts w:ascii="Century Gothic" w:hAnsi="Century Gothic"/>
        </w:rPr>
        <w:t xml:space="preserve"> que estén compartiendo dicha unidad básica deberán responder a través del SEG/SIPO, en un plazo de 2 días hábiles, haciendo referencia al “Folio Anterior de incidencia”:</w:t>
      </w:r>
    </w:p>
    <w:p w:rsidR="00BB6358" w:rsidRPr="00611019" w:rsidRDefault="00BB6358" w:rsidP="00035D2C">
      <w:pPr>
        <w:pStyle w:val="IFTnormal"/>
        <w:rPr>
          <w:rFonts w:ascii="Century Gothic" w:hAnsi="Century Gothic"/>
        </w:rPr>
      </w:pPr>
    </w:p>
    <w:p w:rsidR="00655060" w:rsidRPr="00611019" w:rsidRDefault="00E56462" w:rsidP="00035D2C">
      <w:pPr>
        <w:pStyle w:val="IFTnormal"/>
        <w:spacing w:after="3pt"/>
        <w:ind w:start="21.30pt" w:hanging="21.30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Si han detectado alguna anomalía.</w:t>
      </w:r>
    </w:p>
    <w:p w:rsidR="00655060" w:rsidRPr="00611019" w:rsidRDefault="00E56462" w:rsidP="00035D2C">
      <w:pPr>
        <w:pStyle w:val="IFTnormal"/>
        <w:spacing w:after="3pt"/>
        <w:ind w:start="21.30pt" w:hanging="21.30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Si han realizado modificación alguna del servicio que prestan que pudiera ser causa de interferencias.</w:t>
      </w:r>
    </w:p>
    <w:p w:rsidR="00655060" w:rsidRPr="00611019" w:rsidRDefault="00E56462" w:rsidP="00035D2C">
      <w:pPr>
        <w:pStyle w:val="IFTnormal"/>
        <w:spacing w:after="6pt"/>
        <w:ind w:start="21.30pt" w:hanging="21.30pt"/>
        <w:rPr>
          <w:rFonts w:ascii="Century Gothic" w:hAnsi="Century Gothic"/>
        </w:rPr>
      </w:pPr>
      <w:r>
        <w:rPr>
          <w:rFonts w:ascii="Century Gothic" w:hAnsi="Century Gothic" w:cs="Times New Roman"/>
        </w:rPr>
        <w:t>-</w:t>
      </w:r>
      <w:r>
        <w:rPr>
          <w:rFonts w:ascii="Century Gothic" w:hAnsi="Century Gothic" w:cs="Times New Roman"/>
        </w:rPr>
        <w:tab/>
      </w:r>
      <w:r>
        <w:rPr>
          <w:rFonts w:ascii="Century Gothic" w:hAnsi="Century Gothic"/>
        </w:rPr>
        <w:t>Si están experimentando degradaciones de sus servicios relacionados a la interferencia señalada en la incidencia.</w:t>
      </w:r>
    </w:p>
    <w:p w:rsidR="005B32C6" w:rsidRPr="00611019" w:rsidRDefault="005B32C6"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rPr>
        <w:t>Lo anterior aplicando el Procedimiento Previo para levantar solicitudes de atención de incidencias que se detalla en el punto 7.2.1.</w:t>
      </w:r>
    </w:p>
    <w:p w:rsidR="00BB6358" w:rsidRPr="00611019" w:rsidRDefault="00BB6358" w:rsidP="00035D2C">
      <w:pPr>
        <w:pStyle w:val="IFTnormal"/>
        <w:rPr>
          <w:rFonts w:ascii="Century Gothic" w:hAnsi="Century Gothic"/>
        </w:rPr>
      </w:pPr>
    </w:p>
    <w:p w:rsidR="00C14068" w:rsidRPr="00611019" w:rsidRDefault="00E56462" w:rsidP="00035D2C">
      <w:pPr>
        <w:pStyle w:val="IFTnormal"/>
        <w:rPr>
          <w:rFonts w:ascii="Century Gothic" w:hAnsi="Century Gothic"/>
        </w:rPr>
      </w:pPr>
      <w:r>
        <w:rPr>
          <w:rFonts w:ascii="Century Gothic" w:hAnsi="Century Gothic"/>
        </w:rPr>
        <w:t xml:space="preserve">Cuando un CS se responsabilice de la interferencia debe reportarlo vía correo electrónico y se guardará el registro en el SEG/SIPO. Si el CS resulta responsable debe tomar las medidas adecuadas para resolver la causa de interferencia en un plazo no mayor a 5 días hábiles, se valorará si se deben tomar medidas contenedoras para minimizar la afectación de los Usuarios Finales tales como desconectar los servicios causantes de la interferencia o bajar potencia en la señal. </w:t>
      </w:r>
    </w:p>
    <w:p w:rsidR="00655060" w:rsidRPr="00611019" w:rsidRDefault="00E56462" w:rsidP="00035D2C">
      <w:pPr>
        <w:pStyle w:val="IFTnormal"/>
        <w:rPr>
          <w:rFonts w:ascii="Century Gothic" w:hAnsi="Century Gothic"/>
        </w:rPr>
      </w:pPr>
      <w:r>
        <w:rPr>
          <w:rFonts w:ascii="Century Gothic" w:hAnsi="Century Gothic"/>
        </w:rPr>
        <w:lastRenderedPageBreak/>
        <w:t>La incidencia se considera cerrada una vez que se restituya el Servicio y se reporte al CS afectado de la solución a través de correo electrónico o del SEG/SIPO.</w:t>
      </w:r>
    </w:p>
    <w:p w:rsidR="005B32C6" w:rsidRPr="00611019" w:rsidRDefault="005B32C6"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rPr>
        <w:t xml:space="preserve">En caso contrario, RED NACIONAL acordará cita con el contacto del CS afectado y en conjunto se presentarán en el sitio acordado, en un plazo no mayor a 5 días hábiles posteriores a la recepción de la respuesta de los </w:t>
      </w:r>
      <w:r w:rsidR="00EB6264">
        <w:rPr>
          <w:rFonts w:ascii="Century Gothic" w:hAnsi="Century Gothic"/>
        </w:rPr>
        <w:t>CS</w:t>
      </w:r>
      <w:r>
        <w:rPr>
          <w:rFonts w:ascii="Century Gothic" w:hAnsi="Century Gothic"/>
        </w:rPr>
        <w:t>, para que el CS afectado demuestre la degradación en su servicio.</w:t>
      </w:r>
    </w:p>
    <w:p w:rsidR="005B32C6" w:rsidRPr="00611019" w:rsidRDefault="005B32C6"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rPr>
        <w:t>Los resultados de las pruebas de interferencia deberán ser firmados por el representante del CS afectado y de RED NACIONAL indicando por cada una de las partes su conformidad o indicando las discrepancias. Si se encuentran parámetros fuera de rango se procederá a revisar conexiones u opciones de reemplazo antes de proceder al cambio de par (de acuerdo a la disponibilidad de la red) y se realizará una nueva medición de parámetros por el CS afectado, si es el caso se procederá al cierre de la incidencia.</w:t>
      </w:r>
    </w:p>
    <w:p w:rsidR="005B32C6" w:rsidRPr="00611019" w:rsidRDefault="005B32C6"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rPr>
        <w:t>En el caso del párrafo anterior, de no cerrarse la incidencia, RED NACIONAL en conjunto con el(los) CS afectados, determinarán el origen de la interferencia y los medios para su solución. El origen de la interferencia podrá ser un único CS o un conjunto de CS (interferencia múltiple). En el caso de interferencia múltiple será necesario determinar el orden de prioridad para aplicar las medidas de solución de la incidencia, en función de la magnitud del efecto interferente de cada señal.</w:t>
      </w:r>
    </w:p>
    <w:p w:rsidR="005B32C6" w:rsidRPr="00611019" w:rsidRDefault="005B32C6"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rPr>
        <w:t>Ante la falta de acuerdo para ordenar las señales por su efecto interferente, podrá optarse por ordenarlas por fecha de la última modificación, tipo de señal y velocidad utilizada, con el fin de determinar las medidas correctivas a aplicar.</w:t>
      </w:r>
    </w:p>
    <w:p w:rsidR="005B32C6" w:rsidRPr="00611019" w:rsidRDefault="005B32C6"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rPr>
        <w:t>Cada CS deberá aportar todos los datos posibles referentes a las señales sobre los Bucles Locales relacionados a la unidad básica y proporcionar la máscara de densidad espectral emitida en cada Bucle Local afectado.</w:t>
      </w:r>
    </w:p>
    <w:p w:rsidR="005B32C6" w:rsidRPr="00611019" w:rsidRDefault="005B32C6"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rPr>
        <w:t>En el caso de que no se disponga de la información suficiente o exista una discrepancia, podrá acordarse la realización de pruebas o mediciones adicionales en los Bucles Locales identificados como potencialmente interferentes e interferidos.</w:t>
      </w:r>
    </w:p>
    <w:p w:rsidR="005B32C6" w:rsidRPr="00611019" w:rsidRDefault="005B32C6"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rPr>
        <w:t xml:space="preserve">La solución de la incidencia se hará de forma que se minimicen los efectos de los Bucles Locales potencialmente interferentes y, al mismo tiempo, buscando un compromiso entre los beneficios causados al Bucle Local interferido y los perjuicios causados a otros Bucles Locales. En principio, se tratará de resolver la incidencia, bien reduciendo la potencia emitida por la señal o señales potencialmente interferentes, o bien mediante el cambio del par afectado (interferente o interferido), cuando sea posible, evitando la </w:t>
      </w:r>
      <w:bookmarkStart w:id="2715" w:name="_Hlk93495559"/>
      <w:r>
        <w:rPr>
          <w:rFonts w:ascii="Century Gothic" w:hAnsi="Century Gothic"/>
        </w:rPr>
        <w:t>desactivación de servicios.</w:t>
      </w:r>
      <w:bookmarkEnd w:id="2715"/>
    </w:p>
    <w:p w:rsidR="00655060" w:rsidRPr="00611019" w:rsidRDefault="00E56462" w:rsidP="00035D2C">
      <w:pPr>
        <w:pStyle w:val="IFTnormal"/>
        <w:rPr>
          <w:rFonts w:ascii="Century Gothic" w:hAnsi="Century Gothic"/>
        </w:rPr>
      </w:pPr>
      <w:r>
        <w:rPr>
          <w:rFonts w:ascii="Century Gothic" w:hAnsi="Century Gothic"/>
        </w:rPr>
        <w:lastRenderedPageBreak/>
        <w:t>En el caso extremo de la desactivación de un Bucle Local para comprobar que ya no existen interferencias, si dicho Bucle Local proporciona servicios de velocidad variable, se activará, si así lo desea el CS responsable del servicio interferente, a una velocidad inferior (la desactivación no tendría por qué afectar al servicio telefónico POTS). En caso de persistir las interferencias, o de que el Bucle Local estuviera funcionando a la velocidad mínima, se mantendrá la desactivación del Bucle Local.</w:t>
      </w:r>
    </w:p>
    <w:p w:rsidR="005B32C6" w:rsidRPr="00611019" w:rsidRDefault="005B32C6"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rPr>
        <w:t xml:space="preserve">Los gastos incurridos durante el procedimiento de control de interferencias se distribuirán de acuerdo a lo definido por el grupo de CS involucrados y RED NACIONAL y sobre el CS interferente en caso de incumplimiento del PGE, o sobre los </w:t>
      </w:r>
      <w:r w:rsidR="00EB6264">
        <w:rPr>
          <w:rFonts w:ascii="Century Gothic" w:hAnsi="Century Gothic"/>
        </w:rPr>
        <w:t>CS</w:t>
      </w:r>
      <w:r>
        <w:rPr>
          <w:rFonts w:ascii="Century Gothic" w:hAnsi="Century Gothic"/>
        </w:rPr>
        <w:t xml:space="preserve"> interferidos cuando se demuestre que no se realizaron las comprobaciones previas a la notificación de la incidencia por interferencias.</w:t>
      </w:r>
    </w:p>
    <w:p w:rsidR="00C14068" w:rsidRPr="00611019" w:rsidRDefault="00C14068" w:rsidP="00035D2C">
      <w:pPr>
        <w:pStyle w:val="IFTnormal"/>
        <w:rPr>
          <w:rFonts w:ascii="Century Gothic" w:hAnsi="Century Gothic"/>
        </w:rPr>
      </w:pPr>
    </w:p>
    <w:p w:rsidR="00C14068" w:rsidRPr="00BB42F4" w:rsidRDefault="00E56462" w:rsidP="00035D2C">
      <w:pPr>
        <w:pStyle w:val="Ttulo1"/>
        <w:keepNext/>
        <w:ind w:start="21.60pt" w:hanging="21.60pt"/>
        <w:jc w:val="start"/>
        <w:rPr>
          <w:rFonts w:ascii="Century Gothic" w:hAnsi="Century Gothic"/>
          <w:color w:val="000000" w:themeColor="text1"/>
        </w:rPr>
      </w:pPr>
      <w:bookmarkStart w:id="2716" w:name="_Toc92974162"/>
      <w:bookmarkStart w:id="2717" w:name="_Toc93052473"/>
      <w:bookmarkStart w:id="2718" w:name="_Toc93056428"/>
      <w:bookmarkStart w:id="2719" w:name="_Toc125393492"/>
      <w:bookmarkStart w:id="2720" w:name="_Toc148702347"/>
      <w:bookmarkStart w:id="2721" w:name="_Toc170381961"/>
      <w:r w:rsidRPr="00BB42F4">
        <w:rPr>
          <w:rFonts w:ascii="Century Gothic" w:hAnsi="Century Gothic"/>
        </w:rPr>
        <w:t>8.</w:t>
      </w:r>
      <w:r w:rsidRPr="00BB42F4">
        <w:rPr>
          <w:rFonts w:ascii="Century Gothic" w:hAnsi="Century Gothic"/>
        </w:rPr>
        <w:tab/>
      </w:r>
      <w:r w:rsidRPr="00BB42F4">
        <w:rPr>
          <w:rFonts w:ascii="Century Gothic" w:hAnsi="Century Gothic"/>
          <w:color w:val="000000" w:themeColor="text1"/>
        </w:rPr>
        <w:t>Definiciones.</w:t>
      </w:r>
      <w:bookmarkEnd w:id="2716"/>
      <w:bookmarkEnd w:id="2717"/>
      <w:bookmarkEnd w:id="2718"/>
      <w:bookmarkEnd w:id="2719"/>
      <w:bookmarkEnd w:id="2720"/>
      <w:bookmarkEnd w:id="2721"/>
    </w:p>
    <w:p w:rsidR="00B27609" w:rsidRPr="00611019" w:rsidRDefault="00B27609" w:rsidP="00B27609">
      <w:pPr>
        <w:tabs>
          <w:tab w:val="start" w:pos="425.25pt"/>
        </w:tabs>
        <w:jc w:val="both"/>
        <w:rPr>
          <w:rFonts w:ascii="Century Gothic" w:eastAsia="Calibri" w:hAnsi="Century Gothic" w:cs="Arial"/>
          <w:bCs/>
        </w:rPr>
      </w:pPr>
      <w:r w:rsidRPr="00BB42F4">
        <w:rPr>
          <w:rFonts w:ascii="Century Gothic" w:eastAsia="Calibri" w:hAnsi="Century Gothic" w:cs="Times New Roman"/>
        </w:rPr>
        <w:t>Salvo los términos que se definen a continuación, los empleados con inicial mayúscula o mayúsculas tendrán el significado que se le atribuye en las secciones ¨Definiciones¨ y ¨Acrónimos¨ de la OREDA.</w:t>
      </w:r>
    </w:p>
    <w:p w:rsidR="005B32C6" w:rsidRPr="00B27609" w:rsidRDefault="005B32C6" w:rsidP="00035D2C">
      <w:pPr>
        <w:rPr>
          <w:lang w:eastAsia="es-ES"/>
        </w:rPr>
      </w:pPr>
    </w:p>
    <w:p w:rsidR="00655060" w:rsidRPr="00611019" w:rsidRDefault="00E56462" w:rsidP="00035D2C">
      <w:pPr>
        <w:pStyle w:val="IFTnormal"/>
        <w:rPr>
          <w:rFonts w:ascii="Century Gothic" w:hAnsi="Century Gothic"/>
        </w:rPr>
      </w:pPr>
      <w:r>
        <w:rPr>
          <w:rFonts w:ascii="Century Gothic" w:hAnsi="Century Gothic"/>
          <w:b/>
        </w:rPr>
        <w:t>Compatibilidad Espectral:</w:t>
      </w:r>
      <w:r>
        <w:rPr>
          <w:rFonts w:ascii="Century Gothic" w:hAnsi="Century Gothic"/>
        </w:rPr>
        <w:t xml:space="preserve"> Capacidad de un dispositivo, equipo o sistema de funcionar satisfactoriamente en un ambiente electromagnético sin producir perturbación electromagnética intolerable para otros equipos o sistemas contenidos en el ambiente.</w:t>
      </w:r>
    </w:p>
    <w:p w:rsidR="005B32C6" w:rsidRPr="00611019" w:rsidRDefault="005B32C6"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b/>
        </w:rPr>
        <w:t>Control de Interferencias del Bucle Desagregado</w:t>
      </w:r>
      <w:r>
        <w:rPr>
          <w:rFonts w:ascii="Century Gothic" w:hAnsi="Century Gothic"/>
        </w:rPr>
        <w:t>: conjunto de reglas, procedimientos y códigos de conducta destinados a minimizar las interferencias sobre la red de cobre, así como a resolver incidencias provocadas por interferencias.</w:t>
      </w:r>
    </w:p>
    <w:p w:rsidR="005B32C6" w:rsidRPr="00611019" w:rsidRDefault="005B32C6"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b/>
        </w:rPr>
        <w:t>Interferencia (Diafonía):</w:t>
      </w:r>
      <w:r>
        <w:rPr>
          <w:rFonts w:ascii="Century Gothic" w:hAnsi="Century Gothic"/>
        </w:rPr>
        <w:t xml:space="preserve"> Degradación del desempeño de un equipo, canal de transmisión o de un sistema causada por una la inducción de energía de otras señales que se transmiten en pares adyacentes en un cable multipar.</w:t>
      </w:r>
    </w:p>
    <w:p w:rsidR="005B32C6" w:rsidRPr="00611019" w:rsidRDefault="005B32C6"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b/>
        </w:rPr>
        <w:t>Máscara de PSD:</w:t>
      </w:r>
      <w:r>
        <w:rPr>
          <w:rFonts w:ascii="Century Gothic" w:hAnsi="Century Gothic"/>
        </w:rPr>
        <w:t xml:space="preserve"> Especificación grafica del contenido espectral y sus limitantes (frecuencias y niveles de potencia) de una señal.</w:t>
      </w:r>
    </w:p>
    <w:p w:rsidR="005B32C6" w:rsidRPr="00611019" w:rsidRDefault="005B32C6"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b/>
        </w:rPr>
        <w:t>Red de cobre:</w:t>
      </w:r>
      <w:r>
        <w:rPr>
          <w:rFonts w:ascii="Century Gothic" w:hAnsi="Century Gothic"/>
        </w:rPr>
        <w:t xml:space="preserve"> totalidad de Bucles Locales/pares de cobre en el documento, se utiliza indistintamente el término Bucle Local o par para referirse a los pares de cobre.</w:t>
      </w:r>
    </w:p>
    <w:p w:rsidR="005B32C6" w:rsidRPr="00611019" w:rsidRDefault="005B32C6"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b/>
        </w:rPr>
        <w:t>Señal de Velocidad o Espectro Variable:</w:t>
      </w:r>
      <w:r>
        <w:rPr>
          <w:rFonts w:ascii="Century Gothic" w:hAnsi="Century Gothic"/>
        </w:rPr>
        <w:t xml:space="preserve"> aquella que puede variar la velocidad de transmisión (y por tanto el ancho de banda ocupado) ya sea en función de parámetros del perfil, limitaciones físicas de un Bucle Local o las condiciones de ruido.</w:t>
      </w:r>
    </w:p>
    <w:p w:rsidR="005B32C6" w:rsidRPr="00611019" w:rsidRDefault="005B32C6"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b/>
        </w:rPr>
        <w:t>U/DPBO (</w:t>
      </w:r>
      <w:r>
        <w:rPr>
          <w:rFonts w:ascii="Century Gothic" w:hAnsi="Century Gothic"/>
          <w:b/>
          <w:i/>
        </w:rPr>
        <w:t>Upstream/Downstream</w:t>
      </w:r>
      <w:r>
        <w:rPr>
          <w:rFonts w:ascii="Century Gothic" w:hAnsi="Century Gothic"/>
          <w:b/>
        </w:rPr>
        <w:t xml:space="preserve"> power back-off):</w:t>
      </w:r>
      <w:r>
        <w:rPr>
          <w:rFonts w:ascii="Century Gothic" w:hAnsi="Century Gothic"/>
        </w:rPr>
        <w:t xml:space="preserve"> Mecanismo de reducción de potencia de transmisión en función de la frecuencia, aplicable a la trayectoria de subida </w:t>
      </w:r>
      <w:r>
        <w:rPr>
          <w:rFonts w:ascii="Century Gothic" w:hAnsi="Century Gothic"/>
        </w:rPr>
        <w:lastRenderedPageBreak/>
        <w:t>(</w:t>
      </w:r>
      <w:r>
        <w:rPr>
          <w:rFonts w:ascii="Century Gothic" w:hAnsi="Century Gothic"/>
          <w:i/>
        </w:rPr>
        <w:t>Upstream) ó de bajada (Downstream)</w:t>
      </w:r>
      <w:r>
        <w:rPr>
          <w:rFonts w:ascii="Century Gothic" w:hAnsi="Century Gothic"/>
        </w:rPr>
        <w:t xml:space="preserve"> del sistema DSL que permite mejorar la compatibilidad entre Bucles Locales de diferentes longitudes desplegados en el mismo cable. </w:t>
      </w:r>
    </w:p>
    <w:p w:rsidR="005B32C6" w:rsidRPr="00611019" w:rsidRDefault="005B32C6" w:rsidP="00035D2C">
      <w:pPr>
        <w:pStyle w:val="IFTnormal"/>
        <w:rPr>
          <w:rFonts w:ascii="Century Gothic" w:hAnsi="Century Gothic"/>
        </w:rPr>
      </w:pPr>
    </w:p>
    <w:p w:rsidR="00EB6264" w:rsidRPr="00EB6264" w:rsidRDefault="00E56462" w:rsidP="00EB6264">
      <w:pPr>
        <w:pStyle w:val="IFTnormal"/>
        <w:rPr>
          <w:rFonts w:ascii="Century Gothic" w:hAnsi="Century Gothic"/>
        </w:rPr>
      </w:pPr>
      <w:r>
        <w:rPr>
          <w:rFonts w:ascii="Century Gothic" w:hAnsi="Century Gothic"/>
          <w:b/>
        </w:rPr>
        <w:t>Unidad Básica</w:t>
      </w:r>
      <w:r>
        <w:rPr>
          <w:rFonts w:ascii="Century Gothic" w:hAnsi="Century Gothic"/>
          <w:b/>
          <w:bCs/>
        </w:rPr>
        <w:t>:</w:t>
      </w:r>
      <w:r>
        <w:rPr>
          <w:rFonts w:ascii="Century Gothic" w:hAnsi="Century Gothic"/>
        </w:rPr>
        <w:t xml:space="preserve"> Conjunto de pares de cobre adyacentes que constituyen la unidad elemental de interferencia. En el Bucle Local la unidad básica consta de 50 pares</w:t>
      </w:r>
      <w:r w:rsidR="00EB6264">
        <w:rPr>
          <w:rFonts w:ascii="Century Gothic" w:hAnsi="Century Gothic"/>
        </w:rPr>
        <w:t xml:space="preserve"> </w:t>
      </w:r>
      <w:r w:rsidR="00EB6264" w:rsidRPr="00EB6264">
        <w:rPr>
          <w:rFonts w:ascii="Century Gothic" w:hAnsi="Century Gothic"/>
        </w:rPr>
        <w:t xml:space="preserve">y en el Sub-bucle Local se compone de un grupo de 10 pares. </w:t>
      </w:r>
    </w:p>
    <w:p w:rsidR="005B32C6" w:rsidRPr="00611019" w:rsidRDefault="005B32C6" w:rsidP="00035D2C">
      <w:pPr>
        <w:pStyle w:val="IFTnormal"/>
        <w:rPr>
          <w:rFonts w:ascii="Century Gothic" w:hAnsi="Century Gothic"/>
        </w:rPr>
      </w:pPr>
    </w:p>
    <w:p w:rsidR="00655060" w:rsidRPr="00611019" w:rsidRDefault="00E56462" w:rsidP="00035D2C">
      <w:pPr>
        <w:pStyle w:val="IFTnormal"/>
        <w:rPr>
          <w:rFonts w:ascii="Century Gothic" w:hAnsi="Century Gothic"/>
        </w:rPr>
      </w:pPr>
      <w:r>
        <w:rPr>
          <w:rFonts w:ascii="Century Gothic" w:hAnsi="Century Gothic"/>
          <w:b/>
        </w:rPr>
        <w:t>Vectoring</w:t>
      </w:r>
      <w:r>
        <w:rPr>
          <w:rFonts w:ascii="Century Gothic" w:hAnsi="Century Gothic"/>
        </w:rPr>
        <w:t xml:space="preserve">: Recepción y/o transmisión coordinada de señales provenientes de múltiples </w:t>
      </w:r>
      <w:r>
        <w:rPr>
          <w:rFonts w:ascii="Century Gothic" w:hAnsi="Century Gothic"/>
          <w:lang w:val="es-ES"/>
        </w:rPr>
        <w:t xml:space="preserve">transceptores </w:t>
      </w:r>
      <w:r>
        <w:rPr>
          <w:rFonts w:ascii="Century Gothic" w:hAnsi="Century Gothic"/>
        </w:rPr>
        <w:t>xDSL que permite mejorar el desempeño a través del uso de técnicas que mitigan el efecto de diafonía.</w:t>
      </w:r>
    </w:p>
    <w:p w:rsidR="005B32C6" w:rsidRPr="00611019" w:rsidRDefault="005B32C6" w:rsidP="00035D2C">
      <w:pPr>
        <w:pStyle w:val="IFTnormal"/>
        <w:rPr>
          <w:rFonts w:ascii="Century Gothic" w:hAnsi="Century Gothic"/>
        </w:rPr>
      </w:pPr>
    </w:p>
    <w:p w:rsidR="00C14068" w:rsidRPr="00611019" w:rsidRDefault="00E56462" w:rsidP="00035D2C">
      <w:pPr>
        <w:pStyle w:val="Ttulo1"/>
        <w:keepNext/>
        <w:ind w:start="21.60pt" w:hanging="21.60pt"/>
        <w:jc w:val="start"/>
        <w:rPr>
          <w:rFonts w:ascii="Century Gothic" w:hAnsi="Century Gothic"/>
        </w:rPr>
      </w:pPr>
      <w:bookmarkStart w:id="2722" w:name="_Toc92974163"/>
      <w:bookmarkStart w:id="2723" w:name="_Toc93052474"/>
      <w:bookmarkStart w:id="2724" w:name="_Toc93056429"/>
      <w:bookmarkStart w:id="2725" w:name="_Toc125393493"/>
      <w:bookmarkStart w:id="2726" w:name="_Toc148702348"/>
      <w:bookmarkStart w:id="2727" w:name="_Toc170381962"/>
      <w:r>
        <w:rPr>
          <w:rFonts w:ascii="Century Gothic" w:hAnsi="Century Gothic"/>
        </w:rPr>
        <w:t>9.</w:t>
      </w:r>
      <w:r>
        <w:rPr>
          <w:rFonts w:ascii="Century Gothic" w:hAnsi="Century Gothic"/>
        </w:rPr>
        <w:tab/>
      </w:r>
      <w:r>
        <w:rPr>
          <w:rFonts w:ascii="Century Gothic" w:hAnsi="Century Gothic"/>
          <w:color w:val="000000" w:themeColor="text1"/>
        </w:rPr>
        <w:t>Acrónimos.</w:t>
      </w:r>
      <w:bookmarkEnd w:id="2722"/>
      <w:bookmarkEnd w:id="2723"/>
      <w:bookmarkEnd w:id="2724"/>
      <w:bookmarkEnd w:id="2725"/>
      <w:bookmarkEnd w:id="2726"/>
      <w:bookmarkEnd w:id="2727"/>
    </w:p>
    <w:p w:rsidR="00655060" w:rsidRPr="00611019" w:rsidRDefault="00E56462" w:rsidP="00035D2C">
      <w:pPr>
        <w:pStyle w:val="IFTnormal"/>
        <w:spacing w:after="3pt"/>
        <w:rPr>
          <w:rFonts w:ascii="Century Gothic" w:hAnsi="Century Gothic"/>
        </w:rPr>
      </w:pPr>
      <w:r>
        <w:rPr>
          <w:rFonts w:ascii="Century Gothic" w:hAnsi="Century Gothic"/>
        </w:rPr>
        <w:t>A los efectos del presente documento, aplica los siguientes Acrónimos:</w:t>
      </w:r>
    </w:p>
    <w:p w:rsidR="00655060" w:rsidRPr="00611019" w:rsidRDefault="00E56462" w:rsidP="00035D2C">
      <w:pPr>
        <w:pStyle w:val="IFTnormal"/>
        <w:spacing w:after="3pt"/>
        <w:rPr>
          <w:rFonts w:ascii="Century Gothic" w:hAnsi="Century Gothic"/>
          <w:lang w:val="en-US"/>
        </w:rPr>
      </w:pPr>
      <w:r>
        <w:rPr>
          <w:rFonts w:ascii="Century Gothic" w:hAnsi="Century Gothic"/>
          <w:b/>
          <w:bCs/>
          <w:lang w:val="en-US"/>
        </w:rPr>
        <w:t>ADSL</w:t>
      </w:r>
      <w:r>
        <w:rPr>
          <w:rFonts w:ascii="Century Gothic" w:hAnsi="Century Gothic"/>
          <w:lang w:val="en-US"/>
        </w:rPr>
        <w:t xml:space="preserve"> </w:t>
      </w:r>
      <w:r>
        <w:rPr>
          <w:rFonts w:ascii="Century Gothic" w:hAnsi="Century Gothic"/>
          <w:lang w:val="en-US"/>
        </w:rPr>
        <w:tab/>
      </w:r>
      <w:r>
        <w:rPr>
          <w:rFonts w:ascii="Century Gothic" w:hAnsi="Century Gothic"/>
          <w:lang w:val="en-US"/>
        </w:rPr>
        <w:tab/>
        <w:t>Asymmetric Digital Subscriber Line</w:t>
      </w:r>
    </w:p>
    <w:p w:rsidR="00655060" w:rsidRPr="00611019" w:rsidRDefault="00E56462" w:rsidP="00035D2C">
      <w:pPr>
        <w:pStyle w:val="IFTnormal"/>
        <w:spacing w:after="3pt"/>
        <w:rPr>
          <w:rFonts w:ascii="Century Gothic" w:hAnsi="Century Gothic"/>
          <w:lang w:val="en-GB"/>
        </w:rPr>
      </w:pPr>
      <w:r>
        <w:rPr>
          <w:rFonts w:ascii="Century Gothic" w:hAnsi="Century Gothic"/>
          <w:b/>
          <w:bCs/>
          <w:lang w:val="en-GB"/>
        </w:rPr>
        <w:t>DC/dc</w:t>
      </w:r>
      <w:r>
        <w:rPr>
          <w:rFonts w:ascii="Century Gothic" w:hAnsi="Century Gothic"/>
          <w:lang w:val="en-GB"/>
        </w:rPr>
        <w:t xml:space="preserve"> </w:t>
      </w:r>
      <w:r>
        <w:rPr>
          <w:rFonts w:ascii="Century Gothic" w:hAnsi="Century Gothic"/>
          <w:lang w:val="en-GB"/>
        </w:rPr>
        <w:tab/>
      </w:r>
      <w:r>
        <w:rPr>
          <w:rFonts w:ascii="Century Gothic" w:hAnsi="Century Gothic"/>
          <w:lang w:val="en-GB"/>
        </w:rPr>
        <w:tab/>
        <w:t>Direct Current</w:t>
      </w:r>
    </w:p>
    <w:p w:rsidR="00655060" w:rsidRPr="00611019" w:rsidRDefault="00E56462" w:rsidP="00035D2C">
      <w:pPr>
        <w:pStyle w:val="IFTnormal"/>
        <w:spacing w:after="3pt"/>
        <w:rPr>
          <w:rFonts w:ascii="Century Gothic" w:hAnsi="Century Gothic"/>
          <w:lang w:val="en-GB"/>
        </w:rPr>
      </w:pPr>
      <w:r>
        <w:rPr>
          <w:rFonts w:ascii="Century Gothic" w:hAnsi="Century Gothic"/>
          <w:b/>
          <w:bCs/>
          <w:lang w:val="en-GB"/>
        </w:rPr>
        <w:t>DPBO</w:t>
      </w:r>
      <w:r>
        <w:rPr>
          <w:rFonts w:ascii="Century Gothic" w:hAnsi="Century Gothic"/>
          <w:lang w:val="en-GB"/>
        </w:rPr>
        <w:t xml:space="preserve"> </w:t>
      </w:r>
      <w:r>
        <w:rPr>
          <w:rFonts w:ascii="Century Gothic" w:hAnsi="Century Gothic"/>
          <w:lang w:val="en-GB"/>
        </w:rPr>
        <w:tab/>
      </w:r>
      <w:r>
        <w:rPr>
          <w:rFonts w:ascii="Century Gothic" w:hAnsi="Century Gothic"/>
          <w:lang w:val="en-GB"/>
        </w:rPr>
        <w:tab/>
        <w:t>Downstream Power Back-Off</w:t>
      </w:r>
    </w:p>
    <w:p w:rsidR="00655060" w:rsidRPr="00611019" w:rsidRDefault="00E56462" w:rsidP="00035D2C">
      <w:pPr>
        <w:pStyle w:val="IFTnormal"/>
        <w:spacing w:after="3pt"/>
        <w:rPr>
          <w:rFonts w:ascii="Century Gothic" w:hAnsi="Century Gothic"/>
          <w:lang w:val="en-GB"/>
        </w:rPr>
      </w:pPr>
      <w:r>
        <w:rPr>
          <w:rFonts w:ascii="Century Gothic" w:hAnsi="Century Gothic"/>
          <w:b/>
          <w:bCs/>
          <w:lang w:val="en-GB"/>
        </w:rPr>
        <w:t xml:space="preserve">HDSL </w:t>
      </w:r>
      <w:r>
        <w:rPr>
          <w:rFonts w:ascii="Century Gothic" w:hAnsi="Century Gothic"/>
          <w:lang w:val="en-GB"/>
        </w:rPr>
        <w:tab/>
      </w:r>
      <w:r>
        <w:rPr>
          <w:rFonts w:ascii="Century Gothic" w:hAnsi="Century Gothic"/>
          <w:lang w:val="en-GB"/>
        </w:rPr>
        <w:tab/>
        <w:t>High bitrate Digital Subscriber Line</w:t>
      </w:r>
    </w:p>
    <w:p w:rsidR="00655060" w:rsidRPr="00611019" w:rsidRDefault="00E56462" w:rsidP="00035D2C">
      <w:pPr>
        <w:pStyle w:val="IFTnormal"/>
        <w:spacing w:after="3pt"/>
        <w:rPr>
          <w:rFonts w:ascii="Century Gothic" w:hAnsi="Century Gothic"/>
          <w:lang w:val="en-GB"/>
        </w:rPr>
      </w:pPr>
      <w:r>
        <w:rPr>
          <w:rFonts w:ascii="Century Gothic" w:hAnsi="Century Gothic"/>
          <w:b/>
          <w:bCs/>
          <w:lang w:val="en-GB"/>
        </w:rPr>
        <w:t>ISDN</w:t>
      </w:r>
      <w:r>
        <w:rPr>
          <w:rFonts w:ascii="Century Gothic" w:hAnsi="Century Gothic"/>
          <w:lang w:val="en-GB"/>
        </w:rPr>
        <w:t xml:space="preserve"> </w:t>
      </w:r>
      <w:r>
        <w:rPr>
          <w:rFonts w:ascii="Century Gothic" w:hAnsi="Century Gothic"/>
          <w:lang w:val="en-GB"/>
        </w:rPr>
        <w:tab/>
      </w:r>
      <w:r>
        <w:rPr>
          <w:rFonts w:ascii="Century Gothic" w:hAnsi="Century Gothic"/>
          <w:lang w:val="en-GB"/>
        </w:rPr>
        <w:tab/>
        <w:t>Integrated Services Digital Network</w:t>
      </w:r>
    </w:p>
    <w:p w:rsidR="00655060" w:rsidRPr="00611019" w:rsidRDefault="00E56462" w:rsidP="00035D2C">
      <w:pPr>
        <w:pStyle w:val="IFTnormal"/>
        <w:spacing w:after="3pt"/>
        <w:rPr>
          <w:rFonts w:ascii="Century Gothic" w:hAnsi="Century Gothic"/>
          <w:lang w:val="en-GB"/>
        </w:rPr>
      </w:pPr>
      <w:r>
        <w:rPr>
          <w:rFonts w:ascii="Century Gothic" w:hAnsi="Century Gothic"/>
          <w:b/>
          <w:bCs/>
          <w:lang w:val="en-GB"/>
        </w:rPr>
        <w:t>ISDN-BA</w:t>
      </w:r>
      <w:r>
        <w:rPr>
          <w:rFonts w:ascii="Century Gothic" w:hAnsi="Century Gothic"/>
          <w:lang w:val="en-GB"/>
        </w:rPr>
        <w:t xml:space="preserve"> </w:t>
      </w:r>
      <w:r>
        <w:rPr>
          <w:rFonts w:ascii="Century Gothic" w:hAnsi="Century Gothic"/>
          <w:lang w:val="en-GB"/>
        </w:rPr>
        <w:tab/>
      </w:r>
      <w:r>
        <w:rPr>
          <w:rFonts w:ascii="Century Gothic" w:hAnsi="Century Gothic"/>
          <w:lang w:val="en-GB"/>
        </w:rPr>
        <w:tab/>
        <w:t>ISDN Basic Access</w:t>
      </w:r>
    </w:p>
    <w:p w:rsidR="00655060" w:rsidRPr="00611019" w:rsidRDefault="00E56462" w:rsidP="00035D2C">
      <w:pPr>
        <w:pStyle w:val="IFTnormal"/>
        <w:spacing w:after="3pt"/>
        <w:rPr>
          <w:rFonts w:ascii="Century Gothic" w:hAnsi="Century Gothic"/>
          <w:lang w:val="fr-FR"/>
        </w:rPr>
      </w:pPr>
      <w:r>
        <w:rPr>
          <w:rFonts w:ascii="Century Gothic" w:hAnsi="Century Gothic"/>
          <w:b/>
          <w:bCs/>
          <w:lang w:val="fr-FR"/>
        </w:rPr>
        <w:t>LT-port</w:t>
      </w:r>
      <w:r>
        <w:rPr>
          <w:rFonts w:ascii="Century Gothic" w:hAnsi="Century Gothic"/>
          <w:lang w:val="fr-FR"/>
        </w:rPr>
        <w:t xml:space="preserve"> </w:t>
      </w:r>
      <w:r>
        <w:rPr>
          <w:rFonts w:ascii="Century Gothic" w:hAnsi="Century Gothic"/>
          <w:lang w:val="fr-FR"/>
        </w:rPr>
        <w:tab/>
      </w:r>
      <w:r>
        <w:rPr>
          <w:rFonts w:ascii="Century Gothic" w:hAnsi="Century Gothic"/>
          <w:lang w:val="fr-FR"/>
        </w:rPr>
        <w:tab/>
        <w:t>Line Termination port</w:t>
      </w:r>
    </w:p>
    <w:p w:rsidR="00655060" w:rsidRPr="00611019" w:rsidRDefault="00E56462" w:rsidP="00035D2C">
      <w:pPr>
        <w:pStyle w:val="IFTnormal"/>
        <w:spacing w:after="3pt"/>
        <w:rPr>
          <w:rFonts w:ascii="Century Gothic" w:hAnsi="Century Gothic"/>
          <w:lang w:val="fr-FR"/>
        </w:rPr>
      </w:pPr>
      <w:r>
        <w:rPr>
          <w:rFonts w:ascii="Century Gothic" w:hAnsi="Century Gothic"/>
          <w:b/>
          <w:bCs/>
          <w:lang w:val="fr-FR"/>
        </w:rPr>
        <w:t>NT-port</w:t>
      </w:r>
      <w:r>
        <w:rPr>
          <w:rFonts w:ascii="Century Gothic" w:hAnsi="Century Gothic"/>
          <w:lang w:val="fr-FR"/>
        </w:rPr>
        <w:t xml:space="preserve"> </w:t>
      </w:r>
      <w:r>
        <w:rPr>
          <w:rFonts w:ascii="Century Gothic" w:hAnsi="Century Gothic"/>
          <w:lang w:val="fr-FR"/>
        </w:rPr>
        <w:tab/>
      </w:r>
      <w:r>
        <w:rPr>
          <w:rFonts w:ascii="Century Gothic" w:hAnsi="Century Gothic"/>
          <w:lang w:val="fr-FR"/>
        </w:rPr>
        <w:tab/>
        <w:t>Network Termination port</w:t>
      </w:r>
    </w:p>
    <w:p w:rsidR="00655060" w:rsidRPr="00611019" w:rsidRDefault="00E56462" w:rsidP="00035D2C">
      <w:pPr>
        <w:pStyle w:val="IFTnormal"/>
        <w:spacing w:after="3pt"/>
        <w:rPr>
          <w:rFonts w:ascii="Century Gothic" w:hAnsi="Century Gothic"/>
          <w:lang w:val="en-GB"/>
        </w:rPr>
      </w:pPr>
      <w:r>
        <w:rPr>
          <w:rFonts w:ascii="Century Gothic" w:hAnsi="Century Gothic"/>
          <w:b/>
          <w:bCs/>
          <w:lang w:val="en-GB"/>
        </w:rPr>
        <w:t xml:space="preserve">PAM </w:t>
      </w:r>
      <w:r>
        <w:rPr>
          <w:rFonts w:ascii="Century Gothic" w:hAnsi="Century Gothic"/>
          <w:lang w:val="en-GB"/>
        </w:rPr>
        <w:tab/>
      </w:r>
      <w:r>
        <w:rPr>
          <w:rFonts w:ascii="Century Gothic" w:hAnsi="Century Gothic"/>
          <w:lang w:val="en-GB"/>
        </w:rPr>
        <w:tab/>
        <w:t>Pulse Amplitude Modulation</w:t>
      </w:r>
    </w:p>
    <w:p w:rsidR="00655060" w:rsidRPr="00611019" w:rsidRDefault="00E56462" w:rsidP="00035D2C">
      <w:pPr>
        <w:pStyle w:val="IFTnormal"/>
        <w:spacing w:after="3pt"/>
        <w:rPr>
          <w:rFonts w:ascii="Century Gothic" w:hAnsi="Century Gothic"/>
          <w:lang w:val="en-GB"/>
        </w:rPr>
      </w:pPr>
      <w:r>
        <w:rPr>
          <w:rFonts w:ascii="Century Gothic" w:hAnsi="Century Gothic"/>
          <w:b/>
          <w:bCs/>
          <w:lang w:val="en-GB"/>
        </w:rPr>
        <w:t>POTS</w:t>
      </w:r>
      <w:r>
        <w:rPr>
          <w:rFonts w:ascii="Century Gothic" w:hAnsi="Century Gothic"/>
          <w:lang w:val="en-GB"/>
        </w:rPr>
        <w:t xml:space="preserve"> </w:t>
      </w:r>
      <w:r>
        <w:rPr>
          <w:rFonts w:ascii="Century Gothic" w:hAnsi="Century Gothic"/>
          <w:lang w:val="en-GB"/>
        </w:rPr>
        <w:tab/>
      </w:r>
      <w:r>
        <w:rPr>
          <w:rFonts w:ascii="Century Gothic" w:hAnsi="Century Gothic"/>
          <w:lang w:val="en-GB"/>
        </w:rPr>
        <w:tab/>
        <w:t>Plain Old Telephony Services</w:t>
      </w:r>
    </w:p>
    <w:p w:rsidR="00655060" w:rsidRPr="00611019" w:rsidRDefault="00E56462" w:rsidP="00035D2C">
      <w:pPr>
        <w:pStyle w:val="IFTnormal"/>
        <w:spacing w:after="3pt"/>
        <w:rPr>
          <w:rFonts w:ascii="Century Gothic" w:hAnsi="Century Gothic"/>
          <w:lang w:val="en-GB"/>
        </w:rPr>
      </w:pPr>
      <w:r>
        <w:rPr>
          <w:rFonts w:ascii="Century Gothic" w:hAnsi="Century Gothic"/>
          <w:b/>
          <w:bCs/>
          <w:lang w:val="en-GB"/>
        </w:rPr>
        <w:t>PSD</w:t>
      </w:r>
      <w:r>
        <w:rPr>
          <w:rFonts w:ascii="Century Gothic" w:hAnsi="Century Gothic"/>
          <w:lang w:val="en-GB"/>
        </w:rPr>
        <w:t xml:space="preserve"> </w:t>
      </w:r>
      <w:r>
        <w:rPr>
          <w:rFonts w:ascii="Century Gothic" w:hAnsi="Century Gothic"/>
          <w:lang w:val="en-GB"/>
        </w:rPr>
        <w:tab/>
      </w:r>
      <w:r>
        <w:rPr>
          <w:rFonts w:ascii="Century Gothic" w:hAnsi="Century Gothic"/>
          <w:lang w:val="en-GB"/>
        </w:rPr>
        <w:tab/>
        <w:t>Power Spectral Density</w:t>
      </w:r>
    </w:p>
    <w:p w:rsidR="00655060" w:rsidRPr="00611019" w:rsidRDefault="00E56462" w:rsidP="00035D2C">
      <w:pPr>
        <w:pStyle w:val="IFTnormal"/>
        <w:spacing w:after="3pt"/>
        <w:rPr>
          <w:rFonts w:ascii="Century Gothic" w:hAnsi="Century Gothic"/>
          <w:lang w:val="en-GB"/>
        </w:rPr>
      </w:pPr>
      <w:r>
        <w:rPr>
          <w:rFonts w:ascii="Century Gothic" w:hAnsi="Century Gothic"/>
          <w:b/>
          <w:bCs/>
          <w:lang w:val="en-GB"/>
        </w:rPr>
        <w:t>PSTN</w:t>
      </w:r>
      <w:r>
        <w:rPr>
          <w:rFonts w:ascii="Century Gothic" w:hAnsi="Century Gothic"/>
          <w:lang w:val="en-GB"/>
        </w:rPr>
        <w:t xml:space="preserve"> </w:t>
      </w:r>
      <w:r>
        <w:rPr>
          <w:rFonts w:ascii="Century Gothic" w:hAnsi="Century Gothic"/>
          <w:lang w:val="en-GB"/>
        </w:rPr>
        <w:tab/>
      </w:r>
      <w:r>
        <w:rPr>
          <w:rFonts w:ascii="Century Gothic" w:hAnsi="Century Gothic"/>
          <w:lang w:val="en-GB"/>
        </w:rPr>
        <w:tab/>
        <w:t>Public Switched Telephone Network</w:t>
      </w:r>
    </w:p>
    <w:p w:rsidR="00655060" w:rsidRPr="00611019" w:rsidRDefault="00E56462" w:rsidP="00035D2C">
      <w:pPr>
        <w:pStyle w:val="IFTnormal"/>
        <w:spacing w:after="3pt"/>
        <w:rPr>
          <w:rFonts w:ascii="Century Gothic" w:hAnsi="Century Gothic"/>
          <w:lang w:val="en-GB"/>
        </w:rPr>
      </w:pPr>
      <w:r>
        <w:rPr>
          <w:rFonts w:ascii="Century Gothic" w:hAnsi="Century Gothic"/>
          <w:b/>
          <w:bCs/>
          <w:lang w:val="en-GB"/>
        </w:rPr>
        <w:t>SDSL</w:t>
      </w:r>
      <w:r>
        <w:rPr>
          <w:rFonts w:ascii="Century Gothic" w:hAnsi="Century Gothic"/>
          <w:lang w:val="en-GB"/>
        </w:rPr>
        <w:t xml:space="preserve"> </w:t>
      </w:r>
      <w:r>
        <w:rPr>
          <w:rFonts w:ascii="Century Gothic" w:hAnsi="Century Gothic"/>
          <w:lang w:val="en-GB"/>
        </w:rPr>
        <w:tab/>
      </w:r>
      <w:r>
        <w:rPr>
          <w:rFonts w:ascii="Century Gothic" w:hAnsi="Century Gothic"/>
          <w:lang w:val="en-GB"/>
        </w:rPr>
        <w:tab/>
        <w:t>Symmetrical (single pair high bitrate) Digital Subscriber Line</w:t>
      </w:r>
    </w:p>
    <w:p w:rsidR="00655060" w:rsidRPr="00611019" w:rsidRDefault="00E56462" w:rsidP="00035D2C">
      <w:pPr>
        <w:pStyle w:val="IFTnormal"/>
        <w:spacing w:after="3pt"/>
        <w:rPr>
          <w:rFonts w:ascii="Century Gothic" w:hAnsi="Century Gothic"/>
          <w:lang w:val="en-GB"/>
        </w:rPr>
      </w:pPr>
      <w:r>
        <w:rPr>
          <w:rFonts w:ascii="Century Gothic" w:hAnsi="Century Gothic"/>
          <w:b/>
          <w:bCs/>
          <w:lang w:val="en-GB"/>
        </w:rPr>
        <w:t>TBR</w:t>
      </w:r>
      <w:r>
        <w:rPr>
          <w:rFonts w:ascii="Century Gothic" w:hAnsi="Century Gothic"/>
          <w:lang w:val="en-GB"/>
        </w:rPr>
        <w:t xml:space="preserve"> </w:t>
      </w:r>
      <w:r>
        <w:rPr>
          <w:rFonts w:ascii="Century Gothic" w:hAnsi="Century Gothic"/>
          <w:lang w:val="en-GB"/>
        </w:rPr>
        <w:tab/>
      </w:r>
      <w:r>
        <w:rPr>
          <w:rFonts w:ascii="Century Gothic" w:hAnsi="Century Gothic"/>
          <w:lang w:val="en-GB"/>
        </w:rPr>
        <w:tab/>
        <w:t>Technical Basis for Regulation</w:t>
      </w:r>
    </w:p>
    <w:p w:rsidR="00655060" w:rsidRPr="00611019" w:rsidRDefault="00E56462" w:rsidP="00035D2C">
      <w:pPr>
        <w:pStyle w:val="IFTnormal"/>
        <w:spacing w:after="3pt"/>
        <w:rPr>
          <w:rFonts w:ascii="Century Gothic" w:hAnsi="Century Gothic"/>
          <w:lang w:val="en-GB"/>
        </w:rPr>
      </w:pPr>
      <w:r>
        <w:rPr>
          <w:rFonts w:ascii="Century Gothic" w:hAnsi="Century Gothic"/>
          <w:b/>
          <w:bCs/>
          <w:lang w:val="en-GB"/>
        </w:rPr>
        <w:t>TNV</w:t>
      </w:r>
      <w:r>
        <w:rPr>
          <w:rFonts w:ascii="Century Gothic" w:hAnsi="Century Gothic"/>
          <w:lang w:val="en-GB"/>
        </w:rPr>
        <w:t xml:space="preserve"> </w:t>
      </w:r>
      <w:r>
        <w:rPr>
          <w:rFonts w:ascii="Century Gothic" w:hAnsi="Century Gothic"/>
          <w:lang w:val="en-GB"/>
        </w:rPr>
        <w:tab/>
      </w:r>
      <w:r>
        <w:rPr>
          <w:rFonts w:ascii="Century Gothic" w:hAnsi="Century Gothic"/>
          <w:lang w:val="en-GB"/>
        </w:rPr>
        <w:tab/>
        <w:t>Telecommunications Network Voltage</w:t>
      </w:r>
    </w:p>
    <w:p w:rsidR="00655060" w:rsidRPr="00611019" w:rsidRDefault="00E56462" w:rsidP="00035D2C">
      <w:pPr>
        <w:pStyle w:val="IFTnormal"/>
        <w:spacing w:after="3pt"/>
        <w:rPr>
          <w:rFonts w:ascii="Century Gothic" w:hAnsi="Century Gothic"/>
          <w:lang w:val="en-GB"/>
        </w:rPr>
      </w:pPr>
      <w:r>
        <w:rPr>
          <w:rFonts w:ascii="Century Gothic" w:hAnsi="Century Gothic"/>
          <w:b/>
          <w:bCs/>
          <w:lang w:val="en-GB"/>
        </w:rPr>
        <w:t>TU-C</w:t>
      </w:r>
      <w:r>
        <w:rPr>
          <w:rFonts w:ascii="Century Gothic" w:hAnsi="Century Gothic"/>
          <w:lang w:val="en-GB"/>
        </w:rPr>
        <w:tab/>
      </w:r>
      <w:r>
        <w:rPr>
          <w:rFonts w:ascii="Century Gothic" w:hAnsi="Century Gothic"/>
          <w:lang w:val="en-GB"/>
        </w:rPr>
        <w:tab/>
        <w:t>Terminal Unit Central Side</w:t>
      </w:r>
    </w:p>
    <w:p w:rsidR="00655060" w:rsidRPr="00611019" w:rsidRDefault="00E56462" w:rsidP="00035D2C">
      <w:pPr>
        <w:pStyle w:val="IFTnormal"/>
        <w:spacing w:after="3pt"/>
        <w:rPr>
          <w:rFonts w:ascii="Century Gothic" w:hAnsi="Century Gothic"/>
          <w:lang w:val="en-GB"/>
        </w:rPr>
      </w:pPr>
      <w:r>
        <w:rPr>
          <w:rFonts w:ascii="Century Gothic" w:hAnsi="Century Gothic"/>
          <w:b/>
          <w:bCs/>
          <w:lang w:val="en-GB"/>
        </w:rPr>
        <w:t>TU-R</w:t>
      </w:r>
      <w:r>
        <w:rPr>
          <w:rFonts w:ascii="Century Gothic" w:hAnsi="Century Gothic"/>
          <w:lang w:val="en-GB"/>
        </w:rPr>
        <w:tab/>
      </w:r>
      <w:r>
        <w:rPr>
          <w:rFonts w:ascii="Century Gothic" w:hAnsi="Century Gothic"/>
          <w:lang w:val="en-GB"/>
        </w:rPr>
        <w:tab/>
        <w:t>Terminal Unit Remote Side</w:t>
      </w:r>
    </w:p>
    <w:p w:rsidR="00655060" w:rsidRPr="00611019" w:rsidRDefault="00E56462" w:rsidP="00035D2C">
      <w:pPr>
        <w:pStyle w:val="IFTnormal"/>
        <w:spacing w:after="3pt"/>
        <w:rPr>
          <w:rFonts w:ascii="Century Gothic" w:hAnsi="Century Gothic"/>
          <w:lang w:val="en-GB"/>
        </w:rPr>
      </w:pPr>
      <w:r>
        <w:rPr>
          <w:rFonts w:ascii="Century Gothic" w:hAnsi="Century Gothic"/>
          <w:b/>
          <w:bCs/>
          <w:lang w:val="en-GB"/>
        </w:rPr>
        <w:t>UB</w:t>
      </w:r>
      <w:r>
        <w:rPr>
          <w:rFonts w:ascii="Century Gothic" w:hAnsi="Century Gothic"/>
          <w:lang w:val="en-GB"/>
        </w:rPr>
        <w:tab/>
      </w:r>
      <w:r>
        <w:rPr>
          <w:rFonts w:ascii="Century Gothic" w:hAnsi="Century Gothic"/>
          <w:lang w:val="en-GB"/>
        </w:rPr>
        <w:tab/>
        <w:t>Unidad básica</w:t>
      </w:r>
    </w:p>
    <w:p w:rsidR="00655060" w:rsidRPr="00611019" w:rsidRDefault="00E56462" w:rsidP="00035D2C">
      <w:pPr>
        <w:pStyle w:val="IFTnormal"/>
        <w:spacing w:after="3pt"/>
        <w:rPr>
          <w:rFonts w:ascii="Century Gothic" w:hAnsi="Century Gothic"/>
          <w:lang w:val="en-GB"/>
        </w:rPr>
      </w:pPr>
      <w:r>
        <w:rPr>
          <w:rFonts w:ascii="Century Gothic" w:hAnsi="Century Gothic"/>
          <w:b/>
          <w:bCs/>
          <w:lang w:val="en-GB"/>
        </w:rPr>
        <w:t>UPBO</w:t>
      </w:r>
      <w:r>
        <w:rPr>
          <w:rFonts w:ascii="Century Gothic" w:hAnsi="Century Gothic"/>
          <w:lang w:val="en-GB"/>
        </w:rPr>
        <w:t xml:space="preserve"> </w:t>
      </w:r>
      <w:r>
        <w:rPr>
          <w:rFonts w:ascii="Century Gothic" w:hAnsi="Century Gothic"/>
          <w:lang w:val="en-GB"/>
        </w:rPr>
        <w:tab/>
      </w:r>
      <w:r>
        <w:rPr>
          <w:rFonts w:ascii="Century Gothic" w:hAnsi="Century Gothic"/>
          <w:lang w:val="en-GB"/>
        </w:rPr>
        <w:tab/>
        <w:t>Upstream Power Back-Off</w:t>
      </w:r>
    </w:p>
    <w:p w:rsidR="00655060" w:rsidRPr="00611019" w:rsidRDefault="00E56462" w:rsidP="00035D2C">
      <w:pPr>
        <w:pStyle w:val="IFTnormal"/>
        <w:spacing w:after="3pt"/>
        <w:rPr>
          <w:rFonts w:ascii="Century Gothic" w:hAnsi="Century Gothic"/>
          <w:lang w:val="en-GB"/>
        </w:rPr>
      </w:pPr>
      <w:r>
        <w:rPr>
          <w:rFonts w:ascii="Century Gothic" w:hAnsi="Century Gothic"/>
          <w:b/>
          <w:bCs/>
          <w:lang w:val="en-GB"/>
        </w:rPr>
        <w:t>VDSL</w:t>
      </w:r>
      <w:r>
        <w:rPr>
          <w:rFonts w:ascii="Century Gothic" w:hAnsi="Century Gothic"/>
          <w:lang w:val="en-GB"/>
        </w:rPr>
        <w:t xml:space="preserve"> </w:t>
      </w:r>
      <w:r>
        <w:rPr>
          <w:rFonts w:ascii="Century Gothic" w:hAnsi="Century Gothic"/>
          <w:lang w:val="en-GB"/>
        </w:rPr>
        <w:tab/>
      </w:r>
      <w:r>
        <w:rPr>
          <w:rFonts w:ascii="Century Gothic" w:hAnsi="Century Gothic"/>
          <w:lang w:val="en-GB"/>
        </w:rPr>
        <w:tab/>
        <w:t>Very-high-speed Digital Subscriber Line</w:t>
      </w:r>
    </w:p>
    <w:p w:rsidR="00655060" w:rsidRPr="00611019" w:rsidRDefault="00E56462" w:rsidP="00035D2C">
      <w:pPr>
        <w:pStyle w:val="CondicionesFinales"/>
        <w:spacing w:after="3pt"/>
        <w:ind w:start="0pt" w:end="0pt"/>
        <w:rPr>
          <w:rFonts w:ascii="Century Gothic" w:hAnsi="Century Gothic"/>
          <w:lang w:val="en-US"/>
        </w:rPr>
      </w:pPr>
      <w:r>
        <w:rPr>
          <w:rFonts w:ascii="Century Gothic" w:hAnsi="Century Gothic"/>
          <w:b/>
          <w:bCs w:val="0"/>
          <w:lang w:val="en-US"/>
        </w:rPr>
        <w:t>VDSL2</w:t>
      </w:r>
      <w:r>
        <w:rPr>
          <w:rFonts w:ascii="Century Gothic" w:hAnsi="Century Gothic"/>
          <w:lang w:val="en-US"/>
        </w:rPr>
        <w:tab/>
      </w:r>
      <w:r>
        <w:rPr>
          <w:rFonts w:ascii="Century Gothic" w:hAnsi="Century Gothic"/>
          <w:lang w:val="en-US"/>
        </w:rPr>
        <w:tab/>
        <w:t>Very high-bit-rate Digital Subscriber Line 2</w:t>
      </w:r>
    </w:p>
    <w:p w:rsidR="00655060" w:rsidRPr="00611019" w:rsidRDefault="00E56462" w:rsidP="00035D2C">
      <w:pPr>
        <w:pStyle w:val="IFTnormal"/>
        <w:rPr>
          <w:rFonts w:ascii="Century Gothic" w:hAnsi="Century Gothic"/>
          <w:lang w:val="en-US"/>
        </w:rPr>
      </w:pPr>
      <w:r>
        <w:rPr>
          <w:rFonts w:ascii="Century Gothic" w:hAnsi="Century Gothic"/>
          <w:b/>
          <w:bCs/>
          <w:lang w:val="en-US"/>
        </w:rPr>
        <w:t>xDSL</w:t>
      </w:r>
      <w:r>
        <w:rPr>
          <w:rFonts w:ascii="Century Gothic" w:hAnsi="Century Gothic"/>
          <w:lang w:val="en-US"/>
        </w:rPr>
        <w:tab/>
      </w:r>
      <w:r>
        <w:rPr>
          <w:rFonts w:ascii="Century Gothic" w:hAnsi="Century Gothic"/>
          <w:lang w:val="en-US"/>
        </w:rPr>
        <w:tab/>
        <w:t>(any system) Digital Subscriber Line</w:t>
      </w:r>
    </w:p>
    <w:p w:rsidR="00655060" w:rsidRPr="00611019" w:rsidRDefault="00655060" w:rsidP="00035D2C">
      <w:pPr>
        <w:pStyle w:val="IFTnormal"/>
        <w:rPr>
          <w:rFonts w:ascii="Century Gothic" w:hAnsi="Century Gothic"/>
          <w:lang w:val="en-GB"/>
        </w:rPr>
      </w:pPr>
    </w:p>
    <w:p w:rsidR="00655060" w:rsidRPr="00611019" w:rsidRDefault="00E56462" w:rsidP="00035D2C">
      <w:pPr>
        <w:pStyle w:val="Ttulo1"/>
        <w:keepNext/>
        <w:ind w:start="21.55pt" w:hanging="21.55pt"/>
        <w:jc w:val="start"/>
        <w:rPr>
          <w:rFonts w:ascii="Century Gothic" w:hAnsi="Century Gothic"/>
          <w:color w:val="000000" w:themeColor="text1"/>
        </w:rPr>
      </w:pPr>
      <w:bookmarkStart w:id="2728" w:name="_Toc92974164"/>
      <w:bookmarkStart w:id="2729" w:name="_Toc93052475"/>
      <w:bookmarkStart w:id="2730" w:name="_Toc93056430"/>
      <w:bookmarkStart w:id="2731" w:name="_Toc125393494"/>
      <w:bookmarkStart w:id="2732" w:name="_Toc148702349"/>
      <w:bookmarkStart w:id="2733" w:name="_Toc170381963"/>
      <w:r>
        <w:rPr>
          <w:rFonts w:ascii="Century Gothic" w:hAnsi="Century Gothic"/>
          <w:color w:val="000000" w:themeColor="text1"/>
        </w:rPr>
        <w:lastRenderedPageBreak/>
        <w:t>10.</w:t>
      </w:r>
      <w:r>
        <w:rPr>
          <w:rFonts w:ascii="Century Gothic" w:hAnsi="Century Gothic"/>
          <w:color w:val="000000" w:themeColor="text1"/>
        </w:rPr>
        <w:tab/>
        <w:t>Documentos de referencia.</w:t>
      </w:r>
      <w:bookmarkEnd w:id="2728"/>
      <w:bookmarkEnd w:id="2729"/>
      <w:bookmarkEnd w:id="2730"/>
      <w:bookmarkEnd w:id="2731"/>
      <w:bookmarkEnd w:id="2732"/>
      <w:bookmarkEnd w:id="2733"/>
    </w:p>
    <w:p w:rsidR="005B32C6" w:rsidRPr="00611019" w:rsidRDefault="005B32C6" w:rsidP="00035D2C">
      <w:pPr>
        <w:rPr>
          <w:lang w:val="es-ES" w:eastAsia="es-ES"/>
        </w:rPr>
      </w:pPr>
    </w:p>
    <w:p w:rsidR="00C14068" w:rsidRPr="00611019" w:rsidRDefault="00E56462" w:rsidP="00035D2C">
      <w:pPr>
        <w:pStyle w:val="IFTnormal"/>
        <w:rPr>
          <w:rFonts w:ascii="Century Gothic" w:hAnsi="Century Gothic"/>
          <w:b/>
          <w:lang w:val="es-MX"/>
        </w:rPr>
      </w:pPr>
      <w:r>
        <w:rPr>
          <w:rFonts w:ascii="Century Gothic" w:hAnsi="Century Gothic"/>
          <w:b/>
          <w:lang w:val="es-MX"/>
        </w:rPr>
        <w:t>Gestión del Espectro</w:t>
      </w:r>
    </w:p>
    <w:p w:rsidR="00655060" w:rsidRPr="00611019" w:rsidRDefault="00E56462" w:rsidP="00035D2C">
      <w:pPr>
        <w:pStyle w:val="IFTnormal"/>
        <w:rPr>
          <w:rFonts w:ascii="Century Gothic" w:hAnsi="Century Gothic"/>
          <w:lang w:val="en-US"/>
        </w:rPr>
      </w:pPr>
      <w:r>
        <w:rPr>
          <w:rFonts w:ascii="Century Gothic" w:hAnsi="Century Gothic"/>
          <w:lang w:val="en-US"/>
        </w:rPr>
        <w:t>ATIS-0600417.2003(R2012) Spectrum Management for Loop Transmission Systems.</w:t>
      </w:r>
    </w:p>
    <w:p w:rsidR="00655060" w:rsidRPr="00611019" w:rsidRDefault="00E56462" w:rsidP="00035D2C">
      <w:pPr>
        <w:pStyle w:val="IFTnormal"/>
        <w:rPr>
          <w:rFonts w:ascii="Century Gothic" w:hAnsi="Century Gothic"/>
          <w:lang w:val="en-US"/>
        </w:rPr>
      </w:pPr>
      <w:r>
        <w:rPr>
          <w:rFonts w:ascii="Century Gothic" w:hAnsi="Century Gothic"/>
          <w:lang w:val="en-US"/>
        </w:rPr>
        <w:t>TSI TR 101 830-1 V1.5.2 (2009-05) “Transmission and Multiplexing (TM); Access networks; Spectral management on metallic access networks; Part 1: Definitions and signal library”.</w:t>
      </w:r>
    </w:p>
    <w:p w:rsidR="005B32C6" w:rsidRPr="00611019" w:rsidRDefault="005B32C6" w:rsidP="00035D2C">
      <w:pPr>
        <w:pStyle w:val="IFTnormal"/>
        <w:rPr>
          <w:rFonts w:ascii="Century Gothic" w:hAnsi="Century Gothic"/>
          <w:b/>
          <w:lang w:val="en-US"/>
        </w:rPr>
      </w:pPr>
    </w:p>
    <w:p w:rsidR="00C14068" w:rsidRPr="00611019" w:rsidRDefault="00E56462" w:rsidP="00035D2C">
      <w:pPr>
        <w:pStyle w:val="IFTnormal"/>
        <w:rPr>
          <w:rFonts w:ascii="Century Gothic" w:hAnsi="Century Gothic"/>
          <w:b/>
          <w:lang w:val="en-US"/>
        </w:rPr>
      </w:pPr>
      <w:r>
        <w:rPr>
          <w:rFonts w:ascii="Century Gothic" w:hAnsi="Century Gothic"/>
          <w:b/>
          <w:lang w:val="en-US"/>
        </w:rPr>
        <w:t>CABLES</w:t>
      </w:r>
    </w:p>
    <w:p w:rsidR="005B32C6" w:rsidRPr="00611019" w:rsidRDefault="00E56462" w:rsidP="00035D2C">
      <w:pPr>
        <w:pStyle w:val="IFTnormal"/>
        <w:rPr>
          <w:rFonts w:ascii="Century Gothic" w:hAnsi="Century Gothic"/>
          <w:b/>
          <w:lang w:val="en-US"/>
        </w:rPr>
      </w:pPr>
      <w:r>
        <w:rPr>
          <w:rFonts w:ascii="Century Gothic" w:hAnsi="Century Gothic"/>
          <w:lang w:val="en-US"/>
        </w:rPr>
        <w:t>ETSI/STC TM6 (97) 02: "Cable reference models for simulating metallic access networks", R.F.M. van den Brink, ETSI-TM6, Permanent document TM6(97)02, revision 3, Luleå, Sweden, June (970p02r3).</w:t>
      </w:r>
    </w:p>
    <w:p w:rsidR="005B32C6" w:rsidRPr="00611019" w:rsidRDefault="005B32C6" w:rsidP="00035D2C">
      <w:pPr>
        <w:pStyle w:val="IFTnormal"/>
        <w:rPr>
          <w:rFonts w:ascii="Century Gothic" w:hAnsi="Century Gothic"/>
          <w:b/>
          <w:lang w:val="en-US"/>
        </w:rPr>
      </w:pPr>
    </w:p>
    <w:p w:rsidR="00C14068" w:rsidRPr="00611019" w:rsidRDefault="00E56462" w:rsidP="00035D2C">
      <w:pPr>
        <w:pStyle w:val="IFTnormal"/>
        <w:rPr>
          <w:rFonts w:ascii="Century Gothic" w:hAnsi="Century Gothic"/>
          <w:b/>
          <w:lang w:val="en-US"/>
        </w:rPr>
      </w:pPr>
      <w:r>
        <w:rPr>
          <w:rFonts w:ascii="Century Gothic" w:hAnsi="Century Gothic"/>
          <w:b/>
          <w:lang w:val="en-US"/>
        </w:rPr>
        <w:t>POTS y Análogo</w:t>
      </w:r>
    </w:p>
    <w:p w:rsidR="00655060" w:rsidRPr="00611019" w:rsidRDefault="00E56462" w:rsidP="00035D2C">
      <w:pPr>
        <w:pStyle w:val="IFTnormal"/>
        <w:rPr>
          <w:rFonts w:ascii="Century Gothic" w:hAnsi="Century Gothic"/>
          <w:lang w:val="en-US"/>
        </w:rPr>
      </w:pPr>
      <w:r>
        <w:rPr>
          <w:rFonts w:ascii="Century Gothic" w:hAnsi="Century Gothic"/>
          <w:lang w:val="en-US"/>
        </w:rPr>
        <w:t>ETSI TBR 021: "Terminal Equipment (TE); Attachment requirements for pan-European approval for connection to the analogue Public Switched Telephone Networks (PSTNs) of TE (excluding TE supporting the voice telephony service) in which network addressing, if provided, is by means of Dual Tone Multi Frequency (DTMF) signaling".</w:t>
      </w:r>
    </w:p>
    <w:p w:rsidR="005B32C6" w:rsidRPr="00611019" w:rsidRDefault="005B32C6" w:rsidP="00035D2C">
      <w:pPr>
        <w:pStyle w:val="IFTnormal"/>
        <w:rPr>
          <w:rFonts w:ascii="Century Gothic" w:hAnsi="Century Gothic"/>
          <w:lang w:val="en-US"/>
        </w:rPr>
      </w:pPr>
    </w:p>
    <w:p w:rsidR="00655060" w:rsidRPr="00611019" w:rsidRDefault="00E56462" w:rsidP="00035D2C">
      <w:pPr>
        <w:pStyle w:val="IFTnormal"/>
        <w:rPr>
          <w:rFonts w:ascii="Century Gothic" w:hAnsi="Century Gothic"/>
          <w:lang w:val="en-US"/>
        </w:rPr>
      </w:pPr>
      <w:r>
        <w:rPr>
          <w:rFonts w:ascii="Century Gothic" w:hAnsi="Century Gothic"/>
          <w:lang w:val="en-US"/>
        </w:rPr>
        <w:t>ETSI ES 201 970: "Access and Terminals (AT); Public Switched Telephone Network (PSTN); Harmonized specification of physical and electrical characteristics at a 2-wire analogue presented Network Termination Point (NTP)".</w:t>
      </w:r>
    </w:p>
    <w:p w:rsidR="005B32C6" w:rsidRPr="00611019" w:rsidRDefault="005B32C6" w:rsidP="00035D2C">
      <w:pPr>
        <w:pStyle w:val="IFTnormal"/>
        <w:rPr>
          <w:rFonts w:ascii="Century Gothic" w:hAnsi="Century Gothic"/>
          <w:lang w:val="en-US"/>
        </w:rPr>
      </w:pPr>
    </w:p>
    <w:p w:rsidR="00655060" w:rsidRPr="00611019" w:rsidRDefault="00E56462" w:rsidP="00035D2C">
      <w:pPr>
        <w:pStyle w:val="IFTnormal"/>
        <w:rPr>
          <w:rFonts w:ascii="Century Gothic" w:hAnsi="Century Gothic"/>
          <w:lang w:val="en-US"/>
        </w:rPr>
      </w:pPr>
      <w:r>
        <w:rPr>
          <w:rFonts w:ascii="Century Gothic" w:hAnsi="Century Gothic"/>
          <w:lang w:val="en-US"/>
        </w:rPr>
        <w:t>ETSI EN 300 001: "Attachments to the Public Switched Telephone Network (PSTN); General technical requirements for equipment connected to an analogue subscriber interface in the PSTN".</w:t>
      </w:r>
    </w:p>
    <w:p w:rsidR="005B32C6" w:rsidRPr="00611019" w:rsidRDefault="005B32C6" w:rsidP="00035D2C">
      <w:pPr>
        <w:pStyle w:val="IFTnormal"/>
        <w:rPr>
          <w:rFonts w:ascii="Century Gothic" w:hAnsi="Century Gothic"/>
          <w:lang w:val="en-US"/>
        </w:rPr>
      </w:pPr>
    </w:p>
    <w:p w:rsidR="00655060" w:rsidRPr="00611019" w:rsidRDefault="00E56462" w:rsidP="00035D2C">
      <w:pPr>
        <w:pStyle w:val="IFTnormal"/>
        <w:rPr>
          <w:rFonts w:ascii="Century Gothic" w:hAnsi="Century Gothic"/>
          <w:lang w:val="en-US"/>
        </w:rPr>
      </w:pPr>
      <w:r>
        <w:rPr>
          <w:rFonts w:ascii="Century Gothic" w:hAnsi="Century Gothic"/>
          <w:lang w:val="en-US"/>
        </w:rPr>
        <w:t>ETSI EN 300 450: "Access and Terminals (AT); Ordinary and Special quality voice bandwidth 2-wire analogue leased lines (A2O and A2S); Terminal equipment interface".</w:t>
      </w:r>
    </w:p>
    <w:p w:rsidR="00655060" w:rsidRPr="00611019" w:rsidRDefault="00E56462" w:rsidP="00035D2C">
      <w:pPr>
        <w:pStyle w:val="IFTnormal"/>
        <w:rPr>
          <w:rFonts w:ascii="Century Gothic" w:hAnsi="Century Gothic"/>
          <w:lang w:val="en-US"/>
        </w:rPr>
      </w:pPr>
      <w:r>
        <w:rPr>
          <w:rFonts w:ascii="Century Gothic" w:hAnsi="Century Gothic"/>
          <w:lang w:val="en-US"/>
        </w:rPr>
        <w:t>ETSI EN 300 453: "Access and Terminals (AT); Ordinary and Special quality voice bandwidth 4-wire analogue leased lines (A4O and A4S); Terminal equipment interface".</w:t>
      </w:r>
    </w:p>
    <w:p w:rsidR="005B32C6" w:rsidRPr="00611019" w:rsidRDefault="005B32C6" w:rsidP="00035D2C">
      <w:pPr>
        <w:pStyle w:val="IFTnormal"/>
        <w:rPr>
          <w:rFonts w:ascii="Century Gothic" w:hAnsi="Century Gothic"/>
          <w:lang w:val="en-US"/>
        </w:rPr>
      </w:pPr>
    </w:p>
    <w:p w:rsidR="00C14068" w:rsidRPr="00611019" w:rsidRDefault="00E56462" w:rsidP="00035D2C">
      <w:pPr>
        <w:pStyle w:val="IFTnormal"/>
        <w:spacing w:before="6pt"/>
        <w:rPr>
          <w:rFonts w:ascii="Century Gothic" w:hAnsi="Century Gothic"/>
          <w:lang w:val="en-US"/>
        </w:rPr>
      </w:pPr>
      <w:r>
        <w:rPr>
          <w:rFonts w:ascii="Century Gothic" w:hAnsi="Century Gothic"/>
          <w:b/>
          <w:lang w:val="en-US"/>
        </w:rPr>
        <w:t>ISDN</w:t>
      </w:r>
    </w:p>
    <w:p w:rsidR="00655060" w:rsidRPr="00611019" w:rsidRDefault="00E56462" w:rsidP="00035D2C">
      <w:pPr>
        <w:pStyle w:val="IFTnormal"/>
        <w:rPr>
          <w:rFonts w:ascii="Century Gothic" w:hAnsi="Century Gothic"/>
          <w:lang w:val="en-US"/>
        </w:rPr>
      </w:pPr>
      <w:r>
        <w:rPr>
          <w:rFonts w:ascii="Century Gothic" w:hAnsi="Century Gothic"/>
          <w:lang w:val="en-US"/>
        </w:rPr>
        <w:t>ETSI TS 102 080: "Transmission and Multiplexing (TM); Integrated Services Digital Network (ISDN) basic rate access; Digital transmission system on metallic local lines".</w:t>
      </w:r>
    </w:p>
    <w:p w:rsidR="00C14068" w:rsidRPr="00611019" w:rsidRDefault="00E56462" w:rsidP="00035D2C">
      <w:pPr>
        <w:pStyle w:val="IFTnormal"/>
        <w:spacing w:before="6pt"/>
        <w:rPr>
          <w:rFonts w:ascii="Century Gothic" w:hAnsi="Century Gothic"/>
          <w:lang w:val="en-US"/>
        </w:rPr>
      </w:pPr>
      <w:r>
        <w:rPr>
          <w:rFonts w:ascii="Century Gothic" w:hAnsi="Century Gothic"/>
          <w:b/>
          <w:lang w:val="en-US"/>
        </w:rPr>
        <w:t>HDSL</w:t>
      </w:r>
    </w:p>
    <w:p w:rsidR="00655060" w:rsidRPr="00611019" w:rsidRDefault="00E56462" w:rsidP="00035D2C">
      <w:pPr>
        <w:pStyle w:val="IFTnormal"/>
        <w:rPr>
          <w:rFonts w:ascii="Century Gothic" w:hAnsi="Century Gothic"/>
          <w:lang w:val="en-US"/>
        </w:rPr>
      </w:pPr>
      <w:r>
        <w:rPr>
          <w:rFonts w:ascii="Century Gothic" w:hAnsi="Century Gothic"/>
          <w:lang w:val="en-US"/>
        </w:rPr>
        <w:t>ETSI TS 101 135: "Transmission and Multiplexing (TM); High bit-rate Digital Subscriber Line (HDSL) transmission systems on metallic local lines; HDSL core specification and applications for combined ISDN-BA and 2 048 kbit/s transmission".</w:t>
      </w:r>
    </w:p>
    <w:p w:rsidR="005B32C6" w:rsidRPr="00611019" w:rsidRDefault="005B32C6" w:rsidP="00035D2C">
      <w:pPr>
        <w:pStyle w:val="IFTnormal"/>
        <w:rPr>
          <w:rFonts w:ascii="Century Gothic" w:hAnsi="Century Gothic"/>
          <w:lang w:val="en-US"/>
        </w:rPr>
      </w:pPr>
    </w:p>
    <w:p w:rsidR="00C14068" w:rsidRPr="00611019" w:rsidRDefault="00E56462" w:rsidP="00035D2C">
      <w:pPr>
        <w:pStyle w:val="IFTnormal"/>
        <w:spacing w:before="6pt"/>
        <w:rPr>
          <w:rFonts w:ascii="Century Gothic" w:hAnsi="Century Gothic"/>
          <w:lang w:val="en-US"/>
        </w:rPr>
      </w:pPr>
      <w:r>
        <w:rPr>
          <w:rFonts w:ascii="Century Gothic" w:hAnsi="Century Gothic"/>
          <w:b/>
          <w:lang w:val="en-US"/>
        </w:rPr>
        <w:t>SDSL</w:t>
      </w:r>
    </w:p>
    <w:p w:rsidR="00655060" w:rsidRPr="00611019" w:rsidRDefault="00E56462" w:rsidP="00035D2C">
      <w:pPr>
        <w:pStyle w:val="IFTnormal"/>
        <w:rPr>
          <w:rFonts w:ascii="Century Gothic" w:hAnsi="Century Gothic"/>
          <w:lang w:val="en-US"/>
        </w:rPr>
      </w:pPr>
      <w:r>
        <w:rPr>
          <w:rFonts w:ascii="Century Gothic" w:hAnsi="Century Gothic"/>
          <w:lang w:val="en-US"/>
        </w:rPr>
        <w:lastRenderedPageBreak/>
        <w:t>ETSI TS 101 524: "Transmission and Multiplexing (TM); Access transmission system on metallic access cables; Symmetric single pair high bitrate Digital Subscriber Line (SDSL)".</w:t>
      </w:r>
    </w:p>
    <w:p w:rsidR="00655060" w:rsidRPr="00611019" w:rsidRDefault="00E56462" w:rsidP="00035D2C">
      <w:pPr>
        <w:pStyle w:val="IFTnormal"/>
        <w:rPr>
          <w:rFonts w:ascii="Century Gothic" w:hAnsi="Century Gothic"/>
          <w:lang w:val="en-US"/>
        </w:rPr>
      </w:pPr>
      <w:r>
        <w:rPr>
          <w:rFonts w:ascii="Century Gothic" w:hAnsi="Century Gothic"/>
          <w:lang w:val="en-US"/>
        </w:rPr>
        <w:t>ITU-T Recommendation G.991.2: "Single-Pair High-Speed Digital Subscriber Line (SHDSL) transceivers" (including all corrigenda and amendments).</w:t>
      </w:r>
    </w:p>
    <w:p w:rsidR="005B32C6" w:rsidRPr="00611019" w:rsidRDefault="005B32C6" w:rsidP="00035D2C">
      <w:pPr>
        <w:pStyle w:val="IFTnormal"/>
        <w:rPr>
          <w:rFonts w:ascii="Century Gothic" w:hAnsi="Century Gothic"/>
          <w:lang w:val="en-US"/>
        </w:rPr>
      </w:pPr>
    </w:p>
    <w:p w:rsidR="00C14068" w:rsidRPr="00611019" w:rsidRDefault="00E56462" w:rsidP="00035D2C">
      <w:pPr>
        <w:pStyle w:val="IFTnormal"/>
        <w:spacing w:before="6pt"/>
        <w:rPr>
          <w:rFonts w:ascii="Century Gothic" w:hAnsi="Century Gothic"/>
          <w:lang w:val="en-US"/>
        </w:rPr>
      </w:pPr>
      <w:r>
        <w:rPr>
          <w:rFonts w:ascii="Century Gothic" w:hAnsi="Century Gothic"/>
          <w:b/>
          <w:lang w:val="en-GB"/>
        </w:rPr>
        <w:t>ADSL</w:t>
      </w:r>
    </w:p>
    <w:p w:rsidR="00655060" w:rsidRPr="00611019" w:rsidRDefault="00E56462" w:rsidP="00035D2C">
      <w:pPr>
        <w:pStyle w:val="IFTnormal"/>
        <w:rPr>
          <w:rFonts w:ascii="Century Gothic" w:hAnsi="Century Gothic"/>
          <w:lang w:val="en-US"/>
        </w:rPr>
      </w:pPr>
      <w:r>
        <w:rPr>
          <w:rFonts w:ascii="Century Gothic" w:hAnsi="Century Gothic"/>
          <w:lang w:val="en-US"/>
        </w:rPr>
        <w:t>ETSI TS 101 388: "Access Terminals Transmission and Multiplexing (ATTM); Access transmission systems on metallic access cables; Asymmetric Digital Subscriber Line (ADSL) - European specific requirements [ITU-T Recommendation G.992.1 modified]".</w:t>
      </w:r>
    </w:p>
    <w:p w:rsidR="005B32C6" w:rsidRPr="00611019" w:rsidRDefault="005B32C6" w:rsidP="00035D2C">
      <w:pPr>
        <w:pStyle w:val="IFTnormal"/>
        <w:rPr>
          <w:rFonts w:ascii="Century Gothic" w:hAnsi="Century Gothic"/>
          <w:lang w:val="en-US"/>
        </w:rPr>
      </w:pPr>
    </w:p>
    <w:p w:rsidR="00655060" w:rsidRPr="00611019" w:rsidRDefault="00E56462" w:rsidP="00035D2C">
      <w:pPr>
        <w:pStyle w:val="IFTnormal"/>
        <w:rPr>
          <w:rFonts w:ascii="Century Gothic" w:hAnsi="Century Gothic"/>
          <w:lang w:val="en-US"/>
        </w:rPr>
      </w:pPr>
      <w:r>
        <w:rPr>
          <w:rFonts w:ascii="Century Gothic" w:hAnsi="Century Gothic"/>
          <w:lang w:val="en-US"/>
        </w:rPr>
        <w:t>[ITU-T Recommendation G.992.1: "Asymmetric digital subscriber line (ADSL) transceivers" (including all corrigenda and amendments).</w:t>
      </w:r>
    </w:p>
    <w:p w:rsidR="005B32C6" w:rsidRPr="00611019" w:rsidRDefault="005B32C6" w:rsidP="00035D2C">
      <w:pPr>
        <w:pStyle w:val="IFTnormal"/>
        <w:rPr>
          <w:rFonts w:ascii="Century Gothic" w:hAnsi="Century Gothic"/>
          <w:lang w:val="en-US"/>
        </w:rPr>
      </w:pPr>
    </w:p>
    <w:p w:rsidR="00655060" w:rsidRPr="00611019" w:rsidRDefault="00E56462" w:rsidP="00035D2C">
      <w:pPr>
        <w:pStyle w:val="IFTnormal"/>
        <w:rPr>
          <w:rFonts w:ascii="Century Gothic" w:hAnsi="Century Gothic"/>
          <w:lang w:val="en-US"/>
        </w:rPr>
      </w:pPr>
      <w:r>
        <w:rPr>
          <w:rFonts w:ascii="Century Gothic" w:hAnsi="Century Gothic"/>
          <w:lang w:val="en-US"/>
        </w:rPr>
        <w:t>ITU-T Recommendation G.992.2: "Splitter less asymmetric digital subscriber line (ADSL) transceivers".</w:t>
      </w:r>
    </w:p>
    <w:p w:rsidR="005B32C6" w:rsidRPr="00611019" w:rsidRDefault="005B32C6" w:rsidP="00035D2C">
      <w:pPr>
        <w:pStyle w:val="IFTnormal"/>
        <w:rPr>
          <w:rFonts w:ascii="Century Gothic" w:hAnsi="Century Gothic"/>
          <w:lang w:val="en-US"/>
        </w:rPr>
      </w:pPr>
    </w:p>
    <w:p w:rsidR="00655060" w:rsidRPr="00611019" w:rsidRDefault="00E56462" w:rsidP="00035D2C">
      <w:pPr>
        <w:pStyle w:val="IFTnormal"/>
        <w:rPr>
          <w:rFonts w:ascii="Century Gothic" w:hAnsi="Century Gothic"/>
          <w:lang w:val="en-US"/>
        </w:rPr>
      </w:pPr>
      <w:r>
        <w:rPr>
          <w:rFonts w:ascii="Century Gothic" w:hAnsi="Century Gothic"/>
          <w:lang w:val="en-US"/>
        </w:rPr>
        <w:t>ITU-T Recommendation G.992.5: "Asymmetric Digital Subscriber Line (ADSL) transceivers - Extended bandwidth ADSL2 (ADSL2plus)".</w:t>
      </w:r>
    </w:p>
    <w:p w:rsidR="005B32C6" w:rsidRPr="00611019" w:rsidRDefault="005B32C6" w:rsidP="00035D2C">
      <w:pPr>
        <w:rPr>
          <w:rFonts w:ascii="Century Gothic" w:hAnsi="Century Gothic"/>
          <w:b/>
          <w:lang w:val="en-US"/>
        </w:rPr>
      </w:pPr>
    </w:p>
    <w:p w:rsidR="00C14068" w:rsidRPr="00611019" w:rsidRDefault="00E56462" w:rsidP="00035D2C">
      <w:pPr>
        <w:rPr>
          <w:rFonts w:ascii="Century Gothic" w:eastAsia="Calibri" w:hAnsi="Century Gothic" w:cs="Arial"/>
          <w:b/>
          <w:color w:val="000000"/>
          <w:lang w:val="en-US" w:eastAsia="es-ES"/>
        </w:rPr>
      </w:pPr>
      <w:r>
        <w:rPr>
          <w:rFonts w:ascii="Century Gothic" w:hAnsi="Century Gothic"/>
          <w:b/>
          <w:lang w:val="en-US"/>
        </w:rPr>
        <w:t>VDSL</w:t>
      </w:r>
    </w:p>
    <w:p w:rsidR="00655060" w:rsidRPr="00611019" w:rsidRDefault="00E56462" w:rsidP="00035D2C">
      <w:pPr>
        <w:pStyle w:val="IFTnormal"/>
        <w:rPr>
          <w:rFonts w:ascii="Century Gothic" w:hAnsi="Century Gothic"/>
          <w:lang w:val="en-US"/>
        </w:rPr>
      </w:pPr>
      <w:r>
        <w:rPr>
          <w:rFonts w:ascii="Century Gothic" w:hAnsi="Century Gothic"/>
          <w:lang w:val="en-US"/>
        </w:rPr>
        <w:t>ETSI TS 101 270-1: "Transmission and Multiplexing (TM); Access transmission systems on metallic access cables; Very high speed Digital Subscriber Line (VDSL); Part 1: Functional requirements".</w:t>
      </w:r>
    </w:p>
    <w:p w:rsidR="005B32C6" w:rsidRPr="00611019" w:rsidRDefault="005B32C6" w:rsidP="00035D2C">
      <w:pPr>
        <w:pStyle w:val="IFTnormal"/>
        <w:rPr>
          <w:rFonts w:ascii="Century Gothic" w:hAnsi="Century Gothic"/>
          <w:lang w:val="en-US"/>
        </w:rPr>
      </w:pPr>
    </w:p>
    <w:p w:rsidR="00655060" w:rsidRPr="00611019" w:rsidRDefault="00E56462" w:rsidP="00035D2C">
      <w:pPr>
        <w:pStyle w:val="IFTnormal"/>
        <w:rPr>
          <w:rFonts w:ascii="Century Gothic" w:hAnsi="Century Gothic"/>
          <w:lang w:val="en-US"/>
        </w:rPr>
      </w:pPr>
      <w:r>
        <w:rPr>
          <w:rFonts w:ascii="Century Gothic" w:hAnsi="Century Gothic"/>
          <w:lang w:val="en-US"/>
        </w:rPr>
        <w:t>ITU-T Recommendation G993.2: "Very High Speed Digital Subscriber Line Transceivers 2 (VDSL2)" (including all corrigenda and amendments).</w:t>
      </w:r>
    </w:p>
    <w:p w:rsidR="005B32C6" w:rsidRPr="00611019" w:rsidRDefault="005B32C6" w:rsidP="00035D2C">
      <w:pPr>
        <w:pStyle w:val="IFTnormal"/>
        <w:rPr>
          <w:rFonts w:ascii="Century Gothic" w:hAnsi="Century Gothic"/>
          <w:sz w:val="16"/>
          <w:lang w:val="en-US"/>
        </w:rPr>
      </w:pPr>
    </w:p>
    <w:p w:rsidR="005B32C6" w:rsidRPr="00611019" w:rsidRDefault="00E56462" w:rsidP="00035D2C">
      <w:pPr>
        <w:pStyle w:val="IFTnormal"/>
        <w:spacing w:before="6pt"/>
        <w:rPr>
          <w:rFonts w:ascii="Century Gothic" w:hAnsi="Century Gothic"/>
          <w:lang w:val="en-US"/>
        </w:rPr>
      </w:pPr>
      <w:r>
        <w:rPr>
          <w:rFonts w:ascii="Century Gothic" w:hAnsi="Century Gothic"/>
          <w:b/>
          <w:lang w:val="en-GB"/>
        </w:rPr>
        <w:t>EMC &amp; UNBALANCE</w:t>
      </w:r>
    </w:p>
    <w:p w:rsidR="00655060" w:rsidRPr="00611019" w:rsidRDefault="00E56462" w:rsidP="00035D2C">
      <w:pPr>
        <w:pStyle w:val="IFTnormal"/>
        <w:rPr>
          <w:rFonts w:ascii="Century Gothic" w:hAnsi="Century Gothic"/>
          <w:lang w:val="en-US"/>
        </w:rPr>
      </w:pPr>
      <w:r>
        <w:rPr>
          <w:rFonts w:ascii="Century Gothic" w:hAnsi="Century Gothic"/>
          <w:lang w:val="en-US"/>
        </w:rPr>
        <w:t>ETSI EN 300 386-2 (V1.1.3): "Electromagnetic compatibility and Radio spectrum Matters (ERM); Telecommunication network equipment; Electromagnetic Compatibility (EMC) requirements; Part 2: Product family standard".</w:t>
      </w:r>
    </w:p>
    <w:p w:rsidR="005B32C6" w:rsidRPr="00611019" w:rsidRDefault="005B32C6" w:rsidP="00035D2C">
      <w:pPr>
        <w:pStyle w:val="IFTnormal"/>
        <w:rPr>
          <w:rFonts w:ascii="Century Gothic" w:hAnsi="Century Gothic"/>
          <w:lang w:val="en-US"/>
        </w:rPr>
      </w:pPr>
    </w:p>
    <w:p w:rsidR="00655060" w:rsidRPr="00611019" w:rsidRDefault="00E56462" w:rsidP="00035D2C">
      <w:pPr>
        <w:pStyle w:val="IFTnormal"/>
        <w:rPr>
          <w:rFonts w:ascii="Century Gothic" w:hAnsi="Century Gothic"/>
          <w:lang w:val="en-US"/>
        </w:rPr>
      </w:pPr>
      <w:r>
        <w:rPr>
          <w:rFonts w:ascii="Century Gothic" w:hAnsi="Century Gothic"/>
          <w:lang w:val="en-US"/>
        </w:rPr>
        <w:t>ITU-T Recommendation O.9: "Measuring arrangements to assess the degree of unbalance about earth".</w:t>
      </w:r>
    </w:p>
    <w:p w:rsidR="005B32C6" w:rsidRPr="00611019" w:rsidRDefault="005B32C6" w:rsidP="00035D2C">
      <w:pPr>
        <w:pStyle w:val="IFTnormal"/>
        <w:rPr>
          <w:rFonts w:ascii="Century Gothic" w:hAnsi="Century Gothic"/>
          <w:lang w:val="en-US"/>
        </w:rPr>
      </w:pPr>
    </w:p>
    <w:p w:rsidR="00655060" w:rsidRPr="00611019" w:rsidRDefault="00E56462" w:rsidP="00035D2C">
      <w:pPr>
        <w:pStyle w:val="IFTnormal"/>
        <w:rPr>
          <w:rFonts w:ascii="Century Gothic" w:hAnsi="Century Gothic"/>
          <w:lang w:val="en-US"/>
        </w:rPr>
      </w:pPr>
      <w:r>
        <w:rPr>
          <w:rFonts w:ascii="Century Gothic" w:hAnsi="Century Gothic"/>
          <w:lang w:val="en-US"/>
        </w:rPr>
        <w:t>ITU-T Recommendation G.117: "Transmission aspects of unbalance about earth".</w:t>
      </w:r>
    </w:p>
    <w:p w:rsidR="005B32C6" w:rsidRPr="00611019" w:rsidRDefault="005B32C6" w:rsidP="00035D2C">
      <w:pPr>
        <w:pStyle w:val="IFTnormal"/>
        <w:rPr>
          <w:rFonts w:ascii="Century Gothic" w:hAnsi="Century Gothic"/>
          <w:lang w:val="en-US"/>
        </w:rPr>
      </w:pPr>
    </w:p>
    <w:p w:rsidR="00655060" w:rsidRPr="00611019" w:rsidRDefault="00E56462" w:rsidP="00035D2C">
      <w:pPr>
        <w:pStyle w:val="IFTnormal"/>
        <w:rPr>
          <w:rFonts w:ascii="Century Gothic" w:hAnsi="Century Gothic"/>
        </w:rPr>
      </w:pPr>
      <w:r>
        <w:rPr>
          <w:rFonts w:ascii="Century Gothic" w:hAnsi="Century Gothic"/>
        </w:rPr>
        <w:t>ITU-T K-34, para edificios de Central de telecomunicaciones (principal y secundario), en exteriores y en las instalaciones de suscriptor, según sea el caso.</w:t>
      </w:r>
    </w:p>
    <w:p w:rsidR="00C14068" w:rsidRPr="00611019" w:rsidRDefault="00C14068" w:rsidP="00035D2C">
      <w:pPr>
        <w:pStyle w:val="IFTnormal"/>
        <w:rPr>
          <w:rFonts w:ascii="Century Gothic" w:hAnsi="Century Gothic"/>
          <w:b/>
        </w:rPr>
      </w:pPr>
    </w:p>
    <w:p w:rsidR="00655060" w:rsidRPr="00611019" w:rsidRDefault="00E56462" w:rsidP="00035D2C">
      <w:pPr>
        <w:pStyle w:val="IFTnormal"/>
        <w:spacing w:after="6pt"/>
        <w:rPr>
          <w:rFonts w:ascii="Century Gothic" w:hAnsi="Century Gothic"/>
          <w:b/>
        </w:rPr>
      </w:pPr>
      <w:r>
        <w:rPr>
          <w:rFonts w:ascii="Century Gothic" w:hAnsi="Century Gothic"/>
          <w:b/>
        </w:rPr>
        <w:t>TABLA DE TECNOLOGÍAS Y NORMATIVAS O RECOMENDACIÓN DE REFERENCIA</w:t>
      </w:r>
    </w:p>
    <w:tbl>
      <w:tblPr>
        <w:tblW w:w="482.05pt" w:type="dxa"/>
        <w:tblInd w:w="0.20pt" w:type="dxa"/>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ayout w:type="fixed"/>
        <w:tblCellMar>
          <w:start w:w="3.50pt" w:type="dxa"/>
          <w:end w:w="3.50pt" w:type="dxa"/>
        </w:tblCellMar>
        <w:tblLook w:firstRow="1" w:lastRow="0" w:firstColumn="1" w:lastColumn="0" w:noHBand="0" w:noVBand="1"/>
      </w:tblPr>
      <w:tblGrid>
        <w:gridCol w:w="1701"/>
        <w:gridCol w:w="7940"/>
      </w:tblGrid>
      <w:tr w:rsidR="0061711D" w:rsidTr="00447500">
        <w:trPr>
          <w:trHeight w:val="315"/>
          <w:tblHeader/>
        </w:trPr>
        <w:tc>
          <w:tcPr>
            <w:tcW w:w="85.05pt" w:type="dxa"/>
            <w:shd w:val="clear" w:color="auto" w:fill="009AD9"/>
            <w:noWrap/>
            <w:vAlign w:val="bottom"/>
            <w:hideMark/>
          </w:tcPr>
          <w:p w:rsidR="00655060" w:rsidRPr="00611019" w:rsidRDefault="00E56462" w:rsidP="00035D2C">
            <w:pPr>
              <w:spacing w:before="1pt" w:after="1pt"/>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rPr>
              <w:lastRenderedPageBreak/>
              <w:t>Tecnología</w:t>
            </w:r>
          </w:p>
        </w:tc>
        <w:tc>
          <w:tcPr>
            <w:tcW w:w="396.95pt" w:type="dxa"/>
            <w:shd w:val="clear" w:color="auto" w:fill="009AD9"/>
            <w:noWrap/>
            <w:vAlign w:val="center"/>
            <w:hideMark/>
          </w:tcPr>
          <w:p w:rsidR="00655060" w:rsidRPr="00611019" w:rsidRDefault="00E56462" w:rsidP="00035D2C">
            <w:pPr>
              <w:spacing w:before="1pt" w:after="1pt"/>
              <w:jc w:val="center"/>
              <w:rPr>
                <w:rFonts w:ascii="Century Gothic" w:hAnsi="Century Gothic" w:cs="Arial"/>
                <w:b/>
                <w:color w:val="FFFFFF" w:themeColor="background1"/>
                <w:sz w:val="20"/>
                <w:szCs w:val="20"/>
              </w:rPr>
            </w:pPr>
            <w:r>
              <w:rPr>
                <w:rFonts w:ascii="Century Gothic" w:hAnsi="Century Gothic" w:cs="Arial"/>
                <w:b/>
                <w:color w:val="FFFFFF" w:themeColor="background1"/>
                <w:sz w:val="20"/>
                <w:szCs w:val="20"/>
                <w:lang w:val="es-ES_tradnl"/>
              </w:rPr>
              <w:t xml:space="preserve">Normativa/Recomendación de referencia </w:t>
            </w:r>
          </w:p>
        </w:tc>
      </w:tr>
      <w:tr w:rsidR="0061711D" w:rsidTr="00447500">
        <w:trPr>
          <w:trHeight w:val="525"/>
        </w:trPr>
        <w:tc>
          <w:tcPr>
            <w:tcW w:w="85.05pt" w:type="dxa"/>
            <w:shd w:val="clear" w:color="auto" w:fill="auto"/>
            <w:vAlign w:val="center"/>
            <w:hideMark/>
          </w:tcPr>
          <w:p w:rsidR="00655060" w:rsidRPr="00611019" w:rsidRDefault="00E56462" w:rsidP="00035D2C">
            <w:pPr>
              <w:spacing w:before="1pt" w:after="1pt"/>
              <w:jc w:val="center"/>
              <w:rPr>
                <w:rFonts w:ascii="Century Gothic" w:hAnsi="Century Gothic" w:cs="Arial"/>
                <w:b/>
                <w:color w:val="000000"/>
                <w:sz w:val="20"/>
                <w:szCs w:val="20"/>
              </w:rPr>
            </w:pPr>
            <w:r>
              <w:rPr>
                <w:rFonts w:ascii="Century Gothic" w:hAnsi="Century Gothic" w:cs="Arial"/>
                <w:b/>
                <w:color w:val="000000"/>
                <w:sz w:val="20"/>
                <w:szCs w:val="20"/>
                <w:lang w:val="es-ES_tradnl"/>
              </w:rPr>
              <w:t xml:space="preserve">RDSI ACCESO BÁSICO </w:t>
            </w:r>
          </w:p>
        </w:tc>
        <w:tc>
          <w:tcPr>
            <w:tcW w:w="396.95pt" w:type="dxa"/>
            <w:shd w:val="clear" w:color="auto" w:fill="auto"/>
            <w:vAlign w:val="center"/>
            <w:hideMark/>
          </w:tcPr>
          <w:p w:rsidR="00655060" w:rsidRPr="00611019" w:rsidRDefault="00E56462" w:rsidP="00035D2C">
            <w:pPr>
              <w:spacing w:before="1pt" w:after="1pt"/>
              <w:rPr>
                <w:rFonts w:ascii="Century Gothic" w:hAnsi="Century Gothic" w:cs="Arial"/>
                <w:color w:val="000000"/>
                <w:sz w:val="20"/>
                <w:szCs w:val="20"/>
              </w:rPr>
            </w:pPr>
            <w:r>
              <w:rPr>
                <w:rFonts w:ascii="Century Gothic" w:hAnsi="Century Gothic" w:cs="Arial"/>
                <w:color w:val="000000"/>
                <w:sz w:val="20"/>
                <w:szCs w:val="20"/>
                <w:lang w:val="en-US"/>
              </w:rPr>
              <w:t xml:space="preserve"> ETSI TS 102 080, “Transmission and Multiplexing (TM); Integrated Services Digital Network (ISDN) basic rate access. </w:t>
            </w:r>
            <w:r>
              <w:rPr>
                <w:rFonts w:ascii="Century Gothic" w:hAnsi="Century Gothic" w:cs="Arial"/>
                <w:color w:val="000000"/>
                <w:sz w:val="20"/>
                <w:szCs w:val="20"/>
                <w:lang w:val="es-ES_tradnl"/>
              </w:rPr>
              <w:t xml:space="preserve">Digital transmission system on metallic local lines”  (2000-05). </w:t>
            </w:r>
          </w:p>
        </w:tc>
      </w:tr>
      <w:tr w:rsidR="0061711D" w:rsidRPr="0031512C" w:rsidTr="00447500">
        <w:trPr>
          <w:trHeight w:val="780"/>
        </w:trPr>
        <w:tc>
          <w:tcPr>
            <w:tcW w:w="85.05pt" w:type="dxa"/>
            <w:shd w:val="clear" w:color="auto" w:fill="auto"/>
            <w:vAlign w:val="center"/>
            <w:hideMark/>
          </w:tcPr>
          <w:p w:rsidR="00655060" w:rsidRPr="00611019" w:rsidRDefault="00E56462" w:rsidP="00035D2C">
            <w:pPr>
              <w:spacing w:before="1pt" w:after="1pt"/>
              <w:jc w:val="center"/>
              <w:rPr>
                <w:rFonts w:ascii="Century Gothic" w:hAnsi="Century Gothic" w:cs="Arial"/>
                <w:b/>
                <w:color w:val="000000"/>
                <w:sz w:val="20"/>
                <w:szCs w:val="20"/>
              </w:rPr>
            </w:pPr>
            <w:r>
              <w:rPr>
                <w:rFonts w:ascii="Century Gothic" w:hAnsi="Century Gothic" w:cs="Arial"/>
                <w:b/>
                <w:color w:val="000000"/>
                <w:sz w:val="20"/>
                <w:szCs w:val="20"/>
                <w:lang w:val="es-ES_tradnl"/>
              </w:rPr>
              <w:t xml:space="preserve">RDSI ACCESO PRIMARIO, interfaz de línea con código HDB3 a 2048 Kbitit/s </w:t>
            </w:r>
          </w:p>
        </w:tc>
        <w:tc>
          <w:tcPr>
            <w:tcW w:w="396.95pt" w:type="dxa"/>
            <w:shd w:val="clear" w:color="auto" w:fill="auto"/>
            <w:vAlign w:val="center"/>
            <w:hideMark/>
          </w:tcPr>
          <w:p w:rsidR="00655060" w:rsidRPr="00611019" w:rsidRDefault="00E56462" w:rsidP="00035D2C">
            <w:pPr>
              <w:spacing w:before="1pt" w:after="1pt"/>
              <w:rPr>
                <w:rFonts w:ascii="Century Gothic" w:hAnsi="Century Gothic" w:cs="Arial"/>
                <w:color w:val="000000"/>
                <w:sz w:val="20"/>
                <w:szCs w:val="20"/>
                <w:lang w:val="en-US"/>
              </w:rPr>
            </w:pPr>
            <w:r>
              <w:rPr>
                <w:rFonts w:ascii="Century Gothic" w:hAnsi="Century Gothic" w:cs="Arial"/>
                <w:color w:val="000000"/>
                <w:sz w:val="20"/>
                <w:szCs w:val="20"/>
                <w:lang w:val="en-US"/>
              </w:rPr>
              <w:t xml:space="preserve">ETSI EN 300 011-1 V.1.2.2 (2000-05) “Integrated Services Digital Network (ISDN); Primary rate User Network Interface (UNI); Part 1: Layer 1 specification”. </w:t>
            </w:r>
          </w:p>
        </w:tc>
      </w:tr>
      <w:tr w:rsidR="0061711D" w:rsidRPr="0031512C" w:rsidTr="00447500">
        <w:trPr>
          <w:trHeight w:val="525"/>
        </w:trPr>
        <w:tc>
          <w:tcPr>
            <w:tcW w:w="85.05pt" w:type="dxa"/>
            <w:vMerge w:val="restart"/>
            <w:shd w:val="clear" w:color="auto" w:fill="auto"/>
            <w:noWrap/>
            <w:vAlign w:val="center"/>
            <w:hideMark/>
          </w:tcPr>
          <w:p w:rsidR="00655060" w:rsidRPr="00611019" w:rsidRDefault="00E56462" w:rsidP="00035D2C">
            <w:pPr>
              <w:spacing w:before="1pt" w:after="1pt"/>
              <w:jc w:val="center"/>
              <w:rPr>
                <w:rFonts w:ascii="Century Gothic" w:hAnsi="Century Gothic" w:cs="Arial"/>
                <w:b/>
                <w:color w:val="000000"/>
                <w:sz w:val="20"/>
                <w:szCs w:val="20"/>
              </w:rPr>
            </w:pPr>
            <w:r>
              <w:rPr>
                <w:rFonts w:ascii="Century Gothic" w:hAnsi="Century Gothic" w:cs="Arial"/>
                <w:b/>
                <w:color w:val="000000"/>
                <w:sz w:val="20"/>
                <w:szCs w:val="20"/>
                <w:lang w:val="es-ES_tradnl"/>
              </w:rPr>
              <w:t xml:space="preserve">ADSL sobre POTS </w:t>
            </w:r>
          </w:p>
        </w:tc>
        <w:tc>
          <w:tcPr>
            <w:tcW w:w="396.95pt" w:type="dxa"/>
            <w:shd w:val="clear" w:color="auto" w:fill="auto"/>
            <w:noWrap/>
            <w:vAlign w:val="center"/>
            <w:hideMark/>
          </w:tcPr>
          <w:p w:rsidR="00655060" w:rsidRPr="00611019" w:rsidRDefault="00E56462" w:rsidP="00035D2C">
            <w:pPr>
              <w:spacing w:before="1pt" w:after="1pt"/>
              <w:rPr>
                <w:rFonts w:ascii="Century Gothic" w:hAnsi="Century Gothic" w:cs="Arial"/>
                <w:color w:val="000000"/>
                <w:sz w:val="20"/>
                <w:szCs w:val="20"/>
                <w:lang w:val="en-US"/>
              </w:rPr>
            </w:pPr>
            <w:r>
              <w:rPr>
                <w:rFonts w:ascii="Century Gothic" w:hAnsi="Century Gothic" w:cs="Arial"/>
                <w:color w:val="000000"/>
                <w:sz w:val="20"/>
                <w:szCs w:val="20"/>
                <w:lang w:val="en-US"/>
              </w:rPr>
              <w:t xml:space="preserve">ETSI TS 101 388 v1.4.1. “Access transmission systems on metallic access cables; Asymmetric Digital Subscriber Line (ADSL) - European specific requirements; (ITU-T G.992.1 modified)” (2007-08) </w:t>
            </w:r>
          </w:p>
        </w:tc>
      </w:tr>
      <w:tr w:rsidR="0061711D" w:rsidTr="00447500">
        <w:trPr>
          <w:trHeight w:val="315"/>
        </w:trPr>
        <w:tc>
          <w:tcPr>
            <w:tcW w:w="85.05pt" w:type="dxa"/>
            <w:vMerge/>
            <w:vAlign w:val="center"/>
            <w:hideMark/>
          </w:tcPr>
          <w:p w:rsidR="00655060" w:rsidRPr="00611019" w:rsidRDefault="00655060" w:rsidP="00035D2C">
            <w:pPr>
              <w:spacing w:before="1pt" w:after="1pt"/>
              <w:rPr>
                <w:rFonts w:ascii="Century Gothic" w:hAnsi="Century Gothic" w:cs="Arial"/>
                <w:b/>
                <w:color w:val="000000"/>
                <w:sz w:val="20"/>
                <w:szCs w:val="20"/>
                <w:lang w:val="en-US"/>
              </w:rPr>
            </w:pPr>
          </w:p>
        </w:tc>
        <w:tc>
          <w:tcPr>
            <w:tcW w:w="396.95pt" w:type="dxa"/>
            <w:shd w:val="clear" w:color="auto" w:fill="auto"/>
            <w:noWrap/>
            <w:vAlign w:val="center"/>
            <w:hideMark/>
          </w:tcPr>
          <w:p w:rsidR="00655060" w:rsidRPr="00611019" w:rsidRDefault="00E56462" w:rsidP="00035D2C">
            <w:pPr>
              <w:spacing w:before="1pt" w:after="1pt"/>
              <w:rPr>
                <w:rFonts w:ascii="Century Gothic" w:hAnsi="Century Gothic" w:cs="Arial"/>
                <w:color w:val="000000"/>
                <w:sz w:val="20"/>
                <w:szCs w:val="20"/>
                <w:lang w:val="en-US"/>
              </w:rPr>
            </w:pPr>
            <w:r>
              <w:rPr>
                <w:rFonts w:ascii="Century Gothic" w:hAnsi="Century Gothic" w:cs="Arial"/>
                <w:color w:val="000000"/>
                <w:sz w:val="20"/>
                <w:szCs w:val="20"/>
                <w:lang w:val="en-US"/>
              </w:rPr>
              <w:t xml:space="preserve">ITU G.992.1: “Asymmetric Digital Subscriber Line (ADSL) transceivers”. (1999-06) </w:t>
            </w:r>
          </w:p>
        </w:tc>
      </w:tr>
      <w:tr w:rsidR="0061711D" w:rsidRPr="0031512C" w:rsidTr="00447500">
        <w:trPr>
          <w:trHeight w:val="315"/>
        </w:trPr>
        <w:tc>
          <w:tcPr>
            <w:tcW w:w="85.05pt" w:type="dxa"/>
            <w:vMerge/>
            <w:vAlign w:val="center"/>
            <w:hideMark/>
          </w:tcPr>
          <w:p w:rsidR="00655060" w:rsidRPr="00611019" w:rsidRDefault="00655060" w:rsidP="00035D2C">
            <w:pPr>
              <w:spacing w:before="1pt" w:after="1pt"/>
              <w:rPr>
                <w:rFonts w:ascii="Century Gothic" w:hAnsi="Century Gothic" w:cs="Arial"/>
                <w:b/>
                <w:color w:val="000000"/>
                <w:sz w:val="20"/>
                <w:szCs w:val="20"/>
                <w:lang w:val="en-US"/>
              </w:rPr>
            </w:pPr>
          </w:p>
        </w:tc>
        <w:tc>
          <w:tcPr>
            <w:tcW w:w="396.95pt" w:type="dxa"/>
            <w:shd w:val="clear" w:color="auto" w:fill="auto"/>
            <w:noWrap/>
            <w:vAlign w:val="center"/>
            <w:hideMark/>
          </w:tcPr>
          <w:p w:rsidR="00655060" w:rsidRPr="00611019" w:rsidRDefault="00E56462" w:rsidP="00035D2C">
            <w:pPr>
              <w:spacing w:before="1pt" w:after="1pt"/>
              <w:rPr>
                <w:rFonts w:ascii="Century Gothic" w:hAnsi="Century Gothic" w:cs="Arial"/>
                <w:color w:val="000000"/>
                <w:sz w:val="20"/>
                <w:szCs w:val="20"/>
                <w:lang w:val="en-US"/>
              </w:rPr>
            </w:pPr>
            <w:r>
              <w:rPr>
                <w:rFonts w:ascii="Century Gothic" w:hAnsi="Century Gothic" w:cs="Arial"/>
                <w:color w:val="000000"/>
                <w:sz w:val="20"/>
                <w:szCs w:val="20"/>
                <w:lang w:val="en-US"/>
              </w:rPr>
              <w:t xml:space="preserve">ITU G.992.2: “Splitterless Asymmetric Digital Subscriber Line (ADSL) transceivers” (1999-07) </w:t>
            </w:r>
          </w:p>
        </w:tc>
      </w:tr>
      <w:tr w:rsidR="0061711D" w:rsidTr="00447500">
        <w:trPr>
          <w:trHeight w:val="525"/>
        </w:trPr>
        <w:tc>
          <w:tcPr>
            <w:tcW w:w="85.05pt" w:type="dxa"/>
            <w:vMerge/>
            <w:vAlign w:val="center"/>
            <w:hideMark/>
          </w:tcPr>
          <w:p w:rsidR="00655060" w:rsidRPr="00611019" w:rsidRDefault="00655060" w:rsidP="00035D2C">
            <w:pPr>
              <w:spacing w:before="1pt" w:after="1pt"/>
              <w:rPr>
                <w:rFonts w:ascii="Century Gothic" w:hAnsi="Century Gothic" w:cs="Arial"/>
                <w:b/>
                <w:color w:val="000000"/>
                <w:sz w:val="20"/>
                <w:szCs w:val="20"/>
                <w:lang w:val="en-US"/>
              </w:rPr>
            </w:pPr>
          </w:p>
        </w:tc>
        <w:tc>
          <w:tcPr>
            <w:tcW w:w="396.95pt" w:type="dxa"/>
            <w:shd w:val="clear" w:color="auto" w:fill="auto"/>
            <w:noWrap/>
            <w:vAlign w:val="center"/>
            <w:hideMark/>
          </w:tcPr>
          <w:p w:rsidR="00655060" w:rsidRPr="00611019" w:rsidRDefault="00E56462" w:rsidP="00035D2C">
            <w:pPr>
              <w:spacing w:before="1pt" w:after="1pt"/>
              <w:rPr>
                <w:rFonts w:ascii="Century Gothic" w:hAnsi="Century Gothic" w:cs="Arial"/>
                <w:color w:val="000000"/>
                <w:sz w:val="20"/>
                <w:szCs w:val="20"/>
              </w:rPr>
            </w:pPr>
            <w:r>
              <w:rPr>
                <w:rFonts w:ascii="Century Gothic" w:hAnsi="Century Gothic" w:cs="Arial"/>
                <w:color w:val="000000"/>
                <w:sz w:val="20"/>
                <w:szCs w:val="20"/>
                <w:lang w:val="es-ES_tradnl"/>
              </w:rPr>
              <w:t>ITE-BA-003 “Interfaz de línea para el acceso indirecto al bucle de abonado con tecnologías ADSL (ANSI T1.413-1998)”.</w:t>
            </w:r>
          </w:p>
        </w:tc>
      </w:tr>
      <w:tr w:rsidR="0061711D" w:rsidTr="00447500">
        <w:trPr>
          <w:trHeight w:val="525"/>
        </w:trPr>
        <w:tc>
          <w:tcPr>
            <w:tcW w:w="85.05pt" w:type="dxa"/>
            <w:vMerge/>
            <w:vAlign w:val="center"/>
            <w:hideMark/>
          </w:tcPr>
          <w:p w:rsidR="00655060" w:rsidRPr="00611019" w:rsidRDefault="00655060" w:rsidP="00035D2C">
            <w:pPr>
              <w:spacing w:before="1pt" w:after="1pt"/>
              <w:rPr>
                <w:rFonts w:ascii="Century Gothic" w:hAnsi="Century Gothic" w:cs="Arial"/>
                <w:b/>
                <w:color w:val="000000"/>
                <w:sz w:val="20"/>
                <w:szCs w:val="20"/>
              </w:rPr>
            </w:pPr>
          </w:p>
        </w:tc>
        <w:tc>
          <w:tcPr>
            <w:tcW w:w="396.95pt" w:type="dxa"/>
            <w:shd w:val="clear" w:color="auto" w:fill="auto"/>
            <w:noWrap/>
            <w:vAlign w:val="center"/>
            <w:hideMark/>
          </w:tcPr>
          <w:p w:rsidR="00655060" w:rsidRPr="00611019" w:rsidRDefault="00E56462" w:rsidP="00035D2C">
            <w:pPr>
              <w:spacing w:before="1pt" w:after="1pt"/>
              <w:rPr>
                <w:rFonts w:ascii="Century Gothic" w:hAnsi="Century Gothic" w:cs="Arial"/>
                <w:color w:val="000000"/>
                <w:sz w:val="20"/>
                <w:szCs w:val="20"/>
              </w:rPr>
            </w:pPr>
            <w:r>
              <w:rPr>
                <w:rFonts w:ascii="Century Gothic" w:hAnsi="Century Gothic" w:cs="Arial"/>
                <w:color w:val="000000"/>
                <w:sz w:val="20"/>
                <w:szCs w:val="20"/>
                <w:lang w:val="es-ES_tradnl"/>
              </w:rPr>
              <w:t xml:space="preserve">ITE-BA-006 “Interfaz de Línea para el Acceso Indirecto al Bucle de Abonado con Tecnologías ADSL con microfiltros separadores en líneas analógicas”. </w:t>
            </w:r>
          </w:p>
        </w:tc>
      </w:tr>
      <w:tr w:rsidR="0061711D" w:rsidTr="00447500">
        <w:trPr>
          <w:trHeight w:val="525"/>
        </w:trPr>
        <w:tc>
          <w:tcPr>
            <w:tcW w:w="85.05pt" w:type="dxa"/>
            <w:vMerge/>
            <w:vAlign w:val="center"/>
            <w:hideMark/>
          </w:tcPr>
          <w:p w:rsidR="00655060" w:rsidRPr="00611019" w:rsidRDefault="00655060" w:rsidP="00035D2C">
            <w:pPr>
              <w:spacing w:before="1pt" w:after="1pt"/>
              <w:rPr>
                <w:rFonts w:ascii="Century Gothic" w:hAnsi="Century Gothic" w:cs="Arial"/>
                <w:b/>
                <w:color w:val="000000"/>
                <w:sz w:val="20"/>
                <w:szCs w:val="20"/>
              </w:rPr>
            </w:pPr>
          </w:p>
        </w:tc>
        <w:tc>
          <w:tcPr>
            <w:tcW w:w="396.95pt" w:type="dxa"/>
            <w:shd w:val="clear" w:color="auto" w:fill="auto"/>
            <w:noWrap/>
            <w:vAlign w:val="center"/>
            <w:hideMark/>
          </w:tcPr>
          <w:p w:rsidR="00655060" w:rsidRPr="00611019" w:rsidRDefault="00E56462" w:rsidP="00035D2C">
            <w:pPr>
              <w:spacing w:before="1pt" w:after="1pt"/>
              <w:rPr>
                <w:rFonts w:ascii="Century Gothic" w:hAnsi="Century Gothic" w:cs="Arial"/>
                <w:color w:val="000000"/>
                <w:sz w:val="20"/>
                <w:szCs w:val="20"/>
              </w:rPr>
            </w:pPr>
            <w:r>
              <w:rPr>
                <w:rFonts w:ascii="Century Gothic" w:hAnsi="Century Gothic" w:cs="Arial"/>
                <w:color w:val="000000"/>
                <w:sz w:val="20"/>
                <w:szCs w:val="20"/>
                <w:lang w:val="en-US"/>
              </w:rPr>
              <w:t xml:space="preserve">ANSI T1.413 – 1998 (Issue 2). Networks and Customer Installation Interfaces. </w:t>
            </w:r>
            <w:r>
              <w:rPr>
                <w:rFonts w:ascii="Century Gothic" w:hAnsi="Century Gothic" w:cs="Arial"/>
                <w:color w:val="000000"/>
                <w:sz w:val="20"/>
                <w:szCs w:val="20"/>
                <w:lang w:val="es-ES_tradnl"/>
              </w:rPr>
              <w:t xml:space="preserve">Asymmetric Digital Subscriber Line (ADSL). Metallic Interface (1998). </w:t>
            </w:r>
          </w:p>
        </w:tc>
      </w:tr>
      <w:tr w:rsidR="0061711D" w:rsidRPr="0031512C" w:rsidTr="00447500">
        <w:trPr>
          <w:trHeight w:val="525"/>
        </w:trPr>
        <w:tc>
          <w:tcPr>
            <w:tcW w:w="85.05pt" w:type="dxa"/>
            <w:vMerge w:val="restart"/>
            <w:shd w:val="clear" w:color="auto" w:fill="auto"/>
            <w:vAlign w:val="center"/>
            <w:hideMark/>
          </w:tcPr>
          <w:p w:rsidR="00655060" w:rsidRPr="00611019" w:rsidRDefault="00E56462" w:rsidP="00035D2C">
            <w:pPr>
              <w:spacing w:before="1pt" w:after="1pt"/>
              <w:jc w:val="center"/>
              <w:rPr>
                <w:rFonts w:ascii="Century Gothic" w:hAnsi="Century Gothic" w:cs="Arial"/>
                <w:b/>
                <w:color w:val="000000"/>
                <w:sz w:val="20"/>
                <w:szCs w:val="20"/>
              </w:rPr>
            </w:pPr>
            <w:r>
              <w:rPr>
                <w:rFonts w:ascii="Century Gothic" w:hAnsi="Century Gothic" w:cs="Arial"/>
                <w:b/>
                <w:color w:val="000000"/>
                <w:sz w:val="20"/>
                <w:szCs w:val="20"/>
              </w:rPr>
              <w:t xml:space="preserve">ADSL sobre RDSI Acceso Básico </w:t>
            </w:r>
          </w:p>
        </w:tc>
        <w:tc>
          <w:tcPr>
            <w:tcW w:w="396.95pt" w:type="dxa"/>
            <w:shd w:val="clear" w:color="auto" w:fill="auto"/>
            <w:noWrap/>
            <w:vAlign w:val="center"/>
            <w:hideMark/>
          </w:tcPr>
          <w:p w:rsidR="00655060" w:rsidRPr="00611019" w:rsidRDefault="00E56462" w:rsidP="00035D2C">
            <w:pPr>
              <w:spacing w:before="1pt" w:after="1pt"/>
              <w:rPr>
                <w:rFonts w:ascii="Century Gothic" w:hAnsi="Century Gothic" w:cs="Arial"/>
                <w:color w:val="000000"/>
                <w:sz w:val="20"/>
                <w:szCs w:val="20"/>
                <w:lang w:val="en-US"/>
              </w:rPr>
            </w:pPr>
            <w:r>
              <w:rPr>
                <w:rFonts w:ascii="Century Gothic" w:hAnsi="Century Gothic" w:cs="Arial"/>
                <w:color w:val="000000"/>
                <w:sz w:val="20"/>
                <w:szCs w:val="20"/>
                <w:lang w:val="en-US"/>
              </w:rPr>
              <w:t xml:space="preserve">ETSI TS 101 388 v1.4.1. “Access transmission systems on metallic access cables; Asymmetric Digital Subscriber Line (ADSL) - European specific requirements; (ITU-T G.992.1 modified)” (2007-08) </w:t>
            </w:r>
          </w:p>
        </w:tc>
      </w:tr>
      <w:tr w:rsidR="0061711D" w:rsidTr="00447500">
        <w:trPr>
          <w:trHeight w:val="315"/>
        </w:trPr>
        <w:tc>
          <w:tcPr>
            <w:tcW w:w="85.05pt" w:type="dxa"/>
            <w:vMerge/>
            <w:vAlign w:val="center"/>
            <w:hideMark/>
          </w:tcPr>
          <w:p w:rsidR="00655060" w:rsidRPr="00611019" w:rsidRDefault="00655060" w:rsidP="00035D2C">
            <w:pPr>
              <w:spacing w:before="1pt" w:after="1pt"/>
              <w:rPr>
                <w:rFonts w:ascii="Century Gothic" w:hAnsi="Century Gothic" w:cs="Arial"/>
                <w:b/>
                <w:color w:val="000000"/>
                <w:sz w:val="20"/>
                <w:szCs w:val="20"/>
                <w:lang w:val="en-US"/>
              </w:rPr>
            </w:pPr>
          </w:p>
        </w:tc>
        <w:tc>
          <w:tcPr>
            <w:tcW w:w="396.95pt" w:type="dxa"/>
            <w:shd w:val="clear" w:color="auto" w:fill="auto"/>
            <w:noWrap/>
            <w:vAlign w:val="center"/>
            <w:hideMark/>
          </w:tcPr>
          <w:p w:rsidR="00655060" w:rsidRPr="00611019" w:rsidRDefault="00E56462" w:rsidP="00035D2C">
            <w:pPr>
              <w:spacing w:before="1pt" w:after="1pt"/>
              <w:rPr>
                <w:rFonts w:ascii="Century Gothic" w:hAnsi="Century Gothic" w:cs="Arial"/>
                <w:color w:val="000000"/>
                <w:sz w:val="20"/>
                <w:szCs w:val="20"/>
                <w:lang w:val="en-US"/>
              </w:rPr>
            </w:pPr>
            <w:r>
              <w:rPr>
                <w:rFonts w:ascii="Century Gothic" w:hAnsi="Century Gothic" w:cs="Arial"/>
                <w:color w:val="000000"/>
                <w:sz w:val="20"/>
                <w:szCs w:val="20"/>
                <w:lang w:val="en-US"/>
              </w:rPr>
              <w:t xml:space="preserve">ITU G.992.1: “Asymmetric Digital Subscriber Line (ADSL) transceivers”. (1999-06) </w:t>
            </w:r>
          </w:p>
        </w:tc>
      </w:tr>
      <w:tr w:rsidR="0061711D" w:rsidTr="00447500">
        <w:trPr>
          <w:trHeight w:val="525"/>
        </w:trPr>
        <w:tc>
          <w:tcPr>
            <w:tcW w:w="85.05pt" w:type="dxa"/>
            <w:vMerge/>
            <w:vAlign w:val="center"/>
            <w:hideMark/>
          </w:tcPr>
          <w:p w:rsidR="00655060" w:rsidRPr="00611019" w:rsidRDefault="00655060" w:rsidP="00035D2C">
            <w:pPr>
              <w:spacing w:before="1pt" w:after="1pt"/>
              <w:rPr>
                <w:rFonts w:ascii="Century Gothic" w:hAnsi="Century Gothic" w:cs="Arial"/>
                <w:b/>
                <w:color w:val="000000"/>
                <w:sz w:val="20"/>
                <w:szCs w:val="20"/>
                <w:lang w:val="en-US"/>
              </w:rPr>
            </w:pPr>
          </w:p>
        </w:tc>
        <w:tc>
          <w:tcPr>
            <w:tcW w:w="396.95pt" w:type="dxa"/>
            <w:shd w:val="clear" w:color="auto" w:fill="auto"/>
            <w:noWrap/>
            <w:vAlign w:val="center"/>
            <w:hideMark/>
          </w:tcPr>
          <w:p w:rsidR="00655060" w:rsidRPr="00611019" w:rsidRDefault="00E56462" w:rsidP="00035D2C">
            <w:pPr>
              <w:spacing w:before="1pt" w:after="1pt"/>
              <w:rPr>
                <w:rFonts w:ascii="Century Gothic" w:hAnsi="Century Gothic" w:cs="Arial"/>
                <w:color w:val="000000"/>
                <w:sz w:val="20"/>
                <w:szCs w:val="20"/>
              </w:rPr>
            </w:pPr>
            <w:r>
              <w:rPr>
                <w:rFonts w:ascii="Century Gothic" w:hAnsi="Century Gothic" w:cs="Arial"/>
                <w:color w:val="000000"/>
                <w:sz w:val="20"/>
                <w:szCs w:val="20"/>
                <w:lang w:val="es-ES_tradnl"/>
              </w:rPr>
              <w:t xml:space="preserve">ITE-BA-004 “Interfaz de Línea para Acceso Indirecto al Bucle de Abonado con Tecnologías ADSL y coexistencia con el servicio RDSI. </w:t>
            </w:r>
          </w:p>
        </w:tc>
      </w:tr>
      <w:tr w:rsidR="0061711D" w:rsidTr="00447500">
        <w:trPr>
          <w:trHeight w:val="525"/>
        </w:trPr>
        <w:tc>
          <w:tcPr>
            <w:tcW w:w="85.05pt" w:type="dxa"/>
            <w:vMerge/>
            <w:vAlign w:val="center"/>
            <w:hideMark/>
          </w:tcPr>
          <w:p w:rsidR="00655060" w:rsidRPr="00611019" w:rsidRDefault="00655060" w:rsidP="00035D2C">
            <w:pPr>
              <w:spacing w:before="1pt" w:after="1pt"/>
              <w:rPr>
                <w:rFonts w:ascii="Century Gothic" w:hAnsi="Century Gothic" w:cs="Arial"/>
                <w:b/>
                <w:color w:val="000000"/>
                <w:sz w:val="20"/>
                <w:szCs w:val="20"/>
              </w:rPr>
            </w:pPr>
          </w:p>
        </w:tc>
        <w:tc>
          <w:tcPr>
            <w:tcW w:w="396.95pt" w:type="dxa"/>
            <w:shd w:val="clear" w:color="auto" w:fill="auto"/>
            <w:noWrap/>
            <w:vAlign w:val="center"/>
            <w:hideMark/>
          </w:tcPr>
          <w:p w:rsidR="00655060" w:rsidRPr="00611019" w:rsidRDefault="00E56462" w:rsidP="00035D2C">
            <w:pPr>
              <w:spacing w:before="1pt" w:after="1pt"/>
              <w:rPr>
                <w:rFonts w:ascii="Century Gothic" w:hAnsi="Century Gothic" w:cs="Arial"/>
                <w:color w:val="000000"/>
                <w:sz w:val="20"/>
                <w:szCs w:val="20"/>
              </w:rPr>
            </w:pPr>
            <w:r>
              <w:rPr>
                <w:rFonts w:ascii="Century Gothic" w:hAnsi="Century Gothic" w:cs="Arial"/>
                <w:color w:val="000000"/>
                <w:sz w:val="20"/>
                <w:szCs w:val="20"/>
                <w:lang w:val="en-US"/>
              </w:rPr>
              <w:t xml:space="preserve">ANSI T1.413-1998 (Issue 2). Network and Customer Installation Interfaces. </w:t>
            </w:r>
            <w:r>
              <w:rPr>
                <w:rFonts w:ascii="Century Gothic" w:hAnsi="Century Gothic" w:cs="Arial"/>
                <w:color w:val="000000"/>
                <w:sz w:val="20"/>
                <w:szCs w:val="20"/>
                <w:lang w:val="es-ES_tradnl"/>
              </w:rPr>
              <w:t xml:space="preserve">Asymmetric digital Subscriber line (ADSL) Metallic interface (1998). </w:t>
            </w:r>
          </w:p>
        </w:tc>
      </w:tr>
      <w:tr w:rsidR="0061711D" w:rsidRPr="00472B28" w:rsidTr="00447500">
        <w:trPr>
          <w:trHeight w:val="315"/>
        </w:trPr>
        <w:tc>
          <w:tcPr>
            <w:tcW w:w="85.05pt" w:type="dxa"/>
            <w:vMerge/>
            <w:vAlign w:val="center"/>
            <w:hideMark/>
          </w:tcPr>
          <w:p w:rsidR="00655060" w:rsidRPr="00611019" w:rsidRDefault="00655060" w:rsidP="00035D2C">
            <w:pPr>
              <w:spacing w:before="1pt" w:after="1pt"/>
              <w:rPr>
                <w:rFonts w:ascii="Century Gothic" w:hAnsi="Century Gothic" w:cs="Arial"/>
                <w:b/>
                <w:color w:val="000000"/>
                <w:sz w:val="20"/>
                <w:szCs w:val="20"/>
                <w:lang w:val="en-US"/>
              </w:rPr>
            </w:pPr>
          </w:p>
        </w:tc>
        <w:tc>
          <w:tcPr>
            <w:tcW w:w="396.95pt" w:type="dxa"/>
            <w:shd w:val="clear" w:color="auto" w:fill="auto"/>
            <w:noWrap/>
            <w:vAlign w:val="center"/>
            <w:hideMark/>
          </w:tcPr>
          <w:p w:rsidR="00655060" w:rsidRPr="00611019" w:rsidRDefault="00E56462" w:rsidP="00035D2C">
            <w:pPr>
              <w:spacing w:before="1pt" w:after="1pt"/>
              <w:rPr>
                <w:rFonts w:ascii="Century Gothic" w:hAnsi="Century Gothic" w:cs="Arial"/>
                <w:color w:val="000000"/>
                <w:sz w:val="20"/>
                <w:szCs w:val="20"/>
                <w:lang w:val="en-US"/>
              </w:rPr>
            </w:pPr>
            <w:r>
              <w:rPr>
                <w:rFonts w:ascii="Century Gothic" w:hAnsi="Century Gothic" w:cs="Arial"/>
                <w:color w:val="000000"/>
                <w:sz w:val="20"/>
                <w:szCs w:val="20"/>
                <w:lang w:val="en-US"/>
              </w:rPr>
              <w:t xml:space="preserve">ITU G.991.2 : Single-pair high-speed digital subscriber line (SHDSL) transceivers (2003-12) </w:t>
            </w:r>
          </w:p>
        </w:tc>
      </w:tr>
      <w:tr w:rsidR="0061711D" w:rsidRPr="00472B28" w:rsidTr="00447500">
        <w:trPr>
          <w:trHeight w:val="573"/>
        </w:trPr>
        <w:tc>
          <w:tcPr>
            <w:tcW w:w="85.05pt" w:type="dxa"/>
            <w:vMerge w:val="restart"/>
            <w:shd w:val="clear" w:color="auto" w:fill="auto"/>
            <w:noWrap/>
            <w:vAlign w:val="center"/>
            <w:hideMark/>
          </w:tcPr>
          <w:p w:rsidR="00655060" w:rsidRPr="00611019" w:rsidRDefault="00E56462" w:rsidP="00035D2C">
            <w:pPr>
              <w:spacing w:before="1pt" w:after="1pt"/>
              <w:jc w:val="center"/>
              <w:rPr>
                <w:rFonts w:ascii="Century Gothic" w:hAnsi="Century Gothic" w:cs="Arial"/>
                <w:b/>
                <w:color w:val="000000"/>
                <w:sz w:val="20"/>
                <w:szCs w:val="20"/>
              </w:rPr>
            </w:pPr>
            <w:r>
              <w:rPr>
                <w:rFonts w:ascii="Century Gothic" w:hAnsi="Century Gothic" w:cs="Arial"/>
                <w:b/>
                <w:color w:val="000000"/>
                <w:sz w:val="20"/>
                <w:szCs w:val="20"/>
                <w:lang w:val="en-US"/>
              </w:rPr>
              <w:t xml:space="preserve"> </w:t>
            </w:r>
            <w:r>
              <w:rPr>
                <w:rFonts w:ascii="Century Gothic" w:hAnsi="Century Gothic" w:cs="Arial"/>
                <w:b/>
                <w:color w:val="000000"/>
                <w:sz w:val="20"/>
                <w:szCs w:val="20"/>
              </w:rPr>
              <w:t xml:space="preserve">VDSL </w:t>
            </w:r>
          </w:p>
        </w:tc>
        <w:tc>
          <w:tcPr>
            <w:tcW w:w="396.95pt" w:type="dxa"/>
            <w:shd w:val="clear" w:color="auto" w:fill="auto"/>
            <w:noWrap/>
            <w:vAlign w:val="center"/>
            <w:hideMark/>
          </w:tcPr>
          <w:p w:rsidR="00655060" w:rsidRPr="00611019" w:rsidRDefault="00E56462" w:rsidP="00035D2C">
            <w:pPr>
              <w:spacing w:before="1pt" w:after="1pt"/>
              <w:rPr>
                <w:rFonts w:ascii="Century Gothic" w:hAnsi="Century Gothic" w:cs="Arial"/>
                <w:color w:val="000000"/>
                <w:sz w:val="20"/>
                <w:szCs w:val="20"/>
                <w:lang w:val="en-US"/>
              </w:rPr>
            </w:pPr>
            <w:r>
              <w:rPr>
                <w:rFonts w:ascii="Century Gothic" w:hAnsi="Century Gothic" w:cs="Arial"/>
                <w:color w:val="000000"/>
                <w:sz w:val="20"/>
                <w:szCs w:val="20"/>
                <w:lang w:val="en-US"/>
              </w:rPr>
              <w:t>ETSI TS 101 270-2 v1.2.1. “Access transmission systems on metallic access cables; Very high speed Digital Subscriber Line (VDSL); Part 2: Transceiver specification” (2003-07)).</w:t>
            </w:r>
          </w:p>
        </w:tc>
      </w:tr>
      <w:tr w:rsidR="0061711D" w:rsidRPr="00472B28" w:rsidTr="00447500">
        <w:trPr>
          <w:trHeight w:val="315"/>
        </w:trPr>
        <w:tc>
          <w:tcPr>
            <w:tcW w:w="85.05pt" w:type="dxa"/>
            <w:vMerge/>
            <w:vAlign w:val="center"/>
            <w:hideMark/>
          </w:tcPr>
          <w:p w:rsidR="00655060" w:rsidRPr="00611019" w:rsidRDefault="00655060" w:rsidP="00035D2C">
            <w:pPr>
              <w:spacing w:before="1pt" w:after="1pt"/>
              <w:rPr>
                <w:rFonts w:ascii="Century Gothic" w:hAnsi="Century Gothic" w:cs="Arial"/>
                <w:b/>
                <w:color w:val="000000"/>
                <w:sz w:val="20"/>
                <w:szCs w:val="20"/>
                <w:lang w:val="en-US"/>
              </w:rPr>
            </w:pPr>
          </w:p>
        </w:tc>
        <w:tc>
          <w:tcPr>
            <w:tcW w:w="396.95pt" w:type="dxa"/>
            <w:shd w:val="clear" w:color="auto" w:fill="auto"/>
            <w:noWrap/>
            <w:vAlign w:val="center"/>
            <w:hideMark/>
          </w:tcPr>
          <w:p w:rsidR="00655060" w:rsidRPr="00611019" w:rsidRDefault="00E56462" w:rsidP="00035D2C">
            <w:pPr>
              <w:spacing w:before="1pt" w:after="1pt"/>
              <w:rPr>
                <w:rFonts w:ascii="Century Gothic" w:hAnsi="Century Gothic" w:cs="Arial"/>
                <w:color w:val="000000"/>
                <w:sz w:val="20"/>
                <w:szCs w:val="20"/>
                <w:lang w:val="en-US"/>
              </w:rPr>
            </w:pPr>
            <w:r>
              <w:rPr>
                <w:rFonts w:ascii="Century Gothic" w:hAnsi="Century Gothic" w:cs="Arial"/>
                <w:color w:val="000000"/>
                <w:sz w:val="20"/>
                <w:szCs w:val="20"/>
                <w:lang w:val="en-US"/>
              </w:rPr>
              <w:t xml:space="preserve">ITU G.993.1. “Very high speed Digital Subscriber Line transceivers” (2004-06) </w:t>
            </w:r>
          </w:p>
        </w:tc>
      </w:tr>
      <w:tr w:rsidR="0061711D" w:rsidRPr="0031512C" w:rsidTr="00447500">
        <w:trPr>
          <w:trHeight w:val="525"/>
        </w:trPr>
        <w:tc>
          <w:tcPr>
            <w:tcW w:w="85.05pt" w:type="dxa"/>
            <w:vMerge w:val="restart"/>
            <w:shd w:val="clear" w:color="auto" w:fill="auto"/>
            <w:noWrap/>
            <w:vAlign w:val="center"/>
            <w:hideMark/>
          </w:tcPr>
          <w:p w:rsidR="00655060" w:rsidRPr="00611019" w:rsidRDefault="00E56462" w:rsidP="00035D2C">
            <w:pPr>
              <w:spacing w:before="1pt" w:after="1pt"/>
              <w:jc w:val="center"/>
              <w:rPr>
                <w:rFonts w:ascii="Century Gothic" w:hAnsi="Century Gothic" w:cs="Arial"/>
                <w:b/>
                <w:color w:val="000000"/>
                <w:sz w:val="20"/>
                <w:szCs w:val="20"/>
              </w:rPr>
            </w:pPr>
            <w:r>
              <w:rPr>
                <w:rFonts w:ascii="Century Gothic" w:hAnsi="Century Gothic" w:cs="Arial"/>
                <w:b/>
                <w:color w:val="000000"/>
                <w:sz w:val="20"/>
                <w:szCs w:val="20"/>
                <w:lang w:val="es-ES_tradnl"/>
              </w:rPr>
              <w:t xml:space="preserve">ADSL2 </w:t>
            </w:r>
          </w:p>
        </w:tc>
        <w:tc>
          <w:tcPr>
            <w:tcW w:w="396.95pt" w:type="dxa"/>
            <w:shd w:val="clear" w:color="auto" w:fill="auto"/>
            <w:noWrap/>
            <w:vAlign w:val="center"/>
            <w:hideMark/>
          </w:tcPr>
          <w:p w:rsidR="00655060" w:rsidRPr="00611019" w:rsidRDefault="00E56462" w:rsidP="00035D2C">
            <w:pPr>
              <w:spacing w:before="1pt" w:after="1pt"/>
              <w:rPr>
                <w:rFonts w:ascii="Century Gothic" w:hAnsi="Century Gothic" w:cs="Arial"/>
                <w:color w:val="000000"/>
                <w:sz w:val="20"/>
                <w:szCs w:val="20"/>
                <w:lang w:val="en-US"/>
              </w:rPr>
            </w:pPr>
            <w:r>
              <w:rPr>
                <w:rFonts w:ascii="Century Gothic" w:hAnsi="Century Gothic" w:cs="Arial"/>
                <w:color w:val="000000"/>
                <w:sz w:val="20"/>
                <w:szCs w:val="20"/>
                <w:lang w:val="en-US"/>
              </w:rPr>
              <w:t xml:space="preserve">ETSI TS 103 388 v1.1.1. “Access transmission systems on metallic access cables; Asymmetric Digital Subscriber Line (ADSL2) - European specific requirements; (ITU-T G.992.3 modified)” (2008-05) </w:t>
            </w:r>
          </w:p>
        </w:tc>
      </w:tr>
      <w:tr w:rsidR="0061711D" w:rsidRPr="0031512C" w:rsidTr="00447500">
        <w:trPr>
          <w:trHeight w:val="315"/>
        </w:trPr>
        <w:tc>
          <w:tcPr>
            <w:tcW w:w="85.05pt" w:type="dxa"/>
            <w:vMerge/>
            <w:vAlign w:val="center"/>
            <w:hideMark/>
          </w:tcPr>
          <w:p w:rsidR="00655060" w:rsidRPr="00611019" w:rsidRDefault="00655060" w:rsidP="00035D2C">
            <w:pPr>
              <w:spacing w:before="1pt" w:after="1pt"/>
              <w:rPr>
                <w:rFonts w:ascii="Century Gothic" w:hAnsi="Century Gothic" w:cs="Arial"/>
                <w:b/>
                <w:color w:val="000000"/>
                <w:sz w:val="20"/>
                <w:szCs w:val="20"/>
                <w:lang w:val="en-US"/>
              </w:rPr>
            </w:pPr>
          </w:p>
        </w:tc>
        <w:tc>
          <w:tcPr>
            <w:tcW w:w="396.95pt" w:type="dxa"/>
            <w:shd w:val="clear" w:color="auto" w:fill="auto"/>
            <w:noWrap/>
            <w:vAlign w:val="center"/>
            <w:hideMark/>
          </w:tcPr>
          <w:p w:rsidR="00655060" w:rsidRPr="00611019" w:rsidRDefault="00E56462" w:rsidP="00035D2C">
            <w:pPr>
              <w:spacing w:before="1pt" w:after="1pt"/>
              <w:rPr>
                <w:rFonts w:ascii="Century Gothic" w:hAnsi="Century Gothic" w:cs="Arial"/>
                <w:color w:val="000000"/>
                <w:sz w:val="20"/>
                <w:szCs w:val="20"/>
                <w:lang w:val="en-US"/>
              </w:rPr>
            </w:pPr>
            <w:r>
              <w:rPr>
                <w:rFonts w:ascii="Century Gothic" w:hAnsi="Century Gothic" w:cs="Arial"/>
                <w:color w:val="000000"/>
                <w:sz w:val="20"/>
                <w:szCs w:val="20"/>
                <w:lang w:val="en-US"/>
              </w:rPr>
              <w:t xml:space="preserve">ITU G.992.3 “Asymmetric Digital Subscriber Line transceivers-2 (ADSL2)” (2005-01). </w:t>
            </w:r>
          </w:p>
        </w:tc>
      </w:tr>
      <w:tr w:rsidR="0061711D" w:rsidRPr="0031512C" w:rsidTr="00447500">
        <w:trPr>
          <w:trHeight w:val="315"/>
        </w:trPr>
        <w:tc>
          <w:tcPr>
            <w:tcW w:w="85.05pt" w:type="dxa"/>
            <w:vMerge/>
            <w:vAlign w:val="center"/>
            <w:hideMark/>
          </w:tcPr>
          <w:p w:rsidR="00655060" w:rsidRPr="00611019" w:rsidRDefault="00655060" w:rsidP="00035D2C">
            <w:pPr>
              <w:spacing w:before="1pt" w:after="1pt"/>
              <w:rPr>
                <w:rFonts w:ascii="Century Gothic" w:hAnsi="Century Gothic" w:cs="Arial"/>
                <w:b/>
                <w:color w:val="000000"/>
                <w:sz w:val="20"/>
                <w:szCs w:val="20"/>
                <w:lang w:val="en-US"/>
              </w:rPr>
            </w:pPr>
          </w:p>
        </w:tc>
        <w:tc>
          <w:tcPr>
            <w:tcW w:w="396.95pt" w:type="dxa"/>
            <w:shd w:val="clear" w:color="auto" w:fill="auto"/>
            <w:noWrap/>
            <w:vAlign w:val="center"/>
            <w:hideMark/>
          </w:tcPr>
          <w:p w:rsidR="00655060" w:rsidRPr="00611019" w:rsidRDefault="00E56462" w:rsidP="00035D2C">
            <w:pPr>
              <w:spacing w:before="1pt" w:after="1pt"/>
              <w:rPr>
                <w:rFonts w:ascii="Century Gothic" w:hAnsi="Century Gothic" w:cs="Arial"/>
                <w:color w:val="000000"/>
                <w:sz w:val="20"/>
                <w:szCs w:val="20"/>
                <w:lang w:val="en-US"/>
              </w:rPr>
            </w:pPr>
            <w:r>
              <w:rPr>
                <w:rFonts w:ascii="Century Gothic" w:hAnsi="Century Gothic" w:cs="Arial"/>
                <w:color w:val="000000"/>
                <w:sz w:val="20"/>
                <w:szCs w:val="20"/>
                <w:lang w:val="en-US"/>
              </w:rPr>
              <w:t xml:space="preserve">ITU G.992.4 “Splitterless Asymmetric Digital Subscriber Line transceivers-2 (splitterless ADSL2)” (2005-01) </w:t>
            </w:r>
          </w:p>
        </w:tc>
      </w:tr>
      <w:tr w:rsidR="0061711D" w:rsidRPr="0031512C" w:rsidTr="00447500">
        <w:trPr>
          <w:trHeight w:val="525"/>
        </w:trPr>
        <w:tc>
          <w:tcPr>
            <w:tcW w:w="85.05pt" w:type="dxa"/>
            <w:vMerge w:val="restart"/>
            <w:shd w:val="clear" w:color="auto" w:fill="auto"/>
            <w:noWrap/>
            <w:vAlign w:val="center"/>
            <w:hideMark/>
          </w:tcPr>
          <w:p w:rsidR="00655060" w:rsidRPr="00611019" w:rsidRDefault="00E56462" w:rsidP="00035D2C">
            <w:pPr>
              <w:spacing w:before="1pt" w:after="1pt"/>
              <w:jc w:val="center"/>
              <w:rPr>
                <w:rFonts w:ascii="Century Gothic" w:hAnsi="Century Gothic" w:cs="Arial"/>
                <w:b/>
                <w:color w:val="000000"/>
                <w:sz w:val="20"/>
                <w:szCs w:val="20"/>
              </w:rPr>
            </w:pPr>
            <w:r>
              <w:rPr>
                <w:rFonts w:ascii="Century Gothic" w:hAnsi="Century Gothic" w:cs="Arial"/>
                <w:b/>
                <w:color w:val="000000"/>
                <w:sz w:val="20"/>
                <w:szCs w:val="20"/>
                <w:lang w:val="es-ES_tradnl"/>
              </w:rPr>
              <w:lastRenderedPageBreak/>
              <w:t xml:space="preserve">ADSL2+ </w:t>
            </w:r>
          </w:p>
        </w:tc>
        <w:tc>
          <w:tcPr>
            <w:tcW w:w="396.95pt" w:type="dxa"/>
            <w:shd w:val="clear" w:color="auto" w:fill="auto"/>
            <w:noWrap/>
            <w:vAlign w:val="center"/>
            <w:hideMark/>
          </w:tcPr>
          <w:p w:rsidR="00655060" w:rsidRPr="00611019" w:rsidRDefault="00E56462" w:rsidP="00035D2C">
            <w:pPr>
              <w:spacing w:before="1pt" w:after="1pt"/>
              <w:rPr>
                <w:rFonts w:ascii="Century Gothic" w:hAnsi="Century Gothic" w:cs="Arial"/>
                <w:color w:val="000000"/>
                <w:sz w:val="20"/>
                <w:szCs w:val="20"/>
                <w:lang w:val="en-US"/>
              </w:rPr>
            </w:pPr>
            <w:r>
              <w:rPr>
                <w:rFonts w:ascii="Century Gothic" w:hAnsi="Century Gothic" w:cs="Arial"/>
                <w:color w:val="000000"/>
                <w:sz w:val="20"/>
                <w:szCs w:val="20"/>
                <w:lang w:val="en-US"/>
              </w:rPr>
              <w:t xml:space="preserve">ETSI TS 105 388 v1.1.1. “Access transmission systems on metallic access cables; Asymmetric Digital Subscriber Line (ADSL2plus) - European specific requirements; (ITU-T G.992.5 modified)” (2008-04) </w:t>
            </w:r>
          </w:p>
        </w:tc>
      </w:tr>
      <w:tr w:rsidR="0061711D" w:rsidRPr="00472B28" w:rsidTr="00447500">
        <w:trPr>
          <w:trHeight w:val="315"/>
        </w:trPr>
        <w:tc>
          <w:tcPr>
            <w:tcW w:w="85.05pt" w:type="dxa"/>
            <w:vMerge/>
            <w:vAlign w:val="center"/>
            <w:hideMark/>
          </w:tcPr>
          <w:p w:rsidR="00655060" w:rsidRPr="00611019" w:rsidRDefault="00655060" w:rsidP="00035D2C">
            <w:pPr>
              <w:spacing w:before="1pt" w:after="1pt"/>
              <w:rPr>
                <w:rFonts w:ascii="Century Gothic" w:hAnsi="Century Gothic" w:cs="Arial"/>
                <w:b/>
                <w:color w:val="000000"/>
                <w:sz w:val="20"/>
                <w:szCs w:val="20"/>
                <w:lang w:val="en-US"/>
              </w:rPr>
            </w:pPr>
          </w:p>
        </w:tc>
        <w:tc>
          <w:tcPr>
            <w:tcW w:w="396.95pt" w:type="dxa"/>
            <w:shd w:val="clear" w:color="auto" w:fill="auto"/>
            <w:noWrap/>
            <w:vAlign w:val="center"/>
            <w:hideMark/>
          </w:tcPr>
          <w:p w:rsidR="00655060" w:rsidRPr="00611019" w:rsidRDefault="00E56462" w:rsidP="00035D2C">
            <w:pPr>
              <w:spacing w:before="1pt" w:after="1pt"/>
              <w:rPr>
                <w:rFonts w:ascii="Century Gothic" w:hAnsi="Century Gothic" w:cs="Arial"/>
                <w:color w:val="000000"/>
                <w:sz w:val="20"/>
                <w:szCs w:val="20"/>
                <w:lang w:val="en-US"/>
              </w:rPr>
            </w:pPr>
            <w:r>
              <w:rPr>
                <w:rFonts w:ascii="Century Gothic" w:hAnsi="Century Gothic" w:cs="Arial"/>
                <w:color w:val="000000"/>
                <w:sz w:val="20"/>
                <w:szCs w:val="20"/>
                <w:lang w:val="en-US"/>
              </w:rPr>
              <w:t xml:space="preserve">ITU G.992.5 “Asymmetric Digital Subscriber Line transceivers Extended bandwidth ADSL2 (ADSL2+)” (2005-01). </w:t>
            </w:r>
          </w:p>
        </w:tc>
      </w:tr>
      <w:tr w:rsidR="0061711D" w:rsidTr="00447500">
        <w:trPr>
          <w:trHeight w:val="525"/>
        </w:trPr>
        <w:tc>
          <w:tcPr>
            <w:tcW w:w="85.05pt" w:type="dxa"/>
            <w:vMerge/>
            <w:vAlign w:val="center"/>
            <w:hideMark/>
          </w:tcPr>
          <w:p w:rsidR="00655060" w:rsidRPr="00611019" w:rsidRDefault="00655060" w:rsidP="00035D2C">
            <w:pPr>
              <w:spacing w:before="1pt" w:after="1pt"/>
              <w:rPr>
                <w:rFonts w:ascii="Century Gothic" w:hAnsi="Century Gothic" w:cs="Arial"/>
                <w:b/>
                <w:color w:val="000000"/>
                <w:sz w:val="20"/>
                <w:szCs w:val="20"/>
                <w:lang w:val="en-US"/>
              </w:rPr>
            </w:pPr>
          </w:p>
        </w:tc>
        <w:tc>
          <w:tcPr>
            <w:tcW w:w="396.95pt" w:type="dxa"/>
            <w:shd w:val="clear" w:color="auto" w:fill="auto"/>
            <w:noWrap/>
            <w:vAlign w:val="center"/>
            <w:hideMark/>
          </w:tcPr>
          <w:p w:rsidR="00655060" w:rsidRPr="00611019" w:rsidRDefault="00E56462" w:rsidP="00035D2C">
            <w:pPr>
              <w:spacing w:before="1pt" w:after="1pt"/>
              <w:rPr>
                <w:rFonts w:ascii="Century Gothic" w:hAnsi="Century Gothic" w:cs="Arial"/>
                <w:color w:val="000000"/>
                <w:sz w:val="20"/>
                <w:szCs w:val="20"/>
              </w:rPr>
            </w:pPr>
            <w:r>
              <w:rPr>
                <w:rFonts w:ascii="Century Gothic" w:hAnsi="Century Gothic" w:cs="Arial"/>
                <w:color w:val="000000"/>
                <w:sz w:val="20"/>
                <w:szCs w:val="20"/>
                <w:lang w:val="es-ES_tradnl"/>
              </w:rPr>
              <w:t xml:space="preserve">ITE-BA-011 “Interfaz de Línea para el Acceso al Bucle de Abonado con Tecnologías ADSL2+ con filtrado distribuido” </w:t>
            </w:r>
          </w:p>
        </w:tc>
      </w:tr>
      <w:tr w:rsidR="0061711D" w:rsidRPr="00472B28" w:rsidTr="00447500">
        <w:trPr>
          <w:trHeight w:val="315"/>
        </w:trPr>
        <w:tc>
          <w:tcPr>
            <w:tcW w:w="85.05pt" w:type="dxa"/>
            <w:vMerge w:val="restart"/>
            <w:shd w:val="clear" w:color="auto" w:fill="auto"/>
            <w:noWrap/>
            <w:vAlign w:val="center"/>
            <w:hideMark/>
          </w:tcPr>
          <w:p w:rsidR="00655060" w:rsidRPr="00611019" w:rsidRDefault="00E56462" w:rsidP="00035D2C">
            <w:pPr>
              <w:spacing w:before="1pt" w:after="1pt"/>
              <w:jc w:val="center"/>
              <w:rPr>
                <w:rFonts w:ascii="Century Gothic" w:hAnsi="Century Gothic" w:cs="Arial"/>
                <w:b/>
                <w:color w:val="000000"/>
                <w:sz w:val="20"/>
                <w:szCs w:val="20"/>
              </w:rPr>
            </w:pPr>
            <w:r>
              <w:rPr>
                <w:rFonts w:ascii="Century Gothic" w:hAnsi="Century Gothic" w:cs="Arial"/>
                <w:b/>
                <w:color w:val="000000"/>
                <w:sz w:val="20"/>
                <w:szCs w:val="20"/>
                <w:lang w:val="es-ES_tradnl"/>
              </w:rPr>
              <w:t xml:space="preserve">VDSL2  </w:t>
            </w:r>
          </w:p>
        </w:tc>
        <w:tc>
          <w:tcPr>
            <w:tcW w:w="396.95pt" w:type="dxa"/>
            <w:shd w:val="clear" w:color="auto" w:fill="auto"/>
            <w:noWrap/>
            <w:vAlign w:val="center"/>
            <w:hideMark/>
          </w:tcPr>
          <w:p w:rsidR="00655060" w:rsidRPr="00611019" w:rsidRDefault="00E56462" w:rsidP="00035D2C">
            <w:pPr>
              <w:spacing w:before="1pt" w:after="1pt"/>
              <w:rPr>
                <w:rFonts w:ascii="Century Gothic" w:hAnsi="Century Gothic" w:cs="Arial"/>
                <w:color w:val="000000"/>
                <w:sz w:val="20"/>
                <w:szCs w:val="20"/>
                <w:lang w:val="en-US"/>
              </w:rPr>
            </w:pPr>
            <w:r>
              <w:rPr>
                <w:rFonts w:ascii="Century Gothic" w:hAnsi="Century Gothic" w:cs="Arial"/>
                <w:color w:val="000000"/>
                <w:sz w:val="20"/>
                <w:szCs w:val="20"/>
                <w:lang w:val="en-US"/>
              </w:rPr>
              <w:t xml:space="preserve">ITU G.993.2 “Very high speed Digital Subscriber Line 2” (2006-02). </w:t>
            </w:r>
          </w:p>
        </w:tc>
      </w:tr>
      <w:tr w:rsidR="0061711D" w:rsidTr="00447500">
        <w:trPr>
          <w:trHeight w:val="525"/>
        </w:trPr>
        <w:tc>
          <w:tcPr>
            <w:tcW w:w="85.05pt" w:type="dxa"/>
            <w:vMerge/>
            <w:vAlign w:val="center"/>
            <w:hideMark/>
          </w:tcPr>
          <w:p w:rsidR="00655060" w:rsidRPr="00611019" w:rsidRDefault="00655060" w:rsidP="00035D2C">
            <w:pPr>
              <w:spacing w:before="1pt" w:after="1pt"/>
              <w:rPr>
                <w:rFonts w:ascii="Century Gothic" w:hAnsi="Century Gothic" w:cs="Arial"/>
                <w:b/>
                <w:color w:val="000000"/>
                <w:sz w:val="20"/>
                <w:szCs w:val="20"/>
                <w:lang w:val="en-US"/>
              </w:rPr>
            </w:pPr>
          </w:p>
        </w:tc>
        <w:tc>
          <w:tcPr>
            <w:tcW w:w="396.95pt" w:type="dxa"/>
            <w:shd w:val="clear" w:color="auto" w:fill="auto"/>
            <w:noWrap/>
            <w:vAlign w:val="center"/>
            <w:hideMark/>
          </w:tcPr>
          <w:p w:rsidR="00655060" w:rsidRPr="00611019" w:rsidRDefault="00E56462" w:rsidP="00035D2C">
            <w:pPr>
              <w:spacing w:before="1pt" w:after="1pt"/>
              <w:rPr>
                <w:rFonts w:ascii="Century Gothic" w:hAnsi="Century Gothic" w:cs="Arial"/>
                <w:color w:val="000000"/>
                <w:sz w:val="20"/>
                <w:szCs w:val="20"/>
              </w:rPr>
            </w:pPr>
            <w:r>
              <w:rPr>
                <w:rFonts w:ascii="Century Gothic" w:hAnsi="Century Gothic" w:cs="Arial"/>
                <w:color w:val="000000"/>
                <w:sz w:val="20"/>
                <w:szCs w:val="20"/>
                <w:lang w:val="es-ES_tradnl"/>
              </w:rPr>
              <w:t xml:space="preserve">Especificación Técnica de la Interfaz ofrecida por Telefónica de España S.A.U. ITE-BA-019 “Interfaz de Línea para el Acceso al Bucle de Abonado con Tecnologías VDSL2 UIT-T G.993.2” </w:t>
            </w:r>
          </w:p>
        </w:tc>
      </w:tr>
    </w:tbl>
    <w:p w:rsidR="00043195" w:rsidRPr="00F56287" w:rsidRDefault="00043195" w:rsidP="00035D2C">
      <w:pPr>
        <w:pStyle w:val="CondicionesFinales"/>
        <w:ind w:end="0pt"/>
        <w:rPr>
          <w:rFonts w:ascii="Century Gothic" w:hAnsi="Century Gothic"/>
          <w:sz w:val="8"/>
        </w:rPr>
      </w:pPr>
    </w:p>
    <w:p w:rsidR="00655060" w:rsidRPr="00611019" w:rsidRDefault="00E56462" w:rsidP="00035D2C">
      <w:pPr>
        <w:pStyle w:val="CondicionesFinales"/>
        <w:ind w:start="0pt" w:end="0pt"/>
        <w:rPr>
          <w:rFonts w:ascii="Century Gothic" w:hAnsi="Century Gothic"/>
          <w:sz w:val="18"/>
        </w:rPr>
      </w:pPr>
      <w:r>
        <w:rPr>
          <w:rFonts w:ascii="Century Gothic" w:hAnsi="Century Gothic"/>
          <w:sz w:val="18"/>
        </w:rPr>
        <w:t xml:space="preserve">Nota: Todas las normativas o Recomendaciones arriba señaladas podrán sustituirse por versiones actualizadas, autorizadas y vigentes. </w:t>
      </w:r>
    </w:p>
    <w:p w:rsidR="00655060" w:rsidRPr="00611019" w:rsidRDefault="00655060" w:rsidP="00035D2C">
      <w:pPr>
        <w:pStyle w:val="IFTnormal"/>
        <w:rPr>
          <w:rFonts w:ascii="Century Gothic" w:hAnsi="Century Gothic"/>
          <w:b/>
        </w:rPr>
      </w:pPr>
    </w:p>
    <w:p w:rsidR="00C14068" w:rsidRPr="00611019" w:rsidRDefault="00E56462" w:rsidP="00035D2C">
      <w:pPr>
        <w:pStyle w:val="IFTnormal"/>
        <w:rPr>
          <w:rFonts w:ascii="Century Gothic" w:hAnsi="Century Gothic"/>
          <w:lang w:val="en-US"/>
        </w:rPr>
      </w:pPr>
      <w:r>
        <w:rPr>
          <w:rFonts w:ascii="Century Gothic" w:hAnsi="Century Gothic"/>
          <w:b/>
          <w:lang w:val="en-US"/>
        </w:rPr>
        <w:t>Otros</w:t>
      </w:r>
    </w:p>
    <w:p w:rsidR="00655060" w:rsidRPr="00611019" w:rsidRDefault="00E56462" w:rsidP="00035D2C">
      <w:pPr>
        <w:pStyle w:val="IFTnormal"/>
        <w:spacing w:after="3pt"/>
        <w:rPr>
          <w:rFonts w:ascii="Century Gothic" w:hAnsi="Century Gothic"/>
          <w:lang w:val="en-US"/>
        </w:rPr>
      </w:pPr>
      <w:r>
        <w:rPr>
          <w:rFonts w:ascii="Century Gothic" w:hAnsi="Century Gothic"/>
          <w:lang w:val="en-US"/>
        </w:rPr>
        <w:t>CENELEC EN 0-1: "Information technology equipment - Safety - Part 1: General Requirements".</w:t>
      </w:r>
    </w:p>
    <w:p w:rsidR="00655060" w:rsidRPr="00611019" w:rsidRDefault="00E56462" w:rsidP="00035D2C">
      <w:pPr>
        <w:pStyle w:val="IFTnormal"/>
        <w:spacing w:after="3pt"/>
        <w:rPr>
          <w:rFonts w:ascii="Century Gothic" w:hAnsi="Century Gothic"/>
          <w:lang w:val="en-US"/>
        </w:rPr>
      </w:pPr>
      <w:r>
        <w:rPr>
          <w:rFonts w:ascii="Century Gothic" w:hAnsi="Century Gothic"/>
          <w:lang w:val="en-US"/>
        </w:rPr>
        <w:t>CENELEC EN 0-21: "Information technology equipment - Safety - Part 21: Remote Power Feeding".</w:t>
      </w:r>
    </w:p>
    <w:p w:rsidR="00655060" w:rsidRPr="00611019" w:rsidRDefault="00E56462" w:rsidP="00035D2C">
      <w:pPr>
        <w:pStyle w:val="IFTnormal"/>
        <w:spacing w:after="3pt"/>
        <w:rPr>
          <w:rFonts w:ascii="Century Gothic" w:hAnsi="Century Gothic"/>
          <w:lang w:val="en-US"/>
        </w:rPr>
      </w:pPr>
      <w:r>
        <w:rPr>
          <w:rFonts w:ascii="Century Gothic" w:hAnsi="Century Gothic"/>
          <w:lang w:val="en-US"/>
        </w:rPr>
        <w:t>CENELEC CLC/prTR 2: "Electrical safety - Classification of interfaces for equipment to be connected to information and communications technology networks".</w:t>
      </w:r>
    </w:p>
    <w:p w:rsidR="00123BE7" w:rsidRPr="00611019" w:rsidRDefault="00E56462" w:rsidP="00035D2C">
      <w:pPr>
        <w:pStyle w:val="IFTnormal"/>
        <w:spacing w:after="3pt"/>
        <w:rPr>
          <w:rFonts w:ascii="Century Gothic" w:hAnsi="Century Gothic"/>
          <w:lang w:val="en-US"/>
        </w:rPr>
      </w:pPr>
      <w:r>
        <w:rPr>
          <w:rFonts w:ascii="Century Gothic" w:hAnsi="Century Gothic"/>
          <w:lang w:val="en-US"/>
        </w:rPr>
        <w:t>CENELEC CLC/prTS 7: "Safety aspects for xDSL signals on circuits connected to telecommunication networks (DSL: Digital Subscriber Line)".</w:t>
      </w:r>
    </w:p>
    <w:p w:rsidR="00123BE7" w:rsidRPr="00611019" w:rsidRDefault="00123BE7" w:rsidP="00035D2C">
      <w:pPr>
        <w:pStyle w:val="IFTnormal"/>
        <w:rPr>
          <w:rFonts w:ascii="Century Gothic" w:hAnsi="Century Gothic"/>
          <w:lang w:val="en-US"/>
        </w:rPr>
        <w:sectPr w:rsidR="00123BE7" w:rsidRPr="00611019" w:rsidSect="00DC7F25">
          <w:headerReference w:type="even" r:id="rId65"/>
          <w:headerReference w:type="default" r:id="rId66"/>
          <w:headerReference w:type="first" r:id="rId67"/>
          <w:type w:val="continuous"/>
          <w:pgSz w:w="612pt" w:h="792pt"/>
          <w:pgMar w:top="70.90pt" w:right="70.90pt" w:bottom="70.90pt" w:left="70.90pt" w:header="35.45pt" w:footer="35.45pt" w:gutter="0pt"/>
          <w:cols w:space="35.40pt"/>
          <w:titlePg/>
          <w:docGrid w:linePitch="360"/>
        </w:sectPr>
      </w:pPr>
    </w:p>
    <w:p w:rsidR="0028714F" w:rsidRPr="00611019" w:rsidRDefault="0028714F" w:rsidP="00035D2C">
      <w:pPr>
        <w:pStyle w:val="IFTnormal"/>
        <w:ind w:start="36pt" w:hanging="18pt"/>
        <w:rPr>
          <w:rFonts w:ascii="Century Gothic" w:hAnsi="Century Gothic"/>
          <w:lang w:val="en-US"/>
        </w:rPr>
      </w:pPr>
    </w:p>
    <w:p w:rsidR="0028714F" w:rsidRPr="00611019" w:rsidRDefault="00E56462" w:rsidP="00035D2C">
      <w:pPr>
        <w:pStyle w:val="Texto1"/>
        <w:spacing w:after="10pt" w:line="13.80pt" w:lineRule="auto"/>
        <w:rPr>
          <w:rFonts w:ascii="Century Gothic" w:hAnsi="Century Gothic" w:cs="Arial"/>
          <w:b/>
        </w:rPr>
      </w:pPr>
      <w:r>
        <w:rPr>
          <w:rFonts w:ascii="Century Gothic" w:hAnsi="Century Gothic" w:cs="Arial"/>
          <w:noProof/>
          <w:lang w:val="es-MX" w:eastAsia="es-MX"/>
        </w:rPr>
        <w:drawing>
          <wp:inline distT="0" distB="0" distL="0" distR="0" wp14:anchorId="0E798E3E" wp14:editId="6852A0F6">
            <wp:extent cx="5678303" cy="7528387"/>
            <wp:effectExtent l="38100" t="38100" r="36830" b="34925"/>
            <wp:docPr id="450" name="Rectángulo: esquinas redondeadas 9"/>
            <wp:cNvGraphicFramePr/>
            <a:graphic xmlns:a="http://purl.oclc.org/ooxml/drawingml/main">
              <a:graphicData uri="http://schemas.microsoft.com/office/word/2010/wordprocessingShape">
                <wp:wsp>
                  <wp:cNvSpPr/>
                  <wp:spPr>
                    <a:xfrm>
                      <a:off x="0" y="0"/>
                      <a:ext cx="5678303" cy="7528387"/>
                    </a:xfrm>
                    <a:prstGeom prst="roundRect">
                      <a:avLst>
                        <a:gd name="adj" fmla="val 6030"/>
                      </a:avLst>
                    </a:prstGeom>
                    <a:noFill/>
                    <a:ln w="76200">
                      <a:solidFill>
                        <a:srgbClr val="009AD9"/>
                      </a:solidFill>
                      <a:prstDash val="solid"/>
                      <a:miter lim="800%"/>
                    </a:ln>
                    <a:effectLst/>
                  </wp:spPr>
                  <wp:txbx>
                    <wne:txbxContent>
                      <w:p w:rsidR="000511F0" w:rsidRDefault="000511F0" w:rsidP="0028714F">
                        <w:pPr>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0CC4B5C2" wp14:editId="717D8740">
                              <wp:extent cx="2552700" cy="1438275"/>
                              <wp:effectExtent l="0" t="0" r="0" b="9525"/>
                              <wp:docPr id="24" name="Imagen 24"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619"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rsidR="000511F0" w:rsidRDefault="000511F0" w:rsidP="0028714F">
                        <w:pPr>
                          <w:jc w:val="center"/>
                          <w:rPr>
                            <w:rFonts w:ascii="Century Gothic" w:hAnsi="Century Gothic" w:cs="Arial"/>
                            <w:b/>
                            <w:noProof/>
                            <w:color w:val="000000"/>
                            <w:sz w:val="26"/>
                            <w:szCs w:val="26"/>
                            <w:lang w:eastAsia="es-MX"/>
                          </w:rPr>
                        </w:pPr>
                      </w:p>
                      <w:p w:rsidR="000511F0" w:rsidRDefault="000511F0" w:rsidP="0028714F">
                        <w:pPr>
                          <w:jc w:val="center"/>
                        </w:pPr>
                      </w:p>
                      <w:p w:rsidR="000511F0" w:rsidRDefault="000511F0" w:rsidP="0028714F">
                        <w:pPr>
                          <w:pStyle w:val="Ttulo1"/>
                          <w:jc w:val="center"/>
                          <w:rPr>
                            <w:rFonts w:ascii="Century Gothic" w:hAnsi="Century Gothic"/>
                            <w:sz w:val="24"/>
                            <w:szCs w:val="24"/>
                            <w:u w:val="single"/>
                          </w:rPr>
                        </w:pPr>
                        <w:bookmarkStart w:id="2734" w:name="_Toc92974165"/>
                        <w:bookmarkStart w:id="2735" w:name="_Toc93052476"/>
                        <w:bookmarkStart w:id="2736" w:name="_Toc93056431"/>
                        <w:bookmarkStart w:id="2737" w:name="_Toc125393495"/>
                        <w:bookmarkStart w:id="2738" w:name="_Toc128478019"/>
                        <w:bookmarkStart w:id="2739" w:name="_Toc148692370"/>
                        <w:bookmarkStart w:id="2740" w:name="_Toc148702350"/>
                        <w:bookmarkStart w:id="2741" w:name="_Toc149644461"/>
                        <w:bookmarkStart w:id="2742" w:name="_Toc149644746"/>
                        <w:bookmarkStart w:id="2743" w:name="_Toc149645051"/>
                        <w:bookmarkStart w:id="2744" w:name="_Toc170380245"/>
                        <w:bookmarkStart w:id="2745" w:name="_Toc170380646"/>
                        <w:bookmarkStart w:id="2746" w:name="_Toc170381180"/>
                        <w:bookmarkStart w:id="2747" w:name="_Toc170381964"/>
                        <w:r>
                          <w:rPr>
                            <w:rFonts w:ascii="Century Gothic" w:hAnsi="Century Gothic"/>
                            <w:sz w:val="24"/>
                            <w:szCs w:val="24"/>
                            <w:u w:val="single"/>
                          </w:rPr>
                          <w:t>ANEXO E</w:t>
                        </w:r>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p>
                      <w:p w:rsidR="000511F0" w:rsidRDefault="000511F0" w:rsidP="0028714F">
                        <w:pPr>
                          <w:rPr>
                            <w:lang w:val="es-ES" w:eastAsia="es-ES"/>
                          </w:rPr>
                        </w:pPr>
                      </w:p>
                      <w:p w:rsidR="000511F0" w:rsidRDefault="000511F0" w:rsidP="0028714F">
                        <w:pPr>
                          <w:rPr>
                            <w:lang w:val="es-ES" w:eastAsia="es-ES"/>
                          </w:rPr>
                        </w:pPr>
                      </w:p>
                      <w:p w:rsidR="000511F0" w:rsidRPr="006B0514" w:rsidRDefault="000511F0" w:rsidP="0028714F">
                        <w:pPr>
                          <w:rPr>
                            <w:lang w:val="es-ES" w:eastAsia="es-ES"/>
                          </w:rPr>
                        </w:pPr>
                        <w:r>
                          <w:rPr>
                            <w:rFonts w:ascii="Century Gothic" w:eastAsia="Calibri" w:hAnsi="Century Gothic" w:cs="Arial"/>
                            <w:b/>
                            <w:sz w:val="26"/>
                            <w:szCs w:val="26"/>
                            <w:lang w:val="es-ES" w:eastAsia="es-ES"/>
                          </w:rPr>
                          <w:t>Normatividad para Acceso de los CS a las Centrales Telefónicas</w:t>
                        </w:r>
                      </w:p>
                      <w:p w:rsidR="000511F0" w:rsidRDefault="000511F0" w:rsidP="00414BEA">
                        <w:pPr>
                          <w:rPr>
                            <w:lang w:val="es-ES" w:eastAsia="es-ES"/>
                          </w:rPr>
                        </w:pPr>
                      </w:p>
                      <w:p w:rsidR="000511F0" w:rsidRPr="006B0514" w:rsidRDefault="000511F0" w:rsidP="00414BEA">
                        <w:pPr>
                          <w:rPr>
                            <w:lang w:val="es-ES" w:eastAsia="es-ES"/>
                          </w:rPr>
                        </w:pPr>
                      </w:p>
                      <w:p w:rsidR="000511F0" w:rsidRPr="008A6791" w:rsidRDefault="000511F0" w:rsidP="00414BEA">
                        <w:pPr>
                          <w:jc w:val="center"/>
                          <w:rPr>
                            <w:rFonts w:ascii="Century Gothic" w:hAnsi="Century Gothic"/>
                            <w:b/>
                            <w:sz w:val="24"/>
                            <w:szCs w:val="24"/>
                          </w:rPr>
                        </w:pPr>
                        <w:r>
                          <w:rPr>
                            <w:rFonts w:ascii="Century Gothic" w:hAnsi="Century Gothic"/>
                            <w:b/>
                            <w:sz w:val="24"/>
                            <w:szCs w:val="24"/>
                          </w:rPr>
                          <w:t>Red Nacional Última Milla, S.A.P.I. de C.V.</w:t>
                        </w:r>
                      </w:p>
                      <w:p w:rsidR="000511F0" w:rsidRPr="00414BEA" w:rsidRDefault="000511F0" w:rsidP="00414BEA">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Pr="008A6791" w:rsidRDefault="000511F0" w:rsidP="00414BEA">
                        <w:pPr>
                          <w:jc w:val="center"/>
                          <w:rPr>
                            <w:rFonts w:ascii="Century Gothic" w:hAnsi="Century Gothic"/>
                            <w:b/>
                            <w:bCs/>
                            <w:sz w:val="24"/>
                            <w:szCs w:val="24"/>
                          </w:rPr>
                        </w:pPr>
                      </w:p>
                      <w:p w:rsidR="000511F0" w:rsidRPr="008A6791" w:rsidRDefault="000511F0" w:rsidP="00414BEA">
                        <w:pPr>
                          <w:jc w:val="center"/>
                          <w:rPr>
                            <w:rFonts w:ascii="Century Gothic" w:hAnsi="Century Gothic"/>
                            <w:b/>
                            <w:sz w:val="24"/>
                            <w:szCs w:val="24"/>
                          </w:rPr>
                        </w:pPr>
                        <w:r>
                          <w:rPr>
                            <w:rFonts w:ascii="Century Gothic" w:hAnsi="Century Gothic"/>
                            <w:b/>
                            <w:sz w:val="24"/>
                            <w:szCs w:val="24"/>
                          </w:rPr>
                          <w:t>2026</w:t>
                        </w: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Default="000511F0" w:rsidP="00414BEA">
                        <w:pPr>
                          <w:spacing w:line="18pt" w:lineRule="auto"/>
                          <w:jc w:val="center"/>
                          <w:rPr>
                            <w:rFonts w:ascii="Century Gothic" w:hAnsi="Century Gothic" w:cs="Arial"/>
                            <w:b/>
                            <w:sz w:val="24"/>
                            <w:szCs w:val="24"/>
                            <w:lang w:val="es-ES"/>
                          </w:rPr>
                        </w:pPr>
                      </w:p>
                      <w:p w:rsidR="000511F0" w:rsidRPr="002258A2" w:rsidRDefault="000511F0" w:rsidP="00414BEA">
                        <w:pPr>
                          <w:spacing w:line="18pt" w:lineRule="auto"/>
                          <w:jc w:val="center"/>
                          <w:rPr>
                            <w:rFonts w:ascii="Century Gothic" w:hAnsi="Century Gothic" w:cs="Arial"/>
                            <w:b/>
                            <w:sz w:val="24"/>
                            <w:szCs w:val="24"/>
                            <w:lang w:val="es-ES"/>
                          </w:rPr>
                        </w:pPr>
                      </w:p>
                      <w:p w:rsidR="000511F0" w:rsidRPr="002258A2" w:rsidRDefault="000511F0" w:rsidP="00414BEA">
                        <w:pPr>
                          <w:jc w:val="center"/>
                          <w:rPr>
                            <w:rFonts w:ascii="Century Gothic" w:hAnsi="Century Gothic" w:cs="Arial"/>
                            <w:b/>
                            <w:sz w:val="24"/>
                            <w:szCs w:val="24"/>
                            <w:lang w:val="es-ES"/>
                          </w:rPr>
                        </w:pPr>
                      </w:p>
                    </wne:txbxContent>
                  </wp:txbx>
                  <wp:bodyPr rot="0" spcFirstLastPara="0" vertOverflow="overflow" horzOverflow="overflow" vert="horz" wrap="square" lIns="91440" tIns="45720" rIns="91440" bIns="45720" numCol="1" spcCol="0" rtlCol="0" fromWordArt="0" anchor="ctr" anchorCtr="0" forceAA="0" compatLnSpc="1">
                    <a:prstTxWarp prst="textNoShape">
                      <a:avLst/>
                    </a:prstTxWarp>
                  </wp:bodyPr>
                </wp:wsp>
              </a:graphicData>
            </a:graphic>
          </wp:inline>
        </w:drawing>
      </w:r>
    </w:p>
    <w:p w:rsidR="0028714F" w:rsidRPr="00611019" w:rsidRDefault="0028714F" w:rsidP="00035D2C">
      <w:pPr>
        <w:spacing w:after="8pt"/>
        <w:rPr>
          <w:rFonts w:ascii="Century Gothic" w:eastAsia="Calibri" w:hAnsi="Century Gothic" w:cs="Arial"/>
          <w:color w:val="000000"/>
          <w:lang w:val="es-ES_tradnl" w:eastAsia="es-ES"/>
        </w:rPr>
      </w:pPr>
    </w:p>
    <w:p w:rsidR="0028714F" w:rsidRPr="00611019" w:rsidRDefault="0028714F" w:rsidP="00035D2C">
      <w:pPr>
        <w:spacing w:after="8pt"/>
        <w:rPr>
          <w:rFonts w:ascii="Century Gothic" w:eastAsia="Calibri" w:hAnsi="Century Gothic" w:cs="Arial"/>
          <w:color w:val="000000"/>
          <w:lang w:val="es-ES_tradnl" w:eastAsia="es-ES"/>
        </w:rPr>
        <w:sectPr w:rsidR="0028714F" w:rsidRPr="00611019" w:rsidSect="0041396D">
          <w:headerReference w:type="default" r:id="rId68"/>
          <w:headerReference w:type="first" r:id="rId69"/>
          <w:footnotePr>
            <w:numRestart w:val="eachSect"/>
          </w:footnotePr>
          <w:type w:val="oddPage"/>
          <w:pgSz w:w="612pt" w:h="792pt"/>
          <w:pgMar w:top="70.90pt" w:right="70.90pt" w:bottom="70.90pt" w:left="70.90pt" w:header="42.55pt" w:footer="36.85pt" w:gutter="0pt"/>
          <w:cols w:space="35.40pt"/>
          <w:titlePg/>
          <w:docGrid w:linePitch="360"/>
        </w:sectPr>
      </w:pPr>
    </w:p>
    <w:p w:rsidR="00655060" w:rsidRPr="00611019" w:rsidRDefault="00E56462" w:rsidP="00035D2C">
      <w:pPr>
        <w:pStyle w:val="Ttulo1"/>
        <w:jc w:val="center"/>
        <w:rPr>
          <w:rFonts w:ascii="Century Gothic" w:hAnsi="Century Gothic"/>
          <w:color w:val="auto"/>
        </w:rPr>
      </w:pPr>
      <w:bookmarkStart w:id="2748" w:name="_Toc92974166"/>
      <w:bookmarkStart w:id="2749" w:name="_Toc93052477"/>
      <w:bookmarkStart w:id="2750" w:name="_Toc93056432"/>
      <w:bookmarkStart w:id="2751" w:name="_Toc125393496"/>
      <w:bookmarkStart w:id="2752" w:name="_Toc148702351"/>
      <w:bookmarkStart w:id="2753" w:name="_Toc170381965"/>
      <w:r>
        <w:rPr>
          <w:rFonts w:ascii="Century Gothic" w:hAnsi="Century Gothic"/>
          <w:color w:val="auto"/>
        </w:rPr>
        <w:lastRenderedPageBreak/>
        <w:t>ANEXO E</w:t>
      </w:r>
      <w:bookmarkEnd w:id="2748"/>
      <w:bookmarkEnd w:id="2749"/>
      <w:bookmarkEnd w:id="2750"/>
      <w:bookmarkEnd w:id="2751"/>
      <w:bookmarkEnd w:id="2752"/>
      <w:bookmarkEnd w:id="2753"/>
    </w:p>
    <w:p w:rsidR="001C3AA5" w:rsidRPr="00611019" w:rsidRDefault="00E56462" w:rsidP="00035D2C">
      <w:pPr>
        <w:pStyle w:val="Ttulo1"/>
        <w:jc w:val="center"/>
        <w:rPr>
          <w:rFonts w:ascii="Century Gothic" w:hAnsi="Century Gothic"/>
        </w:rPr>
      </w:pPr>
      <w:bookmarkStart w:id="2754" w:name="_Toc170381966"/>
      <w:bookmarkStart w:id="2755" w:name="_Toc92974167"/>
      <w:bookmarkStart w:id="2756" w:name="_Toc93052478"/>
      <w:bookmarkStart w:id="2757" w:name="_Toc93056433"/>
      <w:bookmarkStart w:id="2758" w:name="_Toc125393497"/>
      <w:bookmarkStart w:id="2759" w:name="_Toc148702352"/>
      <w:r>
        <w:rPr>
          <w:rFonts w:ascii="Century Gothic" w:hAnsi="Century Gothic"/>
        </w:rPr>
        <w:t xml:space="preserve">NORMATIVIDAD PARA ACCESO DE LOS </w:t>
      </w:r>
      <w:bookmarkEnd w:id="2754"/>
      <w:r w:rsidR="009C66DA">
        <w:rPr>
          <w:rFonts w:ascii="Century Gothic" w:hAnsi="Century Gothic"/>
        </w:rPr>
        <w:t>CS</w:t>
      </w:r>
      <w:r>
        <w:rPr>
          <w:rFonts w:ascii="Century Gothic" w:hAnsi="Century Gothic"/>
        </w:rPr>
        <w:t xml:space="preserve"> </w:t>
      </w:r>
    </w:p>
    <w:p w:rsidR="00655060" w:rsidRPr="00611019" w:rsidRDefault="00E56462" w:rsidP="00035D2C">
      <w:pPr>
        <w:pStyle w:val="Ttulo1"/>
        <w:jc w:val="center"/>
        <w:rPr>
          <w:rFonts w:ascii="Century Gothic" w:hAnsi="Century Gothic"/>
        </w:rPr>
      </w:pPr>
      <w:bookmarkStart w:id="2760" w:name="_Toc170381967"/>
      <w:r>
        <w:rPr>
          <w:rFonts w:ascii="Century Gothic" w:hAnsi="Century Gothic"/>
        </w:rPr>
        <w:t>A LAS CENTRALES TELEFÓNICAS</w:t>
      </w:r>
      <w:bookmarkEnd w:id="2755"/>
      <w:bookmarkEnd w:id="2756"/>
      <w:bookmarkEnd w:id="2757"/>
      <w:bookmarkEnd w:id="2758"/>
      <w:bookmarkEnd w:id="2759"/>
      <w:bookmarkEnd w:id="2760"/>
    </w:p>
    <w:p w:rsidR="00655060" w:rsidRPr="00611019" w:rsidRDefault="00655060" w:rsidP="00035D2C">
      <w:pPr>
        <w:spacing w:after="6pt"/>
        <w:rPr>
          <w:rFonts w:ascii="Century Gothic" w:hAnsi="Century Gothic"/>
          <w:b/>
        </w:rPr>
      </w:pPr>
    </w:p>
    <w:p w:rsidR="00655060" w:rsidRPr="00611019" w:rsidRDefault="00E56462" w:rsidP="00035D2C">
      <w:pPr>
        <w:jc w:val="both"/>
        <w:rPr>
          <w:rFonts w:ascii="Century Gothic" w:eastAsia="Calibri" w:hAnsi="Century Gothic"/>
        </w:rPr>
      </w:pPr>
      <w:r>
        <w:rPr>
          <w:rFonts w:ascii="Century Gothic" w:eastAsia="Calibri" w:hAnsi="Century Gothic"/>
        </w:rPr>
        <w:t>Con el objeto de minimizar los riesgos para la Seguridad Nacional que pudiesen ocasionarse al proporcionar acceso y conocimiento a la información de la red y sus elementos (centrales, medios de comunicación, trayectorias de enlaces, etc.), es necesario llevar a cabo un control estricto de acceso y permanencia, a fin de evitar afectaciones a las instalaciones, a los equipos de todos los CS que pudieran estar involucrados en alguna Central, e inclusive para resguardar la seguridad de quienes ingresen a las instalaciones.</w:t>
      </w:r>
    </w:p>
    <w:p w:rsidR="00FC166D" w:rsidRPr="00611019" w:rsidRDefault="00FC166D" w:rsidP="00035D2C">
      <w:pPr>
        <w:jc w:val="both"/>
        <w:rPr>
          <w:rFonts w:ascii="Century Gothic" w:eastAsia="Calibri" w:hAnsi="Century Gothic"/>
        </w:rPr>
      </w:pPr>
    </w:p>
    <w:p w:rsidR="00655060" w:rsidRPr="00611019" w:rsidRDefault="00E56462" w:rsidP="00035D2C">
      <w:pPr>
        <w:rPr>
          <w:rFonts w:ascii="Century Gothic" w:hAnsi="Century Gothic"/>
        </w:rPr>
      </w:pPr>
      <w:r>
        <w:rPr>
          <w:rFonts w:ascii="Century Gothic" w:hAnsi="Century Gothic"/>
        </w:rPr>
        <w:t>En virtud de lo anterior para el acceso a las instalaciones, el personal del CS deberá seguir los siguientes lineamientos:</w:t>
      </w:r>
    </w:p>
    <w:p w:rsidR="00FC166D" w:rsidRPr="00611019" w:rsidRDefault="00FC166D" w:rsidP="00035D2C">
      <w:pPr>
        <w:rPr>
          <w:rFonts w:ascii="Century Gothic" w:hAnsi="Century Gothic"/>
        </w:rPr>
      </w:pPr>
    </w:p>
    <w:p w:rsidR="00655060" w:rsidRPr="00611019" w:rsidRDefault="00E56462">
      <w:pPr>
        <w:pStyle w:val="Prrafodelista"/>
        <w:numPr>
          <w:ilvl w:val="0"/>
          <w:numId w:val="176"/>
        </w:numPr>
        <w:spacing w:after="6pt"/>
        <w:jc w:val="both"/>
        <w:rPr>
          <w:rFonts w:ascii="Century Gothic" w:hAnsi="Century Gothic" w:cs="Arial"/>
        </w:rPr>
      </w:pPr>
      <w:r>
        <w:rPr>
          <w:rFonts w:ascii="Century Gothic" w:hAnsi="Century Gothic" w:cs="Arial"/>
        </w:rPr>
        <w:t xml:space="preserve">Sólo se permitirá el acceso a empleados directos, dependientes o funcionarios del CS quienes deberán solicitar su acceso de conformidad con lo establecido en la OREDA. </w:t>
      </w:r>
    </w:p>
    <w:p w:rsidR="00655060" w:rsidRPr="00611019" w:rsidRDefault="00E56462">
      <w:pPr>
        <w:pStyle w:val="Prrafodelista"/>
        <w:numPr>
          <w:ilvl w:val="0"/>
          <w:numId w:val="176"/>
        </w:numPr>
        <w:spacing w:after="6pt"/>
        <w:jc w:val="both"/>
        <w:rPr>
          <w:rFonts w:ascii="Century Gothic" w:hAnsi="Century Gothic" w:cs="Arial"/>
        </w:rPr>
      </w:pPr>
      <w:r>
        <w:rPr>
          <w:rFonts w:ascii="Century Gothic" w:hAnsi="Century Gothic" w:cs="Arial"/>
        </w:rPr>
        <w:t xml:space="preserve">El CS y cada miembro de su personal deberá expresamente aceptar adherirse a los términos y condiciones del Aviso de Privacidad y reglamentos internos de las Centrales Telefónicas o Instalaciones equivalentes. El CS y su personal no podrán difundir la información relativa a la ubicación exacta de las instalaciones (coordenadas geográficas y sus domicilios), ya que en caso de difundir la información a personas distintas a los </w:t>
      </w:r>
      <w:r w:rsidR="009C66DA">
        <w:rPr>
          <w:rFonts w:ascii="Century Gothic" w:hAnsi="Century Gothic" w:cs="Arial"/>
        </w:rPr>
        <w:t>CS</w:t>
      </w:r>
      <w:r>
        <w:rPr>
          <w:rFonts w:ascii="Century Gothic" w:hAnsi="Century Gothic" w:cs="Arial"/>
        </w:rPr>
        <w:t xml:space="preserve"> podría correrse el riesgo de que terceros obtengan la ubicación exacta de instalaciones y se corra el riesgo de algún posible daño o inhabilitación, siendo infraestructura de carácter indispensable para la provisión de servicios de telecomunicaciones, con lo que se pondría en riesgo la prestación de los mismos. </w:t>
      </w:r>
    </w:p>
    <w:p w:rsidR="00655060" w:rsidRPr="00611019" w:rsidRDefault="00E56462">
      <w:pPr>
        <w:pStyle w:val="Prrafodelista"/>
        <w:numPr>
          <w:ilvl w:val="0"/>
          <w:numId w:val="176"/>
        </w:numPr>
        <w:spacing w:after="6pt"/>
        <w:jc w:val="both"/>
        <w:rPr>
          <w:rFonts w:ascii="Century Gothic" w:hAnsi="Century Gothic" w:cs="Arial"/>
        </w:rPr>
      </w:pPr>
      <w:r>
        <w:rPr>
          <w:rFonts w:ascii="Century Gothic" w:hAnsi="Century Gothic" w:cs="Arial"/>
        </w:rPr>
        <w:t>Registrarse en una bitácora de acceso, asentando la siguiente información: nombre del Personal, hora de entrada, motivo del acceso, y nombre de quien autorizó su ingreso.</w:t>
      </w:r>
    </w:p>
    <w:p w:rsidR="00655060" w:rsidRPr="00611019" w:rsidRDefault="00E56462">
      <w:pPr>
        <w:pStyle w:val="Prrafodelista"/>
        <w:numPr>
          <w:ilvl w:val="0"/>
          <w:numId w:val="176"/>
        </w:numPr>
        <w:spacing w:after="6pt"/>
        <w:jc w:val="both"/>
        <w:rPr>
          <w:rFonts w:ascii="Century Gothic" w:hAnsi="Century Gothic" w:cs="Arial"/>
        </w:rPr>
      </w:pPr>
      <w:r>
        <w:rPr>
          <w:rFonts w:ascii="Century Gothic" w:hAnsi="Century Gothic" w:cs="Arial"/>
        </w:rPr>
        <w:t>Uso obligatorio de uniforme con nombre legible de CS o del subcontratista.</w:t>
      </w:r>
    </w:p>
    <w:p w:rsidR="00655060" w:rsidRPr="00611019" w:rsidRDefault="00E56462">
      <w:pPr>
        <w:pStyle w:val="Prrafodelista"/>
        <w:numPr>
          <w:ilvl w:val="0"/>
          <w:numId w:val="176"/>
        </w:numPr>
        <w:spacing w:after="6pt"/>
        <w:jc w:val="both"/>
        <w:rPr>
          <w:rFonts w:ascii="Century Gothic" w:hAnsi="Century Gothic" w:cs="Arial"/>
        </w:rPr>
      </w:pPr>
      <w:r>
        <w:rPr>
          <w:rFonts w:ascii="Century Gothic" w:hAnsi="Century Gothic" w:cs="Arial"/>
        </w:rPr>
        <w:t>Portar siempre credencial de trabajo vigente, con fotografía, expedida por la compañía a la cual pertenece y en caso de personal subcontratista validada por CS.</w:t>
      </w:r>
    </w:p>
    <w:p w:rsidR="00655060" w:rsidRPr="00611019" w:rsidRDefault="00E56462">
      <w:pPr>
        <w:pStyle w:val="Prrafodelista"/>
        <w:numPr>
          <w:ilvl w:val="0"/>
          <w:numId w:val="176"/>
        </w:numPr>
        <w:spacing w:after="6pt"/>
        <w:jc w:val="both"/>
        <w:rPr>
          <w:rFonts w:ascii="Century Gothic" w:hAnsi="Century Gothic" w:cs="Arial"/>
        </w:rPr>
      </w:pPr>
      <w:r>
        <w:rPr>
          <w:rFonts w:ascii="Century Gothic" w:hAnsi="Century Gothic" w:cs="Arial"/>
        </w:rPr>
        <w:t>En todo momento el personal del CS o de un subcontratista autorizado deberá llevar consigo su documentación (permiso vigente para el acceso) con los sellos visibles, sin alteraciones, respetando la vigencia, ubicaciones de los trabajos y horarios del mismo.</w:t>
      </w:r>
    </w:p>
    <w:p w:rsidR="00655060" w:rsidRPr="00611019" w:rsidRDefault="00E56462">
      <w:pPr>
        <w:pStyle w:val="Prrafodelista"/>
        <w:numPr>
          <w:ilvl w:val="0"/>
          <w:numId w:val="176"/>
        </w:numPr>
        <w:spacing w:after="6pt"/>
        <w:jc w:val="both"/>
        <w:rPr>
          <w:rFonts w:ascii="Century Gothic" w:hAnsi="Century Gothic" w:cs="Arial"/>
        </w:rPr>
      </w:pPr>
      <w:r>
        <w:rPr>
          <w:rFonts w:ascii="Century Gothic" w:hAnsi="Century Gothic" w:cs="Arial"/>
        </w:rPr>
        <w:lastRenderedPageBreak/>
        <w:t>Entregar un listado de todas las herramientas e instrumentos de medición que el Personal del CS ingrese al Inmueble para la instalación, u operación de su Equipo de Transmisión.</w:t>
      </w:r>
    </w:p>
    <w:p w:rsidR="00655060" w:rsidRPr="00611019" w:rsidRDefault="00E56462">
      <w:pPr>
        <w:pStyle w:val="Prrafodelista"/>
        <w:numPr>
          <w:ilvl w:val="0"/>
          <w:numId w:val="177"/>
        </w:numPr>
        <w:spacing w:after="6pt"/>
        <w:jc w:val="both"/>
        <w:rPr>
          <w:rFonts w:ascii="Century Gothic" w:hAnsi="Century Gothic" w:cs="Arial"/>
        </w:rPr>
      </w:pPr>
      <w:r>
        <w:rPr>
          <w:rFonts w:ascii="Century Gothic" w:hAnsi="Century Gothic" w:cs="Arial"/>
        </w:rPr>
        <w:t xml:space="preserve">El CS no podrá ejecutar trabajos distintos o fuera de zona a los autorizados. El CS por ningún motivo podrá utilizar un logotipo distinto al de la empresa </w:t>
      </w:r>
      <w:r>
        <w:rPr>
          <w:rFonts w:ascii="Century Gothic" w:hAnsi="Century Gothic" w:cs="Arial"/>
          <w:lang w:val="es-ES"/>
        </w:rPr>
        <w:t>que le corresponda</w:t>
      </w:r>
      <w:r>
        <w:rPr>
          <w:rFonts w:ascii="Century Gothic" w:hAnsi="Century Gothic" w:cs="Arial"/>
        </w:rPr>
        <w:t xml:space="preserve"> (uniforme, vehículo, credencial).</w:t>
      </w:r>
    </w:p>
    <w:p w:rsidR="00655060" w:rsidRPr="00611019" w:rsidRDefault="00E56462">
      <w:pPr>
        <w:pStyle w:val="Prrafodelista"/>
        <w:numPr>
          <w:ilvl w:val="0"/>
          <w:numId w:val="177"/>
        </w:numPr>
        <w:spacing w:after="6pt"/>
        <w:jc w:val="both"/>
        <w:rPr>
          <w:rFonts w:ascii="Century Gothic" w:hAnsi="Century Gothic" w:cs="Arial"/>
        </w:rPr>
      </w:pPr>
      <w:r>
        <w:rPr>
          <w:rFonts w:ascii="Century Gothic" w:hAnsi="Century Gothic" w:cs="Arial"/>
        </w:rPr>
        <w:t xml:space="preserve">El personal del CS y subcontratista tendrán la obligación de conocer el nombre y teléfono del personal de </w:t>
      </w:r>
      <w:r>
        <w:rPr>
          <w:rFonts w:ascii="Century Gothic" w:hAnsi="Century Gothic" w:cs="Arial"/>
          <w:spacing w:val="-3"/>
        </w:rPr>
        <w:t>RED NACIONAL</w:t>
      </w:r>
      <w:r>
        <w:rPr>
          <w:rFonts w:ascii="Century Gothic" w:hAnsi="Century Gothic" w:cs="Arial"/>
        </w:rPr>
        <w:t xml:space="preserve"> asignado a los trabajos que esté ejecutando.</w:t>
      </w:r>
    </w:p>
    <w:p w:rsidR="00655060" w:rsidRPr="00611019" w:rsidRDefault="00E56462">
      <w:pPr>
        <w:pStyle w:val="Prrafodelista"/>
        <w:numPr>
          <w:ilvl w:val="0"/>
          <w:numId w:val="177"/>
        </w:numPr>
        <w:spacing w:after="6pt"/>
        <w:jc w:val="both"/>
        <w:rPr>
          <w:rFonts w:ascii="Century Gothic" w:hAnsi="Century Gothic" w:cs="Arial"/>
        </w:rPr>
      </w:pPr>
      <w:r>
        <w:rPr>
          <w:rFonts w:ascii="Century Gothic" w:hAnsi="Century Gothic" w:cs="Arial"/>
        </w:rPr>
        <w:t>No podrá realizar desmontaje de cable o liberación de infraestructura sin autorización previa.</w:t>
      </w:r>
    </w:p>
    <w:p w:rsidR="00655060" w:rsidRPr="00611019" w:rsidRDefault="00E56462">
      <w:pPr>
        <w:pStyle w:val="Prrafodelista"/>
        <w:numPr>
          <w:ilvl w:val="0"/>
          <w:numId w:val="177"/>
        </w:numPr>
        <w:spacing w:after="6pt"/>
        <w:jc w:val="both"/>
        <w:rPr>
          <w:rFonts w:ascii="Century Gothic" w:hAnsi="Century Gothic" w:cs="Arial"/>
        </w:rPr>
      </w:pPr>
      <w:r>
        <w:rPr>
          <w:rFonts w:ascii="Century Gothic" w:hAnsi="Century Gothic" w:cs="Arial"/>
        </w:rPr>
        <w:t>Deberá utilizar equipo de Seguridad.</w:t>
      </w:r>
    </w:p>
    <w:p w:rsidR="00655060" w:rsidRPr="00611019" w:rsidRDefault="00E56462">
      <w:pPr>
        <w:pStyle w:val="Prrafodelista"/>
        <w:numPr>
          <w:ilvl w:val="0"/>
          <w:numId w:val="177"/>
        </w:numPr>
        <w:spacing w:after="6pt"/>
        <w:jc w:val="both"/>
        <w:rPr>
          <w:rFonts w:ascii="Century Gothic" w:hAnsi="Century Gothic" w:cs="Arial"/>
        </w:rPr>
      </w:pPr>
      <w:r>
        <w:rPr>
          <w:rFonts w:ascii="Century Gothic" w:hAnsi="Century Gothic" w:cs="Arial"/>
        </w:rPr>
        <w:t xml:space="preserve">Los contratistas y subcontratistas de cualquier CS estarán obligados a colocar todos los señalamientos y medidas de seguridad de acuerdo con la normatividad aplicable para evitar accidentes. </w:t>
      </w:r>
    </w:p>
    <w:p w:rsidR="00655060" w:rsidRPr="00611019" w:rsidRDefault="00E56462">
      <w:pPr>
        <w:pStyle w:val="Prrafodelista"/>
        <w:numPr>
          <w:ilvl w:val="0"/>
          <w:numId w:val="177"/>
        </w:numPr>
        <w:spacing w:after="6pt"/>
        <w:jc w:val="both"/>
        <w:rPr>
          <w:rFonts w:ascii="Century Gothic" w:hAnsi="Century Gothic" w:cs="Arial"/>
        </w:rPr>
      </w:pPr>
      <w:r>
        <w:rPr>
          <w:rFonts w:ascii="Century Gothic" w:hAnsi="Century Gothic" w:cs="Arial"/>
        </w:rPr>
        <w:t>Acceder únicamente a las áreas en el que se encuentren los equipos del CS, en horarios laborables, estará prohibido caminar o introducirse a cualquier otro lugar distinto.</w:t>
      </w:r>
    </w:p>
    <w:p w:rsidR="00655060" w:rsidRPr="00611019" w:rsidRDefault="00E56462">
      <w:pPr>
        <w:pStyle w:val="Prrafodelista"/>
        <w:numPr>
          <w:ilvl w:val="0"/>
          <w:numId w:val="177"/>
        </w:numPr>
        <w:spacing w:after="6pt"/>
        <w:jc w:val="both"/>
        <w:rPr>
          <w:rFonts w:ascii="Century Gothic" w:hAnsi="Century Gothic" w:cs="Arial"/>
        </w:rPr>
      </w:pPr>
      <w:r>
        <w:rPr>
          <w:rFonts w:ascii="Century Gothic" w:hAnsi="Century Gothic" w:cs="Arial"/>
        </w:rPr>
        <w:t>No introducir armas, (objetos punzocortantes, armas de fuego o cualquier otra).</w:t>
      </w:r>
    </w:p>
    <w:p w:rsidR="00655060" w:rsidRPr="00611019" w:rsidRDefault="00E56462">
      <w:pPr>
        <w:pStyle w:val="Prrafodelista"/>
        <w:numPr>
          <w:ilvl w:val="0"/>
          <w:numId w:val="177"/>
        </w:numPr>
        <w:spacing w:after="6pt"/>
        <w:jc w:val="both"/>
        <w:rPr>
          <w:rFonts w:ascii="Century Gothic" w:hAnsi="Century Gothic" w:cs="Arial"/>
        </w:rPr>
      </w:pPr>
      <w:r>
        <w:rPr>
          <w:rFonts w:ascii="Century Gothic" w:hAnsi="Century Gothic" w:cs="Arial"/>
        </w:rPr>
        <w:t>No acceder en estado de ebriedad o bajo los influjos de cualquier estupefaciente.</w:t>
      </w:r>
    </w:p>
    <w:p w:rsidR="00655060" w:rsidRPr="00611019" w:rsidRDefault="00E56462">
      <w:pPr>
        <w:pStyle w:val="Prrafodelista"/>
        <w:numPr>
          <w:ilvl w:val="0"/>
          <w:numId w:val="177"/>
        </w:numPr>
        <w:spacing w:after="6pt"/>
        <w:jc w:val="both"/>
        <w:rPr>
          <w:rFonts w:ascii="Century Gothic" w:hAnsi="Century Gothic" w:cs="Arial"/>
        </w:rPr>
      </w:pPr>
      <w:r>
        <w:rPr>
          <w:rFonts w:ascii="Century Gothic" w:hAnsi="Century Gothic" w:cs="Arial"/>
        </w:rPr>
        <w:t>No acceder con sustancias químicas o explosivas de ningún tipo.</w:t>
      </w:r>
    </w:p>
    <w:p w:rsidR="00655060" w:rsidRPr="00611019" w:rsidRDefault="00E56462">
      <w:pPr>
        <w:pStyle w:val="Prrafodelista"/>
        <w:numPr>
          <w:ilvl w:val="0"/>
          <w:numId w:val="177"/>
        </w:numPr>
        <w:spacing w:after="6pt"/>
        <w:jc w:val="both"/>
        <w:rPr>
          <w:rFonts w:ascii="Century Gothic" w:hAnsi="Century Gothic" w:cs="Arial"/>
        </w:rPr>
      </w:pPr>
      <w:r>
        <w:rPr>
          <w:rFonts w:ascii="Century Gothic" w:hAnsi="Century Gothic" w:cs="Arial"/>
        </w:rPr>
        <w:t>No acceder con bebidas alcohólicas, drogas o cualquier estupefaciente.</w:t>
      </w:r>
    </w:p>
    <w:p w:rsidR="00655060" w:rsidRPr="00611019" w:rsidRDefault="00E56462">
      <w:pPr>
        <w:pStyle w:val="Prrafodelista"/>
        <w:numPr>
          <w:ilvl w:val="0"/>
          <w:numId w:val="177"/>
        </w:numPr>
        <w:spacing w:after="6pt"/>
        <w:jc w:val="both"/>
        <w:rPr>
          <w:rFonts w:ascii="Century Gothic" w:hAnsi="Century Gothic" w:cs="Arial"/>
        </w:rPr>
      </w:pPr>
      <w:r>
        <w:rPr>
          <w:rFonts w:ascii="Century Gothic" w:hAnsi="Century Gothic" w:cs="Arial"/>
        </w:rPr>
        <w:t>No acceder acompañado de personas que no se encuentren en el Listado del Personal autorizado, así como tampoco por menores de edad.</w:t>
      </w:r>
    </w:p>
    <w:p w:rsidR="00655060" w:rsidRPr="00611019" w:rsidRDefault="00E56462">
      <w:pPr>
        <w:pStyle w:val="Prrafodelista"/>
        <w:numPr>
          <w:ilvl w:val="0"/>
          <w:numId w:val="177"/>
        </w:numPr>
        <w:spacing w:after="6pt"/>
        <w:jc w:val="both"/>
        <w:rPr>
          <w:rFonts w:ascii="Century Gothic" w:hAnsi="Century Gothic" w:cs="Arial"/>
        </w:rPr>
      </w:pPr>
      <w:r>
        <w:rPr>
          <w:rFonts w:ascii="Century Gothic" w:hAnsi="Century Gothic" w:cs="Arial"/>
        </w:rPr>
        <w:t>Solo podrán acceder un número limitado de miembros del Personal del CS a las instalaciones correspondientes que no pongan en riesgo ninguno de las operaciones dentro del Inmueble.</w:t>
      </w:r>
    </w:p>
    <w:p w:rsidR="00655060" w:rsidRPr="00611019" w:rsidRDefault="00E56462">
      <w:pPr>
        <w:pStyle w:val="Prrafodelista"/>
        <w:numPr>
          <w:ilvl w:val="0"/>
          <w:numId w:val="177"/>
        </w:numPr>
        <w:spacing w:after="6pt"/>
        <w:jc w:val="both"/>
        <w:rPr>
          <w:rFonts w:ascii="Century Gothic" w:hAnsi="Century Gothic" w:cs="Arial"/>
        </w:rPr>
      </w:pPr>
      <w:r>
        <w:rPr>
          <w:rFonts w:ascii="Century Gothic" w:hAnsi="Century Gothic" w:cs="Arial"/>
        </w:rPr>
        <w:t>No tirar desechos materiales dentro del inmueble.</w:t>
      </w:r>
    </w:p>
    <w:p w:rsidR="00655060" w:rsidRPr="00611019" w:rsidRDefault="00E56462">
      <w:pPr>
        <w:pStyle w:val="Prrafodelista"/>
        <w:numPr>
          <w:ilvl w:val="0"/>
          <w:numId w:val="177"/>
        </w:numPr>
        <w:spacing w:after="6pt"/>
        <w:jc w:val="both"/>
        <w:rPr>
          <w:rFonts w:ascii="Century Gothic" w:hAnsi="Century Gothic" w:cs="Arial"/>
        </w:rPr>
      </w:pPr>
      <w:r>
        <w:rPr>
          <w:rFonts w:ascii="Century Gothic" w:hAnsi="Century Gothic" w:cs="Arial"/>
        </w:rPr>
        <w:t>No realizar fogatas de cualquier tipo, inclusive para calentar o preparar alimentos.</w:t>
      </w:r>
    </w:p>
    <w:p w:rsidR="00655060" w:rsidRPr="00611019" w:rsidRDefault="00E56462">
      <w:pPr>
        <w:pStyle w:val="Prrafodelista"/>
        <w:numPr>
          <w:ilvl w:val="0"/>
          <w:numId w:val="177"/>
        </w:numPr>
        <w:spacing w:after="6pt"/>
        <w:jc w:val="both"/>
        <w:rPr>
          <w:rFonts w:ascii="Century Gothic" w:hAnsi="Century Gothic" w:cs="Arial"/>
        </w:rPr>
      </w:pPr>
      <w:r>
        <w:rPr>
          <w:rFonts w:ascii="Century Gothic" w:hAnsi="Century Gothic" w:cs="Arial"/>
        </w:rPr>
        <w:t>No realizar mantenimientos al Equipo de transmisión sin el equipo de seguridad que las Normas Oficiales Mexicanas establecen en materia de Seguridad.</w:t>
      </w:r>
    </w:p>
    <w:p w:rsidR="00655060" w:rsidRPr="00611019" w:rsidRDefault="00655060" w:rsidP="00035D2C">
      <w:pPr>
        <w:pStyle w:val="Prrafodelista"/>
        <w:spacing w:after="6pt"/>
        <w:ind w:start="0pt"/>
        <w:contextualSpacing w:val="0"/>
        <w:jc w:val="both"/>
        <w:rPr>
          <w:rFonts w:ascii="Century Gothic" w:hAnsi="Century Gothic" w:cs="Arial"/>
        </w:rPr>
      </w:pPr>
    </w:p>
    <w:p w:rsidR="00655060" w:rsidRPr="00611019" w:rsidRDefault="00E56462" w:rsidP="00035D2C">
      <w:pPr>
        <w:spacing w:after="6pt"/>
        <w:rPr>
          <w:rFonts w:ascii="Century Gothic" w:hAnsi="Century Gothic"/>
        </w:rPr>
      </w:pPr>
      <w:r>
        <w:rPr>
          <w:rFonts w:ascii="Century Gothic" w:hAnsi="Century Gothic"/>
        </w:rPr>
        <w:t>El personal de RED NACIONAL deberá seguir los siguientes lineamientos:</w:t>
      </w:r>
    </w:p>
    <w:p w:rsidR="00655060" w:rsidRPr="00611019" w:rsidRDefault="00E56462">
      <w:pPr>
        <w:pStyle w:val="Prrafodelista"/>
        <w:numPr>
          <w:ilvl w:val="0"/>
          <w:numId w:val="178"/>
        </w:numPr>
        <w:spacing w:after="6pt"/>
        <w:jc w:val="both"/>
        <w:rPr>
          <w:rFonts w:ascii="Century Gothic" w:hAnsi="Century Gothic" w:cs="Arial"/>
        </w:rPr>
      </w:pPr>
      <w:r>
        <w:rPr>
          <w:rFonts w:ascii="Century Gothic" w:hAnsi="Century Gothic" w:cs="Arial"/>
        </w:rPr>
        <w:t>Permitir a la persona autorizada inspeccionar las áreas donde se encuentre el Equipo del CS, en cualquier momento siempre y cuando cuente con su permiso vigente.</w:t>
      </w:r>
    </w:p>
    <w:p w:rsidR="000E0D60" w:rsidRPr="00611019" w:rsidRDefault="00E56462">
      <w:pPr>
        <w:pStyle w:val="Prrafodelista"/>
        <w:numPr>
          <w:ilvl w:val="0"/>
          <w:numId w:val="178"/>
        </w:numPr>
        <w:spacing w:after="6pt"/>
        <w:jc w:val="both"/>
        <w:rPr>
          <w:rFonts w:ascii="Century Gothic" w:hAnsi="Century Gothic" w:cs="Arial"/>
        </w:rPr>
      </w:pPr>
      <w:r>
        <w:rPr>
          <w:rFonts w:ascii="Century Gothic" w:hAnsi="Century Gothic" w:cs="Arial"/>
        </w:rPr>
        <w:t>Realizar la atención de visitas de autoridades gubernamentales en horario de 7:00 a 19:00 horas de lunes a viernes.</w:t>
      </w:r>
    </w:p>
    <w:p w:rsidR="00B52B70" w:rsidRPr="00611019" w:rsidRDefault="00B52B70" w:rsidP="00035D2C">
      <w:pPr>
        <w:ind w:start="18pt" w:hanging="18pt"/>
        <w:jc w:val="both"/>
        <w:rPr>
          <w:rFonts w:ascii="Century Gothic" w:hAnsi="Century Gothic" w:cs="Arial"/>
        </w:rPr>
      </w:pPr>
    </w:p>
    <w:p w:rsidR="008A6791" w:rsidRPr="00611019" w:rsidRDefault="008A6791" w:rsidP="00035D2C">
      <w:pPr>
        <w:pStyle w:val="Prrafodelista"/>
        <w:ind w:start="18pt"/>
        <w:jc w:val="both"/>
        <w:rPr>
          <w:rFonts w:ascii="Century Gothic" w:hAnsi="Century Gothic" w:cs="Arial"/>
        </w:rPr>
        <w:sectPr w:rsidR="008A6791" w:rsidRPr="00611019" w:rsidSect="00805D4B">
          <w:headerReference w:type="default" r:id="rId70"/>
          <w:type w:val="oddPage"/>
          <w:pgSz w:w="612.10pt" w:h="792.10pt" w:code="1"/>
          <w:pgMar w:top="70.90pt" w:right="70.90pt" w:bottom="70.90pt" w:left="70.90pt" w:header="35.45pt" w:footer="35.45pt" w:gutter="0pt"/>
          <w:cols w:space="35.40pt"/>
          <w:docGrid w:linePitch="360"/>
        </w:sectPr>
      </w:pPr>
    </w:p>
    <w:p w:rsidR="00805D4B" w:rsidRPr="00611019" w:rsidRDefault="00805D4B" w:rsidP="00035D2C">
      <w:pPr>
        <w:pStyle w:val="IFTnormal"/>
        <w:ind w:start="36pt" w:hanging="18pt"/>
        <w:rPr>
          <w:rFonts w:ascii="Century Gothic" w:hAnsi="Century Gothic"/>
        </w:rPr>
      </w:pPr>
    </w:p>
    <w:p w:rsidR="00B52B70" w:rsidRPr="00611019" w:rsidRDefault="00E56462" w:rsidP="00035D2C">
      <w:pPr>
        <w:pStyle w:val="Texto1"/>
        <w:spacing w:after="10pt" w:line="13.80pt" w:lineRule="auto"/>
        <w:rPr>
          <w:rFonts w:ascii="Century Gothic" w:hAnsi="Century Gothic" w:cs="Arial"/>
          <w:b/>
        </w:rPr>
      </w:pPr>
      <w:r>
        <w:rPr>
          <w:rFonts w:ascii="Century Gothic" w:hAnsi="Century Gothic" w:cs="Arial"/>
          <w:noProof/>
          <w:lang w:val="es-MX" w:eastAsia="es-MX"/>
        </w:rPr>
        <w:drawing>
          <wp:inline distT="0" distB="0" distL="0" distR="0" wp14:anchorId="44F5DF4C" wp14:editId="27844FF6">
            <wp:extent cx="5678303" cy="7528387"/>
            <wp:effectExtent l="38100" t="38100" r="36830" b="34925"/>
            <wp:docPr id="452" name="Rectángulo: esquinas redondeadas 9"/>
            <wp:cNvGraphicFramePr/>
            <a:graphic xmlns:a="http://purl.oclc.org/ooxml/drawingml/main">
              <a:graphicData uri="http://schemas.microsoft.com/office/word/2010/wordprocessingShape">
                <wp:wsp>
                  <wp:cNvSpPr/>
                  <wp:spPr>
                    <a:xfrm>
                      <a:off x="0" y="0"/>
                      <a:ext cx="5678303" cy="7528387"/>
                    </a:xfrm>
                    <a:prstGeom prst="roundRect">
                      <a:avLst>
                        <a:gd name="adj" fmla="val 6030"/>
                      </a:avLst>
                    </a:prstGeom>
                    <a:noFill/>
                    <a:ln w="76200">
                      <a:solidFill>
                        <a:srgbClr val="009AD9"/>
                      </a:solidFill>
                      <a:prstDash val="solid"/>
                      <a:miter lim="800%"/>
                    </a:ln>
                    <a:effectLst/>
                  </wp:spPr>
                  <wp:txbx>
                    <wne:txbxContent>
                      <w:p w:rsidR="000511F0" w:rsidRDefault="000511F0" w:rsidP="00B52B70">
                        <w:pPr>
                          <w:jc w:val="center"/>
                          <w:rPr>
                            <w:rFonts w:ascii="Century Gothic" w:hAnsi="Century Gothic" w:cs="Arial"/>
                            <w:b/>
                            <w:noProof/>
                            <w:color w:val="000000"/>
                            <w:sz w:val="26"/>
                            <w:szCs w:val="26"/>
                            <w:lang w:eastAsia="es-MX"/>
                          </w:rPr>
                        </w:pPr>
                        <w:r>
                          <w:rPr>
                            <w:rFonts w:ascii="Century Gothic" w:hAnsi="Century Gothic" w:cs="Arial"/>
                            <w:b/>
                            <w:noProof/>
                            <w:color w:val="000000"/>
                            <w:sz w:val="26"/>
                            <w:szCs w:val="26"/>
                            <w:lang w:eastAsia="es-MX"/>
                          </w:rPr>
                          <w:drawing>
                            <wp:inline distT="0" distB="0" distL="0" distR="0" wp14:anchorId="77BA8FCB" wp14:editId="4B2B4E2A">
                              <wp:extent cx="2552700" cy="1438275"/>
                              <wp:effectExtent l="0" t="0" r="0" b="9525"/>
                              <wp:docPr id="25" name="Imagen 25"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621"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552700" cy="1438275"/>
                                      </a:xfrm>
                                      <a:prstGeom prst="rect">
                                        <a:avLst/>
                                      </a:prstGeom>
                                      <a:noFill/>
                                      <a:ln>
                                        <a:noFill/>
                                      </a:ln>
                                    </pic:spPr>
                                  </pic:pic>
                                </a:graphicData>
                              </a:graphic>
                            </wp:inline>
                          </w:drawing>
                        </w:r>
                      </w:p>
                      <w:p w:rsidR="000511F0" w:rsidRDefault="000511F0" w:rsidP="00B52B70">
                        <w:pPr>
                          <w:jc w:val="center"/>
                          <w:rPr>
                            <w:rFonts w:ascii="Century Gothic" w:hAnsi="Century Gothic" w:cs="Arial"/>
                            <w:b/>
                            <w:noProof/>
                            <w:color w:val="000000"/>
                            <w:sz w:val="26"/>
                            <w:szCs w:val="26"/>
                            <w:lang w:eastAsia="es-MX"/>
                          </w:rPr>
                        </w:pPr>
                      </w:p>
                      <w:p w:rsidR="000511F0" w:rsidRDefault="000511F0" w:rsidP="00B52B70">
                        <w:pPr>
                          <w:jc w:val="center"/>
                        </w:pPr>
                      </w:p>
                      <w:p w:rsidR="000511F0" w:rsidRDefault="000511F0" w:rsidP="00B52B70">
                        <w:pPr>
                          <w:pStyle w:val="Ttulo1"/>
                          <w:jc w:val="center"/>
                          <w:rPr>
                            <w:rFonts w:ascii="Century Gothic" w:hAnsi="Century Gothic"/>
                            <w:sz w:val="24"/>
                            <w:szCs w:val="24"/>
                            <w:u w:val="single"/>
                          </w:rPr>
                        </w:pPr>
                        <w:bookmarkStart w:id="2761" w:name="_Toc92974168"/>
                        <w:bookmarkStart w:id="2762" w:name="_Toc93052479"/>
                        <w:bookmarkStart w:id="2763" w:name="_Toc93056434"/>
                        <w:bookmarkStart w:id="2764" w:name="_Toc125393498"/>
                        <w:bookmarkStart w:id="2765" w:name="_Toc128478022"/>
                        <w:bookmarkStart w:id="2766" w:name="_Toc148692373"/>
                        <w:bookmarkStart w:id="2767" w:name="_Toc148702353"/>
                        <w:bookmarkStart w:id="2768" w:name="_Toc149644464"/>
                        <w:bookmarkStart w:id="2769" w:name="_Toc149644749"/>
                        <w:bookmarkStart w:id="2770" w:name="_Toc149645054"/>
                        <w:bookmarkStart w:id="2771" w:name="_Toc170380249"/>
                        <w:bookmarkStart w:id="2772" w:name="_Toc170380650"/>
                        <w:bookmarkStart w:id="2773" w:name="_Toc170381184"/>
                        <w:bookmarkStart w:id="2774" w:name="_Toc170381968"/>
                        <w:r>
                          <w:rPr>
                            <w:rFonts w:ascii="Century Gothic" w:hAnsi="Century Gothic"/>
                            <w:sz w:val="24"/>
                            <w:szCs w:val="24"/>
                            <w:u w:val="single"/>
                          </w:rPr>
                          <w:t>ANEXO F</w:t>
                        </w:r>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p>
                      <w:p w:rsidR="000511F0" w:rsidRDefault="000511F0" w:rsidP="00B52B70">
                        <w:pPr>
                          <w:rPr>
                            <w:lang w:val="es-ES" w:eastAsia="es-ES"/>
                          </w:rPr>
                        </w:pPr>
                      </w:p>
                      <w:p w:rsidR="000511F0" w:rsidRDefault="000511F0" w:rsidP="00B52B70">
                        <w:pPr>
                          <w:rPr>
                            <w:lang w:val="es-ES" w:eastAsia="es-ES"/>
                          </w:rPr>
                        </w:pPr>
                      </w:p>
                      <w:p w:rsidR="000511F0" w:rsidRPr="008A6791" w:rsidRDefault="000511F0" w:rsidP="00B52B70">
                        <w:pPr>
                          <w:pStyle w:val="Sangradetextonormal"/>
                          <w:spacing w:line="12pt" w:lineRule="auto"/>
                          <w:jc w:val="center"/>
                          <w:rPr>
                            <w:rFonts w:ascii="Century Gothic" w:hAnsi="Century Gothic" w:cs="Arial"/>
                            <w:b/>
                            <w:sz w:val="26"/>
                            <w:szCs w:val="26"/>
                          </w:rPr>
                        </w:pPr>
                        <w:r>
                          <w:rPr>
                            <w:rFonts w:ascii="Century Gothic" w:hAnsi="Century Gothic" w:cs="Arial"/>
                            <w:b/>
                            <w:sz w:val="26"/>
                            <w:szCs w:val="26"/>
                          </w:rPr>
                          <w:t>Convenio de Prestación de Servicios de Desagregación</w:t>
                        </w:r>
                      </w:p>
                      <w:p w:rsidR="000511F0" w:rsidRDefault="000511F0" w:rsidP="00B52B70">
                        <w:pPr>
                          <w:rPr>
                            <w:lang w:val="es-ES" w:eastAsia="es-ES"/>
                          </w:rPr>
                        </w:pPr>
                      </w:p>
                      <w:p w:rsidR="000511F0" w:rsidRPr="006B0514" w:rsidRDefault="000511F0" w:rsidP="00B52B70">
                        <w:pPr>
                          <w:rPr>
                            <w:lang w:val="es-ES" w:eastAsia="es-ES"/>
                          </w:rPr>
                        </w:pPr>
                      </w:p>
                      <w:p w:rsidR="000511F0" w:rsidRPr="008A6791" w:rsidRDefault="000511F0" w:rsidP="00B52B70">
                        <w:pPr>
                          <w:jc w:val="center"/>
                          <w:rPr>
                            <w:rFonts w:ascii="Century Gothic" w:hAnsi="Century Gothic"/>
                            <w:b/>
                            <w:sz w:val="24"/>
                            <w:szCs w:val="24"/>
                          </w:rPr>
                        </w:pPr>
                        <w:r>
                          <w:rPr>
                            <w:rFonts w:ascii="Century Gothic" w:hAnsi="Century Gothic"/>
                            <w:b/>
                            <w:sz w:val="24"/>
                            <w:szCs w:val="24"/>
                          </w:rPr>
                          <w:t>Red Nacional Última Milla, S.A.P.I. de C.V.</w:t>
                        </w:r>
                      </w:p>
                      <w:p w:rsidR="000511F0" w:rsidRPr="00414BEA" w:rsidRDefault="000511F0" w:rsidP="00B52B70">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Pr="008A6791" w:rsidRDefault="000511F0" w:rsidP="00B52B70">
                        <w:pPr>
                          <w:jc w:val="center"/>
                          <w:rPr>
                            <w:rFonts w:ascii="Century Gothic" w:hAnsi="Century Gothic"/>
                            <w:b/>
                            <w:bCs/>
                            <w:sz w:val="24"/>
                            <w:szCs w:val="24"/>
                          </w:rPr>
                        </w:pPr>
                      </w:p>
                      <w:p w:rsidR="000511F0" w:rsidRPr="008A6791" w:rsidRDefault="000511F0" w:rsidP="00B52B70">
                        <w:pPr>
                          <w:jc w:val="center"/>
                          <w:rPr>
                            <w:rFonts w:ascii="Century Gothic" w:hAnsi="Century Gothic"/>
                            <w:b/>
                            <w:sz w:val="24"/>
                            <w:szCs w:val="24"/>
                          </w:rPr>
                        </w:pPr>
                        <w:r>
                          <w:rPr>
                            <w:rFonts w:ascii="Century Gothic" w:hAnsi="Century Gothic"/>
                            <w:b/>
                            <w:sz w:val="24"/>
                            <w:szCs w:val="24"/>
                          </w:rPr>
                          <w:t>2026</w:t>
                        </w:r>
                      </w:p>
                      <w:p w:rsidR="000511F0" w:rsidRDefault="000511F0" w:rsidP="00B52B70">
                        <w:pPr>
                          <w:spacing w:line="18pt" w:lineRule="auto"/>
                          <w:jc w:val="center"/>
                          <w:rPr>
                            <w:rFonts w:ascii="Century Gothic" w:hAnsi="Century Gothic" w:cs="Arial"/>
                            <w:b/>
                            <w:sz w:val="24"/>
                            <w:szCs w:val="24"/>
                            <w:lang w:val="es-ES"/>
                          </w:rPr>
                        </w:pPr>
                      </w:p>
                      <w:p w:rsidR="000511F0" w:rsidRDefault="000511F0" w:rsidP="00B52B70">
                        <w:pPr>
                          <w:spacing w:line="18pt" w:lineRule="auto"/>
                          <w:jc w:val="center"/>
                          <w:rPr>
                            <w:rFonts w:ascii="Century Gothic" w:hAnsi="Century Gothic" w:cs="Arial"/>
                            <w:b/>
                            <w:sz w:val="24"/>
                            <w:szCs w:val="24"/>
                            <w:lang w:val="es-ES"/>
                          </w:rPr>
                        </w:pPr>
                      </w:p>
                      <w:p w:rsidR="000511F0" w:rsidRDefault="000511F0" w:rsidP="00B52B70">
                        <w:pPr>
                          <w:spacing w:line="18pt" w:lineRule="auto"/>
                          <w:jc w:val="center"/>
                          <w:rPr>
                            <w:rFonts w:ascii="Century Gothic" w:hAnsi="Century Gothic" w:cs="Arial"/>
                            <w:b/>
                            <w:sz w:val="24"/>
                            <w:szCs w:val="24"/>
                            <w:lang w:val="es-ES"/>
                          </w:rPr>
                        </w:pPr>
                      </w:p>
                      <w:p w:rsidR="000511F0" w:rsidRDefault="000511F0" w:rsidP="00B52B70">
                        <w:pPr>
                          <w:spacing w:line="18pt" w:lineRule="auto"/>
                          <w:jc w:val="center"/>
                          <w:rPr>
                            <w:rFonts w:ascii="Century Gothic" w:hAnsi="Century Gothic" w:cs="Arial"/>
                            <w:b/>
                            <w:sz w:val="24"/>
                            <w:szCs w:val="24"/>
                            <w:lang w:val="es-ES"/>
                          </w:rPr>
                        </w:pPr>
                      </w:p>
                      <w:p w:rsidR="000511F0" w:rsidRDefault="000511F0" w:rsidP="00B52B70">
                        <w:pPr>
                          <w:spacing w:line="18pt" w:lineRule="auto"/>
                          <w:jc w:val="center"/>
                          <w:rPr>
                            <w:rFonts w:ascii="Century Gothic" w:hAnsi="Century Gothic" w:cs="Arial"/>
                            <w:b/>
                            <w:sz w:val="24"/>
                            <w:szCs w:val="24"/>
                            <w:lang w:val="es-ES"/>
                          </w:rPr>
                        </w:pPr>
                      </w:p>
                      <w:p w:rsidR="000511F0" w:rsidRDefault="000511F0" w:rsidP="00B52B70">
                        <w:pPr>
                          <w:spacing w:line="18pt" w:lineRule="auto"/>
                          <w:jc w:val="center"/>
                          <w:rPr>
                            <w:rFonts w:ascii="Century Gothic" w:hAnsi="Century Gothic" w:cs="Arial"/>
                            <w:b/>
                            <w:sz w:val="24"/>
                            <w:szCs w:val="24"/>
                            <w:lang w:val="es-ES"/>
                          </w:rPr>
                        </w:pPr>
                      </w:p>
                      <w:p w:rsidR="000511F0" w:rsidRDefault="000511F0" w:rsidP="00B52B70">
                        <w:pPr>
                          <w:spacing w:line="18pt" w:lineRule="auto"/>
                          <w:jc w:val="center"/>
                          <w:rPr>
                            <w:rFonts w:ascii="Century Gothic" w:hAnsi="Century Gothic" w:cs="Arial"/>
                            <w:b/>
                            <w:sz w:val="24"/>
                            <w:szCs w:val="24"/>
                            <w:lang w:val="es-ES"/>
                          </w:rPr>
                        </w:pPr>
                      </w:p>
                      <w:p w:rsidR="000511F0" w:rsidRDefault="000511F0" w:rsidP="00B52B70">
                        <w:pPr>
                          <w:spacing w:line="18pt" w:lineRule="auto"/>
                          <w:jc w:val="center"/>
                          <w:rPr>
                            <w:rFonts w:ascii="Century Gothic" w:hAnsi="Century Gothic" w:cs="Arial"/>
                            <w:b/>
                            <w:sz w:val="24"/>
                            <w:szCs w:val="24"/>
                            <w:lang w:val="es-ES"/>
                          </w:rPr>
                        </w:pPr>
                      </w:p>
                      <w:p w:rsidR="000511F0" w:rsidRDefault="000511F0" w:rsidP="00B52B70">
                        <w:pPr>
                          <w:spacing w:line="18pt" w:lineRule="auto"/>
                          <w:jc w:val="center"/>
                          <w:rPr>
                            <w:rFonts w:ascii="Century Gothic" w:hAnsi="Century Gothic" w:cs="Arial"/>
                            <w:b/>
                            <w:sz w:val="24"/>
                            <w:szCs w:val="24"/>
                            <w:lang w:val="es-ES"/>
                          </w:rPr>
                        </w:pPr>
                      </w:p>
                      <w:p w:rsidR="000511F0" w:rsidRPr="002258A2" w:rsidRDefault="000511F0" w:rsidP="00B52B70">
                        <w:pPr>
                          <w:spacing w:line="18pt" w:lineRule="auto"/>
                          <w:jc w:val="center"/>
                          <w:rPr>
                            <w:rFonts w:ascii="Century Gothic" w:hAnsi="Century Gothic" w:cs="Arial"/>
                            <w:b/>
                            <w:sz w:val="24"/>
                            <w:szCs w:val="24"/>
                            <w:lang w:val="es-ES"/>
                          </w:rPr>
                        </w:pPr>
                      </w:p>
                      <w:p w:rsidR="000511F0" w:rsidRPr="002258A2" w:rsidRDefault="000511F0" w:rsidP="00B52B70">
                        <w:pPr>
                          <w:jc w:val="center"/>
                          <w:rPr>
                            <w:rFonts w:ascii="Century Gothic" w:hAnsi="Century Gothic" w:cs="Arial"/>
                            <w:b/>
                            <w:sz w:val="24"/>
                            <w:szCs w:val="24"/>
                            <w:lang w:val="es-ES"/>
                          </w:rPr>
                        </w:pPr>
                      </w:p>
                    </wne:txbxContent>
                  </wp:txbx>
                  <wp:bodyPr rot="0" spcFirstLastPara="0" vertOverflow="overflow" horzOverflow="overflow" vert="horz" wrap="square" lIns="91440" tIns="45720" rIns="91440" bIns="45720" numCol="1" spcCol="0" rtlCol="0" fromWordArt="0" anchor="ctr" anchorCtr="0" forceAA="0" compatLnSpc="1">
                    <a:prstTxWarp prst="textNoShape">
                      <a:avLst/>
                    </a:prstTxWarp>
                  </wp:bodyPr>
                </wp:wsp>
              </a:graphicData>
            </a:graphic>
          </wp:inline>
        </w:drawing>
      </w:r>
    </w:p>
    <w:p w:rsidR="00B52B70" w:rsidRPr="00611019" w:rsidRDefault="00B52B70" w:rsidP="00035D2C">
      <w:pPr>
        <w:pStyle w:val="Texto1"/>
        <w:spacing w:after="10pt" w:line="13.80pt" w:lineRule="auto"/>
        <w:rPr>
          <w:rFonts w:ascii="Century Gothic" w:hAnsi="Century Gothic" w:cs="Arial"/>
          <w:b/>
        </w:rPr>
      </w:pPr>
    </w:p>
    <w:p w:rsidR="00B52B70" w:rsidRPr="00611019" w:rsidRDefault="00B52B70" w:rsidP="00035D2C">
      <w:pPr>
        <w:rPr>
          <w:rFonts w:ascii="Century Gothic" w:hAnsi="Century Gothic" w:cs="Arial"/>
          <w:b/>
          <w:color w:val="000000" w:themeColor="text1"/>
          <w:sz w:val="24"/>
        </w:rPr>
        <w:sectPr w:rsidR="00B52B70" w:rsidRPr="00611019" w:rsidSect="00805D4B">
          <w:headerReference w:type="default" r:id="rId71"/>
          <w:headerReference w:type="first" r:id="rId72"/>
          <w:type w:val="oddPage"/>
          <w:pgSz w:w="612.10pt" w:h="792.10pt" w:code="1"/>
          <w:pgMar w:top="70.90pt" w:right="70.90pt" w:bottom="70.90pt" w:left="70.90pt" w:header="35.45pt" w:footer="35.45pt" w:gutter="0pt"/>
          <w:cols w:space="36pt"/>
          <w:titlePg/>
          <w:docGrid w:linePitch="326"/>
        </w:sectPr>
      </w:pPr>
    </w:p>
    <w:p w:rsidR="0017227E" w:rsidRPr="00611019" w:rsidRDefault="00E56462" w:rsidP="00035D2C">
      <w:pPr>
        <w:pStyle w:val="Ttulo1"/>
        <w:jc w:val="center"/>
        <w:rPr>
          <w:rFonts w:ascii="Century Gothic" w:hAnsi="Century Gothic"/>
          <w:color w:val="auto"/>
        </w:rPr>
      </w:pPr>
      <w:bookmarkStart w:id="2775" w:name="_Toc92974169"/>
      <w:bookmarkStart w:id="2776" w:name="_Toc93052480"/>
      <w:bookmarkStart w:id="2777" w:name="_Toc93056435"/>
      <w:bookmarkStart w:id="2778" w:name="_Toc125393499"/>
      <w:bookmarkStart w:id="2779" w:name="_Toc148702354"/>
      <w:bookmarkStart w:id="2780" w:name="_Toc170381969"/>
      <w:bookmarkStart w:id="2781" w:name="_Hlk92966581"/>
      <w:r>
        <w:rPr>
          <w:rFonts w:ascii="Century Gothic" w:hAnsi="Century Gothic"/>
          <w:color w:val="auto"/>
        </w:rPr>
        <w:lastRenderedPageBreak/>
        <w:t>ANEXO F</w:t>
      </w:r>
      <w:bookmarkEnd w:id="2775"/>
      <w:bookmarkEnd w:id="2776"/>
      <w:bookmarkEnd w:id="2777"/>
      <w:bookmarkEnd w:id="2778"/>
      <w:bookmarkEnd w:id="2779"/>
      <w:bookmarkEnd w:id="2780"/>
    </w:p>
    <w:p w:rsidR="00B52B70" w:rsidRPr="00611019" w:rsidRDefault="00B52B70" w:rsidP="00035D2C">
      <w:pPr>
        <w:spacing w:after="6pt"/>
        <w:contextualSpacing/>
        <w:rPr>
          <w:rFonts w:ascii="Century Gothic" w:hAnsi="Century Gothic"/>
          <w:lang w:val="es-ES" w:eastAsia="es-ES"/>
        </w:rPr>
      </w:pPr>
    </w:p>
    <w:bookmarkEnd w:id="2781"/>
    <w:p w:rsidR="0017227E" w:rsidRPr="00611019" w:rsidRDefault="00E56462" w:rsidP="00035D2C">
      <w:pPr>
        <w:pStyle w:val="Sangradetextonormal"/>
        <w:ind w:start="0pt"/>
        <w:contextualSpacing/>
        <w:jc w:val="both"/>
        <w:rPr>
          <w:rFonts w:ascii="Century Gothic" w:hAnsi="Century Gothic" w:cs="Arial"/>
          <w:b/>
        </w:rPr>
      </w:pPr>
      <w:r>
        <w:rPr>
          <w:rFonts w:ascii="Century Gothic" w:hAnsi="Century Gothic" w:cs="Arial"/>
          <w:b/>
        </w:rPr>
        <w:t>CONVENIO DE PRESTACIÓN DE SERVICIOS DE DESAGREGACIÓN (EL “</w:t>
      </w:r>
      <w:r>
        <w:rPr>
          <w:rFonts w:ascii="Century Gothic" w:hAnsi="Century Gothic" w:cs="Arial"/>
          <w:b/>
          <w:u w:val="single"/>
        </w:rPr>
        <w:t>CONVENIO</w:t>
      </w:r>
      <w:r>
        <w:rPr>
          <w:rFonts w:ascii="Century Gothic" w:hAnsi="Century Gothic" w:cs="Arial"/>
          <w:b/>
        </w:rPr>
        <w:t>”) QUE CELEBRAN POR RED NACIONAL ÚLTIMA MILLA, S.A.P.I. DE C.V.  (EN LO SUCESIVO “</w:t>
      </w:r>
      <w:r>
        <w:rPr>
          <w:rFonts w:ascii="Century Gothic" w:hAnsi="Century Gothic" w:cs="Arial"/>
          <w:b/>
          <w:u w:val="single"/>
        </w:rPr>
        <w:t>RED NACIONAL</w:t>
      </w:r>
      <w:r>
        <w:rPr>
          <w:rFonts w:ascii="Century Gothic" w:hAnsi="Century Gothic" w:cs="Arial"/>
          <w:b/>
        </w:rPr>
        <w:t>”), REPRESENTADA EN ESTE ACTO POR ALEJANDRO LUIS PADILLA GONZÁLEZ Y POR LA OTRA PARTE [*] (EN LO SUCESIVO EL “</w:t>
      </w:r>
      <w:r>
        <w:rPr>
          <w:rFonts w:ascii="Century Gothic" w:hAnsi="Century Gothic" w:cs="Arial"/>
          <w:b/>
          <w:u w:val="single"/>
        </w:rPr>
        <w:t>CONCESIONARIO SOLICITANTE</w:t>
      </w:r>
      <w:r>
        <w:rPr>
          <w:rFonts w:ascii="Century Gothic" w:hAnsi="Century Gothic" w:cs="Arial"/>
          <w:b/>
        </w:rPr>
        <w:t>”), REPRESENTADA EN ESTE ACTO POR [*], A QUIENES EN LO SUCESIVO SE LES PODRÁ DENOMINAR DE MANERA CONJUNTA COMO LAS “PARTES”, AL TENOR DE LAS SIGUIENTES DECLARACIONES Y CLÁUSULAS:</w:t>
      </w:r>
    </w:p>
    <w:p w:rsidR="00B52B70" w:rsidRPr="00611019" w:rsidRDefault="00B52B70" w:rsidP="00035D2C">
      <w:pPr>
        <w:pStyle w:val="Sangradetextonormal"/>
        <w:contextualSpacing/>
        <w:jc w:val="both"/>
        <w:rPr>
          <w:rFonts w:ascii="Century Gothic" w:hAnsi="Century Gothic" w:cs="Arial"/>
          <w:sz w:val="24"/>
          <w:szCs w:val="24"/>
        </w:rPr>
      </w:pPr>
    </w:p>
    <w:p w:rsidR="0017227E" w:rsidRPr="00611019" w:rsidRDefault="00E56462" w:rsidP="00035D2C">
      <w:pPr>
        <w:pStyle w:val="Ttulo1"/>
        <w:spacing w:after="6pt"/>
        <w:contextualSpacing/>
        <w:jc w:val="center"/>
        <w:rPr>
          <w:rFonts w:ascii="Century Gothic" w:hAnsi="Century Gothic"/>
          <w:b w:val="0"/>
        </w:rPr>
      </w:pPr>
      <w:bookmarkStart w:id="2782" w:name="_Toc92974170"/>
      <w:bookmarkStart w:id="2783" w:name="_Toc93052481"/>
      <w:bookmarkStart w:id="2784" w:name="_Toc93056436"/>
      <w:bookmarkStart w:id="2785" w:name="_Toc125393500"/>
      <w:bookmarkStart w:id="2786" w:name="_Toc148702355"/>
      <w:bookmarkStart w:id="2787" w:name="_Toc170381970"/>
      <w:r>
        <w:rPr>
          <w:rFonts w:ascii="Century Gothic" w:hAnsi="Century Gothic"/>
        </w:rPr>
        <w:t>DECLARACIONES</w:t>
      </w:r>
      <w:bookmarkEnd w:id="2782"/>
      <w:bookmarkEnd w:id="2783"/>
      <w:bookmarkEnd w:id="2784"/>
      <w:bookmarkEnd w:id="2785"/>
      <w:bookmarkEnd w:id="2786"/>
      <w:bookmarkEnd w:id="2787"/>
    </w:p>
    <w:p w:rsidR="0017227E" w:rsidRPr="00611019" w:rsidRDefault="00E56462" w:rsidP="00035D2C">
      <w:pPr>
        <w:widowControl w:val="0"/>
        <w:adjustRightInd w:val="0"/>
        <w:spacing w:after="6pt"/>
        <w:ind w:start="21.30pt" w:hanging="21.30pt"/>
        <w:jc w:val="both"/>
        <w:textAlignment w:val="baseline"/>
        <w:rPr>
          <w:rFonts w:ascii="Century Gothic" w:hAnsi="Century Gothic" w:cs="Arial"/>
        </w:rPr>
      </w:pPr>
      <w:r>
        <w:rPr>
          <w:rFonts w:ascii="Century Gothic" w:hAnsi="Century Gothic" w:cs="Arial"/>
          <w:b/>
        </w:rPr>
        <w:t>I.</w:t>
      </w:r>
      <w:r>
        <w:rPr>
          <w:rFonts w:ascii="Century Gothic" w:hAnsi="Century Gothic" w:cs="Arial"/>
          <w:b/>
        </w:rPr>
        <w:tab/>
      </w:r>
      <w:r>
        <w:rPr>
          <w:rFonts w:ascii="Century Gothic" w:hAnsi="Century Gothic" w:cs="Arial"/>
        </w:rPr>
        <w:t>Declara el CONCESIONARIO SOLICITANTE, por conducto de su representante legal y bajo protesta de decir verdad, que:</w:t>
      </w:r>
    </w:p>
    <w:p w:rsidR="0017227E" w:rsidRPr="00611019" w:rsidRDefault="00E56462" w:rsidP="00035D2C">
      <w:pPr>
        <w:widowControl w:val="0"/>
        <w:adjustRightInd w:val="0"/>
        <w:spacing w:after="6pt"/>
        <w:ind w:start="21.30pt" w:hanging="21.30pt"/>
        <w:jc w:val="both"/>
        <w:textAlignment w:val="baseline"/>
        <w:rPr>
          <w:rFonts w:ascii="Century Gothic" w:hAnsi="Century Gothic" w:cs="Arial"/>
        </w:rPr>
      </w:pPr>
      <w:r>
        <w:rPr>
          <w:rFonts w:ascii="Century Gothic" w:hAnsi="Century Gothic" w:cs="Times New Roman"/>
          <w:b/>
        </w:rPr>
        <w:t>a)</w:t>
      </w:r>
      <w:r>
        <w:rPr>
          <w:rFonts w:ascii="Century Gothic" w:hAnsi="Century Gothic" w:cs="Times New Roman"/>
          <w:b/>
        </w:rPr>
        <w:tab/>
      </w:r>
      <w:r>
        <w:rPr>
          <w:rFonts w:ascii="Century Gothic" w:hAnsi="Century Gothic" w:cs="Arial"/>
        </w:rPr>
        <w:t xml:space="preserve">Es una sociedad mercantil constituida de acuerdo con las leyes de la República Mexicana, y que cuenta con la capacidad jurídica, financiera y administrativa, así como con las condiciones técnicas y económicas para obligarse en los términos del presente CONVENIO, en términos de lo dispuesto en la escritura pública [*] de fecha [*] otorgada ante la fe del [*], titular de la [*] Pública número [*] de [*], e inscrita en el Registro Público de [la Propiedad][y][de Comercio] bajo el folio mercantil [*] de fecha [*]; y [cuyos estatutos sociales vigentes][cuya última reforma a sus estatutos sociales] se encuentra[n] en la escritura pública [*] de fecha [*] pasada ante la fe de [*], titular de la [*] Pública número [*] de [*], e inscrita en el Registro Público de [la Propiedad][y][de Comercio] el [*]. Copia [simple][certificada] de estos documentos se agrega al CONVENIO como </w:t>
      </w:r>
      <w:r>
        <w:rPr>
          <w:rFonts w:ascii="Century Gothic" w:hAnsi="Century Gothic" w:cs="Arial"/>
          <w:b/>
          <w:bCs/>
        </w:rPr>
        <w:t>Apéndice I a)</w:t>
      </w:r>
      <w:r>
        <w:rPr>
          <w:rFonts w:ascii="Century Gothic" w:hAnsi="Century Gothic" w:cs="Arial"/>
        </w:rPr>
        <w:t>.</w:t>
      </w:r>
    </w:p>
    <w:p w:rsidR="0017227E" w:rsidRPr="00611019" w:rsidRDefault="00E56462" w:rsidP="00035D2C">
      <w:pPr>
        <w:widowControl w:val="0"/>
        <w:adjustRightInd w:val="0"/>
        <w:spacing w:after="6pt"/>
        <w:ind w:start="21.30pt" w:hanging="21.30pt"/>
        <w:jc w:val="both"/>
        <w:textAlignment w:val="baseline"/>
        <w:rPr>
          <w:rFonts w:ascii="Century Gothic" w:hAnsi="Century Gothic" w:cs="Arial"/>
        </w:rPr>
      </w:pPr>
      <w:r>
        <w:rPr>
          <w:rFonts w:ascii="Century Gothic" w:hAnsi="Century Gothic" w:cs="Times New Roman"/>
          <w:b/>
        </w:rPr>
        <w:t>b)</w:t>
      </w:r>
      <w:r>
        <w:rPr>
          <w:rFonts w:ascii="Century Gothic" w:hAnsi="Century Gothic" w:cs="Times New Roman"/>
          <w:b/>
        </w:rPr>
        <w:tab/>
      </w:r>
      <w:r>
        <w:rPr>
          <w:rFonts w:ascii="Century Gothic" w:hAnsi="Century Gothic" w:cs="Arial"/>
        </w:rPr>
        <w:t xml:space="preserve">Su representante legal cuenta con las facultades suficientes para obligar a su representada en los términos del CONVENIO, tal y como lo acredita con la escritura pública [*] de fecha [*] otorgada ante la fe de [*], titular de la [*] Pública número [*] de [*], e inscrita en el Registro Público de [la Propiedad][y][de Comercio] bajo el folio mercantil [*] el [*], y cuya copia [simple][certificada] se agrega al CONVENIO como </w:t>
      </w:r>
      <w:r>
        <w:rPr>
          <w:rFonts w:ascii="Century Gothic" w:hAnsi="Century Gothic" w:cs="Arial"/>
          <w:b/>
          <w:bCs/>
        </w:rPr>
        <w:t>Apéndice I b)</w:t>
      </w:r>
      <w:r>
        <w:rPr>
          <w:rFonts w:ascii="Century Gothic" w:hAnsi="Century Gothic" w:cs="Arial"/>
        </w:rPr>
        <w:t>.</w:t>
      </w:r>
    </w:p>
    <w:p w:rsidR="0017227E" w:rsidRPr="00611019" w:rsidRDefault="00E56462" w:rsidP="00035D2C">
      <w:pPr>
        <w:widowControl w:val="0"/>
        <w:adjustRightInd w:val="0"/>
        <w:spacing w:after="6pt"/>
        <w:ind w:start="21.30pt" w:hanging="21.30pt"/>
        <w:jc w:val="both"/>
        <w:textAlignment w:val="baseline"/>
        <w:rPr>
          <w:rFonts w:ascii="Century Gothic" w:hAnsi="Century Gothic" w:cs="Arial"/>
        </w:rPr>
      </w:pPr>
      <w:r>
        <w:rPr>
          <w:rFonts w:ascii="Century Gothic" w:hAnsi="Century Gothic" w:cs="Times New Roman"/>
          <w:b/>
        </w:rPr>
        <w:t>c)</w:t>
      </w:r>
      <w:r>
        <w:rPr>
          <w:rFonts w:ascii="Century Gothic" w:hAnsi="Century Gothic" w:cs="Times New Roman"/>
          <w:b/>
        </w:rPr>
        <w:tab/>
      </w:r>
      <w:r>
        <w:rPr>
          <w:rFonts w:ascii="Century Gothic" w:hAnsi="Century Gothic" w:cs="Arial"/>
        </w:rPr>
        <w:t>Es un [Concesionario] según lo acredita con el [*] para [*] otorgado por [*], e inscrito con el folio electrónico [*] en el Registro Público de Concesiones.</w:t>
      </w:r>
    </w:p>
    <w:p w:rsidR="0017227E" w:rsidRPr="00611019" w:rsidRDefault="00E56462" w:rsidP="00035D2C">
      <w:pPr>
        <w:widowControl w:val="0"/>
        <w:adjustRightInd w:val="0"/>
        <w:spacing w:after="6pt"/>
        <w:ind w:start="21.30pt" w:hanging="21.30pt"/>
        <w:jc w:val="both"/>
        <w:textAlignment w:val="baseline"/>
        <w:rPr>
          <w:rFonts w:ascii="Century Gothic" w:hAnsi="Century Gothic" w:cs="Arial"/>
        </w:rPr>
      </w:pPr>
      <w:r>
        <w:rPr>
          <w:rFonts w:ascii="Century Gothic" w:hAnsi="Century Gothic" w:cs="Times New Roman"/>
          <w:b/>
        </w:rPr>
        <w:t>d)</w:t>
      </w:r>
      <w:r>
        <w:rPr>
          <w:rFonts w:ascii="Century Gothic" w:hAnsi="Century Gothic" w:cs="Times New Roman"/>
          <w:b/>
        </w:rPr>
        <w:tab/>
      </w:r>
      <w:r>
        <w:rPr>
          <w:rFonts w:ascii="Century Gothic" w:hAnsi="Century Gothic" w:cs="Arial"/>
        </w:rPr>
        <w:t>Utilizará los Servicios objeto del presente CONVENIO para los fines que en cada caso se establezca en el presente CONVENIO, su anexo y la Oferta de Referencia.</w:t>
      </w:r>
    </w:p>
    <w:p w:rsidR="003521A5" w:rsidRPr="00611019" w:rsidRDefault="00E56462" w:rsidP="00035D2C">
      <w:pPr>
        <w:spacing w:after="8pt"/>
        <w:rPr>
          <w:rFonts w:ascii="Century Gothic" w:hAnsi="Century Gothic" w:cs="Arial"/>
        </w:rPr>
      </w:pPr>
      <w:r>
        <w:rPr>
          <w:rFonts w:ascii="Century Gothic" w:hAnsi="Century Gothic" w:cs="Arial"/>
        </w:rPr>
        <w:br w:type="page"/>
      </w:r>
    </w:p>
    <w:p w:rsidR="0017227E" w:rsidRPr="00611019" w:rsidRDefault="00E56462" w:rsidP="00035D2C">
      <w:pPr>
        <w:spacing w:after="6pt"/>
        <w:ind w:start="21.30pt" w:hanging="21.30pt"/>
        <w:jc w:val="both"/>
        <w:rPr>
          <w:rFonts w:ascii="Century Gothic" w:hAnsi="Century Gothic" w:cs="Arial"/>
        </w:rPr>
      </w:pPr>
      <w:r>
        <w:rPr>
          <w:rFonts w:ascii="Century Gothic" w:hAnsi="Century Gothic" w:cs="Arial"/>
          <w:b/>
        </w:rPr>
        <w:lastRenderedPageBreak/>
        <w:t>II.</w:t>
      </w:r>
      <w:r>
        <w:rPr>
          <w:rFonts w:ascii="Century Gothic" w:hAnsi="Century Gothic" w:cs="Arial"/>
          <w:bCs/>
        </w:rPr>
        <w:tab/>
        <w:t>Declara RED NACIONAL por conducto de su representante legal y bajo protesta de</w:t>
      </w:r>
      <w:r>
        <w:rPr>
          <w:rFonts w:ascii="Century Gothic" w:hAnsi="Century Gothic" w:cs="Arial"/>
        </w:rPr>
        <w:t xml:space="preserve"> decir verdad, que:</w:t>
      </w:r>
    </w:p>
    <w:p w:rsidR="00DF5A9F" w:rsidRPr="00611019" w:rsidRDefault="00E56462" w:rsidP="00035D2C">
      <w:pPr>
        <w:widowControl w:val="0"/>
        <w:tabs>
          <w:tab w:val="start" w:pos="35.45pt"/>
        </w:tabs>
        <w:adjustRightInd w:val="0"/>
        <w:spacing w:after="6pt"/>
        <w:ind w:start="21.30pt" w:hanging="21.30pt"/>
        <w:jc w:val="both"/>
        <w:textAlignment w:val="baseline"/>
        <w:rPr>
          <w:rFonts w:ascii="Century Gothic" w:hAnsi="Century Gothic" w:cs="Arial"/>
        </w:rPr>
      </w:pPr>
      <w:r>
        <w:rPr>
          <w:rFonts w:ascii="Century Gothic" w:eastAsia="Times New Roman" w:hAnsi="Century Gothic" w:cs="Arial"/>
          <w:b/>
        </w:rPr>
        <w:t>a)</w:t>
      </w:r>
      <w:r>
        <w:rPr>
          <w:rFonts w:ascii="Century Gothic" w:eastAsia="Times New Roman" w:hAnsi="Century Gothic" w:cs="Arial"/>
          <w:b/>
        </w:rPr>
        <w:tab/>
      </w:r>
      <w:r>
        <w:rPr>
          <w:rFonts w:ascii="Century Gothic" w:hAnsi="Century Gothic" w:cs="Arial"/>
        </w:rPr>
        <w:t>Es una sociedad mercantil constituida y existente de acuerdo con las leyes de los Estados Unidos Mexicanos, según consta en la escritura pública 166,336 de fecha 28 de junio de 2018, otorgada ante la fe del Notario Público número 54 del Distrito Federal (hoy Ciudad de México), licenciado Homero Díaz Rodríguez, e inscrita en el Registro Público de Comercio de la Ciudad de México, en el folio mercantil electrónico N-2018060415, con fecha 25 de julio de 2018 y clave única de documento A2018062519444196; y cuya última reforma de estatutos se encuentra contenida en la escritura pública 174,691 de fecha 29 de enero de 2020, otorgada ante la fe del referido Notario Público 54 del Distrito Federal (hoy Ciudad de México), en trámite de inscripción en el Registro Público de Comercio de la Ciudad de México dado lo reciente de su otorgamiento. Copia simple de estos documentos se agrega al CONVENIO como Apéndice II a).</w:t>
      </w:r>
    </w:p>
    <w:p w:rsidR="00DF5A9F" w:rsidRPr="00611019" w:rsidRDefault="00E56462" w:rsidP="00035D2C">
      <w:pPr>
        <w:widowControl w:val="0"/>
        <w:tabs>
          <w:tab w:val="start" w:pos="14.20pt"/>
        </w:tabs>
        <w:adjustRightInd w:val="0"/>
        <w:spacing w:after="6pt"/>
        <w:ind w:start="21.30pt" w:hanging="21.30pt"/>
        <w:jc w:val="both"/>
        <w:textAlignment w:val="baseline"/>
        <w:rPr>
          <w:rFonts w:ascii="Century Gothic" w:hAnsi="Century Gothic" w:cs="Arial"/>
        </w:rPr>
      </w:pPr>
      <w:r>
        <w:rPr>
          <w:rFonts w:ascii="Century Gothic" w:eastAsia="Times New Roman" w:hAnsi="Century Gothic" w:cs="Arial"/>
          <w:b/>
        </w:rPr>
        <w:t>b)</w:t>
      </w:r>
      <w:r>
        <w:rPr>
          <w:rFonts w:ascii="Century Gothic" w:eastAsia="Times New Roman" w:hAnsi="Century Gothic" w:cs="Arial"/>
          <w:b/>
        </w:rPr>
        <w:tab/>
      </w:r>
      <w:r>
        <w:rPr>
          <w:rFonts w:ascii="Century Gothic" w:hAnsi="Century Gothic" w:cs="Arial"/>
        </w:rPr>
        <w:t>Su objeto social es, entre otros, la prestación de los servicios mayoristas que le fueron conferidos al amparo de su Título de Concesión, entre ellos los Servicios objeto del presente CONVENIO.</w:t>
      </w:r>
    </w:p>
    <w:p w:rsidR="00DF5A9F" w:rsidRPr="00611019" w:rsidRDefault="00E56462" w:rsidP="00035D2C">
      <w:pPr>
        <w:spacing w:after="6pt"/>
        <w:ind w:start="21.30pt" w:hanging="21.30pt"/>
        <w:jc w:val="both"/>
        <w:textAlignment w:val="baseline"/>
        <w:rPr>
          <w:rFonts w:ascii="Century Gothic" w:hAnsi="Century Gothic" w:cs="Arial"/>
        </w:rPr>
      </w:pPr>
      <w:bookmarkStart w:id="2788" w:name="_Hlk50579861"/>
      <w:r>
        <w:rPr>
          <w:rFonts w:ascii="Century Gothic" w:eastAsia="Times New Roman" w:hAnsi="Century Gothic" w:cs="Arial"/>
          <w:b/>
        </w:rPr>
        <w:t>c)</w:t>
      </w:r>
      <w:r>
        <w:rPr>
          <w:rFonts w:ascii="Century Gothic" w:eastAsia="Times New Roman" w:hAnsi="Century Gothic" w:cs="Arial"/>
          <w:b/>
        </w:rPr>
        <w:tab/>
      </w:r>
      <w:r>
        <w:rPr>
          <w:rFonts w:ascii="Century Gothic" w:hAnsi="Century Gothic" w:cs="Arial"/>
        </w:rPr>
        <w:t>Su apoderado legal cuenta con las facultades suficientes para obligar a su representada en los términos del presente Convenio, tal y como lo acredita con copia certificada de la escritura pública número 176,055 de fecha 4 de mayo de 2020, otorgada ante la fe del licenciado Homero Díaz Rodríguez, Notario Público número 54 de la Ciudad de México, con residencia en la Ciudad de México, misma que se encuentra inscrita en el Registro Público de Comercio de la Ciudad de México bajo el número de folio N-2018060415.</w:t>
      </w:r>
    </w:p>
    <w:bookmarkEnd w:id="2788"/>
    <w:p w:rsidR="00DF5A9F" w:rsidRPr="00611019" w:rsidRDefault="00E56462" w:rsidP="00583DEB">
      <w:pPr>
        <w:widowControl w:val="0"/>
        <w:spacing w:after="6pt"/>
        <w:ind w:start="21.30pt" w:hanging="21.30pt"/>
        <w:jc w:val="both"/>
        <w:rPr>
          <w:rFonts w:ascii="Century Gothic" w:hAnsi="Century Gothic" w:cs="Arial"/>
          <w:lang w:val="es-ES_tradnl"/>
        </w:rPr>
      </w:pPr>
      <w:r>
        <w:rPr>
          <w:rFonts w:ascii="Century Gothic" w:eastAsia="Calibri" w:hAnsi="Century Gothic" w:cs="Arial"/>
          <w:b/>
          <w:lang w:val="es-ES_tradnl"/>
        </w:rPr>
        <w:t>d)</w:t>
      </w:r>
      <w:r>
        <w:rPr>
          <w:rFonts w:ascii="Century Gothic" w:eastAsia="Calibri" w:hAnsi="Century Gothic" w:cs="Arial"/>
          <w:b/>
          <w:lang w:val="es-ES_tradnl"/>
        </w:rPr>
        <w:tab/>
      </w:r>
      <w:r>
        <w:rPr>
          <w:rFonts w:ascii="Century Gothic" w:hAnsi="Century Gothic" w:cs="Arial"/>
          <w:lang w:val="es-ES_tradnl"/>
        </w:rPr>
        <w:t>Tener título de concesión otorgado por el Instituto Federal de Telecomunicaciones, que le faculta, entre otros, a prestar los servicios mayoristas descritos en el mismo.</w:t>
      </w:r>
    </w:p>
    <w:p w:rsidR="001811FA" w:rsidRPr="00611019" w:rsidRDefault="00E56462" w:rsidP="00583DEB">
      <w:pPr>
        <w:pStyle w:val="Prrafodelista"/>
        <w:widowControl w:val="0"/>
        <w:numPr>
          <w:ilvl w:val="0"/>
          <w:numId w:val="179"/>
        </w:numPr>
        <w:adjustRightInd w:val="0"/>
        <w:spacing w:after="6pt"/>
        <w:ind w:start="21.25pt" w:hanging="21.25pt"/>
        <w:jc w:val="both"/>
        <w:textAlignment w:val="baseline"/>
        <w:rPr>
          <w:rFonts w:ascii="Century Gothic" w:hAnsi="Century Gothic" w:cs="Arial"/>
          <w:bCs/>
          <w:lang w:val="es-ES_tradnl"/>
        </w:rPr>
      </w:pPr>
      <w:r>
        <w:rPr>
          <w:rFonts w:ascii="Century Gothic" w:hAnsi="Century Gothic" w:cs="Arial"/>
          <w:bCs/>
          <w:lang w:val="es-ES_tradnl"/>
        </w:rPr>
        <w:t>Es un Concesionario facultado para prestar servicios mayoristas de telecomunicaciones, según lo acredita con el título de concesión para uso comercial otorgado por el Instituto con información, oferta y calidad de Servicios, acuerdos en exclusiva, limitaciones al uso de equipos terminales entre redes, regulación asimétrica en tarifas e infraestructura de red, incluyendo la desagregación de sus elementos esenciales y, en su caso, la separación contable, funcional o estructural al Agente Económico Preponderante, en los servicios de telecomunicaciones fijos”, que se contienen en el Anexo 2 de dicha resolución (en lo sucesivo las “Medidas”);</w:t>
      </w:r>
    </w:p>
    <w:p w:rsidR="00DF5A9F" w:rsidRPr="00611019" w:rsidRDefault="00DF5A9F" w:rsidP="00035D2C">
      <w:pPr>
        <w:spacing w:after="6pt"/>
        <w:ind w:start="21.30pt" w:hanging="21.30pt"/>
        <w:jc w:val="both"/>
        <w:rPr>
          <w:rFonts w:ascii="Century Gothic" w:hAnsi="Century Gothic" w:cs="Arial"/>
          <w:sz w:val="20"/>
          <w:szCs w:val="20"/>
        </w:rPr>
      </w:pPr>
    </w:p>
    <w:p w:rsidR="0017227E" w:rsidRPr="00611019" w:rsidRDefault="00E56462" w:rsidP="00035D2C">
      <w:pPr>
        <w:pStyle w:val="Sangradetextonormal"/>
        <w:ind w:start="21.30pt" w:hanging="21.30pt"/>
        <w:jc w:val="both"/>
        <w:rPr>
          <w:rFonts w:ascii="Century Gothic" w:hAnsi="Century Gothic" w:cs="Arial"/>
        </w:rPr>
      </w:pPr>
      <w:r>
        <w:rPr>
          <w:rFonts w:ascii="Century Gothic" w:hAnsi="Century Gothic" w:cs="Arial"/>
          <w:b/>
        </w:rPr>
        <w:t>III.</w:t>
      </w:r>
      <w:r>
        <w:rPr>
          <w:rFonts w:ascii="Century Gothic" w:hAnsi="Century Gothic" w:cs="Arial"/>
          <w:b/>
        </w:rPr>
        <w:tab/>
      </w:r>
      <w:r>
        <w:rPr>
          <w:rFonts w:ascii="Century Gothic" w:hAnsi="Century Gothic" w:cs="Arial"/>
        </w:rPr>
        <w:t>Las Partes, por conducto de sus representantes legales y bajo protesta de decir verdad, declaran que:</w:t>
      </w:r>
    </w:p>
    <w:p w:rsidR="0017227E" w:rsidRPr="00611019" w:rsidRDefault="00E56462" w:rsidP="00035D2C">
      <w:pPr>
        <w:pStyle w:val="Sangradetextonormal"/>
        <w:tabs>
          <w:tab w:val="start" w:pos="0pt"/>
          <w:tab w:val="start" w:pos="35.45pt"/>
          <w:tab w:val="start" w:pos="45pt"/>
          <w:tab w:val="start" w:pos="54pt"/>
        </w:tabs>
        <w:ind w:start="35.25pt" w:hanging="35.25pt"/>
        <w:jc w:val="both"/>
        <w:rPr>
          <w:rFonts w:ascii="Century Gothic" w:hAnsi="Century Gothic" w:cs="Arial"/>
        </w:rPr>
      </w:pPr>
      <w:r>
        <w:rPr>
          <w:rFonts w:ascii="Century Gothic" w:hAnsi="Century Gothic" w:cs="Arial"/>
          <w:b/>
        </w:rPr>
        <w:t>Único.</w:t>
      </w:r>
      <w:r>
        <w:rPr>
          <w:rFonts w:ascii="Century Gothic" w:hAnsi="Century Gothic" w:cs="Arial"/>
        </w:rPr>
        <w:tab/>
        <w:t>Para la aplicación del presente CONVENIO, se someten de manera expresa a lo previsto en su clausulado, así como la Oferta de Referencia de Desagregación y sus anexos suscritos entre las Partes (en lo sucesivo, la “</w:t>
      </w:r>
      <w:r>
        <w:rPr>
          <w:rFonts w:ascii="Century Gothic" w:hAnsi="Century Gothic" w:cs="Arial"/>
          <w:b/>
          <w:u w:val="single"/>
        </w:rPr>
        <w:t>Oferta de Referencia</w:t>
      </w:r>
      <w:r>
        <w:rPr>
          <w:rFonts w:ascii="Century Gothic" w:hAnsi="Century Gothic" w:cs="Arial"/>
        </w:rPr>
        <w:t>”).</w:t>
      </w:r>
    </w:p>
    <w:p w:rsidR="0017227E" w:rsidRPr="00611019" w:rsidRDefault="00E56462" w:rsidP="00035D2C">
      <w:pPr>
        <w:pStyle w:val="Textoindependiente"/>
        <w:tabs>
          <w:tab w:val="start" w:pos="0pt"/>
          <w:tab w:val="start" w:pos="36pt"/>
          <w:tab w:val="start" w:pos="72pt"/>
          <w:tab w:val="start" w:pos="108pt"/>
          <w:tab w:val="start" w:pos="144pt"/>
          <w:tab w:val="start" w:pos="180pt"/>
          <w:tab w:val="start" w:pos="216pt"/>
          <w:tab w:val="start" w:pos="252pt"/>
          <w:tab w:val="start" w:pos="288pt"/>
          <w:tab w:val="start" w:pos="324pt"/>
          <w:tab w:val="start" w:pos="360pt"/>
          <w:tab w:val="start" w:pos="396pt"/>
          <w:tab w:val="start" w:pos="432pt"/>
          <w:tab w:val="start" w:pos="468pt"/>
          <w:tab w:val="start" w:pos="504pt"/>
          <w:tab w:val="start" w:pos="540pt"/>
          <w:tab w:val="start" w:pos="576pt"/>
          <w:tab w:val="start" w:pos="612pt"/>
          <w:tab w:val="start" w:pos="648pt"/>
          <w:tab w:val="start" w:pos="684pt"/>
          <w:tab w:val="start" w:pos="720pt"/>
          <w:tab w:val="start" w:pos="756pt"/>
          <w:tab w:val="start" w:pos="792pt"/>
          <w:tab w:val="start" w:pos="828pt"/>
          <w:tab w:val="start" w:pos="864pt"/>
          <w:tab w:val="start" w:pos="900pt"/>
          <w:tab w:val="start" w:pos="936pt"/>
          <w:tab w:val="start" w:pos="972pt"/>
          <w:tab w:val="start" w:pos="1008pt"/>
          <w:tab w:val="start" w:pos="1044pt"/>
          <w:tab w:val="start" w:pos="1080pt"/>
          <w:tab w:val="start" w:pos="1116pt"/>
          <w:tab w:val="start" w:pos="1152pt"/>
          <w:tab w:val="start" w:pos="1188pt"/>
          <w:tab w:val="start" w:pos="1224pt"/>
          <w:tab w:val="start" w:pos="1260pt"/>
          <w:tab w:val="start" w:pos="1296pt"/>
          <w:tab w:val="start" w:pos="1332pt"/>
        </w:tabs>
        <w:jc w:val="both"/>
        <w:rPr>
          <w:rFonts w:ascii="Century Gothic" w:hAnsi="Century Gothic" w:cs="Arial"/>
          <w:lang w:val="es-ES_tradnl"/>
        </w:rPr>
      </w:pPr>
      <w:r>
        <w:rPr>
          <w:rFonts w:ascii="Century Gothic" w:hAnsi="Century Gothic" w:cs="Arial"/>
          <w:lang w:val="es-ES_tradnl"/>
        </w:rPr>
        <w:t>Expuesto lo anterior, las Partes convienen en otorgar las siguientes:</w:t>
      </w:r>
    </w:p>
    <w:p w:rsidR="0017227E" w:rsidRPr="00611019" w:rsidRDefault="0017227E" w:rsidP="00035D2C">
      <w:pPr>
        <w:pStyle w:val="Textoindependiente"/>
        <w:tabs>
          <w:tab w:val="start" w:pos="0pt"/>
          <w:tab w:val="start" w:pos="36pt"/>
          <w:tab w:val="start" w:pos="72pt"/>
          <w:tab w:val="start" w:pos="108pt"/>
          <w:tab w:val="start" w:pos="144pt"/>
          <w:tab w:val="start" w:pos="180pt"/>
          <w:tab w:val="start" w:pos="216pt"/>
          <w:tab w:val="start" w:pos="252pt"/>
          <w:tab w:val="start" w:pos="288pt"/>
          <w:tab w:val="start" w:pos="324pt"/>
          <w:tab w:val="start" w:pos="360pt"/>
          <w:tab w:val="start" w:pos="396pt"/>
          <w:tab w:val="start" w:pos="432pt"/>
          <w:tab w:val="start" w:pos="468pt"/>
          <w:tab w:val="start" w:pos="504pt"/>
          <w:tab w:val="start" w:pos="540pt"/>
          <w:tab w:val="start" w:pos="576pt"/>
          <w:tab w:val="start" w:pos="612pt"/>
          <w:tab w:val="start" w:pos="648pt"/>
          <w:tab w:val="start" w:pos="684pt"/>
          <w:tab w:val="start" w:pos="720pt"/>
          <w:tab w:val="start" w:pos="756pt"/>
          <w:tab w:val="start" w:pos="792pt"/>
          <w:tab w:val="start" w:pos="828pt"/>
          <w:tab w:val="start" w:pos="864pt"/>
          <w:tab w:val="start" w:pos="900pt"/>
          <w:tab w:val="start" w:pos="936pt"/>
          <w:tab w:val="start" w:pos="972pt"/>
          <w:tab w:val="start" w:pos="1008pt"/>
          <w:tab w:val="start" w:pos="1044pt"/>
          <w:tab w:val="start" w:pos="1080pt"/>
          <w:tab w:val="start" w:pos="1116pt"/>
          <w:tab w:val="start" w:pos="1152pt"/>
          <w:tab w:val="start" w:pos="1188pt"/>
          <w:tab w:val="start" w:pos="1224pt"/>
          <w:tab w:val="start" w:pos="1260pt"/>
          <w:tab w:val="start" w:pos="1296pt"/>
          <w:tab w:val="start" w:pos="1332pt"/>
        </w:tabs>
        <w:jc w:val="both"/>
        <w:rPr>
          <w:rFonts w:ascii="Century Gothic" w:hAnsi="Century Gothic" w:cs="Arial"/>
          <w:lang w:val="es-ES_tradnl"/>
        </w:rPr>
      </w:pPr>
    </w:p>
    <w:p w:rsidR="0017227E" w:rsidRPr="00611019" w:rsidRDefault="00E56462" w:rsidP="00035D2C">
      <w:pPr>
        <w:pStyle w:val="Ttulo1"/>
        <w:spacing w:after="6pt"/>
        <w:contextualSpacing/>
        <w:jc w:val="center"/>
        <w:rPr>
          <w:rFonts w:ascii="Century Gothic" w:hAnsi="Century Gothic"/>
          <w:szCs w:val="24"/>
        </w:rPr>
      </w:pPr>
      <w:bookmarkStart w:id="2789" w:name="_Toc92974171"/>
      <w:bookmarkStart w:id="2790" w:name="_Toc93052482"/>
      <w:bookmarkStart w:id="2791" w:name="_Toc93056437"/>
      <w:bookmarkStart w:id="2792" w:name="_Toc125393501"/>
      <w:bookmarkStart w:id="2793" w:name="_Toc148702356"/>
      <w:bookmarkStart w:id="2794" w:name="_Toc170381971"/>
      <w:r>
        <w:rPr>
          <w:rFonts w:ascii="Century Gothic" w:hAnsi="Century Gothic"/>
          <w:szCs w:val="24"/>
        </w:rPr>
        <w:t>CLÁUSULAS</w:t>
      </w:r>
      <w:bookmarkEnd w:id="2789"/>
      <w:bookmarkEnd w:id="2790"/>
      <w:bookmarkEnd w:id="2791"/>
      <w:bookmarkEnd w:id="2792"/>
      <w:bookmarkEnd w:id="2793"/>
      <w:bookmarkEnd w:id="2794"/>
    </w:p>
    <w:p w:rsidR="00D80D30" w:rsidRPr="00611019" w:rsidRDefault="00E56462" w:rsidP="00035D2C">
      <w:pPr>
        <w:pStyle w:val="0Tit11"/>
        <w:spacing w:line="13.80pt" w:lineRule="auto"/>
      </w:pPr>
      <w:bookmarkStart w:id="2795" w:name="_Toc92974172"/>
      <w:bookmarkStart w:id="2796" w:name="_Toc93052483"/>
      <w:bookmarkStart w:id="2797" w:name="_Toc93056438"/>
      <w:bookmarkStart w:id="2798" w:name="_Toc125393502"/>
      <w:bookmarkStart w:id="2799" w:name="_Toc148702357"/>
      <w:bookmarkStart w:id="2800" w:name="_Toc170381972"/>
      <w:r>
        <w:t>Primera. DEFINICIONES</w:t>
      </w:r>
      <w:bookmarkEnd w:id="2795"/>
      <w:bookmarkEnd w:id="2796"/>
      <w:bookmarkEnd w:id="2797"/>
      <w:bookmarkEnd w:id="2798"/>
      <w:bookmarkEnd w:id="2799"/>
      <w:bookmarkEnd w:id="2800"/>
    </w:p>
    <w:p w:rsidR="00971EC1" w:rsidRPr="00611019" w:rsidRDefault="00E56462" w:rsidP="00035D2C">
      <w:pPr>
        <w:pStyle w:val="CitaIFT0"/>
        <w:spacing w:after="6pt"/>
        <w:ind w:start="0pt" w:end="0pt"/>
        <w:rPr>
          <w:rFonts w:ascii="Century Gothic" w:hAnsi="Century Gothic"/>
          <w:i w:val="0"/>
          <w:color w:val="auto"/>
          <w:sz w:val="22"/>
        </w:rPr>
      </w:pPr>
      <w:r>
        <w:rPr>
          <w:rFonts w:ascii="Century Gothic" w:hAnsi="Century Gothic"/>
          <w:i w:val="0"/>
          <w:color w:val="auto"/>
          <w:sz w:val="22"/>
        </w:rPr>
        <w:t xml:space="preserve">Las Partes aceptan y convienen que </w:t>
      </w:r>
      <w:r>
        <w:rPr>
          <w:rFonts w:ascii="Century Gothic" w:hAnsi="Century Gothic"/>
          <w:i w:val="0"/>
          <w:color w:val="auto"/>
          <w:sz w:val="22"/>
          <w:szCs w:val="22"/>
        </w:rPr>
        <w:t xml:space="preserve">salvo por </w:t>
      </w:r>
      <w:r>
        <w:rPr>
          <w:rFonts w:ascii="Century Gothic" w:hAnsi="Century Gothic"/>
          <w:i w:val="0"/>
          <w:color w:val="auto"/>
          <w:sz w:val="22"/>
        </w:rPr>
        <w:t xml:space="preserve">los términos </w:t>
      </w:r>
      <w:r>
        <w:rPr>
          <w:rFonts w:ascii="Century Gothic" w:hAnsi="Century Gothic"/>
          <w:i w:val="0"/>
          <w:color w:val="auto"/>
          <w:sz w:val="22"/>
          <w:szCs w:val="22"/>
        </w:rPr>
        <w:t>que sean definidos</w:t>
      </w:r>
      <w:r>
        <w:rPr>
          <w:rFonts w:ascii="Century Gothic" w:hAnsi="Century Gothic"/>
          <w:i w:val="0"/>
          <w:color w:val="auto"/>
          <w:sz w:val="22"/>
        </w:rPr>
        <w:t xml:space="preserve"> en este </w:t>
      </w:r>
      <w:r>
        <w:rPr>
          <w:rFonts w:ascii="Century Gothic" w:hAnsi="Century Gothic"/>
          <w:i w:val="0"/>
          <w:color w:val="auto"/>
          <w:sz w:val="22"/>
          <w:szCs w:val="22"/>
        </w:rPr>
        <w:t>CONVENIO, el resto de los términos definidos empleados en el mismo,</w:t>
      </w:r>
      <w:r>
        <w:rPr>
          <w:rFonts w:ascii="Century Gothic" w:hAnsi="Century Gothic"/>
          <w:i w:val="0"/>
          <w:color w:val="auto"/>
          <w:sz w:val="22"/>
        </w:rPr>
        <w:t xml:space="preserve"> tendrán la definición y significado que se atribuye el apartado “DEFINICIONES” de la Oferta de Referencia, salvo que de manera específica se les atribuya un significado distinto.</w:t>
      </w:r>
    </w:p>
    <w:p w:rsidR="00512B56" w:rsidRPr="00611019" w:rsidRDefault="00E56462" w:rsidP="00035D2C">
      <w:pPr>
        <w:pStyle w:val="CitaIFT0"/>
        <w:spacing w:after="6pt"/>
        <w:ind w:start="0pt" w:end="0pt"/>
        <w:rPr>
          <w:rFonts w:ascii="Century Gothic" w:hAnsi="Century Gothic"/>
          <w:i w:val="0"/>
          <w:color w:val="auto"/>
          <w:sz w:val="22"/>
          <w:szCs w:val="22"/>
        </w:rPr>
      </w:pPr>
      <w:r>
        <w:rPr>
          <w:rFonts w:ascii="Century Gothic" w:hAnsi="Century Gothic"/>
          <w:i w:val="0"/>
          <w:color w:val="auto"/>
          <w:sz w:val="22"/>
          <w:szCs w:val="22"/>
        </w:rPr>
        <w:t>Aquellos términos no definidos en la Oferta de Referencia (o en alguno de sus anexos), tendrán el significado que les atribuye la Ley, así como los demás ordenamientos legales, reglamentarios o administrativos aplicables en la materia o en las recomendaciones de la Unión Internacional de Telecomunicaciones o, en su defecto, las recomendaciones emitidas por organismos internacionales reconocidos que resulten aplicables.</w:t>
      </w:r>
    </w:p>
    <w:p w:rsidR="0017227E" w:rsidRPr="00611019" w:rsidRDefault="00E56462" w:rsidP="00035D2C">
      <w:pPr>
        <w:pStyle w:val="0Tit11"/>
        <w:spacing w:line="13.80pt" w:lineRule="auto"/>
      </w:pPr>
      <w:bookmarkStart w:id="2801" w:name="_Toc92974173"/>
      <w:bookmarkStart w:id="2802" w:name="_Toc93052484"/>
      <w:bookmarkStart w:id="2803" w:name="_Toc93056439"/>
      <w:bookmarkStart w:id="2804" w:name="_Toc125393503"/>
      <w:bookmarkStart w:id="2805" w:name="_Toc148702358"/>
      <w:bookmarkStart w:id="2806" w:name="_Toc170381973"/>
      <w:r>
        <w:t>Segunda. OBJETO</w:t>
      </w:r>
      <w:bookmarkEnd w:id="2801"/>
      <w:bookmarkEnd w:id="2802"/>
      <w:bookmarkEnd w:id="2803"/>
      <w:bookmarkEnd w:id="2804"/>
      <w:bookmarkEnd w:id="2805"/>
      <w:bookmarkEnd w:id="2806"/>
    </w:p>
    <w:p w:rsidR="00DC3687" w:rsidRPr="00611019" w:rsidRDefault="00E56462" w:rsidP="00035D2C">
      <w:pPr>
        <w:pStyle w:val="Ttulo3"/>
        <w:spacing w:after="6pt" w:line="13.80pt" w:lineRule="auto"/>
        <w:ind w:start="36pt" w:hanging="36pt"/>
        <w:jc w:val="start"/>
        <w:rPr>
          <w:rFonts w:ascii="Century Gothic" w:hAnsi="Century Gothic"/>
          <w:szCs w:val="22"/>
        </w:rPr>
      </w:pPr>
      <w:bookmarkStart w:id="2807" w:name="_Toc170381974"/>
      <w:r>
        <w:rPr>
          <w:rFonts w:ascii="Century Gothic" w:hAnsi="Century Gothic"/>
          <w:szCs w:val="22"/>
        </w:rPr>
        <w:t>2.1</w:t>
      </w:r>
      <w:r>
        <w:rPr>
          <w:rFonts w:ascii="Century Gothic" w:hAnsi="Century Gothic"/>
          <w:szCs w:val="22"/>
        </w:rPr>
        <w:tab/>
        <w:t>Alcance de los Servicios.</w:t>
      </w:r>
      <w:bookmarkEnd w:id="2807"/>
    </w:p>
    <w:p w:rsidR="0017227E" w:rsidRPr="00611019" w:rsidRDefault="00E56462" w:rsidP="00035D2C">
      <w:pPr>
        <w:widowControl w:val="0"/>
        <w:tabs>
          <w:tab w:val="start" w:pos="28.35pt"/>
        </w:tabs>
        <w:adjustRightInd w:val="0"/>
        <w:spacing w:after="6pt"/>
        <w:contextualSpacing/>
        <w:jc w:val="both"/>
        <w:textAlignment w:val="baseline"/>
        <w:rPr>
          <w:rFonts w:ascii="Century Gothic" w:hAnsi="Century Gothic" w:cs="Arial"/>
          <w:lang w:val="es-ES_tradnl"/>
        </w:rPr>
      </w:pPr>
      <w:r>
        <w:rPr>
          <w:rFonts w:ascii="Century Gothic" w:hAnsi="Century Gothic" w:cs="Arial"/>
          <w:bCs/>
          <w:lang w:val="es-ES_tradnl"/>
        </w:rPr>
        <w:t>RED NACIONAL</w:t>
      </w:r>
      <w:r>
        <w:rPr>
          <w:rFonts w:ascii="Century Gothic" w:hAnsi="Century Gothic" w:cs="Arial"/>
          <w:b/>
          <w:lang w:val="es-ES_tradnl"/>
        </w:rPr>
        <w:t xml:space="preserve"> </w:t>
      </w:r>
      <w:r>
        <w:rPr>
          <w:rFonts w:ascii="Century Gothic" w:hAnsi="Century Gothic" w:cs="Arial"/>
          <w:lang w:val="es-ES_tradnl"/>
        </w:rPr>
        <w:t>se obliga a prestar al CONCESIONARIO SOLICITANTE los Servicios objeto del presente CONVENIO (los “</w:t>
      </w:r>
      <w:r>
        <w:rPr>
          <w:rFonts w:ascii="Century Gothic" w:hAnsi="Century Gothic" w:cs="Arial"/>
          <w:u w:val="single"/>
          <w:lang w:val="es-ES_tradnl"/>
        </w:rPr>
        <w:t>Servicios</w:t>
      </w:r>
      <w:r>
        <w:rPr>
          <w:rFonts w:ascii="Century Gothic" w:hAnsi="Century Gothic" w:cs="Arial"/>
          <w:lang w:val="es-ES_tradnl"/>
        </w:rPr>
        <w:t xml:space="preserve">”), de conformidad con los términos y condiciones establecidos en la Oferta de Referencia, así como lo estipulado en sus respectivos anexos suscritos entre las Partes, en los cuales se detallan las características, términos y condiciones propias para la prestación de cada uno de los Servicios. </w:t>
      </w:r>
    </w:p>
    <w:p w:rsidR="005E4A0C" w:rsidRPr="00611019" w:rsidRDefault="005E4A0C" w:rsidP="00035D2C">
      <w:pPr>
        <w:spacing w:after="6pt"/>
        <w:contextualSpacing/>
        <w:jc w:val="both"/>
        <w:rPr>
          <w:rFonts w:ascii="Century Gothic" w:hAnsi="Century Gothic" w:cs="Arial"/>
          <w:lang w:val="es-ES_tradnl"/>
        </w:rPr>
      </w:pPr>
    </w:p>
    <w:p w:rsidR="00E10CFA" w:rsidRPr="00611019" w:rsidRDefault="00E56462" w:rsidP="00035D2C">
      <w:pPr>
        <w:pStyle w:val="Ttulo3"/>
        <w:spacing w:after="6pt" w:line="13.80pt" w:lineRule="auto"/>
        <w:ind w:start="36pt" w:hanging="36pt"/>
        <w:jc w:val="start"/>
        <w:rPr>
          <w:rFonts w:ascii="Century Gothic" w:hAnsi="Century Gothic"/>
          <w:szCs w:val="22"/>
        </w:rPr>
      </w:pPr>
      <w:bookmarkStart w:id="2808" w:name="_Toc93052485"/>
      <w:bookmarkStart w:id="2809" w:name="_Toc93056440"/>
      <w:bookmarkStart w:id="2810" w:name="_Toc125393504"/>
      <w:bookmarkStart w:id="2811" w:name="_Toc148702359"/>
      <w:bookmarkStart w:id="2812" w:name="_Toc170381975"/>
      <w:r>
        <w:rPr>
          <w:rFonts w:ascii="Century Gothic" w:hAnsi="Century Gothic"/>
          <w:szCs w:val="22"/>
        </w:rPr>
        <w:t>2.2</w:t>
      </w:r>
      <w:r>
        <w:rPr>
          <w:rFonts w:ascii="Century Gothic" w:hAnsi="Century Gothic"/>
          <w:szCs w:val="22"/>
        </w:rPr>
        <w:tab/>
        <w:t>Inicio de la prestación de los Servicios.</w:t>
      </w:r>
      <w:bookmarkEnd w:id="2808"/>
      <w:bookmarkEnd w:id="2809"/>
      <w:bookmarkEnd w:id="2810"/>
      <w:bookmarkEnd w:id="2811"/>
      <w:bookmarkEnd w:id="2812"/>
    </w:p>
    <w:p w:rsidR="0017227E" w:rsidRPr="00611019" w:rsidRDefault="00E56462" w:rsidP="00035D2C">
      <w:pPr>
        <w:pStyle w:val="CitaIFT0"/>
        <w:spacing w:after="6pt"/>
        <w:ind w:start="0pt" w:end="0pt"/>
        <w:rPr>
          <w:rFonts w:ascii="Century Gothic" w:hAnsi="Century Gothic"/>
          <w:i w:val="0"/>
          <w:color w:val="auto"/>
          <w:sz w:val="22"/>
          <w:szCs w:val="22"/>
        </w:rPr>
      </w:pPr>
      <w:r>
        <w:rPr>
          <w:rFonts w:ascii="Century Gothic" w:hAnsi="Century Gothic"/>
          <w:i w:val="0"/>
          <w:color w:val="auto"/>
          <w:sz w:val="22"/>
          <w:szCs w:val="22"/>
        </w:rPr>
        <w:t xml:space="preserve">La prestación de los Servicios estará disponible a nivel nacional en todas las Centrales Telefónicas o Instalaciones Equivalentes. Para el caso del Servicio de Coubicación el CONCESIONARIO SOLICITANTE podrá requerir adecuaciones de los espacios bajo la </w:t>
      </w:r>
      <w:r>
        <w:rPr>
          <w:rFonts w:ascii="Century Gothic" w:hAnsi="Century Gothic"/>
          <w:i w:val="0"/>
          <w:color w:val="auto"/>
          <w:sz w:val="22"/>
          <w:szCs w:val="22"/>
        </w:rPr>
        <w:lastRenderedPageBreak/>
        <w:t>posesión de RED NACIONAL en cualquier Central Telefónica, en cuyo caso la prestación de tales Servicios deberá iniciar dentro de los seis meses posteriores al requerimiento.</w:t>
      </w:r>
    </w:p>
    <w:p w:rsidR="0017227E" w:rsidRPr="00611019" w:rsidRDefault="00E56462" w:rsidP="00035D2C">
      <w:pPr>
        <w:pStyle w:val="0Tit11"/>
        <w:spacing w:line="13.80pt" w:lineRule="auto"/>
      </w:pPr>
      <w:bookmarkStart w:id="2813" w:name="_Toc92974174"/>
      <w:bookmarkStart w:id="2814" w:name="_Toc93052486"/>
      <w:bookmarkStart w:id="2815" w:name="_Toc93056441"/>
      <w:bookmarkStart w:id="2816" w:name="_Toc125393505"/>
      <w:bookmarkStart w:id="2817" w:name="_Toc148702360"/>
      <w:bookmarkStart w:id="2818" w:name="_Toc170381976"/>
      <w:r>
        <w:t>Tercera. PRECIO Y CONDICIONES DE PAGO</w:t>
      </w:r>
      <w:bookmarkEnd w:id="2813"/>
      <w:bookmarkEnd w:id="2814"/>
      <w:bookmarkEnd w:id="2815"/>
      <w:bookmarkEnd w:id="2816"/>
      <w:bookmarkEnd w:id="2817"/>
      <w:bookmarkEnd w:id="2818"/>
    </w:p>
    <w:p w:rsidR="0017227E" w:rsidRPr="00611019" w:rsidRDefault="00E56462" w:rsidP="00035D2C">
      <w:pPr>
        <w:pStyle w:val="Ttulo3"/>
        <w:spacing w:line="13.80pt" w:lineRule="auto"/>
        <w:ind w:start="36pt" w:hanging="36pt"/>
        <w:jc w:val="start"/>
        <w:rPr>
          <w:rFonts w:ascii="Century Gothic" w:hAnsi="Century Gothic"/>
          <w:szCs w:val="22"/>
        </w:rPr>
      </w:pPr>
      <w:bookmarkStart w:id="2819" w:name="_Toc92974175"/>
      <w:bookmarkStart w:id="2820" w:name="_Toc93052487"/>
      <w:bookmarkStart w:id="2821" w:name="_Toc93056442"/>
      <w:bookmarkStart w:id="2822" w:name="_Toc125393506"/>
      <w:bookmarkStart w:id="2823" w:name="_Toc148702361"/>
      <w:bookmarkStart w:id="2824" w:name="_Toc170381977"/>
      <w:r>
        <w:rPr>
          <w:rFonts w:ascii="Century Gothic" w:hAnsi="Century Gothic"/>
          <w:szCs w:val="22"/>
        </w:rPr>
        <w:t xml:space="preserve">3.1 </w:t>
      </w:r>
      <w:r>
        <w:rPr>
          <w:rFonts w:ascii="Century Gothic" w:hAnsi="Century Gothic"/>
          <w:szCs w:val="22"/>
        </w:rPr>
        <w:tab/>
        <w:t>Pago de los Servicios:</w:t>
      </w:r>
      <w:bookmarkEnd w:id="2819"/>
      <w:bookmarkEnd w:id="2820"/>
      <w:bookmarkEnd w:id="2821"/>
      <w:bookmarkEnd w:id="2822"/>
      <w:bookmarkEnd w:id="2823"/>
      <w:bookmarkEnd w:id="2824"/>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El CONCESIONARIO SOLICITANTE se obliga a pagar a </w:t>
      </w:r>
      <w:bookmarkStart w:id="2825" w:name="_Hlk89189358"/>
      <w:r>
        <w:rPr>
          <w:rFonts w:ascii="Century Gothic" w:hAnsi="Century Gothic" w:cs="Arial"/>
          <w:bCs/>
          <w:lang w:val="es-ES_tradnl"/>
        </w:rPr>
        <w:t>RED NACIONAL</w:t>
      </w:r>
      <w:r>
        <w:rPr>
          <w:rFonts w:ascii="Century Gothic" w:hAnsi="Century Gothic" w:cs="Arial"/>
          <w:lang w:val="es-ES_tradnl"/>
        </w:rPr>
        <w:t xml:space="preserve"> </w:t>
      </w:r>
      <w:bookmarkEnd w:id="2825"/>
      <w:r>
        <w:rPr>
          <w:rFonts w:ascii="Century Gothic" w:hAnsi="Century Gothic" w:cs="Arial"/>
          <w:lang w:val="es-ES_tradnl"/>
        </w:rPr>
        <w:t>por la prestación de cada uno de los Servicios, las tarifas establecidas en el Anexo “A” de la Oferta de Referencia, de conformidad con los términos y condiciones en el mismo establecidas. El pago de los Servicios deberá ser efectuado por el CONCESIONARIO SOLICITANTE de conformidad con los siguientes plazos y bajo los términos y condiciones establecidos para cada servicio dentro de la Oferta de Referencia, así como en sus Anexos correspondientes:</w:t>
      </w:r>
    </w:p>
    <w:p w:rsidR="0017227E" w:rsidRPr="00611019" w:rsidRDefault="00E56462" w:rsidP="00035D2C">
      <w:pPr>
        <w:spacing w:after="6pt"/>
        <w:ind w:start="28.35pt" w:hanging="28.35pt"/>
        <w:jc w:val="both"/>
        <w:rPr>
          <w:rFonts w:ascii="Century Gothic" w:hAnsi="Century Gothic" w:cs="Arial"/>
          <w:lang w:val="es-ES_tradnl"/>
        </w:rPr>
      </w:pPr>
      <w:r>
        <w:rPr>
          <w:rFonts w:ascii="Century Gothic" w:hAnsi="Century Gothic" w:cs="Arial"/>
          <w:lang w:val="es-ES_tradnl"/>
        </w:rPr>
        <w:t>1.-</w:t>
      </w:r>
      <w:r>
        <w:rPr>
          <w:rFonts w:ascii="Century Gothic" w:hAnsi="Century Gothic" w:cs="Arial"/>
          <w:lang w:val="es-ES_tradnl"/>
        </w:rPr>
        <w:tab/>
        <w:t>Cargos Recurrentes, los cuales deberán ser pagados dentro de los 18 (dieciocho) días hábiles posteriores a la entrega de la factura correspondiente.</w:t>
      </w:r>
    </w:p>
    <w:p w:rsidR="0017227E" w:rsidRPr="00611019" w:rsidRDefault="00E56462" w:rsidP="00035D2C">
      <w:pPr>
        <w:spacing w:after="6pt"/>
        <w:ind w:start="28.35pt" w:hanging="28.35pt"/>
        <w:jc w:val="both"/>
        <w:rPr>
          <w:rFonts w:ascii="Century Gothic" w:hAnsi="Century Gothic" w:cs="Arial"/>
          <w:lang w:val="es-ES_tradnl"/>
        </w:rPr>
      </w:pPr>
      <w:r>
        <w:rPr>
          <w:rFonts w:ascii="Century Gothic" w:hAnsi="Century Gothic" w:cs="Arial"/>
          <w:lang w:val="es-ES_tradnl"/>
        </w:rPr>
        <w:t>2.-</w:t>
      </w:r>
      <w:r>
        <w:rPr>
          <w:rFonts w:ascii="Century Gothic" w:hAnsi="Century Gothic" w:cs="Arial"/>
          <w:lang w:val="es-ES_tradnl"/>
        </w:rPr>
        <w:tab/>
        <w:t>Cargos No Recurrentes, los cuales deberán ser pagados de conformidad con lo establecido en cada sección de la Oferta de Referencia y sus Anexos.</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Las tarifas contenidas en el Anexo A de la Oferta de Referencia, aplicarán a todo el inventario de Servicios contratados por el CONCESIONARIO SOLICITANTE, con independencia de la OREDA al amparo de la cual hayan sido contratados. Así mismo, las tarifas de la Oferta de Referencia aplicarán a todos los Servicios (contratados o preexistentes que se presten a partir de la Fecha Efectiva).</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En el supuesto de que durante la vigencia del presente CONVENIO dejasen de estar en vigor cualesquiera precios y tarifas, en tanto nuevos precios y tarifas no hubiesen sido establecidos por virtud de acuerdo entre </w:t>
      </w:r>
      <w:r>
        <w:rPr>
          <w:rFonts w:ascii="Century Gothic" w:hAnsi="Century Gothic" w:cs="Arial"/>
          <w:bCs/>
          <w:lang w:val="es-ES_tradnl"/>
        </w:rPr>
        <w:t>RED NACIONAL</w:t>
      </w:r>
      <w:r>
        <w:rPr>
          <w:rFonts w:ascii="Century Gothic" w:hAnsi="Century Gothic" w:cs="Arial"/>
          <w:lang w:val="es-ES_tradnl"/>
        </w:rPr>
        <w:t xml:space="preserve"> y el CONCESIONARIO SOLICITANTE o por virtud de resolución emitida por el Instituto, las contraprestaciones que el CONCESIONARIO SOLICITANTE deberá pagar a </w:t>
      </w:r>
      <w:r>
        <w:rPr>
          <w:rFonts w:ascii="Century Gothic" w:hAnsi="Century Gothic" w:cs="Arial"/>
          <w:bCs/>
          <w:lang w:val="es-ES_tradnl"/>
        </w:rPr>
        <w:t>RED NACIONAL</w:t>
      </w:r>
      <w:r>
        <w:rPr>
          <w:rFonts w:ascii="Century Gothic" w:hAnsi="Century Gothic" w:cs="Arial"/>
          <w:lang w:val="es-ES_tradnl"/>
        </w:rPr>
        <w:t xml:space="preserve"> por los conceptos correspondientes en los términos de este CONVENIO, serán aquellas que resulten de la aplicación de los precios y tarifas que hubiesen estado en vigor el día inmediato anterior a la fecha en que formalmente hubiesen entrado en vigor las nuevas tarifas.</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Bajo ninguna circunstancia el CONCESIONARIO SOLICITANTE tendrá derecho a reducir, deducir o compensar cantidad alguna contra las cantidades que, por concepto de contraprestaciones, intereses moratorios o cualquier otro deba pagar a </w:t>
      </w:r>
      <w:r>
        <w:rPr>
          <w:rFonts w:ascii="Century Gothic" w:hAnsi="Century Gothic" w:cs="Arial"/>
          <w:bCs/>
          <w:lang w:val="es-ES_tradnl"/>
        </w:rPr>
        <w:t>RED NACIONAL</w:t>
      </w:r>
      <w:r>
        <w:rPr>
          <w:rFonts w:ascii="Century Gothic" w:hAnsi="Century Gothic" w:cs="Arial"/>
          <w:lang w:val="es-ES_tradnl"/>
        </w:rPr>
        <w:t xml:space="preserve"> bajo el presente CONVENIO, salvo pacto en contrario.</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Asimismo, en ninguna circunstancia </w:t>
      </w:r>
      <w:r>
        <w:rPr>
          <w:rFonts w:ascii="Century Gothic" w:hAnsi="Century Gothic" w:cs="Arial"/>
          <w:bCs/>
          <w:lang w:val="es-ES_tradnl"/>
        </w:rPr>
        <w:t>RED NACIONAL</w:t>
      </w:r>
      <w:r>
        <w:rPr>
          <w:rFonts w:ascii="Century Gothic" w:hAnsi="Century Gothic" w:cs="Arial"/>
          <w:lang w:val="es-ES_tradnl"/>
        </w:rPr>
        <w:t xml:space="preserve"> tendrá derecho a reducir, deducir o compensar cantidad alguna contra las cantidades que, por concepto de contraprestaciones, intereses moratorios o cualquier otro deba pagar al CONCESIONARIO SOLICITANTE bajo el presente CONVENIO, salvo pacto en contrario.</w:t>
      </w:r>
    </w:p>
    <w:p w:rsidR="00927318" w:rsidRPr="00611019" w:rsidRDefault="00E56462" w:rsidP="00035D2C">
      <w:pPr>
        <w:pStyle w:val="Ttulo3"/>
        <w:spacing w:line="13.80pt" w:lineRule="auto"/>
        <w:ind w:start="36pt" w:hanging="36pt"/>
        <w:jc w:val="start"/>
        <w:rPr>
          <w:rFonts w:ascii="Century Gothic" w:hAnsi="Century Gothic"/>
          <w:szCs w:val="22"/>
        </w:rPr>
      </w:pPr>
      <w:bookmarkStart w:id="2826" w:name="_Toc92974176"/>
      <w:bookmarkStart w:id="2827" w:name="_Toc93052488"/>
      <w:bookmarkStart w:id="2828" w:name="_Toc93056443"/>
      <w:bookmarkStart w:id="2829" w:name="_Toc125393507"/>
      <w:bookmarkStart w:id="2830" w:name="_Toc148702362"/>
      <w:bookmarkStart w:id="2831" w:name="_Toc170381978"/>
      <w:r>
        <w:rPr>
          <w:rFonts w:ascii="Century Gothic" w:hAnsi="Century Gothic"/>
          <w:szCs w:val="22"/>
        </w:rPr>
        <w:lastRenderedPageBreak/>
        <w:t xml:space="preserve">3.2 </w:t>
      </w:r>
      <w:r>
        <w:rPr>
          <w:rFonts w:ascii="Century Gothic" w:hAnsi="Century Gothic"/>
          <w:szCs w:val="22"/>
        </w:rPr>
        <w:tab/>
        <w:t>Remisión de facturas.</w:t>
      </w:r>
      <w:bookmarkEnd w:id="2826"/>
      <w:bookmarkEnd w:id="2827"/>
      <w:bookmarkEnd w:id="2828"/>
      <w:bookmarkEnd w:id="2829"/>
      <w:bookmarkEnd w:id="2830"/>
      <w:bookmarkEnd w:id="2831"/>
    </w:p>
    <w:p w:rsidR="0017227E" w:rsidRPr="00611019" w:rsidRDefault="00E56462" w:rsidP="00035D2C">
      <w:pPr>
        <w:spacing w:after="6pt"/>
        <w:jc w:val="both"/>
        <w:rPr>
          <w:rFonts w:ascii="Century Gothic" w:hAnsi="Century Gothic" w:cs="Arial"/>
          <w:lang w:val="es-ES_tradnl"/>
        </w:rPr>
      </w:pPr>
      <w:r>
        <w:rPr>
          <w:rFonts w:ascii="Century Gothic" w:hAnsi="Century Gothic" w:cs="Arial"/>
          <w:bCs/>
          <w:lang w:val="es-ES_tradnl"/>
        </w:rPr>
        <w:t>RED NACIONAL</w:t>
      </w:r>
      <w:r>
        <w:rPr>
          <w:rFonts w:ascii="Century Gothic" w:hAnsi="Century Gothic" w:cs="Arial"/>
          <w:lang w:val="es-ES_tradnl"/>
        </w:rPr>
        <w:t xml:space="preserve"> remitirá a la cuenta de correo electrónico señalada por el CONCESIONARIO SOLICITANTE para tales efectos en el cuerpo del presente CONVENIO y/o mediante el Sistema Electrónico de Gestión o SIPO, la(s) factura(s) a pagar por los Servicios correspondientes. </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El CONCESIONARIO SOLICITANTE deberá efectuar los pagos que al amparo de este CONVENIO se encuentra obligado a realizar por los Servicios que tenga contratados, dentro del plazo establecido para tal efecto, una vez que haya recibido la(s) factura(s) correspondiente(s).</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El pago de las facturas y de los cargos de contratación podrá efectuarse a través de cualquiera de los siguientes medios de pago, previo aviso del CONCESIONARIO SOLICITANTE:</w:t>
      </w:r>
    </w:p>
    <w:p w:rsidR="0017227E" w:rsidRPr="00611019" w:rsidRDefault="00E56462" w:rsidP="00035D2C">
      <w:pPr>
        <w:spacing w:after="6pt"/>
        <w:ind w:start="28.35pt" w:hanging="28.35pt"/>
        <w:jc w:val="both"/>
        <w:rPr>
          <w:rFonts w:ascii="Century Gothic" w:hAnsi="Century Gothic" w:cs="Arial"/>
          <w:lang w:val="es-ES_tradnl"/>
        </w:rPr>
      </w:pPr>
      <w:r>
        <w:rPr>
          <w:rFonts w:ascii="Century Gothic" w:hAnsi="Century Gothic" w:cs="Arial"/>
          <w:lang w:val="es-ES_tradnl"/>
        </w:rPr>
        <w:t>1.</w:t>
      </w:r>
      <w:r>
        <w:rPr>
          <w:rFonts w:ascii="Century Gothic" w:hAnsi="Century Gothic" w:cs="Arial"/>
          <w:lang w:val="es-ES_tradnl"/>
        </w:rPr>
        <w:tab/>
        <w:t>Cheque certificado o de caja emitido por una Institución Bancaria, a nombre de Red Nacional Última Milla, S.A.P.I. de C.V., el cual será entregado en el domicilio de ésta a (persona, personas o área correspondiente) que RED NACIONAL previamente notifique al CONCESIONARIO SOLICITANTE o depositado en la cuenta bancaria que previamente le indique al CONCESIONARIO SOLICITANTE.</w:t>
      </w:r>
    </w:p>
    <w:p w:rsidR="0017227E" w:rsidRPr="00611019" w:rsidRDefault="00E56462" w:rsidP="00035D2C">
      <w:pPr>
        <w:spacing w:after="6pt"/>
        <w:ind w:start="28.35pt" w:hanging="28.35pt"/>
        <w:jc w:val="both"/>
        <w:rPr>
          <w:rFonts w:ascii="Century Gothic" w:hAnsi="Century Gothic" w:cs="Arial"/>
          <w:lang w:val="es-ES_tradnl"/>
        </w:rPr>
      </w:pPr>
      <w:r>
        <w:rPr>
          <w:rFonts w:ascii="Century Gothic" w:hAnsi="Century Gothic" w:cs="Arial"/>
          <w:lang w:val="es-ES_tradnl"/>
        </w:rPr>
        <w:t>2.</w:t>
      </w:r>
      <w:r>
        <w:rPr>
          <w:rFonts w:ascii="Century Gothic" w:hAnsi="Century Gothic" w:cs="Arial"/>
          <w:lang w:val="es-ES_tradnl"/>
        </w:rPr>
        <w:tab/>
        <w:t>Transferencia electrónica de fondos inmediatamente disponibles a la cuenta bancaria que RED NACIONAL previamente le indique al CONCESIONARIO SOLICITANTE.</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En caso de adeudos y penas convencionales a cargo de RED NACIONAL, ésta deberá cubrirlos al CONCESIONARIO SOLICITANTE según lo estipulado en el Anexo “B” de la Oferta de Referencia.</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Las Partes están de acuerdo en cumplir con las obligaciones fiscales establecidas a su cargo por la legislación fiscal vigente.</w:t>
      </w:r>
    </w:p>
    <w:p w:rsidR="0017227E" w:rsidRPr="00611019" w:rsidRDefault="00E56462" w:rsidP="00035D2C">
      <w:pPr>
        <w:pStyle w:val="Ttulo3"/>
        <w:spacing w:line="13.80pt" w:lineRule="auto"/>
        <w:ind w:start="36pt" w:hanging="36pt"/>
        <w:jc w:val="start"/>
        <w:rPr>
          <w:rFonts w:ascii="Century Gothic" w:hAnsi="Century Gothic"/>
          <w:szCs w:val="22"/>
        </w:rPr>
      </w:pPr>
      <w:bookmarkStart w:id="2832" w:name="_Toc92974177"/>
      <w:bookmarkStart w:id="2833" w:name="_Toc93052489"/>
      <w:bookmarkStart w:id="2834" w:name="_Toc93056444"/>
      <w:bookmarkStart w:id="2835" w:name="_Toc125393508"/>
      <w:bookmarkStart w:id="2836" w:name="_Toc148702363"/>
      <w:bookmarkStart w:id="2837" w:name="_Toc170381979"/>
      <w:r>
        <w:rPr>
          <w:rFonts w:ascii="Century Gothic" w:hAnsi="Century Gothic"/>
          <w:szCs w:val="22"/>
        </w:rPr>
        <w:t xml:space="preserve">3.3 </w:t>
      </w:r>
      <w:r>
        <w:rPr>
          <w:rFonts w:ascii="Century Gothic" w:hAnsi="Century Gothic"/>
          <w:szCs w:val="22"/>
        </w:rPr>
        <w:tab/>
        <w:t>Inconformidades.</w:t>
      </w:r>
      <w:bookmarkEnd w:id="2832"/>
      <w:bookmarkEnd w:id="2833"/>
      <w:bookmarkEnd w:id="2834"/>
      <w:bookmarkEnd w:id="2835"/>
      <w:bookmarkEnd w:id="2836"/>
      <w:bookmarkEnd w:id="2837"/>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En el caso de que el CONCESIONARIO SOLICITANTE no esté de acuerdo con su factura, deberá dirigir su inconformidad a RED NACIONAL a través del Sistema Electrónico de Gestión y/o por correo electrónico</w:t>
      </w:r>
      <w:r>
        <w:rPr>
          <w:rFonts w:ascii="Century Gothic" w:hAnsi="Century Gothic" w:cs="Arial"/>
        </w:rPr>
        <w:t xml:space="preserve"> del CS a la dirección </w:t>
      </w:r>
      <w:r>
        <w:rPr>
          <w:rFonts w:ascii="Century Gothic" w:hAnsi="Century Gothic" w:cs="Arial"/>
          <w:lang w:val="es-ES_tradnl"/>
        </w:rPr>
        <w:t xml:space="preserve">provista por RED NACIONAL en la cláusula Décimo Novena del presente CONVENIO, de acuerdo con lo siguiente: </w:t>
      </w:r>
    </w:p>
    <w:p w:rsidR="0017227E" w:rsidRPr="00611019" w:rsidRDefault="00E56462" w:rsidP="00035D2C">
      <w:pPr>
        <w:spacing w:after="6pt"/>
        <w:jc w:val="both"/>
        <w:rPr>
          <w:rFonts w:ascii="Century Gothic" w:hAnsi="Century Gothic" w:cs="Arial"/>
        </w:rPr>
      </w:pPr>
      <w:r>
        <w:rPr>
          <w:rFonts w:ascii="Century Gothic" w:hAnsi="Century Gothic" w:cs="Arial"/>
          <w:lang w:val="es-ES_tradnl"/>
        </w:rPr>
        <w:t xml:space="preserve">Para que cualquier inconformidad sea procedente, la misma deberá (i) referirse exclusivamente al número de unidades o cualquier otro parámetro de medición aplicable a los Servicios, así como a errores matemáticos, de cálculo o de actualización, pero por ningún motivo a la tarifa misma pactada por unidad conforme a este CONVENIO, ni tampoco a la calidad con la que fueron prestados los Servicios; (ii) hacerse valer dentro de los 18 (dieciocho) días naturales siguientes a la fecha de recepción de la factura original de que se trate, y (iii) acompañarse necesariamente de: (a) el rechazo formal, por escrito, en que el CONCESIONARIO SOLICITANTE manifieste las </w:t>
      </w:r>
      <w:r>
        <w:rPr>
          <w:rFonts w:ascii="Century Gothic" w:hAnsi="Century Gothic" w:cs="Arial"/>
          <w:lang w:val="es-ES_tradnl"/>
        </w:rPr>
        <w:lastRenderedPageBreak/>
        <w:t xml:space="preserve">razones de su inconformidad, (b) a elección del CONCESIONARIO SOLICITANTE, el pago total de los Servicios bajo protesta o el pago parcial de los cargos efectivamente reconocidos, y </w:t>
      </w:r>
      <w:r>
        <w:rPr>
          <w:rFonts w:ascii="Century Gothic" w:hAnsi="Century Gothic" w:cs="Arial"/>
        </w:rPr>
        <w:t xml:space="preserve">(c) como alternativa, la Parte que objete la factura o receptora del Servicio podrá pagar, bajo protesta, la totalidad o una porción de la factura, y ésta se considerará como Factura Objetada, por esa porción o la totalidad, en su caso. Lo anterior, no implica una renuncia a los derechos de la Parte objetante respecto de aquellas tarifas que sean determinadas administrativamente por la autoridad competente. </w:t>
      </w:r>
    </w:p>
    <w:p w:rsidR="0017227E" w:rsidRPr="00611019" w:rsidRDefault="00E56462" w:rsidP="00035D2C">
      <w:pPr>
        <w:spacing w:after="6pt"/>
        <w:jc w:val="both"/>
        <w:rPr>
          <w:rFonts w:ascii="Century Gothic" w:hAnsi="Century Gothic" w:cs="Arial"/>
        </w:rPr>
      </w:pPr>
      <w:r>
        <w:rPr>
          <w:rFonts w:ascii="Century Gothic" w:hAnsi="Century Gothic" w:cs="Arial"/>
        </w:rPr>
        <w:t xml:space="preserve">El plazo de 18 (dieciocho) días naturales al que hace referencia el inciso (ii) anterior no procederá en caso de que </w:t>
      </w:r>
      <w:r>
        <w:rPr>
          <w:rFonts w:ascii="Century Gothic" w:hAnsi="Century Gothic" w:cs="Arial"/>
          <w:lang w:val="es-ES_tradnl"/>
        </w:rPr>
        <w:t xml:space="preserve">RED NACIONAL </w:t>
      </w:r>
      <w:r>
        <w:rPr>
          <w:rFonts w:ascii="Century Gothic" w:hAnsi="Century Gothic" w:cs="Arial"/>
        </w:rPr>
        <w:t>aplique tarifas diferentes a las establecidas en el Anexo A del presente CONVENIO.</w:t>
      </w:r>
    </w:p>
    <w:p w:rsidR="0017227E" w:rsidRPr="00611019" w:rsidRDefault="00E56462" w:rsidP="00035D2C">
      <w:pPr>
        <w:spacing w:after="6pt"/>
        <w:jc w:val="both"/>
        <w:rPr>
          <w:rFonts w:ascii="Century Gothic" w:hAnsi="Century Gothic" w:cs="Arial"/>
        </w:rPr>
      </w:pPr>
      <w:r>
        <w:rPr>
          <w:rFonts w:ascii="Century Gothic" w:hAnsi="Century Gothic" w:cs="Arial"/>
        </w:rPr>
        <w:t xml:space="preserve">Una vez notificada la inconformidad, </w:t>
      </w:r>
      <w:r>
        <w:rPr>
          <w:rFonts w:ascii="Century Gothic" w:hAnsi="Century Gothic" w:cs="Arial"/>
          <w:lang w:val="es-ES_tradnl"/>
        </w:rPr>
        <w:t xml:space="preserve">RED NACIONAL </w:t>
      </w:r>
      <w:r>
        <w:rPr>
          <w:rFonts w:ascii="Century Gothic" w:hAnsi="Century Gothic" w:cs="Arial"/>
        </w:rPr>
        <w:t xml:space="preserve">revisará si todos los requisitos se han cumplido, en caso contrario avisará al CONCESIONARIO SOLICITANTE la razón por la que la notificación es incorrecta. El CONCESIONARIO SOLICITANTE en un plazo de cinco días hábiles y por una sola ocasión podrá volver a enviar la inconformidad cumpliendo con todos los requisitos. </w:t>
      </w:r>
      <w:r>
        <w:rPr>
          <w:rFonts w:ascii="Century Gothic" w:hAnsi="Century Gothic" w:cs="Arial"/>
          <w:lang w:val="es-ES_tradnl"/>
        </w:rPr>
        <w:t xml:space="preserve">RED NACIONAL </w:t>
      </w:r>
      <w:r>
        <w:rPr>
          <w:rFonts w:ascii="Century Gothic" w:hAnsi="Century Gothic" w:cs="Arial"/>
        </w:rPr>
        <w:t>revisará si existe un error en la factura, procederá a corregirla y la enviará al CONCESIONARIO SOLICITANTE. De no haber error se le notificará al CONCESIONARIO SOLICITANTE que la inconformidad no es procedente.</w:t>
      </w:r>
    </w:p>
    <w:p w:rsidR="00512B56"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Queda claramente entendido por </w:t>
      </w:r>
      <w:r>
        <w:rPr>
          <w:rFonts w:ascii="Century Gothic" w:hAnsi="Century Gothic" w:cs="Arial"/>
        </w:rPr>
        <w:t xml:space="preserve">las Partes </w:t>
      </w:r>
      <w:r>
        <w:rPr>
          <w:rFonts w:ascii="Century Gothic" w:hAnsi="Century Gothic" w:cs="Arial"/>
          <w:lang w:val="es-ES_tradnl"/>
        </w:rPr>
        <w:t>que las inconformidades que no reúnan los requisitos precedentes no tendrán efecto o validez alguna y, en consecuencia, las facturas y estados de adeudos correspondientes se tendrán por consentidos.</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En caso de ser improcedente la inconformidad presentada por el CONCESIONARIO SOLICITANTE, éste deberá pagar en adición al monto no reconocido, los intereses moratorios a los que hace referencia el presente CONVENIO desde la fecha original de pago. En caso de que la objeción sea procedente, y el CONCESIONARIO SOLICITANTE haya optado por efectuar el pago total de los Servicios facturados, RED NACIONAL deberá efectuar la devolución del monto que resulte procedente de la inconformidad y deberá pagar, </w:t>
      </w:r>
      <w:r>
        <w:rPr>
          <w:rFonts w:ascii="Century Gothic" w:hAnsi="Century Gothic" w:cs="Arial"/>
          <w:i/>
          <w:lang w:val="es-ES_tradnl"/>
        </w:rPr>
        <w:t>mutatis mutandis</w:t>
      </w:r>
      <w:r>
        <w:rPr>
          <w:rFonts w:ascii="Century Gothic" w:hAnsi="Century Gothic" w:cs="Arial"/>
          <w:lang w:val="es-ES_tradnl"/>
        </w:rPr>
        <w:t xml:space="preserve">, los intereses correspondientes. </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El plazo máximo para la resolución de las inconformidades que sean presentadas por el CONCESIONARIO SOLICITANTE no deberá exceder de 60 (sesenta) días naturales. En caso de que la inconformidad sea improcedente, una vez recibida la notificación correspondiente, el CONCESIONARIO SOLICITANTE contará con un plazo de 5 (cinco) días hábiles para la realización del pago del monto total adeudado de la factura objetada.</w:t>
      </w:r>
    </w:p>
    <w:p w:rsidR="0017227E" w:rsidRPr="00611019" w:rsidRDefault="00E56462" w:rsidP="00035D2C">
      <w:pPr>
        <w:pStyle w:val="Ttulo3"/>
        <w:spacing w:line="13.80pt" w:lineRule="auto"/>
        <w:ind w:start="36pt" w:hanging="36pt"/>
        <w:jc w:val="start"/>
        <w:rPr>
          <w:rFonts w:ascii="Century Gothic" w:hAnsi="Century Gothic"/>
          <w:szCs w:val="22"/>
        </w:rPr>
      </w:pPr>
      <w:bookmarkStart w:id="2838" w:name="_Toc92974178"/>
      <w:bookmarkStart w:id="2839" w:name="_Toc93052490"/>
      <w:bookmarkStart w:id="2840" w:name="_Toc93056445"/>
      <w:bookmarkStart w:id="2841" w:name="_Toc125393509"/>
      <w:bookmarkStart w:id="2842" w:name="_Toc148702364"/>
      <w:bookmarkStart w:id="2843" w:name="_Toc170381980"/>
      <w:r>
        <w:rPr>
          <w:rFonts w:ascii="Century Gothic" w:hAnsi="Century Gothic"/>
          <w:szCs w:val="22"/>
        </w:rPr>
        <w:t xml:space="preserve">3.4 </w:t>
      </w:r>
      <w:r>
        <w:rPr>
          <w:rFonts w:ascii="Century Gothic" w:hAnsi="Century Gothic"/>
          <w:szCs w:val="22"/>
        </w:rPr>
        <w:tab/>
        <w:t>Facturación extemporánea.</w:t>
      </w:r>
      <w:bookmarkEnd w:id="2838"/>
      <w:bookmarkEnd w:id="2839"/>
      <w:bookmarkEnd w:id="2840"/>
      <w:bookmarkEnd w:id="2841"/>
      <w:bookmarkEnd w:id="2842"/>
      <w:bookmarkEnd w:id="2843"/>
      <w:r>
        <w:rPr>
          <w:rFonts w:ascii="Century Gothic" w:hAnsi="Century Gothic"/>
          <w:szCs w:val="22"/>
        </w:rPr>
        <w:t xml:space="preserve"> </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RED NACIONAL </w:t>
      </w:r>
      <w:r>
        <w:rPr>
          <w:rFonts w:ascii="Century Gothic" w:hAnsi="Century Gothic" w:cs="Arial"/>
        </w:rPr>
        <w:t xml:space="preserve">podrá presentar, dentro de los 120 (ciento veinte) días naturales posteriores a la conclusión del ciclo mensual de facturación correspondiente, facturas complementarias por Servicios omitidos (no facturados) o incorrectamente facturados, después del periodo de emisión de la factura correspondiente </w:t>
      </w:r>
      <w:r>
        <w:rPr>
          <w:rFonts w:ascii="Century Gothic" w:hAnsi="Century Gothic" w:cs="Arial"/>
          <w:lang w:val="es-ES_tradnl"/>
        </w:rPr>
        <w:t xml:space="preserve">a través del Sistema </w:t>
      </w:r>
      <w:r>
        <w:rPr>
          <w:rFonts w:ascii="Century Gothic" w:hAnsi="Century Gothic" w:cs="Arial"/>
          <w:lang w:val="es-ES_tradnl"/>
        </w:rPr>
        <w:lastRenderedPageBreak/>
        <w:t>Electrónico de Gestión y/o a través del correo electrónico señalado por parte del CONCESIONARIO SOLICITANTE.</w:t>
      </w:r>
    </w:p>
    <w:p w:rsidR="006B2B93" w:rsidRPr="00611019" w:rsidRDefault="006B2B93" w:rsidP="00035D2C">
      <w:pPr>
        <w:spacing w:after="6pt"/>
        <w:jc w:val="both"/>
        <w:rPr>
          <w:rFonts w:ascii="Century Gothic" w:hAnsi="Century Gothic" w:cs="Arial"/>
          <w:lang w:val="es-ES_tradnl"/>
        </w:rPr>
      </w:pPr>
    </w:p>
    <w:p w:rsidR="0017227E" w:rsidRPr="00611019" w:rsidRDefault="00E56462" w:rsidP="00035D2C">
      <w:pPr>
        <w:pStyle w:val="0Tit11"/>
        <w:keepNext/>
        <w:spacing w:line="13.80pt" w:lineRule="auto"/>
      </w:pPr>
      <w:bookmarkStart w:id="2844" w:name="_Toc92974179"/>
      <w:bookmarkStart w:id="2845" w:name="_Toc93052491"/>
      <w:bookmarkStart w:id="2846" w:name="_Toc93056446"/>
      <w:bookmarkStart w:id="2847" w:name="_Toc125393510"/>
      <w:bookmarkStart w:id="2848" w:name="_Toc148702365"/>
      <w:bookmarkStart w:id="2849" w:name="_Toc170381981"/>
      <w:r>
        <w:t>Cuarta. INTERESES MORATORIOS</w:t>
      </w:r>
      <w:bookmarkEnd w:id="2844"/>
      <w:bookmarkEnd w:id="2845"/>
      <w:bookmarkEnd w:id="2846"/>
      <w:bookmarkEnd w:id="2847"/>
      <w:bookmarkEnd w:id="2848"/>
      <w:bookmarkEnd w:id="2849"/>
      <w:r>
        <w:t xml:space="preserve"> </w:t>
      </w:r>
    </w:p>
    <w:p w:rsidR="0017227E" w:rsidRPr="00611019" w:rsidRDefault="00E56462" w:rsidP="00035D2C">
      <w:pPr>
        <w:pStyle w:val="CitaIFT0"/>
        <w:spacing w:after="6pt"/>
        <w:ind w:start="0pt" w:end="0pt"/>
        <w:rPr>
          <w:rFonts w:ascii="Century Gothic" w:hAnsi="Century Gothic"/>
          <w:i w:val="0"/>
          <w:color w:val="auto"/>
          <w:sz w:val="22"/>
          <w:lang w:val="es-MX"/>
        </w:rPr>
      </w:pPr>
      <w:r>
        <w:rPr>
          <w:rFonts w:ascii="Century Gothic" w:hAnsi="Century Gothic"/>
          <w:i w:val="0"/>
          <w:color w:val="auto"/>
          <w:sz w:val="22"/>
          <w:lang w:val="es-MX"/>
        </w:rPr>
        <w:t xml:space="preserve">En caso de falta de pago oportuno por parte del CONCESIONARIO SOLICITANTE de cualesquiera cantidades correspondientes a los Servicios conforme a los plazos, términos y condiciones establecidos en el </w:t>
      </w:r>
      <w:r>
        <w:rPr>
          <w:rFonts w:ascii="Century Gothic" w:hAnsi="Century Gothic"/>
          <w:i w:val="0"/>
          <w:color w:val="auto"/>
          <w:sz w:val="22"/>
          <w:szCs w:val="22"/>
          <w:lang w:val="es-MX"/>
        </w:rPr>
        <w:t>CONVENIO</w:t>
      </w:r>
      <w:r>
        <w:rPr>
          <w:rFonts w:ascii="Century Gothic" w:hAnsi="Century Gothic"/>
          <w:i w:val="0"/>
          <w:color w:val="auto"/>
          <w:sz w:val="22"/>
          <w:lang w:val="es-MX"/>
        </w:rPr>
        <w:t>, sin perjuicio de cualquier acción que</w:t>
      </w:r>
      <w:r>
        <w:rPr>
          <w:rFonts w:ascii="Century Gothic" w:hAnsi="Century Gothic"/>
          <w:i w:val="0"/>
          <w:color w:val="auto"/>
          <w:sz w:val="22"/>
          <w:szCs w:val="22"/>
          <w:lang w:val="es-MX"/>
        </w:rPr>
        <w:t xml:space="preserve"> las EM </w:t>
      </w:r>
      <w:r>
        <w:rPr>
          <w:rFonts w:ascii="Century Gothic" w:hAnsi="Century Gothic"/>
          <w:i w:val="0"/>
          <w:color w:val="auto"/>
          <w:sz w:val="22"/>
          <w:lang w:val="es-MX"/>
        </w:rPr>
        <w:t xml:space="preserve">tuviera derecho a ejercitar por el citado incumplimiento, el CONCESIONARIO SOLICITANTE pagará a </w:t>
      </w:r>
      <w:r>
        <w:rPr>
          <w:rFonts w:ascii="Century Gothic" w:hAnsi="Century Gothic"/>
          <w:i w:val="0"/>
          <w:iCs/>
          <w:sz w:val="22"/>
          <w:szCs w:val="22"/>
        </w:rPr>
        <w:t>RED NACIONAL</w:t>
      </w:r>
      <w:r>
        <w:rPr>
          <w:rFonts w:ascii="Century Gothic" w:hAnsi="Century Gothic"/>
          <w:i w:val="0"/>
          <w:color w:val="auto"/>
          <w:sz w:val="22"/>
          <w:szCs w:val="22"/>
          <w:lang w:val="es-MX"/>
        </w:rPr>
        <w:t xml:space="preserve"> </w:t>
      </w:r>
      <w:r>
        <w:rPr>
          <w:rFonts w:ascii="Century Gothic" w:hAnsi="Century Gothic"/>
          <w:i w:val="0"/>
          <w:color w:val="auto"/>
          <w:sz w:val="22"/>
          <w:lang w:val="es-MX"/>
        </w:rPr>
        <w:t>intereses moratorios respecto de todas aquellas cantidades que permanezcan insolutas.</w:t>
      </w:r>
    </w:p>
    <w:p w:rsidR="0017227E" w:rsidRPr="00611019" w:rsidRDefault="00E56462" w:rsidP="00035D2C">
      <w:pPr>
        <w:pStyle w:val="CitaIFT0"/>
        <w:spacing w:after="6pt"/>
        <w:ind w:start="0pt" w:end="0pt"/>
        <w:rPr>
          <w:rFonts w:ascii="Century Gothic" w:hAnsi="Century Gothic"/>
          <w:i w:val="0"/>
          <w:color w:val="auto"/>
          <w:sz w:val="22"/>
          <w:lang w:val="es-MX"/>
        </w:rPr>
      </w:pPr>
      <w:r>
        <w:rPr>
          <w:rFonts w:ascii="Century Gothic" w:hAnsi="Century Gothic"/>
          <w:i w:val="0"/>
          <w:color w:val="auto"/>
          <w:sz w:val="22"/>
          <w:lang w:val="es-MX"/>
        </w:rPr>
        <w:t>La tasa base para efectos del cálculo de intereses moratorios en el primer período mensual será la Tasa de Interés lnterbancaria de Equilibrio vigente en la fecha de vencimiento de las contraprestaciones o reembolsos correspondientes. Dicha tasa base se ajustará mensualmente empleando la Tasa de Interés lnterbancaria de Equilibrio vigente en la fecha en que inicie cada período mensual subsecuente, contado a partir de la fecha de vencimiento de las contraprestaciones o reembolsos correspondientes.</w:t>
      </w:r>
    </w:p>
    <w:p w:rsidR="0038405E" w:rsidRPr="00611019" w:rsidRDefault="0038405E" w:rsidP="00035D2C">
      <w:pPr>
        <w:pStyle w:val="CitaIFT0"/>
        <w:spacing w:after="6pt"/>
        <w:ind w:start="0pt" w:end="0pt"/>
        <w:rPr>
          <w:rFonts w:ascii="Century Gothic" w:hAnsi="Century Gothic"/>
          <w:i w:val="0"/>
          <w:color w:val="auto"/>
          <w:sz w:val="22"/>
          <w:lang w:val="es-MX"/>
        </w:rPr>
      </w:pPr>
    </w:p>
    <w:p w:rsidR="0017227E" w:rsidRPr="00611019" w:rsidRDefault="00E56462" w:rsidP="00035D2C">
      <w:pPr>
        <w:pStyle w:val="0Tit11"/>
        <w:spacing w:line="13.80pt" w:lineRule="auto"/>
      </w:pPr>
      <w:bookmarkStart w:id="2850" w:name="_Toc92974180"/>
      <w:bookmarkStart w:id="2851" w:name="_Toc93052492"/>
      <w:bookmarkStart w:id="2852" w:name="_Toc93056447"/>
      <w:bookmarkStart w:id="2853" w:name="_Toc125393511"/>
      <w:bookmarkStart w:id="2854" w:name="_Toc148702366"/>
      <w:bookmarkStart w:id="2855" w:name="_Toc170381982"/>
      <w:r>
        <w:t>Quinta. INFORMACIÓN CONFIDENCIAL</w:t>
      </w:r>
      <w:bookmarkEnd w:id="2850"/>
      <w:bookmarkEnd w:id="2851"/>
      <w:bookmarkEnd w:id="2852"/>
      <w:bookmarkEnd w:id="2853"/>
      <w:bookmarkEnd w:id="2854"/>
      <w:bookmarkEnd w:id="2855"/>
      <w:r>
        <w:t xml:space="preserve"> </w:t>
      </w:r>
    </w:p>
    <w:p w:rsidR="0017227E" w:rsidRPr="00611019" w:rsidRDefault="00E56462" w:rsidP="00035D2C">
      <w:pPr>
        <w:pStyle w:val="CitaIFT0"/>
        <w:spacing w:after="6pt"/>
        <w:ind w:start="0pt" w:end="0pt"/>
        <w:rPr>
          <w:rFonts w:ascii="Century Gothic" w:hAnsi="Century Gothic"/>
          <w:i w:val="0"/>
          <w:sz w:val="22"/>
        </w:rPr>
      </w:pPr>
      <w:r>
        <w:rPr>
          <w:rFonts w:ascii="Century Gothic" w:hAnsi="Century Gothic"/>
          <w:i w:val="0"/>
          <w:color w:val="auto"/>
          <w:sz w:val="22"/>
          <w:szCs w:val="22"/>
          <w:lang w:val="es-MX"/>
        </w:rPr>
        <w:t xml:space="preserve">Las Partes </w:t>
      </w:r>
      <w:r>
        <w:rPr>
          <w:rFonts w:ascii="Century Gothic" w:hAnsi="Century Gothic"/>
          <w:i w:val="0"/>
          <w:color w:val="auto"/>
          <w:sz w:val="22"/>
          <w:lang w:val="es-MX"/>
        </w:rPr>
        <w:t xml:space="preserve">se obligan a guardar estricta confidencialidad con relación a la información técnica y cualquier otra que se derive de los compromisos adquiridos en este </w:t>
      </w:r>
      <w:r>
        <w:rPr>
          <w:rFonts w:ascii="Century Gothic" w:hAnsi="Century Gothic"/>
          <w:i w:val="0"/>
          <w:color w:val="auto"/>
          <w:sz w:val="22"/>
          <w:szCs w:val="22"/>
          <w:lang w:val="es-MX"/>
        </w:rPr>
        <w:t>CONVENIO</w:t>
      </w:r>
      <w:r>
        <w:rPr>
          <w:rFonts w:ascii="Century Gothic" w:hAnsi="Century Gothic"/>
          <w:i w:val="0"/>
          <w:color w:val="auto"/>
          <w:sz w:val="22"/>
          <w:lang w:val="es-MX"/>
        </w:rPr>
        <w:t xml:space="preserve">, que sea señalada como información confidencial por cualquiera de las </w:t>
      </w:r>
      <w:r>
        <w:rPr>
          <w:rFonts w:ascii="Century Gothic" w:hAnsi="Century Gothic"/>
          <w:i w:val="0"/>
          <w:sz w:val="22"/>
        </w:rPr>
        <w:t xml:space="preserve">Partes contratantes, antes y/o después de la celebración del presente instrumento, comprometiéndose ambas Partes a que en el momento de la terminación de este instrumento o en cualquier momento en que se solicite, se devolverá todo documento o información que pudiera haber recibido, obtenido o producido como resultado de los </w:t>
      </w:r>
      <w:r>
        <w:rPr>
          <w:rFonts w:ascii="Century Gothic" w:hAnsi="Century Gothic"/>
          <w:i w:val="0"/>
          <w:sz w:val="22"/>
          <w:szCs w:val="22"/>
        </w:rPr>
        <w:t>Servicios</w:t>
      </w:r>
      <w:r>
        <w:rPr>
          <w:rFonts w:ascii="Century Gothic" w:hAnsi="Century Gothic"/>
          <w:i w:val="0"/>
          <w:sz w:val="22"/>
        </w:rPr>
        <w:t xml:space="preserve"> descritos en este instrumento.</w:t>
      </w:r>
    </w:p>
    <w:p w:rsidR="0017227E" w:rsidRPr="00611019" w:rsidRDefault="00E56462" w:rsidP="00035D2C">
      <w:pPr>
        <w:pStyle w:val="CitaIFT0"/>
        <w:spacing w:after="6pt"/>
        <w:ind w:start="0pt" w:end="0pt"/>
        <w:rPr>
          <w:rFonts w:ascii="Century Gothic" w:hAnsi="Century Gothic"/>
          <w:i w:val="0"/>
          <w:sz w:val="22"/>
        </w:rPr>
      </w:pPr>
      <w:r>
        <w:rPr>
          <w:rFonts w:ascii="Century Gothic" w:hAnsi="Century Gothic"/>
          <w:i w:val="0"/>
          <w:color w:val="auto"/>
          <w:sz w:val="22"/>
          <w:lang w:val="es-MX"/>
        </w:rPr>
        <w:t xml:space="preserve">La documentación y la información que se genere con motivo de la celebración de este </w:t>
      </w:r>
      <w:r>
        <w:rPr>
          <w:rFonts w:ascii="Century Gothic" w:hAnsi="Century Gothic"/>
          <w:i w:val="0"/>
          <w:color w:val="auto"/>
          <w:sz w:val="22"/>
          <w:szCs w:val="22"/>
          <w:lang w:val="es-MX"/>
        </w:rPr>
        <w:t>CONVENIO</w:t>
      </w:r>
      <w:r>
        <w:rPr>
          <w:rFonts w:ascii="Century Gothic" w:hAnsi="Century Gothic"/>
          <w:i w:val="0"/>
          <w:color w:val="auto"/>
          <w:sz w:val="22"/>
          <w:lang w:val="es-MX"/>
        </w:rPr>
        <w:t>,</w:t>
      </w:r>
      <w:r>
        <w:rPr>
          <w:rFonts w:ascii="Century Gothic" w:hAnsi="Century Gothic"/>
          <w:b/>
          <w:sz w:val="22"/>
        </w:rPr>
        <w:t xml:space="preserve"> </w:t>
      </w:r>
      <w:r>
        <w:rPr>
          <w:rFonts w:ascii="Century Gothic" w:hAnsi="Century Gothic"/>
          <w:i w:val="0"/>
          <w:sz w:val="22"/>
        </w:rPr>
        <w:t xml:space="preserve">será propiedad exclusiva de la </w:t>
      </w:r>
      <w:r>
        <w:rPr>
          <w:rFonts w:ascii="Century Gothic" w:hAnsi="Century Gothic"/>
          <w:i w:val="0"/>
          <w:sz w:val="22"/>
          <w:szCs w:val="22"/>
        </w:rPr>
        <w:t>Parte</w:t>
      </w:r>
      <w:r>
        <w:rPr>
          <w:rFonts w:ascii="Century Gothic" w:hAnsi="Century Gothic"/>
          <w:i w:val="0"/>
          <w:sz w:val="22"/>
        </w:rPr>
        <w:t xml:space="preserve"> que la produzca. Ninguna de las Partes podrá divulgar la información sin previo consentimiento por escrito de la otra Parte.</w:t>
      </w:r>
    </w:p>
    <w:p w:rsidR="0017227E" w:rsidRPr="00611019" w:rsidRDefault="00E56462" w:rsidP="00035D2C">
      <w:pPr>
        <w:pStyle w:val="CitaIFT0"/>
        <w:spacing w:after="6pt"/>
        <w:ind w:start="0pt" w:end="0pt"/>
        <w:rPr>
          <w:rFonts w:ascii="Century Gothic" w:hAnsi="Century Gothic"/>
          <w:i w:val="0"/>
          <w:sz w:val="22"/>
        </w:rPr>
      </w:pPr>
      <w:r>
        <w:rPr>
          <w:rFonts w:ascii="Century Gothic" w:hAnsi="Century Gothic"/>
          <w:i w:val="0"/>
          <w:color w:val="auto"/>
          <w:sz w:val="22"/>
          <w:lang w:val="es-MX"/>
        </w:rPr>
        <w:t xml:space="preserve">La información que se proporcione o que se llegue a conocer con motivo de este </w:t>
      </w:r>
      <w:r>
        <w:rPr>
          <w:rFonts w:ascii="Century Gothic" w:hAnsi="Century Gothic"/>
          <w:i w:val="0"/>
          <w:sz w:val="22"/>
          <w:szCs w:val="22"/>
        </w:rPr>
        <w:t>CONVENIO</w:t>
      </w:r>
      <w:r>
        <w:rPr>
          <w:rFonts w:ascii="Century Gothic" w:hAnsi="Century Gothic"/>
          <w:i w:val="0"/>
          <w:sz w:val="22"/>
        </w:rPr>
        <w:t xml:space="preserve">, será considerada como estrictamente confidencial, obligándose ambas Partes a no revelarla a terceras personas, tomando las providencias necesarias para que las personas que tengan acceso a información proporcionada por las Partes como consecuencia de lo pactado en este </w:t>
      </w:r>
      <w:r>
        <w:rPr>
          <w:rFonts w:ascii="Century Gothic" w:hAnsi="Century Gothic"/>
          <w:i w:val="0"/>
          <w:sz w:val="22"/>
          <w:szCs w:val="22"/>
        </w:rPr>
        <w:t>CONVENIO</w:t>
      </w:r>
      <w:r>
        <w:rPr>
          <w:rFonts w:ascii="Century Gothic" w:hAnsi="Century Gothic"/>
          <w:i w:val="0"/>
          <w:sz w:val="22"/>
        </w:rPr>
        <w:t>, no la divulguen.</w:t>
      </w:r>
    </w:p>
    <w:p w:rsidR="0017227E" w:rsidRPr="00611019" w:rsidRDefault="00E56462" w:rsidP="00035D2C">
      <w:pPr>
        <w:pStyle w:val="CitaIFT0"/>
        <w:spacing w:after="6pt"/>
        <w:ind w:start="0pt" w:end="0pt"/>
        <w:rPr>
          <w:rFonts w:ascii="Century Gothic" w:hAnsi="Century Gothic"/>
          <w:i w:val="0"/>
          <w:sz w:val="22"/>
        </w:rPr>
      </w:pPr>
      <w:r>
        <w:rPr>
          <w:rFonts w:ascii="Century Gothic" w:hAnsi="Century Gothic"/>
          <w:i w:val="0"/>
          <w:sz w:val="22"/>
        </w:rPr>
        <w:t xml:space="preserve">Asimismo, se considerará como confidencial toda la información relacionada con los Usuarios Finales, presentes o futuros, así como toda la información intercambiada entre el CONCESIONARIO SOLICITANTE y </w:t>
      </w:r>
      <w:r>
        <w:rPr>
          <w:rFonts w:ascii="Century Gothic" w:hAnsi="Century Gothic"/>
          <w:i w:val="0"/>
          <w:iCs/>
          <w:sz w:val="22"/>
          <w:szCs w:val="22"/>
        </w:rPr>
        <w:t>RED NACIONAL</w:t>
      </w:r>
      <w:r>
        <w:rPr>
          <w:rFonts w:ascii="Century Gothic" w:hAnsi="Century Gothic"/>
          <w:i w:val="0"/>
          <w:sz w:val="22"/>
          <w:szCs w:val="22"/>
        </w:rPr>
        <w:t xml:space="preserve"> </w:t>
      </w:r>
      <w:r>
        <w:rPr>
          <w:rFonts w:ascii="Century Gothic" w:hAnsi="Century Gothic"/>
          <w:i w:val="0"/>
          <w:sz w:val="22"/>
        </w:rPr>
        <w:t xml:space="preserve">que sea remitida por las Partes conforme a los procedimientos establecidos para la instalación de los Servicios. En </w:t>
      </w:r>
      <w:r>
        <w:rPr>
          <w:rFonts w:ascii="Century Gothic" w:hAnsi="Century Gothic"/>
          <w:i w:val="0"/>
          <w:sz w:val="22"/>
        </w:rPr>
        <w:lastRenderedPageBreak/>
        <w:t>función de ello, se entiende que en ningún caso, directamente o a través de empresas subsidiarias o filiales, o empresas que pertenezcan al mismo grupo de interés económico, las Partes podrán utilizar dicha información para hacer prácticas que afecten la competencia y libre concurrencia.</w:t>
      </w:r>
    </w:p>
    <w:p w:rsidR="0017227E" w:rsidRPr="00611019" w:rsidRDefault="00E56462" w:rsidP="00035D2C">
      <w:pPr>
        <w:pStyle w:val="CitaIFT0"/>
        <w:spacing w:after="6pt"/>
        <w:ind w:start="0pt" w:end="0pt"/>
        <w:rPr>
          <w:rFonts w:ascii="Century Gothic" w:hAnsi="Century Gothic"/>
          <w:i w:val="0"/>
          <w:sz w:val="22"/>
        </w:rPr>
      </w:pPr>
      <w:r>
        <w:rPr>
          <w:rFonts w:ascii="Century Gothic" w:hAnsi="Century Gothic"/>
          <w:i w:val="0"/>
          <w:sz w:val="22"/>
        </w:rPr>
        <w:t xml:space="preserve">Si la información proporcionada por cualquiera de las Partes se hiciere del conocimiento de terceros, por dolo, negligencia o mala fe, imputable a la </w:t>
      </w:r>
      <w:r>
        <w:rPr>
          <w:rFonts w:ascii="Century Gothic" w:hAnsi="Century Gothic"/>
          <w:i w:val="0"/>
          <w:sz w:val="22"/>
          <w:szCs w:val="22"/>
        </w:rPr>
        <w:t>Parte</w:t>
      </w:r>
      <w:r>
        <w:rPr>
          <w:rFonts w:ascii="Century Gothic" w:hAnsi="Century Gothic"/>
          <w:i w:val="0"/>
          <w:sz w:val="22"/>
        </w:rPr>
        <w:t xml:space="preserve"> receptora de la información y/o a su personal, empleados o agentes, dicha </w:t>
      </w:r>
      <w:r>
        <w:rPr>
          <w:rFonts w:ascii="Century Gothic" w:hAnsi="Century Gothic"/>
          <w:i w:val="0"/>
          <w:sz w:val="22"/>
          <w:szCs w:val="22"/>
        </w:rPr>
        <w:t>Parte</w:t>
      </w:r>
      <w:r>
        <w:rPr>
          <w:rFonts w:ascii="Century Gothic" w:hAnsi="Century Gothic"/>
          <w:i w:val="0"/>
          <w:sz w:val="22"/>
        </w:rPr>
        <w:t xml:space="preserve"> deberá responder por los daños y perjuicios ocasionados, sin perjuicio de las responsabilidades y sanciones legales a que se haga acreedor en términos de la legislación vigente aplicable en la materia, referentes a la revelación de secretos o al secreto profesional, en que incurriría en el supuesto de incumplir con la presente cláusula. La obligación de confidencialidad se mantendrá durante la vigencia de este </w:t>
      </w:r>
      <w:r>
        <w:rPr>
          <w:rFonts w:ascii="Century Gothic" w:hAnsi="Century Gothic"/>
          <w:i w:val="0"/>
          <w:sz w:val="22"/>
          <w:szCs w:val="22"/>
        </w:rPr>
        <w:t>CONVENIO</w:t>
      </w:r>
      <w:r>
        <w:rPr>
          <w:rFonts w:ascii="Century Gothic" w:hAnsi="Century Gothic"/>
          <w:i w:val="0"/>
          <w:sz w:val="22"/>
        </w:rPr>
        <w:t xml:space="preserve"> y por un periodo de dos años a partir de la terminación del mismo.</w:t>
      </w:r>
    </w:p>
    <w:p w:rsidR="00512B56" w:rsidRPr="00611019" w:rsidRDefault="00E56462" w:rsidP="00035D2C">
      <w:pPr>
        <w:pStyle w:val="CitaIFT0"/>
        <w:spacing w:after="6pt"/>
        <w:ind w:start="0pt" w:end="0pt"/>
        <w:rPr>
          <w:rFonts w:ascii="Century Gothic" w:hAnsi="Century Gothic"/>
          <w:i w:val="0"/>
          <w:color w:val="auto"/>
          <w:sz w:val="22"/>
          <w:szCs w:val="22"/>
          <w:lang w:val="es-MX"/>
        </w:rPr>
      </w:pPr>
      <w:r>
        <w:rPr>
          <w:rFonts w:ascii="Century Gothic" w:hAnsi="Century Gothic"/>
          <w:i w:val="0"/>
          <w:color w:val="auto"/>
          <w:sz w:val="22"/>
          <w:szCs w:val="22"/>
          <w:lang w:val="es-MX"/>
        </w:rPr>
        <w:t>No se entenderá como información confidencial, aquella que:</w:t>
      </w:r>
    </w:p>
    <w:p w:rsidR="0017227E" w:rsidRPr="00611019" w:rsidRDefault="00E56462" w:rsidP="00035D2C">
      <w:pPr>
        <w:spacing w:after="6pt"/>
        <w:ind w:start="28.35pt" w:hanging="28.35pt"/>
        <w:jc w:val="both"/>
        <w:rPr>
          <w:rFonts w:ascii="Century Gothic" w:hAnsi="Century Gothic" w:cs="Arial"/>
          <w:lang w:val="es-ES_tradnl"/>
        </w:rPr>
      </w:pPr>
      <w:r>
        <w:rPr>
          <w:rFonts w:ascii="Century Gothic" w:hAnsi="Century Gothic" w:cs="Arial"/>
          <w:lang w:val="es-ES_tradnl"/>
        </w:rPr>
        <w:t>(i)</w:t>
      </w:r>
      <w:r>
        <w:rPr>
          <w:rFonts w:ascii="Century Gothic" w:hAnsi="Century Gothic" w:cs="Arial"/>
          <w:lang w:val="es-ES_tradnl"/>
        </w:rPr>
        <w:tab/>
        <w:t>Sea o llegue a ser del dominio público por disposición de la autoridad o por voluntad de la Parte propietaria.</w:t>
      </w:r>
    </w:p>
    <w:p w:rsidR="0017227E" w:rsidRPr="00611019" w:rsidRDefault="00E56462" w:rsidP="00035D2C">
      <w:pPr>
        <w:spacing w:after="6pt"/>
        <w:ind w:start="28.35pt" w:hanging="28.35pt"/>
        <w:jc w:val="both"/>
        <w:rPr>
          <w:rFonts w:ascii="Century Gothic" w:hAnsi="Century Gothic" w:cs="Arial"/>
          <w:lang w:val="es-ES_tradnl"/>
        </w:rPr>
      </w:pPr>
      <w:r>
        <w:rPr>
          <w:rFonts w:ascii="Century Gothic" w:hAnsi="Century Gothic" w:cs="Arial"/>
          <w:lang w:val="es-ES_tradnl"/>
        </w:rPr>
        <w:t>(ii)</w:t>
      </w:r>
      <w:r>
        <w:rPr>
          <w:rFonts w:ascii="Century Gothic" w:hAnsi="Century Gothic" w:cs="Arial"/>
          <w:lang w:val="es-ES_tradnl"/>
        </w:rPr>
        <w:tab/>
        <w:t>Sea proporcionada a la Parte receptora como información no confidencial o sin la indicación citada en la cláusula.</w:t>
      </w:r>
    </w:p>
    <w:p w:rsidR="0017227E" w:rsidRPr="00611019" w:rsidRDefault="00E56462" w:rsidP="00035D2C">
      <w:pPr>
        <w:spacing w:after="6pt"/>
        <w:ind w:start="28.35pt" w:hanging="28.35pt"/>
        <w:jc w:val="both"/>
        <w:rPr>
          <w:rFonts w:ascii="Century Gothic" w:hAnsi="Century Gothic" w:cs="Arial"/>
          <w:lang w:val="es-ES_tradnl"/>
        </w:rPr>
      </w:pPr>
      <w:r>
        <w:rPr>
          <w:rFonts w:ascii="Century Gothic" w:hAnsi="Century Gothic" w:cs="Arial"/>
          <w:lang w:val="es-ES_tradnl"/>
        </w:rPr>
        <w:t>(iii)</w:t>
      </w:r>
      <w:r>
        <w:rPr>
          <w:rFonts w:ascii="Century Gothic" w:hAnsi="Century Gothic" w:cs="Arial"/>
          <w:lang w:val="es-ES_tradnl"/>
        </w:rPr>
        <w:tab/>
        <w:t>Haya estado en posesión de la Parte receptora antes de haberle sido proporcionada por la Parte propietaria, o</w:t>
      </w:r>
    </w:p>
    <w:p w:rsidR="0017227E" w:rsidRPr="00611019" w:rsidRDefault="00E56462" w:rsidP="00035D2C">
      <w:pPr>
        <w:spacing w:after="6pt"/>
        <w:ind w:start="28.35pt" w:hanging="28.35pt"/>
        <w:jc w:val="both"/>
        <w:rPr>
          <w:rFonts w:ascii="Century Gothic" w:hAnsi="Century Gothic" w:cs="Arial"/>
          <w:lang w:val="es-ES_tradnl"/>
        </w:rPr>
      </w:pPr>
      <w:r>
        <w:rPr>
          <w:rFonts w:ascii="Century Gothic" w:hAnsi="Century Gothic" w:cs="Arial"/>
          <w:lang w:val="es-ES_tradnl"/>
        </w:rPr>
        <w:t>(iv)</w:t>
      </w:r>
      <w:r>
        <w:rPr>
          <w:rFonts w:ascii="Century Gothic" w:hAnsi="Century Gothic" w:cs="Arial"/>
          <w:lang w:val="es-ES_tradnl"/>
        </w:rPr>
        <w:tab/>
        <w:t>Deba ser divulgada por la Parte receptora en virtud de un requerimiento legal, judicial, gubernamental o administrativo, siempre que notifique por escrito a la otra Parte con 3 (tres) días de anticipación a la divulgación solicitada.</w:t>
      </w:r>
    </w:p>
    <w:p w:rsidR="0017227E" w:rsidRPr="00611019" w:rsidRDefault="00E56462" w:rsidP="00035D2C">
      <w:pPr>
        <w:pStyle w:val="CitaIFT0"/>
        <w:spacing w:after="6pt"/>
        <w:ind w:start="0pt" w:end="0pt"/>
        <w:rPr>
          <w:rFonts w:ascii="Century Gothic" w:hAnsi="Century Gothic"/>
          <w:i w:val="0"/>
          <w:color w:val="auto"/>
          <w:sz w:val="22"/>
          <w:lang w:val="es-MX"/>
        </w:rPr>
      </w:pPr>
      <w:r>
        <w:rPr>
          <w:rFonts w:ascii="Century Gothic" w:hAnsi="Century Gothic"/>
          <w:i w:val="0"/>
          <w:color w:val="auto"/>
          <w:sz w:val="22"/>
          <w:lang w:val="es-MX"/>
        </w:rPr>
        <w:t xml:space="preserve">La </w:t>
      </w:r>
      <w:r>
        <w:rPr>
          <w:rFonts w:ascii="Century Gothic" w:hAnsi="Century Gothic"/>
          <w:i w:val="0"/>
          <w:color w:val="auto"/>
          <w:sz w:val="22"/>
          <w:szCs w:val="22"/>
          <w:lang w:val="es-MX"/>
        </w:rPr>
        <w:t>Parte</w:t>
      </w:r>
      <w:r>
        <w:rPr>
          <w:rFonts w:ascii="Century Gothic" w:hAnsi="Century Gothic"/>
          <w:i w:val="0"/>
          <w:color w:val="auto"/>
          <w:sz w:val="22"/>
          <w:lang w:val="es-MX"/>
        </w:rPr>
        <w:t xml:space="preserve"> receptora se obliga a no revelar la información confidencial, salvo autorización previa y por escrito de la otra </w:t>
      </w:r>
      <w:r>
        <w:rPr>
          <w:rFonts w:ascii="Century Gothic" w:hAnsi="Century Gothic"/>
          <w:i w:val="0"/>
          <w:color w:val="auto"/>
          <w:sz w:val="22"/>
          <w:szCs w:val="22"/>
          <w:lang w:val="es-MX"/>
        </w:rPr>
        <w:t>Parte</w:t>
      </w:r>
      <w:r>
        <w:rPr>
          <w:rFonts w:ascii="Century Gothic" w:hAnsi="Century Gothic"/>
          <w:i w:val="0"/>
          <w:color w:val="auto"/>
          <w:sz w:val="22"/>
          <w:lang w:val="es-MX"/>
        </w:rPr>
        <w:t xml:space="preserve">. Asimismo, la </w:t>
      </w:r>
      <w:r>
        <w:rPr>
          <w:rFonts w:ascii="Century Gothic" w:hAnsi="Century Gothic"/>
          <w:i w:val="0"/>
          <w:color w:val="auto"/>
          <w:sz w:val="22"/>
          <w:szCs w:val="22"/>
          <w:lang w:val="es-MX"/>
        </w:rPr>
        <w:t>Parte</w:t>
      </w:r>
      <w:r>
        <w:rPr>
          <w:rFonts w:ascii="Century Gothic" w:hAnsi="Century Gothic"/>
          <w:i w:val="0"/>
          <w:color w:val="auto"/>
          <w:sz w:val="22"/>
          <w:lang w:val="es-MX"/>
        </w:rPr>
        <w:t xml:space="preserve"> receptora se obliga a no usar la información confidencial para cualquier propósito distinto a lo pactado en este </w:t>
      </w:r>
      <w:r>
        <w:rPr>
          <w:rFonts w:ascii="Century Gothic" w:hAnsi="Century Gothic"/>
          <w:i w:val="0"/>
          <w:color w:val="auto"/>
          <w:sz w:val="22"/>
          <w:szCs w:val="22"/>
          <w:lang w:val="es-MX"/>
        </w:rPr>
        <w:t>CONVENIO</w:t>
      </w:r>
      <w:r>
        <w:rPr>
          <w:rFonts w:ascii="Century Gothic" w:hAnsi="Century Gothic"/>
          <w:i w:val="0"/>
          <w:color w:val="auto"/>
          <w:sz w:val="22"/>
          <w:lang w:val="es-MX"/>
        </w:rPr>
        <w:t xml:space="preserve">, y a devolver a la otra </w:t>
      </w:r>
      <w:r>
        <w:rPr>
          <w:rFonts w:ascii="Century Gothic" w:hAnsi="Century Gothic"/>
          <w:i w:val="0"/>
          <w:color w:val="auto"/>
          <w:sz w:val="22"/>
          <w:szCs w:val="22"/>
          <w:lang w:val="es-MX"/>
        </w:rPr>
        <w:t>Parte</w:t>
      </w:r>
      <w:r>
        <w:rPr>
          <w:rFonts w:ascii="Century Gothic" w:hAnsi="Century Gothic"/>
          <w:i w:val="0"/>
          <w:color w:val="auto"/>
          <w:sz w:val="22"/>
          <w:lang w:val="es-MX"/>
        </w:rPr>
        <w:t xml:space="preserve"> toda la información confidencial o las copias que de la misma se hayan efectuado, inmediatamente después de la terminación por cualquier causa de este instrumento.</w:t>
      </w:r>
    </w:p>
    <w:p w:rsidR="0017227E" w:rsidRPr="00611019" w:rsidRDefault="00E56462" w:rsidP="00035D2C">
      <w:pPr>
        <w:pStyle w:val="CitaIFT0"/>
        <w:spacing w:after="6pt"/>
        <w:ind w:start="0pt" w:end="0pt"/>
        <w:rPr>
          <w:rFonts w:ascii="Century Gothic" w:hAnsi="Century Gothic"/>
          <w:i w:val="0"/>
          <w:color w:val="auto"/>
          <w:sz w:val="22"/>
          <w:lang w:val="es-MX"/>
        </w:rPr>
      </w:pPr>
      <w:r>
        <w:rPr>
          <w:rFonts w:ascii="Century Gothic" w:hAnsi="Century Gothic"/>
          <w:i w:val="0"/>
          <w:color w:val="auto"/>
          <w:sz w:val="22"/>
          <w:lang w:val="es-MX"/>
        </w:rPr>
        <w:t xml:space="preserve">Los términos de esta Cláusula aplican a la información que se encuentre a disposición de las Partes en el SEG </w:t>
      </w:r>
      <w:r>
        <w:rPr>
          <w:rFonts w:ascii="Century Gothic" w:hAnsi="Century Gothic"/>
          <w:i w:val="0"/>
          <w:color w:val="auto"/>
          <w:sz w:val="22"/>
          <w:szCs w:val="22"/>
          <w:lang w:val="es-MX"/>
        </w:rPr>
        <w:t xml:space="preserve">y/o en el SIPO de </w:t>
      </w:r>
      <w:r>
        <w:rPr>
          <w:rFonts w:ascii="Century Gothic" w:hAnsi="Century Gothic"/>
          <w:i w:val="0"/>
          <w:iCs/>
          <w:sz w:val="22"/>
          <w:szCs w:val="22"/>
        </w:rPr>
        <w:t>RED NACIONAL</w:t>
      </w:r>
      <w:r>
        <w:rPr>
          <w:rFonts w:ascii="Century Gothic" w:hAnsi="Century Gothic"/>
          <w:i w:val="0"/>
          <w:color w:val="auto"/>
          <w:sz w:val="22"/>
          <w:lang w:val="es-MX"/>
        </w:rPr>
        <w:t>.</w:t>
      </w:r>
    </w:p>
    <w:p w:rsidR="00E45A8F" w:rsidRPr="00611019" w:rsidRDefault="00E45A8F" w:rsidP="00035D2C">
      <w:pPr>
        <w:pStyle w:val="CitaIFT0"/>
        <w:spacing w:after="6pt"/>
        <w:ind w:start="0pt" w:end="0pt"/>
        <w:rPr>
          <w:rFonts w:ascii="Century Gothic" w:hAnsi="Century Gothic"/>
          <w:i w:val="0"/>
          <w:color w:val="auto"/>
          <w:sz w:val="22"/>
          <w:lang w:val="es-MX"/>
        </w:rPr>
      </w:pPr>
    </w:p>
    <w:p w:rsidR="0017227E" w:rsidRPr="00611019" w:rsidRDefault="00E56462" w:rsidP="00035D2C">
      <w:pPr>
        <w:pStyle w:val="0Tit11"/>
        <w:spacing w:line="13.80pt" w:lineRule="auto"/>
      </w:pPr>
      <w:bookmarkStart w:id="2856" w:name="_Toc92974181"/>
      <w:bookmarkStart w:id="2857" w:name="_Toc93052493"/>
      <w:bookmarkStart w:id="2858" w:name="_Toc93056448"/>
      <w:bookmarkStart w:id="2859" w:name="_Toc125393512"/>
      <w:bookmarkStart w:id="2860" w:name="_Toc148702367"/>
      <w:bookmarkStart w:id="2861" w:name="_Toc170381983"/>
      <w:r>
        <w:t>Sexta. INCUMPLIMIENTO EN LA ENTREGA DE LOS SERVICIOS</w:t>
      </w:r>
      <w:bookmarkEnd w:id="2856"/>
      <w:bookmarkEnd w:id="2857"/>
      <w:bookmarkEnd w:id="2858"/>
      <w:bookmarkEnd w:id="2859"/>
      <w:bookmarkEnd w:id="2860"/>
      <w:bookmarkEnd w:id="2861"/>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En caso de que </w:t>
      </w:r>
      <w:r>
        <w:rPr>
          <w:rFonts w:ascii="Century Gothic" w:hAnsi="Century Gothic" w:cs="Arial"/>
          <w:iCs/>
          <w:lang w:val="es-ES_tradnl"/>
        </w:rPr>
        <w:t>RED NACIONAL</w:t>
      </w:r>
      <w:r>
        <w:rPr>
          <w:rFonts w:ascii="Century Gothic" w:hAnsi="Century Gothic" w:cs="Arial"/>
          <w:lang w:val="es-ES_tradnl"/>
        </w:rPr>
        <w:t xml:space="preserve"> no cumpla con la entrega, instalación y puesta en operación de los Servicios, previo cumplimiento por parte del CONCESIONARIO SOLICITANTE de cada uno de los requisitos necesarios para tal efecto, las Partes acordarán lo conducente a las penas convencionales correspondientes de </w:t>
      </w:r>
      <w:r>
        <w:rPr>
          <w:rFonts w:ascii="Century Gothic" w:hAnsi="Century Gothic" w:cs="Arial"/>
          <w:lang w:val="es-ES_tradnl"/>
        </w:rPr>
        <w:lastRenderedPageBreak/>
        <w:t xml:space="preserve">conformidad con el Anexo “B” de la Oferta de Referencia. </w:t>
      </w:r>
      <w:r>
        <w:rPr>
          <w:rFonts w:ascii="Century Gothic" w:hAnsi="Century Gothic" w:cs="Arial"/>
          <w:iCs/>
          <w:lang w:val="es-ES_tradnl"/>
        </w:rPr>
        <w:t>RED NACIONAL</w:t>
      </w:r>
      <w:r>
        <w:rPr>
          <w:rFonts w:ascii="Century Gothic" w:hAnsi="Century Gothic" w:cs="Arial"/>
          <w:lang w:val="es-ES_tradnl"/>
        </w:rPr>
        <w:t xml:space="preserve"> y el CONCESIONARIO SOLICITANTE realizarán previamente un acuerdo de conciliación de eventos y con base en los resultados obtenidos se determinará si existen saldos por pagar.</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Para la medición del cumplimento de los plazos de entrega no se computarán los días de retraso atribuibles al CONCESIONARIO SOLICITANTE o al </w:t>
      </w:r>
      <w:r>
        <w:rPr>
          <w:rFonts w:ascii="Century Gothic" w:hAnsi="Century Gothic"/>
        </w:rPr>
        <w:t>Usuario Final</w:t>
      </w:r>
      <w:r>
        <w:rPr>
          <w:rFonts w:ascii="Century Gothic" w:hAnsi="Century Gothic" w:cs="Arial"/>
          <w:lang w:val="es-ES_tradnl"/>
        </w:rPr>
        <w:t xml:space="preserve">, ni los que deriven de una causa de fuerza mayor o caso fortuito ni aquellos no imputables a </w:t>
      </w:r>
      <w:r>
        <w:rPr>
          <w:rFonts w:ascii="Century Gothic" w:hAnsi="Century Gothic" w:cs="Arial"/>
          <w:iCs/>
          <w:lang w:val="es-ES_tradnl"/>
        </w:rPr>
        <w:t>RED NACIONAL</w:t>
      </w:r>
      <w:r>
        <w:rPr>
          <w:rFonts w:ascii="Century Gothic" w:hAnsi="Century Gothic" w:cs="Arial"/>
          <w:lang w:val="es-ES_tradnl"/>
        </w:rPr>
        <w:t xml:space="preserve">, los que de manera enunciativa mas no limitativa, pueden consistir en: inundaciones, guerras, huracanes, incendios, emergencia sanitaria, pandemias, huelgas, sismos, terremotos, retrasos en la obtención de permisos de trabajo en la vía pública (municipales, estatales o federales), acondicionamiento de sitios del </w:t>
      </w:r>
      <w:r>
        <w:rPr>
          <w:rFonts w:ascii="Century Gothic" w:hAnsi="Century Gothic"/>
        </w:rPr>
        <w:t>Usuario Final</w:t>
      </w:r>
      <w:r>
        <w:rPr>
          <w:rFonts w:ascii="Century Gothic" w:hAnsi="Century Gothic" w:cs="Arial"/>
          <w:lang w:val="es-ES_tradnl"/>
        </w:rPr>
        <w:t xml:space="preserve"> que no estén listos, plantones en vía pública y negación de acceso a las instalaciones del </w:t>
      </w:r>
      <w:r>
        <w:rPr>
          <w:rFonts w:ascii="Century Gothic" w:hAnsi="Century Gothic"/>
        </w:rPr>
        <w:t>Usuario Final</w:t>
      </w:r>
      <w:r>
        <w:rPr>
          <w:rFonts w:ascii="Century Gothic" w:hAnsi="Century Gothic" w:cs="Arial"/>
          <w:lang w:val="es-ES_tradnl"/>
        </w:rPr>
        <w:t>.</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Los días de retraso imputables a los proveedores serán computados para efectos de penas convencionales, por la falta de aprovisionamiento de los elementos y equipos esenciales para la prestación de los Servicios.</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En caso de que alguna de las Partes, dentro de algún procedimiento de huelga, reciba (ya sea directamente o por conducto de: (i) la empresa titular del contrato colectivo respectivo y/o (ii) el sindicato un aviso de suspensión de labores en los términos de la Fracción I del Artículo 920 de la Ley Federal del Trabajo, deberá dar aviso de dicha circunstancia a la otra Parte, al día siguiente de su recibo. En caso de suspensión de la provisión de Servicios, ya sea activos o aquellos que se encuentren en cualquier etapa del proceso de contratación como consecuencia de una huelga, ninguna de las Partes tendrá el derecho de presentar reclamación alguna a la otra como consecuencia de dicha suspensión.</w:t>
      </w:r>
    </w:p>
    <w:p w:rsidR="0017227E" w:rsidRPr="00611019" w:rsidRDefault="0017227E" w:rsidP="00035D2C">
      <w:pPr>
        <w:spacing w:after="6pt"/>
        <w:jc w:val="both"/>
        <w:rPr>
          <w:rFonts w:ascii="Century Gothic" w:hAnsi="Century Gothic" w:cs="Arial"/>
          <w:b/>
          <w:lang w:val="es-ES_tradnl"/>
        </w:rPr>
      </w:pPr>
    </w:p>
    <w:p w:rsidR="0017227E" w:rsidRPr="00611019" w:rsidRDefault="00E56462" w:rsidP="00035D2C">
      <w:pPr>
        <w:pStyle w:val="3TitTer"/>
        <w:spacing w:after="6pt"/>
        <w:rPr>
          <w:rFonts w:ascii="Century Gothic" w:hAnsi="Century Gothic"/>
        </w:rPr>
      </w:pPr>
      <w:bookmarkStart w:id="2862" w:name="_Toc92974182"/>
      <w:bookmarkStart w:id="2863" w:name="_Toc93052494"/>
      <w:bookmarkStart w:id="2864" w:name="_Toc93056449"/>
      <w:bookmarkStart w:id="2865" w:name="_Toc125393513"/>
      <w:bookmarkStart w:id="2866" w:name="_Toc148702368"/>
      <w:bookmarkStart w:id="2867" w:name="_Toc170381984"/>
      <w:r>
        <w:rPr>
          <w:rFonts w:ascii="Century Gothic" w:hAnsi="Century Gothic"/>
        </w:rPr>
        <w:t>Séptima. PROPIEDAD DE LA INFRAESTRUCTURA Y RESPONSABILIDAD</w:t>
      </w:r>
      <w:bookmarkEnd w:id="2862"/>
      <w:bookmarkEnd w:id="2863"/>
      <w:bookmarkEnd w:id="2864"/>
      <w:bookmarkEnd w:id="2865"/>
      <w:bookmarkEnd w:id="2866"/>
      <w:bookmarkEnd w:id="2867"/>
    </w:p>
    <w:p w:rsidR="0017227E" w:rsidRPr="00611019" w:rsidRDefault="00E56462" w:rsidP="00035D2C">
      <w:pPr>
        <w:tabs>
          <w:tab w:val="start" w:pos="21.30pt"/>
        </w:tabs>
        <w:spacing w:after="6pt"/>
        <w:jc w:val="both"/>
        <w:rPr>
          <w:rFonts w:ascii="Century Gothic" w:hAnsi="Century Gothic" w:cs="Arial"/>
        </w:rPr>
      </w:pPr>
      <w:r>
        <w:rPr>
          <w:rFonts w:ascii="Century Gothic" w:hAnsi="Century Gothic" w:cs="Arial"/>
          <w:b/>
        </w:rPr>
        <w:t>7.1</w:t>
      </w:r>
      <w:r>
        <w:rPr>
          <w:rFonts w:ascii="Century Gothic" w:hAnsi="Century Gothic" w:cs="Arial"/>
          <w:b/>
        </w:rPr>
        <w:tab/>
      </w:r>
      <w:r>
        <w:rPr>
          <w:rFonts w:ascii="Century Gothic" w:hAnsi="Century Gothic" w:cs="Arial"/>
        </w:rPr>
        <w:t>Los equipos, aparatos, accesorios, dispositivos, fibras ópticas, nodos de conmutación y transmisión, enlaces de transmisión y demás elementos que compongan las instalaciones necesarias para la prestación de los Servicios</w:t>
      </w:r>
      <w:r>
        <w:rPr>
          <w:rFonts w:ascii="Century Gothic" w:hAnsi="Century Gothic" w:cs="Arial"/>
          <w:b/>
        </w:rPr>
        <w:t xml:space="preserve"> </w:t>
      </w:r>
      <w:r>
        <w:rPr>
          <w:rFonts w:ascii="Century Gothic" w:hAnsi="Century Gothic" w:cs="Arial"/>
        </w:rPr>
        <w:t xml:space="preserve">y que sean suministrados por </w:t>
      </w:r>
      <w:r>
        <w:rPr>
          <w:rFonts w:ascii="Century Gothic" w:hAnsi="Century Gothic" w:cs="Arial"/>
          <w:iCs/>
          <w:lang w:val="es-ES_tradnl"/>
        </w:rPr>
        <w:t>RED NACIONAL</w:t>
      </w:r>
      <w:r>
        <w:rPr>
          <w:rFonts w:ascii="Century Gothic" w:hAnsi="Century Gothic" w:cs="Arial"/>
        </w:rPr>
        <w:t>, son de la exclusiva propiedad de ésta o de algún tercero con el que contrate el o los insumos de que se trate.</w:t>
      </w:r>
    </w:p>
    <w:p w:rsidR="0017227E" w:rsidRPr="00611019" w:rsidRDefault="00E56462" w:rsidP="00035D2C">
      <w:pPr>
        <w:pStyle w:val="CitaIFT0"/>
        <w:tabs>
          <w:tab w:val="start" w:pos="21.30pt"/>
        </w:tabs>
        <w:spacing w:after="6pt"/>
        <w:ind w:start="0pt" w:end="0pt"/>
        <w:rPr>
          <w:rFonts w:ascii="Century Gothic" w:hAnsi="Century Gothic"/>
          <w:i w:val="0"/>
          <w:color w:val="auto"/>
          <w:sz w:val="22"/>
          <w:lang w:val="es-ES"/>
        </w:rPr>
      </w:pPr>
      <w:r>
        <w:rPr>
          <w:rFonts w:ascii="Century Gothic" w:hAnsi="Century Gothic"/>
          <w:b/>
          <w:sz w:val="22"/>
        </w:rPr>
        <w:t>7.2</w:t>
      </w:r>
      <w:r>
        <w:rPr>
          <w:rFonts w:ascii="Century Gothic" w:hAnsi="Century Gothic"/>
          <w:b/>
          <w:sz w:val="22"/>
        </w:rPr>
        <w:tab/>
      </w:r>
      <w:r>
        <w:rPr>
          <w:rFonts w:ascii="Century Gothic" w:hAnsi="Century Gothic"/>
          <w:i w:val="0"/>
          <w:color w:val="auto"/>
          <w:sz w:val="22"/>
          <w:lang w:val="es-ES"/>
        </w:rPr>
        <w:t xml:space="preserve">En consecuencia, el CONCESIONARIO SOLICITANTE se constituye como depositario responsable del buen uso y conservación de los equipos, aparatos, accesorios, dispositivos, y/o fibra óptica para el uso de los Servicios contratados. En caso de que cualquiera de las Partes haya instalado equipos en los sitios de la otra </w:t>
      </w:r>
      <w:r>
        <w:rPr>
          <w:rFonts w:ascii="Century Gothic" w:hAnsi="Century Gothic"/>
          <w:i w:val="0"/>
          <w:color w:val="auto"/>
          <w:sz w:val="22"/>
          <w:szCs w:val="22"/>
          <w:lang w:val="es-ES"/>
        </w:rPr>
        <w:t>Parte</w:t>
      </w:r>
      <w:r>
        <w:rPr>
          <w:rFonts w:ascii="Century Gothic" w:hAnsi="Century Gothic"/>
          <w:i w:val="0"/>
          <w:color w:val="auto"/>
          <w:sz w:val="22"/>
          <w:lang w:val="es-ES"/>
        </w:rPr>
        <w:t>, se obliga a retirarlos de conformidad con los procesos de baja establecidos la Oferta de Referencia.</w:t>
      </w:r>
    </w:p>
    <w:p w:rsidR="0017227E" w:rsidRPr="00611019" w:rsidRDefault="00E56462" w:rsidP="00035D2C">
      <w:pPr>
        <w:tabs>
          <w:tab w:val="start" w:pos="21.30pt"/>
          <w:tab w:val="start" w:pos="28.35pt"/>
        </w:tabs>
        <w:spacing w:after="6pt"/>
        <w:jc w:val="both"/>
        <w:rPr>
          <w:rFonts w:ascii="Century Gothic" w:hAnsi="Century Gothic" w:cs="Arial"/>
        </w:rPr>
      </w:pPr>
      <w:r>
        <w:rPr>
          <w:rFonts w:ascii="Century Gothic" w:hAnsi="Century Gothic" w:cs="Arial"/>
          <w:b/>
        </w:rPr>
        <w:lastRenderedPageBreak/>
        <w:t>7.3</w:t>
      </w:r>
      <w:r>
        <w:rPr>
          <w:rFonts w:ascii="Century Gothic" w:hAnsi="Century Gothic" w:cs="Arial"/>
          <w:b/>
        </w:rPr>
        <w:tab/>
      </w:r>
      <w:r>
        <w:rPr>
          <w:rFonts w:ascii="Century Gothic" w:hAnsi="Century Gothic" w:cs="Arial"/>
        </w:rPr>
        <w:t xml:space="preserve">En caso de daño, robo, destrucción o extravío a las instalaciones, infraestructura y equipos propiedad o en posesión de </w:t>
      </w:r>
      <w:r>
        <w:rPr>
          <w:rFonts w:ascii="Century Gothic" w:hAnsi="Century Gothic" w:cs="Arial"/>
          <w:iCs/>
          <w:lang w:val="es-ES_tradnl"/>
        </w:rPr>
        <w:t>RED NACIONAL</w:t>
      </w:r>
      <w:r>
        <w:rPr>
          <w:rFonts w:ascii="Century Gothic" w:hAnsi="Century Gothic" w:cs="Arial"/>
        </w:rPr>
        <w:t xml:space="preserve"> o del CONCESIONARIO SOLICITANTE, asociados a la operación de los Servicios citados en los dos incisos anteriores, y que le sean directamente imputables a alguna de las Partes, sus subsidiarias, filiales y clientes, cada una de ellas se obliga a indemnizar a la otra las cantidades que resulten de la cuantificación que realicen y se notifiquen respecto de los daños ocasionados por tales circunstancias.</w:t>
      </w:r>
    </w:p>
    <w:p w:rsidR="0017227E" w:rsidRPr="00611019" w:rsidRDefault="00E56462" w:rsidP="00035D2C">
      <w:pPr>
        <w:tabs>
          <w:tab w:val="start" w:pos="28.35pt"/>
        </w:tabs>
        <w:spacing w:after="6pt"/>
        <w:jc w:val="both"/>
        <w:rPr>
          <w:rFonts w:ascii="Century Gothic" w:hAnsi="Century Gothic" w:cs="Arial"/>
        </w:rPr>
      </w:pPr>
      <w:r>
        <w:rPr>
          <w:rFonts w:ascii="Century Gothic" w:hAnsi="Century Gothic" w:cs="Arial"/>
          <w:b/>
        </w:rPr>
        <w:t>7.4</w:t>
      </w:r>
      <w:r>
        <w:rPr>
          <w:rFonts w:ascii="Century Gothic" w:hAnsi="Century Gothic" w:cs="Arial"/>
        </w:rPr>
        <w:tab/>
        <w:t xml:space="preserve">Si durante el proceso de instalación de los equipos, aparatos, accesorios, dispositivos, fibra óptica, nodos de conmutación y transmisión y demás elementos necesarios para la prestación de los Servicios que sean suministrados por </w:t>
      </w:r>
      <w:r>
        <w:rPr>
          <w:rFonts w:ascii="Century Gothic" w:hAnsi="Century Gothic" w:cs="Arial"/>
          <w:spacing w:val="-3"/>
        </w:rPr>
        <w:t>RED NACIONAL</w:t>
      </w:r>
      <w:r>
        <w:rPr>
          <w:rFonts w:ascii="Century Gothic" w:hAnsi="Century Gothic" w:cs="Arial"/>
        </w:rPr>
        <w:t xml:space="preserve">, con independencia de que sean o no de su propiedad, se dañan, destruyen o interrumpen los Servicios del CONCESIONARIO SOLICITANTE por causas directamente imputables a </w:t>
      </w:r>
      <w:r>
        <w:rPr>
          <w:rFonts w:ascii="Century Gothic" w:hAnsi="Century Gothic" w:cs="Arial"/>
          <w:iCs/>
          <w:lang w:val="es-ES_tradnl"/>
        </w:rPr>
        <w:t>RED NACIONAL</w:t>
      </w:r>
      <w:r>
        <w:rPr>
          <w:rFonts w:ascii="Century Gothic" w:hAnsi="Century Gothic" w:cs="Arial"/>
        </w:rPr>
        <w:t xml:space="preserve">, por no haberse ajustado a las especificaciones, lineamientos, procedimientos, planos y diagramas de los equipos e instalaciones del CONCESIONARIO SOLICITANTE, que deberán ser provistos a </w:t>
      </w:r>
      <w:r>
        <w:rPr>
          <w:rFonts w:ascii="Century Gothic" w:hAnsi="Century Gothic" w:cs="Arial"/>
          <w:iCs/>
          <w:lang w:val="es-ES_tradnl"/>
        </w:rPr>
        <w:t>RED NACIONAL</w:t>
      </w:r>
      <w:r>
        <w:rPr>
          <w:rFonts w:ascii="Century Gothic" w:hAnsi="Century Gothic" w:cs="Arial"/>
        </w:rPr>
        <w:t xml:space="preserve"> previo al proceso de instalación de los Servicios, </w:t>
      </w:r>
      <w:r>
        <w:rPr>
          <w:rFonts w:ascii="Century Gothic" w:hAnsi="Century Gothic" w:cs="Arial"/>
          <w:iCs/>
          <w:lang w:val="es-ES_tradnl"/>
        </w:rPr>
        <w:t>RED NACIONAL</w:t>
      </w:r>
      <w:r>
        <w:rPr>
          <w:rFonts w:ascii="Century Gothic" w:hAnsi="Century Gothic" w:cs="Arial"/>
        </w:rPr>
        <w:t xml:space="preserve"> se obliga a indemnizar al CONCESIONARIO SOLICITANTE las cantidades que resulten de la cuantificación de los daños ocasionados por tales circunstancias, previa investigación que al efecto realicen las Partes  respecto del origen e imputabilidad de dichos daños. En caso de que las especificaciones, lineamientos, procedimientos, planos y diagramas de los equipos e instalaciones del CONCESIONARIO SOLICITANTE no hayan sido entregados a </w:t>
      </w:r>
      <w:r>
        <w:rPr>
          <w:rFonts w:ascii="Century Gothic" w:hAnsi="Century Gothic" w:cs="Arial"/>
          <w:iCs/>
          <w:lang w:val="es-ES_tradnl"/>
        </w:rPr>
        <w:t>RED NACIONAL</w:t>
      </w:r>
      <w:r>
        <w:rPr>
          <w:rFonts w:ascii="Century Gothic" w:hAnsi="Century Gothic" w:cs="Arial"/>
        </w:rPr>
        <w:t>, ésta no será responsable de los daños que se ocasionen.</w:t>
      </w:r>
    </w:p>
    <w:p w:rsidR="0017227E" w:rsidRPr="00611019" w:rsidRDefault="00E56462" w:rsidP="00035D2C">
      <w:pPr>
        <w:spacing w:after="6pt"/>
        <w:jc w:val="both"/>
        <w:rPr>
          <w:rFonts w:ascii="Century Gothic" w:hAnsi="Century Gothic" w:cs="Arial"/>
        </w:rPr>
      </w:pPr>
      <w:r>
        <w:rPr>
          <w:rFonts w:ascii="Century Gothic" w:hAnsi="Century Gothic" w:cs="Arial"/>
        </w:rPr>
        <w:t>Asimismo, las Partes procederán a la elaboración del acta administrativa correspondiente, con la finalidad de establecer en forma clara y detallada la cuantificación de los daños antes mencionados.</w:t>
      </w:r>
    </w:p>
    <w:p w:rsidR="0017227E" w:rsidRPr="00611019" w:rsidRDefault="00E56462" w:rsidP="00035D2C">
      <w:pPr>
        <w:spacing w:after="6pt"/>
        <w:jc w:val="both"/>
        <w:rPr>
          <w:rFonts w:ascii="Century Gothic" w:hAnsi="Century Gothic" w:cs="Arial"/>
        </w:rPr>
      </w:pPr>
      <w:r>
        <w:rPr>
          <w:rFonts w:ascii="Century Gothic" w:hAnsi="Century Gothic" w:cs="Arial"/>
        </w:rPr>
        <w:t xml:space="preserve">Será obligación de </w:t>
      </w:r>
      <w:r>
        <w:rPr>
          <w:rFonts w:ascii="Century Gothic" w:hAnsi="Century Gothic" w:cs="Arial"/>
          <w:iCs/>
          <w:lang w:val="es-ES_tradnl"/>
        </w:rPr>
        <w:t>RED NACIONAL</w:t>
      </w:r>
      <w:r>
        <w:rPr>
          <w:rFonts w:ascii="Century Gothic" w:hAnsi="Century Gothic" w:cs="Arial"/>
        </w:rPr>
        <w:t xml:space="preserve"> y del CONCESIONARIO SOLICITANTE ofrecer pruebas fehacientes, según sea el caso, a la Parte afectada y al Instituto, que justifiquen las causas de la incidencia o daño en la red pública de telecomunicaciones.</w:t>
      </w:r>
    </w:p>
    <w:p w:rsidR="0017227E" w:rsidRPr="00611019" w:rsidRDefault="00E56462" w:rsidP="00035D2C">
      <w:pPr>
        <w:spacing w:after="6pt"/>
        <w:jc w:val="both"/>
        <w:rPr>
          <w:rFonts w:ascii="Century Gothic" w:hAnsi="Century Gothic" w:cs="Arial"/>
        </w:rPr>
      </w:pPr>
      <w:r>
        <w:rPr>
          <w:rFonts w:ascii="Century Gothic" w:hAnsi="Century Gothic" w:cs="Arial"/>
        </w:rPr>
        <w:t xml:space="preserve">El monto de los daños a que se refiere esta Cláusula se determinará y pagará de conformidad con lo siguiente: </w:t>
      </w:r>
    </w:p>
    <w:p w:rsidR="0017227E" w:rsidRPr="00611019" w:rsidRDefault="00E56462" w:rsidP="00035D2C">
      <w:pPr>
        <w:spacing w:after="6pt"/>
        <w:ind w:start="28.35pt" w:hanging="28.35pt"/>
        <w:jc w:val="both"/>
        <w:rPr>
          <w:rFonts w:ascii="Century Gothic" w:hAnsi="Century Gothic" w:cs="Arial"/>
          <w:lang w:val="es-ES_tradnl"/>
        </w:rPr>
      </w:pPr>
      <w:r>
        <w:rPr>
          <w:rFonts w:ascii="Century Gothic" w:hAnsi="Century Gothic" w:cs="Arial"/>
          <w:lang w:val="es-ES_tradnl"/>
        </w:rPr>
        <w:t>a)</w:t>
      </w:r>
      <w:r>
        <w:rPr>
          <w:rFonts w:ascii="Century Gothic" w:hAnsi="Century Gothic" w:cs="Arial"/>
          <w:lang w:val="es-ES_tradnl"/>
        </w:rPr>
        <w:tab/>
        <w:t>Será igual a la cantidad que las Partes paguen con motivo de la reparación de la infraestructura que resulte afectada, previa acreditación del pago de dicha reparación.</w:t>
      </w:r>
    </w:p>
    <w:p w:rsidR="0017227E" w:rsidRPr="00611019" w:rsidRDefault="00E56462" w:rsidP="00035D2C">
      <w:pPr>
        <w:spacing w:after="6pt"/>
        <w:ind w:start="28.35pt" w:hanging="28.35pt"/>
        <w:jc w:val="both"/>
        <w:rPr>
          <w:rFonts w:ascii="Century Gothic" w:hAnsi="Century Gothic" w:cs="Arial"/>
          <w:lang w:val="es-ES_tradnl"/>
        </w:rPr>
      </w:pPr>
      <w:r>
        <w:rPr>
          <w:rFonts w:ascii="Century Gothic" w:hAnsi="Century Gothic" w:cs="Arial"/>
          <w:lang w:val="es-ES_tradnl"/>
        </w:rPr>
        <w:t>b)</w:t>
      </w:r>
      <w:r>
        <w:rPr>
          <w:rFonts w:ascii="Century Gothic" w:hAnsi="Century Gothic" w:cs="Arial"/>
          <w:lang w:val="es-ES_tradnl"/>
        </w:rPr>
        <w:tab/>
        <w:t xml:space="preserve">Será igual a la cantidad que las Partes paguen a sus </w:t>
      </w:r>
      <w:r>
        <w:rPr>
          <w:rFonts w:ascii="Century Gothic" w:hAnsi="Century Gothic"/>
        </w:rPr>
        <w:t>Usuarios Finales</w:t>
      </w:r>
      <w:r>
        <w:rPr>
          <w:rFonts w:ascii="Century Gothic" w:hAnsi="Century Gothic" w:cs="Arial"/>
          <w:lang w:val="es-ES_tradnl"/>
        </w:rPr>
        <w:t xml:space="preserve"> que resulten afectados por el periodo que dure dicha afectación ocasionada a la prestación de los servicios de alguna de ellas, previa acreditación de dicho pago.</w:t>
      </w:r>
    </w:p>
    <w:p w:rsidR="0017227E" w:rsidRPr="00611019" w:rsidRDefault="00E56462" w:rsidP="00035D2C">
      <w:pPr>
        <w:spacing w:after="6pt"/>
        <w:ind w:start="28.35pt" w:hanging="28.35pt"/>
        <w:jc w:val="both"/>
        <w:rPr>
          <w:rFonts w:ascii="Century Gothic" w:hAnsi="Century Gothic" w:cs="Arial"/>
          <w:lang w:val="es-ES_tradnl"/>
        </w:rPr>
      </w:pPr>
      <w:r>
        <w:rPr>
          <w:rFonts w:ascii="Century Gothic" w:hAnsi="Century Gothic" w:cs="Arial"/>
          <w:lang w:val="es-ES_tradnl"/>
        </w:rPr>
        <w:t>c)</w:t>
      </w:r>
      <w:r>
        <w:rPr>
          <w:rFonts w:ascii="Century Gothic" w:hAnsi="Century Gothic" w:cs="Arial"/>
          <w:lang w:val="es-ES_tradnl"/>
        </w:rPr>
        <w:tab/>
        <w:t>No se considerarán daños consecuenciales.</w:t>
      </w:r>
    </w:p>
    <w:p w:rsidR="0017227E" w:rsidRPr="00611019" w:rsidRDefault="00E56462" w:rsidP="00035D2C">
      <w:pPr>
        <w:spacing w:after="6pt"/>
        <w:ind w:start="28.35pt" w:hanging="28.35pt"/>
        <w:jc w:val="both"/>
        <w:rPr>
          <w:rFonts w:ascii="Century Gothic" w:hAnsi="Century Gothic" w:cs="Arial"/>
          <w:lang w:val="es-ES_tradnl"/>
        </w:rPr>
      </w:pPr>
      <w:r>
        <w:rPr>
          <w:rFonts w:ascii="Century Gothic" w:hAnsi="Century Gothic" w:cs="Arial"/>
          <w:lang w:val="es-ES_tradnl"/>
        </w:rPr>
        <w:lastRenderedPageBreak/>
        <w:t>d)</w:t>
      </w:r>
      <w:r>
        <w:rPr>
          <w:rFonts w:ascii="Century Gothic" w:hAnsi="Century Gothic" w:cs="Arial"/>
          <w:lang w:val="es-ES_tradnl"/>
        </w:rPr>
        <w:tab/>
        <w:t>Será pagado por cualquiera de las Partes dentro de los 18 (dieciocho) días hábiles posteriores a aquel en que la otra lo requiera por escrito anexando la evidencia correspondiente.</w:t>
      </w:r>
    </w:p>
    <w:p w:rsidR="00824EB3" w:rsidRPr="00611019" w:rsidRDefault="00824EB3" w:rsidP="00035D2C">
      <w:pPr>
        <w:spacing w:after="6pt"/>
        <w:ind w:start="35.45pt"/>
        <w:jc w:val="both"/>
        <w:rPr>
          <w:rFonts w:ascii="Century Gothic" w:hAnsi="Century Gothic" w:cs="Arial"/>
        </w:rPr>
      </w:pPr>
    </w:p>
    <w:p w:rsidR="0017227E" w:rsidRPr="00611019" w:rsidRDefault="00E56462" w:rsidP="00035D2C">
      <w:pPr>
        <w:pStyle w:val="0Tit11"/>
        <w:spacing w:line="13.80pt" w:lineRule="auto"/>
      </w:pPr>
      <w:bookmarkStart w:id="2868" w:name="_Toc92974183"/>
      <w:bookmarkStart w:id="2869" w:name="_Toc93052495"/>
      <w:bookmarkStart w:id="2870" w:name="_Toc93056450"/>
      <w:bookmarkStart w:id="2871" w:name="_Toc125393514"/>
      <w:bookmarkStart w:id="2872" w:name="_Toc148702369"/>
      <w:bookmarkStart w:id="2873" w:name="_Toc170381985"/>
      <w:r>
        <w:t>Octava. GARANTÍAS DEL CONVENIO</w:t>
      </w:r>
      <w:bookmarkEnd w:id="2868"/>
      <w:bookmarkEnd w:id="2869"/>
      <w:bookmarkEnd w:id="2870"/>
      <w:bookmarkEnd w:id="2871"/>
      <w:bookmarkEnd w:id="2872"/>
      <w:bookmarkEnd w:id="2873"/>
    </w:p>
    <w:p w:rsidR="00E10CFA" w:rsidRPr="00611019" w:rsidRDefault="00E56462" w:rsidP="00035D2C">
      <w:pPr>
        <w:pStyle w:val="Ttulo3"/>
        <w:spacing w:after="6pt" w:line="13.80pt" w:lineRule="auto"/>
        <w:ind w:start="36pt" w:hanging="36pt"/>
        <w:jc w:val="start"/>
        <w:rPr>
          <w:rFonts w:ascii="Century Gothic" w:hAnsi="Century Gothic"/>
          <w:szCs w:val="22"/>
        </w:rPr>
      </w:pPr>
      <w:bookmarkStart w:id="2874" w:name="_Toc93052496"/>
      <w:bookmarkStart w:id="2875" w:name="_Toc93056451"/>
      <w:bookmarkStart w:id="2876" w:name="_Toc125393515"/>
      <w:bookmarkStart w:id="2877" w:name="_Toc148702370"/>
      <w:bookmarkStart w:id="2878" w:name="_Toc170381986"/>
      <w:r>
        <w:rPr>
          <w:rFonts w:ascii="Century Gothic" w:hAnsi="Century Gothic"/>
          <w:szCs w:val="22"/>
        </w:rPr>
        <w:t>8.1</w:t>
      </w:r>
      <w:r>
        <w:rPr>
          <w:rFonts w:ascii="Century Gothic" w:hAnsi="Century Gothic"/>
          <w:szCs w:val="22"/>
        </w:rPr>
        <w:tab/>
        <w:t>Garantía para el pago de las Contraprestaciones.</w:t>
      </w:r>
      <w:bookmarkEnd w:id="2874"/>
      <w:bookmarkEnd w:id="2875"/>
      <w:bookmarkEnd w:id="2876"/>
      <w:bookmarkEnd w:id="2877"/>
      <w:bookmarkEnd w:id="2878"/>
      <w:r>
        <w:rPr>
          <w:rFonts w:ascii="Century Gothic" w:hAnsi="Century Gothic"/>
          <w:szCs w:val="22"/>
        </w:rPr>
        <w:t xml:space="preserve"> </w:t>
      </w:r>
    </w:p>
    <w:p w:rsidR="0017227E" w:rsidRPr="00611019" w:rsidRDefault="00E56462" w:rsidP="00035D2C">
      <w:pPr>
        <w:tabs>
          <w:tab w:val="start" w:pos="28.35pt"/>
          <w:tab w:val="start" w:pos="90pt"/>
        </w:tabs>
        <w:spacing w:after="6pt"/>
        <w:jc w:val="both"/>
        <w:rPr>
          <w:rFonts w:ascii="Century Gothic" w:hAnsi="Century Gothic" w:cs="Arial"/>
        </w:rPr>
      </w:pPr>
      <w:r>
        <w:rPr>
          <w:rFonts w:ascii="Century Gothic" w:hAnsi="Century Gothic" w:cs="Arial"/>
        </w:rPr>
        <w:t>Mientras esté vigente este CONVENIO, el CONCESIONARIO SOLICITANTE mantendrá constituida una fianza, carta de crédito, depósito condicionado o depósito en garantía, a elección del CS como garantía del pago de las contraprestaciones a su cargo en los términos de este CONVENIO, por un monto que cubra por lo menos un promedio de contraprestaciones por 2 (dos) meses de Servicios calculado con base en los últimos 12 (doce) meses, incluyendo accesorios y cualquier otro cargo. El monto de la fianza</w:t>
      </w:r>
      <w:r w:rsidR="00CB1D0D">
        <w:rPr>
          <w:rFonts w:ascii="Century Gothic" w:hAnsi="Century Gothic" w:cs="Arial"/>
        </w:rPr>
        <w:t>, depósito</w:t>
      </w:r>
      <w:r>
        <w:rPr>
          <w:rFonts w:ascii="Century Gothic" w:hAnsi="Century Gothic" w:cs="Arial"/>
        </w:rPr>
        <w:t xml:space="preserve"> o carta de crédito de un CONCESIONARIO SOLICITANTE que realice por primera vez la contratación de Servicios, deberá ser pactada entre las Partes, de forma proporcional, considerando el monto y volumen de cada servicio contratado.</w:t>
      </w:r>
      <w:r>
        <w:rPr>
          <w:rFonts w:eastAsia="Calibri" w:cs="Arial"/>
          <w:color w:val="000000"/>
          <w:lang w:val="es-ES"/>
        </w:rPr>
        <w:t xml:space="preserve"> </w:t>
      </w:r>
      <w:r>
        <w:rPr>
          <w:rFonts w:ascii="Century Gothic" w:hAnsi="Century Gothic" w:cs="Arial"/>
        </w:rPr>
        <w:t xml:space="preserve">El monto por el cual el CONCESIONARIO SOLICITANTE deberá constituir la garantía es de [*], misma que deberá ser expedida por una institución de </w:t>
      </w:r>
      <w:r w:rsidR="00D04CB4">
        <w:rPr>
          <w:rFonts w:ascii="Century Gothic" w:hAnsi="Century Gothic" w:cs="Arial"/>
        </w:rPr>
        <w:t xml:space="preserve">fianzas </w:t>
      </w:r>
      <w:r>
        <w:rPr>
          <w:rFonts w:ascii="Century Gothic" w:hAnsi="Century Gothic" w:cs="Arial"/>
        </w:rPr>
        <w:t xml:space="preserve">o una </w:t>
      </w:r>
      <w:r w:rsidR="00D04CB4">
        <w:rPr>
          <w:rFonts w:ascii="Century Gothic" w:hAnsi="Century Gothic" w:cs="Arial"/>
        </w:rPr>
        <w:t>institución bancaria</w:t>
      </w:r>
      <w:r>
        <w:rPr>
          <w:rFonts w:ascii="Century Gothic" w:hAnsi="Century Gothic" w:cs="Arial"/>
        </w:rPr>
        <w:t xml:space="preserve">, según sea el caso, de los Estados Unidos Mexicanos. La fianza o carta de crédito se sujetará a los términos de la Legislación vigente en la materia, y en lo no previsto por ésta, a lo dispuesto en el Título Decimotercero del Código Civil Federal, garantizando la institución correspondiente el pago de las contraprestaciones que se pactan en este CONVENIO a cargo del CONCESIONARIO SOLICITANTE, y todos y cada uno de los gastos en que incurra </w:t>
      </w:r>
      <w:r>
        <w:rPr>
          <w:rFonts w:ascii="Century Gothic" w:hAnsi="Century Gothic" w:cs="Arial"/>
          <w:iCs/>
          <w:lang w:val="es-ES_tradnl"/>
        </w:rPr>
        <w:t>RED NACIONAL</w:t>
      </w:r>
      <w:r>
        <w:rPr>
          <w:rFonts w:ascii="Century Gothic" w:hAnsi="Century Gothic" w:cs="Arial"/>
        </w:rPr>
        <w:t xml:space="preserve"> al exigir dicho derecho conforme a este CONVENIO. </w:t>
      </w:r>
    </w:p>
    <w:p w:rsidR="0017227E" w:rsidRPr="00611019" w:rsidRDefault="0017227E" w:rsidP="00035D2C">
      <w:pPr>
        <w:tabs>
          <w:tab w:val="start" w:pos="90pt"/>
        </w:tabs>
        <w:spacing w:after="6pt"/>
        <w:ind w:start="35.45pt" w:hanging="35.45pt"/>
        <w:jc w:val="both"/>
        <w:rPr>
          <w:rFonts w:ascii="Century Gothic" w:hAnsi="Century Gothic" w:cs="Arial"/>
        </w:rPr>
      </w:pPr>
    </w:p>
    <w:p w:rsidR="00676718" w:rsidRPr="000511F0" w:rsidRDefault="00E56462" w:rsidP="000511F0">
      <w:pPr>
        <w:pStyle w:val="Ttulo3"/>
        <w:spacing w:after="6pt" w:line="13.80pt" w:lineRule="auto"/>
        <w:ind w:start="36pt" w:hanging="36pt"/>
        <w:jc w:val="start"/>
        <w:rPr>
          <w:rFonts w:ascii="Century Gothic" w:hAnsi="Century Gothic"/>
          <w:szCs w:val="22"/>
        </w:rPr>
      </w:pPr>
      <w:r w:rsidRPr="000511F0">
        <w:rPr>
          <w:rFonts w:ascii="Century Gothic" w:hAnsi="Century Gothic"/>
          <w:szCs w:val="22"/>
        </w:rPr>
        <w:t>8.2</w:t>
      </w:r>
      <w:r w:rsidRPr="000511F0">
        <w:rPr>
          <w:rFonts w:ascii="Century Gothic" w:hAnsi="Century Gothic"/>
          <w:szCs w:val="22"/>
        </w:rPr>
        <w:tab/>
        <w:t>Fianza y Carta de Crédito.</w:t>
      </w:r>
    </w:p>
    <w:p w:rsidR="0017227E" w:rsidRPr="00611019" w:rsidRDefault="00E56462" w:rsidP="00035D2C">
      <w:pPr>
        <w:tabs>
          <w:tab w:val="start" w:pos="28.35pt"/>
          <w:tab w:val="start" w:pos="90pt"/>
        </w:tabs>
        <w:spacing w:after="6pt"/>
        <w:jc w:val="both"/>
        <w:rPr>
          <w:rFonts w:ascii="Century Gothic" w:hAnsi="Century Gothic" w:cs="Arial"/>
        </w:rPr>
      </w:pPr>
      <w:r>
        <w:rPr>
          <w:rFonts w:ascii="Century Gothic" w:hAnsi="Century Gothic" w:cs="Arial"/>
        </w:rPr>
        <w:t xml:space="preserve">En todo caso, la fianza o carta de crédito deberá cumplir con los siguientes requisitos y estipulaciones mínimas, a satisfacción de </w:t>
      </w:r>
      <w:r>
        <w:rPr>
          <w:rFonts w:ascii="Century Gothic" w:hAnsi="Century Gothic" w:cs="Arial"/>
          <w:iCs/>
          <w:lang w:val="es-ES_tradnl"/>
        </w:rPr>
        <w:t>RED NACIONAL</w:t>
      </w:r>
      <w:r>
        <w:rPr>
          <w:rFonts w:ascii="Century Gothic" w:hAnsi="Century Gothic" w:cs="Arial"/>
        </w:rPr>
        <w:t>:</w:t>
      </w:r>
    </w:p>
    <w:p w:rsidR="0017227E" w:rsidRPr="00611019" w:rsidRDefault="00E56462" w:rsidP="00035D2C">
      <w:pPr>
        <w:tabs>
          <w:tab w:val="start" w:pos="35.45pt"/>
          <w:tab w:val="start" w:pos="90pt"/>
        </w:tabs>
        <w:spacing w:after="6pt"/>
        <w:ind w:start="35.45pt" w:hanging="35.45pt"/>
        <w:jc w:val="both"/>
        <w:rPr>
          <w:rFonts w:ascii="Century Gothic" w:hAnsi="Century Gothic" w:cs="Arial"/>
        </w:rPr>
      </w:pPr>
      <w:r>
        <w:rPr>
          <w:rFonts w:ascii="Century Gothic" w:hAnsi="Century Gothic" w:cs="Arial"/>
          <w:b/>
        </w:rPr>
        <w:t>8.2.1</w:t>
      </w:r>
      <w:r>
        <w:rPr>
          <w:rFonts w:ascii="Century Gothic" w:hAnsi="Century Gothic" w:cs="Arial"/>
        </w:rPr>
        <w:tab/>
        <w:t>Deberá ser otorgada por una Institución de Fianzas Mexicana, o institución bancaria, de reconocido prestigio que no pertenezca al mismo grupo corporativo o de interés del fiado y que esté debidamente autorizada por la Secretaría de Hacienda y Crédito Público.</w:t>
      </w:r>
    </w:p>
    <w:p w:rsidR="0017227E" w:rsidRPr="00611019" w:rsidRDefault="00E56462" w:rsidP="00035D2C">
      <w:pPr>
        <w:tabs>
          <w:tab w:val="start" w:pos="35.45pt"/>
          <w:tab w:val="start" w:pos="90pt"/>
        </w:tabs>
        <w:spacing w:after="6pt"/>
        <w:ind w:start="35.45pt" w:hanging="35.45pt"/>
        <w:jc w:val="both"/>
        <w:rPr>
          <w:rFonts w:ascii="Century Gothic" w:hAnsi="Century Gothic" w:cs="Arial"/>
        </w:rPr>
      </w:pPr>
      <w:r>
        <w:rPr>
          <w:rFonts w:ascii="Century Gothic" w:hAnsi="Century Gothic" w:cs="Arial"/>
          <w:b/>
        </w:rPr>
        <w:t>8.2.2</w:t>
      </w:r>
      <w:r>
        <w:rPr>
          <w:rFonts w:ascii="Century Gothic" w:hAnsi="Century Gothic" w:cs="Arial"/>
        </w:rPr>
        <w:tab/>
        <w:t>Deberá señalar que la Institución de Fianzas, o institución bancaria acepta someterse al procedimiento establecido en los artículos 279, 289 y demás relativos de la Ley de Instituciones de Seguros y Fianzas.</w:t>
      </w:r>
    </w:p>
    <w:p w:rsidR="0017227E" w:rsidRPr="00611019" w:rsidRDefault="00E56462" w:rsidP="00035D2C">
      <w:pPr>
        <w:tabs>
          <w:tab w:val="start" w:pos="35.45pt"/>
          <w:tab w:val="start" w:pos="90pt"/>
        </w:tabs>
        <w:spacing w:after="6pt"/>
        <w:ind w:start="35.45pt" w:hanging="35.45pt"/>
        <w:jc w:val="both"/>
        <w:rPr>
          <w:rFonts w:ascii="Century Gothic" w:hAnsi="Century Gothic" w:cs="Arial"/>
        </w:rPr>
      </w:pPr>
      <w:r>
        <w:rPr>
          <w:rFonts w:ascii="Century Gothic" w:hAnsi="Century Gothic" w:cs="Arial"/>
          <w:b/>
        </w:rPr>
        <w:t>8.2.3</w:t>
      </w:r>
      <w:r>
        <w:rPr>
          <w:rFonts w:ascii="Century Gothic" w:hAnsi="Century Gothic" w:cs="Arial"/>
        </w:rPr>
        <w:tab/>
        <w:t xml:space="preserve">Para cancelar la fianza, o carta de crédito, será requisito que el fiado presente a la Institución de Fianzas o Institución Bancaria la autorización por escrito de </w:t>
      </w:r>
      <w:r>
        <w:rPr>
          <w:rFonts w:ascii="Century Gothic" w:hAnsi="Century Gothic" w:cs="Arial"/>
          <w:iCs/>
          <w:lang w:val="es-ES_tradnl"/>
        </w:rPr>
        <w:t>RED NACIONAL</w:t>
      </w:r>
      <w:r>
        <w:rPr>
          <w:rFonts w:ascii="Century Gothic" w:hAnsi="Century Gothic" w:cs="Arial"/>
        </w:rPr>
        <w:t>.</w:t>
      </w:r>
    </w:p>
    <w:p w:rsidR="00676718" w:rsidRPr="000511F0" w:rsidRDefault="00E56462" w:rsidP="000511F0">
      <w:pPr>
        <w:pStyle w:val="Ttulo3"/>
        <w:spacing w:after="6pt" w:line="13.80pt" w:lineRule="auto"/>
        <w:ind w:start="36pt" w:hanging="36pt"/>
        <w:jc w:val="start"/>
        <w:rPr>
          <w:rFonts w:ascii="Century Gothic" w:hAnsi="Century Gothic"/>
          <w:szCs w:val="22"/>
        </w:rPr>
      </w:pPr>
      <w:r w:rsidRPr="000511F0">
        <w:rPr>
          <w:rFonts w:ascii="Century Gothic" w:hAnsi="Century Gothic"/>
          <w:szCs w:val="22"/>
        </w:rPr>
        <w:lastRenderedPageBreak/>
        <w:t>8.3 Depósito condicionado y depósito en garantía</w:t>
      </w:r>
    </w:p>
    <w:p w:rsidR="0038405E" w:rsidRPr="00611019" w:rsidRDefault="0038405E" w:rsidP="00035D2C">
      <w:pPr>
        <w:tabs>
          <w:tab w:val="start" w:pos="90pt"/>
        </w:tabs>
        <w:ind w:firstLine="0.55pt"/>
        <w:jc w:val="both"/>
        <w:rPr>
          <w:rFonts w:ascii="Century Gothic" w:hAnsi="Century Gothic" w:cs="Arial"/>
          <w:b/>
          <w:bCs/>
          <w:sz w:val="8"/>
        </w:rPr>
      </w:pPr>
    </w:p>
    <w:p w:rsidR="00676718" w:rsidRPr="00611019" w:rsidRDefault="00E56462" w:rsidP="00035D2C">
      <w:pPr>
        <w:tabs>
          <w:tab w:val="start" w:pos="90pt"/>
        </w:tabs>
        <w:spacing w:after="6pt"/>
        <w:ind w:firstLine="0.55pt"/>
        <w:jc w:val="both"/>
        <w:rPr>
          <w:rFonts w:ascii="Century Gothic" w:hAnsi="Century Gothic" w:cs="Arial"/>
        </w:rPr>
      </w:pPr>
      <w:r>
        <w:rPr>
          <w:rFonts w:ascii="Century Gothic" w:hAnsi="Century Gothic" w:cs="Arial"/>
        </w:rPr>
        <w:t>En caso de que el CONCESIONARIO SOLICITANTE opte por constituir un depósito condicionado o depósito en garantía, deberá informarlo a RED NACIONAL, con la finalidad de que ésta le proporcione los datos de la cuenta a la que habrá de realizarse el depósito en comento. Una vez finalizada la vigencia del presente CONVENIO, RED NACIONAL realizará la devolución de la cantidad depositada al CONCESIONARIO SOLICITANTE a la cuenta que previamente éste le indique, siempre y cuando no existan adeudos pendientes a cargo del CONCESIONARIO SOLICITANTE.</w:t>
      </w:r>
    </w:p>
    <w:p w:rsidR="00676718" w:rsidRPr="000511F0" w:rsidRDefault="00E56462" w:rsidP="000511F0">
      <w:pPr>
        <w:pStyle w:val="Ttulo3"/>
        <w:spacing w:after="6pt" w:line="13.80pt" w:lineRule="auto"/>
        <w:ind w:start="36pt" w:hanging="36pt"/>
        <w:jc w:val="start"/>
        <w:rPr>
          <w:rFonts w:ascii="Century Gothic" w:hAnsi="Century Gothic"/>
          <w:szCs w:val="22"/>
        </w:rPr>
      </w:pPr>
      <w:r w:rsidRPr="000511F0">
        <w:rPr>
          <w:rFonts w:ascii="Century Gothic" w:hAnsi="Century Gothic"/>
          <w:szCs w:val="22"/>
        </w:rPr>
        <w:t>8.4</w:t>
      </w:r>
      <w:r w:rsidRPr="000511F0">
        <w:rPr>
          <w:rFonts w:ascii="Century Gothic" w:hAnsi="Century Gothic"/>
          <w:szCs w:val="22"/>
        </w:rPr>
        <w:tab/>
        <w:t>Constitución y renovación de las Garantías</w:t>
      </w:r>
    </w:p>
    <w:p w:rsidR="0017227E" w:rsidRPr="00611019" w:rsidRDefault="00E56462" w:rsidP="00035D2C">
      <w:pPr>
        <w:tabs>
          <w:tab w:val="start" w:pos="90pt"/>
        </w:tabs>
        <w:spacing w:after="6pt"/>
        <w:ind w:firstLine="0.55pt"/>
        <w:jc w:val="both"/>
        <w:rPr>
          <w:rFonts w:ascii="Century Gothic" w:hAnsi="Century Gothic" w:cs="Arial"/>
        </w:rPr>
      </w:pPr>
      <w:r>
        <w:rPr>
          <w:rFonts w:ascii="Century Gothic" w:hAnsi="Century Gothic" w:cs="Arial"/>
        </w:rPr>
        <w:t xml:space="preserve">Se otorgará una nueva garantía anualmente por una cantidad equivalente al 100% del importe total de los Servicios objeto de este CONVENIO facturados por </w:t>
      </w:r>
      <w:r>
        <w:rPr>
          <w:rFonts w:ascii="Century Gothic" w:hAnsi="Century Gothic" w:cs="Arial"/>
          <w:iCs/>
          <w:lang w:val="es-ES_tradnl"/>
        </w:rPr>
        <w:t>RED NACIONAL</w:t>
      </w:r>
      <w:r>
        <w:rPr>
          <w:rFonts w:ascii="Century Gothic" w:hAnsi="Century Gothic" w:cs="Arial"/>
        </w:rPr>
        <w:t xml:space="preserve"> al CONCESIONARIO SOLICITANTE durante 2 (dos) meses del año calendario inmediato anterior o el estimado de Servicios correspondientes a 2 (dos) meses del siguiente año, el monto que resulte mayor. </w:t>
      </w:r>
    </w:p>
    <w:p w:rsidR="0017227E" w:rsidRPr="00611019" w:rsidRDefault="00E56462" w:rsidP="00035D2C">
      <w:pPr>
        <w:spacing w:after="6pt"/>
        <w:jc w:val="both"/>
        <w:rPr>
          <w:rFonts w:ascii="Century Gothic" w:hAnsi="Century Gothic" w:cs="Arial"/>
        </w:rPr>
      </w:pPr>
      <w:r>
        <w:rPr>
          <w:rFonts w:ascii="Century Gothic" w:hAnsi="Century Gothic" w:cs="Arial"/>
        </w:rPr>
        <w:t xml:space="preserve">La garantía deberá ser constituida dentro de los 30 (treinta) días hábiles siguientes a la fecha de firma del presente CONVENIO o a requerimiento de </w:t>
      </w:r>
      <w:r>
        <w:rPr>
          <w:rFonts w:ascii="Century Gothic" w:hAnsi="Century Gothic" w:cs="Arial"/>
          <w:iCs/>
          <w:lang w:val="es-ES_tradnl"/>
        </w:rPr>
        <w:t>RED NACIONAL</w:t>
      </w:r>
      <w:r>
        <w:rPr>
          <w:rFonts w:ascii="Century Gothic" w:hAnsi="Century Gothic" w:cs="Arial"/>
        </w:rPr>
        <w:t>, según el caso, quedando ésta facultada para rescindir el mismo en caso de que dicha garantía no sea otorgada por el CONCESIONARIO SOLICITANTE dentro de dicho plazo.</w:t>
      </w:r>
    </w:p>
    <w:p w:rsidR="0017227E" w:rsidRPr="00611019" w:rsidRDefault="00E56462" w:rsidP="00035D2C">
      <w:pPr>
        <w:spacing w:after="6pt"/>
        <w:jc w:val="both"/>
        <w:rPr>
          <w:rFonts w:ascii="Century Gothic" w:hAnsi="Century Gothic" w:cs="Arial"/>
          <w:b/>
        </w:rPr>
      </w:pPr>
      <w:r>
        <w:rPr>
          <w:rFonts w:ascii="Century Gothic" w:hAnsi="Century Gothic" w:cs="Arial"/>
        </w:rPr>
        <w:t xml:space="preserve">En caso de que el CONCESIONARIO SOLICITANTE no otorgue una nueva garantía dentro de los 30 (treinta) días hábiles posteriores al vencimiento de la garantía anterior, </w:t>
      </w:r>
      <w:r>
        <w:rPr>
          <w:rFonts w:ascii="Century Gothic" w:hAnsi="Century Gothic" w:cs="Arial"/>
          <w:iCs/>
          <w:lang w:val="es-ES_tradnl"/>
        </w:rPr>
        <w:t>RED NACIONAL</w:t>
      </w:r>
      <w:r>
        <w:rPr>
          <w:rFonts w:ascii="Century Gothic" w:hAnsi="Century Gothic" w:cs="Arial"/>
        </w:rPr>
        <w:t xml:space="preserve"> podrá rescindir el presente CONVENIO sin necesidad de declaración judicial.</w:t>
      </w:r>
    </w:p>
    <w:p w:rsidR="00D64BA7" w:rsidRPr="00611019" w:rsidRDefault="00E56462" w:rsidP="00035D2C">
      <w:pPr>
        <w:pStyle w:val="Ttulo3"/>
        <w:spacing w:after="6pt" w:line="13.80pt" w:lineRule="auto"/>
        <w:ind w:start="36pt" w:hanging="36pt"/>
        <w:jc w:val="start"/>
        <w:rPr>
          <w:rFonts w:ascii="Century Gothic" w:hAnsi="Century Gothic"/>
          <w:szCs w:val="22"/>
        </w:rPr>
      </w:pPr>
      <w:bookmarkStart w:id="2879" w:name="_Toc125393516"/>
      <w:bookmarkStart w:id="2880" w:name="_Toc148702371"/>
      <w:bookmarkStart w:id="2881" w:name="_Toc170381987"/>
      <w:r>
        <w:rPr>
          <w:rFonts w:ascii="Century Gothic" w:hAnsi="Century Gothic"/>
          <w:szCs w:val="22"/>
        </w:rPr>
        <w:t>8.5</w:t>
      </w:r>
      <w:r>
        <w:rPr>
          <w:rFonts w:ascii="Century Gothic" w:hAnsi="Century Gothic"/>
          <w:szCs w:val="22"/>
        </w:rPr>
        <w:tab/>
        <w:t>Modificación de las Garantías.</w:t>
      </w:r>
      <w:bookmarkEnd w:id="2879"/>
      <w:bookmarkEnd w:id="2880"/>
      <w:bookmarkEnd w:id="2881"/>
      <w:r>
        <w:rPr>
          <w:rFonts w:ascii="Century Gothic" w:hAnsi="Century Gothic"/>
          <w:szCs w:val="22"/>
        </w:rPr>
        <w:t xml:space="preserve"> </w:t>
      </w:r>
    </w:p>
    <w:p w:rsidR="0017227E" w:rsidRPr="00611019" w:rsidRDefault="00E56462" w:rsidP="00035D2C">
      <w:pPr>
        <w:spacing w:after="6pt"/>
        <w:jc w:val="both"/>
        <w:rPr>
          <w:rFonts w:ascii="Century Gothic" w:hAnsi="Century Gothic" w:cs="Arial"/>
          <w:b/>
        </w:rPr>
      </w:pPr>
      <w:r>
        <w:rPr>
          <w:rFonts w:ascii="Century Gothic" w:hAnsi="Century Gothic" w:cs="Arial"/>
        </w:rPr>
        <w:t>No obstante lo anterior, las Partes podrán negociar las características de la garantía a que se refiere esta Cláusula Octava, a fin de que ésta refleje el valor real de las obligaciones que garantizan, así como la solvencia y el comportamiento crediticio del CONCESIONARIO SOLICITANTE.</w:t>
      </w:r>
    </w:p>
    <w:p w:rsidR="0017227E" w:rsidRPr="00611019" w:rsidRDefault="0017227E" w:rsidP="00035D2C">
      <w:pPr>
        <w:pStyle w:val="Sangra2detindependiente"/>
        <w:spacing w:after="6pt" w:line="13.80pt" w:lineRule="auto"/>
        <w:ind w:start="0pt"/>
        <w:rPr>
          <w:rFonts w:ascii="Century Gothic" w:hAnsi="Century Gothic" w:cs="Arial"/>
          <w:b/>
          <w:spacing w:val="-3"/>
          <w:sz w:val="22"/>
        </w:rPr>
      </w:pPr>
    </w:p>
    <w:p w:rsidR="0017227E" w:rsidRPr="00611019" w:rsidRDefault="00E56462" w:rsidP="00035D2C">
      <w:pPr>
        <w:pStyle w:val="0Tit11"/>
        <w:spacing w:line="13.80pt" w:lineRule="auto"/>
      </w:pPr>
      <w:bookmarkStart w:id="2882" w:name="_Toc92974184"/>
      <w:bookmarkStart w:id="2883" w:name="_Toc93052497"/>
      <w:bookmarkStart w:id="2884" w:name="_Toc93056452"/>
      <w:bookmarkStart w:id="2885" w:name="_Toc125393517"/>
      <w:bookmarkStart w:id="2886" w:name="_Toc148702372"/>
      <w:bookmarkStart w:id="2887" w:name="_Toc170381988"/>
      <w:r>
        <w:t>Novena. CESIÓN DE DERECHOS</w:t>
      </w:r>
      <w:bookmarkEnd w:id="2882"/>
      <w:bookmarkEnd w:id="2883"/>
      <w:bookmarkEnd w:id="2884"/>
      <w:bookmarkEnd w:id="2885"/>
      <w:bookmarkEnd w:id="2886"/>
      <w:bookmarkEnd w:id="2887"/>
    </w:p>
    <w:p w:rsidR="0017227E" w:rsidRPr="00611019" w:rsidRDefault="00E56462" w:rsidP="00035D2C">
      <w:pPr>
        <w:spacing w:after="6pt"/>
        <w:jc w:val="both"/>
        <w:rPr>
          <w:rFonts w:ascii="Century Gothic" w:hAnsi="Century Gothic" w:cs="Arial"/>
        </w:rPr>
      </w:pPr>
      <w:r>
        <w:rPr>
          <w:rFonts w:ascii="Century Gothic" w:hAnsi="Century Gothic" w:cs="Arial"/>
        </w:rPr>
        <w:t xml:space="preserve">Salvo por mandato de ley o de autoridad administrativa o judicial competente, las Partes deberán cumplir las obligaciones a su cargo por sí mismas y, en consecuencia, los derechos y las obligaciones derivados del presente CONVENIO en ningún caso podrán ser cedidos, gravados o transmitidos en forma alguna sin la autorización previa y por escrito de la otra Parte, autorización que no será negada sin razón justificada. </w:t>
      </w:r>
    </w:p>
    <w:p w:rsidR="0017227E" w:rsidRPr="00611019" w:rsidRDefault="00E56462" w:rsidP="00035D2C">
      <w:pPr>
        <w:spacing w:after="6pt"/>
        <w:jc w:val="both"/>
        <w:rPr>
          <w:rFonts w:ascii="Century Gothic" w:hAnsi="Century Gothic" w:cs="Arial"/>
        </w:rPr>
      </w:pPr>
      <w:r>
        <w:rPr>
          <w:rFonts w:ascii="Century Gothic" w:hAnsi="Century Gothic" w:cs="Arial"/>
        </w:rPr>
        <w:t xml:space="preserve">Las Partes acuerdan que las cuentas por cobrar al CONCESIONARIO SOLICITANTE y en favor de </w:t>
      </w:r>
      <w:r>
        <w:rPr>
          <w:rFonts w:ascii="Century Gothic" w:hAnsi="Century Gothic" w:cs="Arial"/>
          <w:iCs/>
          <w:lang w:val="es-ES_tradnl"/>
        </w:rPr>
        <w:t>RED NACIONAL</w:t>
      </w:r>
      <w:r>
        <w:rPr>
          <w:rFonts w:ascii="Century Gothic" w:hAnsi="Century Gothic" w:cs="Arial"/>
        </w:rPr>
        <w:t xml:space="preserve">, presentes o futuras, podrán ser cedidas por cualquier medio legal a instituciones de crédito, fideicomisos u organizaciones auxiliares de crédito, o cualquier otra persona o vehículo, tanto nacionales como extranjeras. </w:t>
      </w:r>
    </w:p>
    <w:p w:rsidR="0017227E" w:rsidRPr="00611019" w:rsidRDefault="00E56462" w:rsidP="00035D2C">
      <w:pPr>
        <w:spacing w:after="6pt"/>
        <w:jc w:val="both"/>
        <w:rPr>
          <w:rFonts w:ascii="Century Gothic" w:hAnsi="Century Gothic" w:cs="Arial"/>
        </w:rPr>
      </w:pPr>
      <w:r>
        <w:rPr>
          <w:rFonts w:ascii="Century Gothic" w:hAnsi="Century Gothic" w:cs="Arial"/>
        </w:rPr>
        <w:lastRenderedPageBreak/>
        <w:t>Las Partes establecen que cualquier cesión y/o transferencia realizada por cualquiera de ellas en contravención a los términos del presente CONVENIO constituirá incumplimiento del mismo. La Parte que incumpla deberá responder, mantener en paz y a salvo e indemnizar de los gastos razonables a la otra Parte de cualquier reclamo o responsabilidad en que pudieren incurrir como consecuencia de la cesión realizada en contravención a lo dispuesto en el presente CONVENIO.</w:t>
      </w:r>
    </w:p>
    <w:p w:rsidR="0017227E" w:rsidRPr="00611019" w:rsidRDefault="00E56462" w:rsidP="00035D2C">
      <w:pPr>
        <w:spacing w:after="6pt"/>
        <w:jc w:val="both"/>
        <w:rPr>
          <w:rFonts w:ascii="Century Gothic" w:hAnsi="Century Gothic" w:cs="Arial"/>
        </w:rPr>
      </w:pPr>
      <w:r>
        <w:rPr>
          <w:rFonts w:ascii="Century Gothic" w:hAnsi="Century Gothic" w:cs="Arial"/>
        </w:rPr>
        <w:t xml:space="preserve">Queda exceptuada de lo previsto en esta Cláusula la cesión total o parcial que cualquiera de las Partes efectúe a sus filiales, afiliadas, subsidiarias o controladora, la cual requerirá exclusivamente previa notificación por escrito a la otra Parte. </w:t>
      </w:r>
    </w:p>
    <w:p w:rsidR="0017227E" w:rsidRPr="00611019" w:rsidRDefault="0017227E" w:rsidP="00035D2C">
      <w:pPr>
        <w:spacing w:after="6pt"/>
        <w:jc w:val="both"/>
        <w:rPr>
          <w:rFonts w:ascii="Century Gothic" w:hAnsi="Century Gothic" w:cs="Arial"/>
        </w:rPr>
      </w:pPr>
    </w:p>
    <w:p w:rsidR="0017227E" w:rsidRPr="00611019" w:rsidRDefault="00E56462" w:rsidP="00035D2C">
      <w:pPr>
        <w:pStyle w:val="0Tit11"/>
        <w:spacing w:line="13.80pt" w:lineRule="auto"/>
      </w:pPr>
      <w:bookmarkStart w:id="2888" w:name="_Toc92974185"/>
      <w:bookmarkStart w:id="2889" w:name="_Toc93052498"/>
      <w:bookmarkStart w:id="2890" w:name="_Toc93056453"/>
      <w:bookmarkStart w:id="2891" w:name="_Toc125393518"/>
      <w:bookmarkStart w:id="2892" w:name="_Toc148702373"/>
      <w:bookmarkStart w:id="2893" w:name="_Toc170381989"/>
      <w:r>
        <w:t>Décima.  CONTINUIDAD Y SUSPENSIÓN DE LOS SERVICIOS DE DESAGREGACIÓN</w:t>
      </w:r>
      <w:bookmarkEnd w:id="2888"/>
      <w:bookmarkEnd w:id="2889"/>
      <w:bookmarkEnd w:id="2890"/>
      <w:bookmarkEnd w:id="2891"/>
      <w:bookmarkEnd w:id="2892"/>
      <w:bookmarkEnd w:id="2893"/>
    </w:p>
    <w:p w:rsidR="0017227E" w:rsidRPr="00611019" w:rsidRDefault="00E56462" w:rsidP="00035D2C">
      <w:pPr>
        <w:pStyle w:val="Ttulo3"/>
        <w:spacing w:after="6pt" w:line="13.80pt" w:lineRule="auto"/>
        <w:ind w:start="36pt" w:hanging="36pt"/>
        <w:jc w:val="start"/>
        <w:rPr>
          <w:rFonts w:ascii="Century Gothic" w:hAnsi="Century Gothic"/>
          <w:szCs w:val="22"/>
        </w:rPr>
      </w:pPr>
      <w:bookmarkStart w:id="2894" w:name="_Toc92974186"/>
      <w:bookmarkStart w:id="2895" w:name="_Toc93052499"/>
      <w:bookmarkStart w:id="2896" w:name="_Toc93056454"/>
      <w:bookmarkStart w:id="2897" w:name="_Toc125393519"/>
      <w:bookmarkStart w:id="2898" w:name="_Toc148702374"/>
      <w:bookmarkStart w:id="2899" w:name="_Toc170381990"/>
      <w:r>
        <w:rPr>
          <w:rFonts w:ascii="Century Gothic" w:hAnsi="Century Gothic"/>
          <w:szCs w:val="22"/>
        </w:rPr>
        <w:t>10.1</w:t>
      </w:r>
      <w:r>
        <w:rPr>
          <w:rFonts w:ascii="Century Gothic" w:hAnsi="Century Gothic"/>
          <w:szCs w:val="22"/>
        </w:rPr>
        <w:tab/>
        <w:t xml:space="preserve">Continuidad de los Servicios de </w:t>
      </w:r>
      <w:r w:rsidR="00A32681">
        <w:rPr>
          <w:rFonts w:ascii="Century Gothic" w:hAnsi="Century Gothic"/>
          <w:szCs w:val="22"/>
        </w:rPr>
        <w:t xml:space="preserve">Desagregación </w:t>
      </w:r>
      <w:r>
        <w:rPr>
          <w:rFonts w:ascii="Century Gothic" w:hAnsi="Century Gothic"/>
          <w:szCs w:val="22"/>
        </w:rPr>
        <w:t xml:space="preserve">de </w:t>
      </w:r>
      <w:r w:rsidR="00A32681">
        <w:rPr>
          <w:rFonts w:ascii="Century Gothic" w:hAnsi="Century Gothic"/>
          <w:szCs w:val="22"/>
        </w:rPr>
        <w:t>Bucle Local</w:t>
      </w:r>
      <w:r>
        <w:rPr>
          <w:rFonts w:ascii="Century Gothic" w:hAnsi="Century Gothic"/>
          <w:szCs w:val="22"/>
        </w:rPr>
        <w:t>.</w:t>
      </w:r>
      <w:bookmarkEnd w:id="2894"/>
      <w:bookmarkEnd w:id="2895"/>
      <w:bookmarkEnd w:id="2896"/>
      <w:bookmarkEnd w:id="2897"/>
      <w:bookmarkEnd w:id="2898"/>
      <w:bookmarkEnd w:id="2899"/>
    </w:p>
    <w:p w:rsidR="0017227E" w:rsidRPr="00611019" w:rsidRDefault="00E56462" w:rsidP="00035D2C">
      <w:pPr>
        <w:spacing w:after="6pt"/>
        <w:jc w:val="both"/>
        <w:rPr>
          <w:rFonts w:ascii="Century Gothic" w:hAnsi="Century Gothic" w:cs="Arial"/>
          <w:lang w:val="es-ES_tradnl"/>
        </w:rPr>
      </w:pPr>
      <w:r>
        <w:rPr>
          <w:rFonts w:ascii="Century Gothic" w:hAnsi="Century Gothic" w:cs="Arial"/>
          <w:iCs/>
          <w:lang w:val="es-ES_tradnl"/>
        </w:rPr>
        <w:t>RED NACIONAL</w:t>
      </w:r>
      <w:r w:rsidR="00A32681">
        <w:rPr>
          <w:rFonts w:ascii="Century Gothic" w:hAnsi="Century Gothic" w:cs="Arial"/>
          <w:iCs/>
          <w:lang w:val="es-ES_tradnl"/>
        </w:rPr>
        <w:t xml:space="preserve"> </w:t>
      </w:r>
      <w:r>
        <w:rPr>
          <w:rFonts w:ascii="Century Gothic" w:hAnsi="Century Gothic" w:cs="Arial"/>
        </w:rPr>
        <w:t xml:space="preserve">y el CONCESIONARIO SOLICITANTE </w:t>
      </w:r>
      <w:r>
        <w:rPr>
          <w:rFonts w:ascii="Century Gothic" w:hAnsi="Century Gothic" w:cs="Arial"/>
          <w:lang w:val="es-ES_tradnl"/>
        </w:rPr>
        <w:t xml:space="preserve">se obligan a realizar sus mejores esfuerzos para evitar en todo momento la interrupción de los Servicios. Al efecto y sin perjuicio de las obligaciones a cargo de </w:t>
      </w:r>
      <w:r>
        <w:rPr>
          <w:rFonts w:ascii="Century Gothic" w:hAnsi="Century Gothic" w:cs="Arial"/>
          <w:iCs/>
          <w:lang w:val="es-ES_tradnl"/>
        </w:rPr>
        <w:t>RED NACIONAL</w:t>
      </w:r>
      <w:r>
        <w:rPr>
          <w:rFonts w:ascii="Century Gothic" w:hAnsi="Century Gothic" w:cs="Arial"/>
          <w:lang w:val="es-ES_tradnl"/>
        </w:rPr>
        <w:t xml:space="preserve"> </w:t>
      </w:r>
      <w:r>
        <w:rPr>
          <w:rFonts w:ascii="Century Gothic" w:hAnsi="Century Gothic" w:cs="Arial"/>
        </w:rPr>
        <w:t xml:space="preserve">y el CONCESIONARIO SOLICITANTE </w:t>
      </w:r>
      <w:r>
        <w:rPr>
          <w:rFonts w:ascii="Century Gothic" w:hAnsi="Century Gothic" w:cs="Arial"/>
          <w:lang w:val="es-ES_tradnl"/>
        </w:rPr>
        <w:t xml:space="preserve">conforme a este CONVENIO, las Partes deberán asistirse mutuamente para procurar la continuidad de los Servicios pactados. </w:t>
      </w:r>
    </w:p>
    <w:p w:rsidR="0017227E" w:rsidRPr="00611019" w:rsidRDefault="00E56462" w:rsidP="00035D2C">
      <w:pPr>
        <w:spacing w:after="6pt"/>
        <w:jc w:val="both"/>
        <w:rPr>
          <w:rFonts w:ascii="Century Gothic" w:hAnsi="Century Gothic" w:cs="Arial"/>
        </w:rPr>
      </w:pPr>
      <w:r>
        <w:rPr>
          <w:rFonts w:ascii="Century Gothic" w:hAnsi="Century Gothic" w:cs="Arial"/>
        </w:rPr>
        <w:t xml:space="preserve">Las Partes deberán informar con cuando menos 10 (diez) días hábiles de anticipación, o antes si es razonablemente posible, acerca de cualquier trabajo, obra o actividad que sea previsible y que pueda afectar: a) a la prestación o recepción continua de los Servicios; b) a la Infraestructura de </w:t>
      </w:r>
      <w:r>
        <w:rPr>
          <w:rFonts w:ascii="Century Gothic" w:hAnsi="Century Gothic" w:cs="Arial"/>
          <w:iCs/>
          <w:lang w:val="es-ES_tradnl"/>
        </w:rPr>
        <w:t>RED NACIONAL</w:t>
      </w:r>
      <w:r>
        <w:rPr>
          <w:rFonts w:ascii="Century Gothic" w:hAnsi="Century Gothic" w:cs="Arial"/>
        </w:rPr>
        <w:t>; c) a las vías generales de comunicación, o d) a los bienes de uso común.</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A dicho efecto, se identificarán las áreas de riesgo, la naturaleza de los trabajos, obras o actividades involucradas, el tiempo requerido para su desarrollo y conclusión total y el tiempo estimado de interrupción de los Servicios, así como de cualesquiera otros Servicios pactados por </w:t>
      </w:r>
      <w:r>
        <w:rPr>
          <w:rFonts w:ascii="Century Gothic" w:hAnsi="Century Gothic" w:cs="Arial"/>
          <w:iCs/>
          <w:lang w:val="es-ES_tradnl"/>
        </w:rPr>
        <w:t>RED NACIONAL</w:t>
      </w:r>
      <w:r>
        <w:rPr>
          <w:rFonts w:ascii="Century Gothic" w:hAnsi="Century Gothic" w:cs="Arial"/>
          <w:lang w:val="es-ES_tradnl"/>
        </w:rPr>
        <w:t xml:space="preserve"> </w:t>
      </w:r>
      <w:r>
        <w:rPr>
          <w:rFonts w:ascii="Century Gothic" w:hAnsi="Century Gothic" w:cs="Arial"/>
        </w:rPr>
        <w:t>y el CONCESIONARIO SOLICITANTE</w:t>
      </w:r>
      <w:r>
        <w:rPr>
          <w:rFonts w:ascii="Century Gothic" w:hAnsi="Century Gothic" w:cs="Arial"/>
          <w:lang w:val="es-ES_tradnl"/>
        </w:rPr>
        <w:t xml:space="preserve">. Si lo anterior no es posible por tratarse de trabajos de emergencia, </w:t>
      </w:r>
      <w:r>
        <w:rPr>
          <w:rFonts w:ascii="Century Gothic" w:hAnsi="Century Gothic" w:cs="Arial"/>
        </w:rPr>
        <w:t xml:space="preserve">el CONCESIONARIO SOLICITANTE </w:t>
      </w:r>
      <w:r>
        <w:rPr>
          <w:rFonts w:ascii="Century Gothic" w:hAnsi="Century Gothic" w:cs="Arial"/>
          <w:lang w:val="es-ES_tradnl"/>
        </w:rPr>
        <w:t xml:space="preserve">notificará dicha circunstancia tan pronto como sea posible. En todo caso, </w:t>
      </w:r>
      <w:r>
        <w:rPr>
          <w:rFonts w:ascii="Century Gothic" w:hAnsi="Century Gothic" w:cs="Arial"/>
          <w:iCs/>
          <w:lang w:val="es-ES_tradnl"/>
        </w:rPr>
        <w:t>RED NACIONAL</w:t>
      </w:r>
      <w:r>
        <w:rPr>
          <w:rFonts w:ascii="Century Gothic" w:hAnsi="Century Gothic" w:cs="Arial"/>
          <w:lang w:val="es-ES_tradnl"/>
        </w:rPr>
        <w:t xml:space="preserve"> </w:t>
      </w:r>
      <w:r>
        <w:rPr>
          <w:rFonts w:ascii="Century Gothic" w:hAnsi="Century Gothic" w:cs="Arial"/>
        </w:rPr>
        <w:t xml:space="preserve">y el CONCESIONARIO SOLICITANTE </w:t>
      </w:r>
      <w:r>
        <w:rPr>
          <w:rFonts w:ascii="Century Gothic" w:hAnsi="Century Gothic" w:cs="Arial"/>
          <w:lang w:val="es-ES_tradnl"/>
        </w:rPr>
        <w:t>harán sus mejores esfuerzos para restablecer a la brevedad los Servicios.</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Adicionalmente, en caso de que </w:t>
      </w:r>
      <w:r>
        <w:rPr>
          <w:rFonts w:ascii="Century Gothic" w:hAnsi="Century Gothic" w:cs="Arial"/>
          <w:iCs/>
          <w:lang w:val="es-ES_tradnl"/>
        </w:rPr>
        <w:t>RED NACIONAL</w:t>
      </w:r>
      <w:r>
        <w:rPr>
          <w:rFonts w:ascii="Century Gothic" w:hAnsi="Century Gothic" w:cs="Arial"/>
          <w:lang w:val="es-ES_tradnl"/>
        </w:rPr>
        <w:t xml:space="preserve"> por cualquier razón tenga necesidad de reubicar, reconstruir o retirar temporal o definitivamente alguno de los elementos propios de los Servicios, </w:t>
      </w:r>
      <w:r>
        <w:rPr>
          <w:rFonts w:ascii="Century Gothic" w:hAnsi="Century Gothic" w:cs="Arial"/>
          <w:iCs/>
          <w:lang w:val="es-ES_tradnl"/>
        </w:rPr>
        <w:t>RED NACIONAL</w:t>
      </w:r>
      <w:r>
        <w:rPr>
          <w:rFonts w:ascii="Century Gothic" w:hAnsi="Century Gothic" w:cs="Arial"/>
          <w:lang w:val="es-ES_tradnl"/>
        </w:rPr>
        <w:t xml:space="preserve"> estará facultada para llevar a cabo dichos trabajos y el CONCESIONARIO SOLICITANTE deberá tomar las previsiones del caso. </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iCs/>
          <w:lang w:val="es-ES_tradnl"/>
        </w:rPr>
        <w:t>RED NACIONAL</w:t>
      </w:r>
      <w:r>
        <w:rPr>
          <w:rFonts w:ascii="Century Gothic" w:hAnsi="Century Gothic" w:cs="Arial"/>
          <w:lang w:val="es-ES_tradnl"/>
        </w:rPr>
        <w:t xml:space="preserve"> deberá contemplar soluciones alternativas correctivas que permitan la continuidad de los servicios de telecomunicaciones que proporciona al amparo de este CONVENIO y la Oferta al momento en que le sea notificado el cierre de una central o instalación equivalente.</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lastRenderedPageBreak/>
        <w:t xml:space="preserve">Tratándose del cierre de una Central Telefónica o Instalación Equivalente, </w:t>
      </w:r>
      <w:r>
        <w:rPr>
          <w:rFonts w:ascii="Century Gothic" w:hAnsi="Century Gothic" w:cs="Arial"/>
          <w:iCs/>
          <w:lang w:val="es-ES_tradnl"/>
        </w:rPr>
        <w:t>RED NACIONAL</w:t>
      </w:r>
      <w:r>
        <w:rPr>
          <w:rFonts w:ascii="Century Gothic" w:hAnsi="Century Gothic" w:cs="Arial"/>
          <w:lang w:val="es-ES_tradnl"/>
        </w:rPr>
        <w:t xml:space="preserve"> dará aviso al Instituto y al CONCESIONARIO  SOLICITANTE de dicha situación al momento en que la misma le sea notificada por el propietario de dicha Central Telefónica o instalación equivalente, de ser posible con 12 (doce) meses de anticipación a dicho evento y no podrá cobrar costo adicional alguno al CONCESIONARIO SOLICITANTE por los trabajos que sean necesarios para reubicarlo en una nueva Central Telefónica o Instalación Equivalente.</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Cuando le sea notificada a </w:t>
      </w:r>
      <w:r>
        <w:rPr>
          <w:rFonts w:ascii="Century Gothic" w:hAnsi="Century Gothic" w:cs="Arial"/>
          <w:iCs/>
          <w:lang w:val="es-ES_tradnl"/>
        </w:rPr>
        <w:t>RED NACIONAL</w:t>
      </w:r>
      <w:r>
        <w:rPr>
          <w:rFonts w:ascii="Century Gothic" w:hAnsi="Century Gothic" w:cs="Arial"/>
          <w:lang w:val="es-ES_tradnl"/>
        </w:rPr>
        <w:t xml:space="preserve"> la migración a una nueva Central Telefónica o Instalación Equivalente, ésta deberá considerar dentro de las nuevas instalaciones los Servicios actualmente contratados por el CONCESIONARIO SOLICITANTE por los trabajos necesarios para reubicarlo en la nueva Central Telefónica o Instalación Equivalente. Tampoco podrá cobrar por condiciones diferentes en la nueva ubicación.</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En el caso de existir mal manejo u omisión por parte de </w:t>
      </w:r>
      <w:r>
        <w:rPr>
          <w:rFonts w:ascii="Century Gothic" w:hAnsi="Century Gothic" w:cs="Arial"/>
          <w:iCs/>
          <w:lang w:val="es-ES_tradnl"/>
        </w:rPr>
        <w:t>RED NACIONAL</w:t>
      </w:r>
      <w:r>
        <w:rPr>
          <w:rFonts w:ascii="Century Gothic" w:hAnsi="Century Gothic" w:cs="Arial"/>
          <w:lang w:val="es-ES_tradnl"/>
        </w:rPr>
        <w:t xml:space="preserve"> y que esto afecte la instalación el CONCESIONARIO SOLICITANTE, se deberán presentar soluciones que permitan restablecer, regularizar y garantizar la continuidad y la calidad de los Servicios.</w:t>
      </w:r>
    </w:p>
    <w:p w:rsidR="0017227E" w:rsidRPr="00611019" w:rsidRDefault="00E56462" w:rsidP="00035D2C">
      <w:pPr>
        <w:pStyle w:val="Ttulo3"/>
        <w:spacing w:after="6pt" w:line="13.80pt" w:lineRule="auto"/>
        <w:ind w:start="36pt" w:hanging="36pt"/>
        <w:jc w:val="start"/>
        <w:rPr>
          <w:rFonts w:ascii="Century Gothic" w:hAnsi="Century Gothic"/>
          <w:szCs w:val="22"/>
        </w:rPr>
      </w:pPr>
      <w:bookmarkStart w:id="2900" w:name="_Toc92974187"/>
      <w:bookmarkStart w:id="2901" w:name="_Toc93052500"/>
      <w:bookmarkStart w:id="2902" w:name="_Toc93056455"/>
      <w:bookmarkStart w:id="2903" w:name="_Toc125393520"/>
      <w:bookmarkStart w:id="2904" w:name="_Toc148702375"/>
      <w:bookmarkStart w:id="2905" w:name="_Toc170381991"/>
      <w:r>
        <w:rPr>
          <w:rFonts w:ascii="Century Gothic" w:hAnsi="Century Gothic"/>
          <w:szCs w:val="22"/>
        </w:rPr>
        <w:t>10.2</w:t>
      </w:r>
      <w:r>
        <w:rPr>
          <w:rFonts w:ascii="Century Gothic" w:hAnsi="Century Gothic"/>
          <w:szCs w:val="22"/>
        </w:rPr>
        <w:tab/>
        <w:t>Suspensión temporal</w:t>
      </w:r>
      <w:bookmarkEnd w:id="2900"/>
      <w:bookmarkEnd w:id="2901"/>
      <w:bookmarkEnd w:id="2902"/>
      <w:bookmarkEnd w:id="2903"/>
      <w:bookmarkEnd w:id="2904"/>
      <w:bookmarkEnd w:id="2905"/>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De presentarse un evento de caso fortuito o de fuerza mayor, o durante periodos de emergencia, que impidan temporalmente a </w:t>
      </w:r>
      <w:r>
        <w:rPr>
          <w:rFonts w:ascii="Century Gothic" w:hAnsi="Century Gothic" w:cs="Arial"/>
          <w:iCs/>
          <w:lang w:val="es-ES_tradnl"/>
        </w:rPr>
        <w:t>RED NACIONAL</w:t>
      </w:r>
      <w:r>
        <w:rPr>
          <w:rFonts w:ascii="Century Gothic" w:hAnsi="Century Gothic" w:cs="Arial"/>
          <w:lang w:val="es-ES_tradnl"/>
        </w:rPr>
        <w:t xml:space="preserve"> prestar los Servicios materia de la Oferta de Referencia u otros Servicios pactados por </w:t>
      </w:r>
      <w:r>
        <w:rPr>
          <w:rFonts w:ascii="Century Gothic" w:hAnsi="Century Gothic" w:cs="Arial"/>
          <w:iCs/>
          <w:lang w:val="es-ES_tradnl"/>
        </w:rPr>
        <w:t>RED NACIONAL</w:t>
      </w:r>
      <w:r>
        <w:rPr>
          <w:rFonts w:ascii="Century Gothic" w:hAnsi="Century Gothic" w:cs="Arial"/>
          <w:lang w:val="es-ES_tradnl"/>
        </w:rPr>
        <w:t xml:space="preserve"> </w:t>
      </w:r>
      <w:r>
        <w:rPr>
          <w:rFonts w:ascii="Century Gothic" w:hAnsi="Century Gothic" w:cs="Arial"/>
        </w:rPr>
        <w:t>y el CONCESIONARIO</w:t>
      </w:r>
      <w:r>
        <w:rPr>
          <w:rFonts w:ascii="Century Gothic" w:hAnsi="Century Gothic" w:cs="Arial"/>
          <w:iCs/>
          <w:lang w:val="es-ES_tradnl"/>
        </w:rPr>
        <w:t xml:space="preserve"> </w:t>
      </w:r>
      <w:r>
        <w:rPr>
          <w:rFonts w:ascii="Century Gothic" w:hAnsi="Century Gothic" w:cs="Arial"/>
        </w:rPr>
        <w:t xml:space="preserve">SOLICITANTE </w:t>
      </w:r>
      <w:r>
        <w:rPr>
          <w:rFonts w:ascii="Century Gothic" w:hAnsi="Century Gothic" w:cs="Arial"/>
          <w:lang w:val="es-ES_tradnl"/>
        </w:rPr>
        <w:t xml:space="preserve">en los términos del presente CONVENIO, se suspenderán los efectos del mismo (total o parcialmente), durante el tiempo que transcurra y hasta que se subsane y normalice la situación que hubiese originado dicho impedimento, y </w:t>
      </w:r>
      <w:r>
        <w:rPr>
          <w:rFonts w:ascii="Century Gothic" w:hAnsi="Century Gothic" w:cs="Arial"/>
          <w:iCs/>
          <w:lang w:val="es-ES_tradnl"/>
        </w:rPr>
        <w:t>RED NACIONAL</w:t>
      </w:r>
      <w:r>
        <w:rPr>
          <w:rFonts w:ascii="Century Gothic" w:hAnsi="Century Gothic" w:cs="Arial"/>
        </w:rPr>
        <w:t xml:space="preserve"> y el CONCESIONARIO SOLICITANTE </w:t>
      </w:r>
      <w:r>
        <w:rPr>
          <w:rFonts w:ascii="Century Gothic" w:hAnsi="Century Gothic" w:cs="Arial"/>
          <w:lang w:val="es-ES_tradnl"/>
        </w:rPr>
        <w:t>acordarán las acciones y Servicios extraordinarios que se requieran para restablecer, regularizar y garantizar la continuidad de los Servicios materia del presente CONVENIO.</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La Parte afectada por cualquier evento de caso fortuito o de fuerza mayor, o durante periodos de emergencia, notificará a la otra Parte dentro de las 24 (veinticuatro) horas siguientes a que tenga conocimiento de la existencia del evento de que se trate, proporcionando detalles sobre el mismo.</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En su caso, se podrá dar por terminado el CONVENIO (total o parcialmente) sin responsabilidad alguna para </w:t>
      </w:r>
      <w:r>
        <w:rPr>
          <w:rFonts w:ascii="Century Gothic" w:hAnsi="Century Gothic" w:cs="Arial"/>
          <w:iCs/>
          <w:lang w:val="es-ES_tradnl"/>
        </w:rPr>
        <w:t>RED NACIONAL</w:t>
      </w:r>
      <w:r>
        <w:rPr>
          <w:rFonts w:ascii="Century Gothic" w:hAnsi="Century Gothic" w:cs="Arial"/>
          <w:lang w:val="es-ES_tradnl"/>
        </w:rPr>
        <w:t xml:space="preserve"> </w:t>
      </w:r>
      <w:r>
        <w:rPr>
          <w:rFonts w:ascii="Century Gothic" w:hAnsi="Century Gothic" w:cs="Arial"/>
        </w:rPr>
        <w:t xml:space="preserve">y el CONCESIONARIO SOLICITANTE, </w:t>
      </w:r>
      <w:r>
        <w:rPr>
          <w:rFonts w:ascii="Century Gothic" w:hAnsi="Century Gothic" w:cs="Arial"/>
          <w:lang w:val="es-ES_tradnl"/>
        </w:rPr>
        <w:t xml:space="preserve">cuando el evento de caso fortuito o fuerza mayor, o el periodo de emergencia, no permita la operación de los </w:t>
      </w:r>
      <w:r>
        <w:rPr>
          <w:rFonts w:ascii="Century Gothic" w:hAnsi="Century Gothic" w:cs="Arial"/>
        </w:rPr>
        <w:t>equipos o cualquier elemento propio de los Servicios</w:t>
      </w:r>
      <w:r>
        <w:rPr>
          <w:rFonts w:ascii="Century Gothic" w:hAnsi="Century Gothic" w:cs="Arial"/>
          <w:lang w:val="es-ES_tradnl"/>
        </w:rPr>
        <w:t xml:space="preserve"> por un plazo mayor a 30 (treinta) días y siempre y cuando </w:t>
      </w:r>
      <w:r>
        <w:rPr>
          <w:rFonts w:ascii="Century Gothic" w:hAnsi="Century Gothic" w:cs="Arial"/>
          <w:iCs/>
          <w:lang w:val="es-ES_tradnl"/>
        </w:rPr>
        <w:t>RED NACIONAL</w:t>
      </w:r>
      <w:r>
        <w:rPr>
          <w:rFonts w:ascii="Century Gothic" w:hAnsi="Century Gothic" w:cs="Arial"/>
          <w:lang w:val="es-ES_tradnl"/>
        </w:rPr>
        <w:t xml:space="preserve"> no esté en posibilidad de proveer al CONCESIONARIO SOLICITANTE una solución temporal o definitiva en un plazo no mayor a 15 (quince) días para el primer supuesto o 4 (cuatro) meses en el caso del segundo. En tal supuesto, </w:t>
      </w:r>
      <w:r>
        <w:rPr>
          <w:rFonts w:ascii="Century Gothic" w:hAnsi="Century Gothic" w:cs="Arial"/>
          <w:iCs/>
          <w:lang w:val="es-ES_tradnl"/>
        </w:rPr>
        <w:t>RED NACIONAL</w:t>
      </w:r>
      <w:r>
        <w:rPr>
          <w:rFonts w:ascii="Century Gothic" w:hAnsi="Century Gothic" w:cs="Arial"/>
          <w:lang w:val="es-ES_tradnl"/>
        </w:rPr>
        <w:t xml:space="preserve"> </w:t>
      </w:r>
      <w:r>
        <w:rPr>
          <w:rFonts w:ascii="Century Gothic" w:hAnsi="Century Gothic" w:cs="Arial"/>
        </w:rPr>
        <w:t xml:space="preserve">y el CONCESIONARIO SOLICITANTE </w:t>
      </w:r>
      <w:r>
        <w:rPr>
          <w:rFonts w:ascii="Century Gothic" w:hAnsi="Century Gothic" w:cs="Arial"/>
          <w:lang w:val="es-ES_tradnl"/>
        </w:rPr>
        <w:t xml:space="preserve">informarán al Instituto lo conducente hasta en tanto la situación que dio origen a la afectación de </w:t>
      </w:r>
      <w:r>
        <w:rPr>
          <w:rFonts w:ascii="Century Gothic" w:hAnsi="Century Gothic" w:cs="Arial"/>
          <w:lang w:val="es-ES_tradnl"/>
        </w:rPr>
        <w:lastRenderedPageBreak/>
        <w:t>que se trate, sea superada y se reestablezcan los Servicios materia de la Oferta de Referencia.</w:t>
      </w:r>
    </w:p>
    <w:p w:rsidR="00BB6A55"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En tales casos, el CONCESIONARIO SOLICITANTE pagará a </w:t>
      </w:r>
      <w:r>
        <w:rPr>
          <w:rFonts w:ascii="Century Gothic" w:hAnsi="Century Gothic" w:cs="Arial"/>
          <w:iCs/>
          <w:lang w:val="es-ES_tradnl"/>
        </w:rPr>
        <w:t>RED NACIONAL</w:t>
      </w:r>
      <w:r>
        <w:rPr>
          <w:rFonts w:ascii="Century Gothic" w:hAnsi="Century Gothic" w:cs="Arial"/>
          <w:lang w:val="es-ES_tradnl"/>
        </w:rPr>
        <w:t xml:space="preserve"> las contraprestaciones correspondientes a los Servicios efectivamente prestados y hasta el momento en que hubiesen sido suspendidos.</w:t>
      </w:r>
    </w:p>
    <w:p w:rsidR="00824EB3" w:rsidRPr="00611019" w:rsidRDefault="00824EB3" w:rsidP="00035D2C">
      <w:pPr>
        <w:spacing w:after="6pt"/>
        <w:jc w:val="both"/>
        <w:rPr>
          <w:rFonts w:ascii="Century Gothic" w:hAnsi="Century Gothic" w:cs="Arial"/>
          <w:lang w:val="es-ES_tradnl"/>
        </w:rPr>
      </w:pPr>
    </w:p>
    <w:p w:rsidR="0017227E" w:rsidRPr="00611019" w:rsidRDefault="00E56462" w:rsidP="00035D2C">
      <w:pPr>
        <w:pStyle w:val="0Tit11"/>
        <w:spacing w:line="13.80pt" w:lineRule="auto"/>
      </w:pPr>
      <w:bookmarkStart w:id="2906" w:name="_Toc92974188"/>
      <w:bookmarkStart w:id="2907" w:name="_Toc93052501"/>
      <w:bookmarkStart w:id="2908" w:name="_Toc93056456"/>
      <w:bookmarkStart w:id="2909" w:name="_Toc125393521"/>
      <w:bookmarkStart w:id="2910" w:name="_Toc148702376"/>
      <w:bookmarkStart w:id="2911" w:name="_Toc170381992"/>
      <w:r>
        <w:t>Décima Primera.  CAUSAS DE FUERZA MAYOR Y/O CASO FORTUITO</w:t>
      </w:r>
      <w:bookmarkEnd w:id="2906"/>
      <w:bookmarkEnd w:id="2907"/>
      <w:bookmarkEnd w:id="2908"/>
      <w:bookmarkEnd w:id="2909"/>
      <w:bookmarkEnd w:id="2910"/>
      <w:bookmarkEnd w:id="2911"/>
    </w:p>
    <w:p w:rsidR="0017227E" w:rsidRPr="00611019" w:rsidRDefault="00E56462" w:rsidP="00035D2C">
      <w:pPr>
        <w:spacing w:after="6pt"/>
        <w:jc w:val="both"/>
        <w:rPr>
          <w:rFonts w:ascii="Century Gothic" w:hAnsi="Century Gothic" w:cs="Arial"/>
        </w:rPr>
      </w:pPr>
      <w:r>
        <w:rPr>
          <w:rFonts w:ascii="Century Gothic" w:hAnsi="Century Gothic" w:cs="Arial"/>
        </w:rPr>
        <w:t>Ninguna de las Partes será responsable por caso fortuito o fuerza mayor, incluyendo sin limitar, explosiones, sismos, fenómenos naturales, huelgas, revueltas civiles, sabotaje, emergencias sanitarias, terrorismo, inundaciones, pandemias, guerras, huracanes, incendios, terremotos u otras situaciones similares.</w:t>
      </w:r>
    </w:p>
    <w:p w:rsidR="0017227E" w:rsidRPr="00611019" w:rsidRDefault="00E56462" w:rsidP="00035D2C">
      <w:pPr>
        <w:spacing w:after="6pt"/>
        <w:jc w:val="both"/>
        <w:rPr>
          <w:rFonts w:ascii="Century Gothic" w:hAnsi="Century Gothic" w:cs="Arial"/>
        </w:rPr>
      </w:pPr>
      <w:r>
        <w:rPr>
          <w:rFonts w:ascii="Century Gothic" w:hAnsi="Century Gothic" w:cs="Arial"/>
        </w:rPr>
        <w:t>En caso de que alguna de las Partes, dentro de algún procedimiento de huelga, reciba (ya sea directamente o por conducto de: (i) la empresa titular del contrato colectivo respectivo y/o (ii) el sindicato) un aviso de suspensión de labores en los términos de la Fracción I del Artículo 920 de la Ley Federal del Trabajo, deberá dar aviso de dicha circunstancia a la otra Parte, al día siguiente de su recibo. En caso de suspensión de los Servicios como consecuencia de una huelga, ninguna de las Partes tendrá el derecho de presentar reclamación alguna a la otra como consecuencia de dicha suspensión.</w:t>
      </w:r>
    </w:p>
    <w:p w:rsidR="0017227E" w:rsidRPr="00611019" w:rsidRDefault="00E56462" w:rsidP="00035D2C">
      <w:pPr>
        <w:spacing w:after="6pt"/>
        <w:jc w:val="both"/>
        <w:rPr>
          <w:rFonts w:ascii="Century Gothic" w:hAnsi="Century Gothic" w:cs="Arial"/>
        </w:rPr>
      </w:pPr>
      <w:r>
        <w:rPr>
          <w:rFonts w:ascii="Century Gothic" w:hAnsi="Century Gothic" w:cs="Arial"/>
          <w:iCs/>
          <w:lang w:val="es-ES_tradnl"/>
        </w:rPr>
        <w:t>RED NACIONA</w:t>
      </w:r>
      <w:r w:rsidR="00A32681">
        <w:rPr>
          <w:rFonts w:ascii="Century Gothic" w:hAnsi="Century Gothic" w:cs="Arial"/>
          <w:iCs/>
          <w:lang w:val="es-ES_tradnl"/>
        </w:rPr>
        <w:t xml:space="preserve">L </w:t>
      </w:r>
      <w:r>
        <w:rPr>
          <w:rFonts w:ascii="Century Gothic" w:hAnsi="Century Gothic" w:cs="Arial"/>
        </w:rPr>
        <w:t xml:space="preserve">tampoco será responsable por causas que no le sean imputables, las que, de manera enunciativa más no limitativa, pueden consistir en: retrasos por permisos de trabajos en vías públicas (municipales, estatales o federales), cortes de fibra óptica ocasionados por vandalismo o por terceros, acondicionamiento de sitios del Usuario Final que no estén listos, plantones en vía pública, negativa de acceso a las instalaciones del Usuario Final, riesgo a la salud o integridad del personal o de los bienes y/o Servicios de </w:t>
      </w:r>
      <w:r>
        <w:rPr>
          <w:rFonts w:ascii="Century Gothic" w:hAnsi="Century Gothic" w:cs="Arial"/>
          <w:iCs/>
          <w:lang w:val="es-ES_tradnl"/>
        </w:rPr>
        <w:t>RED NACIONAL</w:t>
      </w:r>
      <w:r>
        <w:rPr>
          <w:rFonts w:ascii="Century Gothic" w:hAnsi="Century Gothic" w:cs="Arial"/>
        </w:rPr>
        <w:t>, etc.</w:t>
      </w:r>
    </w:p>
    <w:p w:rsidR="0017227E" w:rsidRPr="00611019" w:rsidRDefault="00E56462" w:rsidP="00035D2C">
      <w:pPr>
        <w:spacing w:after="6pt"/>
        <w:jc w:val="both"/>
        <w:rPr>
          <w:rFonts w:ascii="Century Gothic" w:hAnsi="Century Gothic" w:cs="Arial"/>
        </w:rPr>
      </w:pPr>
      <w:r>
        <w:rPr>
          <w:rFonts w:ascii="Century Gothic" w:hAnsi="Century Gothic" w:cs="Arial"/>
        </w:rPr>
        <w:t xml:space="preserve">Para la medición del cumplimento de los plazos de entrega no se computarán los días de retraso atribuibles al CONCESIONARIO SOLICITANTE del Servicio respectivo, ni los que deriven de eventos de caso fortuito o causas de fuerza mayor o ni aquellos no imputables a </w:t>
      </w:r>
      <w:r>
        <w:rPr>
          <w:rFonts w:ascii="Century Gothic" w:hAnsi="Century Gothic" w:cs="Arial"/>
          <w:spacing w:val="-3"/>
        </w:rPr>
        <w:t>RED NACIONAL</w:t>
      </w:r>
      <w:r>
        <w:rPr>
          <w:rFonts w:ascii="Century Gothic" w:hAnsi="Century Gothic" w:cs="Arial"/>
        </w:rPr>
        <w:t xml:space="preserve">. Tampoco se computarán los tiempos atribuibles a las notificaciones que </w:t>
      </w:r>
      <w:r>
        <w:rPr>
          <w:rFonts w:ascii="Century Gothic" w:hAnsi="Century Gothic" w:cs="Arial"/>
          <w:iCs/>
          <w:lang w:val="es-ES_tradnl"/>
        </w:rPr>
        <w:t>RED NACIONAL</w:t>
      </w:r>
      <w:r>
        <w:rPr>
          <w:rFonts w:ascii="Century Gothic" w:hAnsi="Century Gothic" w:cs="Arial"/>
        </w:rPr>
        <w:t xml:space="preserve"> realice a los concesionarios y autorizados para que manifiesten su interés por participar en nuevas obras civiles.</w:t>
      </w:r>
    </w:p>
    <w:p w:rsidR="0017227E" w:rsidRPr="00611019" w:rsidRDefault="00E56462" w:rsidP="00035D2C">
      <w:pPr>
        <w:spacing w:after="6pt"/>
        <w:jc w:val="both"/>
        <w:rPr>
          <w:rFonts w:ascii="Century Gothic" w:hAnsi="Century Gothic" w:cs="Arial"/>
        </w:rPr>
      </w:pPr>
      <w:r>
        <w:rPr>
          <w:rFonts w:ascii="Century Gothic" w:hAnsi="Century Gothic" w:cs="Arial"/>
        </w:rPr>
        <w:t>En todos los supuestos contemplados en esta cláusula, las Partes deberán dar aviso al Instituto del evento de caso fortuito o causa de fuerza mayor, acompañando las pruebas que justifiquen las causas de la suspensión del Servicio y las posibles soluciones para la reparación.</w:t>
      </w:r>
    </w:p>
    <w:p w:rsidR="0017227E" w:rsidRPr="00611019" w:rsidRDefault="00E56462" w:rsidP="00035D2C">
      <w:pPr>
        <w:pStyle w:val="0Tit11"/>
        <w:spacing w:line="13.80pt" w:lineRule="auto"/>
      </w:pPr>
      <w:bookmarkStart w:id="2912" w:name="_Toc92974189"/>
      <w:bookmarkStart w:id="2913" w:name="_Toc93052502"/>
      <w:bookmarkStart w:id="2914" w:name="_Toc93056457"/>
      <w:bookmarkStart w:id="2915" w:name="_Toc125393522"/>
      <w:bookmarkStart w:id="2916" w:name="_Toc148702377"/>
      <w:bookmarkStart w:id="2917" w:name="_Toc170381993"/>
      <w:r>
        <w:t>Décima Segunda. VIGENCIA</w:t>
      </w:r>
      <w:bookmarkEnd w:id="2912"/>
      <w:bookmarkEnd w:id="2913"/>
      <w:bookmarkEnd w:id="2914"/>
      <w:bookmarkEnd w:id="2915"/>
      <w:bookmarkEnd w:id="2916"/>
      <w:bookmarkEnd w:id="2917"/>
      <w:r>
        <w:t xml:space="preserve"> </w:t>
      </w:r>
    </w:p>
    <w:p w:rsidR="0017227E" w:rsidRPr="00611019" w:rsidRDefault="00E56462" w:rsidP="00035D2C">
      <w:pPr>
        <w:pStyle w:val="Ttulo3"/>
        <w:spacing w:after="6pt" w:line="13.80pt" w:lineRule="auto"/>
        <w:ind w:start="36pt" w:hanging="36pt"/>
        <w:jc w:val="start"/>
        <w:rPr>
          <w:rFonts w:ascii="Century Gothic" w:hAnsi="Century Gothic"/>
          <w:szCs w:val="22"/>
        </w:rPr>
      </w:pPr>
      <w:bookmarkStart w:id="2918" w:name="_Toc92974190"/>
      <w:bookmarkStart w:id="2919" w:name="_Toc93052503"/>
      <w:bookmarkStart w:id="2920" w:name="_Toc93056458"/>
      <w:bookmarkStart w:id="2921" w:name="_Toc125393523"/>
      <w:bookmarkStart w:id="2922" w:name="_Toc148702378"/>
      <w:bookmarkStart w:id="2923" w:name="_Toc170381994"/>
      <w:r>
        <w:rPr>
          <w:rFonts w:ascii="Century Gothic" w:hAnsi="Century Gothic"/>
          <w:szCs w:val="22"/>
        </w:rPr>
        <w:lastRenderedPageBreak/>
        <w:t>12.1</w:t>
      </w:r>
      <w:r>
        <w:rPr>
          <w:rFonts w:ascii="Century Gothic" w:hAnsi="Century Gothic"/>
          <w:szCs w:val="22"/>
        </w:rPr>
        <w:tab/>
        <w:t>Duración del convenio</w:t>
      </w:r>
      <w:bookmarkEnd w:id="2918"/>
      <w:bookmarkEnd w:id="2919"/>
      <w:bookmarkEnd w:id="2920"/>
      <w:bookmarkEnd w:id="2921"/>
      <w:bookmarkEnd w:id="2922"/>
      <w:bookmarkEnd w:id="2923"/>
    </w:p>
    <w:p w:rsidR="0017227E" w:rsidRPr="00611019" w:rsidRDefault="00E56462" w:rsidP="00035D2C">
      <w:pPr>
        <w:spacing w:after="6pt"/>
        <w:jc w:val="both"/>
        <w:rPr>
          <w:rFonts w:ascii="Century Gothic" w:hAnsi="Century Gothic" w:cs="Arial"/>
          <w:spacing w:val="-3"/>
        </w:rPr>
      </w:pPr>
      <w:bookmarkStart w:id="2924" w:name="_Hlk84255962"/>
      <w:r>
        <w:rPr>
          <w:rFonts w:ascii="Century Gothic" w:hAnsi="Century Gothic" w:cs="Arial"/>
          <w:spacing w:val="-3"/>
        </w:rPr>
        <w:t xml:space="preserve">El presente CONVENIO estará vigente </w:t>
      </w:r>
      <w:bookmarkEnd w:id="2924"/>
      <w:r>
        <w:rPr>
          <w:rFonts w:ascii="Century Gothic" w:hAnsi="Century Gothic" w:cs="Arial"/>
          <w:spacing w:val="-3"/>
        </w:rPr>
        <w:t>como mínimo, hasta el 31 de diciembre de 202</w:t>
      </w:r>
      <w:r w:rsidR="000E6222">
        <w:rPr>
          <w:rFonts w:ascii="Century Gothic" w:hAnsi="Century Gothic" w:cs="Arial"/>
          <w:spacing w:val="-3"/>
        </w:rPr>
        <w:t>6</w:t>
      </w:r>
      <w:r>
        <w:rPr>
          <w:rFonts w:ascii="Century Gothic" w:hAnsi="Century Gothic" w:cs="Arial"/>
          <w:spacing w:val="-3"/>
        </w:rPr>
        <w:t>, salvo que sea modificado, terminado anticipadamente o rescindido conforme a lo previsto en el presente instrumento y demás disposiciones aplicables. Sin embargo, las Partes podrán acordar vigencias superiores a este plazo mínimo del CONVENIO considerando las necesidades propias de cada uno de los Servicios a prestarse al amparo de la Oferta de Referencia</w:t>
      </w:r>
      <w:r w:rsidR="00A32681">
        <w:rPr>
          <w:rFonts w:ascii="Century Gothic" w:hAnsi="Century Gothic" w:cs="Arial"/>
          <w:spacing w:val="-3"/>
        </w:rPr>
        <w:t>.</w:t>
      </w:r>
    </w:p>
    <w:p w:rsidR="0017227E" w:rsidRPr="00611019" w:rsidRDefault="00E56462" w:rsidP="00035D2C">
      <w:pPr>
        <w:spacing w:after="6pt"/>
        <w:jc w:val="both"/>
        <w:rPr>
          <w:rFonts w:ascii="Century Gothic" w:hAnsi="Century Gothic" w:cs="Arial"/>
          <w:spacing w:val="-3"/>
        </w:rPr>
      </w:pPr>
      <w:r>
        <w:rPr>
          <w:rFonts w:ascii="Century Gothic" w:hAnsi="Century Gothic" w:cs="Arial"/>
          <w:spacing w:val="-3"/>
        </w:rPr>
        <w:t>En caso de que el presente CONVENIO sea terminado o rescindido, las obligaciones de pago líquidas y exigibles derivadas del presente CONVENIO subsistirán hasta su debido e íntegro cumplimiento. De igual manera subsistirán en términos de ley aquellas obligaciones que por su naturaleza deban permanecer vigentes aún después de ocurrida la terminación o rescisión del CONVENIO.</w:t>
      </w:r>
    </w:p>
    <w:p w:rsidR="0017227E" w:rsidRPr="00611019" w:rsidRDefault="00E56462" w:rsidP="00035D2C">
      <w:pPr>
        <w:spacing w:after="6pt"/>
        <w:jc w:val="both"/>
        <w:rPr>
          <w:rFonts w:ascii="Century Gothic" w:hAnsi="Century Gothic" w:cs="Arial"/>
          <w:spacing w:val="-3"/>
        </w:rPr>
      </w:pPr>
      <w:r>
        <w:rPr>
          <w:rFonts w:ascii="Century Gothic" w:hAnsi="Century Gothic" w:cs="Arial"/>
          <w:spacing w:val="-3"/>
        </w:rPr>
        <w:t xml:space="preserve">No obstante lo anterior, cada Servicio tendrá la vigencia mínima forzosa por la que cada uno de ellos fue contratado, por lo que subsistirán independientemente de la vigencia del CONVENIO. </w:t>
      </w:r>
    </w:p>
    <w:p w:rsidR="0017227E" w:rsidRPr="00611019" w:rsidRDefault="00E56462" w:rsidP="00035D2C">
      <w:pPr>
        <w:pStyle w:val="Ttulo3"/>
        <w:spacing w:after="6pt" w:line="13.80pt" w:lineRule="auto"/>
        <w:ind w:start="36pt" w:hanging="36pt"/>
        <w:jc w:val="start"/>
        <w:rPr>
          <w:rFonts w:ascii="Century Gothic" w:hAnsi="Century Gothic"/>
          <w:szCs w:val="22"/>
        </w:rPr>
      </w:pPr>
      <w:bookmarkStart w:id="2925" w:name="_Toc92974191"/>
      <w:bookmarkStart w:id="2926" w:name="_Toc93052504"/>
      <w:bookmarkStart w:id="2927" w:name="_Toc93056459"/>
      <w:bookmarkStart w:id="2928" w:name="_Toc125393524"/>
      <w:bookmarkStart w:id="2929" w:name="_Toc148702379"/>
      <w:bookmarkStart w:id="2930" w:name="_Toc170381995"/>
      <w:r>
        <w:rPr>
          <w:rFonts w:ascii="Century Gothic" w:hAnsi="Century Gothic"/>
          <w:szCs w:val="22"/>
        </w:rPr>
        <w:t>12.2</w:t>
      </w:r>
      <w:r>
        <w:rPr>
          <w:rFonts w:ascii="Century Gothic" w:hAnsi="Century Gothic"/>
          <w:szCs w:val="22"/>
        </w:rPr>
        <w:tab/>
        <w:t>Terminación anticipada</w:t>
      </w:r>
      <w:bookmarkEnd w:id="2925"/>
      <w:bookmarkEnd w:id="2926"/>
      <w:bookmarkEnd w:id="2927"/>
      <w:bookmarkEnd w:id="2928"/>
      <w:bookmarkEnd w:id="2929"/>
      <w:bookmarkEnd w:id="2930"/>
      <w:r>
        <w:rPr>
          <w:rFonts w:ascii="Century Gothic" w:hAnsi="Century Gothic"/>
          <w:szCs w:val="22"/>
        </w:rPr>
        <w:t xml:space="preserve"> </w:t>
      </w:r>
    </w:p>
    <w:p w:rsidR="0017227E" w:rsidRPr="00611019" w:rsidRDefault="00E56462" w:rsidP="00035D2C">
      <w:pPr>
        <w:spacing w:after="6pt"/>
        <w:jc w:val="both"/>
        <w:rPr>
          <w:rFonts w:ascii="Century Gothic" w:hAnsi="Century Gothic" w:cs="Arial"/>
          <w:spacing w:val="-3"/>
        </w:rPr>
      </w:pPr>
      <w:r>
        <w:rPr>
          <w:rFonts w:ascii="Century Gothic" w:hAnsi="Century Gothic" w:cs="Arial"/>
          <w:spacing w:val="-3"/>
        </w:rPr>
        <w:t xml:space="preserve">Cualquiera de las Partes podrá dar por terminado el presente CONVENIO sin responsabilidad alguna y sin que medie declaración judicial o administrativa, para lo cual deberá dar aviso al Instituto a efecto de que éste lleve a cabo el análisis correspondiente y en caso de ser procedente, autorice, la terminación anticipada. </w:t>
      </w:r>
    </w:p>
    <w:p w:rsidR="0017227E" w:rsidRPr="00611019" w:rsidRDefault="00E56462" w:rsidP="00035D2C">
      <w:pPr>
        <w:spacing w:after="6pt"/>
        <w:jc w:val="both"/>
        <w:rPr>
          <w:rFonts w:ascii="Century Gothic" w:hAnsi="Century Gothic" w:cs="Arial"/>
          <w:spacing w:val="-3"/>
        </w:rPr>
      </w:pPr>
      <w:r>
        <w:rPr>
          <w:rFonts w:ascii="Century Gothic" w:hAnsi="Century Gothic" w:cs="Arial"/>
          <w:spacing w:val="-3"/>
        </w:rPr>
        <w:t>Con la notificación que se realice al Instituto, se deberá de adjuntar la información correspondiente para la protección de los intereses del público en general. Para efectos de esta cláusula, la Parte que requiera dar por terminado el presente CONVENIO, deberá dar aviso por escrito a la otra Parte y al Instituto con una anticipación de 30 (treinta) días naturales, cuando se presente una o más de las causales siguientes:</w:t>
      </w:r>
    </w:p>
    <w:p w:rsidR="0017227E" w:rsidRPr="00611019" w:rsidRDefault="00E56462" w:rsidP="00035D2C">
      <w:pPr>
        <w:widowControl w:val="0"/>
        <w:adjustRightInd w:val="0"/>
        <w:spacing w:after="6pt"/>
        <w:ind w:start="28.35pt" w:hanging="28.30pt"/>
        <w:jc w:val="both"/>
        <w:textAlignment w:val="baseline"/>
        <w:rPr>
          <w:rFonts w:ascii="Century Gothic" w:hAnsi="Century Gothic" w:cs="Arial"/>
          <w:spacing w:val="-3"/>
        </w:rPr>
      </w:pPr>
      <w:r>
        <w:rPr>
          <w:rFonts w:ascii="Century Gothic" w:hAnsi="Century Gothic" w:cs="Arial"/>
          <w:spacing w:val="-3"/>
        </w:rPr>
        <w:t>A)</w:t>
      </w:r>
      <w:r>
        <w:rPr>
          <w:rFonts w:ascii="Century Gothic" w:hAnsi="Century Gothic" w:cs="Arial"/>
          <w:spacing w:val="-3"/>
        </w:rPr>
        <w:tab/>
        <w:t>Revocación del título de concesión o autorización de cualquiera de las Partes;</w:t>
      </w:r>
    </w:p>
    <w:p w:rsidR="0017227E" w:rsidRPr="00611019" w:rsidRDefault="00E56462" w:rsidP="00035D2C">
      <w:pPr>
        <w:widowControl w:val="0"/>
        <w:adjustRightInd w:val="0"/>
        <w:spacing w:after="6pt"/>
        <w:ind w:start="28.35pt" w:hanging="28.30pt"/>
        <w:jc w:val="both"/>
        <w:textAlignment w:val="baseline"/>
        <w:rPr>
          <w:rFonts w:ascii="Century Gothic" w:hAnsi="Century Gothic" w:cs="Arial"/>
          <w:spacing w:val="-3"/>
        </w:rPr>
      </w:pPr>
      <w:r>
        <w:rPr>
          <w:rFonts w:ascii="Century Gothic" w:hAnsi="Century Gothic" w:cs="Arial"/>
          <w:spacing w:val="-3"/>
        </w:rPr>
        <w:t>B)</w:t>
      </w:r>
      <w:r>
        <w:rPr>
          <w:rFonts w:ascii="Century Gothic" w:hAnsi="Century Gothic" w:cs="Arial"/>
          <w:spacing w:val="-3"/>
        </w:rPr>
        <w:tab/>
        <w:t>Declaración judicial o resolución administrativa emitida por autoridad competente que así lo ordene;</w:t>
      </w:r>
    </w:p>
    <w:p w:rsidR="0017227E" w:rsidRPr="00611019" w:rsidRDefault="00E56462" w:rsidP="00035D2C">
      <w:pPr>
        <w:widowControl w:val="0"/>
        <w:adjustRightInd w:val="0"/>
        <w:spacing w:after="6pt"/>
        <w:ind w:start="28.35pt" w:hanging="28.30pt"/>
        <w:jc w:val="both"/>
        <w:textAlignment w:val="baseline"/>
        <w:rPr>
          <w:rFonts w:ascii="Century Gothic" w:hAnsi="Century Gothic" w:cs="Arial"/>
          <w:spacing w:val="-3"/>
        </w:rPr>
      </w:pPr>
      <w:r>
        <w:rPr>
          <w:rFonts w:ascii="Century Gothic" w:hAnsi="Century Gothic" w:cs="Arial"/>
          <w:spacing w:val="-3"/>
        </w:rPr>
        <w:t>C)</w:t>
      </w:r>
      <w:r>
        <w:rPr>
          <w:rFonts w:ascii="Century Gothic" w:hAnsi="Century Gothic" w:cs="Arial"/>
          <w:spacing w:val="-3"/>
        </w:rPr>
        <w:tab/>
        <w:t>Novación de los términos, condiciones, derechos y obligaciones contractuales;</w:t>
      </w:r>
    </w:p>
    <w:p w:rsidR="0017227E" w:rsidRPr="00611019" w:rsidRDefault="00E56462" w:rsidP="00035D2C">
      <w:pPr>
        <w:widowControl w:val="0"/>
        <w:adjustRightInd w:val="0"/>
        <w:spacing w:after="6pt"/>
        <w:ind w:start="28.35pt" w:hanging="28.30pt"/>
        <w:jc w:val="both"/>
        <w:textAlignment w:val="baseline"/>
        <w:rPr>
          <w:rFonts w:ascii="Century Gothic" w:hAnsi="Century Gothic" w:cs="Arial"/>
          <w:spacing w:val="-3"/>
        </w:rPr>
      </w:pPr>
      <w:r>
        <w:rPr>
          <w:rFonts w:ascii="Century Gothic" w:hAnsi="Century Gothic" w:cs="Arial"/>
          <w:spacing w:val="-3"/>
        </w:rPr>
        <w:t>D)</w:t>
      </w:r>
      <w:r>
        <w:rPr>
          <w:rFonts w:ascii="Century Gothic" w:hAnsi="Century Gothic" w:cs="Arial"/>
          <w:spacing w:val="-3"/>
        </w:rPr>
        <w:tab/>
        <w:t xml:space="preserve">Utilización de los Servicios de </w:t>
      </w:r>
      <w:r>
        <w:rPr>
          <w:rFonts w:ascii="Century Gothic" w:hAnsi="Century Gothic" w:cs="Arial"/>
          <w:iCs/>
          <w:lang w:val="es-ES_tradnl"/>
        </w:rPr>
        <w:t>RED NACIONAL</w:t>
      </w:r>
      <w:r>
        <w:rPr>
          <w:rFonts w:ascii="Century Gothic" w:hAnsi="Century Gothic" w:cs="Arial"/>
          <w:spacing w:val="-3"/>
        </w:rPr>
        <w:t xml:space="preserve"> con fines ilícitos;</w:t>
      </w:r>
    </w:p>
    <w:p w:rsidR="0017227E" w:rsidRPr="00611019" w:rsidRDefault="00E56462" w:rsidP="00035D2C">
      <w:pPr>
        <w:widowControl w:val="0"/>
        <w:adjustRightInd w:val="0"/>
        <w:spacing w:after="6pt"/>
        <w:ind w:start="28.35pt" w:hanging="28.30pt"/>
        <w:jc w:val="both"/>
        <w:textAlignment w:val="baseline"/>
        <w:rPr>
          <w:rFonts w:ascii="Century Gothic" w:hAnsi="Century Gothic" w:cs="Arial"/>
          <w:spacing w:val="-3"/>
        </w:rPr>
      </w:pPr>
      <w:r>
        <w:rPr>
          <w:rFonts w:ascii="Century Gothic" w:hAnsi="Century Gothic" w:cs="Arial"/>
          <w:spacing w:val="-3"/>
        </w:rPr>
        <w:t>E)</w:t>
      </w:r>
      <w:r>
        <w:rPr>
          <w:rFonts w:ascii="Century Gothic" w:hAnsi="Century Gothic" w:cs="Arial"/>
          <w:spacing w:val="-3"/>
        </w:rPr>
        <w:tab/>
        <w:t xml:space="preserve">Cambio radical de las condiciones económicas que rigen los Servicios, de tal manera que se vuelva económicamente inviable la prestación de los mismos; </w:t>
      </w:r>
    </w:p>
    <w:p w:rsidR="0017227E" w:rsidRPr="00611019" w:rsidRDefault="00E56462" w:rsidP="00035D2C">
      <w:pPr>
        <w:widowControl w:val="0"/>
        <w:adjustRightInd w:val="0"/>
        <w:spacing w:after="6pt"/>
        <w:ind w:start="28.35pt" w:hanging="28.30pt"/>
        <w:jc w:val="both"/>
        <w:textAlignment w:val="baseline"/>
        <w:rPr>
          <w:rFonts w:ascii="Century Gothic" w:hAnsi="Century Gothic" w:cs="Arial"/>
          <w:spacing w:val="-3"/>
        </w:rPr>
      </w:pPr>
      <w:r>
        <w:rPr>
          <w:rFonts w:ascii="Century Gothic" w:hAnsi="Century Gothic" w:cs="Arial"/>
          <w:spacing w:val="-3"/>
        </w:rPr>
        <w:t>F)</w:t>
      </w:r>
      <w:r>
        <w:rPr>
          <w:rFonts w:ascii="Century Gothic" w:hAnsi="Century Gothic" w:cs="Arial"/>
          <w:spacing w:val="-3"/>
        </w:rPr>
        <w:tab/>
        <w:t>Se presente un estado de excepción como guerra, invasión, conflicto armado, por el cual no se puedan salvaguardar las garantías individuales.</w:t>
      </w:r>
    </w:p>
    <w:p w:rsidR="0017227E" w:rsidRPr="00611019" w:rsidRDefault="00E56462" w:rsidP="00035D2C">
      <w:pPr>
        <w:spacing w:after="6pt"/>
        <w:jc w:val="both"/>
        <w:rPr>
          <w:rFonts w:ascii="Century Gothic" w:hAnsi="Century Gothic" w:cs="Arial"/>
          <w:spacing w:val="-3"/>
        </w:rPr>
      </w:pPr>
      <w:r>
        <w:rPr>
          <w:rFonts w:ascii="Century Gothic" w:hAnsi="Century Gothic" w:cs="Arial"/>
          <w:spacing w:val="-3"/>
        </w:rPr>
        <w:t xml:space="preserve">En cualquiera de los eventos anteriores, el Instituto, </w:t>
      </w:r>
      <w:r>
        <w:rPr>
          <w:rFonts w:ascii="Century Gothic" w:hAnsi="Century Gothic" w:cs="Arial"/>
          <w:spacing w:val="-3"/>
          <w:lang w:val="es-ES_tradnl"/>
        </w:rPr>
        <w:t xml:space="preserve">llevará a cabo el análisis correspondiente y en caso de ser procedente autorizará la terminación anticipada del </w:t>
      </w:r>
      <w:r>
        <w:rPr>
          <w:rFonts w:ascii="Century Gothic" w:hAnsi="Century Gothic" w:cs="Arial"/>
          <w:spacing w:val="-3"/>
          <w:lang w:val="es-ES_tradnl"/>
        </w:rPr>
        <w:lastRenderedPageBreak/>
        <w:t>presente CONVENIO, debiendo</w:t>
      </w:r>
      <w:r>
        <w:rPr>
          <w:rFonts w:ascii="Century Gothic" w:hAnsi="Century Gothic" w:cs="Arial"/>
          <w:spacing w:val="-3"/>
        </w:rPr>
        <w:t xml:space="preserve"> adoptarse las medidas pertinentes para la protección de los intereses del público en general, a fin de que queden debidamente garantizados.</w:t>
      </w:r>
    </w:p>
    <w:p w:rsidR="0017227E" w:rsidRPr="00611019" w:rsidRDefault="00E56462" w:rsidP="00035D2C">
      <w:pPr>
        <w:spacing w:after="6pt"/>
        <w:jc w:val="both"/>
        <w:rPr>
          <w:rFonts w:ascii="Century Gothic" w:hAnsi="Century Gothic" w:cs="Arial"/>
          <w:spacing w:val="-3"/>
        </w:rPr>
      </w:pPr>
      <w:r>
        <w:rPr>
          <w:rFonts w:ascii="Century Gothic" w:hAnsi="Century Gothic" w:cs="Arial"/>
          <w:spacing w:val="-3"/>
        </w:rPr>
        <w:t xml:space="preserve">En ningún supuesto se deberá de contemplar como causal de terminación anticipada la revocación de la Resolución AEP. </w:t>
      </w:r>
    </w:p>
    <w:p w:rsidR="0017227E" w:rsidRPr="00611019" w:rsidRDefault="00E56462" w:rsidP="00035D2C">
      <w:pPr>
        <w:spacing w:after="6pt"/>
        <w:jc w:val="both"/>
        <w:rPr>
          <w:rFonts w:ascii="Century Gothic" w:hAnsi="Century Gothic" w:cs="Arial"/>
          <w:spacing w:val="-3"/>
        </w:rPr>
      </w:pPr>
      <w:r>
        <w:rPr>
          <w:rFonts w:ascii="Century Gothic" w:hAnsi="Century Gothic" w:cs="Arial"/>
          <w:spacing w:val="-3"/>
        </w:rPr>
        <w:t>En todo caso, para que la terminación anticipada solicitada por el CONCESIONARIO SOLICITANTE sea procedente, éste deberá estar al corriente en sus obligaciones de pago derivadas de la prestación de los Servicios objeto del presente CONVENIO.</w:t>
      </w:r>
    </w:p>
    <w:p w:rsidR="00676718" w:rsidRPr="00611019" w:rsidRDefault="00E56462" w:rsidP="00035D2C">
      <w:pPr>
        <w:spacing w:after="6pt"/>
        <w:jc w:val="both"/>
        <w:rPr>
          <w:rFonts w:ascii="Century Gothic" w:hAnsi="Century Gothic" w:cs="Arial"/>
          <w:b/>
        </w:rPr>
      </w:pPr>
      <w:r>
        <w:rPr>
          <w:rFonts w:ascii="Century Gothic" w:hAnsi="Century Gothic" w:cs="Arial"/>
          <w:b/>
        </w:rPr>
        <w:t>12.3</w:t>
      </w:r>
      <w:r>
        <w:rPr>
          <w:rFonts w:ascii="Century Gothic" w:hAnsi="Century Gothic" w:cs="Arial"/>
          <w:b/>
        </w:rPr>
        <w:tab/>
        <w:t>Subsistencia.</w:t>
      </w:r>
    </w:p>
    <w:p w:rsidR="0017227E" w:rsidRPr="00611019" w:rsidRDefault="00E56462" w:rsidP="00035D2C">
      <w:pPr>
        <w:spacing w:after="6pt"/>
        <w:jc w:val="both"/>
        <w:rPr>
          <w:rFonts w:ascii="Century Gothic" w:hAnsi="Century Gothic" w:cs="Arial"/>
        </w:rPr>
      </w:pPr>
      <w:r>
        <w:rPr>
          <w:rFonts w:ascii="Century Gothic" w:hAnsi="Century Gothic" w:cs="Arial"/>
        </w:rPr>
        <w:t>Las obligaciones pendientes de cumplimiento por las Partes, quedarán subsistentes hasta su total cumplimiento.</w:t>
      </w:r>
    </w:p>
    <w:p w:rsidR="00FC6224" w:rsidRPr="00611019" w:rsidRDefault="00FC6224" w:rsidP="00035D2C">
      <w:pPr>
        <w:spacing w:after="6pt"/>
        <w:jc w:val="both"/>
        <w:rPr>
          <w:rFonts w:ascii="Century Gothic" w:hAnsi="Century Gothic" w:cs="Arial"/>
        </w:rPr>
      </w:pPr>
    </w:p>
    <w:p w:rsidR="00D33874" w:rsidRPr="00611019" w:rsidRDefault="00E56462" w:rsidP="00035D2C">
      <w:pPr>
        <w:pStyle w:val="0Tit11"/>
        <w:spacing w:before="0pt" w:line="13.80pt" w:lineRule="auto"/>
      </w:pPr>
      <w:bookmarkStart w:id="2931" w:name="_Toc92974192"/>
      <w:bookmarkStart w:id="2932" w:name="_Toc93052505"/>
      <w:bookmarkStart w:id="2933" w:name="_Toc93056460"/>
      <w:bookmarkStart w:id="2934" w:name="_Toc125393525"/>
      <w:bookmarkStart w:id="2935" w:name="_Toc148702380"/>
      <w:bookmarkStart w:id="2936" w:name="_Toc170381996"/>
      <w:r>
        <w:t>Décima Tercera. RESCISIÓN DEL CONVENIO</w:t>
      </w:r>
      <w:bookmarkStart w:id="2937" w:name="_Toc125393526"/>
      <w:bookmarkStart w:id="2938" w:name="_Toc148702381"/>
      <w:bookmarkStart w:id="2939" w:name="_Toc170381997"/>
      <w:bookmarkEnd w:id="2931"/>
      <w:bookmarkEnd w:id="2932"/>
      <w:bookmarkEnd w:id="2933"/>
      <w:bookmarkEnd w:id="2934"/>
      <w:bookmarkEnd w:id="2935"/>
      <w:bookmarkEnd w:id="2936"/>
    </w:p>
    <w:p w:rsidR="00676718" w:rsidRPr="00611019" w:rsidRDefault="00E56462" w:rsidP="00035D2C">
      <w:pPr>
        <w:pStyle w:val="0Tit11"/>
        <w:tabs>
          <w:tab w:val="start" w:pos="233.90pt"/>
        </w:tabs>
        <w:spacing w:before="0pt" w:line="13.80pt" w:lineRule="auto"/>
      </w:pPr>
      <w:r>
        <w:t>13.1 Causas de Rescisión.</w:t>
      </w:r>
      <w:bookmarkEnd w:id="2937"/>
      <w:bookmarkEnd w:id="2938"/>
      <w:bookmarkEnd w:id="2939"/>
    </w:p>
    <w:p w:rsidR="0017227E" w:rsidRPr="00611019" w:rsidRDefault="00E56462" w:rsidP="00035D2C">
      <w:pPr>
        <w:spacing w:after="6pt"/>
        <w:jc w:val="both"/>
        <w:rPr>
          <w:rFonts w:ascii="Century Gothic" w:hAnsi="Century Gothic" w:cs="Arial"/>
          <w:spacing w:val="-3"/>
        </w:rPr>
      </w:pPr>
      <w:r>
        <w:rPr>
          <w:rFonts w:ascii="Century Gothic" w:hAnsi="Century Gothic" w:cs="Arial"/>
          <w:spacing w:val="-3"/>
        </w:rPr>
        <w:t>Si cualquiera de los eventos (“</w:t>
      </w:r>
      <w:r>
        <w:rPr>
          <w:rFonts w:ascii="Century Gothic" w:hAnsi="Century Gothic" w:cs="Arial"/>
          <w:bCs/>
          <w:spacing w:val="-3"/>
          <w:u w:val="single"/>
        </w:rPr>
        <w:t>Causas de Rescisión</w:t>
      </w:r>
      <w:r>
        <w:rPr>
          <w:rFonts w:ascii="Century Gothic" w:hAnsi="Century Gothic" w:cs="Arial"/>
          <w:spacing w:val="-3"/>
        </w:rPr>
        <w:t>”) descritos a continuación ocurriese, la Parte afectada, independientemente de los remedios o cualesquiera acciones previstas por la ley, podrá rescindir este CONVENIO sin necesidad de resolución judicial o administrativa alguna y sin responsabilidad frente a la otra Parte, para lo cual deberá dar aviso al Instituto a efecto de que éste lleve a cabo el análisis correspondiente y en caso de ser procedente se pronuncie al respecto. Con la notificación que se realice al Instituto, se deberá adjuntar la información que acredita el aludido incumplimiento. Para efectos de la presente cláusula, la Parte afectada deberá notificar por escrito, con 30 (treinta) días naturales de anticipación, a la Parte incumplida, con copia para el Instituto.</w:t>
      </w:r>
    </w:p>
    <w:p w:rsidR="0017227E" w:rsidRPr="00611019" w:rsidRDefault="00E56462" w:rsidP="00035D2C">
      <w:pPr>
        <w:spacing w:after="6pt"/>
        <w:jc w:val="both"/>
        <w:rPr>
          <w:rFonts w:ascii="Century Gothic" w:hAnsi="Century Gothic" w:cs="Arial"/>
          <w:spacing w:val="-3"/>
        </w:rPr>
      </w:pPr>
      <w:r>
        <w:rPr>
          <w:rFonts w:ascii="Century Gothic" w:hAnsi="Century Gothic" w:cs="Arial"/>
          <w:spacing w:val="-3"/>
        </w:rPr>
        <w:t>Las Causas de Rescisión son, de manera enunciativa más no limitativa, las siguientes:</w:t>
      </w:r>
    </w:p>
    <w:p w:rsidR="0017227E" w:rsidRPr="00611019" w:rsidRDefault="00E56462" w:rsidP="00035D2C">
      <w:pPr>
        <w:pStyle w:val="Ttulo3"/>
        <w:spacing w:line="13.80pt" w:lineRule="auto"/>
        <w:ind w:start="36pt" w:hanging="36pt"/>
        <w:jc w:val="start"/>
        <w:rPr>
          <w:rFonts w:ascii="Century Gothic" w:hAnsi="Century Gothic"/>
          <w:szCs w:val="22"/>
        </w:rPr>
      </w:pPr>
      <w:bookmarkStart w:id="2940" w:name="_Toc92974193"/>
      <w:bookmarkStart w:id="2941" w:name="_Toc93052506"/>
      <w:bookmarkStart w:id="2942" w:name="_Toc93056461"/>
      <w:bookmarkStart w:id="2943" w:name="_Toc125393527"/>
      <w:bookmarkStart w:id="2944" w:name="_Toc148702382"/>
      <w:bookmarkStart w:id="2945" w:name="_Toc170381998"/>
      <w:r>
        <w:rPr>
          <w:rFonts w:ascii="Century Gothic" w:hAnsi="Century Gothic"/>
          <w:szCs w:val="22"/>
        </w:rPr>
        <w:t>a)</w:t>
      </w:r>
      <w:r>
        <w:rPr>
          <w:rFonts w:ascii="Century Gothic" w:hAnsi="Century Gothic"/>
          <w:szCs w:val="22"/>
        </w:rPr>
        <w:tab/>
        <w:t>Incumplimiento del otorgamiento, entrega y efectividad de las garantías.</w:t>
      </w:r>
      <w:bookmarkEnd w:id="2940"/>
      <w:bookmarkEnd w:id="2941"/>
      <w:bookmarkEnd w:id="2942"/>
      <w:bookmarkEnd w:id="2943"/>
      <w:bookmarkEnd w:id="2944"/>
      <w:bookmarkEnd w:id="2945"/>
    </w:p>
    <w:p w:rsidR="0017227E" w:rsidRPr="00611019" w:rsidRDefault="00E56462" w:rsidP="00035D2C">
      <w:pPr>
        <w:spacing w:after="6pt"/>
        <w:jc w:val="both"/>
        <w:rPr>
          <w:rFonts w:ascii="Century Gothic" w:hAnsi="Century Gothic" w:cs="Arial"/>
          <w:spacing w:val="-3"/>
        </w:rPr>
      </w:pPr>
      <w:r>
        <w:rPr>
          <w:rFonts w:ascii="Century Gothic" w:hAnsi="Century Gothic" w:cs="Arial"/>
          <w:spacing w:val="-3"/>
        </w:rPr>
        <w:t xml:space="preserve">Si el CONCESIONARIO SOLICITANTE no otorga y entrega a </w:t>
      </w:r>
      <w:r>
        <w:rPr>
          <w:rFonts w:ascii="Century Gothic" w:hAnsi="Century Gothic" w:cs="Arial"/>
          <w:iCs/>
          <w:lang w:val="es-ES_tradnl"/>
        </w:rPr>
        <w:t xml:space="preserve">RED NACIONAL </w:t>
      </w:r>
      <w:r>
        <w:rPr>
          <w:rFonts w:ascii="Century Gothic" w:hAnsi="Century Gothic" w:cs="Arial"/>
          <w:spacing w:val="-3"/>
        </w:rPr>
        <w:t>las garantías conforme a los plazos y en los términos establecidos en el presente CONVENIO o éstas dejasen por cualquier causa de cumplir con el objeto para el cual fueron constituidas y, por lo tanto, no pudiesen garantizar el cumplimiento de las obligaciones que del mismo derivan.</w:t>
      </w:r>
    </w:p>
    <w:p w:rsidR="0017227E" w:rsidRPr="00611019" w:rsidRDefault="00E56462" w:rsidP="00035D2C">
      <w:pPr>
        <w:pStyle w:val="Ttulo3"/>
        <w:spacing w:line="13.80pt" w:lineRule="auto"/>
        <w:ind w:start="36pt" w:hanging="36pt"/>
        <w:jc w:val="start"/>
        <w:rPr>
          <w:rFonts w:ascii="Century Gothic" w:hAnsi="Century Gothic"/>
          <w:szCs w:val="22"/>
        </w:rPr>
      </w:pPr>
      <w:bookmarkStart w:id="2946" w:name="_Toc92974194"/>
      <w:bookmarkStart w:id="2947" w:name="_Toc93052507"/>
      <w:bookmarkStart w:id="2948" w:name="_Toc93056462"/>
      <w:bookmarkStart w:id="2949" w:name="_Toc125393528"/>
      <w:bookmarkStart w:id="2950" w:name="_Toc148702383"/>
      <w:bookmarkStart w:id="2951" w:name="_Toc170381999"/>
      <w:r>
        <w:rPr>
          <w:rFonts w:ascii="Century Gothic" w:hAnsi="Century Gothic"/>
          <w:szCs w:val="22"/>
        </w:rPr>
        <w:t>b)</w:t>
      </w:r>
      <w:r>
        <w:rPr>
          <w:rFonts w:ascii="Century Gothic" w:hAnsi="Century Gothic"/>
          <w:szCs w:val="22"/>
        </w:rPr>
        <w:tab/>
        <w:t>Incumplimiento de obligaciones de pago.</w:t>
      </w:r>
      <w:bookmarkEnd w:id="2946"/>
      <w:bookmarkEnd w:id="2947"/>
      <w:bookmarkEnd w:id="2948"/>
      <w:bookmarkEnd w:id="2949"/>
      <w:bookmarkEnd w:id="2950"/>
      <w:bookmarkEnd w:id="2951"/>
    </w:p>
    <w:p w:rsidR="0017227E" w:rsidRPr="00611019" w:rsidRDefault="00E56462" w:rsidP="00035D2C">
      <w:pPr>
        <w:spacing w:after="6pt"/>
        <w:jc w:val="both"/>
        <w:rPr>
          <w:rFonts w:ascii="Century Gothic" w:hAnsi="Century Gothic" w:cs="Arial"/>
          <w:spacing w:val="-3"/>
        </w:rPr>
      </w:pPr>
      <w:r>
        <w:rPr>
          <w:rFonts w:ascii="Century Gothic" w:hAnsi="Century Gothic" w:cs="Arial"/>
          <w:spacing w:val="-3"/>
        </w:rPr>
        <w:t xml:space="preserve">Si el CONCESIONARIO SOLICITANTE incumple en el pago de las facturas o contraprestaciones adeudadas a </w:t>
      </w:r>
      <w:r>
        <w:rPr>
          <w:rFonts w:ascii="Century Gothic" w:hAnsi="Century Gothic" w:cs="Arial"/>
          <w:iCs/>
          <w:lang w:val="es-ES_tradnl"/>
        </w:rPr>
        <w:t>RED NACIONAL</w:t>
      </w:r>
      <w:r>
        <w:rPr>
          <w:rFonts w:ascii="Century Gothic" w:hAnsi="Century Gothic" w:cs="Arial"/>
          <w:spacing w:val="-3"/>
        </w:rPr>
        <w:t xml:space="preserve"> con motivo de los Servicios prestados al amparo del presente CONVENIO; con la salvedad de las facturas que se encuentren en un proceso conciliatorio.</w:t>
      </w:r>
    </w:p>
    <w:p w:rsidR="0017227E" w:rsidRPr="00611019" w:rsidRDefault="00E56462" w:rsidP="00035D2C">
      <w:pPr>
        <w:spacing w:after="6pt"/>
        <w:jc w:val="both"/>
        <w:rPr>
          <w:rFonts w:ascii="Century Gothic" w:hAnsi="Century Gothic" w:cs="Arial"/>
        </w:rPr>
      </w:pPr>
      <w:r>
        <w:rPr>
          <w:rFonts w:ascii="Century Gothic" w:hAnsi="Century Gothic" w:cs="Arial"/>
          <w:spacing w:val="-3"/>
        </w:rPr>
        <w:t xml:space="preserve">No obstante, no se considerará como incumplimiento la falta de pago de aquellas facturas que se encuentren pendientes de aclaración o en proceso de conciliación conforme a los términos y condiciones establecidas en el presente instrumento. Sin embargo, una vez resuelta la aclaración correspondiente, deberán ser liquidadas por el CONCESIONARIO </w:t>
      </w:r>
      <w:r>
        <w:rPr>
          <w:rFonts w:ascii="Century Gothic" w:hAnsi="Century Gothic" w:cs="Arial"/>
          <w:spacing w:val="-3"/>
        </w:rPr>
        <w:lastRenderedPageBreak/>
        <w:t>SOLICITANTE en caso de que la disputa haya sido resuelta en su contra, por lo que de no proceder el CONCESIONARIO SOLICITANTE al pago de dichas facturas, deberá observarse lo dispuesto en el presente inciso b).</w:t>
      </w:r>
    </w:p>
    <w:p w:rsidR="0017227E" w:rsidRPr="00611019" w:rsidRDefault="00E56462" w:rsidP="00035D2C">
      <w:pPr>
        <w:spacing w:after="6pt"/>
        <w:jc w:val="both"/>
        <w:rPr>
          <w:rFonts w:ascii="Century Gothic" w:hAnsi="Century Gothic" w:cs="Arial"/>
        </w:rPr>
      </w:pPr>
      <w:r>
        <w:rPr>
          <w:rFonts w:ascii="Century Gothic" w:hAnsi="Century Gothic" w:cs="Arial"/>
        </w:rPr>
        <w:t>Las contraprestaciones que quedaren pendientes al término del presente instrumento, deberán ser cubiertas por el CONCESIONARIO SOLICITANTE a más tardar dentro de los 15 (quince) días hábiles posteriores a la fecha en que surta efectos la rescisión.</w:t>
      </w:r>
    </w:p>
    <w:p w:rsidR="0017227E" w:rsidRPr="00611019" w:rsidRDefault="00E56462" w:rsidP="00035D2C">
      <w:pPr>
        <w:pStyle w:val="Ttulo3"/>
        <w:spacing w:line="13.80pt" w:lineRule="auto"/>
        <w:ind w:start="36pt" w:hanging="36pt"/>
        <w:jc w:val="start"/>
        <w:rPr>
          <w:rFonts w:ascii="Century Gothic" w:hAnsi="Century Gothic"/>
          <w:szCs w:val="22"/>
        </w:rPr>
      </w:pPr>
      <w:bookmarkStart w:id="2952" w:name="_Toc92974195"/>
      <w:bookmarkStart w:id="2953" w:name="_Toc93052508"/>
      <w:bookmarkStart w:id="2954" w:name="_Toc93056463"/>
      <w:bookmarkStart w:id="2955" w:name="_Toc125393529"/>
      <w:bookmarkStart w:id="2956" w:name="_Toc148702384"/>
      <w:bookmarkStart w:id="2957" w:name="_Toc170382000"/>
      <w:r>
        <w:rPr>
          <w:rFonts w:ascii="Century Gothic" w:hAnsi="Century Gothic"/>
          <w:szCs w:val="22"/>
        </w:rPr>
        <w:t>c)</w:t>
      </w:r>
      <w:r>
        <w:rPr>
          <w:rFonts w:ascii="Century Gothic" w:hAnsi="Century Gothic"/>
          <w:szCs w:val="22"/>
        </w:rPr>
        <w:tab/>
        <w:t>Conductas ilícitas.</w:t>
      </w:r>
      <w:bookmarkEnd w:id="2952"/>
      <w:bookmarkEnd w:id="2953"/>
      <w:bookmarkEnd w:id="2954"/>
      <w:bookmarkEnd w:id="2955"/>
      <w:bookmarkEnd w:id="2956"/>
      <w:bookmarkEnd w:id="2957"/>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Si </w:t>
      </w:r>
      <w:r>
        <w:rPr>
          <w:rFonts w:ascii="Century Gothic" w:hAnsi="Century Gothic" w:cs="Arial"/>
          <w:iCs/>
          <w:lang w:val="es-ES_tradnl"/>
        </w:rPr>
        <w:t>RED NACIONAL</w:t>
      </w:r>
      <w:r>
        <w:rPr>
          <w:rFonts w:ascii="Century Gothic" w:hAnsi="Century Gothic" w:cs="Arial"/>
          <w:lang w:val="es-ES_tradnl"/>
        </w:rPr>
        <w:t xml:space="preserve"> </w:t>
      </w:r>
      <w:r>
        <w:rPr>
          <w:rFonts w:ascii="Century Gothic" w:hAnsi="Century Gothic" w:cs="Arial"/>
        </w:rPr>
        <w:t xml:space="preserve">o el CONCESIONARIO SOLICITANTE </w:t>
      </w:r>
      <w:r>
        <w:rPr>
          <w:rFonts w:ascii="Century Gothic" w:hAnsi="Century Gothic" w:cs="Arial"/>
          <w:lang w:val="es-ES_tradnl"/>
        </w:rPr>
        <w:t>incurren en alguna conducta ilícita conforme a la ley o contraria al presente CONVENIO.</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Lo anterior incluye el supuesto bajo el cual se desagreguen </w:t>
      </w:r>
      <w:r>
        <w:rPr>
          <w:rFonts w:ascii="Century Gothic" w:hAnsi="Century Gothic" w:cs="Arial"/>
        </w:rPr>
        <w:t>Usuarios Finales</w:t>
      </w:r>
      <w:r w:rsidR="00A32681">
        <w:rPr>
          <w:rFonts w:ascii="Century Gothic" w:hAnsi="Century Gothic" w:cs="Arial"/>
        </w:rPr>
        <w:t xml:space="preserve"> </w:t>
      </w:r>
      <w:r>
        <w:rPr>
          <w:rFonts w:ascii="Century Gothic" w:hAnsi="Century Gothic" w:cs="Arial"/>
          <w:lang w:val="es-ES_tradnl"/>
        </w:rPr>
        <w:t>mediante engaños o sin obtener su consentimiento previo y de manera fehaciente.</w:t>
      </w:r>
    </w:p>
    <w:p w:rsidR="0017227E" w:rsidRPr="00611019" w:rsidRDefault="00E56462" w:rsidP="00035D2C">
      <w:pPr>
        <w:pStyle w:val="Ttulo3"/>
        <w:spacing w:line="13.80pt" w:lineRule="auto"/>
        <w:ind w:start="36pt" w:hanging="36pt"/>
        <w:jc w:val="start"/>
        <w:rPr>
          <w:rFonts w:ascii="Century Gothic" w:hAnsi="Century Gothic"/>
          <w:szCs w:val="22"/>
        </w:rPr>
      </w:pPr>
      <w:bookmarkStart w:id="2958" w:name="_Toc92974196"/>
      <w:bookmarkStart w:id="2959" w:name="_Toc93052509"/>
      <w:bookmarkStart w:id="2960" w:name="_Toc93056464"/>
      <w:bookmarkStart w:id="2961" w:name="_Toc125393530"/>
      <w:bookmarkStart w:id="2962" w:name="_Toc148702385"/>
      <w:bookmarkStart w:id="2963" w:name="_Toc170382001"/>
      <w:r>
        <w:rPr>
          <w:rFonts w:ascii="Century Gothic" w:hAnsi="Century Gothic"/>
          <w:szCs w:val="22"/>
        </w:rPr>
        <w:t>d)</w:t>
      </w:r>
      <w:r>
        <w:rPr>
          <w:rFonts w:ascii="Century Gothic" w:hAnsi="Century Gothic"/>
          <w:szCs w:val="22"/>
        </w:rPr>
        <w:tab/>
        <w:t>Concurso Mercantil.</w:t>
      </w:r>
      <w:bookmarkEnd w:id="2958"/>
      <w:bookmarkEnd w:id="2959"/>
      <w:bookmarkEnd w:id="2960"/>
      <w:bookmarkEnd w:id="2961"/>
      <w:bookmarkEnd w:id="2962"/>
      <w:bookmarkEnd w:id="2963"/>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En caso de que </w:t>
      </w:r>
      <w:r>
        <w:rPr>
          <w:rFonts w:ascii="Century Gothic" w:hAnsi="Century Gothic" w:cs="Arial"/>
          <w:b/>
          <w:lang w:val="es-ES_tradnl"/>
        </w:rPr>
        <w:t>(a)</w:t>
      </w:r>
      <w:r>
        <w:rPr>
          <w:rFonts w:ascii="Century Gothic" w:hAnsi="Century Gothic" w:cs="Arial"/>
          <w:lang w:val="es-ES_tradnl"/>
        </w:rPr>
        <w:t xml:space="preserve"> se afecten todos o parte sustancial de los bienes de cualquiera de las Partes y/o sus Filiales como consecuencia de un evento de caso fortuito o fuerza mayor, y/o </w:t>
      </w:r>
      <w:r>
        <w:rPr>
          <w:rFonts w:ascii="Century Gothic" w:hAnsi="Century Gothic" w:cs="Arial"/>
          <w:b/>
          <w:lang w:val="es-ES_tradnl"/>
        </w:rPr>
        <w:t>(b)</w:t>
      </w:r>
      <w:r>
        <w:rPr>
          <w:rFonts w:ascii="Century Gothic" w:hAnsi="Century Gothic" w:cs="Arial"/>
          <w:lang w:val="es-ES_tradnl"/>
        </w:rPr>
        <w:t xml:space="preserve"> se impida a cualquiera de ellas el cumplimiento de cualquiera de sus términos y condiciones, derivados de: </w:t>
      </w:r>
      <w:r>
        <w:rPr>
          <w:rFonts w:ascii="Century Gothic" w:hAnsi="Century Gothic" w:cs="Arial"/>
          <w:b/>
          <w:lang w:val="es-ES_tradnl"/>
        </w:rPr>
        <w:t>(i)</w:t>
      </w:r>
      <w:r>
        <w:rPr>
          <w:rFonts w:ascii="Century Gothic" w:hAnsi="Century Gothic" w:cs="Arial"/>
          <w:lang w:val="es-ES_tradnl"/>
        </w:rPr>
        <w:t xml:space="preserve"> acción o procedimiento de concurso mercantil, disolución, cesión general de sus bienes para beneficio de sus acreedores u otros de naturaleza análoga, y/o </w:t>
      </w:r>
      <w:r>
        <w:rPr>
          <w:rFonts w:ascii="Century Gothic" w:hAnsi="Century Gothic" w:cs="Arial"/>
          <w:b/>
          <w:lang w:val="es-ES_tradnl"/>
        </w:rPr>
        <w:t>(ii)</w:t>
      </w:r>
      <w:r>
        <w:rPr>
          <w:rFonts w:ascii="Century Gothic" w:hAnsi="Century Gothic" w:cs="Arial"/>
          <w:lang w:val="es-ES_tradnl"/>
        </w:rPr>
        <w:t xml:space="preserve"> orden de embargo, ejecución o confiscación (en tanto no sea garantizada, desechada o dejada sin efectos, dentro de los 10 (diez) días hábiles siguientes a la fecha en que surta efectos dicha orden en lo que se resuelve de forma definitiva).</w:t>
      </w:r>
    </w:p>
    <w:p w:rsidR="0017227E" w:rsidRPr="00611019" w:rsidRDefault="00E56462" w:rsidP="00035D2C">
      <w:pPr>
        <w:pStyle w:val="Ttulo3"/>
        <w:spacing w:line="13.80pt" w:lineRule="auto"/>
        <w:ind w:start="36pt" w:hanging="36pt"/>
        <w:jc w:val="start"/>
        <w:rPr>
          <w:rFonts w:ascii="Century Gothic" w:hAnsi="Century Gothic"/>
          <w:szCs w:val="22"/>
        </w:rPr>
      </w:pPr>
      <w:bookmarkStart w:id="2964" w:name="_Toc92974197"/>
      <w:bookmarkStart w:id="2965" w:name="_Toc93052510"/>
      <w:bookmarkStart w:id="2966" w:name="_Toc93056465"/>
      <w:bookmarkStart w:id="2967" w:name="_Toc125393531"/>
      <w:bookmarkStart w:id="2968" w:name="_Toc148702386"/>
      <w:bookmarkStart w:id="2969" w:name="_Toc170382002"/>
      <w:r>
        <w:rPr>
          <w:rFonts w:ascii="Century Gothic" w:hAnsi="Century Gothic"/>
          <w:szCs w:val="22"/>
        </w:rPr>
        <w:t>e)</w:t>
      </w:r>
      <w:r>
        <w:rPr>
          <w:rFonts w:ascii="Century Gothic" w:hAnsi="Century Gothic"/>
          <w:szCs w:val="22"/>
        </w:rPr>
        <w:tab/>
        <w:t>Uso distinto.</w:t>
      </w:r>
      <w:bookmarkEnd w:id="2964"/>
      <w:bookmarkEnd w:id="2965"/>
      <w:bookmarkEnd w:id="2966"/>
      <w:bookmarkEnd w:id="2967"/>
      <w:bookmarkEnd w:id="2968"/>
      <w:bookmarkEnd w:id="2969"/>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En caso de que el CONCESIONARIO SOLICITANTE use los Servicios objeto del presente CONVENIO para un fin distinto al convenido.</w:t>
      </w:r>
    </w:p>
    <w:p w:rsidR="0017227E" w:rsidRPr="00611019" w:rsidRDefault="00E56462" w:rsidP="00035D2C">
      <w:pPr>
        <w:pStyle w:val="Ttulo3"/>
        <w:spacing w:line="13.80pt" w:lineRule="auto"/>
        <w:ind w:start="36pt" w:hanging="36pt"/>
        <w:jc w:val="start"/>
        <w:rPr>
          <w:rFonts w:ascii="Century Gothic" w:hAnsi="Century Gothic"/>
          <w:szCs w:val="22"/>
        </w:rPr>
      </w:pPr>
      <w:bookmarkStart w:id="2970" w:name="_Toc92974198"/>
      <w:bookmarkStart w:id="2971" w:name="_Toc93052511"/>
      <w:bookmarkStart w:id="2972" w:name="_Toc93056466"/>
      <w:bookmarkStart w:id="2973" w:name="_Toc125393532"/>
      <w:bookmarkStart w:id="2974" w:name="_Toc148702387"/>
      <w:bookmarkStart w:id="2975" w:name="_Toc170382003"/>
      <w:r>
        <w:rPr>
          <w:rFonts w:ascii="Century Gothic" w:hAnsi="Century Gothic"/>
          <w:szCs w:val="22"/>
        </w:rPr>
        <w:t>f)</w:t>
      </w:r>
      <w:r>
        <w:rPr>
          <w:rFonts w:ascii="Century Gothic" w:hAnsi="Century Gothic"/>
          <w:szCs w:val="22"/>
        </w:rPr>
        <w:tab/>
        <w:t>Información falsa.</w:t>
      </w:r>
      <w:bookmarkEnd w:id="2970"/>
      <w:bookmarkEnd w:id="2971"/>
      <w:bookmarkEnd w:id="2972"/>
      <w:bookmarkEnd w:id="2973"/>
      <w:bookmarkEnd w:id="2974"/>
      <w:bookmarkEnd w:id="2975"/>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La entrega de información falsa antes y para la celebración del presente CONVENIO, así como durante el cumplimiento de cualquiera de las obligaciones derivadas del mismo.</w:t>
      </w:r>
    </w:p>
    <w:p w:rsidR="0017227E" w:rsidRPr="00611019" w:rsidRDefault="00E56462" w:rsidP="00035D2C">
      <w:pPr>
        <w:pStyle w:val="Ttulo3"/>
        <w:spacing w:line="13.80pt" w:lineRule="auto"/>
        <w:ind w:start="36pt" w:hanging="36pt"/>
        <w:jc w:val="start"/>
        <w:rPr>
          <w:rFonts w:ascii="Century Gothic" w:hAnsi="Century Gothic"/>
          <w:szCs w:val="22"/>
        </w:rPr>
      </w:pPr>
      <w:bookmarkStart w:id="2976" w:name="_Toc92974199"/>
      <w:bookmarkStart w:id="2977" w:name="_Toc93052512"/>
      <w:bookmarkStart w:id="2978" w:name="_Toc93056467"/>
      <w:bookmarkStart w:id="2979" w:name="_Toc125393533"/>
      <w:bookmarkStart w:id="2980" w:name="_Toc148702388"/>
      <w:bookmarkStart w:id="2981" w:name="_Toc170382004"/>
      <w:r>
        <w:rPr>
          <w:rFonts w:ascii="Century Gothic" w:hAnsi="Century Gothic"/>
          <w:szCs w:val="22"/>
        </w:rPr>
        <w:t>g)</w:t>
      </w:r>
      <w:r>
        <w:rPr>
          <w:rFonts w:ascii="Century Gothic" w:hAnsi="Century Gothic"/>
          <w:szCs w:val="22"/>
        </w:rPr>
        <w:tab/>
        <w:t>Violación a las obligaciones de confidencialidad.</w:t>
      </w:r>
      <w:bookmarkEnd w:id="2976"/>
      <w:bookmarkEnd w:id="2977"/>
      <w:bookmarkEnd w:id="2978"/>
      <w:bookmarkEnd w:id="2979"/>
      <w:bookmarkEnd w:id="2980"/>
      <w:bookmarkEnd w:id="2981"/>
    </w:p>
    <w:p w:rsidR="0017227E" w:rsidRPr="00611019" w:rsidRDefault="00E56462" w:rsidP="00035D2C">
      <w:pPr>
        <w:spacing w:after="6pt"/>
        <w:jc w:val="both"/>
        <w:rPr>
          <w:rFonts w:ascii="Century Gothic" w:hAnsi="Century Gothic" w:cs="Arial"/>
        </w:rPr>
      </w:pPr>
      <w:r>
        <w:rPr>
          <w:rFonts w:ascii="Century Gothic" w:hAnsi="Century Gothic" w:cs="Arial"/>
        </w:rPr>
        <w:t>En caso de que alguna de las Partes utilice indebidamente o divulgue la información proporcionada por su contraparte con el carácter de confidencial, sin perjuicio de cualesquiera acciones legales que tenga a su favor la Parte afectada.</w:t>
      </w:r>
    </w:p>
    <w:p w:rsidR="0017227E" w:rsidRPr="00611019" w:rsidRDefault="00E56462" w:rsidP="000511F0">
      <w:pPr>
        <w:pStyle w:val="0Tit11"/>
        <w:tabs>
          <w:tab w:val="start" w:pos="233.90pt"/>
        </w:tabs>
        <w:spacing w:before="0pt" w:line="13.80pt" w:lineRule="auto"/>
      </w:pPr>
      <w:bookmarkStart w:id="2982" w:name="_Toc92974200"/>
      <w:bookmarkStart w:id="2983" w:name="_Toc93052513"/>
      <w:bookmarkStart w:id="2984" w:name="_Toc93056468"/>
      <w:bookmarkStart w:id="2985" w:name="_Toc125393534"/>
      <w:bookmarkStart w:id="2986" w:name="_Toc148702389"/>
      <w:bookmarkStart w:id="2987" w:name="_Toc170382005"/>
      <w:r>
        <w:t>13.2 Periodo de Cura</w:t>
      </w:r>
      <w:bookmarkEnd w:id="2982"/>
      <w:bookmarkEnd w:id="2983"/>
      <w:bookmarkEnd w:id="2984"/>
      <w:bookmarkEnd w:id="2985"/>
      <w:bookmarkEnd w:id="2986"/>
      <w:bookmarkEnd w:id="2987"/>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Si una vez dada la notificación de rescisión la Parte incumplida subsana la Causa de Rescisión dentro del término de 30 (treinta) días, la rescisión no surtirá efectos.</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Esta disposición no será aplicable en el caso de los supuestos señalados en los incisos c), d), f) y g) de la presente Cláusula, conviniendo </w:t>
      </w:r>
      <w:r>
        <w:rPr>
          <w:rFonts w:ascii="Century Gothic" w:hAnsi="Century Gothic" w:cs="Arial"/>
          <w:iCs/>
          <w:lang w:val="es-ES_tradnl"/>
        </w:rPr>
        <w:t>RED NACIONAL</w:t>
      </w:r>
      <w:r>
        <w:rPr>
          <w:rFonts w:ascii="Century Gothic" w:hAnsi="Century Gothic" w:cs="Arial"/>
          <w:lang w:val="es-ES_tradnl"/>
        </w:rPr>
        <w:t xml:space="preserve"> y </w:t>
      </w:r>
      <w:r>
        <w:rPr>
          <w:rFonts w:ascii="Century Gothic" w:hAnsi="Century Gothic" w:cs="Arial"/>
        </w:rPr>
        <w:t xml:space="preserve">el CONCESIONARIO SOLICITANTE </w:t>
      </w:r>
      <w:r>
        <w:rPr>
          <w:rFonts w:ascii="Century Gothic" w:hAnsi="Century Gothic" w:cs="Arial"/>
          <w:lang w:val="es-ES_tradnl"/>
        </w:rPr>
        <w:t xml:space="preserve">que en dichos supuestos bastará la notificación de rescisión dada en términos del primer párrafo de esta Cláusula y que transcurra el término señalado en </w:t>
      </w:r>
      <w:r>
        <w:rPr>
          <w:rFonts w:ascii="Century Gothic" w:hAnsi="Century Gothic" w:cs="Arial"/>
          <w:lang w:val="es-ES_tradnl"/>
        </w:rPr>
        <w:lastRenderedPageBreak/>
        <w:t>dicho párrafo, para que la rescisión surta plenos efectos legales, sin necesidad de declaración judicial previa.</w:t>
      </w:r>
    </w:p>
    <w:p w:rsidR="0017227E" w:rsidRPr="00611019" w:rsidRDefault="00E56462" w:rsidP="000511F0">
      <w:pPr>
        <w:pStyle w:val="0Tit11"/>
        <w:tabs>
          <w:tab w:val="start" w:pos="233.90pt"/>
        </w:tabs>
        <w:spacing w:before="0pt" w:line="13.80pt" w:lineRule="auto"/>
      </w:pPr>
      <w:bookmarkStart w:id="2988" w:name="_Toc92974201"/>
      <w:bookmarkStart w:id="2989" w:name="_Toc93052514"/>
      <w:bookmarkStart w:id="2990" w:name="_Toc93056469"/>
      <w:bookmarkStart w:id="2991" w:name="_Toc125393535"/>
      <w:bookmarkStart w:id="2992" w:name="_Toc148702390"/>
      <w:bookmarkStart w:id="2993" w:name="_Toc170382006"/>
      <w:r>
        <w:t>13.3 Caso fortuito o fuerza mayor</w:t>
      </w:r>
      <w:bookmarkEnd w:id="2988"/>
      <w:bookmarkEnd w:id="2989"/>
      <w:bookmarkEnd w:id="2990"/>
      <w:bookmarkEnd w:id="2991"/>
      <w:bookmarkEnd w:id="2992"/>
      <w:bookmarkEnd w:id="2993"/>
    </w:p>
    <w:p w:rsidR="00BB6A55"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No se considerará incumplimiento de </w:t>
      </w:r>
      <w:r>
        <w:rPr>
          <w:rFonts w:ascii="Century Gothic" w:hAnsi="Century Gothic" w:cs="Arial"/>
          <w:iCs/>
          <w:lang w:val="es-ES_tradnl"/>
        </w:rPr>
        <w:t>RED NACIONAL</w:t>
      </w:r>
      <w:r>
        <w:rPr>
          <w:rFonts w:ascii="Century Gothic" w:hAnsi="Century Gothic" w:cs="Arial"/>
          <w:lang w:val="es-ES_tradnl"/>
        </w:rPr>
        <w:t xml:space="preserve"> </w:t>
      </w:r>
      <w:r>
        <w:rPr>
          <w:rFonts w:ascii="Century Gothic" w:hAnsi="Century Gothic" w:cs="Arial"/>
        </w:rPr>
        <w:t>y el CONCESIONARIO SOLICITANTE</w:t>
      </w:r>
      <w:r>
        <w:rPr>
          <w:rFonts w:ascii="Century Gothic" w:hAnsi="Century Gothic" w:cs="Arial"/>
          <w:lang w:val="es-ES_tradnl"/>
        </w:rPr>
        <w:t>, cuando la falta de cumplimiento se deba a eventos de caso fortuito o fuerza mayor, siempre que dicho caso fortuito o fuerza mayor se acredite debidamente en términos de la ley aplicable.</w:t>
      </w:r>
    </w:p>
    <w:p w:rsidR="00551CD3" w:rsidRPr="00611019" w:rsidRDefault="00551CD3" w:rsidP="00035D2C">
      <w:pPr>
        <w:spacing w:after="6pt"/>
        <w:jc w:val="both"/>
        <w:rPr>
          <w:rFonts w:ascii="Century Gothic" w:hAnsi="Century Gothic" w:cs="Arial"/>
          <w:b/>
        </w:rPr>
      </w:pPr>
    </w:p>
    <w:p w:rsidR="0017227E" w:rsidRPr="00611019" w:rsidRDefault="00E56462" w:rsidP="00035D2C">
      <w:pPr>
        <w:pStyle w:val="0Tit11"/>
        <w:spacing w:line="13.80pt" w:lineRule="auto"/>
      </w:pPr>
      <w:bookmarkStart w:id="2994" w:name="_Toc92974202"/>
      <w:bookmarkStart w:id="2995" w:name="_Toc93052515"/>
      <w:bookmarkStart w:id="2996" w:name="_Toc93056470"/>
      <w:bookmarkStart w:id="2997" w:name="_Toc125393536"/>
      <w:bookmarkStart w:id="2998" w:name="_Toc148702391"/>
      <w:bookmarkStart w:id="2999" w:name="_Toc170382007"/>
      <w:r>
        <w:t>Décima Cuarta. DAÑOS A TERCEROS.</w:t>
      </w:r>
      <w:bookmarkEnd w:id="2994"/>
      <w:bookmarkEnd w:id="2995"/>
      <w:bookmarkEnd w:id="2996"/>
      <w:bookmarkEnd w:id="2997"/>
      <w:bookmarkEnd w:id="2998"/>
      <w:bookmarkEnd w:id="2999"/>
    </w:p>
    <w:p w:rsidR="0017227E" w:rsidRPr="00611019" w:rsidRDefault="00E56462" w:rsidP="00035D2C">
      <w:pPr>
        <w:spacing w:after="6pt"/>
        <w:jc w:val="both"/>
        <w:rPr>
          <w:rFonts w:ascii="Century Gothic" w:hAnsi="Century Gothic" w:cs="Arial"/>
        </w:rPr>
      </w:pPr>
      <w:r>
        <w:rPr>
          <w:rFonts w:ascii="Century Gothic" w:hAnsi="Century Gothic" w:cs="Arial"/>
        </w:rPr>
        <w:t xml:space="preserve">Si derivado de la operación de los Servicios materia del CONVENIO se causan afectaciones a terceros, y se comprueba la responsabilidad directa ya sea del CONCESIONARIO SOLICITANTE o de </w:t>
      </w:r>
      <w:r>
        <w:rPr>
          <w:rFonts w:ascii="Century Gothic" w:hAnsi="Century Gothic" w:cs="Arial"/>
          <w:iCs/>
          <w:lang w:val="es-ES_tradnl"/>
        </w:rPr>
        <w:t>RED NACIONAL</w:t>
      </w:r>
      <w:r>
        <w:rPr>
          <w:rFonts w:ascii="Century Gothic" w:hAnsi="Century Gothic" w:cs="Arial"/>
        </w:rPr>
        <w:t xml:space="preserve">, la Parte responsable se obliga a sacar en paz y a salvo a su contraparte </w:t>
      </w:r>
      <w:r w:rsidR="00A32681">
        <w:rPr>
          <w:rFonts w:ascii="Century Gothic" w:hAnsi="Century Gothic" w:cs="Arial"/>
        </w:rPr>
        <w:t>y a liberarla</w:t>
      </w:r>
      <w:r>
        <w:rPr>
          <w:rFonts w:ascii="Century Gothic" w:hAnsi="Century Gothic" w:cs="Arial"/>
        </w:rPr>
        <w:t xml:space="preserve"> de toda responsabilidad al respecto.</w:t>
      </w:r>
    </w:p>
    <w:p w:rsidR="00E329D5" w:rsidRPr="00611019" w:rsidRDefault="00E329D5" w:rsidP="00035D2C">
      <w:pPr>
        <w:spacing w:after="6pt"/>
        <w:jc w:val="both"/>
        <w:rPr>
          <w:rFonts w:ascii="Century Gothic" w:hAnsi="Century Gothic" w:cs="Arial"/>
        </w:rPr>
      </w:pPr>
    </w:p>
    <w:p w:rsidR="0017227E" w:rsidRPr="00611019" w:rsidRDefault="00E56462" w:rsidP="00035D2C">
      <w:pPr>
        <w:pStyle w:val="0Tit11"/>
        <w:spacing w:line="13.80pt" w:lineRule="auto"/>
        <w:rPr>
          <w:u w:val="single"/>
        </w:rPr>
      </w:pPr>
      <w:bookmarkStart w:id="3000" w:name="_Toc92974203"/>
      <w:bookmarkStart w:id="3001" w:name="_Toc93052516"/>
      <w:bookmarkStart w:id="3002" w:name="_Toc93056471"/>
      <w:bookmarkStart w:id="3003" w:name="_Toc125393537"/>
      <w:bookmarkStart w:id="3004" w:name="_Toc148702392"/>
      <w:bookmarkStart w:id="3005" w:name="_Toc170382008"/>
      <w:r>
        <w:t>Décima Quinta. RELACIONES LABORALES.</w:t>
      </w:r>
      <w:bookmarkEnd w:id="3000"/>
      <w:bookmarkEnd w:id="3001"/>
      <w:bookmarkEnd w:id="3002"/>
      <w:bookmarkEnd w:id="3003"/>
      <w:bookmarkEnd w:id="3004"/>
      <w:bookmarkEnd w:id="3005"/>
      <w:r>
        <w:rPr>
          <w:u w:val="single"/>
        </w:rPr>
        <w:t xml:space="preserve"> </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iCs/>
          <w:lang w:val="es-ES_tradnl"/>
        </w:rPr>
        <w:t>RED NACIONAL</w:t>
      </w:r>
      <w:r>
        <w:rPr>
          <w:rFonts w:ascii="Century Gothic" w:hAnsi="Century Gothic" w:cs="Arial"/>
        </w:rPr>
        <w:t xml:space="preserve"> y el CONCESIONARIO SOLICITANTE </w:t>
      </w:r>
      <w:r>
        <w:rPr>
          <w:rFonts w:ascii="Century Gothic" w:hAnsi="Century Gothic" w:cs="Arial"/>
          <w:lang w:val="es-ES_tradnl"/>
        </w:rPr>
        <w:t>cuentan con su propio personal y elementos propios suficientes para cumplir con las obligaciones de cualquier índole que deriven de las relaciones con sus trabajadores, en los términos del artículo 13 de la Ley Federal del Trabajo.</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Tanto </w:t>
      </w:r>
      <w:r>
        <w:rPr>
          <w:rFonts w:ascii="Century Gothic" w:hAnsi="Century Gothic" w:cs="Arial"/>
          <w:iCs/>
          <w:lang w:val="es-ES_tradnl"/>
        </w:rPr>
        <w:t>RED NACIONAL</w:t>
      </w:r>
      <w:r>
        <w:rPr>
          <w:rFonts w:ascii="Century Gothic" w:hAnsi="Century Gothic" w:cs="Arial"/>
          <w:lang w:val="es-ES_tradnl"/>
        </w:rPr>
        <w:t xml:space="preserve"> como el CONCESIONARIO SOLICITANTE, como empresarios y patrones de su propio personal, serán los únicos responsables de las obligaciones derivadas de sus respectivas relaciones laborales que emanan de las de las disposiciones legales y reglamentarias vigentes con dicho personal, obligándose, de manera enunciativa más no limitativa, a cubrir todas y cada una de las responsabilidades en que pudieran incurrir por accidentes y/o enfermedades profesionales, el pago de cualquier prestación legal, convencional o acostumbrada, así como todas y cada una de las obligaciones que resulten a su cargo, de conformidad con las disposiciones contenidas en la Ley Federal del Trabajo, INFONAVIT, Instituto Mexicano del Seguro Social, leyes impositivas y demás ordenamientos y disposiciones legales en materia de trabajo y de seguridad social para con dicho personal, sin que exista o pueda surgir relación contractual alguna, ya sea de carácter laboral o de cualquier otra naturaleza, entre el personal de </w:t>
      </w:r>
      <w:r>
        <w:rPr>
          <w:rFonts w:ascii="Century Gothic" w:hAnsi="Century Gothic" w:cs="Arial"/>
          <w:iCs/>
          <w:lang w:val="es-ES_tradnl"/>
        </w:rPr>
        <w:t>RED NACIONAL</w:t>
      </w:r>
      <w:r>
        <w:rPr>
          <w:rFonts w:ascii="Century Gothic" w:hAnsi="Century Gothic" w:cs="Arial"/>
          <w:lang w:val="es-ES_tradnl"/>
        </w:rPr>
        <w:t xml:space="preserve"> y el CONCESIONARIO SOLICITANTE.</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En tal sentido, tanto </w:t>
      </w:r>
      <w:r>
        <w:rPr>
          <w:rFonts w:ascii="Century Gothic" w:hAnsi="Century Gothic" w:cs="Arial"/>
          <w:iCs/>
          <w:lang w:val="es-ES_tradnl"/>
        </w:rPr>
        <w:t>RED NACIONAL</w:t>
      </w:r>
      <w:r>
        <w:rPr>
          <w:rFonts w:ascii="Century Gothic" w:hAnsi="Century Gothic" w:cs="Arial"/>
          <w:lang w:val="es-ES_tradnl"/>
        </w:rPr>
        <w:t xml:space="preserve"> como el CONCESIONARIO SOLICITANTE (“</w:t>
      </w:r>
      <w:r>
        <w:rPr>
          <w:rFonts w:ascii="Century Gothic" w:hAnsi="Century Gothic" w:cs="Arial"/>
          <w:u w:val="single"/>
          <w:lang w:val="es-ES_tradnl"/>
        </w:rPr>
        <w:t>Parte Causante</w:t>
      </w:r>
      <w:r>
        <w:rPr>
          <w:rFonts w:ascii="Century Gothic" w:hAnsi="Century Gothic" w:cs="Arial"/>
          <w:lang w:val="es-ES_tradnl"/>
        </w:rPr>
        <w:t>”) convienen en responder de todas las reclamaciones que sus respectivos trabajadores o las personas por ella contratadas presenten en contra de la otra Parte (“</w:t>
      </w:r>
      <w:r>
        <w:rPr>
          <w:rFonts w:ascii="Century Gothic" w:hAnsi="Century Gothic" w:cs="Arial"/>
          <w:u w:val="single"/>
          <w:lang w:val="es-ES_tradnl"/>
        </w:rPr>
        <w:t>Parte Perjudicada</w:t>
      </w:r>
      <w:r>
        <w:rPr>
          <w:rFonts w:ascii="Century Gothic" w:hAnsi="Century Gothic" w:cs="Arial"/>
          <w:lang w:val="es-ES_tradnl"/>
        </w:rPr>
        <w:t xml:space="preserve">”). Para tal efecto, la Parte Causante se obliga a sacar en paz y a salvo a la Parte Perjudicada de cualquier reclamación que pudiera derivar de sus propias relaciones de trabajo. Por lo que la “Parte Causante” deberá ejercer todos los </w:t>
      </w:r>
      <w:r>
        <w:rPr>
          <w:rFonts w:ascii="Century Gothic" w:hAnsi="Century Gothic" w:cs="Arial"/>
          <w:lang w:val="es-ES_tradnl"/>
        </w:rPr>
        <w:lastRenderedPageBreak/>
        <w:t>actos que sean necesarios y asumir los costos que correspondan, a fin de evitar que la “Parte Perjudicada” pueda ser considerado como responsable solidario o subsidiario respecto de dichas obligaciones y en su caso indemnizar a la Parte Perjudicada por cualquier cantidad que por ese motivo tenga que pagar.</w:t>
      </w:r>
    </w:p>
    <w:p w:rsidR="004E2EAC" w:rsidRPr="00611019" w:rsidRDefault="00E56462" w:rsidP="00035D2C">
      <w:pPr>
        <w:spacing w:after="6pt"/>
        <w:jc w:val="both"/>
        <w:rPr>
          <w:rFonts w:ascii="Century Gothic" w:hAnsi="Century Gothic" w:cs="Arial"/>
        </w:rPr>
      </w:pPr>
      <w:r>
        <w:rPr>
          <w:rFonts w:ascii="Century Gothic" w:hAnsi="Century Gothic" w:cs="Arial"/>
          <w:lang w:val="es-ES_tradnl"/>
        </w:rPr>
        <w:t>La Parte Perjudicada, tan pronto como tenga conocimiento y le sea posible, notificará por escrito a la Parte Causante sobre la existencia de tal reclamo, acción o demanda. Por su parte, la Parte Causante se obliga a mantener debidamente informada a la Parte Perjudicada, en todo momento, sobre la tramitación del litigio o transacción. En ningún caso la Parte Perjudicada estará obligada a otorgar poder o facultad alguna a favor de la Parte Causante o de las personas que ésta designe para la atención del reclamo, acción o demanda.</w:t>
      </w:r>
      <w:r>
        <w:rPr>
          <w:rFonts w:ascii="Century Gothic" w:hAnsi="Century Gothic" w:cs="Arial"/>
          <w:b/>
          <w:lang w:val="es-ES_tradnl"/>
        </w:rPr>
        <w:t xml:space="preserve"> </w:t>
      </w:r>
      <w:r w:rsidR="00343499" w:rsidRPr="00343499">
        <w:rPr>
          <w:rFonts w:ascii="Century Gothic" w:hAnsi="Century Gothic" w:cs="Arial"/>
        </w:rPr>
        <w:t xml:space="preserve">En caso de que alguna de las Partes, dentro de algún procedimiento de huelga, reciba un aviso de suspensión de labores en los términos de la Fracción I del Artículo 920 de la Ley Federal del Trabajo, deberá dar aviso de dicha circunstancia a la otra Parte, </w:t>
      </w:r>
      <w:r w:rsidR="00343499" w:rsidRPr="00343499">
        <w:rPr>
          <w:rFonts w:ascii="Century Gothic" w:hAnsi="Century Gothic" w:cs="Arial"/>
          <w:lang w:val="es-ES_tradnl"/>
        </w:rPr>
        <w:t>de forma inmediata a efecto de salvaguardar los diez días señalados en la ley</w:t>
      </w:r>
      <w:r w:rsidR="00343499" w:rsidRPr="00343499" w:rsidDel="00D274B5">
        <w:rPr>
          <w:rFonts w:ascii="Century Gothic" w:hAnsi="Century Gothic" w:cs="Arial"/>
          <w:lang w:val="es-ES_tradnl"/>
        </w:rPr>
        <w:t xml:space="preserve"> </w:t>
      </w:r>
      <w:r w:rsidR="00343499" w:rsidRPr="00343499">
        <w:rPr>
          <w:rFonts w:ascii="Century Gothic" w:hAnsi="Century Gothic" w:cs="Arial"/>
          <w:lang w:val="es-ES_tradnl"/>
        </w:rPr>
        <w:t>para suspender el trabajo. En caso</w:t>
      </w:r>
      <w:r w:rsidR="00343499" w:rsidRPr="00343499">
        <w:rPr>
          <w:rFonts w:ascii="Century Gothic" w:hAnsi="Century Gothic" w:cs="Arial"/>
        </w:rPr>
        <w:t xml:space="preserve"> de suspensión de los Servicios como consecuencia de una huelga, </w:t>
      </w:r>
      <w:r w:rsidR="00343499" w:rsidRPr="00343499">
        <w:rPr>
          <w:rFonts w:ascii="Century Gothic" w:hAnsi="Century Gothic" w:cs="Arial"/>
          <w:lang w:val="es-ES_tradnl"/>
        </w:rPr>
        <w:t xml:space="preserve">ni </w:t>
      </w:r>
      <w:r w:rsidR="00343499" w:rsidRPr="00343499">
        <w:rPr>
          <w:rFonts w:ascii="Century Gothic" w:hAnsi="Century Gothic" w:cs="Arial"/>
          <w:iCs/>
          <w:lang w:val="es-ES_tradnl"/>
        </w:rPr>
        <w:t>RED NACIONAL</w:t>
      </w:r>
      <w:r w:rsidR="00343499" w:rsidRPr="00343499">
        <w:rPr>
          <w:rFonts w:ascii="Century Gothic" w:hAnsi="Century Gothic" w:cs="Arial"/>
          <w:lang w:val="es-ES_tradnl"/>
        </w:rPr>
        <w:t xml:space="preserve"> ni el </w:t>
      </w:r>
      <w:r w:rsidR="00343499">
        <w:rPr>
          <w:rFonts w:ascii="Century Gothic" w:hAnsi="Century Gothic" w:cs="Arial"/>
          <w:lang w:val="es-ES_tradnl"/>
        </w:rPr>
        <w:t>CONCESIONARIO</w:t>
      </w:r>
      <w:r w:rsidR="00343499" w:rsidRPr="00343499">
        <w:rPr>
          <w:rFonts w:ascii="Century Gothic" w:hAnsi="Century Gothic" w:cs="Arial"/>
          <w:lang w:val="es-ES_tradnl"/>
        </w:rPr>
        <w:t xml:space="preserve"> SOLICITANTE tendrán </w:t>
      </w:r>
      <w:r w:rsidR="00343499" w:rsidRPr="00343499">
        <w:rPr>
          <w:rFonts w:ascii="Century Gothic" w:hAnsi="Century Gothic" w:cs="Arial"/>
        </w:rPr>
        <w:t>el derecho de presentar reclamación alguna a la otra como consecuencia de dicha suspensión</w:t>
      </w:r>
      <w:r>
        <w:rPr>
          <w:rFonts w:ascii="Century Gothic" w:hAnsi="Century Gothic" w:cs="Arial"/>
        </w:rPr>
        <w:t>.</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El CONCESIONARIO SOLICITANTE es una entidad jurídica económica independiente de </w:t>
      </w:r>
      <w:r>
        <w:rPr>
          <w:rFonts w:ascii="Century Gothic" w:hAnsi="Century Gothic" w:cs="Arial"/>
          <w:iCs/>
          <w:lang w:val="es-ES_tradnl"/>
        </w:rPr>
        <w:t>RED NACIONAL</w:t>
      </w:r>
      <w:r>
        <w:rPr>
          <w:rFonts w:ascii="Century Gothic" w:hAnsi="Century Gothic" w:cs="Arial"/>
          <w:lang w:val="es-ES_tradnl"/>
        </w:rPr>
        <w:t xml:space="preserve"> por lo que nada de lo establecido en el presente CONVENIO se entenderá como una asociación, alianza o sociedad entre ambas Partes.</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En el caso de que </w:t>
      </w:r>
      <w:r>
        <w:rPr>
          <w:rFonts w:ascii="Century Gothic" w:hAnsi="Century Gothic" w:cs="Arial"/>
          <w:iCs/>
          <w:lang w:val="es-ES_tradnl"/>
        </w:rPr>
        <w:t>RED NACIONAL</w:t>
      </w:r>
      <w:r>
        <w:rPr>
          <w:rFonts w:ascii="Century Gothic" w:hAnsi="Century Gothic" w:cs="Arial"/>
          <w:lang w:val="es-ES_tradnl"/>
        </w:rPr>
        <w:t xml:space="preserve"> o el CONCESIONARIO SOLICITANTE contraten o subcontraten con terceros una o más actividades derivadas de este CONVENIO, deberán cerciorarse que esa contratación se apegue a todos y cada uno de los términos de este CONVENIO, siendo siempre dicha contratación bajo su exclusiva responsabilidad.</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Tanto </w:t>
      </w:r>
      <w:r>
        <w:rPr>
          <w:rFonts w:ascii="Century Gothic" w:hAnsi="Century Gothic" w:cs="Arial"/>
          <w:iCs/>
          <w:lang w:val="es-ES_tradnl"/>
        </w:rPr>
        <w:t>RED NACIONAL</w:t>
      </w:r>
      <w:r>
        <w:rPr>
          <w:rFonts w:ascii="Century Gothic" w:hAnsi="Century Gothic" w:cs="Arial"/>
          <w:lang w:val="es-ES_tradnl"/>
        </w:rPr>
        <w:t xml:space="preserve"> como el CONCESIONARIO SOLICITANTE llevarán a cabo las tareas derivadas de este CONVENIO con sus propios medios, utilizando los servicios de sus propios trabajadores o los de terceras personas libremente contratadas por ellas. </w:t>
      </w:r>
      <w:r>
        <w:rPr>
          <w:rFonts w:ascii="Century Gothic" w:hAnsi="Century Gothic" w:cs="Arial"/>
          <w:iCs/>
          <w:lang w:val="es-ES_tradnl"/>
        </w:rPr>
        <w:t>RED NACIONAL</w:t>
      </w:r>
      <w:r>
        <w:rPr>
          <w:rFonts w:ascii="Century Gothic" w:hAnsi="Century Gothic" w:cs="Arial"/>
        </w:rPr>
        <w:t xml:space="preserve"> y el CONCESIONARIO SOLICITANTE no </w:t>
      </w:r>
      <w:r>
        <w:rPr>
          <w:rFonts w:ascii="Century Gothic" w:hAnsi="Century Gothic" w:cs="Arial"/>
          <w:lang w:val="es-ES_tradnl"/>
        </w:rPr>
        <w:t>podrán disponer de los trabajadores de la otra Parte, para que preste servicios o ejecuten trabajos bajo su dirección.</w:t>
      </w:r>
    </w:p>
    <w:p w:rsidR="00E329D5" w:rsidRPr="00611019" w:rsidRDefault="00E329D5" w:rsidP="00035D2C">
      <w:pPr>
        <w:spacing w:after="6pt"/>
        <w:jc w:val="both"/>
        <w:rPr>
          <w:rFonts w:ascii="Century Gothic" w:hAnsi="Century Gothic" w:cs="Arial"/>
          <w:lang w:val="es-ES_tradnl"/>
        </w:rPr>
      </w:pPr>
    </w:p>
    <w:p w:rsidR="0017227E" w:rsidRPr="00611019" w:rsidRDefault="00E56462" w:rsidP="00035D2C">
      <w:pPr>
        <w:pStyle w:val="0Tit111"/>
        <w:spacing w:line="13.80pt" w:lineRule="auto"/>
        <w:rPr>
          <w:lang w:val="es-ES_tradnl"/>
        </w:rPr>
      </w:pPr>
      <w:bookmarkStart w:id="3006" w:name="_Toc92974204"/>
      <w:bookmarkStart w:id="3007" w:name="_Toc93052517"/>
      <w:bookmarkStart w:id="3008" w:name="_Toc93056472"/>
      <w:bookmarkStart w:id="3009" w:name="_Toc125393538"/>
      <w:bookmarkStart w:id="3010" w:name="_Toc148702393"/>
      <w:bookmarkStart w:id="3011" w:name="_Toc170382009"/>
      <w:r>
        <w:rPr>
          <w:lang w:val="es-ES_tradnl"/>
        </w:rPr>
        <w:t>Décima Sexta. CONDUCTAS ILÍCITAS.</w:t>
      </w:r>
      <w:bookmarkEnd w:id="3006"/>
      <w:bookmarkEnd w:id="3007"/>
      <w:bookmarkEnd w:id="3008"/>
      <w:bookmarkEnd w:id="3009"/>
      <w:bookmarkEnd w:id="3010"/>
      <w:bookmarkEnd w:id="3011"/>
    </w:p>
    <w:p w:rsidR="0017227E" w:rsidRPr="00611019" w:rsidRDefault="00E56462" w:rsidP="00035D2C">
      <w:pPr>
        <w:spacing w:after="6pt"/>
        <w:jc w:val="both"/>
        <w:rPr>
          <w:rFonts w:ascii="Century Gothic" w:hAnsi="Century Gothic" w:cs="Arial"/>
          <w:lang w:val="es-ES_tradnl"/>
        </w:rPr>
      </w:pPr>
      <w:r>
        <w:rPr>
          <w:rFonts w:ascii="Century Gothic" w:hAnsi="Century Gothic" w:cs="Arial"/>
          <w:iCs/>
          <w:lang w:val="es-ES_tradnl"/>
        </w:rPr>
        <w:t>RED NACIONAL</w:t>
      </w:r>
      <w:r>
        <w:rPr>
          <w:rFonts w:ascii="Century Gothic" w:hAnsi="Century Gothic" w:cs="Arial"/>
        </w:rPr>
        <w:t xml:space="preserve"> y el CONCESIONARIO SOLICITANTE </w:t>
      </w:r>
      <w:r>
        <w:rPr>
          <w:rFonts w:ascii="Century Gothic" w:hAnsi="Century Gothic" w:cs="Arial"/>
          <w:lang w:val="es-ES_tradnl"/>
        </w:rPr>
        <w:t>acuerdan trabajar estrechamente y en forma conjunta para combatir la comisión de conductas ilícitas por parte de terceros en relación con los Servicios materia del presente CONVENIO.</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En caso de que </w:t>
      </w:r>
      <w:r>
        <w:rPr>
          <w:rFonts w:ascii="Century Gothic" w:hAnsi="Century Gothic" w:cs="Arial"/>
          <w:iCs/>
          <w:lang w:val="es-ES_tradnl"/>
        </w:rPr>
        <w:t>RED NACIONAL</w:t>
      </w:r>
      <w:r>
        <w:rPr>
          <w:rFonts w:ascii="Century Gothic" w:hAnsi="Century Gothic" w:cs="Arial"/>
          <w:lang w:val="es-ES_tradnl"/>
        </w:rPr>
        <w:t xml:space="preserve"> o el CONCESIONARIO SOLICITANTE detecten que un tercero se encuentra haciendo uso ilegal de los Servicios materia del presente </w:t>
      </w:r>
      <w:r>
        <w:rPr>
          <w:rFonts w:ascii="Century Gothic" w:hAnsi="Century Gothic" w:cs="Arial"/>
          <w:lang w:val="es-ES_tradnl"/>
        </w:rPr>
        <w:lastRenderedPageBreak/>
        <w:t>CONVENIO o equipos inherentes a los mismos, se obligan a dar aviso a la otra Parte en un plazo no mayor a 5 (cinco) días naturales contados a partir de la fecha en que se tenga conocimiento de dicha conducta, a efecto de que se tomen las precauciones o las acciones que correspondan.</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Cuando se detecte la posible comisión de actos ilícitos relacionados con la prestación de los Servicios objeto de este CONVENIO, tanto </w:t>
      </w:r>
      <w:r>
        <w:rPr>
          <w:rFonts w:ascii="Century Gothic" w:hAnsi="Century Gothic" w:cs="Arial"/>
          <w:iCs/>
          <w:lang w:val="es-ES_tradnl"/>
        </w:rPr>
        <w:t>RED NACIONAL</w:t>
      </w:r>
      <w:r>
        <w:rPr>
          <w:rFonts w:ascii="Century Gothic" w:hAnsi="Century Gothic" w:cs="Arial"/>
          <w:lang w:val="es-ES_tradnl"/>
        </w:rPr>
        <w:t xml:space="preserve"> como el CONCESIONARIO SOLICITANTE cooperarán para comprobarlos y combatirlos en el menor tiempo posible.</w:t>
      </w:r>
    </w:p>
    <w:p w:rsidR="0017227E" w:rsidRPr="00611019" w:rsidRDefault="00E56462" w:rsidP="00035D2C">
      <w:pPr>
        <w:spacing w:after="6pt"/>
        <w:jc w:val="both"/>
        <w:rPr>
          <w:rFonts w:ascii="Century Gothic" w:hAnsi="Century Gothic" w:cs="Arial"/>
          <w:lang w:val="es-ES_tradnl"/>
        </w:rPr>
      </w:pPr>
      <w:r>
        <w:rPr>
          <w:rFonts w:ascii="Century Gothic" w:hAnsi="Century Gothic" w:cs="Arial"/>
          <w:iCs/>
          <w:lang w:val="es-ES_tradnl"/>
        </w:rPr>
        <w:t>RED NACIONAL</w:t>
      </w:r>
      <w:r>
        <w:rPr>
          <w:rFonts w:ascii="Century Gothic" w:hAnsi="Century Gothic" w:cs="Arial"/>
          <w:lang w:val="es-ES_tradnl"/>
        </w:rPr>
        <w:t xml:space="preserve"> y el CONCESIONARIO SOLICITANTE se obligan a no incurrir en ninguna conducta o actividad ilícita.</w:t>
      </w:r>
    </w:p>
    <w:p w:rsidR="0017227E" w:rsidRPr="00611019" w:rsidRDefault="00E56462" w:rsidP="00035D2C">
      <w:pPr>
        <w:spacing w:after="6pt"/>
        <w:jc w:val="both"/>
        <w:rPr>
          <w:rFonts w:ascii="Century Gothic" w:hAnsi="Century Gothic" w:cs="Arial"/>
          <w:b/>
        </w:rPr>
      </w:pPr>
      <w:r>
        <w:rPr>
          <w:rFonts w:ascii="Century Gothic" w:hAnsi="Century Gothic" w:cs="Arial"/>
          <w:iCs/>
          <w:lang w:val="es-ES_tradnl"/>
        </w:rPr>
        <w:t>RED NACIONAL</w:t>
      </w:r>
      <w:r>
        <w:rPr>
          <w:rFonts w:ascii="Century Gothic" w:hAnsi="Century Gothic" w:cs="Arial"/>
        </w:rPr>
        <w:t xml:space="preserve"> y el CONCESIONARIO SOLICITANTE </w:t>
      </w:r>
      <w:r>
        <w:rPr>
          <w:rFonts w:ascii="Century Gothic" w:hAnsi="Century Gothic" w:cs="Arial"/>
          <w:lang w:val="es-ES_tradnl"/>
        </w:rPr>
        <w:t>reconocen la facultad que legalmente corresponde al Instituto para realizar inspecciones y verificaciones en las instalaciones de cualquiera de las Partes, a solicitud debidamente justificada de la otra Parte, con el propósito de verificar la existencia, en su caso, de conductas ilícitas o prohibidas.</w:t>
      </w:r>
    </w:p>
    <w:p w:rsidR="00E329D5" w:rsidRPr="00611019" w:rsidRDefault="00E329D5" w:rsidP="00035D2C">
      <w:pPr>
        <w:spacing w:after="6pt"/>
        <w:jc w:val="both"/>
        <w:rPr>
          <w:rFonts w:ascii="Century Gothic" w:hAnsi="Century Gothic" w:cs="Arial"/>
          <w:b/>
        </w:rPr>
      </w:pPr>
    </w:p>
    <w:p w:rsidR="0017227E" w:rsidRPr="00611019" w:rsidRDefault="00E56462" w:rsidP="00035D2C">
      <w:pPr>
        <w:pStyle w:val="0Tit111"/>
        <w:spacing w:line="13.80pt" w:lineRule="auto"/>
      </w:pPr>
      <w:bookmarkStart w:id="3012" w:name="_Toc92974205"/>
      <w:bookmarkStart w:id="3013" w:name="_Toc93052518"/>
      <w:bookmarkStart w:id="3014" w:name="_Toc93056473"/>
      <w:bookmarkStart w:id="3015" w:name="_Toc125393539"/>
      <w:bookmarkStart w:id="3016" w:name="_Toc148702394"/>
      <w:bookmarkStart w:id="3017" w:name="_Toc170382010"/>
      <w:r>
        <w:t>Décima Séptima. OBLIGACIONES FISCALES.</w:t>
      </w:r>
      <w:bookmarkEnd w:id="3012"/>
      <w:bookmarkEnd w:id="3013"/>
      <w:bookmarkEnd w:id="3014"/>
      <w:bookmarkEnd w:id="3015"/>
      <w:bookmarkEnd w:id="3016"/>
      <w:bookmarkEnd w:id="3017"/>
      <w:r>
        <w:t xml:space="preserve"> </w:t>
      </w:r>
    </w:p>
    <w:p w:rsidR="0017227E" w:rsidRPr="00611019" w:rsidRDefault="00E56462" w:rsidP="00035D2C">
      <w:pPr>
        <w:spacing w:after="6pt"/>
        <w:jc w:val="both"/>
        <w:rPr>
          <w:rFonts w:ascii="Century Gothic" w:hAnsi="Century Gothic" w:cs="Arial"/>
        </w:rPr>
      </w:pPr>
      <w:r>
        <w:rPr>
          <w:rFonts w:ascii="Century Gothic" w:hAnsi="Century Gothic" w:cs="Arial"/>
        </w:rPr>
        <w:t>Ambas Partes están de acuerdo en cumplir con las obligaciones fiscales establecidas a su cargo, así como al pago de los impuestos correspondientes, en virtud de la prestación de los Servicios materia del presente CONVENIO y de acuerdo con la legislación vigente.</w:t>
      </w:r>
    </w:p>
    <w:p w:rsidR="0017227E" w:rsidRPr="00611019" w:rsidRDefault="0017227E" w:rsidP="00035D2C">
      <w:pPr>
        <w:spacing w:after="6pt"/>
        <w:jc w:val="both"/>
        <w:rPr>
          <w:rFonts w:ascii="Century Gothic" w:hAnsi="Century Gothic" w:cs="Arial"/>
        </w:rPr>
      </w:pPr>
    </w:p>
    <w:p w:rsidR="0017227E" w:rsidRPr="00611019" w:rsidRDefault="00E56462" w:rsidP="00035D2C">
      <w:pPr>
        <w:pStyle w:val="0Tit111"/>
        <w:spacing w:line="13.80pt" w:lineRule="auto"/>
      </w:pPr>
      <w:bookmarkStart w:id="3018" w:name="_Toc92974206"/>
      <w:bookmarkStart w:id="3019" w:name="_Toc93052519"/>
      <w:bookmarkStart w:id="3020" w:name="_Toc93056474"/>
      <w:bookmarkStart w:id="3021" w:name="_Toc125393540"/>
      <w:bookmarkStart w:id="3022" w:name="_Toc148702395"/>
      <w:bookmarkStart w:id="3023" w:name="_Toc170382011"/>
      <w:r>
        <w:t>Décima Octava. ACUERDO INTEGRAL.</w:t>
      </w:r>
      <w:bookmarkEnd w:id="3018"/>
      <w:bookmarkEnd w:id="3019"/>
      <w:bookmarkEnd w:id="3020"/>
      <w:bookmarkEnd w:id="3021"/>
      <w:bookmarkEnd w:id="3022"/>
      <w:bookmarkEnd w:id="3023"/>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 xml:space="preserve">El presente CONVENIO, así como cualquier documento que deba ser otorgado o entregado de acuerdo con lo que aquí se establece, constituye el acuerdo integral entre </w:t>
      </w:r>
      <w:r>
        <w:rPr>
          <w:rFonts w:ascii="Century Gothic" w:hAnsi="Century Gothic" w:cs="Arial"/>
          <w:iCs/>
          <w:lang w:val="es-ES_tradnl"/>
        </w:rPr>
        <w:t>RED NACIONAL</w:t>
      </w:r>
      <w:r>
        <w:rPr>
          <w:rFonts w:ascii="Century Gothic" w:hAnsi="Century Gothic" w:cs="Arial"/>
          <w:lang w:val="es-ES_tradnl"/>
        </w:rPr>
        <w:t xml:space="preserve"> y el CONCESIONARIO SOLICITANTE por lo que la relación contractual entre las Partes se rige por lo aquí dispuesto, así como lo establecido en la Oferta de Referencia y sus anexos, dejando sin efecto toda negociación previa, declaración, acuerdo y/o convenio, ya sea verbal o escrito, en lo que se oponga al presente CONVENIO, por lo que se dan por terminados para todos los efectos legales a que haya lugar.</w:t>
      </w:r>
    </w:p>
    <w:p w:rsidR="00F04D04" w:rsidRPr="00611019" w:rsidRDefault="00F04D04" w:rsidP="00035D2C">
      <w:pPr>
        <w:spacing w:after="6pt"/>
        <w:jc w:val="both"/>
        <w:rPr>
          <w:rFonts w:ascii="Century Gothic" w:hAnsi="Century Gothic" w:cs="Arial"/>
          <w:lang w:val="es-ES_tradnl"/>
        </w:rPr>
      </w:pPr>
    </w:p>
    <w:p w:rsidR="0017227E" w:rsidRPr="00611019" w:rsidRDefault="00E56462" w:rsidP="00035D2C">
      <w:pPr>
        <w:pStyle w:val="0Tit11"/>
        <w:spacing w:line="13.80pt" w:lineRule="auto"/>
      </w:pPr>
      <w:bookmarkStart w:id="3024" w:name="_Toc92974207"/>
      <w:bookmarkStart w:id="3025" w:name="_Toc93052520"/>
      <w:bookmarkStart w:id="3026" w:name="_Toc93056475"/>
      <w:bookmarkStart w:id="3027" w:name="_Toc125393541"/>
      <w:bookmarkStart w:id="3028" w:name="_Toc148702396"/>
      <w:bookmarkStart w:id="3029" w:name="_Toc170382012"/>
      <w:r>
        <w:t>Décima Novena. DOMICILIOS.</w:t>
      </w:r>
      <w:bookmarkEnd w:id="3024"/>
      <w:bookmarkEnd w:id="3025"/>
      <w:bookmarkEnd w:id="3026"/>
      <w:bookmarkEnd w:id="3027"/>
      <w:bookmarkEnd w:id="3028"/>
      <w:bookmarkEnd w:id="3029"/>
    </w:p>
    <w:p w:rsidR="005914DC" w:rsidRPr="00611019" w:rsidRDefault="00E56462" w:rsidP="00035D2C">
      <w:pPr>
        <w:pStyle w:val="Sangradetextonormal"/>
        <w:ind w:start="35.25pt" w:hanging="35.25pt"/>
        <w:jc w:val="both"/>
        <w:rPr>
          <w:rFonts w:ascii="Century Gothic" w:hAnsi="Century Gothic" w:cs="Arial"/>
          <w:b/>
          <w:bCs/>
        </w:rPr>
      </w:pPr>
      <w:r>
        <w:rPr>
          <w:rFonts w:ascii="Century Gothic" w:hAnsi="Century Gothic" w:cs="Arial"/>
          <w:b/>
          <w:lang w:val="es-ES_tradnl"/>
        </w:rPr>
        <w:t>19.1</w:t>
      </w:r>
      <w:r>
        <w:rPr>
          <w:rFonts w:ascii="Century Gothic" w:hAnsi="Century Gothic" w:cs="Arial"/>
          <w:lang w:val="es-ES_tradnl"/>
        </w:rPr>
        <w:tab/>
        <w:t>Las Partes convienen que cualesquier solicitudes o notificaciones deberán hacerse de forma escrita o a través de cualquier otro medio electrónico, de cómputo o telecomunicación aceptado por las Partes del cual quede constancia de su realización con acuse de recibo. Para tal efecto las Partes señalan como sus domicilios los siguientes:</w:t>
      </w:r>
    </w:p>
    <w:p w:rsidR="0017227E" w:rsidRPr="00611019" w:rsidRDefault="00E56462" w:rsidP="00035D2C">
      <w:pPr>
        <w:jc w:val="center"/>
        <w:rPr>
          <w:rFonts w:ascii="Century Gothic" w:hAnsi="Century Gothic" w:cs="Arial"/>
          <w:b/>
          <w:bCs/>
        </w:rPr>
      </w:pPr>
      <w:r>
        <w:rPr>
          <w:rFonts w:ascii="Century Gothic" w:hAnsi="Century Gothic" w:cs="Arial"/>
          <w:b/>
          <w:bCs/>
        </w:rPr>
        <w:lastRenderedPageBreak/>
        <w:t>RED NACIONAL</w:t>
      </w:r>
    </w:p>
    <w:p w:rsidR="0017227E" w:rsidRPr="00611019" w:rsidRDefault="00E56462" w:rsidP="00035D2C">
      <w:pPr>
        <w:jc w:val="center"/>
        <w:rPr>
          <w:rFonts w:ascii="Century Gothic" w:hAnsi="Century Gothic" w:cs="Arial"/>
        </w:rPr>
      </w:pPr>
      <w:r>
        <w:rPr>
          <w:rFonts w:ascii="Century Gothic" w:hAnsi="Century Gothic" w:cs="Arial"/>
        </w:rPr>
        <w:t>Río Lerma 256, primer piso Colonia Cuauhtémoc,</w:t>
      </w:r>
    </w:p>
    <w:p w:rsidR="0017227E" w:rsidRPr="00611019" w:rsidRDefault="00E56462" w:rsidP="00035D2C">
      <w:pPr>
        <w:jc w:val="center"/>
        <w:rPr>
          <w:rFonts w:ascii="Century Gothic" w:hAnsi="Century Gothic" w:cs="Arial"/>
        </w:rPr>
      </w:pPr>
      <w:r>
        <w:rPr>
          <w:rFonts w:ascii="Century Gothic" w:hAnsi="Century Gothic" w:cs="Arial"/>
        </w:rPr>
        <w:t>C.P. 06500, Demarcación Territorial Cuauhtémoc,</w:t>
      </w:r>
    </w:p>
    <w:p w:rsidR="0017227E" w:rsidRPr="00611019" w:rsidRDefault="00E56462" w:rsidP="00035D2C">
      <w:pPr>
        <w:jc w:val="center"/>
        <w:rPr>
          <w:rFonts w:ascii="Century Gothic" w:hAnsi="Century Gothic" w:cs="Arial"/>
        </w:rPr>
      </w:pPr>
      <w:r>
        <w:rPr>
          <w:rFonts w:ascii="Century Gothic" w:hAnsi="Century Gothic" w:cs="Arial"/>
        </w:rPr>
        <w:t>Ciudad de México.</w:t>
      </w:r>
    </w:p>
    <w:p w:rsidR="001F2AFB" w:rsidRPr="00611019" w:rsidRDefault="001F2AFB" w:rsidP="00035D2C">
      <w:pPr>
        <w:jc w:val="center"/>
        <w:rPr>
          <w:rFonts w:ascii="Century Gothic" w:hAnsi="Century Gothic" w:cs="Arial"/>
        </w:rPr>
      </w:pPr>
    </w:p>
    <w:p w:rsidR="001F2AFB" w:rsidRPr="00611019" w:rsidRDefault="00E56462" w:rsidP="00035D2C">
      <w:pPr>
        <w:jc w:val="center"/>
        <w:rPr>
          <w:rFonts w:ascii="Century Gothic" w:hAnsi="Century Gothic" w:cs="Arial"/>
        </w:rPr>
      </w:pPr>
      <w:r>
        <w:rPr>
          <w:rFonts w:ascii="Century Gothic" w:hAnsi="Century Gothic" w:cs="Arial"/>
        </w:rPr>
        <w:t>Dirección de correo electrónico para la recepción de inconformidades: [*]</w:t>
      </w:r>
    </w:p>
    <w:p w:rsidR="0017227E" w:rsidRPr="00611019" w:rsidRDefault="0017227E" w:rsidP="00035D2C">
      <w:pPr>
        <w:jc w:val="center"/>
        <w:rPr>
          <w:rFonts w:ascii="Century Gothic" w:hAnsi="Century Gothic" w:cs="Arial"/>
        </w:rPr>
      </w:pPr>
    </w:p>
    <w:p w:rsidR="0017227E" w:rsidRPr="00611019" w:rsidRDefault="00E56462" w:rsidP="00035D2C">
      <w:pPr>
        <w:jc w:val="center"/>
        <w:rPr>
          <w:rFonts w:ascii="Century Gothic" w:hAnsi="Century Gothic" w:cs="Arial"/>
          <w:b/>
          <w:bCs/>
          <w:lang w:val="es-ES_tradnl"/>
        </w:rPr>
      </w:pPr>
      <w:r>
        <w:rPr>
          <w:rFonts w:ascii="Century Gothic" w:hAnsi="Century Gothic" w:cs="Arial"/>
          <w:b/>
          <w:bCs/>
          <w:lang w:val="es-ES_tradnl"/>
        </w:rPr>
        <w:t>CONCESIONARIO SOLICITANTE</w:t>
      </w:r>
    </w:p>
    <w:p w:rsidR="0017227E" w:rsidRPr="00611019" w:rsidRDefault="00E56462" w:rsidP="00035D2C">
      <w:pPr>
        <w:jc w:val="center"/>
        <w:rPr>
          <w:rFonts w:ascii="Century Gothic" w:hAnsi="Century Gothic" w:cs="Arial"/>
          <w:color w:val="000000"/>
        </w:rPr>
      </w:pPr>
      <w:r>
        <w:rPr>
          <w:rFonts w:ascii="Century Gothic" w:hAnsi="Century Gothic" w:cs="Arial"/>
          <w:color w:val="000000"/>
        </w:rPr>
        <w:t>Domicilio: [*]</w:t>
      </w:r>
    </w:p>
    <w:p w:rsidR="00132499" w:rsidRPr="00611019" w:rsidRDefault="00132499" w:rsidP="00035D2C">
      <w:pPr>
        <w:jc w:val="center"/>
        <w:rPr>
          <w:rFonts w:ascii="Century Gothic" w:hAnsi="Century Gothic" w:cs="Arial"/>
          <w:color w:val="000000"/>
        </w:rPr>
      </w:pPr>
    </w:p>
    <w:p w:rsidR="0017227E" w:rsidRPr="00611019" w:rsidRDefault="00E56462" w:rsidP="00035D2C">
      <w:pPr>
        <w:jc w:val="center"/>
        <w:rPr>
          <w:rFonts w:ascii="Century Gothic" w:hAnsi="Century Gothic" w:cs="Arial"/>
          <w:color w:val="000000"/>
        </w:rPr>
      </w:pPr>
      <w:r>
        <w:rPr>
          <w:rFonts w:ascii="Century Gothic" w:hAnsi="Century Gothic" w:cs="Arial"/>
        </w:rPr>
        <w:t>Dirección de correo electrónico para notificaciones</w:t>
      </w:r>
      <w:r>
        <w:rPr>
          <w:rFonts w:ascii="Century Gothic" w:hAnsi="Century Gothic" w:cs="Arial"/>
          <w:color w:val="000000"/>
        </w:rPr>
        <w:t>: [*]</w:t>
      </w:r>
    </w:p>
    <w:p w:rsidR="0017227E" w:rsidRPr="00611019" w:rsidRDefault="00E56462" w:rsidP="00035D2C">
      <w:pPr>
        <w:jc w:val="center"/>
        <w:rPr>
          <w:rFonts w:ascii="Century Gothic" w:hAnsi="Century Gothic" w:cs="Arial"/>
          <w:color w:val="000000"/>
        </w:rPr>
      </w:pPr>
      <w:r>
        <w:rPr>
          <w:rFonts w:ascii="Century Gothic" w:hAnsi="Century Gothic" w:cs="Arial"/>
          <w:color w:val="000000"/>
        </w:rPr>
        <w:t>Dirección de correo electrónico para la recepción de facturas: [*]</w:t>
      </w:r>
    </w:p>
    <w:p w:rsidR="0017227E" w:rsidRPr="00611019" w:rsidRDefault="0017227E" w:rsidP="00035D2C">
      <w:pPr>
        <w:spacing w:after="6pt"/>
        <w:jc w:val="both"/>
        <w:rPr>
          <w:rFonts w:ascii="Century Gothic" w:hAnsi="Century Gothic" w:cs="Arial"/>
        </w:rPr>
      </w:pPr>
    </w:p>
    <w:p w:rsidR="0017227E" w:rsidRPr="00611019" w:rsidRDefault="00E56462" w:rsidP="00035D2C">
      <w:pPr>
        <w:spacing w:after="6pt"/>
        <w:jc w:val="both"/>
        <w:rPr>
          <w:rFonts w:ascii="Century Gothic" w:hAnsi="Century Gothic" w:cs="Arial"/>
        </w:rPr>
      </w:pPr>
      <w:r>
        <w:rPr>
          <w:rFonts w:ascii="Century Gothic" w:hAnsi="Century Gothic" w:cs="Arial"/>
          <w:b/>
        </w:rPr>
        <w:t>19.2</w:t>
      </w:r>
      <w:r>
        <w:rPr>
          <w:rFonts w:ascii="Century Gothic" w:hAnsi="Century Gothic" w:cs="Arial"/>
        </w:rPr>
        <w:t xml:space="preserve"> </w:t>
      </w:r>
      <w:r>
        <w:rPr>
          <w:rFonts w:ascii="Century Gothic" w:hAnsi="Century Gothic" w:cs="Arial"/>
        </w:rPr>
        <w:tab/>
        <w:t>RED NACIONAL designa como punto de contacto a efectos de que el CONCESIONARIO SOLICITANTE reporte incidencias, a:</w:t>
      </w:r>
    </w:p>
    <w:p w:rsidR="009567E5" w:rsidRPr="00611019" w:rsidRDefault="008510F7" w:rsidP="00035D2C">
      <w:pPr>
        <w:jc w:val="center"/>
        <w:rPr>
          <w:rFonts w:ascii="Century Gothic" w:hAnsi="Century Gothic" w:cs="Arial"/>
        </w:rPr>
      </w:pPr>
      <w:hyperlink r:id="rId73" w:history="1">
        <w:r w:rsidR="00E56462">
          <w:rPr>
            <w:rStyle w:val="Hipervnculo"/>
            <w:rFonts w:ascii="Century Gothic" w:hAnsi="Century Gothic" w:cs="Arial"/>
            <w:color w:val="auto"/>
            <w:u w:val="none"/>
          </w:rPr>
          <w:t>OREDA@rednacional.com</w:t>
        </w:r>
      </w:hyperlink>
      <w:r w:rsidR="00E56462">
        <w:rPr>
          <w:rFonts w:ascii="Century Gothic" w:hAnsi="Century Gothic" w:cs="Arial"/>
        </w:rPr>
        <w:t xml:space="preserve"> </w:t>
      </w:r>
    </w:p>
    <w:p w:rsidR="009567E5" w:rsidRPr="00611019" w:rsidRDefault="00E56462" w:rsidP="00035D2C">
      <w:pPr>
        <w:jc w:val="center"/>
        <w:rPr>
          <w:rFonts w:ascii="Century Gothic" w:hAnsi="Century Gothic" w:cs="Arial"/>
        </w:rPr>
      </w:pPr>
      <w:r>
        <w:rPr>
          <w:rFonts w:ascii="Century Gothic" w:hAnsi="Century Gothic" w:cs="Arial"/>
        </w:rPr>
        <w:t>Tel. reporte de fallas e incidencias: 800 404 0735</w:t>
      </w:r>
    </w:p>
    <w:p w:rsidR="009567E5" w:rsidRPr="00611019" w:rsidRDefault="00E56462" w:rsidP="00035D2C">
      <w:pPr>
        <w:jc w:val="center"/>
        <w:rPr>
          <w:rFonts w:ascii="Century Gothic" w:hAnsi="Century Gothic" w:cs="Arial"/>
        </w:rPr>
      </w:pPr>
      <w:r>
        <w:rPr>
          <w:rFonts w:ascii="Century Gothic" w:hAnsi="Century Gothic" w:cs="Arial"/>
        </w:rPr>
        <w:t>Tel. activación SAIB: 800 404 0735</w:t>
      </w:r>
    </w:p>
    <w:p w:rsidR="0017227E" w:rsidRPr="00611019" w:rsidRDefault="0017227E" w:rsidP="00035D2C">
      <w:pPr>
        <w:spacing w:after="6pt"/>
        <w:jc w:val="both"/>
        <w:rPr>
          <w:rFonts w:ascii="Century Gothic" w:hAnsi="Century Gothic" w:cs="Arial"/>
          <w:b/>
        </w:rPr>
      </w:pPr>
    </w:p>
    <w:p w:rsidR="0017227E" w:rsidRPr="00611019" w:rsidRDefault="00E56462" w:rsidP="00035D2C">
      <w:pPr>
        <w:spacing w:after="6pt"/>
        <w:ind w:start="35.25pt" w:hanging="35.25pt"/>
        <w:jc w:val="both"/>
        <w:rPr>
          <w:rFonts w:ascii="Century Gothic" w:hAnsi="Century Gothic" w:cs="Arial"/>
        </w:rPr>
      </w:pPr>
      <w:r>
        <w:rPr>
          <w:rFonts w:ascii="Century Gothic" w:hAnsi="Century Gothic" w:cs="Arial"/>
          <w:b/>
        </w:rPr>
        <w:t>19.3</w:t>
      </w:r>
      <w:r>
        <w:rPr>
          <w:rFonts w:ascii="Century Gothic" w:hAnsi="Century Gothic" w:cs="Arial"/>
          <w:b/>
        </w:rPr>
        <w:tab/>
      </w:r>
      <w:r>
        <w:rPr>
          <w:rFonts w:ascii="Century Gothic" w:hAnsi="Century Gothic" w:cs="Arial"/>
        </w:rPr>
        <w:t>En caso de que cualquiera de las Partes cambiara de domicilio, deberá notificarlo a la otra Parte con cuando menos 15 (quince) días hábiles de anticipación a la fecha en que ocurra tal evento, de lo contrario se entenderá que los avisos, notificaciones o comunicaciones que conforme a este CONVENIO deban darse, surtirán efectos legales en el último domicilio sí informado a la otra Parte.</w:t>
      </w:r>
    </w:p>
    <w:p w:rsidR="00824EB3" w:rsidRPr="00611019" w:rsidRDefault="00824EB3" w:rsidP="00035D2C">
      <w:pPr>
        <w:spacing w:after="6pt"/>
        <w:ind w:start="35.25pt" w:hanging="35.25pt"/>
        <w:jc w:val="both"/>
        <w:rPr>
          <w:rFonts w:ascii="Century Gothic" w:hAnsi="Century Gothic" w:cs="Arial"/>
        </w:rPr>
      </w:pPr>
    </w:p>
    <w:p w:rsidR="0017227E" w:rsidRPr="00611019" w:rsidRDefault="00E56462" w:rsidP="00035D2C">
      <w:pPr>
        <w:pStyle w:val="0Tit11"/>
        <w:spacing w:line="13.80pt" w:lineRule="auto"/>
        <w:rPr>
          <w:spacing w:val="-3"/>
        </w:rPr>
      </w:pPr>
      <w:bookmarkStart w:id="3030" w:name="_Toc92974208"/>
      <w:bookmarkStart w:id="3031" w:name="_Toc93052521"/>
      <w:bookmarkStart w:id="3032" w:name="_Toc93056476"/>
      <w:bookmarkStart w:id="3033" w:name="_Toc125393542"/>
      <w:bookmarkStart w:id="3034" w:name="_Toc148702397"/>
      <w:bookmarkStart w:id="3035" w:name="_Toc170382013"/>
      <w:r>
        <w:t>Vigésima. JURISDICCIÓN APLICABLE.</w:t>
      </w:r>
      <w:bookmarkEnd w:id="3030"/>
      <w:bookmarkEnd w:id="3031"/>
      <w:bookmarkEnd w:id="3032"/>
      <w:bookmarkEnd w:id="3033"/>
      <w:bookmarkEnd w:id="3034"/>
      <w:bookmarkEnd w:id="3035"/>
    </w:p>
    <w:p w:rsidR="0017227E" w:rsidRPr="00611019" w:rsidRDefault="00E56462" w:rsidP="00035D2C">
      <w:pPr>
        <w:tabs>
          <w:tab w:val="start" w:pos="0pt"/>
          <w:tab w:val="start" w:pos="36pt"/>
          <w:tab w:val="start" w:pos="72pt"/>
          <w:tab w:val="start" w:pos="108pt"/>
          <w:tab w:val="start" w:pos="144pt"/>
          <w:tab w:val="start" w:pos="180pt"/>
          <w:tab w:val="start" w:pos="216pt"/>
          <w:tab w:val="start" w:pos="252pt"/>
          <w:tab w:val="start" w:pos="288pt"/>
          <w:tab w:val="start" w:pos="324pt"/>
          <w:tab w:val="start" w:pos="360pt"/>
          <w:tab w:val="start" w:pos="396pt"/>
          <w:tab w:val="start" w:pos="432pt"/>
          <w:tab w:val="start" w:pos="468pt"/>
          <w:tab w:val="start" w:pos="504pt"/>
          <w:tab w:val="start" w:pos="540pt"/>
          <w:tab w:val="start" w:pos="576pt"/>
          <w:tab w:val="start" w:pos="612pt"/>
          <w:tab w:val="start" w:pos="648pt"/>
          <w:tab w:val="start" w:pos="684pt"/>
          <w:tab w:val="start" w:pos="720pt"/>
          <w:tab w:val="start" w:pos="756pt"/>
          <w:tab w:val="start" w:pos="792pt"/>
          <w:tab w:val="start" w:pos="828pt"/>
          <w:tab w:val="start" w:pos="864pt"/>
          <w:tab w:val="start" w:pos="900pt"/>
          <w:tab w:val="start" w:pos="936pt"/>
          <w:tab w:val="start" w:pos="972pt"/>
          <w:tab w:val="start" w:pos="1008pt"/>
          <w:tab w:val="start" w:pos="1044pt"/>
          <w:tab w:val="start" w:pos="1080pt"/>
          <w:tab w:val="start" w:pos="1116pt"/>
          <w:tab w:val="start" w:pos="1152pt"/>
          <w:tab w:val="start" w:pos="1188pt"/>
          <w:tab w:val="start" w:pos="1224pt"/>
          <w:tab w:val="start" w:pos="1260pt"/>
          <w:tab w:val="start" w:pos="1296pt"/>
          <w:tab w:val="start" w:pos="1332pt"/>
        </w:tabs>
        <w:spacing w:after="6pt"/>
        <w:jc w:val="both"/>
        <w:rPr>
          <w:rFonts w:ascii="Century Gothic" w:hAnsi="Century Gothic" w:cs="Arial"/>
        </w:rPr>
      </w:pPr>
      <w:r>
        <w:rPr>
          <w:rFonts w:ascii="Century Gothic" w:hAnsi="Century Gothic" w:cs="Arial"/>
        </w:rPr>
        <w:t xml:space="preserve">Para la interpretación y cumplimiento del CONVENIO, las Partes se someten expresamente a las leyes aplicables y a los tribunales federales competentes de la </w:t>
      </w:r>
      <w:r>
        <w:rPr>
          <w:rFonts w:ascii="Century Gothic" w:hAnsi="Century Gothic" w:cs="Arial"/>
          <w:color w:val="000000"/>
        </w:rPr>
        <w:t>Ciudad de México</w:t>
      </w:r>
      <w:r>
        <w:rPr>
          <w:rFonts w:ascii="Century Gothic" w:hAnsi="Century Gothic" w:cs="Arial"/>
        </w:rPr>
        <w:t>, renunciando expresamente al fuero que pudiere corresponderles en razón de su domicilio presente o futuro o por cualquier otra causa.</w:t>
      </w:r>
    </w:p>
    <w:p w:rsidR="0017227E" w:rsidRPr="00611019" w:rsidRDefault="00E56462" w:rsidP="00035D2C">
      <w:pPr>
        <w:pStyle w:val="0Tit11"/>
        <w:spacing w:line="13.80pt" w:lineRule="auto"/>
        <w:rPr>
          <w:u w:val="single"/>
        </w:rPr>
      </w:pPr>
      <w:bookmarkStart w:id="3036" w:name="_Toc92974209"/>
      <w:bookmarkStart w:id="3037" w:name="_Toc93052522"/>
      <w:bookmarkStart w:id="3038" w:name="_Toc93056477"/>
      <w:bookmarkStart w:id="3039" w:name="_Toc125393543"/>
      <w:bookmarkStart w:id="3040" w:name="_Toc148702398"/>
      <w:bookmarkStart w:id="3041" w:name="_Toc170382014"/>
      <w:r>
        <w:t>Vigésima Primera. CONDICIÓN SUSPENSIVA.</w:t>
      </w:r>
      <w:bookmarkEnd w:id="3036"/>
      <w:bookmarkEnd w:id="3037"/>
      <w:bookmarkEnd w:id="3038"/>
      <w:bookmarkEnd w:id="3039"/>
      <w:bookmarkEnd w:id="3040"/>
      <w:bookmarkEnd w:id="3041"/>
    </w:p>
    <w:p w:rsidR="0017227E" w:rsidRPr="00611019" w:rsidRDefault="00E56462" w:rsidP="00035D2C">
      <w:pPr>
        <w:spacing w:after="6pt"/>
        <w:jc w:val="both"/>
        <w:rPr>
          <w:rFonts w:ascii="Century Gothic" w:hAnsi="Century Gothic" w:cs="Arial"/>
          <w:spacing w:val="-3"/>
        </w:rPr>
      </w:pPr>
      <w:r>
        <w:rPr>
          <w:rFonts w:ascii="Century Gothic" w:hAnsi="Century Gothic" w:cs="Arial"/>
          <w:spacing w:val="-3"/>
        </w:rPr>
        <w:t xml:space="preserve">Las Partes acuerdan expresamente que el presente CONVENIO y sus efectos se encuentran sujetos al cumplimiento de la condición suspensiva consistente en que el CONCESIONARIO SOLICITANTE constituya a favor de RED NACIONAL la garantía a la que se hace referencia en la Cláusula </w:t>
      </w:r>
      <w:r>
        <w:rPr>
          <w:rFonts w:ascii="Century Gothic" w:hAnsi="Century Gothic" w:cs="Arial"/>
        </w:rPr>
        <w:t>Octava</w:t>
      </w:r>
      <w:r>
        <w:rPr>
          <w:rFonts w:ascii="Century Gothic" w:hAnsi="Century Gothic" w:cs="Arial"/>
          <w:spacing w:val="-3"/>
        </w:rPr>
        <w:t xml:space="preserve"> del presente CONVENIO, en el entendido de que RED NACIONAL  no estará obligada a prestar al CONCESIONARIO SOLICITANTE los Servicios en tanto dicha garantía no esté plenamente constituida a satisfacción de RED NACIONAL de acuerdo con lo establecido en la cláusula aplicable.</w:t>
      </w:r>
    </w:p>
    <w:p w:rsidR="0017227E" w:rsidRPr="00611019" w:rsidRDefault="00E56462" w:rsidP="00035D2C">
      <w:pPr>
        <w:pStyle w:val="0Tit11"/>
        <w:spacing w:line="13.80pt" w:lineRule="auto"/>
      </w:pPr>
      <w:bookmarkStart w:id="3042" w:name="_Toc92974210"/>
      <w:bookmarkStart w:id="3043" w:name="_Toc93052523"/>
      <w:bookmarkStart w:id="3044" w:name="_Toc93056478"/>
      <w:bookmarkStart w:id="3045" w:name="_Toc125393544"/>
      <w:bookmarkStart w:id="3046" w:name="_Toc148702399"/>
      <w:bookmarkStart w:id="3047" w:name="_Toc170382015"/>
      <w:r>
        <w:lastRenderedPageBreak/>
        <w:t>Vigésima Segunda.  SUSPENSIÓN DE MEDIDAS.</w:t>
      </w:r>
      <w:bookmarkEnd w:id="3042"/>
      <w:bookmarkEnd w:id="3043"/>
      <w:bookmarkEnd w:id="3044"/>
      <w:bookmarkEnd w:id="3045"/>
      <w:bookmarkEnd w:id="3046"/>
      <w:bookmarkEnd w:id="3047"/>
    </w:p>
    <w:p w:rsidR="0017227E" w:rsidRPr="00611019" w:rsidRDefault="00E56462" w:rsidP="00035D2C">
      <w:pPr>
        <w:tabs>
          <w:tab w:val="start" w:pos="0pt"/>
          <w:tab w:val="start" w:pos="36pt"/>
          <w:tab w:val="start" w:pos="72pt"/>
          <w:tab w:val="start" w:pos="108pt"/>
          <w:tab w:val="start" w:pos="144pt"/>
          <w:tab w:val="start" w:pos="180pt"/>
          <w:tab w:val="start" w:pos="216pt"/>
          <w:tab w:val="start" w:pos="252pt"/>
          <w:tab w:val="start" w:pos="288pt"/>
          <w:tab w:val="start" w:pos="324pt"/>
          <w:tab w:val="start" w:pos="360pt"/>
          <w:tab w:val="start" w:pos="396pt"/>
          <w:tab w:val="start" w:pos="432pt"/>
          <w:tab w:val="start" w:pos="468pt"/>
          <w:tab w:val="start" w:pos="504pt"/>
          <w:tab w:val="start" w:pos="540pt"/>
          <w:tab w:val="start" w:pos="576pt"/>
          <w:tab w:val="start" w:pos="612pt"/>
          <w:tab w:val="start" w:pos="648pt"/>
          <w:tab w:val="start" w:pos="684pt"/>
          <w:tab w:val="start" w:pos="720pt"/>
          <w:tab w:val="start" w:pos="756pt"/>
          <w:tab w:val="start" w:pos="792pt"/>
          <w:tab w:val="start" w:pos="828pt"/>
          <w:tab w:val="start" w:pos="864pt"/>
          <w:tab w:val="start" w:pos="900pt"/>
          <w:tab w:val="start" w:pos="936pt"/>
          <w:tab w:val="start" w:pos="972pt"/>
          <w:tab w:val="start" w:pos="1008pt"/>
          <w:tab w:val="start" w:pos="1044pt"/>
          <w:tab w:val="start" w:pos="1080pt"/>
          <w:tab w:val="start" w:pos="1116pt"/>
          <w:tab w:val="start" w:pos="1152pt"/>
          <w:tab w:val="start" w:pos="1188pt"/>
          <w:tab w:val="start" w:pos="1224pt"/>
          <w:tab w:val="start" w:pos="1260pt"/>
          <w:tab w:val="start" w:pos="1296pt"/>
          <w:tab w:val="start" w:pos="1332pt"/>
        </w:tabs>
        <w:spacing w:after="6pt"/>
        <w:jc w:val="both"/>
        <w:rPr>
          <w:rFonts w:ascii="Century Gothic" w:hAnsi="Century Gothic" w:cs="Arial"/>
        </w:rPr>
      </w:pPr>
      <w:r>
        <w:rPr>
          <w:rFonts w:ascii="Century Gothic" w:hAnsi="Century Gothic" w:cs="Arial"/>
        </w:rPr>
        <w:t xml:space="preserve">En el momento en el que el Instituto emita y notifique a </w:t>
      </w:r>
      <w:r>
        <w:rPr>
          <w:rFonts w:ascii="Century Gothic" w:hAnsi="Century Gothic" w:cs="Arial"/>
          <w:spacing w:val="-3"/>
        </w:rPr>
        <w:t>RED NACIONAL</w:t>
      </w:r>
      <w:r>
        <w:rPr>
          <w:rFonts w:ascii="Century Gothic" w:hAnsi="Century Gothic" w:cs="Arial"/>
        </w:rPr>
        <w:t xml:space="preserve"> cualquier resolución que modifique las obligaciones a su cargo  o en el supuesto de que se emita precepto legal alguno que modifique dichas obligaciones, o aquellas establecidas en el Plan Final de Implementación de Separación Funcional, </w:t>
      </w:r>
      <w:r>
        <w:rPr>
          <w:rFonts w:ascii="Century Gothic" w:hAnsi="Century Gothic" w:cs="Arial"/>
          <w:spacing w:val="-3"/>
        </w:rPr>
        <w:t>RED NACIONAL</w:t>
      </w:r>
      <w:r>
        <w:rPr>
          <w:rFonts w:ascii="Century Gothic" w:hAnsi="Century Gothic" w:cs="Arial"/>
        </w:rPr>
        <w:t xml:space="preserve"> y el CONCESIONARIO SOLICITANTE se obligan a negociar de buena fe, con independencia de las acciones que el Instituto pueda ejercer en el marco de sus facultades de acuerdo con la normatividad vigente, durante un periodo de 120 (ciento veinte) días naturales, los nuevos términos y condiciones aplicables a los Servicios objeto del presente CONVENIO, que reflejen la nueva situación jurídica aplicable a dichos Servicios, plazo durante el cual permanecerán vigentes las últimas tarifas, términos y condiciones suscritos entre las Partes.</w:t>
      </w:r>
    </w:p>
    <w:p w:rsidR="0017227E" w:rsidRPr="00611019" w:rsidRDefault="00E56462" w:rsidP="00035D2C">
      <w:pPr>
        <w:autoSpaceDE w:val="0"/>
        <w:autoSpaceDN w:val="0"/>
        <w:spacing w:after="6pt"/>
        <w:jc w:val="both"/>
        <w:rPr>
          <w:rFonts w:ascii="Century Gothic" w:hAnsi="Century Gothic" w:cs="Arial"/>
        </w:rPr>
      </w:pPr>
      <w:r>
        <w:rPr>
          <w:rFonts w:ascii="Century Gothic" w:hAnsi="Century Gothic" w:cs="Arial"/>
        </w:rPr>
        <w:t>Las Partes podrán acordar prorrogar, de mutuo acuerdo, el periodo de negociación cuantas veces lo consideren necesario.</w:t>
      </w:r>
    </w:p>
    <w:p w:rsidR="0017227E" w:rsidRPr="00611019" w:rsidRDefault="0017227E" w:rsidP="00035D2C">
      <w:pPr>
        <w:tabs>
          <w:tab w:val="start" w:pos="0pt"/>
          <w:tab w:val="start" w:pos="36pt"/>
          <w:tab w:val="start" w:pos="72pt"/>
          <w:tab w:val="start" w:pos="108pt"/>
          <w:tab w:val="start" w:pos="144pt"/>
          <w:tab w:val="start" w:pos="180pt"/>
          <w:tab w:val="start" w:pos="216pt"/>
          <w:tab w:val="start" w:pos="252pt"/>
          <w:tab w:val="start" w:pos="288pt"/>
          <w:tab w:val="start" w:pos="324pt"/>
          <w:tab w:val="start" w:pos="360pt"/>
          <w:tab w:val="start" w:pos="396pt"/>
          <w:tab w:val="start" w:pos="432pt"/>
          <w:tab w:val="start" w:pos="468pt"/>
          <w:tab w:val="start" w:pos="504pt"/>
          <w:tab w:val="start" w:pos="540pt"/>
          <w:tab w:val="start" w:pos="576pt"/>
          <w:tab w:val="start" w:pos="612pt"/>
          <w:tab w:val="start" w:pos="648pt"/>
          <w:tab w:val="start" w:pos="684pt"/>
          <w:tab w:val="start" w:pos="720pt"/>
          <w:tab w:val="start" w:pos="756pt"/>
          <w:tab w:val="start" w:pos="792pt"/>
          <w:tab w:val="start" w:pos="828pt"/>
          <w:tab w:val="start" w:pos="864pt"/>
          <w:tab w:val="start" w:pos="900pt"/>
          <w:tab w:val="start" w:pos="936pt"/>
          <w:tab w:val="start" w:pos="972pt"/>
          <w:tab w:val="start" w:pos="1008pt"/>
          <w:tab w:val="start" w:pos="1044pt"/>
          <w:tab w:val="start" w:pos="1080pt"/>
          <w:tab w:val="start" w:pos="1116pt"/>
          <w:tab w:val="start" w:pos="1152pt"/>
          <w:tab w:val="start" w:pos="1188pt"/>
          <w:tab w:val="start" w:pos="1224pt"/>
          <w:tab w:val="start" w:pos="1260pt"/>
          <w:tab w:val="start" w:pos="1296pt"/>
          <w:tab w:val="start" w:pos="1332pt"/>
        </w:tabs>
        <w:spacing w:after="6pt"/>
        <w:jc w:val="both"/>
        <w:rPr>
          <w:rFonts w:ascii="Century Gothic" w:hAnsi="Century Gothic" w:cs="Arial"/>
          <w:b/>
          <w:lang w:val="es-ES_tradnl"/>
        </w:rPr>
      </w:pPr>
    </w:p>
    <w:p w:rsidR="0017227E" w:rsidRPr="00611019" w:rsidRDefault="00E56462" w:rsidP="00035D2C">
      <w:pPr>
        <w:pStyle w:val="0Tit11"/>
        <w:spacing w:line="13.80pt" w:lineRule="auto"/>
      </w:pPr>
      <w:bookmarkStart w:id="3048" w:name="_Toc92974211"/>
      <w:bookmarkStart w:id="3049" w:name="_Toc93052524"/>
      <w:bookmarkStart w:id="3050" w:name="_Toc93056479"/>
      <w:bookmarkStart w:id="3051" w:name="_Toc125393545"/>
      <w:bookmarkStart w:id="3052" w:name="_Toc148702400"/>
      <w:bookmarkStart w:id="3053" w:name="_Toc170382016"/>
      <w:r>
        <w:t>Vigésima Tercera. TRATO NO DISCRIMINATORIO.</w:t>
      </w:r>
      <w:bookmarkEnd w:id="3048"/>
      <w:bookmarkEnd w:id="3049"/>
      <w:bookmarkEnd w:id="3050"/>
      <w:bookmarkEnd w:id="3051"/>
      <w:bookmarkEnd w:id="3052"/>
      <w:bookmarkEnd w:id="3053"/>
    </w:p>
    <w:p w:rsidR="0017227E" w:rsidRPr="00611019" w:rsidRDefault="00E56462" w:rsidP="00035D2C">
      <w:pPr>
        <w:tabs>
          <w:tab w:val="start" w:pos="0pt"/>
          <w:tab w:val="start" w:pos="36pt"/>
          <w:tab w:val="start" w:pos="72pt"/>
          <w:tab w:val="start" w:pos="108pt"/>
          <w:tab w:val="start" w:pos="144pt"/>
          <w:tab w:val="start" w:pos="180pt"/>
          <w:tab w:val="start" w:pos="216pt"/>
          <w:tab w:val="start" w:pos="252pt"/>
          <w:tab w:val="start" w:pos="288pt"/>
          <w:tab w:val="start" w:pos="324pt"/>
          <w:tab w:val="start" w:pos="360pt"/>
          <w:tab w:val="start" w:pos="396pt"/>
          <w:tab w:val="start" w:pos="432pt"/>
          <w:tab w:val="start" w:pos="468pt"/>
          <w:tab w:val="start" w:pos="504pt"/>
          <w:tab w:val="start" w:pos="540pt"/>
          <w:tab w:val="start" w:pos="576pt"/>
          <w:tab w:val="start" w:pos="612pt"/>
          <w:tab w:val="start" w:pos="648pt"/>
          <w:tab w:val="start" w:pos="684pt"/>
          <w:tab w:val="start" w:pos="720pt"/>
          <w:tab w:val="start" w:pos="756pt"/>
          <w:tab w:val="start" w:pos="792pt"/>
          <w:tab w:val="start" w:pos="828pt"/>
          <w:tab w:val="start" w:pos="864pt"/>
          <w:tab w:val="start" w:pos="900pt"/>
          <w:tab w:val="start" w:pos="936pt"/>
          <w:tab w:val="start" w:pos="972pt"/>
          <w:tab w:val="start" w:pos="1008pt"/>
          <w:tab w:val="start" w:pos="1044pt"/>
          <w:tab w:val="start" w:pos="1080pt"/>
          <w:tab w:val="start" w:pos="1116pt"/>
          <w:tab w:val="start" w:pos="1152pt"/>
          <w:tab w:val="start" w:pos="1188pt"/>
          <w:tab w:val="start" w:pos="1224pt"/>
          <w:tab w:val="start" w:pos="1260pt"/>
          <w:tab w:val="start" w:pos="1296pt"/>
          <w:tab w:val="start" w:pos="1332pt"/>
        </w:tabs>
        <w:spacing w:after="6pt"/>
        <w:jc w:val="both"/>
        <w:rPr>
          <w:rFonts w:ascii="Century Gothic" w:hAnsi="Century Gothic" w:cs="Arial"/>
        </w:rPr>
      </w:pPr>
      <w:r>
        <w:rPr>
          <w:rFonts w:ascii="Century Gothic" w:hAnsi="Century Gothic" w:cs="Arial"/>
          <w:spacing w:val="-3"/>
        </w:rPr>
        <w:t>RED NACIONAL</w:t>
      </w:r>
      <w:r>
        <w:rPr>
          <w:rFonts w:ascii="Century Gothic" w:hAnsi="Century Gothic" w:cs="Arial"/>
        </w:rPr>
        <w:t xml:space="preserve"> y el CONCESIONARIO SOLICITANTE convienen en que deberán actuar sobre bases de Trato No Discriminatorio respecto de los Servicios materia del presente CONVENIO que se provean a otros concesionarios o autorizados solicitantes.</w:t>
      </w:r>
    </w:p>
    <w:p w:rsidR="0017227E" w:rsidRPr="00611019" w:rsidRDefault="00E56462" w:rsidP="00035D2C">
      <w:pPr>
        <w:tabs>
          <w:tab w:val="start" w:pos="0pt"/>
          <w:tab w:val="start" w:pos="36pt"/>
          <w:tab w:val="start" w:pos="72pt"/>
          <w:tab w:val="start" w:pos="108pt"/>
          <w:tab w:val="start" w:pos="144pt"/>
          <w:tab w:val="start" w:pos="180pt"/>
          <w:tab w:val="start" w:pos="216pt"/>
          <w:tab w:val="start" w:pos="252pt"/>
          <w:tab w:val="start" w:pos="288pt"/>
          <w:tab w:val="start" w:pos="324pt"/>
          <w:tab w:val="start" w:pos="360pt"/>
          <w:tab w:val="start" w:pos="396pt"/>
          <w:tab w:val="start" w:pos="432pt"/>
          <w:tab w:val="start" w:pos="468pt"/>
          <w:tab w:val="start" w:pos="504pt"/>
          <w:tab w:val="start" w:pos="540pt"/>
          <w:tab w:val="start" w:pos="576pt"/>
          <w:tab w:val="start" w:pos="612pt"/>
          <w:tab w:val="start" w:pos="648pt"/>
          <w:tab w:val="start" w:pos="684pt"/>
          <w:tab w:val="start" w:pos="720pt"/>
          <w:tab w:val="start" w:pos="756pt"/>
          <w:tab w:val="start" w:pos="792pt"/>
          <w:tab w:val="start" w:pos="828pt"/>
          <w:tab w:val="start" w:pos="864pt"/>
          <w:tab w:val="start" w:pos="900pt"/>
          <w:tab w:val="start" w:pos="936pt"/>
          <w:tab w:val="start" w:pos="972pt"/>
          <w:tab w:val="start" w:pos="1008pt"/>
          <w:tab w:val="start" w:pos="1044pt"/>
          <w:tab w:val="start" w:pos="1080pt"/>
          <w:tab w:val="start" w:pos="1116pt"/>
          <w:tab w:val="start" w:pos="1152pt"/>
          <w:tab w:val="start" w:pos="1188pt"/>
          <w:tab w:val="start" w:pos="1224pt"/>
          <w:tab w:val="start" w:pos="1260pt"/>
          <w:tab w:val="start" w:pos="1296pt"/>
          <w:tab w:val="start" w:pos="1332pt"/>
        </w:tabs>
        <w:spacing w:after="6pt"/>
        <w:jc w:val="both"/>
        <w:rPr>
          <w:rFonts w:ascii="Century Gothic" w:hAnsi="Century Gothic" w:cs="Arial"/>
        </w:rPr>
      </w:pPr>
      <w:r>
        <w:rPr>
          <w:rFonts w:ascii="Century Gothic" w:hAnsi="Century Gothic" w:cs="Arial"/>
        </w:rPr>
        <w:t xml:space="preserve">En caso de que </w:t>
      </w:r>
      <w:r>
        <w:rPr>
          <w:rFonts w:ascii="Century Gothic" w:hAnsi="Century Gothic" w:cs="Arial"/>
          <w:spacing w:val="-3"/>
        </w:rPr>
        <w:t>RED NACIONAL</w:t>
      </w:r>
      <w:r>
        <w:rPr>
          <w:rFonts w:ascii="Century Gothic" w:hAnsi="Century Gothic" w:cs="Arial"/>
        </w:rPr>
        <w:t xml:space="preserve"> haya otorgado u otorgue, ya sea por acuerdo entre las Partes o por resolución del Instituto, distintos y mejores términos y condiciones a otros concesionarios solicitantes, a sus subsidiarias, filiales, o empresas que pertenezcan al mismo grupo de interés económico respecto de los Servicios materia del presente CONVENIO, deberá hacer extensivos dichos términos y condiciones al CONCESIONARIO SOLICITANTE a partir de la fecha en que se lo soliciten. A petición del CONCESIONARIO SOLICITANTE, se deberá celebrar el convenio modificatorio que establezca o incorpore las modificaciones correspondientes, en un plazo no mayor a 15 (quince) días naturales contados a partir de la fecha de solicitud.</w:t>
      </w:r>
    </w:p>
    <w:p w:rsidR="00824EB3" w:rsidRPr="00611019" w:rsidRDefault="00824EB3" w:rsidP="00035D2C">
      <w:pPr>
        <w:tabs>
          <w:tab w:val="start" w:pos="0pt"/>
          <w:tab w:val="start" w:pos="36pt"/>
          <w:tab w:val="start" w:pos="72pt"/>
          <w:tab w:val="start" w:pos="108pt"/>
          <w:tab w:val="start" w:pos="144pt"/>
          <w:tab w:val="start" w:pos="180pt"/>
          <w:tab w:val="start" w:pos="216pt"/>
          <w:tab w:val="start" w:pos="252pt"/>
          <w:tab w:val="start" w:pos="288pt"/>
          <w:tab w:val="start" w:pos="324pt"/>
          <w:tab w:val="start" w:pos="360pt"/>
          <w:tab w:val="start" w:pos="396pt"/>
          <w:tab w:val="start" w:pos="432pt"/>
          <w:tab w:val="start" w:pos="468pt"/>
          <w:tab w:val="start" w:pos="504pt"/>
          <w:tab w:val="start" w:pos="540pt"/>
          <w:tab w:val="start" w:pos="576pt"/>
          <w:tab w:val="start" w:pos="612pt"/>
          <w:tab w:val="start" w:pos="648pt"/>
          <w:tab w:val="start" w:pos="684pt"/>
          <w:tab w:val="start" w:pos="720pt"/>
          <w:tab w:val="start" w:pos="756pt"/>
          <w:tab w:val="start" w:pos="792pt"/>
          <w:tab w:val="start" w:pos="828pt"/>
          <w:tab w:val="start" w:pos="864pt"/>
          <w:tab w:val="start" w:pos="900pt"/>
          <w:tab w:val="start" w:pos="936pt"/>
          <w:tab w:val="start" w:pos="972pt"/>
          <w:tab w:val="start" w:pos="1008pt"/>
          <w:tab w:val="start" w:pos="1044pt"/>
          <w:tab w:val="start" w:pos="1080pt"/>
          <w:tab w:val="start" w:pos="1116pt"/>
          <w:tab w:val="start" w:pos="1152pt"/>
          <w:tab w:val="start" w:pos="1188pt"/>
          <w:tab w:val="start" w:pos="1224pt"/>
          <w:tab w:val="start" w:pos="1260pt"/>
          <w:tab w:val="start" w:pos="1296pt"/>
          <w:tab w:val="start" w:pos="1332pt"/>
        </w:tabs>
        <w:spacing w:after="6pt"/>
        <w:jc w:val="both"/>
        <w:rPr>
          <w:rFonts w:ascii="Century Gothic" w:hAnsi="Century Gothic" w:cs="Arial"/>
        </w:rPr>
      </w:pPr>
    </w:p>
    <w:p w:rsidR="0017227E" w:rsidRPr="00611019" w:rsidRDefault="00E56462" w:rsidP="00035D2C">
      <w:pPr>
        <w:pStyle w:val="0Tit11"/>
        <w:keepNext/>
        <w:spacing w:line="13.80pt" w:lineRule="auto"/>
      </w:pPr>
      <w:bookmarkStart w:id="3054" w:name="_Toc92974212"/>
      <w:bookmarkStart w:id="3055" w:name="_Toc93052525"/>
      <w:bookmarkStart w:id="3056" w:name="_Toc93056480"/>
      <w:bookmarkStart w:id="3057" w:name="_Toc125393546"/>
      <w:bookmarkStart w:id="3058" w:name="_Toc148702401"/>
      <w:bookmarkStart w:id="3059" w:name="_Toc170382017"/>
      <w:r>
        <w:t>Vigésima Cuarta. DESACUERDOS.</w:t>
      </w:r>
      <w:bookmarkEnd w:id="3054"/>
      <w:bookmarkEnd w:id="3055"/>
      <w:bookmarkEnd w:id="3056"/>
      <w:bookmarkEnd w:id="3057"/>
      <w:bookmarkEnd w:id="3058"/>
      <w:bookmarkEnd w:id="3059"/>
    </w:p>
    <w:p w:rsidR="005914DC" w:rsidRPr="00611019" w:rsidRDefault="00E56462" w:rsidP="00035D2C">
      <w:pPr>
        <w:tabs>
          <w:tab w:val="start" w:pos="0pt"/>
          <w:tab w:val="start" w:pos="36pt"/>
          <w:tab w:val="start" w:pos="72pt"/>
          <w:tab w:val="start" w:pos="108pt"/>
          <w:tab w:val="start" w:pos="144pt"/>
          <w:tab w:val="start" w:pos="180pt"/>
          <w:tab w:val="start" w:pos="216pt"/>
          <w:tab w:val="start" w:pos="252pt"/>
          <w:tab w:val="start" w:pos="288pt"/>
          <w:tab w:val="start" w:pos="324pt"/>
          <w:tab w:val="start" w:pos="360pt"/>
          <w:tab w:val="start" w:pos="396pt"/>
          <w:tab w:val="start" w:pos="432pt"/>
          <w:tab w:val="start" w:pos="468pt"/>
          <w:tab w:val="start" w:pos="504pt"/>
          <w:tab w:val="start" w:pos="540pt"/>
          <w:tab w:val="start" w:pos="576pt"/>
          <w:tab w:val="start" w:pos="612pt"/>
          <w:tab w:val="start" w:pos="648pt"/>
          <w:tab w:val="start" w:pos="684pt"/>
          <w:tab w:val="start" w:pos="720pt"/>
          <w:tab w:val="start" w:pos="756pt"/>
          <w:tab w:val="start" w:pos="792pt"/>
          <w:tab w:val="start" w:pos="828pt"/>
          <w:tab w:val="start" w:pos="864pt"/>
          <w:tab w:val="start" w:pos="900pt"/>
          <w:tab w:val="start" w:pos="936pt"/>
          <w:tab w:val="start" w:pos="972pt"/>
          <w:tab w:val="start" w:pos="1008pt"/>
          <w:tab w:val="start" w:pos="1044pt"/>
          <w:tab w:val="start" w:pos="1080pt"/>
          <w:tab w:val="start" w:pos="1116pt"/>
          <w:tab w:val="start" w:pos="1152pt"/>
          <w:tab w:val="start" w:pos="1188pt"/>
          <w:tab w:val="start" w:pos="1224pt"/>
          <w:tab w:val="start" w:pos="1260pt"/>
          <w:tab w:val="start" w:pos="1296pt"/>
          <w:tab w:val="start" w:pos="1332pt"/>
        </w:tabs>
        <w:spacing w:after="6pt"/>
        <w:jc w:val="both"/>
        <w:rPr>
          <w:rFonts w:ascii="Century Gothic" w:eastAsia="Calibri" w:hAnsi="Century Gothic" w:cs="Times New Roman"/>
          <w:b/>
          <w:lang w:val="es-ES_tradnl"/>
        </w:rPr>
      </w:pPr>
      <w:r>
        <w:rPr>
          <w:rFonts w:ascii="Century Gothic" w:hAnsi="Century Gothic" w:cs="Arial"/>
          <w:lang w:val="es-ES_tradnl"/>
        </w:rPr>
        <w:t xml:space="preserve">En caso de existir algún desacuerdo entre las Partes, conforme con lo previsto en las medidas Cuadragésima Primera y Cuadragésima Tercera del Anexo 3 de la Resolución Bienal, </w:t>
      </w:r>
      <w:r>
        <w:rPr>
          <w:rFonts w:ascii="Century Gothic" w:hAnsi="Century Gothic" w:cs="Arial"/>
          <w:spacing w:val="-3"/>
        </w:rPr>
        <w:t>RED NACIONAL</w:t>
      </w:r>
      <w:r>
        <w:rPr>
          <w:rFonts w:ascii="Century Gothic" w:hAnsi="Century Gothic" w:cs="Arial"/>
          <w:lang w:val="es-ES_tradnl"/>
        </w:rPr>
        <w:t xml:space="preserve"> o el CONCESIONARIO SOLICITANTE, o ambas, solicitarán la intervención del Instituto a efecto de que resuelva la controversia suscitada, en términos de lo dispuesto en las Medidas de Preponderancia y el artículo 129 de la Ley Federal de Telecomunicaciones y Radiodifusión.</w:t>
      </w:r>
      <w:bookmarkStart w:id="3060" w:name="_Toc92974213"/>
      <w:bookmarkStart w:id="3061" w:name="_Toc93052526"/>
      <w:bookmarkStart w:id="3062" w:name="_Toc93056481"/>
    </w:p>
    <w:p w:rsidR="00583DEB" w:rsidRPr="000E6222" w:rsidRDefault="00583DEB" w:rsidP="000E6222">
      <w:bookmarkStart w:id="3063" w:name="_Toc125393547"/>
      <w:bookmarkStart w:id="3064" w:name="_Toc148702402"/>
      <w:bookmarkStart w:id="3065" w:name="_Toc170382018"/>
    </w:p>
    <w:p w:rsidR="0017227E" w:rsidRPr="00611019" w:rsidRDefault="00E56462" w:rsidP="00035D2C">
      <w:pPr>
        <w:pStyle w:val="0Tit11"/>
        <w:spacing w:line="13.80pt" w:lineRule="auto"/>
      </w:pPr>
      <w:r>
        <w:lastRenderedPageBreak/>
        <w:t>Vigésima Quinta. DESACUERDO TÉCNICO.</w:t>
      </w:r>
      <w:bookmarkEnd w:id="3060"/>
      <w:bookmarkEnd w:id="3061"/>
      <w:bookmarkEnd w:id="3062"/>
      <w:bookmarkEnd w:id="3063"/>
      <w:bookmarkEnd w:id="3064"/>
      <w:bookmarkEnd w:id="3065"/>
    </w:p>
    <w:p w:rsidR="00512B56" w:rsidRPr="00611019" w:rsidRDefault="00E56462" w:rsidP="00035D2C">
      <w:pPr>
        <w:tabs>
          <w:tab w:val="start" w:pos="36pt"/>
          <w:tab w:val="start" w:pos="72pt"/>
          <w:tab w:val="start" w:pos="108pt"/>
          <w:tab w:val="start" w:pos="144pt"/>
          <w:tab w:val="start" w:pos="180pt"/>
          <w:tab w:val="start" w:pos="216pt"/>
          <w:tab w:val="start" w:pos="252pt"/>
          <w:tab w:val="start" w:pos="288pt"/>
          <w:tab w:val="start" w:pos="324pt"/>
          <w:tab w:val="start" w:pos="360pt"/>
          <w:tab w:val="start" w:pos="396pt"/>
          <w:tab w:val="start" w:pos="432pt"/>
          <w:tab w:val="start" w:pos="468pt"/>
          <w:tab w:val="start" w:pos="504pt"/>
          <w:tab w:val="start" w:pos="540pt"/>
          <w:tab w:val="start" w:pos="576pt"/>
          <w:tab w:val="start" w:pos="612pt"/>
          <w:tab w:val="start" w:pos="648pt"/>
          <w:tab w:val="start" w:pos="684pt"/>
          <w:tab w:val="start" w:pos="720pt"/>
          <w:tab w:val="start" w:pos="756pt"/>
          <w:tab w:val="start" w:pos="792pt"/>
          <w:tab w:val="start" w:pos="828pt"/>
          <w:tab w:val="start" w:pos="864pt"/>
          <w:tab w:val="start" w:pos="900pt"/>
          <w:tab w:val="start" w:pos="936pt"/>
          <w:tab w:val="start" w:pos="972pt"/>
          <w:tab w:val="start" w:pos="1008pt"/>
          <w:tab w:val="start" w:pos="1044pt"/>
          <w:tab w:val="start" w:pos="1080pt"/>
          <w:tab w:val="start" w:pos="1116pt"/>
          <w:tab w:val="start" w:pos="1152pt"/>
          <w:tab w:val="start" w:pos="1188pt"/>
          <w:tab w:val="start" w:pos="1224pt"/>
          <w:tab w:val="start" w:pos="1260pt"/>
          <w:tab w:val="start" w:pos="1296pt"/>
          <w:tab w:val="start" w:pos="1332pt"/>
        </w:tabs>
        <w:spacing w:after="6pt"/>
        <w:jc w:val="both"/>
        <w:rPr>
          <w:rFonts w:ascii="Century Gothic" w:hAnsi="Century Gothic" w:cs="Arial"/>
          <w:lang w:val="es-ES_tradnl"/>
        </w:rPr>
      </w:pPr>
      <w:r>
        <w:rPr>
          <w:rFonts w:ascii="Century Gothic" w:hAnsi="Century Gothic" w:cs="Arial"/>
          <w:lang w:val="es-ES_tradnl"/>
        </w:rPr>
        <w:t xml:space="preserve">En caso de existir desacuerdo técnico conforme a lo previsto en la Medida Cuadragésima Segunda del Anexo 3 de las Medidas de Desagregación, </w:t>
      </w:r>
      <w:r>
        <w:rPr>
          <w:rFonts w:ascii="Century Gothic" w:hAnsi="Century Gothic" w:cs="Arial"/>
          <w:spacing w:val="-3"/>
        </w:rPr>
        <w:t>RED NACIONAL</w:t>
      </w:r>
      <w:r>
        <w:rPr>
          <w:rFonts w:ascii="Century Gothic" w:hAnsi="Century Gothic" w:cs="Arial"/>
          <w:lang w:val="es-ES_tradnl"/>
        </w:rPr>
        <w:t xml:space="preserve"> y el CONCESIONARIO SOLICITANTE se someterán a los siguientes plazos:</w:t>
      </w:r>
    </w:p>
    <w:p w:rsidR="0017227E" w:rsidRPr="00611019" w:rsidRDefault="00E56462" w:rsidP="00035D2C">
      <w:pPr>
        <w:widowControl w:val="0"/>
        <w:tabs>
          <w:tab w:val="start" w:pos="28.35pt"/>
          <w:tab w:val="start" w:pos="72pt"/>
          <w:tab w:val="start" w:pos="108pt"/>
          <w:tab w:val="start" w:pos="144pt"/>
          <w:tab w:val="start" w:pos="180pt"/>
          <w:tab w:val="start" w:pos="216pt"/>
          <w:tab w:val="start" w:pos="252pt"/>
          <w:tab w:val="start" w:pos="288pt"/>
          <w:tab w:val="start" w:pos="324pt"/>
          <w:tab w:val="start" w:pos="360pt"/>
          <w:tab w:val="start" w:pos="396pt"/>
          <w:tab w:val="start" w:pos="432pt"/>
          <w:tab w:val="start" w:pos="468pt"/>
          <w:tab w:val="start" w:pos="504pt"/>
          <w:tab w:val="start" w:pos="540pt"/>
          <w:tab w:val="start" w:pos="576pt"/>
          <w:tab w:val="start" w:pos="612pt"/>
          <w:tab w:val="start" w:pos="648pt"/>
          <w:tab w:val="start" w:pos="684pt"/>
          <w:tab w:val="start" w:pos="720pt"/>
          <w:tab w:val="start" w:pos="756pt"/>
          <w:tab w:val="start" w:pos="792pt"/>
          <w:tab w:val="start" w:pos="828pt"/>
          <w:tab w:val="start" w:pos="864pt"/>
          <w:tab w:val="start" w:pos="900pt"/>
          <w:tab w:val="start" w:pos="936pt"/>
          <w:tab w:val="start" w:pos="972pt"/>
          <w:tab w:val="start" w:pos="1008pt"/>
          <w:tab w:val="start" w:pos="1044pt"/>
          <w:tab w:val="start" w:pos="1080pt"/>
          <w:tab w:val="start" w:pos="1116pt"/>
          <w:tab w:val="start" w:pos="1152pt"/>
          <w:tab w:val="start" w:pos="1188pt"/>
          <w:tab w:val="start" w:pos="1224pt"/>
          <w:tab w:val="start" w:pos="1260pt"/>
          <w:tab w:val="start" w:pos="1296pt"/>
          <w:tab w:val="start" w:pos="1332pt"/>
        </w:tabs>
        <w:adjustRightInd w:val="0"/>
        <w:spacing w:after="6pt"/>
        <w:ind w:start="28.35pt" w:hanging="28.35pt"/>
        <w:jc w:val="both"/>
        <w:textAlignment w:val="baseline"/>
        <w:rPr>
          <w:rFonts w:ascii="Century Gothic" w:hAnsi="Century Gothic" w:cs="Arial"/>
          <w:b/>
          <w:lang w:val="es-ES_tradnl"/>
        </w:rPr>
      </w:pPr>
      <w:r>
        <w:rPr>
          <w:rFonts w:ascii="Century Gothic" w:hAnsi="Century Gothic" w:cs="Times New Roman"/>
          <w:lang w:val="es-ES_tradnl"/>
        </w:rPr>
        <w:t>1)</w:t>
      </w:r>
      <w:r>
        <w:rPr>
          <w:rFonts w:ascii="Century Gothic" w:hAnsi="Century Gothic" w:cs="Times New Roman"/>
          <w:lang w:val="es-ES_tradnl"/>
        </w:rPr>
        <w:tab/>
      </w:r>
      <w:r>
        <w:rPr>
          <w:rFonts w:ascii="Century Gothic" w:hAnsi="Century Gothic" w:cs="Arial"/>
          <w:lang w:val="es-ES_tradnl"/>
        </w:rPr>
        <w:t>Las Partes podrán nombrar a un perito en común de mutuo acuerdo, para lo cual no podrán excederse más de cinco días hábiles, salvo que ambas consientan un plazo mayor</w:t>
      </w:r>
      <w:r>
        <w:rPr>
          <w:rFonts w:ascii="Century Gothic" w:hAnsi="Century Gothic" w:cs="Arial"/>
          <w:b/>
          <w:lang w:val="es-ES_tradnl"/>
        </w:rPr>
        <w:t>.</w:t>
      </w:r>
    </w:p>
    <w:p w:rsidR="0017227E" w:rsidRPr="00611019" w:rsidRDefault="00E56462" w:rsidP="00035D2C">
      <w:pPr>
        <w:widowControl w:val="0"/>
        <w:tabs>
          <w:tab w:val="start" w:pos="28.35pt"/>
          <w:tab w:val="start" w:pos="72pt"/>
          <w:tab w:val="start" w:pos="108pt"/>
          <w:tab w:val="start" w:pos="144pt"/>
          <w:tab w:val="start" w:pos="180pt"/>
          <w:tab w:val="start" w:pos="216pt"/>
          <w:tab w:val="start" w:pos="252pt"/>
          <w:tab w:val="start" w:pos="288pt"/>
          <w:tab w:val="start" w:pos="324pt"/>
          <w:tab w:val="start" w:pos="360pt"/>
          <w:tab w:val="start" w:pos="396pt"/>
          <w:tab w:val="start" w:pos="432pt"/>
          <w:tab w:val="start" w:pos="468pt"/>
          <w:tab w:val="start" w:pos="504pt"/>
          <w:tab w:val="start" w:pos="540pt"/>
          <w:tab w:val="start" w:pos="576pt"/>
          <w:tab w:val="start" w:pos="612pt"/>
          <w:tab w:val="start" w:pos="648pt"/>
          <w:tab w:val="start" w:pos="684pt"/>
          <w:tab w:val="start" w:pos="720pt"/>
          <w:tab w:val="start" w:pos="756pt"/>
          <w:tab w:val="start" w:pos="792pt"/>
          <w:tab w:val="start" w:pos="828pt"/>
          <w:tab w:val="start" w:pos="864pt"/>
          <w:tab w:val="start" w:pos="900pt"/>
          <w:tab w:val="start" w:pos="936pt"/>
          <w:tab w:val="start" w:pos="972pt"/>
          <w:tab w:val="start" w:pos="1008pt"/>
          <w:tab w:val="start" w:pos="1044pt"/>
          <w:tab w:val="start" w:pos="1080pt"/>
          <w:tab w:val="start" w:pos="1116pt"/>
          <w:tab w:val="start" w:pos="1152pt"/>
          <w:tab w:val="start" w:pos="1188pt"/>
          <w:tab w:val="start" w:pos="1224pt"/>
          <w:tab w:val="start" w:pos="1260pt"/>
          <w:tab w:val="start" w:pos="1296pt"/>
          <w:tab w:val="start" w:pos="1332pt"/>
        </w:tabs>
        <w:adjustRightInd w:val="0"/>
        <w:spacing w:after="6pt"/>
        <w:ind w:start="28.35pt" w:hanging="28.35pt"/>
        <w:jc w:val="both"/>
        <w:textAlignment w:val="baseline"/>
        <w:rPr>
          <w:rFonts w:ascii="Century Gothic" w:hAnsi="Century Gothic" w:cs="Arial"/>
          <w:lang w:val="es-ES_tradnl"/>
        </w:rPr>
      </w:pPr>
      <w:r>
        <w:rPr>
          <w:rFonts w:ascii="Century Gothic" w:hAnsi="Century Gothic" w:cs="Times New Roman"/>
          <w:lang w:val="es-ES_tradnl"/>
        </w:rPr>
        <w:t>2)</w:t>
      </w:r>
      <w:r>
        <w:rPr>
          <w:rFonts w:ascii="Century Gothic" w:hAnsi="Century Gothic" w:cs="Times New Roman"/>
          <w:lang w:val="es-ES_tradnl"/>
        </w:rPr>
        <w:tab/>
      </w:r>
      <w:r>
        <w:rPr>
          <w:rFonts w:ascii="Century Gothic" w:hAnsi="Century Gothic" w:cs="Arial"/>
          <w:lang w:val="es-ES_tradnl"/>
        </w:rPr>
        <w:t>La designación de peritos de manera individual no podrá exceder de cinco días hábiles.</w:t>
      </w:r>
    </w:p>
    <w:p w:rsidR="0017227E" w:rsidRPr="00611019" w:rsidRDefault="00E56462" w:rsidP="00035D2C">
      <w:pPr>
        <w:widowControl w:val="0"/>
        <w:tabs>
          <w:tab w:val="start" w:pos="28.35pt"/>
          <w:tab w:val="start" w:pos="72pt"/>
          <w:tab w:val="start" w:pos="108pt"/>
          <w:tab w:val="start" w:pos="144pt"/>
          <w:tab w:val="start" w:pos="180pt"/>
          <w:tab w:val="start" w:pos="216pt"/>
          <w:tab w:val="start" w:pos="252pt"/>
          <w:tab w:val="start" w:pos="288pt"/>
          <w:tab w:val="start" w:pos="324pt"/>
          <w:tab w:val="start" w:pos="360pt"/>
          <w:tab w:val="start" w:pos="396pt"/>
          <w:tab w:val="start" w:pos="432pt"/>
          <w:tab w:val="start" w:pos="468pt"/>
          <w:tab w:val="start" w:pos="504pt"/>
          <w:tab w:val="start" w:pos="540pt"/>
          <w:tab w:val="start" w:pos="576pt"/>
          <w:tab w:val="start" w:pos="612pt"/>
          <w:tab w:val="start" w:pos="648pt"/>
          <w:tab w:val="start" w:pos="684pt"/>
          <w:tab w:val="start" w:pos="720pt"/>
          <w:tab w:val="start" w:pos="756pt"/>
          <w:tab w:val="start" w:pos="792pt"/>
          <w:tab w:val="start" w:pos="828pt"/>
          <w:tab w:val="start" w:pos="864pt"/>
          <w:tab w:val="start" w:pos="900pt"/>
          <w:tab w:val="start" w:pos="936pt"/>
          <w:tab w:val="start" w:pos="972pt"/>
          <w:tab w:val="start" w:pos="1008pt"/>
          <w:tab w:val="start" w:pos="1044pt"/>
          <w:tab w:val="start" w:pos="1080pt"/>
          <w:tab w:val="start" w:pos="1116pt"/>
          <w:tab w:val="start" w:pos="1152pt"/>
          <w:tab w:val="start" w:pos="1188pt"/>
          <w:tab w:val="start" w:pos="1224pt"/>
          <w:tab w:val="start" w:pos="1260pt"/>
          <w:tab w:val="start" w:pos="1296pt"/>
          <w:tab w:val="start" w:pos="1332pt"/>
        </w:tabs>
        <w:adjustRightInd w:val="0"/>
        <w:spacing w:after="6pt"/>
        <w:ind w:start="28.35pt" w:hanging="28.35pt"/>
        <w:jc w:val="both"/>
        <w:textAlignment w:val="baseline"/>
        <w:rPr>
          <w:rFonts w:ascii="Century Gothic" w:hAnsi="Century Gothic" w:cs="Arial"/>
          <w:lang w:val="es-ES_tradnl"/>
        </w:rPr>
      </w:pPr>
      <w:r>
        <w:rPr>
          <w:rFonts w:ascii="Century Gothic" w:hAnsi="Century Gothic" w:cs="Times New Roman"/>
          <w:lang w:val="es-ES_tradnl"/>
        </w:rPr>
        <w:t>3)</w:t>
      </w:r>
      <w:r>
        <w:rPr>
          <w:rFonts w:ascii="Century Gothic" w:hAnsi="Century Gothic" w:cs="Times New Roman"/>
          <w:lang w:val="es-ES_tradnl"/>
        </w:rPr>
        <w:tab/>
      </w:r>
      <w:r>
        <w:rPr>
          <w:rFonts w:ascii="Century Gothic" w:hAnsi="Century Gothic" w:cs="Arial"/>
          <w:lang w:val="es-ES_tradnl"/>
        </w:rPr>
        <w:t>En caso de que las Partes acuerden la designación de peritos de forma individual, el tiempo requerido por los peritos para emitir su dictamen será de 20 días hábiles.</w:t>
      </w:r>
    </w:p>
    <w:p w:rsidR="0017227E" w:rsidRPr="00611019" w:rsidRDefault="00E56462" w:rsidP="00035D2C">
      <w:pPr>
        <w:widowControl w:val="0"/>
        <w:tabs>
          <w:tab w:val="start" w:pos="28.35pt"/>
          <w:tab w:val="start" w:pos="72pt"/>
          <w:tab w:val="start" w:pos="108pt"/>
          <w:tab w:val="start" w:pos="144pt"/>
          <w:tab w:val="start" w:pos="180pt"/>
          <w:tab w:val="start" w:pos="216pt"/>
          <w:tab w:val="start" w:pos="252pt"/>
          <w:tab w:val="start" w:pos="288pt"/>
          <w:tab w:val="start" w:pos="324pt"/>
          <w:tab w:val="start" w:pos="360pt"/>
          <w:tab w:val="start" w:pos="396pt"/>
          <w:tab w:val="start" w:pos="432pt"/>
          <w:tab w:val="start" w:pos="468pt"/>
          <w:tab w:val="start" w:pos="504pt"/>
          <w:tab w:val="start" w:pos="540pt"/>
          <w:tab w:val="start" w:pos="576pt"/>
          <w:tab w:val="start" w:pos="612pt"/>
          <w:tab w:val="start" w:pos="648pt"/>
          <w:tab w:val="start" w:pos="684pt"/>
          <w:tab w:val="start" w:pos="720pt"/>
          <w:tab w:val="start" w:pos="756pt"/>
          <w:tab w:val="start" w:pos="792pt"/>
          <w:tab w:val="start" w:pos="828pt"/>
          <w:tab w:val="start" w:pos="864pt"/>
          <w:tab w:val="start" w:pos="900pt"/>
          <w:tab w:val="start" w:pos="936pt"/>
          <w:tab w:val="start" w:pos="972pt"/>
          <w:tab w:val="start" w:pos="1008pt"/>
          <w:tab w:val="start" w:pos="1044pt"/>
          <w:tab w:val="start" w:pos="1080pt"/>
          <w:tab w:val="start" w:pos="1116pt"/>
          <w:tab w:val="start" w:pos="1152pt"/>
          <w:tab w:val="start" w:pos="1188pt"/>
          <w:tab w:val="start" w:pos="1224pt"/>
          <w:tab w:val="start" w:pos="1260pt"/>
          <w:tab w:val="start" w:pos="1296pt"/>
          <w:tab w:val="start" w:pos="1332pt"/>
        </w:tabs>
        <w:adjustRightInd w:val="0"/>
        <w:spacing w:after="6pt"/>
        <w:ind w:start="28.35pt" w:hanging="28.35pt"/>
        <w:jc w:val="both"/>
        <w:textAlignment w:val="baseline"/>
        <w:rPr>
          <w:rFonts w:ascii="Century Gothic" w:hAnsi="Century Gothic" w:cs="Arial"/>
          <w:b/>
          <w:lang w:val="es-ES_tradnl"/>
        </w:rPr>
      </w:pPr>
      <w:r>
        <w:rPr>
          <w:rFonts w:ascii="Century Gothic" w:hAnsi="Century Gothic" w:cs="Times New Roman"/>
          <w:lang w:val="es-ES_tradnl"/>
        </w:rPr>
        <w:t>4)</w:t>
      </w:r>
      <w:r>
        <w:rPr>
          <w:rFonts w:ascii="Century Gothic" w:hAnsi="Century Gothic" w:cs="Times New Roman"/>
          <w:lang w:val="es-ES_tradnl"/>
        </w:rPr>
        <w:tab/>
      </w:r>
      <w:r>
        <w:rPr>
          <w:rFonts w:ascii="Century Gothic" w:hAnsi="Century Gothic" w:cs="Arial"/>
          <w:lang w:val="es-ES_tradnl"/>
        </w:rPr>
        <w:t>Una vez emitido el dictamen correspondiente, las Partes tendrán a lo sumo dos días hábiles para presentar formalmente la información al Instituto.</w:t>
      </w:r>
    </w:p>
    <w:p w:rsidR="00132499" w:rsidRPr="00611019" w:rsidRDefault="00132499" w:rsidP="00035D2C">
      <w:pPr>
        <w:spacing w:after="6pt"/>
        <w:jc w:val="both"/>
        <w:rPr>
          <w:rFonts w:ascii="Century Gothic" w:hAnsi="Century Gothic" w:cs="Arial"/>
          <w:lang w:val="es-ES_tradnl"/>
        </w:rPr>
      </w:pPr>
    </w:p>
    <w:p w:rsidR="0017227E" w:rsidRPr="00611019" w:rsidRDefault="00E56462" w:rsidP="00035D2C">
      <w:pPr>
        <w:spacing w:after="6pt"/>
        <w:jc w:val="both"/>
        <w:rPr>
          <w:rFonts w:ascii="Century Gothic" w:hAnsi="Century Gothic" w:cs="Arial"/>
          <w:lang w:val="es-ES_tradnl"/>
        </w:rPr>
      </w:pPr>
      <w:r>
        <w:rPr>
          <w:rFonts w:ascii="Century Gothic" w:hAnsi="Century Gothic" w:cs="Arial"/>
          <w:lang w:val="es-ES_tradnl"/>
        </w:rPr>
        <w:t>Leído que fue el presente CONVENIO y enteradas las Partes de su contenido y alcance legal, estando de acuerdo en obligarse en los términos y condiciones contenidos en el mismo, las Partes lo firman por duplicado en la Ciudad de México, el [     ] de [      ] de 202</w:t>
      </w:r>
      <w:r w:rsidR="000E6222">
        <w:rPr>
          <w:rFonts w:ascii="Century Gothic" w:hAnsi="Century Gothic" w:cs="Arial"/>
          <w:lang w:val="es-ES_tradnl"/>
        </w:rPr>
        <w:t>6</w:t>
      </w:r>
      <w:r>
        <w:rPr>
          <w:rFonts w:ascii="Century Gothic" w:hAnsi="Century Gothic" w:cs="Arial"/>
          <w:lang w:val="es-ES_tradnl"/>
        </w:rPr>
        <w:t>.</w:t>
      </w:r>
    </w:p>
    <w:p w:rsidR="00BB6A55" w:rsidRPr="00611019" w:rsidRDefault="00BB6A55" w:rsidP="00035D2C">
      <w:pPr>
        <w:spacing w:after="6pt"/>
        <w:jc w:val="both"/>
        <w:rPr>
          <w:rFonts w:ascii="Century Gothic" w:hAnsi="Century Gothic" w:cs="Arial"/>
          <w:lang w:val="es-ES_tradnl"/>
        </w:rPr>
      </w:pPr>
    </w:p>
    <w:tbl>
      <w:tblPr>
        <w:tblW w:w="524.75pt" w:type="dxa"/>
        <w:jc w:val="center"/>
        <w:tblLayout w:type="fixed"/>
        <w:tblLook w:firstRow="1" w:lastRow="0" w:firstColumn="1" w:lastColumn="0" w:noHBand="0" w:noVBand="1"/>
      </w:tblPr>
      <w:tblGrid>
        <w:gridCol w:w="5156"/>
        <w:gridCol w:w="241"/>
        <w:gridCol w:w="5098"/>
      </w:tblGrid>
      <w:tr w:rsidR="0061711D" w:rsidTr="001F2AFB">
        <w:trPr>
          <w:jc w:val="center"/>
        </w:trPr>
        <w:tc>
          <w:tcPr>
            <w:tcW w:w="257.75pt" w:type="dxa"/>
            <w:shd w:val="clear" w:color="auto" w:fill="auto"/>
          </w:tcPr>
          <w:p w:rsidR="00132499" w:rsidRPr="00611019" w:rsidRDefault="00E56462" w:rsidP="00035D2C">
            <w:pPr>
              <w:autoSpaceDE w:val="0"/>
              <w:autoSpaceDN w:val="0"/>
              <w:jc w:val="center"/>
              <w:rPr>
                <w:rFonts w:ascii="Century Gothic" w:eastAsia="Times New Roman" w:hAnsi="Century Gothic" w:cs="Arial"/>
                <w:b/>
                <w:bCs/>
                <w:color w:val="000000"/>
              </w:rPr>
            </w:pPr>
            <w:r>
              <w:rPr>
                <w:rFonts w:ascii="Century Gothic" w:eastAsia="Times New Roman" w:hAnsi="Century Gothic" w:cs="Arial"/>
                <w:b/>
                <w:bCs/>
                <w:color w:val="000000"/>
              </w:rPr>
              <w:t>Red Nacional Última Milla, S.A.P.I. de C.V.</w:t>
            </w:r>
          </w:p>
          <w:p w:rsidR="00132499" w:rsidRPr="00611019" w:rsidRDefault="00132499" w:rsidP="00035D2C">
            <w:pPr>
              <w:autoSpaceDE w:val="0"/>
              <w:autoSpaceDN w:val="0"/>
              <w:jc w:val="center"/>
              <w:rPr>
                <w:rFonts w:ascii="Century Gothic" w:eastAsia="Times New Roman" w:hAnsi="Century Gothic" w:cs="Arial"/>
                <w:color w:val="000000"/>
              </w:rPr>
            </w:pPr>
          </w:p>
          <w:p w:rsidR="00132499" w:rsidRPr="00611019" w:rsidRDefault="00132499" w:rsidP="00035D2C">
            <w:pPr>
              <w:autoSpaceDE w:val="0"/>
              <w:autoSpaceDN w:val="0"/>
              <w:jc w:val="center"/>
              <w:rPr>
                <w:rFonts w:ascii="Century Gothic" w:eastAsia="Times New Roman" w:hAnsi="Century Gothic" w:cs="Arial"/>
                <w:color w:val="000000"/>
              </w:rPr>
            </w:pPr>
          </w:p>
          <w:p w:rsidR="00132499" w:rsidRPr="00611019" w:rsidRDefault="00132499" w:rsidP="00035D2C">
            <w:pPr>
              <w:autoSpaceDE w:val="0"/>
              <w:autoSpaceDN w:val="0"/>
              <w:jc w:val="center"/>
              <w:rPr>
                <w:rFonts w:ascii="Century Gothic" w:eastAsia="Times New Roman" w:hAnsi="Century Gothic" w:cs="Arial"/>
                <w:color w:val="000000"/>
              </w:rPr>
            </w:pPr>
          </w:p>
          <w:p w:rsidR="00132499" w:rsidRPr="00611019" w:rsidRDefault="00132499" w:rsidP="00035D2C">
            <w:pPr>
              <w:autoSpaceDE w:val="0"/>
              <w:autoSpaceDN w:val="0"/>
              <w:jc w:val="center"/>
              <w:rPr>
                <w:rFonts w:ascii="Century Gothic" w:eastAsia="Times New Roman" w:hAnsi="Century Gothic" w:cs="Arial"/>
                <w:color w:val="000000"/>
              </w:rPr>
            </w:pPr>
          </w:p>
          <w:p w:rsidR="00132499" w:rsidRPr="00611019" w:rsidRDefault="00E56462" w:rsidP="00035D2C">
            <w:pPr>
              <w:autoSpaceDE w:val="0"/>
              <w:autoSpaceDN w:val="0"/>
              <w:jc w:val="center"/>
              <w:rPr>
                <w:rFonts w:ascii="Century Gothic" w:eastAsia="Times New Roman" w:hAnsi="Century Gothic" w:cs="Arial"/>
                <w:color w:val="000000"/>
              </w:rPr>
            </w:pPr>
            <w:r>
              <w:rPr>
                <w:rFonts w:ascii="Century Gothic" w:eastAsia="Times New Roman" w:hAnsi="Century Gothic" w:cs="Arial"/>
                <w:color w:val="000000"/>
              </w:rPr>
              <w:t>________________________________________</w:t>
            </w:r>
          </w:p>
          <w:p w:rsidR="00132499" w:rsidRPr="00611019" w:rsidRDefault="00E56462" w:rsidP="00035D2C">
            <w:pPr>
              <w:autoSpaceDE w:val="0"/>
              <w:autoSpaceDN w:val="0"/>
              <w:jc w:val="center"/>
              <w:rPr>
                <w:rFonts w:ascii="Century Gothic" w:eastAsia="Times New Roman" w:hAnsi="Century Gothic" w:cs="Arial"/>
                <w:color w:val="000000"/>
              </w:rPr>
            </w:pPr>
            <w:r>
              <w:rPr>
                <w:rFonts w:ascii="Century Gothic" w:eastAsia="Times New Roman" w:hAnsi="Century Gothic" w:cs="Arial"/>
                <w:color w:val="000000"/>
              </w:rPr>
              <w:t>[*]</w:t>
            </w:r>
          </w:p>
        </w:tc>
        <w:tc>
          <w:tcPr>
            <w:tcW w:w="12.05pt" w:type="dxa"/>
            <w:shd w:val="clear" w:color="auto" w:fill="auto"/>
          </w:tcPr>
          <w:p w:rsidR="00132499" w:rsidRPr="00611019" w:rsidRDefault="00132499" w:rsidP="00035D2C">
            <w:pPr>
              <w:autoSpaceDE w:val="0"/>
              <w:autoSpaceDN w:val="0"/>
              <w:jc w:val="center"/>
              <w:rPr>
                <w:rFonts w:ascii="Century Gothic" w:eastAsia="Times New Roman" w:hAnsi="Century Gothic" w:cs="Arial"/>
                <w:color w:val="000000"/>
              </w:rPr>
            </w:pPr>
          </w:p>
        </w:tc>
        <w:tc>
          <w:tcPr>
            <w:tcW w:w="254.85pt" w:type="dxa"/>
            <w:shd w:val="clear" w:color="auto" w:fill="auto"/>
          </w:tcPr>
          <w:p w:rsidR="00132499" w:rsidRPr="00611019" w:rsidRDefault="00E56462" w:rsidP="00035D2C">
            <w:pPr>
              <w:autoSpaceDE w:val="0"/>
              <w:autoSpaceDN w:val="0"/>
              <w:jc w:val="center"/>
              <w:rPr>
                <w:rFonts w:ascii="Century Gothic" w:eastAsia="Times New Roman" w:hAnsi="Century Gothic" w:cs="Arial"/>
                <w:b/>
                <w:bCs/>
                <w:color w:val="000000"/>
                <w:lang w:val="es-ES_tradnl"/>
              </w:rPr>
            </w:pPr>
            <w:r>
              <w:rPr>
                <w:rFonts w:ascii="Century Gothic" w:eastAsia="Times New Roman" w:hAnsi="Century Gothic" w:cs="Arial"/>
                <w:b/>
                <w:bCs/>
                <w:color w:val="000000"/>
                <w:lang w:val="es-ES_tradnl"/>
              </w:rPr>
              <w:t>Concesionario [</w:t>
            </w:r>
            <w:r>
              <w:rPr>
                <w:rFonts w:ascii="Century Gothic" w:eastAsia="Times New Roman" w:hAnsi="Century Gothic" w:cs="Arial"/>
                <w:b/>
                <w:color w:val="000000"/>
                <w:lang w:val="es-ES_tradnl"/>
              </w:rPr>
              <w:t>Autorizado] Solicitante</w:t>
            </w:r>
          </w:p>
          <w:p w:rsidR="00132499" w:rsidRPr="00611019" w:rsidRDefault="00132499" w:rsidP="00035D2C">
            <w:pPr>
              <w:autoSpaceDE w:val="0"/>
              <w:autoSpaceDN w:val="0"/>
              <w:jc w:val="center"/>
              <w:rPr>
                <w:rFonts w:ascii="Century Gothic" w:eastAsia="Times New Roman" w:hAnsi="Century Gothic" w:cs="Arial"/>
                <w:color w:val="000000"/>
              </w:rPr>
            </w:pPr>
          </w:p>
          <w:p w:rsidR="00132499" w:rsidRPr="00611019" w:rsidRDefault="00132499" w:rsidP="00035D2C">
            <w:pPr>
              <w:autoSpaceDE w:val="0"/>
              <w:autoSpaceDN w:val="0"/>
              <w:jc w:val="center"/>
              <w:rPr>
                <w:rFonts w:ascii="Century Gothic" w:eastAsia="Times New Roman" w:hAnsi="Century Gothic" w:cs="Arial"/>
                <w:color w:val="000000"/>
              </w:rPr>
            </w:pPr>
          </w:p>
          <w:p w:rsidR="00132499" w:rsidRPr="00611019" w:rsidRDefault="00132499" w:rsidP="00035D2C">
            <w:pPr>
              <w:autoSpaceDE w:val="0"/>
              <w:autoSpaceDN w:val="0"/>
              <w:jc w:val="center"/>
              <w:rPr>
                <w:rFonts w:ascii="Century Gothic" w:eastAsia="Times New Roman" w:hAnsi="Century Gothic" w:cs="Arial"/>
                <w:color w:val="000000"/>
              </w:rPr>
            </w:pPr>
          </w:p>
          <w:p w:rsidR="00132499" w:rsidRPr="00611019" w:rsidRDefault="00132499" w:rsidP="00035D2C">
            <w:pPr>
              <w:autoSpaceDE w:val="0"/>
              <w:autoSpaceDN w:val="0"/>
              <w:jc w:val="center"/>
              <w:rPr>
                <w:rFonts w:ascii="Century Gothic" w:eastAsia="Times New Roman" w:hAnsi="Century Gothic" w:cs="Arial"/>
                <w:color w:val="000000"/>
              </w:rPr>
            </w:pPr>
          </w:p>
          <w:p w:rsidR="00132499" w:rsidRPr="00611019" w:rsidRDefault="00E56462" w:rsidP="00035D2C">
            <w:pPr>
              <w:autoSpaceDE w:val="0"/>
              <w:autoSpaceDN w:val="0"/>
              <w:jc w:val="center"/>
              <w:rPr>
                <w:rFonts w:ascii="Century Gothic" w:eastAsia="Times New Roman" w:hAnsi="Century Gothic" w:cs="Arial"/>
                <w:color w:val="000000"/>
              </w:rPr>
            </w:pPr>
            <w:r>
              <w:rPr>
                <w:rFonts w:ascii="Century Gothic" w:eastAsia="Times New Roman" w:hAnsi="Century Gothic" w:cs="Arial"/>
                <w:color w:val="000000"/>
              </w:rPr>
              <w:t>________________________________________</w:t>
            </w:r>
          </w:p>
          <w:p w:rsidR="00132499" w:rsidRPr="00611019" w:rsidRDefault="00E56462" w:rsidP="00035D2C">
            <w:pPr>
              <w:autoSpaceDE w:val="0"/>
              <w:autoSpaceDN w:val="0"/>
              <w:jc w:val="center"/>
              <w:rPr>
                <w:rFonts w:ascii="Century Gothic" w:eastAsia="Times New Roman" w:hAnsi="Century Gothic" w:cs="Arial"/>
                <w:b/>
                <w:bCs/>
                <w:color w:val="000000"/>
                <w:lang w:val="es-ES_tradnl"/>
              </w:rPr>
            </w:pPr>
            <w:r>
              <w:rPr>
                <w:rFonts w:ascii="Century Gothic" w:eastAsia="Times New Roman" w:hAnsi="Century Gothic" w:cs="Arial"/>
                <w:b/>
                <w:bCs/>
                <w:color w:val="000000"/>
                <w:lang w:val="es-ES_tradnl"/>
              </w:rPr>
              <w:t>[*]</w:t>
            </w:r>
          </w:p>
        </w:tc>
      </w:tr>
    </w:tbl>
    <w:p w:rsidR="00805D4B" w:rsidRPr="00611019" w:rsidRDefault="00805D4B" w:rsidP="00035D2C">
      <w:pPr>
        <w:ind w:start="18pt" w:hanging="18pt"/>
        <w:jc w:val="both"/>
        <w:rPr>
          <w:rFonts w:ascii="Century Gothic" w:hAnsi="Century Gothic" w:cs="Arial"/>
        </w:rPr>
      </w:pPr>
    </w:p>
    <w:p w:rsidR="00583DEB" w:rsidRDefault="00583DEB" w:rsidP="00035D2C">
      <w:pPr>
        <w:pStyle w:val="IFTnormal"/>
        <w:ind w:start="36pt" w:hanging="18pt"/>
        <w:rPr>
          <w:rFonts w:ascii="Century Gothic" w:hAnsi="Century Gothic"/>
        </w:rPr>
        <w:sectPr w:rsidR="00583DEB" w:rsidSect="00805D4B">
          <w:headerReference w:type="default" r:id="rId74"/>
          <w:type w:val="oddPage"/>
          <w:pgSz w:w="612.10pt" w:h="792.10pt" w:code="1"/>
          <w:pgMar w:top="70.90pt" w:right="70.90pt" w:bottom="70.90pt" w:left="70.90pt" w:header="35.45pt" w:footer="35.45pt" w:gutter="0pt"/>
          <w:cols w:space="36pt"/>
          <w:titlePg/>
          <w:docGrid w:linePitch="326"/>
        </w:sectPr>
      </w:pPr>
    </w:p>
    <w:p w:rsidR="008728A8" w:rsidRPr="008728A8" w:rsidRDefault="00E56462" w:rsidP="008728A8">
      <w:pPr>
        <w:pStyle w:val="IFTnormal"/>
        <w:spacing w:line="12pt" w:lineRule="auto"/>
        <w:ind w:start="36pt" w:hanging="18pt"/>
        <w:rPr>
          <w:rFonts w:ascii="Century Gothic" w:hAnsi="Century Gothic"/>
        </w:rPr>
      </w:pPr>
      <w:r w:rsidRPr="00AD1DC8">
        <w:rPr>
          <w:rFonts w:ascii="Century Gothic" w:hAnsi="Century Gothic" w:cs="Times New Roman"/>
        </w:rPr>
        <w:lastRenderedPageBreak/>
        <w:t xml:space="preserve"> </w:t>
      </w:r>
    </w:p>
    <w:p w:rsidR="008728A8" w:rsidRPr="008728A8" w:rsidRDefault="008728A8" w:rsidP="008728A8">
      <w:pPr>
        <w:spacing w:after="10pt" w:line="12pt" w:lineRule="auto"/>
        <w:ind w:start="17.60pt"/>
        <w:jc w:val="both"/>
        <w:rPr>
          <w:rFonts w:ascii="Century Gothic" w:eastAsia="Times New Roman" w:hAnsi="Century Gothic" w:cs="Arial"/>
          <w:b/>
          <w:sz w:val="24"/>
          <w:szCs w:val="24"/>
          <w:lang w:val="es-ES_tradnl" w:eastAsia="es-ES"/>
        </w:rPr>
      </w:pPr>
      <w:r w:rsidRPr="008728A8">
        <w:rPr>
          <w:rFonts w:ascii="Century Gothic" w:eastAsia="Times New Roman" w:hAnsi="Century Gothic" w:cs="Arial"/>
          <w:noProof/>
          <w:sz w:val="24"/>
          <w:szCs w:val="24"/>
          <w:lang w:eastAsia="es-MX"/>
        </w:rPr>
        <w:drawing>
          <wp:inline distT="0" distB="0" distL="0" distR="0" wp14:anchorId="19FC52AE" wp14:editId="7FFCAD88">
            <wp:extent cx="5678303" cy="7528387"/>
            <wp:effectExtent l="38100" t="38100" r="36830" b="34925"/>
            <wp:docPr id="459" name="Rectángulo: esquinas redondeadas 9"/>
            <wp:cNvGraphicFramePr>
              <a:graphicFrameLocks xmlns:a="http://purl.oclc.org/ooxml/drawingml/main"/>
            </wp:cNvGraphicFramePr>
            <a:graphic xmlns:a="http://purl.oclc.org/ooxml/drawingml/main">
              <a:graphicData uri="http://schemas.microsoft.com/office/word/2010/wordprocessingShape">
                <wp:wsp>
                  <wp:cNvSpPr>
                    <a:spLocks/>
                  </wp:cNvSpPr>
                  <wp:spPr>
                    <a:xfrm>
                      <a:off x="0" y="0"/>
                      <a:ext cx="5678303" cy="7528387"/>
                    </a:xfrm>
                    <a:prstGeom prst="roundRect">
                      <a:avLst>
                        <a:gd name="adj" fmla="val 6030"/>
                      </a:avLst>
                    </a:prstGeom>
                    <a:noFill/>
                    <a:ln w="76200" cap="flat" cmpd="sng" algn="ctr">
                      <a:solidFill>
                        <a:srgbClr val="009AD9"/>
                      </a:solidFill>
                      <a:prstDash val="solid"/>
                      <a:miter lim="800%"/>
                    </a:ln>
                    <a:effectLst/>
                  </wp:spPr>
                  <wp:txbx>
                    <wne:txbxContent>
                      <w:p w:rsidR="000511F0" w:rsidRDefault="000511F0" w:rsidP="008728A8">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7627EFE" wp14:editId="78AEB907">
                              <wp:extent cx="2552700" cy="1438275"/>
                              <wp:effectExtent l="0" t="0" r="0" b="9525"/>
                              <wp:docPr id="26" name="Imagen 26"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bookmarkStart w:id="3066" w:name="_Toc92974214"/>
                        <w:bookmarkStart w:id="3067" w:name="_Toc93052527"/>
                        <w:bookmarkStart w:id="3068" w:name="_Toc93056482"/>
                        <w:bookmarkStart w:id="3069" w:name="_Toc125393548"/>
                        <w:bookmarkStart w:id="3070" w:name="_Toc128478072"/>
                        <w:bookmarkStart w:id="3071" w:name="_Toc148692423"/>
                        <w:bookmarkStart w:id="3072" w:name="_Toc148702403"/>
                        <w:bookmarkStart w:id="3073" w:name="_Toc149644514"/>
                        <w:bookmarkStart w:id="3074" w:name="_Toc149644799"/>
                        <w:bookmarkStart w:id="3075" w:name="_Toc149645104"/>
                        <w:r w:rsidRPr="006B0514">
                          <w:rPr>
                            <w:rFonts w:ascii="Century Gothic" w:hAnsi="Century Gothic"/>
                            <w:sz w:val="24"/>
                            <w:szCs w:val="24"/>
                            <w:u w:val="single"/>
                          </w:rPr>
                          <w:t xml:space="preserve">ANEXO </w:t>
                        </w:r>
                        <w:r>
                          <w:rPr>
                            <w:rFonts w:ascii="Century Gothic" w:hAnsi="Century Gothic"/>
                            <w:sz w:val="24"/>
                            <w:szCs w:val="24"/>
                            <w:u w:val="single"/>
                          </w:rPr>
                          <w:t>G1</w:t>
                        </w:r>
                        <w:bookmarkEnd w:id="3066"/>
                        <w:bookmarkEnd w:id="3067"/>
                        <w:bookmarkEnd w:id="3068"/>
                        <w:bookmarkEnd w:id="3069"/>
                        <w:bookmarkEnd w:id="3070"/>
                        <w:bookmarkEnd w:id="3071"/>
                        <w:bookmarkEnd w:id="3072"/>
                        <w:bookmarkEnd w:id="3073"/>
                        <w:bookmarkEnd w:id="3074"/>
                        <w:bookmarkEnd w:id="3075"/>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sidRPr="0069528E">
                          <w:rPr>
                            <w:rFonts w:ascii="Century Gothic" w:eastAsia="Calibri" w:hAnsi="Century Gothic" w:cs="Arial"/>
                            <w:b/>
                            <w:sz w:val="26"/>
                            <w:szCs w:val="26"/>
                          </w:rPr>
                          <w:t>Norma Cableado Interior en el Domicilio del Usuario</w:t>
                        </w:r>
                      </w:p>
                      <w:p w:rsidR="000511F0" w:rsidRPr="006B0514" w:rsidRDefault="000511F0" w:rsidP="008728A8">
                        <w:pPr>
                          <w:rPr>
                            <w:lang w:val="es-ES" w:eastAsia="es-ES"/>
                          </w:rPr>
                        </w:pPr>
                      </w:p>
                      <w:p w:rsidR="000511F0" w:rsidRPr="008A6791" w:rsidRDefault="000511F0" w:rsidP="008728A8">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rsidR="000511F0" w:rsidRPr="00414BEA" w:rsidRDefault="000511F0" w:rsidP="008728A8">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rsidR="000511F0" w:rsidRPr="008A6791" w:rsidRDefault="000511F0" w:rsidP="008728A8">
                        <w:pPr>
                          <w:jc w:val="center"/>
                          <w:rPr>
                            <w:rFonts w:ascii="Century Gothic" w:hAnsi="Century Gothic"/>
                            <w:b/>
                            <w:bCs/>
                            <w:sz w:val="24"/>
                            <w:szCs w:val="24"/>
                          </w:rPr>
                        </w:pPr>
                      </w:p>
                      <w:p w:rsidR="000511F0" w:rsidRPr="008A6791" w:rsidRDefault="000511F0" w:rsidP="008728A8">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6</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tabs>
                            <w:tab w:val="start" w:pos="42.55pt"/>
                            <w:tab w:val="end" w:leader="dot" w:pos="467.80pt"/>
                          </w:tabs>
                          <w:spacing w:before="3pt" w:line="13.30pt" w:lineRule="auto"/>
                          <w:ind w:start="42.55pt" w:hanging="42.55pt"/>
                          <w:mirrorIndents/>
                          <w:rPr>
                            <w:rFonts w:ascii="Century Gothic" w:hAnsi="Century Gothic"/>
                          </w:rPr>
                        </w:pPr>
                      </w:p>
                    </wne:txbxContent>
                  </wp:txbx>
                  <wp:bodyPr rot="0" spcFirstLastPara="0" vertOverflow="overflow" horzOverflow="overflow" vert="horz" wrap="square" lIns="91440" tIns="45720" rIns="91440" bIns="45720" numCol="1" spcCol="0" rtlCol="0" fromWordArt="0" anchor="ctr" anchorCtr="0" forceAA="0" compatLnSpc="1">
                    <a:prstTxWarp prst="textNoShape">
                      <a:avLst/>
                    </a:prstTxWarp>
                    <a:noAutofit/>
                  </wp:bodyPr>
                </wp:wsp>
              </a:graphicData>
            </a:graphic>
          </wp:inline>
        </w:drawing>
      </w:r>
    </w:p>
    <w:p w:rsidR="008728A8" w:rsidRPr="008728A8" w:rsidRDefault="008728A8" w:rsidP="008728A8">
      <w:pPr>
        <w:spacing w:after="10pt" w:line="12pt" w:lineRule="auto"/>
        <w:ind w:start="17.60pt"/>
        <w:jc w:val="both"/>
        <w:rPr>
          <w:rFonts w:ascii="Century Gothic" w:eastAsia="Times New Roman" w:hAnsi="Century Gothic" w:cs="Arial"/>
          <w:b/>
          <w:sz w:val="24"/>
          <w:szCs w:val="24"/>
          <w:lang w:val="es-ES_tradnl" w:eastAsia="es-ES"/>
        </w:rPr>
      </w:pPr>
    </w:p>
    <w:p w:rsidR="008728A8" w:rsidRPr="008728A8" w:rsidRDefault="008728A8" w:rsidP="008728A8">
      <w:pPr>
        <w:spacing w:line="12pt" w:lineRule="auto"/>
        <w:rPr>
          <w:rFonts w:ascii="Century Gothic" w:eastAsia="Calibri" w:hAnsi="Century Gothic" w:cs="Arial"/>
          <w:b/>
          <w:color w:val="000000"/>
          <w:sz w:val="24"/>
        </w:rPr>
        <w:sectPr w:rsidR="008728A8" w:rsidRPr="008728A8" w:rsidSect="008728A8">
          <w:headerReference w:type="default" r:id="rId75"/>
          <w:headerReference w:type="first" r:id="rId76"/>
          <w:type w:val="oddPage"/>
          <w:pgSz w:w="612.10pt" w:h="792.10pt" w:code="1"/>
          <w:pgMar w:top="70.90pt" w:right="70.90pt" w:bottom="70.90pt" w:left="70.90pt" w:header="35.45pt" w:footer="35.45pt" w:gutter="0pt"/>
          <w:cols w:space="36pt"/>
          <w:titlePg/>
          <w:docGrid w:linePitch="326"/>
        </w:sectPr>
      </w:pPr>
    </w:p>
    <w:p w:rsidR="008728A8" w:rsidRPr="008728A8" w:rsidRDefault="008728A8" w:rsidP="008728A8">
      <w:pPr>
        <w:spacing w:after="6pt" w:line="13.20pt" w:lineRule="auto"/>
        <w:jc w:val="center"/>
        <w:outlineLvl w:val="0"/>
        <w:rPr>
          <w:rFonts w:ascii="Century Gothic" w:eastAsia="Calibri" w:hAnsi="Century Gothic" w:cs="Arial"/>
          <w:color w:val="000000"/>
          <w:lang w:val="es-ES" w:eastAsia="es-ES"/>
        </w:rPr>
      </w:pPr>
      <w:bookmarkStart w:id="3076" w:name="_Toc92974215"/>
      <w:bookmarkStart w:id="3077" w:name="_Toc93052528"/>
      <w:bookmarkStart w:id="3078" w:name="_Toc93056483"/>
      <w:bookmarkStart w:id="3079" w:name="_Toc125393549"/>
      <w:bookmarkStart w:id="3080" w:name="_Toc148702404"/>
      <w:r w:rsidRPr="008728A8">
        <w:rPr>
          <w:rFonts w:ascii="Century Gothic" w:eastAsia="Calibri" w:hAnsi="Century Gothic" w:cs="Arial"/>
          <w:b/>
          <w:color w:val="000000"/>
          <w:lang w:val="es-ES" w:eastAsia="es-ES"/>
        </w:rPr>
        <w:lastRenderedPageBreak/>
        <w:t>ANEXO G1</w:t>
      </w:r>
      <w:bookmarkEnd w:id="3076"/>
      <w:bookmarkEnd w:id="3077"/>
      <w:bookmarkEnd w:id="3078"/>
      <w:bookmarkEnd w:id="3079"/>
      <w:bookmarkEnd w:id="3080"/>
    </w:p>
    <w:p w:rsidR="008728A8" w:rsidRPr="008728A8" w:rsidRDefault="008728A8" w:rsidP="008728A8">
      <w:pPr>
        <w:spacing w:after="6pt" w:line="13.20pt" w:lineRule="auto"/>
        <w:jc w:val="center"/>
        <w:outlineLvl w:val="0"/>
        <w:rPr>
          <w:rFonts w:ascii="Century Gothic" w:eastAsia="Calibri" w:hAnsi="Century Gothic" w:cs="Arial"/>
          <w:color w:val="000000"/>
          <w:lang w:val="es-ES" w:eastAsia="es-ES"/>
        </w:rPr>
      </w:pPr>
      <w:bookmarkStart w:id="3081" w:name="_Toc92974216"/>
      <w:bookmarkStart w:id="3082" w:name="_Toc93052529"/>
      <w:bookmarkStart w:id="3083" w:name="_Toc93056484"/>
      <w:bookmarkStart w:id="3084" w:name="_Toc125393550"/>
      <w:bookmarkStart w:id="3085" w:name="_Toc148702405"/>
      <w:r w:rsidRPr="008728A8">
        <w:rPr>
          <w:rFonts w:ascii="Century Gothic" w:eastAsia="Calibri" w:hAnsi="Century Gothic" w:cs="Arial"/>
          <w:b/>
          <w:color w:val="000000"/>
          <w:lang w:val="es-ES" w:eastAsia="es-ES"/>
        </w:rPr>
        <w:t>NORMA CABLEADO INTERIOR EN EL DOMICILIO DEL USUARIO</w:t>
      </w:r>
      <w:bookmarkEnd w:id="3081"/>
      <w:bookmarkEnd w:id="3082"/>
      <w:bookmarkEnd w:id="3083"/>
      <w:bookmarkEnd w:id="3084"/>
      <w:bookmarkEnd w:id="3085"/>
      <w:r w:rsidR="00D12671">
        <w:rPr>
          <w:rFonts w:ascii="Century Gothic" w:eastAsia="Calibri" w:hAnsi="Century Gothic" w:cs="Arial"/>
          <w:b/>
          <w:color w:val="000000"/>
          <w:lang w:val="es-ES" w:eastAsia="es-ES"/>
        </w:rPr>
        <w:t xml:space="preserve"> FINAL</w:t>
      </w:r>
    </w:p>
    <w:p w:rsidR="008728A8" w:rsidRPr="008728A8" w:rsidRDefault="008728A8" w:rsidP="008728A8">
      <w:pPr>
        <w:spacing w:after="6pt" w:line="13.20pt" w:lineRule="auto"/>
        <w:rPr>
          <w:rFonts w:ascii="Century Gothic" w:eastAsia="Calibri" w:hAnsi="Century Gothic" w:cs="Arial"/>
        </w:rPr>
      </w:pPr>
      <w:bookmarkStart w:id="3086" w:name="_Ref207457220"/>
    </w:p>
    <w:p w:rsidR="008728A8" w:rsidRPr="008728A8" w:rsidRDefault="008728A8" w:rsidP="008728A8">
      <w:pPr>
        <w:spacing w:after="6pt" w:line="13.20pt" w:lineRule="auto"/>
        <w:jc w:val="both"/>
        <w:outlineLvl w:val="0"/>
        <w:rPr>
          <w:rFonts w:ascii="Century Gothic" w:eastAsia="Calibri" w:hAnsi="Century Gothic" w:cs="Arial"/>
          <w:b/>
          <w:color w:val="000000"/>
          <w:lang w:val="es-ES" w:eastAsia="es-ES"/>
        </w:rPr>
      </w:pPr>
      <w:bookmarkStart w:id="3087" w:name="_Ref412479816"/>
      <w:bookmarkStart w:id="3088" w:name="_Toc92974217"/>
      <w:bookmarkStart w:id="3089" w:name="_Toc93052530"/>
      <w:bookmarkStart w:id="3090" w:name="_Toc93056485"/>
      <w:bookmarkStart w:id="3091" w:name="_Toc125393551"/>
      <w:bookmarkStart w:id="3092" w:name="_Toc148702406"/>
      <w:bookmarkEnd w:id="3086"/>
      <w:r w:rsidRPr="008728A8">
        <w:rPr>
          <w:rFonts w:ascii="Century Gothic" w:eastAsia="Calibri" w:hAnsi="Century Gothic" w:cs="Arial"/>
          <w:b/>
          <w:bCs/>
          <w:color w:val="000000"/>
          <w:lang w:val="es-ES" w:eastAsia="es-ES"/>
        </w:rPr>
        <w:t>1. Objetivo.</w:t>
      </w:r>
      <w:bookmarkEnd w:id="3087"/>
      <w:bookmarkEnd w:id="3088"/>
      <w:bookmarkEnd w:id="3089"/>
      <w:bookmarkEnd w:id="3090"/>
      <w:bookmarkEnd w:id="3091"/>
      <w:bookmarkEnd w:id="3092"/>
    </w:p>
    <w:p w:rsidR="008728A8" w:rsidRPr="008728A8" w:rsidRDefault="008728A8" w:rsidP="008728A8">
      <w:pPr>
        <w:spacing w:after="6pt" w:line="13.20pt" w:lineRule="auto"/>
        <w:ind w:end="2.50pt"/>
        <w:jc w:val="both"/>
        <w:rPr>
          <w:rFonts w:ascii="Century Gothic" w:eastAsia="Calibri" w:hAnsi="Century Gothic" w:cs="Arial"/>
        </w:rPr>
      </w:pPr>
      <w:r w:rsidRPr="008728A8">
        <w:rPr>
          <w:rFonts w:ascii="Century Gothic" w:eastAsia="Calibri" w:hAnsi="Century Gothic" w:cs="Arial"/>
        </w:rPr>
        <w:t>El presente documento proporciona los lineamientos técnicos para la construcción del cableado interior del Usuario</w:t>
      </w:r>
      <w:r w:rsidR="00D12671">
        <w:rPr>
          <w:rFonts w:ascii="Century Gothic" w:eastAsia="Calibri" w:hAnsi="Century Gothic" w:cs="Arial"/>
        </w:rPr>
        <w:t xml:space="preserve"> Final</w:t>
      </w:r>
      <w:r w:rsidRPr="008728A8">
        <w:rPr>
          <w:rFonts w:ascii="Century Gothic" w:eastAsia="Calibri" w:hAnsi="Century Gothic" w:cs="Arial"/>
        </w:rPr>
        <w:t>.</w:t>
      </w:r>
    </w:p>
    <w:p w:rsidR="008728A8" w:rsidRPr="008728A8" w:rsidRDefault="008728A8" w:rsidP="008728A8">
      <w:pPr>
        <w:spacing w:line="13.20pt" w:lineRule="auto"/>
        <w:ind w:end="0.70pt"/>
        <w:jc w:val="both"/>
        <w:rPr>
          <w:rFonts w:ascii="Century Gothic" w:eastAsia="Calibri" w:hAnsi="Century Gothic" w:cs="Arial"/>
        </w:rPr>
      </w:pPr>
    </w:p>
    <w:p w:rsidR="008728A8" w:rsidRPr="008728A8" w:rsidRDefault="008728A8" w:rsidP="008728A8">
      <w:pPr>
        <w:spacing w:after="6pt" w:line="13.20pt" w:lineRule="auto"/>
        <w:jc w:val="both"/>
        <w:outlineLvl w:val="0"/>
        <w:rPr>
          <w:rFonts w:ascii="Century Gothic" w:eastAsia="Calibri" w:hAnsi="Century Gothic" w:cs="Arial"/>
          <w:b/>
          <w:color w:val="000000"/>
          <w:lang w:val="es-ES" w:eastAsia="es-ES"/>
        </w:rPr>
      </w:pPr>
      <w:bookmarkStart w:id="3093" w:name="_Ref412479820"/>
      <w:bookmarkStart w:id="3094" w:name="_Toc92974218"/>
      <w:bookmarkStart w:id="3095" w:name="_Toc93052531"/>
      <w:bookmarkStart w:id="3096" w:name="_Toc93056486"/>
      <w:bookmarkStart w:id="3097" w:name="_Toc125393552"/>
      <w:bookmarkStart w:id="3098" w:name="_Toc148702407"/>
      <w:r w:rsidRPr="008728A8">
        <w:rPr>
          <w:rFonts w:ascii="Century Gothic" w:eastAsia="Calibri" w:hAnsi="Century Gothic" w:cs="Arial"/>
          <w:b/>
          <w:bCs/>
          <w:color w:val="000000"/>
          <w:lang w:val="es-ES" w:eastAsia="es-ES"/>
        </w:rPr>
        <w:t>2. Alcance.</w:t>
      </w:r>
      <w:bookmarkEnd w:id="3093"/>
      <w:bookmarkEnd w:id="3094"/>
      <w:bookmarkEnd w:id="3095"/>
      <w:bookmarkEnd w:id="3096"/>
      <w:bookmarkEnd w:id="3097"/>
      <w:bookmarkEnd w:id="3098"/>
    </w:p>
    <w:p w:rsidR="008728A8" w:rsidRPr="008728A8" w:rsidRDefault="008728A8" w:rsidP="008728A8">
      <w:pPr>
        <w:spacing w:after="6pt" w:line="13.20pt" w:lineRule="auto"/>
        <w:ind w:end="2.50pt"/>
        <w:jc w:val="both"/>
        <w:rPr>
          <w:rFonts w:ascii="Century Gothic" w:eastAsia="Calibri" w:hAnsi="Century Gothic" w:cs="Arial"/>
        </w:rPr>
      </w:pPr>
      <w:r w:rsidRPr="008728A8">
        <w:rPr>
          <w:rFonts w:ascii="Century Gothic" w:eastAsia="Calibri" w:hAnsi="Century Gothic" w:cs="Arial"/>
        </w:rPr>
        <w:t xml:space="preserve">Este documento debe ser aplicado por personal encargado de la construcción de cableado interior del </w:t>
      </w:r>
      <w:r w:rsidR="00D12671">
        <w:rPr>
          <w:rFonts w:ascii="Century Gothic" w:eastAsia="Calibri" w:hAnsi="Century Gothic" w:cs="Arial"/>
        </w:rPr>
        <w:t>U</w:t>
      </w:r>
      <w:r w:rsidRPr="008728A8">
        <w:rPr>
          <w:rFonts w:ascii="Century Gothic" w:eastAsia="Calibri" w:hAnsi="Century Gothic" w:cs="Arial"/>
        </w:rPr>
        <w:t xml:space="preserve">suario </w:t>
      </w:r>
      <w:r w:rsidR="00D12671">
        <w:rPr>
          <w:rFonts w:ascii="Century Gothic" w:eastAsia="Calibri" w:hAnsi="Century Gothic" w:cs="Arial"/>
        </w:rPr>
        <w:t xml:space="preserve">Final </w:t>
      </w:r>
      <w:r w:rsidRPr="008728A8">
        <w:rPr>
          <w:rFonts w:ascii="Century Gothic" w:eastAsia="Calibri" w:hAnsi="Century Gothic" w:cs="Arial"/>
        </w:rPr>
        <w:t xml:space="preserve">cuando </w:t>
      </w:r>
      <w:r w:rsidRPr="008728A8">
        <w:rPr>
          <w:rFonts w:ascii="Century Gothic" w:eastAsia="Calibri" w:hAnsi="Century Gothic" w:cs="Arial"/>
          <w:spacing w:val="-3"/>
        </w:rPr>
        <w:t>RED NACIONAL</w:t>
      </w:r>
      <w:r w:rsidRPr="008728A8">
        <w:rPr>
          <w:rFonts w:ascii="Century Gothic" w:eastAsia="Calibri" w:hAnsi="Century Gothic" w:cs="Arial"/>
        </w:rPr>
        <w:t xml:space="preserve"> sea la responsable de la construcción; o en su defecto esta normativa técnica será una recomendación cuando el CS sea el responsable de la construcción, a fin de lograr la entrega del servicio al </w:t>
      </w:r>
      <w:r w:rsidR="00D12671">
        <w:rPr>
          <w:rFonts w:ascii="Century Gothic" w:eastAsia="Calibri" w:hAnsi="Century Gothic" w:cs="Arial"/>
        </w:rPr>
        <w:t>U</w:t>
      </w:r>
      <w:r w:rsidRPr="008728A8">
        <w:rPr>
          <w:rFonts w:ascii="Century Gothic" w:eastAsia="Calibri" w:hAnsi="Century Gothic" w:cs="Arial"/>
        </w:rPr>
        <w:t xml:space="preserve">suario </w:t>
      </w:r>
      <w:r w:rsidR="00D12671">
        <w:rPr>
          <w:rFonts w:ascii="Century Gothic" w:eastAsia="Calibri" w:hAnsi="Century Gothic" w:cs="Arial"/>
        </w:rPr>
        <w:t>F</w:t>
      </w:r>
      <w:r w:rsidRPr="008728A8">
        <w:rPr>
          <w:rFonts w:ascii="Century Gothic" w:eastAsia="Calibri" w:hAnsi="Century Gothic" w:cs="Arial"/>
        </w:rPr>
        <w:t>inal.</w:t>
      </w:r>
    </w:p>
    <w:p w:rsidR="008728A8" w:rsidRPr="008728A8" w:rsidRDefault="008728A8" w:rsidP="008728A8">
      <w:pPr>
        <w:spacing w:line="13.20pt" w:lineRule="auto"/>
        <w:ind w:end="0.70pt"/>
        <w:jc w:val="both"/>
        <w:rPr>
          <w:rFonts w:ascii="Century Gothic" w:eastAsia="Calibri" w:hAnsi="Century Gothic" w:cs="Arial"/>
        </w:rPr>
      </w:pPr>
    </w:p>
    <w:p w:rsidR="008728A8" w:rsidRPr="008728A8" w:rsidRDefault="008728A8" w:rsidP="008728A8">
      <w:pPr>
        <w:spacing w:after="6pt" w:line="13.20pt" w:lineRule="auto"/>
        <w:jc w:val="both"/>
        <w:outlineLvl w:val="0"/>
        <w:rPr>
          <w:rFonts w:ascii="Century Gothic" w:eastAsia="Calibri" w:hAnsi="Century Gothic" w:cs="Arial"/>
          <w:b/>
          <w:color w:val="000000"/>
          <w:lang w:val="es-ES" w:eastAsia="es-ES"/>
        </w:rPr>
      </w:pPr>
      <w:bookmarkStart w:id="3099" w:name="_Ref412479830"/>
      <w:bookmarkStart w:id="3100" w:name="_Toc92974219"/>
      <w:bookmarkStart w:id="3101" w:name="_Toc93052532"/>
      <w:bookmarkStart w:id="3102" w:name="_Toc93056487"/>
      <w:bookmarkStart w:id="3103" w:name="_Toc125393553"/>
      <w:bookmarkStart w:id="3104" w:name="_Toc148702408"/>
      <w:r w:rsidRPr="008728A8">
        <w:rPr>
          <w:rFonts w:ascii="Century Gothic" w:eastAsia="Calibri" w:hAnsi="Century Gothic" w:cs="Arial"/>
          <w:b/>
          <w:bCs/>
          <w:color w:val="000000"/>
          <w:lang w:val="es-ES" w:eastAsia="es-ES"/>
        </w:rPr>
        <w:t>3. Documentos de referencia.</w:t>
      </w:r>
      <w:bookmarkEnd w:id="3099"/>
      <w:bookmarkEnd w:id="3100"/>
      <w:bookmarkEnd w:id="3101"/>
      <w:bookmarkEnd w:id="3102"/>
      <w:bookmarkEnd w:id="3103"/>
      <w:bookmarkEnd w:id="3104"/>
    </w:p>
    <w:p w:rsidR="008728A8" w:rsidRPr="008728A8" w:rsidRDefault="008728A8" w:rsidP="008728A8">
      <w:pPr>
        <w:spacing w:after="6pt" w:line="13.20pt" w:lineRule="auto"/>
        <w:ind w:end="0.70pt"/>
        <w:jc w:val="both"/>
        <w:rPr>
          <w:rFonts w:ascii="Century Gothic" w:eastAsia="Calibri" w:hAnsi="Century Gothic" w:cs="Arial"/>
        </w:rPr>
      </w:pPr>
      <w:r w:rsidRPr="008728A8">
        <w:rPr>
          <w:rFonts w:ascii="Century Gothic" w:eastAsia="Calibri" w:hAnsi="Century Gothic" w:cs="Arial"/>
        </w:rPr>
        <w:t>No Aplica.</w:t>
      </w:r>
    </w:p>
    <w:p w:rsidR="008728A8" w:rsidRPr="008728A8" w:rsidRDefault="008728A8" w:rsidP="008728A8">
      <w:pPr>
        <w:spacing w:line="13.20pt" w:lineRule="auto"/>
        <w:ind w:end="0.70pt"/>
        <w:jc w:val="both"/>
        <w:rPr>
          <w:rFonts w:ascii="Century Gothic" w:eastAsia="Calibri" w:hAnsi="Century Gothic" w:cs="Arial"/>
        </w:rPr>
      </w:pPr>
    </w:p>
    <w:p w:rsidR="008728A8" w:rsidRPr="008728A8" w:rsidRDefault="008728A8" w:rsidP="008728A8">
      <w:pPr>
        <w:spacing w:after="6pt" w:line="13.20pt" w:lineRule="auto"/>
        <w:jc w:val="both"/>
        <w:outlineLvl w:val="0"/>
        <w:rPr>
          <w:rFonts w:ascii="Century Gothic" w:eastAsia="Calibri" w:hAnsi="Century Gothic" w:cs="Arial"/>
          <w:b/>
          <w:color w:val="000000"/>
          <w:lang w:val="es-ES" w:eastAsia="es-ES"/>
        </w:rPr>
      </w:pPr>
      <w:bookmarkStart w:id="3105" w:name="_Ref412479834"/>
      <w:bookmarkStart w:id="3106" w:name="_Toc92974220"/>
      <w:bookmarkStart w:id="3107" w:name="_Toc93052533"/>
      <w:bookmarkStart w:id="3108" w:name="_Toc93056488"/>
      <w:bookmarkStart w:id="3109" w:name="_Toc125393554"/>
      <w:bookmarkStart w:id="3110" w:name="_Toc148702409"/>
      <w:r w:rsidRPr="008728A8">
        <w:rPr>
          <w:rFonts w:ascii="Century Gothic" w:eastAsia="Calibri" w:hAnsi="Century Gothic" w:cs="Arial"/>
          <w:b/>
          <w:bCs/>
          <w:color w:val="000000"/>
          <w:lang w:val="es-ES" w:eastAsia="es-ES"/>
        </w:rPr>
        <w:t>4. Desarrollo.</w:t>
      </w:r>
      <w:bookmarkEnd w:id="3105"/>
      <w:bookmarkEnd w:id="3106"/>
      <w:bookmarkEnd w:id="3107"/>
      <w:bookmarkEnd w:id="3108"/>
      <w:bookmarkEnd w:id="3109"/>
      <w:bookmarkEnd w:id="3110"/>
    </w:p>
    <w:p w:rsidR="008728A8" w:rsidRPr="008728A8" w:rsidRDefault="008728A8" w:rsidP="008728A8">
      <w:pPr>
        <w:spacing w:after="6pt" w:line="13.20pt" w:lineRule="auto"/>
        <w:rPr>
          <w:rFonts w:ascii="Century Gothic" w:eastAsia="Calibri" w:hAnsi="Century Gothic" w:cs="Arial"/>
          <w:u w:val="single"/>
        </w:rPr>
      </w:pPr>
      <w:bookmarkStart w:id="3111" w:name="_Ref412479843"/>
      <w:bookmarkStart w:id="3112" w:name="_Toc428875299"/>
      <w:bookmarkStart w:id="3113" w:name="_Toc434830155"/>
      <w:r w:rsidRPr="008728A8">
        <w:rPr>
          <w:rFonts w:ascii="Century Gothic" w:eastAsia="Calibri" w:hAnsi="Century Gothic" w:cs="Arial"/>
          <w:u w:val="single"/>
        </w:rPr>
        <w:t>Red interior de Usuario</w:t>
      </w:r>
      <w:r w:rsidR="00D12671">
        <w:rPr>
          <w:rFonts w:ascii="Century Gothic" w:eastAsia="Calibri" w:hAnsi="Century Gothic" w:cs="Arial"/>
          <w:u w:val="single"/>
        </w:rPr>
        <w:t xml:space="preserve"> Final</w:t>
      </w:r>
      <w:r w:rsidRPr="008728A8">
        <w:rPr>
          <w:rFonts w:ascii="Century Gothic" w:eastAsia="Calibri" w:hAnsi="Century Gothic" w:cs="Arial"/>
          <w:u w:val="single"/>
        </w:rPr>
        <w:t>.</w:t>
      </w:r>
      <w:bookmarkEnd w:id="3111"/>
      <w:bookmarkEnd w:id="3112"/>
      <w:bookmarkEnd w:id="3113"/>
    </w:p>
    <w:p w:rsidR="008728A8" w:rsidRPr="008728A8" w:rsidRDefault="008728A8" w:rsidP="008728A8">
      <w:pPr>
        <w:spacing w:after="6pt" w:line="13.20pt" w:lineRule="auto"/>
        <w:ind w:end="2.50pt"/>
        <w:jc w:val="both"/>
        <w:rPr>
          <w:rFonts w:ascii="Century Gothic" w:eastAsia="Calibri" w:hAnsi="Century Gothic" w:cs="Arial"/>
        </w:rPr>
      </w:pPr>
      <w:r w:rsidRPr="008728A8">
        <w:rPr>
          <w:rFonts w:ascii="Century Gothic" w:eastAsia="Calibri" w:hAnsi="Century Gothic" w:cs="Arial"/>
        </w:rPr>
        <w:t xml:space="preserve">La Red Interior del Usuario </w:t>
      </w:r>
      <w:r w:rsidR="00D12671">
        <w:rPr>
          <w:rFonts w:ascii="Century Gothic" w:eastAsia="Calibri" w:hAnsi="Century Gothic" w:cs="Arial"/>
        </w:rPr>
        <w:t xml:space="preserve">Final </w:t>
      </w:r>
      <w:r w:rsidRPr="008728A8">
        <w:rPr>
          <w:rFonts w:ascii="Century Gothic" w:eastAsia="Calibri" w:hAnsi="Century Gothic" w:cs="Arial"/>
        </w:rPr>
        <w:t>es el segmento comprendido dentro del domicilio del Usuario</w:t>
      </w:r>
      <w:r w:rsidR="00D12671">
        <w:rPr>
          <w:rFonts w:ascii="Century Gothic" w:eastAsia="Calibri" w:hAnsi="Century Gothic" w:cs="Arial"/>
        </w:rPr>
        <w:t xml:space="preserve"> Final</w:t>
      </w:r>
      <w:r w:rsidRPr="008728A8">
        <w:rPr>
          <w:rFonts w:ascii="Century Gothic" w:eastAsia="Calibri" w:hAnsi="Century Gothic" w:cs="Arial"/>
        </w:rPr>
        <w:t>, desde el PCT hasta las rosetas donde se conecta el equipo terminal: aparato telefónico, modem, etc. Véase figura 1.</w:t>
      </w:r>
    </w:p>
    <w:p w:rsidR="008728A8" w:rsidRPr="008728A8" w:rsidRDefault="008728A8" w:rsidP="008728A8">
      <w:pPr>
        <w:spacing w:after="6pt" w:line="13.20pt" w:lineRule="auto"/>
        <w:ind w:end="0.70pt"/>
        <w:jc w:val="center"/>
        <w:rPr>
          <w:rFonts w:ascii="Century Gothic" w:eastAsia="Calibri" w:hAnsi="Century Gothic" w:cs="Arial"/>
        </w:rPr>
      </w:pPr>
      <w:r w:rsidRPr="008728A8">
        <w:rPr>
          <w:rFonts w:ascii="Century Gothic" w:eastAsia="Calibri" w:hAnsi="Century Gothic" w:cs="Arial"/>
          <w:noProof/>
          <w:lang w:eastAsia="es-MX"/>
        </w:rPr>
        <w:drawing>
          <wp:anchor distT="0" distB="0" distL="114300" distR="114300" simplePos="0" relativeHeight="251662336" behindDoc="0" locked="0" layoutInCell="1" allowOverlap="1" wp14:anchorId="1B9A2FD2" wp14:editId="0529570C">
            <wp:simplePos x="0" y="0"/>
            <wp:positionH relativeFrom="column">
              <wp:posOffset>2493645</wp:posOffset>
            </wp:positionH>
            <wp:positionV relativeFrom="paragraph">
              <wp:posOffset>132080</wp:posOffset>
            </wp:positionV>
            <wp:extent cx="1333500" cy="238125"/>
            <wp:effectExtent l="0" t="0" r="0" b="9525"/>
            <wp:wrapNone/>
            <wp:docPr id="32" name="Rectangle 3"/>
            <wp:cNvGraphicFramePr>
              <a:graphicFrameLocks xmlns:a="http://purl.oclc.org/ooxml/drawingml/main"/>
            </wp:cNvGraphicFramePr>
            <a:graphic xmlns:a="http://purl.oclc.org/ooxml/drawingml/main">
              <a:graphicData uri="http://schemas.microsoft.com/office/word/2010/wordprocessingShape">
                <wp:wsp>
                  <wp:cNvSpPr>
                    <a:spLocks noChangeArrowheads="1"/>
                  </wp:cNvSpPr>
                  <wp:spPr bwMode="auto">
                    <a:xfrm>
                      <a:off x="0" y="0"/>
                      <a:ext cx="133350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
                          <a:headEnd/>
                          <a:tailEnd/>
                        </a14:hiddenLine>
                      </a:ext>
                    </a:extLst>
                  </wp:spPr>
                  <wp:txbx>
                    <wne:txbxContent>
                      <w:p w:rsidR="000511F0" w:rsidRPr="00157EC2" w:rsidRDefault="000511F0" w:rsidP="008728A8">
                        <w:pPr>
                          <w:jc w:val="center"/>
                          <w:rPr>
                            <w:rFonts w:ascii="Century Gothic" w:hAnsi="Century Gothic"/>
                            <w:b/>
                            <w:sz w:val="18"/>
                          </w:rPr>
                        </w:pPr>
                        <w:bookmarkStart w:id="3114" w:name="_Hlk149671925"/>
                        <w:bookmarkStart w:id="3115" w:name="_Hlk149671926"/>
                        <w:r w:rsidRPr="00157EC2">
                          <w:rPr>
                            <w:rFonts w:ascii="Century Gothic" w:hAnsi="Century Gothic"/>
                            <w:b/>
                            <w:sz w:val="18"/>
                          </w:rPr>
                          <w:t>Domicilio Usuario</w:t>
                        </w:r>
                        <w:bookmarkEnd w:id="3114"/>
                        <w:bookmarkEnd w:id="3115"/>
                      </w:p>
                    </wne:txbxContent>
                  </wp:txbx>
                  <wp:bodyPr rot="0" vert="horz" wrap="square" lIns="91440" tIns="45720" rIns="91440" bIns="45720" anchor="t" anchorCtr="0" upright="1">
                    <a:noAutofit/>
                  </wp:bodyPr>
                </wp:wsp>
              </a:graphicData>
            </a:graphic>
            <wp14:sizeRelH relativeFrom="page">
              <wp14:pctWidth>0%</wp14:pctWidth>
            </wp14:sizeRelH>
            <wp14:sizeRelV relativeFrom="page">
              <wp14:pctHeight>0%</wp14:pctHeight>
            </wp14:sizeRelV>
          </wp:anchor>
        </w:drawing>
      </w:r>
      <w:r w:rsidRPr="008728A8">
        <w:rPr>
          <w:rFonts w:ascii="Century Gothic" w:eastAsia="Calibri" w:hAnsi="Century Gothic" w:cs="Arial"/>
          <w:noProof/>
          <w:lang w:eastAsia="es-MX"/>
        </w:rPr>
        <w:drawing>
          <wp:inline distT="0" distB="0" distL="0" distR="0" wp14:anchorId="1DFD0CFA" wp14:editId="0FE78D58">
            <wp:extent cx="2780665" cy="2390775"/>
            <wp:effectExtent l="0" t="0" r="635" b="0"/>
            <wp:docPr id="33" name="Imagen 33" descr="Interfaz de usuario gráfica, Diagrama&#10;&#10;Descripción generada automáticamente"/>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33" name="Imagen 33" descr="Interfaz de usuario gráfica, Diagrama&#10;&#10;Descripción generada automáticamente"/>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808558" cy="2414757"/>
                    </a:xfrm>
                    <a:prstGeom prst="rect">
                      <a:avLst/>
                    </a:prstGeom>
                    <a:noFill/>
                  </pic:spPr>
                </pic:pic>
              </a:graphicData>
            </a:graphic>
          </wp:inline>
        </w:drawing>
      </w:r>
    </w:p>
    <w:p w:rsidR="008728A8" w:rsidRPr="008728A8" w:rsidRDefault="008728A8" w:rsidP="008728A8">
      <w:pPr>
        <w:spacing w:after="6pt" w:line="13.20pt" w:lineRule="auto"/>
        <w:ind w:end="0.70pt"/>
        <w:jc w:val="center"/>
        <w:rPr>
          <w:rFonts w:ascii="Century Gothic" w:eastAsia="Calibri" w:hAnsi="Century Gothic" w:cs="Arial"/>
          <w:b/>
          <w:bCs/>
          <w:sz w:val="20"/>
          <w:szCs w:val="20"/>
        </w:rPr>
      </w:pPr>
      <w:r w:rsidRPr="008728A8">
        <w:rPr>
          <w:rFonts w:ascii="Century Gothic" w:eastAsia="Calibri" w:hAnsi="Century Gothic" w:cs="Arial"/>
          <w:b/>
          <w:bCs/>
          <w:sz w:val="20"/>
          <w:szCs w:val="20"/>
        </w:rPr>
        <w:t>Figura 1. Red Interior de Usuario.</w:t>
      </w:r>
    </w:p>
    <w:p w:rsidR="008728A8" w:rsidRPr="008728A8" w:rsidRDefault="008728A8" w:rsidP="008728A8">
      <w:pPr>
        <w:spacing w:after="6pt" w:line="13.20pt" w:lineRule="auto"/>
        <w:rPr>
          <w:rFonts w:ascii="Century Gothic" w:eastAsia="Calibri" w:hAnsi="Century Gothic" w:cs="Arial"/>
          <w:u w:val="single"/>
        </w:rPr>
      </w:pPr>
      <w:bookmarkStart w:id="3116" w:name="_Toc428875300"/>
      <w:bookmarkStart w:id="3117" w:name="_Toc434830156"/>
    </w:p>
    <w:p w:rsidR="008728A8" w:rsidRPr="008728A8" w:rsidRDefault="008728A8" w:rsidP="008728A8">
      <w:pPr>
        <w:spacing w:after="6pt" w:line="13.20pt" w:lineRule="auto"/>
        <w:rPr>
          <w:rFonts w:ascii="Century Gothic" w:eastAsia="Calibri" w:hAnsi="Century Gothic" w:cs="Arial"/>
          <w:u w:val="single"/>
        </w:rPr>
      </w:pPr>
    </w:p>
    <w:p w:rsidR="008728A8" w:rsidRPr="008728A8" w:rsidRDefault="008728A8" w:rsidP="008728A8">
      <w:pPr>
        <w:spacing w:after="6pt" w:line="13.20pt" w:lineRule="auto"/>
        <w:rPr>
          <w:rFonts w:ascii="Century Gothic" w:eastAsia="Calibri" w:hAnsi="Century Gothic" w:cs="Arial"/>
          <w:u w:val="single"/>
        </w:rPr>
      </w:pPr>
      <w:r w:rsidRPr="008728A8">
        <w:rPr>
          <w:rFonts w:ascii="Century Gothic" w:eastAsia="Calibri" w:hAnsi="Century Gothic" w:cs="Arial"/>
          <w:u w:val="single"/>
        </w:rPr>
        <w:lastRenderedPageBreak/>
        <w:t>Cableado Interior de Usuario</w:t>
      </w:r>
      <w:r w:rsidR="00D12671">
        <w:rPr>
          <w:rFonts w:ascii="Century Gothic" w:eastAsia="Calibri" w:hAnsi="Century Gothic" w:cs="Arial"/>
          <w:u w:val="single"/>
        </w:rPr>
        <w:t xml:space="preserve"> Final</w:t>
      </w:r>
      <w:r w:rsidRPr="008728A8">
        <w:rPr>
          <w:rFonts w:ascii="Century Gothic" w:eastAsia="Calibri" w:hAnsi="Century Gothic" w:cs="Arial"/>
          <w:u w:val="single"/>
        </w:rPr>
        <w:t>.</w:t>
      </w:r>
      <w:bookmarkEnd w:id="3116"/>
      <w:bookmarkEnd w:id="3117"/>
    </w:p>
    <w:p w:rsidR="008728A8" w:rsidRPr="008728A8" w:rsidRDefault="008728A8" w:rsidP="008728A8">
      <w:pPr>
        <w:spacing w:after="6pt" w:line="13.20pt" w:lineRule="auto"/>
        <w:ind w:end="2.50pt"/>
        <w:jc w:val="both"/>
        <w:rPr>
          <w:rFonts w:ascii="Century Gothic" w:eastAsia="Calibri" w:hAnsi="Century Gothic" w:cs="Arial"/>
        </w:rPr>
      </w:pPr>
      <w:r w:rsidRPr="008728A8">
        <w:rPr>
          <w:rFonts w:ascii="Century Gothic" w:eastAsia="Calibri" w:hAnsi="Century Gothic" w:cs="Arial"/>
        </w:rPr>
        <w:t>La construcción del Cableado Interior de Usuario</w:t>
      </w:r>
      <w:r w:rsidR="00D12671">
        <w:rPr>
          <w:rFonts w:ascii="Century Gothic" w:eastAsia="Calibri" w:hAnsi="Century Gothic" w:cs="Arial"/>
        </w:rPr>
        <w:t xml:space="preserve"> Final</w:t>
      </w:r>
      <w:r w:rsidRPr="008728A8">
        <w:rPr>
          <w:rFonts w:ascii="Century Gothic" w:eastAsia="Calibri" w:hAnsi="Century Gothic" w:cs="Arial"/>
        </w:rPr>
        <w:t xml:space="preserve"> se aplica a los siguientes Servicios de </w:t>
      </w:r>
      <w:r w:rsidR="00D12671" w:rsidRPr="008728A8">
        <w:rPr>
          <w:rFonts w:ascii="Century Gothic" w:eastAsia="Calibri" w:hAnsi="Century Gothic" w:cs="Arial"/>
        </w:rPr>
        <w:t>Desagregación</w:t>
      </w:r>
      <w:r w:rsidRPr="008728A8">
        <w:rPr>
          <w:rFonts w:ascii="Century Gothic" w:eastAsia="Calibri" w:hAnsi="Century Gothic" w:cs="Arial"/>
        </w:rPr>
        <w:t>: SAIB,</w:t>
      </w:r>
      <w:r w:rsidR="003E0E9D">
        <w:rPr>
          <w:rFonts w:ascii="Century Gothic" w:eastAsia="Calibri" w:hAnsi="Century Gothic" w:cs="Arial"/>
        </w:rPr>
        <w:t xml:space="preserve">  y </w:t>
      </w:r>
      <w:r w:rsidRPr="008728A8">
        <w:rPr>
          <w:rFonts w:ascii="Century Gothic" w:eastAsia="Calibri" w:hAnsi="Century Gothic" w:cs="Arial"/>
        </w:rPr>
        <w:t>SDTBL.</w:t>
      </w:r>
    </w:p>
    <w:p w:rsidR="008728A8" w:rsidRPr="008728A8" w:rsidRDefault="008728A8" w:rsidP="008728A8">
      <w:pPr>
        <w:spacing w:line="13.20pt" w:lineRule="auto"/>
        <w:ind w:end="2.55pt"/>
        <w:jc w:val="both"/>
        <w:rPr>
          <w:rFonts w:ascii="Century Gothic" w:eastAsia="Calibri" w:hAnsi="Century Gothic" w:cs="Arial"/>
        </w:rPr>
      </w:pPr>
    </w:p>
    <w:p w:rsidR="008728A8" w:rsidRPr="008728A8" w:rsidRDefault="008728A8" w:rsidP="008728A8">
      <w:pPr>
        <w:spacing w:after="6pt" w:line="13.20pt" w:lineRule="auto"/>
        <w:jc w:val="both"/>
        <w:outlineLvl w:val="0"/>
        <w:rPr>
          <w:rFonts w:ascii="Century Gothic" w:eastAsia="Calibri" w:hAnsi="Century Gothic" w:cs="Arial"/>
          <w:color w:val="000000"/>
          <w:lang w:val="es-ES" w:eastAsia="es-ES"/>
        </w:rPr>
      </w:pPr>
      <w:bookmarkStart w:id="3118" w:name="_Toc92974221"/>
      <w:bookmarkStart w:id="3119" w:name="_Toc93052534"/>
      <w:bookmarkStart w:id="3120" w:name="_Toc93056489"/>
      <w:bookmarkStart w:id="3121" w:name="_Toc125393555"/>
      <w:bookmarkStart w:id="3122" w:name="_Toc148702410"/>
      <w:r w:rsidRPr="008728A8">
        <w:rPr>
          <w:rFonts w:ascii="Century Gothic" w:eastAsia="Calibri" w:hAnsi="Century Gothic" w:cs="Arial"/>
          <w:b/>
          <w:bCs/>
          <w:color w:val="000000"/>
          <w:lang w:val="es-ES" w:eastAsia="es-ES"/>
        </w:rPr>
        <w:t>5. Construcción del cableado interior.</w:t>
      </w:r>
      <w:bookmarkEnd w:id="3118"/>
      <w:bookmarkEnd w:id="3119"/>
      <w:bookmarkEnd w:id="3120"/>
      <w:bookmarkEnd w:id="3121"/>
      <w:bookmarkEnd w:id="3122"/>
    </w:p>
    <w:p w:rsidR="008728A8" w:rsidRPr="008728A8" w:rsidRDefault="008728A8" w:rsidP="008728A8">
      <w:pPr>
        <w:numPr>
          <w:ilvl w:val="0"/>
          <w:numId w:val="180"/>
        </w:numPr>
        <w:tabs>
          <w:tab w:val="start" w:pos="21.30pt"/>
          <w:tab w:val="num" w:pos="42.55pt"/>
        </w:tabs>
        <w:spacing w:after="6pt" w:line="13.20pt" w:lineRule="auto"/>
        <w:ind w:end="5.65pt"/>
        <w:contextualSpacing/>
        <w:jc w:val="both"/>
        <w:rPr>
          <w:rFonts w:ascii="Century Gothic" w:eastAsia="Calibri" w:hAnsi="Century Gothic" w:cs="Arial"/>
        </w:rPr>
      </w:pPr>
      <w:r w:rsidRPr="008728A8">
        <w:rPr>
          <w:rFonts w:ascii="Century Gothic" w:eastAsia="Calibri" w:hAnsi="Century Gothic" w:cs="Arial"/>
        </w:rPr>
        <w:t>Se debe asegurar que en la instalación del cableado interior; invariablemente debe salir del PCT con cordón marfil interior/exterior para el servicio de voz, y cordón gris interior/exterior para el servicio de datos. En ningún momento se debe considerar la instalación aérea del cordón marfil y/o gris, ya que este cordón no soporta tensiones.</w:t>
      </w:r>
    </w:p>
    <w:p w:rsidR="008728A8" w:rsidRPr="008728A8" w:rsidRDefault="008728A8" w:rsidP="008728A8">
      <w:pPr>
        <w:numPr>
          <w:ilvl w:val="0"/>
          <w:numId w:val="180"/>
        </w:numPr>
        <w:tabs>
          <w:tab w:val="start" w:pos="21.30pt"/>
          <w:tab w:val="num" w:pos="42.55pt"/>
        </w:tabs>
        <w:spacing w:after="6pt" w:line="13.20pt" w:lineRule="auto"/>
        <w:ind w:end="5.65pt"/>
        <w:contextualSpacing/>
        <w:jc w:val="both"/>
        <w:rPr>
          <w:rFonts w:ascii="Century Gothic" w:eastAsia="Calibri" w:hAnsi="Century Gothic" w:cs="Arial"/>
        </w:rPr>
      </w:pPr>
      <w:r w:rsidRPr="008728A8">
        <w:rPr>
          <w:rFonts w:ascii="Century Gothic" w:eastAsia="Calibri" w:hAnsi="Century Gothic" w:cs="Arial"/>
        </w:rPr>
        <w:t>Al realizar las perforaciones en el muro para el paso del cordón marfil y/o cordón gris interior/exterior al exterior de la casa, se debe hacer con cuidado para no dañar el acabado del mismo y se debe hacer con una inclinación de arriba hacia abajo desde el interior de la casa habitación para evitar la penetración de agua.</w:t>
      </w:r>
    </w:p>
    <w:p w:rsidR="008728A8" w:rsidRPr="008728A8" w:rsidRDefault="008728A8" w:rsidP="008728A8">
      <w:pPr>
        <w:numPr>
          <w:ilvl w:val="0"/>
          <w:numId w:val="180"/>
        </w:numPr>
        <w:tabs>
          <w:tab w:val="start" w:pos="21.30pt"/>
          <w:tab w:val="num" w:pos="42.55pt"/>
        </w:tabs>
        <w:spacing w:after="6pt" w:line="13.20pt" w:lineRule="auto"/>
        <w:ind w:end="5.65pt"/>
        <w:contextualSpacing/>
        <w:jc w:val="both"/>
        <w:rPr>
          <w:rFonts w:ascii="Century Gothic" w:eastAsia="Calibri" w:hAnsi="Century Gothic" w:cs="Arial"/>
        </w:rPr>
      </w:pPr>
      <w:r w:rsidRPr="008728A8">
        <w:rPr>
          <w:rFonts w:ascii="Century Gothic" w:eastAsia="Calibri" w:hAnsi="Century Gothic" w:cs="Arial"/>
        </w:rPr>
        <w:t>Después de introducir el cordón marfil interior/exterior y/o cordón gris interior/exterior, colocar el pasa muros y se debe sellar la perforación en ambos lados del muro con silicón.</w:t>
      </w:r>
      <w:bookmarkStart w:id="3123" w:name="_Toc428875302"/>
      <w:bookmarkStart w:id="3124" w:name="_Toc434830158"/>
    </w:p>
    <w:p w:rsidR="008728A8" w:rsidRPr="008728A8" w:rsidRDefault="008728A8" w:rsidP="008728A8">
      <w:pPr>
        <w:spacing w:after="6pt" w:line="13.20pt" w:lineRule="auto"/>
        <w:rPr>
          <w:rFonts w:ascii="Century Gothic" w:eastAsia="Calibri" w:hAnsi="Century Gothic" w:cs="Arial"/>
          <w:u w:val="single"/>
        </w:rPr>
      </w:pPr>
      <w:r w:rsidRPr="008728A8">
        <w:rPr>
          <w:rFonts w:ascii="Century Gothic" w:eastAsia="Calibri" w:hAnsi="Century Gothic" w:cs="Arial"/>
          <w:u w:val="single"/>
        </w:rPr>
        <w:t xml:space="preserve">Cableado de la red interior del Usuario </w:t>
      </w:r>
      <w:r w:rsidR="00D12671">
        <w:rPr>
          <w:rFonts w:ascii="Century Gothic" w:eastAsia="Calibri" w:hAnsi="Century Gothic" w:cs="Arial"/>
          <w:u w:val="single"/>
        </w:rPr>
        <w:t xml:space="preserve">Final </w:t>
      </w:r>
      <w:r w:rsidRPr="008728A8">
        <w:rPr>
          <w:rFonts w:ascii="Century Gothic" w:eastAsia="Calibri" w:hAnsi="Century Gothic" w:cs="Arial"/>
          <w:u w:val="single"/>
        </w:rPr>
        <w:t>(Existente/Nuevo).</w:t>
      </w:r>
      <w:bookmarkEnd w:id="3123"/>
      <w:bookmarkEnd w:id="3124"/>
    </w:p>
    <w:p w:rsidR="008728A8" w:rsidRPr="008728A8" w:rsidRDefault="008728A8" w:rsidP="008728A8">
      <w:pPr>
        <w:spacing w:after="6pt" w:line="13.20pt" w:lineRule="auto"/>
        <w:ind w:end="2.50pt"/>
        <w:jc w:val="both"/>
        <w:rPr>
          <w:rFonts w:ascii="Century Gothic" w:eastAsia="Calibri" w:hAnsi="Century Gothic" w:cs="Arial"/>
        </w:rPr>
      </w:pPr>
      <w:r w:rsidRPr="008728A8">
        <w:rPr>
          <w:rFonts w:ascii="Century Gothic" w:eastAsia="Calibri" w:hAnsi="Century Gothic" w:cs="Arial"/>
          <w:b/>
        </w:rPr>
        <w:t>Red Interior del Usuario</w:t>
      </w:r>
      <w:r w:rsidR="00D12671">
        <w:rPr>
          <w:rFonts w:ascii="Century Gothic" w:eastAsia="Calibri" w:hAnsi="Century Gothic" w:cs="Arial"/>
          <w:b/>
        </w:rPr>
        <w:t xml:space="preserve"> Final</w:t>
      </w:r>
      <w:r w:rsidRPr="008728A8">
        <w:rPr>
          <w:rFonts w:ascii="Century Gothic" w:eastAsia="Calibri" w:hAnsi="Century Gothic" w:cs="Arial"/>
          <w:b/>
        </w:rPr>
        <w:t>.-</w:t>
      </w:r>
      <w:r w:rsidRPr="008728A8">
        <w:rPr>
          <w:rFonts w:ascii="Century Gothic" w:eastAsia="Calibri" w:hAnsi="Century Gothic" w:cs="Arial"/>
        </w:rPr>
        <w:t xml:space="preserve"> Comprendido entre el PCT hasta la conexión de los dispositivos terminales. El responsable de ésta instalación, deberá asegurarse que estos elementos estén correctamente fijados y que su trayectoria no ponga en riesgo el Servicio (alejado de aparatos eléctricos, fuentes de interferencia, etc.).</w:t>
      </w:r>
    </w:p>
    <w:p w:rsidR="008728A8" w:rsidRPr="008728A8" w:rsidRDefault="008728A8" w:rsidP="008728A8">
      <w:pPr>
        <w:numPr>
          <w:ilvl w:val="0"/>
          <w:numId w:val="181"/>
        </w:numPr>
        <w:spacing w:after="6pt" w:line="13.20pt" w:lineRule="auto"/>
        <w:ind w:start="39.30pt" w:end="2.50pt"/>
        <w:contextualSpacing/>
        <w:jc w:val="both"/>
        <w:rPr>
          <w:rFonts w:ascii="Century Gothic" w:eastAsia="Calibri" w:hAnsi="Century Gothic" w:cs="Arial"/>
          <w:b/>
        </w:rPr>
      </w:pPr>
      <w:r w:rsidRPr="008728A8">
        <w:rPr>
          <w:rFonts w:ascii="Century Gothic" w:eastAsia="Calibri" w:hAnsi="Century Gothic" w:cs="Arial"/>
          <w:b/>
        </w:rPr>
        <w:t>Cordón Marfil.-</w:t>
      </w:r>
      <w:r w:rsidRPr="008728A8">
        <w:rPr>
          <w:rFonts w:ascii="Century Gothic" w:eastAsia="Calibri" w:hAnsi="Century Gothic" w:cs="Arial"/>
        </w:rPr>
        <w:t xml:space="preserve"> El cable interior debe ser categoría 3 formado de conductores de cobre calibre 0.64 mm (22 AWG) par torcido con aislamiento de polietileno y con cubierta de PVC resistente a la intemperie. Debe estar instalado desde el PCT hasta la roseta marfil donde se colocará el aparato telefónico.</w:t>
      </w:r>
    </w:p>
    <w:p w:rsidR="008728A8" w:rsidRPr="008728A8" w:rsidRDefault="008728A8" w:rsidP="008728A8">
      <w:pPr>
        <w:numPr>
          <w:ilvl w:val="0"/>
          <w:numId w:val="181"/>
        </w:numPr>
        <w:spacing w:after="6pt" w:line="13.20pt" w:lineRule="auto"/>
        <w:ind w:start="39.30pt" w:end="2.50pt"/>
        <w:contextualSpacing/>
        <w:jc w:val="both"/>
        <w:rPr>
          <w:rFonts w:ascii="Century Gothic" w:eastAsia="Calibri" w:hAnsi="Century Gothic" w:cs="Arial"/>
        </w:rPr>
      </w:pPr>
      <w:r w:rsidRPr="008728A8">
        <w:rPr>
          <w:rFonts w:ascii="Century Gothic" w:eastAsia="Calibri" w:hAnsi="Century Gothic" w:cs="Arial"/>
          <w:b/>
        </w:rPr>
        <w:t>Cordón Gris.-</w:t>
      </w:r>
      <w:r w:rsidRPr="008728A8">
        <w:rPr>
          <w:rFonts w:eastAsia="Calibri" w:cs="Arial"/>
          <w:b/>
        </w:rPr>
        <w:t xml:space="preserve"> </w:t>
      </w:r>
      <w:r w:rsidRPr="008728A8">
        <w:rPr>
          <w:rFonts w:ascii="Century Gothic" w:eastAsia="Calibri" w:hAnsi="Century Gothic" w:cs="Arial"/>
        </w:rPr>
        <w:t>El cable interior debe ser categoría 3 formado de conductores de cobre calibre 0.64 mm (22 AWG) par torcido con aislamiento de polietileno y con cubierta de PVC resistente a la intemperie. Debe estar instalado desde el PCT (DIT con splitter integrado) hasta la roseta gris donde se colocará el modem.</w:t>
      </w:r>
    </w:p>
    <w:p w:rsidR="008728A8" w:rsidRPr="008728A8" w:rsidRDefault="008728A8" w:rsidP="008728A8">
      <w:pPr>
        <w:numPr>
          <w:ilvl w:val="0"/>
          <w:numId w:val="181"/>
        </w:numPr>
        <w:spacing w:after="6pt" w:line="13.20pt" w:lineRule="auto"/>
        <w:ind w:start="39.30pt" w:end="2.50pt"/>
        <w:contextualSpacing/>
        <w:jc w:val="both"/>
        <w:rPr>
          <w:rFonts w:ascii="Century Gothic" w:eastAsia="Calibri" w:hAnsi="Century Gothic" w:cs="Arial"/>
          <w:strike/>
        </w:rPr>
      </w:pPr>
      <w:r w:rsidRPr="008728A8">
        <w:rPr>
          <w:rFonts w:ascii="Century Gothic" w:eastAsia="Calibri" w:hAnsi="Century Gothic" w:cs="Arial"/>
          <w:b/>
        </w:rPr>
        <w:t>Roseta Marfil.-</w:t>
      </w:r>
      <w:r w:rsidRPr="008728A8">
        <w:rPr>
          <w:rFonts w:ascii="Century Gothic" w:eastAsia="Calibri" w:hAnsi="Century Gothic" w:cs="Arial"/>
        </w:rPr>
        <w:t xml:space="preserve"> Punto de terminación de cableado interior. En la roseta se conecta el cordón modular redondo del aparato terminal. La roseta principal está considerada dentro de la instalación de la acometida responsabilidad de </w:t>
      </w:r>
      <w:r w:rsidRPr="008728A8">
        <w:rPr>
          <w:rFonts w:ascii="Century Gothic" w:eastAsia="Calibri" w:hAnsi="Century Gothic" w:cs="Arial"/>
          <w:spacing w:val="-3"/>
        </w:rPr>
        <w:t>RED NACIONAL</w:t>
      </w:r>
      <w:r w:rsidRPr="008728A8">
        <w:rPr>
          <w:rFonts w:ascii="Century Gothic" w:eastAsia="Calibri" w:hAnsi="Century Gothic" w:cs="Arial"/>
        </w:rPr>
        <w:t>.</w:t>
      </w:r>
    </w:p>
    <w:p w:rsidR="008728A8" w:rsidRPr="008728A8" w:rsidRDefault="008728A8" w:rsidP="008728A8">
      <w:pPr>
        <w:numPr>
          <w:ilvl w:val="0"/>
          <w:numId w:val="181"/>
        </w:numPr>
        <w:spacing w:after="6pt" w:line="13.20pt" w:lineRule="auto"/>
        <w:ind w:start="39.30pt" w:end="2.50pt"/>
        <w:contextualSpacing/>
        <w:jc w:val="both"/>
        <w:rPr>
          <w:rFonts w:ascii="Century Gothic" w:eastAsia="Calibri" w:hAnsi="Century Gothic" w:cs="Arial"/>
        </w:rPr>
      </w:pPr>
      <w:r w:rsidRPr="008728A8">
        <w:rPr>
          <w:rFonts w:ascii="Century Gothic" w:eastAsia="Calibri" w:hAnsi="Century Gothic" w:cs="Arial"/>
          <w:b/>
        </w:rPr>
        <w:t>Roseta Gris.-</w:t>
      </w:r>
      <w:r w:rsidRPr="008728A8">
        <w:rPr>
          <w:rFonts w:eastAsia="Calibri" w:cs="Arial"/>
          <w:strike/>
        </w:rPr>
        <w:t xml:space="preserve"> </w:t>
      </w:r>
      <w:r w:rsidRPr="008728A8">
        <w:rPr>
          <w:rFonts w:ascii="Century Gothic" w:eastAsia="Calibri" w:hAnsi="Century Gothic" w:cs="Arial"/>
        </w:rPr>
        <w:t>En la roseta gris se conecta el cordón modular redondo del modem.</w:t>
      </w:r>
    </w:p>
    <w:p w:rsidR="008728A8" w:rsidRPr="008728A8" w:rsidRDefault="008728A8" w:rsidP="008728A8">
      <w:pPr>
        <w:numPr>
          <w:ilvl w:val="0"/>
          <w:numId w:val="181"/>
        </w:numPr>
        <w:spacing w:after="6pt" w:line="13.20pt" w:lineRule="auto"/>
        <w:ind w:start="39.30pt" w:end="2.50pt"/>
        <w:contextualSpacing/>
        <w:jc w:val="both"/>
        <w:rPr>
          <w:rFonts w:ascii="Century Gothic" w:eastAsia="Calibri" w:hAnsi="Century Gothic" w:cs="Arial"/>
        </w:rPr>
      </w:pPr>
      <w:r w:rsidRPr="008728A8">
        <w:rPr>
          <w:rFonts w:ascii="Century Gothic" w:eastAsia="Calibri" w:hAnsi="Century Gothic" w:cs="Arial"/>
          <w:b/>
        </w:rPr>
        <w:t xml:space="preserve">Extensión.- </w:t>
      </w:r>
      <w:r w:rsidRPr="008728A8">
        <w:rPr>
          <w:rFonts w:ascii="Century Gothic" w:eastAsia="Calibri" w:hAnsi="Century Gothic" w:cs="Arial"/>
        </w:rPr>
        <w:t>Cordón marfil conectado desde la 1er Roseta o el PCT hasta una nueva roseta con una longitud de 50 m para longitudes de más de 50 m, se contabiliza una plusvalía de cable. Esta extensión es opcional.</w:t>
      </w:r>
    </w:p>
    <w:p w:rsidR="008728A8" w:rsidRPr="008728A8" w:rsidRDefault="008728A8" w:rsidP="008728A8">
      <w:pPr>
        <w:numPr>
          <w:ilvl w:val="0"/>
          <w:numId w:val="181"/>
        </w:numPr>
        <w:spacing w:after="6pt" w:line="13.20pt" w:lineRule="auto"/>
        <w:ind w:start="39.30pt" w:end="0.70pt"/>
        <w:contextualSpacing/>
        <w:jc w:val="both"/>
        <w:rPr>
          <w:rFonts w:ascii="Century Gothic" w:eastAsia="Calibri" w:hAnsi="Century Gothic" w:cs="Arial"/>
          <w:b/>
        </w:rPr>
      </w:pPr>
      <w:r w:rsidRPr="008728A8">
        <w:rPr>
          <w:rFonts w:ascii="Century Gothic" w:eastAsia="Calibri" w:hAnsi="Century Gothic" w:cs="Arial"/>
          <w:b/>
        </w:rPr>
        <w:t xml:space="preserve">Micro filtro.- </w:t>
      </w:r>
      <w:r w:rsidRPr="008728A8">
        <w:rPr>
          <w:rFonts w:ascii="Century Gothic" w:eastAsia="Calibri" w:hAnsi="Century Gothic" w:cs="Arial"/>
        </w:rPr>
        <w:t>Filtro</w:t>
      </w:r>
      <w:r w:rsidRPr="008728A8">
        <w:rPr>
          <w:rFonts w:ascii="Century Gothic" w:eastAsia="Calibri" w:hAnsi="Century Gothic" w:cs="Arial"/>
          <w:b/>
        </w:rPr>
        <w:t xml:space="preserve"> </w:t>
      </w:r>
      <w:r w:rsidRPr="008728A8">
        <w:rPr>
          <w:rFonts w:ascii="Century Gothic" w:eastAsia="Calibri" w:hAnsi="Century Gothic" w:cs="Arial"/>
        </w:rPr>
        <w:t>divisor xDSL el cual sirve para</w:t>
      </w:r>
      <w:r w:rsidRPr="008728A8">
        <w:rPr>
          <w:rFonts w:ascii="Century Gothic" w:eastAsia="Calibri" w:hAnsi="Century Gothic" w:cs="Arial"/>
          <w:b/>
        </w:rPr>
        <w:t xml:space="preserve"> </w:t>
      </w:r>
      <w:r w:rsidRPr="008728A8">
        <w:rPr>
          <w:rFonts w:ascii="Century Gothic" w:eastAsia="Calibri" w:hAnsi="Century Gothic" w:cs="Arial"/>
        </w:rPr>
        <w:t xml:space="preserve">separar frecuencias de Voz-Datos (cuando aplique). </w:t>
      </w:r>
    </w:p>
    <w:p w:rsidR="008728A8" w:rsidRPr="008728A8" w:rsidRDefault="008728A8" w:rsidP="008728A8">
      <w:pPr>
        <w:spacing w:after="6pt" w:line="13.20pt" w:lineRule="auto"/>
        <w:ind w:end="0.70pt"/>
        <w:jc w:val="center"/>
        <w:rPr>
          <w:rFonts w:ascii="Century Gothic" w:eastAsia="Times New Roman" w:hAnsi="Century Gothic" w:cs="Arial"/>
          <w:lang w:val="es-ES_tradnl" w:eastAsia="es-ES"/>
        </w:rPr>
      </w:pPr>
      <w:r w:rsidRPr="008728A8">
        <w:rPr>
          <w:rFonts w:eastAsia="Times New Roman" w:cs="Arial"/>
          <w:noProof/>
          <w:lang w:eastAsia="es-MX"/>
        </w:rPr>
        <w:lastRenderedPageBreak/>
        <w:drawing>
          <wp:inline distT="0" distB="0" distL="0" distR="0" wp14:anchorId="41261720" wp14:editId="6D51FC44">
            <wp:extent cx="5803900" cy="2714625"/>
            <wp:effectExtent l="0" t="0" r="6350" b="9525"/>
            <wp:docPr id="1491204214" name="Imagen 1491204214" descr="Diagrama&#10;&#10;Descripción generada automáticamente"/>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491204214" name="Imagen 1491204214" descr="Diagrama&#10;&#10;Descripción generada automáticamente"/>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803900" cy="2714625"/>
                    </a:xfrm>
                    <a:prstGeom prst="rect">
                      <a:avLst/>
                    </a:prstGeom>
                    <a:noFill/>
                  </pic:spPr>
                </pic:pic>
              </a:graphicData>
            </a:graphic>
          </wp:inline>
        </w:drawing>
      </w:r>
    </w:p>
    <w:p w:rsidR="008728A8" w:rsidRPr="008728A8" w:rsidRDefault="008728A8" w:rsidP="008728A8">
      <w:pPr>
        <w:spacing w:after="6pt" w:line="13.20pt" w:lineRule="auto"/>
        <w:ind w:start="17pt" w:end="32.90pt"/>
        <w:jc w:val="center"/>
        <w:rPr>
          <w:rFonts w:ascii="Century Gothic" w:eastAsia="Times New Roman" w:hAnsi="Century Gothic" w:cs="Arial"/>
          <w:b/>
          <w:bCs/>
          <w:sz w:val="20"/>
          <w:szCs w:val="20"/>
          <w:lang w:val="es-ES_tradnl" w:eastAsia="es-ES"/>
        </w:rPr>
      </w:pPr>
      <w:r w:rsidRPr="008728A8">
        <w:rPr>
          <w:rFonts w:ascii="Century Gothic" w:eastAsia="Times New Roman" w:hAnsi="Century Gothic" w:cs="Arial"/>
          <w:b/>
          <w:bCs/>
          <w:sz w:val="20"/>
          <w:szCs w:val="20"/>
          <w:lang w:val="es-ES_tradnl" w:eastAsia="es-ES"/>
        </w:rPr>
        <w:t>Figura 2. Esquema de la Red interior del Usuario</w:t>
      </w:r>
      <w:r w:rsidR="00D12671">
        <w:rPr>
          <w:rFonts w:ascii="Century Gothic" w:eastAsia="Times New Roman" w:hAnsi="Century Gothic" w:cs="Arial"/>
          <w:b/>
          <w:bCs/>
          <w:sz w:val="20"/>
          <w:szCs w:val="20"/>
          <w:lang w:val="es-ES_tradnl" w:eastAsia="es-ES"/>
        </w:rPr>
        <w:t xml:space="preserve"> Final</w:t>
      </w:r>
      <w:r w:rsidRPr="008728A8">
        <w:rPr>
          <w:rFonts w:ascii="Century Gothic" w:eastAsia="Times New Roman" w:hAnsi="Century Gothic" w:cs="Arial"/>
          <w:b/>
          <w:bCs/>
          <w:sz w:val="20"/>
          <w:szCs w:val="20"/>
          <w:lang w:val="es-ES_tradnl" w:eastAsia="es-ES"/>
        </w:rPr>
        <w:t>.</w:t>
      </w:r>
    </w:p>
    <w:p w:rsidR="008728A8" w:rsidRPr="008728A8" w:rsidRDefault="008728A8" w:rsidP="008728A8">
      <w:pPr>
        <w:spacing w:after="6pt" w:line="13.20pt" w:lineRule="auto"/>
        <w:jc w:val="both"/>
        <w:outlineLvl w:val="0"/>
        <w:rPr>
          <w:rFonts w:ascii="Century Gothic" w:eastAsia="Calibri" w:hAnsi="Century Gothic" w:cs="Arial"/>
          <w:b/>
          <w:color w:val="000000"/>
          <w:lang w:val="es-ES" w:eastAsia="es-ES"/>
        </w:rPr>
      </w:pPr>
      <w:bookmarkStart w:id="3125" w:name="_Ref412479848"/>
      <w:bookmarkStart w:id="3126" w:name="_Toc92974222"/>
      <w:bookmarkStart w:id="3127" w:name="_Toc93052535"/>
      <w:bookmarkStart w:id="3128" w:name="_Toc93056490"/>
      <w:bookmarkStart w:id="3129" w:name="_Toc125393556"/>
      <w:bookmarkStart w:id="3130" w:name="_Toc148702411"/>
      <w:r w:rsidRPr="008728A8">
        <w:rPr>
          <w:rFonts w:ascii="Century Gothic" w:eastAsia="Calibri" w:hAnsi="Century Gothic" w:cs="Arial"/>
          <w:b/>
          <w:color w:val="000000"/>
          <w:lang w:val="es-ES" w:eastAsia="es-ES"/>
        </w:rPr>
        <w:t>6. Lineamientos para realizar el cableado interior.</w:t>
      </w:r>
      <w:bookmarkEnd w:id="3125"/>
      <w:bookmarkEnd w:id="3126"/>
      <w:bookmarkEnd w:id="3127"/>
      <w:bookmarkEnd w:id="3128"/>
      <w:bookmarkEnd w:id="3129"/>
      <w:bookmarkEnd w:id="3130"/>
      <w:r w:rsidRPr="008728A8">
        <w:rPr>
          <w:rFonts w:ascii="Century Gothic" w:eastAsia="Calibri" w:hAnsi="Century Gothic" w:cs="Arial"/>
          <w:b/>
          <w:color w:val="000000"/>
          <w:lang w:val="es-ES" w:eastAsia="es-ES"/>
        </w:rPr>
        <w:t xml:space="preserve"> </w:t>
      </w:r>
    </w:p>
    <w:p w:rsidR="008728A8" w:rsidRPr="008728A8" w:rsidRDefault="008728A8" w:rsidP="008728A8">
      <w:pPr>
        <w:spacing w:after="6pt" w:line="13.20pt" w:lineRule="auto"/>
        <w:rPr>
          <w:rFonts w:ascii="Century Gothic" w:eastAsia="Calibri" w:hAnsi="Century Gothic" w:cs="Arial"/>
          <w:bCs/>
          <w:u w:val="single"/>
        </w:rPr>
      </w:pPr>
      <w:bookmarkStart w:id="3131" w:name="_Ref412479852"/>
      <w:r w:rsidRPr="008728A8">
        <w:rPr>
          <w:rFonts w:ascii="Century Gothic" w:eastAsia="Calibri" w:hAnsi="Century Gothic" w:cs="Arial"/>
          <w:bCs/>
          <w:u w:val="single"/>
        </w:rPr>
        <w:t>Trayectoria del cableado en casa habitación.</w:t>
      </w:r>
      <w:bookmarkEnd w:id="3131"/>
    </w:p>
    <w:p w:rsidR="008728A8" w:rsidRPr="008728A8" w:rsidRDefault="008728A8" w:rsidP="008728A8">
      <w:pPr>
        <w:spacing w:after="6pt" w:line="13.20pt" w:lineRule="auto"/>
        <w:ind w:end="0.70pt"/>
        <w:jc w:val="both"/>
        <w:rPr>
          <w:rFonts w:ascii="Century Gothic" w:eastAsia="Calibri" w:hAnsi="Century Gothic" w:cs="Arial"/>
          <w:b/>
        </w:rPr>
      </w:pPr>
      <w:r w:rsidRPr="008728A8">
        <w:rPr>
          <w:rFonts w:ascii="Century Gothic" w:eastAsia="Calibri" w:hAnsi="Century Gothic" w:cs="Arial"/>
          <w:b/>
        </w:rPr>
        <w:t>Recomendaciones Generales.</w:t>
      </w:r>
    </w:p>
    <w:p w:rsidR="008728A8" w:rsidRPr="008728A8" w:rsidRDefault="008728A8" w:rsidP="008728A8">
      <w:pPr>
        <w:numPr>
          <w:ilvl w:val="0"/>
          <w:numId w:val="182"/>
        </w:numPr>
        <w:spacing w:after="6pt" w:line="13.20pt" w:lineRule="auto"/>
        <w:ind w:start="39.30pt" w:end="0.70pt"/>
        <w:contextualSpacing/>
        <w:jc w:val="both"/>
        <w:rPr>
          <w:rFonts w:ascii="Century Gothic" w:eastAsia="Calibri" w:hAnsi="Century Gothic" w:cs="Arial"/>
        </w:rPr>
      </w:pPr>
      <w:r w:rsidRPr="008728A8">
        <w:rPr>
          <w:rFonts w:ascii="Century Gothic" w:eastAsia="Calibri" w:hAnsi="Century Gothic" w:cs="Arial"/>
        </w:rPr>
        <w:t>Se debe buscar una trayectoria del cableado en el interior de la vivienda.</w:t>
      </w:r>
    </w:p>
    <w:p w:rsidR="008728A8" w:rsidRPr="008728A8" w:rsidRDefault="008728A8" w:rsidP="008728A8">
      <w:pPr>
        <w:numPr>
          <w:ilvl w:val="0"/>
          <w:numId w:val="182"/>
        </w:numPr>
        <w:spacing w:after="6pt" w:line="13.20pt" w:lineRule="auto"/>
        <w:ind w:start="39.30pt" w:end="2.50pt"/>
        <w:contextualSpacing/>
        <w:jc w:val="both"/>
        <w:rPr>
          <w:rFonts w:ascii="Century Gothic" w:eastAsia="Calibri" w:hAnsi="Century Gothic" w:cs="Arial"/>
        </w:rPr>
      </w:pPr>
      <w:r w:rsidRPr="008728A8">
        <w:rPr>
          <w:rFonts w:ascii="Century Gothic" w:eastAsia="Calibri" w:hAnsi="Century Gothic" w:cs="Arial"/>
        </w:rPr>
        <w:t xml:space="preserve">En instalaciones visibles la separación entre el cableado interior con cables eléctricos debe ser de </w:t>
      </w:r>
      <w:smartTag w:uri="urn:schemas-microsoft-com:office:smarttags" w:element="metricconverter">
        <w:smartTagPr>
          <w:attr w:name="ProductID" w:val="10 cm"/>
        </w:smartTagPr>
        <w:r w:rsidRPr="008728A8">
          <w:rPr>
            <w:rFonts w:ascii="Century Gothic" w:eastAsia="Calibri" w:hAnsi="Century Gothic" w:cs="Arial"/>
          </w:rPr>
          <w:t>10 cm</w:t>
        </w:r>
      </w:smartTag>
      <w:r w:rsidRPr="008728A8">
        <w:rPr>
          <w:rFonts w:ascii="Century Gothic" w:eastAsia="Calibri" w:hAnsi="Century Gothic" w:cs="Arial"/>
        </w:rPr>
        <w:t xml:space="preserve"> como mínimo.</w:t>
      </w:r>
    </w:p>
    <w:p w:rsidR="008728A8" w:rsidRPr="008728A8" w:rsidRDefault="008728A8" w:rsidP="008728A8">
      <w:pPr>
        <w:numPr>
          <w:ilvl w:val="0"/>
          <w:numId w:val="182"/>
        </w:numPr>
        <w:spacing w:after="6pt" w:line="13.20pt" w:lineRule="auto"/>
        <w:ind w:start="39.30pt" w:end="2.50pt"/>
        <w:contextualSpacing/>
        <w:jc w:val="both"/>
        <w:rPr>
          <w:rFonts w:ascii="Century Gothic" w:eastAsia="Calibri" w:hAnsi="Century Gothic" w:cs="Arial"/>
        </w:rPr>
      </w:pPr>
      <w:r w:rsidRPr="008728A8">
        <w:rPr>
          <w:rFonts w:ascii="Century Gothic" w:eastAsia="Calibri" w:hAnsi="Century Gothic" w:cs="Arial"/>
        </w:rPr>
        <w:t>La longitud del cordón de interior requerido del PCT hasta la roseta o la roseta de la extensión, son tramos de cables de 50 metros.</w:t>
      </w:r>
    </w:p>
    <w:p w:rsidR="00D12671" w:rsidRDefault="00D12671" w:rsidP="008728A8">
      <w:pPr>
        <w:spacing w:after="6pt" w:line="13.20pt" w:lineRule="auto"/>
        <w:rPr>
          <w:rFonts w:ascii="Century Gothic" w:eastAsia="Calibri" w:hAnsi="Century Gothic" w:cs="Arial"/>
          <w:bCs/>
          <w:u w:val="single"/>
        </w:rPr>
      </w:pPr>
      <w:bookmarkStart w:id="3132" w:name="_Ref412479858"/>
    </w:p>
    <w:p w:rsidR="008728A8" w:rsidRPr="008728A8" w:rsidRDefault="008728A8" w:rsidP="008728A8">
      <w:pPr>
        <w:spacing w:after="6pt" w:line="13.20pt" w:lineRule="auto"/>
        <w:rPr>
          <w:rFonts w:ascii="Century Gothic" w:eastAsia="Calibri" w:hAnsi="Century Gothic" w:cs="Times New Roman"/>
          <w:bCs/>
          <w:u w:val="single"/>
        </w:rPr>
      </w:pPr>
      <w:r w:rsidRPr="008728A8">
        <w:rPr>
          <w:rFonts w:ascii="Century Gothic" w:eastAsia="Calibri" w:hAnsi="Century Gothic" w:cs="Arial"/>
          <w:bCs/>
          <w:u w:val="single"/>
        </w:rPr>
        <w:t>Construcción del Cordón Marfil y Cordón Gris Interior/Exterior.</w:t>
      </w:r>
      <w:bookmarkEnd w:id="3132"/>
    </w:p>
    <w:p w:rsidR="008728A8" w:rsidRPr="008728A8" w:rsidRDefault="008728A8" w:rsidP="008728A8">
      <w:pPr>
        <w:numPr>
          <w:ilvl w:val="0"/>
          <w:numId w:val="183"/>
        </w:numPr>
        <w:spacing w:after="6pt" w:line="13.20pt" w:lineRule="auto"/>
        <w:ind w:start="39.30pt" w:end="2.50pt"/>
        <w:contextualSpacing/>
        <w:jc w:val="both"/>
        <w:rPr>
          <w:rFonts w:ascii="Century Gothic" w:eastAsia="Calibri" w:hAnsi="Century Gothic" w:cs="Arial"/>
        </w:rPr>
      </w:pPr>
      <w:r w:rsidRPr="008728A8">
        <w:rPr>
          <w:rFonts w:ascii="Century Gothic" w:eastAsia="Calibri" w:hAnsi="Century Gothic" w:cs="Arial"/>
        </w:rPr>
        <w:t xml:space="preserve">Una vez definida la trayectoria del cableado, se deben seleccionar los materiales de fijación para el cordón marfil </w:t>
      </w:r>
      <w:r w:rsidRPr="008728A8">
        <w:rPr>
          <w:rFonts w:ascii="Century Gothic" w:eastAsia="Calibri" w:hAnsi="Century Gothic" w:cs="Arial"/>
          <w:bCs/>
        </w:rPr>
        <w:t>y/o gris</w:t>
      </w:r>
      <w:r w:rsidRPr="008728A8">
        <w:rPr>
          <w:rFonts w:ascii="Century Gothic" w:eastAsia="Calibri" w:hAnsi="Century Gothic" w:cs="Arial"/>
        </w:rPr>
        <w:t>, dependiendo del tipo de muro por el que pase.</w:t>
      </w:r>
    </w:p>
    <w:p w:rsidR="008728A8" w:rsidRPr="008728A8" w:rsidRDefault="008728A8" w:rsidP="008728A8">
      <w:pPr>
        <w:numPr>
          <w:ilvl w:val="0"/>
          <w:numId w:val="183"/>
        </w:numPr>
        <w:spacing w:after="6pt" w:line="13.20pt" w:lineRule="auto"/>
        <w:ind w:start="39.30pt" w:end="2.50pt"/>
        <w:contextualSpacing/>
        <w:jc w:val="both"/>
        <w:rPr>
          <w:rFonts w:ascii="Century Gothic" w:eastAsia="Calibri" w:hAnsi="Century Gothic" w:cs="Arial"/>
        </w:rPr>
      </w:pPr>
      <w:r w:rsidRPr="008728A8">
        <w:rPr>
          <w:rFonts w:ascii="Century Gothic" w:eastAsia="Calibri" w:hAnsi="Century Gothic" w:cs="Arial"/>
        </w:rPr>
        <w:t>Se debe instalar el cordón marfil y/o gris de una sola pieza (sin añadiduras), siguiendo el camino más corto y protegido de posibles afectaciones externas hacia la roseta marfil y/o gris respectivamente (golpes, humedad, temperaturas extremas, paralelismos en cables de energía alterna, etc.), y evitar riesgos y daños.</w:t>
      </w:r>
    </w:p>
    <w:p w:rsidR="008728A8" w:rsidRPr="008728A8" w:rsidRDefault="008728A8" w:rsidP="008728A8">
      <w:pPr>
        <w:numPr>
          <w:ilvl w:val="0"/>
          <w:numId w:val="183"/>
        </w:numPr>
        <w:spacing w:after="6pt" w:line="13.20pt" w:lineRule="auto"/>
        <w:ind w:start="39.30pt" w:end="2.50pt"/>
        <w:contextualSpacing/>
        <w:jc w:val="both"/>
        <w:rPr>
          <w:rFonts w:ascii="Century Gothic" w:eastAsia="Calibri" w:hAnsi="Century Gothic" w:cs="Arial"/>
        </w:rPr>
      </w:pPr>
      <w:r w:rsidRPr="008728A8">
        <w:rPr>
          <w:rFonts w:ascii="Century Gothic" w:eastAsia="Calibri" w:hAnsi="Century Gothic" w:cs="Arial"/>
        </w:rPr>
        <w:t>El cordón marfil y/o gris no se debe instalar bajo alfombras, tapetes o linóleum; si el Usuario</w:t>
      </w:r>
      <w:r w:rsidR="00D12671">
        <w:rPr>
          <w:rFonts w:ascii="Century Gothic" w:eastAsia="Calibri" w:hAnsi="Century Gothic" w:cs="Arial"/>
        </w:rPr>
        <w:t xml:space="preserve"> FInal</w:t>
      </w:r>
      <w:r w:rsidRPr="008728A8">
        <w:rPr>
          <w:rFonts w:ascii="Century Gothic" w:eastAsia="Calibri" w:hAnsi="Century Gothic" w:cs="Arial"/>
        </w:rPr>
        <w:t xml:space="preserve"> desea que el equipo terminal se sitúe en medio de una sala, se recomienda la instalación de una canaleta para la protección del mismo.</w:t>
      </w:r>
    </w:p>
    <w:p w:rsidR="008728A8" w:rsidRPr="008728A8" w:rsidRDefault="008728A8" w:rsidP="008728A8">
      <w:pPr>
        <w:numPr>
          <w:ilvl w:val="0"/>
          <w:numId w:val="183"/>
        </w:numPr>
        <w:spacing w:after="6pt" w:line="13.20pt" w:lineRule="auto"/>
        <w:ind w:start="39.30pt" w:end="2.50pt"/>
        <w:contextualSpacing/>
        <w:jc w:val="both"/>
        <w:rPr>
          <w:rFonts w:ascii="Century Gothic" w:eastAsia="Calibri" w:hAnsi="Century Gothic" w:cs="Arial"/>
        </w:rPr>
      </w:pPr>
      <w:r w:rsidRPr="008728A8">
        <w:rPr>
          <w:rFonts w:ascii="Century Gothic" w:eastAsia="Calibri" w:hAnsi="Century Gothic" w:cs="Arial"/>
        </w:rPr>
        <w:t>El cordón marfil y/o gris se debe fijar por la parte superior o inferior del muro, con una trayectoria horizontal o vertical y nunca inclinada.</w:t>
      </w:r>
    </w:p>
    <w:p w:rsidR="008728A8" w:rsidRPr="008728A8" w:rsidRDefault="008728A8" w:rsidP="008728A8">
      <w:pPr>
        <w:numPr>
          <w:ilvl w:val="0"/>
          <w:numId w:val="184"/>
        </w:numPr>
        <w:spacing w:after="6pt" w:line="13.20pt" w:lineRule="auto"/>
        <w:ind w:start="39.30pt" w:end="2.50pt"/>
        <w:contextualSpacing/>
        <w:jc w:val="both"/>
        <w:rPr>
          <w:rFonts w:ascii="Century Gothic" w:eastAsia="Calibri" w:hAnsi="Century Gothic" w:cs="Arial"/>
        </w:rPr>
      </w:pPr>
      <w:r w:rsidRPr="008728A8">
        <w:rPr>
          <w:rFonts w:ascii="Century Gothic" w:eastAsia="Calibri" w:hAnsi="Century Gothic" w:cs="Arial"/>
        </w:rPr>
        <w:lastRenderedPageBreak/>
        <w:t>Si es necesario realizar una perforación en la parte superior de un muro y junto a un rincón, se debe efectuar la perforación tan próxima al rincón como sea posible y situarse al nivel del taladro para realizarla.</w:t>
      </w:r>
    </w:p>
    <w:p w:rsidR="008728A8" w:rsidRPr="008728A8" w:rsidRDefault="008728A8" w:rsidP="008728A8">
      <w:pPr>
        <w:numPr>
          <w:ilvl w:val="0"/>
          <w:numId w:val="184"/>
        </w:numPr>
        <w:spacing w:after="6pt" w:line="13.20pt" w:lineRule="auto"/>
        <w:ind w:start="39.30pt" w:end="2.50pt"/>
        <w:contextualSpacing/>
        <w:jc w:val="both"/>
        <w:rPr>
          <w:rFonts w:ascii="Century Gothic" w:eastAsia="Calibri" w:hAnsi="Century Gothic" w:cs="Arial"/>
        </w:rPr>
      </w:pPr>
      <w:r w:rsidRPr="008728A8">
        <w:rPr>
          <w:rFonts w:ascii="Century Gothic" w:eastAsia="Calibri" w:hAnsi="Century Gothic" w:cs="Arial"/>
        </w:rPr>
        <w:t xml:space="preserve">La altura mínima para la instalación del cordón por la parte inferior del muro debe ser a </w:t>
      </w:r>
      <w:smartTag w:uri="urn:schemas-microsoft-com:office:smarttags" w:element="metricconverter">
        <w:smartTagPr>
          <w:attr w:name="ProductID" w:val="30 cm"/>
        </w:smartTagPr>
        <w:r w:rsidRPr="008728A8">
          <w:rPr>
            <w:rFonts w:ascii="Century Gothic" w:eastAsia="Calibri" w:hAnsi="Century Gothic" w:cs="Arial"/>
          </w:rPr>
          <w:t>30 cm</w:t>
        </w:r>
      </w:smartTag>
      <w:r w:rsidRPr="008728A8">
        <w:rPr>
          <w:rFonts w:ascii="Century Gothic" w:eastAsia="Calibri" w:hAnsi="Century Gothic" w:cs="Arial"/>
        </w:rPr>
        <w:t xml:space="preserve"> del piso o junto a zoclos, donde quede menos expuesta a maltrato físico, o humedad cuando se ejecute por la parte superior del muro, se debe seguir una trayectoria horizontal y nunca inclinada o con demasiadas vueltas.</w:t>
      </w:r>
    </w:p>
    <w:p w:rsidR="008728A8" w:rsidRPr="008728A8" w:rsidRDefault="008728A8" w:rsidP="008728A8">
      <w:pPr>
        <w:numPr>
          <w:ilvl w:val="0"/>
          <w:numId w:val="184"/>
        </w:numPr>
        <w:spacing w:after="6pt" w:line="13.20pt" w:lineRule="auto"/>
        <w:ind w:start="39.30pt" w:end="0.70pt"/>
        <w:contextualSpacing/>
        <w:jc w:val="both"/>
        <w:rPr>
          <w:rFonts w:ascii="Century Gothic" w:eastAsia="Calibri" w:hAnsi="Century Gothic" w:cs="Arial"/>
        </w:rPr>
      </w:pPr>
      <w:r w:rsidRPr="008728A8">
        <w:rPr>
          <w:rFonts w:ascii="Century Gothic" w:eastAsia="Calibri" w:hAnsi="Century Gothic" w:cs="Arial"/>
        </w:rPr>
        <w:t>Se debe realizar un ligero “Planchado” o alisado al cordón antes de proceder a su fijación.</w:t>
      </w:r>
    </w:p>
    <w:p w:rsidR="008728A8" w:rsidRPr="008728A8" w:rsidRDefault="008728A8" w:rsidP="008728A8">
      <w:pPr>
        <w:numPr>
          <w:ilvl w:val="0"/>
          <w:numId w:val="184"/>
        </w:numPr>
        <w:spacing w:after="6pt" w:line="13.20pt" w:lineRule="auto"/>
        <w:ind w:start="39.30pt" w:end="2.50pt"/>
        <w:contextualSpacing/>
        <w:jc w:val="both"/>
        <w:rPr>
          <w:rFonts w:ascii="Century Gothic" w:eastAsia="Calibri" w:hAnsi="Century Gothic" w:cs="Arial"/>
        </w:rPr>
      </w:pPr>
      <w:r w:rsidRPr="008728A8">
        <w:rPr>
          <w:rFonts w:ascii="Century Gothic" w:eastAsia="Calibri" w:hAnsi="Century Gothic" w:cs="Arial"/>
        </w:rPr>
        <w:t>Cuando la instalación es oculta, el cordón marfil y/o gris se debe instalar con la guía de acero con maneral hasta que salga por el otro extremo de la tubería, asegurando el cordón a la guía y regresándola para realizar el jalado del mismo en la tubería.</w:t>
      </w:r>
    </w:p>
    <w:p w:rsidR="008728A8" w:rsidRPr="008728A8" w:rsidRDefault="008728A8" w:rsidP="008728A8">
      <w:pPr>
        <w:numPr>
          <w:ilvl w:val="0"/>
          <w:numId w:val="184"/>
        </w:numPr>
        <w:spacing w:after="6pt" w:line="13.20pt" w:lineRule="auto"/>
        <w:ind w:start="39.30pt" w:end="2.50pt"/>
        <w:contextualSpacing/>
        <w:jc w:val="both"/>
        <w:rPr>
          <w:rFonts w:ascii="Century Gothic" w:eastAsia="Calibri" w:hAnsi="Century Gothic" w:cs="Arial"/>
        </w:rPr>
      </w:pPr>
      <w:r w:rsidRPr="008728A8">
        <w:rPr>
          <w:rFonts w:ascii="Century Gothic" w:eastAsia="Calibri" w:hAnsi="Century Gothic" w:cs="Arial"/>
        </w:rPr>
        <w:t xml:space="preserve">Si se presenta algún problema en el interior de la tubería, se debe avisar del problema al Usuario </w:t>
      </w:r>
      <w:r w:rsidR="00D12671">
        <w:rPr>
          <w:rFonts w:ascii="Century Gothic" w:eastAsia="Calibri" w:hAnsi="Century Gothic" w:cs="Arial"/>
        </w:rPr>
        <w:t xml:space="preserve">Final </w:t>
      </w:r>
      <w:r w:rsidRPr="008728A8">
        <w:rPr>
          <w:rFonts w:ascii="Century Gothic" w:eastAsia="Calibri" w:hAnsi="Century Gothic" w:cs="Arial"/>
        </w:rPr>
        <w:t>para que éste lo arregle y se debe acordar con él una próxima fecha para continuar con la instalación del cordón.</w:t>
      </w:r>
    </w:p>
    <w:p w:rsidR="008728A8" w:rsidRPr="008728A8" w:rsidRDefault="008728A8" w:rsidP="008728A8">
      <w:pPr>
        <w:numPr>
          <w:ilvl w:val="0"/>
          <w:numId w:val="184"/>
        </w:numPr>
        <w:spacing w:after="6pt" w:line="13.20pt" w:lineRule="auto"/>
        <w:ind w:start="39.30pt" w:end="2.50pt"/>
        <w:contextualSpacing/>
        <w:jc w:val="both"/>
        <w:rPr>
          <w:rFonts w:ascii="Century Gothic" w:eastAsia="Calibri" w:hAnsi="Century Gothic" w:cs="Arial"/>
        </w:rPr>
      </w:pPr>
      <w:r w:rsidRPr="008728A8">
        <w:rPr>
          <w:rFonts w:ascii="Century Gothic" w:eastAsia="Calibri" w:hAnsi="Century Gothic" w:cs="Arial"/>
        </w:rPr>
        <w:t xml:space="preserve">La instalación de los elementos que sujetan el cordón marfil y/o gris se realiza a una distancia de </w:t>
      </w:r>
      <w:smartTag w:uri="urn:schemas-microsoft-com:office:smarttags" w:element="metricconverter">
        <w:smartTagPr>
          <w:attr w:name="ProductID" w:val="50 cm"/>
        </w:smartTagPr>
        <w:r w:rsidRPr="008728A8">
          <w:rPr>
            <w:rFonts w:ascii="Century Gothic" w:eastAsia="Calibri" w:hAnsi="Century Gothic" w:cs="Arial"/>
          </w:rPr>
          <w:t>50 cm</w:t>
        </w:r>
      </w:smartTag>
      <w:r w:rsidRPr="008728A8">
        <w:rPr>
          <w:rFonts w:ascii="Century Gothic" w:eastAsia="Calibri" w:hAnsi="Century Gothic" w:cs="Arial"/>
        </w:rPr>
        <w:t xml:space="preserve"> de separación entre ellas.</w:t>
      </w:r>
    </w:p>
    <w:p w:rsidR="008728A8" w:rsidRPr="008728A8" w:rsidRDefault="008728A8" w:rsidP="008728A8">
      <w:pPr>
        <w:numPr>
          <w:ilvl w:val="0"/>
          <w:numId w:val="184"/>
        </w:numPr>
        <w:spacing w:after="6pt" w:line="13.20pt" w:lineRule="auto"/>
        <w:ind w:start="39.30pt" w:end="2.50pt"/>
        <w:contextualSpacing/>
        <w:jc w:val="both"/>
        <w:rPr>
          <w:rFonts w:ascii="Century Gothic" w:eastAsia="Calibri" w:hAnsi="Century Gothic" w:cs="Arial"/>
        </w:rPr>
      </w:pPr>
      <w:r w:rsidRPr="008728A8">
        <w:rPr>
          <w:rFonts w:ascii="Century Gothic" w:eastAsia="Calibri" w:hAnsi="Century Gothic" w:cs="Arial"/>
        </w:rPr>
        <w:t>La pistola de silicón se debe utilizar únicamente para los casos en que las grapas no se mantienen fijas en el muro.</w:t>
      </w:r>
    </w:p>
    <w:p w:rsidR="00D12671" w:rsidRPr="000E6222" w:rsidRDefault="00D12671" w:rsidP="000E6222">
      <w:bookmarkStart w:id="3133" w:name="_Ref412479866"/>
      <w:bookmarkStart w:id="3134" w:name="_Toc92974223"/>
      <w:bookmarkStart w:id="3135" w:name="_Toc93052536"/>
      <w:bookmarkStart w:id="3136" w:name="_Toc93056491"/>
      <w:bookmarkStart w:id="3137" w:name="_Toc125393557"/>
      <w:bookmarkStart w:id="3138" w:name="_Toc148702412"/>
    </w:p>
    <w:p w:rsidR="008728A8" w:rsidRPr="008728A8" w:rsidRDefault="008728A8" w:rsidP="008728A8">
      <w:pPr>
        <w:spacing w:after="6pt" w:line="13.20pt" w:lineRule="auto"/>
        <w:jc w:val="both"/>
        <w:outlineLvl w:val="0"/>
        <w:rPr>
          <w:rFonts w:ascii="Century Gothic" w:eastAsia="Calibri" w:hAnsi="Century Gothic" w:cs="Arial"/>
          <w:color w:val="000000"/>
          <w:lang w:val="es-ES" w:eastAsia="es-ES"/>
        </w:rPr>
      </w:pPr>
      <w:r w:rsidRPr="008728A8">
        <w:rPr>
          <w:rFonts w:ascii="Century Gothic" w:eastAsia="Calibri" w:hAnsi="Century Gothic" w:cs="Arial"/>
          <w:b/>
          <w:bCs/>
          <w:color w:val="000000"/>
          <w:lang w:val="es-ES" w:eastAsia="es-ES"/>
        </w:rPr>
        <w:t>7. Colocación de rosetas.</w:t>
      </w:r>
      <w:bookmarkEnd w:id="3133"/>
      <w:bookmarkEnd w:id="3134"/>
      <w:bookmarkEnd w:id="3135"/>
      <w:bookmarkEnd w:id="3136"/>
      <w:bookmarkEnd w:id="3137"/>
      <w:bookmarkEnd w:id="3138"/>
    </w:p>
    <w:p w:rsidR="008728A8" w:rsidRPr="008728A8" w:rsidRDefault="008728A8" w:rsidP="008728A8">
      <w:pPr>
        <w:spacing w:after="6pt" w:line="13.20pt" w:lineRule="auto"/>
        <w:ind w:end="2.50pt"/>
        <w:jc w:val="both"/>
        <w:rPr>
          <w:rFonts w:ascii="Century Gothic" w:eastAsia="Times New Roman" w:hAnsi="Century Gothic" w:cs="Arial"/>
          <w:lang w:val="es-ES_tradnl" w:eastAsia="es-ES"/>
        </w:rPr>
      </w:pPr>
      <w:r w:rsidRPr="008728A8">
        <w:rPr>
          <w:rFonts w:ascii="Century Gothic" w:eastAsia="Times New Roman" w:hAnsi="Century Gothic" w:cs="Arial"/>
          <w:lang w:val="es-ES_tradnl" w:eastAsia="es-ES"/>
        </w:rPr>
        <w:t>En la roseta marfil y roseta gris es donde termina la instalación de cableado interior, y es donde se conecta el cordón de línea del aparato terminal y/o el modem, respectivamente. (Véase figura 3).</w:t>
      </w:r>
    </w:p>
    <w:p w:rsidR="008728A8" w:rsidRPr="008728A8" w:rsidRDefault="008728A8" w:rsidP="008728A8">
      <w:pPr>
        <w:spacing w:after="6pt" w:line="13.20pt" w:lineRule="auto"/>
        <w:ind w:end="0.70pt"/>
        <w:jc w:val="center"/>
        <w:rPr>
          <w:rFonts w:ascii="Century Gothic" w:eastAsia="Times New Roman" w:hAnsi="Century Gothic" w:cs="Arial"/>
          <w:lang w:val="es-ES_tradnl" w:eastAsia="es-ES"/>
        </w:rPr>
      </w:pPr>
      <w:r w:rsidRPr="008728A8">
        <w:rPr>
          <w:rFonts w:ascii="Century Gothic" w:eastAsia="Times New Roman" w:hAnsi="Century Gothic" w:cs="Arial"/>
          <w:noProof/>
          <w:lang w:eastAsia="es-MX"/>
        </w:rPr>
        <w:drawing>
          <wp:inline distT="0" distB="0" distL="0" distR="0" wp14:anchorId="7D47AE24" wp14:editId="41F09B95">
            <wp:extent cx="2847340" cy="1419225"/>
            <wp:effectExtent l="0" t="0" r="0" b="0"/>
            <wp:docPr id="1790462375" name="Imagen 1790462375" descr="En blanco y negro&#10;&#10;Descripción generada automáticamente con confianza media"/>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790462375" name="Imagen 1790462375" descr="En blanco y negro&#10;&#10;Descripción generada automáticamente con confianza media"/>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847340" cy="1419225"/>
                    </a:xfrm>
                    <a:prstGeom prst="rect">
                      <a:avLst/>
                    </a:prstGeom>
                    <a:noFill/>
                  </pic:spPr>
                </pic:pic>
              </a:graphicData>
            </a:graphic>
          </wp:inline>
        </w:drawing>
      </w:r>
    </w:p>
    <w:p w:rsidR="008728A8" w:rsidRPr="008728A8" w:rsidRDefault="008728A8" w:rsidP="008728A8">
      <w:pPr>
        <w:spacing w:after="6pt" w:line="13.20pt" w:lineRule="auto"/>
        <w:ind w:end="0.70pt"/>
        <w:jc w:val="center"/>
        <w:rPr>
          <w:rFonts w:ascii="Century Gothic" w:eastAsia="Times New Roman" w:hAnsi="Century Gothic" w:cs="Arial"/>
          <w:b/>
          <w:bCs/>
          <w:sz w:val="20"/>
          <w:szCs w:val="20"/>
          <w:lang w:val="es-ES_tradnl" w:eastAsia="es-ES"/>
        </w:rPr>
      </w:pPr>
      <w:r w:rsidRPr="008728A8">
        <w:rPr>
          <w:rFonts w:ascii="Century Gothic" w:eastAsia="Times New Roman" w:hAnsi="Century Gothic" w:cs="Arial"/>
          <w:b/>
          <w:bCs/>
          <w:sz w:val="20"/>
          <w:szCs w:val="20"/>
          <w:lang w:val="es-ES_tradnl" w:eastAsia="es-ES"/>
        </w:rPr>
        <w:t>Figura 3. Roseta para cableado interior.</w:t>
      </w:r>
    </w:p>
    <w:p w:rsidR="008728A8" w:rsidRPr="008728A8" w:rsidRDefault="008728A8" w:rsidP="008728A8">
      <w:pPr>
        <w:spacing w:after="6pt" w:line="13.20pt" w:lineRule="auto"/>
        <w:rPr>
          <w:rFonts w:ascii="Century Gothic" w:eastAsia="Calibri" w:hAnsi="Century Gothic" w:cs="Arial"/>
          <w:bCs/>
          <w:u w:val="single"/>
        </w:rPr>
      </w:pPr>
    </w:p>
    <w:p w:rsidR="008728A8" w:rsidRPr="008728A8" w:rsidRDefault="008728A8" w:rsidP="008728A8">
      <w:pPr>
        <w:spacing w:after="6pt" w:line="13.20pt" w:lineRule="auto"/>
        <w:rPr>
          <w:rFonts w:ascii="Century Gothic" w:eastAsia="Calibri" w:hAnsi="Century Gothic" w:cs="Arial"/>
          <w:bCs/>
          <w:u w:val="single"/>
        </w:rPr>
      </w:pPr>
      <w:r w:rsidRPr="008728A8">
        <w:rPr>
          <w:rFonts w:ascii="Century Gothic" w:eastAsia="Calibri" w:hAnsi="Century Gothic" w:cs="Arial"/>
          <w:bCs/>
          <w:u w:val="single"/>
        </w:rPr>
        <w:t>Características de la roseta.</w:t>
      </w:r>
    </w:p>
    <w:p w:rsidR="008728A8" w:rsidRPr="008728A8" w:rsidRDefault="008728A8" w:rsidP="008728A8">
      <w:pPr>
        <w:numPr>
          <w:ilvl w:val="0"/>
          <w:numId w:val="185"/>
        </w:numPr>
        <w:spacing w:line="13.20pt" w:lineRule="auto"/>
        <w:ind w:start="39.10pt" w:end="0.70pt" w:hanging="17.85pt"/>
        <w:jc w:val="both"/>
        <w:rPr>
          <w:rFonts w:ascii="Century Gothic" w:eastAsia="Times New Roman" w:hAnsi="Century Gothic" w:cs="Arial"/>
          <w:lang w:val="es-ES_tradnl" w:eastAsia="es-ES"/>
        </w:rPr>
      </w:pPr>
      <w:r w:rsidRPr="008728A8">
        <w:rPr>
          <w:rFonts w:ascii="Century Gothic" w:eastAsia="Times New Roman" w:hAnsi="Century Gothic" w:cs="Arial"/>
          <w:lang w:val="es-ES_tradnl" w:eastAsia="es-ES"/>
        </w:rPr>
        <w:t xml:space="preserve">Conexión por desplazamiento de aislamiento. </w:t>
      </w:r>
    </w:p>
    <w:p w:rsidR="008728A8" w:rsidRPr="008728A8" w:rsidRDefault="008728A8" w:rsidP="008728A8">
      <w:pPr>
        <w:numPr>
          <w:ilvl w:val="0"/>
          <w:numId w:val="185"/>
        </w:numPr>
        <w:spacing w:line="13.20pt" w:lineRule="auto"/>
        <w:ind w:start="39.10pt" w:end="0.70pt" w:hanging="17.85pt"/>
        <w:jc w:val="both"/>
        <w:rPr>
          <w:rFonts w:ascii="Century Gothic" w:eastAsia="Times New Roman" w:hAnsi="Century Gothic" w:cs="Arial"/>
          <w:lang w:val="es-ES_tradnl" w:eastAsia="es-ES"/>
        </w:rPr>
      </w:pPr>
      <w:r w:rsidRPr="008728A8">
        <w:rPr>
          <w:rFonts w:ascii="Century Gothic" w:eastAsia="Times New Roman" w:hAnsi="Century Gothic" w:cs="Arial"/>
          <w:lang w:val="es-ES_tradnl" w:eastAsia="es-ES"/>
        </w:rPr>
        <w:t>Puntos de conexión protegidos con gel.</w:t>
      </w:r>
    </w:p>
    <w:p w:rsidR="008728A8" w:rsidRPr="008728A8" w:rsidRDefault="008728A8" w:rsidP="008728A8">
      <w:pPr>
        <w:numPr>
          <w:ilvl w:val="0"/>
          <w:numId w:val="185"/>
        </w:numPr>
        <w:spacing w:line="13.20pt" w:lineRule="auto"/>
        <w:ind w:start="39.10pt" w:end="0.70pt" w:hanging="17.85pt"/>
        <w:jc w:val="both"/>
        <w:rPr>
          <w:rFonts w:ascii="Century Gothic" w:eastAsia="Times New Roman" w:hAnsi="Century Gothic" w:cs="Arial"/>
          <w:lang w:val="es-ES_tradnl" w:eastAsia="es-ES"/>
        </w:rPr>
      </w:pPr>
      <w:r w:rsidRPr="008728A8">
        <w:rPr>
          <w:rFonts w:ascii="Century Gothic" w:eastAsia="Times New Roman" w:hAnsi="Century Gothic" w:cs="Arial"/>
          <w:lang w:val="es-ES_tradnl" w:eastAsia="es-ES"/>
        </w:rPr>
        <w:t>Puntos de conexión para derivación a una extensión.</w:t>
      </w:r>
    </w:p>
    <w:p w:rsidR="008728A8" w:rsidRPr="008728A8" w:rsidRDefault="008728A8" w:rsidP="008728A8">
      <w:pPr>
        <w:spacing w:after="6pt" w:line="13.20pt" w:lineRule="auto"/>
        <w:ind w:end="2.50pt"/>
        <w:jc w:val="both"/>
        <w:rPr>
          <w:rFonts w:ascii="Century Gothic" w:eastAsia="Times New Roman" w:hAnsi="Century Gothic" w:cs="Arial"/>
          <w:lang w:val="es-ES_tradnl" w:eastAsia="es-ES"/>
        </w:rPr>
      </w:pPr>
    </w:p>
    <w:p w:rsidR="008728A8" w:rsidRPr="008728A8" w:rsidRDefault="008728A8" w:rsidP="008728A8">
      <w:pPr>
        <w:spacing w:after="6pt" w:line="13.20pt" w:lineRule="auto"/>
        <w:ind w:end="2.50pt"/>
        <w:jc w:val="both"/>
        <w:rPr>
          <w:rFonts w:ascii="Century Gothic" w:eastAsia="Times New Roman" w:hAnsi="Century Gothic" w:cs="Arial"/>
          <w:lang w:val="es-ES_tradnl" w:eastAsia="es-ES"/>
        </w:rPr>
      </w:pPr>
      <w:r w:rsidRPr="008728A8">
        <w:rPr>
          <w:rFonts w:ascii="Century Gothic" w:eastAsia="Times New Roman" w:hAnsi="Century Gothic" w:cs="Arial"/>
          <w:lang w:val="es-ES_tradnl" w:eastAsia="es-ES"/>
        </w:rPr>
        <w:lastRenderedPageBreak/>
        <w:t>El gel evita la penetración de humedad, polvo y la sulfatación de los puntos de conexión del conector RJ-11. Si se requiere cambiar la roseta por problemas de corrosión, también se debe cambiar el cordón del aparato telefónico.</w:t>
      </w:r>
    </w:p>
    <w:p w:rsidR="008728A8" w:rsidRPr="008728A8" w:rsidRDefault="008728A8" w:rsidP="008728A8">
      <w:pPr>
        <w:spacing w:after="6pt" w:line="13.20pt" w:lineRule="auto"/>
        <w:rPr>
          <w:rFonts w:ascii="Century Gothic" w:eastAsia="Calibri" w:hAnsi="Century Gothic" w:cs="Arial"/>
          <w:bCs/>
          <w:u w:val="single"/>
        </w:rPr>
      </w:pPr>
    </w:p>
    <w:p w:rsidR="008728A8" w:rsidRPr="008728A8" w:rsidRDefault="008728A8" w:rsidP="008728A8">
      <w:pPr>
        <w:spacing w:after="6pt" w:line="13.20pt" w:lineRule="auto"/>
        <w:rPr>
          <w:rFonts w:ascii="Century Gothic" w:eastAsia="Calibri" w:hAnsi="Century Gothic" w:cs="Arial"/>
          <w:bCs/>
          <w:u w:val="single"/>
        </w:rPr>
      </w:pPr>
      <w:r w:rsidRPr="008728A8">
        <w:rPr>
          <w:rFonts w:ascii="Century Gothic" w:eastAsia="Calibri" w:hAnsi="Century Gothic" w:cs="Arial"/>
          <w:bCs/>
          <w:u w:val="single"/>
        </w:rPr>
        <w:t>La instalación de la roseta.</w:t>
      </w:r>
    </w:p>
    <w:p w:rsidR="008728A8" w:rsidRPr="008728A8" w:rsidRDefault="008728A8" w:rsidP="008728A8">
      <w:pPr>
        <w:spacing w:after="6pt" w:line="13.20pt" w:lineRule="auto"/>
        <w:ind w:end="0.70pt"/>
        <w:jc w:val="both"/>
        <w:rPr>
          <w:rFonts w:ascii="Century Gothic" w:eastAsia="Times New Roman" w:hAnsi="Century Gothic" w:cs="Arial"/>
          <w:lang w:val="es-ES_tradnl" w:eastAsia="es-ES"/>
        </w:rPr>
      </w:pPr>
      <w:bookmarkStart w:id="3139" w:name="_Toc428875307"/>
      <w:bookmarkStart w:id="3140" w:name="_Toc434830163"/>
      <w:r w:rsidRPr="008728A8">
        <w:rPr>
          <w:rFonts w:ascii="Century Gothic" w:eastAsia="Times New Roman" w:hAnsi="Century Gothic" w:cs="Arial"/>
          <w:lang w:val="es-ES_tradnl" w:eastAsia="es-ES"/>
        </w:rPr>
        <w:t>Se debe realizar de acuerdo a lo indicado en la tabla 2 y considerando los siguientes puntos:</w:t>
      </w:r>
      <w:bookmarkEnd w:id="3139"/>
      <w:bookmarkEnd w:id="3140"/>
    </w:p>
    <w:p w:rsidR="008728A8" w:rsidRPr="008728A8" w:rsidRDefault="008728A8" w:rsidP="008728A8">
      <w:pPr>
        <w:numPr>
          <w:ilvl w:val="0"/>
          <w:numId w:val="186"/>
        </w:numPr>
        <w:tabs>
          <w:tab w:val="start" w:pos="21.30pt"/>
        </w:tabs>
        <w:spacing w:line="13.20pt" w:lineRule="auto"/>
        <w:ind w:start="39.10pt" w:end="0.70pt" w:hanging="17.85pt"/>
        <w:jc w:val="both"/>
        <w:rPr>
          <w:rFonts w:ascii="Century Gothic" w:eastAsia="Times New Roman" w:hAnsi="Century Gothic" w:cs="Arial"/>
          <w:lang w:val="es-ES_tradnl" w:eastAsia="es-ES"/>
        </w:rPr>
      </w:pPr>
      <w:r w:rsidRPr="008728A8">
        <w:rPr>
          <w:rFonts w:ascii="Century Gothic" w:eastAsia="Times New Roman" w:hAnsi="Century Gothic" w:cs="Arial"/>
          <w:lang w:val="es-ES_tradnl" w:eastAsia="es-ES"/>
        </w:rPr>
        <w:t>La posición de la roseta al fijarla, debe ser con el conector RJ-11 hacia abajo.</w:t>
      </w:r>
    </w:p>
    <w:p w:rsidR="008728A8" w:rsidRPr="008728A8" w:rsidRDefault="008728A8" w:rsidP="008728A8">
      <w:pPr>
        <w:tabs>
          <w:tab w:val="start" w:pos="21.30pt"/>
        </w:tabs>
        <w:spacing w:line="13.20pt" w:lineRule="auto"/>
        <w:ind w:start="39.10pt" w:end="0.70pt"/>
        <w:jc w:val="both"/>
        <w:rPr>
          <w:rFonts w:ascii="Century Gothic" w:eastAsia="Times New Roman" w:hAnsi="Century Gothic" w:cs="Arial"/>
          <w:lang w:val="es-ES_tradnl" w:eastAsia="es-ES"/>
        </w:rPr>
      </w:pPr>
    </w:p>
    <w:p w:rsidR="008728A8" w:rsidRPr="008728A8" w:rsidRDefault="008728A8" w:rsidP="008728A8">
      <w:pPr>
        <w:numPr>
          <w:ilvl w:val="0"/>
          <w:numId w:val="186"/>
        </w:numPr>
        <w:tabs>
          <w:tab w:val="start" w:pos="21.30pt"/>
        </w:tabs>
        <w:spacing w:line="13.20pt" w:lineRule="auto"/>
        <w:ind w:start="39.10pt" w:end="0.70pt" w:hanging="17.85pt"/>
        <w:jc w:val="both"/>
        <w:rPr>
          <w:rFonts w:ascii="Century Gothic" w:eastAsia="Times New Roman" w:hAnsi="Century Gothic" w:cs="Arial"/>
          <w:lang w:val="es-ES_tradnl" w:eastAsia="es-ES"/>
        </w:rPr>
      </w:pPr>
      <w:r w:rsidRPr="008728A8">
        <w:rPr>
          <w:rFonts w:ascii="Century Gothic" w:eastAsia="Times New Roman" w:hAnsi="Century Gothic" w:cs="Arial"/>
          <w:lang w:val="es-ES_tradnl" w:eastAsia="es-ES"/>
        </w:rPr>
        <w:t>Se debe instalar a una distancia mínima de 60 cm del piso.</w:t>
      </w:r>
    </w:p>
    <w:p w:rsidR="008728A8" w:rsidRPr="008728A8" w:rsidRDefault="008728A8" w:rsidP="008728A8">
      <w:pPr>
        <w:tabs>
          <w:tab w:val="start" w:pos="21.30pt"/>
        </w:tabs>
        <w:spacing w:line="13.20pt" w:lineRule="auto"/>
        <w:ind w:start="39.10pt" w:end="2.50pt"/>
        <w:jc w:val="both"/>
        <w:rPr>
          <w:rFonts w:ascii="Century Gothic" w:eastAsia="Times New Roman" w:hAnsi="Century Gothic" w:cs="Arial"/>
          <w:lang w:val="es-ES_tradnl" w:eastAsia="es-ES"/>
        </w:rPr>
      </w:pPr>
    </w:p>
    <w:p w:rsidR="008728A8" w:rsidRPr="008728A8" w:rsidRDefault="008728A8" w:rsidP="008728A8">
      <w:pPr>
        <w:numPr>
          <w:ilvl w:val="0"/>
          <w:numId w:val="186"/>
        </w:numPr>
        <w:tabs>
          <w:tab w:val="start" w:pos="21.30pt"/>
        </w:tabs>
        <w:spacing w:line="13.20pt" w:lineRule="auto"/>
        <w:ind w:start="39.10pt" w:end="2.50pt" w:hanging="17.85pt"/>
        <w:jc w:val="both"/>
        <w:rPr>
          <w:rFonts w:ascii="Century Gothic" w:eastAsia="Times New Roman" w:hAnsi="Century Gothic" w:cs="Arial"/>
          <w:lang w:val="es-ES_tradnl" w:eastAsia="es-ES"/>
        </w:rPr>
      </w:pPr>
      <w:r w:rsidRPr="008728A8">
        <w:rPr>
          <w:rFonts w:ascii="Century Gothic" w:eastAsia="Times New Roman" w:hAnsi="Century Gothic" w:cs="Arial"/>
          <w:lang w:val="es-ES_tradnl" w:eastAsia="es-ES"/>
        </w:rPr>
        <w:t>Se debe verificar la continuidad del cableado al PCT, a la roseta instalada con el amplificador y probador de tono.</w:t>
      </w:r>
    </w:p>
    <w:p w:rsidR="008728A8" w:rsidRPr="008728A8" w:rsidRDefault="008728A8" w:rsidP="008728A8">
      <w:pPr>
        <w:tabs>
          <w:tab w:val="start" w:pos="21.30pt"/>
        </w:tabs>
        <w:spacing w:after="6pt" w:line="13.20pt" w:lineRule="auto"/>
        <w:ind w:start="21.30pt" w:end="2.50pt" w:hanging="18pt"/>
        <w:jc w:val="both"/>
        <w:rPr>
          <w:rFonts w:ascii="Century Gothic" w:eastAsia="Times New Roman" w:hAnsi="Century Gothic" w:cs="Arial"/>
          <w:lang w:val="es-ES_tradnl" w:eastAsia="es-ES"/>
        </w:rPr>
      </w:pPr>
    </w:p>
    <w:p w:rsidR="008728A8" w:rsidRPr="008728A8" w:rsidRDefault="008728A8" w:rsidP="008728A8">
      <w:pPr>
        <w:spacing w:line="12pt" w:lineRule="auto"/>
        <w:jc w:val="center"/>
        <w:rPr>
          <w:rFonts w:ascii="Century Gothic" w:eastAsia="Calibri" w:hAnsi="Century Gothic" w:cs="Arial"/>
          <w:b/>
          <w:sz w:val="20"/>
          <w:szCs w:val="20"/>
        </w:rPr>
      </w:pPr>
      <w:r w:rsidRPr="008728A8">
        <w:rPr>
          <w:rFonts w:ascii="Century Gothic" w:eastAsia="Calibri" w:hAnsi="Century Gothic" w:cs="Arial"/>
          <w:b/>
          <w:sz w:val="20"/>
          <w:szCs w:val="20"/>
        </w:rPr>
        <w:t>Tabla 2. Instalación de la Roseta.</w:t>
      </w:r>
    </w:p>
    <w:p w:rsidR="008728A8" w:rsidRPr="008728A8" w:rsidRDefault="008728A8" w:rsidP="008728A8">
      <w:pPr>
        <w:spacing w:line="12pt" w:lineRule="auto"/>
        <w:jc w:val="center"/>
        <w:rPr>
          <w:rFonts w:ascii="Century Gothic" w:eastAsia="Calibri" w:hAnsi="Century Gothic" w:cs="Arial"/>
          <w:b/>
          <w:sz w:val="20"/>
          <w:szCs w:val="20"/>
        </w:rPr>
      </w:pPr>
    </w:p>
    <w:tbl>
      <w:tblPr>
        <w:tblW w:w="489.05pt" w:type="dxa"/>
        <w:tblInd w:w="0.65pt" w:type="dxa"/>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ayout w:type="fixed"/>
        <w:tblCellMar>
          <w:start w:w="3.50pt" w:type="dxa"/>
          <w:end w:w="3.50pt" w:type="dxa"/>
        </w:tblCellMar>
        <w:tblLook w:firstRow="0" w:lastRow="0" w:firstColumn="0" w:lastColumn="0" w:noHBand="0" w:noVBand="0"/>
      </w:tblPr>
      <w:tblGrid>
        <w:gridCol w:w="2733"/>
        <w:gridCol w:w="2587"/>
        <w:gridCol w:w="4461"/>
      </w:tblGrid>
      <w:tr w:rsidR="008728A8" w:rsidRPr="008728A8" w:rsidTr="00220735">
        <w:tc>
          <w:tcPr>
            <w:tcW w:w="266pt" w:type="dxa"/>
            <w:gridSpan w:val="2"/>
          </w:tcPr>
          <w:p w:rsidR="008728A8" w:rsidRPr="008728A8" w:rsidRDefault="008728A8" w:rsidP="008728A8">
            <w:pPr>
              <w:spacing w:line="12pt" w:lineRule="auto"/>
              <w:jc w:val="center"/>
              <w:rPr>
                <w:rFonts w:ascii="Century Gothic" w:eastAsia="Calibri" w:hAnsi="Century Gothic" w:cs="Arial"/>
                <w:sz w:val="20"/>
                <w:szCs w:val="20"/>
              </w:rPr>
            </w:pPr>
            <w:r w:rsidRPr="008728A8">
              <w:rPr>
                <w:rFonts w:ascii="Century Gothic" w:eastAsia="Calibri" w:hAnsi="Century Gothic" w:cs="Arial"/>
                <w:noProof/>
                <w:sz w:val="20"/>
                <w:szCs w:val="20"/>
                <w:lang w:eastAsia="es-MX"/>
              </w:rPr>
              <w:drawing>
                <wp:inline distT="0" distB="0" distL="0" distR="0" wp14:anchorId="468D6A63" wp14:editId="3A3727D7">
                  <wp:extent cx="1819910" cy="1153901"/>
                  <wp:effectExtent l="19050" t="0" r="8890" b="0"/>
                  <wp:docPr id="5154" name="Imagen 19"/>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19"/>
                          <pic:cNvPicPr>
                            <a:picLocks noChangeAspect="1" noChangeArrowheads="1"/>
                          </pic:cNvPicPr>
                        </pic:nvPicPr>
                        <pic:blipFill>
                          <a:blip r:embed="rId80"/>
                          <a:srcRect/>
                          <a:stretch>
                            <a:fillRect/>
                          </a:stretch>
                        </pic:blipFill>
                        <pic:spPr bwMode="auto">
                          <a:xfrm>
                            <a:off x="0" y="0"/>
                            <a:ext cx="1819205" cy="1153454"/>
                          </a:xfrm>
                          <a:prstGeom prst="rect">
                            <a:avLst/>
                          </a:prstGeom>
                          <a:noFill/>
                          <a:ln w="9525">
                            <a:noFill/>
                            <a:miter lim="800%"/>
                            <a:headEnd/>
                            <a:tailEnd/>
                          </a:ln>
                        </pic:spPr>
                      </pic:pic>
                    </a:graphicData>
                  </a:graphic>
                </wp:inline>
              </w:drawing>
            </w:r>
          </w:p>
        </w:tc>
        <w:tc>
          <w:tcPr>
            <w:tcW w:w="223.05pt" w:type="dxa"/>
            <w:vAlign w:val="center"/>
          </w:tcPr>
          <w:p w:rsidR="008728A8" w:rsidRPr="008728A8" w:rsidRDefault="008728A8" w:rsidP="008728A8">
            <w:pPr>
              <w:spacing w:line="12pt" w:lineRule="auto"/>
              <w:jc w:val="center"/>
              <w:rPr>
                <w:rFonts w:ascii="Century Gothic" w:eastAsia="Calibri" w:hAnsi="Century Gothic" w:cs="Arial"/>
                <w:sz w:val="20"/>
                <w:szCs w:val="20"/>
              </w:rPr>
            </w:pPr>
            <w:r w:rsidRPr="008728A8">
              <w:rPr>
                <w:rFonts w:ascii="Century Gothic" w:eastAsia="Calibri" w:hAnsi="Century Gothic" w:cs="Arial"/>
                <w:noProof/>
                <w:sz w:val="20"/>
                <w:szCs w:val="20"/>
                <w:lang w:eastAsia="es-MX"/>
              </w:rPr>
              <w:drawing>
                <wp:inline distT="0" distB="0" distL="0" distR="0" wp14:anchorId="71002EB5" wp14:editId="2F0CBA29">
                  <wp:extent cx="2476503" cy="920505"/>
                  <wp:effectExtent l="19050" t="0" r="0" b="0"/>
                  <wp:docPr id="5155" name="Imagen 20"/>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20"/>
                          <pic:cNvPicPr>
                            <a:picLocks noChangeAspect="1" noChangeArrowheads="1"/>
                          </pic:cNvPicPr>
                        </pic:nvPicPr>
                        <pic:blipFill>
                          <a:blip r:embed="rId81"/>
                          <a:srcRect/>
                          <a:stretch>
                            <a:fillRect/>
                          </a:stretch>
                        </pic:blipFill>
                        <pic:spPr bwMode="auto">
                          <a:xfrm>
                            <a:off x="0" y="0"/>
                            <a:ext cx="2476699" cy="920578"/>
                          </a:xfrm>
                          <a:prstGeom prst="rect">
                            <a:avLst/>
                          </a:prstGeom>
                          <a:noFill/>
                          <a:ln w="9525">
                            <a:noFill/>
                            <a:miter lim="800%"/>
                            <a:headEnd/>
                            <a:tailEnd/>
                          </a:ln>
                        </pic:spPr>
                      </pic:pic>
                    </a:graphicData>
                  </a:graphic>
                </wp:inline>
              </w:drawing>
            </w:r>
          </w:p>
        </w:tc>
      </w:tr>
      <w:tr w:rsidR="008728A8" w:rsidRPr="008728A8" w:rsidTr="00220735">
        <w:tc>
          <w:tcPr>
            <w:tcW w:w="266pt" w:type="dxa"/>
            <w:gridSpan w:val="2"/>
          </w:tcPr>
          <w:p w:rsidR="008728A8" w:rsidRPr="008728A8" w:rsidRDefault="008728A8" w:rsidP="008728A8">
            <w:pPr>
              <w:tabs>
                <w:tab w:val="start" w:pos="7.10pt"/>
              </w:tabs>
              <w:spacing w:before="2pt" w:after="2pt" w:line="12pt" w:lineRule="auto"/>
              <w:ind w:hanging="11.35pt"/>
              <w:jc w:val="both"/>
              <w:rPr>
                <w:rFonts w:ascii="Century Gothic" w:eastAsia="Calibri" w:hAnsi="Century Gothic" w:cs="Arial"/>
                <w:sz w:val="20"/>
                <w:szCs w:val="20"/>
              </w:rPr>
            </w:pPr>
            <w:r w:rsidRPr="008728A8">
              <w:rPr>
                <w:rFonts w:ascii="Century Gothic" w:eastAsia="Calibri" w:hAnsi="Century Gothic" w:cs="Arial"/>
                <w:sz w:val="20"/>
                <w:szCs w:val="20"/>
              </w:rPr>
              <w:t>1.</w:t>
            </w:r>
            <w:r w:rsidRPr="008728A8">
              <w:rPr>
                <w:rFonts w:ascii="Century Gothic" w:eastAsia="Calibri" w:hAnsi="Century Gothic" w:cs="Arial"/>
                <w:sz w:val="20"/>
                <w:szCs w:val="20"/>
              </w:rPr>
              <w:tab/>
              <w:t>Abra la roseta haciendo presión a ambos lados de ésta con los dedos y jale para quitar la tapa.</w:t>
            </w:r>
          </w:p>
        </w:tc>
        <w:tc>
          <w:tcPr>
            <w:tcW w:w="223.05pt" w:type="dxa"/>
          </w:tcPr>
          <w:p w:rsidR="008728A8" w:rsidRPr="008728A8" w:rsidRDefault="008728A8" w:rsidP="008728A8">
            <w:pPr>
              <w:tabs>
                <w:tab w:val="start" w:pos="10.70pt"/>
              </w:tabs>
              <w:spacing w:before="2pt" w:after="2pt" w:line="12pt" w:lineRule="auto"/>
              <w:ind w:hanging="11.35pt"/>
              <w:jc w:val="both"/>
              <w:rPr>
                <w:rFonts w:ascii="Century Gothic" w:eastAsia="Calibri" w:hAnsi="Century Gothic" w:cs="Arial"/>
                <w:sz w:val="20"/>
                <w:szCs w:val="20"/>
              </w:rPr>
            </w:pPr>
            <w:r w:rsidRPr="008728A8">
              <w:rPr>
                <w:rFonts w:ascii="Century Gothic" w:eastAsia="Calibri" w:hAnsi="Century Gothic" w:cs="Arial"/>
                <w:sz w:val="20"/>
                <w:szCs w:val="20"/>
              </w:rPr>
              <w:t>2.</w:t>
            </w:r>
            <w:r w:rsidRPr="008728A8">
              <w:rPr>
                <w:rFonts w:ascii="Century Gothic" w:eastAsia="Calibri" w:hAnsi="Century Gothic" w:cs="Arial"/>
                <w:sz w:val="20"/>
                <w:szCs w:val="20"/>
              </w:rPr>
              <w:tab/>
              <w:t>Ponga la roseta sobre el muro, en la parte donde la va a fijar y marque con un lápiz dos orificios de fijación.</w:t>
            </w:r>
          </w:p>
        </w:tc>
      </w:tr>
      <w:tr w:rsidR="008728A8" w:rsidRPr="008728A8" w:rsidTr="00220735">
        <w:trPr>
          <w:cantSplit/>
        </w:trPr>
        <w:tc>
          <w:tcPr>
            <w:tcW w:w="136.65pt" w:type="dxa"/>
          </w:tcPr>
          <w:p w:rsidR="008728A8" w:rsidRPr="008728A8" w:rsidRDefault="008728A8" w:rsidP="008728A8">
            <w:pPr>
              <w:spacing w:before="2pt" w:after="2pt" w:line="12pt" w:lineRule="auto"/>
              <w:jc w:val="center"/>
              <w:rPr>
                <w:rFonts w:ascii="Century Gothic" w:eastAsia="Calibri" w:hAnsi="Century Gothic" w:cs="Arial"/>
                <w:sz w:val="20"/>
                <w:szCs w:val="20"/>
              </w:rPr>
            </w:pPr>
            <w:r w:rsidRPr="008728A8">
              <w:rPr>
                <w:rFonts w:ascii="Century Gothic" w:eastAsia="Calibri" w:hAnsi="Century Gothic" w:cs="Arial"/>
                <w:noProof/>
                <w:sz w:val="20"/>
                <w:szCs w:val="20"/>
                <w:lang w:eastAsia="es-MX"/>
              </w:rPr>
              <w:drawing>
                <wp:inline distT="0" distB="0" distL="0" distR="0" wp14:anchorId="164E79A9" wp14:editId="5B9DF5CD">
                  <wp:extent cx="1227473" cy="898102"/>
                  <wp:effectExtent l="19050" t="0" r="0" b="0"/>
                  <wp:docPr id="5156" name="Imagen 21"/>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21"/>
                          <pic:cNvPicPr>
                            <a:picLocks noChangeAspect="1" noChangeArrowheads="1"/>
                          </pic:cNvPicPr>
                        </pic:nvPicPr>
                        <pic:blipFill>
                          <a:blip r:embed="rId82"/>
                          <a:srcRect/>
                          <a:stretch>
                            <a:fillRect/>
                          </a:stretch>
                        </pic:blipFill>
                        <pic:spPr bwMode="auto">
                          <a:xfrm>
                            <a:off x="0" y="0"/>
                            <a:ext cx="1228932" cy="899169"/>
                          </a:xfrm>
                          <a:prstGeom prst="rect">
                            <a:avLst/>
                          </a:prstGeom>
                          <a:noFill/>
                          <a:ln w="9525">
                            <a:noFill/>
                            <a:miter lim="800%"/>
                            <a:headEnd/>
                            <a:tailEnd/>
                          </a:ln>
                        </pic:spPr>
                      </pic:pic>
                    </a:graphicData>
                  </a:graphic>
                </wp:inline>
              </w:drawing>
            </w:r>
          </w:p>
        </w:tc>
        <w:tc>
          <w:tcPr>
            <w:tcW w:w="129.35pt" w:type="dxa"/>
          </w:tcPr>
          <w:p w:rsidR="008728A8" w:rsidRPr="008728A8" w:rsidRDefault="008728A8" w:rsidP="008728A8">
            <w:pPr>
              <w:spacing w:before="2pt" w:after="2pt" w:line="12pt" w:lineRule="auto"/>
              <w:jc w:val="center"/>
              <w:rPr>
                <w:rFonts w:ascii="Century Gothic" w:eastAsia="Calibri" w:hAnsi="Century Gothic" w:cs="Arial"/>
                <w:sz w:val="20"/>
                <w:szCs w:val="20"/>
              </w:rPr>
            </w:pPr>
            <w:r w:rsidRPr="008728A8">
              <w:rPr>
                <w:rFonts w:ascii="Century Gothic" w:eastAsia="Calibri" w:hAnsi="Century Gothic" w:cs="Arial"/>
                <w:noProof/>
                <w:sz w:val="20"/>
                <w:szCs w:val="20"/>
                <w:lang w:eastAsia="es-MX"/>
              </w:rPr>
              <w:drawing>
                <wp:inline distT="0" distB="0" distL="0" distR="0" wp14:anchorId="55EB9628" wp14:editId="49EC70D2">
                  <wp:extent cx="1078173" cy="1127642"/>
                  <wp:effectExtent l="0" t="0" r="0" b="0"/>
                  <wp:docPr id="5157" name="Imagen 22"/>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22"/>
                          <pic:cNvPicPr>
                            <a:picLocks noChangeAspect="1" noChangeArrowheads="1"/>
                          </pic:cNvPicPr>
                        </pic:nvPicPr>
                        <pic:blipFill>
                          <a:blip r:embed="rId83"/>
                          <a:srcRect/>
                          <a:stretch>
                            <a:fillRect/>
                          </a:stretch>
                        </pic:blipFill>
                        <pic:spPr bwMode="auto">
                          <a:xfrm>
                            <a:off x="0" y="0"/>
                            <a:ext cx="1078879" cy="1128380"/>
                          </a:xfrm>
                          <a:prstGeom prst="rect">
                            <a:avLst/>
                          </a:prstGeom>
                          <a:noFill/>
                          <a:ln w="9525">
                            <a:noFill/>
                            <a:miter lim="800%"/>
                            <a:headEnd/>
                            <a:tailEnd/>
                          </a:ln>
                        </pic:spPr>
                      </pic:pic>
                    </a:graphicData>
                  </a:graphic>
                </wp:inline>
              </w:drawing>
            </w:r>
          </w:p>
        </w:tc>
        <w:tc>
          <w:tcPr>
            <w:tcW w:w="223.05pt" w:type="dxa"/>
            <w:vAlign w:val="center"/>
          </w:tcPr>
          <w:p w:rsidR="008728A8" w:rsidRPr="008728A8" w:rsidRDefault="008728A8" w:rsidP="008728A8">
            <w:pPr>
              <w:spacing w:before="2pt" w:after="2pt" w:line="12pt" w:lineRule="auto"/>
              <w:jc w:val="center"/>
              <w:rPr>
                <w:rFonts w:ascii="Century Gothic" w:eastAsia="Calibri" w:hAnsi="Century Gothic" w:cs="Arial"/>
                <w:sz w:val="20"/>
                <w:szCs w:val="20"/>
              </w:rPr>
            </w:pPr>
            <w:r w:rsidRPr="008728A8">
              <w:rPr>
                <w:rFonts w:ascii="Century Gothic" w:eastAsia="Calibri" w:hAnsi="Century Gothic" w:cs="Arial"/>
                <w:noProof/>
                <w:sz w:val="20"/>
                <w:szCs w:val="20"/>
                <w:lang w:eastAsia="es-MX"/>
              </w:rPr>
              <w:drawing>
                <wp:inline distT="0" distB="0" distL="0" distR="0" wp14:anchorId="0EB0FE89" wp14:editId="372183DE">
                  <wp:extent cx="1272093" cy="1369188"/>
                  <wp:effectExtent l="19050" t="0" r="0" b="0"/>
                  <wp:docPr id="5158" name="Imagen 23"/>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23"/>
                          <pic:cNvPicPr>
                            <a:picLocks noChangeAspect="1" noChangeArrowheads="1"/>
                          </pic:cNvPicPr>
                        </pic:nvPicPr>
                        <pic:blipFill>
                          <a:blip r:embed="rId84"/>
                          <a:srcRect/>
                          <a:stretch>
                            <a:fillRect/>
                          </a:stretch>
                        </pic:blipFill>
                        <pic:spPr bwMode="auto">
                          <a:xfrm>
                            <a:off x="0" y="0"/>
                            <a:ext cx="1274105" cy="1371353"/>
                          </a:xfrm>
                          <a:prstGeom prst="rect">
                            <a:avLst/>
                          </a:prstGeom>
                          <a:noFill/>
                          <a:ln w="9525">
                            <a:noFill/>
                            <a:miter lim="800%"/>
                            <a:headEnd/>
                            <a:tailEnd/>
                          </a:ln>
                        </pic:spPr>
                      </pic:pic>
                    </a:graphicData>
                  </a:graphic>
                </wp:inline>
              </w:drawing>
            </w:r>
          </w:p>
        </w:tc>
      </w:tr>
      <w:tr w:rsidR="008728A8" w:rsidRPr="008728A8" w:rsidTr="00220735">
        <w:trPr>
          <w:cantSplit/>
        </w:trPr>
        <w:tc>
          <w:tcPr>
            <w:tcW w:w="136.65pt" w:type="dxa"/>
          </w:tcPr>
          <w:p w:rsidR="008728A8" w:rsidRPr="008728A8" w:rsidRDefault="008728A8" w:rsidP="008728A8">
            <w:pPr>
              <w:tabs>
                <w:tab w:val="start" w:pos="7.10pt"/>
              </w:tabs>
              <w:spacing w:before="2pt" w:after="2pt" w:line="12pt" w:lineRule="auto"/>
              <w:ind w:hanging="11.35pt"/>
              <w:jc w:val="both"/>
              <w:rPr>
                <w:rFonts w:ascii="Century Gothic" w:eastAsia="Calibri" w:hAnsi="Century Gothic" w:cs="Arial"/>
                <w:sz w:val="20"/>
                <w:szCs w:val="20"/>
              </w:rPr>
            </w:pPr>
            <w:r w:rsidRPr="008728A8">
              <w:rPr>
                <w:rFonts w:ascii="Century Gothic" w:eastAsia="Calibri" w:hAnsi="Century Gothic" w:cs="Arial"/>
                <w:sz w:val="20"/>
                <w:szCs w:val="20"/>
              </w:rPr>
              <w:t>3.</w:t>
            </w:r>
            <w:r w:rsidRPr="008728A8">
              <w:rPr>
                <w:rFonts w:ascii="Century Gothic" w:eastAsia="Calibri" w:hAnsi="Century Gothic" w:cs="Arial"/>
                <w:sz w:val="20"/>
                <w:szCs w:val="20"/>
              </w:rPr>
              <w:tab/>
              <w:t xml:space="preserve">En las marcas hechas, perfore el muro </w:t>
            </w:r>
            <w:smartTag w:uri="urn:schemas-microsoft-com:office:smarttags" w:element="metricconverter">
              <w:smartTagPr>
                <w:attr w:name="ProductID" w:val="4 cm"/>
              </w:smartTagPr>
              <w:r w:rsidRPr="008728A8">
                <w:rPr>
                  <w:rFonts w:ascii="Century Gothic" w:eastAsia="Calibri" w:hAnsi="Century Gothic" w:cs="Arial"/>
                  <w:sz w:val="20"/>
                  <w:szCs w:val="20"/>
                </w:rPr>
                <w:t>4 cm</w:t>
              </w:r>
            </w:smartTag>
            <w:r w:rsidRPr="008728A8">
              <w:rPr>
                <w:rFonts w:ascii="Century Gothic" w:eastAsia="Calibri" w:hAnsi="Century Gothic" w:cs="Arial"/>
                <w:sz w:val="20"/>
                <w:szCs w:val="20"/>
              </w:rPr>
              <w:t xml:space="preserve"> con la broca de ¼”.</w:t>
            </w:r>
          </w:p>
        </w:tc>
        <w:tc>
          <w:tcPr>
            <w:tcW w:w="129.35pt" w:type="dxa"/>
          </w:tcPr>
          <w:p w:rsidR="008728A8" w:rsidRPr="008728A8" w:rsidRDefault="008728A8" w:rsidP="008728A8">
            <w:pPr>
              <w:tabs>
                <w:tab w:val="start" w:pos="5.40pt"/>
              </w:tabs>
              <w:spacing w:before="2pt" w:after="2pt" w:line="12pt" w:lineRule="auto"/>
              <w:ind w:hanging="11.35pt"/>
              <w:jc w:val="both"/>
              <w:rPr>
                <w:rFonts w:ascii="Century Gothic" w:eastAsia="Calibri" w:hAnsi="Century Gothic" w:cs="Arial"/>
                <w:sz w:val="20"/>
                <w:szCs w:val="20"/>
              </w:rPr>
            </w:pPr>
            <w:r w:rsidRPr="008728A8">
              <w:rPr>
                <w:rFonts w:ascii="Century Gothic" w:eastAsia="Calibri" w:hAnsi="Century Gothic" w:cs="Arial"/>
                <w:sz w:val="20"/>
                <w:szCs w:val="20"/>
              </w:rPr>
              <w:t>4.</w:t>
            </w:r>
            <w:r w:rsidRPr="008728A8">
              <w:rPr>
                <w:rFonts w:ascii="Century Gothic" w:eastAsia="Calibri" w:hAnsi="Century Gothic" w:cs="Arial"/>
                <w:sz w:val="20"/>
                <w:szCs w:val="20"/>
              </w:rPr>
              <w:tab/>
              <w:t>Coloque los taquetes plásticos</w:t>
            </w:r>
          </w:p>
        </w:tc>
        <w:tc>
          <w:tcPr>
            <w:tcW w:w="223.05pt" w:type="dxa"/>
          </w:tcPr>
          <w:p w:rsidR="008728A8" w:rsidRPr="008728A8" w:rsidRDefault="008728A8" w:rsidP="008728A8">
            <w:pPr>
              <w:tabs>
                <w:tab w:val="start" w:pos="3.60pt"/>
              </w:tabs>
              <w:spacing w:before="2pt" w:after="2pt" w:line="12pt" w:lineRule="auto"/>
              <w:ind w:hanging="11.35pt"/>
              <w:jc w:val="both"/>
              <w:rPr>
                <w:rFonts w:ascii="Century Gothic" w:eastAsia="Calibri" w:hAnsi="Century Gothic" w:cs="Arial"/>
                <w:sz w:val="20"/>
                <w:szCs w:val="20"/>
              </w:rPr>
            </w:pPr>
            <w:r w:rsidRPr="008728A8">
              <w:rPr>
                <w:rFonts w:ascii="Century Gothic" w:eastAsia="Calibri" w:hAnsi="Century Gothic" w:cs="Arial"/>
                <w:sz w:val="20"/>
                <w:szCs w:val="20"/>
              </w:rPr>
              <w:t>5.</w:t>
            </w:r>
            <w:r w:rsidRPr="008728A8">
              <w:rPr>
                <w:rFonts w:ascii="Century Gothic" w:eastAsia="Calibri" w:hAnsi="Century Gothic" w:cs="Arial"/>
                <w:sz w:val="20"/>
                <w:szCs w:val="20"/>
              </w:rPr>
              <w:tab/>
              <w:t>Con las pijas, fije la roseta al muro, cuidando que el conector para el equipo terminal quede hacia abajo.</w:t>
            </w:r>
          </w:p>
        </w:tc>
      </w:tr>
    </w:tbl>
    <w:p w:rsidR="008728A8" w:rsidRPr="008728A8" w:rsidRDefault="008728A8" w:rsidP="008728A8">
      <w:pPr>
        <w:spacing w:line="12pt" w:lineRule="auto"/>
        <w:ind w:start="14.20pt" w:end="0.70pt"/>
        <w:jc w:val="both"/>
        <w:rPr>
          <w:rFonts w:ascii="Century Gothic" w:eastAsia="Times New Roman" w:hAnsi="Century Gothic" w:cs="Arial"/>
          <w:lang w:val="es-ES_tradnl" w:eastAsia="es-ES"/>
        </w:rPr>
      </w:pPr>
    </w:p>
    <w:p w:rsidR="008728A8" w:rsidRPr="008728A8" w:rsidRDefault="008728A8" w:rsidP="008728A8">
      <w:pPr>
        <w:spacing w:line="12pt" w:lineRule="auto"/>
        <w:ind w:start="14.20pt" w:end="0.70pt"/>
        <w:jc w:val="both"/>
        <w:rPr>
          <w:rFonts w:ascii="Century Gothic" w:eastAsia="Times New Roman" w:hAnsi="Century Gothic" w:cs="Arial"/>
          <w:szCs w:val="20"/>
          <w:lang w:val="es-ES_tradnl" w:eastAsia="es-ES"/>
        </w:rPr>
      </w:pPr>
    </w:p>
    <w:p w:rsidR="008728A8" w:rsidRPr="008728A8" w:rsidRDefault="008728A8" w:rsidP="008728A8">
      <w:pPr>
        <w:spacing w:line="12pt" w:lineRule="auto"/>
        <w:ind w:start="14.20pt" w:end="0.70pt"/>
        <w:jc w:val="both"/>
        <w:rPr>
          <w:rFonts w:ascii="Century Gothic" w:eastAsia="Times New Roman" w:hAnsi="Century Gothic" w:cs="Arial"/>
          <w:szCs w:val="20"/>
          <w:lang w:val="es-ES_tradnl" w:eastAsia="es-ES"/>
        </w:rPr>
      </w:pPr>
      <w:r w:rsidRPr="008728A8">
        <w:rPr>
          <w:rFonts w:ascii="Century Gothic" w:eastAsia="Times New Roman" w:hAnsi="Century Gothic" w:cs="Arial"/>
          <w:szCs w:val="20"/>
          <w:lang w:val="es-ES_tradnl" w:eastAsia="es-ES"/>
        </w:rPr>
        <w:t>La conexión del cordón de interior (marfil y/o gris) en la roseta correspondiente, se debe realizar de acuerdo a lo indicado en la tabla 3.</w:t>
      </w:r>
    </w:p>
    <w:p w:rsidR="008728A8" w:rsidRPr="008728A8" w:rsidRDefault="008728A8" w:rsidP="008728A8">
      <w:pPr>
        <w:spacing w:line="12pt" w:lineRule="auto"/>
        <w:ind w:start="14.20pt" w:end="0.70pt"/>
        <w:jc w:val="both"/>
        <w:rPr>
          <w:rFonts w:ascii="Century Gothic" w:eastAsia="Times New Roman" w:hAnsi="Century Gothic" w:cs="Arial"/>
          <w:szCs w:val="20"/>
          <w:lang w:val="es-ES_tradnl" w:eastAsia="es-ES"/>
        </w:rPr>
      </w:pPr>
    </w:p>
    <w:p w:rsidR="008728A8" w:rsidRDefault="008728A8" w:rsidP="008728A8">
      <w:pPr>
        <w:spacing w:line="12pt" w:lineRule="auto"/>
        <w:ind w:start="14.20pt" w:end="0.70pt"/>
        <w:jc w:val="both"/>
        <w:rPr>
          <w:rFonts w:ascii="Century Gothic" w:eastAsia="Times New Roman" w:hAnsi="Century Gothic" w:cs="Arial"/>
          <w:szCs w:val="20"/>
          <w:lang w:val="es-ES_tradnl" w:eastAsia="es-ES"/>
        </w:rPr>
      </w:pPr>
    </w:p>
    <w:p w:rsidR="00D12671" w:rsidRDefault="00D12671" w:rsidP="008728A8">
      <w:pPr>
        <w:spacing w:line="12pt" w:lineRule="auto"/>
        <w:ind w:start="14.20pt" w:end="0.70pt"/>
        <w:jc w:val="both"/>
        <w:rPr>
          <w:rFonts w:ascii="Century Gothic" w:eastAsia="Times New Roman" w:hAnsi="Century Gothic" w:cs="Arial"/>
          <w:szCs w:val="20"/>
          <w:lang w:val="es-ES_tradnl" w:eastAsia="es-ES"/>
        </w:rPr>
      </w:pPr>
    </w:p>
    <w:p w:rsidR="00D12671" w:rsidRPr="008728A8" w:rsidRDefault="00D12671" w:rsidP="008728A8">
      <w:pPr>
        <w:spacing w:line="12pt" w:lineRule="auto"/>
        <w:ind w:start="14.20pt" w:end="0.70pt"/>
        <w:jc w:val="both"/>
        <w:rPr>
          <w:rFonts w:ascii="Century Gothic" w:eastAsia="Times New Roman" w:hAnsi="Century Gothic" w:cs="Arial"/>
          <w:szCs w:val="20"/>
          <w:lang w:val="es-ES_tradnl" w:eastAsia="es-ES"/>
        </w:rPr>
      </w:pPr>
    </w:p>
    <w:p w:rsidR="008728A8" w:rsidRPr="008728A8" w:rsidRDefault="008728A8" w:rsidP="008728A8">
      <w:pPr>
        <w:spacing w:line="12pt" w:lineRule="auto"/>
        <w:ind w:start="14.20pt" w:end="0.70pt"/>
        <w:jc w:val="center"/>
        <w:rPr>
          <w:rFonts w:ascii="Century Gothic" w:eastAsia="Times New Roman" w:hAnsi="Century Gothic" w:cs="Arial"/>
          <w:b/>
          <w:sz w:val="20"/>
          <w:szCs w:val="20"/>
          <w:lang w:val="es-ES_tradnl" w:eastAsia="es-ES"/>
        </w:rPr>
      </w:pPr>
      <w:r w:rsidRPr="008728A8">
        <w:rPr>
          <w:rFonts w:ascii="Century Gothic" w:eastAsia="Times New Roman" w:hAnsi="Century Gothic" w:cs="Arial"/>
          <w:b/>
          <w:sz w:val="20"/>
          <w:szCs w:val="20"/>
          <w:lang w:val="es-ES_tradnl" w:eastAsia="es-ES"/>
        </w:rPr>
        <w:t>Tabla 3. Colocación de cordón marfil y/o cordón gris en su Roseta respectiva.</w:t>
      </w:r>
    </w:p>
    <w:tbl>
      <w:tblPr>
        <w:tblW w:w="489pt" w:type="dxa"/>
        <w:jc w:val="cente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ayout w:type="fixed"/>
        <w:tblCellMar>
          <w:start w:w="3.50pt" w:type="dxa"/>
          <w:end w:w="3.50pt" w:type="dxa"/>
        </w:tblCellMar>
        <w:tblLook w:firstRow="0" w:lastRow="0" w:firstColumn="0" w:lastColumn="0" w:noHBand="0" w:noVBand="0"/>
      </w:tblPr>
      <w:tblGrid>
        <w:gridCol w:w="3543"/>
        <w:gridCol w:w="6237"/>
      </w:tblGrid>
      <w:tr w:rsidR="008728A8" w:rsidRPr="008728A8" w:rsidTr="00220735">
        <w:trPr>
          <w:jc w:val="center"/>
        </w:trPr>
        <w:tc>
          <w:tcPr>
            <w:tcW w:w="177.15pt" w:type="dxa"/>
          </w:tcPr>
          <w:p w:rsidR="008728A8" w:rsidRPr="008728A8" w:rsidRDefault="008728A8" w:rsidP="008728A8">
            <w:pPr>
              <w:spacing w:line="12pt" w:lineRule="auto"/>
              <w:jc w:val="center"/>
              <w:rPr>
                <w:rFonts w:ascii="Century Gothic" w:eastAsia="Calibri" w:hAnsi="Century Gothic" w:cs="Arial"/>
                <w:sz w:val="20"/>
                <w:szCs w:val="20"/>
              </w:rPr>
            </w:pPr>
            <w:r w:rsidRPr="008728A8">
              <w:rPr>
                <w:rFonts w:ascii="Century Gothic" w:eastAsia="Calibri" w:hAnsi="Century Gothic" w:cs="Arial"/>
                <w:noProof/>
                <w:sz w:val="20"/>
                <w:szCs w:val="20"/>
                <w:lang w:eastAsia="es-MX"/>
              </w:rPr>
              <w:drawing>
                <wp:inline distT="0" distB="0" distL="0" distR="0" wp14:anchorId="1BCCBB09" wp14:editId="18300484">
                  <wp:extent cx="1867204" cy="1190303"/>
                  <wp:effectExtent l="19050" t="0" r="0" b="0"/>
                  <wp:docPr id="5159" name="Imagen 3"/>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3"/>
                          <pic:cNvPicPr>
                            <a:picLocks noChangeAspect="1" noChangeArrowheads="1"/>
                          </pic:cNvPicPr>
                        </pic:nvPicPr>
                        <pic:blipFill>
                          <a:blip r:embed="rId85"/>
                          <a:srcRect/>
                          <a:stretch>
                            <a:fillRect/>
                          </a:stretch>
                        </pic:blipFill>
                        <pic:spPr bwMode="auto">
                          <a:xfrm>
                            <a:off x="0" y="0"/>
                            <a:ext cx="1869591" cy="1191825"/>
                          </a:xfrm>
                          <a:prstGeom prst="rect">
                            <a:avLst/>
                          </a:prstGeom>
                          <a:noFill/>
                          <a:ln w="9525">
                            <a:noFill/>
                            <a:miter lim="800%"/>
                            <a:headEnd/>
                            <a:tailEnd/>
                          </a:ln>
                        </pic:spPr>
                      </pic:pic>
                    </a:graphicData>
                  </a:graphic>
                </wp:inline>
              </w:drawing>
            </w:r>
          </w:p>
        </w:tc>
        <w:tc>
          <w:tcPr>
            <w:tcW w:w="311.85pt" w:type="dxa"/>
          </w:tcPr>
          <w:p w:rsidR="008728A8" w:rsidRPr="008728A8" w:rsidRDefault="008728A8" w:rsidP="008728A8">
            <w:pPr>
              <w:spacing w:line="12pt" w:lineRule="auto"/>
              <w:jc w:val="center"/>
              <w:rPr>
                <w:rFonts w:ascii="Century Gothic" w:eastAsia="Calibri" w:hAnsi="Century Gothic" w:cs="Arial"/>
                <w:sz w:val="20"/>
                <w:szCs w:val="20"/>
              </w:rPr>
            </w:pPr>
            <w:r w:rsidRPr="008728A8">
              <w:rPr>
                <w:rFonts w:ascii="Century Gothic" w:eastAsia="Calibri" w:hAnsi="Century Gothic" w:cs="Arial"/>
                <w:noProof/>
                <w:sz w:val="20"/>
                <w:szCs w:val="20"/>
                <w:lang w:eastAsia="es-MX"/>
              </w:rPr>
              <w:drawing>
                <wp:inline distT="0" distB="0" distL="0" distR="0" wp14:anchorId="0529F0EE" wp14:editId="350C9E0C">
                  <wp:extent cx="1091821" cy="1070993"/>
                  <wp:effectExtent l="19050" t="0" r="0" b="0"/>
                  <wp:docPr id="5160" name="Imagen 4"/>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4"/>
                          <pic:cNvPicPr>
                            <a:picLocks noChangeAspect="1" noChangeArrowheads="1"/>
                          </pic:cNvPicPr>
                        </pic:nvPicPr>
                        <pic:blipFill>
                          <a:blip r:embed="rId86"/>
                          <a:srcRect/>
                          <a:stretch>
                            <a:fillRect/>
                          </a:stretch>
                        </pic:blipFill>
                        <pic:spPr bwMode="auto">
                          <a:xfrm>
                            <a:off x="0" y="0"/>
                            <a:ext cx="1093985" cy="1073116"/>
                          </a:xfrm>
                          <a:prstGeom prst="rect">
                            <a:avLst/>
                          </a:prstGeom>
                          <a:noFill/>
                          <a:ln w="9525">
                            <a:noFill/>
                            <a:miter lim="800%"/>
                            <a:headEnd/>
                            <a:tailEnd/>
                          </a:ln>
                        </pic:spPr>
                      </pic:pic>
                    </a:graphicData>
                  </a:graphic>
                </wp:inline>
              </w:drawing>
            </w:r>
          </w:p>
        </w:tc>
      </w:tr>
      <w:tr w:rsidR="008728A8" w:rsidRPr="008728A8" w:rsidTr="00220735">
        <w:trPr>
          <w:jc w:val="center"/>
        </w:trPr>
        <w:tc>
          <w:tcPr>
            <w:tcW w:w="177.15pt" w:type="dxa"/>
          </w:tcPr>
          <w:p w:rsidR="008728A8" w:rsidRPr="008728A8" w:rsidRDefault="008728A8" w:rsidP="008728A8">
            <w:pPr>
              <w:tabs>
                <w:tab w:val="start" w:pos="14.20pt"/>
                <w:tab w:val="start" w:pos="18pt"/>
              </w:tabs>
              <w:spacing w:before="2pt" w:after="2pt" w:line="12pt" w:lineRule="auto"/>
              <w:ind w:hanging="11.35pt"/>
              <w:jc w:val="both"/>
              <w:rPr>
                <w:rFonts w:ascii="Century Gothic" w:eastAsia="Calibri" w:hAnsi="Century Gothic" w:cs="Arial"/>
                <w:sz w:val="20"/>
                <w:szCs w:val="20"/>
              </w:rPr>
            </w:pPr>
            <w:r w:rsidRPr="008728A8">
              <w:rPr>
                <w:rFonts w:ascii="Century Gothic" w:eastAsia="Calibri" w:hAnsi="Century Gothic" w:cs="Arial"/>
                <w:sz w:val="20"/>
                <w:szCs w:val="20"/>
              </w:rPr>
              <w:t>1.</w:t>
            </w:r>
            <w:r w:rsidRPr="008728A8">
              <w:rPr>
                <w:rFonts w:ascii="Century Gothic" w:eastAsia="Calibri" w:hAnsi="Century Gothic" w:cs="Arial"/>
                <w:sz w:val="20"/>
                <w:szCs w:val="20"/>
              </w:rPr>
              <w:tab/>
              <w:t>Abra la roseta haciendo presión a ambos lados de ésta con los dedos y jale para quitar la tapa.</w:t>
            </w:r>
          </w:p>
        </w:tc>
        <w:tc>
          <w:tcPr>
            <w:tcW w:w="311.85pt" w:type="dxa"/>
          </w:tcPr>
          <w:p w:rsidR="008728A8" w:rsidRPr="008728A8" w:rsidRDefault="008728A8" w:rsidP="008728A8">
            <w:pPr>
              <w:tabs>
                <w:tab w:val="start" w:pos="10.70pt"/>
                <w:tab w:val="start" w:pos="14.20pt"/>
              </w:tabs>
              <w:spacing w:before="2pt" w:after="2pt" w:line="12pt" w:lineRule="auto"/>
              <w:ind w:hanging="11.35pt"/>
              <w:jc w:val="both"/>
              <w:rPr>
                <w:rFonts w:ascii="Century Gothic" w:eastAsia="Calibri" w:hAnsi="Century Gothic" w:cs="Arial"/>
                <w:sz w:val="20"/>
                <w:szCs w:val="20"/>
              </w:rPr>
            </w:pPr>
            <w:r w:rsidRPr="008728A8">
              <w:rPr>
                <w:rFonts w:ascii="Century Gothic" w:eastAsia="Calibri" w:hAnsi="Century Gothic" w:cs="Arial"/>
                <w:sz w:val="20"/>
                <w:szCs w:val="20"/>
              </w:rPr>
              <w:t>2.</w:t>
            </w:r>
            <w:r w:rsidRPr="008728A8">
              <w:rPr>
                <w:rFonts w:ascii="Century Gothic" w:eastAsia="Calibri" w:hAnsi="Century Gothic" w:cs="Arial"/>
                <w:sz w:val="20"/>
                <w:szCs w:val="20"/>
              </w:rPr>
              <w:tab/>
              <w:t>Con las tijeras o las pinzas de corte, retire la membrana de uno de los cuatro puntos que se indican en el dibujo. La membrana que retire, depende de dónde venga el cordón marfil, porque por ahí va a ser su entrada a la roseta.</w:t>
            </w:r>
          </w:p>
        </w:tc>
      </w:tr>
      <w:tr w:rsidR="008728A8" w:rsidRPr="008728A8" w:rsidTr="00220735">
        <w:trPr>
          <w:jc w:val="center"/>
        </w:trPr>
        <w:tc>
          <w:tcPr>
            <w:tcW w:w="177.15pt" w:type="dxa"/>
            <w:vAlign w:val="center"/>
          </w:tcPr>
          <w:p w:rsidR="008728A8" w:rsidRPr="008728A8" w:rsidRDefault="008728A8" w:rsidP="008728A8">
            <w:pPr>
              <w:spacing w:before="2pt" w:after="2pt" w:line="12pt" w:lineRule="auto"/>
              <w:jc w:val="center"/>
              <w:rPr>
                <w:rFonts w:ascii="Century Gothic" w:eastAsia="Calibri" w:hAnsi="Century Gothic" w:cs="Arial"/>
                <w:sz w:val="20"/>
                <w:szCs w:val="20"/>
              </w:rPr>
            </w:pPr>
            <w:r w:rsidRPr="008728A8">
              <w:rPr>
                <w:rFonts w:ascii="Century Gothic" w:eastAsia="Calibri" w:hAnsi="Century Gothic" w:cs="Arial"/>
                <w:noProof/>
                <w:sz w:val="20"/>
                <w:szCs w:val="20"/>
                <w:lang w:eastAsia="es-MX"/>
              </w:rPr>
              <w:drawing>
                <wp:inline distT="0" distB="0" distL="0" distR="0" wp14:anchorId="4018060E" wp14:editId="74AD1CCD">
                  <wp:extent cx="1105469" cy="1345083"/>
                  <wp:effectExtent l="19050" t="0" r="0" b="0"/>
                  <wp:docPr id="5161" name="Imagen 5"/>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5"/>
                          <pic:cNvPicPr>
                            <a:picLocks noChangeAspect="1" noChangeArrowheads="1"/>
                          </pic:cNvPicPr>
                        </pic:nvPicPr>
                        <pic:blipFill>
                          <a:blip r:embed="rId87"/>
                          <a:srcRect/>
                          <a:stretch>
                            <a:fillRect/>
                          </a:stretch>
                        </pic:blipFill>
                        <pic:spPr bwMode="auto">
                          <a:xfrm>
                            <a:off x="0" y="0"/>
                            <a:ext cx="1107824" cy="1347948"/>
                          </a:xfrm>
                          <a:prstGeom prst="rect">
                            <a:avLst/>
                          </a:prstGeom>
                          <a:noFill/>
                          <a:ln w="9525">
                            <a:noFill/>
                            <a:miter lim="800%"/>
                            <a:headEnd/>
                            <a:tailEnd/>
                          </a:ln>
                        </pic:spPr>
                      </pic:pic>
                    </a:graphicData>
                  </a:graphic>
                </wp:inline>
              </w:drawing>
            </w:r>
          </w:p>
        </w:tc>
        <w:tc>
          <w:tcPr>
            <w:tcW w:w="311.85pt" w:type="dxa"/>
          </w:tcPr>
          <w:p w:rsidR="008728A8" w:rsidRPr="008728A8" w:rsidRDefault="008728A8" w:rsidP="008728A8">
            <w:pPr>
              <w:spacing w:before="2pt" w:after="2pt" w:line="12pt" w:lineRule="auto"/>
              <w:jc w:val="center"/>
              <w:rPr>
                <w:rFonts w:ascii="Century Gothic" w:eastAsia="Calibri" w:hAnsi="Century Gothic" w:cs="Arial"/>
                <w:sz w:val="20"/>
                <w:szCs w:val="20"/>
              </w:rPr>
            </w:pPr>
            <w:r w:rsidRPr="008728A8">
              <w:rPr>
                <w:rFonts w:ascii="Century Gothic" w:eastAsia="Calibri" w:hAnsi="Century Gothic" w:cs="Arial"/>
                <w:noProof/>
                <w:sz w:val="20"/>
                <w:szCs w:val="20"/>
                <w:lang w:eastAsia="es-MX"/>
              </w:rPr>
              <w:drawing>
                <wp:inline distT="0" distB="0" distL="0" distR="0" wp14:anchorId="3036DCE2" wp14:editId="43C4A00B">
                  <wp:extent cx="1228298" cy="1352984"/>
                  <wp:effectExtent l="19050" t="0" r="0" b="0"/>
                  <wp:docPr id="5162" name="Imagen 6"/>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6"/>
                          <pic:cNvPicPr>
                            <a:picLocks noChangeAspect="1" noChangeArrowheads="1"/>
                          </pic:cNvPicPr>
                        </pic:nvPicPr>
                        <pic:blipFill>
                          <a:blip r:embed="rId88"/>
                          <a:srcRect/>
                          <a:stretch>
                            <a:fillRect/>
                          </a:stretch>
                        </pic:blipFill>
                        <pic:spPr bwMode="auto">
                          <a:xfrm>
                            <a:off x="0" y="0"/>
                            <a:ext cx="1228135" cy="1352804"/>
                          </a:xfrm>
                          <a:prstGeom prst="rect">
                            <a:avLst/>
                          </a:prstGeom>
                          <a:noFill/>
                          <a:ln w="9525">
                            <a:noFill/>
                            <a:miter lim="800%"/>
                            <a:headEnd/>
                            <a:tailEnd/>
                          </a:ln>
                        </pic:spPr>
                      </pic:pic>
                    </a:graphicData>
                  </a:graphic>
                </wp:inline>
              </w:drawing>
            </w:r>
          </w:p>
        </w:tc>
      </w:tr>
      <w:tr w:rsidR="008728A8" w:rsidRPr="008728A8" w:rsidTr="00220735">
        <w:trPr>
          <w:jc w:val="center"/>
        </w:trPr>
        <w:tc>
          <w:tcPr>
            <w:tcW w:w="177.15pt" w:type="dxa"/>
          </w:tcPr>
          <w:p w:rsidR="008728A8" w:rsidRPr="008728A8" w:rsidRDefault="008728A8" w:rsidP="008728A8">
            <w:pPr>
              <w:tabs>
                <w:tab w:val="start" w:pos="10.70pt"/>
                <w:tab w:val="start" w:pos="14.20pt"/>
              </w:tabs>
              <w:spacing w:before="2pt" w:after="2pt" w:line="12pt" w:lineRule="auto"/>
              <w:ind w:hanging="11.35pt"/>
              <w:jc w:val="both"/>
              <w:rPr>
                <w:rFonts w:ascii="Century Gothic" w:eastAsia="Calibri" w:hAnsi="Century Gothic" w:cs="Arial"/>
                <w:sz w:val="20"/>
                <w:szCs w:val="20"/>
              </w:rPr>
            </w:pPr>
            <w:r w:rsidRPr="008728A8">
              <w:rPr>
                <w:rFonts w:ascii="Century Gothic" w:eastAsia="Calibri" w:hAnsi="Century Gothic" w:cs="Arial"/>
                <w:sz w:val="20"/>
                <w:szCs w:val="20"/>
              </w:rPr>
              <w:t>3.</w:t>
            </w:r>
            <w:r w:rsidRPr="008728A8">
              <w:rPr>
                <w:rFonts w:ascii="Century Gothic" w:eastAsia="Calibri" w:hAnsi="Century Gothic" w:cs="Arial"/>
                <w:sz w:val="20"/>
                <w:szCs w:val="20"/>
              </w:rPr>
              <w:tab/>
              <w:t>Con los dedos, abra el conector de la roseta, tal como se muestra en la figura</w:t>
            </w:r>
          </w:p>
        </w:tc>
        <w:tc>
          <w:tcPr>
            <w:tcW w:w="311.85pt" w:type="dxa"/>
          </w:tcPr>
          <w:p w:rsidR="008728A8" w:rsidRPr="008728A8" w:rsidRDefault="008728A8" w:rsidP="008728A8">
            <w:pPr>
              <w:tabs>
                <w:tab w:val="start" w:pos="10.70pt"/>
                <w:tab w:val="start" w:pos="14.20pt"/>
              </w:tabs>
              <w:spacing w:before="2pt" w:after="2pt" w:line="12pt" w:lineRule="auto"/>
              <w:ind w:hanging="11.35pt"/>
              <w:jc w:val="both"/>
              <w:rPr>
                <w:rFonts w:ascii="Century Gothic" w:eastAsia="Calibri" w:hAnsi="Century Gothic" w:cs="Arial"/>
                <w:sz w:val="20"/>
                <w:szCs w:val="20"/>
              </w:rPr>
            </w:pPr>
            <w:r w:rsidRPr="008728A8">
              <w:rPr>
                <w:rFonts w:ascii="Century Gothic" w:eastAsia="Calibri" w:hAnsi="Century Gothic" w:cs="Arial"/>
                <w:sz w:val="20"/>
                <w:szCs w:val="20"/>
              </w:rPr>
              <w:t>4.</w:t>
            </w:r>
            <w:r w:rsidRPr="008728A8">
              <w:rPr>
                <w:rFonts w:ascii="Century Gothic" w:eastAsia="Calibri" w:hAnsi="Century Gothic" w:cs="Arial"/>
                <w:sz w:val="20"/>
                <w:szCs w:val="20"/>
              </w:rPr>
              <w:tab/>
              <w:t xml:space="preserve">Con las pinzas de corte o tijeras, quite </w:t>
            </w:r>
            <w:smartTag w:uri="urn:schemas-microsoft-com:office:smarttags" w:element="metricconverter">
              <w:smartTagPr>
                <w:attr w:name="ProductID" w:val="3 cm"/>
              </w:smartTagPr>
              <w:r w:rsidRPr="008728A8">
                <w:rPr>
                  <w:rFonts w:ascii="Century Gothic" w:eastAsia="Calibri" w:hAnsi="Century Gothic" w:cs="Arial"/>
                  <w:sz w:val="20"/>
                  <w:szCs w:val="20"/>
                </w:rPr>
                <w:t>3 cm</w:t>
              </w:r>
            </w:smartTag>
            <w:r w:rsidRPr="008728A8">
              <w:rPr>
                <w:rFonts w:ascii="Century Gothic" w:eastAsia="Calibri" w:hAnsi="Century Gothic" w:cs="Arial"/>
                <w:sz w:val="20"/>
                <w:szCs w:val="20"/>
              </w:rPr>
              <w:t xml:space="preserve"> de la cubierta del cordón marfil, teniendo cuidado de no cortar la cubierta de los conductores (azul y blanco).</w:t>
            </w:r>
          </w:p>
          <w:p w:rsidR="008728A8" w:rsidRPr="008728A8" w:rsidRDefault="008728A8" w:rsidP="008728A8">
            <w:pPr>
              <w:spacing w:before="2pt" w:after="2pt" w:line="12pt" w:lineRule="auto"/>
              <w:jc w:val="both"/>
              <w:rPr>
                <w:rFonts w:ascii="Century Gothic" w:eastAsia="Calibri" w:hAnsi="Century Gothic" w:cs="Arial"/>
                <w:sz w:val="20"/>
                <w:szCs w:val="20"/>
              </w:rPr>
            </w:pPr>
            <w:r w:rsidRPr="008728A8">
              <w:rPr>
                <w:rFonts w:ascii="Century Gothic" w:eastAsia="Calibri" w:hAnsi="Century Gothic" w:cs="Arial"/>
                <w:sz w:val="20"/>
                <w:szCs w:val="20"/>
              </w:rPr>
              <w:t>No quitar la cubierta plástica de los conductores.</w:t>
            </w:r>
          </w:p>
        </w:tc>
      </w:tr>
      <w:tr w:rsidR="008728A8" w:rsidRPr="008728A8" w:rsidTr="00220735">
        <w:trPr>
          <w:jc w:val="center"/>
        </w:trPr>
        <w:tc>
          <w:tcPr>
            <w:tcW w:w="177.15pt" w:type="dxa"/>
            <w:vAlign w:val="center"/>
          </w:tcPr>
          <w:p w:rsidR="008728A8" w:rsidRPr="008728A8" w:rsidRDefault="008728A8" w:rsidP="008728A8">
            <w:pPr>
              <w:spacing w:before="2pt" w:after="2pt" w:line="12pt" w:lineRule="auto"/>
              <w:jc w:val="center"/>
              <w:rPr>
                <w:rFonts w:ascii="Century Gothic" w:eastAsia="Calibri" w:hAnsi="Century Gothic" w:cs="Arial"/>
                <w:sz w:val="20"/>
                <w:szCs w:val="20"/>
              </w:rPr>
            </w:pPr>
            <w:r w:rsidRPr="008728A8">
              <w:rPr>
                <w:rFonts w:ascii="Century Gothic" w:eastAsia="Calibri" w:hAnsi="Century Gothic" w:cs="Arial"/>
                <w:noProof/>
                <w:sz w:val="20"/>
                <w:szCs w:val="20"/>
                <w:lang w:eastAsia="es-MX"/>
              </w:rPr>
              <w:drawing>
                <wp:inline distT="0" distB="0" distL="0" distR="0" wp14:anchorId="693CACF2" wp14:editId="57C3AFC8">
                  <wp:extent cx="1388915" cy="1342684"/>
                  <wp:effectExtent l="19050" t="0" r="1735" b="0"/>
                  <wp:docPr id="5163" name="Imagen 7"/>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7"/>
                          <pic:cNvPicPr>
                            <a:picLocks noChangeAspect="1" noChangeArrowheads="1"/>
                          </pic:cNvPicPr>
                        </pic:nvPicPr>
                        <pic:blipFill>
                          <a:blip r:embed="rId89"/>
                          <a:srcRect/>
                          <a:stretch>
                            <a:fillRect/>
                          </a:stretch>
                        </pic:blipFill>
                        <pic:spPr bwMode="auto">
                          <a:xfrm>
                            <a:off x="0" y="0"/>
                            <a:ext cx="1389143" cy="1342904"/>
                          </a:xfrm>
                          <a:prstGeom prst="rect">
                            <a:avLst/>
                          </a:prstGeom>
                          <a:noFill/>
                          <a:ln w="9525">
                            <a:noFill/>
                            <a:miter lim="800%"/>
                            <a:headEnd/>
                            <a:tailEnd/>
                          </a:ln>
                        </pic:spPr>
                      </pic:pic>
                    </a:graphicData>
                  </a:graphic>
                </wp:inline>
              </w:drawing>
            </w:r>
          </w:p>
        </w:tc>
        <w:tc>
          <w:tcPr>
            <w:tcW w:w="311.85pt" w:type="dxa"/>
          </w:tcPr>
          <w:p w:rsidR="008728A8" w:rsidRPr="008728A8" w:rsidRDefault="008728A8" w:rsidP="008728A8">
            <w:pPr>
              <w:spacing w:before="2pt" w:after="2pt" w:line="12pt" w:lineRule="auto"/>
              <w:jc w:val="center"/>
              <w:rPr>
                <w:rFonts w:ascii="Century Gothic" w:eastAsia="Calibri" w:hAnsi="Century Gothic" w:cs="Arial"/>
                <w:sz w:val="20"/>
                <w:szCs w:val="20"/>
              </w:rPr>
            </w:pPr>
            <w:r w:rsidRPr="008728A8">
              <w:rPr>
                <w:rFonts w:ascii="Century Gothic" w:eastAsia="Calibri" w:hAnsi="Century Gothic" w:cs="Arial"/>
                <w:noProof/>
                <w:sz w:val="20"/>
                <w:szCs w:val="20"/>
                <w:lang w:eastAsia="es-MX"/>
              </w:rPr>
              <w:drawing>
                <wp:inline distT="0" distB="0" distL="0" distR="0" wp14:anchorId="093B6CC4" wp14:editId="47C85E44">
                  <wp:extent cx="1495358" cy="1392751"/>
                  <wp:effectExtent l="19050" t="0" r="0" b="0"/>
                  <wp:docPr id="5165" name="Imagen 8"/>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8"/>
                          <pic:cNvPicPr>
                            <a:picLocks noChangeAspect="1" noChangeArrowheads="1"/>
                          </pic:cNvPicPr>
                        </pic:nvPicPr>
                        <pic:blipFill>
                          <a:blip r:embed="rId90"/>
                          <a:srcRect/>
                          <a:stretch>
                            <a:fillRect/>
                          </a:stretch>
                        </pic:blipFill>
                        <pic:spPr bwMode="auto">
                          <a:xfrm>
                            <a:off x="0" y="0"/>
                            <a:ext cx="1494341" cy="1391803"/>
                          </a:xfrm>
                          <a:prstGeom prst="rect">
                            <a:avLst/>
                          </a:prstGeom>
                          <a:noFill/>
                          <a:ln w="9525">
                            <a:noFill/>
                            <a:miter lim="800%"/>
                            <a:headEnd/>
                            <a:tailEnd/>
                          </a:ln>
                        </pic:spPr>
                      </pic:pic>
                    </a:graphicData>
                  </a:graphic>
                </wp:inline>
              </w:drawing>
            </w:r>
          </w:p>
        </w:tc>
      </w:tr>
      <w:tr w:rsidR="008728A8" w:rsidRPr="008728A8" w:rsidTr="00220735">
        <w:trPr>
          <w:jc w:val="center"/>
        </w:trPr>
        <w:tc>
          <w:tcPr>
            <w:tcW w:w="177.15pt" w:type="dxa"/>
          </w:tcPr>
          <w:p w:rsidR="008728A8" w:rsidRPr="008728A8" w:rsidRDefault="008728A8" w:rsidP="008728A8">
            <w:pPr>
              <w:tabs>
                <w:tab w:val="start" w:pos="10.70pt"/>
                <w:tab w:val="start" w:pos="14.20pt"/>
                <w:tab w:val="num" w:pos="21.30pt"/>
              </w:tabs>
              <w:spacing w:before="2pt" w:after="2pt" w:line="12pt" w:lineRule="auto"/>
              <w:ind w:hanging="11.35pt"/>
              <w:jc w:val="both"/>
              <w:rPr>
                <w:rFonts w:ascii="Century Gothic" w:eastAsia="Calibri" w:hAnsi="Century Gothic" w:cs="Arial"/>
                <w:sz w:val="20"/>
                <w:szCs w:val="20"/>
              </w:rPr>
            </w:pPr>
            <w:r w:rsidRPr="008728A8">
              <w:rPr>
                <w:rFonts w:ascii="Century Gothic" w:eastAsia="Calibri" w:hAnsi="Century Gothic" w:cs="Arial"/>
                <w:sz w:val="20"/>
                <w:szCs w:val="20"/>
              </w:rPr>
              <w:t>5.</w:t>
            </w:r>
            <w:r w:rsidRPr="008728A8">
              <w:rPr>
                <w:rFonts w:ascii="Century Gothic" w:eastAsia="Calibri" w:hAnsi="Century Gothic" w:cs="Arial"/>
                <w:sz w:val="20"/>
                <w:szCs w:val="20"/>
              </w:rPr>
              <w:tab/>
              <w:t>Introduzca un conductor en el orificio que se muestra en la figura (lado izquierdo) hasta el tope.</w:t>
            </w:r>
          </w:p>
        </w:tc>
        <w:tc>
          <w:tcPr>
            <w:tcW w:w="311.85pt" w:type="dxa"/>
          </w:tcPr>
          <w:p w:rsidR="008728A8" w:rsidRPr="008728A8" w:rsidRDefault="008728A8" w:rsidP="008728A8">
            <w:pPr>
              <w:tabs>
                <w:tab w:val="start" w:pos="18pt"/>
              </w:tabs>
              <w:spacing w:before="2pt" w:after="2pt" w:line="12pt" w:lineRule="auto"/>
              <w:ind w:hanging="17.80pt"/>
              <w:jc w:val="both"/>
              <w:rPr>
                <w:rFonts w:ascii="Century Gothic" w:eastAsia="Calibri" w:hAnsi="Century Gothic" w:cs="Arial"/>
                <w:sz w:val="20"/>
                <w:szCs w:val="20"/>
              </w:rPr>
            </w:pPr>
            <w:r w:rsidRPr="008728A8">
              <w:rPr>
                <w:rFonts w:ascii="Century Gothic" w:eastAsia="Calibri" w:hAnsi="Century Gothic" w:cs="Arial"/>
                <w:sz w:val="20"/>
                <w:szCs w:val="20"/>
              </w:rPr>
              <w:t>6.</w:t>
            </w:r>
            <w:r w:rsidRPr="008728A8">
              <w:rPr>
                <w:rFonts w:ascii="Century Gothic" w:eastAsia="Calibri" w:hAnsi="Century Gothic" w:cs="Arial"/>
                <w:sz w:val="20"/>
                <w:szCs w:val="20"/>
              </w:rPr>
              <w:tab/>
              <w:t>Estando todavía el conductor a tope por el orificio, sin soltarlo, dóblelo y páselo por el peine plástico que se muestra en la figura.</w:t>
            </w:r>
          </w:p>
        </w:tc>
      </w:tr>
      <w:tr w:rsidR="008728A8" w:rsidRPr="008728A8" w:rsidTr="00220735">
        <w:trPr>
          <w:trHeight w:val="2178"/>
          <w:jc w:val="center"/>
        </w:trPr>
        <w:tc>
          <w:tcPr>
            <w:tcW w:w="177.15pt" w:type="dxa"/>
            <w:vAlign w:val="center"/>
          </w:tcPr>
          <w:p w:rsidR="008728A8" w:rsidRPr="008728A8" w:rsidRDefault="008728A8" w:rsidP="008728A8">
            <w:pPr>
              <w:spacing w:before="2pt" w:after="2pt" w:line="12pt" w:lineRule="auto"/>
              <w:jc w:val="center"/>
              <w:rPr>
                <w:rFonts w:ascii="Century Gothic" w:eastAsia="Calibri" w:hAnsi="Century Gothic" w:cs="Arial"/>
                <w:sz w:val="20"/>
                <w:szCs w:val="20"/>
              </w:rPr>
            </w:pPr>
            <w:r w:rsidRPr="008728A8">
              <w:rPr>
                <w:rFonts w:ascii="Century Gothic" w:eastAsia="Calibri" w:hAnsi="Century Gothic" w:cs="Arial"/>
                <w:noProof/>
                <w:sz w:val="20"/>
                <w:szCs w:val="20"/>
                <w:lang w:eastAsia="es-MX"/>
              </w:rPr>
              <w:drawing>
                <wp:inline distT="0" distB="0" distL="0" distR="0" wp14:anchorId="6CD51FFB" wp14:editId="4738D2C0">
                  <wp:extent cx="1387763" cy="1337147"/>
                  <wp:effectExtent l="19050" t="0" r="2887" b="0"/>
                  <wp:docPr id="5166" name="Imagen 9"/>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9"/>
                          <pic:cNvPicPr>
                            <a:picLocks noChangeAspect="1" noChangeArrowheads="1"/>
                          </pic:cNvPicPr>
                        </pic:nvPicPr>
                        <pic:blipFill>
                          <a:blip r:embed="rId91"/>
                          <a:srcRect/>
                          <a:stretch>
                            <a:fillRect/>
                          </a:stretch>
                        </pic:blipFill>
                        <pic:spPr bwMode="auto">
                          <a:xfrm>
                            <a:off x="0" y="0"/>
                            <a:ext cx="1388883" cy="1338226"/>
                          </a:xfrm>
                          <a:prstGeom prst="rect">
                            <a:avLst/>
                          </a:prstGeom>
                          <a:noFill/>
                          <a:ln w="9525">
                            <a:noFill/>
                            <a:miter lim="800%"/>
                            <a:headEnd/>
                            <a:tailEnd/>
                          </a:ln>
                        </pic:spPr>
                      </pic:pic>
                    </a:graphicData>
                  </a:graphic>
                </wp:inline>
              </w:drawing>
            </w:r>
          </w:p>
        </w:tc>
        <w:tc>
          <w:tcPr>
            <w:tcW w:w="311.85pt" w:type="dxa"/>
            <w:vAlign w:val="center"/>
          </w:tcPr>
          <w:p w:rsidR="008728A8" w:rsidRPr="008728A8" w:rsidRDefault="008728A8" w:rsidP="008728A8">
            <w:pPr>
              <w:spacing w:before="2pt" w:after="2pt" w:line="12pt" w:lineRule="auto"/>
              <w:jc w:val="center"/>
              <w:rPr>
                <w:rFonts w:ascii="Century Gothic" w:eastAsia="Calibri" w:hAnsi="Century Gothic" w:cs="Arial"/>
                <w:sz w:val="20"/>
                <w:szCs w:val="20"/>
              </w:rPr>
            </w:pPr>
            <w:r w:rsidRPr="008728A8">
              <w:rPr>
                <w:rFonts w:ascii="Century Gothic" w:eastAsia="Calibri" w:hAnsi="Century Gothic" w:cs="Arial"/>
                <w:noProof/>
                <w:sz w:val="20"/>
                <w:szCs w:val="20"/>
                <w:lang w:eastAsia="es-MX"/>
              </w:rPr>
              <w:drawing>
                <wp:inline distT="0" distB="0" distL="0" distR="0" wp14:anchorId="69F9DF3F" wp14:editId="31F66960">
                  <wp:extent cx="1199903" cy="1496859"/>
                  <wp:effectExtent l="19050" t="0" r="247" b="0"/>
                  <wp:docPr id="5167" name="Imagen 10"/>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10"/>
                          <pic:cNvPicPr>
                            <a:picLocks noChangeAspect="1" noChangeArrowheads="1"/>
                          </pic:cNvPicPr>
                        </pic:nvPicPr>
                        <pic:blipFill>
                          <a:blip r:embed="rId92"/>
                          <a:srcRect/>
                          <a:stretch>
                            <a:fillRect/>
                          </a:stretch>
                        </pic:blipFill>
                        <pic:spPr bwMode="auto">
                          <a:xfrm>
                            <a:off x="0" y="0"/>
                            <a:ext cx="1198808" cy="1495493"/>
                          </a:xfrm>
                          <a:prstGeom prst="rect">
                            <a:avLst/>
                          </a:prstGeom>
                          <a:noFill/>
                          <a:ln w="9525">
                            <a:noFill/>
                            <a:miter lim="800%"/>
                            <a:headEnd/>
                            <a:tailEnd/>
                          </a:ln>
                        </pic:spPr>
                      </pic:pic>
                    </a:graphicData>
                  </a:graphic>
                </wp:inline>
              </w:drawing>
            </w:r>
          </w:p>
        </w:tc>
      </w:tr>
      <w:tr w:rsidR="008728A8" w:rsidRPr="008728A8" w:rsidTr="00220735">
        <w:trPr>
          <w:jc w:val="center"/>
        </w:trPr>
        <w:tc>
          <w:tcPr>
            <w:tcW w:w="177.15pt" w:type="dxa"/>
          </w:tcPr>
          <w:p w:rsidR="008728A8" w:rsidRPr="008728A8" w:rsidRDefault="008728A8" w:rsidP="008728A8">
            <w:pPr>
              <w:tabs>
                <w:tab w:val="start" w:pos="21.30pt"/>
              </w:tabs>
              <w:spacing w:before="2pt" w:after="2pt" w:line="12pt" w:lineRule="auto"/>
              <w:ind w:hanging="21.30pt"/>
              <w:jc w:val="both"/>
              <w:rPr>
                <w:rFonts w:ascii="Century Gothic" w:eastAsia="Calibri" w:hAnsi="Century Gothic" w:cs="Arial"/>
                <w:sz w:val="20"/>
                <w:szCs w:val="20"/>
              </w:rPr>
            </w:pPr>
            <w:r w:rsidRPr="008728A8">
              <w:rPr>
                <w:rFonts w:ascii="Century Gothic" w:eastAsia="Calibri" w:hAnsi="Century Gothic" w:cs="Arial"/>
                <w:sz w:val="20"/>
                <w:szCs w:val="20"/>
              </w:rPr>
              <w:lastRenderedPageBreak/>
              <w:t>7.</w:t>
            </w:r>
            <w:r w:rsidRPr="008728A8">
              <w:rPr>
                <w:rFonts w:ascii="Century Gothic" w:eastAsia="Calibri" w:hAnsi="Century Gothic" w:cs="Arial"/>
                <w:sz w:val="20"/>
                <w:szCs w:val="20"/>
              </w:rPr>
              <w:tab/>
              <w:t>Repita los pasos 10 y 11 para conectar el segundo hilo del cordón marfil.</w:t>
            </w:r>
          </w:p>
        </w:tc>
        <w:tc>
          <w:tcPr>
            <w:tcW w:w="311.85pt" w:type="dxa"/>
          </w:tcPr>
          <w:p w:rsidR="008728A8" w:rsidRPr="008728A8" w:rsidRDefault="008728A8" w:rsidP="008728A8">
            <w:pPr>
              <w:tabs>
                <w:tab w:val="start" w:pos="18pt"/>
              </w:tabs>
              <w:spacing w:before="2pt" w:after="2pt" w:line="12pt" w:lineRule="auto"/>
              <w:ind w:hanging="17.80pt"/>
              <w:jc w:val="both"/>
              <w:rPr>
                <w:rFonts w:ascii="Century Gothic" w:eastAsia="Calibri" w:hAnsi="Century Gothic" w:cs="Arial"/>
                <w:sz w:val="20"/>
                <w:szCs w:val="20"/>
              </w:rPr>
            </w:pPr>
            <w:r w:rsidRPr="008728A8">
              <w:rPr>
                <w:rFonts w:ascii="Century Gothic" w:eastAsia="Calibri" w:hAnsi="Century Gothic" w:cs="Arial"/>
                <w:sz w:val="20"/>
                <w:szCs w:val="20"/>
              </w:rPr>
              <w:t>8.</w:t>
            </w:r>
            <w:r w:rsidRPr="008728A8">
              <w:rPr>
                <w:rFonts w:ascii="Century Gothic" w:eastAsia="Calibri" w:hAnsi="Century Gothic" w:cs="Arial"/>
                <w:sz w:val="20"/>
                <w:szCs w:val="20"/>
              </w:rPr>
              <w:tab/>
              <w:t>Acomode el cordón en los soportes de esfuerzos mecánicos y cierre el conector haciendo presión hasta oír un clic y coloque la tapa.</w:t>
            </w:r>
          </w:p>
        </w:tc>
      </w:tr>
    </w:tbl>
    <w:p w:rsidR="008728A8" w:rsidRPr="008728A8" w:rsidRDefault="008728A8" w:rsidP="008728A8">
      <w:pPr>
        <w:spacing w:line="12pt" w:lineRule="auto"/>
        <w:rPr>
          <w:rFonts w:ascii="Century Gothic" w:eastAsia="Calibri" w:hAnsi="Century Gothic" w:cs="Arial"/>
          <w:b/>
        </w:rPr>
      </w:pPr>
    </w:p>
    <w:p w:rsidR="008728A8" w:rsidRPr="008728A8" w:rsidRDefault="008728A8" w:rsidP="008728A8">
      <w:pPr>
        <w:spacing w:line="12pt" w:lineRule="auto"/>
        <w:rPr>
          <w:rFonts w:ascii="Century Gothic" w:eastAsia="Calibri" w:hAnsi="Century Gothic" w:cs="Arial"/>
          <w:b/>
        </w:rPr>
      </w:pPr>
    </w:p>
    <w:p w:rsidR="008728A8" w:rsidRPr="008728A8" w:rsidRDefault="008728A8" w:rsidP="008728A8">
      <w:pPr>
        <w:spacing w:line="12pt" w:lineRule="auto"/>
        <w:rPr>
          <w:rFonts w:ascii="Century Gothic" w:eastAsia="Calibri" w:hAnsi="Century Gothic" w:cs="Arial"/>
          <w:bCs/>
          <w:u w:val="single"/>
        </w:rPr>
      </w:pPr>
      <w:r w:rsidRPr="008728A8">
        <w:rPr>
          <w:rFonts w:ascii="Century Gothic" w:eastAsia="Calibri" w:hAnsi="Century Gothic" w:cs="Arial"/>
          <w:bCs/>
          <w:u w:val="single"/>
        </w:rPr>
        <w:t>Conexión de una extensión a la roseta.</w:t>
      </w:r>
    </w:p>
    <w:p w:rsidR="008728A8" w:rsidRPr="008728A8" w:rsidRDefault="008728A8" w:rsidP="008728A8">
      <w:pPr>
        <w:spacing w:line="12pt" w:lineRule="auto"/>
        <w:ind w:start="28.35pt"/>
        <w:rPr>
          <w:rFonts w:ascii="Century Gothic" w:eastAsia="Calibri" w:hAnsi="Century Gothic" w:cs="Arial"/>
          <w:b/>
        </w:rPr>
      </w:pPr>
    </w:p>
    <w:p w:rsidR="008728A8" w:rsidRPr="008728A8" w:rsidRDefault="008728A8" w:rsidP="008728A8">
      <w:pPr>
        <w:spacing w:line="12pt" w:lineRule="auto"/>
        <w:ind w:end="0.70pt"/>
        <w:jc w:val="both"/>
        <w:rPr>
          <w:rFonts w:ascii="Century Gothic" w:eastAsia="Times New Roman" w:hAnsi="Century Gothic" w:cs="Arial"/>
          <w:szCs w:val="20"/>
          <w:lang w:val="es-ES_tradnl" w:eastAsia="es-ES"/>
        </w:rPr>
      </w:pPr>
      <w:bookmarkStart w:id="3141" w:name="_Toc428875308"/>
      <w:bookmarkStart w:id="3142" w:name="_Toc434830164"/>
      <w:r w:rsidRPr="008728A8">
        <w:rPr>
          <w:rFonts w:ascii="Century Gothic" w:eastAsia="Times New Roman" w:hAnsi="Century Gothic" w:cs="Arial"/>
          <w:szCs w:val="20"/>
          <w:lang w:val="es-ES_tradnl" w:eastAsia="es-ES"/>
        </w:rPr>
        <w:t>La conexión de una extensión de línea de voz en la roseta marfil se debe realizar de acuerdo a lo indicado en la tabla 4.</w:t>
      </w:r>
      <w:bookmarkEnd w:id="3141"/>
      <w:bookmarkEnd w:id="3142"/>
    </w:p>
    <w:p w:rsidR="008728A8" w:rsidRPr="008728A8" w:rsidRDefault="008728A8" w:rsidP="008728A8">
      <w:pPr>
        <w:spacing w:line="12pt" w:lineRule="auto"/>
        <w:ind w:end="0.70pt"/>
        <w:jc w:val="both"/>
        <w:rPr>
          <w:rFonts w:ascii="Century Gothic" w:eastAsia="Times New Roman" w:hAnsi="Century Gothic" w:cs="Arial"/>
          <w:lang w:eastAsia="es-ES"/>
        </w:rPr>
      </w:pPr>
    </w:p>
    <w:p w:rsidR="008728A8" w:rsidRPr="008728A8" w:rsidRDefault="008728A8" w:rsidP="008728A8">
      <w:pPr>
        <w:spacing w:line="12pt" w:lineRule="auto"/>
        <w:ind w:end="0.70pt"/>
        <w:jc w:val="both"/>
        <w:rPr>
          <w:rFonts w:ascii="Century Gothic" w:eastAsia="Times New Roman" w:hAnsi="Century Gothic" w:cs="Arial"/>
          <w:lang w:eastAsia="es-ES"/>
        </w:rPr>
      </w:pPr>
    </w:p>
    <w:p w:rsidR="008728A8" w:rsidRPr="008728A8" w:rsidRDefault="008728A8" w:rsidP="008728A8">
      <w:pPr>
        <w:spacing w:line="12pt" w:lineRule="auto"/>
        <w:jc w:val="center"/>
        <w:rPr>
          <w:rFonts w:ascii="Century Gothic" w:eastAsia="Calibri" w:hAnsi="Century Gothic" w:cs="Arial"/>
          <w:b/>
          <w:sz w:val="20"/>
          <w:szCs w:val="20"/>
        </w:rPr>
      </w:pPr>
      <w:r w:rsidRPr="008728A8">
        <w:rPr>
          <w:rFonts w:ascii="Century Gothic" w:eastAsia="Calibri" w:hAnsi="Century Gothic" w:cs="Arial"/>
          <w:b/>
          <w:sz w:val="20"/>
          <w:szCs w:val="20"/>
        </w:rPr>
        <w:t>Tabla 4. Colocación de una extensión de línea de voz en Roseta marfil.</w:t>
      </w:r>
    </w:p>
    <w:tbl>
      <w:tblPr>
        <w:tblW w:w="483.15pt" w:type="dxa"/>
        <w:jc w:val="cente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Layout w:type="fixed"/>
        <w:tblCellMar>
          <w:start w:w="3.50pt" w:type="dxa"/>
          <w:end w:w="3.50pt" w:type="dxa"/>
        </w:tblCellMar>
        <w:tblLook w:firstRow="0" w:lastRow="0" w:firstColumn="0" w:lastColumn="0" w:noHBand="0" w:noVBand="0"/>
      </w:tblPr>
      <w:tblGrid>
        <w:gridCol w:w="3118"/>
        <w:gridCol w:w="3710"/>
        <w:gridCol w:w="2835"/>
      </w:tblGrid>
      <w:tr w:rsidR="008728A8" w:rsidRPr="008728A8" w:rsidTr="00220735">
        <w:trPr>
          <w:cantSplit/>
          <w:jc w:val="center"/>
        </w:trPr>
        <w:tc>
          <w:tcPr>
            <w:tcW w:w="155.90pt" w:type="dxa"/>
            <w:vMerge w:val="restart"/>
          </w:tcPr>
          <w:p w:rsidR="008728A8" w:rsidRPr="008728A8" w:rsidRDefault="008728A8" w:rsidP="008728A8">
            <w:pPr>
              <w:tabs>
                <w:tab w:val="start" w:pos="18pt"/>
              </w:tabs>
              <w:spacing w:before="2pt" w:after="2pt" w:line="12pt" w:lineRule="auto"/>
              <w:ind w:hanging="11.35pt"/>
              <w:jc w:val="both"/>
              <w:rPr>
                <w:rFonts w:ascii="Century Gothic" w:eastAsia="Calibri" w:hAnsi="Century Gothic" w:cs="Arial"/>
                <w:sz w:val="20"/>
                <w:szCs w:val="20"/>
              </w:rPr>
            </w:pPr>
            <w:r w:rsidRPr="008728A8">
              <w:rPr>
                <w:rFonts w:ascii="Century Gothic" w:eastAsia="Calibri" w:hAnsi="Century Gothic" w:cs="Arial"/>
                <w:sz w:val="20"/>
                <w:szCs w:val="20"/>
              </w:rPr>
              <w:t>1.</w:t>
            </w:r>
            <w:r w:rsidRPr="008728A8">
              <w:rPr>
                <w:rFonts w:ascii="Century Gothic" w:eastAsia="Calibri" w:hAnsi="Century Gothic" w:cs="Arial"/>
                <w:sz w:val="20"/>
                <w:szCs w:val="20"/>
              </w:rPr>
              <w:tab/>
              <w:t>Quite la tapa de la roseta y abra el conector como se indica en los puntos 6 y 8.</w:t>
            </w:r>
          </w:p>
          <w:p w:rsidR="008728A8" w:rsidRPr="008728A8" w:rsidRDefault="008728A8" w:rsidP="008728A8">
            <w:pPr>
              <w:tabs>
                <w:tab w:val="start" w:pos="21.30pt"/>
              </w:tabs>
              <w:spacing w:before="2pt" w:after="2pt" w:line="12pt" w:lineRule="auto"/>
              <w:ind w:hanging="11.35pt"/>
              <w:jc w:val="both"/>
              <w:rPr>
                <w:rFonts w:ascii="Century Gothic" w:eastAsia="Calibri" w:hAnsi="Century Gothic" w:cs="Arial"/>
                <w:sz w:val="20"/>
                <w:szCs w:val="20"/>
              </w:rPr>
            </w:pPr>
            <w:r w:rsidRPr="008728A8">
              <w:rPr>
                <w:rFonts w:ascii="Century Gothic" w:eastAsia="Calibri" w:hAnsi="Century Gothic" w:cs="Arial"/>
                <w:sz w:val="20"/>
                <w:szCs w:val="20"/>
              </w:rPr>
              <w:t>2.</w:t>
            </w:r>
            <w:r w:rsidRPr="008728A8">
              <w:rPr>
                <w:rFonts w:ascii="Century Gothic" w:eastAsia="Calibri" w:hAnsi="Century Gothic" w:cs="Arial"/>
                <w:sz w:val="20"/>
                <w:szCs w:val="20"/>
              </w:rPr>
              <w:tab/>
              <w:t>Retire la cubierta del cordón marfil, como se indica en el punto 9.</w:t>
            </w:r>
          </w:p>
        </w:tc>
        <w:tc>
          <w:tcPr>
            <w:tcW w:w="185.50pt" w:type="dxa"/>
          </w:tcPr>
          <w:p w:rsidR="008728A8" w:rsidRPr="008728A8" w:rsidRDefault="008728A8" w:rsidP="008728A8">
            <w:pPr>
              <w:spacing w:before="2pt" w:after="2pt" w:line="12pt" w:lineRule="auto"/>
              <w:jc w:val="center"/>
              <w:rPr>
                <w:rFonts w:ascii="Century Gothic" w:eastAsia="Calibri" w:hAnsi="Century Gothic" w:cs="Arial"/>
                <w:sz w:val="20"/>
                <w:szCs w:val="20"/>
              </w:rPr>
            </w:pPr>
            <w:r w:rsidRPr="008728A8">
              <w:rPr>
                <w:rFonts w:ascii="Century Gothic" w:eastAsia="Calibri" w:hAnsi="Century Gothic" w:cs="Arial"/>
                <w:noProof/>
                <w:sz w:val="20"/>
                <w:szCs w:val="20"/>
                <w:lang w:eastAsia="es-MX"/>
              </w:rPr>
              <w:drawing>
                <wp:inline distT="0" distB="0" distL="0" distR="0" wp14:anchorId="55355A85" wp14:editId="7ADE8790">
                  <wp:extent cx="1542415" cy="1494155"/>
                  <wp:effectExtent l="19050" t="0" r="635" b="0"/>
                  <wp:docPr id="5168" name="Imagen 64"/>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64"/>
                          <pic:cNvPicPr>
                            <a:picLocks noChangeAspect="1" noChangeArrowheads="1"/>
                          </pic:cNvPicPr>
                        </pic:nvPicPr>
                        <pic:blipFill>
                          <a:blip r:embed="rId93"/>
                          <a:srcRect/>
                          <a:stretch>
                            <a:fillRect/>
                          </a:stretch>
                        </pic:blipFill>
                        <pic:spPr bwMode="auto">
                          <a:xfrm>
                            <a:off x="0" y="0"/>
                            <a:ext cx="1542415" cy="1494155"/>
                          </a:xfrm>
                          <a:prstGeom prst="rect">
                            <a:avLst/>
                          </a:prstGeom>
                          <a:noFill/>
                          <a:ln w="9525">
                            <a:noFill/>
                            <a:miter lim="800%"/>
                            <a:headEnd/>
                            <a:tailEnd/>
                          </a:ln>
                        </pic:spPr>
                      </pic:pic>
                    </a:graphicData>
                  </a:graphic>
                </wp:inline>
              </w:drawing>
            </w:r>
          </w:p>
        </w:tc>
        <w:tc>
          <w:tcPr>
            <w:tcW w:w="141.75pt" w:type="dxa"/>
          </w:tcPr>
          <w:p w:rsidR="008728A8" w:rsidRPr="008728A8" w:rsidRDefault="008728A8" w:rsidP="008728A8">
            <w:pPr>
              <w:spacing w:before="2pt" w:after="2pt" w:line="12pt" w:lineRule="auto"/>
              <w:jc w:val="center"/>
              <w:rPr>
                <w:rFonts w:ascii="Century Gothic" w:eastAsia="Calibri" w:hAnsi="Century Gothic" w:cs="Arial"/>
                <w:sz w:val="20"/>
                <w:szCs w:val="20"/>
              </w:rPr>
            </w:pPr>
            <w:r w:rsidRPr="008728A8">
              <w:rPr>
                <w:rFonts w:ascii="Century Gothic" w:eastAsia="Calibri" w:hAnsi="Century Gothic" w:cs="Arial"/>
                <w:noProof/>
                <w:sz w:val="20"/>
                <w:szCs w:val="20"/>
                <w:lang w:eastAsia="es-MX"/>
              </w:rPr>
              <w:drawing>
                <wp:inline distT="0" distB="0" distL="0" distR="0" wp14:anchorId="4603AB0E" wp14:editId="15C608C9">
                  <wp:extent cx="1671955" cy="1617345"/>
                  <wp:effectExtent l="19050" t="0" r="4445" b="0"/>
                  <wp:docPr id="5169" name="Imagen 65"/>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65"/>
                          <pic:cNvPicPr>
                            <a:picLocks noChangeAspect="1" noChangeArrowheads="1"/>
                          </pic:cNvPicPr>
                        </pic:nvPicPr>
                        <pic:blipFill>
                          <a:blip r:embed="rId94"/>
                          <a:srcRect/>
                          <a:stretch>
                            <a:fillRect/>
                          </a:stretch>
                        </pic:blipFill>
                        <pic:spPr bwMode="auto">
                          <a:xfrm>
                            <a:off x="0" y="0"/>
                            <a:ext cx="1671955" cy="1617345"/>
                          </a:xfrm>
                          <a:prstGeom prst="rect">
                            <a:avLst/>
                          </a:prstGeom>
                          <a:noFill/>
                          <a:ln w="9525">
                            <a:noFill/>
                            <a:miter lim="800%"/>
                            <a:headEnd/>
                            <a:tailEnd/>
                          </a:ln>
                        </pic:spPr>
                      </pic:pic>
                    </a:graphicData>
                  </a:graphic>
                </wp:inline>
              </w:drawing>
            </w:r>
          </w:p>
        </w:tc>
      </w:tr>
      <w:tr w:rsidR="008728A8" w:rsidRPr="008728A8" w:rsidTr="00220735">
        <w:trPr>
          <w:cantSplit/>
          <w:jc w:val="center"/>
        </w:trPr>
        <w:tc>
          <w:tcPr>
            <w:tcW w:w="155.90pt" w:type="dxa"/>
            <w:vMerge/>
          </w:tcPr>
          <w:p w:rsidR="008728A8" w:rsidRPr="008728A8" w:rsidRDefault="008728A8" w:rsidP="008728A8">
            <w:pPr>
              <w:spacing w:before="2pt" w:after="2pt" w:line="12pt" w:lineRule="auto"/>
              <w:rPr>
                <w:rFonts w:ascii="Century Gothic" w:eastAsia="Calibri" w:hAnsi="Century Gothic" w:cs="Arial"/>
                <w:sz w:val="20"/>
                <w:szCs w:val="20"/>
              </w:rPr>
            </w:pPr>
          </w:p>
        </w:tc>
        <w:tc>
          <w:tcPr>
            <w:tcW w:w="185.50pt" w:type="dxa"/>
          </w:tcPr>
          <w:p w:rsidR="008728A8" w:rsidRPr="008728A8" w:rsidRDefault="008728A8" w:rsidP="008728A8">
            <w:pPr>
              <w:tabs>
                <w:tab w:val="start" w:pos="21.30pt"/>
              </w:tabs>
              <w:spacing w:before="2pt" w:after="2pt" w:line="12pt" w:lineRule="auto"/>
              <w:ind w:hanging="11.35pt"/>
              <w:jc w:val="both"/>
              <w:rPr>
                <w:rFonts w:ascii="Century Gothic" w:eastAsia="Calibri" w:hAnsi="Century Gothic" w:cs="Arial"/>
                <w:sz w:val="20"/>
                <w:szCs w:val="20"/>
              </w:rPr>
            </w:pPr>
            <w:r w:rsidRPr="008728A8">
              <w:rPr>
                <w:rFonts w:ascii="Century Gothic" w:eastAsia="Calibri" w:hAnsi="Century Gothic" w:cs="Arial"/>
                <w:sz w:val="20"/>
                <w:szCs w:val="20"/>
              </w:rPr>
              <w:t>3.</w:t>
            </w:r>
            <w:r w:rsidRPr="008728A8">
              <w:rPr>
                <w:rFonts w:ascii="Century Gothic" w:eastAsia="Calibri" w:hAnsi="Century Gothic" w:cs="Arial"/>
                <w:sz w:val="20"/>
                <w:szCs w:val="20"/>
              </w:rPr>
              <w:tab/>
              <w:t>Introduzca a tope un conductor del cable de la extensión en el orificio que está junto al primero que insertó.</w:t>
            </w:r>
          </w:p>
        </w:tc>
        <w:tc>
          <w:tcPr>
            <w:tcW w:w="141.75pt" w:type="dxa"/>
            <w:tcBorders>
              <w:bottom w:val="nil"/>
            </w:tcBorders>
          </w:tcPr>
          <w:p w:rsidR="008728A8" w:rsidRPr="008728A8" w:rsidRDefault="008728A8" w:rsidP="008728A8">
            <w:pPr>
              <w:tabs>
                <w:tab w:val="start" w:pos="16.70pt"/>
              </w:tabs>
              <w:spacing w:before="2pt" w:after="2pt" w:line="12pt" w:lineRule="auto"/>
              <w:ind w:hanging="11.35pt"/>
              <w:jc w:val="both"/>
              <w:rPr>
                <w:rFonts w:ascii="Century Gothic" w:eastAsia="Calibri" w:hAnsi="Century Gothic" w:cs="Arial"/>
                <w:sz w:val="20"/>
                <w:szCs w:val="20"/>
              </w:rPr>
            </w:pPr>
            <w:r w:rsidRPr="008728A8">
              <w:rPr>
                <w:rFonts w:ascii="Century Gothic" w:eastAsia="Calibri" w:hAnsi="Century Gothic" w:cs="Arial"/>
                <w:sz w:val="20"/>
                <w:szCs w:val="20"/>
              </w:rPr>
              <w:t>4.</w:t>
            </w:r>
            <w:r w:rsidRPr="008728A8">
              <w:rPr>
                <w:rFonts w:ascii="Century Gothic" w:eastAsia="Calibri" w:hAnsi="Century Gothic" w:cs="Arial"/>
                <w:sz w:val="20"/>
                <w:szCs w:val="20"/>
              </w:rPr>
              <w:tab/>
              <w:t>Doble el conductor y páselo por el peine plástico que se muestra en la figura.</w:t>
            </w:r>
          </w:p>
        </w:tc>
      </w:tr>
      <w:tr w:rsidR="008728A8" w:rsidRPr="008728A8" w:rsidTr="00220735">
        <w:trPr>
          <w:cantSplit/>
          <w:jc w:val="center"/>
        </w:trPr>
        <w:tc>
          <w:tcPr>
            <w:tcW w:w="155.90pt" w:type="dxa"/>
          </w:tcPr>
          <w:p w:rsidR="008728A8" w:rsidRPr="008728A8" w:rsidRDefault="008728A8" w:rsidP="008728A8">
            <w:pPr>
              <w:spacing w:before="2pt" w:after="2pt" w:line="12pt" w:lineRule="auto"/>
              <w:jc w:val="center"/>
              <w:rPr>
                <w:rFonts w:ascii="Century Gothic" w:eastAsia="Calibri" w:hAnsi="Century Gothic" w:cs="Arial"/>
                <w:sz w:val="20"/>
                <w:szCs w:val="20"/>
              </w:rPr>
            </w:pPr>
            <w:r w:rsidRPr="008728A8">
              <w:rPr>
                <w:rFonts w:ascii="Century Gothic" w:eastAsia="Calibri" w:hAnsi="Century Gothic" w:cs="Arial"/>
                <w:noProof/>
                <w:sz w:val="20"/>
                <w:szCs w:val="20"/>
                <w:lang w:eastAsia="es-MX"/>
              </w:rPr>
              <w:drawing>
                <wp:inline distT="0" distB="0" distL="0" distR="0" wp14:anchorId="694BD28C" wp14:editId="1CD9224C">
                  <wp:extent cx="1657985" cy="1330960"/>
                  <wp:effectExtent l="19050" t="0" r="0" b="0"/>
                  <wp:docPr id="5170" name="Imagen 66"/>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66"/>
                          <pic:cNvPicPr>
                            <a:picLocks noChangeAspect="1" noChangeArrowheads="1"/>
                          </pic:cNvPicPr>
                        </pic:nvPicPr>
                        <pic:blipFill>
                          <a:blip r:embed="rId95"/>
                          <a:srcRect/>
                          <a:stretch>
                            <a:fillRect/>
                          </a:stretch>
                        </pic:blipFill>
                        <pic:spPr bwMode="auto">
                          <a:xfrm>
                            <a:off x="0" y="0"/>
                            <a:ext cx="1657985" cy="1330960"/>
                          </a:xfrm>
                          <a:prstGeom prst="rect">
                            <a:avLst/>
                          </a:prstGeom>
                          <a:noFill/>
                          <a:ln w="9525">
                            <a:noFill/>
                            <a:miter lim="800%"/>
                            <a:headEnd/>
                            <a:tailEnd/>
                          </a:ln>
                        </pic:spPr>
                      </pic:pic>
                    </a:graphicData>
                  </a:graphic>
                </wp:inline>
              </w:drawing>
            </w:r>
          </w:p>
        </w:tc>
        <w:tc>
          <w:tcPr>
            <w:tcW w:w="185.50pt" w:type="dxa"/>
            <w:vMerge w:val="restart"/>
          </w:tcPr>
          <w:p w:rsidR="008728A8" w:rsidRPr="008728A8" w:rsidRDefault="008728A8" w:rsidP="008728A8">
            <w:pPr>
              <w:tabs>
                <w:tab w:val="start" w:pos="16.70pt"/>
              </w:tabs>
              <w:spacing w:before="2pt" w:after="2pt" w:line="12pt" w:lineRule="auto"/>
              <w:ind w:hanging="11.35pt"/>
              <w:jc w:val="both"/>
              <w:rPr>
                <w:rFonts w:ascii="Century Gothic" w:eastAsia="Calibri" w:hAnsi="Century Gothic" w:cs="Arial"/>
                <w:sz w:val="20"/>
                <w:szCs w:val="20"/>
              </w:rPr>
            </w:pPr>
            <w:r w:rsidRPr="008728A8">
              <w:rPr>
                <w:rFonts w:ascii="Century Gothic" w:eastAsia="Calibri" w:hAnsi="Century Gothic" w:cs="Arial"/>
                <w:sz w:val="20"/>
                <w:szCs w:val="20"/>
              </w:rPr>
              <w:t>5.</w:t>
            </w:r>
            <w:r w:rsidRPr="008728A8">
              <w:rPr>
                <w:rFonts w:ascii="Century Gothic" w:eastAsia="Calibri" w:hAnsi="Century Gothic" w:cs="Arial"/>
                <w:sz w:val="20"/>
                <w:szCs w:val="20"/>
              </w:rPr>
              <w:tab/>
              <w:t>Fije el cordón marfil hasta el lugar en donde va a instalar la siguiente roseta (de donde va a conectar el equipo terminal de la extensión)</w:t>
            </w:r>
          </w:p>
          <w:p w:rsidR="008728A8" w:rsidRPr="008728A8" w:rsidRDefault="008728A8" w:rsidP="008728A8">
            <w:pPr>
              <w:tabs>
                <w:tab w:val="num" w:pos="21.30pt"/>
              </w:tabs>
              <w:spacing w:before="2pt" w:after="2pt" w:line="12pt" w:lineRule="auto"/>
              <w:jc w:val="both"/>
              <w:rPr>
                <w:rFonts w:ascii="Century Gothic" w:eastAsia="Calibri" w:hAnsi="Century Gothic" w:cs="Arial"/>
                <w:sz w:val="20"/>
                <w:szCs w:val="20"/>
              </w:rPr>
            </w:pPr>
          </w:p>
          <w:p w:rsidR="008728A8" w:rsidRPr="008728A8" w:rsidRDefault="008728A8" w:rsidP="008728A8">
            <w:pPr>
              <w:tabs>
                <w:tab w:val="start" w:pos="16.70pt"/>
              </w:tabs>
              <w:spacing w:before="2pt" w:after="2pt" w:line="12pt" w:lineRule="auto"/>
              <w:ind w:hanging="11.35pt"/>
              <w:jc w:val="both"/>
              <w:rPr>
                <w:rFonts w:ascii="Century Gothic" w:eastAsia="Calibri" w:hAnsi="Century Gothic" w:cs="Arial"/>
                <w:sz w:val="20"/>
                <w:szCs w:val="20"/>
              </w:rPr>
            </w:pPr>
            <w:r w:rsidRPr="008728A8">
              <w:rPr>
                <w:rFonts w:ascii="Century Gothic" w:eastAsia="Calibri" w:hAnsi="Century Gothic" w:cs="Arial"/>
                <w:sz w:val="20"/>
                <w:szCs w:val="20"/>
              </w:rPr>
              <w:t>6.</w:t>
            </w:r>
            <w:r w:rsidRPr="008728A8">
              <w:rPr>
                <w:rFonts w:ascii="Century Gothic" w:eastAsia="Calibri" w:hAnsi="Century Gothic" w:cs="Arial"/>
                <w:sz w:val="20"/>
                <w:szCs w:val="20"/>
              </w:rPr>
              <w:tab/>
              <w:t>Fije la nueva roseta y haga la conexión del cordón marfil de acuerdo a lo indicado en este  procedimiento.</w:t>
            </w:r>
          </w:p>
        </w:tc>
        <w:tc>
          <w:tcPr>
            <w:tcW w:w="141.75pt" w:type="dxa"/>
            <w:vMerge w:val="restart"/>
            <w:tcBorders>
              <w:bottom w:val="nil"/>
              <w:end w:val="nil"/>
            </w:tcBorders>
          </w:tcPr>
          <w:p w:rsidR="008728A8" w:rsidRPr="008728A8" w:rsidRDefault="008728A8" w:rsidP="008728A8">
            <w:pPr>
              <w:spacing w:before="2pt" w:after="2pt" w:line="12pt" w:lineRule="auto"/>
              <w:rPr>
                <w:rFonts w:ascii="Century Gothic" w:eastAsia="Calibri" w:hAnsi="Century Gothic" w:cs="Arial"/>
                <w:sz w:val="20"/>
                <w:szCs w:val="20"/>
              </w:rPr>
            </w:pPr>
          </w:p>
        </w:tc>
      </w:tr>
      <w:tr w:rsidR="008728A8" w:rsidRPr="008728A8" w:rsidTr="00220735">
        <w:trPr>
          <w:cantSplit/>
          <w:jc w:val="center"/>
        </w:trPr>
        <w:tc>
          <w:tcPr>
            <w:tcW w:w="155.90pt" w:type="dxa"/>
          </w:tcPr>
          <w:p w:rsidR="008728A8" w:rsidRPr="008728A8" w:rsidRDefault="008728A8" w:rsidP="008728A8">
            <w:pPr>
              <w:tabs>
                <w:tab w:val="start" w:pos="16.70pt"/>
              </w:tabs>
              <w:spacing w:before="2pt" w:after="2pt" w:line="12pt" w:lineRule="auto"/>
              <w:ind w:hanging="11.35pt"/>
              <w:jc w:val="both"/>
              <w:rPr>
                <w:rFonts w:ascii="Century Gothic" w:eastAsia="Calibri" w:hAnsi="Century Gothic" w:cs="Arial"/>
                <w:sz w:val="20"/>
                <w:szCs w:val="20"/>
              </w:rPr>
            </w:pPr>
            <w:r w:rsidRPr="008728A8">
              <w:rPr>
                <w:rFonts w:ascii="Century Gothic" w:eastAsia="Calibri" w:hAnsi="Century Gothic" w:cs="Arial"/>
                <w:sz w:val="20"/>
                <w:szCs w:val="20"/>
              </w:rPr>
              <w:t>7.</w:t>
            </w:r>
            <w:r w:rsidRPr="008728A8">
              <w:rPr>
                <w:rFonts w:ascii="Century Gothic" w:eastAsia="Calibri" w:hAnsi="Century Gothic" w:cs="Arial"/>
                <w:sz w:val="20"/>
                <w:szCs w:val="20"/>
              </w:rPr>
              <w:tab/>
              <w:t>Repita los pasos 15 y 16 con el otro conductor, pero en el orificio que queda libre junto al segundo conductor, conectado.</w:t>
            </w:r>
          </w:p>
        </w:tc>
        <w:tc>
          <w:tcPr>
            <w:tcW w:w="185.50pt" w:type="dxa"/>
            <w:vMerge/>
          </w:tcPr>
          <w:p w:rsidR="008728A8" w:rsidRPr="008728A8" w:rsidRDefault="008728A8" w:rsidP="008728A8">
            <w:pPr>
              <w:spacing w:before="2pt" w:after="2pt" w:line="12pt" w:lineRule="auto"/>
              <w:rPr>
                <w:rFonts w:ascii="Century Gothic" w:eastAsia="Calibri" w:hAnsi="Century Gothic" w:cs="Arial"/>
                <w:sz w:val="20"/>
                <w:szCs w:val="20"/>
              </w:rPr>
            </w:pPr>
          </w:p>
        </w:tc>
        <w:tc>
          <w:tcPr>
            <w:tcW w:w="141.75pt" w:type="dxa"/>
            <w:vMerge/>
            <w:tcBorders>
              <w:bottom w:val="nil"/>
              <w:end w:val="nil"/>
            </w:tcBorders>
          </w:tcPr>
          <w:p w:rsidR="008728A8" w:rsidRPr="008728A8" w:rsidRDefault="008728A8" w:rsidP="008728A8">
            <w:pPr>
              <w:spacing w:before="2pt" w:after="2pt" w:line="12pt" w:lineRule="auto"/>
              <w:rPr>
                <w:rFonts w:ascii="Century Gothic" w:eastAsia="Calibri" w:hAnsi="Century Gothic" w:cs="Arial"/>
                <w:sz w:val="20"/>
                <w:szCs w:val="20"/>
              </w:rPr>
            </w:pPr>
          </w:p>
        </w:tc>
      </w:tr>
    </w:tbl>
    <w:p w:rsidR="008728A8" w:rsidRPr="008728A8" w:rsidRDefault="008728A8" w:rsidP="008728A8">
      <w:pPr>
        <w:spacing w:line="12pt" w:lineRule="auto"/>
        <w:ind w:start="18pt"/>
        <w:contextualSpacing/>
        <w:jc w:val="both"/>
        <w:rPr>
          <w:rFonts w:ascii="Century Gothic" w:eastAsia="Calibri" w:hAnsi="Century Gothic" w:cs="Arial"/>
        </w:rPr>
        <w:sectPr w:rsidR="008728A8" w:rsidRPr="008728A8" w:rsidSect="008728A8">
          <w:headerReference w:type="default" r:id="rId96"/>
          <w:type w:val="oddPage"/>
          <w:pgSz w:w="612.10pt" w:h="792.10pt" w:code="1"/>
          <w:pgMar w:top="70.90pt" w:right="70.90pt" w:bottom="70.90pt" w:left="70.90pt" w:header="35.45pt" w:footer="35.45pt" w:gutter="0pt"/>
          <w:cols w:space="35.40pt"/>
          <w:docGrid w:linePitch="360"/>
        </w:sectPr>
      </w:pPr>
    </w:p>
    <w:p w:rsidR="008728A8" w:rsidRPr="008728A8" w:rsidRDefault="008728A8" w:rsidP="008728A8">
      <w:pPr>
        <w:spacing w:line="12pt" w:lineRule="auto"/>
        <w:ind w:start="36pt" w:hanging="18pt"/>
        <w:jc w:val="both"/>
        <w:rPr>
          <w:rFonts w:ascii="Century Gothic" w:eastAsia="Calibri" w:hAnsi="Century Gothic" w:cs="Arial"/>
          <w:color w:val="000000"/>
          <w:lang w:val="es-ES_tradnl" w:eastAsia="es-ES"/>
        </w:rPr>
      </w:pPr>
    </w:p>
    <w:p w:rsidR="008728A8" w:rsidRPr="008728A8" w:rsidRDefault="008728A8" w:rsidP="008728A8">
      <w:pPr>
        <w:spacing w:after="10pt" w:line="12pt" w:lineRule="auto"/>
        <w:ind w:start="17.60pt"/>
        <w:jc w:val="both"/>
        <w:rPr>
          <w:rFonts w:ascii="Century Gothic" w:eastAsia="Times New Roman" w:hAnsi="Century Gothic" w:cs="Arial"/>
          <w:b/>
          <w:sz w:val="24"/>
          <w:szCs w:val="24"/>
          <w:lang w:val="es-ES_tradnl" w:eastAsia="es-ES"/>
        </w:rPr>
      </w:pPr>
      <w:r w:rsidRPr="008728A8">
        <w:rPr>
          <w:rFonts w:ascii="Century Gothic" w:eastAsia="Times New Roman" w:hAnsi="Century Gothic" w:cs="Arial"/>
          <w:noProof/>
          <w:sz w:val="24"/>
          <w:szCs w:val="24"/>
          <w:lang w:eastAsia="es-MX"/>
        </w:rPr>
        <w:drawing>
          <wp:inline distT="0" distB="0" distL="0" distR="0" wp14:anchorId="5105847E" wp14:editId="5BB8A92B">
            <wp:extent cx="5678303" cy="7528387"/>
            <wp:effectExtent l="38100" t="38100" r="36830" b="34925"/>
            <wp:docPr id="461" name="Rectángulo: esquinas redondeadas 9"/>
            <wp:cNvGraphicFramePr>
              <a:graphicFrameLocks xmlns:a="http://purl.oclc.org/ooxml/drawingml/main"/>
            </wp:cNvGraphicFramePr>
            <a:graphic xmlns:a="http://purl.oclc.org/ooxml/drawingml/main">
              <a:graphicData uri="http://schemas.microsoft.com/office/word/2010/wordprocessingShape">
                <wp:wsp>
                  <wp:cNvSpPr>
                    <a:spLocks/>
                  </wp:cNvSpPr>
                  <wp:spPr>
                    <a:xfrm>
                      <a:off x="0" y="0"/>
                      <a:ext cx="5678303" cy="7528387"/>
                    </a:xfrm>
                    <a:prstGeom prst="roundRect">
                      <a:avLst>
                        <a:gd name="adj" fmla="val 6030"/>
                      </a:avLst>
                    </a:prstGeom>
                    <a:noFill/>
                    <a:ln w="76200" cap="flat" cmpd="sng" algn="ctr">
                      <a:solidFill>
                        <a:srgbClr val="009AD9"/>
                      </a:solidFill>
                      <a:prstDash val="solid"/>
                      <a:miter lim="800%"/>
                    </a:ln>
                    <a:effectLst/>
                  </wp:spPr>
                  <wp:txbx>
                    <wne:txbxContent>
                      <w:p w:rsidR="000511F0" w:rsidRDefault="000511F0" w:rsidP="008728A8">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61FD2AD1" wp14:editId="486075B5">
                              <wp:extent cx="2552700" cy="1438275"/>
                              <wp:effectExtent l="0" t="0" r="0" b="9525"/>
                              <wp:docPr id="27" name="Imagen 27"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bookmarkStart w:id="3143" w:name="_Toc92974224"/>
                        <w:bookmarkStart w:id="3144" w:name="_Toc93052537"/>
                        <w:bookmarkStart w:id="3145" w:name="_Toc93056492"/>
                        <w:bookmarkStart w:id="3146" w:name="_Toc125393558"/>
                        <w:bookmarkStart w:id="3147" w:name="_Toc128478082"/>
                        <w:bookmarkStart w:id="3148" w:name="_Toc148692433"/>
                        <w:bookmarkStart w:id="3149" w:name="_Toc148702413"/>
                        <w:bookmarkStart w:id="3150" w:name="_Toc149644524"/>
                        <w:bookmarkStart w:id="3151" w:name="_Toc149644809"/>
                        <w:bookmarkStart w:id="3152" w:name="_Toc149645114"/>
                        <w:r w:rsidRPr="006B0514">
                          <w:rPr>
                            <w:rFonts w:ascii="Century Gothic" w:hAnsi="Century Gothic"/>
                            <w:sz w:val="24"/>
                            <w:szCs w:val="24"/>
                            <w:u w:val="single"/>
                          </w:rPr>
                          <w:t xml:space="preserve">ANEXO </w:t>
                        </w:r>
                        <w:r>
                          <w:rPr>
                            <w:rFonts w:ascii="Century Gothic" w:hAnsi="Century Gothic"/>
                            <w:sz w:val="24"/>
                            <w:szCs w:val="24"/>
                            <w:u w:val="single"/>
                          </w:rPr>
                          <w:t>G2</w:t>
                        </w:r>
                        <w:bookmarkEnd w:id="3143"/>
                        <w:bookmarkEnd w:id="3144"/>
                        <w:bookmarkEnd w:id="3145"/>
                        <w:bookmarkEnd w:id="3146"/>
                        <w:bookmarkEnd w:id="3147"/>
                        <w:bookmarkEnd w:id="3148"/>
                        <w:bookmarkEnd w:id="3149"/>
                        <w:bookmarkEnd w:id="3150"/>
                        <w:bookmarkEnd w:id="3151"/>
                        <w:bookmarkEnd w:id="3152"/>
                      </w:p>
                      <w:p w:rsidR="000511F0" w:rsidRDefault="000511F0" w:rsidP="008728A8">
                        <w:pPr>
                          <w:rPr>
                            <w:lang w:val="es-ES" w:eastAsia="es-ES"/>
                          </w:rPr>
                        </w:pPr>
                      </w:p>
                      <w:p w:rsidR="000511F0" w:rsidRDefault="000511F0" w:rsidP="008728A8">
                        <w:pPr>
                          <w:rPr>
                            <w:lang w:val="es-ES" w:eastAsia="es-ES"/>
                          </w:rPr>
                        </w:pPr>
                      </w:p>
                      <w:p w:rsidR="000511F0" w:rsidRPr="00CD352B" w:rsidRDefault="000511F0" w:rsidP="00D12671">
                        <w:pPr>
                          <w:jc w:val="center"/>
                          <w:rPr>
                            <w:rFonts w:ascii="Century Gothic" w:eastAsia="Calibri" w:hAnsi="Century Gothic" w:cs="Arial"/>
                            <w:b/>
                            <w:sz w:val="26"/>
                            <w:szCs w:val="26"/>
                          </w:rPr>
                        </w:pPr>
                        <w:r>
                          <w:rPr>
                            <w:rFonts w:ascii="Century Gothic" w:eastAsia="Times New Roman" w:hAnsi="Century Gothic" w:cs="Arial"/>
                            <w:b/>
                            <w:sz w:val="26"/>
                            <w:szCs w:val="26"/>
                            <w:lang w:eastAsia="es-ES"/>
                          </w:rPr>
                          <w:t>Requerimientos mínimos para la interoperabilidad de los Módems de los Concesionarios con la red de acceso Xdsl</w:t>
                        </w:r>
                      </w:p>
                      <w:p w:rsidR="000511F0" w:rsidRDefault="000511F0" w:rsidP="00D12671">
                        <w:pPr>
                          <w:jc w:val="center"/>
                          <w:rPr>
                            <w:rFonts w:ascii="Century Gothic" w:eastAsia="Calibri" w:hAnsi="Century Gothic" w:cs="Arial"/>
                            <w:b/>
                            <w:sz w:val="26"/>
                            <w:szCs w:val="26"/>
                          </w:rPr>
                        </w:pPr>
                      </w:p>
                      <w:p w:rsidR="000511F0" w:rsidRPr="008A6791" w:rsidRDefault="000511F0" w:rsidP="00D12671">
                        <w:pPr>
                          <w:jc w:val="center"/>
                          <w:rPr>
                            <w:rFonts w:ascii="Century Gothic" w:hAnsi="Century Gothic"/>
                            <w:b/>
                            <w:sz w:val="24"/>
                            <w:szCs w:val="24"/>
                          </w:rPr>
                        </w:pPr>
                        <w:r>
                          <w:rPr>
                            <w:rFonts w:ascii="Century Gothic" w:hAnsi="Century Gothic"/>
                            <w:b/>
                            <w:sz w:val="24"/>
                            <w:szCs w:val="24"/>
                          </w:rPr>
                          <w:t>Red Nacional Última Milla, S.A.P.I. de C.V.</w:t>
                        </w:r>
                      </w:p>
                      <w:p w:rsidR="000511F0" w:rsidRPr="00414BEA" w:rsidRDefault="000511F0" w:rsidP="00D12671">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r w:rsidRPr="00414BEA">
                          <w:rPr>
                            <w:rFonts w:ascii="Century Gothic" w:hAnsi="Century Gothic"/>
                            <w:bCs/>
                            <w:sz w:val="24"/>
                            <w:szCs w:val="24"/>
                          </w:rPr>
                          <w:br/>
                        </w:r>
                      </w:p>
                      <w:p w:rsidR="000511F0" w:rsidRPr="008A6791" w:rsidRDefault="000511F0" w:rsidP="008728A8">
                        <w:pPr>
                          <w:jc w:val="center"/>
                          <w:rPr>
                            <w:rFonts w:ascii="Century Gothic" w:hAnsi="Century Gothic"/>
                            <w:b/>
                            <w:bCs/>
                            <w:sz w:val="24"/>
                            <w:szCs w:val="24"/>
                          </w:rPr>
                        </w:pPr>
                      </w:p>
                      <w:p w:rsidR="000511F0" w:rsidRPr="008A6791" w:rsidRDefault="000511F0" w:rsidP="008728A8">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6</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ne:txbxContent>
                  </wp:txbx>
                  <wp:bodyPr rot="0" spcFirstLastPara="0" vertOverflow="overflow" horzOverflow="overflow" vert="horz" wrap="square" lIns="91440" tIns="45720" rIns="91440" bIns="45720" numCol="1" spcCol="0" rtlCol="0" fromWordArt="0" anchor="ctr" anchorCtr="0" forceAA="0" compatLnSpc="1">
                    <a:prstTxWarp prst="textNoShape">
                      <a:avLst/>
                    </a:prstTxWarp>
                    <a:noAutofit/>
                  </wp:bodyPr>
                </wp:wsp>
              </a:graphicData>
            </a:graphic>
          </wp:inline>
        </w:drawing>
      </w:r>
    </w:p>
    <w:p w:rsidR="008728A8" w:rsidRPr="008728A8" w:rsidRDefault="008728A8" w:rsidP="008728A8">
      <w:pPr>
        <w:spacing w:after="10pt" w:line="12pt" w:lineRule="auto"/>
        <w:ind w:start="17.60pt"/>
        <w:jc w:val="both"/>
        <w:rPr>
          <w:rFonts w:ascii="Century Gothic" w:eastAsia="Times New Roman" w:hAnsi="Century Gothic" w:cs="Arial"/>
          <w:b/>
          <w:sz w:val="24"/>
          <w:szCs w:val="24"/>
          <w:lang w:val="es-ES_tradnl" w:eastAsia="es-ES"/>
        </w:rPr>
      </w:pPr>
    </w:p>
    <w:p w:rsidR="008728A8" w:rsidRPr="008728A8" w:rsidRDefault="008728A8" w:rsidP="008728A8">
      <w:pPr>
        <w:spacing w:line="12pt" w:lineRule="auto"/>
        <w:rPr>
          <w:rFonts w:ascii="Century Gothic" w:eastAsia="Calibri" w:hAnsi="Century Gothic" w:cs="Arial"/>
          <w:b/>
          <w:color w:val="000000"/>
          <w:sz w:val="24"/>
        </w:rPr>
        <w:sectPr w:rsidR="008728A8" w:rsidRPr="008728A8" w:rsidSect="008728A8">
          <w:headerReference w:type="default" r:id="rId97"/>
          <w:headerReference w:type="first" r:id="rId98"/>
          <w:type w:val="oddPage"/>
          <w:pgSz w:w="612.10pt" w:h="792.10pt" w:code="1"/>
          <w:pgMar w:top="70.90pt" w:right="70.90pt" w:bottom="70.90pt" w:left="70.90pt" w:header="35.45pt" w:footer="35.45pt" w:gutter="0pt"/>
          <w:cols w:space="36pt"/>
          <w:titlePg/>
          <w:docGrid w:linePitch="326"/>
        </w:sectPr>
      </w:pPr>
    </w:p>
    <w:p w:rsidR="008728A8" w:rsidRPr="008728A8" w:rsidRDefault="008728A8" w:rsidP="008728A8">
      <w:pPr>
        <w:spacing w:line="13.20pt" w:lineRule="auto"/>
        <w:ind w:start="17.85pt"/>
        <w:jc w:val="center"/>
        <w:outlineLvl w:val="0"/>
        <w:rPr>
          <w:rFonts w:ascii="Century Gothic" w:eastAsia="Calibri" w:hAnsi="Century Gothic" w:cs="Arial"/>
          <w:b/>
          <w:color w:val="000000"/>
          <w:lang w:val="es-ES" w:eastAsia="es-ES"/>
        </w:rPr>
      </w:pPr>
      <w:bookmarkStart w:id="3153" w:name="_Toc92974225"/>
      <w:bookmarkStart w:id="3154" w:name="_Toc93052538"/>
      <w:bookmarkStart w:id="3155" w:name="_Toc93056493"/>
      <w:bookmarkStart w:id="3156" w:name="_Toc125393559"/>
      <w:bookmarkStart w:id="3157" w:name="_Toc148702414"/>
      <w:r w:rsidRPr="008728A8">
        <w:rPr>
          <w:rFonts w:ascii="Century Gothic" w:eastAsia="Calibri" w:hAnsi="Century Gothic" w:cs="Arial"/>
          <w:b/>
          <w:color w:val="000000"/>
          <w:lang w:val="es-ES" w:eastAsia="es-ES"/>
        </w:rPr>
        <w:lastRenderedPageBreak/>
        <w:t>ANEXO G2</w:t>
      </w:r>
      <w:bookmarkEnd w:id="3153"/>
      <w:bookmarkEnd w:id="3154"/>
      <w:bookmarkEnd w:id="3155"/>
      <w:bookmarkEnd w:id="3156"/>
      <w:bookmarkEnd w:id="3157"/>
    </w:p>
    <w:p w:rsidR="008728A8" w:rsidRPr="008728A8" w:rsidRDefault="008728A8" w:rsidP="008728A8">
      <w:pPr>
        <w:rPr>
          <w:rFonts w:eastAsia="Calibri" w:cs="Times New Roman"/>
          <w:lang w:val="es-ES" w:eastAsia="es-ES"/>
        </w:rPr>
      </w:pPr>
    </w:p>
    <w:p w:rsidR="008728A8" w:rsidRPr="008728A8" w:rsidRDefault="008728A8" w:rsidP="008728A8">
      <w:pPr>
        <w:spacing w:line="13.20pt" w:lineRule="auto"/>
        <w:ind w:start="17.85pt"/>
        <w:jc w:val="center"/>
        <w:outlineLvl w:val="0"/>
        <w:rPr>
          <w:rFonts w:ascii="Century Gothic" w:eastAsia="Calibri" w:hAnsi="Century Gothic" w:cs="Arial"/>
          <w:b/>
          <w:color w:val="000000"/>
          <w:lang w:val="es-ES" w:eastAsia="es-ES"/>
        </w:rPr>
      </w:pPr>
      <w:bookmarkStart w:id="3158" w:name="_Hlk92970480"/>
      <w:bookmarkStart w:id="3159" w:name="_Toc92974226"/>
      <w:bookmarkStart w:id="3160" w:name="_Toc93052539"/>
      <w:bookmarkStart w:id="3161" w:name="_Toc93056494"/>
      <w:bookmarkStart w:id="3162" w:name="_Toc125393560"/>
      <w:bookmarkStart w:id="3163" w:name="_Toc148702415"/>
      <w:r w:rsidRPr="008728A8">
        <w:rPr>
          <w:rFonts w:ascii="Century Gothic" w:eastAsia="Calibri" w:hAnsi="Century Gothic" w:cs="Arial"/>
          <w:b/>
          <w:color w:val="000000"/>
          <w:lang w:val="es-ES" w:eastAsia="es-ES"/>
        </w:rPr>
        <w:t xml:space="preserve">REQUERIMIENTOS MÍNIMOS PARA LA INTEROPERABILIDAD DE LOS MÓDEMS </w:t>
      </w:r>
    </w:p>
    <w:p w:rsidR="008728A8" w:rsidRPr="008728A8" w:rsidRDefault="008728A8" w:rsidP="008728A8">
      <w:pPr>
        <w:spacing w:line="13.20pt" w:lineRule="auto"/>
        <w:ind w:start="17.85pt"/>
        <w:jc w:val="center"/>
        <w:outlineLvl w:val="0"/>
        <w:rPr>
          <w:rFonts w:ascii="Century Gothic" w:eastAsia="Calibri" w:hAnsi="Century Gothic" w:cs="Arial"/>
          <w:b/>
          <w:color w:val="000000"/>
          <w:lang w:val="es-ES" w:eastAsia="es-ES"/>
        </w:rPr>
      </w:pPr>
      <w:r w:rsidRPr="008728A8">
        <w:rPr>
          <w:rFonts w:ascii="Century Gothic" w:eastAsia="Calibri" w:hAnsi="Century Gothic" w:cs="Arial"/>
          <w:b/>
          <w:color w:val="000000"/>
          <w:lang w:val="es-ES" w:eastAsia="es-ES"/>
        </w:rPr>
        <w:t>DE LOS CS CON LA RED DE ACCESO XDSL</w:t>
      </w:r>
      <w:bookmarkEnd w:id="3158"/>
      <w:r w:rsidRPr="008728A8">
        <w:rPr>
          <w:rFonts w:ascii="Century Gothic" w:eastAsia="Calibri" w:hAnsi="Century Gothic" w:cs="Arial"/>
          <w:b/>
          <w:color w:val="000000"/>
          <w:lang w:val="es-ES" w:eastAsia="es-ES"/>
        </w:rPr>
        <w:t>.</w:t>
      </w:r>
      <w:bookmarkEnd w:id="3159"/>
      <w:bookmarkEnd w:id="3160"/>
      <w:bookmarkEnd w:id="3161"/>
      <w:bookmarkEnd w:id="3162"/>
      <w:bookmarkEnd w:id="3163"/>
    </w:p>
    <w:p w:rsidR="008728A8" w:rsidRPr="008728A8" w:rsidRDefault="008728A8" w:rsidP="008728A8">
      <w:pPr>
        <w:spacing w:line="13.20pt" w:lineRule="auto"/>
        <w:rPr>
          <w:rFonts w:ascii="Century Gothic" w:eastAsia="Calibri" w:hAnsi="Century Gothic" w:cs="Arial"/>
        </w:rPr>
      </w:pPr>
      <w:bookmarkStart w:id="3164" w:name="_Toc428882318"/>
      <w:bookmarkStart w:id="3165" w:name="_Toc92974227"/>
    </w:p>
    <w:p w:rsidR="008728A8" w:rsidRPr="008728A8" w:rsidRDefault="008728A8" w:rsidP="008728A8">
      <w:pPr>
        <w:spacing w:line="13.20pt" w:lineRule="auto"/>
        <w:jc w:val="both"/>
        <w:outlineLvl w:val="0"/>
        <w:rPr>
          <w:rFonts w:ascii="Century Gothic" w:eastAsia="Calibri" w:hAnsi="Century Gothic" w:cs="Arial"/>
          <w:b/>
          <w:bCs/>
          <w:color w:val="000000"/>
          <w:lang w:val="es-ES" w:eastAsia="es-ES"/>
        </w:rPr>
      </w:pPr>
      <w:bookmarkStart w:id="3166" w:name="_Toc93052540"/>
      <w:bookmarkStart w:id="3167" w:name="_Toc93056495"/>
      <w:bookmarkStart w:id="3168" w:name="_Toc125393561"/>
      <w:bookmarkStart w:id="3169" w:name="_Toc148702416"/>
      <w:r w:rsidRPr="008728A8">
        <w:rPr>
          <w:rFonts w:ascii="Century Gothic" w:eastAsia="Calibri" w:hAnsi="Century Gothic" w:cs="Arial"/>
          <w:b/>
          <w:bCs/>
          <w:color w:val="000000"/>
          <w:lang w:val="es-ES" w:eastAsia="es-ES"/>
        </w:rPr>
        <w:t>1. Objetivos</w:t>
      </w:r>
      <w:bookmarkEnd w:id="3164"/>
      <w:bookmarkEnd w:id="3165"/>
      <w:bookmarkEnd w:id="3166"/>
      <w:bookmarkEnd w:id="3167"/>
      <w:bookmarkEnd w:id="3168"/>
      <w:bookmarkEnd w:id="3169"/>
    </w:p>
    <w:p w:rsidR="008728A8" w:rsidRPr="008728A8" w:rsidRDefault="008728A8" w:rsidP="008728A8">
      <w:pPr>
        <w:spacing w:line="13.20pt" w:lineRule="auto"/>
        <w:jc w:val="both"/>
        <w:rPr>
          <w:rFonts w:ascii="Century Gothic" w:eastAsia="Calibri" w:hAnsi="Century Gothic" w:cs="Arial"/>
        </w:rPr>
      </w:pPr>
      <w:r w:rsidRPr="008728A8">
        <w:rPr>
          <w:rFonts w:ascii="Century Gothic" w:eastAsia="Calibri" w:hAnsi="Century Gothic" w:cs="Arial"/>
        </w:rPr>
        <w:t>Definir los criterios de aceptación para los Módems que los CS presenten para evaluación, para validar que cumplen con los requerimientos mínimos de interoperabilidad con los equipos xDSL.</w:t>
      </w:r>
    </w:p>
    <w:p w:rsidR="008728A8" w:rsidRPr="008728A8" w:rsidRDefault="008728A8" w:rsidP="008728A8">
      <w:pPr>
        <w:spacing w:line="13.20pt" w:lineRule="auto"/>
        <w:rPr>
          <w:rFonts w:ascii="Century Gothic" w:eastAsia="Calibri" w:hAnsi="Century Gothic" w:cs="Arial"/>
        </w:rPr>
      </w:pPr>
    </w:p>
    <w:p w:rsidR="008728A8" w:rsidRPr="008728A8" w:rsidRDefault="008728A8" w:rsidP="008728A8">
      <w:pPr>
        <w:spacing w:line="13.20pt" w:lineRule="auto"/>
        <w:jc w:val="both"/>
        <w:outlineLvl w:val="0"/>
        <w:rPr>
          <w:rFonts w:ascii="Century Gothic" w:eastAsia="Calibri" w:hAnsi="Century Gothic" w:cs="Arial"/>
          <w:color w:val="000000"/>
          <w:lang w:val="es-ES" w:eastAsia="es-ES"/>
        </w:rPr>
      </w:pPr>
      <w:bookmarkStart w:id="3170" w:name="_Toc428882319"/>
      <w:bookmarkStart w:id="3171" w:name="_Toc92974228"/>
      <w:bookmarkStart w:id="3172" w:name="_Toc93052541"/>
      <w:bookmarkStart w:id="3173" w:name="_Toc93056496"/>
      <w:bookmarkStart w:id="3174" w:name="_Toc125393562"/>
      <w:bookmarkStart w:id="3175" w:name="_Toc148702417"/>
      <w:r w:rsidRPr="008728A8">
        <w:rPr>
          <w:rFonts w:ascii="Century Gothic" w:eastAsia="Calibri" w:hAnsi="Century Gothic" w:cs="Arial"/>
          <w:b/>
          <w:color w:val="000000"/>
          <w:lang w:val="es-ES" w:eastAsia="es-ES"/>
        </w:rPr>
        <w:t>2. Premisas</w:t>
      </w:r>
      <w:bookmarkEnd w:id="3170"/>
      <w:bookmarkEnd w:id="3171"/>
      <w:bookmarkEnd w:id="3172"/>
      <w:bookmarkEnd w:id="3173"/>
      <w:bookmarkEnd w:id="3174"/>
      <w:bookmarkEnd w:id="3175"/>
    </w:p>
    <w:p w:rsidR="008728A8" w:rsidRPr="008728A8" w:rsidRDefault="008728A8" w:rsidP="008728A8">
      <w:pPr>
        <w:numPr>
          <w:ilvl w:val="0"/>
          <w:numId w:val="187"/>
        </w:numPr>
        <w:spacing w:after="3pt" w:line="13.20pt" w:lineRule="auto"/>
        <w:ind w:end="2.55pt"/>
        <w:contextualSpacing/>
        <w:jc w:val="both"/>
        <w:rPr>
          <w:rFonts w:ascii="Century Gothic" w:eastAsia="Calibri" w:hAnsi="Century Gothic" w:cs="Arial"/>
        </w:rPr>
      </w:pPr>
      <w:r w:rsidRPr="008728A8">
        <w:rPr>
          <w:rFonts w:ascii="Century Gothic" w:eastAsia="Calibri" w:hAnsi="Century Gothic" w:cs="Arial"/>
        </w:rPr>
        <w:t>Este documento lista los requerimientos mínimos que tienen que cumplir los Módems de los CS para validar la interoperabilidad con los equipos xDSL de la red de acceso.</w:t>
      </w:r>
    </w:p>
    <w:p w:rsidR="008728A8" w:rsidRPr="008728A8" w:rsidRDefault="008728A8" w:rsidP="008728A8">
      <w:pPr>
        <w:numPr>
          <w:ilvl w:val="0"/>
          <w:numId w:val="187"/>
        </w:numPr>
        <w:spacing w:line="13.20pt" w:lineRule="auto"/>
        <w:ind w:end="2.55pt"/>
        <w:contextualSpacing/>
        <w:jc w:val="both"/>
        <w:rPr>
          <w:rFonts w:ascii="Century Gothic" w:eastAsia="Calibri" w:hAnsi="Century Gothic" w:cs="Arial"/>
        </w:rPr>
      </w:pPr>
      <w:r w:rsidRPr="008728A8">
        <w:rPr>
          <w:rFonts w:ascii="Century Gothic" w:eastAsia="Calibri" w:hAnsi="Century Gothic" w:cs="Arial"/>
        </w:rPr>
        <w:t>Cualquier otra funcionalidad de capa superior que el CS quiera incorporar a su Módem, no se considerará como tema de evaluación y será total responsabilidad del CS.</w:t>
      </w:r>
    </w:p>
    <w:p w:rsidR="008728A8" w:rsidRPr="008728A8" w:rsidRDefault="008728A8" w:rsidP="008728A8">
      <w:pPr>
        <w:spacing w:line="13.20pt" w:lineRule="auto"/>
        <w:ind w:start="35.70pt" w:end="2.55pt" w:hanging="17.85pt"/>
        <w:jc w:val="both"/>
        <w:rPr>
          <w:rFonts w:ascii="Century Gothic" w:eastAsia="Calibri" w:hAnsi="Century Gothic" w:cs="Arial"/>
        </w:rPr>
      </w:pPr>
    </w:p>
    <w:p w:rsidR="008728A8" w:rsidRPr="008728A8" w:rsidRDefault="008728A8" w:rsidP="008728A8">
      <w:pPr>
        <w:spacing w:line="13.20pt" w:lineRule="auto"/>
        <w:jc w:val="both"/>
        <w:outlineLvl w:val="0"/>
        <w:rPr>
          <w:rFonts w:ascii="Century Gothic" w:eastAsia="Calibri" w:hAnsi="Century Gothic" w:cs="Arial"/>
          <w:color w:val="000000"/>
          <w:lang w:val="es-ES" w:eastAsia="es-ES"/>
        </w:rPr>
      </w:pPr>
      <w:bookmarkStart w:id="3176" w:name="_Toc428882320"/>
      <w:bookmarkStart w:id="3177" w:name="_Toc92974229"/>
      <w:bookmarkStart w:id="3178" w:name="_Toc93052542"/>
      <w:bookmarkStart w:id="3179" w:name="_Toc93056497"/>
      <w:bookmarkStart w:id="3180" w:name="_Toc125393563"/>
      <w:bookmarkStart w:id="3181" w:name="_Toc148702418"/>
      <w:r w:rsidRPr="008728A8">
        <w:rPr>
          <w:rFonts w:ascii="Century Gothic" w:eastAsia="Calibri" w:hAnsi="Century Gothic" w:cs="Arial"/>
          <w:b/>
          <w:color w:val="000000"/>
          <w:lang w:val="es-ES" w:eastAsia="es-ES"/>
        </w:rPr>
        <w:t>3. Criterios de aceptación.</w:t>
      </w:r>
      <w:bookmarkEnd w:id="3176"/>
      <w:bookmarkEnd w:id="3177"/>
      <w:bookmarkEnd w:id="3178"/>
      <w:bookmarkEnd w:id="3179"/>
      <w:bookmarkEnd w:id="3180"/>
      <w:bookmarkEnd w:id="3181"/>
    </w:p>
    <w:p w:rsidR="008728A8" w:rsidRPr="008728A8" w:rsidRDefault="008728A8" w:rsidP="008728A8">
      <w:pPr>
        <w:spacing w:after="6pt" w:line="13.20pt" w:lineRule="auto"/>
        <w:ind w:start="21.30pt" w:hanging="21.30pt"/>
        <w:jc w:val="both"/>
        <w:rPr>
          <w:rFonts w:ascii="Century Gothic" w:eastAsia="Calibri" w:hAnsi="Century Gothic" w:cs="Arial"/>
        </w:rPr>
      </w:pPr>
      <w:r w:rsidRPr="008728A8">
        <w:rPr>
          <w:rFonts w:ascii="Century Gothic" w:eastAsia="Calibri" w:hAnsi="Century Gothic" w:cs="Arial"/>
        </w:rPr>
        <w:t>Para verificar la adecuada interoperabilidad del Módem con los equipos xDSL de la red de acceso., el Módem deberá cumplir con los siguientes criterios mandatorios de tecnología DSL hacia la WAN:</w:t>
      </w:r>
    </w:p>
    <w:p w:rsidR="008728A8" w:rsidRPr="008728A8" w:rsidRDefault="008728A8" w:rsidP="008728A8">
      <w:pPr>
        <w:tabs>
          <w:tab w:val="start" w:pos="28.35pt"/>
        </w:tabs>
        <w:spacing w:after="6pt" w:line="13.20pt" w:lineRule="auto"/>
        <w:ind w:start="21.30pt" w:hanging="21.30pt"/>
        <w:jc w:val="both"/>
        <w:rPr>
          <w:rFonts w:ascii="Century Gothic" w:eastAsia="Calibri" w:hAnsi="Century Gothic" w:cs="Arial"/>
          <w:bCs/>
        </w:rPr>
      </w:pPr>
      <w:r w:rsidRPr="008728A8">
        <w:rPr>
          <w:rFonts w:ascii="Century Gothic" w:eastAsia="Calibri" w:hAnsi="Century Gothic" w:cs="Arial"/>
          <w:bCs/>
          <w:szCs w:val="24"/>
        </w:rPr>
        <w:t>1.</w:t>
      </w:r>
      <w:r w:rsidRPr="008728A8">
        <w:rPr>
          <w:rFonts w:ascii="Century Gothic" w:eastAsia="Calibri" w:hAnsi="Century Gothic" w:cs="Arial"/>
          <w:bCs/>
          <w:szCs w:val="24"/>
        </w:rPr>
        <w:tab/>
      </w:r>
      <w:r w:rsidRPr="008728A8">
        <w:rPr>
          <w:rFonts w:ascii="Century Gothic" w:eastAsia="Calibri" w:hAnsi="Century Gothic" w:cs="Arial"/>
          <w:bCs/>
        </w:rPr>
        <w:t>Cumplir con la recomendación ITU-T G.994.1 Handshake procedures for digital subscriber line (DSL) transceivers.</w:t>
      </w:r>
    </w:p>
    <w:p w:rsidR="008728A8" w:rsidRPr="008728A8" w:rsidRDefault="008728A8" w:rsidP="008728A8">
      <w:pPr>
        <w:tabs>
          <w:tab w:val="start" w:pos="28.35pt"/>
        </w:tabs>
        <w:spacing w:after="6pt" w:line="13.20pt" w:lineRule="auto"/>
        <w:ind w:start="21.30pt" w:hanging="21.30pt"/>
        <w:jc w:val="both"/>
        <w:rPr>
          <w:rFonts w:ascii="Century Gothic" w:eastAsia="Calibri" w:hAnsi="Century Gothic" w:cs="Arial"/>
          <w:bCs/>
        </w:rPr>
      </w:pPr>
      <w:r w:rsidRPr="008728A8">
        <w:rPr>
          <w:rFonts w:ascii="Century Gothic" w:eastAsia="Calibri" w:hAnsi="Century Gothic" w:cs="Arial"/>
          <w:bCs/>
          <w:szCs w:val="24"/>
        </w:rPr>
        <w:t>2.</w:t>
      </w:r>
      <w:r w:rsidRPr="008728A8">
        <w:rPr>
          <w:rFonts w:ascii="Century Gothic" w:eastAsia="Calibri" w:hAnsi="Century Gothic" w:cs="Arial"/>
          <w:bCs/>
          <w:szCs w:val="24"/>
        </w:rPr>
        <w:tab/>
      </w:r>
      <w:r w:rsidRPr="008728A8">
        <w:rPr>
          <w:rFonts w:ascii="Century Gothic" w:eastAsia="Calibri" w:hAnsi="Century Gothic" w:cs="Arial"/>
          <w:bCs/>
        </w:rPr>
        <w:t>Cumplir con la recomendación ITU-T G.998.4 Improved impulse noise protection for DSL transceivers.</w:t>
      </w:r>
    </w:p>
    <w:p w:rsidR="008728A8" w:rsidRPr="008728A8" w:rsidRDefault="008728A8" w:rsidP="008728A8">
      <w:pPr>
        <w:tabs>
          <w:tab w:val="start" w:pos="28.35pt"/>
        </w:tabs>
        <w:spacing w:after="6pt" w:line="13.20pt" w:lineRule="auto"/>
        <w:ind w:start="21.30pt" w:hanging="21.30pt"/>
        <w:jc w:val="both"/>
        <w:rPr>
          <w:rFonts w:ascii="Century Gothic" w:eastAsia="Calibri" w:hAnsi="Century Gothic" w:cs="Arial"/>
          <w:bCs/>
        </w:rPr>
      </w:pPr>
      <w:r w:rsidRPr="008728A8">
        <w:rPr>
          <w:rFonts w:ascii="Century Gothic" w:eastAsia="Calibri" w:hAnsi="Century Gothic" w:cs="Arial"/>
          <w:bCs/>
          <w:szCs w:val="24"/>
        </w:rPr>
        <w:t>3.</w:t>
      </w:r>
      <w:r w:rsidRPr="008728A8">
        <w:rPr>
          <w:rFonts w:ascii="Century Gothic" w:eastAsia="Calibri" w:hAnsi="Century Gothic" w:cs="Arial"/>
          <w:bCs/>
          <w:szCs w:val="24"/>
        </w:rPr>
        <w:tab/>
      </w:r>
      <w:r w:rsidRPr="008728A8">
        <w:rPr>
          <w:rFonts w:ascii="Century Gothic" w:eastAsia="Calibri" w:hAnsi="Century Gothic" w:cs="Arial"/>
          <w:bCs/>
        </w:rPr>
        <w:t>Capacidad multiDSL, el Módem debe ser capaz de censar el sistema Multi-DSL del puerto del DSLAM y sincronizar al puerto sin requerir una actualización de firmware.</w:t>
      </w:r>
    </w:p>
    <w:p w:rsidR="008728A8" w:rsidRPr="008728A8" w:rsidRDefault="008728A8" w:rsidP="008728A8">
      <w:pPr>
        <w:tabs>
          <w:tab w:val="start" w:pos="28.35pt"/>
        </w:tabs>
        <w:spacing w:after="6pt" w:line="13.20pt" w:lineRule="auto"/>
        <w:ind w:start="21.30pt" w:hanging="21.30pt"/>
        <w:jc w:val="both"/>
        <w:rPr>
          <w:rFonts w:ascii="Century Gothic" w:eastAsia="Calibri" w:hAnsi="Century Gothic" w:cs="Arial"/>
          <w:bCs/>
          <w:i/>
        </w:rPr>
      </w:pPr>
      <w:r w:rsidRPr="008728A8">
        <w:rPr>
          <w:rFonts w:ascii="Century Gothic" w:eastAsia="Calibri" w:hAnsi="Century Gothic" w:cs="Arial"/>
          <w:bCs/>
          <w:szCs w:val="24"/>
        </w:rPr>
        <w:t>4.</w:t>
      </w:r>
      <w:r w:rsidRPr="008728A8">
        <w:rPr>
          <w:rFonts w:ascii="Century Gothic" w:eastAsia="Calibri" w:hAnsi="Century Gothic" w:cs="Arial"/>
          <w:bCs/>
          <w:szCs w:val="24"/>
        </w:rPr>
        <w:tab/>
      </w:r>
      <w:r w:rsidRPr="008728A8">
        <w:rPr>
          <w:rFonts w:ascii="Century Gothic" w:eastAsia="Calibri" w:hAnsi="Century Gothic" w:cs="Arial"/>
          <w:bCs/>
        </w:rPr>
        <w:t>Función de ahorro de potencia estado L2.</w:t>
      </w:r>
    </w:p>
    <w:p w:rsidR="008728A8" w:rsidRPr="008728A8" w:rsidRDefault="008728A8" w:rsidP="008728A8">
      <w:pPr>
        <w:tabs>
          <w:tab w:val="start" w:pos="28.35pt"/>
        </w:tabs>
        <w:spacing w:after="6pt" w:line="13.20pt" w:lineRule="auto"/>
        <w:ind w:start="21.30pt" w:hanging="21.30pt"/>
        <w:jc w:val="both"/>
        <w:rPr>
          <w:rFonts w:ascii="Century Gothic" w:eastAsia="Calibri" w:hAnsi="Century Gothic" w:cs="Arial"/>
          <w:bCs/>
          <w:i/>
        </w:rPr>
      </w:pPr>
      <w:r w:rsidRPr="008728A8">
        <w:rPr>
          <w:rFonts w:ascii="Century Gothic" w:eastAsia="Calibri" w:hAnsi="Century Gothic" w:cs="Arial"/>
          <w:bCs/>
          <w:szCs w:val="24"/>
        </w:rPr>
        <w:t>5.</w:t>
      </w:r>
      <w:r w:rsidRPr="008728A8">
        <w:rPr>
          <w:rFonts w:ascii="Century Gothic" w:eastAsia="Calibri" w:hAnsi="Century Gothic" w:cs="Arial"/>
          <w:bCs/>
          <w:szCs w:val="24"/>
        </w:rPr>
        <w:tab/>
      </w:r>
      <w:r w:rsidRPr="008728A8">
        <w:rPr>
          <w:rFonts w:ascii="Century Gothic" w:eastAsia="Calibri" w:hAnsi="Century Gothic" w:cs="Arial"/>
          <w:bCs/>
        </w:rPr>
        <w:t>El</w:t>
      </w:r>
      <w:r w:rsidRPr="008728A8">
        <w:rPr>
          <w:rFonts w:ascii="Century Gothic" w:eastAsia="Calibri" w:hAnsi="Century Gothic" w:cs="Arial"/>
          <w:bCs/>
          <w:i/>
        </w:rPr>
        <w:t xml:space="preserve"> </w:t>
      </w:r>
      <w:r w:rsidRPr="008728A8">
        <w:rPr>
          <w:rFonts w:ascii="Century Gothic" w:eastAsia="Calibri" w:hAnsi="Century Gothic" w:cs="Arial"/>
          <w:bCs/>
        </w:rPr>
        <w:t>fabricante del Chipset DSL debe pertenecer al Broadband Forum, y adjuntar la correspondiente certificación vigente.</w:t>
      </w:r>
    </w:p>
    <w:p w:rsidR="008728A8" w:rsidRPr="008728A8" w:rsidRDefault="008728A8" w:rsidP="008728A8">
      <w:pPr>
        <w:tabs>
          <w:tab w:val="start" w:pos="28.35pt"/>
        </w:tabs>
        <w:spacing w:after="2pt" w:line="13.20pt" w:lineRule="auto"/>
        <w:ind w:start="21.30pt" w:hanging="21.30pt"/>
        <w:jc w:val="both"/>
        <w:rPr>
          <w:rFonts w:ascii="Century Gothic" w:eastAsia="Calibri" w:hAnsi="Century Gothic" w:cs="Arial"/>
          <w:bCs/>
          <w:i/>
        </w:rPr>
      </w:pPr>
      <w:r w:rsidRPr="008728A8">
        <w:rPr>
          <w:rFonts w:ascii="Century Gothic" w:eastAsia="Calibri" w:hAnsi="Century Gothic" w:cs="Arial"/>
          <w:bCs/>
          <w:szCs w:val="24"/>
        </w:rPr>
        <w:t>6.</w:t>
      </w:r>
      <w:r w:rsidRPr="008728A8">
        <w:rPr>
          <w:rFonts w:ascii="Century Gothic" w:eastAsia="Calibri" w:hAnsi="Century Gothic" w:cs="Arial"/>
          <w:bCs/>
          <w:szCs w:val="24"/>
        </w:rPr>
        <w:tab/>
      </w:r>
      <w:r w:rsidRPr="008728A8">
        <w:rPr>
          <w:rFonts w:ascii="Century Gothic" w:eastAsia="Calibri" w:hAnsi="Century Gothic" w:cs="Arial"/>
          <w:bCs/>
        </w:rPr>
        <w:t>Operar sobre ADSL2+, cumpliendo lo siguiente:</w:t>
      </w:r>
    </w:p>
    <w:p w:rsidR="008728A8" w:rsidRPr="008728A8" w:rsidRDefault="008728A8" w:rsidP="008728A8">
      <w:pPr>
        <w:spacing w:line="13.20pt" w:lineRule="auto"/>
        <w:ind w:start="49.60pt" w:hanging="28.35pt"/>
        <w:jc w:val="both"/>
        <w:rPr>
          <w:rFonts w:ascii="Century Gothic" w:eastAsia="Calibri" w:hAnsi="Century Gothic" w:cs="Arial"/>
          <w:bCs/>
        </w:rPr>
      </w:pPr>
      <w:r w:rsidRPr="008728A8">
        <w:rPr>
          <w:rFonts w:ascii="Century Gothic" w:eastAsia="Calibri" w:hAnsi="Century Gothic" w:cs="Times New Roman"/>
          <w:bCs/>
        </w:rPr>
        <w:t>6.1.</w:t>
      </w:r>
      <w:r w:rsidRPr="008728A8">
        <w:rPr>
          <w:rFonts w:ascii="Century Gothic" w:eastAsia="Calibri" w:hAnsi="Century Gothic" w:cs="Times New Roman"/>
          <w:bCs/>
        </w:rPr>
        <w:tab/>
      </w:r>
      <w:r w:rsidRPr="008728A8">
        <w:rPr>
          <w:rFonts w:ascii="Century Gothic" w:eastAsia="Calibri" w:hAnsi="Century Gothic" w:cs="Arial"/>
          <w:bCs/>
        </w:rPr>
        <w:t>Cumplir con la recomendación ITU-T G.992.5 Transceptores para línea de abonado digital asimétrica - Línea de abonado digital asimétrica 2 de anchura de banda ampliada (ADSL2plus).</w:t>
      </w:r>
    </w:p>
    <w:p w:rsidR="008728A8" w:rsidRPr="008728A8" w:rsidRDefault="008728A8" w:rsidP="008728A8">
      <w:pPr>
        <w:spacing w:line="13.20pt" w:lineRule="auto"/>
        <w:ind w:start="49.60pt" w:hanging="28.35pt"/>
        <w:jc w:val="both"/>
        <w:rPr>
          <w:rFonts w:ascii="Century Gothic" w:eastAsia="Calibri" w:hAnsi="Century Gothic" w:cs="Arial"/>
          <w:bCs/>
        </w:rPr>
      </w:pPr>
      <w:r w:rsidRPr="008728A8">
        <w:rPr>
          <w:rFonts w:ascii="Century Gothic" w:eastAsia="Calibri" w:hAnsi="Century Gothic" w:cs="Times New Roman"/>
          <w:bCs/>
        </w:rPr>
        <w:t>6.2.</w:t>
      </w:r>
      <w:r w:rsidRPr="008728A8">
        <w:rPr>
          <w:rFonts w:ascii="Century Gothic" w:eastAsia="Calibri" w:hAnsi="Century Gothic" w:cs="Times New Roman"/>
          <w:bCs/>
        </w:rPr>
        <w:tab/>
      </w:r>
      <w:r w:rsidRPr="008728A8">
        <w:rPr>
          <w:rFonts w:ascii="Century Gothic" w:eastAsia="Calibri" w:hAnsi="Century Gothic" w:cs="Arial"/>
          <w:bCs/>
        </w:rPr>
        <w:t>Soportar modo de operación ATM (Asynchronous Transfer Mode).</w:t>
      </w:r>
    </w:p>
    <w:p w:rsidR="008728A8" w:rsidRPr="008728A8" w:rsidRDefault="008728A8" w:rsidP="008728A8">
      <w:pPr>
        <w:spacing w:after="6pt" w:line="13.20pt" w:lineRule="auto"/>
        <w:ind w:start="42.55pt" w:hanging="21.25pt"/>
        <w:jc w:val="both"/>
        <w:rPr>
          <w:rFonts w:ascii="Century Gothic" w:eastAsia="Calibri" w:hAnsi="Century Gothic" w:cs="Arial"/>
          <w:bCs/>
        </w:rPr>
      </w:pPr>
      <w:r w:rsidRPr="008728A8">
        <w:rPr>
          <w:rFonts w:ascii="Century Gothic" w:eastAsia="Calibri" w:hAnsi="Century Gothic" w:cs="Times New Roman"/>
          <w:bCs/>
        </w:rPr>
        <w:t>6.3.</w:t>
      </w:r>
      <w:r w:rsidRPr="008728A8">
        <w:rPr>
          <w:rFonts w:ascii="Century Gothic" w:eastAsia="Calibri" w:hAnsi="Century Gothic" w:cs="Times New Roman"/>
          <w:bCs/>
        </w:rPr>
        <w:tab/>
      </w:r>
      <w:r w:rsidRPr="008728A8">
        <w:rPr>
          <w:rFonts w:ascii="Century Gothic" w:eastAsia="Calibri" w:hAnsi="Century Gothic" w:cs="Arial"/>
          <w:bCs/>
        </w:rPr>
        <w:t>Soportar UPBO.</w:t>
      </w:r>
    </w:p>
    <w:p w:rsidR="008728A8" w:rsidRPr="008728A8" w:rsidRDefault="008728A8" w:rsidP="008728A8">
      <w:pPr>
        <w:spacing w:line="13.20pt" w:lineRule="auto"/>
        <w:ind w:start="21.30pt" w:hanging="21.30pt"/>
        <w:jc w:val="both"/>
        <w:rPr>
          <w:rFonts w:ascii="Century Gothic" w:eastAsia="Calibri" w:hAnsi="Century Gothic" w:cs="Arial"/>
          <w:bCs/>
          <w:szCs w:val="24"/>
        </w:rPr>
      </w:pPr>
      <w:r w:rsidRPr="008728A8">
        <w:rPr>
          <w:rFonts w:ascii="Century Gothic" w:eastAsia="Calibri" w:hAnsi="Century Gothic" w:cs="Arial"/>
          <w:bCs/>
          <w:szCs w:val="24"/>
        </w:rPr>
        <w:t>7.</w:t>
      </w:r>
      <w:r w:rsidRPr="008728A8">
        <w:rPr>
          <w:rFonts w:ascii="Century Gothic" w:eastAsia="Calibri" w:hAnsi="Century Gothic" w:cs="Arial"/>
          <w:bCs/>
          <w:szCs w:val="24"/>
        </w:rPr>
        <w:tab/>
        <w:t>El modo de operación ATM (Asynchronous Transfer Mode), deberá considerar:</w:t>
      </w:r>
    </w:p>
    <w:p w:rsidR="008728A8" w:rsidRPr="008728A8" w:rsidRDefault="008728A8" w:rsidP="008728A8">
      <w:pPr>
        <w:spacing w:line="13.20pt" w:lineRule="auto"/>
        <w:ind w:start="42.55pt" w:hanging="21.25pt"/>
        <w:jc w:val="both"/>
        <w:rPr>
          <w:rFonts w:ascii="Century Gothic" w:eastAsia="Calibri" w:hAnsi="Century Gothic" w:cs="Times New Roman"/>
          <w:bCs/>
        </w:rPr>
      </w:pPr>
      <w:r w:rsidRPr="008728A8">
        <w:rPr>
          <w:rFonts w:ascii="Century Gothic" w:eastAsia="Calibri" w:hAnsi="Century Gothic" w:cs="Times New Roman"/>
          <w:bCs/>
        </w:rPr>
        <w:t>7.1.</w:t>
      </w:r>
      <w:r w:rsidRPr="008728A8">
        <w:rPr>
          <w:rFonts w:ascii="Century Gothic" w:eastAsia="Calibri" w:hAnsi="Century Gothic" w:cs="Times New Roman"/>
          <w:bCs/>
        </w:rPr>
        <w:tab/>
        <w:t>Manejo de clases de servicio ATM: UBR.</w:t>
      </w:r>
    </w:p>
    <w:p w:rsidR="008728A8" w:rsidRPr="008728A8" w:rsidRDefault="008728A8" w:rsidP="008728A8">
      <w:pPr>
        <w:spacing w:line="13.20pt" w:lineRule="auto"/>
        <w:ind w:start="42.55pt" w:hanging="21.25pt"/>
        <w:jc w:val="both"/>
        <w:rPr>
          <w:rFonts w:ascii="Century Gothic" w:eastAsia="Calibri" w:hAnsi="Century Gothic" w:cs="Times New Roman"/>
          <w:bCs/>
        </w:rPr>
      </w:pPr>
      <w:r w:rsidRPr="008728A8">
        <w:rPr>
          <w:rFonts w:ascii="Century Gothic" w:eastAsia="Calibri" w:hAnsi="Century Gothic" w:cs="Times New Roman"/>
          <w:bCs/>
        </w:rPr>
        <w:lastRenderedPageBreak/>
        <w:t>7.2.</w:t>
      </w:r>
      <w:r w:rsidRPr="008728A8">
        <w:rPr>
          <w:rFonts w:ascii="Century Gothic" w:eastAsia="Calibri" w:hAnsi="Century Gothic" w:cs="Times New Roman"/>
          <w:bCs/>
        </w:rPr>
        <w:tab/>
        <w:t>Permitir la configuración de al menos 1 PVCs, uno de los cuales debe soportar la función de autodescubrimiento “Autosense (VPI/VCI)” de los circuitos configurados en la red, es decir, el Módem deberá detectar el VPI/VCI que esté activo en la red y adaptarse en forma automática, para utilizarlo en cualquier momento.</w:t>
      </w:r>
    </w:p>
    <w:p w:rsidR="008728A8" w:rsidRPr="008728A8" w:rsidRDefault="008728A8" w:rsidP="008728A8">
      <w:pPr>
        <w:spacing w:line="13.20pt" w:lineRule="auto"/>
        <w:ind w:start="42.55pt" w:hanging="21.25pt"/>
        <w:jc w:val="both"/>
        <w:rPr>
          <w:rFonts w:ascii="Century Gothic" w:eastAsia="Calibri" w:hAnsi="Century Gothic" w:cs="Times New Roman"/>
          <w:bCs/>
        </w:rPr>
      </w:pPr>
      <w:r w:rsidRPr="008728A8">
        <w:rPr>
          <w:rFonts w:ascii="Century Gothic" w:eastAsia="Calibri" w:hAnsi="Century Gothic" w:cs="Times New Roman"/>
          <w:bCs/>
        </w:rPr>
        <w:t>7.3.</w:t>
      </w:r>
      <w:r w:rsidRPr="008728A8">
        <w:rPr>
          <w:rFonts w:ascii="Century Gothic" w:eastAsia="Calibri" w:hAnsi="Century Gothic" w:cs="Times New Roman"/>
          <w:bCs/>
        </w:rPr>
        <w:tab/>
        <w:t>Soportar por PVC una sesión de PPPoE/DHCP.</w:t>
      </w:r>
    </w:p>
    <w:p w:rsidR="008728A8" w:rsidRPr="008728A8" w:rsidRDefault="008728A8" w:rsidP="008728A8">
      <w:pPr>
        <w:spacing w:line="13.20pt" w:lineRule="auto"/>
        <w:ind w:start="42.55pt" w:hanging="21.25pt"/>
        <w:jc w:val="both"/>
        <w:rPr>
          <w:rFonts w:ascii="Century Gothic" w:eastAsia="Calibri" w:hAnsi="Century Gothic" w:cs="Times New Roman"/>
          <w:bCs/>
        </w:rPr>
      </w:pPr>
      <w:r w:rsidRPr="008728A8">
        <w:rPr>
          <w:rFonts w:ascii="Century Gothic" w:eastAsia="Calibri" w:hAnsi="Century Gothic" w:cs="Times New Roman"/>
          <w:bCs/>
        </w:rPr>
        <w:t>7.4.</w:t>
      </w:r>
      <w:r w:rsidRPr="008728A8">
        <w:rPr>
          <w:rFonts w:ascii="Century Gothic" w:eastAsia="Calibri" w:hAnsi="Century Gothic" w:cs="Times New Roman"/>
          <w:bCs/>
        </w:rPr>
        <w:tab/>
        <w:t>Los PVC´s deben permitir la configuración en forma remota, ya sea por descarga de un archivo o en forma manual sin necesidad de intervención local.</w:t>
      </w:r>
    </w:p>
    <w:p w:rsidR="008728A8" w:rsidRPr="008728A8" w:rsidRDefault="008728A8" w:rsidP="008728A8">
      <w:pPr>
        <w:spacing w:after="6pt" w:line="13.20pt" w:lineRule="auto"/>
        <w:ind w:start="42.55pt" w:hanging="21.25pt"/>
        <w:jc w:val="both"/>
        <w:rPr>
          <w:rFonts w:ascii="Century Gothic" w:eastAsia="Calibri" w:hAnsi="Century Gothic" w:cs="Times New Roman"/>
          <w:bCs/>
        </w:rPr>
      </w:pPr>
      <w:r w:rsidRPr="008728A8">
        <w:rPr>
          <w:rFonts w:ascii="Century Gothic" w:eastAsia="Calibri" w:hAnsi="Century Gothic" w:cs="Times New Roman"/>
          <w:bCs/>
        </w:rPr>
        <w:t>7.5.</w:t>
      </w:r>
      <w:r w:rsidRPr="008728A8">
        <w:rPr>
          <w:rFonts w:ascii="Century Gothic" w:eastAsia="Calibri" w:hAnsi="Century Gothic" w:cs="Times New Roman"/>
          <w:bCs/>
        </w:rPr>
        <w:tab/>
        <w:t>Permitir asignar una MAC por PVC hacia la WAN: Soportar el anuncio de una dirección MAC diferente por cada PVC activo. El proveedor debe entregar la lista de direcciones MAC que puede establecer cada Módem.</w:t>
      </w:r>
    </w:p>
    <w:p w:rsidR="008728A8" w:rsidRPr="008728A8" w:rsidRDefault="008728A8" w:rsidP="008728A8">
      <w:pPr>
        <w:tabs>
          <w:tab w:val="start" w:pos="28.35pt"/>
        </w:tabs>
        <w:spacing w:line="13.20pt" w:lineRule="auto"/>
        <w:ind w:start="28.35pt" w:hanging="28.35pt"/>
        <w:jc w:val="both"/>
        <w:rPr>
          <w:rFonts w:ascii="Century Gothic" w:eastAsia="Calibri" w:hAnsi="Century Gothic" w:cs="Arial"/>
          <w:bCs/>
        </w:rPr>
      </w:pPr>
      <w:r w:rsidRPr="008728A8">
        <w:rPr>
          <w:rFonts w:ascii="Century Gothic" w:eastAsia="Calibri" w:hAnsi="Century Gothic" w:cs="Arial"/>
          <w:bCs/>
          <w:szCs w:val="24"/>
        </w:rPr>
        <w:t>8.</w:t>
      </w:r>
      <w:r w:rsidRPr="008728A8">
        <w:rPr>
          <w:rFonts w:ascii="Century Gothic" w:eastAsia="Calibri" w:hAnsi="Century Gothic" w:cs="Arial"/>
          <w:bCs/>
          <w:szCs w:val="24"/>
        </w:rPr>
        <w:tab/>
        <w:t>El Módem debe cumplir con los parámetros de desempeño en cuanto a velocidad</w:t>
      </w:r>
      <w:r w:rsidRPr="008728A8">
        <w:rPr>
          <w:rFonts w:ascii="Century Gothic" w:eastAsia="Calibri" w:hAnsi="Century Gothic" w:cs="Arial"/>
          <w:bCs/>
        </w:rPr>
        <w:t xml:space="preserve"> de datos y alcance de línea de cobre ADSL2+ (opcional VDSL2), así como con los siguientes puntos:</w:t>
      </w:r>
    </w:p>
    <w:p w:rsidR="008728A8" w:rsidRPr="008728A8" w:rsidRDefault="008728A8" w:rsidP="008728A8">
      <w:pPr>
        <w:tabs>
          <w:tab w:val="num" w:pos="54pt"/>
        </w:tabs>
        <w:spacing w:line="13.20pt" w:lineRule="auto"/>
        <w:ind w:start="56.70pt" w:hanging="28.35pt"/>
        <w:jc w:val="both"/>
        <w:rPr>
          <w:rFonts w:ascii="Century Gothic" w:eastAsia="Calibri" w:hAnsi="Century Gothic" w:cs="Times New Roman"/>
          <w:bCs/>
        </w:rPr>
      </w:pPr>
      <w:r w:rsidRPr="008728A8">
        <w:rPr>
          <w:rFonts w:ascii="Century Gothic" w:eastAsia="Calibri" w:hAnsi="Century Gothic" w:cs="Times New Roman"/>
          <w:bCs/>
        </w:rPr>
        <w:t>8.1.</w:t>
      </w:r>
      <w:r w:rsidRPr="008728A8">
        <w:rPr>
          <w:rFonts w:ascii="Century Gothic" w:eastAsia="Calibri" w:hAnsi="Century Gothic" w:cs="Times New Roman"/>
          <w:bCs/>
        </w:rPr>
        <w:tab/>
        <w:t>Mantener un BER de 10 –7 con un nivel de 6 dB de margen S/N.</w:t>
      </w:r>
    </w:p>
    <w:p w:rsidR="008728A8" w:rsidRPr="008728A8" w:rsidRDefault="008728A8" w:rsidP="008728A8">
      <w:pPr>
        <w:tabs>
          <w:tab w:val="num" w:pos="54pt"/>
        </w:tabs>
        <w:spacing w:line="13.20pt" w:lineRule="auto"/>
        <w:ind w:start="56.70pt" w:hanging="28.35pt"/>
        <w:jc w:val="both"/>
        <w:rPr>
          <w:rFonts w:ascii="Century Gothic" w:eastAsia="Calibri" w:hAnsi="Century Gothic" w:cs="Times New Roman"/>
          <w:bCs/>
        </w:rPr>
      </w:pPr>
      <w:r w:rsidRPr="008728A8">
        <w:rPr>
          <w:rFonts w:ascii="Century Gothic" w:eastAsia="Calibri" w:hAnsi="Century Gothic" w:cs="Times New Roman"/>
          <w:bCs/>
        </w:rPr>
        <w:t>8.2.</w:t>
      </w:r>
      <w:r w:rsidRPr="008728A8">
        <w:rPr>
          <w:rFonts w:ascii="Century Gothic" w:eastAsia="Calibri" w:hAnsi="Century Gothic" w:cs="Times New Roman"/>
          <w:bCs/>
        </w:rPr>
        <w:tab/>
        <w:t>Operaciones sobre POTS con divisor o microfiltro ITU-T G.992.5 Anexo A u operación puramente digital ITU-T G.992.5 Anexo I.</w:t>
      </w:r>
    </w:p>
    <w:p w:rsidR="008728A8" w:rsidRPr="008728A8" w:rsidRDefault="008728A8" w:rsidP="008728A8">
      <w:pPr>
        <w:tabs>
          <w:tab w:val="num" w:pos="54pt"/>
        </w:tabs>
        <w:spacing w:line="13.20pt" w:lineRule="auto"/>
        <w:ind w:start="56.70pt" w:hanging="28.35pt"/>
        <w:jc w:val="both"/>
        <w:rPr>
          <w:rFonts w:ascii="Century Gothic" w:eastAsia="Calibri" w:hAnsi="Century Gothic" w:cs="Times New Roman"/>
          <w:bCs/>
        </w:rPr>
      </w:pPr>
      <w:r w:rsidRPr="008728A8">
        <w:rPr>
          <w:rFonts w:ascii="Century Gothic" w:eastAsia="Calibri" w:hAnsi="Century Gothic" w:cs="Times New Roman"/>
          <w:bCs/>
        </w:rPr>
        <w:t>8.3.</w:t>
      </w:r>
      <w:r w:rsidRPr="008728A8">
        <w:rPr>
          <w:rFonts w:ascii="Century Gothic" w:eastAsia="Calibri" w:hAnsi="Century Gothic" w:cs="Times New Roman"/>
          <w:bCs/>
        </w:rPr>
        <w:tab/>
        <w:t>Permitir la operación en los diferentes perfiles de PSD definidos en la ITU-T G.993.2.</w:t>
      </w:r>
    </w:p>
    <w:p w:rsidR="008728A8" w:rsidRPr="008728A8" w:rsidRDefault="008728A8" w:rsidP="008728A8">
      <w:pPr>
        <w:tabs>
          <w:tab w:val="num" w:pos="54pt"/>
        </w:tabs>
        <w:spacing w:after="6pt" w:line="13.20pt" w:lineRule="auto"/>
        <w:ind w:start="56.70pt" w:hanging="28.35pt"/>
        <w:jc w:val="both"/>
        <w:rPr>
          <w:rFonts w:ascii="Century Gothic" w:eastAsia="Calibri" w:hAnsi="Century Gothic" w:cs="Times New Roman"/>
          <w:bCs/>
        </w:rPr>
      </w:pPr>
      <w:r w:rsidRPr="008728A8">
        <w:rPr>
          <w:rFonts w:ascii="Century Gothic" w:eastAsia="Calibri" w:hAnsi="Century Gothic" w:cs="Times New Roman"/>
          <w:bCs/>
        </w:rPr>
        <w:t>8.4.</w:t>
      </w:r>
      <w:r w:rsidRPr="008728A8">
        <w:rPr>
          <w:rFonts w:ascii="Century Gothic" w:eastAsia="Calibri" w:hAnsi="Century Gothic" w:cs="Times New Roman"/>
          <w:bCs/>
        </w:rPr>
        <w:tab/>
        <w:t xml:space="preserve">La operación en modo entrelazado se considera obligatoria, con control del nivel de entrelazado por puerto de </w:t>
      </w:r>
      <w:r w:rsidR="00D12671">
        <w:rPr>
          <w:rFonts w:ascii="Century Gothic" w:eastAsia="Calibri" w:hAnsi="Century Gothic" w:cs="Times New Roman"/>
          <w:bCs/>
        </w:rPr>
        <w:t>U</w:t>
      </w:r>
      <w:r w:rsidRPr="008728A8">
        <w:rPr>
          <w:rFonts w:ascii="Century Gothic" w:eastAsia="Calibri" w:hAnsi="Century Gothic" w:cs="Times New Roman"/>
          <w:bCs/>
        </w:rPr>
        <w:t xml:space="preserve">suario </w:t>
      </w:r>
      <w:r w:rsidR="00D12671">
        <w:rPr>
          <w:rFonts w:ascii="Century Gothic" w:eastAsia="Calibri" w:hAnsi="Century Gothic" w:cs="Times New Roman"/>
          <w:bCs/>
        </w:rPr>
        <w:t xml:space="preserve">Final </w:t>
      </w:r>
      <w:r w:rsidRPr="008728A8">
        <w:rPr>
          <w:rFonts w:ascii="Century Gothic" w:eastAsia="Calibri" w:hAnsi="Century Gothic" w:cs="Times New Roman"/>
          <w:bCs/>
        </w:rPr>
        <w:t>y asignación de entrelazado por servicio para un mismo puerto DSL.</w:t>
      </w:r>
    </w:p>
    <w:p w:rsidR="008728A8" w:rsidRPr="008728A8" w:rsidRDefault="008728A8" w:rsidP="008728A8">
      <w:pPr>
        <w:spacing w:after="6pt" w:line="13.20pt" w:lineRule="auto"/>
        <w:rPr>
          <w:rFonts w:ascii="Century Gothic" w:eastAsia="Calibri" w:hAnsi="Century Gothic" w:cs="Arial"/>
          <w:bCs/>
        </w:rPr>
      </w:pPr>
      <w:r w:rsidRPr="008728A8">
        <w:rPr>
          <w:rFonts w:ascii="Century Gothic" w:eastAsia="Calibri" w:hAnsi="Century Gothic" w:cs="Arial"/>
          <w:bCs/>
        </w:rPr>
        <w:t>Opcionalmente podrá cumplir con los siguientes requerimientos:</w:t>
      </w:r>
    </w:p>
    <w:p w:rsidR="008728A8" w:rsidRPr="008728A8" w:rsidRDefault="008728A8" w:rsidP="008728A8">
      <w:pPr>
        <w:spacing w:line="13.20pt" w:lineRule="auto"/>
        <w:ind w:start="21.30pt" w:hanging="21.30pt"/>
        <w:jc w:val="both"/>
        <w:rPr>
          <w:rFonts w:ascii="Century Gothic" w:eastAsia="Calibri" w:hAnsi="Century Gothic" w:cs="Arial"/>
          <w:bCs/>
          <w:i/>
        </w:rPr>
      </w:pPr>
      <w:r w:rsidRPr="008728A8">
        <w:rPr>
          <w:rFonts w:ascii="Century Gothic" w:eastAsia="Calibri" w:hAnsi="Century Gothic" w:cs="Arial"/>
          <w:bCs/>
          <w:szCs w:val="24"/>
        </w:rPr>
        <w:t>9.</w:t>
      </w:r>
      <w:r w:rsidRPr="008728A8">
        <w:rPr>
          <w:rFonts w:ascii="Century Gothic" w:eastAsia="Calibri" w:hAnsi="Century Gothic" w:cs="Arial"/>
          <w:bCs/>
          <w:szCs w:val="24"/>
        </w:rPr>
        <w:tab/>
      </w:r>
      <w:r w:rsidRPr="008728A8">
        <w:rPr>
          <w:rFonts w:ascii="Century Gothic" w:eastAsia="Calibri" w:hAnsi="Century Gothic" w:cs="Arial"/>
          <w:bCs/>
        </w:rPr>
        <w:t>Operar sobre VDSL2+, cumpliendo lo siguiente:</w:t>
      </w:r>
    </w:p>
    <w:p w:rsidR="008728A8" w:rsidRPr="008728A8" w:rsidRDefault="008728A8" w:rsidP="008728A8">
      <w:pPr>
        <w:tabs>
          <w:tab w:val="num" w:pos="54pt"/>
        </w:tabs>
        <w:spacing w:line="13.20pt" w:lineRule="auto"/>
        <w:ind w:start="56.70pt" w:hanging="28.35pt"/>
        <w:jc w:val="both"/>
        <w:rPr>
          <w:rFonts w:ascii="Century Gothic" w:eastAsia="Calibri" w:hAnsi="Century Gothic" w:cs="Times New Roman"/>
          <w:bCs/>
        </w:rPr>
      </w:pPr>
      <w:r w:rsidRPr="008728A8">
        <w:rPr>
          <w:rFonts w:ascii="Century Gothic" w:eastAsia="Calibri" w:hAnsi="Century Gothic" w:cs="Times New Roman"/>
          <w:bCs/>
        </w:rPr>
        <w:t>9.1.</w:t>
      </w:r>
      <w:r w:rsidRPr="008728A8">
        <w:rPr>
          <w:rFonts w:ascii="Century Gothic" w:eastAsia="Calibri" w:hAnsi="Century Gothic" w:cs="Times New Roman"/>
          <w:bCs/>
        </w:rPr>
        <w:tab/>
        <w:t>Cumplir con la recomendación ITU-T G.993.2 Transceptores de línea de abonado digital de velocidad muy alta 2, soportando como mínimo los perfiles 8 al 17.</w:t>
      </w:r>
    </w:p>
    <w:p w:rsidR="008728A8" w:rsidRPr="008728A8" w:rsidRDefault="008728A8" w:rsidP="008728A8">
      <w:pPr>
        <w:tabs>
          <w:tab w:val="num" w:pos="54pt"/>
        </w:tabs>
        <w:spacing w:line="13.20pt" w:lineRule="auto"/>
        <w:ind w:start="56.70pt" w:hanging="28.35pt"/>
        <w:jc w:val="both"/>
        <w:rPr>
          <w:rFonts w:ascii="Century Gothic" w:eastAsia="Calibri" w:hAnsi="Century Gothic" w:cs="Times New Roman"/>
          <w:bCs/>
          <w:lang w:val="en-US"/>
        </w:rPr>
      </w:pPr>
      <w:r w:rsidRPr="008728A8">
        <w:rPr>
          <w:rFonts w:ascii="Century Gothic" w:eastAsia="Calibri" w:hAnsi="Century Gothic" w:cs="Times New Roman"/>
          <w:bCs/>
          <w:lang w:val="en-US"/>
        </w:rPr>
        <w:t>9.2.</w:t>
      </w:r>
      <w:r w:rsidRPr="008728A8">
        <w:rPr>
          <w:rFonts w:ascii="Century Gothic" w:eastAsia="Calibri" w:hAnsi="Century Gothic" w:cs="Times New Roman"/>
          <w:bCs/>
          <w:lang w:val="en-US"/>
        </w:rPr>
        <w:tab/>
        <w:t>Soportar Vectoring, cumpliendo la recomendación ITU-T G.993.5 Self-FEXT cancellation (vectoring) for use with VDSL2 transceivers.</w:t>
      </w:r>
    </w:p>
    <w:p w:rsidR="008728A8" w:rsidRPr="008728A8" w:rsidRDefault="008728A8" w:rsidP="008728A8">
      <w:pPr>
        <w:tabs>
          <w:tab w:val="num" w:pos="54pt"/>
        </w:tabs>
        <w:spacing w:line="13.20pt" w:lineRule="auto"/>
        <w:ind w:start="56.70pt" w:hanging="28.35pt"/>
        <w:jc w:val="both"/>
        <w:rPr>
          <w:rFonts w:ascii="Century Gothic" w:eastAsia="Calibri" w:hAnsi="Century Gothic" w:cs="Times New Roman"/>
          <w:bCs/>
        </w:rPr>
      </w:pPr>
      <w:r w:rsidRPr="008728A8">
        <w:rPr>
          <w:rFonts w:ascii="Century Gothic" w:eastAsia="Calibri" w:hAnsi="Century Gothic" w:cs="Times New Roman"/>
          <w:bCs/>
        </w:rPr>
        <w:t>9.3.</w:t>
      </w:r>
      <w:r w:rsidRPr="008728A8">
        <w:rPr>
          <w:rFonts w:ascii="Century Gothic" w:eastAsia="Calibri" w:hAnsi="Century Gothic" w:cs="Times New Roman"/>
          <w:bCs/>
        </w:rPr>
        <w:tab/>
        <w:t>Soportar UPBO y DPBO.</w:t>
      </w:r>
    </w:p>
    <w:p w:rsidR="008728A8" w:rsidRPr="008728A8" w:rsidRDefault="008728A8" w:rsidP="008728A8">
      <w:pPr>
        <w:tabs>
          <w:tab w:val="num" w:pos="54pt"/>
        </w:tabs>
        <w:spacing w:line="13.20pt" w:lineRule="auto"/>
        <w:ind w:start="56.70pt" w:hanging="28.35pt"/>
        <w:jc w:val="both"/>
        <w:rPr>
          <w:rFonts w:ascii="Century Gothic" w:eastAsia="Calibri" w:hAnsi="Century Gothic" w:cs="Times New Roman"/>
          <w:bCs/>
        </w:rPr>
      </w:pPr>
      <w:r w:rsidRPr="008728A8">
        <w:rPr>
          <w:rFonts w:ascii="Century Gothic" w:eastAsia="Calibri" w:hAnsi="Century Gothic" w:cs="Times New Roman"/>
          <w:bCs/>
        </w:rPr>
        <w:t>9.4.</w:t>
      </w:r>
      <w:r w:rsidRPr="008728A8">
        <w:rPr>
          <w:rFonts w:ascii="Century Gothic" w:eastAsia="Calibri" w:hAnsi="Century Gothic" w:cs="Times New Roman"/>
          <w:bCs/>
        </w:rPr>
        <w:tab/>
        <w:t>El Módem debe estar basado en una capa de convergencia de transporte de paquetes (Modo-PTM) directamente sobre DSL.</w:t>
      </w:r>
    </w:p>
    <w:p w:rsidR="008728A8" w:rsidRPr="008728A8" w:rsidRDefault="008728A8" w:rsidP="008728A8">
      <w:pPr>
        <w:tabs>
          <w:tab w:val="num" w:pos="54pt"/>
        </w:tabs>
        <w:spacing w:line="13.20pt" w:lineRule="auto"/>
        <w:ind w:start="56.70pt" w:hanging="28.35pt"/>
        <w:jc w:val="both"/>
        <w:rPr>
          <w:rFonts w:ascii="Century Gothic" w:eastAsia="Calibri" w:hAnsi="Century Gothic" w:cs="Times New Roman"/>
          <w:bCs/>
        </w:rPr>
      </w:pPr>
      <w:r w:rsidRPr="008728A8">
        <w:rPr>
          <w:rFonts w:ascii="Century Gothic" w:eastAsia="Calibri" w:hAnsi="Century Gothic" w:cs="Times New Roman"/>
          <w:bCs/>
        </w:rPr>
        <w:t>9.5.</w:t>
      </w:r>
      <w:r w:rsidRPr="008728A8">
        <w:rPr>
          <w:rFonts w:ascii="Century Gothic" w:eastAsia="Calibri" w:hAnsi="Century Gothic" w:cs="Times New Roman"/>
          <w:bCs/>
        </w:rPr>
        <w:tab/>
        <w:t>El Módem deberá cumplir con los mismos parámetros de desempeño a los que hace referencia el punto 8 de este mismo documento.</w:t>
      </w:r>
    </w:p>
    <w:p w:rsidR="008728A8" w:rsidRPr="008728A8" w:rsidRDefault="008728A8" w:rsidP="008728A8">
      <w:pPr>
        <w:tabs>
          <w:tab w:val="start" w:pos="63.80pt"/>
          <w:tab w:val="num" w:pos="72pt"/>
        </w:tabs>
        <w:spacing w:line="13.20pt" w:lineRule="auto"/>
        <w:ind w:start="63.80pt" w:hanging="27.80pt"/>
        <w:jc w:val="both"/>
        <w:rPr>
          <w:rFonts w:ascii="Century Gothic" w:eastAsia="Calibri" w:hAnsi="Century Gothic" w:cs="Arial"/>
        </w:rPr>
      </w:pPr>
    </w:p>
    <w:p w:rsidR="008728A8" w:rsidRPr="008728A8" w:rsidRDefault="008728A8" w:rsidP="008728A8">
      <w:pPr>
        <w:spacing w:line="13.20pt" w:lineRule="auto"/>
        <w:jc w:val="both"/>
        <w:outlineLvl w:val="0"/>
        <w:rPr>
          <w:rFonts w:ascii="Century Gothic" w:eastAsia="Calibri" w:hAnsi="Century Gothic" w:cs="Arial"/>
          <w:b/>
          <w:bCs/>
          <w:color w:val="000000"/>
          <w:lang w:val="en-US" w:eastAsia="es-ES"/>
        </w:rPr>
      </w:pPr>
      <w:bookmarkStart w:id="3182" w:name="_Toc428882321"/>
      <w:bookmarkStart w:id="3183" w:name="_Toc92974230"/>
      <w:bookmarkStart w:id="3184" w:name="_Toc93052543"/>
      <w:bookmarkStart w:id="3185" w:name="_Toc93056498"/>
      <w:bookmarkStart w:id="3186" w:name="_Toc125393564"/>
      <w:bookmarkStart w:id="3187" w:name="_Toc148702419"/>
      <w:r w:rsidRPr="008728A8">
        <w:rPr>
          <w:rFonts w:ascii="Century Gothic" w:eastAsia="Calibri" w:hAnsi="Century Gothic" w:cs="Arial"/>
          <w:b/>
          <w:bCs/>
          <w:color w:val="000000"/>
          <w:lang w:val="en-US" w:eastAsia="es-ES"/>
        </w:rPr>
        <w:t>4. Referencias</w:t>
      </w:r>
      <w:bookmarkEnd w:id="3182"/>
      <w:bookmarkEnd w:id="3183"/>
      <w:bookmarkEnd w:id="3184"/>
      <w:bookmarkEnd w:id="3185"/>
      <w:bookmarkEnd w:id="3186"/>
      <w:bookmarkEnd w:id="3187"/>
    </w:p>
    <w:p w:rsidR="008728A8" w:rsidRPr="008728A8" w:rsidRDefault="008728A8" w:rsidP="008728A8">
      <w:pPr>
        <w:autoSpaceDE w:val="0"/>
        <w:autoSpaceDN w:val="0"/>
        <w:adjustRightInd w:val="0"/>
        <w:spacing w:line="13.20pt" w:lineRule="auto"/>
        <w:jc w:val="both"/>
        <w:rPr>
          <w:rFonts w:ascii="Century Gothic" w:eastAsia="Calibri" w:hAnsi="Century Gothic" w:cs="Arial"/>
          <w:lang w:val="en-US"/>
        </w:rPr>
      </w:pPr>
      <w:r w:rsidRPr="008728A8">
        <w:rPr>
          <w:rFonts w:ascii="Century Gothic" w:eastAsia="Calibri" w:hAnsi="Century Gothic" w:cs="Arial"/>
          <w:lang w:val="en-US"/>
        </w:rPr>
        <w:t>ITU-T G.994.1</w:t>
      </w:r>
      <w:r w:rsidRPr="008728A8">
        <w:rPr>
          <w:rFonts w:ascii="Century Gothic" w:eastAsia="Calibri" w:hAnsi="Century Gothic" w:cs="Arial"/>
          <w:lang w:val="en-US"/>
        </w:rPr>
        <w:tab/>
        <w:t>Handshake procedures for digital subscriber line (DSL) transceivers</w:t>
      </w:r>
    </w:p>
    <w:p w:rsidR="008728A8" w:rsidRPr="008728A8" w:rsidRDefault="008728A8" w:rsidP="008728A8">
      <w:pPr>
        <w:autoSpaceDE w:val="0"/>
        <w:autoSpaceDN w:val="0"/>
        <w:adjustRightInd w:val="0"/>
        <w:spacing w:line="13.20pt" w:lineRule="auto"/>
        <w:jc w:val="both"/>
        <w:rPr>
          <w:rFonts w:ascii="Century Gothic" w:eastAsia="Calibri" w:hAnsi="Century Gothic" w:cs="Arial"/>
          <w:lang w:val="en-US"/>
        </w:rPr>
      </w:pPr>
      <w:r w:rsidRPr="008728A8">
        <w:rPr>
          <w:rFonts w:ascii="Century Gothic" w:eastAsia="Calibri" w:hAnsi="Century Gothic" w:cs="Arial"/>
          <w:lang w:val="en-US"/>
        </w:rPr>
        <w:t>ITU-T G.998.4</w:t>
      </w:r>
      <w:r w:rsidRPr="008728A8">
        <w:rPr>
          <w:rFonts w:ascii="Century Gothic" w:eastAsia="Calibri" w:hAnsi="Century Gothic" w:cs="Arial"/>
          <w:lang w:val="en-US"/>
        </w:rPr>
        <w:tab/>
        <w:t>Improved impulse noise protection for DSL transceivers</w:t>
      </w:r>
    </w:p>
    <w:p w:rsidR="008728A8" w:rsidRPr="008728A8" w:rsidRDefault="008728A8" w:rsidP="008728A8">
      <w:pPr>
        <w:autoSpaceDE w:val="0"/>
        <w:autoSpaceDN w:val="0"/>
        <w:adjustRightInd w:val="0"/>
        <w:spacing w:line="13.20pt" w:lineRule="auto"/>
        <w:ind w:start="70.80pt" w:hanging="70.80pt"/>
        <w:jc w:val="both"/>
        <w:rPr>
          <w:rFonts w:ascii="Century Gothic" w:eastAsia="Calibri" w:hAnsi="Century Gothic" w:cs="Arial"/>
        </w:rPr>
      </w:pPr>
      <w:r w:rsidRPr="008728A8">
        <w:rPr>
          <w:rFonts w:ascii="Century Gothic" w:eastAsia="Calibri" w:hAnsi="Century Gothic" w:cs="Arial"/>
        </w:rPr>
        <w:t>ITU-T G.992.5</w:t>
      </w:r>
      <w:r w:rsidRPr="008728A8">
        <w:rPr>
          <w:rFonts w:ascii="Century Gothic" w:eastAsia="Calibri" w:hAnsi="Century Gothic" w:cs="Arial"/>
        </w:rPr>
        <w:tab/>
        <w:t>Transceptores para línea de abonado digital asimétrica - Línea de abonado digital asimétrica 2 de anchura de banda ampliada (ADSL2plus)</w:t>
      </w:r>
    </w:p>
    <w:p w:rsidR="008728A8" w:rsidRPr="008728A8" w:rsidRDefault="008728A8" w:rsidP="008728A8">
      <w:pPr>
        <w:autoSpaceDE w:val="0"/>
        <w:autoSpaceDN w:val="0"/>
        <w:adjustRightInd w:val="0"/>
        <w:spacing w:line="13.20pt" w:lineRule="auto"/>
        <w:jc w:val="both"/>
        <w:rPr>
          <w:rFonts w:ascii="Century Gothic" w:eastAsia="Calibri" w:hAnsi="Century Gothic" w:cs="Arial"/>
        </w:rPr>
      </w:pPr>
      <w:r w:rsidRPr="008728A8">
        <w:rPr>
          <w:rFonts w:ascii="Century Gothic" w:eastAsia="Calibri" w:hAnsi="Century Gothic" w:cs="Arial"/>
        </w:rPr>
        <w:t>ITU-T G.993.2</w:t>
      </w:r>
      <w:r w:rsidRPr="008728A8">
        <w:rPr>
          <w:rFonts w:ascii="Century Gothic" w:eastAsia="Calibri" w:hAnsi="Century Gothic" w:cs="Arial"/>
        </w:rPr>
        <w:tab/>
        <w:t>Transceptores de línea de abonado digital de velocidad muy alta 2 (VDSL2)</w:t>
      </w:r>
    </w:p>
    <w:p w:rsidR="008728A8" w:rsidRPr="008728A8" w:rsidRDefault="008728A8" w:rsidP="008728A8">
      <w:pPr>
        <w:autoSpaceDE w:val="0"/>
        <w:autoSpaceDN w:val="0"/>
        <w:adjustRightInd w:val="0"/>
        <w:spacing w:line="13.20pt" w:lineRule="auto"/>
        <w:jc w:val="both"/>
        <w:rPr>
          <w:rFonts w:ascii="Century Gothic" w:eastAsia="Calibri" w:hAnsi="Century Gothic" w:cs="Arial"/>
          <w:lang w:val="en-US"/>
        </w:rPr>
      </w:pPr>
      <w:r w:rsidRPr="008728A8">
        <w:rPr>
          <w:rFonts w:ascii="Century Gothic" w:eastAsia="Calibri" w:hAnsi="Century Gothic" w:cs="Arial"/>
          <w:lang w:val="en-US"/>
        </w:rPr>
        <w:t>ITU-T G.993.5</w:t>
      </w:r>
      <w:r w:rsidRPr="008728A8">
        <w:rPr>
          <w:rFonts w:ascii="Century Gothic" w:eastAsia="Calibri" w:hAnsi="Century Gothic" w:cs="Arial"/>
          <w:lang w:val="en-US"/>
        </w:rPr>
        <w:tab/>
        <w:t>Self-FEXT cancellation (vectoring) for use with VDSL2 transceivers.</w:t>
      </w:r>
    </w:p>
    <w:p w:rsidR="008728A8" w:rsidRPr="008728A8" w:rsidRDefault="008728A8" w:rsidP="008728A8">
      <w:pPr>
        <w:spacing w:line="13.20pt" w:lineRule="auto"/>
        <w:ind w:start="18pt" w:hanging="18pt"/>
        <w:jc w:val="both"/>
        <w:rPr>
          <w:rFonts w:ascii="Century Gothic" w:eastAsia="Calibri" w:hAnsi="Century Gothic" w:cs="Arial"/>
          <w:lang w:val="en-US"/>
        </w:rPr>
      </w:pPr>
    </w:p>
    <w:p w:rsidR="008728A8" w:rsidRPr="008728A8" w:rsidRDefault="008728A8" w:rsidP="008728A8">
      <w:pPr>
        <w:spacing w:after="10pt" w:line="12pt" w:lineRule="auto"/>
        <w:ind w:start="17.60pt"/>
        <w:jc w:val="both"/>
        <w:rPr>
          <w:rFonts w:ascii="Century Gothic" w:eastAsia="Times New Roman" w:hAnsi="Century Gothic" w:cs="Arial"/>
          <w:b/>
          <w:sz w:val="24"/>
          <w:szCs w:val="24"/>
          <w:lang w:val="es-ES_tradnl" w:eastAsia="es-ES"/>
        </w:rPr>
      </w:pPr>
      <w:r w:rsidRPr="008728A8">
        <w:rPr>
          <w:rFonts w:ascii="Century Gothic" w:eastAsia="Times New Roman" w:hAnsi="Century Gothic" w:cs="Arial"/>
          <w:noProof/>
          <w:sz w:val="24"/>
          <w:szCs w:val="24"/>
          <w:lang w:eastAsia="es-MX"/>
        </w:rPr>
        <w:drawing>
          <wp:inline distT="0" distB="0" distL="0" distR="0" wp14:anchorId="563EB6D4" wp14:editId="3EF8C58C">
            <wp:extent cx="5678303" cy="7528387"/>
            <wp:effectExtent l="38100" t="38100" r="36830" b="34925"/>
            <wp:docPr id="463" name="Rectángulo: esquinas redondeadas 9"/>
            <wp:cNvGraphicFramePr>
              <a:graphicFrameLocks xmlns:a="http://purl.oclc.org/ooxml/drawingml/main"/>
            </wp:cNvGraphicFramePr>
            <a:graphic xmlns:a="http://purl.oclc.org/ooxml/drawingml/main">
              <a:graphicData uri="http://schemas.microsoft.com/office/word/2010/wordprocessingShape">
                <wp:wsp>
                  <wp:cNvSpPr>
                    <a:spLocks/>
                  </wp:cNvSpPr>
                  <wp:spPr>
                    <a:xfrm>
                      <a:off x="0" y="0"/>
                      <a:ext cx="5678303" cy="7528387"/>
                    </a:xfrm>
                    <a:prstGeom prst="roundRect">
                      <a:avLst>
                        <a:gd name="adj" fmla="val 6030"/>
                      </a:avLst>
                    </a:prstGeom>
                    <a:noFill/>
                    <a:ln w="76200" cap="flat" cmpd="sng" algn="ctr">
                      <a:solidFill>
                        <a:srgbClr val="009AD9"/>
                      </a:solidFill>
                      <a:prstDash val="solid"/>
                      <a:miter lim="800%"/>
                    </a:ln>
                    <a:effectLst/>
                  </wp:spPr>
                  <wp:txbx>
                    <wne:txbxContent>
                      <w:p w:rsidR="000511F0" w:rsidRDefault="000511F0" w:rsidP="008728A8">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37907C2B" wp14:editId="3CF8482D">
                              <wp:extent cx="2552700" cy="1438275"/>
                              <wp:effectExtent l="0" t="0" r="0" b="9525"/>
                              <wp:docPr id="34" name="Imagen 34"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bookmarkStart w:id="3188" w:name="_Toc92974231"/>
                        <w:bookmarkStart w:id="3189" w:name="_Toc93052544"/>
                        <w:bookmarkStart w:id="3190" w:name="_Toc93056499"/>
                        <w:bookmarkStart w:id="3191" w:name="_Toc125393565"/>
                        <w:bookmarkStart w:id="3192" w:name="_Toc128478089"/>
                        <w:bookmarkStart w:id="3193" w:name="_Toc148692440"/>
                        <w:bookmarkStart w:id="3194" w:name="_Toc148702420"/>
                        <w:bookmarkStart w:id="3195" w:name="_Toc149644532"/>
                        <w:bookmarkStart w:id="3196" w:name="_Toc149644817"/>
                        <w:bookmarkStart w:id="3197" w:name="_Toc149645122"/>
                        <w:r w:rsidRPr="006B0514">
                          <w:rPr>
                            <w:rFonts w:ascii="Century Gothic" w:hAnsi="Century Gothic"/>
                            <w:sz w:val="24"/>
                            <w:szCs w:val="24"/>
                            <w:u w:val="single"/>
                          </w:rPr>
                          <w:t xml:space="preserve">ANEXO </w:t>
                        </w:r>
                        <w:r>
                          <w:rPr>
                            <w:rFonts w:ascii="Century Gothic" w:hAnsi="Century Gothic"/>
                            <w:sz w:val="24"/>
                            <w:szCs w:val="24"/>
                            <w:u w:val="single"/>
                          </w:rPr>
                          <w:t>G3</w:t>
                        </w:r>
                        <w:bookmarkEnd w:id="3188"/>
                        <w:bookmarkEnd w:id="3189"/>
                        <w:bookmarkEnd w:id="3190"/>
                        <w:bookmarkEnd w:id="3191"/>
                        <w:bookmarkEnd w:id="3192"/>
                        <w:bookmarkEnd w:id="3193"/>
                        <w:bookmarkEnd w:id="3194"/>
                        <w:bookmarkEnd w:id="3195"/>
                        <w:bookmarkEnd w:id="3196"/>
                        <w:bookmarkEnd w:id="3197"/>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eastAsia="Calibri" w:hAnsi="Century Gothic" w:cs="Arial"/>
                            <w:b/>
                            <w:sz w:val="26"/>
                            <w:szCs w:val="26"/>
                          </w:rPr>
                        </w:pPr>
                        <w:r w:rsidRPr="00CD2EF8">
                          <w:rPr>
                            <w:rFonts w:ascii="Century Gothic" w:eastAsia="Calibri" w:hAnsi="Century Gothic" w:cs="Arial"/>
                            <w:b/>
                            <w:sz w:val="26"/>
                            <w:szCs w:val="26"/>
                          </w:rPr>
                          <w:t xml:space="preserve">Guía para Etiquetado de Cable Multipar Instalado </w:t>
                        </w:r>
                      </w:p>
                      <w:p w:rsidR="000511F0" w:rsidRDefault="000511F0" w:rsidP="008728A8">
                        <w:pPr>
                          <w:jc w:val="center"/>
                          <w:rPr>
                            <w:rFonts w:ascii="Century Gothic" w:eastAsia="Calibri" w:hAnsi="Century Gothic" w:cs="Arial"/>
                            <w:b/>
                            <w:sz w:val="26"/>
                            <w:szCs w:val="26"/>
                          </w:rPr>
                        </w:pPr>
                        <w:r w:rsidRPr="00CD2EF8">
                          <w:rPr>
                            <w:rFonts w:ascii="Century Gothic" w:eastAsia="Calibri" w:hAnsi="Century Gothic" w:cs="Arial"/>
                            <w:b/>
                            <w:sz w:val="26"/>
                            <w:szCs w:val="26"/>
                          </w:rPr>
                          <w:t>dentro de una Central Telefónica</w:t>
                        </w:r>
                      </w:p>
                      <w:p w:rsidR="000511F0" w:rsidRDefault="000511F0" w:rsidP="008728A8">
                        <w:pPr>
                          <w:jc w:val="center"/>
                          <w:rPr>
                            <w:rFonts w:ascii="Century Gothic" w:eastAsia="Calibri" w:hAnsi="Century Gothic" w:cs="Arial"/>
                            <w:b/>
                            <w:sz w:val="26"/>
                            <w:szCs w:val="26"/>
                          </w:rPr>
                        </w:pPr>
                      </w:p>
                      <w:p w:rsidR="000511F0" w:rsidRDefault="000511F0" w:rsidP="008728A8">
                        <w:pPr>
                          <w:jc w:val="center"/>
                          <w:rPr>
                            <w:rFonts w:ascii="Century Gothic" w:eastAsia="Calibri" w:hAnsi="Century Gothic" w:cs="Arial"/>
                            <w:b/>
                            <w:sz w:val="26"/>
                            <w:szCs w:val="26"/>
                          </w:rPr>
                        </w:pPr>
                      </w:p>
                      <w:p w:rsidR="000511F0" w:rsidRPr="008A6791" w:rsidRDefault="000511F0" w:rsidP="008728A8">
                        <w:pPr>
                          <w:jc w:val="center"/>
                          <w:rPr>
                            <w:rFonts w:ascii="Century Gothic" w:hAnsi="Century Gothic"/>
                            <w:b/>
                            <w:sz w:val="24"/>
                            <w:szCs w:val="24"/>
                          </w:rPr>
                        </w:pPr>
                        <w:r w:rsidRPr="008A6791">
                          <w:rPr>
                            <w:rFonts w:ascii="Century Gothic" w:hAnsi="Century Gothic"/>
                            <w:b/>
                            <w:sz w:val="24"/>
                            <w:szCs w:val="24"/>
                          </w:rPr>
                          <w:t>Red Nacional Última Milla, S.A.P.I</w:t>
                        </w:r>
                        <w:r>
                          <w:rPr>
                            <w:rFonts w:ascii="Century Gothic" w:hAnsi="Century Gothic"/>
                            <w:b/>
                            <w:sz w:val="24"/>
                            <w:szCs w:val="24"/>
                          </w:rPr>
                          <w:t>.</w:t>
                        </w:r>
                        <w:r w:rsidRPr="008A6791">
                          <w:rPr>
                            <w:rFonts w:ascii="Century Gothic" w:hAnsi="Century Gothic"/>
                            <w:b/>
                            <w:sz w:val="24"/>
                            <w:szCs w:val="24"/>
                          </w:rPr>
                          <w:t xml:space="preserve"> de C.V</w:t>
                        </w:r>
                        <w:r>
                          <w:rPr>
                            <w:rFonts w:ascii="Century Gothic" w:hAnsi="Century Gothic"/>
                            <w:b/>
                            <w:sz w:val="24"/>
                            <w:szCs w:val="24"/>
                          </w:rPr>
                          <w:t>.</w:t>
                        </w:r>
                      </w:p>
                      <w:p w:rsidR="000511F0" w:rsidRPr="00414BEA" w:rsidRDefault="000511F0" w:rsidP="008728A8">
                        <w:pPr>
                          <w:jc w:val="center"/>
                          <w:rPr>
                            <w:rFonts w:ascii="Century Gothic" w:hAnsi="Century Gothic"/>
                            <w:bCs/>
                            <w:sz w:val="24"/>
                            <w:szCs w:val="24"/>
                          </w:rPr>
                        </w:pPr>
                        <w:r w:rsidRPr="00414BEA">
                          <w:rPr>
                            <w:rFonts w:ascii="Century Gothic" w:hAnsi="Century Gothic"/>
                            <w:bCs/>
                            <w:sz w:val="24"/>
                            <w:szCs w:val="24"/>
                          </w:rPr>
                          <w:t>(Servicios de Desagregación del Bucle Local)</w:t>
                        </w:r>
                        <w:r w:rsidRPr="00414BEA">
                          <w:rPr>
                            <w:rFonts w:ascii="Century Gothic" w:hAnsi="Century Gothic"/>
                            <w:bCs/>
                            <w:sz w:val="24"/>
                            <w:szCs w:val="24"/>
                          </w:rPr>
                          <w:br/>
                        </w:r>
                      </w:p>
                      <w:p w:rsidR="000511F0" w:rsidRPr="008A6791" w:rsidRDefault="000511F0" w:rsidP="008728A8">
                        <w:pPr>
                          <w:jc w:val="center"/>
                          <w:rPr>
                            <w:rFonts w:ascii="Century Gothic" w:hAnsi="Century Gothic"/>
                            <w:b/>
                            <w:bCs/>
                            <w:sz w:val="24"/>
                            <w:szCs w:val="24"/>
                          </w:rPr>
                        </w:pPr>
                      </w:p>
                      <w:p w:rsidR="000511F0" w:rsidRPr="008A6791" w:rsidRDefault="000511F0" w:rsidP="008728A8">
                        <w:pPr>
                          <w:jc w:val="center"/>
                          <w:rPr>
                            <w:rFonts w:ascii="Century Gothic" w:hAnsi="Century Gothic"/>
                            <w:b/>
                            <w:sz w:val="24"/>
                            <w:szCs w:val="24"/>
                          </w:rPr>
                        </w:pPr>
                        <w:r w:rsidRPr="008A6791">
                          <w:rPr>
                            <w:rFonts w:ascii="Century Gothic" w:hAnsi="Century Gothic"/>
                            <w:b/>
                            <w:sz w:val="24"/>
                            <w:szCs w:val="24"/>
                          </w:rPr>
                          <w:t>202</w:t>
                        </w:r>
                        <w:r>
                          <w:rPr>
                            <w:rFonts w:ascii="Century Gothic" w:hAnsi="Century Gothic"/>
                            <w:b/>
                            <w:sz w:val="24"/>
                            <w:szCs w:val="24"/>
                          </w:rPr>
                          <w:t>6</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ne:txbxContent>
                  </wp:txbx>
                  <wp:bodyPr rot="0" spcFirstLastPara="0" vertOverflow="overflow" horzOverflow="overflow" vert="horz" wrap="square" lIns="91440" tIns="45720" rIns="91440" bIns="45720" numCol="1" spcCol="0" rtlCol="0" fromWordArt="0" anchor="ctr" anchorCtr="0" forceAA="0" compatLnSpc="1">
                    <a:prstTxWarp prst="textNoShape">
                      <a:avLst/>
                    </a:prstTxWarp>
                    <a:noAutofit/>
                  </wp:bodyPr>
                </wp:wsp>
              </a:graphicData>
            </a:graphic>
          </wp:inline>
        </w:drawing>
      </w:r>
    </w:p>
    <w:p w:rsidR="008728A8" w:rsidRPr="008728A8" w:rsidRDefault="008728A8" w:rsidP="008728A8">
      <w:pPr>
        <w:spacing w:after="10pt" w:line="12pt" w:lineRule="auto"/>
        <w:ind w:start="17.60pt"/>
        <w:jc w:val="both"/>
        <w:rPr>
          <w:rFonts w:ascii="Century Gothic" w:eastAsia="Times New Roman" w:hAnsi="Century Gothic" w:cs="Arial"/>
          <w:b/>
          <w:sz w:val="24"/>
          <w:szCs w:val="24"/>
          <w:lang w:val="es-ES_tradnl" w:eastAsia="es-ES"/>
        </w:rPr>
      </w:pPr>
    </w:p>
    <w:p w:rsidR="008728A8" w:rsidRPr="008728A8" w:rsidRDefault="008728A8" w:rsidP="008728A8">
      <w:pPr>
        <w:spacing w:line="12pt" w:lineRule="auto"/>
        <w:rPr>
          <w:rFonts w:ascii="Century Gothic" w:eastAsia="Calibri" w:hAnsi="Century Gothic" w:cs="Arial"/>
          <w:b/>
          <w:color w:val="000000"/>
          <w:sz w:val="24"/>
        </w:rPr>
        <w:sectPr w:rsidR="008728A8" w:rsidRPr="008728A8" w:rsidSect="008728A8">
          <w:headerReference w:type="default" r:id="rId99"/>
          <w:footerReference w:type="even" r:id="rId100"/>
          <w:headerReference w:type="first" r:id="rId101"/>
          <w:type w:val="oddPage"/>
          <w:pgSz w:w="612.10pt" w:h="792.10pt" w:code="1"/>
          <w:pgMar w:top="70.90pt" w:right="70.90pt" w:bottom="70.90pt" w:left="70.90pt" w:header="35.45pt" w:footer="35.45pt" w:gutter="0pt"/>
          <w:cols w:space="36pt"/>
          <w:titlePg/>
          <w:docGrid w:linePitch="326"/>
        </w:sectPr>
      </w:pPr>
    </w:p>
    <w:p w:rsidR="008728A8" w:rsidRPr="008728A8" w:rsidRDefault="008728A8" w:rsidP="008728A8">
      <w:pPr>
        <w:spacing w:line="12pt" w:lineRule="auto"/>
        <w:jc w:val="center"/>
        <w:outlineLvl w:val="0"/>
        <w:rPr>
          <w:rFonts w:ascii="Century Gothic" w:eastAsia="Calibri" w:hAnsi="Century Gothic" w:cs="Arial"/>
          <w:b/>
          <w:lang w:val="es-ES" w:eastAsia="es-ES"/>
        </w:rPr>
      </w:pPr>
      <w:bookmarkStart w:id="3198" w:name="_Toc92974232"/>
      <w:bookmarkStart w:id="3199" w:name="_Toc93052545"/>
      <w:bookmarkStart w:id="3200" w:name="_Toc93056500"/>
      <w:bookmarkStart w:id="3201" w:name="_Toc125393566"/>
      <w:bookmarkStart w:id="3202" w:name="_Toc148702421"/>
      <w:r w:rsidRPr="008728A8">
        <w:rPr>
          <w:rFonts w:ascii="Century Gothic" w:eastAsia="Calibri" w:hAnsi="Century Gothic" w:cs="Arial"/>
          <w:b/>
          <w:lang w:val="es-ES" w:eastAsia="es-ES"/>
        </w:rPr>
        <w:lastRenderedPageBreak/>
        <w:t>ANEXO G3</w:t>
      </w:r>
      <w:bookmarkEnd w:id="3198"/>
      <w:bookmarkEnd w:id="3199"/>
      <w:bookmarkEnd w:id="3200"/>
      <w:bookmarkEnd w:id="3201"/>
      <w:bookmarkEnd w:id="3202"/>
    </w:p>
    <w:p w:rsidR="008728A8" w:rsidRPr="008728A8" w:rsidRDefault="008728A8" w:rsidP="008728A8">
      <w:pPr>
        <w:spacing w:line="13.20pt" w:lineRule="auto"/>
        <w:jc w:val="center"/>
        <w:outlineLvl w:val="0"/>
        <w:rPr>
          <w:rFonts w:ascii="Century Gothic" w:eastAsia="Calibri" w:hAnsi="Century Gothic" w:cs="Arial"/>
          <w:b/>
          <w:lang w:val="es-ES" w:eastAsia="es-ES"/>
        </w:rPr>
      </w:pPr>
      <w:bookmarkStart w:id="3203" w:name="_Toc125393567"/>
      <w:bookmarkStart w:id="3204" w:name="_Toc148702422"/>
      <w:bookmarkStart w:id="3205" w:name="_Toc92974233"/>
      <w:bookmarkStart w:id="3206" w:name="_Toc93052546"/>
      <w:bookmarkStart w:id="3207" w:name="_Toc93056501"/>
      <w:r w:rsidRPr="008728A8">
        <w:rPr>
          <w:rFonts w:ascii="Century Gothic" w:eastAsia="Calibri" w:hAnsi="Century Gothic" w:cs="Arial"/>
          <w:b/>
          <w:lang w:val="es-ES" w:eastAsia="es-ES"/>
        </w:rPr>
        <w:t>GUÍA PARA ETIQUETADO DE CABLE MULTIPAR INSTALADO DENTRO</w:t>
      </w:r>
      <w:bookmarkEnd w:id="3203"/>
      <w:bookmarkEnd w:id="3204"/>
      <w:r w:rsidRPr="008728A8">
        <w:rPr>
          <w:rFonts w:ascii="Century Gothic" w:eastAsia="Calibri" w:hAnsi="Century Gothic" w:cs="Arial"/>
          <w:b/>
          <w:lang w:val="es-ES" w:eastAsia="es-ES"/>
        </w:rPr>
        <w:t xml:space="preserve"> </w:t>
      </w:r>
    </w:p>
    <w:p w:rsidR="008728A8" w:rsidRPr="008728A8" w:rsidRDefault="008728A8" w:rsidP="008728A8">
      <w:pPr>
        <w:spacing w:line="13.20pt" w:lineRule="auto"/>
        <w:jc w:val="center"/>
        <w:outlineLvl w:val="0"/>
        <w:rPr>
          <w:rFonts w:ascii="Century Gothic" w:eastAsia="Calibri" w:hAnsi="Century Gothic" w:cs="Arial"/>
          <w:b/>
          <w:lang w:val="es-ES" w:eastAsia="es-ES"/>
        </w:rPr>
      </w:pPr>
      <w:bookmarkStart w:id="3208" w:name="_Toc125393568"/>
      <w:bookmarkStart w:id="3209" w:name="_Toc148702423"/>
      <w:r w:rsidRPr="008728A8">
        <w:rPr>
          <w:rFonts w:ascii="Century Gothic" w:eastAsia="Calibri" w:hAnsi="Century Gothic" w:cs="Arial"/>
          <w:b/>
          <w:lang w:val="es-ES" w:eastAsia="es-ES"/>
        </w:rPr>
        <w:t>DE UNA CENTRAL TELEFÓNICA</w:t>
      </w:r>
      <w:bookmarkEnd w:id="3205"/>
      <w:bookmarkEnd w:id="3206"/>
      <w:bookmarkEnd w:id="3207"/>
      <w:bookmarkEnd w:id="3208"/>
      <w:bookmarkEnd w:id="3209"/>
    </w:p>
    <w:p w:rsidR="008728A8" w:rsidRPr="008728A8" w:rsidRDefault="008728A8" w:rsidP="008728A8">
      <w:pPr>
        <w:spacing w:after="6pt" w:line="13.20pt" w:lineRule="auto"/>
        <w:jc w:val="center"/>
        <w:rPr>
          <w:rFonts w:ascii="Century Gothic" w:eastAsia="Calibri" w:hAnsi="Century Gothic" w:cs="Arial"/>
          <w:b/>
          <w:bCs/>
        </w:rPr>
      </w:pPr>
    </w:p>
    <w:p w:rsidR="008728A8" w:rsidRPr="008728A8" w:rsidRDefault="008728A8" w:rsidP="008728A8">
      <w:pPr>
        <w:spacing w:line="13.20pt" w:lineRule="auto"/>
        <w:jc w:val="both"/>
        <w:outlineLvl w:val="0"/>
        <w:rPr>
          <w:rFonts w:ascii="Century Gothic" w:eastAsia="Calibri" w:hAnsi="Century Gothic" w:cs="Arial"/>
          <w:b/>
          <w:bCs/>
          <w:color w:val="000000"/>
          <w:lang w:eastAsia="es-ES"/>
        </w:rPr>
      </w:pPr>
      <w:bookmarkStart w:id="3210" w:name="_Toc92974234"/>
      <w:bookmarkStart w:id="3211" w:name="_Toc93052547"/>
      <w:bookmarkStart w:id="3212" w:name="_Toc93056502"/>
      <w:bookmarkStart w:id="3213" w:name="_Toc125393569"/>
      <w:bookmarkStart w:id="3214" w:name="_Toc148702424"/>
      <w:r w:rsidRPr="008728A8">
        <w:rPr>
          <w:rFonts w:ascii="Century Gothic" w:eastAsia="Calibri" w:hAnsi="Century Gothic" w:cs="Arial"/>
          <w:b/>
          <w:bCs/>
          <w:color w:val="000000"/>
          <w:lang w:eastAsia="es-ES"/>
        </w:rPr>
        <w:t>1. Objetivo.</w:t>
      </w:r>
      <w:bookmarkEnd w:id="3210"/>
      <w:bookmarkEnd w:id="3211"/>
      <w:bookmarkEnd w:id="3212"/>
      <w:bookmarkEnd w:id="3213"/>
      <w:bookmarkEnd w:id="3214"/>
    </w:p>
    <w:p w:rsidR="008728A8" w:rsidRPr="008728A8" w:rsidRDefault="008728A8" w:rsidP="008728A8">
      <w:pPr>
        <w:spacing w:line="13.20pt" w:lineRule="auto"/>
        <w:jc w:val="both"/>
        <w:rPr>
          <w:rFonts w:ascii="Century Gothic" w:eastAsia="Calibri" w:hAnsi="Century Gothic" w:cs="Arial"/>
        </w:rPr>
      </w:pPr>
      <w:r w:rsidRPr="008728A8">
        <w:rPr>
          <w:rFonts w:ascii="Century Gothic" w:eastAsia="Calibri" w:hAnsi="Century Gothic" w:cs="Arial"/>
        </w:rPr>
        <w:t xml:space="preserve">En este documento se establece el método de etiquetado de cable multipar que se instala como parte de la red pública de telecomunicaciones de </w:t>
      </w:r>
      <w:r w:rsidRPr="008728A8">
        <w:rPr>
          <w:rFonts w:ascii="Century Gothic" w:eastAsia="Calibri" w:hAnsi="Century Gothic" w:cs="Arial"/>
          <w:spacing w:val="-3"/>
        </w:rPr>
        <w:t>RED NACIONAL</w:t>
      </w:r>
      <w:r w:rsidRPr="008728A8">
        <w:rPr>
          <w:rFonts w:ascii="Century Gothic" w:eastAsia="Calibri" w:hAnsi="Century Gothic" w:cs="Arial"/>
        </w:rPr>
        <w:t xml:space="preserve"> mediante el uso de la nomenclatura de acuerdo con lo establecido en el sistema de codificación de Lenguaje Común y las normas de ubicación física dentro de una Central Telefónica para mantener de forma homologada la manera de identificar a cada uno de los cableados.</w:t>
      </w:r>
    </w:p>
    <w:p w:rsidR="008728A8" w:rsidRPr="008728A8" w:rsidRDefault="008728A8" w:rsidP="008728A8">
      <w:pPr>
        <w:spacing w:line="13.20pt" w:lineRule="auto"/>
        <w:jc w:val="both"/>
        <w:rPr>
          <w:rFonts w:ascii="Century Gothic" w:eastAsia="Calibri" w:hAnsi="Century Gothic" w:cs="Arial"/>
        </w:rPr>
      </w:pPr>
    </w:p>
    <w:p w:rsidR="008728A8" w:rsidRPr="008728A8" w:rsidRDefault="008728A8" w:rsidP="008728A8">
      <w:pPr>
        <w:spacing w:line="13.20pt" w:lineRule="auto"/>
        <w:jc w:val="both"/>
        <w:outlineLvl w:val="0"/>
        <w:rPr>
          <w:rFonts w:ascii="Century Gothic" w:eastAsia="Calibri" w:hAnsi="Century Gothic" w:cs="Arial"/>
          <w:b/>
          <w:bCs/>
          <w:color w:val="000000"/>
          <w:lang w:eastAsia="es-ES"/>
        </w:rPr>
      </w:pPr>
      <w:bookmarkStart w:id="3215" w:name="_Toc92974235"/>
      <w:bookmarkStart w:id="3216" w:name="_Toc93052548"/>
      <w:bookmarkStart w:id="3217" w:name="_Toc93056503"/>
      <w:bookmarkStart w:id="3218" w:name="_Toc125393570"/>
      <w:bookmarkStart w:id="3219" w:name="_Toc148702425"/>
      <w:r w:rsidRPr="008728A8">
        <w:rPr>
          <w:rFonts w:ascii="Century Gothic" w:eastAsia="Calibri" w:hAnsi="Century Gothic" w:cs="Arial"/>
          <w:b/>
          <w:bCs/>
          <w:color w:val="000000"/>
          <w:lang w:eastAsia="es-ES"/>
        </w:rPr>
        <w:t>2. Codificación de cableado multipar.</w:t>
      </w:r>
      <w:bookmarkEnd w:id="3215"/>
      <w:bookmarkEnd w:id="3216"/>
      <w:bookmarkEnd w:id="3217"/>
      <w:bookmarkEnd w:id="3218"/>
      <w:bookmarkEnd w:id="3219"/>
    </w:p>
    <w:p w:rsidR="008728A8" w:rsidRPr="008728A8" w:rsidRDefault="008728A8" w:rsidP="008728A8">
      <w:pPr>
        <w:spacing w:after="6pt" w:line="13.20pt" w:lineRule="auto"/>
        <w:jc w:val="both"/>
        <w:rPr>
          <w:rFonts w:ascii="Century Gothic" w:eastAsia="Calibri" w:hAnsi="Century Gothic" w:cs="Arial"/>
        </w:rPr>
      </w:pPr>
      <w:r w:rsidRPr="008728A8">
        <w:rPr>
          <w:rFonts w:ascii="Century Gothic" w:eastAsia="Calibri" w:hAnsi="Century Gothic" w:cs="Arial"/>
        </w:rPr>
        <w:t>Las etiquetas deben de contener solo la información que se solicita y no debe utilizarse para agregar datos que no estén contenidos en el presente documento.</w:t>
      </w:r>
    </w:p>
    <w:p w:rsidR="008728A8" w:rsidRPr="008728A8" w:rsidRDefault="008728A8" w:rsidP="008728A8">
      <w:pPr>
        <w:spacing w:after="6pt" w:line="13.20pt" w:lineRule="auto"/>
        <w:jc w:val="both"/>
        <w:rPr>
          <w:rFonts w:ascii="Century Gothic" w:eastAsia="Calibri" w:hAnsi="Century Gothic" w:cs="Arial"/>
        </w:rPr>
      </w:pPr>
      <w:r w:rsidRPr="008728A8">
        <w:rPr>
          <w:rFonts w:ascii="Century Gothic" w:eastAsia="Calibri" w:hAnsi="Century Gothic" w:cs="Arial"/>
        </w:rPr>
        <w:t>La información contenida en las etiquetas debe capturarse con los elementos mínimos completos, con mayúsculas, y de acuerdo con la descripción de los elementos que la componen.</w:t>
      </w:r>
    </w:p>
    <w:p w:rsidR="008728A8" w:rsidRPr="008728A8" w:rsidRDefault="008728A8" w:rsidP="008728A8">
      <w:pPr>
        <w:spacing w:after="6pt" w:line="13.20pt" w:lineRule="auto"/>
        <w:jc w:val="both"/>
        <w:rPr>
          <w:rFonts w:ascii="Century Gothic" w:eastAsia="Calibri" w:hAnsi="Century Gothic" w:cs="Arial"/>
        </w:rPr>
      </w:pPr>
      <w:r w:rsidRPr="008728A8">
        <w:rPr>
          <w:rFonts w:ascii="Century Gothic" w:eastAsia="Calibri" w:hAnsi="Century Gothic" w:cs="Arial"/>
        </w:rPr>
        <w:t>El cable multipar que se debe identificar y etiquetar corresponde al que se encuentra rematado en la tablilla horizontal para desagregación y va hacia la coubicación asignada al CS.</w:t>
      </w:r>
    </w:p>
    <w:p w:rsidR="008728A8" w:rsidRPr="008728A8" w:rsidRDefault="008728A8" w:rsidP="008728A8">
      <w:pPr>
        <w:spacing w:after="6pt" w:line="13.20pt" w:lineRule="auto"/>
        <w:jc w:val="both"/>
        <w:rPr>
          <w:rFonts w:ascii="Century Gothic" w:eastAsia="Calibri" w:hAnsi="Century Gothic" w:cs="Arial"/>
        </w:rPr>
      </w:pPr>
      <w:r w:rsidRPr="008728A8">
        <w:rPr>
          <w:rFonts w:ascii="Century Gothic" w:eastAsia="Calibri" w:hAnsi="Century Gothic" w:cs="Arial"/>
        </w:rPr>
        <w:t>Cada una de las etiquetas que se utilizan para identificar a los cables multipar están divididas en forma vertical por la mitad. A la mitad izquierda se le denomina lado A y a la mitad de la derecha se le denomina lado B.</w:t>
      </w:r>
    </w:p>
    <w:p w:rsidR="008728A8" w:rsidRPr="008728A8" w:rsidRDefault="008728A8" w:rsidP="008728A8">
      <w:pPr>
        <w:spacing w:after="6pt" w:line="13.20pt" w:lineRule="auto"/>
        <w:jc w:val="both"/>
        <w:rPr>
          <w:rFonts w:ascii="Century Gothic" w:eastAsia="Calibri" w:hAnsi="Century Gothic" w:cs="Arial"/>
        </w:rPr>
      </w:pPr>
      <w:r w:rsidRPr="008728A8">
        <w:rPr>
          <w:rFonts w:ascii="Century Gothic" w:eastAsia="Calibri" w:hAnsi="Century Gothic" w:cs="Arial"/>
        </w:rPr>
        <w:t>En cada una de las etiquetas están contenidos los cuatro campos, distribuidos en los lados A y B. Esto se muestra en la siguiente figura:</w:t>
      </w:r>
    </w:p>
    <w:p w:rsidR="008728A8" w:rsidRPr="008728A8" w:rsidRDefault="008728A8" w:rsidP="008728A8">
      <w:pPr>
        <w:spacing w:after="6pt" w:line="13.20pt" w:lineRule="auto"/>
        <w:jc w:val="center"/>
        <w:rPr>
          <w:rFonts w:ascii="Century Gothic" w:eastAsia="Calibri" w:hAnsi="Century Gothic" w:cs="Arial"/>
        </w:rPr>
      </w:pPr>
      <w:r w:rsidRPr="008728A8">
        <w:rPr>
          <w:rFonts w:ascii="Century Gothic" w:eastAsia="Calibri" w:hAnsi="Century Gothic" w:cs="Arial"/>
          <w:noProof/>
          <w:lang w:eastAsia="es-MX"/>
        </w:rPr>
        <w:drawing>
          <wp:inline distT="0" distB="0" distL="0" distR="0" wp14:anchorId="68BF603A" wp14:editId="10DB7F25">
            <wp:extent cx="4704080" cy="683895"/>
            <wp:effectExtent l="0" t="0" r="1270" b="1905"/>
            <wp:docPr id="35" name="Imagen 35"/>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1"/>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4704080" cy="683895"/>
                    </a:xfrm>
                    <a:prstGeom prst="rect">
                      <a:avLst/>
                    </a:prstGeom>
                    <a:noFill/>
                    <a:ln>
                      <a:noFill/>
                    </a:ln>
                  </pic:spPr>
                </pic:pic>
              </a:graphicData>
            </a:graphic>
          </wp:inline>
        </w:drawing>
      </w:r>
    </w:p>
    <w:p w:rsidR="008728A8" w:rsidRPr="008728A8" w:rsidRDefault="008728A8" w:rsidP="008728A8">
      <w:pPr>
        <w:spacing w:after="6pt" w:line="13.20pt" w:lineRule="auto"/>
        <w:ind w:start="14.20pt"/>
        <w:jc w:val="center"/>
        <w:rPr>
          <w:rFonts w:ascii="Century Gothic" w:eastAsia="Calibri" w:hAnsi="Century Gothic" w:cs="Arial"/>
          <w:b/>
          <w:sz w:val="18"/>
        </w:rPr>
      </w:pPr>
      <w:r w:rsidRPr="008728A8">
        <w:rPr>
          <w:rFonts w:ascii="Century Gothic" w:eastAsia="Calibri" w:hAnsi="Century Gothic" w:cs="Arial"/>
          <w:b/>
          <w:sz w:val="20"/>
        </w:rPr>
        <w:t>Figura 1.</w:t>
      </w:r>
      <w:r w:rsidRPr="008728A8">
        <w:rPr>
          <w:rFonts w:ascii="Century Gothic" w:eastAsia="Calibri" w:hAnsi="Century Gothic" w:cs="Arial"/>
          <w:b/>
          <w:sz w:val="18"/>
        </w:rPr>
        <w:t>- Campos empleados en la etiqueta para cables multipar.</w:t>
      </w:r>
    </w:p>
    <w:p w:rsidR="008728A8" w:rsidRPr="008728A8" w:rsidRDefault="008728A8" w:rsidP="008728A8">
      <w:pPr>
        <w:spacing w:after="6pt" w:line="13.20pt" w:lineRule="auto"/>
        <w:jc w:val="both"/>
        <w:rPr>
          <w:rFonts w:ascii="Century Gothic" w:eastAsia="Calibri" w:hAnsi="Century Gothic" w:cs="Arial"/>
        </w:rPr>
      </w:pPr>
      <w:r w:rsidRPr="008728A8">
        <w:rPr>
          <w:rFonts w:ascii="Century Gothic" w:eastAsia="Calibri" w:hAnsi="Century Gothic" w:cs="Arial"/>
        </w:rPr>
        <w:t>Los campos deben contar con un margen de un milímetro con respecto a la etiqueta y los que están en el lado A deben tener alineación izquierda y los del lado B deben tener alineación derecha.</w:t>
      </w:r>
    </w:p>
    <w:p w:rsidR="008728A8" w:rsidRPr="008728A8" w:rsidRDefault="008728A8" w:rsidP="008728A8">
      <w:pPr>
        <w:spacing w:after="6pt" w:line="13.20pt" w:lineRule="auto"/>
        <w:jc w:val="both"/>
        <w:rPr>
          <w:rFonts w:ascii="Century Gothic" w:eastAsia="Calibri" w:hAnsi="Century Gothic" w:cs="Arial"/>
        </w:rPr>
      </w:pPr>
      <w:r w:rsidRPr="008728A8">
        <w:rPr>
          <w:rFonts w:ascii="Century Gothic" w:eastAsia="Calibri" w:hAnsi="Century Gothic" w:cs="Arial"/>
        </w:rPr>
        <w:t>Los cables multipar deben ser etiquetados con todos los campos correspondientes. A continuación, se describen cada uno de los campos:</w:t>
      </w:r>
    </w:p>
    <w:p w:rsidR="008728A8" w:rsidRPr="008728A8" w:rsidRDefault="008728A8" w:rsidP="008728A8">
      <w:pPr>
        <w:spacing w:after="6pt" w:line="13.20pt" w:lineRule="auto"/>
        <w:jc w:val="both"/>
        <w:rPr>
          <w:rFonts w:ascii="Century Gothic" w:eastAsia="Calibri" w:hAnsi="Century Gothic" w:cs="Arial"/>
        </w:rPr>
      </w:pPr>
      <w:r w:rsidRPr="008728A8">
        <w:rPr>
          <w:rFonts w:ascii="Century Gothic" w:eastAsia="Calibri" w:hAnsi="Century Gothic" w:cs="Arial"/>
        </w:rPr>
        <w:t>CABLE</w:t>
      </w:r>
    </w:p>
    <w:p w:rsidR="008728A8" w:rsidRPr="008728A8" w:rsidRDefault="008728A8" w:rsidP="008728A8">
      <w:pPr>
        <w:widowControl w:val="0"/>
        <w:spacing w:after="6pt" w:line="13.20pt" w:lineRule="auto"/>
        <w:jc w:val="both"/>
        <w:rPr>
          <w:rFonts w:ascii="Century Gothic" w:eastAsia="Calibri" w:hAnsi="Century Gothic" w:cs="Arial"/>
        </w:rPr>
      </w:pPr>
    </w:p>
    <w:p w:rsidR="008728A8" w:rsidRPr="008728A8" w:rsidRDefault="008728A8" w:rsidP="008728A8">
      <w:pPr>
        <w:widowControl w:val="0"/>
        <w:spacing w:after="6pt" w:line="13.20pt" w:lineRule="auto"/>
        <w:jc w:val="both"/>
        <w:rPr>
          <w:rFonts w:ascii="Century Gothic" w:eastAsia="Calibri" w:hAnsi="Century Gothic" w:cs="Arial"/>
        </w:rPr>
      </w:pPr>
    </w:p>
    <w:p w:rsidR="008728A8" w:rsidRPr="008728A8" w:rsidRDefault="008728A8" w:rsidP="008728A8">
      <w:pPr>
        <w:widowControl w:val="0"/>
        <w:spacing w:after="6pt" w:line="13.20pt" w:lineRule="auto"/>
        <w:jc w:val="both"/>
        <w:rPr>
          <w:rFonts w:ascii="Century Gothic" w:eastAsia="Calibri" w:hAnsi="Century Gothic" w:cs="Arial"/>
        </w:rPr>
      </w:pPr>
      <w:r w:rsidRPr="008728A8">
        <w:rPr>
          <w:rFonts w:ascii="Century Gothic" w:eastAsia="Calibri" w:hAnsi="Century Gothic" w:cs="Arial"/>
        </w:rPr>
        <w:lastRenderedPageBreak/>
        <w:t xml:space="preserve">Es el código de la facilidad de cable asignado en la red y se indica el tipo de cable, el número consecutivo que lo identifica en el edificio, así como los puntos que delimitan al cable. </w:t>
      </w:r>
    </w:p>
    <w:p w:rsidR="008728A8" w:rsidRPr="008728A8" w:rsidRDefault="008728A8" w:rsidP="008728A8">
      <w:pPr>
        <w:spacing w:after="6pt" w:line="13.20pt" w:lineRule="auto"/>
        <w:jc w:val="center"/>
        <w:rPr>
          <w:rFonts w:ascii="Century Gothic" w:eastAsia="Calibri" w:hAnsi="Century Gothic" w:cs="Arial"/>
        </w:rPr>
      </w:pPr>
      <w:r w:rsidRPr="008728A8">
        <w:rPr>
          <w:rFonts w:ascii="Century Gothic" w:eastAsia="Calibri" w:hAnsi="Century Gothic" w:cs="Arial"/>
          <w:noProof/>
          <w:lang w:eastAsia="es-MX"/>
        </w:rPr>
        <w:drawing>
          <wp:inline distT="0" distB="0" distL="0" distR="0" wp14:anchorId="4FA95B66" wp14:editId="2F24314C">
            <wp:extent cx="4114800" cy="445347"/>
            <wp:effectExtent l="0" t="0" r="0" b="0"/>
            <wp:docPr id="36" name="Imagen 36"/>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3"/>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4114598" cy="445325"/>
                    </a:xfrm>
                    <a:prstGeom prst="rect">
                      <a:avLst/>
                    </a:prstGeom>
                    <a:noFill/>
                    <a:ln>
                      <a:noFill/>
                    </a:ln>
                  </pic:spPr>
                </pic:pic>
              </a:graphicData>
            </a:graphic>
          </wp:inline>
        </w:drawing>
      </w:r>
    </w:p>
    <w:p w:rsidR="008728A8" w:rsidRPr="008728A8" w:rsidRDefault="008728A8" w:rsidP="008728A8">
      <w:pPr>
        <w:spacing w:after="6pt" w:line="13.20pt" w:lineRule="auto"/>
        <w:ind w:start="14.20pt"/>
        <w:jc w:val="center"/>
        <w:rPr>
          <w:rFonts w:ascii="Century Gothic" w:eastAsia="Calibri" w:hAnsi="Century Gothic" w:cs="Arial"/>
          <w:b/>
          <w:sz w:val="18"/>
        </w:rPr>
      </w:pPr>
      <w:r w:rsidRPr="008728A8">
        <w:rPr>
          <w:rFonts w:ascii="Century Gothic" w:eastAsia="Calibri" w:hAnsi="Century Gothic" w:cs="Arial"/>
          <w:b/>
          <w:sz w:val="20"/>
        </w:rPr>
        <w:t>Figura 2.- Formato de identificación para cable multipar.</w:t>
      </w:r>
    </w:p>
    <w:p w:rsidR="008728A8" w:rsidRPr="008728A8" w:rsidRDefault="008728A8" w:rsidP="008728A8">
      <w:pPr>
        <w:spacing w:after="6pt" w:line="13.20pt" w:lineRule="auto"/>
        <w:jc w:val="center"/>
        <w:rPr>
          <w:rFonts w:ascii="Century Gothic" w:eastAsia="Calibri" w:hAnsi="Century Gothic" w:cs="Arial"/>
        </w:rPr>
      </w:pPr>
    </w:p>
    <w:p w:rsidR="008728A8" w:rsidRPr="008728A8" w:rsidRDefault="008728A8" w:rsidP="008728A8">
      <w:pPr>
        <w:numPr>
          <w:ilvl w:val="0"/>
          <w:numId w:val="188"/>
        </w:numPr>
        <w:spacing w:after="6pt" w:line="13.20pt" w:lineRule="auto"/>
        <w:ind w:start="42.55pt"/>
        <w:contextualSpacing/>
        <w:jc w:val="both"/>
        <w:rPr>
          <w:rFonts w:ascii="Century Gothic" w:eastAsia="Calibri" w:hAnsi="Century Gothic" w:cs="Arial"/>
        </w:rPr>
      </w:pPr>
      <w:r w:rsidRPr="008728A8">
        <w:rPr>
          <w:rFonts w:ascii="Century Gothic" w:eastAsia="Calibri" w:hAnsi="Century Gothic" w:cs="Arial"/>
        </w:rPr>
        <w:t>Los campos que se utilicen siempre deben de ir separados por una diagonal “/”.</w:t>
      </w:r>
    </w:p>
    <w:p w:rsidR="008728A8" w:rsidRPr="008728A8" w:rsidRDefault="008728A8" w:rsidP="008728A8">
      <w:pPr>
        <w:numPr>
          <w:ilvl w:val="0"/>
          <w:numId w:val="188"/>
        </w:numPr>
        <w:spacing w:after="6pt" w:line="13.20pt" w:lineRule="auto"/>
        <w:ind w:start="42.55pt"/>
        <w:contextualSpacing/>
        <w:jc w:val="both"/>
        <w:rPr>
          <w:rFonts w:ascii="Century Gothic" w:eastAsia="Calibri" w:hAnsi="Century Gothic" w:cs="Arial"/>
        </w:rPr>
      </w:pPr>
      <w:r w:rsidRPr="008728A8">
        <w:rPr>
          <w:rFonts w:ascii="Century Gothic" w:eastAsia="Calibri" w:hAnsi="Century Gothic" w:cs="Arial"/>
        </w:rPr>
        <w:t>En caso de no utilizarse algún campo o carácter de un campo, no se deben dejar espacios en blanco y los datos que se utilicen deben justificarse a la izquierda.</w:t>
      </w:r>
    </w:p>
    <w:p w:rsidR="008728A8" w:rsidRPr="008728A8" w:rsidRDefault="008728A8" w:rsidP="008728A8">
      <w:pPr>
        <w:numPr>
          <w:ilvl w:val="0"/>
          <w:numId w:val="188"/>
        </w:numPr>
        <w:spacing w:after="6pt" w:line="13.20pt" w:lineRule="auto"/>
        <w:ind w:start="42.55pt"/>
        <w:contextualSpacing/>
        <w:jc w:val="both"/>
        <w:rPr>
          <w:rFonts w:ascii="Century Gothic" w:eastAsia="Calibri" w:hAnsi="Century Gothic" w:cs="Arial"/>
        </w:rPr>
      </w:pPr>
      <w:r w:rsidRPr="008728A8">
        <w:rPr>
          <w:rFonts w:ascii="Century Gothic" w:eastAsia="Calibri" w:hAnsi="Century Gothic" w:cs="Arial"/>
        </w:rPr>
        <w:t>En los campos nunca se debe iniciar con el carácter cero “0”.</w:t>
      </w:r>
    </w:p>
    <w:p w:rsidR="008728A8" w:rsidRPr="008728A8" w:rsidRDefault="008728A8" w:rsidP="008728A8">
      <w:pPr>
        <w:spacing w:after="6pt" w:line="13.20pt" w:lineRule="auto"/>
        <w:jc w:val="both"/>
        <w:rPr>
          <w:rFonts w:ascii="Century Gothic" w:eastAsia="Calibri" w:hAnsi="Century Gothic" w:cs="Arial"/>
        </w:rPr>
      </w:pPr>
      <w:r w:rsidRPr="008728A8">
        <w:rPr>
          <w:rFonts w:ascii="Century Gothic" w:eastAsia="Calibri" w:hAnsi="Century Gothic" w:cs="Arial"/>
        </w:rPr>
        <w:t>Este elemento DES FAC es de longitud variable con un máximo de 5 caracteres alfanuméricos que describen el cable, en este caso el primer carácter será “C” cobre, los siguientes caracteres del 2 al 5 son numéricos y se utiliza para identificar el consecutivo que identifica al cable que proporciona la facilidad. Se debe asignar valores numéricos consecutivos en forma ascendente iniciando con el número 1.</w:t>
      </w:r>
    </w:p>
    <w:p w:rsidR="008728A8" w:rsidRPr="008728A8" w:rsidRDefault="008728A8" w:rsidP="008728A8">
      <w:pPr>
        <w:spacing w:after="6pt" w:line="13.20pt" w:lineRule="auto"/>
        <w:jc w:val="both"/>
        <w:rPr>
          <w:rFonts w:ascii="Century Gothic" w:eastAsia="Calibri" w:hAnsi="Century Gothic" w:cs="Arial"/>
        </w:rPr>
      </w:pPr>
      <w:r w:rsidRPr="008728A8">
        <w:rPr>
          <w:rFonts w:ascii="Century Gothic" w:eastAsia="Calibri" w:hAnsi="Century Gothic" w:cs="Arial"/>
        </w:rPr>
        <w:t>Para los puntos que delimitan el cable TERM A y TERM Z se refieren al código de longitud variable que identifica al edificio de la Central Telefónica que delimitan a un cable y la coubicación del CS.</w:t>
      </w:r>
    </w:p>
    <w:p w:rsidR="008728A8" w:rsidRPr="008728A8" w:rsidRDefault="008728A8" w:rsidP="008728A8">
      <w:pPr>
        <w:spacing w:after="6pt" w:line="13.20pt" w:lineRule="auto"/>
        <w:jc w:val="both"/>
        <w:rPr>
          <w:rFonts w:ascii="Century Gothic" w:eastAsia="Calibri" w:hAnsi="Century Gothic" w:cs="Arial"/>
        </w:rPr>
      </w:pPr>
      <w:r w:rsidRPr="008728A8">
        <w:rPr>
          <w:rFonts w:ascii="Century Gothic" w:eastAsia="Calibri" w:hAnsi="Century Gothic" w:cs="Arial"/>
        </w:rPr>
        <w:t>Para Centrales Telefónicas se utiliza el código CLLI en formato de edificio (8 caracteres) y para un cliente ese utiliza el código CLLI en formato de (11 caracteres).</w:t>
      </w:r>
    </w:p>
    <w:p w:rsidR="008728A8" w:rsidRPr="008728A8" w:rsidRDefault="008728A8" w:rsidP="008728A8">
      <w:pPr>
        <w:spacing w:after="6pt" w:line="13.20pt" w:lineRule="auto"/>
        <w:jc w:val="both"/>
        <w:rPr>
          <w:rFonts w:ascii="Century Gothic" w:eastAsia="Calibri" w:hAnsi="Century Gothic" w:cs="Arial"/>
        </w:rPr>
      </w:pPr>
      <w:r w:rsidRPr="008728A8">
        <w:rPr>
          <w:rFonts w:ascii="Century Gothic" w:eastAsia="Calibri" w:hAnsi="Century Gothic" w:cs="Arial"/>
        </w:rPr>
        <w:t xml:space="preserve">En el elemento TERM A siempre se debe colocar el código CLLI alfanuméricamente primero y en TERM Z es el código de facilidad de la coubicación de un CS. </w:t>
      </w:r>
    </w:p>
    <w:p w:rsidR="008728A8" w:rsidRPr="008728A8" w:rsidRDefault="008728A8" w:rsidP="008728A8">
      <w:pPr>
        <w:spacing w:line="13.20pt" w:lineRule="auto"/>
        <w:jc w:val="both"/>
        <w:rPr>
          <w:rFonts w:ascii="Century Gothic" w:eastAsia="Calibri" w:hAnsi="Century Gothic" w:cs="Arial"/>
        </w:rPr>
      </w:pPr>
    </w:p>
    <w:p w:rsidR="008728A8" w:rsidRPr="008728A8" w:rsidRDefault="008728A8" w:rsidP="008728A8">
      <w:pPr>
        <w:spacing w:line="13.20pt" w:lineRule="auto"/>
        <w:jc w:val="both"/>
        <w:rPr>
          <w:rFonts w:ascii="Century Gothic" w:eastAsia="Calibri" w:hAnsi="Century Gothic" w:cs="Arial"/>
        </w:rPr>
      </w:pPr>
      <w:r w:rsidRPr="008728A8">
        <w:rPr>
          <w:rFonts w:ascii="Century Gothic" w:eastAsia="Calibri" w:hAnsi="Century Gothic" w:cs="Arial"/>
        </w:rPr>
        <w:t>INTERCONEXIÓN</w:t>
      </w:r>
    </w:p>
    <w:p w:rsidR="008728A8" w:rsidRPr="008728A8" w:rsidRDefault="008728A8" w:rsidP="008728A8">
      <w:pPr>
        <w:spacing w:line="13.20pt" w:lineRule="auto"/>
        <w:jc w:val="both"/>
        <w:rPr>
          <w:rFonts w:ascii="Century Gothic" w:eastAsia="Calibri" w:hAnsi="Century Gothic" w:cs="Arial"/>
        </w:rPr>
      </w:pPr>
      <w:r w:rsidRPr="008728A8">
        <w:rPr>
          <w:rFonts w:ascii="Century Gothic" w:eastAsia="Calibri" w:hAnsi="Century Gothic" w:cs="Arial"/>
        </w:rPr>
        <w:t>Indica el nombre genérico de la interconexión que se realiza con el cable multipar, en el caso de desagregación será DG – (Nombre del CS).</w:t>
      </w:r>
    </w:p>
    <w:p w:rsidR="008728A8" w:rsidRPr="008728A8" w:rsidRDefault="008728A8" w:rsidP="008728A8">
      <w:pPr>
        <w:spacing w:line="13.20pt" w:lineRule="auto"/>
        <w:jc w:val="both"/>
        <w:rPr>
          <w:rFonts w:ascii="Century Gothic" w:eastAsia="Calibri" w:hAnsi="Century Gothic" w:cs="Arial"/>
        </w:rPr>
      </w:pPr>
    </w:p>
    <w:p w:rsidR="008728A8" w:rsidRPr="008728A8" w:rsidRDefault="008728A8" w:rsidP="008728A8">
      <w:pPr>
        <w:spacing w:line="13.20pt" w:lineRule="auto"/>
        <w:jc w:val="both"/>
        <w:rPr>
          <w:rFonts w:ascii="Century Gothic" w:eastAsia="Calibri" w:hAnsi="Century Gothic" w:cs="Arial"/>
        </w:rPr>
      </w:pPr>
      <w:r w:rsidRPr="008728A8">
        <w:rPr>
          <w:rFonts w:ascii="Century Gothic" w:eastAsia="Calibri" w:hAnsi="Century Gothic" w:cs="Arial"/>
        </w:rPr>
        <w:t>POSICIÓN CA</w:t>
      </w:r>
    </w:p>
    <w:p w:rsidR="008728A8" w:rsidRPr="008728A8" w:rsidRDefault="008728A8" w:rsidP="008728A8">
      <w:pPr>
        <w:spacing w:line="13.20pt" w:lineRule="auto"/>
        <w:jc w:val="both"/>
        <w:rPr>
          <w:rFonts w:ascii="Century Gothic" w:eastAsia="Calibri" w:hAnsi="Century Gothic" w:cs="Arial"/>
        </w:rPr>
      </w:pPr>
      <w:r w:rsidRPr="008728A8">
        <w:rPr>
          <w:rFonts w:ascii="Century Gothic" w:eastAsia="Calibri" w:hAnsi="Century Gothic" w:cs="Arial"/>
        </w:rPr>
        <w:t>Es el código de ubicación de la tablilla horizontal para desagregación que indica la posición en donde se encuentra rematado el cable que se está etiquetando.</w:t>
      </w:r>
    </w:p>
    <w:p w:rsidR="008728A8" w:rsidRPr="008728A8" w:rsidRDefault="008728A8" w:rsidP="008728A8">
      <w:pPr>
        <w:spacing w:line="13.20pt" w:lineRule="auto"/>
        <w:jc w:val="both"/>
        <w:rPr>
          <w:rFonts w:ascii="Century Gothic" w:eastAsia="Calibri" w:hAnsi="Century Gothic" w:cs="Arial"/>
        </w:rPr>
      </w:pPr>
    </w:p>
    <w:p w:rsidR="008728A8" w:rsidRPr="008728A8" w:rsidRDefault="008728A8" w:rsidP="008728A8">
      <w:pPr>
        <w:spacing w:line="13.20pt" w:lineRule="auto"/>
        <w:jc w:val="both"/>
        <w:rPr>
          <w:rFonts w:ascii="Century Gothic" w:eastAsia="Calibri" w:hAnsi="Century Gothic" w:cs="Arial"/>
        </w:rPr>
      </w:pPr>
      <w:r w:rsidRPr="008728A8">
        <w:rPr>
          <w:rFonts w:ascii="Century Gothic" w:eastAsia="Calibri" w:hAnsi="Century Gothic" w:cs="Arial"/>
        </w:rPr>
        <w:t>POSICIÓN EXCA</w:t>
      </w:r>
    </w:p>
    <w:p w:rsidR="008728A8" w:rsidRPr="008728A8" w:rsidRDefault="008728A8" w:rsidP="008728A8">
      <w:pPr>
        <w:spacing w:line="13.20pt" w:lineRule="auto"/>
        <w:jc w:val="both"/>
        <w:rPr>
          <w:rFonts w:ascii="Century Gothic" w:eastAsia="Calibri" w:hAnsi="Century Gothic" w:cs="Arial"/>
        </w:rPr>
      </w:pPr>
      <w:r w:rsidRPr="008728A8">
        <w:rPr>
          <w:rFonts w:ascii="Century Gothic" w:eastAsia="Calibri" w:hAnsi="Century Gothic" w:cs="Arial"/>
        </w:rPr>
        <w:t>Es el código de ubicación donde se encuentra la coubicación arrendada por el CS.</w:t>
      </w:r>
    </w:p>
    <w:p w:rsidR="008728A8" w:rsidRPr="008728A8" w:rsidRDefault="008728A8" w:rsidP="008728A8">
      <w:pPr>
        <w:spacing w:line="13.20pt" w:lineRule="auto"/>
        <w:jc w:val="both"/>
        <w:rPr>
          <w:rFonts w:ascii="Century Gothic" w:eastAsia="Calibri" w:hAnsi="Century Gothic" w:cs="Arial"/>
        </w:rPr>
      </w:pPr>
    </w:p>
    <w:p w:rsidR="008728A8" w:rsidRPr="008728A8" w:rsidRDefault="008728A8" w:rsidP="008728A8">
      <w:pPr>
        <w:spacing w:line="13.20pt" w:lineRule="auto"/>
        <w:jc w:val="both"/>
        <w:outlineLvl w:val="0"/>
        <w:rPr>
          <w:rFonts w:ascii="Century Gothic" w:eastAsia="Calibri" w:hAnsi="Century Gothic" w:cs="Arial"/>
          <w:b/>
          <w:bCs/>
          <w:color w:val="000000"/>
          <w:lang w:eastAsia="es-ES"/>
        </w:rPr>
      </w:pPr>
      <w:bookmarkStart w:id="3220" w:name="_Toc92974236"/>
      <w:bookmarkStart w:id="3221" w:name="_Toc93052549"/>
      <w:bookmarkStart w:id="3222" w:name="_Toc93056504"/>
      <w:bookmarkStart w:id="3223" w:name="_Toc125393571"/>
      <w:bookmarkStart w:id="3224" w:name="_Toc148702426"/>
      <w:r w:rsidRPr="008728A8">
        <w:rPr>
          <w:rFonts w:ascii="Century Gothic" w:eastAsia="Calibri" w:hAnsi="Century Gothic" w:cs="Arial"/>
          <w:b/>
          <w:bCs/>
          <w:color w:val="000000"/>
          <w:lang w:eastAsia="es-ES"/>
        </w:rPr>
        <w:t>3. Etiquetado.</w:t>
      </w:r>
      <w:bookmarkEnd w:id="3220"/>
      <w:bookmarkEnd w:id="3221"/>
      <w:bookmarkEnd w:id="3222"/>
      <w:bookmarkEnd w:id="3223"/>
      <w:bookmarkEnd w:id="3224"/>
    </w:p>
    <w:p w:rsidR="008728A8" w:rsidRPr="008728A8" w:rsidRDefault="008728A8" w:rsidP="008728A8">
      <w:pPr>
        <w:spacing w:after="6pt" w:line="13.20pt" w:lineRule="auto"/>
        <w:jc w:val="both"/>
        <w:rPr>
          <w:rFonts w:ascii="Century Gothic" w:eastAsia="Calibri" w:hAnsi="Century Gothic" w:cs="Arial"/>
        </w:rPr>
      </w:pPr>
      <w:r w:rsidRPr="008728A8">
        <w:rPr>
          <w:rFonts w:ascii="Century Gothic" w:eastAsia="Calibri" w:hAnsi="Century Gothic" w:cs="Arial"/>
        </w:rPr>
        <w:t xml:space="preserve">Las dimensiones de la etiqueta son de </w:t>
      </w:r>
      <w:smartTag w:uri="urn:schemas-microsoft-com:office:smarttags" w:element="metricconverter">
        <w:smartTagPr>
          <w:attr w:name="ProductID" w:val="12.7 mm"/>
        </w:smartTagPr>
        <w:r w:rsidRPr="008728A8">
          <w:rPr>
            <w:rFonts w:ascii="Century Gothic" w:eastAsia="Calibri" w:hAnsi="Century Gothic" w:cs="Arial"/>
          </w:rPr>
          <w:t>12.7 mm</w:t>
        </w:r>
      </w:smartTag>
      <w:r w:rsidRPr="008728A8">
        <w:rPr>
          <w:rFonts w:ascii="Century Gothic" w:eastAsia="Calibri" w:hAnsi="Century Gothic" w:cs="Arial"/>
        </w:rPr>
        <w:t xml:space="preserve"> de ancho y </w:t>
      </w:r>
      <w:smartTag w:uri="urn:schemas-microsoft-com:office:smarttags" w:element="metricconverter">
        <w:smartTagPr>
          <w:attr w:name="ProductID" w:val="130 mm"/>
        </w:smartTagPr>
        <w:r w:rsidRPr="008728A8">
          <w:rPr>
            <w:rFonts w:ascii="Century Gothic" w:eastAsia="Calibri" w:hAnsi="Century Gothic" w:cs="Arial"/>
          </w:rPr>
          <w:t>130 mm</w:t>
        </w:r>
      </w:smartTag>
      <w:r w:rsidRPr="008728A8">
        <w:rPr>
          <w:rFonts w:ascii="Century Gothic" w:eastAsia="Calibri" w:hAnsi="Century Gothic" w:cs="Arial"/>
        </w:rPr>
        <w:t xml:space="preserve"> de largo, como se muestra en la siguiente Figura:</w:t>
      </w:r>
    </w:p>
    <w:p w:rsidR="008728A8" w:rsidRPr="008728A8" w:rsidRDefault="008728A8" w:rsidP="008728A8">
      <w:pPr>
        <w:spacing w:after="6pt" w:line="13.20pt" w:lineRule="auto"/>
        <w:jc w:val="both"/>
        <w:rPr>
          <w:rFonts w:ascii="Century Gothic" w:eastAsia="Calibri" w:hAnsi="Century Gothic" w:cs="Arial"/>
        </w:rPr>
      </w:pPr>
      <w:r w:rsidRPr="008728A8">
        <w:rPr>
          <w:rFonts w:ascii="Century Gothic" w:eastAsia="Calibri" w:hAnsi="Century Gothic" w:cs="Arial"/>
          <w:noProof/>
          <w:lang w:eastAsia="es-MX"/>
        </w:rPr>
        <w:lastRenderedPageBreak/>
        <w:drawing>
          <wp:inline distT="0" distB="0" distL="0" distR="0" wp14:anchorId="1A83F0E7" wp14:editId="52BD7B8C">
            <wp:extent cx="5612130" cy="806218"/>
            <wp:effectExtent l="0" t="0" r="0" b="0"/>
            <wp:docPr id="40" name="Imagen 40"/>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3"/>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5612130" cy="806218"/>
                    </a:xfrm>
                    <a:prstGeom prst="rect">
                      <a:avLst/>
                    </a:prstGeom>
                    <a:noFill/>
                    <a:ln>
                      <a:noFill/>
                    </a:ln>
                  </pic:spPr>
                </pic:pic>
              </a:graphicData>
            </a:graphic>
          </wp:inline>
        </w:drawing>
      </w:r>
    </w:p>
    <w:p w:rsidR="008728A8" w:rsidRPr="008728A8" w:rsidRDefault="008728A8" w:rsidP="008728A8">
      <w:pPr>
        <w:spacing w:after="6pt" w:line="13.20pt" w:lineRule="auto"/>
        <w:ind w:start="14.20pt"/>
        <w:jc w:val="center"/>
        <w:rPr>
          <w:rFonts w:ascii="Century Gothic" w:eastAsia="Calibri" w:hAnsi="Century Gothic" w:cs="Arial"/>
          <w:b/>
          <w:sz w:val="18"/>
        </w:rPr>
      </w:pPr>
      <w:r w:rsidRPr="008728A8">
        <w:rPr>
          <w:rFonts w:ascii="Century Gothic" w:eastAsia="Calibri" w:hAnsi="Century Gothic" w:cs="Arial"/>
          <w:b/>
          <w:sz w:val="20"/>
        </w:rPr>
        <w:t>Figura 3.- Dimensiones de la etiqueta para cables multipar.</w:t>
      </w:r>
    </w:p>
    <w:p w:rsidR="008728A8" w:rsidRPr="008728A8" w:rsidRDefault="008728A8" w:rsidP="008728A8">
      <w:pPr>
        <w:spacing w:after="6pt" w:line="13.20pt" w:lineRule="auto"/>
        <w:jc w:val="center"/>
        <w:rPr>
          <w:rFonts w:ascii="Century Gothic" w:eastAsia="Calibri" w:hAnsi="Century Gothic" w:cs="Arial"/>
          <w:i/>
        </w:rPr>
      </w:pPr>
    </w:p>
    <w:p w:rsidR="008728A8" w:rsidRPr="008728A8" w:rsidRDefault="008728A8" w:rsidP="008728A8">
      <w:pPr>
        <w:numPr>
          <w:ilvl w:val="0"/>
          <w:numId w:val="189"/>
        </w:numPr>
        <w:spacing w:after="6pt" w:line="13.20pt" w:lineRule="auto"/>
        <w:contextualSpacing/>
        <w:jc w:val="both"/>
        <w:rPr>
          <w:rFonts w:ascii="Century Gothic" w:eastAsia="Calibri" w:hAnsi="Century Gothic" w:cs="Arial"/>
        </w:rPr>
      </w:pPr>
      <w:r w:rsidRPr="008728A8">
        <w:rPr>
          <w:rFonts w:ascii="Century Gothic" w:eastAsia="Calibri" w:hAnsi="Century Gothic" w:cs="Arial"/>
        </w:rPr>
        <w:t>Las etiquetas deben ser de un material vinílico e impresión térmica, del tipo Brady TLS2200 - PTL-8-439.</w:t>
      </w:r>
    </w:p>
    <w:p w:rsidR="008728A8" w:rsidRPr="008728A8" w:rsidRDefault="008728A8" w:rsidP="008728A8">
      <w:pPr>
        <w:numPr>
          <w:ilvl w:val="0"/>
          <w:numId w:val="189"/>
        </w:numPr>
        <w:spacing w:after="6pt" w:line="13.20pt" w:lineRule="auto"/>
        <w:contextualSpacing/>
        <w:jc w:val="both"/>
        <w:rPr>
          <w:rFonts w:ascii="Century Gothic" w:eastAsia="Calibri" w:hAnsi="Century Gothic" w:cs="Arial"/>
        </w:rPr>
      </w:pPr>
      <w:r w:rsidRPr="008728A8">
        <w:rPr>
          <w:rFonts w:ascii="Century Gothic" w:eastAsia="Calibri" w:hAnsi="Century Gothic" w:cs="Arial"/>
        </w:rPr>
        <w:t>El tipo de letra a utilizar es la Arial de tamaño 6 (Fuente 3).</w:t>
      </w:r>
    </w:p>
    <w:p w:rsidR="008728A8" w:rsidRPr="008728A8" w:rsidRDefault="008728A8" w:rsidP="008728A8">
      <w:pPr>
        <w:numPr>
          <w:ilvl w:val="0"/>
          <w:numId w:val="189"/>
        </w:numPr>
        <w:spacing w:after="6pt" w:line="13.20pt" w:lineRule="auto"/>
        <w:contextualSpacing/>
        <w:jc w:val="both"/>
        <w:rPr>
          <w:rFonts w:ascii="Century Gothic" w:eastAsia="Calibri" w:hAnsi="Century Gothic" w:cs="Arial"/>
        </w:rPr>
      </w:pPr>
      <w:r w:rsidRPr="008728A8">
        <w:rPr>
          <w:rFonts w:ascii="Century Gothic" w:eastAsia="Calibri" w:hAnsi="Century Gothic" w:cs="Arial"/>
        </w:rPr>
        <w:t>El color de letra debe ser negro.</w:t>
      </w:r>
    </w:p>
    <w:p w:rsidR="008728A8" w:rsidRPr="008728A8" w:rsidRDefault="008728A8" w:rsidP="008728A8">
      <w:pPr>
        <w:numPr>
          <w:ilvl w:val="0"/>
          <w:numId w:val="189"/>
        </w:numPr>
        <w:spacing w:after="6pt" w:line="13.20pt" w:lineRule="auto"/>
        <w:contextualSpacing/>
        <w:jc w:val="both"/>
        <w:rPr>
          <w:rFonts w:ascii="Century Gothic" w:eastAsia="Calibri" w:hAnsi="Century Gothic" w:cs="Arial"/>
        </w:rPr>
      </w:pPr>
      <w:r w:rsidRPr="008728A8">
        <w:rPr>
          <w:rFonts w:ascii="Century Gothic" w:eastAsia="Calibri" w:hAnsi="Century Gothic" w:cs="Arial"/>
        </w:rPr>
        <w:t>El color de la etiqueta debe ser Blanca.</w:t>
      </w:r>
    </w:p>
    <w:p w:rsidR="008728A8" w:rsidRPr="008728A8" w:rsidRDefault="008728A8" w:rsidP="008728A8">
      <w:pPr>
        <w:spacing w:after="6pt" w:line="13.20pt" w:lineRule="auto"/>
        <w:ind w:end="14.20pt"/>
        <w:jc w:val="both"/>
        <w:rPr>
          <w:rFonts w:ascii="Century Gothic" w:eastAsia="Calibri" w:hAnsi="Century Gothic" w:cs="Arial"/>
          <w:lang w:val="es-ES"/>
        </w:rPr>
      </w:pPr>
      <w:r w:rsidRPr="008728A8">
        <w:rPr>
          <w:rFonts w:ascii="Century Gothic" w:eastAsia="Calibri" w:hAnsi="Century Gothic" w:cs="Arial"/>
          <w:lang w:val="es-ES"/>
        </w:rPr>
        <w:t>La etiqueta debe ser sujetada por el medio, al cable multipar, adhiriendo ambos extremos para su correcta fijación sobre el cable, como se muestra en la siguiente Figura, de forma que ambos lados se puedan leer con facilidad.</w:t>
      </w:r>
    </w:p>
    <w:p w:rsidR="008728A8" w:rsidRPr="008728A8" w:rsidRDefault="008728A8" w:rsidP="008728A8">
      <w:pPr>
        <w:spacing w:after="6pt" w:line="13.20pt" w:lineRule="auto"/>
        <w:ind w:end="14.20pt"/>
        <w:jc w:val="both"/>
        <w:rPr>
          <w:rFonts w:ascii="Century Gothic" w:eastAsia="Calibri" w:hAnsi="Century Gothic" w:cs="Arial"/>
          <w:lang w:val="es-ES"/>
        </w:rPr>
      </w:pPr>
    </w:p>
    <w:p w:rsidR="008728A8" w:rsidRPr="008728A8" w:rsidRDefault="008728A8" w:rsidP="008728A8">
      <w:pPr>
        <w:spacing w:after="6pt" w:line="13.20pt" w:lineRule="auto"/>
        <w:jc w:val="center"/>
        <w:rPr>
          <w:rFonts w:ascii="Century Gothic" w:eastAsia="Calibri" w:hAnsi="Century Gothic" w:cs="Arial"/>
        </w:rPr>
      </w:pPr>
      <w:r w:rsidRPr="008728A8">
        <w:rPr>
          <w:rFonts w:ascii="Century Gothic" w:eastAsia="Calibri" w:hAnsi="Century Gothic" w:cs="Arial"/>
          <w:noProof/>
          <w:lang w:eastAsia="es-MX"/>
        </w:rPr>
        <w:drawing>
          <wp:inline distT="0" distB="0" distL="0" distR="0" wp14:anchorId="4A399B73" wp14:editId="1F0D72B5">
            <wp:extent cx="3322955" cy="1087120"/>
            <wp:effectExtent l="0" t="0" r="0" b="0"/>
            <wp:docPr id="45" name="Imagen 45"/>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5"/>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3322955" cy="1087120"/>
                    </a:xfrm>
                    <a:prstGeom prst="rect">
                      <a:avLst/>
                    </a:prstGeom>
                    <a:noFill/>
                    <a:ln>
                      <a:noFill/>
                    </a:ln>
                  </pic:spPr>
                </pic:pic>
              </a:graphicData>
            </a:graphic>
          </wp:inline>
        </w:drawing>
      </w:r>
    </w:p>
    <w:p w:rsidR="008728A8" w:rsidRPr="008728A8" w:rsidRDefault="008728A8" w:rsidP="008728A8">
      <w:pPr>
        <w:spacing w:after="6pt" w:line="13.20pt" w:lineRule="auto"/>
        <w:ind w:start="14.20pt"/>
        <w:jc w:val="center"/>
        <w:rPr>
          <w:rFonts w:ascii="Century Gothic" w:eastAsia="Calibri" w:hAnsi="Century Gothic" w:cs="Arial"/>
          <w:b/>
          <w:sz w:val="18"/>
        </w:rPr>
      </w:pPr>
      <w:r w:rsidRPr="008728A8">
        <w:rPr>
          <w:rFonts w:ascii="Century Gothic" w:eastAsia="Calibri" w:hAnsi="Century Gothic" w:cs="Arial"/>
          <w:b/>
          <w:sz w:val="20"/>
        </w:rPr>
        <w:t xml:space="preserve">Figura 4.- Ejemplo de </w:t>
      </w:r>
      <w:r w:rsidRPr="008728A8">
        <w:rPr>
          <w:rFonts w:ascii="Century Gothic" w:eastAsia="Calibri" w:hAnsi="Century Gothic" w:cs="Arial"/>
          <w:b/>
          <w:sz w:val="18"/>
        </w:rPr>
        <w:t>colocación de etiqueta para cables multipar.</w:t>
      </w:r>
    </w:p>
    <w:p w:rsidR="008728A8" w:rsidRPr="008728A8" w:rsidRDefault="008728A8" w:rsidP="008728A8">
      <w:pPr>
        <w:spacing w:after="6pt" w:line="13.20pt" w:lineRule="auto"/>
        <w:jc w:val="both"/>
        <w:rPr>
          <w:rFonts w:ascii="Century Gothic" w:eastAsia="Calibri" w:hAnsi="Century Gothic" w:cs="Arial"/>
        </w:rPr>
      </w:pPr>
    </w:p>
    <w:p w:rsidR="008728A8" w:rsidRPr="008728A8" w:rsidRDefault="008728A8" w:rsidP="008728A8">
      <w:pPr>
        <w:spacing w:after="6pt" w:line="13.20pt" w:lineRule="auto"/>
        <w:jc w:val="center"/>
        <w:rPr>
          <w:rFonts w:ascii="Century Gothic" w:eastAsia="Calibri" w:hAnsi="Century Gothic" w:cs="Arial"/>
        </w:rPr>
      </w:pPr>
      <w:r w:rsidRPr="008728A8">
        <w:rPr>
          <w:rFonts w:ascii="Century Gothic" w:eastAsia="Calibri" w:hAnsi="Century Gothic" w:cs="Arial"/>
          <w:noProof/>
          <w:lang w:eastAsia="es-MX"/>
        </w:rPr>
        <w:drawing>
          <wp:inline distT="0" distB="0" distL="0" distR="0" wp14:anchorId="61F63AC1" wp14:editId="3E38F660">
            <wp:extent cx="4932536" cy="2143125"/>
            <wp:effectExtent l="0" t="0" r="1905" b="0"/>
            <wp:docPr id="51" name="Imagen 51" descr="Diagrama&#10;&#10;Descripción generada automáticamente"/>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51" name="Imagen 51" descr="Diagrama&#10;&#10;Descripción generada automáticamente"/>
                    <pic:cNvPicPr/>
                  </pic:nvPicPr>
                  <pic:blipFill>
                    <a:blip r:embed="rId106" cstate="print"/>
                    <a:stretch>
                      <a:fillRect/>
                    </a:stretch>
                  </pic:blipFill>
                  <pic:spPr>
                    <a:xfrm>
                      <a:off x="0" y="0"/>
                      <a:ext cx="4939737" cy="2146254"/>
                    </a:xfrm>
                    <a:prstGeom prst="rect">
                      <a:avLst/>
                    </a:prstGeom>
                  </pic:spPr>
                </pic:pic>
              </a:graphicData>
            </a:graphic>
          </wp:inline>
        </w:drawing>
      </w:r>
    </w:p>
    <w:p w:rsidR="008728A8" w:rsidRPr="008728A8" w:rsidRDefault="008728A8" w:rsidP="008728A8">
      <w:pPr>
        <w:spacing w:after="6pt" w:line="13.20pt" w:lineRule="auto"/>
        <w:ind w:start="14.20pt"/>
        <w:jc w:val="center"/>
        <w:rPr>
          <w:rFonts w:ascii="Century Gothic" w:eastAsia="Calibri" w:hAnsi="Century Gothic" w:cs="Arial"/>
          <w:b/>
          <w:sz w:val="18"/>
        </w:rPr>
      </w:pPr>
      <w:r w:rsidRPr="008728A8">
        <w:rPr>
          <w:rFonts w:ascii="Century Gothic" w:eastAsia="Calibri" w:hAnsi="Century Gothic" w:cs="Arial"/>
          <w:b/>
          <w:sz w:val="20"/>
        </w:rPr>
        <w:t>Figura 5.- Ejemplo de etiqueta pa</w:t>
      </w:r>
      <w:r w:rsidRPr="008728A8">
        <w:rPr>
          <w:rFonts w:ascii="Century Gothic" w:eastAsia="Calibri" w:hAnsi="Century Gothic" w:cs="Arial"/>
          <w:b/>
          <w:sz w:val="18"/>
        </w:rPr>
        <w:t>ra cables multipar.</w:t>
      </w:r>
    </w:p>
    <w:p w:rsidR="008728A8" w:rsidRPr="008728A8" w:rsidRDefault="008728A8" w:rsidP="008728A8">
      <w:pPr>
        <w:spacing w:after="6pt" w:line="13.20pt" w:lineRule="auto"/>
        <w:ind w:start="18pt" w:hanging="18pt"/>
        <w:jc w:val="both"/>
        <w:rPr>
          <w:rFonts w:ascii="Century Gothic" w:eastAsia="Calibri" w:hAnsi="Century Gothic" w:cs="Arial"/>
        </w:rPr>
      </w:pPr>
    </w:p>
    <w:p w:rsidR="008728A8" w:rsidRPr="008728A8" w:rsidRDefault="008728A8" w:rsidP="008728A8">
      <w:pPr>
        <w:spacing w:after="6pt" w:line="13.20pt" w:lineRule="auto"/>
        <w:ind w:start="18pt"/>
        <w:contextualSpacing/>
        <w:jc w:val="both"/>
        <w:rPr>
          <w:rFonts w:ascii="Century Gothic" w:eastAsia="Calibri" w:hAnsi="Century Gothic" w:cs="Arial"/>
        </w:rPr>
        <w:sectPr w:rsidR="008728A8" w:rsidRPr="008728A8" w:rsidSect="008728A8">
          <w:headerReference w:type="default" r:id="rId107"/>
          <w:headerReference w:type="first" r:id="rId108"/>
          <w:type w:val="oddPage"/>
          <w:pgSz w:w="612.10pt" w:h="792.10pt" w:code="1"/>
          <w:pgMar w:top="70.90pt" w:right="70.90pt" w:bottom="70.90pt" w:left="70.90pt" w:header="35.45pt" w:footer="35.45pt" w:gutter="0pt"/>
          <w:cols w:space="35.40pt"/>
          <w:titlePg/>
          <w:docGrid w:linePitch="360"/>
        </w:sectPr>
      </w:pPr>
    </w:p>
    <w:p w:rsidR="008728A8" w:rsidRPr="008728A8" w:rsidRDefault="008728A8" w:rsidP="008728A8">
      <w:pPr>
        <w:spacing w:line="12pt" w:lineRule="auto"/>
        <w:ind w:start="36pt" w:hanging="18pt"/>
        <w:jc w:val="both"/>
        <w:rPr>
          <w:rFonts w:ascii="Century Gothic" w:eastAsia="Calibri" w:hAnsi="Century Gothic" w:cs="Arial"/>
          <w:color w:val="000000"/>
          <w:lang w:val="es-ES_tradnl" w:eastAsia="es-ES"/>
        </w:rPr>
      </w:pPr>
    </w:p>
    <w:p w:rsidR="008728A8" w:rsidRPr="008728A8" w:rsidRDefault="008728A8" w:rsidP="008728A8">
      <w:pPr>
        <w:spacing w:after="10pt" w:line="12pt" w:lineRule="auto"/>
        <w:ind w:start="17.60pt"/>
        <w:jc w:val="both"/>
        <w:rPr>
          <w:rFonts w:ascii="Century Gothic" w:eastAsia="Times New Roman" w:hAnsi="Century Gothic" w:cs="Arial"/>
          <w:b/>
          <w:sz w:val="24"/>
          <w:szCs w:val="24"/>
          <w:lang w:val="es-ES_tradnl" w:eastAsia="es-ES"/>
        </w:rPr>
      </w:pPr>
      <w:r w:rsidRPr="008728A8">
        <w:rPr>
          <w:rFonts w:ascii="Century Gothic" w:eastAsia="Times New Roman" w:hAnsi="Century Gothic" w:cs="Arial"/>
          <w:noProof/>
          <w:sz w:val="24"/>
          <w:szCs w:val="24"/>
          <w:lang w:eastAsia="es-MX"/>
        </w:rPr>
        <w:drawing>
          <wp:inline distT="0" distB="0" distL="0" distR="0" wp14:anchorId="2A5088CF" wp14:editId="6E9D2F0F">
            <wp:extent cx="5678303" cy="7528387"/>
            <wp:effectExtent l="38100" t="38100" r="36830" b="34925"/>
            <wp:docPr id="465" name="Rectángulo: esquinas redondeadas 9"/>
            <wp:cNvGraphicFramePr>
              <a:graphicFrameLocks xmlns:a="http://purl.oclc.org/ooxml/drawingml/main"/>
            </wp:cNvGraphicFramePr>
            <a:graphic xmlns:a="http://purl.oclc.org/ooxml/drawingml/main">
              <a:graphicData uri="http://schemas.microsoft.com/office/word/2010/wordprocessingShape">
                <wp:wsp>
                  <wp:cNvSpPr>
                    <a:spLocks/>
                  </wp:cNvSpPr>
                  <wp:spPr>
                    <a:xfrm>
                      <a:off x="0" y="0"/>
                      <a:ext cx="5678303" cy="7528387"/>
                    </a:xfrm>
                    <a:prstGeom prst="roundRect">
                      <a:avLst>
                        <a:gd name="adj" fmla="val 6030"/>
                      </a:avLst>
                    </a:prstGeom>
                    <a:noFill/>
                    <a:ln w="76200" cap="flat" cmpd="sng" algn="ctr">
                      <a:solidFill>
                        <a:srgbClr val="009AD9"/>
                      </a:solidFill>
                      <a:prstDash val="solid"/>
                      <a:miter lim="800%"/>
                    </a:ln>
                    <a:effectLst/>
                  </wp:spPr>
                  <wp:txbx>
                    <wne:txbxContent>
                      <w:p w:rsidR="000511F0" w:rsidRDefault="000511F0" w:rsidP="008728A8">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1BF5B5ED" wp14:editId="3C50F4D4">
                              <wp:extent cx="2552700" cy="1438275"/>
                              <wp:effectExtent l="0" t="0" r="0" b="9525"/>
                              <wp:docPr id="48" name="Imagen 48"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Pr="00E54B24" w:rsidRDefault="000511F0" w:rsidP="008728A8">
                        <w:pPr>
                          <w:tabs>
                            <w:tab w:val="end" w:leader="dot" w:pos="467.80pt"/>
                          </w:tabs>
                          <w:spacing w:before="3pt" w:line="13.30pt" w:lineRule="auto"/>
                          <w:mirrorIndents/>
                          <w:rPr>
                            <w:rFonts w:ascii="Century Gothic" w:hAnsi="Century Gothic"/>
                            <w:sz w:val="20"/>
                            <w:szCs w:val="20"/>
                          </w:rPr>
                        </w:pPr>
                      </w:p>
                    </wne:txbxContent>
                  </wp:txbx>
                  <wp:bodyPr rot="0" spcFirstLastPara="0" vertOverflow="overflow" horzOverflow="overflow" vert="horz" wrap="square" lIns="91440" tIns="45720" rIns="91440" bIns="45720" numCol="1" spcCol="0" rtlCol="0" fromWordArt="0" anchor="ctr" anchorCtr="0" forceAA="0" compatLnSpc="1">
                    <a:prstTxWarp prst="textNoShape">
                      <a:avLst/>
                    </a:prstTxWarp>
                    <a:noAutofit/>
                  </wp:bodyPr>
                </wp:wsp>
              </a:graphicData>
            </a:graphic>
          </wp:inline>
        </w:drawing>
      </w:r>
    </w:p>
    <w:p w:rsidR="008728A8" w:rsidRPr="008728A8" w:rsidRDefault="008728A8" w:rsidP="008728A8">
      <w:pPr>
        <w:spacing w:after="10pt" w:line="12pt" w:lineRule="auto"/>
        <w:ind w:start="17.60pt"/>
        <w:jc w:val="both"/>
        <w:rPr>
          <w:rFonts w:ascii="Century Gothic" w:eastAsia="Times New Roman" w:hAnsi="Century Gothic" w:cs="Arial"/>
          <w:b/>
          <w:sz w:val="24"/>
          <w:szCs w:val="24"/>
          <w:lang w:val="es-ES_tradnl" w:eastAsia="es-ES"/>
        </w:rPr>
      </w:pPr>
    </w:p>
    <w:p w:rsidR="008728A8" w:rsidRPr="008728A8" w:rsidRDefault="008728A8" w:rsidP="008728A8">
      <w:pPr>
        <w:spacing w:line="12pt" w:lineRule="auto"/>
        <w:rPr>
          <w:rFonts w:ascii="Century Gothic" w:eastAsia="Calibri" w:hAnsi="Century Gothic" w:cs="Arial"/>
          <w:b/>
          <w:color w:val="000000"/>
          <w:sz w:val="24"/>
        </w:rPr>
        <w:sectPr w:rsidR="008728A8" w:rsidRPr="008728A8" w:rsidSect="008728A8">
          <w:headerReference w:type="default" r:id="rId109"/>
          <w:headerReference w:type="first" r:id="rId110"/>
          <w:type w:val="oddPage"/>
          <w:pgSz w:w="612.10pt" w:h="792.10pt" w:code="1"/>
          <w:pgMar w:top="70.90pt" w:right="70.90pt" w:bottom="70.90pt" w:left="70.90pt" w:header="35.45pt" w:footer="35.45pt" w:gutter="0pt"/>
          <w:cols w:space="36pt"/>
          <w:titlePg/>
          <w:docGrid w:linePitch="326"/>
        </w:sectPr>
      </w:pPr>
    </w:p>
    <w:p w:rsidR="008728A8" w:rsidRPr="008728A8" w:rsidRDefault="008728A8" w:rsidP="008728A8">
      <w:pPr>
        <w:spacing w:after="6pt"/>
        <w:jc w:val="center"/>
        <w:rPr>
          <w:rFonts w:ascii="Century Gothic" w:eastAsia="Calibri" w:hAnsi="Century Gothic" w:cs="Arial"/>
        </w:rPr>
        <w:sectPr w:rsidR="008728A8" w:rsidRPr="008728A8" w:rsidSect="008728A8">
          <w:type w:val="oddPage"/>
          <w:pgSz w:w="612.10pt" w:h="792.10pt"/>
          <w:pgMar w:top="70.90pt" w:right="70.90pt" w:bottom="70.90pt" w:left="70.90pt" w:header="35.45pt" w:footer="35.45pt" w:gutter="0pt"/>
          <w:cols w:space="36pt"/>
        </w:sectPr>
      </w:pPr>
      <w:bookmarkStart w:id="3225" w:name="_Toc428870611"/>
      <w:bookmarkStart w:id="3226" w:name="_Toc428878061"/>
      <w:bookmarkStart w:id="3227" w:name="_Toc428879916"/>
      <w:bookmarkStart w:id="3228" w:name="_Toc433198844"/>
      <w:bookmarkStart w:id="3229" w:name="_Toc434839937"/>
      <w:bookmarkStart w:id="3230" w:name="_Toc434839949"/>
      <w:bookmarkStart w:id="3231" w:name="_Toc428870612"/>
      <w:bookmarkStart w:id="3232" w:name="_Toc428878062"/>
      <w:bookmarkStart w:id="3233" w:name="_Toc428879917"/>
      <w:bookmarkStart w:id="3234" w:name="_Toc433198845"/>
      <w:bookmarkStart w:id="3235" w:name="_Toc434839938"/>
      <w:bookmarkStart w:id="3236" w:name="_Toc434839950"/>
      <w:bookmarkStart w:id="3237" w:name="_Toc428870613"/>
      <w:bookmarkStart w:id="3238" w:name="_Toc428878063"/>
      <w:bookmarkStart w:id="3239" w:name="_Toc428879918"/>
      <w:bookmarkStart w:id="3240" w:name="_Toc433198846"/>
      <w:bookmarkStart w:id="3241" w:name="_Toc434839939"/>
      <w:bookmarkStart w:id="3242" w:name="_Toc434839951"/>
      <w:bookmarkStart w:id="3243" w:name="_Toc428870614"/>
      <w:bookmarkStart w:id="3244" w:name="_Toc428878064"/>
      <w:bookmarkStart w:id="3245" w:name="_Toc428879919"/>
      <w:bookmarkStart w:id="3246" w:name="_Toc433198847"/>
      <w:bookmarkStart w:id="3247" w:name="_Toc434839940"/>
      <w:bookmarkStart w:id="3248" w:name="_Toc434839952"/>
      <w:bookmarkStart w:id="3249" w:name="_Toc428870615"/>
      <w:bookmarkStart w:id="3250" w:name="_Toc428878065"/>
      <w:bookmarkStart w:id="3251" w:name="_Toc428879920"/>
      <w:bookmarkStart w:id="3252" w:name="_Toc433198848"/>
      <w:bookmarkStart w:id="3253" w:name="_Toc434839941"/>
      <w:bookmarkStart w:id="3254" w:name="_Toc434839953"/>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p>
    <w:p w:rsidR="008728A8" w:rsidRPr="008728A8" w:rsidRDefault="008728A8" w:rsidP="008728A8">
      <w:pPr>
        <w:spacing w:after="6pt"/>
        <w:jc w:val="center"/>
        <w:rPr>
          <w:rFonts w:ascii="Century Gothic" w:eastAsia="Calibri" w:hAnsi="Century Gothic" w:cs="Arial"/>
        </w:rPr>
      </w:pPr>
      <w:bookmarkStart w:id="3255" w:name="_Toc107408524"/>
    </w:p>
    <w:p w:rsidR="008728A8" w:rsidRPr="008728A8" w:rsidRDefault="008728A8" w:rsidP="008728A8">
      <w:pPr>
        <w:spacing w:after="10pt" w:line="12pt" w:lineRule="auto"/>
        <w:ind w:start="17.60pt"/>
        <w:jc w:val="both"/>
        <w:rPr>
          <w:rFonts w:ascii="Century Gothic" w:eastAsia="Times New Roman" w:hAnsi="Century Gothic" w:cs="Arial"/>
          <w:b/>
          <w:sz w:val="24"/>
          <w:szCs w:val="24"/>
          <w:lang w:val="es-ES_tradnl" w:eastAsia="es-ES"/>
        </w:rPr>
      </w:pPr>
      <w:r w:rsidRPr="008728A8">
        <w:rPr>
          <w:rFonts w:eastAsia="Times New Roman" w:cs="Times New Roman"/>
          <w:noProof/>
          <w:sz w:val="24"/>
          <w:szCs w:val="24"/>
          <w:lang w:eastAsia="es-MX"/>
        </w:rPr>
        <w:drawing>
          <wp:inline distT="0" distB="0" distL="0" distR="0" wp14:anchorId="639FF674" wp14:editId="0ABEA42C">
            <wp:extent cx="5678170" cy="7528560"/>
            <wp:effectExtent l="38100" t="38100" r="46355" b="43815"/>
            <wp:docPr id="6" name="Rectángulo: esquinas redondeadas 9"/>
            <wp:cNvGraphicFramePr>
              <a:graphicFrameLocks xmlns:a="http://purl.oclc.org/ooxml/drawingml/main"/>
            </wp:cNvGraphicFramePr>
            <a:graphic xmlns:a="http://purl.oclc.org/ooxml/drawingml/main">
              <a:graphicData uri="http://schemas.microsoft.com/office/word/2010/wordprocessingShape">
                <wp:wsp>
                  <wp:cNvSpPr>
                    <a:spLocks/>
                  </wp:cNvSpPr>
                  <wp:spPr bwMode="auto">
                    <a:xfrm>
                      <a:off x="0" y="0"/>
                      <a:ext cx="5678170" cy="7528560"/>
                    </a:xfrm>
                    <a:prstGeom prst="roundRect">
                      <a:avLst>
                        <a:gd name="adj" fmla="val 6028"/>
                      </a:avLst>
                    </a:prstGeom>
                    <a:noFill/>
                    <a:ln w="76200">
                      <a:solidFill>
                        <a:srgbClr val="009AD9"/>
                      </a:solidFill>
                      <a:miter lim="800%"/>
                      <a:headEnd/>
                      <a:tailEnd/>
                    </a:ln>
                    <a:extLst>
                      <a:ext uri="{909E8E84-426E-40DD-AFC4-6F175D3DCCD1}">
                        <a14:hiddenFill xmlns:a14="http://schemas.microsoft.com/office/drawing/2010/main">
                          <a:solidFill>
                            <a:srgbClr val="FFFFFF"/>
                          </a:solidFill>
                        </a14:hiddenFill>
                      </a:ext>
                    </a:extLst>
                  </wp:spPr>
                  <wp:txbx>
                    <wne:txbxContent>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08CD378B" wp14:editId="43D890C2">
                              <wp:extent cx="2552700" cy="1438275"/>
                              <wp:effectExtent l="0" t="0" r="0" b="9525"/>
                              <wp:docPr id="63" name="Imagen 63"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2025</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66364455" wp14:editId="4AE85342">
                              <wp:extent cx="2552700" cy="1438275"/>
                              <wp:effectExtent l="0" t="0" r="0" b="9525"/>
                              <wp:docPr id="1770624128" name="Imagen 1770624128"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2023</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4DCEF7C6" wp14:editId="180436E2">
                              <wp:extent cx="2552700" cy="1438275"/>
                              <wp:effectExtent l="0" t="0" r="0" b="9525"/>
                              <wp:docPr id="1770624129" name="Imagen 1770624129"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2023</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74BA284E" wp14:editId="24A93EFC">
                              <wp:extent cx="2552700" cy="1438275"/>
                              <wp:effectExtent l="0" t="0" r="0" b="9525"/>
                              <wp:docPr id="1770624130" name="Imagen 1770624130"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2023</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0BE20CC3" wp14:editId="7A1045B1">
                              <wp:extent cx="2552700" cy="1438275"/>
                              <wp:effectExtent l="0" t="0" r="0" b="9525"/>
                              <wp:docPr id="1770624131" name="Imagen 1770624131"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2024</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5D4E819F" wp14:editId="27CFA760">
                              <wp:extent cx="2552700" cy="1438275"/>
                              <wp:effectExtent l="0" t="0" r="0" b="9525"/>
                              <wp:docPr id="1770624132" name="Imagen 1770624132"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2023</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6454D5F4" wp14:editId="25A0E7CE">
                              <wp:extent cx="2552700" cy="1438275"/>
                              <wp:effectExtent l="0" t="0" r="0" b="9525"/>
                              <wp:docPr id="1770624133" name="Imagen 1770624133"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2023</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28E98E79" wp14:editId="230B7A1F">
                              <wp:extent cx="2552700" cy="1438275"/>
                              <wp:effectExtent l="0" t="0" r="0" b="9525"/>
                              <wp:docPr id="1770624134" name="Imagen 1770624134"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2023</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0A58B9A7" wp14:editId="08D6EC9A">
                              <wp:extent cx="2552700" cy="1438275"/>
                              <wp:effectExtent l="0" t="0" r="0" b="9525"/>
                              <wp:docPr id="1770624135" name="Imagen 1770624135"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2024</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383F7483" wp14:editId="756591A4">
                              <wp:extent cx="2552700" cy="1438275"/>
                              <wp:effectExtent l="0" t="0" r="0" b="9525"/>
                              <wp:docPr id="1770624136" name="Imagen 1770624136"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2023</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5491286E" wp14:editId="5FC8D482">
                              <wp:extent cx="2552700" cy="1438275"/>
                              <wp:effectExtent l="0" t="0" r="0" b="9525"/>
                              <wp:docPr id="1770624137" name="Imagen 1770624137"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2023</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368D632F" wp14:editId="6922C163">
                              <wp:extent cx="2552700" cy="1438275"/>
                              <wp:effectExtent l="0" t="0" r="0" b="9525"/>
                              <wp:docPr id="1770624138" name="Imagen 1770624138"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2023</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7561DF75" wp14:editId="46C68C4E">
                              <wp:extent cx="2552700" cy="1438275"/>
                              <wp:effectExtent l="0" t="0" r="0" b="9525"/>
                              <wp:docPr id="1770624139" name="Imagen 1770624139"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2024</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4A016F77" wp14:editId="341E0DFC">
                              <wp:extent cx="2552700" cy="1438275"/>
                              <wp:effectExtent l="0" t="0" r="0" b="9525"/>
                              <wp:docPr id="1770624140" name="Imagen 1770624140"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2023</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000B49A7" wp14:editId="4C153B9F">
                              <wp:extent cx="2552700" cy="1438275"/>
                              <wp:effectExtent l="0" t="0" r="0" b="9525"/>
                              <wp:docPr id="1770624141" name="Imagen 1770624141"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2023</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659D2631" wp14:editId="58CF0EB3">
                              <wp:extent cx="2552700" cy="1438275"/>
                              <wp:effectExtent l="0" t="0" r="0" b="9525"/>
                              <wp:docPr id="1770624142" name="Imagen 1770624142"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2023</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1A73CE42" wp14:editId="67BC7CA9">
                              <wp:extent cx="2552700" cy="1438275"/>
                              <wp:effectExtent l="0" t="0" r="0" b="9525"/>
                              <wp:docPr id="1770624143" name="Imagen 1770624143"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2024</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4507528F" wp14:editId="44F718C2">
                              <wp:extent cx="2552700" cy="1438275"/>
                              <wp:effectExtent l="0" t="0" r="0" b="9525"/>
                              <wp:docPr id="1770624144" name="Imagen 1770624144"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2023</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567D9807" wp14:editId="2B3E1E4F">
                              <wp:extent cx="2552700" cy="1438275"/>
                              <wp:effectExtent l="0" t="0" r="0" b="9525"/>
                              <wp:docPr id="1770624145" name="Imagen 1770624145"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2023</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091D8768" wp14:editId="4CE057EE">
                              <wp:extent cx="2552700" cy="1438275"/>
                              <wp:effectExtent l="0" t="0" r="0" b="9525"/>
                              <wp:docPr id="1770624146" name="Imagen 1770624146"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2023</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559A134F" wp14:editId="12E3B357">
                              <wp:extent cx="2552700" cy="1438275"/>
                              <wp:effectExtent l="0" t="0" r="0" b="9525"/>
                              <wp:docPr id="1770624147" name="Imagen 1770624147"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2024</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4463CAD3" wp14:editId="4368DFA9">
                              <wp:extent cx="2552700" cy="1438275"/>
                              <wp:effectExtent l="0" t="0" r="0" b="9525"/>
                              <wp:docPr id="1770624149" name="Imagen 1770624149"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2023</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29593C86" wp14:editId="5F73AA42">
                              <wp:extent cx="2552700" cy="1438275"/>
                              <wp:effectExtent l="0" t="0" r="0" b="9525"/>
                              <wp:docPr id="1770624150" name="Imagen 1770624150"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2023</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73578E0D" wp14:editId="00F16E08">
                              <wp:extent cx="2552700" cy="1438275"/>
                              <wp:effectExtent l="0" t="0" r="0" b="9525"/>
                              <wp:docPr id="1770624151" name="Imagen 1770624151"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2023</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4916CC32" wp14:editId="0AA48936">
                              <wp:extent cx="2552700" cy="1438275"/>
                              <wp:effectExtent l="0" t="0" r="0" b="9525"/>
                              <wp:docPr id="1770624152" name="Imagen 1770624152"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2024</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6530A2E6" wp14:editId="15E639EF">
                              <wp:extent cx="2552700" cy="1438275"/>
                              <wp:effectExtent l="0" t="0" r="0" b="9525"/>
                              <wp:docPr id="1770624153" name="Imagen 1770624153"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2023</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3C493A46" wp14:editId="604D6EF6">
                              <wp:extent cx="2552700" cy="1438275"/>
                              <wp:effectExtent l="0" t="0" r="0" b="9525"/>
                              <wp:docPr id="1770624154" name="Imagen 1770624154"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2023</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15A6C3EA" wp14:editId="39B694BE">
                              <wp:extent cx="2552700" cy="1438275"/>
                              <wp:effectExtent l="0" t="0" r="0" b="9525"/>
                              <wp:docPr id="1770624155" name="Imagen 1770624155"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r>
                          <w:rPr>
                            <w:rFonts w:ascii="Century Gothic" w:hAnsi="Century Gothic"/>
                            <w:b w:val="0"/>
                            <w:sz w:val="24"/>
                            <w:szCs w:val="24"/>
                            <w:u w:val="single"/>
                          </w:rPr>
                          <w:t>ANEXO H</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2023</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2C75015C" wp14:editId="1FC1F313">
                              <wp:extent cx="2552700" cy="1438275"/>
                              <wp:effectExtent l="0" t="0" r="0" b="9525"/>
                              <wp:docPr id="1770624156" name="Imagen 1770624156"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bookmarkStart w:id="3256" w:name="_Toc148702437"/>
                        <w:r>
                          <w:rPr>
                            <w:rFonts w:ascii="Century Gothic" w:hAnsi="Century Gothic"/>
                            <w:b w:val="0"/>
                            <w:sz w:val="24"/>
                            <w:szCs w:val="24"/>
                            <w:u w:val="single"/>
                          </w:rPr>
                          <w:t>ANEXO H</w:t>
                        </w:r>
                        <w:bookmarkEnd w:id="3256"/>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2024</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6E96F2C5" wp14:editId="2FEC6BB9">
                              <wp:extent cx="2552700" cy="1438275"/>
                              <wp:effectExtent l="0" t="0" r="0" b="9525"/>
                              <wp:docPr id="1770624157" name="Imagen 1770624157"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bookmarkStart w:id="3257" w:name="_Toc148702438"/>
                        <w:r>
                          <w:rPr>
                            <w:rFonts w:ascii="Century Gothic" w:hAnsi="Century Gothic"/>
                            <w:b w:val="0"/>
                            <w:sz w:val="24"/>
                            <w:szCs w:val="24"/>
                            <w:u w:val="single"/>
                          </w:rPr>
                          <w:t>ANEXO H</w:t>
                        </w:r>
                        <w:bookmarkEnd w:id="3257"/>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2023</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1BED714D" wp14:editId="7F204952">
                              <wp:extent cx="2552700" cy="1438275"/>
                              <wp:effectExtent l="0" t="0" r="0" b="9525"/>
                              <wp:docPr id="1770624158" name="Imagen 1770624158"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bookmarkStart w:id="3258" w:name="_Toc148702439"/>
                        <w:r>
                          <w:rPr>
                            <w:rFonts w:ascii="Century Gothic" w:hAnsi="Century Gothic"/>
                            <w:b w:val="0"/>
                            <w:sz w:val="24"/>
                            <w:szCs w:val="24"/>
                            <w:u w:val="single"/>
                          </w:rPr>
                          <w:t>ANEXO H</w:t>
                        </w:r>
                        <w:bookmarkEnd w:id="3258"/>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2023</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p w:rsidR="000511F0" w:rsidRDefault="000511F0" w:rsidP="008728A8"/>
                      <w:p w:rsidR="000511F0" w:rsidRDefault="000511F0" w:rsidP="008728A8">
                        <w:pPr>
                          <w:jc w:val="center"/>
                          <w:rPr>
                            <w:rFonts w:ascii="Century Gothic" w:hAnsi="Century Gothic" w:cs="Arial"/>
                            <w:b/>
                            <w:noProof/>
                            <w:color w:val="000000"/>
                            <w:sz w:val="26"/>
                            <w:szCs w:val="26"/>
                            <w:lang w:eastAsia="es-MX"/>
                          </w:rPr>
                        </w:pPr>
                        <w:r>
                          <w:rPr>
                            <w:rFonts w:ascii="Calibri" w:hAnsi="Calibri"/>
                            <w:noProof/>
                            <w:sz w:val="20"/>
                            <w:szCs w:val="20"/>
                            <w:lang w:eastAsia="es-MX"/>
                          </w:rPr>
                          <w:drawing>
                            <wp:inline distT="0" distB="0" distL="0" distR="0" wp14:anchorId="14A9D164" wp14:editId="51D2B3E2">
                              <wp:extent cx="2552700" cy="1438275"/>
                              <wp:effectExtent l="0" t="0" r="0" b="9525"/>
                              <wp:docPr id="1770624159" name="Imagen 1770624159" descr="A close up of a logo&#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Imagen 5"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rsidR="000511F0" w:rsidRDefault="000511F0" w:rsidP="008728A8">
                        <w:pPr>
                          <w:jc w:val="center"/>
                          <w:rPr>
                            <w:rFonts w:ascii="Century Gothic" w:hAnsi="Century Gothic" w:cs="Arial"/>
                            <w:b/>
                            <w:noProof/>
                            <w:color w:val="000000"/>
                            <w:sz w:val="26"/>
                            <w:szCs w:val="26"/>
                            <w:lang w:eastAsia="es-MX"/>
                          </w:rPr>
                        </w:pPr>
                      </w:p>
                      <w:p w:rsidR="000511F0" w:rsidRDefault="000511F0" w:rsidP="008728A8">
                        <w:pPr>
                          <w:jc w:val="center"/>
                          <w:rPr>
                            <w:rFonts w:cs="Times New Roman"/>
                          </w:rPr>
                        </w:pPr>
                      </w:p>
                      <w:p w:rsidR="000511F0" w:rsidRDefault="000511F0" w:rsidP="008728A8">
                        <w:pPr>
                          <w:jc w:val="center"/>
                        </w:pPr>
                      </w:p>
                      <w:p w:rsidR="000511F0" w:rsidRDefault="000511F0" w:rsidP="008728A8">
                        <w:pPr>
                          <w:pStyle w:val="Ttulo1"/>
                          <w:jc w:val="center"/>
                          <w:rPr>
                            <w:rFonts w:ascii="Century Gothic" w:hAnsi="Century Gothic"/>
                            <w:sz w:val="24"/>
                            <w:szCs w:val="24"/>
                            <w:u w:val="single"/>
                          </w:rPr>
                        </w:pPr>
                        <w:bookmarkStart w:id="3259" w:name="_Toc107503230"/>
                        <w:bookmarkStart w:id="3260" w:name="_Toc125393582"/>
                        <w:bookmarkStart w:id="3261" w:name="_Toc148702440"/>
                        <w:r>
                          <w:rPr>
                            <w:rFonts w:ascii="Century Gothic" w:hAnsi="Century Gothic"/>
                            <w:b w:val="0"/>
                            <w:sz w:val="24"/>
                            <w:szCs w:val="24"/>
                            <w:u w:val="single"/>
                          </w:rPr>
                          <w:t>ANEXO H</w:t>
                        </w:r>
                        <w:bookmarkEnd w:id="3259"/>
                        <w:bookmarkEnd w:id="3260"/>
                        <w:bookmarkEnd w:id="3261"/>
                      </w:p>
                      <w:p w:rsidR="000511F0" w:rsidRDefault="000511F0" w:rsidP="008728A8">
                        <w:pPr>
                          <w:rPr>
                            <w:lang w:val="es-ES" w:eastAsia="es-ES"/>
                          </w:rPr>
                        </w:pP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lang w:val="es-ES" w:eastAsia="es-ES"/>
                          </w:rPr>
                        </w:pPr>
                        <w:r>
                          <w:rPr>
                            <w:rFonts w:ascii="Century Gothic" w:hAnsi="Century Gothic" w:cs="Arial"/>
                            <w:b/>
                            <w:sz w:val="26"/>
                            <w:szCs w:val="26"/>
                            <w:lang w:val="es-ES" w:eastAsia="es-ES"/>
                          </w:rPr>
                          <w:t>Políticas aplicables a la creación de nuevos perfiles SAIB</w:t>
                        </w:r>
                      </w:p>
                      <w:p w:rsidR="000511F0" w:rsidRDefault="000511F0" w:rsidP="008728A8">
                        <w:pPr>
                          <w:rPr>
                            <w:lang w:val="es-ES" w:eastAsia="es-ES"/>
                          </w:rPr>
                        </w:pPr>
                      </w:p>
                      <w:p w:rsidR="000511F0" w:rsidRDefault="000511F0" w:rsidP="008728A8">
                        <w:pPr>
                          <w:rPr>
                            <w:lang w:val="es-ES" w:eastAsia="es-ES"/>
                          </w:rPr>
                        </w:pPr>
                      </w:p>
                      <w:p w:rsidR="000511F0" w:rsidRDefault="000511F0" w:rsidP="008728A8">
                        <w:pPr>
                          <w:jc w:val="center"/>
                          <w:rPr>
                            <w:rFonts w:ascii="Century Gothic" w:hAnsi="Century Gothic"/>
                            <w:b/>
                            <w:sz w:val="24"/>
                            <w:szCs w:val="24"/>
                          </w:rPr>
                        </w:pPr>
                        <w:r>
                          <w:rPr>
                            <w:rFonts w:ascii="Century Gothic" w:hAnsi="Century Gothic"/>
                            <w:b/>
                            <w:sz w:val="24"/>
                            <w:szCs w:val="24"/>
                          </w:rPr>
                          <w:t>Red Nacional Última Milla, S.A.P.I. de C.V.</w:t>
                        </w:r>
                      </w:p>
                      <w:p w:rsidR="000511F0" w:rsidRDefault="000511F0" w:rsidP="008728A8">
                        <w:pPr>
                          <w:jc w:val="center"/>
                          <w:rPr>
                            <w:rFonts w:ascii="Century Gothic" w:hAnsi="Century Gothic"/>
                            <w:bCs/>
                            <w:sz w:val="24"/>
                            <w:szCs w:val="24"/>
                          </w:rPr>
                        </w:pPr>
                        <w:r>
                          <w:rPr>
                            <w:rFonts w:ascii="Century Gothic" w:hAnsi="Century Gothic"/>
                            <w:bCs/>
                            <w:sz w:val="24"/>
                            <w:szCs w:val="24"/>
                          </w:rPr>
                          <w:t>(Servicios de Desagregación del Bucle Local)</w:t>
                        </w:r>
                        <w:r>
                          <w:rPr>
                            <w:rFonts w:ascii="Century Gothic" w:hAnsi="Century Gothic"/>
                            <w:bCs/>
                            <w:sz w:val="24"/>
                            <w:szCs w:val="24"/>
                          </w:rPr>
                          <w:br/>
                        </w:r>
                      </w:p>
                      <w:p w:rsidR="000511F0" w:rsidRDefault="000511F0" w:rsidP="008728A8">
                        <w:pPr>
                          <w:jc w:val="center"/>
                          <w:rPr>
                            <w:rFonts w:ascii="Century Gothic" w:hAnsi="Century Gothic"/>
                            <w:b/>
                            <w:bCs/>
                            <w:sz w:val="24"/>
                            <w:szCs w:val="24"/>
                          </w:rPr>
                        </w:pPr>
                      </w:p>
                      <w:p w:rsidR="000511F0" w:rsidRDefault="000511F0" w:rsidP="008728A8">
                        <w:pPr>
                          <w:jc w:val="center"/>
                          <w:rPr>
                            <w:rFonts w:ascii="Century Gothic" w:hAnsi="Century Gothic"/>
                            <w:b/>
                            <w:sz w:val="24"/>
                            <w:szCs w:val="24"/>
                          </w:rPr>
                        </w:pPr>
                        <w:r>
                          <w:rPr>
                            <w:rFonts w:ascii="Century Gothic" w:hAnsi="Century Gothic"/>
                            <w:b/>
                            <w:sz w:val="24"/>
                            <w:szCs w:val="24"/>
                          </w:rPr>
                          <w:t>2023</w:t>
                        </w: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spacing w:line="18pt" w:lineRule="auto"/>
                          <w:jc w:val="center"/>
                          <w:rPr>
                            <w:rFonts w:ascii="Century Gothic" w:hAnsi="Century Gothic" w:cs="Arial"/>
                            <w:b/>
                            <w:sz w:val="24"/>
                            <w:szCs w:val="24"/>
                            <w:lang w:val="es-ES"/>
                          </w:rPr>
                        </w:pPr>
                      </w:p>
                      <w:p w:rsidR="000511F0" w:rsidRDefault="000511F0" w:rsidP="008728A8">
                        <w:pPr>
                          <w:jc w:val="center"/>
                          <w:rPr>
                            <w:rFonts w:ascii="Century Gothic" w:hAnsi="Century Gothic" w:cs="Arial"/>
                            <w:b/>
                            <w:sz w:val="24"/>
                            <w:szCs w:val="24"/>
                            <w:lang w:val="es-ES"/>
                          </w:rPr>
                        </w:pPr>
                      </w:p>
                    </wne:txbxContent>
                  </wp:txbx>
                  <wp:bodyPr rot="0" vert="horz" wrap="square" lIns="91440" tIns="45720" rIns="91440" bIns="45720" anchor="ctr" anchorCtr="0" upright="1">
                    <a:noAutofit/>
                  </wp:bodyPr>
                </wp:wsp>
              </a:graphicData>
            </a:graphic>
          </wp:inline>
        </w:drawing>
      </w:r>
    </w:p>
    <w:p w:rsidR="008728A8" w:rsidRPr="008728A8" w:rsidRDefault="008728A8" w:rsidP="008728A8">
      <w:pPr>
        <w:jc w:val="center"/>
        <w:rPr>
          <w:rFonts w:ascii="Century Gothic" w:eastAsia="Calibri" w:hAnsi="Century Gothic" w:cs="Times New Roman"/>
          <w:b/>
          <w:bCs/>
          <w:sz w:val="24"/>
          <w:szCs w:val="24"/>
        </w:rPr>
      </w:pPr>
    </w:p>
    <w:p w:rsidR="008728A8" w:rsidRPr="008728A8" w:rsidRDefault="008728A8" w:rsidP="008728A8">
      <w:pPr>
        <w:rPr>
          <w:rFonts w:ascii="Century Gothic" w:eastAsia="Calibri" w:hAnsi="Century Gothic" w:cs="Times New Roman"/>
          <w:b/>
          <w:sz w:val="24"/>
          <w:szCs w:val="24"/>
        </w:rPr>
        <w:sectPr w:rsidR="008728A8" w:rsidRPr="008728A8" w:rsidSect="008728A8">
          <w:headerReference w:type="default" r:id="rId111"/>
          <w:type w:val="oddPage"/>
          <w:pgSz w:w="612.10pt" w:h="792.10pt"/>
          <w:pgMar w:top="70.90pt" w:right="70.90pt" w:bottom="70.90pt" w:left="70.90pt" w:header="35.45pt" w:footer="35.45pt" w:gutter="0pt"/>
          <w:cols w:space="36pt"/>
        </w:sectPr>
      </w:pPr>
    </w:p>
    <w:bookmarkEnd w:id="3255"/>
    <w:p w:rsidR="008728A8" w:rsidRPr="009863FD" w:rsidRDefault="008728A8" w:rsidP="009863FD">
      <w:pPr>
        <w:spacing w:line="12pt" w:lineRule="auto"/>
        <w:jc w:val="center"/>
        <w:outlineLvl w:val="0"/>
        <w:rPr>
          <w:rFonts w:ascii="Century Gothic" w:eastAsia="Calibri" w:hAnsi="Century Gothic" w:cs="Arial"/>
          <w:b/>
          <w:lang w:val="es-ES" w:eastAsia="es-ES"/>
        </w:rPr>
      </w:pPr>
      <w:r w:rsidRPr="009863FD">
        <w:rPr>
          <w:rFonts w:ascii="Century Gothic" w:eastAsia="Calibri" w:hAnsi="Century Gothic" w:cs="Arial"/>
          <w:b/>
          <w:lang w:val="es-ES" w:eastAsia="es-ES"/>
        </w:rPr>
        <w:lastRenderedPageBreak/>
        <w:t>ANEXO H</w:t>
      </w:r>
    </w:p>
    <w:p w:rsidR="008728A8" w:rsidRPr="009863FD" w:rsidRDefault="008728A8" w:rsidP="009863FD">
      <w:pPr>
        <w:spacing w:line="12pt" w:lineRule="auto"/>
        <w:jc w:val="center"/>
        <w:outlineLvl w:val="0"/>
        <w:rPr>
          <w:rFonts w:ascii="Century Gothic" w:eastAsia="Calibri" w:hAnsi="Century Gothic" w:cs="Arial"/>
          <w:b/>
          <w:lang w:val="es-ES" w:eastAsia="es-ES"/>
        </w:rPr>
      </w:pPr>
      <w:bookmarkStart w:id="3262" w:name="_Toc107408525"/>
      <w:bookmarkStart w:id="3263" w:name="_Toc115739257"/>
      <w:r w:rsidRPr="009863FD">
        <w:rPr>
          <w:rFonts w:ascii="Century Gothic" w:eastAsia="Calibri" w:hAnsi="Century Gothic" w:cs="Arial"/>
          <w:b/>
          <w:lang w:val="es-ES" w:eastAsia="es-ES"/>
        </w:rPr>
        <w:t>POLÍTICAS APLICABLES A LA CREACIÓN DE NUEVOS PERFILES SAIB</w:t>
      </w:r>
      <w:bookmarkEnd w:id="3262"/>
      <w:bookmarkEnd w:id="3263"/>
    </w:p>
    <w:p w:rsidR="008728A8" w:rsidRPr="008728A8" w:rsidRDefault="008728A8" w:rsidP="008728A8">
      <w:pPr>
        <w:tabs>
          <w:tab w:val="start" w:pos="418.20pt"/>
          <w:tab w:val="start" w:pos="429.90pt"/>
        </w:tabs>
        <w:ind w:end="23.70pt"/>
        <w:jc w:val="both"/>
        <w:rPr>
          <w:rFonts w:ascii="Century Gothic" w:eastAsia="Calibri" w:hAnsi="Century Gothic" w:cs="Times New Roman"/>
        </w:rPr>
      </w:pPr>
    </w:p>
    <w:p w:rsidR="008728A8" w:rsidRPr="008728A8" w:rsidRDefault="008728A8" w:rsidP="008728A8">
      <w:pPr>
        <w:tabs>
          <w:tab w:val="start" w:pos="418.20pt"/>
          <w:tab w:val="start" w:pos="429.90pt"/>
        </w:tabs>
        <w:ind w:end="23.70pt"/>
        <w:jc w:val="both"/>
        <w:rPr>
          <w:rFonts w:ascii="Century Gothic" w:eastAsia="Calibri" w:hAnsi="Century Gothic" w:cs="Times New Roman"/>
        </w:rPr>
      </w:pPr>
      <w:r w:rsidRPr="008728A8">
        <w:rPr>
          <w:rFonts w:ascii="Century Gothic" w:eastAsia="Calibri" w:hAnsi="Century Gothic" w:cs="Arial"/>
          <w:bCs/>
        </w:rPr>
        <w:t>Los Concesionarios Solicitantes</w:t>
      </w:r>
      <w:r w:rsidRPr="008728A8">
        <w:rPr>
          <w:rFonts w:ascii="Century Gothic" w:eastAsia="Calibri" w:hAnsi="Century Gothic" w:cs="Times New Roman"/>
        </w:rPr>
        <w:t xml:space="preserve"> (CS) con Convenio de Desagregación podrán solicitar a RED NACIONAL la creación de nuevos perfiles de SAIB con velocidades y características diferentes a las señaladas en el Anexo A ¨Tarifas¨ de la OREDA Vigente, las adicionales que hubiese hecho disponibles a través del SEG/SIPO, y la descripción y características del servicio contenidas en la OREDA de acuerdo con los términos establecidos en este documento. </w:t>
      </w:r>
    </w:p>
    <w:p w:rsidR="008728A8" w:rsidRPr="008728A8" w:rsidRDefault="008728A8" w:rsidP="008728A8">
      <w:pPr>
        <w:ind w:end="21.25pt"/>
        <w:jc w:val="both"/>
        <w:rPr>
          <w:rFonts w:ascii="Century Gothic" w:eastAsia="Calibri" w:hAnsi="Century Gothic" w:cs="Arial"/>
          <w:bCs/>
        </w:rPr>
      </w:pPr>
    </w:p>
    <w:p w:rsidR="008728A8" w:rsidRPr="008728A8" w:rsidRDefault="008728A8" w:rsidP="008728A8">
      <w:pPr>
        <w:ind w:end="21.25pt"/>
        <w:jc w:val="both"/>
        <w:rPr>
          <w:rFonts w:ascii="Century Gothic" w:eastAsia="Calibri" w:hAnsi="Century Gothic" w:cs="Times New Roman"/>
          <w:b/>
        </w:rPr>
      </w:pPr>
      <w:r w:rsidRPr="008728A8">
        <w:rPr>
          <w:rFonts w:ascii="Century Gothic" w:eastAsia="Calibri" w:hAnsi="Century Gothic" w:cs="Times New Roman"/>
          <w:b/>
        </w:rPr>
        <w:t>Definiciones.</w:t>
      </w:r>
    </w:p>
    <w:p w:rsidR="008728A8" w:rsidRPr="008728A8" w:rsidRDefault="008728A8" w:rsidP="008728A8">
      <w:pPr>
        <w:ind w:end="21.25pt"/>
        <w:jc w:val="both"/>
        <w:rPr>
          <w:rFonts w:ascii="Century Gothic" w:eastAsia="Calibri" w:hAnsi="Century Gothic" w:cs="Arial"/>
          <w:b/>
          <w:bCs/>
        </w:rPr>
      </w:pPr>
    </w:p>
    <w:p w:rsidR="008728A8" w:rsidRPr="008728A8" w:rsidRDefault="008728A8" w:rsidP="008728A8">
      <w:pPr>
        <w:tabs>
          <w:tab w:val="start" w:pos="425.25pt"/>
        </w:tabs>
        <w:ind w:end="21.25pt"/>
        <w:jc w:val="both"/>
        <w:rPr>
          <w:rFonts w:ascii="Century Gothic" w:eastAsia="Calibri" w:hAnsi="Century Gothic" w:cs="Arial"/>
          <w:bCs/>
        </w:rPr>
      </w:pPr>
      <w:r w:rsidRPr="008728A8">
        <w:rPr>
          <w:rFonts w:ascii="Century Gothic" w:eastAsia="Calibri" w:hAnsi="Century Gothic" w:cs="Times New Roman"/>
        </w:rPr>
        <w:t>Salvo los términos que se definen a continuación, los empleados con inicial mayúscula o mayúsculas tendrán el significado que se le atribuye en las secciones ¨Definiciones¨ y ¨Acrónimos¨ de la OREDA.</w:t>
      </w:r>
    </w:p>
    <w:p w:rsidR="008728A8" w:rsidRPr="008728A8" w:rsidRDefault="008728A8" w:rsidP="008728A8">
      <w:pPr>
        <w:tabs>
          <w:tab w:val="start" w:pos="425.25pt"/>
        </w:tabs>
        <w:ind w:end="21.25pt"/>
        <w:jc w:val="both"/>
        <w:rPr>
          <w:rFonts w:ascii="Century Gothic" w:eastAsia="Calibri" w:hAnsi="Century Gothic" w:cs="Times New Roman"/>
        </w:rPr>
      </w:pPr>
    </w:p>
    <w:p w:rsidR="008728A8" w:rsidRPr="008728A8" w:rsidRDefault="008728A8" w:rsidP="008728A8">
      <w:pPr>
        <w:tabs>
          <w:tab w:val="start" w:pos="425.25pt"/>
        </w:tabs>
        <w:ind w:end="21.25pt"/>
        <w:jc w:val="both"/>
        <w:rPr>
          <w:rFonts w:ascii="Century Gothic" w:eastAsia="Calibri" w:hAnsi="Century Gothic" w:cs="Times New Roman"/>
        </w:rPr>
      </w:pPr>
      <w:r w:rsidRPr="008728A8">
        <w:rPr>
          <w:rFonts w:ascii="Century Gothic" w:eastAsia="Calibri" w:hAnsi="Century Gothic" w:cs="Times New Roman"/>
          <w:b/>
        </w:rPr>
        <w:t>Convenio de Desagregación</w:t>
      </w:r>
      <w:r w:rsidRPr="008728A8">
        <w:rPr>
          <w:rFonts w:ascii="Century Gothic" w:eastAsia="Calibri" w:hAnsi="Century Gothic" w:cs="Times New Roman"/>
        </w:rPr>
        <w:t>: Es el convenio vigente en términos de la OREDA, entre el CS y R</w:t>
      </w:r>
      <w:r w:rsidR="009A3885">
        <w:rPr>
          <w:rFonts w:ascii="Century Gothic" w:eastAsia="Calibri" w:hAnsi="Century Gothic" w:cs="Times New Roman"/>
        </w:rPr>
        <w:t>ed Última Milla</w:t>
      </w:r>
      <w:r w:rsidRPr="008728A8">
        <w:rPr>
          <w:rFonts w:ascii="Century Gothic" w:eastAsia="Calibri" w:hAnsi="Century Gothic" w:cs="Times New Roman"/>
        </w:rPr>
        <w:t xml:space="preserve">. </w:t>
      </w:r>
    </w:p>
    <w:p w:rsidR="008728A8" w:rsidRPr="008728A8" w:rsidRDefault="008728A8" w:rsidP="008728A8">
      <w:pPr>
        <w:tabs>
          <w:tab w:val="start" w:pos="425.25pt"/>
        </w:tabs>
        <w:ind w:end="21.25pt"/>
        <w:jc w:val="both"/>
        <w:rPr>
          <w:rFonts w:ascii="Century Gothic" w:eastAsia="Calibri" w:hAnsi="Century Gothic" w:cs="Arial"/>
          <w:bCs/>
        </w:rPr>
      </w:pPr>
    </w:p>
    <w:p w:rsidR="008728A8" w:rsidRPr="008728A8" w:rsidRDefault="008728A8" w:rsidP="008728A8">
      <w:pPr>
        <w:tabs>
          <w:tab w:val="start" w:pos="425.25pt"/>
        </w:tabs>
        <w:ind w:end="21.25pt"/>
        <w:jc w:val="both"/>
        <w:rPr>
          <w:rFonts w:ascii="Century Gothic" w:eastAsia="Calibri" w:hAnsi="Century Gothic" w:cs="Times New Roman"/>
        </w:rPr>
      </w:pPr>
      <w:r w:rsidRPr="008728A8">
        <w:rPr>
          <w:rFonts w:ascii="Century Gothic" w:eastAsia="Calibri" w:hAnsi="Century Gothic" w:cs="Times New Roman"/>
          <w:b/>
        </w:rPr>
        <w:t>Nuevo Perfil SAIB:</w:t>
      </w:r>
      <w:r w:rsidRPr="008728A8">
        <w:rPr>
          <w:rFonts w:ascii="Century Gothic" w:eastAsia="Calibri" w:hAnsi="Century Gothic" w:cs="Times New Roman"/>
        </w:rPr>
        <w:t xml:space="preserve"> Velocidad (subida y/o bajada) que el CS solicita a RED NACIONAL desarrolle para la prestación del SAIB en los términos, calidad, características técnicas y operativas señaladas en la OREDA vigente.</w:t>
      </w:r>
    </w:p>
    <w:p w:rsidR="008728A8" w:rsidRPr="008728A8" w:rsidRDefault="008728A8" w:rsidP="008728A8">
      <w:pPr>
        <w:tabs>
          <w:tab w:val="start" w:pos="425.25pt"/>
        </w:tabs>
        <w:ind w:end="21.25pt"/>
        <w:jc w:val="both"/>
        <w:rPr>
          <w:rFonts w:ascii="Century Gothic" w:eastAsia="Calibri" w:hAnsi="Century Gothic" w:cs="Arial"/>
          <w:bCs/>
        </w:rPr>
      </w:pPr>
    </w:p>
    <w:p w:rsidR="008728A8" w:rsidRPr="008728A8" w:rsidRDefault="008728A8" w:rsidP="008728A8">
      <w:pPr>
        <w:ind w:end="21.25pt"/>
        <w:jc w:val="both"/>
        <w:rPr>
          <w:rFonts w:ascii="Century Gothic" w:eastAsia="Calibri" w:hAnsi="Century Gothic" w:cs="Arial"/>
          <w:b/>
          <w:bCs/>
        </w:rPr>
      </w:pPr>
      <w:r w:rsidRPr="008728A8">
        <w:rPr>
          <w:rFonts w:ascii="Century Gothic" w:eastAsia="Calibri" w:hAnsi="Century Gothic" w:cs="Times New Roman"/>
          <w:b/>
        </w:rPr>
        <w:t xml:space="preserve">Políticas. </w:t>
      </w:r>
    </w:p>
    <w:p w:rsidR="008728A8" w:rsidRPr="008728A8" w:rsidRDefault="008728A8" w:rsidP="008728A8">
      <w:pPr>
        <w:tabs>
          <w:tab w:val="start" w:pos="425.25pt"/>
        </w:tabs>
        <w:ind w:end="21.25pt"/>
        <w:jc w:val="both"/>
        <w:rPr>
          <w:rFonts w:ascii="Century Gothic" w:eastAsia="Calibri" w:hAnsi="Century Gothic" w:cs="Times New Roman"/>
        </w:rPr>
      </w:pPr>
    </w:p>
    <w:p w:rsidR="008728A8" w:rsidRPr="008728A8" w:rsidRDefault="008728A8" w:rsidP="008728A8">
      <w:pPr>
        <w:numPr>
          <w:ilvl w:val="0"/>
          <w:numId w:val="190"/>
        </w:numPr>
        <w:tabs>
          <w:tab w:val="start" w:pos="425.25pt"/>
        </w:tabs>
        <w:spacing w:line="12.80pt" w:lineRule="auto"/>
        <w:ind w:end="21.25pt"/>
        <w:contextualSpacing/>
        <w:jc w:val="both"/>
        <w:rPr>
          <w:rFonts w:ascii="Century Gothic" w:eastAsia="Calibri" w:hAnsi="Century Gothic" w:cs="Times New Roman"/>
        </w:rPr>
      </w:pPr>
      <w:r w:rsidRPr="008728A8">
        <w:rPr>
          <w:rFonts w:ascii="Century Gothic" w:eastAsia="Calibri" w:hAnsi="Century Gothic" w:cs="Times New Roman"/>
        </w:rPr>
        <w:t xml:space="preserve">Procedimiento de Solicitud </w:t>
      </w:r>
    </w:p>
    <w:p w:rsidR="008728A8" w:rsidRPr="008728A8" w:rsidRDefault="008728A8" w:rsidP="008728A8">
      <w:pPr>
        <w:tabs>
          <w:tab w:val="start" w:pos="425.25pt"/>
        </w:tabs>
        <w:ind w:start="42.55pt" w:end="21.25pt"/>
        <w:contextualSpacing/>
        <w:jc w:val="both"/>
        <w:rPr>
          <w:rFonts w:ascii="Century Gothic" w:eastAsia="Calibri" w:hAnsi="Century Gothic" w:cs="Times New Roman"/>
        </w:rPr>
      </w:pPr>
    </w:p>
    <w:p w:rsidR="008728A8" w:rsidRPr="008728A8" w:rsidRDefault="008728A8" w:rsidP="008728A8">
      <w:pPr>
        <w:tabs>
          <w:tab w:val="start" w:pos="425.25pt"/>
          <w:tab w:val="start" w:pos="439.45pt"/>
        </w:tabs>
        <w:ind w:start="60.75pt" w:end="21.25pt" w:hanging="18.20pt"/>
        <w:contextualSpacing/>
        <w:jc w:val="both"/>
        <w:rPr>
          <w:rFonts w:ascii="Century Gothic" w:eastAsia="Calibri" w:hAnsi="Century Gothic" w:cs="Times New Roman"/>
        </w:rPr>
      </w:pPr>
      <w:r w:rsidRPr="008728A8">
        <w:rPr>
          <w:rFonts w:ascii="Century Gothic" w:eastAsia="Calibri" w:hAnsi="Century Gothic" w:cs="Times New Roman"/>
        </w:rPr>
        <w:t>1.1 Solicitud del CS formulada y notificada a RED NACIONAL por escrito o bien enviada por el CS y entregada a RED NACIONAL a través de las cuentas de correos electrónicos pactadas en el Convenio de Desagregación con la siguiente información:</w:t>
      </w:r>
    </w:p>
    <w:p w:rsidR="008728A8" w:rsidRPr="008728A8" w:rsidRDefault="008728A8" w:rsidP="008728A8">
      <w:pPr>
        <w:jc w:val="both"/>
        <w:rPr>
          <w:rFonts w:ascii="Century Gothic" w:eastAsia="Calibri" w:hAnsi="Century Gothic" w:cs="Times New Roman"/>
        </w:rPr>
      </w:pPr>
    </w:p>
    <w:p w:rsidR="008728A8" w:rsidRPr="008728A8" w:rsidRDefault="008728A8" w:rsidP="008728A8">
      <w:pPr>
        <w:numPr>
          <w:ilvl w:val="0"/>
          <w:numId w:val="191"/>
        </w:numPr>
        <w:spacing w:line="12.80pt" w:lineRule="auto"/>
        <w:contextualSpacing/>
        <w:jc w:val="both"/>
        <w:rPr>
          <w:rFonts w:ascii="Century Gothic" w:eastAsia="Calibri" w:hAnsi="Century Gothic" w:cs="Times New Roman"/>
        </w:rPr>
      </w:pPr>
      <w:r w:rsidRPr="008728A8">
        <w:rPr>
          <w:rFonts w:ascii="Century Gothic" w:eastAsia="Calibri" w:hAnsi="Century Gothic" w:cs="Times New Roman"/>
        </w:rPr>
        <w:t>Descripción del Nuevo Perfil SAIB especificando:</w:t>
      </w:r>
    </w:p>
    <w:p w:rsidR="008728A8" w:rsidRPr="008728A8" w:rsidRDefault="008728A8" w:rsidP="008728A8">
      <w:pPr>
        <w:numPr>
          <w:ilvl w:val="0"/>
          <w:numId w:val="192"/>
        </w:numPr>
        <w:spacing w:before="12pt" w:after="8pt" w:line="12.80pt" w:lineRule="auto"/>
        <w:contextualSpacing/>
        <w:jc w:val="both"/>
        <w:rPr>
          <w:rFonts w:ascii="Century Gothic" w:eastAsia="Calibri" w:hAnsi="Century Gothic" w:cs="Times New Roman"/>
        </w:rPr>
      </w:pPr>
      <w:r w:rsidRPr="008728A8">
        <w:rPr>
          <w:rFonts w:ascii="Century Gothic" w:eastAsia="Calibri" w:hAnsi="Century Gothic" w:cs="Times New Roman"/>
        </w:rPr>
        <w:t xml:space="preserve">Velocidad de Subida y bajada: En enteros de Mbps. </w:t>
      </w:r>
    </w:p>
    <w:p w:rsidR="008728A8" w:rsidRPr="008728A8" w:rsidRDefault="008728A8" w:rsidP="008728A8">
      <w:pPr>
        <w:numPr>
          <w:ilvl w:val="0"/>
          <w:numId w:val="192"/>
        </w:numPr>
        <w:spacing w:before="12pt" w:after="8pt" w:line="12.80pt" w:lineRule="auto"/>
        <w:contextualSpacing/>
        <w:jc w:val="both"/>
        <w:rPr>
          <w:rFonts w:ascii="Century Gothic" w:eastAsia="Calibri" w:hAnsi="Century Gothic" w:cs="Times New Roman"/>
        </w:rPr>
      </w:pPr>
      <w:r w:rsidRPr="008728A8">
        <w:rPr>
          <w:rFonts w:ascii="Century Gothic" w:eastAsia="Calibri" w:hAnsi="Century Gothic" w:cs="Times New Roman"/>
        </w:rPr>
        <w:t>Caso: 1 o 2 / dedicado o compartido.</w:t>
      </w:r>
    </w:p>
    <w:p w:rsidR="008728A8" w:rsidRPr="008728A8" w:rsidRDefault="008728A8" w:rsidP="008728A8">
      <w:pPr>
        <w:numPr>
          <w:ilvl w:val="0"/>
          <w:numId w:val="192"/>
        </w:numPr>
        <w:spacing w:before="12pt" w:after="8pt" w:line="12.80pt" w:lineRule="auto"/>
        <w:contextualSpacing/>
        <w:jc w:val="both"/>
        <w:rPr>
          <w:rFonts w:ascii="Century Gothic" w:eastAsia="Calibri" w:hAnsi="Century Gothic" w:cs="Times New Roman"/>
        </w:rPr>
      </w:pPr>
      <w:r w:rsidRPr="008728A8">
        <w:rPr>
          <w:rFonts w:ascii="Century Gothic" w:eastAsia="Calibri" w:hAnsi="Century Gothic" w:cs="Times New Roman"/>
        </w:rPr>
        <w:t xml:space="preserve">Calidad del servicio o tráfico: </w:t>
      </w:r>
    </w:p>
    <w:p w:rsidR="008728A8" w:rsidRPr="008728A8" w:rsidRDefault="008728A8" w:rsidP="008728A8">
      <w:pPr>
        <w:numPr>
          <w:ilvl w:val="0"/>
          <w:numId w:val="193"/>
        </w:numPr>
        <w:spacing w:before="12pt" w:after="8pt" w:line="12.80pt" w:lineRule="auto"/>
        <w:contextualSpacing/>
        <w:jc w:val="both"/>
        <w:rPr>
          <w:rFonts w:ascii="Century Gothic" w:eastAsia="Calibri" w:hAnsi="Century Gothic" w:cs="Times New Roman"/>
        </w:rPr>
      </w:pPr>
      <w:r w:rsidRPr="008728A8">
        <w:rPr>
          <w:rFonts w:ascii="Century Gothic" w:eastAsia="Calibri" w:hAnsi="Century Gothic" w:cs="Times New Roman"/>
        </w:rPr>
        <w:t>Calidad: BE.</w:t>
      </w:r>
    </w:p>
    <w:p w:rsidR="008728A8" w:rsidRPr="008728A8" w:rsidRDefault="008728A8" w:rsidP="008728A8">
      <w:pPr>
        <w:numPr>
          <w:ilvl w:val="0"/>
          <w:numId w:val="193"/>
        </w:numPr>
        <w:spacing w:before="12pt" w:after="8pt" w:line="12.80pt" w:lineRule="auto"/>
        <w:contextualSpacing/>
        <w:jc w:val="both"/>
        <w:rPr>
          <w:rFonts w:ascii="Century Gothic" w:eastAsia="Calibri" w:hAnsi="Century Gothic" w:cs="Times New Roman"/>
        </w:rPr>
      </w:pPr>
      <w:r w:rsidRPr="008728A8">
        <w:rPr>
          <w:rFonts w:ascii="Century Gothic" w:eastAsia="Calibri" w:hAnsi="Century Gothic" w:cs="Times New Roman"/>
        </w:rPr>
        <w:t>Calidad doble: VoIP/BE.</w:t>
      </w:r>
    </w:p>
    <w:p w:rsidR="008728A8" w:rsidRPr="008728A8" w:rsidRDefault="008728A8" w:rsidP="008728A8">
      <w:pPr>
        <w:numPr>
          <w:ilvl w:val="0"/>
          <w:numId w:val="193"/>
        </w:numPr>
        <w:spacing w:before="12pt" w:after="8pt" w:line="12.80pt" w:lineRule="auto"/>
        <w:contextualSpacing/>
        <w:jc w:val="both"/>
        <w:rPr>
          <w:rFonts w:ascii="Century Gothic" w:eastAsia="Calibri" w:hAnsi="Century Gothic" w:cs="Times New Roman"/>
        </w:rPr>
      </w:pPr>
      <w:r w:rsidRPr="008728A8">
        <w:rPr>
          <w:rFonts w:ascii="Century Gothic" w:eastAsia="Calibri" w:hAnsi="Century Gothic" w:cs="Times New Roman"/>
        </w:rPr>
        <w:t>Calidad: Datos Generales.</w:t>
      </w:r>
    </w:p>
    <w:p w:rsidR="008728A8" w:rsidRPr="008728A8" w:rsidRDefault="008728A8" w:rsidP="008728A8">
      <w:pPr>
        <w:numPr>
          <w:ilvl w:val="0"/>
          <w:numId w:val="193"/>
        </w:numPr>
        <w:spacing w:before="12pt" w:after="8pt" w:line="12.80pt" w:lineRule="auto"/>
        <w:contextualSpacing/>
        <w:jc w:val="both"/>
        <w:rPr>
          <w:rFonts w:ascii="Century Gothic" w:eastAsia="Calibri" w:hAnsi="Century Gothic" w:cs="Times New Roman"/>
        </w:rPr>
      </w:pPr>
      <w:r w:rsidRPr="008728A8">
        <w:rPr>
          <w:rFonts w:ascii="Century Gothic" w:eastAsia="Calibri" w:hAnsi="Century Gothic" w:cs="Times New Roman"/>
        </w:rPr>
        <w:t>Calidad triple: VoIP/Datos Críticos/ Datos Generales.</w:t>
      </w:r>
    </w:p>
    <w:p w:rsidR="008728A8" w:rsidRPr="008728A8" w:rsidRDefault="008728A8" w:rsidP="008728A8">
      <w:pPr>
        <w:numPr>
          <w:ilvl w:val="0"/>
          <w:numId w:val="192"/>
        </w:numPr>
        <w:spacing w:before="12pt" w:after="8pt" w:line="12.80pt" w:lineRule="auto"/>
        <w:contextualSpacing/>
        <w:jc w:val="both"/>
        <w:rPr>
          <w:rFonts w:ascii="Century Gothic" w:eastAsia="Calibri" w:hAnsi="Century Gothic" w:cs="Times New Roman"/>
        </w:rPr>
      </w:pPr>
      <w:r w:rsidRPr="008728A8">
        <w:rPr>
          <w:rFonts w:ascii="Century Gothic" w:eastAsia="Calibri" w:hAnsi="Century Gothic" w:cs="Times New Roman"/>
        </w:rPr>
        <w:t>Tipo de SAIB bajo la OREDA: (a, b</w:t>
      </w:r>
      <w:r w:rsidRPr="008728A8">
        <w:rPr>
          <w:rFonts w:ascii="Century Gothic" w:eastAsia="Calibri" w:hAnsi="Century Gothic" w:cs="Times New Roman"/>
        </w:rPr>
        <w:lastRenderedPageBreak/>
        <w:t>, c, d / simétrico o asimétrico)</w:t>
      </w:r>
    </w:p>
    <w:p w:rsidR="008728A8" w:rsidRPr="008728A8" w:rsidRDefault="008728A8" w:rsidP="008728A8">
      <w:pPr>
        <w:numPr>
          <w:ilvl w:val="0"/>
          <w:numId w:val="192"/>
        </w:numPr>
        <w:spacing w:before="12pt" w:after="8pt" w:line="12.80pt" w:lineRule="auto"/>
        <w:ind w:end="21.25pt"/>
        <w:contextualSpacing/>
        <w:jc w:val="both"/>
        <w:rPr>
          <w:rFonts w:ascii="Century Gothic" w:eastAsia="Calibri" w:hAnsi="Century Gothic" w:cs="Times New Roman"/>
        </w:rPr>
      </w:pPr>
      <w:r w:rsidRPr="008728A8">
        <w:rPr>
          <w:rFonts w:ascii="Century Gothic" w:eastAsia="Calibri" w:hAnsi="Century Gothic" w:cs="Times New Roman"/>
        </w:rPr>
        <w:t xml:space="preserve">Zona de cobertura asociada a los SCyD donde realizará la contratación de los </w:t>
      </w:r>
      <w:r w:rsidR="009A3885" w:rsidRPr="008728A8">
        <w:rPr>
          <w:rFonts w:ascii="Century Gothic" w:eastAsia="Calibri" w:hAnsi="Century Gothic" w:cs="Times New Roman"/>
        </w:rPr>
        <w:t xml:space="preserve">Servicios </w:t>
      </w:r>
      <w:r w:rsidRPr="008728A8">
        <w:rPr>
          <w:rFonts w:ascii="Century Gothic" w:eastAsia="Calibri" w:hAnsi="Century Gothic" w:cs="Times New Roman"/>
        </w:rPr>
        <w:t xml:space="preserve">bajo el Nuevo Perfil SAIB. </w:t>
      </w:r>
    </w:p>
    <w:p w:rsidR="008728A8" w:rsidRPr="008728A8" w:rsidRDefault="008728A8" w:rsidP="008728A8">
      <w:pPr>
        <w:numPr>
          <w:ilvl w:val="0"/>
          <w:numId w:val="191"/>
        </w:numPr>
        <w:tabs>
          <w:tab w:val="start" w:pos="106.35pt"/>
          <w:tab w:val="start" w:pos="120.50pt"/>
        </w:tabs>
        <w:spacing w:line="12.80pt" w:lineRule="auto"/>
        <w:ind w:start="106.35pt" w:end="21.25pt" w:firstLine="0pt"/>
        <w:contextualSpacing/>
        <w:jc w:val="both"/>
        <w:rPr>
          <w:rFonts w:ascii="Century Gothic" w:eastAsia="Calibri" w:hAnsi="Century Gothic" w:cs="Times New Roman"/>
        </w:rPr>
      </w:pPr>
      <w:r w:rsidRPr="008728A8">
        <w:rPr>
          <w:rFonts w:ascii="Century Gothic" w:eastAsia="Calibri" w:hAnsi="Century Gothic" w:cs="Times New Roman"/>
        </w:rPr>
        <w:lastRenderedPageBreak/>
        <w:t xml:space="preserve">Para niveles de agregación Local, Regional y/o Nacional se debe especificar toda la cobertura del nivel de agregación o solo partes a efectos de habilitar los SCyD que se requieren de conformidad con la información de coberturas del SAIB. </w:t>
      </w:r>
    </w:p>
    <w:p w:rsidR="008728A8" w:rsidRPr="008728A8" w:rsidRDefault="008728A8" w:rsidP="008728A8">
      <w:pPr>
        <w:numPr>
          <w:ilvl w:val="0"/>
          <w:numId w:val="191"/>
        </w:numPr>
        <w:tabs>
          <w:tab w:val="start" w:pos="120.50pt"/>
        </w:tabs>
        <w:spacing w:line="12.80pt" w:lineRule="auto"/>
        <w:ind w:start="106.35pt" w:end="21.25pt" w:firstLine="0pt"/>
        <w:contextualSpacing/>
        <w:jc w:val="both"/>
        <w:rPr>
          <w:rFonts w:ascii="Century Gothic" w:eastAsia="Calibri" w:hAnsi="Century Gothic" w:cs="Times New Roman"/>
        </w:rPr>
      </w:pPr>
      <w:r w:rsidRPr="008728A8">
        <w:rPr>
          <w:rFonts w:ascii="Century Gothic" w:eastAsia="Calibri" w:hAnsi="Century Gothic" w:cs="Times New Roman"/>
        </w:rPr>
        <w:t>En los casos en que no sea posible obtener la información actualizada, correcta y completa de las zonas de cobertura a través del SEG/SIPO como lo establece la OREDA, RED NACIONAL no podrán exigir la fianza a la que hace referencia el numeral 5.1.4. de la presente Resolución.</w:t>
      </w:r>
    </w:p>
    <w:p w:rsidR="008728A8" w:rsidRPr="008728A8" w:rsidRDefault="008728A8" w:rsidP="008728A8">
      <w:pPr>
        <w:tabs>
          <w:tab w:val="start" w:pos="439.45pt"/>
        </w:tabs>
        <w:spacing w:before="12pt"/>
        <w:ind w:start="83.25pt" w:end="21.25pt"/>
        <w:contextualSpacing/>
        <w:jc w:val="both"/>
        <w:rPr>
          <w:rFonts w:ascii="Century Gothic" w:eastAsia="Calibri" w:hAnsi="Century Gothic" w:cs="Times New Roman"/>
        </w:rPr>
      </w:pPr>
    </w:p>
    <w:p w:rsidR="008728A8" w:rsidRPr="008728A8" w:rsidRDefault="008728A8" w:rsidP="008728A8">
      <w:pPr>
        <w:numPr>
          <w:ilvl w:val="0"/>
          <w:numId w:val="194"/>
        </w:numPr>
        <w:tabs>
          <w:tab w:val="start" w:pos="439.45pt"/>
        </w:tabs>
        <w:spacing w:before="12pt" w:after="8pt" w:line="12.80pt" w:lineRule="auto"/>
        <w:ind w:start="70.90pt" w:end="21.25pt" w:hanging="14.20pt"/>
        <w:contextualSpacing/>
        <w:jc w:val="both"/>
        <w:rPr>
          <w:rFonts w:ascii="Century Gothic" w:eastAsia="Calibri" w:hAnsi="Century Gothic" w:cs="Times New Roman"/>
        </w:rPr>
      </w:pPr>
      <w:r w:rsidRPr="008728A8">
        <w:rPr>
          <w:rFonts w:ascii="Century Gothic" w:eastAsia="Calibri" w:hAnsi="Century Gothic" w:cs="Times New Roman"/>
        </w:rPr>
        <w:t xml:space="preserve">Plazo deseado para que el Nuevo Perfil SAIB esté disponible para su contratación a través del SEG/SIPO. </w:t>
      </w:r>
    </w:p>
    <w:p w:rsidR="008728A8" w:rsidRPr="008728A8" w:rsidRDefault="008728A8" w:rsidP="008728A8">
      <w:pPr>
        <w:ind w:start="67.65pt" w:end="21.25pt"/>
        <w:contextualSpacing/>
        <w:jc w:val="both"/>
        <w:rPr>
          <w:rFonts w:ascii="Century Gothic" w:eastAsia="Calibri" w:hAnsi="Century Gothic" w:cs="Times New Roman"/>
        </w:rPr>
      </w:pPr>
    </w:p>
    <w:p w:rsidR="008728A8" w:rsidRPr="008728A8" w:rsidRDefault="008728A8" w:rsidP="008728A8">
      <w:pPr>
        <w:numPr>
          <w:ilvl w:val="1"/>
          <w:numId w:val="190"/>
        </w:numPr>
        <w:spacing w:after="8pt" w:line="12.80pt" w:lineRule="auto"/>
        <w:ind w:end="21.25pt"/>
        <w:contextualSpacing/>
        <w:jc w:val="both"/>
        <w:rPr>
          <w:rFonts w:ascii="Century Gothic" w:eastAsia="Calibri" w:hAnsi="Century Gothic" w:cs="Times New Roman"/>
        </w:rPr>
      </w:pPr>
      <w:r w:rsidRPr="008728A8">
        <w:rPr>
          <w:rFonts w:ascii="Century Gothic" w:eastAsia="Calibri" w:hAnsi="Century Gothic" w:cs="Times New Roman"/>
        </w:rPr>
        <w:t xml:space="preserve"> La solicitud del Nuevo Perfil SAIB será analizada por RED NACIONAL y comunicará al CS el resultado en un plazo máximo de 10 días hábiles. Si la solicitud no cumple con la información correspondiente, será devuelta al CS indicando el error u omisión con el objetivo de que el CS pueda realizar los ajustes necesarios y se reiniciará el procedimiento. En caso de resultar no procedente la creación del nuevo perfil, RED NACIONAL deberá presentar una descripción detallada de las causas que impiden su implementación con las características del perfil requeridas por el CS. </w:t>
      </w:r>
    </w:p>
    <w:p w:rsidR="008728A8" w:rsidRPr="008728A8" w:rsidRDefault="008728A8" w:rsidP="008728A8">
      <w:pPr>
        <w:ind w:start="63.80pt" w:end="21.25pt"/>
        <w:contextualSpacing/>
        <w:jc w:val="both"/>
        <w:rPr>
          <w:rFonts w:ascii="Century Gothic" w:eastAsia="Calibri" w:hAnsi="Century Gothic" w:cs="Times New Roman"/>
        </w:rPr>
      </w:pPr>
    </w:p>
    <w:p w:rsidR="008728A8" w:rsidRPr="008728A8" w:rsidRDefault="008728A8" w:rsidP="008728A8">
      <w:pPr>
        <w:numPr>
          <w:ilvl w:val="1"/>
          <w:numId w:val="190"/>
        </w:numPr>
        <w:spacing w:after="8pt" w:line="12.80pt" w:lineRule="auto"/>
        <w:ind w:end="21.25pt"/>
        <w:contextualSpacing/>
        <w:jc w:val="both"/>
        <w:rPr>
          <w:rFonts w:ascii="Century Gothic" w:eastAsia="Calibri" w:hAnsi="Century Gothic" w:cs="Times New Roman"/>
        </w:rPr>
      </w:pPr>
      <w:r w:rsidRPr="008728A8">
        <w:rPr>
          <w:rFonts w:ascii="Century Gothic" w:eastAsia="Calibri" w:hAnsi="Century Gothic" w:cs="Times New Roman"/>
        </w:rPr>
        <w:t>En caso de ser procedente la solicitud, RED NACIONAL enviara para aceptación del CS una notificación con la descripción, tarifa(s) y plazo(s) de disponibilidad del Nuevo Perfil, así como con los compromisos (y, en su caso, el requerimiento de fianza o garantía correspondiente). El CS contará con un término de 10 días hábiles para suscribir y entregar a RED NACIONAL su aceptación, así como adjuntando la garantía requerida.</w:t>
      </w:r>
    </w:p>
    <w:p w:rsidR="008728A8" w:rsidRPr="008728A8" w:rsidRDefault="008728A8" w:rsidP="008728A8">
      <w:pPr>
        <w:ind w:start="67.65pt" w:end="21.25pt"/>
        <w:contextualSpacing/>
        <w:jc w:val="both"/>
        <w:rPr>
          <w:rFonts w:ascii="Century Gothic" w:eastAsia="Calibri" w:hAnsi="Century Gothic" w:cs="Times New Roman"/>
        </w:rPr>
      </w:pPr>
    </w:p>
    <w:p w:rsidR="008728A8" w:rsidRPr="008728A8" w:rsidRDefault="008728A8" w:rsidP="008728A8">
      <w:pPr>
        <w:numPr>
          <w:ilvl w:val="1"/>
          <w:numId w:val="190"/>
        </w:numPr>
        <w:spacing w:after="8pt" w:line="12.80pt" w:lineRule="auto"/>
        <w:ind w:end="21.25pt"/>
        <w:contextualSpacing/>
        <w:jc w:val="both"/>
        <w:rPr>
          <w:rFonts w:ascii="Century Gothic" w:eastAsia="Calibri" w:hAnsi="Century Gothic" w:cs="Times New Roman"/>
        </w:rPr>
      </w:pPr>
      <w:r w:rsidRPr="008728A8">
        <w:rPr>
          <w:rFonts w:ascii="Century Gothic" w:eastAsia="Calibri" w:hAnsi="Century Gothic" w:cs="Times New Roman"/>
        </w:rPr>
        <w:t>RED NACIONAL notificará al CS la fecha de inicio de implementación al día hábil siguiente de la notificación de aceptación y entrega de la garantía, fecha a partir de la cual se contabilizará el plazo comprometido para la disponibilidad del Nuevo Perfil SAIB.</w:t>
      </w:r>
    </w:p>
    <w:p w:rsidR="008728A8" w:rsidRPr="008728A8" w:rsidRDefault="008728A8" w:rsidP="008728A8">
      <w:pPr>
        <w:ind w:start="67.65pt" w:end="21.25pt"/>
        <w:contextualSpacing/>
        <w:jc w:val="both"/>
        <w:rPr>
          <w:rFonts w:ascii="Century Gothic" w:eastAsia="Calibri" w:hAnsi="Century Gothic" w:cs="Times New Roman"/>
        </w:rPr>
      </w:pPr>
    </w:p>
    <w:p w:rsidR="008728A8" w:rsidRPr="008728A8" w:rsidRDefault="008728A8" w:rsidP="008728A8">
      <w:pPr>
        <w:numPr>
          <w:ilvl w:val="1"/>
          <w:numId w:val="190"/>
        </w:numPr>
        <w:spacing w:after="8pt" w:line="12.80pt" w:lineRule="auto"/>
        <w:ind w:end="21.25pt"/>
        <w:contextualSpacing/>
        <w:jc w:val="both"/>
        <w:rPr>
          <w:rFonts w:ascii="Century Gothic" w:eastAsia="Calibri" w:hAnsi="Century Gothic" w:cs="Times New Roman"/>
        </w:rPr>
      </w:pPr>
      <w:r w:rsidRPr="008728A8">
        <w:rPr>
          <w:rFonts w:ascii="Century Gothic" w:eastAsia="Calibri" w:hAnsi="Century Gothic" w:cs="Times New Roman"/>
        </w:rPr>
        <w:t xml:space="preserve">RED NACIONAL deberá mantener al CS informado sobre los avances de los trabajos de implementación de forma quincenal hasta que se cumpla el plazo presentado en la notificación de aceptación. </w:t>
      </w:r>
    </w:p>
    <w:p w:rsidR="008728A8" w:rsidRPr="008728A8" w:rsidRDefault="008728A8" w:rsidP="008728A8">
      <w:pPr>
        <w:ind w:start="67.65pt" w:end="21.25pt"/>
        <w:contextualSpacing/>
        <w:jc w:val="both"/>
        <w:rPr>
          <w:rFonts w:ascii="Century Gothic" w:eastAsia="Calibri" w:hAnsi="Century Gothic" w:cs="Times New Roman"/>
        </w:rPr>
      </w:pPr>
    </w:p>
    <w:p w:rsidR="008728A8" w:rsidRPr="008728A8" w:rsidRDefault="008728A8" w:rsidP="008728A8">
      <w:pPr>
        <w:numPr>
          <w:ilvl w:val="0"/>
          <w:numId w:val="190"/>
        </w:numPr>
        <w:spacing w:after="8pt" w:line="12.80pt" w:lineRule="auto"/>
        <w:ind w:start="42.55pt" w:end="21.25pt" w:hanging="21.25pt"/>
        <w:contextualSpacing/>
        <w:jc w:val="both"/>
        <w:rPr>
          <w:rFonts w:ascii="Century Gothic" w:eastAsia="Calibri" w:hAnsi="Century Gothic" w:cs="Times New Roman"/>
        </w:rPr>
      </w:pPr>
      <w:r w:rsidRPr="008728A8">
        <w:rPr>
          <w:rFonts w:ascii="Century Gothic" w:eastAsia="Calibri" w:hAnsi="Century Gothic" w:cs="Times New Roman"/>
        </w:rPr>
        <w:t xml:space="preserve">La Tarifa del Nuevo Perfil SAIB será propuesta por </w:t>
      </w:r>
      <w:r w:rsidR="009A3885" w:rsidRPr="008728A8">
        <w:rPr>
          <w:rFonts w:ascii="Century Gothic" w:eastAsia="Calibri" w:hAnsi="Century Gothic" w:cs="Times New Roman"/>
        </w:rPr>
        <w:t xml:space="preserve">Red </w:t>
      </w:r>
      <w:r w:rsidR="009A3885">
        <w:rPr>
          <w:rFonts w:ascii="Century Gothic" w:eastAsia="Calibri" w:hAnsi="Century Gothic" w:cs="Times New Roman"/>
        </w:rPr>
        <w:t>Última Milla</w:t>
      </w:r>
      <w:r w:rsidRPr="008728A8">
        <w:rPr>
          <w:rFonts w:ascii="Century Gothic" w:eastAsia="Calibri" w:hAnsi="Century Gothic" w:cs="Times New Roman"/>
        </w:rPr>
        <w:t xml:space="preserve">, procurando la proporcionalidad respecto de las vigentes en la OREDA, en el entendido que la tarifa del Nuevo Perfil SAIB debe permitir a RED NACIONAL recuperar efectivamente los costos totales en los que incurra por el desarrollo </w:t>
      </w:r>
      <w:r w:rsidRPr="008728A8">
        <w:rPr>
          <w:rFonts w:ascii="Century Gothic" w:eastAsia="Calibri" w:hAnsi="Century Gothic" w:cs="Times New Roman"/>
        </w:rPr>
        <w:lastRenderedPageBreak/>
        <w:t xml:space="preserve">y la prestación del SAIB con tal Nuevo Perfil SAIB. Esta tarifa se aplicará de forma provisional hasta en tanto no sea revisada y autorizada por el Instituto conforme a Modelos de Costos aplicables al servicio. </w:t>
      </w:r>
    </w:p>
    <w:p w:rsidR="008728A8" w:rsidRPr="008728A8" w:rsidRDefault="008728A8" w:rsidP="008728A8">
      <w:pPr>
        <w:ind w:start="49.65pt" w:end="21.25pt"/>
        <w:contextualSpacing/>
        <w:jc w:val="both"/>
        <w:rPr>
          <w:rFonts w:ascii="Century Gothic" w:eastAsia="Calibri" w:hAnsi="Century Gothic" w:cs="Times New Roman"/>
        </w:rPr>
      </w:pPr>
    </w:p>
    <w:p w:rsidR="008728A8" w:rsidRPr="008728A8" w:rsidRDefault="008728A8" w:rsidP="008728A8">
      <w:pPr>
        <w:numPr>
          <w:ilvl w:val="0"/>
          <w:numId w:val="190"/>
        </w:numPr>
        <w:spacing w:after="8pt" w:line="12.80pt" w:lineRule="auto"/>
        <w:ind w:end="21.25pt"/>
        <w:contextualSpacing/>
        <w:jc w:val="both"/>
        <w:rPr>
          <w:rFonts w:ascii="Century Gothic" w:eastAsia="Calibri" w:hAnsi="Century Gothic" w:cs="Times New Roman"/>
        </w:rPr>
      </w:pPr>
      <w:r w:rsidRPr="008728A8">
        <w:rPr>
          <w:rFonts w:ascii="Century Gothic" w:eastAsia="Calibri" w:hAnsi="Century Gothic" w:cs="Times New Roman"/>
        </w:rPr>
        <w:t xml:space="preserve">El CS acepta que el Nuevo Perfil SAIB estará sujeto a los mismos Parámetros e Indicadores de Calidad señalados para los </w:t>
      </w:r>
      <w:r w:rsidR="009A3885" w:rsidRPr="008728A8">
        <w:rPr>
          <w:rFonts w:ascii="Century Gothic" w:eastAsia="Calibri" w:hAnsi="Century Gothic" w:cs="Times New Roman"/>
        </w:rPr>
        <w:t xml:space="preserve">Servicios </w:t>
      </w:r>
      <w:r w:rsidRPr="008728A8">
        <w:rPr>
          <w:rFonts w:ascii="Century Gothic" w:eastAsia="Calibri" w:hAnsi="Century Gothic" w:cs="Times New Roman"/>
        </w:rPr>
        <w:t xml:space="preserve">de SAIB y SCyD establecidos en la OREDA vigente. </w:t>
      </w:r>
    </w:p>
    <w:p w:rsidR="008728A8" w:rsidRPr="008728A8" w:rsidRDefault="008728A8" w:rsidP="008728A8">
      <w:pPr>
        <w:ind w:start="49.65pt" w:end="21.25pt"/>
        <w:contextualSpacing/>
        <w:jc w:val="both"/>
        <w:rPr>
          <w:rFonts w:ascii="Century Gothic" w:eastAsia="Calibri" w:hAnsi="Century Gothic" w:cs="Times New Roman"/>
        </w:rPr>
      </w:pPr>
    </w:p>
    <w:p w:rsidR="008728A8" w:rsidRPr="008728A8" w:rsidRDefault="008728A8" w:rsidP="008728A8">
      <w:pPr>
        <w:numPr>
          <w:ilvl w:val="0"/>
          <w:numId w:val="190"/>
        </w:numPr>
        <w:spacing w:after="8pt" w:line="12.80pt" w:lineRule="auto"/>
        <w:ind w:end="21.25pt"/>
        <w:contextualSpacing/>
        <w:jc w:val="both"/>
        <w:rPr>
          <w:rFonts w:ascii="Century Gothic" w:eastAsia="Calibri" w:hAnsi="Century Gothic" w:cs="Times New Roman"/>
        </w:rPr>
      </w:pPr>
      <w:r w:rsidRPr="008728A8">
        <w:rPr>
          <w:rFonts w:ascii="Century Gothic" w:eastAsia="Calibri" w:hAnsi="Century Gothic" w:cs="Times New Roman"/>
        </w:rPr>
        <w:t>Previo al desarrollo del Nuevo Perfil SAIB, el CS deberá comprometerse y garantizarle a RED NACIONAL (median</w:t>
      </w:r>
      <w:r w:rsidRPr="008728A8">
        <w:rPr>
          <w:rFonts w:ascii="Century Gothic" w:eastAsia="Calibri" w:hAnsi="Century Gothic" w:cs="Times New Roman"/>
        </w:rPr>
        <w:lastRenderedPageBreak/>
        <w:t xml:space="preserve">te fianza u otro instrumento permitido en el Convenio de Desagregación) a la contratación y pago correspondiente de 1,000 </w:t>
      </w:r>
      <w:r w:rsidR="009A3885" w:rsidRPr="008728A8">
        <w:rPr>
          <w:rFonts w:ascii="Century Gothic" w:eastAsia="Calibri" w:hAnsi="Century Gothic" w:cs="Times New Roman"/>
        </w:rPr>
        <w:t xml:space="preserve">Servicios </w:t>
      </w:r>
      <w:r w:rsidRPr="008728A8">
        <w:rPr>
          <w:rFonts w:ascii="Century Gothic" w:eastAsia="Calibri" w:hAnsi="Century Gothic" w:cs="Times New Roman"/>
        </w:rPr>
        <w:t xml:space="preserve">del Nuevo Perfil SAIB, independientemente del CS que los contrate, con una permanencia mínima de 12 meses, a llevar a cabo dentro de los 12 meses siguientes a que el Nuevo Perfil SAIB esté disponible en el SEG/SIPO, en el entendido de que los CS deberán tener previamente contratado el SCyD con la cobertura necesaria para proveer dichos SAIB. </w:t>
      </w:r>
    </w:p>
    <w:p w:rsidR="008728A8" w:rsidRPr="008728A8" w:rsidRDefault="008728A8" w:rsidP="008728A8">
      <w:pPr>
        <w:ind w:start="49.65pt" w:end="21.25pt"/>
        <w:contextualSpacing/>
        <w:jc w:val="both"/>
        <w:rPr>
          <w:rFonts w:ascii="Century Gothic" w:eastAsia="Calibri" w:hAnsi="Century Gothic" w:cs="Times New Roman"/>
        </w:rPr>
      </w:pPr>
    </w:p>
    <w:p w:rsidR="008728A8" w:rsidRPr="008728A8" w:rsidRDefault="008728A8" w:rsidP="008728A8">
      <w:pPr>
        <w:numPr>
          <w:ilvl w:val="0"/>
          <w:numId w:val="190"/>
        </w:numPr>
        <w:spacing w:after="8pt" w:line="12.80pt" w:lineRule="auto"/>
        <w:ind w:end="21.25pt"/>
        <w:contextualSpacing/>
        <w:jc w:val="both"/>
        <w:rPr>
          <w:rFonts w:ascii="Century Gothic" w:eastAsia="Calibri" w:hAnsi="Century Gothic" w:cs="Times New Roman"/>
        </w:rPr>
      </w:pPr>
      <w:r w:rsidRPr="008728A8">
        <w:rPr>
          <w:rFonts w:ascii="Century Gothic" w:eastAsia="Calibri" w:hAnsi="Century Gothic" w:cs="Times New Roman"/>
        </w:rPr>
        <w:t xml:space="preserve">Si al término del plazo aún resta por cubrirse la cantidad mínima de 1,000 </w:t>
      </w:r>
      <w:r w:rsidR="009A3885" w:rsidRPr="008728A8">
        <w:rPr>
          <w:rFonts w:ascii="Century Gothic" w:eastAsia="Calibri" w:hAnsi="Century Gothic" w:cs="Times New Roman"/>
        </w:rPr>
        <w:t xml:space="preserve">Servicios </w:t>
      </w:r>
      <w:r w:rsidRPr="008728A8">
        <w:rPr>
          <w:rFonts w:ascii="Century Gothic" w:eastAsia="Calibri" w:hAnsi="Century Gothic" w:cs="Times New Roman"/>
        </w:rPr>
        <w:t xml:space="preserve">contratados por los CS con Nuevo Perfil SAIB, RED NACIONAL negociará nuevos umbrales de contratación ajustados para los próximos 6 meses. Posterior a estos 6 meses, si los CS siguen sin cubrir dicha cantidad mínima, RED NACIONAL podrá optar por migrar los </w:t>
      </w:r>
      <w:r w:rsidR="009A3885" w:rsidRPr="008728A8">
        <w:rPr>
          <w:rFonts w:ascii="Century Gothic" w:eastAsia="Calibri" w:hAnsi="Century Gothic" w:cs="Times New Roman"/>
        </w:rPr>
        <w:t xml:space="preserve">Servicios </w:t>
      </w:r>
      <w:r w:rsidRPr="008728A8">
        <w:rPr>
          <w:rFonts w:ascii="Century Gothic" w:eastAsia="Calibri" w:hAnsi="Century Gothic" w:cs="Times New Roman"/>
        </w:rPr>
        <w:t xml:space="preserve">que se hubieren contratado al perfil inmediato inferior más cercano (aplicando las tarifas respectivas), de forma que se libere disponibilidad en la planta para atender la solicitud de perfil de otro CS. </w:t>
      </w:r>
    </w:p>
    <w:p w:rsidR="00051C57" w:rsidRPr="008728A8" w:rsidRDefault="00051C57" w:rsidP="008728A8">
      <w:pPr>
        <w:pStyle w:val="Texto1"/>
        <w:spacing w:after="10pt" w:line="13.80pt" w:lineRule="auto"/>
        <w:rPr>
          <w:rFonts w:ascii="Century Gothic" w:hAnsi="Century Gothic" w:cs="Arial"/>
          <w:lang w:val="es-MX"/>
        </w:rPr>
      </w:pPr>
    </w:p>
    <w:sectPr w:rsidR="00051C57" w:rsidRPr="008728A8" w:rsidSect="008728A8">
      <w:headerReference w:type="even" r:id="rId112"/>
      <w:headerReference w:type="default" r:id="rId113"/>
      <w:footerReference w:type="even" r:id="rId114"/>
      <w:footerReference w:type="default" r:id="rId115"/>
      <w:headerReference w:type="first" r:id="rId116"/>
      <w:type w:val="oddPage"/>
      <w:pgSz w:w="612.10pt" w:h="792.10pt" w:code="1"/>
      <w:pgMar w:top="70.90pt" w:right="70.90pt" w:bottom="70.90pt" w:left="70.90pt" w:header="35.45pt" w:footer="35.45pt" w:gutter="0pt"/>
      <w:cols w:space="36pt"/>
      <w:titlePg/>
      <w:docGrid w:linePitch="326"/>
    </w:sectPr>
  </w:body>
</w:document>
</file>

<file path=word/endnotes.xml><?xml version="1.0" encoding="utf-8"?>
<w:endnotes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endnote w:type="separator" w:id="-1">
    <w:p w:rsidR="008510F7" w:rsidRDefault="008510F7">
      <w:pPr>
        <w:spacing w:line="12pt" w:lineRule="auto"/>
      </w:pPr>
      <w:r>
        <w:separator/>
      </w:r>
    </w:p>
  </w:endnote>
  <w:endnote w:type="continuationSeparator" w:id="0">
    <w:p w:rsidR="008510F7" w:rsidRDefault="008510F7">
      <w:pPr>
        <w:spacing w:line="12pt" w:lineRule="auto"/>
      </w:pPr>
      <w:r>
        <w:continuationSeparator/>
      </w:r>
    </w:p>
  </w:endnote>
</w:endnotes>
</file>

<file path=word/fontTable.xml><?xml version="1.0" encoding="utf-8"?>
<w:fonts xmlns:mc="http://schemas.openxmlformats.org/markup-compatibility/2006" xmlns:r="http://purl.oclc.org/ooxml/officeDocument/relationships" xmlns:w="http://purl.oclc.org/ooxml/wordprocessingml/main" xmlns:w14="http://schemas.microsoft.com/office/word/2010/wordml" xmlns:w15="http://schemas.microsoft.com/office/word/2012/wordml" mc:Ignorable="w14 w15">
  <w:font w:name="Symbol">
    <w:panose1 w:val="05050102010706020507"/>
    <w:family w:val="roman"/>
    <w:pitch w:val="variable"/>
    <w:sig w:usb0="00000000" w:usb1="10000000" w:usb2="00000000" w:usb3="00000000" w:csb0="80000000" w:csb1="00000000"/>
  </w:font>
  <w:font w:name="Times New Roman">
    <w:panose1 w:val="02020603050405020304"/>
    <w:charset w:characterSet="iso-8859-1"/>
    <w:family w:val="roman"/>
    <w:pitch w:val="variable"/>
    <w:sig w:usb0="E0002EFF" w:usb1="C000785B" w:usb2="00000009" w:usb3="00000000" w:csb0="000001FF" w:csb1="00000000"/>
  </w:font>
  <w:font w:name="Courier New">
    <w:panose1 w:val="02070309020205020404"/>
    <w:charset w:characterSet="iso-8859-1"/>
    <w:family w:val="modern"/>
    <w:pitch w:val="fixed"/>
    <w:sig w:usb0="E0002EFF" w:usb1="C0007843" w:usb2="00000009" w:usb3="00000000" w:csb0="000001FF" w:csb1="00000000"/>
  </w:font>
  <w:font w:name="Wingdings">
    <w:panose1 w:val="05000000000000000000"/>
    <w:family w:val="auto"/>
    <w:pitch w:val="variable"/>
    <w:sig w:usb0="00000000" w:usb1="10000000" w:usb2="00000000" w:usb3="00000000" w:csb0="80000000" w:csb1="00000000"/>
  </w:font>
  <w:font w:name="Century Gothic">
    <w:panose1 w:val="020B0502020202020204"/>
    <w:charset w:characterSet="iso-8859-1"/>
    <w:family w:val="swiss"/>
    <w:pitch w:val="variable"/>
    <w:sig w:usb0="00000287" w:usb1="00000000" w:usb2="00000000" w:usb3="00000000" w:csb0="0000009F" w:csb1="00000000"/>
  </w:font>
  <w:font w:name="Calibri">
    <w:panose1 w:val="020F0502020204030204"/>
    <w:charset w:characterSet="iso-8859-1"/>
    <w:family w:val="swiss"/>
    <w:pitch w:val="variable"/>
    <w:sig w:usb0="E4002EFF" w:usb1="C000247B" w:usb2="00000009" w:usb3="00000000" w:csb0="000001FF" w:csb1="00000000"/>
  </w:font>
  <w:font w:name="Arial">
    <w:panose1 w:val="020B0604020202020204"/>
    <w:charset w:characterSet="iso-8859-1"/>
    <w:family w:val="swiss"/>
    <w:pitch w:val="variable"/>
    <w:sig w:usb0="E0002EFF" w:usb1="C000785B" w:usb2="00000009" w:usb3="00000000" w:csb0="000001FF" w:csb1="00000000"/>
  </w:font>
  <w:font w:name="ITC Avant Garde">
    <w:altName w:val="Calibri"/>
    <w:charset w:characterSet="iso-8859-1"/>
    <w:family w:val="swiss"/>
    <w:pitch w:val="variable"/>
    <w:sig w:usb0="00000007" w:usb1="00000000" w:usb2="00000000" w:usb3="00000000" w:csb0="00000093" w:csb1="00000000"/>
  </w:font>
  <w:font w:name="Calibri Light">
    <w:panose1 w:val="020F0302020204030204"/>
    <w:charset w:characterSet="iso-8859-1"/>
    <w:family w:val="swiss"/>
    <w:pitch w:val="variable"/>
    <w:sig w:usb0="E4002EFF" w:usb1="C000247B" w:usb2="00000009" w:usb3="00000000" w:csb0="000001FF" w:csb1="00000000"/>
  </w:font>
  <w:font w:name="Segoe UI">
    <w:panose1 w:val="020B0502040204020203"/>
    <w:charset w:characterSet="iso-8859-1"/>
    <w:family w:val="swiss"/>
    <w:pitch w:val="variable"/>
    <w:sig w:usb0="E4002EFF" w:usb1="C000E47F" w:usb2="00000009" w:usb3="00000000" w:csb0="000001FF" w:csb1="00000000"/>
  </w:font>
  <w:font w:name="Courier">
    <w:panose1 w:val="02070409020205020404"/>
    <w:charset w:characterSet="iso-8859-1"/>
    <w:family w:val="modern"/>
    <w:notTrueType/>
    <w:pitch w:val="fixed"/>
    <w:sig w:usb0="00000003" w:usb1="00000000" w:usb2="00000000" w:usb3="00000000" w:csb0="00000001" w:csb1="00000000"/>
  </w:font>
  <w:font w:name="Tahoma">
    <w:panose1 w:val="020B0604030504040204"/>
    <w:charset w:characterSet="iso-8859-1"/>
    <w:family w:val="swiss"/>
    <w:pitch w:val="variable"/>
    <w:sig w:usb0="E1002EFF" w:usb1="C000605B" w:usb2="00000029" w:usb3="00000000" w:csb0="000101FF" w:csb1="00000000"/>
  </w:font>
  <w:font w:name="Garamond">
    <w:panose1 w:val="02020404030301010803"/>
    <w:charset w:characterSet="iso-8859-1"/>
    <w:family w:val="roman"/>
    <w:pitch w:val="variable"/>
    <w:sig w:usb0="00000287" w:usb1="00000000" w:usb2="00000000" w:usb3="00000000" w:csb0="0000009F" w:csb1="00000000"/>
  </w:font>
  <w:font w:name="Lucida Grande">
    <w:charset w:characterSet="iso-8859-1"/>
    <w:family w:val="auto"/>
    <w:pitch w:val="variable"/>
    <w:sig w:usb0="E1000AEF" w:usb1="5000A1FF" w:usb2="00000000" w:usb3="00000000" w:csb0="000001BF" w:csb1="00000000"/>
  </w:font>
  <w:font w:name="Arial Unicode MS">
    <w:panose1 w:val="020B0604020202020204"/>
    <w:charset w:characterSet="shift_jis"/>
    <w:family w:val="swiss"/>
    <w:pitch w:val="variable"/>
    <w:sig w:usb0="F7FFAFFF" w:usb1="E9DFFFFF" w:usb2="0000003F" w:usb3="00000000" w:csb0="003F01FF" w:csb1="00000000"/>
  </w:font>
  <w:font w:name="PMingLiU">
    <w:altName w:val="新細明體"/>
    <w:panose1 w:val="02010601000101010101"/>
    <w:charset w:characterSet="Big5"/>
    <w:family w:val="auto"/>
    <w:notTrueType/>
    <w:pitch w:val="variable"/>
    <w:sig w:usb0="00000001" w:usb1="08080000" w:usb2="00000010" w:usb3="00000000" w:csb0="00100000" w:csb1="00000000"/>
  </w:font>
  <w:font w:name="Times">
    <w:panose1 w:val="02020603050405020304"/>
    <w:charset w:characterSet="iso-8859-1"/>
    <w:family w:val="roman"/>
    <w:pitch w:val="variable"/>
    <w:sig w:usb0="E0002EFF" w:usb1="C000785B" w:usb2="00000009" w:usb3="00000000" w:csb0="000001FF" w:csb1="00000000"/>
  </w:font>
  <w:font w:name="Helvetica">
    <w:panose1 w:val="020B0604020202020204"/>
    <w:charset w:characterSet="iso-8859-1"/>
    <w:family w:val="swiss"/>
    <w:pitch w:val="variable"/>
    <w:sig w:usb0="E0002EFF" w:usb1="C000785B" w:usb2="00000009" w:usb3="00000000" w:csb0="000001FF" w:csb1="00000000"/>
  </w:font>
  <w:font w:name="Cambria">
    <w:panose1 w:val="02040503050406030204"/>
    <w:charset w:characterSet="iso-8859-1"/>
    <w:family w:val="roman"/>
    <w:pitch w:val="variable"/>
    <w:sig w:usb0="E00006FF" w:usb1="420024FF" w:usb2="02000000" w:usb3="00000000" w:csb0="0000019F" w:csb1="00000000"/>
  </w:font>
  <w:font w:name="MS Mincho">
    <w:altName w:val="MS Gothic"/>
    <w:panose1 w:val="02020609040205080304"/>
    <w:charset w:characterSet="shift_jis"/>
    <w:family w:val="roman"/>
    <w:notTrueType/>
    <w:pitch w:val="fixed"/>
    <w:sig w:usb0="00000000" w:usb1="08070000" w:usb2="00000010" w:usb3="00000000" w:csb0="00020000" w:csb1="00000000"/>
  </w:font>
</w:fonts>
</file>

<file path=word/footer1.xml><?xml version="1.0" encoding="utf-8"?>
<w:ft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665523" w:rsidRDefault="008510F7" w:rsidP="00611019">
    <w:pPr>
      <w:pStyle w:val="Piedepgina"/>
      <w:jc w:val="end"/>
      <w:rPr>
        <w:rFonts w:ascii="Century Gothic" w:hAnsi="Century Gothic" w:cs="Arial"/>
        <w:sz w:val="18"/>
        <w:szCs w:val="18"/>
      </w:rPr>
    </w:pPr>
    <w:sdt>
      <w:sdtPr>
        <w:rPr>
          <w:rFonts w:ascii="Century Gothic" w:hAnsi="Century Gothic"/>
        </w:rPr>
        <w:id w:val="-2041122236"/>
        <w:docPartObj>
          <w:docPartGallery w:val="Page Numbers (Bottom of Page)"/>
          <w:docPartUnique/>
        </w:docPartObj>
      </w:sdtPr>
      <w:sdtEndPr>
        <w:rPr>
          <w:rFonts w:cs="Arial"/>
          <w:sz w:val="18"/>
          <w:szCs w:val="18"/>
        </w:rPr>
      </w:sdtEndPr>
      <w:sdtContent>
        <w:sdt>
          <w:sdtPr>
            <w:rPr>
              <w:rFonts w:ascii="Century Gothic" w:hAnsi="Century Gothic" w:cs="Arial"/>
              <w:sz w:val="18"/>
              <w:szCs w:val="18"/>
            </w:rPr>
            <w:id w:val="-2140863766"/>
            <w:docPartObj>
              <w:docPartGallery w:val="Page Numbers (Top of Page)"/>
              <w:docPartUnique/>
            </w:docPartObj>
          </w:sdtPr>
          <w:sdtEndPr/>
          <w:sdtContent>
            <w:r w:rsidR="000511F0">
              <w:rPr>
                <w:rFonts w:ascii="Century Gothic" w:hAnsi="Century Gothic" w:cs="Arial"/>
                <w:sz w:val="18"/>
                <w:szCs w:val="18"/>
                <w:lang w:val="es-ES"/>
              </w:rPr>
              <w:t xml:space="preserve">Página </w:t>
            </w:r>
            <w:r w:rsidR="000511F0">
              <w:rPr>
                <w:rFonts w:ascii="Century Gothic" w:hAnsi="Century Gothic" w:cs="Arial"/>
                <w:sz w:val="18"/>
                <w:szCs w:val="18"/>
              </w:rPr>
              <w:fldChar w:fldCharType="begin"/>
            </w:r>
            <w:r w:rsidR="000511F0">
              <w:rPr>
                <w:rFonts w:ascii="Century Gothic" w:hAnsi="Century Gothic" w:cs="Arial"/>
                <w:sz w:val="18"/>
                <w:szCs w:val="18"/>
              </w:rPr>
              <w:instrText>PAGE</w:instrText>
            </w:r>
            <w:r w:rsidR="000511F0">
              <w:rPr>
                <w:rFonts w:ascii="Century Gothic" w:hAnsi="Century Gothic" w:cs="Arial"/>
                <w:sz w:val="18"/>
                <w:szCs w:val="18"/>
              </w:rPr>
              <w:fldChar w:fldCharType="separate"/>
            </w:r>
            <w:r w:rsidR="00E321EE">
              <w:rPr>
                <w:rFonts w:ascii="Century Gothic" w:hAnsi="Century Gothic" w:cs="Arial"/>
                <w:noProof/>
                <w:sz w:val="18"/>
                <w:szCs w:val="18"/>
              </w:rPr>
              <w:t>194</w:t>
            </w:r>
            <w:r w:rsidR="000511F0">
              <w:rPr>
                <w:rFonts w:ascii="Century Gothic" w:hAnsi="Century Gothic" w:cs="Arial"/>
                <w:sz w:val="18"/>
                <w:szCs w:val="18"/>
              </w:rPr>
              <w:fldChar w:fldCharType="end"/>
            </w:r>
            <w:r w:rsidR="000511F0">
              <w:rPr>
                <w:rFonts w:ascii="Century Gothic" w:hAnsi="Century Gothic" w:cs="Arial"/>
                <w:sz w:val="18"/>
                <w:szCs w:val="18"/>
                <w:lang w:val="es-ES"/>
              </w:rPr>
              <w:t xml:space="preserve"> de </w:t>
            </w:r>
            <w:r w:rsidR="000511F0">
              <w:rPr>
                <w:rFonts w:ascii="Century Gothic" w:hAnsi="Century Gothic" w:cs="Arial"/>
                <w:sz w:val="18"/>
                <w:szCs w:val="18"/>
              </w:rPr>
              <w:fldChar w:fldCharType="begin"/>
            </w:r>
            <w:r w:rsidR="000511F0">
              <w:rPr>
                <w:rFonts w:ascii="Century Gothic" w:hAnsi="Century Gothic" w:cs="Arial"/>
                <w:sz w:val="18"/>
                <w:szCs w:val="18"/>
              </w:rPr>
              <w:instrText>NUMPAGES</w:instrText>
            </w:r>
            <w:r w:rsidR="000511F0">
              <w:rPr>
                <w:rFonts w:ascii="Century Gothic" w:hAnsi="Century Gothic" w:cs="Arial"/>
                <w:sz w:val="18"/>
                <w:szCs w:val="18"/>
              </w:rPr>
              <w:fldChar w:fldCharType="separate"/>
            </w:r>
            <w:r w:rsidR="00E321EE">
              <w:rPr>
                <w:rFonts w:ascii="Century Gothic" w:hAnsi="Century Gothic" w:cs="Arial"/>
                <w:noProof/>
                <w:sz w:val="18"/>
                <w:szCs w:val="18"/>
              </w:rPr>
              <w:t>335</w:t>
            </w:r>
            <w:r w:rsidR="000511F0">
              <w:rPr>
                <w:rFonts w:ascii="Century Gothic" w:hAnsi="Century Gothic" w:cs="Arial"/>
                <w:sz w:val="18"/>
                <w:szCs w:val="18"/>
              </w:rPr>
              <w:fldChar w:fldCharType="end"/>
            </w:r>
          </w:sdtContent>
        </w:sdt>
      </w:sdtContent>
    </w:sdt>
  </w:p>
  <w:p w:rsidR="000511F0" w:rsidRPr="00E50D05" w:rsidRDefault="000511F0" w:rsidP="00611019">
    <w:pPr>
      <w:pStyle w:val="Piedepgina"/>
      <w:jc w:val="end"/>
      <w:rPr>
        <w:rFonts w:ascii="Arial" w:hAnsi="Arial" w:cs="Arial"/>
        <w:sz w:val="18"/>
        <w:szCs w:val="18"/>
      </w:rPr>
    </w:pPr>
  </w:p>
  <w:p w:rsidR="000511F0" w:rsidRDefault="000511F0">
    <w:pPr>
      <w:pStyle w:val="Piedepgina"/>
    </w:pPr>
  </w:p>
</w:ftr>
</file>

<file path=word/footer2.xml><?xml version="1.0" encoding="utf-8"?>
<w:ft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665523" w:rsidRDefault="000511F0" w:rsidP="00611019">
    <w:pPr>
      <w:pStyle w:val="Piedepgina"/>
      <w:jc w:val="end"/>
      <w:rPr>
        <w:rFonts w:ascii="Century Gothic" w:hAnsi="Century Gothic" w:cs="Arial"/>
        <w:sz w:val="18"/>
        <w:szCs w:val="18"/>
      </w:rPr>
    </w:pPr>
    <w:r>
      <w:rPr>
        <w:noProof/>
        <w:lang w:eastAsia="es-MX"/>
      </w:rPr>
      <w:drawing>
        <wp:anchor distT="0" distB="0" distL="114300" distR="114300" simplePos="0" relativeHeight="251667456" behindDoc="1" locked="0" layoutInCell="1" allowOverlap="1" wp14:anchorId="1F4200EF" wp14:editId="422A953C">
          <wp:simplePos x="0" y="0"/>
          <wp:positionH relativeFrom="page">
            <wp:posOffset>252095</wp:posOffset>
          </wp:positionH>
          <wp:positionV relativeFrom="page">
            <wp:posOffset>8925560</wp:posOffset>
          </wp:positionV>
          <wp:extent cx="828000" cy="828000"/>
          <wp:effectExtent l="0" t="0" r="0" b="0"/>
          <wp:wrapNone/>
          <wp:docPr id="1770624160" name="Imagen 1770624160" descr="Icon&#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689" name="Picture 36"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28000" cy="828000"/>
                  </a:xfrm>
                  <a:prstGeom prst="rect">
                    <a:avLst/>
                  </a:prstGeom>
                  <a:noFill/>
                </pic:spPr>
              </pic:pic>
            </a:graphicData>
          </a:graphic>
          <wp14:sizeRelH relativeFrom="page">
            <wp14:pctWidth>0%</wp14:pctWidth>
          </wp14:sizeRelH>
          <wp14:sizeRelV relativeFrom="page">
            <wp14:pctHeight>0%</wp14:pctHeight>
          </wp14:sizeRelV>
        </wp:anchor>
      </w:drawing>
    </w:r>
    <w:sdt>
      <w:sdtPr>
        <w:rPr>
          <w:rFonts w:ascii="Century Gothic" w:hAnsi="Century Gothic"/>
        </w:rPr>
        <w:id w:val="-1604562271"/>
        <w:docPartObj>
          <w:docPartGallery w:val="Page Numbers (Bottom of Page)"/>
          <w:docPartUnique/>
        </w:docPartObj>
      </w:sdtPr>
      <w:sdtEndPr>
        <w:rPr>
          <w:rFonts w:cs="Arial"/>
          <w:sz w:val="18"/>
          <w:szCs w:val="18"/>
        </w:rPr>
      </w:sdtEndPr>
      <w:sdtContent>
        <w:sdt>
          <w:sdtPr>
            <w:rPr>
              <w:rFonts w:ascii="Century Gothic" w:hAnsi="Century Gothic" w:cs="Arial"/>
              <w:sz w:val="18"/>
              <w:szCs w:val="18"/>
            </w:rPr>
            <w:id w:val="772983708"/>
            <w:docPartObj>
              <w:docPartGallery w:val="Page Numbers (Top of Page)"/>
              <w:docPartUnique/>
            </w:docPartObj>
          </w:sdtPr>
          <w:sdtEndPr/>
          <w:sdtContent>
            <w:r>
              <w:rPr>
                <w:rFonts w:ascii="Century Gothic" w:hAnsi="Century Gothic" w:cs="Arial"/>
                <w:sz w:val="18"/>
                <w:szCs w:val="18"/>
                <w:lang w:val="es-ES"/>
              </w:rPr>
              <w:t xml:space="preserve">Página </w:t>
            </w:r>
            <w:r>
              <w:rPr>
                <w:rFonts w:ascii="Century Gothic" w:hAnsi="Century Gothic" w:cs="Arial"/>
                <w:sz w:val="18"/>
                <w:szCs w:val="18"/>
              </w:rPr>
              <w:fldChar w:fldCharType="begin"/>
            </w:r>
            <w:r>
              <w:rPr>
                <w:rFonts w:ascii="Century Gothic" w:hAnsi="Century Gothic" w:cs="Arial"/>
                <w:sz w:val="18"/>
                <w:szCs w:val="18"/>
              </w:rPr>
              <w:instrText>PAGE</w:instrText>
            </w:r>
            <w:r>
              <w:rPr>
                <w:rFonts w:ascii="Century Gothic" w:hAnsi="Century Gothic" w:cs="Arial"/>
                <w:sz w:val="18"/>
                <w:szCs w:val="18"/>
              </w:rPr>
              <w:fldChar w:fldCharType="separate"/>
            </w:r>
            <w:r w:rsidR="00E321EE">
              <w:rPr>
                <w:rFonts w:ascii="Century Gothic" w:hAnsi="Century Gothic" w:cs="Arial"/>
                <w:noProof/>
                <w:sz w:val="18"/>
                <w:szCs w:val="18"/>
              </w:rPr>
              <w:t>21</w:t>
            </w:r>
            <w:r>
              <w:rPr>
                <w:rFonts w:ascii="Century Gothic" w:hAnsi="Century Gothic" w:cs="Arial"/>
                <w:sz w:val="18"/>
                <w:szCs w:val="18"/>
              </w:rPr>
              <w:fldChar w:fldCharType="end"/>
            </w:r>
            <w:r>
              <w:rPr>
                <w:rFonts w:ascii="Century Gothic" w:hAnsi="Century Gothic" w:cs="Arial"/>
                <w:sz w:val="18"/>
                <w:szCs w:val="18"/>
                <w:lang w:val="es-ES"/>
              </w:rPr>
              <w:t xml:space="preserve"> de </w:t>
            </w:r>
            <w:r>
              <w:rPr>
                <w:rFonts w:ascii="Century Gothic" w:hAnsi="Century Gothic" w:cs="Arial"/>
                <w:sz w:val="18"/>
                <w:szCs w:val="18"/>
              </w:rPr>
              <w:fldChar w:fldCharType="begin"/>
            </w:r>
            <w:r>
              <w:rPr>
                <w:rFonts w:ascii="Century Gothic" w:hAnsi="Century Gothic" w:cs="Arial"/>
                <w:sz w:val="18"/>
                <w:szCs w:val="18"/>
              </w:rPr>
              <w:instrText>NUMPAGES</w:instrText>
            </w:r>
            <w:r>
              <w:rPr>
                <w:rFonts w:ascii="Century Gothic" w:hAnsi="Century Gothic" w:cs="Arial"/>
                <w:sz w:val="18"/>
                <w:szCs w:val="18"/>
              </w:rPr>
              <w:fldChar w:fldCharType="separate"/>
            </w:r>
            <w:r w:rsidR="00E321EE">
              <w:rPr>
                <w:rFonts w:ascii="Century Gothic" w:hAnsi="Century Gothic" w:cs="Arial"/>
                <w:noProof/>
                <w:sz w:val="18"/>
                <w:szCs w:val="18"/>
              </w:rPr>
              <w:t>335</w:t>
            </w:r>
            <w:r>
              <w:rPr>
                <w:rFonts w:ascii="Century Gothic" w:hAnsi="Century Gothic" w:cs="Arial"/>
                <w:sz w:val="18"/>
                <w:szCs w:val="18"/>
              </w:rPr>
              <w:fldChar w:fldCharType="end"/>
            </w:r>
          </w:sdtContent>
        </w:sdt>
      </w:sdtContent>
    </w:sdt>
  </w:p>
  <w:p w:rsidR="000511F0" w:rsidRPr="00E50D05" w:rsidRDefault="000511F0" w:rsidP="00611019">
    <w:pPr>
      <w:pStyle w:val="Piedepgina"/>
      <w:jc w:val="end"/>
      <w:rPr>
        <w:rFonts w:ascii="Arial" w:hAnsi="Arial" w:cs="Arial"/>
        <w:sz w:val="18"/>
        <w:szCs w:val="18"/>
      </w:rPr>
    </w:pPr>
  </w:p>
  <w:p w:rsidR="000511F0" w:rsidRDefault="000511F0">
    <w:pPr>
      <w:pStyle w:val="Piedepgina"/>
    </w:pPr>
  </w:p>
</w:ftr>
</file>

<file path=word/footer3.xml><?xml version="1.0" encoding="utf-8"?>
<w:ft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665523" w:rsidRDefault="000511F0" w:rsidP="00611019">
    <w:pPr>
      <w:pStyle w:val="Piedepgina"/>
      <w:jc w:val="end"/>
      <w:rPr>
        <w:rFonts w:ascii="Century Gothic" w:hAnsi="Century Gothic" w:cs="Arial"/>
        <w:sz w:val="18"/>
        <w:szCs w:val="18"/>
      </w:rPr>
    </w:pPr>
    <w:r>
      <w:rPr>
        <w:noProof/>
        <w:lang w:eastAsia="es-MX"/>
      </w:rPr>
      <w:drawing>
        <wp:anchor distT="0" distB="0" distL="114300" distR="114300" simplePos="0" relativeHeight="251655168" behindDoc="1" locked="0" layoutInCell="1" allowOverlap="1" wp14:anchorId="76ABF26A" wp14:editId="3D7FC19F">
          <wp:simplePos x="0" y="0"/>
          <wp:positionH relativeFrom="page">
            <wp:posOffset>252095</wp:posOffset>
          </wp:positionH>
          <wp:positionV relativeFrom="page">
            <wp:posOffset>8925560</wp:posOffset>
          </wp:positionV>
          <wp:extent cx="828000" cy="828000"/>
          <wp:effectExtent l="0" t="0" r="0" b="0"/>
          <wp:wrapNone/>
          <wp:docPr id="1770624161" name="Imagen 1770624161" descr="Icon&#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690" name="Picture 36"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28000" cy="828000"/>
                  </a:xfrm>
                  <a:prstGeom prst="rect">
                    <a:avLst/>
                  </a:prstGeom>
                  <a:noFill/>
                </pic:spPr>
              </pic:pic>
            </a:graphicData>
          </a:graphic>
          <wp14:sizeRelH relativeFrom="page">
            <wp14:pctWidth>0%</wp14:pctWidth>
          </wp14:sizeRelH>
          <wp14:sizeRelV relativeFrom="page">
            <wp14:pctHeight>0%</wp14:pctHeight>
          </wp14:sizeRelV>
        </wp:anchor>
      </w:drawing>
    </w:r>
    <w:sdt>
      <w:sdtPr>
        <w:rPr>
          <w:rFonts w:ascii="Century Gothic" w:hAnsi="Century Gothic"/>
        </w:rPr>
        <w:id w:val="582034399"/>
        <w:docPartObj>
          <w:docPartGallery w:val="Page Numbers (Bottom of Page)"/>
          <w:docPartUnique/>
        </w:docPartObj>
      </w:sdtPr>
      <w:sdtEndPr>
        <w:rPr>
          <w:rFonts w:cs="Arial"/>
          <w:sz w:val="18"/>
          <w:szCs w:val="18"/>
        </w:rPr>
      </w:sdtEndPr>
      <w:sdtContent>
        <w:sdt>
          <w:sdtPr>
            <w:rPr>
              <w:rFonts w:ascii="Century Gothic" w:hAnsi="Century Gothic" w:cs="Arial"/>
              <w:sz w:val="18"/>
              <w:szCs w:val="18"/>
            </w:rPr>
            <w:id w:val="2044018753"/>
            <w:docPartObj>
              <w:docPartGallery w:val="Page Numbers (Top of Page)"/>
              <w:docPartUnique/>
            </w:docPartObj>
          </w:sdtPr>
          <w:sdtEndPr/>
          <w:sdtContent>
            <w:r>
              <w:rPr>
                <w:rFonts w:ascii="Century Gothic" w:hAnsi="Century Gothic" w:cs="Arial"/>
                <w:sz w:val="18"/>
                <w:szCs w:val="18"/>
                <w:lang w:val="es-ES"/>
              </w:rPr>
              <w:t xml:space="preserve">Página </w:t>
            </w:r>
            <w:r>
              <w:rPr>
                <w:rFonts w:ascii="Century Gothic" w:hAnsi="Century Gothic" w:cs="Arial"/>
                <w:sz w:val="18"/>
                <w:szCs w:val="18"/>
              </w:rPr>
              <w:fldChar w:fldCharType="begin"/>
            </w:r>
            <w:r>
              <w:rPr>
                <w:rFonts w:ascii="Century Gothic" w:hAnsi="Century Gothic" w:cs="Arial"/>
                <w:sz w:val="18"/>
                <w:szCs w:val="18"/>
              </w:rPr>
              <w:instrText>PAGE</w:instrText>
            </w:r>
            <w:r>
              <w:rPr>
                <w:rFonts w:ascii="Century Gothic" w:hAnsi="Century Gothic" w:cs="Arial"/>
                <w:sz w:val="18"/>
                <w:szCs w:val="18"/>
              </w:rPr>
              <w:fldChar w:fldCharType="separate"/>
            </w:r>
            <w:r w:rsidR="00E321EE">
              <w:rPr>
                <w:rFonts w:ascii="Century Gothic" w:hAnsi="Century Gothic" w:cs="Arial"/>
                <w:noProof/>
                <w:sz w:val="18"/>
                <w:szCs w:val="18"/>
              </w:rPr>
              <w:t>1</w:t>
            </w:r>
            <w:r>
              <w:rPr>
                <w:rFonts w:ascii="Century Gothic" w:hAnsi="Century Gothic" w:cs="Arial"/>
                <w:sz w:val="18"/>
                <w:szCs w:val="18"/>
              </w:rPr>
              <w:fldChar w:fldCharType="end"/>
            </w:r>
            <w:r>
              <w:rPr>
                <w:rFonts w:ascii="Century Gothic" w:hAnsi="Century Gothic" w:cs="Arial"/>
                <w:sz w:val="18"/>
                <w:szCs w:val="18"/>
                <w:lang w:val="es-ES"/>
              </w:rPr>
              <w:t xml:space="preserve"> de </w:t>
            </w:r>
            <w:r>
              <w:rPr>
                <w:rFonts w:ascii="Century Gothic" w:hAnsi="Century Gothic" w:cs="Arial"/>
                <w:sz w:val="18"/>
                <w:szCs w:val="18"/>
              </w:rPr>
              <w:fldChar w:fldCharType="begin"/>
            </w:r>
            <w:r>
              <w:rPr>
                <w:rFonts w:ascii="Century Gothic" w:hAnsi="Century Gothic" w:cs="Arial"/>
                <w:sz w:val="18"/>
                <w:szCs w:val="18"/>
              </w:rPr>
              <w:instrText>NUMPAGES</w:instrText>
            </w:r>
            <w:r>
              <w:rPr>
                <w:rFonts w:ascii="Century Gothic" w:hAnsi="Century Gothic" w:cs="Arial"/>
                <w:sz w:val="18"/>
                <w:szCs w:val="18"/>
              </w:rPr>
              <w:fldChar w:fldCharType="separate"/>
            </w:r>
            <w:r w:rsidR="00E321EE">
              <w:rPr>
                <w:rFonts w:ascii="Century Gothic" w:hAnsi="Century Gothic" w:cs="Arial"/>
                <w:noProof/>
                <w:sz w:val="18"/>
                <w:szCs w:val="18"/>
              </w:rPr>
              <w:t>335</w:t>
            </w:r>
            <w:r>
              <w:rPr>
                <w:rFonts w:ascii="Century Gothic" w:hAnsi="Century Gothic" w:cs="Arial"/>
                <w:sz w:val="18"/>
                <w:szCs w:val="18"/>
              </w:rPr>
              <w:fldChar w:fldCharType="end"/>
            </w:r>
          </w:sdtContent>
        </w:sdt>
      </w:sdtContent>
    </w:sdt>
  </w:p>
  <w:p w:rsidR="000511F0" w:rsidRPr="00E50D05" w:rsidRDefault="000511F0" w:rsidP="00611019">
    <w:pPr>
      <w:pStyle w:val="Piedepgina"/>
      <w:jc w:val="end"/>
      <w:rPr>
        <w:rFonts w:ascii="Arial" w:hAnsi="Arial" w:cs="Arial"/>
        <w:sz w:val="18"/>
        <w:szCs w:val="18"/>
      </w:rPr>
    </w:pPr>
  </w:p>
  <w:p w:rsidR="000511F0" w:rsidRDefault="000511F0">
    <w:pPr>
      <w:pStyle w:val="Piedepgina"/>
    </w:pPr>
  </w:p>
</w:ftr>
</file>

<file path=word/footer4.xml><?xml version="1.0" encoding="utf-8"?>
<w:ft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sdt>
    <w:sdtPr>
      <w:rPr>
        <w:rFonts w:ascii="Century Gothic" w:hAnsi="Century Gothic"/>
      </w:rPr>
      <w:id w:val="1770591562"/>
      <w:docPartObj>
        <w:docPartGallery w:val="Page Numbers (Bottom of Page)"/>
        <w:docPartUnique/>
      </w:docPartObj>
    </w:sdtPr>
    <w:sdtEndPr>
      <w:rPr>
        <w:rFonts w:cs="Arial"/>
        <w:sz w:val="18"/>
        <w:szCs w:val="18"/>
      </w:rPr>
    </w:sdtEndPr>
    <w:sdtContent>
      <w:sdt>
        <w:sdtPr>
          <w:rPr>
            <w:rFonts w:ascii="Century Gothic" w:hAnsi="Century Gothic" w:cs="Arial"/>
            <w:sz w:val="18"/>
            <w:szCs w:val="18"/>
          </w:rPr>
          <w:id w:val="94218895"/>
          <w:docPartObj>
            <w:docPartGallery w:val="Page Numbers (Top of Page)"/>
            <w:docPartUnique/>
          </w:docPartObj>
        </w:sdtPr>
        <w:sdtEndPr/>
        <w:sdtContent>
          <w:p w:rsidR="000511F0" w:rsidRPr="00367744" w:rsidRDefault="000511F0">
            <w:pPr>
              <w:pStyle w:val="Piedepgina"/>
              <w:jc w:val="end"/>
              <w:rPr>
                <w:rFonts w:ascii="Century Gothic" w:hAnsi="Century Gothic" w:cs="Arial"/>
                <w:sz w:val="18"/>
                <w:szCs w:val="18"/>
              </w:rPr>
            </w:pPr>
            <w:r>
              <w:rPr>
                <w:rFonts w:ascii="Century Gothic" w:hAnsi="Century Gothic"/>
                <w:noProof/>
                <w:lang w:eastAsia="es-MX"/>
              </w:rPr>
              <w:drawing>
                <wp:anchor distT="0" distB="0" distL="114300" distR="114300" simplePos="0" relativeHeight="251648000" behindDoc="1" locked="0" layoutInCell="1" allowOverlap="1" wp14:anchorId="6933C701" wp14:editId="02664DD4">
                  <wp:simplePos x="0" y="0"/>
                  <wp:positionH relativeFrom="page">
                    <wp:posOffset>395605</wp:posOffset>
                  </wp:positionH>
                  <wp:positionV relativeFrom="page">
                    <wp:posOffset>9058910</wp:posOffset>
                  </wp:positionV>
                  <wp:extent cx="828000" cy="828000"/>
                  <wp:effectExtent l="0" t="0" r="0" b="0"/>
                  <wp:wrapNone/>
                  <wp:docPr id="3" name="Imagen 3" descr="Icon&#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691" name="Picture 36"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28000" cy="828000"/>
                          </a:xfrm>
                          <a:prstGeom prst="rect">
                            <a:avLst/>
                          </a:prstGeom>
                          <a:noFill/>
                        </pic:spPr>
                      </pic:pic>
                    </a:graphicData>
                  </a:graphic>
                  <wp14:sizeRelH relativeFrom="page">
                    <wp14:pctWidth>0%</wp14:pctWidth>
                  </wp14:sizeRelH>
                  <wp14:sizeRelV relativeFrom="page">
                    <wp14:pctHeight>0%</wp14:pctHeight>
                  </wp14:sizeRelV>
                </wp:anchor>
              </w:drawing>
            </w:r>
            <w:r>
              <w:rPr>
                <w:rFonts w:ascii="Century Gothic" w:hAnsi="Century Gothic" w:cs="Arial"/>
                <w:sz w:val="18"/>
                <w:szCs w:val="18"/>
                <w:lang w:val="es-ES"/>
              </w:rPr>
              <w:t xml:space="preserve">Página </w:t>
            </w:r>
            <w:r>
              <w:rPr>
                <w:rFonts w:ascii="Century Gothic" w:hAnsi="Century Gothic" w:cs="Arial"/>
                <w:sz w:val="18"/>
                <w:szCs w:val="18"/>
              </w:rPr>
              <w:fldChar w:fldCharType="begin"/>
            </w:r>
            <w:r>
              <w:rPr>
                <w:rFonts w:ascii="Century Gothic" w:hAnsi="Century Gothic" w:cs="Arial"/>
                <w:sz w:val="18"/>
                <w:szCs w:val="18"/>
              </w:rPr>
              <w:instrText>PAGE</w:instrText>
            </w:r>
            <w:r>
              <w:rPr>
                <w:rFonts w:ascii="Century Gothic" w:hAnsi="Century Gothic" w:cs="Arial"/>
                <w:sz w:val="18"/>
                <w:szCs w:val="18"/>
              </w:rPr>
              <w:fldChar w:fldCharType="separate"/>
            </w:r>
            <w:r w:rsidR="00E321EE">
              <w:rPr>
                <w:rFonts w:ascii="Century Gothic" w:hAnsi="Century Gothic" w:cs="Arial"/>
                <w:noProof/>
                <w:sz w:val="18"/>
                <w:szCs w:val="18"/>
              </w:rPr>
              <w:t>155</w:t>
            </w:r>
            <w:r>
              <w:rPr>
                <w:rFonts w:ascii="Century Gothic" w:hAnsi="Century Gothic" w:cs="Arial"/>
                <w:sz w:val="18"/>
                <w:szCs w:val="18"/>
              </w:rPr>
              <w:fldChar w:fldCharType="end"/>
            </w:r>
            <w:r>
              <w:rPr>
                <w:rFonts w:ascii="Century Gothic" w:hAnsi="Century Gothic" w:cs="Arial"/>
                <w:sz w:val="18"/>
                <w:szCs w:val="18"/>
                <w:lang w:val="es-ES"/>
              </w:rPr>
              <w:t xml:space="preserve"> de </w:t>
            </w:r>
            <w:r>
              <w:rPr>
                <w:rFonts w:ascii="Century Gothic" w:hAnsi="Century Gothic" w:cs="Arial"/>
                <w:sz w:val="18"/>
                <w:szCs w:val="18"/>
              </w:rPr>
              <w:fldChar w:fldCharType="begin"/>
            </w:r>
            <w:r>
              <w:rPr>
                <w:rFonts w:ascii="Century Gothic" w:hAnsi="Century Gothic" w:cs="Arial"/>
                <w:sz w:val="18"/>
                <w:szCs w:val="18"/>
              </w:rPr>
              <w:instrText>NUMPAGES</w:instrText>
            </w:r>
            <w:r>
              <w:rPr>
                <w:rFonts w:ascii="Century Gothic" w:hAnsi="Century Gothic" w:cs="Arial"/>
                <w:sz w:val="18"/>
                <w:szCs w:val="18"/>
              </w:rPr>
              <w:fldChar w:fldCharType="separate"/>
            </w:r>
            <w:r w:rsidR="00E321EE">
              <w:rPr>
                <w:rFonts w:ascii="Century Gothic" w:hAnsi="Century Gothic" w:cs="Arial"/>
                <w:noProof/>
                <w:sz w:val="18"/>
                <w:szCs w:val="18"/>
              </w:rPr>
              <w:t>335</w:t>
            </w:r>
            <w:r>
              <w:rPr>
                <w:rFonts w:ascii="Century Gothic" w:hAnsi="Century Gothic" w:cs="Arial"/>
                <w:sz w:val="18"/>
                <w:szCs w:val="18"/>
              </w:rPr>
              <w:fldChar w:fldCharType="end"/>
            </w:r>
          </w:p>
        </w:sdtContent>
      </w:sdt>
    </w:sdtContent>
  </w:sdt>
  <w:p w:rsidR="000511F0" w:rsidRPr="00E50D05" w:rsidRDefault="000511F0" w:rsidP="009C03FC">
    <w:pPr>
      <w:pStyle w:val="Piedepgina"/>
      <w:jc w:val="end"/>
      <w:rPr>
        <w:rFonts w:ascii="Arial" w:hAnsi="Arial" w:cs="Arial"/>
        <w:sz w:val="18"/>
        <w:szCs w:val="18"/>
      </w:rPr>
    </w:pPr>
  </w:p>
</w:ftr>
</file>

<file path=word/footer5.xml><?xml version="1.0" encoding="utf-8"?>
<w:ft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sdt>
    <w:sdtPr>
      <w:rPr>
        <w:rFonts w:ascii="Century Gothic" w:hAnsi="Century Gothic"/>
      </w:rPr>
      <w:id w:val="-1503651160"/>
      <w:docPartObj>
        <w:docPartGallery w:val="Page Numbers (Bottom of Page)"/>
        <w:docPartUnique/>
      </w:docPartObj>
    </w:sdtPr>
    <w:sdtEndPr>
      <w:rPr>
        <w:rFonts w:cs="Arial"/>
        <w:sz w:val="18"/>
        <w:szCs w:val="18"/>
      </w:rPr>
    </w:sdtEndPr>
    <w:sdtContent>
      <w:sdt>
        <w:sdtPr>
          <w:rPr>
            <w:rFonts w:ascii="Century Gothic" w:hAnsi="Century Gothic" w:cs="Arial"/>
            <w:sz w:val="18"/>
            <w:szCs w:val="18"/>
          </w:rPr>
          <w:id w:val="-488170600"/>
          <w:docPartObj>
            <w:docPartGallery w:val="Page Numbers (Top of Page)"/>
            <w:docPartUnique/>
          </w:docPartObj>
        </w:sdtPr>
        <w:sdtEndPr/>
        <w:sdtContent>
          <w:p w:rsidR="000511F0" w:rsidRPr="0031512C" w:rsidRDefault="000511F0">
            <w:pPr>
              <w:pStyle w:val="Piedepgina"/>
              <w:jc w:val="end"/>
              <w:rPr>
                <w:rFonts w:ascii="Century Gothic" w:hAnsi="Century Gothic" w:cs="Arial"/>
                <w:sz w:val="18"/>
                <w:szCs w:val="18"/>
              </w:rPr>
            </w:pPr>
            <w:r>
              <w:rPr>
                <w:noProof/>
                <w:lang w:eastAsia="es-MX"/>
              </w:rPr>
              <w:drawing>
                <wp:anchor distT="0" distB="0" distL="114300" distR="114300" simplePos="0" relativeHeight="251671552" behindDoc="1" locked="0" layoutInCell="1" allowOverlap="1" wp14:anchorId="29C4770A" wp14:editId="711776E0">
                  <wp:simplePos x="0" y="0"/>
                  <wp:positionH relativeFrom="page">
                    <wp:posOffset>521489</wp:posOffset>
                  </wp:positionH>
                  <wp:positionV relativeFrom="page">
                    <wp:posOffset>9163822</wp:posOffset>
                  </wp:positionV>
                  <wp:extent cx="828000" cy="828000"/>
                  <wp:effectExtent l="0" t="0" r="0" b="0"/>
                  <wp:wrapNone/>
                  <wp:docPr id="7" name="Imagen 7" descr="Icon&#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687" name="Picture 36"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28000" cy="828000"/>
                          </a:xfrm>
                          <a:prstGeom prst="rect">
                            <a:avLst/>
                          </a:prstGeom>
                          <a:noFill/>
                        </pic:spPr>
                      </pic:pic>
                    </a:graphicData>
                  </a:graphic>
                  <wp14:sizeRelH relativeFrom="page">
                    <wp14:pctWidth>0%</wp14:pctWidth>
                  </wp14:sizeRelH>
                  <wp14:sizeRelV relativeFrom="page">
                    <wp14:pctHeight>0%</wp14:pctHeight>
                  </wp14:sizeRelV>
                </wp:anchor>
              </w:drawing>
            </w:r>
            <w:r w:rsidRPr="0031512C">
              <w:rPr>
                <w:rFonts w:ascii="Century Gothic" w:hAnsi="Century Gothic" w:cs="Arial"/>
                <w:sz w:val="18"/>
                <w:szCs w:val="18"/>
                <w:lang w:val="es-ES"/>
              </w:rPr>
              <w:t xml:space="preserve">Página </w:t>
            </w:r>
            <w:r w:rsidRPr="0031512C">
              <w:rPr>
                <w:rFonts w:ascii="Century Gothic" w:hAnsi="Century Gothic" w:cs="Arial"/>
                <w:sz w:val="18"/>
                <w:szCs w:val="18"/>
              </w:rPr>
              <w:fldChar w:fldCharType="begin"/>
            </w:r>
            <w:r w:rsidRPr="0031512C">
              <w:rPr>
                <w:rFonts w:ascii="Century Gothic" w:hAnsi="Century Gothic" w:cs="Arial"/>
                <w:sz w:val="18"/>
                <w:szCs w:val="18"/>
              </w:rPr>
              <w:instrText>PAGE</w:instrText>
            </w:r>
            <w:r w:rsidRPr="0031512C">
              <w:rPr>
                <w:rFonts w:ascii="Century Gothic" w:hAnsi="Century Gothic" w:cs="Arial"/>
                <w:sz w:val="18"/>
                <w:szCs w:val="18"/>
              </w:rPr>
              <w:fldChar w:fldCharType="separate"/>
            </w:r>
            <w:r w:rsidR="00E321EE">
              <w:rPr>
                <w:rFonts w:ascii="Century Gothic" w:hAnsi="Century Gothic" w:cs="Arial"/>
                <w:noProof/>
                <w:sz w:val="18"/>
                <w:szCs w:val="18"/>
              </w:rPr>
              <w:t>157</w:t>
            </w:r>
            <w:r w:rsidRPr="0031512C">
              <w:rPr>
                <w:rFonts w:ascii="Century Gothic" w:hAnsi="Century Gothic" w:cs="Arial"/>
                <w:sz w:val="18"/>
                <w:szCs w:val="18"/>
              </w:rPr>
              <w:fldChar w:fldCharType="end"/>
            </w:r>
            <w:r w:rsidRPr="0031512C">
              <w:rPr>
                <w:rFonts w:ascii="Century Gothic" w:hAnsi="Century Gothic" w:cs="Arial"/>
                <w:sz w:val="18"/>
                <w:szCs w:val="18"/>
                <w:lang w:val="es-ES"/>
              </w:rPr>
              <w:t xml:space="preserve"> de </w:t>
            </w:r>
            <w:r w:rsidRPr="0031512C">
              <w:rPr>
                <w:rFonts w:ascii="Century Gothic" w:hAnsi="Century Gothic" w:cs="Arial"/>
                <w:sz w:val="18"/>
                <w:szCs w:val="18"/>
              </w:rPr>
              <w:fldChar w:fldCharType="begin"/>
            </w:r>
            <w:r w:rsidRPr="0031512C">
              <w:rPr>
                <w:rFonts w:ascii="Century Gothic" w:hAnsi="Century Gothic" w:cs="Arial"/>
                <w:sz w:val="18"/>
                <w:szCs w:val="18"/>
              </w:rPr>
              <w:instrText>NUMPAGES</w:instrText>
            </w:r>
            <w:r w:rsidRPr="0031512C">
              <w:rPr>
                <w:rFonts w:ascii="Century Gothic" w:hAnsi="Century Gothic" w:cs="Arial"/>
                <w:sz w:val="18"/>
                <w:szCs w:val="18"/>
              </w:rPr>
              <w:fldChar w:fldCharType="separate"/>
            </w:r>
            <w:r w:rsidR="00E321EE">
              <w:rPr>
                <w:rFonts w:ascii="Century Gothic" w:hAnsi="Century Gothic" w:cs="Arial"/>
                <w:noProof/>
                <w:sz w:val="18"/>
                <w:szCs w:val="18"/>
              </w:rPr>
              <w:t>335</w:t>
            </w:r>
            <w:r w:rsidRPr="0031512C">
              <w:rPr>
                <w:rFonts w:ascii="Century Gothic" w:hAnsi="Century Gothic" w:cs="Arial"/>
                <w:sz w:val="18"/>
                <w:szCs w:val="18"/>
              </w:rPr>
              <w:fldChar w:fldCharType="end"/>
            </w:r>
          </w:p>
        </w:sdtContent>
      </w:sdt>
    </w:sdtContent>
  </w:sdt>
  <w:p w:rsidR="000511F0" w:rsidRPr="00E50D05" w:rsidRDefault="000511F0" w:rsidP="00220735">
    <w:pPr>
      <w:pStyle w:val="Piedepgina"/>
      <w:jc w:val="end"/>
      <w:rPr>
        <w:rFonts w:ascii="Arial" w:hAnsi="Arial" w:cs="Arial"/>
        <w:sz w:val="18"/>
        <w:szCs w:val="18"/>
      </w:rPr>
    </w:pPr>
  </w:p>
</w:ftr>
</file>

<file path=word/footer6.xml><?xml version="1.0" encoding="utf-8"?>
<w:ft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665523" w:rsidRDefault="000511F0">
    <w:pPr>
      <w:pStyle w:val="Piedepgina"/>
      <w:jc w:val="end"/>
      <w:rPr>
        <w:rFonts w:ascii="Century Gothic" w:hAnsi="Century Gothic" w:cs="Arial"/>
        <w:sz w:val="18"/>
        <w:szCs w:val="18"/>
      </w:rPr>
    </w:pPr>
    <w:r>
      <w:rPr>
        <w:noProof/>
        <w:lang w:eastAsia="es-MX"/>
      </w:rPr>
      <w:drawing>
        <wp:anchor distT="0" distB="0" distL="114300" distR="114300" simplePos="0" relativeHeight="251654144" behindDoc="1" locked="0" layoutInCell="1" allowOverlap="1" wp14:anchorId="2C3861B8" wp14:editId="0A098A84">
          <wp:simplePos x="0" y="0"/>
          <wp:positionH relativeFrom="page">
            <wp:posOffset>252095</wp:posOffset>
          </wp:positionH>
          <wp:positionV relativeFrom="page">
            <wp:posOffset>8925560</wp:posOffset>
          </wp:positionV>
          <wp:extent cx="828000" cy="828000"/>
          <wp:effectExtent l="0" t="0" r="0" b="0"/>
          <wp:wrapNone/>
          <wp:docPr id="14" name="Imagen 14" descr="Icon&#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688" name="Picture 36"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28000" cy="828000"/>
                  </a:xfrm>
                  <a:prstGeom prst="rect">
                    <a:avLst/>
                  </a:prstGeom>
                  <a:noFill/>
                </pic:spPr>
              </pic:pic>
            </a:graphicData>
          </a:graphic>
          <wp14:sizeRelH relativeFrom="page">
            <wp14:pctWidth>0%</wp14:pctWidth>
          </wp14:sizeRelH>
          <wp14:sizeRelV relativeFrom="page">
            <wp14:pctHeight>0%</wp14:pctHeight>
          </wp14:sizeRelV>
        </wp:anchor>
      </w:drawing>
    </w:r>
    <w:sdt>
      <w:sdtPr>
        <w:rPr>
          <w:rFonts w:ascii="Century Gothic" w:hAnsi="Century Gothic"/>
        </w:rPr>
        <w:id w:val="-1520224277"/>
        <w:docPartObj>
          <w:docPartGallery w:val="Page Numbers (Bottom of Page)"/>
          <w:docPartUnique/>
        </w:docPartObj>
      </w:sdtPr>
      <w:sdtEndPr>
        <w:rPr>
          <w:rFonts w:cs="Arial"/>
          <w:sz w:val="18"/>
          <w:szCs w:val="18"/>
        </w:rPr>
      </w:sdtEndPr>
      <w:sdtContent>
        <w:sdt>
          <w:sdtPr>
            <w:rPr>
              <w:rFonts w:ascii="Century Gothic" w:hAnsi="Century Gothic" w:cs="Arial"/>
              <w:sz w:val="18"/>
              <w:szCs w:val="18"/>
            </w:rPr>
            <w:id w:val="1894082378"/>
            <w:docPartObj>
              <w:docPartGallery w:val="Page Numbers (Top of Page)"/>
              <w:docPartUnique/>
            </w:docPartObj>
          </w:sdtPr>
          <w:sdtEndPr/>
          <w:sdtContent>
            <w:r>
              <w:rPr>
                <w:rFonts w:ascii="Century Gothic" w:hAnsi="Century Gothic" w:cs="Arial"/>
                <w:sz w:val="18"/>
                <w:szCs w:val="18"/>
                <w:lang w:val="es-ES"/>
              </w:rPr>
              <w:t xml:space="preserve">Página </w:t>
            </w:r>
            <w:r>
              <w:rPr>
                <w:rFonts w:ascii="Century Gothic" w:hAnsi="Century Gothic" w:cs="Arial"/>
                <w:sz w:val="18"/>
                <w:szCs w:val="18"/>
              </w:rPr>
              <w:fldChar w:fldCharType="begin"/>
            </w:r>
            <w:r>
              <w:rPr>
                <w:rFonts w:ascii="Century Gothic" w:hAnsi="Century Gothic" w:cs="Arial"/>
                <w:sz w:val="18"/>
                <w:szCs w:val="18"/>
              </w:rPr>
              <w:instrText>PAGE</w:instrText>
            </w:r>
            <w:r>
              <w:rPr>
                <w:rFonts w:ascii="Century Gothic" w:hAnsi="Century Gothic" w:cs="Arial"/>
                <w:sz w:val="18"/>
                <w:szCs w:val="18"/>
              </w:rPr>
              <w:fldChar w:fldCharType="separate"/>
            </w:r>
            <w:r w:rsidR="00E321EE">
              <w:rPr>
                <w:rFonts w:ascii="Century Gothic" w:hAnsi="Century Gothic" w:cs="Arial"/>
                <w:noProof/>
                <w:sz w:val="18"/>
                <w:szCs w:val="18"/>
              </w:rPr>
              <w:t>195</w:t>
            </w:r>
            <w:r>
              <w:rPr>
                <w:rFonts w:ascii="Century Gothic" w:hAnsi="Century Gothic" w:cs="Arial"/>
                <w:sz w:val="18"/>
                <w:szCs w:val="18"/>
              </w:rPr>
              <w:fldChar w:fldCharType="end"/>
            </w:r>
            <w:r>
              <w:rPr>
                <w:rFonts w:ascii="Century Gothic" w:hAnsi="Century Gothic" w:cs="Arial"/>
                <w:sz w:val="18"/>
                <w:szCs w:val="18"/>
                <w:lang w:val="es-ES"/>
              </w:rPr>
              <w:t xml:space="preserve"> de </w:t>
            </w:r>
            <w:r>
              <w:rPr>
                <w:rFonts w:ascii="Century Gothic" w:hAnsi="Century Gothic" w:cs="Arial"/>
                <w:sz w:val="18"/>
                <w:szCs w:val="18"/>
              </w:rPr>
              <w:fldChar w:fldCharType="begin"/>
            </w:r>
            <w:r>
              <w:rPr>
                <w:rFonts w:ascii="Century Gothic" w:hAnsi="Century Gothic" w:cs="Arial"/>
                <w:sz w:val="18"/>
                <w:szCs w:val="18"/>
              </w:rPr>
              <w:instrText>NUMPAGES</w:instrText>
            </w:r>
            <w:r>
              <w:rPr>
                <w:rFonts w:ascii="Century Gothic" w:hAnsi="Century Gothic" w:cs="Arial"/>
                <w:sz w:val="18"/>
                <w:szCs w:val="18"/>
              </w:rPr>
              <w:fldChar w:fldCharType="separate"/>
            </w:r>
            <w:r w:rsidR="00E321EE">
              <w:rPr>
                <w:rFonts w:ascii="Century Gothic" w:hAnsi="Century Gothic" w:cs="Arial"/>
                <w:noProof/>
                <w:sz w:val="18"/>
                <w:szCs w:val="18"/>
              </w:rPr>
              <w:t>335</w:t>
            </w:r>
            <w:r>
              <w:rPr>
                <w:rFonts w:ascii="Century Gothic" w:hAnsi="Century Gothic" w:cs="Arial"/>
                <w:sz w:val="18"/>
                <w:szCs w:val="18"/>
              </w:rPr>
              <w:fldChar w:fldCharType="end"/>
            </w:r>
          </w:sdtContent>
        </w:sdt>
      </w:sdtContent>
    </w:sdt>
  </w:p>
  <w:p w:rsidR="000511F0" w:rsidRPr="00E50D05" w:rsidRDefault="000511F0" w:rsidP="00A014FB">
    <w:pPr>
      <w:pStyle w:val="Piedepgina"/>
      <w:jc w:val="end"/>
      <w:rPr>
        <w:rFonts w:ascii="Arial" w:hAnsi="Arial" w:cs="Arial"/>
        <w:sz w:val="18"/>
        <w:szCs w:val="18"/>
      </w:rPr>
    </w:pPr>
  </w:p>
</w:ftr>
</file>

<file path=word/footer7.xml><?xml version="1.0" encoding="utf-8"?>
<w:ft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665523" w:rsidRDefault="008510F7" w:rsidP="00611019">
    <w:pPr>
      <w:pStyle w:val="Piedepgina"/>
      <w:jc w:val="end"/>
      <w:rPr>
        <w:rFonts w:ascii="Century Gothic" w:hAnsi="Century Gothic" w:cs="Arial"/>
        <w:sz w:val="18"/>
        <w:szCs w:val="18"/>
      </w:rPr>
    </w:pPr>
    <w:sdt>
      <w:sdtPr>
        <w:rPr>
          <w:rFonts w:ascii="Century Gothic" w:hAnsi="Century Gothic"/>
        </w:rPr>
        <w:id w:val="-920564658"/>
        <w:docPartObj>
          <w:docPartGallery w:val="Page Numbers (Bottom of Page)"/>
          <w:docPartUnique/>
        </w:docPartObj>
      </w:sdtPr>
      <w:sdtEndPr>
        <w:rPr>
          <w:rFonts w:cs="Arial"/>
          <w:sz w:val="18"/>
          <w:szCs w:val="18"/>
        </w:rPr>
      </w:sdtEndPr>
      <w:sdtContent>
        <w:sdt>
          <w:sdtPr>
            <w:rPr>
              <w:rFonts w:ascii="Century Gothic" w:hAnsi="Century Gothic" w:cs="Arial"/>
              <w:sz w:val="18"/>
              <w:szCs w:val="18"/>
            </w:rPr>
            <w:id w:val="-1557312752"/>
            <w:docPartObj>
              <w:docPartGallery w:val="Page Numbers (Top of Page)"/>
              <w:docPartUnique/>
            </w:docPartObj>
          </w:sdtPr>
          <w:sdtEndPr/>
          <w:sdtContent>
            <w:r w:rsidR="000511F0">
              <w:rPr>
                <w:rFonts w:ascii="Century Gothic" w:hAnsi="Century Gothic" w:cs="Arial"/>
                <w:sz w:val="18"/>
                <w:szCs w:val="18"/>
                <w:lang w:val="es-ES"/>
              </w:rPr>
              <w:t xml:space="preserve">Página </w:t>
            </w:r>
            <w:r w:rsidR="000511F0">
              <w:rPr>
                <w:rFonts w:ascii="Century Gothic" w:hAnsi="Century Gothic" w:cs="Arial"/>
                <w:sz w:val="18"/>
                <w:szCs w:val="18"/>
              </w:rPr>
              <w:fldChar w:fldCharType="begin"/>
            </w:r>
            <w:r w:rsidR="000511F0">
              <w:rPr>
                <w:rFonts w:ascii="Century Gothic" w:hAnsi="Century Gothic" w:cs="Arial"/>
                <w:sz w:val="18"/>
                <w:szCs w:val="18"/>
              </w:rPr>
              <w:instrText>PAGE</w:instrText>
            </w:r>
            <w:r w:rsidR="000511F0">
              <w:rPr>
                <w:rFonts w:ascii="Century Gothic" w:hAnsi="Century Gothic" w:cs="Arial"/>
                <w:sz w:val="18"/>
                <w:szCs w:val="18"/>
              </w:rPr>
              <w:fldChar w:fldCharType="separate"/>
            </w:r>
            <w:r w:rsidR="007A6108">
              <w:rPr>
                <w:rFonts w:ascii="Century Gothic" w:hAnsi="Century Gothic" w:cs="Arial"/>
                <w:noProof/>
                <w:sz w:val="18"/>
                <w:szCs w:val="18"/>
              </w:rPr>
              <w:t>330</w:t>
            </w:r>
            <w:r w:rsidR="000511F0">
              <w:rPr>
                <w:rFonts w:ascii="Century Gothic" w:hAnsi="Century Gothic" w:cs="Arial"/>
                <w:sz w:val="18"/>
                <w:szCs w:val="18"/>
              </w:rPr>
              <w:fldChar w:fldCharType="end"/>
            </w:r>
            <w:r w:rsidR="000511F0">
              <w:rPr>
                <w:rFonts w:ascii="Century Gothic" w:hAnsi="Century Gothic" w:cs="Arial"/>
                <w:sz w:val="18"/>
                <w:szCs w:val="18"/>
                <w:lang w:val="es-ES"/>
              </w:rPr>
              <w:t xml:space="preserve"> de </w:t>
            </w:r>
            <w:r w:rsidR="000511F0">
              <w:rPr>
                <w:rFonts w:ascii="Century Gothic" w:hAnsi="Century Gothic" w:cs="Arial"/>
                <w:sz w:val="18"/>
                <w:szCs w:val="18"/>
              </w:rPr>
              <w:fldChar w:fldCharType="begin"/>
            </w:r>
            <w:r w:rsidR="000511F0">
              <w:rPr>
                <w:rFonts w:ascii="Century Gothic" w:hAnsi="Century Gothic" w:cs="Arial"/>
                <w:sz w:val="18"/>
                <w:szCs w:val="18"/>
              </w:rPr>
              <w:instrText>NUMPAGES</w:instrText>
            </w:r>
            <w:r w:rsidR="000511F0">
              <w:rPr>
                <w:rFonts w:ascii="Century Gothic" w:hAnsi="Century Gothic" w:cs="Arial"/>
                <w:sz w:val="18"/>
                <w:szCs w:val="18"/>
              </w:rPr>
              <w:fldChar w:fldCharType="separate"/>
            </w:r>
            <w:r w:rsidR="007A6108">
              <w:rPr>
                <w:rFonts w:ascii="Century Gothic" w:hAnsi="Century Gothic" w:cs="Arial"/>
                <w:noProof/>
                <w:sz w:val="18"/>
                <w:szCs w:val="18"/>
              </w:rPr>
              <w:t>330</w:t>
            </w:r>
            <w:r w:rsidR="000511F0">
              <w:rPr>
                <w:rFonts w:ascii="Century Gothic" w:hAnsi="Century Gothic" w:cs="Arial"/>
                <w:sz w:val="18"/>
                <w:szCs w:val="18"/>
              </w:rPr>
              <w:fldChar w:fldCharType="end"/>
            </w:r>
          </w:sdtContent>
        </w:sdt>
      </w:sdtContent>
    </w:sdt>
  </w:p>
  <w:p w:rsidR="000511F0" w:rsidRPr="00E50D05" w:rsidRDefault="000511F0" w:rsidP="00611019">
    <w:pPr>
      <w:pStyle w:val="Piedepgina"/>
      <w:jc w:val="end"/>
      <w:rPr>
        <w:rFonts w:ascii="Arial" w:hAnsi="Arial" w:cs="Arial"/>
        <w:sz w:val="18"/>
        <w:szCs w:val="18"/>
      </w:rPr>
    </w:pPr>
  </w:p>
  <w:p w:rsidR="000511F0" w:rsidRDefault="000511F0">
    <w:pPr>
      <w:pStyle w:val="Piedepgina"/>
    </w:pPr>
  </w:p>
</w:ftr>
</file>

<file path=word/footer8.xml><?xml version="1.0" encoding="utf-8"?>
<w:ft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Default="000511F0">
    <w:pPr>
      <w:rPr>
        <w:sz w:val="24"/>
      </w:rPr>
    </w:pPr>
  </w:p>
</w:ftr>
</file>

<file path=word/footer9.xml><?xml version="1.0" encoding="utf-8"?>
<w:ft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665523" w:rsidRDefault="000511F0" w:rsidP="00B529D4">
    <w:pPr>
      <w:pStyle w:val="Piedepgina"/>
      <w:jc w:val="end"/>
      <w:rPr>
        <w:rFonts w:ascii="Century Gothic" w:hAnsi="Century Gothic" w:cs="Arial"/>
        <w:sz w:val="18"/>
        <w:szCs w:val="18"/>
      </w:rPr>
    </w:pPr>
    <w:r>
      <w:rPr>
        <w:noProof/>
        <w:lang w:eastAsia="es-MX"/>
      </w:rPr>
      <w:drawing>
        <wp:anchor distT="0" distB="0" distL="114300" distR="114300" simplePos="0" relativeHeight="251669504" behindDoc="1" locked="0" layoutInCell="1" allowOverlap="1" wp14:anchorId="2B13A60C" wp14:editId="2BD5E7C3">
          <wp:simplePos x="0" y="0"/>
          <wp:positionH relativeFrom="page">
            <wp:posOffset>252095</wp:posOffset>
          </wp:positionH>
          <wp:positionV relativeFrom="page">
            <wp:posOffset>8925560</wp:posOffset>
          </wp:positionV>
          <wp:extent cx="828000" cy="828000"/>
          <wp:effectExtent l="0" t="0" r="0" b="0"/>
          <wp:wrapNone/>
          <wp:docPr id="1770624165" name="Imagen 7" descr="Icon&#10;&#10;Description automatically generated"/>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48687" name="Picture 36"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28000" cy="828000"/>
                  </a:xfrm>
                  <a:prstGeom prst="rect">
                    <a:avLst/>
                  </a:prstGeom>
                  <a:noFill/>
                </pic:spPr>
              </pic:pic>
            </a:graphicData>
          </a:graphic>
          <wp14:sizeRelH relativeFrom="page">
            <wp14:pctWidth>0%</wp14:pctWidth>
          </wp14:sizeRelH>
          <wp14:sizeRelV relativeFrom="page">
            <wp14:pctHeight>0%</wp14:pctHeight>
          </wp14:sizeRelV>
        </wp:anchor>
      </w:drawing>
    </w:r>
    <w:sdt>
      <w:sdtPr>
        <w:rPr>
          <w:rFonts w:ascii="Century Gothic" w:hAnsi="Century Gothic"/>
        </w:rPr>
        <w:id w:val="1768193641"/>
        <w:docPartObj>
          <w:docPartGallery w:val="Page Numbers (Bottom of Page)"/>
          <w:docPartUnique/>
        </w:docPartObj>
      </w:sdtPr>
      <w:sdtEndPr>
        <w:rPr>
          <w:rFonts w:cs="Arial"/>
          <w:sz w:val="18"/>
          <w:szCs w:val="18"/>
        </w:rPr>
      </w:sdtEndPr>
      <w:sdtContent>
        <w:sdt>
          <w:sdtPr>
            <w:rPr>
              <w:rFonts w:ascii="Century Gothic" w:hAnsi="Century Gothic" w:cs="Arial"/>
              <w:sz w:val="18"/>
              <w:szCs w:val="18"/>
            </w:rPr>
            <w:id w:val="-830826433"/>
            <w:docPartObj>
              <w:docPartGallery w:val="Page Numbers (Top of Page)"/>
              <w:docPartUnique/>
            </w:docPartObj>
          </w:sdtPr>
          <w:sdtEndPr/>
          <w:sdtContent>
            <w:r>
              <w:rPr>
                <w:rFonts w:ascii="Century Gothic" w:hAnsi="Century Gothic" w:cs="Arial"/>
                <w:sz w:val="18"/>
                <w:szCs w:val="18"/>
                <w:lang w:val="es-ES"/>
              </w:rPr>
              <w:t xml:space="preserve">Página </w:t>
            </w:r>
            <w:r>
              <w:rPr>
                <w:rFonts w:ascii="Century Gothic" w:hAnsi="Century Gothic" w:cs="Arial"/>
                <w:sz w:val="18"/>
                <w:szCs w:val="18"/>
              </w:rPr>
              <w:fldChar w:fldCharType="begin"/>
            </w:r>
            <w:r>
              <w:rPr>
                <w:rFonts w:ascii="Century Gothic" w:hAnsi="Century Gothic" w:cs="Arial"/>
                <w:sz w:val="18"/>
                <w:szCs w:val="18"/>
              </w:rPr>
              <w:instrText>PAGE</w:instrText>
            </w:r>
            <w:r>
              <w:rPr>
                <w:rFonts w:ascii="Century Gothic" w:hAnsi="Century Gothic" w:cs="Arial"/>
                <w:sz w:val="18"/>
                <w:szCs w:val="18"/>
              </w:rPr>
              <w:fldChar w:fldCharType="separate"/>
            </w:r>
            <w:r w:rsidR="007A6108">
              <w:rPr>
                <w:rFonts w:ascii="Century Gothic" w:hAnsi="Century Gothic" w:cs="Arial"/>
                <w:noProof/>
                <w:sz w:val="18"/>
                <w:szCs w:val="18"/>
              </w:rPr>
              <w:t>335</w:t>
            </w:r>
            <w:r>
              <w:rPr>
                <w:rFonts w:ascii="Century Gothic" w:hAnsi="Century Gothic" w:cs="Arial"/>
                <w:sz w:val="18"/>
                <w:szCs w:val="18"/>
              </w:rPr>
              <w:fldChar w:fldCharType="end"/>
            </w:r>
            <w:r>
              <w:rPr>
                <w:rFonts w:ascii="Century Gothic" w:hAnsi="Century Gothic" w:cs="Arial"/>
                <w:sz w:val="18"/>
                <w:szCs w:val="18"/>
                <w:lang w:val="es-ES"/>
              </w:rPr>
              <w:t xml:space="preserve"> de </w:t>
            </w:r>
            <w:r>
              <w:rPr>
                <w:rFonts w:ascii="Century Gothic" w:hAnsi="Century Gothic" w:cs="Arial"/>
                <w:sz w:val="18"/>
                <w:szCs w:val="18"/>
              </w:rPr>
              <w:fldChar w:fldCharType="begin"/>
            </w:r>
            <w:r>
              <w:rPr>
                <w:rFonts w:ascii="Century Gothic" w:hAnsi="Century Gothic" w:cs="Arial"/>
                <w:sz w:val="18"/>
                <w:szCs w:val="18"/>
              </w:rPr>
              <w:instrText>NUMPAGES</w:instrText>
            </w:r>
            <w:r>
              <w:rPr>
                <w:rFonts w:ascii="Century Gothic" w:hAnsi="Century Gothic" w:cs="Arial"/>
                <w:sz w:val="18"/>
                <w:szCs w:val="18"/>
              </w:rPr>
              <w:fldChar w:fldCharType="separate"/>
            </w:r>
            <w:r w:rsidR="007A6108">
              <w:rPr>
                <w:rFonts w:ascii="Century Gothic" w:hAnsi="Century Gothic" w:cs="Arial"/>
                <w:noProof/>
                <w:sz w:val="18"/>
                <w:szCs w:val="18"/>
              </w:rPr>
              <w:t>335</w:t>
            </w:r>
            <w:r>
              <w:rPr>
                <w:rFonts w:ascii="Century Gothic" w:hAnsi="Century Gothic" w:cs="Arial"/>
                <w:sz w:val="18"/>
                <w:szCs w:val="18"/>
              </w:rPr>
              <w:fldChar w:fldCharType="end"/>
            </w:r>
          </w:sdtContent>
        </w:sdt>
      </w:sdtContent>
    </w:sdt>
  </w:p>
  <w:p w:rsidR="000511F0" w:rsidRPr="00E50D05" w:rsidRDefault="000511F0" w:rsidP="00B529D4">
    <w:pPr>
      <w:pStyle w:val="Piedepgina"/>
      <w:jc w:val="end"/>
      <w:rPr>
        <w:rFonts w:ascii="Arial" w:hAnsi="Arial" w:cs="Arial"/>
        <w:sz w:val="18"/>
        <w:szCs w:val="18"/>
      </w:rPr>
    </w:pPr>
  </w:p>
  <w:p w:rsidR="000511F0" w:rsidRDefault="000511F0" w:rsidP="00B529D4">
    <w:pPr>
      <w:pStyle w:val="Piedepgina"/>
    </w:pPr>
  </w:p>
  <w:p w:rsidR="000511F0" w:rsidRDefault="000511F0">
    <w:pPr>
      <w:rPr>
        <w:sz w:val="24"/>
      </w:rPr>
    </w:pPr>
  </w:p>
</w:ftr>
</file>

<file path=word/footnotes.xml><?xml version="1.0" encoding="utf-8"?>
<w:footnotes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footnote w:type="separator" w:id="-1">
    <w:p w:rsidR="008510F7" w:rsidRDefault="008510F7" w:rsidP="00A140D8">
      <w:pPr>
        <w:spacing w:line="12pt" w:lineRule="auto"/>
      </w:pPr>
      <w:r>
        <w:separator/>
      </w:r>
    </w:p>
  </w:footnote>
  <w:footnote w:type="continuationSeparator" w:id="0">
    <w:p w:rsidR="008510F7" w:rsidRDefault="008510F7" w:rsidP="00A140D8">
      <w:pPr>
        <w:spacing w:line="12pt" w:lineRule="auto"/>
      </w:pPr>
      <w:r>
        <w:continuationSeparator/>
      </w:r>
    </w:p>
  </w:footnote>
  <w:footnote w:type="continuationNotice" w:id="1">
    <w:p w:rsidR="008510F7" w:rsidRDefault="008510F7">
      <w:pPr>
        <w:spacing w:line="12pt" w:lineRule="auto"/>
      </w:pPr>
    </w:p>
  </w:footnote>
  <w:footnote w:id="2">
    <w:p w:rsidR="000511F0" w:rsidRPr="00DF2CC2" w:rsidRDefault="000511F0" w:rsidP="00F645E5">
      <w:pPr>
        <w:pStyle w:val="Textonotapie"/>
        <w:rPr>
          <w:lang w:val="en-US"/>
        </w:rPr>
      </w:pPr>
      <w:r>
        <w:rPr>
          <w:rStyle w:val="Refdenotaalpie"/>
        </w:rPr>
        <w:footnoteRef/>
      </w:r>
      <w:r>
        <w:rPr>
          <w:lang w:val="en-US"/>
        </w:rPr>
        <w:t xml:space="preserve"> A concatenation of individual IEEE 802 Local Area Networks (LANs) interconnected by Bridges, including Virtual Local Area Network (VLAN) Bridges</w:t>
      </w:r>
      <w:r>
        <w:rPr>
          <w:i/>
          <w:lang w:val="en-US"/>
        </w:rPr>
        <w:t>.</w:t>
      </w:r>
    </w:p>
  </w:footnote>
  <w:footnote w:id="3">
    <w:p w:rsidR="000511F0" w:rsidRDefault="000511F0" w:rsidP="00F645E5">
      <w:pPr>
        <w:pStyle w:val="Textonotapie"/>
      </w:pPr>
      <w:r>
        <w:rPr>
          <w:rStyle w:val="Refdenotaalpie"/>
        </w:rPr>
        <w:footnoteRef/>
      </w:r>
      <w:r>
        <w:t xml:space="preserve"> En caso de que sea posible entregar los servicios con anterioridad, se notificará al CS.</w:t>
      </w:r>
    </w:p>
  </w:footnote>
  <w:footnote w:id="4">
    <w:p w:rsidR="000511F0" w:rsidRPr="008A6791" w:rsidRDefault="000511F0" w:rsidP="00F645E5">
      <w:pPr>
        <w:pStyle w:val="Textonotapie"/>
      </w:pPr>
      <w:r>
        <w:rPr>
          <w:rStyle w:val="Refdenotaalpie"/>
          <w:rFonts w:cs="Arial"/>
        </w:rPr>
        <w:footnoteRef/>
      </w:r>
      <w:r>
        <w:t xml:space="preserve"> </w:t>
      </w:r>
      <w:r>
        <w:rPr>
          <w:lang w:val="es-ES"/>
        </w:rPr>
        <w:t xml:space="preserve">Las mediciones de pruebas remotas sólo son factibles cuando existen cabezas de prueba en la </w:t>
      </w:r>
      <w:r>
        <w:rPr>
          <w:szCs w:val="16"/>
          <w:lang w:val="es-ES"/>
        </w:rPr>
        <w:t>Central Telefónica</w:t>
      </w:r>
      <w:r>
        <w:rPr>
          <w:lang w:val="es-ES"/>
        </w:rPr>
        <w:t>. Cuando no sea factible realizar la prueba remota se utilizará el valor teórico de distancia obtenido en la construcción de red.</w:t>
      </w:r>
    </w:p>
  </w:footnote>
  <w:footnote w:id="5">
    <w:p w:rsidR="000511F0" w:rsidRPr="00F645E5" w:rsidRDefault="000511F0" w:rsidP="00F645E5">
      <w:pPr>
        <w:pStyle w:val="Textonotapie"/>
        <w:rPr>
          <w:lang w:val="es-ES"/>
        </w:rPr>
      </w:pPr>
      <w:r w:rsidRPr="00F645E5">
        <w:rPr>
          <w:rStyle w:val="Refdenotaalpie"/>
        </w:rPr>
        <w:footnoteRef/>
      </w:r>
      <w:r w:rsidRPr="00F645E5">
        <w:t xml:space="preserve"> </w:t>
      </w:r>
      <w:r w:rsidRPr="00F645E5">
        <w:rPr>
          <w:lang w:val="es-ES"/>
        </w:rPr>
        <w:t>Esto se puede identificar dentro del Código Identificador; las letras AGR y DIST refieren a si el equipo es un Agregador o un Distribuidor</w:t>
      </w:r>
    </w:p>
  </w:footnote>
  <w:footnote w:id="6">
    <w:p w:rsidR="000511F0" w:rsidRPr="00F645E5" w:rsidRDefault="000511F0" w:rsidP="00F645E5">
      <w:pPr>
        <w:pStyle w:val="xxxNotaelpiemau"/>
        <w:spacing w:after="0pt"/>
        <w:rPr>
          <w:sz w:val="16"/>
          <w:szCs w:val="12"/>
        </w:rPr>
      </w:pPr>
      <w:r>
        <w:rPr>
          <w:rStyle w:val="Refdenotaalpie"/>
          <w:rFonts w:cs="Arial"/>
        </w:rPr>
        <w:footnoteRef/>
      </w:r>
      <w:r>
        <w:t xml:space="preserve"> </w:t>
      </w:r>
      <w:r>
        <w:tab/>
      </w:r>
      <w:r w:rsidRPr="00F645E5">
        <w:rPr>
          <w:sz w:val="16"/>
          <w:szCs w:val="12"/>
        </w:rPr>
        <w:t>P-bit refiere a la etiqueta que utiliza el estándar IEEE 802.1Q para distinguir las prioridades de las tramas.</w:t>
      </w:r>
    </w:p>
  </w:footnote>
  <w:footnote w:id="7">
    <w:p w:rsidR="000511F0" w:rsidRPr="008C28CD" w:rsidRDefault="000511F0" w:rsidP="00F645E5">
      <w:pPr>
        <w:pStyle w:val="xxxNotaelpiemau"/>
        <w:spacing w:after="0pt"/>
      </w:pPr>
      <w:r w:rsidRPr="00F645E5">
        <w:rPr>
          <w:rStyle w:val="Refdenotaalpie"/>
          <w:rFonts w:cs="Arial"/>
          <w:sz w:val="16"/>
          <w:szCs w:val="12"/>
        </w:rPr>
        <w:footnoteRef/>
      </w:r>
      <w:r w:rsidRPr="00F645E5">
        <w:rPr>
          <w:rStyle w:val="Refdenotaalpie"/>
          <w:rFonts w:cs="Arial"/>
          <w:sz w:val="16"/>
          <w:szCs w:val="12"/>
        </w:rPr>
        <w:t xml:space="preserve"> </w:t>
      </w:r>
      <w:r w:rsidRPr="00F645E5">
        <w:rPr>
          <w:sz w:val="16"/>
          <w:szCs w:val="12"/>
        </w:rPr>
        <w:tab/>
        <w:t>El servicio de tráfico Multicast se proporcionará cuando lo soporte la Red de RED NACIONAL y ofrezca servicios que utilicen esta funcionalidad o cuando el o los CS que lo requiera(n) asuma (n) la totalidad de los costos incurridos o asociados a las adecuaciones en la red para la habilitación del mismo, a partir de lo cual dicho servicio será puesto a disposición del resto de los Concesionarios.</w:t>
      </w:r>
    </w:p>
  </w:footnote>
  <w:footnote w:id="8">
    <w:p w:rsidR="000511F0" w:rsidRPr="008A6791" w:rsidRDefault="000511F0" w:rsidP="00F645E5">
      <w:pPr>
        <w:pStyle w:val="xxxNotaelpiemau"/>
      </w:pPr>
      <w:r>
        <w:rPr>
          <w:rStyle w:val="Refdenotaalpie"/>
          <w:rFonts w:cs="Arial"/>
        </w:rPr>
        <w:footnoteRef/>
      </w:r>
      <w:r>
        <w:t xml:space="preserve"> </w:t>
      </w:r>
      <w:r>
        <w:tab/>
        <w:t>Implica que, en caso de no realizar pronóstico, RED NACIONAL no estará obligada a proporcionar los equipos terminales blancos, y que en caso de no cumplir con al menos el 90% de contrataciones de los Servicios relacionados, el CS deberá cubrir el costo de los equipos terminales no utilizados.</w:t>
      </w:r>
    </w:p>
  </w:footnote>
  <w:footnote w:id="9">
    <w:p w:rsidR="000511F0" w:rsidRPr="008A6791" w:rsidRDefault="000511F0" w:rsidP="00F645E5">
      <w:pPr>
        <w:pStyle w:val="xxxNotaelpiemau"/>
      </w:pPr>
      <w:r>
        <w:rPr>
          <w:rStyle w:val="Refdenotaalpie"/>
          <w:rFonts w:cs="Arial"/>
        </w:rPr>
        <w:footnoteRef/>
      </w:r>
      <w:r>
        <w:t xml:space="preserve"> </w:t>
      </w:r>
      <w:r>
        <w:tab/>
        <w:t xml:space="preserve">Siempre que para la habilitación del Servicio sea necesaria la asistencia del técnico de RED NACIONAL al domicilio del </w:t>
      </w:r>
      <w:r>
        <w:rPr>
          <w:rFonts w:cs="Arial"/>
        </w:rPr>
        <w:t>Usuario Final</w:t>
      </w:r>
    </w:p>
  </w:footnote>
  <w:footnote w:id="10">
    <w:p w:rsidR="000511F0" w:rsidRPr="008A6791" w:rsidRDefault="000511F0" w:rsidP="00F645E5">
      <w:pPr>
        <w:pStyle w:val="xxxNotaelpiemau"/>
      </w:pPr>
      <w:r>
        <w:rPr>
          <w:rStyle w:val="Refdenotaalpie"/>
        </w:rPr>
        <w:footnoteRef/>
      </w:r>
      <w:r>
        <w:t xml:space="preserve"> </w:t>
      </w:r>
      <w:r>
        <w:tab/>
        <w:t xml:space="preserve">En el caso de que un grupo de CS desee adquirir el lote mínimo deberán designar un responsable encargado de concertar con RED NACIONAL la adquisición del lote mínimo, así como el punto de distribución donde recogerá o recibirá los módems y las ONT. </w:t>
      </w:r>
    </w:p>
  </w:footnote>
  <w:footnote w:id="11">
    <w:p w:rsidR="000511F0" w:rsidRPr="008A6791" w:rsidRDefault="000511F0" w:rsidP="00F645E5">
      <w:pPr>
        <w:pStyle w:val="xxxNotaelpiemau"/>
        <w:spacing w:after="0pt"/>
      </w:pPr>
      <w:r>
        <w:t xml:space="preserve"> </w:t>
      </w:r>
      <w:r>
        <w:rPr>
          <w:rStyle w:val="Refdenotaalpie"/>
        </w:rPr>
        <w:footnoteRef/>
      </w:r>
      <w:r>
        <w:t xml:space="preserve"> </w:t>
      </w:r>
      <w:r>
        <w:tab/>
        <w:t>El día de entrega no excederá los diez días hábiles desde la validación de la solicitud.</w:t>
      </w:r>
    </w:p>
  </w:footnote>
  <w:footnote w:id="12">
    <w:p w:rsidR="000511F0" w:rsidRPr="006E29BA" w:rsidRDefault="000511F0" w:rsidP="00F645E5">
      <w:pPr>
        <w:pStyle w:val="xxxNotaelpiemau"/>
        <w:spacing w:after="0pt"/>
      </w:pPr>
      <w:r>
        <w:rPr>
          <w:rStyle w:val="Refdenotaalpie"/>
        </w:rPr>
        <w:footnoteRef/>
      </w:r>
      <w:r>
        <w:t xml:space="preserve"> </w:t>
      </w:r>
      <w:r>
        <w:tab/>
        <w:t>Este plazo de prevención sólo se permitirá una vez.</w:t>
      </w:r>
    </w:p>
  </w:footnote>
  <w:footnote w:id="13">
    <w:p w:rsidR="000511F0" w:rsidRPr="008A6791" w:rsidRDefault="000511F0" w:rsidP="00F645E5">
      <w:pPr>
        <w:pStyle w:val="xxxNotaelpiemau"/>
        <w:spacing w:after="0pt"/>
      </w:pPr>
      <w:r>
        <w:rPr>
          <w:rStyle w:val="Refdenotaalpie"/>
        </w:rPr>
        <w:footnoteRef/>
      </w:r>
      <w:r>
        <w:t xml:space="preserve"> </w:t>
      </w:r>
      <w:r>
        <w:tab/>
        <w:t>En caso de que el CS desee utilizar esta alternativa en módems/ONT que no se encuentren homologados, deberá solicitar el Servicio de interoperabilidad.</w:t>
      </w:r>
    </w:p>
  </w:footnote>
  <w:footnote w:id="14">
    <w:p w:rsidR="000511F0" w:rsidRPr="008A6791" w:rsidRDefault="000511F0" w:rsidP="00F645E5">
      <w:pPr>
        <w:pStyle w:val="xxxNotaelpiemau"/>
        <w:spacing w:after="0pt"/>
      </w:pPr>
      <w:r>
        <w:rPr>
          <w:rStyle w:val="Refdenotaalpie"/>
        </w:rPr>
        <w:footnoteRef/>
      </w:r>
      <w:r>
        <w:t xml:space="preserve"> </w:t>
      </w:r>
      <w:r>
        <w:tab/>
        <w:t>Es importante mencionar que en el caso de módems/ONT homologadas por RED NACIONAL y que son adquiridos directamente por los CS hacia los proveedores/fabricantes, es necesario que el CS entregue el número de serie de los módems/ONT para que éstos sean abanderados e identificados en los sistemas de RED NACIONAL, con el fin de que cuando existan nuevas versiones de software que contengan correcciones o mejoras a las versiones actuales, sean informados los CS, que existe una nueva actualización y sea acordado un plan de actualización con ellos; esta actualización de software se podrá realizar vía remota desde los sistemas de RED NACIONAL hacia los modelos de módem/ONT del CS correspondientes, siempre y cuando sus módems/ONT estén gestionados/alcanzables desde los sistemas de RED NACIONAL.</w:t>
      </w:r>
    </w:p>
  </w:footnote>
  <w:footnote w:id="15">
    <w:p w:rsidR="000511F0" w:rsidRPr="000C6CAF" w:rsidRDefault="000511F0" w:rsidP="00F645E5">
      <w:pPr>
        <w:pStyle w:val="xxxNotaelpiemau"/>
        <w:rPr>
          <w:lang w:val="es-MX"/>
        </w:rPr>
      </w:pPr>
      <w:r>
        <w:rPr>
          <w:rStyle w:val="Refdenotaalpie"/>
        </w:rPr>
        <w:footnoteRef/>
      </w:r>
      <w:r>
        <w:t xml:space="preserve"> </w:t>
      </w:r>
      <w:r>
        <w:tab/>
        <w:t xml:space="preserve">En este caso de que el módem/ONT sea reestablecido por el CS o su </w:t>
      </w:r>
      <w:r>
        <w:rPr>
          <w:rFonts w:cs="Arial"/>
        </w:rPr>
        <w:t>cliente final</w:t>
      </w:r>
      <w:r>
        <w:t>, no se contabilizará como una falla atribuible a RED NACIONAL.</w:t>
      </w:r>
    </w:p>
  </w:footnote>
  <w:footnote w:id="16">
    <w:p w:rsidR="000511F0" w:rsidRDefault="000511F0" w:rsidP="00F645E5">
      <w:pPr>
        <w:pStyle w:val="Textonotapie"/>
      </w:pPr>
      <w:r>
        <w:rPr>
          <w:rStyle w:val="Refdenotaalpie"/>
        </w:rPr>
        <w:footnoteRef/>
      </w:r>
      <w:r>
        <w:t xml:space="preserve"> </w:t>
      </w:r>
      <w:hyperlink r:id="rId1" w:history="1">
        <w:r>
          <w:rPr>
            <w:rStyle w:val="Hipervnculo"/>
            <w:color w:val="auto"/>
            <w:u w:val="none"/>
          </w:rPr>
          <w:t>https://www.diputados.gob.mx/LeyesBiblio/pdf/LFPDPPP.pdf</w:t>
        </w:r>
      </w:hyperlink>
    </w:p>
  </w:footnote>
  <w:footnote w:id="17">
    <w:p w:rsidR="000511F0" w:rsidRDefault="000511F0" w:rsidP="00F645E5">
      <w:pPr>
        <w:pStyle w:val="Textonotapie"/>
        <w:rPr>
          <w:lang w:val="es-ES"/>
        </w:rPr>
      </w:pPr>
      <w:r>
        <w:rPr>
          <w:rStyle w:val="Refdenotaalpie"/>
        </w:rPr>
        <w:footnoteRef/>
      </w:r>
      <w:r>
        <w:t xml:space="preserve"> La modalidad de SAIB a contratar se encuentra definida por las características del nivel de agregación (local, regional o nacional) así como por la calidad de tráfico a contratar (a. P-bit= 0, b. P-bits= 0, 5, c.P-bit= 1 o d. P-bits= 1, 2 y 5).</w:t>
      </w:r>
    </w:p>
  </w:footnote>
  <w:footnote w:id="18">
    <w:p w:rsidR="000511F0" w:rsidRDefault="000511F0" w:rsidP="00F645E5">
      <w:pPr>
        <w:pStyle w:val="Textonotapie"/>
        <w:rPr>
          <w:lang w:val="es-ES"/>
        </w:rPr>
      </w:pPr>
      <w:r>
        <w:rPr>
          <w:rStyle w:val="Refdenotaalpie"/>
        </w:rPr>
        <w:footnoteRef/>
      </w:r>
      <w:r>
        <w:t xml:space="preserve"> El CS deberá proporcionar un número de contacto para responder dudas sobre la ubicación de los domicilios.</w:t>
      </w:r>
    </w:p>
  </w:footnote>
  <w:footnote w:id="19">
    <w:p w:rsidR="000511F0" w:rsidRDefault="000511F0" w:rsidP="00F645E5">
      <w:pPr>
        <w:pStyle w:val="Textonotapie"/>
      </w:pPr>
      <w:r>
        <w:rPr>
          <w:rStyle w:val="Refdenotaalpie"/>
        </w:rPr>
        <w:footnoteRef/>
      </w:r>
      <w:r>
        <w:t xml:space="preserve">   No aplica para cambios de perfil sin cambio de tecnología.</w:t>
      </w:r>
    </w:p>
  </w:footnote>
  <w:footnote w:id="20">
    <w:p w:rsidR="000511F0" w:rsidRDefault="000511F0" w:rsidP="00F645E5">
      <w:pPr>
        <w:pStyle w:val="xxxNotaelpiemau"/>
      </w:pPr>
      <w:r>
        <w:rPr>
          <w:rStyle w:val="Refdenotaalpie"/>
          <w:rFonts w:cs="Arial"/>
        </w:rPr>
        <w:footnoteRef/>
      </w:r>
      <w:r>
        <w:t xml:space="preserve"> </w:t>
      </w:r>
      <w:r>
        <w:tab/>
        <w:t>Salvo casos fortuitos, causas de fuerza mayor o cualquier otra causa no imputable a RED NACIONAL.</w:t>
      </w:r>
    </w:p>
  </w:footnote>
  <w:footnote w:id="21">
    <w:p w:rsidR="000511F0" w:rsidRDefault="000511F0" w:rsidP="00F645E5">
      <w:pPr>
        <w:pStyle w:val="Textonotapie"/>
      </w:pPr>
      <w:r>
        <w:rPr>
          <w:rStyle w:val="Refdenotaalpie"/>
        </w:rPr>
        <w:footnoteRef/>
      </w:r>
      <w:r>
        <w:t xml:space="preserve"> Dicha cotización tendrá un costo conforme a lo establecido en el Anexo A de tarifas.</w:t>
      </w:r>
    </w:p>
  </w:footnote>
  <w:footnote w:id="22">
    <w:p w:rsidR="000511F0" w:rsidRDefault="000511F0" w:rsidP="00F645E5">
      <w:pPr>
        <w:pStyle w:val="Textonotapie"/>
      </w:pPr>
      <w:r>
        <w:rPr>
          <w:rStyle w:val="Refdenotaalpie"/>
        </w:rPr>
        <w:footnoteRef/>
      </w:r>
      <w:r>
        <w:t xml:space="preserve"> 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23">
    <w:p w:rsidR="000511F0" w:rsidRDefault="000511F0" w:rsidP="00F645E5">
      <w:pPr>
        <w:pStyle w:val="xxxNotaelpiemau"/>
      </w:pPr>
      <w:r>
        <w:rPr>
          <w:rStyle w:val="Refdenotaalpie"/>
        </w:rPr>
        <w:footnoteRef/>
      </w:r>
      <w:r>
        <w:t xml:space="preserve"> </w:t>
      </w:r>
      <w:r>
        <w:tab/>
        <w:t>Figura con fines exclusivamente ilustrativos del funcionamiento del Servicio.</w:t>
      </w:r>
    </w:p>
  </w:footnote>
  <w:footnote w:id="24">
    <w:p w:rsidR="000511F0" w:rsidRDefault="000511F0" w:rsidP="00F645E5">
      <w:pPr>
        <w:pStyle w:val="xxxNotaelpiemau"/>
      </w:pPr>
      <w:r>
        <w:rPr>
          <w:rStyle w:val="Refdenotaalpie"/>
        </w:rPr>
        <w:footnoteRef/>
      </w:r>
      <w:r>
        <w:t xml:space="preserve"> </w:t>
      </w:r>
      <w:r>
        <w:tab/>
        <w:t>Se podrá ingresar la solicitud del Servicio Auxiliar de Cableado Multipar y SCyD, a partir de que el CS hubiera aceptado la cotización del Servicio de coubicación (por nueva habilitación o por adecuación), y la entrega del Servicio Auxiliar será en punta en el plazo que corresponda al Servicio de coubicación o posterior a la coubicación dependiendo de en qué momento se haya solicitado el Servicio Auxiliar y dependiendo de los tiempos de cada servicio, prevaleciendo el de mayor plazo o bien el solicitado al final.</w:t>
      </w:r>
    </w:p>
  </w:footnote>
  <w:footnote w:id="25">
    <w:p w:rsidR="000511F0" w:rsidRDefault="000511F0" w:rsidP="00204BC4">
      <w:pPr>
        <w:pStyle w:val="xxxNotaelpiemau"/>
        <w:spacing w:after="0pt"/>
      </w:pPr>
      <w:r>
        <w:rPr>
          <w:rStyle w:val="Refdenotaalpie"/>
        </w:rPr>
        <w:footnoteRef/>
      </w:r>
      <w:r>
        <w:t xml:space="preserve"> </w:t>
      </w:r>
      <w:r>
        <w:tab/>
        <w:t>Si el CS acudió a la realización de pruebas y éstas no fueron satisfactorias se realizarán las adecuaciones correspondientes hasta que el Servicio esté habilitado conforme a las pruebas.</w:t>
      </w:r>
    </w:p>
  </w:footnote>
  <w:footnote w:id="26">
    <w:p w:rsidR="000511F0" w:rsidRPr="008825A7" w:rsidRDefault="000511F0" w:rsidP="00204BC4">
      <w:pPr>
        <w:jc w:val="both"/>
        <w:rPr>
          <w:rFonts w:ascii="Century Gothic" w:hAnsi="Century Gothic"/>
          <w:sz w:val="20"/>
          <w:szCs w:val="20"/>
        </w:rPr>
      </w:pPr>
      <w:r>
        <w:rPr>
          <w:rStyle w:val="Refdenotaalpie"/>
          <w:rFonts w:ascii="Century Gothic" w:hAnsi="Century Gothic"/>
          <w:sz w:val="16"/>
          <w:szCs w:val="16"/>
        </w:rPr>
        <w:footnoteRef/>
      </w:r>
      <w:r>
        <w:rPr>
          <w:rFonts w:ascii="Century Gothic" w:hAnsi="Century Gothic"/>
          <w:sz w:val="16"/>
          <w:szCs w:val="16"/>
        </w:rPr>
        <w:t xml:space="preserve">    Si tras seis meses de entregado el Servicio no se han habilitado servicios SAIB, Red Nacional y Red Noroeste emitirán un aviso al CS al que se le tiene asignado el SCyD para que en el curso de los siguientes tres meses realice la ocupación de servicios del SAIB, de lo contrario, al término de ese plazo adicional podrán proceder a la liberación de la reserva exclusiva para el CS de dicho puerto, previo aviso correspondiente al CS.</w:t>
      </w:r>
    </w:p>
  </w:footnote>
  <w:footnote w:id="27">
    <w:p w:rsidR="000511F0" w:rsidRDefault="000511F0" w:rsidP="00F645E5">
      <w:pPr>
        <w:pStyle w:val="xxxNotaelpiemau"/>
      </w:pPr>
      <w:r>
        <w:rPr>
          <w:rStyle w:val="Refdenotaalpie"/>
        </w:rPr>
        <w:footnoteRef/>
      </w:r>
      <w:r>
        <w:t xml:space="preserve"> </w:t>
      </w:r>
      <w:r>
        <w:tab/>
        <w:t>El procedimiento de Ampliación/Eliminación de NCAI por SCyD, aplica para el mismo nivel de agregación.</w:t>
      </w:r>
    </w:p>
  </w:footnote>
  <w:footnote w:id="28">
    <w:p w:rsidR="000511F0" w:rsidRDefault="000511F0" w:rsidP="00F645E5">
      <w:pPr>
        <w:pStyle w:val="xxxNotaelpiemau"/>
      </w:pPr>
      <w:r>
        <w:rPr>
          <w:rStyle w:val="Refdenotaalpie"/>
        </w:rPr>
        <w:footnoteRef/>
      </w:r>
      <w:r>
        <w:t xml:space="preserve"> </w:t>
      </w:r>
      <w:r>
        <w:tab/>
        <w:t>Si el CS acudió a la realización de pruebas y éstas no fueron satisfactorias se realizarán las adecuaciones correspondientes hasta que el Servicio esté habilitado conforme a las pruebas.</w:t>
      </w:r>
    </w:p>
  </w:footnote>
  <w:footnote w:id="29">
    <w:p w:rsidR="000511F0" w:rsidRDefault="000511F0" w:rsidP="00F645E5">
      <w:pPr>
        <w:pStyle w:val="xxxNotaelpiemau"/>
      </w:pPr>
      <w:r>
        <w:rPr>
          <w:rStyle w:val="Refdenotaalpie"/>
          <w:rFonts w:cs="Arial"/>
        </w:rPr>
        <w:footnoteRef/>
      </w:r>
      <w:r>
        <w:rPr>
          <w:rFonts w:cs="Arial"/>
        </w:rPr>
        <w:t xml:space="preserve"> </w:t>
      </w:r>
      <w:r>
        <w:tab/>
        <w:t>Toda vez que el Servicio es Best Effort, no se asegura un SLA diferenciado, ya que en esta prioridad el tráfico compite entre sí.</w:t>
      </w:r>
    </w:p>
  </w:footnote>
  <w:footnote w:id="30">
    <w:p w:rsidR="000511F0" w:rsidRDefault="000511F0" w:rsidP="00204BC4">
      <w:pPr>
        <w:pStyle w:val="xxxNotaelpiemau"/>
        <w:spacing w:after="0pt"/>
      </w:pPr>
      <w:r>
        <w:rPr>
          <w:rStyle w:val="Refdenotaalpie"/>
          <w:rFonts w:cs="Arial"/>
        </w:rPr>
        <w:footnoteRef/>
      </w:r>
      <w:r>
        <w:t xml:space="preserve"> </w:t>
      </w:r>
      <w:r>
        <w:tab/>
        <w:t xml:space="preserve">Parámetros determinados tomando como referencia el </w:t>
      </w:r>
      <w:r>
        <w:rPr>
          <w:i/>
        </w:rPr>
        <w:t>Implementation Agreement</w:t>
      </w:r>
      <w:r>
        <w:t xml:space="preserve"> MEF 23.2, considerando que los parámetros en el MEF 23.2 son establecidos unidireccionalmente (</w:t>
      </w:r>
      <w:r>
        <w:rPr>
          <w:i/>
        </w:rPr>
        <w:t>One-Way</w:t>
      </w:r>
      <w:r>
        <w:t>) y correlacionados según su nivel de agregación.</w:t>
      </w:r>
    </w:p>
    <w:p w:rsidR="000511F0" w:rsidRDefault="000511F0" w:rsidP="00204BC4">
      <w:pPr>
        <w:pStyle w:val="xxxNotaelpiemau"/>
        <w:spacing w:after="0pt"/>
      </w:pPr>
      <w:r>
        <w:tab/>
        <w:t>La correspondencia utilizada se determinó en función del alcance geográfico que mejor se relacionara con la prestación de los Servicios en la OREDA (local, regional y nacional). Por lo anterior, se comparó el nivel de agregación del SAIB local, regional y nacional, con el nivel “metro”, “regional” y “continental” del</w:t>
      </w:r>
      <w:r>
        <w:rPr>
          <w:i/>
        </w:rPr>
        <w:t xml:space="preserve"> Implementation Agreement</w:t>
      </w:r>
      <w:r>
        <w:t xml:space="preserve"> MEF 23.2, respectivamente. El</w:t>
      </w:r>
      <w:r>
        <w:rPr>
          <w:i/>
        </w:rPr>
        <w:t xml:space="preserve"> Implementation Agreement</w:t>
      </w:r>
      <w:r>
        <w:t xml:space="preserve"> MEF 23.2 se puede consultar en el siguiente enlace: </w:t>
      </w:r>
      <w:r>
        <w:rPr>
          <w:i/>
        </w:rPr>
        <w:t>https://wiki.mef.net/display/CESG/MEF+23.2+-+Carrier+Ethernet+Class+of+Service</w:t>
      </w:r>
    </w:p>
  </w:footnote>
  <w:footnote w:id="31">
    <w:p w:rsidR="000511F0" w:rsidRPr="008D0935" w:rsidRDefault="000511F0" w:rsidP="00204BC4">
      <w:pPr>
        <w:pStyle w:val="Textonotapie"/>
        <w:rPr>
          <w:lang w:val="es-ES"/>
        </w:rPr>
      </w:pPr>
      <w:r>
        <w:rPr>
          <w:rStyle w:val="Refdenotaalpie"/>
        </w:rPr>
        <w:footnoteRef/>
      </w:r>
      <w:r>
        <w:t xml:space="preserve"> </w:t>
      </w:r>
      <w:r>
        <w:rPr>
          <w:lang w:val="es-ES"/>
        </w:rPr>
        <w:t>El tiempo transcurrido desde que RED NACIONAL avisa que se han concluido las configuraciones y hasta que el CS proporcione la fecha para las pruebas no se contabilizará en los plazos establecidos para la entrega del servicio.</w:t>
      </w:r>
    </w:p>
  </w:footnote>
  <w:footnote w:id="32">
    <w:p w:rsidR="000511F0" w:rsidRDefault="000511F0" w:rsidP="00F645E5">
      <w:pPr>
        <w:pStyle w:val="Textonotapie"/>
      </w:pPr>
      <w:r>
        <w:rPr>
          <w:rStyle w:val="Refdenotaalpie"/>
        </w:rPr>
        <w:footnoteRef/>
      </w:r>
      <w:r>
        <w:t xml:space="preserve"> Dicha cotización tendrá un costo conforme a lo establecido en el Anexo A de tarifas.</w:t>
      </w:r>
    </w:p>
  </w:footnote>
  <w:footnote w:id="33">
    <w:p w:rsidR="000511F0" w:rsidRDefault="000511F0" w:rsidP="00F645E5">
      <w:pPr>
        <w:pStyle w:val="Textonotapie"/>
      </w:pPr>
      <w:r>
        <w:rPr>
          <w:rStyle w:val="Refdenotaalpie"/>
        </w:rPr>
        <w:footnoteRef/>
      </w:r>
      <w:r>
        <w:t xml:space="preserve"> 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34">
    <w:p w:rsidR="000511F0" w:rsidRDefault="000511F0" w:rsidP="00F645E5">
      <w:pPr>
        <w:pStyle w:val="Textonotapie"/>
      </w:pPr>
      <w:r>
        <w:rPr>
          <w:rStyle w:val="Refdenotaalpie"/>
        </w:rPr>
        <w:footnoteRef/>
      </w:r>
      <w:r>
        <w:t xml:space="preserve"> Dicha cotización tendrá un costo conforme a lo establecido en el Anexo A de tarifas.</w:t>
      </w:r>
    </w:p>
  </w:footnote>
  <w:footnote w:id="35">
    <w:p w:rsidR="000511F0" w:rsidRDefault="000511F0" w:rsidP="00F645E5">
      <w:pPr>
        <w:pStyle w:val="Textonotapie"/>
      </w:pPr>
      <w:r>
        <w:rPr>
          <w:rStyle w:val="Refdenotaalpie"/>
        </w:rPr>
        <w:footnoteRef/>
      </w:r>
      <w:r>
        <w:t xml:space="preserve"> El costo de la cotización deberá cubrirse siempre que incluya el detalle de los trabajos a realizar, así como plazos, costos por actividad y todo aquello que le de claridad al CS para determinar su aceptación. En caso de que se opte por el Análisis de Factibilidad no se cobrará la cotización.</w:t>
      </w:r>
    </w:p>
  </w:footnote>
  <w:footnote w:id="36">
    <w:p w:rsidR="000511F0" w:rsidRDefault="000511F0" w:rsidP="00F645E5">
      <w:pPr>
        <w:pStyle w:val="Textonotapie"/>
      </w:pPr>
      <w:r>
        <w:rPr>
          <w:rStyle w:val="Refdenotaalpie"/>
        </w:rPr>
        <w:footnoteRef/>
      </w:r>
      <w:r>
        <w:t xml:space="preserve"> Dicha cotización tendrá un costo conforme a lo establecido en el Anexo A de tarifas.</w:t>
      </w:r>
    </w:p>
  </w:footnote>
  <w:footnote w:id="37">
    <w:p w:rsidR="000511F0" w:rsidRDefault="000511F0" w:rsidP="00F645E5">
      <w:pPr>
        <w:pStyle w:val="Textonotapie"/>
      </w:pPr>
      <w:r>
        <w:rPr>
          <w:rStyle w:val="Refdenotaalpie"/>
        </w:rPr>
        <w:footnoteRef/>
      </w:r>
      <w:r>
        <w:t xml:space="preserve"> 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38">
    <w:p w:rsidR="000511F0" w:rsidRPr="008A6791" w:rsidRDefault="000511F0" w:rsidP="00F645E5">
      <w:pPr>
        <w:pStyle w:val="xxxNotaelpiemau"/>
        <w:rPr>
          <w:lang w:val="es-MX"/>
        </w:rPr>
      </w:pPr>
      <w:r>
        <w:rPr>
          <w:rStyle w:val="Refdenotaalpie"/>
        </w:rPr>
        <w:footnoteRef/>
      </w:r>
      <w:r>
        <w:t xml:space="preserve"> </w:t>
      </w:r>
      <w:r>
        <w:tab/>
        <w:t>Estos podrán ser reubicados en caso de que exista saturación de espacios.</w:t>
      </w:r>
    </w:p>
  </w:footnote>
  <w:footnote w:id="39">
    <w:p w:rsidR="000511F0" w:rsidRPr="008A6791" w:rsidRDefault="000511F0" w:rsidP="00F645E5">
      <w:pPr>
        <w:pStyle w:val="xxxNotaelpiemau"/>
        <w:rPr>
          <w:lang w:val="es-MX"/>
        </w:rPr>
      </w:pPr>
      <w:r>
        <w:rPr>
          <w:rStyle w:val="Refdenotaalpie"/>
        </w:rPr>
        <w:footnoteRef/>
      </w:r>
      <w:r>
        <w:t xml:space="preserve"> </w:t>
      </w:r>
      <w:r>
        <w:tab/>
        <w:t>Los BTUs están asociados a una mayor disipación térmica.</w:t>
      </w:r>
    </w:p>
  </w:footnote>
  <w:footnote w:id="40">
    <w:p w:rsidR="000511F0" w:rsidRPr="008A6791" w:rsidRDefault="000511F0" w:rsidP="00204BC4">
      <w:pPr>
        <w:pStyle w:val="Textonotapie"/>
      </w:pPr>
      <w:r>
        <w:rPr>
          <w:rStyle w:val="Refdenotaalpie"/>
        </w:rPr>
        <w:footnoteRef/>
      </w:r>
      <w:r>
        <w:t xml:space="preserve"> Dicha cotización tendrá un costo conforme a lo establecido en el Anexo A de tarifas.</w:t>
      </w:r>
    </w:p>
  </w:footnote>
  <w:footnote w:id="41">
    <w:p w:rsidR="000511F0" w:rsidRPr="001A1383" w:rsidRDefault="000511F0" w:rsidP="00204BC4">
      <w:pPr>
        <w:pStyle w:val="xxxNotaelpiemau"/>
        <w:spacing w:after="0pt"/>
      </w:pPr>
      <w:r>
        <w:rPr>
          <w:rStyle w:val="Refdenotaalpie"/>
        </w:rPr>
        <w:footnoteRef/>
      </w:r>
      <w:r>
        <w:t xml:space="preserve"> El tiempo que el CS tendrá para indicar si acepta la cotización, no contabilizará para los plazos de entrega de RED NACIONAL.</w:t>
      </w:r>
    </w:p>
  </w:footnote>
  <w:footnote w:id="42">
    <w:p w:rsidR="000511F0" w:rsidRPr="008A6791" w:rsidRDefault="000511F0" w:rsidP="00204BC4">
      <w:pPr>
        <w:pStyle w:val="Textonotapie"/>
      </w:pPr>
      <w:r>
        <w:rPr>
          <w:rStyle w:val="Refdenotaalpie"/>
        </w:rPr>
        <w:footnoteRef/>
      </w:r>
      <w:r>
        <w:t xml:space="preserve"> 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43">
    <w:p w:rsidR="000511F0" w:rsidRPr="008A6791" w:rsidRDefault="000511F0" w:rsidP="00204BC4">
      <w:pPr>
        <w:pStyle w:val="xxxNotaelpiemau"/>
        <w:spacing w:after="0pt"/>
      </w:pPr>
      <w:r>
        <w:rPr>
          <w:vertAlign w:val="superscript"/>
        </w:rPr>
        <w:footnoteRef/>
      </w:r>
      <w:r>
        <w:t xml:space="preserve"> El tiempo relativo a la tramitación de permisos para la construcción de la Coubicación no contabilizará para los plazos de entrega de RED NACIONAL. </w:t>
      </w:r>
    </w:p>
  </w:footnote>
  <w:footnote w:id="44">
    <w:p w:rsidR="000511F0" w:rsidRPr="008A6791" w:rsidRDefault="000511F0" w:rsidP="00F645E5">
      <w:pPr>
        <w:pStyle w:val="Textonotapie"/>
      </w:pPr>
      <w:r>
        <w:rPr>
          <w:rStyle w:val="Refdenotaalpie"/>
        </w:rPr>
        <w:footnoteRef/>
      </w:r>
      <w:r>
        <w:t xml:space="preserve"> Dicha cotización tendrá un costo conforme a lo establecido en el Anexo A de tarifas.</w:t>
      </w:r>
    </w:p>
  </w:footnote>
  <w:footnote w:id="45">
    <w:p w:rsidR="000511F0" w:rsidRPr="008A6791" w:rsidRDefault="000511F0" w:rsidP="00F645E5">
      <w:pPr>
        <w:pStyle w:val="xxxNotaelpiemau"/>
      </w:pPr>
      <w:r>
        <w:rPr>
          <w:rStyle w:val="Refdenotaalpie"/>
        </w:rPr>
        <w:footnoteRef/>
      </w:r>
      <w:r>
        <w:t xml:space="preserve"> El tiempo que el CS tendrá para indicar si acepta la cotización, no contabilizará para los plazos de entrega de RED NACIONAL.</w:t>
      </w:r>
    </w:p>
  </w:footnote>
  <w:footnote w:id="46">
    <w:p w:rsidR="000511F0" w:rsidRPr="008A6791" w:rsidRDefault="000511F0" w:rsidP="00F645E5">
      <w:pPr>
        <w:pStyle w:val="Textonotapie"/>
      </w:pPr>
      <w:r>
        <w:rPr>
          <w:rStyle w:val="Refdenotaalpie"/>
        </w:rPr>
        <w:footnoteRef/>
      </w:r>
      <w:r>
        <w:t xml:space="preserve"> 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47">
    <w:p w:rsidR="000511F0" w:rsidRPr="008A6791" w:rsidRDefault="000511F0" w:rsidP="00F645E5">
      <w:pPr>
        <w:pStyle w:val="Textonotapie"/>
      </w:pPr>
      <w:r>
        <w:rPr>
          <w:rStyle w:val="Refdenotaalpie"/>
        </w:rPr>
        <w:footnoteRef/>
      </w:r>
      <w:r>
        <w:t xml:space="preserve"> Dicha cotización tendrá un costo conforme a lo establecido en el Anexo A de tarifas.</w:t>
      </w:r>
    </w:p>
  </w:footnote>
  <w:footnote w:id="48">
    <w:p w:rsidR="000511F0" w:rsidRPr="008A6791" w:rsidRDefault="000511F0" w:rsidP="00F645E5">
      <w:pPr>
        <w:pStyle w:val="xxxNotaelpiemau"/>
      </w:pPr>
      <w:r>
        <w:rPr>
          <w:rStyle w:val="Refdenotaalpie"/>
        </w:rPr>
        <w:footnoteRef/>
      </w:r>
      <w:r>
        <w:t xml:space="preserve"> El tiempo que el CS tendrá para indicar si acepta la cotización, no contabilizará para los plazos de entrega de RED NACIONAL.</w:t>
      </w:r>
    </w:p>
  </w:footnote>
  <w:footnote w:id="49">
    <w:p w:rsidR="000511F0" w:rsidRPr="008A6791" w:rsidRDefault="000511F0" w:rsidP="00F645E5">
      <w:pPr>
        <w:pStyle w:val="Textonotapie"/>
      </w:pPr>
      <w:r>
        <w:rPr>
          <w:rStyle w:val="Refdenotaalpie"/>
        </w:rPr>
        <w:footnoteRef/>
      </w:r>
      <w:r>
        <w:t xml:space="preserve"> El costo de la cotización deberá cubrirse siempre que incluya el detalle de los trabajos a realizar, así como plazos, costos por actividad y todo aquello que le de claridad al CS para determinar su aceptación. En caso de que se opte por el proyecto no se cobrará la cotización.</w:t>
      </w:r>
    </w:p>
  </w:footnote>
  <w:footnote w:id="50">
    <w:p w:rsidR="000511F0" w:rsidRPr="00560570" w:rsidRDefault="000511F0" w:rsidP="00F645E5">
      <w:pPr>
        <w:pStyle w:val="xxxNotaelpiemau"/>
      </w:pPr>
      <w:r>
        <w:rPr>
          <w:rStyle w:val="Refdenotaalpie"/>
          <w:rFonts w:cs="Arial"/>
        </w:rPr>
        <w:footnoteRef/>
      </w:r>
      <w:r>
        <w:t xml:space="preserve"> </w:t>
      </w:r>
      <w:r>
        <w:tab/>
        <w:t>Salvo casos fortuitos, causas de fuerza mayor o cualquier otra causa no imputable a RED NACIONAL.</w:t>
      </w:r>
    </w:p>
  </w:footnote>
  <w:footnote w:id="51">
    <w:p w:rsidR="000511F0" w:rsidRDefault="000511F0" w:rsidP="00F645E5">
      <w:pPr>
        <w:pStyle w:val="Textonotapie"/>
      </w:pPr>
      <w:r>
        <w:rPr>
          <w:rStyle w:val="Refdenotaalpie"/>
        </w:rPr>
        <w:footnoteRef/>
      </w:r>
      <w:r>
        <w:t xml:space="preserve"> Conforme a lo establecido en el Anexo “B” de Penas Convencionales, e</w:t>
      </w:r>
      <w:r>
        <w:rPr>
          <w:lang w:val="es-ES"/>
        </w:rPr>
        <w:t>l CS será responsable de pagar la totalidad de los costos en los que RED NACIONAL haya incurrido. En caso de que el CS no liquide el costo total del Trabajo Especial en el plazo establecido se procederá a la cancelación de su solicitud y será aplicada al CS la pena convencional correspondiente.</w:t>
      </w:r>
    </w:p>
  </w:footnote>
  <w:footnote w:id="52">
    <w:p w:rsidR="000511F0" w:rsidRPr="008A6791" w:rsidRDefault="000511F0" w:rsidP="00F645E5">
      <w:pPr>
        <w:pStyle w:val="xxxNotaelpiemau"/>
      </w:pPr>
      <w:r>
        <w:rPr>
          <w:rStyle w:val="Refdenotaalpie"/>
        </w:rPr>
        <w:footnoteRef/>
      </w:r>
      <w:r>
        <w:t xml:space="preserve"> </w:t>
      </w:r>
      <w:r>
        <w:tab/>
        <w:t>Los tiempos de retraso atribuibles al CS no contabilizarán para los plazos de entrega.</w:t>
      </w:r>
    </w:p>
  </w:footnote>
  <w:footnote w:id="53">
    <w:p w:rsidR="000511F0" w:rsidRPr="008A6791" w:rsidRDefault="000511F0" w:rsidP="00204BC4">
      <w:pPr>
        <w:pStyle w:val="xxxNotaelpiemau"/>
        <w:spacing w:after="0pt"/>
      </w:pPr>
      <w:r>
        <w:rPr>
          <w:rStyle w:val="Refdenotaalpie"/>
        </w:rPr>
        <w:footnoteRef/>
      </w:r>
      <w:r>
        <w:t xml:space="preserve"> </w:t>
      </w:r>
      <w:r>
        <w:tab/>
        <w:t>Apegarse a las recomendaciones de la norma técnica de RED NACIONAL la menor degradación del servicio.</w:t>
      </w:r>
    </w:p>
  </w:footnote>
  <w:footnote w:id="54">
    <w:p w:rsidR="000511F0" w:rsidRPr="00BE70A1" w:rsidRDefault="000511F0" w:rsidP="00204BC4">
      <w:pPr>
        <w:pStyle w:val="xxxNotaelpiemau"/>
        <w:spacing w:after="0pt"/>
      </w:pPr>
      <w:r>
        <w:rPr>
          <w:rStyle w:val="Refdenotaalpie"/>
        </w:rPr>
        <w:footnoteRef/>
      </w:r>
      <w:r>
        <w:t xml:space="preserve"> </w:t>
      </w:r>
      <w:r>
        <w:tab/>
        <w:t>Cuando el cableado interior sea solicitado junto con los Servicios de desagregación, el tiempo correspondiente a la instalación del cableado interior en el domicilio del usuario se contabilizará dentro de los plazos de entrega de cada uno de los Servicios de desagregación.</w:t>
      </w:r>
    </w:p>
  </w:footnote>
  <w:footnote w:id="55">
    <w:p w:rsidR="000511F0" w:rsidRPr="00B37CE8" w:rsidRDefault="000511F0" w:rsidP="00F645E5">
      <w:pPr>
        <w:pStyle w:val="Textonotapie"/>
      </w:pPr>
      <w:r>
        <w:rPr>
          <w:rStyle w:val="Refdenotaalpie"/>
          <w:rFonts w:cs="Arial"/>
        </w:rPr>
        <w:footnoteRef/>
      </w:r>
      <w:r>
        <w:t xml:space="preserve"> Los plazos específicos para cada servicio se encuentran en las secciones respectivas de la Oferta de Referencia.</w:t>
      </w:r>
    </w:p>
  </w:footnote>
  <w:footnote w:id="56">
    <w:p w:rsidR="000511F0" w:rsidRPr="008A6791" w:rsidRDefault="000511F0" w:rsidP="00F645E5">
      <w:pPr>
        <w:pStyle w:val="xxxNotaelpiemau"/>
      </w:pPr>
      <w:r>
        <w:rPr>
          <w:rStyle w:val="Refdenotaalpie"/>
          <w:rFonts w:cs="Arial"/>
        </w:rPr>
        <w:footnoteRef/>
      </w:r>
      <w:r>
        <w:t xml:space="preserve"> </w:t>
      </w:r>
      <w:r>
        <w:tab/>
        <w:t>Mismas condiciones de servicio.</w:t>
      </w:r>
    </w:p>
  </w:footnote>
  <w:footnote w:id="57">
    <w:p w:rsidR="000511F0" w:rsidRPr="008A6791" w:rsidRDefault="000511F0" w:rsidP="00F645E5">
      <w:pPr>
        <w:pStyle w:val="xxxNotaelpiemau"/>
        <w:rPr>
          <w:sz w:val="20"/>
        </w:rPr>
      </w:pPr>
      <w:r>
        <w:rPr>
          <w:rStyle w:val="Refdenotaalpie"/>
          <w:rFonts w:cs="Arial"/>
          <w:szCs w:val="18"/>
        </w:rPr>
        <w:footnoteRef/>
      </w:r>
      <w:r>
        <w:t xml:space="preserve"> </w:t>
      </w:r>
      <w:r>
        <w:tab/>
        <w:t>Para estos Servicios el parámetro es de 60% en T1 y 40% en T2, de conformidad con lo establecido en la OREDA.</w:t>
      </w:r>
    </w:p>
  </w:footnote>
  <w:footnote w:id="58">
    <w:p w:rsidR="000511F0" w:rsidRPr="008A6791" w:rsidRDefault="000511F0" w:rsidP="00F645E5">
      <w:pPr>
        <w:pStyle w:val="xxxNotaelpiemau"/>
      </w:pPr>
      <w:r>
        <w:rPr>
          <w:rStyle w:val="Refdenotaalpie"/>
          <w:rFonts w:cs="Arial"/>
        </w:rPr>
        <w:footnoteRef/>
      </w:r>
      <w:r>
        <w:t xml:space="preserve"> </w:t>
      </w:r>
      <w:r>
        <w:tab/>
        <w:t>Fallas del equipo de medición, imposibilidad del técnico de llegar a la cita (ausencia laboral del técnico responsable, descompostura del vehículo, etc.).</w:t>
      </w:r>
    </w:p>
  </w:footnote>
  <w:footnote w:id="59">
    <w:p w:rsidR="000511F0" w:rsidRDefault="000511F0" w:rsidP="00F645E5">
      <w:pPr>
        <w:pStyle w:val="Textonotapie"/>
      </w:pPr>
      <w:r>
        <w:rPr>
          <w:rStyle w:val="Refdenotaalpie"/>
        </w:rPr>
        <w:footnoteRef/>
      </w:r>
      <w:r>
        <w:t xml:space="preserve"> Se descontarán de estos porcentajes de cumplimiento las reparaciones de falla que haya atendido Red Nacional pero que no sean su responsabilidad.</w:t>
      </w:r>
    </w:p>
  </w:footnote>
  <w:footnote w:id="60">
    <w:p w:rsidR="000511F0" w:rsidRDefault="000511F0" w:rsidP="00F645E5">
      <w:pPr>
        <w:pStyle w:val="Textonotapie"/>
      </w:pPr>
      <w:r>
        <w:rPr>
          <w:rStyle w:val="Refdenotaalpie"/>
        </w:rPr>
        <w:footnoteRef/>
      </w:r>
      <w:r>
        <w:t xml:space="preserve"> https://www.diputados.gob.mx/LeyesBiblio/pdf/LFPDPPP.pdf</w:t>
      </w:r>
    </w:p>
  </w:footnote>
  <w:footnote w:id="61">
    <w:p w:rsidR="000511F0" w:rsidRDefault="000511F0" w:rsidP="00F645E5">
      <w:pPr>
        <w:pStyle w:val="Textonotapie"/>
      </w:pPr>
      <w:r>
        <w:rPr>
          <w:rStyle w:val="Refdenotaalpie"/>
        </w:rPr>
        <w:footnoteRef/>
      </w:r>
      <w:r>
        <w:t xml:space="preserve"> </w:t>
      </w:r>
      <w:r>
        <w:rPr>
          <w:lang w:val="es-ES"/>
        </w:rPr>
        <w:t>El tiempo transcurrido para la reagendación de la atención no se contabilizará en los plazos de atención de RED NACIONAL</w:t>
      </w:r>
    </w:p>
  </w:footnote>
  <w:footnote w:id="62">
    <w:p w:rsidR="000511F0" w:rsidRPr="008A6791" w:rsidRDefault="000511F0" w:rsidP="00F645E5">
      <w:pPr>
        <w:pStyle w:val="xxxNotaelpiemau"/>
      </w:pPr>
      <w:r>
        <w:rPr>
          <w:rStyle w:val="Refdenotaalpie"/>
          <w:szCs w:val="20"/>
          <w:lang w:val="es-MX" w:eastAsia="en-US"/>
        </w:rPr>
        <w:footnoteRef/>
      </w:r>
      <w:r>
        <w:t xml:space="preserve"> </w:t>
      </w:r>
      <w:r>
        <w:tab/>
        <w:t>Se considerará atendida la incidencia en tanto el CS no indique lo contrario.</w:t>
      </w:r>
    </w:p>
  </w:footnote>
  <w:footnote w:id="63">
    <w:p w:rsidR="000511F0" w:rsidRDefault="000511F0" w:rsidP="00F645E5">
      <w:pPr>
        <w:pStyle w:val="Textonotapie"/>
      </w:pPr>
      <w:r>
        <w:rPr>
          <w:rStyle w:val="Refdenotaalpie"/>
        </w:rPr>
        <w:footnoteRef/>
      </w:r>
      <w:r>
        <w:t xml:space="preserve"> También denominada con el nombre largo de 998ADE17-M2x-A (Tabla B-6 y B-7 Recomendación ITU-T G.993.2).</w:t>
      </w:r>
    </w:p>
  </w:footnote>
</w:footnotes>
</file>

<file path=word/header1.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033BC3" w:rsidRDefault="000511F0" w:rsidP="00611019">
    <w:pPr>
      <w:pStyle w:val="Encabezado"/>
      <w:tabs>
        <w:tab w:val="start" w:pos="433.50pt"/>
      </w:tabs>
      <w:rPr>
        <w:rFonts w:ascii="Century Gothic" w:hAnsi="Century Gothic" w:cs="Arial"/>
        <w:b/>
        <w:color w:val="000000" w:themeColor="text1"/>
        <w:sz w:val="16"/>
        <w:szCs w:val="16"/>
        <w:lang w:val="es-ES"/>
      </w:rPr>
    </w:pPr>
    <w:r>
      <w:rPr>
        <w:rFonts w:ascii="Century Gothic" w:hAnsi="Century Gothic" w:cs="Arial"/>
        <w:b/>
        <w:color w:val="000000" w:themeColor="text1"/>
        <w:sz w:val="16"/>
        <w:szCs w:val="16"/>
        <w:lang w:val="es-ES"/>
      </w:rPr>
      <w:t xml:space="preserve">Oferta de Referencia para la Desagregación del Bucle Local </w:t>
    </w:r>
  </w:p>
  <w:p w:rsidR="000511F0" w:rsidRPr="00611019" w:rsidRDefault="000511F0">
    <w:pPr>
      <w:pStyle w:val="Encabezado"/>
      <w:rPr>
        <w:lang w:val="es-ES"/>
      </w:rPr>
    </w:pPr>
  </w:p>
</w:hdr>
</file>

<file path=word/header2.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033BC3" w:rsidRDefault="000511F0" w:rsidP="00B80F9D">
    <w:pPr>
      <w:pStyle w:val="Encabezado"/>
      <w:tabs>
        <w:tab w:val="start" w:pos="433.50pt"/>
      </w:tabs>
      <w:rPr>
        <w:rFonts w:ascii="Century Gothic" w:hAnsi="Century Gothic" w:cs="Arial"/>
        <w:b/>
        <w:color w:val="000000" w:themeColor="text1"/>
        <w:sz w:val="16"/>
        <w:szCs w:val="16"/>
        <w:lang w:val="es-ES"/>
      </w:rPr>
    </w:pPr>
    <w:r>
      <w:rPr>
        <w:rFonts w:ascii="Century Gothic" w:hAnsi="Century Gothic" w:cs="Arial"/>
        <w:b/>
        <w:color w:val="000000" w:themeColor="text1"/>
        <w:sz w:val="16"/>
        <w:szCs w:val="16"/>
        <w:lang w:val="es-ES"/>
      </w:rPr>
      <w:t xml:space="preserve">Oferta de Referencia para la Desagregación del Bucle Local </w:t>
    </w:r>
  </w:p>
</w:hdr>
</file>

<file path=word/header3.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B80F9D" w:rsidRDefault="000511F0" w:rsidP="00B80F9D">
    <w:pPr>
      <w:pStyle w:val="Encabezado"/>
      <w:tabs>
        <w:tab w:val="start" w:pos="70.65pt"/>
      </w:tabs>
      <w:rPr>
        <w:rFonts w:ascii="Century Gothic" w:hAnsi="Century Gothic"/>
        <w:b/>
        <w:bCs/>
        <w:sz w:val="16"/>
        <w:szCs w:val="16"/>
      </w:rPr>
    </w:pPr>
    <w:r>
      <w:rPr>
        <w:rFonts w:ascii="Century Gothic" w:hAnsi="Century Gothic"/>
        <w:b/>
        <w:bCs/>
        <w:sz w:val="16"/>
        <w:szCs w:val="16"/>
      </w:rPr>
      <w:t xml:space="preserve">Oferta de Referencia para la Desagregación del Bucle Local </w:t>
    </w:r>
  </w:p>
</w:hdr>
</file>

<file path=word/header4.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Default="000511F0">
    <w:r>
      <w:cr/>
    </w:r>
  </w:p>
</w:hdr>
</file>

<file path=word/header5.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Default="000511F0">
    <w:pPr>
      <w:pStyle w:val="Encabezado"/>
    </w:pPr>
  </w:p>
</w:hdr>
</file>

<file path=word/header6.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Default="000511F0">
    <w:pPr>
      <w:pStyle w:val="Encabezado"/>
    </w:pPr>
  </w:p>
</w:hdr>
</file>

<file path=word/header7.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BD64E5" w:rsidRDefault="000511F0" w:rsidP="00BD64E5">
    <w:pPr>
      <w:pStyle w:val="Encabezado"/>
    </w:pPr>
  </w:p>
</w:hdr>
</file>

<file path=word/header8.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033BC3" w:rsidRDefault="000511F0" w:rsidP="000E0D60">
    <w:pPr>
      <w:pStyle w:val="Encabezado"/>
      <w:tabs>
        <w:tab w:val="start" w:pos="433.50pt"/>
      </w:tabs>
      <w:rPr>
        <w:rFonts w:ascii="Century Gothic" w:hAnsi="Century Gothic" w:cs="Arial"/>
        <w:b/>
        <w:color w:val="000000" w:themeColor="text1"/>
        <w:sz w:val="16"/>
        <w:szCs w:val="16"/>
        <w:lang w:val="es-ES"/>
      </w:rPr>
    </w:pPr>
    <w:r>
      <w:rPr>
        <w:rFonts w:ascii="Century Gothic" w:hAnsi="Century Gothic" w:cs="Arial"/>
        <w:b/>
        <w:color w:val="000000" w:themeColor="text1"/>
        <w:sz w:val="16"/>
        <w:szCs w:val="16"/>
        <w:lang w:val="es-ES"/>
      </w:rPr>
      <w:t xml:space="preserve">Oferta de Referencia para la Desagregación Bucle Local </w:t>
    </w:r>
  </w:p>
  <w:p w:rsidR="000511F0" w:rsidRPr="00033BC3" w:rsidRDefault="000511F0" w:rsidP="000E0D60">
    <w:pPr>
      <w:pStyle w:val="Encabezado"/>
      <w:tabs>
        <w:tab w:val="start" w:pos="433.50pt"/>
      </w:tabs>
      <w:rPr>
        <w:rFonts w:ascii="Century Gothic" w:hAnsi="Century Gothic"/>
        <w:b/>
        <w:color w:val="000000" w:themeColor="text1"/>
        <w:sz w:val="16"/>
        <w:szCs w:val="16"/>
      </w:rPr>
    </w:pPr>
    <w:r>
      <w:rPr>
        <w:rFonts w:ascii="Century Gothic" w:hAnsi="Century Gothic" w:cs="Arial"/>
        <w:b/>
        <w:color w:val="000000" w:themeColor="text1"/>
        <w:sz w:val="16"/>
        <w:szCs w:val="16"/>
        <w:lang w:val="es-ES"/>
      </w:rPr>
      <w:t>Anexo B</w:t>
    </w:r>
  </w:p>
</w:hdr>
</file>

<file path=word/header9.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944283" w:rsidRDefault="000511F0" w:rsidP="00944283">
    <w:pPr>
      <w:pStyle w:val="Encabezado"/>
    </w:pPr>
  </w:p>
</w:hdr>
</file>

<file path=word/header10.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7543B8" w:rsidRDefault="000511F0" w:rsidP="007543B8">
    <w:pPr>
      <w:pStyle w:val="Encabezado"/>
    </w:pPr>
  </w:p>
</w:hdr>
</file>

<file path=word/header11.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A903A4" w:rsidRDefault="000511F0" w:rsidP="00A903A4">
    <w:pPr>
      <w:pStyle w:val="Encabezado"/>
    </w:pPr>
  </w:p>
</w:hdr>
</file>

<file path=word/header12.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A903A4" w:rsidRDefault="000511F0" w:rsidP="00A903A4">
    <w:pPr>
      <w:pStyle w:val="Encabezado"/>
    </w:pPr>
  </w:p>
</w:hdr>
</file>

<file path=word/header13.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Default="000511F0">
    <w:pPr>
      <w:pStyle w:val="Encabezado"/>
    </w:pPr>
  </w:p>
</w:hdr>
</file>

<file path=word/header14.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033BC3" w:rsidRDefault="000511F0" w:rsidP="00123BE7">
    <w:pPr>
      <w:pStyle w:val="Encabezado"/>
      <w:tabs>
        <w:tab w:val="start" w:pos="433.50pt"/>
      </w:tabs>
      <w:rPr>
        <w:rFonts w:ascii="Century Gothic" w:hAnsi="Century Gothic" w:cs="Arial"/>
        <w:b/>
        <w:color w:val="000000" w:themeColor="text1"/>
        <w:sz w:val="16"/>
        <w:szCs w:val="16"/>
        <w:lang w:val="es-ES"/>
      </w:rPr>
    </w:pPr>
    <w:r>
      <w:rPr>
        <w:rFonts w:ascii="Century Gothic" w:hAnsi="Century Gothic" w:cs="Arial"/>
        <w:b/>
        <w:color w:val="000000" w:themeColor="text1"/>
        <w:sz w:val="16"/>
        <w:szCs w:val="16"/>
        <w:lang w:val="es-ES"/>
      </w:rPr>
      <w:t xml:space="preserve">Oferta de Referencia para la Desagregación del Bucle Local </w:t>
    </w:r>
  </w:p>
  <w:p w:rsidR="000511F0" w:rsidRPr="00033BC3" w:rsidRDefault="000511F0" w:rsidP="00123BE7">
    <w:pPr>
      <w:pStyle w:val="Encabezado"/>
      <w:tabs>
        <w:tab w:val="start" w:pos="433.50pt"/>
      </w:tabs>
      <w:rPr>
        <w:rFonts w:ascii="Century Gothic" w:hAnsi="Century Gothic"/>
        <w:b/>
        <w:color w:val="000000" w:themeColor="text1"/>
        <w:sz w:val="16"/>
        <w:szCs w:val="16"/>
      </w:rPr>
    </w:pPr>
    <w:r>
      <w:rPr>
        <w:rFonts w:ascii="Century Gothic" w:hAnsi="Century Gothic" w:cs="Arial"/>
        <w:b/>
        <w:color w:val="000000" w:themeColor="text1"/>
        <w:sz w:val="16"/>
        <w:szCs w:val="16"/>
        <w:lang w:val="es-ES"/>
      </w:rPr>
      <w:t>Anexo D</w:t>
    </w:r>
  </w:p>
</w:hdr>
</file>

<file path=word/header15.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033BC3" w:rsidRDefault="000511F0" w:rsidP="00944283">
    <w:pPr>
      <w:pStyle w:val="Encabezado"/>
      <w:tabs>
        <w:tab w:val="start" w:pos="433.50pt"/>
      </w:tabs>
      <w:rPr>
        <w:rFonts w:ascii="Century Gothic" w:hAnsi="Century Gothic" w:cs="Arial"/>
        <w:b/>
        <w:color w:val="000000" w:themeColor="text1"/>
        <w:sz w:val="16"/>
        <w:szCs w:val="16"/>
        <w:lang w:val="es-ES"/>
      </w:rPr>
    </w:pPr>
    <w:r>
      <w:rPr>
        <w:rFonts w:ascii="Century Gothic" w:hAnsi="Century Gothic" w:cs="Arial"/>
        <w:b/>
        <w:color w:val="000000" w:themeColor="text1"/>
        <w:sz w:val="16"/>
        <w:szCs w:val="16"/>
        <w:lang w:val="es-ES"/>
      </w:rPr>
      <w:t xml:space="preserve">Oferta de Referencia para la Desagregación del Bucle Local </w:t>
    </w:r>
  </w:p>
  <w:p w:rsidR="000511F0" w:rsidRPr="00944283" w:rsidRDefault="000511F0" w:rsidP="00944283">
    <w:pPr>
      <w:pStyle w:val="Encabezado"/>
      <w:tabs>
        <w:tab w:val="start" w:pos="433.50pt"/>
      </w:tabs>
      <w:rPr>
        <w:rFonts w:ascii="Century Gothic" w:hAnsi="Century Gothic"/>
        <w:b/>
        <w:color w:val="000000" w:themeColor="text1"/>
        <w:sz w:val="16"/>
        <w:szCs w:val="16"/>
      </w:rPr>
    </w:pPr>
    <w:r>
      <w:rPr>
        <w:rFonts w:ascii="Century Gothic" w:hAnsi="Century Gothic" w:cs="Arial"/>
        <w:b/>
        <w:color w:val="000000" w:themeColor="text1"/>
        <w:sz w:val="16"/>
        <w:szCs w:val="16"/>
        <w:lang w:val="es-ES"/>
      </w:rPr>
      <w:t>Anexo D</w:t>
    </w:r>
  </w:p>
</w:hdr>
</file>

<file path=word/header16.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A903A4" w:rsidRDefault="000511F0" w:rsidP="00A903A4">
    <w:pPr>
      <w:pStyle w:val="Encabezado"/>
    </w:pPr>
  </w:p>
</w:hdr>
</file>

<file path=word/header17.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280550" w:rsidRDefault="000511F0" w:rsidP="00280550">
    <w:pPr>
      <w:pStyle w:val="Encabezado"/>
      <w:tabs>
        <w:tab w:val="clear" w:pos="220.95pt"/>
        <w:tab w:val="clear" w:pos="441.90pt"/>
        <w:tab w:val="start" w:pos="195pt"/>
      </w:tabs>
      <w:rPr>
        <w:rFonts w:ascii="Century Gothic" w:hAnsi="Century Gothic"/>
        <w:b/>
        <w:sz w:val="16"/>
        <w:szCs w:val="16"/>
      </w:rPr>
    </w:pPr>
    <w:r>
      <w:rPr>
        <w:rFonts w:ascii="Century Gothic" w:hAnsi="Century Gothic"/>
        <w:b/>
        <w:sz w:val="16"/>
        <w:szCs w:val="16"/>
      </w:rPr>
      <w:t xml:space="preserve">Oferta de Referencia para la Desagregación del Bucle Local </w:t>
    </w:r>
  </w:p>
  <w:p w:rsidR="000511F0" w:rsidRPr="00280550" w:rsidRDefault="000511F0" w:rsidP="00280550">
    <w:pPr>
      <w:pStyle w:val="Encabezado"/>
      <w:tabs>
        <w:tab w:val="clear" w:pos="220.95pt"/>
        <w:tab w:val="clear" w:pos="441.90pt"/>
        <w:tab w:val="start" w:pos="195pt"/>
      </w:tabs>
      <w:rPr>
        <w:rFonts w:ascii="Century Gothic" w:hAnsi="Century Gothic"/>
        <w:b/>
        <w:sz w:val="16"/>
        <w:szCs w:val="16"/>
      </w:rPr>
    </w:pPr>
    <w:r>
      <w:rPr>
        <w:rFonts w:ascii="Century Gothic" w:hAnsi="Century Gothic"/>
        <w:b/>
        <w:sz w:val="16"/>
        <w:szCs w:val="16"/>
      </w:rPr>
      <w:t>Anexo E</w:t>
    </w:r>
  </w:p>
  <w:p w:rsidR="000511F0" w:rsidRPr="00A903A4" w:rsidRDefault="000511F0" w:rsidP="00280550">
    <w:pPr>
      <w:pStyle w:val="Encabezado"/>
      <w:tabs>
        <w:tab w:val="clear" w:pos="220.95pt"/>
        <w:tab w:val="clear" w:pos="441.90pt"/>
        <w:tab w:val="start" w:pos="195pt"/>
      </w:tabs>
    </w:pPr>
  </w:p>
</w:hdr>
</file>

<file path=word/header18.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28714F" w:rsidRDefault="000511F0" w:rsidP="001A28E4">
    <w:pPr>
      <w:pStyle w:val="Encabezado"/>
      <w:rPr>
        <w:rFonts w:ascii="Century Gothic" w:hAnsi="Century Gothic"/>
        <w:b/>
        <w:sz w:val="16"/>
        <w:szCs w:val="16"/>
      </w:rPr>
    </w:pPr>
    <w:r>
      <w:rPr>
        <w:rFonts w:ascii="Century Gothic" w:hAnsi="Century Gothic"/>
        <w:b/>
        <w:sz w:val="16"/>
        <w:szCs w:val="16"/>
      </w:rPr>
      <w:t xml:space="preserve">Oferta de Referencia para la Desagregación del Bucle Local </w:t>
    </w:r>
  </w:p>
  <w:p w:rsidR="000511F0" w:rsidRPr="0028714F" w:rsidRDefault="000511F0" w:rsidP="001A28E4">
    <w:pPr>
      <w:pStyle w:val="Encabezado"/>
      <w:rPr>
        <w:rFonts w:ascii="Century Gothic" w:hAnsi="Century Gothic"/>
        <w:b/>
        <w:sz w:val="16"/>
        <w:szCs w:val="16"/>
      </w:rPr>
    </w:pPr>
    <w:r>
      <w:rPr>
        <w:rFonts w:ascii="Century Gothic" w:hAnsi="Century Gothic"/>
        <w:b/>
        <w:sz w:val="16"/>
        <w:szCs w:val="16"/>
      </w:rPr>
      <w:t>Anexo E</w:t>
    </w:r>
  </w:p>
</w:hdr>
</file>

<file path=word/header19.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B52B70" w:rsidRDefault="000511F0" w:rsidP="00AB3CB9">
    <w:pPr>
      <w:pStyle w:val="Encabezado"/>
      <w:tabs>
        <w:tab w:val="start" w:pos="397.60pt"/>
      </w:tabs>
      <w:rPr>
        <w:rFonts w:ascii="Century Gothic" w:hAnsi="Century Gothic" w:cs="Arial"/>
        <w:b/>
        <w:sz w:val="16"/>
        <w:szCs w:val="16"/>
      </w:rPr>
    </w:pPr>
    <w:r>
      <w:rPr>
        <w:rFonts w:ascii="Century Gothic" w:hAnsi="Century Gothic"/>
        <w:b/>
        <w:sz w:val="16"/>
        <w:szCs w:val="16"/>
      </w:rPr>
      <w:t>Oferta de Referencia para la Desagregación del Bucle Local</w:t>
    </w:r>
    <w:r>
      <w:rPr>
        <w:rFonts w:ascii="Century Gothic" w:hAnsi="Century Gothic" w:cs="Arial"/>
        <w:b/>
        <w:sz w:val="16"/>
        <w:szCs w:val="16"/>
      </w:rPr>
      <w:t xml:space="preserve"> </w:t>
    </w:r>
  </w:p>
  <w:p w:rsidR="000511F0" w:rsidRPr="00B52B70" w:rsidRDefault="000511F0" w:rsidP="00B52B70">
    <w:pPr>
      <w:pStyle w:val="Encabezado"/>
      <w:tabs>
        <w:tab w:val="start" w:pos="397.60pt"/>
      </w:tabs>
      <w:rPr>
        <w:rFonts w:ascii="Century Gothic" w:hAnsi="Century Gothic"/>
        <w:b/>
        <w:sz w:val="16"/>
        <w:szCs w:val="16"/>
      </w:rPr>
    </w:pPr>
    <w:r>
      <w:rPr>
        <w:rFonts w:ascii="Century Gothic" w:hAnsi="Century Gothic"/>
        <w:b/>
        <w:sz w:val="16"/>
        <w:szCs w:val="16"/>
      </w:rPr>
      <w:t>Anexo F</w:t>
    </w:r>
  </w:p>
</w:hdr>
</file>

<file path=word/header20.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280550" w:rsidRDefault="000511F0" w:rsidP="00280550">
    <w:pPr>
      <w:pStyle w:val="Encabezado"/>
      <w:tabs>
        <w:tab w:val="clear" w:pos="220.95pt"/>
        <w:tab w:val="clear" w:pos="441.90pt"/>
        <w:tab w:val="start" w:pos="195pt"/>
      </w:tabs>
      <w:rPr>
        <w:rFonts w:ascii="Century Gothic" w:hAnsi="Century Gothic"/>
        <w:b/>
        <w:sz w:val="16"/>
        <w:szCs w:val="16"/>
      </w:rPr>
    </w:pPr>
    <w:r>
      <w:rPr>
        <w:rFonts w:ascii="Century Gothic" w:hAnsi="Century Gothic"/>
        <w:b/>
        <w:sz w:val="16"/>
        <w:szCs w:val="16"/>
      </w:rPr>
      <w:t xml:space="preserve">Oferta de Referencia para la Desagregación del Bucle Local </w:t>
    </w:r>
  </w:p>
  <w:p w:rsidR="000511F0" w:rsidRPr="00280550" w:rsidRDefault="000511F0" w:rsidP="00280550">
    <w:pPr>
      <w:pStyle w:val="Encabezado"/>
      <w:tabs>
        <w:tab w:val="clear" w:pos="220.95pt"/>
        <w:tab w:val="clear" w:pos="441.90pt"/>
        <w:tab w:val="start" w:pos="195pt"/>
      </w:tabs>
      <w:rPr>
        <w:rFonts w:ascii="Century Gothic" w:hAnsi="Century Gothic"/>
        <w:b/>
        <w:sz w:val="16"/>
        <w:szCs w:val="16"/>
      </w:rPr>
    </w:pPr>
    <w:r>
      <w:rPr>
        <w:rFonts w:ascii="Century Gothic" w:hAnsi="Century Gothic"/>
        <w:b/>
        <w:sz w:val="16"/>
        <w:szCs w:val="16"/>
      </w:rPr>
      <w:t>Anexo F</w:t>
    </w:r>
  </w:p>
  <w:p w:rsidR="000511F0" w:rsidRPr="00A903A4" w:rsidRDefault="000511F0" w:rsidP="00280550">
    <w:pPr>
      <w:pStyle w:val="Encabezado"/>
      <w:tabs>
        <w:tab w:val="clear" w:pos="220.95pt"/>
        <w:tab w:val="clear" w:pos="441.90pt"/>
        <w:tab w:val="start" w:pos="195pt"/>
      </w:tabs>
    </w:pPr>
  </w:p>
</w:hdr>
</file>

<file path=word/header21.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280550" w:rsidRDefault="000511F0" w:rsidP="00280550">
    <w:pPr>
      <w:pStyle w:val="Encabezado"/>
    </w:pPr>
  </w:p>
</w:hdr>
</file>

<file path=word/header22.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280550" w:rsidRDefault="000511F0" w:rsidP="00280550">
    <w:pPr>
      <w:pStyle w:val="Encabezado"/>
    </w:pPr>
  </w:p>
</w:hdr>
</file>

<file path=word/header23.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280550" w:rsidRDefault="000511F0" w:rsidP="00280550">
    <w:pPr>
      <w:pStyle w:val="Encabezado"/>
      <w:tabs>
        <w:tab w:val="clear" w:pos="220.95pt"/>
        <w:tab w:val="clear" w:pos="441.90pt"/>
        <w:tab w:val="start" w:pos="195pt"/>
      </w:tabs>
      <w:rPr>
        <w:rFonts w:ascii="Century Gothic" w:hAnsi="Century Gothic"/>
        <w:b/>
        <w:sz w:val="16"/>
        <w:szCs w:val="16"/>
      </w:rPr>
    </w:pPr>
    <w:r>
      <w:rPr>
        <w:rFonts w:ascii="Century Gothic" w:hAnsi="Century Gothic"/>
        <w:b/>
        <w:sz w:val="16"/>
        <w:szCs w:val="16"/>
      </w:rPr>
      <w:t xml:space="preserve">Oferta de Referencia para la Desagregación del Bucle Local </w:t>
    </w:r>
  </w:p>
  <w:p w:rsidR="000511F0" w:rsidRPr="00280550" w:rsidRDefault="000511F0" w:rsidP="00280550">
    <w:pPr>
      <w:pStyle w:val="Encabezado"/>
      <w:tabs>
        <w:tab w:val="clear" w:pos="220.95pt"/>
        <w:tab w:val="clear" w:pos="441.90pt"/>
        <w:tab w:val="start" w:pos="195pt"/>
      </w:tabs>
      <w:rPr>
        <w:rFonts w:ascii="Century Gothic" w:hAnsi="Century Gothic"/>
        <w:b/>
        <w:sz w:val="16"/>
        <w:szCs w:val="16"/>
      </w:rPr>
    </w:pPr>
    <w:r>
      <w:rPr>
        <w:rFonts w:ascii="Century Gothic" w:hAnsi="Century Gothic"/>
        <w:b/>
        <w:sz w:val="16"/>
        <w:szCs w:val="16"/>
      </w:rPr>
      <w:t>Anexo G1</w:t>
    </w:r>
  </w:p>
  <w:p w:rsidR="000511F0" w:rsidRPr="00A903A4" w:rsidRDefault="000511F0" w:rsidP="00280550">
    <w:pPr>
      <w:pStyle w:val="Encabezado"/>
      <w:tabs>
        <w:tab w:val="clear" w:pos="220.95pt"/>
        <w:tab w:val="clear" w:pos="441.90pt"/>
        <w:tab w:val="start" w:pos="195pt"/>
      </w:tabs>
    </w:pPr>
  </w:p>
</w:hdr>
</file>

<file path=word/header24.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28714F" w:rsidRDefault="000511F0" w:rsidP="001A28E4">
    <w:pPr>
      <w:pStyle w:val="Encabezado"/>
      <w:rPr>
        <w:rFonts w:ascii="Century Gothic" w:hAnsi="Century Gothic"/>
        <w:b/>
        <w:sz w:val="16"/>
        <w:szCs w:val="16"/>
      </w:rPr>
    </w:pPr>
    <w:r w:rsidRPr="0028714F">
      <w:rPr>
        <w:rFonts w:ascii="Century Gothic" w:hAnsi="Century Gothic"/>
        <w:b/>
        <w:sz w:val="16"/>
        <w:szCs w:val="16"/>
      </w:rPr>
      <w:t xml:space="preserve">Oferta de Referencia para la Desagregación </w:t>
    </w:r>
    <w:r>
      <w:rPr>
        <w:rFonts w:ascii="Century Gothic" w:hAnsi="Century Gothic"/>
        <w:b/>
        <w:sz w:val="16"/>
        <w:szCs w:val="16"/>
      </w:rPr>
      <w:t xml:space="preserve">del </w:t>
    </w:r>
    <w:r w:rsidRPr="0028714F">
      <w:rPr>
        <w:rFonts w:ascii="Century Gothic" w:hAnsi="Century Gothic"/>
        <w:b/>
        <w:sz w:val="16"/>
        <w:szCs w:val="16"/>
      </w:rPr>
      <w:t xml:space="preserve">Bucle Local </w:t>
    </w:r>
  </w:p>
  <w:p w:rsidR="000511F0" w:rsidRPr="0028714F" w:rsidRDefault="000511F0" w:rsidP="001A28E4">
    <w:pPr>
      <w:pStyle w:val="Encabezado"/>
      <w:rPr>
        <w:rFonts w:ascii="Century Gothic" w:hAnsi="Century Gothic"/>
        <w:b/>
        <w:sz w:val="16"/>
        <w:szCs w:val="16"/>
      </w:rPr>
    </w:pPr>
    <w:r w:rsidRPr="0028714F">
      <w:rPr>
        <w:rFonts w:ascii="Century Gothic" w:hAnsi="Century Gothic"/>
        <w:b/>
        <w:sz w:val="16"/>
        <w:szCs w:val="16"/>
      </w:rPr>
      <w:t xml:space="preserve">Anexo </w:t>
    </w:r>
    <w:r>
      <w:rPr>
        <w:rFonts w:ascii="Century Gothic" w:hAnsi="Century Gothic"/>
        <w:b/>
        <w:sz w:val="16"/>
        <w:szCs w:val="16"/>
      </w:rPr>
      <w:t>G1</w:t>
    </w:r>
  </w:p>
</w:hdr>
</file>

<file path=word/header25.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B52B70" w:rsidRDefault="000511F0" w:rsidP="00AB3CB9">
    <w:pPr>
      <w:pStyle w:val="Encabezado"/>
      <w:tabs>
        <w:tab w:val="start" w:pos="397.60pt"/>
      </w:tabs>
      <w:rPr>
        <w:rFonts w:ascii="Century Gothic" w:hAnsi="Century Gothic" w:cs="Arial"/>
        <w:b/>
        <w:sz w:val="16"/>
        <w:szCs w:val="16"/>
      </w:rPr>
    </w:pPr>
    <w:r w:rsidRPr="00B52B70">
      <w:rPr>
        <w:rFonts w:ascii="Century Gothic" w:hAnsi="Century Gothic"/>
        <w:b/>
        <w:sz w:val="16"/>
        <w:szCs w:val="16"/>
      </w:rPr>
      <w:t>Oferta de Referencia para la Desagregación del Bucle Local</w:t>
    </w:r>
    <w:r w:rsidRPr="00B52B70">
      <w:rPr>
        <w:rFonts w:ascii="Century Gothic" w:hAnsi="Century Gothic" w:cs="Arial"/>
        <w:b/>
        <w:sz w:val="16"/>
        <w:szCs w:val="16"/>
      </w:rPr>
      <w:t xml:space="preserve"> </w:t>
    </w:r>
  </w:p>
  <w:p w:rsidR="000511F0" w:rsidRPr="00B52B70" w:rsidRDefault="000511F0" w:rsidP="00B52B70">
    <w:pPr>
      <w:pStyle w:val="Encabezado"/>
      <w:tabs>
        <w:tab w:val="start" w:pos="397.60pt"/>
      </w:tabs>
      <w:rPr>
        <w:rFonts w:ascii="Century Gothic" w:hAnsi="Century Gothic"/>
        <w:b/>
        <w:sz w:val="16"/>
        <w:szCs w:val="16"/>
      </w:rPr>
    </w:pPr>
    <w:r w:rsidRPr="00B52B70">
      <w:rPr>
        <w:rFonts w:ascii="Century Gothic" w:hAnsi="Century Gothic"/>
        <w:b/>
        <w:sz w:val="16"/>
        <w:szCs w:val="16"/>
      </w:rPr>
      <w:t>Anexo F</w:t>
    </w:r>
  </w:p>
</w:hdr>
</file>

<file path=word/header26.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280550" w:rsidRDefault="000511F0" w:rsidP="00280550">
    <w:pPr>
      <w:pStyle w:val="Encabezado"/>
      <w:tabs>
        <w:tab w:val="clear" w:pos="220.95pt"/>
        <w:tab w:val="clear" w:pos="441.90pt"/>
        <w:tab w:val="start" w:pos="195pt"/>
      </w:tabs>
      <w:rPr>
        <w:rFonts w:ascii="Century Gothic" w:hAnsi="Century Gothic"/>
        <w:b/>
        <w:sz w:val="16"/>
        <w:szCs w:val="16"/>
      </w:rPr>
    </w:pPr>
    <w:r w:rsidRPr="00280550">
      <w:rPr>
        <w:rFonts w:ascii="Century Gothic" w:hAnsi="Century Gothic"/>
        <w:b/>
        <w:sz w:val="16"/>
        <w:szCs w:val="16"/>
      </w:rPr>
      <w:t xml:space="preserve">Oferta de Referencia para la Desagregación del Bucle Local </w:t>
    </w:r>
  </w:p>
  <w:p w:rsidR="000511F0" w:rsidRPr="00280550" w:rsidRDefault="000511F0" w:rsidP="00280550">
    <w:pPr>
      <w:pStyle w:val="Encabezado"/>
      <w:tabs>
        <w:tab w:val="clear" w:pos="220.95pt"/>
        <w:tab w:val="clear" w:pos="441.90pt"/>
        <w:tab w:val="start" w:pos="195pt"/>
      </w:tabs>
      <w:rPr>
        <w:rFonts w:ascii="Century Gothic" w:hAnsi="Century Gothic"/>
        <w:b/>
        <w:sz w:val="16"/>
        <w:szCs w:val="16"/>
      </w:rPr>
    </w:pPr>
    <w:r w:rsidRPr="00280550">
      <w:rPr>
        <w:rFonts w:ascii="Century Gothic" w:hAnsi="Century Gothic"/>
        <w:b/>
        <w:sz w:val="16"/>
        <w:szCs w:val="16"/>
      </w:rPr>
      <w:t xml:space="preserve">Anexo </w:t>
    </w:r>
    <w:r>
      <w:rPr>
        <w:rFonts w:ascii="Century Gothic" w:hAnsi="Century Gothic"/>
        <w:b/>
        <w:sz w:val="16"/>
        <w:szCs w:val="16"/>
      </w:rPr>
      <w:t>G2</w:t>
    </w:r>
  </w:p>
  <w:p w:rsidR="000511F0" w:rsidRPr="00A903A4" w:rsidRDefault="000511F0" w:rsidP="00280550">
    <w:pPr>
      <w:pStyle w:val="Encabezado"/>
      <w:tabs>
        <w:tab w:val="clear" w:pos="220.95pt"/>
        <w:tab w:val="clear" w:pos="441.90pt"/>
        <w:tab w:val="start" w:pos="195pt"/>
      </w:tabs>
    </w:pPr>
  </w:p>
</w:hdr>
</file>

<file path=word/header27.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B52B70" w:rsidRDefault="000511F0" w:rsidP="00AB3CB9">
    <w:pPr>
      <w:pStyle w:val="Encabezado"/>
      <w:tabs>
        <w:tab w:val="start" w:pos="397.60pt"/>
      </w:tabs>
      <w:rPr>
        <w:rFonts w:ascii="Century Gothic" w:hAnsi="Century Gothic" w:cs="Arial"/>
        <w:b/>
        <w:sz w:val="16"/>
        <w:szCs w:val="16"/>
      </w:rPr>
    </w:pPr>
    <w:r w:rsidRPr="00B52B70">
      <w:rPr>
        <w:rFonts w:ascii="Century Gothic" w:hAnsi="Century Gothic"/>
        <w:b/>
        <w:sz w:val="16"/>
        <w:szCs w:val="16"/>
      </w:rPr>
      <w:t>Oferta de Referencia para la Desagregación del Bucle Local</w:t>
    </w:r>
    <w:r w:rsidRPr="00B52B70">
      <w:rPr>
        <w:rFonts w:ascii="Century Gothic" w:hAnsi="Century Gothic" w:cs="Arial"/>
        <w:b/>
        <w:sz w:val="16"/>
        <w:szCs w:val="16"/>
      </w:rPr>
      <w:t xml:space="preserve"> </w:t>
    </w:r>
  </w:p>
  <w:p w:rsidR="000511F0" w:rsidRPr="00B52B70" w:rsidRDefault="000511F0" w:rsidP="00B52B70">
    <w:pPr>
      <w:pStyle w:val="Encabezado"/>
      <w:tabs>
        <w:tab w:val="start" w:pos="397.60pt"/>
      </w:tabs>
      <w:rPr>
        <w:rFonts w:ascii="Century Gothic" w:hAnsi="Century Gothic"/>
        <w:b/>
        <w:sz w:val="16"/>
        <w:szCs w:val="16"/>
      </w:rPr>
    </w:pPr>
    <w:r w:rsidRPr="00B52B70">
      <w:rPr>
        <w:rFonts w:ascii="Century Gothic" w:hAnsi="Century Gothic"/>
        <w:b/>
        <w:sz w:val="16"/>
        <w:szCs w:val="16"/>
      </w:rPr>
      <w:t xml:space="preserve">Anexo </w:t>
    </w:r>
    <w:r>
      <w:rPr>
        <w:rFonts w:ascii="Century Gothic" w:hAnsi="Century Gothic"/>
        <w:b/>
        <w:sz w:val="16"/>
        <w:szCs w:val="16"/>
      </w:rPr>
      <w:t>G3</w:t>
    </w:r>
  </w:p>
</w:hdr>
</file>

<file path=word/header28.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8728A8" w:rsidRDefault="000511F0" w:rsidP="00944283">
    <w:pPr>
      <w:pStyle w:val="Encabezado"/>
      <w:tabs>
        <w:tab w:val="start" w:pos="433.50pt"/>
      </w:tabs>
      <w:rPr>
        <w:rFonts w:ascii="Century Gothic" w:hAnsi="Century Gothic" w:cs="Arial"/>
        <w:b/>
        <w:color w:val="000000"/>
        <w:sz w:val="16"/>
        <w:szCs w:val="16"/>
        <w:lang w:val="es-ES"/>
      </w:rPr>
    </w:pPr>
    <w:r w:rsidRPr="008728A8">
      <w:rPr>
        <w:rFonts w:ascii="Century Gothic" w:hAnsi="Century Gothic" w:cs="Arial"/>
        <w:b/>
        <w:color w:val="000000"/>
        <w:sz w:val="16"/>
        <w:szCs w:val="16"/>
        <w:lang w:val="es-ES"/>
      </w:rPr>
      <w:t xml:space="preserve">Oferta de Referencia para la Desagregación del Bucle Local </w:t>
    </w:r>
  </w:p>
  <w:p w:rsidR="000511F0" w:rsidRPr="008728A8" w:rsidRDefault="000511F0" w:rsidP="00944283">
    <w:pPr>
      <w:pStyle w:val="Encabezado"/>
      <w:tabs>
        <w:tab w:val="start" w:pos="433.50pt"/>
      </w:tabs>
      <w:rPr>
        <w:rFonts w:ascii="Century Gothic" w:hAnsi="Century Gothic"/>
        <w:b/>
        <w:color w:val="000000"/>
        <w:sz w:val="16"/>
        <w:szCs w:val="16"/>
      </w:rPr>
    </w:pPr>
    <w:r w:rsidRPr="008728A8">
      <w:rPr>
        <w:rFonts w:ascii="Century Gothic" w:hAnsi="Century Gothic" w:cs="Arial"/>
        <w:b/>
        <w:color w:val="000000"/>
        <w:sz w:val="16"/>
        <w:szCs w:val="16"/>
        <w:lang w:val="es-ES"/>
      </w:rPr>
      <w:t>Anexo G2</w:t>
    </w:r>
  </w:p>
  <w:p w:rsidR="000511F0" w:rsidRPr="00A903A4" w:rsidRDefault="000511F0" w:rsidP="00A903A4">
    <w:pPr>
      <w:pStyle w:val="Encabezado"/>
    </w:pPr>
  </w:p>
</w:hdr>
</file>

<file path=word/header29.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B52B70" w:rsidRDefault="000511F0" w:rsidP="00AB3CB9">
    <w:pPr>
      <w:pStyle w:val="Encabezado"/>
      <w:tabs>
        <w:tab w:val="start" w:pos="397.60pt"/>
      </w:tabs>
      <w:rPr>
        <w:rFonts w:ascii="Century Gothic" w:hAnsi="Century Gothic" w:cs="Arial"/>
        <w:b/>
        <w:sz w:val="16"/>
        <w:szCs w:val="16"/>
      </w:rPr>
    </w:pPr>
    <w:r w:rsidRPr="00B52B70">
      <w:rPr>
        <w:rFonts w:ascii="Century Gothic" w:hAnsi="Century Gothic"/>
        <w:b/>
        <w:sz w:val="16"/>
        <w:szCs w:val="16"/>
      </w:rPr>
      <w:t>Oferta de Referencia para la Desagregación del Bucle Local</w:t>
    </w:r>
    <w:r w:rsidRPr="00B52B70">
      <w:rPr>
        <w:rFonts w:ascii="Century Gothic" w:hAnsi="Century Gothic" w:cs="Arial"/>
        <w:b/>
        <w:sz w:val="16"/>
        <w:szCs w:val="16"/>
      </w:rPr>
      <w:t xml:space="preserve"> </w:t>
    </w:r>
  </w:p>
  <w:p w:rsidR="000511F0" w:rsidRPr="00B52B70" w:rsidRDefault="000511F0" w:rsidP="00B52B70">
    <w:pPr>
      <w:pStyle w:val="Encabezado"/>
      <w:tabs>
        <w:tab w:val="start" w:pos="397.60pt"/>
      </w:tabs>
      <w:rPr>
        <w:rFonts w:ascii="Century Gothic" w:hAnsi="Century Gothic"/>
        <w:b/>
        <w:sz w:val="16"/>
        <w:szCs w:val="16"/>
      </w:rPr>
    </w:pPr>
    <w:r w:rsidRPr="00B52B70">
      <w:rPr>
        <w:rFonts w:ascii="Century Gothic" w:hAnsi="Century Gothic"/>
        <w:b/>
        <w:sz w:val="16"/>
        <w:szCs w:val="16"/>
      </w:rPr>
      <w:t xml:space="preserve">Anexo </w:t>
    </w:r>
    <w:r>
      <w:rPr>
        <w:rFonts w:ascii="Century Gothic" w:hAnsi="Century Gothic"/>
        <w:b/>
        <w:sz w:val="16"/>
        <w:szCs w:val="16"/>
      </w:rPr>
      <w:t>G3</w:t>
    </w:r>
  </w:p>
</w:hdr>
</file>

<file path=word/header30.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8728A8" w:rsidRDefault="000511F0" w:rsidP="00944283">
    <w:pPr>
      <w:pStyle w:val="Encabezado"/>
      <w:tabs>
        <w:tab w:val="start" w:pos="433.50pt"/>
      </w:tabs>
      <w:rPr>
        <w:rFonts w:ascii="Century Gothic" w:hAnsi="Century Gothic" w:cs="Arial"/>
        <w:b/>
        <w:color w:val="000000"/>
        <w:sz w:val="16"/>
        <w:szCs w:val="16"/>
        <w:lang w:val="es-ES"/>
      </w:rPr>
    </w:pPr>
    <w:r w:rsidRPr="008728A8">
      <w:rPr>
        <w:rFonts w:ascii="Century Gothic" w:hAnsi="Century Gothic" w:cs="Arial"/>
        <w:b/>
        <w:color w:val="000000"/>
        <w:sz w:val="16"/>
        <w:szCs w:val="16"/>
        <w:lang w:val="es-ES"/>
      </w:rPr>
      <w:t xml:space="preserve">Oferta de Referencia para la Desagregación del Bucle Local </w:t>
    </w:r>
  </w:p>
  <w:p w:rsidR="000511F0" w:rsidRPr="008728A8" w:rsidRDefault="000511F0" w:rsidP="00944283">
    <w:pPr>
      <w:pStyle w:val="Encabezado"/>
      <w:tabs>
        <w:tab w:val="start" w:pos="433.50pt"/>
      </w:tabs>
      <w:rPr>
        <w:rFonts w:ascii="Century Gothic" w:hAnsi="Century Gothic"/>
        <w:b/>
        <w:color w:val="000000"/>
        <w:sz w:val="16"/>
        <w:szCs w:val="16"/>
      </w:rPr>
    </w:pPr>
    <w:r w:rsidRPr="008728A8">
      <w:rPr>
        <w:rFonts w:ascii="Century Gothic" w:hAnsi="Century Gothic" w:cs="Arial"/>
        <w:b/>
        <w:color w:val="000000"/>
        <w:sz w:val="16"/>
        <w:szCs w:val="16"/>
        <w:lang w:val="es-ES"/>
      </w:rPr>
      <w:t>Anexo G3</w:t>
    </w:r>
  </w:p>
  <w:p w:rsidR="000511F0" w:rsidRPr="00A903A4" w:rsidRDefault="000511F0" w:rsidP="00A903A4">
    <w:pPr>
      <w:pStyle w:val="Encabezado"/>
    </w:pPr>
  </w:p>
</w:hdr>
</file>

<file path=word/header31.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B52B70" w:rsidRDefault="000511F0" w:rsidP="00AB3CB9">
    <w:pPr>
      <w:pStyle w:val="Encabezado"/>
      <w:tabs>
        <w:tab w:val="start" w:pos="397.60pt"/>
      </w:tabs>
      <w:rPr>
        <w:rFonts w:ascii="Century Gothic" w:hAnsi="Century Gothic" w:cs="Arial"/>
        <w:b/>
        <w:sz w:val="16"/>
        <w:szCs w:val="16"/>
      </w:rPr>
    </w:pPr>
    <w:r w:rsidRPr="00B52B70">
      <w:rPr>
        <w:rFonts w:ascii="Century Gothic" w:hAnsi="Century Gothic"/>
        <w:b/>
        <w:sz w:val="16"/>
        <w:szCs w:val="16"/>
      </w:rPr>
      <w:t>Oferta de Referencia para la Desagregación del Bucle Local</w:t>
    </w:r>
    <w:r w:rsidRPr="00B52B70">
      <w:rPr>
        <w:rFonts w:ascii="Century Gothic" w:hAnsi="Century Gothic" w:cs="Arial"/>
        <w:b/>
        <w:sz w:val="16"/>
        <w:szCs w:val="16"/>
      </w:rPr>
      <w:t xml:space="preserve"> </w:t>
    </w:r>
  </w:p>
  <w:p w:rsidR="000511F0" w:rsidRPr="00B52B70" w:rsidRDefault="000511F0" w:rsidP="00B52B70">
    <w:pPr>
      <w:pStyle w:val="Encabezado"/>
      <w:tabs>
        <w:tab w:val="start" w:pos="397.60pt"/>
      </w:tabs>
      <w:rPr>
        <w:rFonts w:ascii="Century Gothic" w:hAnsi="Century Gothic"/>
        <w:b/>
        <w:sz w:val="16"/>
        <w:szCs w:val="16"/>
      </w:rPr>
    </w:pPr>
    <w:r w:rsidRPr="00B52B70">
      <w:rPr>
        <w:rFonts w:ascii="Century Gothic" w:hAnsi="Century Gothic"/>
        <w:b/>
        <w:sz w:val="16"/>
        <w:szCs w:val="16"/>
      </w:rPr>
      <w:t xml:space="preserve">Anexo </w:t>
    </w:r>
    <w:r>
      <w:rPr>
        <w:rFonts w:ascii="Century Gothic" w:hAnsi="Century Gothic"/>
        <w:b/>
        <w:sz w:val="16"/>
        <w:szCs w:val="16"/>
      </w:rPr>
      <w:t>G4</w:t>
    </w:r>
  </w:p>
</w:hdr>
</file>

<file path=word/header32.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8728A8" w:rsidRDefault="000511F0" w:rsidP="00944283">
    <w:pPr>
      <w:pStyle w:val="Encabezado"/>
      <w:tabs>
        <w:tab w:val="start" w:pos="433.50pt"/>
      </w:tabs>
      <w:rPr>
        <w:rFonts w:ascii="Century Gothic" w:hAnsi="Century Gothic" w:cs="Arial"/>
        <w:b/>
        <w:color w:val="000000"/>
        <w:sz w:val="16"/>
        <w:szCs w:val="16"/>
        <w:lang w:val="es-ES"/>
      </w:rPr>
    </w:pPr>
    <w:r w:rsidRPr="008728A8">
      <w:rPr>
        <w:rFonts w:ascii="Century Gothic" w:hAnsi="Century Gothic" w:cs="Arial"/>
        <w:b/>
        <w:color w:val="000000"/>
        <w:sz w:val="16"/>
        <w:szCs w:val="16"/>
        <w:lang w:val="es-ES"/>
      </w:rPr>
      <w:t xml:space="preserve">Oferta de Referencia para la Desagregación del Bucle Local </w:t>
    </w:r>
  </w:p>
  <w:p w:rsidR="000511F0" w:rsidRPr="008728A8" w:rsidRDefault="000511F0" w:rsidP="00944283">
    <w:pPr>
      <w:pStyle w:val="Encabezado"/>
      <w:tabs>
        <w:tab w:val="start" w:pos="433.50pt"/>
      </w:tabs>
      <w:rPr>
        <w:rFonts w:ascii="Century Gothic" w:hAnsi="Century Gothic"/>
        <w:b/>
        <w:color w:val="000000"/>
        <w:sz w:val="16"/>
        <w:szCs w:val="16"/>
      </w:rPr>
    </w:pPr>
    <w:r w:rsidRPr="008728A8">
      <w:rPr>
        <w:rFonts w:ascii="Century Gothic" w:hAnsi="Century Gothic" w:cs="Arial"/>
        <w:b/>
        <w:color w:val="000000"/>
        <w:sz w:val="16"/>
        <w:szCs w:val="16"/>
        <w:lang w:val="es-ES"/>
      </w:rPr>
      <w:t>Anexo G4</w:t>
    </w:r>
  </w:p>
  <w:p w:rsidR="000511F0" w:rsidRPr="00A903A4" w:rsidRDefault="000511F0" w:rsidP="00A903A4">
    <w:pPr>
      <w:pStyle w:val="Encabezado"/>
    </w:pPr>
  </w:p>
</w:hdr>
</file>

<file path=word/header33.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B52B70" w:rsidRDefault="000511F0" w:rsidP="00AB3CB9">
    <w:pPr>
      <w:pStyle w:val="Encabezado"/>
      <w:tabs>
        <w:tab w:val="start" w:pos="397.60pt"/>
      </w:tabs>
      <w:rPr>
        <w:rFonts w:ascii="Century Gothic" w:hAnsi="Century Gothic" w:cs="Arial"/>
        <w:b/>
        <w:sz w:val="16"/>
        <w:szCs w:val="16"/>
      </w:rPr>
    </w:pPr>
    <w:r w:rsidRPr="00B52B70">
      <w:rPr>
        <w:rFonts w:ascii="Century Gothic" w:hAnsi="Century Gothic"/>
        <w:b/>
        <w:sz w:val="16"/>
        <w:szCs w:val="16"/>
      </w:rPr>
      <w:t>Oferta de Referencia para la Desagregación del Bucle Local</w:t>
    </w:r>
    <w:r w:rsidRPr="00B52B70">
      <w:rPr>
        <w:rFonts w:ascii="Century Gothic" w:hAnsi="Century Gothic" w:cs="Arial"/>
        <w:b/>
        <w:sz w:val="16"/>
        <w:szCs w:val="16"/>
      </w:rPr>
      <w:t xml:space="preserve"> </w:t>
    </w:r>
  </w:p>
  <w:p w:rsidR="000511F0" w:rsidRPr="00B52B70" w:rsidRDefault="000511F0" w:rsidP="00B52B70">
    <w:pPr>
      <w:pStyle w:val="Encabezado"/>
      <w:tabs>
        <w:tab w:val="start" w:pos="397.60pt"/>
      </w:tabs>
      <w:rPr>
        <w:rFonts w:ascii="Century Gothic" w:hAnsi="Century Gothic"/>
        <w:b/>
        <w:sz w:val="16"/>
        <w:szCs w:val="16"/>
      </w:rPr>
    </w:pPr>
    <w:r w:rsidRPr="00B52B70">
      <w:rPr>
        <w:rFonts w:ascii="Century Gothic" w:hAnsi="Century Gothic"/>
        <w:b/>
        <w:sz w:val="16"/>
        <w:szCs w:val="16"/>
      </w:rPr>
      <w:t xml:space="preserve">Anexo </w:t>
    </w:r>
    <w:r>
      <w:rPr>
        <w:rFonts w:ascii="Century Gothic" w:hAnsi="Century Gothic"/>
        <w:b/>
        <w:sz w:val="16"/>
        <w:szCs w:val="16"/>
      </w:rPr>
      <w:t>H</w:t>
    </w:r>
  </w:p>
</w:hdr>
</file>

<file path=word/header34.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Default="000511F0">
    <w:pPr>
      <w:rPr>
        <w:sz w:val="24"/>
      </w:rPr>
    </w:pPr>
  </w:p>
</w:hdr>
</file>

<file path=word/header35.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Default="000511F0">
    <w:pPr>
      <w:rPr>
        <w:sz w:val="24"/>
      </w:rPr>
    </w:pPr>
  </w:p>
</w:hdr>
</file>

<file path=word/header36.xml><?xml version="1.0" encoding="utf-8"?>
<w:hdr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p w:rsidR="000511F0" w:rsidRPr="008728A8" w:rsidRDefault="000511F0" w:rsidP="00944283">
    <w:pPr>
      <w:pStyle w:val="Encabezado"/>
      <w:tabs>
        <w:tab w:val="start" w:pos="433.50pt"/>
      </w:tabs>
      <w:rPr>
        <w:rFonts w:ascii="Century Gothic" w:hAnsi="Century Gothic" w:cs="Arial"/>
        <w:b/>
        <w:color w:val="000000"/>
        <w:sz w:val="16"/>
        <w:szCs w:val="16"/>
        <w:lang w:val="es-ES"/>
      </w:rPr>
    </w:pPr>
    <w:r w:rsidRPr="008728A8">
      <w:rPr>
        <w:rFonts w:ascii="Century Gothic" w:hAnsi="Century Gothic" w:cs="Arial"/>
        <w:b/>
        <w:color w:val="000000"/>
        <w:sz w:val="16"/>
        <w:szCs w:val="16"/>
        <w:lang w:val="es-ES"/>
      </w:rPr>
      <w:t xml:space="preserve">Oferta de Referencia para la Desagregación del Bucle Local </w:t>
    </w:r>
  </w:p>
  <w:p w:rsidR="000511F0" w:rsidRPr="008728A8" w:rsidRDefault="000511F0" w:rsidP="00944283">
    <w:pPr>
      <w:pStyle w:val="Encabezado"/>
      <w:tabs>
        <w:tab w:val="start" w:pos="433.50pt"/>
      </w:tabs>
      <w:rPr>
        <w:rFonts w:ascii="Century Gothic" w:hAnsi="Century Gothic"/>
        <w:b/>
        <w:color w:val="000000"/>
        <w:sz w:val="16"/>
        <w:szCs w:val="16"/>
      </w:rPr>
    </w:pPr>
    <w:r w:rsidRPr="008728A8">
      <w:rPr>
        <w:rFonts w:ascii="Century Gothic" w:hAnsi="Century Gothic" w:cs="Arial"/>
        <w:b/>
        <w:color w:val="000000"/>
        <w:sz w:val="16"/>
        <w:szCs w:val="16"/>
        <w:lang w:val="es-ES"/>
      </w:rPr>
      <w:t>Anexo H</w:t>
    </w:r>
  </w:p>
  <w:p w:rsidR="000511F0" w:rsidRPr="00A903A4" w:rsidRDefault="000511F0" w:rsidP="00A903A4">
    <w:pPr>
      <w:pStyle w:val="Encabezado"/>
    </w:pPr>
  </w:p>
</w:hdr>
</file>

<file path=word/numbering.xml><?xml version="1.0" encoding="utf-8"?>
<w:numbering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pi="http://schemas.microsoft.com/office/word/2010/wordprocessingInk" xmlns:wne="http://schemas.microsoft.com/office/word/2006/wordml" mc:Ignorable="w14 w15 wne wp14">
  <w:abstractNum w:abstractNumId="0" w15:restartNumberingAfterBreak="0">
    <w:nsid w:val="001D0417"/>
    <w:multiLevelType w:val="hybridMultilevel"/>
    <w:tmpl w:val="0FA80F30"/>
    <w:lvl w:ilvl="0" w:tplc="12943256">
      <w:start w:val="1"/>
      <w:numFmt w:val="bullet"/>
      <w:lvlText w:val=""/>
      <w:lvlJc w:val="start"/>
      <w:pPr>
        <w:ind w:start="36pt" w:hanging="18pt"/>
      </w:pPr>
      <w:rPr>
        <w:rFonts w:ascii="Symbol" w:hAnsi="Symbol" w:hint="default"/>
      </w:rPr>
    </w:lvl>
    <w:lvl w:ilvl="1" w:tplc="9098909A" w:tentative="1">
      <w:start w:val="1"/>
      <w:numFmt w:val="bullet"/>
      <w:lvlText w:val="o"/>
      <w:lvlJc w:val="start"/>
      <w:pPr>
        <w:ind w:start="72pt" w:hanging="18pt"/>
      </w:pPr>
      <w:rPr>
        <w:rFonts w:ascii="Courier New" w:hAnsi="Courier New" w:cs="Courier New" w:hint="default"/>
      </w:rPr>
    </w:lvl>
    <w:lvl w:ilvl="2" w:tplc="F6AE248A" w:tentative="1">
      <w:start w:val="1"/>
      <w:numFmt w:val="bullet"/>
      <w:lvlText w:val=""/>
      <w:lvlJc w:val="start"/>
      <w:pPr>
        <w:ind w:start="108pt" w:hanging="18pt"/>
      </w:pPr>
      <w:rPr>
        <w:rFonts w:ascii="Wingdings" w:hAnsi="Wingdings" w:hint="default"/>
      </w:rPr>
    </w:lvl>
    <w:lvl w:ilvl="3" w:tplc="053ADC02" w:tentative="1">
      <w:start w:val="1"/>
      <w:numFmt w:val="bullet"/>
      <w:lvlText w:val=""/>
      <w:lvlJc w:val="start"/>
      <w:pPr>
        <w:ind w:start="144pt" w:hanging="18pt"/>
      </w:pPr>
      <w:rPr>
        <w:rFonts w:ascii="Symbol" w:hAnsi="Symbol" w:hint="default"/>
      </w:rPr>
    </w:lvl>
    <w:lvl w:ilvl="4" w:tplc="E01658F6" w:tentative="1">
      <w:start w:val="1"/>
      <w:numFmt w:val="bullet"/>
      <w:lvlText w:val="o"/>
      <w:lvlJc w:val="start"/>
      <w:pPr>
        <w:ind w:start="180pt" w:hanging="18pt"/>
      </w:pPr>
      <w:rPr>
        <w:rFonts w:ascii="Courier New" w:hAnsi="Courier New" w:cs="Courier New" w:hint="default"/>
      </w:rPr>
    </w:lvl>
    <w:lvl w:ilvl="5" w:tplc="5A12DA04" w:tentative="1">
      <w:start w:val="1"/>
      <w:numFmt w:val="bullet"/>
      <w:lvlText w:val=""/>
      <w:lvlJc w:val="start"/>
      <w:pPr>
        <w:ind w:start="216pt" w:hanging="18pt"/>
      </w:pPr>
      <w:rPr>
        <w:rFonts w:ascii="Wingdings" w:hAnsi="Wingdings" w:hint="default"/>
      </w:rPr>
    </w:lvl>
    <w:lvl w:ilvl="6" w:tplc="70A85D20" w:tentative="1">
      <w:start w:val="1"/>
      <w:numFmt w:val="bullet"/>
      <w:lvlText w:val=""/>
      <w:lvlJc w:val="start"/>
      <w:pPr>
        <w:ind w:start="252pt" w:hanging="18pt"/>
      </w:pPr>
      <w:rPr>
        <w:rFonts w:ascii="Symbol" w:hAnsi="Symbol" w:hint="default"/>
      </w:rPr>
    </w:lvl>
    <w:lvl w:ilvl="7" w:tplc="0994AC7E" w:tentative="1">
      <w:start w:val="1"/>
      <w:numFmt w:val="bullet"/>
      <w:lvlText w:val="o"/>
      <w:lvlJc w:val="start"/>
      <w:pPr>
        <w:ind w:start="288pt" w:hanging="18pt"/>
      </w:pPr>
      <w:rPr>
        <w:rFonts w:ascii="Courier New" w:hAnsi="Courier New" w:cs="Courier New" w:hint="default"/>
      </w:rPr>
    </w:lvl>
    <w:lvl w:ilvl="8" w:tplc="F59A9BCA" w:tentative="1">
      <w:start w:val="1"/>
      <w:numFmt w:val="bullet"/>
      <w:lvlText w:val=""/>
      <w:lvlJc w:val="start"/>
      <w:pPr>
        <w:ind w:start="324pt" w:hanging="18pt"/>
      </w:pPr>
      <w:rPr>
        <w:rFonts w:ascii="Wingdings" w:hAnsi="Wingdings" w:hint="default"/>
      </w:rPr>
    </w:lvl>
  </w:abstractNum>
  <w:abstractNum w:abstractNumId="1" w15:restartNumberingAfterBreak="0">
    <w:nsid w:val="01AE2DA6"/>
    <w:multiLevelType w:val="hybridMultilevel"/>
    <w:tmpl w:val="E78EBFF0"/>
    <w:lvl w:ilvl="0" w:tplc="25B61B66">
      <w:start w:val="1"/>
      <w:numFmt w:val="bullet"/>
      <w:lvlText w:val=""/>
      <w:lvlJc w:val="start"/>
      <w:pPr>
        <w:ind w:start="39.25pt" w:hanging="18pt"/>
      </w:pPr>
      <w:rPr>
        <w:rFonts w:ascii="Symbol" w:hAnsi="Symbol" w:hint="default"/>
      </w:rPr>
    </w:lvl>
    <w:lvl w:ilvl="1" w:tplc="7C4CF972" w:tentative="1">
      <w:start w:val="1"/>
      <w:numFmt w:val="bullet"/>
      <w:lvlText w:val="o"/>
      <w:lvlJc w:val="start"/>
      <w:pPr>
        <w:ind w:start="75.30pt" w:hanging="18pt"/>
      </w:pPr>
      <w:rPr>
        <w:rFonts w:ascii="Courier New" w:hAnsi="Courier New" w:cs="Courier New" w:hint="default"/>
      </w:rPr>
    </w:lvl>
    <w:lvl w:ilvl="2" w:tplc="0D4C692C" w:tentative="1">
      <w:start w:val="1"/>
      <w:numFmt w:val="bullet"/>
      <w:lvlText w:val=""/>
      <w:lvlJc w:val="start"/>
      <w:pPr>
        <w:ind w:start="111.30pt" w:hanging="18pt"/>
      </w:pPr>
      <w:rPr>
        <w:rFonts w:ascii="Wingdings" w:hAnsi="Wingdings" w:hint="default"/>
      </w:rPr>
    </w:lvl>
    <w:lvl w:ilvl="3" w:tplc="2E9C62D0" w:tentative="1">
      <w:start w:val="1"/>
      <w:numFmt w:val="bullet"/>
      <w:lvlText w:val=""/>
      <w:lvlJc w:val="start"/>
      <w:pPr>
        <w:ind w:start="147.30pt" w:hanging="18pt"/>
      </w:pPr>
      <w:rPr>
        <w:rFonts w:ascii="Symbol" w:hAnsi="Symbol" w:hint="default"/>
      </w:rPr>
    </w:lvl>
    <w:lvl w:ilvl="4" w:tplc="2C482192" w:tentative="1">
      <w:start w:val="1"/>
      <w:numFmt w:val="bullet"/>
      <w:lvlText w:val="o"/>
      <w:lvlJc w:val="start"/>
      <w:pPr>
        <w:ind w:start="183.30pt" w:hanging="18pt"/>
      </w:pPr>
      <w:rPr>
        <w:rFonts w:ascii="Courier New" w:hAnsi="Courier New" w:cs="Courier New" w:hint="default"/>
      </w:rPr>
    </w:lvl>
    <w:lvl w:ilvl="5" w:tplc="3CC4B554" w:tentative="1">
      <w:start w:val="1"/>
      <w:numFmt w:val="bullet"/>
      <w:lvlText w:val=""/>
      <w:lvlJc w:val="start"/>
      <w:pPr>
        <w:ind w:start="219.30pt" w:hanging="18pt"/>
      </w:pPr>
      <w:rPr>
        <w:rFonts w:ascii="Wingdings" w:hAnsi="Wingdings" w:hint="default"/>
      </w:rPr>
    </w:lvl>
    <w:lvl w:ilvl="6" w:tplc="D458D8B2" w:tentative="1">
      <w:start w:val="1"/>
      <w:numFmt w:val="bullet"/>
      <w:lvlText w:val=""/>
      <w:lvlJc w:val="start"/>
      <w:pPr>
        <w:ind w:start="255.30pt" w:hanging="18pt"/>
      </w:pPr>
      <w:rPr>
        <w:rFonts w:ascii="Symbol" w:hAnsi="Symbol" w:hint="default"/>
      </w:rPr>
    </w:lvl>
    <w:lvl w:ilvl="7" w:tplc="E5E40FB4" w:tentative="1">
      <w:start w:val="1"/>
      <w:numFmt w:val="bullet"/>
      <w:lvlText w:val="o"/>
      <w:lvlJc w:val="start"/>
      <w:pPr>
        <w:ind w:start="291.30pt" w:hanging="18pt"/>
      </w:pPr>
      <w:rPr>
        <w:rFonts w:ascii="Courier New" w:hAnsi="Courier New" w:cs="Courier New" w:hint="default"/>
      </w:rPr>
    </w:lvl>
    <w:lvl w:ilvl="8" w:tplc="ACC23E10" w:tentative="1">
      <w:start w:val="1"/>
      <w:numFmt w:val="bullet"/>
      <w:lvlText w:val=""/>
      <w:lvlJc w:val="start"/>
      <w:pPr>
        <w:ind w:start="327.30pt" w:hanging="18pt"/>
      </w:pPr>
      <w:rPr>
        <w:rFonts w:ascii="Wingdings" w:hAnsi="Wingdings" w:hint="default"/>
      </w:rPr>
    </w:lvl>
  </w:abstractNum>
  <w:abstractNum w:abstractNumId="2" w15:restartNumberingAfterBreak="0">
    <w:nsid w:val="02454DEB"/>
    <w:multiLevelType w:val="hybridMultilevel"/>
    <w:tmpl w:val="F3384122"/>
    <w:lvl w:ilvl="0" w:tplc="25F69716">
      <w:start w:val="6"/>
      <w:numFmt w:val="bullet"/>
      <w:lvlText w:val="•"/>
      <w:lvlJc w:val="start"/>
      <w:pPr>
        <w:ind w:start="39.25pt" w:hanging="18pt"/>
      </w:pPr>
      <w:rPr>
        <w:rFonts w:ascii="Century Gothic" w:eastAsia="Calibri" w:hAnsi="Century Gothic" w:cs="Arial" w:hint="default"/>
      </w:rPr>
    </w:lvl>
    <w:lvl w:ilvl="1" w:tplc="B7523736" w:tentative="1">
      <w:start w:val="1"/>
      <w:numFmt w:val="bullet"/>
      <w:lvlText w:val="o"/>
      <w:lvlJc w:val="start"/>
      <w:pPr>
        <w:ind w:start="75.30pt" w:hanging="18pt"/>
      </w:pPr>
      <w:rPr>
        <w:rFonts w:ascii="Courier New" w:hAnsi="Courier New" w:cs="Courier New" w:hint="default"/>
      </w:rPr>
    </w:lvl>
    <w:lvl w:ilvl="2" w:tplc="779643B6" w:tentative="1">
      <w:start w:val="1"/>
      <w:numFmt w:val="bullet"/>
      <w:lvlText w:val=""/>
      <w:lvlJc w:val="start"/>
      <w:pPr>
        <w:ind w:start="111.30pt" w:hanging="18pt"/>
      </w:pPr>
      <w:rPr>
        <w:rFonts w:ascii="Wingdings" w:hAnsi="Wingdings" w:hint="default"/>
      </w:rPr>
    </w:lvl>
    <w:lvl w:ilvl="3" w:tplc="20ACF272" w:tentative="1">
      <w:start w:val="1"/>
      <w:numFmt w:val="bullet"/>
      <w:lvlText w:val=""/>
      <w:lvlJc w:val="start"/>
      <w:pPr>
        <w:ind w:start="147.30pt" w:hanging="18pt"/>
      </w:pPr>
      <w:rPr>
        <w:rFonts w:ascii="Symbol" w:hAnsi="Symbol" w:hint="default"/>
      </w:rPr>
    </w:lvl>
    <w:lvl w:ilvl="4" w:tplc="AB902464" w:tentative="1">
      <w:start w:val="1"/>
      <w:numFmt w:val="bullet"/>
      <w:lvlText w:val="o"/>
      <w:lvlJc w:val="start"/>
      <w:pPr>
        <w:ind w:start="183.30pt" w:hanging="18pt"/>
      </w:pPr>
      <w:rPr>
        <w:rFonts w:ascii="Courier New" w:hAnsi="Courier New" w:cs="Courier New" w:hint="default"/>
      </w:rPr>
    </w:lvl>
    <w:lvl w:ilvl="5" w:tplc="762E4586" w:tentative="1">
      <w:start w:val="1"/>
      <w:numFmt w:val="bullet"/>
      <w:lvlText w:val=""/>
      <w:lvlJc w:val="start"/>
      <w:pPr>
        <w:ind w:start="219.30pt" w:hanging="18pt"/>
      </w:pPr>
      <w:rPr>
        <w:rFonts w:ascii="Wingdings" w:hAnsi="Wingdings" w:hint="default"/>
      </w:rPr>
    </w:lvl>
    <w:lvl w:ilvl="6" w:tplc="BA0AC9B8" w:tentative="1">
      <w:start w:val="1"/>
      <w:numFmt w:val="bullet"/>
      <w:lvlText w:val=""/>
      <w:lvlJc w:val="start"/>
      <w:pPr>
        <w:ind w:start="255.30pt" w:hanging="18pt"/>
      </w:pPr>
      <w:rPr>
        <w:rFonts w:ascii="Symbol" w:hAnsi="Symbol" w:hint="default"/>
      </w:rPr>
    </w:lvl>
    <w:lvl w:ilvl="7" w:tplc="1550F2A4" w:tentative="1">
      <w:start w:val="1"/>
      <w:numFmt w:val="bullet"/>
      <w:lvlText w:val="o"/>
      <w:lvlJc w:val="start"/>
      <w:pPr>
        <w:ind w:start="291.30pt" w:hanging="18pt"/>
      </w:pPr>
      <w:rPr>
        <w:rFonts w:ascii="Courier New" w:hAnsi="Courier New" w:cs="Courier New" w:hint="default"/>
      </w:rPr>
    </w:lvl>
    <w:lvl w:ilvl="8" w:tplc="06EAB8D2" w:tentative="1">
      <w:start w:val="1"/>
      <w:numFmt w:val="bullet"/>
      <w:lvlText w:val=""/>
      <w:lvlJc w:val="start"/>
      <w:pPr>
        <w:ind w:start="327.30pt" w:hanging="18pt"/>
      </w:pPr>
      <w:rPr>
        <w:rFonts w:ascii="Wingdings" w:hAnsi="Wingdings" w:hint="default"/>
      </w:rPr>
    </w:lvl>
  </w:abstractNum>
  <w:abstractNum w:abstractNumId="3" w15:restartNumberingAfterBreak="0">
    <w:nsid w:val="030E66F4"/>
    <w:multiLevelType w:val="hybridMultilevel"/>
    <w:tmpl w:val="16DEC2E4"/>
    <w:lvl w:ilvl="0" w:tplc="5866980E">
      <w:start w:val="1"/>
      <w:numFmt w:val="bullet"/>
      <w:lvlText w:val=""/>
      <w:lvlJc w:val="start"/>
      <w:pPr>
        <w:ind w:start="36pt" w:hanging="18pt"/>
      </w:pPr>
      <w:rPr>
        <w:rFonts w:ascii="Wingdings" w:hAnsi="Wingdings" w:hint="default"/>
      </w:rPr>
    </w:lvl>
    <w:lvl w:ilvl="1" w:tplc="E7707270" w:tentative="1">
      <w:start w:val="1"/>
      <w:numFmt w:val="bullet"/>
      <w:lvlText w:val="o"/>
      <w:lvlJc w:val="start"/>
      <w:pPr>
        <w:ind w:start="72pt" w:hanging="18pt"/>
      </w:pPr>
      <w:rPr>
        <w:rFonts w:ascii="Courier New" w:hAnsi="Courier New" w:cs="Courier New" w:hint="default"/>
      </w:rPr>
    </w:lvl>
    <w:lvl w:ilvl="2" w:tplc="D44E3BCA" w:tentative="1">
      <w:start w:val="1"/>
      <w:numFmt w:val="bullet"/>
      <w:lvlText w:val=""/>
      <w:lvlJc w:val="start"/>
      <w:pPr>
        <w:ind w:start="108pt" w:hanging="18pt"/>
      </w:pPr>
      <w:rPr>
        <w:rFonts w:ascii="Wingdings" w:hAnsi="Wingdings" w:hint="default"/>
      </w:rPr>
    </w:lvl>
    <w:lvl w:ilvl="3" w:tplc="080AC6AC" w:tentative="1">
      <w:start w:val="1"/>
      <w:numFmt w:val="bullet"/>
      <w:lvlText w:val=""/>
      <w:lvlJc w:val="start"/>
      <w:pPr>
        <w:ind w:start="144pt" w:hanging="18pt"/>
      </w:pPr>
      <w:rPr>
        <w:rFonts w:ascii="Symbol" w:hAnsi="Symbol" w:hint="default"/>
      </w:rPr>
    </w:lvl>
    <w:lvl w:ilvl="4" w:tplc="70F6E9C8" w:tentative="1">
      <w:start w:val="1"/>
      <w:numFmt w:val="bullet"/>
      <w:lvlText w:val="o"/>
      <w:lvlJc w:val="start"/>
      <w:pPr>
        <w:ind w:start="180pt" w:hanging="18pt"/>
      </w:pPr>
      <w:rPr>
        <w:rFonts w:ascii="Courier New" w:hAnsi="Courier New" w:cs="Courier New" w:hint="default"/>
      </w:rPr>
    </w:lvl>
    <w:lvl w:ilvl="5" w:tplc="64186C74" w:tentative="1">
      <w:start w:val="1"/>
      <w:numFmt w:val="bullet"/>
      <w:lvlText w:val=""/>
      <w:lvlJc w:val="start"/>
      <w:pPr>
        <w:ind w:start="216pt" w:hanging="18pt"/>
      </w:pPr>
      <w:rPr>
        <w:rFonts w:ascii="Wingdings" w:hAnsi="Wingdings" w:hint="default"/>
      </w:rPr>
    </w:lvl>
    <w:lvl w:ilvl="6" w:tplc="2FC86BC6" w:tentative="1">
      <w:start w:val="1"/>
      <w:numFmt w:val="bullet"/>
      <w:lvlText w:val=""/>
      <w:lvlJc w:val="start"/>
      <w:pPr>
        <w:ind w:start="252pt" w:hanging="18pt"/>
      </w:pPr>
      <w:rPr>
        <w:rFonts w:ascii="Symbol" w:hAnsi="Symbol" w:hint="default"/>
      </w:rPr>
    </w:lvl>
    <w:lvl w:ilvl="7" w:tplc="2530E868" w:tentative="1">
      <w:start w:val="1"/>
      <w:numFmt w:val="bullet"/>
      <w:lvlText w:val="o"/>
      <w:lvlJc w:val="start"/>
      <w:pPr>
        <w:ind w:start="288pt" w:hanging="18pt"/>
      </w:pPr>
      <w:rPr>
        <w:rFonts w:ascii="Courier New" w:hAnsi="Courier New" w:cs="Courier New" w:hint="default"/>
      </w:rPr>
    </w:lvl>
    <w:lvl w:ilvl="8" w:tplc="A36846FC" w:tentative="1">
      <w:start w:val="1"/>
      <w:numFmt w:val="bullet"/>
      <w:lvlText w:val=""/>
      <w:lvlJc w:val="start"/>
      <w:pPr>
        <w:ind w:start="324pt" w:hanging="18pt"/>
      </w:pPr>
      <w:rPr>
        <w:rFonts w:ascii="Wingdings" w:hAnsi="Wingdings" w:hint="default"/>
      </w:rPr>
    </w:lvl>
  </w:abstractNum>
  <w:abstractNum w:abstractNumId="4" w15:restartNumberingAfterBreak="0">
    <w:nsid w:val="03BF5B1C"/>
    <w:multiLevelType w:val="hybridMultilevel"/>
    <w:tmpl w:val="18782DD8"/>
    <w:lvl w:ilvl="0" w:tplc="080A000D">
      <w:start w:val="1"/>
      <w:numFmt w:val="bullet"/>
      <w:lvlText w:val=""/>
      <w:lvlJc w:val="start"/>
      <w:pPr>
        <w:ind w:start="36pt" w:hanging="18pt"/>
      </w:pPr>
      <w:rPr>
        <w:rFonts w:ascii="Wingdings" w:hAnsi="Wingdings" w:hint="default"/>
      </w:rPr>
    </w:lvl>
    <w:lvl w:ilvl="1" w:tplc="080A0003">
      <w:start w:val="1"/>
      <w:numFmt w:val="bullet"/>
      <w:lvlText w:val="o"/>
      <w:lvlJc w:val="start"/>
      <w:pPr>
        <w:ind w:start="72pt" w:hanging="18pt"/>
      </w:pPr>
      <w:rPr>
        <w:rFonts w:ascii="Courier New" w:hAnsi="Courier New" w:cs="Courier New" w:hint="default"/>
      </w:rPr>
    </w:lvl>
    <w:lvl w:ilvl="2" w:tplc="080A0005">
      <w:start w:val="1"/>
      <w:numFmt w:val="bullet"/>
      <w:lvlText w:val=""/>
      <w:lvlJc w:val="start"/>
      <w:pPr>
        <w:ind w:start="108pt" w:hanging="18pt"/>
      </w:pPr>
      <w:rPr>
        <w:rFonts w:ascii="Wingdings" w:hAnsi="Wingdings" w:hint="default"/>
      </w:rPr>
    </w:lvl>
    <w:lvl w:ilvl="3" w:tplc="080A0001">
      <w:start w:val="1"/>
      <w:numFmt w:val="bullet"/>
      <w:lvlText w:val=""/>
      <w:lvlJc w:val="start"/>
      <w:pPr>
        <w:ind w:start="144pt" w:hanging="18pt"/>
      </w:pPr>
      <w:rPr>
        <w:rFonts w:ascii="Symbol" w:hAnsi="Symbol" w:hint="default"/>
      </w:rPr>
    </w:lvl>
    <w:lvl w:ilvl="4" w:tplc="080A0003">
      <w:start w:val="1"/>
      <w:numFmt w:val="bullet"/>
      <w:lvlText w:val="o"/>
      <w:lvlJc w:val="start"/>
      <w:pPr>
        <w:ind w:start="180pt" w:hanging="18pt"/>
      </w:pPr>
      <w:rPr>
        <w:rFonts w:ascii="Courier New" w:hAnsi="Courier New" w:cs="Courier New" w:hint="default"/>
      </w:rPr>
    </w:lvl>
    <w:lvl w:ilvl="5" w:tplc="080A0005">
      <w:start w:val="1"/>
      <w:numFmt w:val="bullet"/>
      <w:lvlText w:val=""/>
      <w:lvlJc w:val="start"/>
      <w:pPr>
        <w:ind w:start="216pt" w:hanging="18pt"/>
      </w:pPr>
      <w:rPr>
        <w:rFonts w:ascii="Wingdings" w:hAnsi="Wingdings" w:hint="default"/>
      </w:rPr>
    </w:lvl>
    <w:lvl w:ilvl="6" w:tplc="080A0001">
      <w:start w:val="1"/>
      <w:numFmt w:val="bullet"/>
      <w:lvlText w:val=""/>
      <w:lvlJc w:val="start"/>
      <w:pPr>
        <w:ind w:start="252pt" w:hanging="18pt"/>
      </w:pPr>
      <w:rPr>
        <w:rFonts w:ascii="Symbol" w:hAnsi="Symbol" w:hint="default"/>
      </w:rPr>
    </w:lvl>
    <w:lvl w:ilvl="7" w:tplc="080A0003">
      <w:start w:val="1"/>
      <w:numFmt w:val="bullet"/>
      <w:lvlText w:val="o"/>
      <w:lvlJc w:val="start"/>
      <w:pPr>
        <w:ind w:start="288pt" w:hanging="18pt"/>
      </w:pPr>
      <w:rPr>
        <w:rFonts w:ascii="Courier New" w:hAnsi="Courier New" w:cs="Courier New" w:hint="default"/>
      </w:rPr>
    </w:lvl>
    <w:lvl w:ilvl="8" w:tplc="080A0005">
      <w:start w:val="1"/>
      <w:numFmt w:val="bullet"/>
      <w:lvlText w:val=""/>
      <w:lvlJc w:val="start"/>
      <w:pPr>
        <w:ind w:start="324pt" w:hanging="18pt"/>
      </w:pPr>
      <w:rPr>
        <w:rFonts w:ascii="Wingdings" w:hAnsi="Wingdings" w:hint="default"/>
      </w:rPr>
    </w:lvl>
  </w:abstractNum>
  <w:abstractNum w:abstractNumId="5" w15:restartNumberingAfterBreak="0">
    <w:nsid w:val="049C0C80"/>
    <w:multiLevelType w:val="hybridMultilevel"/>
    <w:tmpl w:val="9CB8E792"/>
    <w:lvl w:ilvl="0" w:tplc="080A000D">
      <w:start w:val="1"/>
      <w:numFmt w:val="bullet"/>
      <w:lvlText w:val=""/>
      <w:lvlJc w:val="start"/>
      <w:pPr>
        <w:ind w:start="54pt" w:hanging="18pt"/>
      </w:pPr>
      <w:rPr>
        <w:rFonts w:ascii="Wingdings" w:hAnsi="Wingdings" w:hint="default"/>
      </w:rPr>
    </w:lvl>
    <w:lvl w:ilvl="1" w:tplc="080A0003">
      <w:start w:val="1"/>
      <w:numFmt w:val="bullet"/>
      <w:lvlText w:val="o"/>
      <w:lvlJc w:val="start"/>
      <w:pPr>
        <w:ind w:start="90pt" w:hanging="18pt"/>
      </w:pPr>
      <w:rPr>
        <w:rFonts w:ascii="Courier New" w:hAnsi="Courier New" w:cs="Courier New" w:hint="default"/>
      </w:rPr>
    </w:lvl>
    <w:lvl w:ilvl="2" w:tplc="080A0005">
      <w:start w:val="1"/>
      <w:numFmt w:val="bullet"/>
      <w:lvlText w:val=""/>
      <w:lvlJc w:val="start"/>
      <w:pPr>
        <w:ind w:start="126pt" w:hanging="18pt"/>
      </w:pPr>
      <w:rPr>
        <w:rFonts w:ascii="Wingdings" w:hAnsi="Wingdings" w:hint="default"/>
      </w:rPr>
    </w:lvl>
    <w:lvl w:ilvl="3" w:tplc="080A0001">
      <w:start w:val="1"/>
      <w:numFmt w:val="bullet"/>
      <w:lvlText w:val=""/>
      <w:lvlJc w:val="start"/>
      <w:pPr>
        <w:ind w:start="162pt" w:hanging="18pt"/>
      </w:pPr>
      <w:rPr>
        <w:rFonts w:ascii="Symbol" w:hAnsi="Symbol" w:hint="default"/>
      </w:rPr>
    </w:lvl>
    <w:lvl w:ilvl="4" w:tplc="080A0003">
      <w:start w:val="1"/>
      <w:numFmt w:val="bullet"/>
      <w:lvlText w:val="o"/>
      <w:lvlJc w:val="start"/>
      <w:pPr>
        <w:ind w:start="198pt" w:hanging="18pt"/>
      </w:pPr>
      <w:rPr>
        <w:rFonts w:ascii="Courier New" w:hAnsi="Courier New" w:cs="Courier New" w:hint="default"/>
      </w:rPr>
    </w:lvl>
    <w:lvl w:ilvl="5" w:tplc="080A0005">
      <w:start w:val="1"/>
      <w:numFmt w:val="bullet"/>
      <w:lvlText w:val=""/>
      <w:lvlJc w:val="start"/>
      <w:pPr>
        <w:ind w:start="234pt" w:hanging="18pt"/>
      </w:pPr>
      <w:rPr>
        <w:rFonts w:ascii="Wingdings" w:hAnsi="Wingdings" w:hint="default"/>
      </w:rPr>
    </w:lvl>
    <w:lvl w:ilvl="6" w:tplc="080A0001">
      <w:start w:val="1"/>
      <w:numFmt w:val="bullet"/>
      <w:lvlText w:val=""/>
      <w:lvlJc w:val="start"/>
      <w:pPr>
        <w:ind w:start="270pt" w:hanging="18pt"/>
      </w:pPr>
      <w:rPr>
        <w:rFonts w:ascii="Symbol" w:hAnsi="Symbol" w:hint="default"/>
      </w:rPr>
    </w:lvl>
    <w:lvl w:ilvl="7" w:tplc="080A0003">
      <w:start w:val="1"/>
      <w:numFmt w:val="bullet"/>
      <w:lvlText w:val="o"/>
      <w:lvlJc w:val="start"/>
      <w:pPr>
        <w:ind w:start="306pt" w:hanging="18pt"/>
      </w:pPr>
      <w:rPr>
        <w:rFonts w:ascii="Courier New" w:hAnsi="Courier New" w:cs="Courier New" w:hint="default"/>
      </w:rPr>
    </w:lvl>
    <w:lvl w:ilvl="8" w:tplc="080A0005">
      <w:start w:val="1"/>
      <w:numFmt w:val="bullet"/>
      <w:lvlText w:val=""/>
      <w:lvlJc w:val="start"/>
      <w:pPr>
        <w:ind w:start="342pt" w:hanging="18pt"/>
      </w:pPr>
      <w:rPr>
        <w:rFonts w:ascii="Wingdings" w:hAnsi="Wingdings" w:hint="default"/>
      </w:rPr>
    </w:lvl>
  </w:abstractNum>
  <w:abstractNum w:abstractNumId="6" w15:restartNumberingAfterBreak="0">
    <w:nsid w:val="0539014B"/>
    <w:multiLevelType w:val="hybridMultilevel"/>
    <w:tmpl w:val="869A42B8"/>
    <w:lvl w:ilvl="0" w:tplc="DDEEB8A0">
      <w:start w:val="1"/>
      <w:numFmt w:val="bullet"/>
      <w:lvlText w:val=""/>
      <w:lvlJc w:val="start"/>
      <w:pPr>
        <w:ind w:start="54pt" w:hanging="18pt"/>
      </w:pPr>
      <w:rPr>
        <w:rFonts w:ascii="Symbol" w:hAnsi="Symbol" w:hint="default"/>
      </w:rPr>
    </w:lvl>
    <w:lvl w:ilvl="1" w:tplc="766A6678" w:tentative="1">
      <w:start w:val="1"/>
      <w:numFmt w:val="bullet"/>
      <w:lvlText w:val="o"/>
      <w:lvlJc w:val="start"/>
      <w:pPr>
        <w:ind w:start="90pt" w:hanging="18pt"/>
      </w:pPr>
      <w:rPr>
        <w:rFonts w:ascii="Courier New" w:hAnsi="Courier New" w:cs="Courier New" w:hint="default"/>
      </w:rPr>
    </w:lvl>
    <w:lvl w:ilvl="2" w:tplc="8564D946" w:tentative="1">
      <w:start w:val="1"/>
      <w:numFmt w:val="bullet"/>
      <w:lvlText w:val=""/>
      <w:lvlJc w:val="start"/>
      <w:pPr>
        <w:ind w:start="126pt" w:hanging="18pt"/>
      </w:pPr>
      <w:rPr>
        <w:rFonts w:ascii="Wingdings" w:hAnsi="Wingdings" w:hint="default"/>
      </w:rPr>
    </w:lvl>
    <w:lvl w:ilvl="3" w:tplc="DB304E24" w:tentative="1">
      <w:start w:val="1"/>
      <w:numFmt w:val="bullet"/>
      <w:lvlText w:val=""/>
      <w:lvlJc w:val="start"/>
      <w:pPr>
        <w:ind w:start="162pt" w:hanging="18pt"/>
      </w:pPr>
      <w:rPr>
        <w:rFonts w:ascii="Symbol" w:hAnsi="Symbol" w:hint="default"/>
      </w:rPr>
    </w:lvl>
    <w:lvl w:ilvl="4" w:tplc="0CF454D2" w:tentative="1">
      <w:start w:val="1"/>
      <w:numFmt w:val="bullet"/>
      <w:lvlText w:val="o"/>
      <w:lvlJc w:val="start"/>
      <w:pPr>
        <w:ind w:start="198pt" w:hanging="18pt"/>
      </w:pPr>
      <w:rPr>
        <w:rFonts w:ascii="Courier New" w:hAnsi="Courier New" w:cs="Courier New" w:hint="default"/>
      </w:rPr>
    </w:lvl>
    <w:lvl w:ilvl="5" w:tplc="97E0F4EE" w:tentative="1">
      <w:start w:val="1"/>
      <w:numFmt w:val="bullet"/>
      <w:lvlText w:val=""/>
      <w:lvlJc w:val="start"/>
      <w:pPr>
        <w:ind w:start="234pt" w:hanging="18pt"/>
      </w:pPr>
      <w:rPr>
        <w:rFonts w:ascii="Wingdings" w:hAnsi="Wingdings" w:hint="default"/>
      </w:rPr>
    </w:lvl>
    <w:lvl w:ilvl="6" w:tplc="FDAC742E" w:tentative="1">
      <w:start w:val="1"/>
      <w:numFmt w:val="bullet"/>
      <w:lvlText w:val=""/>
      <w:lvlJc w:val="start"/>
      <w:pPr>
        <w:ind w:start="270pt" w:hanging="18pt"/>
      </w:pPr>
      <w:rPr>
        <w:rFonts w:ascii="Symbol" w:hAnsi="Symbol" w:hint="default"/>
      </w:rPr>
    </w:lvl>
    <w:lvl w:ilvl="7" w:tplc="A0B26616" w:tentative="1">
      <w:start w:val="1"/>
      <w:numFmt w:val="bullet"/>
      <w:lvlText w:val="o"/>
      <w:lvlJc w:val="start"/>
      <w:pPr>
        <w:ind w:start="306pt" w:hanging="18pt"/>
      </w:pPr>
      <w:rPr>
        <w:rFonts w:ascii="Courier New" w:hAnsi="Courier New" w:cs="Courier New" w:hint="default"/>
      </w:rPr>
    </w:lvl>
    <w:lvl w:ilvl="8" w:tplc="C0ACFB38" w:tentative="1">
      <w:start w:val="1"/>
      <w:numFmt w:val="bullet"/>
      <w:lvlText w:val=""/>
      <w:lvlJc w:val="start"/>
      <w:pPr>
        <w:ind w:start="342pt" w:hanging="18pt"/>
      </w:pPr>
      <w:rPr>
        <w:rFonts w:ascii="Wingdings" w:hAnsi="Wingdings" w:hint="default"/>
      </w:rPr>
    </w:lvl>
  </w:abstractNum>
  <w:abstractNum w:abstractNumId="7" w15:restartNumberingAfterBreak="0">
    <w:nsid w:val="05750276"/>
    <w:multiLevelType w:val="hybridMultilevel"/>
    <w:tmpl w:val="96DCFA7E"/>
    <w:lvl w:ilvl="0" w:tplc="EEB4F80C">
      <w:start w:val="1"/>
      <w:numFmt w:val="bullet"/>
      <w:lvlText w:val=""/>
      <w:lvlJc w:val="start"/>
      <w:pPr>
        <w:ind w:start="2.60pt" w:hanging="18pt"/>
      </w:pPr>
      <w:rPr>
        <w:rFonts w:ascii="Wingdings" w:hAnsi="Wingdings" w:hint="default"/>
      </w:rPr>
    </w:lvl>
    <w:lvl w:ilvl="1" w:tplc="9B32465E">
      <w:start w:val="1"/>
      <w:numFmt w:val="bullet"/>
      <w:lvlText w:val="o"/>
      <w:lvlJc w:val="start"/>
      <w:pPr>
        <w:ind w:start="38.60pt" w:hanging="18pt"/>
      </w:pPr>
      <w:rPr>
        <w:rFonts w:ascii="Courier New" w:hAnsi="Courier New" w:cs="Courier New" w:hint="default"/>
      </w:rPr>
    </w:lvl>
    <w:lvl w:ilvl="2" w:tplc="D92610D4">
      <w:start w:val="1"/>
      <w:numFmt w:val="bullet"/>
      <w:lvlText w:val=""/>
      <w:lvlJc w:val="start"/>
      <w:pPr>
        <w:ind w:start="74.55pt" w:hanging="18pt"/>
      </w:pPr>
      <w:rPr>
        <w:rFonts w:ascii="Wingdings" w:hAnsi="Wingdings" w:hint="default"/>
      </w:rPr>
    </w:lvl>
    <w:lvl w:ilvl="3" w:tplc="079C2A42">
      <w:start w:val="1"/>
      <w:numFmt w:val="bullet"/>
      <w:lvlText w:val=""/>
      <w:lvlJc w:val="start"/>
      <w:pPr>
        <w:ind w:start="110.60pt" w:hanging="18pt"/>
      </w:pPr>
      <w:rPr>
        <w:rFonts w:ascii="Symbol" w:hAnsi="Symbol" w:hint="default"/>
      </w:rPr>
    </w:lvl>
    <w:lvl w:ilvl="4" w:tplc="ABE0341A">
      <w:start w:val="1"/>
      <w:numFmt w:val="bullet"/>
      <w:lvlText w:val="o"/>
      <w:lvlJc w:val="start"/>
      <w:pPr>
        <w:ind w:start="146.60pt" w:hanging="18pt"/>
      </w:pPr>
      <w:rPr>
        <w:rFonts w:ascii="Courier New" w:hAnsi="Courier New" w:cs="Courier New" w:hint="default"/>
      </w:rPr>
    </w:lvl>
    <w:lvl w:ilvl="5" w:tplc="1698467E">
      <w:start w:val="1"/>
      <w:numFmt w:val="bullet"/>
      <w:lvlText w:val=""/>
      <w:lvlJc w:val="start"/>
      <w:pPr>
        <w:ind w:start="182.60pt" w:hanging="18pt"/>
      </w:pPr>
      <w:rPr>
        <w:rFonts w:ascii="Wingdings" w:hAnsi="Wingdings" w:hint="default"/>
      </w:rPr>
    </w:lvl>
    <w:lvl w:ilvl="6" w:tplc="BE4E34AA">
      <w:start w:val="1"/>
      <w:numFmt w:val="bullet"/>
      <w:lvlText w:val=""/>
      <w:lvlJc w:val="start"/>
      <w:pPr>
        <w:ind w:start="218.60pt" w:hanging="18pt"/>
      </w:pPr>
      <w:rPr>
        <w:rFonts w:ascii="Symbol" w:hAnsi="Symbol" w:hint="default"/>
      </w:rPr>
    </w:lvl>
    <w:lvl w:ilvl="7" w:tplc="B08A222C">
      <w:start w:val="1"/>
      <w:numFmt w:val="bullet"/>
      <w:lvlText w:val="o"/>
      <w:lvlJc w:val="start"/>
      <w:pPr>
        <w:ind w:start="254.60pt" w:hanging="18pt"/>
      </w:pPr>
      <w:rPr>
        <w:rFonts w:ascii="Courier New" w:hAnsi="Courier New" w:cs="Courier New" w:hint="default"/>
      </w:rPr>
    </w:lvl>
    <w:lvl w:ilvl="8" w:tplc="6026EA38">
      <w:start w:val="1"/>
      <w:numFmt w:val="bullet"/>
      <w:lvlText w:val=""/>
      <w:lvlJc w:val="start"/>
      <w:pPr>
        <w:ind w:start="290.60pt" w:hanging="18pt"/>
      </w:pPr>
      <w:rPr>
        <w:rFonts w:ascii="Wingdings" w:hAnsi="Wingdings" w:hint="default"/>
      </w:rPr>
    </w:lvl>
  </w:abstractNum>
  <w:abstractNum w:abstractNumId="8" w15:restartNumberingAfterBreak="0">
    <w:nsid w:val="05A418F3"/>
    <w:multiLevelType w:val="hybridMultilevel"/>
    <w:tmpl w:val="CC766A24"/>
    <w:lvl w:ilvl="0" w:tplc="BE30EB04">
      <w:start w:val="1"/>
      <w:numFmt w:val="bullet"/>
      <w:lvlText w:val=""/>
      <w:lvlJc w:val="start"/>
      <w:pPr>
        <w:ind w:start="39.25pt" w:hanging="18pt"/>
      </w:pPr>
      <w:rPr>
        <w:rFonts w:ascii="Symbol" w:hAnsi="Symbol" w:hint="default"/>
      </w:rPr>
    </w:lvl>
    <w:lvl w:ilvl="1" w:tplc="97623724" w:tentative="1">
      <w:start w:val="1"/>
      <w:numFmt w:val="bullet"/>
      <w:lvlText w:val="o"/>
      <w:lvlJc w:val="start"/>
      <w:pPr>
        <w:ind w:start="75.30pt" w:hanging="18pt"/>
      </w:pPr>
      <w:rPr>
        <w:rFonts w:ascii="Courier New" w:hAnsi="Courier New" w:cs="Courier New" w:hint="default"/>
      </w:rPr>
    </w:lvl>
    <w:lvl w:ilvl="2" w:tplc="C97E85F0" w:tentative="1">
      <w:start w:val="1"/>
      <w:numFmt w:val="bullet"/>
      <w:lvlText w:val=""/>
      <w:lvlJc w:val="start"/>
      <w:pPr>
        <w:ind w:start="111.30pt" w:hanging="18pt"/>
      </w:pPr>
      <w:rPr>
        <w:rFonts w:ascii="Wingdings" w:hAnsi="Wingdings" w:hint="default"/>
      </w:rPr>
    </w:lvl>
    <w:lvl w:ilvl="3" w:tplc="A77E22D6" w:tentative="1">
      <w:start w:val="1"/>
      <w:numFmt w:val="bullet"/>
      <w:lvlText w:val=""/>
      <w:lvlJc w:val="start"/>
      <w:pPr>
        <w:ind w:start="147.30pt" w:hanging="18pt"/>
      </w:pPr>
      <w:rPr>
        <w:rFonts w:ascii="Symbol" w:hAnsi="Symbol" w:hint="default"/>
      </w:rPr>
    </w:lvl>
    <w:lvl w:ilvl="4" w:tplc="E92CC810" w:tentative="1">
      <w:start w:val="1"/>
      <w:numFmt w:val="bullet"/>
      <w:lvlText w:val="o"/>
      <w:lvlJc w:val="start"/>
      <w:pPr>
        <w:ind w:start="183.30pt" w:hanging="18pt"/>
      </w:pPr>
      <w:rPr>
        <w:rFonts w:ascii="Courier New" w:hAnsi="Courier New" w:cs="Courier New" w:hint="default"/>
      </w:rPr>
    </w:lvl>
    <w:lvl w:ilvl="5" w:tplc="B622EA76" w:tentative="1">
      <w:start w:val="1"/>
      <w:numFmt w:val="bullet"/>
      <w:lvlText w:val=""/>
      <w:lvlJc w:val="start"/>
      <w:pPr>
        <w:ind w:start="219.30pt" w:hanging="18pt"/>
      </w:pPr>
      <w:rPr>
        <w:rFonts w:ascii="Wingdings" w:hAnsi="Wingdings" w:hint="default"/>
      </w:rPr>
    </w:lvl>
    <w:lvl w:ilvl="6" w:tplc="58400768" w:tentative="1">
      <w:start w:val="1"/>
      <w:numFmt w:val="bullet"/>
      <w:lvlText w:val=""/>
      <w:lvlJc w:val="start"/>
      <w:pPr>
        <w:ind w:start="255.30pt" w:hanging="18pt"/>
      </w:pPr>
      <w:rPr>
        <w:rFonts w:ascii="Symbol" w:hAnsi="Symbol" w:hint="default"/>
      </w:rPr>
    </w:lvl>
    <w:lvl w:ilvl="7" w:tplc="8C343324" w:tentative="1">
      <w:start w:val="1"/>
      <w:numFmt w:val="bullet"/>
      <w:lvlText w:val="o"/>
      <w:lvlJc w:val="start"/>
      <w:pPr>
        <w:ind w:start="291.30pt" w:hanging="18pt"/>
      </w:pPr>
      <w:rPr>
        <w:rFonts w:ascii="Courier New" w:hAnsi="Courier New" w:cs="Courier New" w:hint="default"/>
      </w:rPr>
    </w:lvl>
    <w:lvl w:ilvl="8" w:tplc="3F786D30" w:tentative="1">
      <w:start w:val="1"/>
      <w:numFmt w:val="bullet"/>
      <w:lvlText w:val=""/>
      <w:lvlJc w:val="start"/>
      <w:pPr>
        <w:ind w:start="327.30pt" w:hanging="18pt"/>
      </w:pPr>
      <w:rPr>
        <w:rFonts w:ascii="Wingdings" w:hAnsi="Wingdings" w:hint="default"/>
      </w:rPr>
    </w:lvl>
  </w:abstractNum>
  <w:abstractNum w:abstractNumId="9" w15:restartNumberingAfterBreak="0">
    <w:nsid w:val="06AB0720"/>
    <w:multiLevelType w:val="hybridMultilevel"/>
    <w:tmpl w:val="1D00DC8C"/>
    <w:lvl w:ilvl="0" w:tplc="FD82161A">
      <w:start w:val="1"/>
      <w:numFmt w:val="bullet"/>
      <w:lvlText w:val=""/>
      <w:lvlJc w:val="start"/>
      <w:pPr>
        <w:ind w:start="97.05pt" w:hanging="18pt"/>
      </w:pPr>
      <w:rPr>
        <w:rFonts w:ascii="Symbol" w:hAnsi="Symbol" w:hint="default"/>
      </w:rPr>
    </w:lvl>
    <w:lvl w:ilvl="1" w:tplc="32740424">
      <w:start w:val="1"/>
      <w:numFmt w:val="bullet"/>
      <w:lvlText w:val="o"/>
      <w:lvlJc w:val="start"/>
      <w:pPr>
        <w:ind w:start="133.05pt" w:hanging="18pt"/>
      </w:pPr>
      <w:rPr>
        <w:rFonts w:ascii="Courier New" w:hAnsi="Courier New" w:cs="Courier New" w:hint="default"/>
      </w:rPr>
    </w:lvl>
    <w:lvl w:ilvl="2" w:tplc="54C80B1A">
      <w:start w:val="1"/>
      <w:numFmt w:val="bullet"/>
      <w:lvlText w:val=""/>
      <w:lvlJc w:val="start"/>
      <w:pPr>
        <w:ind w:start="169.05pt" w:hanging="18pt"/>
      </w:pPr>
      <w:rPr>
        <w:rFonts w:ascii="Wingdings" w:hAnsi="Wingdings" w:hint="default"/>
      </w:rPr>
    </w:lvl>
    <w:lvl w:ilvl="3" w:tplc="52CCB920">
      <w:start w:val="1"/>
      <w:numFmt w:val="bullet"/>
      <w:lvlText w:val=""/>
      <w:lvlJc w:val="start"/>
      <w:pPr>
        <w:ind w:start="205.05pt" w:hanging="18pt"/>
      </w:pPr>
      <w:rPr>
        <w:rFonts w:ascii="Symbol" w:hAnsi="Symbol" w:hint="default"/>
      </w:rPr>
    </w:lvl>
    <w:lvl w:ilvl="4" w:tplc="7F4E6CF8">
      <w:start w:val="1"/>
      <w:numFmt w:val="bullet"/>
      <w:lvlText w:val="o"/>
      <w:lvlJc w:val="start"/>
      <w:pPr>
        <w:ind w:start="241.05pt" w:hanging="18pt"/>
      </w:pPr>
      <w:rPr>
        <w:rFonts w:ascii="Courier New" w:hAnsi="Courier New" w:cs="Courier New" w:hint="default"/>
      </w:rPr>
    </w:lvl>
    <w:lvl w:ilvl="5" w:tplc="E9167030">
      <w:start w:val="1"/>
      <w:numFmt w:val="bullet"/>
      <w:lvlText w:val=""/>
      <w:lvlJc w:val="start"/>
      <w:pPr>
        <w:ind w:start="277.05pt" w:hanging="18pt"/>
      </w:pPr>
      <w:rPr>
        <w:rFonts w:ascii="Wingdings" w:hAnsi="Wingdings" w:hint="default"/>
      </w:rPr>
    </w:lvl>
    <w:lvl w:ilvl="6" w:tplc="4562506E">
      <w:start w:val="1"/>
      <w:numFmt w:val="bullet"/>
      <w:lvlText w:val=""/>
      <w:lvlJc w:val="start"/>
      <w:pPr>
        <w:ind w:start="313.05pt" w:hanging="18pt"/>
      </w:pPr>
      <w:rPr>
        <w:rFonts w:ascii="Symbol" w:hAnsi="Symbol" w:hint="default"/>
      </w:rPr>
    </w:lvl>
    <w:lvl w:ilvl="7" w:tplc="0B3C8256">
      <w:start w:val="1"/>
      <w:numFmt w:val="bullet"/>
      <w:lvlText w:val="o"/>
      <w:lvlJc w:val="start"/>
      <w:pPr>
        <w:ind w:start="349.05pt" w:hanging="18pt"/>
      </w:pPr>
      <w:rPr>
        <w:rFonts w:ascii="Courier New" w:hAnsi="Courier New" w:cs="Courier New" w:hint="default"/>
      </w:rPr>
    </w:lvl>
    <w:lvl w:ilvl="8" w:tplc="BF06D720">
      <w:start w:val="1"/>
      <w:numFmt w:val="bullet"/>
      <w:lvlText w:val=""/>
      <w:lvlJc w:val="start"/>
      <w:pPr>
        <w:ind w:start="385.05pt" w:hanging="18pt"/>
      </w:pPr>
      <w:rPr>
        <w:rFonts w:ascii="Wingdings" w:hAnsi="Wingdings" w:hint="default"/>
      </w:rPr>
    </w:lvl>
  </w:abstractNum>
  <w:abstractNum w:abstractNumId="10" w15:restartNumberingAfterBreak="0">
    <w:nsid w:val="07020ACB"/>
    <w:multiLevelType w:val="hybridMultilevel"/>
    <w:tmpl w:val="601C785C"/>
    <w:lvl w:ilvl="0" w:tplc="54EEC378">
      <w:start w:val="1"/>
      <w:numFmt w:val="bullet"/>
      <w:pStyle w:val="Cita"/>
      <w:lvlText w:val=""/>
      <w:lvlJc w:val="start"/>
      <w:pPr>
        <w:ind w:start="78.55pt" w:hanging="18pt"/>
      </w:pPr>
      <w:rPr>
        <w:rFonts w:ascii="Symbol" w:hAnsi="Symbol" w:hint="default"/>
      </w:rPr>
    </w:lvl>
    <w:lvl w:ilvl="1" w:tplc="6E5E76C4" w:tentative="1">
      <w:start w:val="1"/>
      <w:numFmt w:val="bullet"/>
      <w:lvlText w:val="o"/>
      <w:lvlJc w:val="start"/>
      <w:pPr>
        <w:ind w:start="114.55pt" w:hanging="18pt"/>
      </w:pPr>
      <w:rPr>
        <w:rFonts w:ascii="Courier New" w:hAnsi="Courier New" w:cs="Courier New" w:hint="default"/>
      </w:rPr>
    </w:lvl>
    <w:lvl w:ilvl="2" w:tplc="A94405FC" w:tentative="1">
      <w:start w:val="1"/>
      <w:numFmt w:val="bullet"/>
      <w:lvlText w:val=""/>
      <w:lvlJc w:val="start"/>
      <w:pPr>
        <w:ind w:start="150.55pt" w:hanging="18pt"/>
      </w:pPr>
      <w:rPr>
        <w:rFonts w:ascii="Wingdings" w:hAnsi="Wingdings" w:hint="default"/>
      </w:rPr>
    </w:lvl>
    <w:lvl w:ilvl="3" w:tplc="15C8045A" w:tentative="1">
      <w:start w:val="1"/>
      <w:numFmt w:val="bullet"/>
      <w:lvlText w:val=""/>
      <w:lvlJc w:val="start"/>
      <w:pPr>
        <w:ind w:start="186.55pt" w:hanging="18pt"/>
      </w:pPr>
      <w:rPr>
        <w:rFonts w:ascii="Symbol" w:hAnsi="Symbol" w:hint="default"/>
      </w:rPr>
    </w:lvl>
    <w:lvl w:ilvl="4" w:tplc="4614D146" w:tentative="1">
      <w:start w:val="1"/>
      <w:numFmt w:val="bullet"/>
      <w:lvlText w:val="o"/>
      <w:lvlJc w:val="start"/>
      <w:pPr>
        <w:ind w:start="222.55pt" w:hanging="18pt"/>
      </w:pPr>
      <w:rPr>
        <w:rFonts w:ascii="Courier New" w:hAnsi="Courier New" w:cs="Courier New" w:hint="default"/>
      </w:rPr>
    </w:lvl>
    <w:lvl w:ilvl="5" w:tplc="1A2A1782" w:tentative="1">
      <w:start w:val="1"/>
      <w:numFmt w:val="bullet"/>
      <w:lvlText w:val=""/>
      <w:lvlJc w:val="start"/>
      <w:pPr>
        <w:ind w:start="258.55pt" w:hanging="18pt"/>
      </w:pPr>
      <w:rPr>
        <w:rFonts w:ascii="Wingdings" w:hAnsi="Wingdings" w:hint="default"/>
      </w:rPr>
    </w:lvl>
    <w:lvl w:ilvl="6" w:tplc="34E0F028" w:tentative="1">
      <w:start w:val="1"/>
      <w:numFmt w:val="bullet"/>
      <w:lvlText w:val=""/>
      <w:lvlJc w:val="start"/>
      <w:pPr>
        <w:ind w:start="294.55pt" w:hanging="18pt"/>
      </w:pPr>
      <w:rPr>
        <w:rFonts w:ascii="Symbol" w:hAnsi="Symbol" w:hint="default"/>
      </w:rPr>
    </w:lvl>
    <w:lvl w:ilvl="7" w:tplc="E35E42C0" w:tentative="1">
      <w:start w:val="1"/>
      <w:numFmt w:val="bullet"/>
      <w:lvlText w:val="o"/>
      <w:lvlJc w:val="start"/>
      <w:pPr>
        <w:ind w:start="330.55pt" w:hanging="18pt"/>
      </w:pPr>
      <w:rPr>
        <w:rFonts w:ascii="Courier New" w:hAnsi="Courier New" w:cs="Courier New" w:hint="default"/>
      </w:rPr>
    </w:lvl>
    <w:lvl w:ilvl="8" w:tplc="3AD09F40" w:tentative="1">
      <w:start w:val="1"/>
      <w:numFmt w:val="bullet"/>
      <w:lvlText w:val=""/>
      <w:lvlJc w:val="start"/>
      <w:pPr>
        <w:ind w:start="366.55pt" w:hanging="18pt"/>
      </w:pPr>
      <w:rPr>
        <w:rFonts w:ascii="Wingdings" w:hAnsi="Wingdings" w:hint="default"/>
      </w:rPr>
    </w:lvl>
  </w:abstractNum>
  <w:abstractNum w:abstractNumId="11" w15:restartNumberingAfterBreak="0">
    <w:nsid w:val="073E04B3"/>
    <w:multiLevelType w:val="hybridMultilevel"/>
    <w:tmpl w:val="C7046504"/>
    <w:lvl w:ilvl="0" w:tplc="47E0B202">
      <w:start w:val="1"/>
      <w:numFmt w:val="bullet"/>
      <w:lvlText w:val=""/>
      <w:lvlJc w:val="start"/>
      <w:pPr>
        <w:ind w:start="54pt" w:hanging="18pt"/>
      </w:pPr>
      <w:rPr>
        <w:rFonts w:ascii="Symbol" w:hAnsi="Symbol" w:hint="default"/>
      </w:rPr>
    </w:lvl>
    <w:lvl w:ilvl="1" w:tplc="63ECD808" w:tentative="1">
      <w:start w:val="1"/>
      <w:numFmt w:val="bullet"/>
      <w:lvlText w:val="o"/>
      <w:lvlJc w:val="start"/>
      <w:pPr>
        <w:ind w:start="90pt" w:hanging="18pt"/>
      </w:pPr>
      <w:rPr>
        <w:rFonts w:ascii="Courier New" w:hAnsi="Courier New" w:cs="Courier New" w:hint="default"/>
      </w:rPr>
    </w:lvl>
    <w:lvl w:ilvl="2" w:tplc="568E0168" w:tentative="1">
      <w:start w:val="1"/>
      <w:numFmt w:val="bullet"/>
      <w:lvlText w:val=""/>
      <w:lvlJc w:val="start"/>
      <w:pPr>
        <w:ind w:start="126pt" w:hanging="18pt"/>
      </w:pPr>
      <w:rPr>
        <w:rFonts w:ascii="Wingdings" w:hAnsi="Wingdings" w:hint="default"/>
      </w:rPr>
    </w:lvl>
    <w:lvl w:ilvl="3" w:tplc="69AA3E36" w:tentative="1">
      <w:start w:val="1"/>
      <w:numFmt w:val="bullet"/>
      <w:lvlText w:val=""/>
      <w:lvlJc w:val="start"/>
      <w:pPr>
        <w:ind w:start="162pt" w:hanging="18pt"/>
      </w:pPr>
      <w:rPr>
        <w:rFonts w:ascii="Symbol" w:hAnsi="Symbol" w:hint="default"/>
      </w:rPr>
    </w:lvl>
    <w:lvl w:ilvl="4" w:tplc="19E4B1F2" w:tentative="1">
      <w:start w:val="1"/>
      <w:numFmt w:val="bullet"/>
      <w:lvlText w:val="o"/>
      <w:lvlJc w:val="start"/>
      <w:pPr>
        <w:ind w:start="198pt" w:hanging="18pt"/>
      </w:pPr>
      <w:rPr>
        <w:rFonts w:ascii="Courier New" w:hAnsi="Courier New" w:cs="Courier New" w:hint="default"/>
      </w:rPr>
    </w:lvl>
    <w:lvl w:ilvl="5" w:tplc="185CCAA8" w:tentative="1">
      <w:start w:val="1"/>
      <w:numFmt w:val="bullet"/>
      <w:lvlText w:val=""/>
      <w:lvlJc w:val="start"/>
      <w:pPr>
        <w:ind w:start="234pt" w:hanging="18pt"/>
      </w:pPr>
      <w:rPr>
        <w:rFonts w:ascii="Wingdings" w:hAnsi="Wingdings" w:hint="default"/>
      </w:rPr>
    </w:lvl>
    <w:lvl w:ilvl="6" w:tplc="16307508" w:tentative="1">
      <w:start w:val="1"/>
      <w:numFmt w:val="bullet"/>
      <w:lvlText w:val=""/>
      <w:lvlJc w:val="start"/>
      <w:pPr>
        <w:ind w:start="270pt" w:hanging="18pt"/>
      </w:pPr>
      <w:rPr>
        <w:rFonts w:ascii="Symbol" w:hAnsi="Symbol" w:hint="default"/>
      </w:rPr>
    </w:lvl>
    <w:lvl w:ilvl="7" w:tplc="15325E48" w:tentative="1">
      <w:start w:val="1"/>
      <w:numFmt w:val="bullet"/>
      <w:lvlText w:val="o"/>
      <w:lvlJc w:val="start"/>
      <w:pPr>
        <w:ind w:start="306pt" w:hanging="18pt"/>
      </w:pPr>
      <w:rPr>
        <w:rFonts w:ascii="Courier New" w:hAnsi="Courier New" w:cs="Courier New" w:hint="default"/>
      </w:rPr>
    </w:lvl>
    <w:lvl w:ilvl="8" w:tplc="8E6C6298" w:tentative="1">
      <w:start w:val="1"/>
      <w:numFmt w:val="bullet"/>
      <w:lvlText w:val=""/>
      <w:lvlJc w:val="start"/>
      <w:pPr>
        <w:ind w:start="342pt" w:hanging="18pt"/>
      </w:pPr>
      <w:rPr>
        <w:rFonts w:ascii="Wingdings" w:hAnsi="Wingdings" w:hint="default"/>
      </w:rPr>
    </w:lvl>
  </w:abstractNum>
  <w:abstractNum w:abstractNumId="12" w15:restartNumberingAfterBreak="0">
    <w:nsid w:val="07656146"/>
    <w:multiLevelType w:val="hybridMultilevel"/>
    <w:tmpl w:val="5C0C8C62"/>
    <w:lvl w:ilvl="0" w:tplc="78E08C2E">
      <w:start w:val="1"/>
      <w:numFmt w:val="bullet"/>
      <w:lvlText w:val=""/>
      <w:lvlJc w:val="start"/>
      <w:pPr>
        <w:ind w:start="81.75pt" w:hanging="18pt"/>
      </w:pPr>
      <w:rPr>
        <w:rFonts w:ascii="Symbol" w:hAnsi="Symbol" w:hint="default"/>
      </w:rPr>
    </w:lvl>
    <w:lvl w:ilvl="1" w:tplc="2C8EC710">
      <w:start w:val="1"/>
      <w:numFmt w:val="bullet"/>
      <w:lvlText w:val="o"/>
      <w:lvlJc w:val="start"/>
      <w:pPr>
        <w:ind w:start="93.30pt" w:hanging="18pt"/>
      </w:pPr>
      <w:rPr>
        <w:rFonts w:ascii="Courier New" w:hAnsi="Courier New" w:cs="Courier New" w:hint="default"/>
      </w:rPr>
    </w:lvl>
    <w:lvl w:ilvl="2" w:tplc="3D403C64">
      <w:start w:val="1"/>
      <w:numFmt w:val="bullet"/>
      <w:lvlText w:val=""/>
      <w:lvlJc w:val="start"/>
      <w:pPr>
        <w:ind w:start="129.30pt" w:hanging="18pt"/>
      </w:pPr>
      <w:rPr>
        <w:rFonts w:ascii="Wingdings" w:hAnsi="Wingdings" w:hint="default"/>
      </w:rPr>
    </w:lvl>
    <w:lvl w:ilvl="3" w:tplc="59908070">
      <w:start w:val="1"/>
      <w:numFmt w:val="bullet"/>
      <w:lvlText w:val=""/>
      <w:lvlJc w:val="start"/>
      <w:pPr>
        <w:ind w:start="165.30pt" w:hanging="18pt"/>
      </w:pPr>
      <w:rPr>
        <w:rFonts w:ascii="Symbol" w:hAnsi="Symbol" w:hint="default"/>
      </w:rPr>
    </w:lvl>
    <w:lvl w:ilvl="4" w:tplc="AA809930">
      <w:start w:val="1"/>
      <w:numFmt w:val="bullet"/>
      <w:lvlText w:val="o"/>
      <w:lvlJc w:val="start"/>
      <w:pPr>
        <w:ind w:start="201.30pt" w:hanging="18pt"/>
      </w:pPr>
      <w:rPr>
        <w:rFonts w:ascii="Courier New" w:hAnsi="Courier New" w:cs="Courier New" w:hint="default"/>
      </w:rPr>
    </w:lvl>
    <w:lvl w:ilvl="5" w:tplc="337EE800">
      <w:start w:val="1"/>
      <w:numFmt w:val="bullet"/>
      <w:lvlText w:val=""/>
      <w:lvlJc w:val="start"/>
      <w:pPr>
        <w:ind w:start="237.30pt" w:hanging="18pt"/>
      </w:pPr>
      <w:rPr>
        <w:rFonts w:ascii="Wingdings" w:hAnsi="Wingdings" w:hint="default"/>
      </w:rPr>
    </w:lvl>
    <w:lvl w:ilvl="6" w:tplc="FFE0FA7E">
      <w:start w:val="1"/>
      <w:numFmt w:val="bullet"/>
      <w:lvlText w:val=""/>
      <w:lvlJc w:val="start"/>
      <w:pPr>
        <w:ind w:start="273.30pt" w:hanging="18pt"/>
      </w:pPr>
      <w:rPr>
        <w:rFonts w:ascii="Symbol" w:hAnsi="Symbol" w:hint="default"/>
      </w:rPr>
    </w:lvl>
    <w:lvl w:ilvl="7" w:tplc="35DCB488">
      <w:start w:val="1"/>
      <w:numFmt w:val="bullet"/>
      <w:lvlText w:val="o"/>
      <w:lvlJc w:val="start"/>
      <w:pPr>
        <w:ind w:start="309.30pt" w:hanging="18pt"/>
      </w:pPr>
      <w:rPr>
        <w:rFonts w:ascii="Courier New" w:hAnsi="Courier New" w:cs="Courier New" w:hint="default"/>
      </w:rPr>
    </w:lvl>
    <w:lvl w:ilvl="8" w:tplc="700AA3F4">
      <w:start w:val="1"/>
      <w:numFmt w:val="bullet"/>
      <w:lvlText w:val=""/>
      <w:lvlJc w:val="start"/>
      <w:pPr>
        <w:ind w:start="345.30pt" w:hanging="18pt"/>
      </w:pPr>
      <w:rPr>
        <w:rFonts w:ascii="Wingdings" w:hAnsi="Wingdings" w:hint="default"/>
      </w:rPr>
    </w:lvl>
  </w:abstractNum>
  <w:abstractNum w:abstractNumId="13" w15:restartNumberingAfterBreak="0">
    <w:nsid w:val="07FC11CE"/>
    <w:multiLevelType w:val="hybridMultilevel"/>
    <w:tmpl w:val="1D9A13A6"/>
    <w:lvl w:ilvl="0" w:tplc="CC66EBC2">
      <w:start w:val="1"/>
      <w:numFmt w:val="bullet"/>
      <w:lvlText w:val=""/>
      <w:lvlJc w:val="start"/>
      <w:pPr>
        <w:ind w:start="54pt" w:hanging="18pt"/>
      </w:pPr>
      <w:rPr>
        <w:rFonts w:ascii="Symbol" w:hAnsi="Symbol" w:hint="default"/>
      </w:rPr>
    </w:lvl>
    <w:lvl w:ilvl="1" w:tplc="1A54569C">
      <w:start w:val="1"/>
      <w:numFmt w:val="bullet"/>
      <w:lvlText w:val="o"/>
      <w:lvlJc w:val="start"/>
      <w:pPr>
        <w:ind w:start="90pt" w:hanging="18pt"/>
      </w:pPr>
      <w:rPr>
        <w:rFonts w:ascii="Courier New" w:hAnsi="Courier New" w:cs="Courier New" w:hint="default"/>
      </w:rPr>
    </w:lvl>
    <w:lvl w:ilvl="2" w:tplc="2D50DFBC">
      <w:start w:val="1"/>
      <w:numFmt w:val="bullet"/>
      <w:lvlText w:val=""/>
      <w:lvlJc w:val="start"/>
      <w:pPr>
        <w:ind w:start="126pt" w:hanging="18pt"/>
      </w:pPr>
      <w:rPr>
        <w:rFonts w:ascii="Wingdings" w:hAnsi="Wingdings" w:hint="default"/>
      </w:rPr>
    </w:lvl>
    <w:lvl w:ilvl="3" w:tplc="E432FE4A">
      <w:start w:val="1"/>
      <w:numFmt w:val="bullet"/>
      <w:lvlText w:val=""/>
      <w:lvlJc w:val="start"/>
      <w:pPr>
        <w:ind w:start="162pt" w:hanging="18pt"/>
      </w:pPr>
      <w:rPr>
        <w:rFonts w:ascii="Symbol" w:hAnsi="Symbol" w:hint="default"/>
      </w:rPr>
    </w:lvl>
    <w:lvl w:ilvl="4" w:tplc="009A4CCE">
      <w:start w:val="1"/>
      <w:numFmt w:val="bullet"/>
      <w:lvlText w:val="o"/>
      <w:lvlJc w:val="start"/>
      <w:pPr>
        <w:ind w:start="198pt" w:hanging="18pt"/>
      </w:pPr>
      <w:rPr>
        <w:rFonts w:ascii="Courier New" w:hAnsi="Courier New" w:cs="Courier New" w:hint="default"/>
      </w:rPr>
    </w:lvl>
    <w:lvl w:ilvl="5" w:tplc="06265C74">
      <w:start w:val="1"/>
      <w:numFmt w:val="bullet"/>
      <w:lvlText w:val=""/>
      <w:lvlJc w:val="start"/>
      <w:pPr>
        <w:ind w:start="234pt" w:hanging="18pt"/>
      </w:pPr>
      <w:rPr>
        <w:rFonts w:ascii="Wingdings" w:hAnsi="Wingdings" w:hint="default"/>
      </w:rPr>
    </w:lvl>
    <w:lvl w:ilvl="6" w:tplc="3FC84E0A">
      <w:start w:val="1"/>
      <w:numFmt w:val="bullet"/>
      <w:lvlText w:val=""/>
      <w:lvlJc w:val="start"/>
      <w:pPr>
        <w:ind w:start="270pt" w:hanging="18pt"/>
      </w:pPr>
      <w:rPr>
        <w:rFonts w:ascii="Symbol" w:hAnsi="Symbol" w:hint="default"/>
      </w:rPr>
    </w:lvl>
    <w:lvl w:ilvl="7" w:tplc="2B4A2560">
      <w:start w:val="1"/>
      <w:numFmt w:val="bullet"/>
      <w:lvlText w:val="o"/>
      <w:lvlJc w:val="start"/>
      <w:pPr>
        <w:ind w:start="306pt" w:hanging="18pt"/>
      </w:pPr>
      <w:rPr>
        <w:rFonts w:ascii="Courier New" w:hAnsi="Courier New" w:cs="Courier New" w:hint="default"/>
      </w:rPr>
    </w:lvl>
    <w:lvl w:ilvl="8" w:tplc="459000B0">
      <w:start w:val="1"/>
      <w:numFmt w:val="bullet"/>
      <w:lvlText w:val=""/>
      <w:lvlJc w:val="start"/>
      <w:pPr>
        <w:ind w:start="342pt" w:hanging="18pt"/>
      </w:pPr>
      <w:rPr>
        <w:rFonts w:ascii="Wingdings" w:hAnsi="Wingdings" w:hint="default"/>
      </w:rPr>
    </w:lvl>
  </w:abstractNum>
  <w:abstractNum w:abstractNumId="14" w15:restartNumberingAfterBreak="0">
    <w:nsid w:val="086115D6"/>
    <w:multiLevelType w:val="hybridMultilevel"/>
    <w:tmpl w:val="E6363038"/>
    <w:lvl w:ilvl="0" w:tplc="4936203C">
      <w:start w:val="1"/>
      <w:numFmt w:val="bullet"/>
      <w:lvlText w:val=""/>
      <w:lvlJc w:val="start"/>
      <w:pPr>
        <w:ind w:start="36pt" w:hanging="18pt"/>
      </w:pPr>
      <w:rPr>
        <w:rFonts w:ascii="Symbol" w:hAnsi="Symbol" w:hint="default"/>
      </w:rPr>
    </w:lvl>
    <w:lvl w:ilvl="1" w:tplc="15EA38D4" w:tentative="1">
      <w:start w:val="1"/>
      <w:numFmt w:val="bullet"/>
      <w:lvlText w:val="o"/>
      <w:lvlJc w:val="start"/>
      <w:pPr>
        <w:ind w:start="72pt" w:hanging="18pt"/>
      </w:pPr>
      <w:rPr>
        <w:rFonts w:ascii="Courier New" w:hAnsi="Courier New" w:cs="Courier New" w:hint="default"/>
      </w:rPr>
    </w:lvl>
    <w:lvl w:ilvl="2" w:tplc="A0B82CBA" w:tentative="1">
      <w:start w:val="1"/>
      <w:numFmt w:val="bullet"/>
      <w:lvlText w:val=""/>
      <w:lvlJc w:val="start"/>
      <w:pPr>
        <w:ind w:start="108pt" w:hanging="18pt"/>
      </w:pPr>
      <w:rPr>
        <w:rFonts w:ascii="Wingdings" w:hAnsi="Wingdings" w:hint="default"/>
      </w:rPr>
    </w:lvl>
    <w:lvl w:ilvl="3" w:tplc="307A361C" w:tentative="1">
      <w:start w:val="1"/>
      <w:numFmt w:val="bullet"/>
      <w:lvlText w:val=""/>
      <w:lvlJc w:val="start"/>
      <w:pPr>
        <w:ind w:start="144pt" w:hanging="18pt"/>
      </w:pPr>
      <w:rPr>
        <w:rFonts w:ascii="Symbol" w:hAnsi="Symbol" w:hint="default"/>
      </w:rPr>
    </w:lvl>
    <w:lvl w:ilvl="4" w:tplc="41C6CEE8" w:tentative="1">
      <w:start w:val="1"/>
      <w:numFmt w:val="bullet"/>
      <w:lvlText w:val="o"/>
      <w:lvlJc w:val="start"/>
      <w:pPr>
        <w:ind w:start="180pt" w:hanging="18pt"/>
      </w:pPr>
      <w:rPr>
        <w:rFonts w:ascii="Courier New" w:hAnsi="Courier New" w:cs="Courier New" w:hint="default"/>
      </w:rPr>
    </w:lvl>
    <w:lvl w:ilvl="5" w:tplc="5772464A" w:tentative="1">
      <w:start w:val="1"/>
      <w:numFmt w:val="bullet"/>
      <w:lvlText w:val=""/>
      <w:lvlJc w:val="start"/>
      <w:pPr>
        <w:ind w:start="216pt" w:hanging="18pt"/>
      </w:pPr>
      <w:rPr>
        <w:rFonts w:ascii="Wingdings" w:hAnsi="Wingdings" w:hint="default"/>
      </w:rPr>
    </w:lvl>
    <w:lvl w:ilvl="6" w:tplc="D40425E2" w:tentative="1">
      <w:start w:val="1"/>
      <w:numFmt w:val="bullet"/>
      <w:lvlText w:val=""/>
      <w:lvlJc w:val="start"/>
      <w:pPr>
        <w:ind w:start="252pt" w:hanging="18pt"/>
      </w:pPr>
      <w:rPr>
        <w:rFonts w:ascii="Symbol" w:hAnsi="Symbol" w:hint="default"/>
      </w:rPr>
    </w:lvl>
    <w:lvl w:ilvl="7" w:tplc="9BF813DA" w:tentative="1">
      <w:start w:val="1"/>
      <w:numFmt w:val="bullet"/>
      <w:lvlText w:val="o"/>
      <w:lvlJc w:val="start"/>
      <w:pPr>
        <w:ind w:start="288pt" w:hanging="18pt"/>
      </w:pPr>
      <w:rPr>
        <w:rFonts w:ascii="Courier New" w:hAnsi="Courier New" w:cs="Courier New" w:hint="default"/>
      </w:rPr>
    </w:lvl>
    <w:lvl w:ilvl="8" w:tplc="D5941884" w:tentative="1">
      <w:start w:val="1"/>
      <w:numFmt w:val="bullet"/>
      <w:lvlText w:val=""/>
      <w:lvlJc w:val="start"/>
      <w:pPr>
        <w:ind w:start="324pt" w:hanging="18pt"/>
      </w:pPr>
      <w:rPr>
        <w:rFonts w:ascii="Wingdings" w:hAnsi="Wingdings" w:hint="default"/>
      </w:rPr>
    </w:lvl>
  </w:abstractNum>
  <w:abstractNum w:abstractNumId="15" w15:restartNumberingAfterBreak="0">
    <w:nsid w:val="0898581B"/>
    <w:multiLevelType w:val="hybridMultilevel"/>
    <w:tmpl w:val="B15242CA"/>
    <w:lvl w:ilvl="0" w:tplc="3A86AF2A">
      <w:start w:val="1"/>
      <w:numFmt w:val="bullet"/>
      <w:lvlText w:val=""/>
      <w:lvlJc w:val="start"/>
      <w:pPr>
        <w:ind w:start="36pt" w:hanging="18pt"/>
      </w:pPr>
      <w:rPr>
        <w:rFonts w:ascii="Symbol" w:hAnsi="Symbol" w:hint="default"/>
      </w:rPr>
    </w:lvl>
    <w:lvl w:ilvl="1" w:tplc="4C9C60F2" w:tentative="1">
      <w:start w:val="1"/>
      <w:numFmt w:val="bullet"/>
      <w:lvlText w:val="o"/>
      <w:lvlJc w:val="start"/>
      <w:pPr>
        <w:ind w:start="72pt" w:hanging="18pt"/>
      </w:pPr>
      <w:rPr>
        <w:rFonts w:ascii="Courier New" w:hAnsi="Courier New" w:cs="Courier New" w:hint="default"/>
      </w:rPr>
    </w:lvl>
    <w:lvl w:ilvl="2" w:tplc="794E209C" w:tentative="1">
      <w:start w:val="1"/>
      <w:numFmt w:val="bullet"/>
      <w:lvlText w:val=""/>
      <w:lvlJc w:val="start"/>
      <w:pPr>
        <w:ind w:start="108pt" w:hanging="18pt"/>
      </w:pPr>
      <w:rPr>
        <w:rFonts w:ascii="Wingdings" w:hAnsi="Wingdings" w:hint="default"/>
      </w:rPr>
    </w:lvl>
    <w:lvl w:ilvl="3" w:tplc="45C627CC" w:tentative="1">
      <w:start w:val="1"/>
      <w:numFmt w:val="bullet"/>
      <w:lvlText w:val=""/>
      <w:lvlJc w:val="start"/>
      <w:pPr>
        <w:ind w:start="144pt" w:hanging="18pt"/>
      </w:pPr>
      <w:rPr>
        <w:rFonts w:ascii="Symbol" w:hAnsi="Symbol" w:hint="default"/>
      </w:rPr>
    </w:lvl>
    <w:lvl w:ilvl="4" w:tplc="41106806" w:tentative="1">
      <w:start w:val="1"/>
      <w:numFmt w:val="bullet"/>
      <w:lvlText w:val="o"/>
      <w:lvlJc w:val="start"/>
      <w:pPr>
        <w:ind w:start="180pt" w:hanging="18pt"/>
      </w:pPr>
      <w:rPr>
        <w:rFonts w:ascii="Courier New" w:hAnsi="Courier New" w:cs="Courier New" w:hint="default"/>
      </w:rPr>
    </w:lvl>
    <w:lvl w:ilvl="5" w:tplc="44EC72F4" w:tentative="1">
      <w:start w:val="1"/>
      <w:numFmt w:val="bullet"/>
      <w:lvlText w:val=""/>
      <w:lvlJc w:val="start"/>
      <w:pPr>
        <w:ind w:start="216pt" w:hanging="18pt"/>
      </w:pPr>
      <w:rPr>
        <w:rFonts w:ascii="Wingdings" w:hAnsi="Wingdings" w:hint="default"/>
      </w:rPr>
    </w:lvl>
    <w:lvl w:ilvl="6" w:tplc="83A82882" w:tentative="1">
      <w:start w:val="1"/>
      <w:numFmt w:val="bullet"/>
      <w:lvlText w:val=""/>
      <w:lvlJc w:val="start"/>
      <w:pPr>
        <w:ind w:start="252pt" w:hanging="18pt"/>
      </w:pPr>
      <w:rPr>
        <w:rFonts w:ascii="Symbol" w:hAnsi="Symbol" w:hint="default"/>
      </w:rPr>
    </w:lvl>
    <w:lvl w:ilvl="7" w:tplc="52BEBEC6" w:tentative="1">
      <w:start w:val="1"/>
      <w:numFmt w:val="bullet"/>
      <w:lvlText w:val="o"/>
      <w:lvlJc w:val="start"/>
      <w:pPr>
        <w:ind w:start="288pt" w:hanging="18pt"/>
      </w:pPr>
      <w:rPr>
        <w:rFonts w:ascii="Courier New" w:hAnsi="Courier New" w:cs="Courier New" w:hint="default"/>
      </w:rPr>
    </w:lvl>
    <w:lvl w:ilvl="8" w:tplc="2BCA648A" w:tentative="1">
      <w:start w:val="1"/>
      <w:numFmt w:val="bullet"/>
      <w:lvlText w:val=""/>
      <w:lvlJc w:val="start"/>
      <w:pPr>
        <w:ind w:start="324pt" w:hanging="18pt"/>
      </w:pPr>
      <w:rPr>
        <w:rFonts w:ascii="Wingdings" w:hAnsi="Wingdings" w:hint="default"/>
      </w:rPr>
    </w:lvl>
  </w:abstractNum>
  <w:abstractNum w:abstractNumId="16" w15:restartNumberingAfterBreak="0">
    <w:nsid w:val="09DE2DBC"/>
    <w:multiLevelType w:val="hybridMultilevel"/>
    <w:tmpl w:val="203600BC"/>
    <w:lvl w:ilvl="0" w:tplc="F2041400">
      <w:start w:val="1"/>
      <w:numFmt w:val="bullet"/>
      <w:lvlText w:val=""/>
      <w:lvlJc w:val="start"/>
      <w:pPr>
        <w:ind w:start="36pt" w:hanging="18pt"/>
      </w:pPr>
      <w:rPr>
        <w:rFonts w:ascii="Symbol" w:eastAsia="Calibri" w:hAnsi="Symbol" w:cs="Courier New" w:hint="default"/>
      </w:rPr>
    </w:lvl>
    <w:lvl w:ilvl="1" w:tplc="AC9C5FC8" w:tentative="1">
      <w:start w:val="1"/>
      <w:numFmt w:val="bullet"/>
      <w:lvlText w:val="o"/>
      <w:lvlJc w:val="start"/>
      <w:pPr>
        <w:ind w:start="72pt" w:hanging="18pt"/>
      </w:pPr>
      <w:rPr>
        <w:rFonts w:ascii="Courier New" w:hAnsi="Courier New" w:cs="Courier New" w:hint="default"/>
      </w:rPr>
    </w:lvl>
    <w:lvl w:ilvl="2" w:tplc="F0B853E6" w:tentative="1">
      <w:start w:val="1"/>
      <w:numFmt w:val="bullet"/>
      <w:lvlText w:val=""/>
      <w:lvlJc w:val="start"/>
      <w:pPr>
        <w:ind w:start="108pt" w:hanging="18pt"/>
      </w:pPr>
      <w:rPr>
        <w:rFonts w:ascii="Wingdings" w:hAnsi="Wingdings" w:hint="default"/>
      </w:rPr>
    </w:lvl>
    <w:lvl w:ilvl="3" w:tplc="22F208E4" w:tentative="1">
      <w:start w:val="1"/>
      <w:numFmt w:val="bullet"/>
      <w:lvlText w:val=""/>
      <w:lvlJc w:val="start"/>
      <w:pPr>
        <w:ind w:start="144pt" w:hanging="18pt"/>
      </w:pPr>
      <w:rPr>
        <w:rFonts w:ascii="Symbol" w:hAnsi="Symbol" w:hint="default"/>
      </w:rPr>
    </w:lvl>
    <w:lvl w:ilvl="4" w:tplc="5A22654C" w:tentative="1">
      <w:start w:val="1"/>
      <w:numFmt w:val="bullet"/>
      <w:lvlText w:val="o"/>
      <w:lvlJc w:val="start"/>
      <w:pPr>
        <w:ind w:start="180pt" w:hanging="18pt"/>
      </w:pPr>
      <w:rPr>
        <w:rFonts w:ascii="Courier New" w:hAnsi="Courier New" w:cs="Courier New" w:hint="default"/>
      </w:rPr>
    </w:lvl>
    <w:lvl w:ilvl="5" w:tplc="6D6E9C52" w:tentative="1">
      <w:start w:val="1"/>
      <w:numFmt w:val="bullet"/>
      <w:lvlText w:val=""/>
      <w:lvlJc w:val="start"/>
      <w:pPr>
        <w:ind w:start="216pt" w:hanging="18pt"/>
      </w:pPr>
      <w:rPr>
        <w:rFonts w:ascii="Wingdings" w:hAnsi="Wingdings" w:hint="default"/>
      </w:rPr>
    </w:lvl>
    <w:lvl w:ilvl="6" w:tplc="75AA7DA6" w:tentative="1">
      <w:start w:val="1"/>
      <w:numFmt w:val="bullet"/>
      <w:lvlText w:val=""/>
      <w:lvlJc w:val="start"/>
      <w:pPr>
        <w:ind w:start="252pt" w:hanging="18pt"/>
      </w:pPr>
      <w:rPr>
        <w:rFonts w:ascii="Symbol" w:hAnsi="Symbol" w:hint="default"/>
      </w:rPr>
    </w:lvl>
    <w:lvl w:ilvl="7" w:tplc="AA7E1064" w:tentative="1">
      <w:start w:val="1"/>
      <w:numFmt w:val="bullet"/>
      <w:lvlText w:val="o"/>
      <w:lvlJc w:val="start"/>
      <w:pPr>
        <w:ind w:start="288pt" w:hanging="18pt"/>
      </w:pPr>
      <w:rPr>
        <w:rFonts w:ascii="Courier New" w:hAnsi="Courier New" w:cs="Courier New" w:hint="default"/>
      </w:rPr>
    </w:lvl>
    <w:lvl w:ilvl="8" w:tplc="2A80C0C4" w:tentative="1">
      <w:start w:val="1"/>
      <w:numFmt w:val="bullet"/>
      <w:lvlText w:val=""/>
      <w:lvlJc w:val="start"/>
      <w:pPr>
        <w:ind w:start="324pt" w:hanging="18pt"/>
      </w:pPr>
      <w:rPr>
        <w:rFonts w:ascii="Wingdings" w:hAnsi="Wingdings" w:hint="default"/>
      </w:rPr>
    </w:lvl>
  </w:abstractNum>
  <w:abstractNum w:abstractNumId="17" w15:restartNumberingAfterBreak="0">
    <w:nsid w:val="0A3305DF"/>
    <w:multiLevelType w:val="hybridMultilevel"/>
    <w:tmpl w:val="EE0CD4B2"/>
    <w:lvl w:ilvl="0" w:tplc="30EAD746">
      <w:start w:val="1"/>
      <w:numFmt w:val="bullet"/>
      <w:lvlText w:val=""/>
      <w:lvlJc w:val="start"/>
      <w:pPr>
        <w:ind w:start="36pt" w:hanging="18pt"/>
      </w:pPr>
      <w:rPr>
        <w:rFonts w:ascii="Symbol" w:hAnsi="Symbol" w:hint="default"/>
      </w:rPr>
    </w:lvl>
    <w:lvl w:ilvl="1" w:tplc="1DE41294" w:tentative="1">
      <w:start w:val="1"/>
      <w:numFmt w:val="bullet"/>
      <w:lvlText w:val="o"/>
      <w:lvlJc w:val="start"/>
      <w:pPr>
        <w:ind w:start="72pt" w:hanging="18pt"/>
      </w:pPr>
      <w:rPr>
        <w:rFonts w:ascii="Courier New" w:hAnsi="Courier New" w:cs="Courier New" w:hint="default"/>
      </w:rPr>
    </w:lvl>
    <w:lvl w:ilvl="2" w:tplc="2A56B37A" w:tentative="1">
      <w:start w:val="1"/>
      <w:numFmt w:val="bullet"/>
      <w:lvlText w:val=""/>
      <w:lvlJc w:val="start"/>
      <w:pPr>
        <w:ind w:start="108pt" w:hanging="18pt"/>
      </w:pPr>
      <w:rPr>
        <w:rFonts w:ascii="Wingdings" w:hAnsi="Wingdings" w:hint="default"/>
      </w:rPr>
    </w:lvl>
    <w:lvl w:ilvl="3" w:tplc="E9422B8A" w:tentative="1">
      <w:start w:val="1"/>
      <w:numFmt w:val="bullet"/>
      <w:lvlText w:val=""/>
      <w:lvlJc w:val="start"/>
      <w:pPr>
        <w:ind w:start="144pt" w:hanging="18pt"/>
      </w:pPr>
      <w:rPr>
        <w:rFonts w:ascii="Symbol" w:hAnsi="Symbol" w:hint="default"/>
      </w:rPr>
    </w:lvl>
    <w:lvl w:ilvl="4" w:tplc="9A8A1720" w:tentative="1">
      <w:start w:val="1"/>
      <w:numFmt w:val="bullet"/>
      <w:lvlText w:val="o"/>
      <w:lvlJc w:val="start"/>
      <w:pPr>
        <w:ind w:start="180pt" w:hanging="18pt"/>
      </w:pPr>
      <w:rPr>
        <w:rFonts w:ascii="Courier New" w:hAnsi="Courier New" w:cs="Courier New" w:hint="default"/>
      </w:rPr>
    </w:lvl>
    <w:lvl w:ilvl="5" w:tplc="96F49620" w:tentative="1">
      <w:start w:val="1"/>
      <w:numFmt w:val="bullet"/>
      <w:lvlText w:val=""/>
      <w:lvlJc w:val="start"/>
      <w:pPr>
        <w:ind w:start="216pt" w:hanging="18pt"/>
      </w:pPr>
      <w:rPr>
        <w:rFonts w:ascii="Wingdings" w:hAnsi="Wingdings" w:hint="default"/>
      </w:rPr>
    </w:lvl>
    <w:lvl w:ilvl="6" w:tplc="C7C2DA7A" w:tentative="1">
      <w:start w:val="1"/>
      <w:numFmt w:val="bullet"/>
      <w:lvlText w:val=""/>
      <w:lvlJc w:val="start"/>
      <w:pPr>
        <w:ind w:start="252pt" w:hanging="18pt"/>
      </w:pPr>
      <w:rPr>
        <w:rFonts w:ascii="Symbol" w:hAnsi="Symbol" w:hint="default"/>
      </w:rPr>
    </w:lvl>
    <w:lvl w:ilvl="7" w:tplc="0420AB38" w:tentative="1">
      <w:start w:val="1"/>
      <w:numFmt w:val="bullet"/>
      <w:lvlText w:val="o"/>
      <w:lvlJc w:val="start"/>
      <w:pPr>
        <w:ind w:start="288pt" w:hanging="18pt"/>
      </w:pPr>
      <w:rPr>
        <w:rFonts w:ascii="Courier New" w:hAnsi="Courier New" w:cs="Courier New" w:hint="default"/>
      </w:rPr>
    </w:lvl>
    <w:lvl w:ilvl="8" w:tplc="33E098CA" w:tentative="1">
      <w:start w:val="1"/>
      <w:numFmt w:val="bullet"/>
      <w:lvlText w:val=""/>
      <w:lvlJc w:val="start"/>
      <w:pPr>
        <w:ind w:start="324pt" w:hanging="18pt"/>
      </w:pPr>
      <w:rPr>
        <w:rFonts w:ascii="Wingdings" w:hAnsi="Wingdings" w:hint="default"/>
      </w:rPr>
    </w:lvl>
  </w:abstractNum>
  <w:abstractNum w:abstractNumId="18" w15:restartNumberingAfterBreak="0">
    <w:nsid w:val="0A627437"/>
    <w:multiLevelType w:val="hybridMultilevel"/>
    <w:tmpl w:val="C7F4729C"/>
    <w:lvl w:ilvl="0" w:tplc="C826D078">
      <w:start w:val="1"/>
      <w:numFmt w:val="lowerLetter"/>
      <w:pStyle w:val="aOpcional"/>
      <w:lvlText w:val="%1)"/>
      <w:lvlJc w:val="start"/>
      <w:pPr>
        <w:tabs>
          <w:tab w:val="num" w:pos="19.85pt"/>
        </w:tabs>
        <w:ind w:start="19.85pt" w:hanging="19.85pt"/>
      </w:pPr>
      <w:rPr>
        <w:rFonts w:cs="Times New Roman" w:hint="default"/>
        <w:b/>
        <w:i w:val="0"/>
        <w:iCs w:val="0"/>
        <w:caps w:val="0"/>
        <w:smallCaps w:val="0"/>
        <w:strike w:val="0"/>
        <w:dstrike w:val="0"/>
        <w:vanish w:val="0"/>
        <w:spacing w:val="0"/>
        <w:kern w:val="0"/>
        <w:position w:val="0"/>
        <w:u w:val="none"/>
        <w:vertAlign w:val="baseline"/>
      </w:rPr>
    </w:lvl>
    <w:lvl w:ilvl="1" w:tplc="4860E418" w:tentative="1">
      <w:start w:val="1"/>
      <w:numFmt w:val="lowerLetter"/>
      <w:lvlText w:val="%2."/>
      <w:lvlJc w:val="start"/>
      <w:pPr>
        <w:tabs>
          <w:tab w:val="num" w:pos="69.15pt"/>
        </w:tabs>
        <w:ind w:start="69.15pt" w:hanging="18pt"/>
      </w:pPr>
      <w:rPr>
        <w:rFonts w:cs="Times New Roman"/>
      </w:rPr>
    </w:lvl>
    <w:lvl w:ilvl="2" w:tplc="170222E2" w:tentative="1">
      <w:start w:val="1"/>
      <w:numFmt w:val="lowerRoman"/>
      <w:lvlText w:val="%3."/>
      <w:lvlJc w:val="end"/>
      <w:pPr>
        <w:tabs>
          <w:tab w:val="num" w:pos="105.15pt"/>
        </w:tabs>
        <w:ind w:start="105.15pt" w:hanging="9pt"/>
      </w:pPr>
      <w:rPr>
        <w:rFonts w:cs="Times New Roman"/>
      </w:rPr>
    </w:lvl>
    <w:lvl w:ilvl="3" w:tplc="B5B437FA" w:tentative="1">
      <w:start w:val="1"/>
      <w:numFmt w:val="decimal"/>
      <w:lvlText w:val="%4."/>
      <w:lvlJc w:val="start"/>
      <w:pPr>
        <w:tabs>
          <w:tab w:val="num" w:pos="141.15pt"/>
        </w:tabs>
        <w:ind w:start="141.15pt" w:hanging="18pt"/>
      </w:pPr>
      <w:rPr>
        <w:rFonts w:cs="Times New Roman"/>
      </w:rPr>
    </w:lvl>
    <w:lvl w:ilvl="4" w:tplc="C084071E" w:tentative="1">
      <w:start w:val="1"/>
      <w:numFmt w:val="lowerLetter"/>
      <w:lvlText w:val="%5."/>
      <w:lvlJc w:val="start"/>
      <w:pPr>
        <w:tabs>
          <w:tab w:val="num" w:pos="177.15pt"/>
        </w:tabs>
        <w:ind w:start="177.15pt" w:hanging="18pt"/>
      </w:pPr>
      <w:rPr>
        <w:rFonts w:cs="Times New Roman"/>
      </w:rPr>
    </w:lvl>
    <w:lvl w:ilvl="5" w:tplc="85E2B46A" w:tentative="1">
      <w:start w:val="1"/>
      <w:numFmt w:val="lowerRoman"/>
      <w:lvlText w:val="%6."/>
      <w:lvlJc w:val="end"/>
      <w:pPr>
        <w:tabs>
          <w:tab w:val="num" w:pos="213.15pt"/>
        </w:tabs>
        <w:ind w:start="213.15pt" w:hanging="9pt"/>
      </w:pPr>
      <w:rPr>
        <w:rFonts w:cs="Times New Roman"/>
      </w:rPr>
    </w:lvl>
    <w:lvl w:ilvl="6" w:tplc="C3C870CA" w:tentative="1">
      <w:start w:val="1"/>
      <w:numFmt w:val="decimal"/>
      <w:lvlText w:val="%7."/>
      <w:lvlJc w:val="start"/>
      <w:pPr>
        <w:tabs>
          <w:tab w:val="num" w:pos="249.15pt"/>
        </w:tabs>
        <w:ind w:start="249.15pt" w:hanging="18pt"/>
      </w:pPr>
      <w:rPr>
        <w:rFonts w:cs="Times New Roman"/>
      </w:rPr>
    </w:lvl>
    <w:lvl w:ilvl="7" w:tplc="8C5AF25C" w:tentative="1">
      <w:start w:val="1"/>
      <w:numFmt w:val="lowerLetter"/>
      <w:lvlText w:val="%8."/>
      <w:lvlJc w:val="start"/>
      <w:pPr>
        <w:tabs>
          <w:tab w:val="num" w:pos="285.10pt"/>
        </w:tabs>
        <w:ind w:start="285.10pt" w:hanging="18pt"/>
      </w:pPr>
      <w:rPr>
        <w:rFonts w:cs="Times New Roman"/>
      </w:rPr>
    </w:lvl>
    <w:lvl w:ilvl="8" w:tplc="538EE936" w:tentative="1">
      <w:start w:val="1"/>
      <w:numFmt w:val="lowerRoman"/>
      <w:lvlText w:val="%9."/>
      <w:lvlJc w:val="end"/>
      <w:pPr>
        <w:tabs>
          <w:tab w:val="num" w:pos="321.10pt"/>
        </w:tabs>
        <w:ind w:start="321.10pt" w:hanging="9pt"/>
      </w:pPr>
      <w:rPr>
        <w:rFonts w:cs="Times New Roman"/>
      </w:rPr>
    </w:lvl>
  </w:abstractNum>
  <w:abstractNum w:abstractNumId="19" w15:restartNumberingAfterBreak="0">
    <w:nsid w:val="0AD240B8"/>
    <w:multiLevelType w:val="hybridMultilevel"/>
    <w:tmpl w:val="4F3CFF2C"/>
    <w:lvl w:ilvl="0" w:tplc="34120C06">
      <w:start w:val="6"/>
      <w:numFmt w:val="bullet"/>
      <w:lvlText w:val="•"/>
      <w:lvlJc w:val="start"/>
      <w:pPr>
        <w:ind w:start="39.25pt" w:hanging="18pt"/>
      </w:pPr>
      <w:rPr>
        <w:rFonts w:ascii="Century Gothic" w:eastAsia="Calibri" w:hAnsi="Century Gothic" w:cs="Arial" w:hint="default"/>
      </w:rPr>
    </w:lvl>
    <w:lvl w:ilvl="1" w:tplc="7D4E9C22" w:tentative="1">
      <w:start w:val="1"/>
      <w:numFmt w:val="bullet"/>
      <w:lvlText w:val="o"/>
      <w:lvlJc w:val="start"/>
      <w:pPr>
        <w:ind w:start="75.30pt" w:hanging="18pt"/>
      </w:pPr>
      <w:rPr>
        <w:rFonts w:ascii="Courier New" w:hAnsi="Courier New" w:cs="Courier New" w:hint="default"/>
      </w:rPr>
    </w:lvl>
    <w:lvl w:ilvl="2" w:tplc="5652F39A" w:tentative="1">
      <w:start w:val="1"/>
      <w:numFmt w:val="bullet"/>
      <w:lvlText w:val=""/>
      <w:lvlJc w:val="start"/>
      <w:pPr>
        <w:ind w:start="111.30pt" w:hanging="18pt"/>
      </w:pPr>
      <w:rPr>
        <w:rFonts w:ascii="Wingdings" w:hAnsi="Wingdings" w:hint="default"/>
      </w:rPr>
    </w:lvl>
    <w:lvl w:ilvl="3" w:tplc="F4D2AAA6" w:tentative="1">
      <w:start w:val="1"/>
      <w:numFmt w:val="bullet"/>
      <w:lvlText w:val=""/>
      <w:lvlJc w:val="start"/>
      <w:pPr>
        <w:ind w:start="147.30pt" w:hanging="18pt"/>
      </w:pPr>
      <w:rPr>
        <w:rFonts w:ascii="Symbol" w:hAnsi="Symbol" w:hint="default"/>
      </w:rPr>
    </w:lvl>
    <w:lvl w:ilvl="4" w:tplc="509A9A80" w:tentative="1">
      <w:start w:val="1"/>
      <w:numFmt w:val="bullet"/>
      <w:lvlText w:val="o"/>
      <w:lvlJc w:val="start"/>
      <w:pPr>
        <w:ind w:start="183.30pt" w:hanging="18pt"/>
      </w:pPr>
      <w:rPr>
        <w:rFonts w:ascii="Courier New" w:hAnsi="Courier New" w:cs="Courier New" w:hint="default"/>
      </w:rPr>
    </w:lvl>
    <w:lvl w:ilvl="5" w:tplc="8E3658BE" w:tentative="1">
      <w:start w:val="1"/>
      <w:numFmt w:val="bullet"/>
      <w:lvlText w:val=""/>
      <w:lvlJc w:val="start"/>
      <w:pPr>
        <w:ind w:start="219.30pt" w:hanging="18pt"/>
      </w:pPr>
      <w:rPr>
        <w:rFonts w:ascii="Wingdings" w:hAnsi="Wingdings" w:hint="default"/>
      </w:rPr>
    </w:lvl>
    <w:lvl w:ilvl="6" w:tplc="FB2C6982" w:tentative="1">
      <w:start w:val="1"/>
      <w:numFmt w:val="bullet"/>
      <w:lvlText w:val=""/>
      <w:lvlJc w:val="start"/>
      <w:pPr>
        <w:ind w:start="255.30pt" w:hanging="18pt"/>
      </w:pPr>
      <w:rPr>
        <w:rFonts w:ascii="Symbol" w:hAnsi="Symbol" w:hint="default"/>
      </w:rPr>
    </w:lvl>
    <w:lvl w:ilvl="7" w:tplc="F640AA7C" w:tentative="1">
      <w:start w:val="1"/>
      <w:numFmt w:val="bullet"/>
      <w:lvlText w:val="o"/>
      <w:lvlJc w:val="start"/>
      <w:pPr>
        <w:ind w:start="291.30pt" w:hanging="18pt"/>
      </w:pPr>
      <w:rPr>
        <w:rFonts w:ascii="Courier New" w:hAnsi="Courier New" w:cs="Courier New" w:hint="default"/>
      </w:rPr>
    </w:lvl>
    <w:lvl w:ilvl="8" w:tplc="F3A24EE6" w:tentative="1">
      <w:start w:val="1"/>
      <w:numFmt w:val="bullet"/>
      <w:lvlText w:val=""/>
      <w:lvlJc w:val="start"/>
      <w:pPr>
        <w:ind w:start="327.30pt" w:hanging="18pt"/>
      </w:pPr>
      <w:rPr>
        <w:rFonts w:ascii="Wingdings" w:hAnsi="Wingdings" w:hint="default"/>
      </w:rPr>
    </w:lvl>
  </w:abstractNum>
  <w:abstractNum w:abstractNumId="20" w15:restartNumberingAfterBreak="0">
    <w:nsid w:val="0C4903AF"/>
    <w:multiLevelType w:val="hybridMultilevel"/>
    <w:tmpl w:val="0D7496AE"/>
    <w:lvl w:ilvl="0" w:tplc="BD445E54">
      <w:start w:val="1"/>
      <w:numFmt w:val="bullet"/>
      <w:lvlText w:val=""/>
      <w:lvlJc w:val="start"/>
      <w:pPr>
        <w:ind w:start="36pt" w:hanging="18pt"/>
      </w:pPr>
      <w:rPr>
        <w:rFonts w:ascii="Symbol" w:hAnsi="Symbol" w:hint="default"/>
      </w:rPr>
    </w:lvl>
    <w:lvl w:ilvl="1" w:tplc="4926BE66" w:tentative="1">
      <w:start w:val="1"/>
      <w:numFmt w:val="bullet"/>
      <w:lvlText w:val="o"/>
      <w:lvlJc w:val="start"/>
      <w:pPr>
        <w:ind w:start="72pt" w:hanging="18pt"/>
      </w:pPr>
      <w:rPr>
        <w:rFonts w:ascii="Courier New" w:hAnsi="Courier New" w:cs="Courier New" w:hint="default"/>
      </w:rPr>
    </w:lvl>
    <w:lvl w:ilvl="2" w:tplc="DDCC553A" w:tentative="1">
      <w:start w:val="1"/>
      <w:numFmt w:val="bullet"/>
      <w:lvlText w:val=""/>
      <w:lvlJc w:val="start"/>
      <w:pPr>
        <w:ind w:start="108pt" w:hanging="18pt"/>
      </w:pPr>
      <w:rPr>
        <w:rFonts w:ascii="Wingdings" w:hAnsi="Wingdings" w:hint="default"/>
      </w:rPr>
    </w:lvl>
    <w:lvl w:ilvl="3" w:tplc="237495C0" w:tentative="1">
      <w:start w:val="1"/>
      <w:numFmt w:val="bullet"/>
      <w:lvlText w:val=""/>
      <w:lvlJc w:val="start"/>
      <w:pPr>
        <w:ind w:start="144pt" w:hanging="18pt"/>
      </w:pPr>
      <w:rPr>
        <w:rFonts w:ascii="Symbol" w:hAnsi="Symbol" w:hint="default"/>
      </w:rPr>
    </w:lvl>
    <w:lvl w:ilvl="4" w:tplc="8FB8328E" w:tentative="1">
      <w:start w:val="1"/>
      <w:numFmt w:val="bullet"/>
      <w:lvlText w:val="o"/>
      <w:lvlJc w:val="start"/>
      <w:pPr>
        <w:ind w:start="180pt" w:hanging="18pt"/>
      </w:pPr>
      <w:rPr>
        <w:rFonts w:ascii="Courier New" w:hAnsi="Courier New" w:cs="Courier New" w:hint="default"/>
      </w:rPr>
    </w:lvl>
    <w:lvl w:ilvl="5" w:tplc="C5420BDE" w:tentative="1">
      <w:start w:val="1"/>
      <w:numFmt w:val="bullet"/>
      <w:lvlText w:val=""/>
      <w:lvlJc w:val="start"/>
      <w:pPr>
        <w:ind w:start="216pt" w:hanging="18pt"/>
      </w:pPr>
      <w:rPr>
        <w:rFonts w:ascii="Wingdings" w:hAnsi="Wingdings" w:hint="default"/>
      </w:rPr>
    </w:lvl>
    <w:lvl w:ilvl="6" w:tplc="C9C6605E" w:tentative="1">
      <w:start w:val="1"/>
      <w:numFmt w:val="bullet"/>
      <w:lvlText w:val=""/>
      <w:lvlJc w:val="start"/>
      <w:pPr>
        <w:ind w:start="252pt" w:hanging="18pt"/>
      </w:pPr>
      <w:rPr>
        <w:rFonts w:ascii="Symbol" w:hAnsi="Symbol" w:hint="default"/>
      </w:rPr>
    </w:lvl>
    <w:lvl w:ilvl="7" w:tplc="66CE5B80" w:tentative="1">
      <w:start w:val="1"/>
      <w:numFmt w:val="bullet"/>
      <w:lvlText w:val="o"/>
      <w:lvlJc w:val="start"/>
      <w:pPr>
        <w:ind w:start="288pt" w:hanging="18pt"/>
      </w:pPr>
      <w:rPr>
        <w:rFonts w:ascii="Courier New" w:hAnsi="Courier New" w:cs="Courier New" w:hint="default"/>
      </w:rPr>
    </w:lvl>
    <w:lvl w:ilvl="8" w:tplc="C0BC85DC" w:tentative="1">
      <w:start w:val="1"/>
      <w:numFmt w:val="bullet"/>
      <w:lvlText w:val=""/>
      <w:lvlJc w:val="start"/>
      <w:pPr>
        <w:ind w:start="324pt" w:hanging="18pt"/>
      </w:pPr>
      <w:rPr>
        <w:rFonts w:ascii="Wingdings" w:hAnsi="Wingdings" w:hint="default"/>
      </w:rPr>
    </w:lvl>
  </w:abstractNum>
  <w:abstractNum w:abstractNumId="21" w15:restartNumberingAfterBreak="0">
    <w:nsid w:val="0C582D28"/>
    <w:multiLevelType w:val="hybridMultilevel"/>
    <w:tmpl w:val="8D7C5D4E"/>
    <w:lvl w:ilvl="0" w:tplc="9AA8C7AC">
      <w:start w:val="1"/>
      <w:numFmt w:val="decimal"/>
      <w:pStyle w:val="Titulo2"/>
      <w:lvlText w:val="6.1.%1."/>
      <w:lvlJc w:val="start"/>
      <w:pPr>
        <w:tabs>
          <w:tab w:val="num" w:pos="72pt"/>
        </w:tabs>
        <w:ind w:start="72pt" w:hanging="18pt"/>
      </w:pPr>
      <w:rPr>
        <w:rFonts w:cs="Times New Roman" w:hint="default"/>
      </w:rPr>
    </w:lvl>
    <w:lvl w:ilvl="1" w:tplc="A214666C" w:tentative="1">
      <w:start w:val="1"/>
      <w:numFmt w:val="lowerLetter"/>
      <w:lvlText w:val="%2."/>
      <w:lvlJc w:val="start"/>
      <w:pPr>
        <w:tabs>
          <w:tab w:val="num" w:pos="72pt"/>
        </w:tabs>
        <w:ind w:start="72pt" w:hanging="18pt"/>
      </w:pPr>
      <w:rPr>
        <w:rFonts w:cs="Times New Roman"/>
      </w:rPr>
    </w:lvl>
    <w:lvl w:ilvl="2" w:tplc="BC4418F2" w:tentative="1">
      <w:start w:val="1"/>
      <w:numFmt w:val="lowerRoman"/>
      <w:lvlText w:val="%3."/>
      <w:lvlJc w:val="end"/>
      <w:pPr>
        <w:tabs>
          <w:tab w:val="num" w:pos="108pt"/>
        </w:tabs>
        <w:ind w:start="108pt" w:hanging="9pt"/>
      </w:pPr>
      <w:rPr>
        <w:rFonts w:cs="Times New Roman"/>
      </w:rPr>
    </w:lvl>
    <w:lvl w:ilvl="3" w:tplc="509CFDFA" w:tentative="1">
      <w:start w:val="1"/>
      <w:numFmt w:val="decimal"/>
      <w:lvlText w:val="%4."/>
      <w:lvlJc w:val="start"/>
      <w:pPr>
        <w:tabs>
          <w:tab w:val="num" w:pos="144pt"/>
        </w:tabs>
        <w:ind w:start="144pt" w:hanging="18pt"/>
      </w:pPr>
      <w:rPr>
        <w:rFonts w:cs="Times New Roman"/>
      </w:rPr>
    </w:lvl>
    <w:lvl w:ilvl="4" w:tplc="14C41892" w:tentative="1">
      <w:start w:val="1"/>
      <w:numFmt w:val="lowerLetter"/>
      <w:lvlText w:val="%5."/>
      <w:lvlJc w:val="start"/>
      <w:pPr>
        <w:tabs>
          <w:tab w:val="num" w:pos="180pt"/>
        </w:tabs>
        <w:ind w:start="180pt" w:hanging="18pt"/>
      </w:pPr>
      <w:rPr>
        <w:rFonts w:cs="Times New Roman"/>
      </w:rPr>
    </w:lvl>
    <w:lvl w:ilvl="5" w:tplc="034E29E0" w:tentative="1">
      <w:start w:val="1"/>
      <w:numFmt w:val="lowerRoman"/>
      <w:lvlText w:val="%6."/>
      <w:lvlJc w:val="end"/>
      <w:pPr>
        <w:tabs>
          <w:tab w:val="num" w:pos="216pt"/>
        </w:tabs>
        <w:ind w:start="216pt" w:hanging="9pt"/>
      </w:pPr>
      <w:rPr>
        <w:rFonts w:cs="Times New Roman"/>
      </w:rPr>
    </w:lvl>
    <w:lvl w:ilvl="6" w:tplc="FA8687DA" w:tentative="1">
      <w:start w:val="1"/>
      <w:numFmt w:val="decimal"/>
      <w:lvlText w:val="%7."/>
      <w:lvlJc w:val="start"/>
      <w:pPr>
        <w:tabs>
          <w:tab w:val="num" w:pos="252pt"/>
        </w:tabs>
        <w:ind w:start="252pt" w:hanging="18pt"/>
      </w:pPr>
      <w:rPr>
        <w:rFonts w:cs="Times New Roman"/>
      </w:rPr>
    </w:lvl>
    <w:lvl w:ilvl="7" w:tplc="46E411D4" w:tentative="1">
      <w:start w:val="1"/>
      <w:numFmt w:val="lowerLetter"/>
      <w:lvlText w:val="%8."/>
      <w:lvlJc w:val="start"/>
      <w:pPr>
        <w:tabs>
          <w:tab w:val="num" w:pos="288pt"/>
        </w:tabs>
        <w:ind w:start="288pt" w:hanging="18pt"/>
      </w:pPr>
      <w:rPr>
        <w:rFonts w:cs="Times New Roman"/>
      </w:rPr>
    </w:lvl>
    <w:lvl w:ilvl="8" w:tplc="38B4CDD2" w:tentative="1">
      <w:start w:val="1"/>
      <w:numFmt w:val="lowerRoman"/>
      <w:lvlText w:val="%9."/>
      <w:lvlJc w:val="end"/>
      <w:pPr>
        <w:tabs>
          <w:tab w:val="num" w:pos="324pt"/>
        </w:tabs>
        <w:ind w:start="324pt" w:hanging="9pt"/>
      </w:pPr>
      <w:rPr>
        <w:rFonts w:cs="Times New Roman"/>
      </w:rPr>
    </w:lvl>
  </w:abstractNum>
  <w:abstractNum w:abstractNumId="22" w15:restartNumberingAfterBreak="0">
    <w:nsid w:val="0C693F9A"/>
    <w:multiLevelType w:val="hybridMultilevel"/>
    <w:tmpl w:val="FB1CE6D6"/>
    <w:lvl w:ilvl="0" w:tplc="297E2654">
      <w:start w:val="1"/>
      <w:numFmt w:val="lowerLetter"/>
      <w:lvlText w:val="%1)"/>
      <w:lvlJc w:val="start"/>
      <w:pPr>
        <w:ind w:start="56.70pt" w:hanging="18pt"/>
      </w:pPr>
      <w:rPr>
        <w:rFonts w:hint="default"/>
      </w:rPr>
    </w:lvl>
    <w:lvl w:ilvl="1" w:tplc="D9FC3C70" w:tentative="1">
      <w:start w:val="1"/>
      <w:numFmt w:val="lowerLetter"/>
      <w:lvlText w:val="%2."/>
      <w:lvlJc w:val="start"/>
      <w:pPr>
        <w:ind w:start="92.70pt" w:hanging="18pt"/>
      </w:pPr>
    </w:lvl>
    <w:lvl w:ilvl="2" w:tplc="1ECCCFB0" w:tentative="1">
      <w:start w:val="1"/>
      <w:numFmt w:val="lowerRoman"/>
      <w:lvlText w:val="%3."/>
      <w:lvlJc w:val="end"/>
      <w:pPr>
        <w:ind w:start="128.65pt" w:hanging="9pt"/>
      </w:pPr>
    </w:lvl>
    <w:lvl w:ilvl="3" w:tplc="2790066A" w:tentative="1">
      <w:start w:val="1"/>
      <w:numFmt w:val="decimal"/>
      <w:lvlText w:val="%4."/>
      <w:lvlJc w:val="start"/>
      <w:pPr>
        <w:ind w:start="164.65pt" w:hanging="18pt"/>
      </w:pPr>
    </w:lvl>
    <w:lvl w:ilvl="4" w:tplc="531E242A" w:tentative="1">
      <w:start w:val="1"/>
      <w:numFmt w:val="lowerLetter"/>
      <w:lvlText w:val="%5."/>
      <w:lvlJc w:val="start"/>
      <w:pPr>
        <w:ind w:start="200.70pt" w:hanging="18pt"/>
      </w:pPr>
    </w:lvl>
    <w:lvl w:ilvl="5" w:tplc="A2787FD8" w:tentative="1">
      <w:start w:val="1"/>
      <w:numFmt w:val="lowerRoman"/>
      <w:lvlText w:val="%6."/>
      <w:lvlJc w:val="end"/>
      <w:pPr>
        <w:ind w:start="236.70pt" w:hanging="9pt"/>
      </w:pPr>
    </w:lvl>
    <w:lvl w:ilvl="6" w:tplc="E9CE0F20" w:tentative="1">
      <w:start w:val="1"/>
      <w:numFmt w:val="decimal"/>
      <w:lvlText w:val="%7."/>
      <w:lvlJc w:val="start"/>
      <w:pPr>
        <w:ind w:start="272.70pt" w:hanging="18pt"/>
      </w:pPr>
    </w:lvl>
    <w:lvl w:ilvl="7" w:tplc="81E47C60" w:tentative="1">
      <w:start w:val="1"/>
      <w:numFmt w:val="lowerLetter"/>
      <w:lvlText w:val="%8."/>
      <w:lvlJc w:val="start"/>
      <w:pPr>
        <w:ind w:start="308.70pt" w:hanging="18pt"/>
      </w:pPr>
    </w:lvl>
    <w:lvl w:ilvl="8" w:tplc="FDA67B1C" w:tentative="1">
      <w:start w:val="1"/>
      <w:numFmt w:val="lowerRoman"/>
      <w:lvlText w:val="%9."/>
      <w:lvlJc w:val="end"/>
      <w:pPr>
        <w:ind w:start="344.70pt" w:hanging="9pt"/>
      </w:pPr>
    </w:lvl>
  </w:abstractNum>
  <w:abstractNum w:abstractNumId="23" w15:restartNumberingAfterBreak="0">
    <w:nsid w:val="0C86236B"/>
    <w:multiLevelType w:val="hybridMultilevel"/>
    <w:tmpl w:val="D3E80AF0"/>
    <w:lvl w:ilvl="0" w:tplc="080A0001">
      <w:start w:val="1"/>
      <w:numFmt w:val="bullet"/>
      <w:lvlText w:val=""/>
      <w:lvlJc w:val="start"/>
      <w:pPr>
        <w:ind w:start="36pt" w:hanging="18pt"/>
      </w:pPr>
      <w:rPr>
        <w:rFonts w:ascii="Symbol" w:hAnsi="Symbol" w:hint="default"/>
      </w:rPr>
    </w:lvl>
    <w:lvl w:ilvl="1" w:tplc="080A0003">
      <w:start w:val="1"/>
      <w:numFmt w:val="bullet"/>
      <w:lvlText w:val="o"/>
      <w:lvlJc w:val="start"/>
      <w:pPr>
        <w:ind w:start="72pt" w:hanging="18pt"/>
      </w:pPr>
      <w:rPr>
        <w:rFonts w:ascii="Courier New" w:hAnsi="Courier New" w:cs="Courier New" w:hint="default"/>
      </w:rPr>
    </w:lvl>
    <w:lvl w:ilvl="2" w:tplc="080A0005">
      <w:start w:val="1"/>
      <w:numFmt w:val="bullet"/>
      <w:lvlText w:val=""/>
      <w:lvlJc w:val="start"/>
      <w:pPr>
        <w:ind w:start="108pt" w:hanging="18pt"/>
      </w:pPr>
      <w:rPr>
        <w:rFonts w:ascii="Wingdings" w:hAnsi="Wingdings" w:hint="default"/>
      </w:rPr>
    </w:lvl>
    <w:lvl w:ilvl="3" w:tplc="080A0001">
      <w:start w:val="1"/>
      <w:numFmt w:val="bullet"/>
      <w:lvlText w:val=""/>
      <w:lvlJc w:val="start"/>
      <w:pPr>
        <w:ind w:start="144pt" w:hanging="18pt"/>
      </w:pPr>
      <w:rPr>
        <w:rFonts w:ascii="Symbol" w:hAnsi="Symbol" w:hint="default"/>
      </w:rPr>
    </w:lvl>
    <w:lvl w:ilvl="4" w:tplc="080A0003">
      <w:start w:val="1"/>
      <w:numFmt w:val="bullet"/>
      <w:lvlText w:val="o"/>
      <w:lvlJc w:val="start"/>
      <w:pPr>
        <w:ind w:start="180pt" w:hanging="18pt"/>
      </w:pPr>
      <w:rPr>
        <w:rFonts w:ascii="Courier New" w:hAnsi="Courier New" w:cs="Courier New" w:hint="default"/>
      </w:rPr>
    </w:lvl>
    <w:lvl w:ilvl="5" w:tplc="080A0005">
      <w:start w:val="1"/>
      <w:numFmt w:val="bullet"/>
      <w:lvlText w:val=""/>
      <w:lvlJc w:val="start"/>
      <w:pPr>
        <w:ind w:start="216pt" w:hanging="18pt"/>
      </w:pPr>
      <w:rPr>
        <w:rFonts w:ascii="Wingdings" w:hAnsi="Wingdings" w:hint="default"/>
      </w:rPr>
    </w:lvl>
    <w:lvl w:ilvl="6" w:tplc="080A0001">
      <w:start w:val="1"/>
      <w:numFmt w:val="bullet"/>
      <w:lvlText w:val=""/>
      <w:lvlJc w:val="start"/>
      <w:pPr>
        <w:ind w:start="252pt" w:hanging="18pt"/>
      </w:pPr>
      <w:rPr>
        <w:rFonts w:ascii="Symbol" w:hAnsi="Symbol" w:hint="default"/>
      </w:rPr>
    </w:lvl>
    <w:lvl w:ilvl="7" w:tplc="080A0003">
      <w:start w:val="1"/>
      <w:numFmt w:val="bullet"/>
      <w:lvlText w:val="o"/>
      <w:lvlJc w:val="start"/>
      <w:pPr>
        <w:ind w:start="288pt" w:hanging="18pt"/>
      </w:pPr>
      <w:rPr>
        <w:rFonts w:ascii="Courier New" w:hAnsi="Courier New" w:cs="Courier New" w:hint="default"/>
      </w:rPr>
    </w:lvl>
    <w:lvl w:ilvl="8" w:tplc="080A0005">
      <w:start w:val="1"/>
      <w:numFmt w:val="bullet"/>
      <w:lvlText w:val=""/>
      <w:lvlJc w:val="start"/>
      <w:pPr>
        <w:ind w:start="324pt" w:hanging="18pt"/>
      </w:pPr>
      <w:rPr>
        <w:rFonts w:ascii="Wingdings" w:hAnsi="Wingdings" w:hint="default"/>
      </w:rPr>
    </w:lvl>
  </w:abstractNum>
  <w:abstractNum w:abstractNumId="24" w15:restartNumberingAfterBreak="0">
    <w:nsid w:val="0CCB053B"/>
    <w:multiLevelType w:val="hybridMultilevel"/>
    <w:tmpl w:val="A8C04D0C"/>
    <w:lvl w:ilvl="0" w:tplc="080A0001">
      <w:start w:val="1"/>
      <w:numFmt w:val="bullet"/>
      <w:lvlText w:val=""/>
      <w:lvlJc w:val="start"/>
      <w:pPr>
        <w:ind w:start="36pt" w:hanging="18pt"/>
      </w:pPr>
      <w:rPr>
        <w:rFonts w:ascii="Symbol" w:hAnsi="Symbol" w:hint="default"/>
      </w:rPr>
    </w:lvl>
    <w:lvl w:ilvl="1" w:tplc="080A0003" w:tentative="1">
      <w:start w:val="1"/>
      <w:numFmt w:val="bullet"/>
      <w:lvlText w:val="o"/>
      <w:lvlJc w:val="start"/>
      <w:pPr>
        <w:ind w:start="72pt" w:hanging="18pt"/>
      </w:pPr>
      <w:rPr>
        <w:rFonts w:ascii="Courier New" w:hAnsi="Courier New" w:cs="Courier New" w:hint="default"/>
      </w:rPr>
    </w:lvl>
    <w:lvl w:ilvl="2" w:tplc="080A0005" w:tentative="1">
      <w:start w:val="1"/>
      <w:numFmt w:val="bullet"/>
      <w:lvlText w:val=""/>
      <w:lvlJc w:val="start"/>
      <w:pPr>
        <w:ind w:start="108pt" w:hanging="18pt"/>
      </w:pPr>
      <w:rPr>
        <w:rFonts w:ascii="Wingdings" w:hAnsi="Wingdings" w:hint="default"/>
      </w:rPr>
    </w:lvl>
    <w:lvl w:ilvl="3" w:tplc="080A0001" w:tentative="1">
      <w:start w:val="1"/>
      <w:numFmt w:val="bullet"/>
      <w:lvlText w:val=""/>
      <w:lvlJc w:val="start"/>
      <w:pPr>
        <w:ind w:start="144pt" w:hanging="18pt"/>
      </w:pPr>
      <w:rPr>
        <w:rFonts w:ascii="Symbol" w:hAnsi="Symbol" w:hint="default"/>
      </w:rPr>
    </w:lvl>
    <w:lvl w:ilvl="4" w:tplc="080A0003" w:tentative="1">
      <w:start w:val="1"/>
      <w:numFmt w:val="bullet"/>
      <w:lvlText w:val="o"/>
      <w:lvlJc w:val="start"/>
      <w:pPr>
        <w:ind w:start="180pt" w:hanging="18pt"/>
      </w:pPr>
      <w:rPr>
        <w:rFonts w:ascii="Courier New" w:hAnsi="Courier New" w:cs="Courier New" w:hint="default"/>
      </w:rPr>
    </w:lvl>
    <w:lvl w:ilvl="5" w:tplc="080A0005" w:tentative="1">
      <w:start w:val="1"/>
      <w:numFmt w:val="bullet"/>
      <w:lvlText w:val=""/>
      <w:lvlJc w:val="start"/>
      <w:pPr>
        <w:ind w:start="216pt" w:hanging="18pt"/>
      </w:pPr>
      <w:rPr>
        <w:rFonts w:ascii="Wingdings" w:hAnsi="Wingdings" w:hint="default"/>
      </w:rPr>
    </w:lvl>
    <w:lvl w:ilvl="6" w:tplc="080A0001" w:tentative="1">
      <w:start w:val="1"/>
      <w:numFmt w:val="bullet"/>
      <w:lvlText w:val=""/>
      <w:lvlJc w:val="start"/>
      <w:pPr>
        <w:ind w:start="252pt" w:hanging="18pt"/>
      </w:pPr>
      <w:rPr>
        <w:rFonts w:ascii="Symbol" w:hAnsi="Symbol" w:hint="default"/>
      </w:rPr>
    </w:lvl>
    <w:lvl w:ilvl="7" w:tplc="080A0003" w:tentative="1">
      <w:start w:val="1"/>
      <w:numFmt w:val="bullet"/>
      <w:lvlText w:val="o"/>
      <w:lvlJc w:val="start"/>
      <w:pPr>
        <w:ind w:start="288pt" w:hanging="18pt"/>
      </w:pPr>
      <w:rPr>
        <w:rFonts w:ascii="Courier New" w:hAnsi="Courier New" w:cs="Courier New" w:hint="default"/>
      </w:rPr>
    </w:lvl>
    <w:lvl w:ilvl="8" w:tplc="080A0005" w:tentative="1">
      <w:start w:val="1"/>
      <w:numFmt w:val="bullet"/>
      <w:lvlText w:val=""/>
      <w:lvlJc w:val="start"/>
      <w:pPr>
        <w:ind w:start="324pt" w:hanging="18pt"/>
      </w:pPr>
      <w:rPr>
        <w:rFonts w:ascii="Wingdings" w:hAnsi="Wingdings" w:hint="default"/>
      </w:rPr>
    </w:lvl>
  </w:abstractNum>
  <w:abstractNum w:abstractNumId="25" w15:restartNumberingAfterBreak="0">
    <w:nsid w:val="0D4E2283"/>
    <w:multiLevelType w:val="hybridMultilevel"/>
    <w:tmpl w:val="80CA2A28"/>
    <w:lvl w:ilvl="0" w:tplc="20C8DD02">
      <w:start w:val="1"/>
      <w:numFmt w:val="bullet"/>
      <w:lvlText w:val=""/>
      <w:lvlJc w:val="start"/>
      <w:pPr>
        <w:ind w:start="36pt" w:hanging="18pt"/>
      </w:pPr>
      <w:rPr>
        <w:rFonts w:ascii="Symbol" w:hAnsi="Symbol" w:hint="default"/>
      </w:rPr>
    </w:lvl>
    <w:lvl w:ilvl="1" w:tplc="0F58FFB2" w:tentative="1">
      <w:start w:val="1"/>
      <w:numFmt w:val="bullet"/>
      <w:lvlText w:val="o"/>
      <w:lvlJc w:val="start"/>
      <w:pPr>
        <w:ind w:start="72pt" w:hanging="18pt"/>
      </w:pPr>
      <w:rPr>
        <w:rFonts w:ascii="Courier New" w:hAnsi="Courier New" w:cs="Courier New" w:hint="default"/>
      </w:rPr>
    </w:lvl>
    <w:lvl w:ilvl="2" w:tplc="F470F384" w:tentative="1">
      <w:start w:val="1"/>
      <w:numFmt w:val="bullet"/>
      <w:lvlText w:val=""/>
      <w:lvlJc w:val="start"/>
      <w:pPr>
        <w:ind w:start="108pt" w:hanging="18pt"/>
      </w:pPr>
      <w:rPr>
        <w:rFonts w:ascii="Wingdings" w:hAnsi="Wingdings" w:hint="default"/>
      </w:rPr>
    </w:lvl>
    <w:lvl w:ilvl="3" w:tplc="A2D0789A" w:tentative="1">
      <w:start w:val="1"/>
      <w:numFmt w:val="bullet"/>
      <w:lvlText w:val=""/>
      <w:lvlJc w:val="start"/>
      <w:pPr>
        <w:ind w:start="144pt" w:hanging="18pt"/>
      </w:pPr>
      <w:rPr>
        <w:rFonts w:ascii="Symbol" w:hAnsi="Symbol" w:hint="default"/>
      </w:rPr>
    </w:lvl>
    <w:lvl w:ilvl="4" w:tplc="3452B07E" w:tentative="1">
      <w:start w:val="1"/>
      <w:numFmt w:val="bullet"/>
      <w:lvlText w:val="o"/>
      <w:lvlJc w:val="start"/>
      <w:pPr>
        <w:ind w:start="180pt" w:hanging="18pt"/>
      </w:pPr>
      <w:rPr>
        <w:rFonts w:ascii="Courier New" w:hAnsi="Courier New" w:cs="Courier New" w:hint="default"/>
      </w:rPr>
    </w:lvl>
    <w:lvl w:ilvl="5" w:tplc="59081678" w:tentative="1">
      <w:start w:val="1"/>
      <w:numFmt w:val="bullet"/>
      <w:lvlText w:val=""/>
      <w:lvlJc w:val="start"/>
      <w:pPr>
        <w:ind w:start="216pt" w:hanging="18pt"/>
      </w:pPr>
      <w:rPr>
        <w:rFonts w:ascii="Wingdings" w:hAnsi="Wingdings" w:hint="default"/>
      </w:rPr>
    </w:lvl>
    <w:lvl w:ilvl="6" w:tplc="4B3243C2" w:tentative="1">
      <w:start w:val="1"/>
      <w:numFmt w:val="bullet"/>
      <w:lvlText w:val=""/>
      <w:lvlJc w:val="start"/>
      <w:pPr>
        <w:ind w:start="252pt" w:hanging="18pt"/>
      </w:pPr>
      <w:rPr>
        <w:rFonts w:ascii="Symbol" w:hAnsi="Symbol" w:hint="default"/>
      </w:rPr>
    </w:lvl>
    <w:lvl w:ilvl="7" w:tplc="C01204DC" w:tentative="1">
      <w:start w:val="1"/>
      <w:numFmt w:val="bullet"/>
      <w:lvlText w:val="o"/>
      <w:lvlJc w:val="start"/>
      <w:pPr>
        <w:ind w:start="288pt" w:hanging="18pt"/>
      </w:pPr>
      <w:rPr>
        <w:rFonts w:ascii="Courier New" w:hAnsi="Courier New" w:cs="Courier New" w:hint="default"/>
      </w:rPr>
    </w:lvl>
    <w:lvl w:ilvl="8" w:tplc="EEA49ED8" w:tentative="1">
      <w:start w:val="1"/>
      <w:numFmt w:val="bullet"/>
      <w:lvlText w:val=""/>
      <w:lvlJc w:val="start"/>
      <w:pPr>
        <w:ind w:start="324pt" w:hanging="18pt"/>
      </w:pPr>
      <w:rPr>
        <w:rFonts w:ascii="Wingdings" w:hAnsi="Wingdings" w:hint="default"/>
      </w:rPr>
    </w:lvl>
  </w:abstractNum>
  <w:abstractNum w:abstractNumId="26" w15:restartNumberingAfterBreak="0">
    <w:nsid w:val="0DED62F9"/>
    <w:multiLevelType w:val="hybridMultilevel"/>
    <w:tmpl w:val="FC2839A4"/>
    <w:lvl w:ilvl="0" w:tplc="0AD611EC">
      <w:start w:val="1"/>
      <w:numFmt w:val="decimal"/>
      <w:pStyle w:val="EstiloTitulo3Negrita"/>
      <w:lvlText w:val="5.4.%1."/>
      <w:lvlJc w:val="start"/>
      <w:pPr>
        <w:tabs>
          <w:tab w:val="num" w:pos="72pt"/>
        </w:tabs>
        <w:ind w:start="72pt" w:hanging="18pt"/>
      </w:pPr>
      <w:rPr>
        <w:rFonts w:cs="Times New Roman" w:hint="default"/>
      </w:rPr>
    </w:lvl>
    <w:lvl w:ilvl="1" w:tplc="EA08D10A" w:tentative="1">
      <w:start w:val="1"/>
      <w:numFmt w:val="lowerLetter"/>
      <w:lvlText w:val="%2."/>
      <w:lvlJc w:val="start"/>
      <w:pPr>
        <w:tabs>
          <w:tab w:val="num" w:pos="72pt"/>
        </w:tabs>
        <w:ind w:start="72pt" w:hanging="18pt"/>
      </w:pPr>
      <w:rPr>
        <w:rFonts w:cs="Times New Roman"/>
      </w:rPr>
    </w:lvl>
    <w:lvl w:ilvl="2" w:tplc="2A766530" w:tentative="1">
      <w:start w:val="1"/>
      <w:numFmt w:val="lowerRoman"/>
      <w:lvlText w:val="%3."/>
      <w:lvlJc w:val="end"/>
      <w:pPr>
        <w:tabs>
          <w:tab w:val="num" w:pos="108pt"/>
        </w:tabs>
        <w:ind w:start="108pt" w:hanging="9pt"/>
      </w:pPr>
      <w:rPr>
        <w:rFonts w:cs="Times New Roman"/>
      </w:rPr>
    </w:lvl>
    <w:lvl w:ilvl="3" w:tplc="51D0EB40" w:tentative="1">
      <w:start w:val="1"/>
      <w:numFmt w:val="decimal"/>
      <w:lvlText w:val="%4."/>
      <w:lvlJc w:val="start"/>
      <w:pPr>
        <w:tabs>
          <w:tab w:val="num" w:pos="144pt"/>
        </w:tabs>
        <w:ind w:start="144pt" w:hanging="18pt"/>
      </w:pPr>
      <w:rPr>
        <w:rFonts w:cs="Times New Roman"/>
      </w:rPr>
    </w:lvl>
    <w:lvl w:ilvl="4" w:tplc="AE9E5DD2" w:tentative="1">
      <w:start w:val="1"/>
      <w:numFmt w:val="lowerLetter"/>
      <w:lvlText w:val="%5."/>
      <w:lvlJc w:val="start"/>
      <w:pPr>
        <w:tabs>
          <w:tab w:val="num" w:pos="180pt"/>
        </w:tabs>
        <w:ind w:start="180pt" w:hanging="18pt"/>
      </w:pPr>
      <w:rPr>
        <w:rFonts w:cs="Times New Roman"/>
      </w:rPr>
    </w:lvl>
    <w:lvl w:ilvl="5" w:tplc="A3E88094" w:tentative="1">
      <w:start w:val="1"/>
      <w:numFmt w:val="lowerRoman"/>
      <w:lvlText w:val="%6."/>
      <w:lvlJc w:val="end"/>
      <w:pPr>
        <w:tabs>
          <w:tab w:val="num" w:pos="216pt"/>
        </w:tabs>
        <w:ind w:start="216pt" w:hanging="9pt"/>
      </w:pPr>
      <w:rPr>
        <w:rFonts w:cs="Times New Roman"/>
      </w:rPr>
    </w:lvl>
    <w:lvl w:ilvl="6" w:tplc="2F6EEB4C" w:tentative="1">
      <w:start w:val="1"/>
      <w:numFmt w:val="decimal"/>
      <w:lvlText w:val="%7."/>
      <w:lvlJc w:val="start"/>
      <w:pPr>
        <w:tabs>
          <w:tab w:val="num" w:pos="252pt"/>
        </w:tabs>
        <w:ind w:start="252pt" w:hanging="18pt"/>
      </w:pPr>
      <w:rPr>
        <w:rFonts w:cs="Times New Roman"/>
      </w:rPr>
    </w:lvl>
    <w:lvl w:ilvl="7" w:tplc="6FB268CA" w:tentative="1">
      <w:start w:val="1"/>
      <w:numFmt w:val="lowerLetter"/>
      <w:lvlText w:val="%8."/>
      <w:lvlJc w:val="start"/>
      <w:pPr>
        <w:tabs>
          <w:tab w:val="num" w:pos="288pt"/>
        </w:tabs>
        <w:ind w:start="288pt" w:hanging="18pt"/>
      </w:pPr>
      <w:rPr>
        <w:rFonts w:cs="Times New Roman"/>
      </w:rPr>
    </w:lvl>
    <w:lvl w:ilvl="8" w:tplc="8AEE5198" w:tentative="1">
      <w:start w:val="1"/>
      <w:numFmt w:val="lowerRoman"/>
      <w:lvlText w:val="%9."/>
      <w:lvlJc w:val="end"/>
      <w:pPr>
        <w:tabs>
          <w:tab w:val="num" w:pos="324pt"/>
        </w:tabs>
        <w:ind w:start="324pt" w:hanging="9pt"/>
      </w:pPr>
      <w:rPr>
        <w:rFonts w:cs="Times New Roman"/>
      </w:rPr>
    </w:lvl>
  </w:abstractNum>
  <w:abstractNum w:abstractNumId="27" w15:restartNumberingAfterBreak="0">
    <w:nsid w:val="0EEB0845"/>
    <w:multiLevelType w:val="hybridMultilevel"/>
    <w:tmpl w:val="C562D1C6"/>
    <w:lvl w:ilvl="0" w:tplc="41363116">
      <w:start w:val="1"/>
      <w:numFmt w:val="bullet"/>
      <w:lvlText w:val=""/>
      <w:lvlJc w:val="start"/>
      <w:pPr>
        <w:ind w:start="33.85pt" w:hanging="18pt"/>
      </w:pPr>
      <w:rPr>
        <w:rFonts w:ascii="Symbol" w:hAnsi="Symbol" w:hint="default"/>
      </w:rPr>
    </w:lvl>
    <w:lvl w:ilvl="1" w:tplc="62581DFC" w:tentative="1">
      <w:start w:val="1"/>
      <w:numFmt w:val="bullet"/>
      <w:lvlText w:val="o"/>
      <w:lvlJc w:val="start"/>
      <w:pPr>
        <w:ind w:start="69.80pt" w:hanging="18pt"/>
      </w:pPr>
      <w:rPr>
        <w:rFonts w:ascii="Courier New" w:hAnsi="Courier New" w:cs="Courier New" w:hint="default"/>
      </w:rPr>
    </w:lvl>
    <w:lvl w:ilvl="2" w:tplc="CC7AF006" w:tentative="1">
      <w:start w:val="1"/>
      <w:numFmt w:val="bullet"/>
      <w:lvlText w:val=""/>
      <w:lvlJc w:val="start"/>
      <w:pPr>
        <w:ind w:start="105.85pt" w:hanging="18pt"/>
      </w:pPr>
      <w:rPr>
        <w:rFonts w:ascii="Wingdings" w:hAnsi="Wingdings" w:hint="default"/>
      </w:rPr>
    </w:lvl>
    <w:lvl w:ilvl="3" w:tplc="CB58AD24" w:tentative="1">
      <w:start w:val="1"/>
      <w:numFmt w:val="bullet"/>
      <w:lvlText w:val=""/>
      <w:lvlJc w:val="start"/>
      <w:pPr>
        <w:ind w:start="141.85pt" w:hanging="18pt"/>
      </w:pPr>
      <w:rPr>
        <w:rFonts w:ascii="Symbol" w:hAnsi="Symbol" w:hint="default"/>
      </w:rPr>
    </w:lvl>
    <w:lvl w:ilvl="4" w:tplc="DAE6373E" w:tentative="1">
      <w:start w:val="1"/>
      <w:numFmt w:val="bullet"/>
      <w:lvlText w:val="o"/>
      <w:lvlJc w:val="start"/>
      <w:pPr>
        <w:ind w:start="177.85pt" w:hanging="18pt"/>
      </w:pPr>
      <w:rPr>
        <w:rFonts w:ascii="Courier New" w:hAnsi="Courier New" w:cs="Courier New" w:hint="default"/>
      </w:rPr>
    </w:lvl>
    <w:lvl w:ilvl="5" w:tplc="98DCB842" w:tentative="1">
      <w:start w:val="1"/>
      <w:numFmt w:val="bullet"/>
      <w:lvlText w:val=""/>
      <w:lvlJc w:val="start"/>
      <w:pPr>
        <w:ind w:start="213.85pt" w:hanging="18pt"/>
      </w:pPr>
      <w:rPr>
        <w:rFonts w:ascii="Wingdings" w:hAnsi="Wingdings" w:hint="default"/>
      </w:rPr>
    </w:lvl>
    <w:lvl w:ilvl="6" w:tplc="3266DFF0" w:tentative="1">
      <w:start w:val="1"/>
      <w:numFmt w:val="bullet"/>
      <w:lvlText w:val=""/>
      <w:lvlJc w:val="start"/>
      <w:pPr>
        <w:ind w:start="249.85pt" w:hanging="18pt"/>
      </w:pPr>
      <w:rPr>
        <w:rFonts w:ascii="Symbol" w:hAnsi="Symbol" w:hint="default"/>
      </w:rPr>
    </w:lvl>
    <w:lvl w:ilvl="7" w:tplc="B762AEEC" w:tentative="1">
      <w:start w:val="1"/>
      <w:numFmt w:val="bullet"/>
      <w:lvlText w:val="o"/>
      <w:lvlJc w:val="start"/>
      <w:pPr>
        <w:ind w:start="285.85pt" w:hanging="18pt"/>
      </w:pPr>
      <w:rPr>
        <w:rFonts w:ascii="Courier New" w:hAnsi="Courier New" w:cs="Courier New" w:hint="default"/>
      </w:rPr>
    </w:lvl>
    <w:lvl w:ilvl="8" w:tplc="255221F8" w:tentative="1">
      <w:start w:val="1"/>
      <w:numFmt w:val="bullet"/>
      <w:lvlText w:val=""/>
      <w:lvlJc w:val="start"/>
      <w:pPr>
        <w:ind w:start="321.85pt" w:hanging="18pt"/>
      </w:pPr>
      <w:rPr>
        <w:rFonts w:ascii="Wingdings" w:hAnsi="Wingdings" w:hint="default"/>
      </w:rPr>
    </w:lvl>
  </w:abstractNum>
  <w:abstractNum w:abstractNumId="28" w15:restartNumberingAfterBreak="0">
    <w:nsid w:val="0F3A55B6"/>
    <w:multiLevelType w:val="hybridMultilevel"/>
    <w:tmpl w:val="E070E3E2"/>
    <w:lvl w:ilvl="0" w:tplc="080A000D">
      <w:start w:val="1"/>
      <w:numFmt w:val="bullet"/>
      <w:lvlText w:val=""/>
      <w:lvlJc w:val="start"/>
      <w:pPr>
        <w:ind w:start="36pt" w:hanging="18pt"/>
      </w:pPr>
      <w:rPr>
        <w:rFonts w:ascii="Wingdings" w:hAnsi="Wingdings" w:hint="default"/>
      </w:rPr>
    </w:lvl>
    <w:lvl w:ilvl="1" w:tplc="080A0003">
      <w:start w:val="1"/>
      <w:numFmt w:val="bullet"/>
      <w:lvlText w:val="o"/>
      <w:lvlJc w:val="start"/>
      <w:pPr>
        <w:ind w:start="72pt" w:hanging="18pt"/>
      </w:pPr>
      <w:rPr>
        <w:rFonts w:ascii="Courier New" w:hAnsi="Courier New" w:cs="Courier New" w:hint="default"/>
      </w:rPr>
    </w:lvl>
    <w:lvl w:ilvl="2" w:tplc="080A0005">
      <w:start w:val="1"/>
      <w:numFmt w:val="bullet"/>
      <w:lvlText w:val=""/>
      <w:lvlJc w:val="start"/>
      <w:pPr>
        <w:ind w:start="108pt" w:hanging="18pt"/>
      </w:pPr>
      <w:rPr>
        <w:rFonts w:ascii="Wingdings" w:hAnsi="Wingdings" w:hint="default"/>
      </w:rPr>
    </w:lvl>
    <w:lvl w:ilvl="3" w:tplc="080A0001">
      <w:start w:val="1"/>
      <w:numFmt w:val="bullet"/>
      <w:lvlText w:val=""/>
      <w:lvlJc w:val="start"/>
      <w:pPr>
        <w:ind w:start="144pt" w:hanging="18pt"/>
      </w:pPr>
      <w:rPr>
        <w:rFonts w:ascii="Symbol" w:hAnsi="Symbol" w:hint="default"/>
      </w:rPr>
    </w:lvl>
    <w:lvl w:ilvl="4" w:tplc="080A0003">
      <w:start w:val="1"/>
      <w:numFmt w:val="bullet"/>
      <w:lvlText w:val="o"/>
      <w:lvlJc w:val="start"/>
      <w:pPr>
        <w:ind w:start="180pt" w:hanging="18pt"/>
      </w:pPr>
      <w:rPr>
        <w:rFonts w:ascii="Courier New" w:hAnsi="Courier New" w:cs="Courier New" w:hint="default"/>
      </w:rPr>
    </w:lvl>
    <w:lvl w:ilvl="5" w:tplc="080A0005">
      <w:start w:val="1"/>
      <w:numFmt w:val="bullet"/>
      <w:lvlText w:val=""/>
      <w:lvlJc w:val="start"/>
      <w:pPr>
        <w:ind w:start="216pt" w:hanging="18pt"/>
      </w:pPr>
      <w:rPr>
        <w:rFonts w:ascii="Wingdings" w:hAnsi="Wingdings" w:hint="default"/>
      </w:rPr>
    </w:lvl>
    <w:lvl w:ilvl="6" w:tplc="080A0001">
      <w:start w:val="1"/>
      <w:numFmt w:val="bullet"/>
      <w:lvlText w:val=""/>
      <w:lvlJc w:val="start"/>
      <w:pPr>
        <w:ind w:start="252pt" w:hanging="18pt"/>
      </w:pPr>
      <w:rPr>
        <w:rFonts w:ascii="Symbol" w:hAnsi="Symbol" w:hint="default"/>
      </w:rPr>
    </w:lvl>
    <w:lvl w:ilvl="7" w:tplc="080A0003">
      <w:start w:val="1"/>
      <w:numFmt w:val="bullet"/>
      <w:lvlText w:val="o"/>
      <w:lvlJc w:val="start"/>
      <w:pPr>
        <w:ind w:start="288pt" w:hanging="18pt"/>
      </w:pPr>
      <w:rPr>
        <w:rFonts w:ascii="Courier New" w:hAnsi="Courier New" w:cs="Courier New" w:hint="default"/>
      </w:rPr>
    </w:lvl>
    <w:lvl w:ilvl="8" w:tplc="080A0005">
      <w:start w:val="1"/>
      <w:numFmt w:val="bullet"/>
      <w:lvlText w:val=""/>
      <w:lvlJc w:val="start"/>
      <w:pPr>
        <w:ind w:start="324pt" w:hanging="18pt"/>
      </w:pPr>
      <w:rPr>
        <w:rFonts w:ascii="Wingdings" w:hAnsi="Wingdings" w:hint="default"/>
      </w:rPr>
    </w:lvl>
  </w:abstractNum>
  <w:abstractNum w:abstractNumId="29" w15:restartNumberingAfterBreak="0">
    <w:nsid w:val="0F706FCA"/>
    <w:multiLevelType w:val="multilevel"/>
    <w:tmpl w:val="1B8C0C12"/>
    <w:styleLink w:val="Estilo1"/>
    <w:lvl w:ilvl="0">
      <w:start w:val="3"/>
      <w:numFmt w:val="decimal"/>
      <w:lvlText w:val="%1."/>
      <w:lvlJc w:val="start"/>
      <w:pPr>
        <w:ind w:start="18pt" w:hanging="18pt"/>
      </w:pPr>
      <w:rPr>
        <w:rFonts w:cs="Times New Roman" w:hint="default"/>
      </w:rPr>
    </w:lvl>
    <w:lvl w:ilvl="1">
      <w:start w:val="1"/>
      <w:numFmt w:val="decimal"/>
      <w:lvlText w:val="%1.%2."/>
      <w:lvlJc w:val="start"/>
      <w:pPr>
        <w:ind w:start="39.60pt" w:hanging="21.60pt"/>
      </w:pPr>
      <w:rPr>
        <w:rFonts w:cs="Times New Roman" w:hint="default"/>
      </w:rPr>
    </w:lvl>
    <w:lvl w:ilvl="2">
      <w:start w:val="1"/>
      <w:numFmt w:val="decimal"/>
      <w:lvlText w:val="%1.%2.%3."/>
      <w:lvlJc w:val="start"/>
      <w:pPr>
        <w:ind w:start="61.20pt" w:hanging="25.20pt"/>
      </w:pPr>
      <w:rPr>
        <w:rFonts w:cs="Times New Roman" w:hint="default"/>
      </w:rPr>
    </w:lvl>
    <w:lvl w:ilvl="3">
      <w:start w:val="1"/>
      <w:numFmt w:val="decimal"/>
      <w:lvlText w:val="%1.%2.%3.%4."/>
      <w:lvlJc w:val="start"/>
      <w:pPr>
        <w:ind w:start="86.40pt" w:hanging="32.40pt"/>
      </w:pPr>
      <w:rPr>
        <w:rFonts w:cs="Times New Roman" w:hint="default"/>
      </w:rPr>
    </w:lvl>
    <w:lvl w:ilvl="4">
      <w:start w:val="1"/>
      <w:numFmt w:val="decimal"/>
      <w:lvlText w:val="%1.%2.%3.%4.%5."/>
      <w:lvlJc w:val="start"/>
      <w:pPr>
        <w:ind w:start="111.60pt" w:hanging="39.60pt"/>
      </w:pPr>
      <w:rPr>
        <w:rFonts w:cs="Times New Roman" w:hint="default"/>
      </w:rPr>
    </w:lvl>
    <w:lvl w:ilvl="5">
      <w:start w:val="1"/>
      <w:numFmt w:val="decimal"/>
      <w:lvlText w:val="%1.%2.%3.%4.%5.%6."/>
      <w:lvlJc w:val="start"/>
      <w:pPr>
        <w:ind w:start="136.80pt" w:hanging="46.80pt"/>
      </w:pPr>
      <w:rPr>
        <w:rFonts w:cs="Times New Roman" w:hint="default"/>
      </w:rPr>
    </w:lvl>
    <w:lvl w:ilvl="6">
      <w:start w:val="1"/>
      <w:numFmt w:val="decimal"/>
      <w:lvlText w:val="%1.%2.%3.%4.%5.%6.%7."/>
      <w:lvlJc w:val="start"/>
      <w:pPr>
        <w:ind w:start="162pt" w:hanging="54pt"/>
      </w:pPr>
      <w:rPr>
        <w:rFonts w:cs="Times New Roman" w:hint="default"/>
      </w:rPr>
    </w:lvl>
    <w:lvl w:ilvl="7">
      <w:start w:val="1"/>
      <w:numFmt w:val="decimal"/>
      <w:lvlText w:val="%1.%2.%3.%4.%5.%6.%7.%8."/>
      <w:lvlJc w:val="start"/>
      <w:pPr>
        <w:ind w:start="187.20pt" w:hanging="61.20pt"/>
      </w:pPr>
      <w:rPr>
        <w:rFonts w:cs="Times New Roman" w:hint="default"/>
      </w:rPr>
    </w:lvl>
    <w:lvl w:ilvl="8">
      <w:start w:val="1"/>
      <w:numFmt w:val="decimal"/>
      <w:lvlText w:val="%1.%2.%3.%4.%5.%6.%7.%8.%9."/>
      <w:lvlJc w:val="start"/>
      <w:pPr>
        <w:ind w:start="216pt" w:hanging="72pt"/>
      </w:pPr>
      <w:rPr>
        <w:rFonts w:cs="Times New Roman" w:hint="default"/>
      </w:rPr>
    </w:lvl>
  </w:abstractNum>
  <w:abstractNum w:abstractNumId="30" w15:restartNumberingAfterBreak="0">
    <w:nsid w:val="0FA27EE3"/>
    <w:multiLevelType w:val="hybridMultilevel"/>
    <w:tmpl w:val="AA6EC408"/>
    <w:styleLink w:val="Estilo11"/>
    <w:lvl w:ilvl="0" w:tplc="F4946DEC">
      <w:start w:val="1"/>
      <w:numFmt w:val="bullet"/>
      <w:lvlText w:val=""/>
      <w:lvlJc w:val="start"/>
      <w:pPr>
        <w:ind w:start="36pt" w:hanging="18pt"/>
      </w:pPr>
      <w:rPr>
        <w:rFonts w:ascii="Symbol" w:hAnsi="Symbol" w:hint="default"/>
      </w:rPr>
    </w:lvl>
    <w:lvl w:ilvl="1" w:tplc="87A68C4C">
      <w:start w:val="1"/>
      <w:numFmt w:val="bullet"/>
      <w:lvlText w:val="o"/>
      <w:lvlJc w:val="start"/>
      <w:pPr>
        <w:ind w:start="72pt" w:hanging="18pt"/>
      </w:pPr>
      <w:rPr>
        <w:rFonts w:ascii="Courier New" w:hAnsi="Courier New" w:cs="Courier New" w:hint="default"/>
      </w:rPr>
    </w:lvl>
    <w:lvl w:ilvl="2" w:tplc="D4BCB596" w:tentative="1">
      <w:start w:val="1"/>
      <w:numFmt w:val="bullet"/>
      <w:lvlText w:val=""/>
      <w:lvlJc w:val="start"/>
      <w:pPr>
        <w:ind w:start="108pt" w:hanging="18pt"/>
      </w:pPr>
      <w:rPr>
        <w:rFonts w:ascii="Wingdings" w:hAnsi="Wingdings" w:hint="default"/>
      </w:rPr>
    </w:lvl>
    <w:lvl w:ilvl="3" w:tplc="D55A64BE" w:tentative="1">
      <w:start w:val="1"/>
      <w:numFmt w:val="bullet"/>
      <w:lvlText w:val=""/>
      <w:lvlJc w:val="start"/>
      <w:pPr>
        <w:ind w:start="144pt" w:hanging="18pt"/>
      </w:pPr>
      <w:rPr>
        <w:rFonts w:ascii="Symbol" w:hAnsi="Symbol" w:hint="default"/>
      </w:rPr>
    </w:lvl>
    <w:lvl w:ilvl="4" w:tplc="54442DEE" w:tentative="1">
      <w:start w:val="1"/>
      <w:numFmt w:val="bullet"/>
      <w:lvlText w:val="o"/>
      <w:lvlJc w:val="start"/>
      <w:pPr>
        <w:ind w:start="180pt" w:hanging="18pt"/>
      </w:pPr>
      <w:rPr>
        <w:rFonts w:ascii="Courier New" w:hAnsi="Courier New" w:cs="Courier New" w:hint="default"/>
      </w:rPr>
    </w:lvl>
    <w:lvl w:ilvl="5" w:tplc="92F8A1CC" w:tentative="1">
      <w:start w:val="1"/>
      <w:numFmt w:val="bullet"/>
      <w:lvlText w:val=""/>
      <w:lvlJc w:val="start"/>
      <w:pPr>
        <w:ind w:start="216pt" w:hanging="18pt"/>
      </w:pPr>
      <w:rPr>
        <w:rFonts w:ascii="Wingdings" w:hAnsi="Wingdings" w:hint="default"/>
      </w:rPr>
    </w:lvl>
    <w:lvl w:ilvl="6" w:tplc="976A6524" w:tentative="1">
      <w:start w:val="1"/>
      <w:numFmt w:val="bullet"/>
      <w:lvlText w:val=""/>
      <w:lvlJc w:val="start"/>
      <w:pPr>
        <w:ind w:start="252pt" w:hanging="18pt"/>
      </w:pPr>
      <w:rPr>
        <w:rFonts w:ascii="Symbol" w:hAnsi="Symbol" w:hint="default"/>
      </w:rPr>
    </w:lvl>
    <w:lvl w:ilvl="7" w:tplc="9028E7F4" w:tentative="1">
      <w:start w:val="1"/>
      <w:numFmt w:val="bullet"/>
      <w:lvlText w:val="o"/>
      <w:lvlJc w:val="start"/>
      <w:pPr>
        <w:ind w:start="288pt" w:hanging="18pt"/>
      </w:pPr>
      <w:rPr>
        <w:rFonts w:ascii="Courier New" w:hAnsi="Courier New" w:cs="Courier New" w:hint="default"/>
      </w:rPr>
    </w:lvl>
    <w:lvl w:ilvl="8" w:tplc="FDF0852A" w:tentative="1">
      <w:start w:val="1"/>
      <w:numFmt w:val="bullet"/>
      <w:lvlText w:val=""/>
      <w:lvlJc w:val="start"/>
      <w:pPr>
        <w:ind w:start="324pt" w:hanging="18pt"/>
      </w:pPr>
      <w:rPr>
        <w:rFonts w:ascii="Wingdings" w:hAnsi="Wingdings" w:hint="default"/>
      </w:rPr>
    </w:lvl>
  </w:abstractNum>
  <w:abstractNum w:abstractNumId="31" w15:restartNumberingAfterBreak="0">
    <w:nsid w:val="10F70FAE"/>
    <w:multiLevelType w:val="hybridMultilevel"/>
    <w:tmpl w:val="6D2209BA"/>
    <w:lvl w:ilvl="0" w:tplc="FA008B1C">
      <w:start w:val="1"/>
      <w:numFmt w:val="bullet"/>
      <w:lvlText w:val=""/>
      <w:lvlJc w:val="start"/>
      <w:pPr>
        <w:ind w:start="36pt" w:hanging="18pt"/>
      </w:pPr>
      <w:rPr>
        <w:rFonts w:ascii="Symbol" w:hAnsi="Symbol" w:hint="default"/>
      </w:rPr>
    </w:lvl>
    <w:lvl w:ilvl="1" w:tplc="1D50D3BC" w:tentative="1">
      <w:start w:val="1"/>
      <w:numFmt w:val="bullet"/>
      <w:lvlText w:val="o"/>
      <w:lvlJc w:val="start"/>
      <w:pPr>
        <w:ind w:start="72pt" w:hanging="18pt"/>
      </w:pPr>
      <w:rPr>
        <w:rFonts w:ascii="Courier New" w:hAnsi="Courier New" w:cs="Courier New" w:hint="default"/>
      </w:rPr>
    </w:lvl>
    <w:lvl w:ilvl="2" w:tplc="72BAA922" w:tentative="1">
      <w:start w:val="1"/>
      <w:numFmt w:val="bullet"/>
      <w:lvlText w:val=""/>
      <w:lvlJc w:val="start"/>
      <w:pPr>
        <w:ind w:start="108pt" w:hanging="18pt"/>
      </w:pPr>
      <w:rPr>
        <w:rFonts w:ascii="Wingdings" w:hAnsi="Wingdings" w:hint="default"/>
      </w:rPr>
    </w:lvl>
    <w:lvl w:ilvl="3" w:tplc="2B3AA7A4" w:tentative="1">
      <w:start w:val="1"/>
      <w:numFmt w:val="bullet"/>
      <w:lvlText w:val=""/>
      <w:lvlJc w:val="start"/>
      <w:pPr>
        <w:ind w:start="144pt" w:hanging="18pt"/>
      </w:pPr>
      <w:rPr>
        <w:rFonts w:ascii="Symbol" w:hAnsi="Symbol" w:hint="default"/>
      </w:rPr>
    </w:lvl>
    <w:lvl w:ilvl="4" w:tplc="CB08A526" w:tentative="1">
      <w:start w:val="1"/>
      <w:numFmt w:val="bullet"/>
      <w:lvlText w:val="o"/>
      <w:lvlJc w:val="start"/>
      <w:pPr>
        <w:ind w:start="180pt" w:hanging="18pt"/>
      </w:pPr>
      <w:rPr>
        <w:rFonts w:ascii="Courier New" w:hAnsi="Courier New" w:cs="Courier New" w:hint="default"/>
      </w:rPr>
    </w:lvl>
    <w:lvl w:ilvl="5" w:tplc="554CB026" w:tentative="1">
      <w:start w:val="1"/>
      <w:numFmt w:val="bullet"/>
      <w:lvlText w:val=""/>
      <w:lvlJc w:val="start"/>
      <w:pPr>
        <w:ind w:start="216pt" w:hanging="18pt"/>
      </w:pPr>
      <w:rPr>
        <w:rFonts w:ascii="Wingdings" w:hAnsi="Wingdings" w:hint="default"/>
      </w:rPr>
    </w:lvl>
    <w:lvl w:ilvl="6" w:tplc="2D50B32E" w:tentative="1">
      <w:start w:val="1"/>
      <w:numFmt w:val="bullet"/>
      <w:lvlText w:val=""/>
      <w:lvlJc w:val="start"/>
      <w:pPr>
        <w:ind w:start="252pt" w:hanging="18pt"/>
      </w:pPr>
      <w:rPr>
        <w:rFonts w:ascii="Symbol" w:hAnsi="Symbol" w:hint="default"/>
      </w:rPr>
    </w:lvl>
    <w:lvl w:ilvl="7" w:tplc="6730106A" w:tentative="1">
      <w:start w:val="1"/>
      <w:numFmt w:val="bullet"/>
      <w:lvlText w:val="o"/>
      <w:lvlJc w:val="start"/>
      <w:pPr>
        <w:ind w:start="288pt" w:hanging="18pt"/>
      </w:pPr>
      <w:rPr>
        <w:rFonts w:ascii="Courier New" w:hAnsi="Courier New" w:cs="Courier New" w:hint="default"/>
      </w:rPr>
    </w:lvl>
    <w:lvl w:ilvl="8" w:tplc="2C5048A0" w:tentative="1">
      <w:start w:val="1"/>
      <w:numFmt w:val="bullet"/>
      <w:lvlText w:val=""/>
      <w:lvlJc w:val="start"/>
      <w:pPr>
        <w:ind w:start="324pt" w:hanging="18pt"/>
      </w:pPr>
      <w:rPr>
        <w:rFonts w:ascii="Wingdings" w:hAnsi="Wingdings" w:hint="default"/>
      </w:rPr>
    </w:lvl>
  </w:abstractNum>
  <w:abstractNum w:abstractNumId="32" w15:restartNumberingAfterBreak="0">
    <w:nsid w:val="11B03D44"/>
    <w:multiLevelType w:val="hybridMultilevel"/>
    <w:tmpl w:val="358EF0FA"/>
    <w:lvl w:ilvl="0" w:tplc="7C8435B0">
      <w:start w:val="1"/>
      <w:numFmt w:val="bullet"/>
      <w:lvlText w:val=""/>
      <w:lvlJc w:val="start"/>
      <w:pPr>
        <w:ind w:start="36pt" w:hanging="18pt"/>
      </w:pPr>
      <w:rPr>
        <w:rFonts w:ascii="Symbol" w:hAnsi="Symbol" w:hint="default"/>
      </w:rPr>
    </w:lvl>
    <w:lvl w:ilvl="1" w:tplc="16A64434" w:tentative="1">
      <w:start w:val="1"/>
      <w:numFmt w:val="bullet"/>
      <w:lvlText w:val="o"/>
      <w:lvlJc w:val="start"/>
      <w:pPr>
        <w:ind w:start="72pt" w:hanging="18pt"/>
      </w:pPr>
      <w:rPr>
        <w:rFonts w:ascii="Courier New" w:hAnsi="Courier New" w:cs="Courier New" w:hint="default"/>
      </w:rPr>
    </w:lvl>
    <w:lvl w:ilvl="2" w:tplc="ED4645EC" w:tentative="1">
      <w:start w:val="1"/>
      <w:numFmt w:val="bullet"/>
      <w:lvlText w:val=""/>
      <w:lvlJc w:val="start"/>
      <w:pPr>
        <w:ind w:start="108pt" w:hanging="18pt"/>
      </w:pPr>
      <w:rPr>
        <w:rFonts w:ascii="Wingdings" w:hAnsi="Wingdings" w:hint="default"/>
      </w:rPr>
    </w:lvl>
    <w:lvl w:ilvl="3" w:tplc="E31C44B6" w:tentative="1">
      <w:start w:val="1"/>
      <w:numFmt w:val="bullet"/>
      <w:lvlText w:val=""/>
      <w:lvlJc w:val="start"/>
      <w:pPr>
        <w:ind w:start="144pt" w:hanging="18pt"/>
      </w:pPr>
      <w:rPr>
        <w:rFonts w:ascii="Symbol" w:hAnsi="Symbol" w:hint="default"/>
      </w:rPr>
    </w:lvl>
    <w:lvl w:ilvl="4" w:tplc="76F87D62" w:tentative="1">
      <w:start w:val="1"/>
      <w:numFmt w:val="bullet"/>
      <w:lvlText w:val="o"/>
      <w:lvlJc w:val="start"/>
      <w:pPr>
        <w:ind w:start="180pt" w:hanging="18pt"/>
      </w:pPr>
      <w:rPr>
        <w:rFonts w:ascii="Courier New" w:hAnsi="Courier New" w:cs="Courier New" w:hint="default"/>
      </w:rPr>
    </w:lvl>
    <w:lvl w:ilvl="5" w:tplc="7B0635F8" w:tentative="1">
      <w:start w:val="1"/>
      <w:numFmt w:val="bullet"/>
      <w:lvlText w:val=""/>
      <w:lvlJc w:val="start"/>
      <w:pPr>
        <w:ind w:start="216pt" w:hanging="18pt"/>
      </w:pPr>
      <w:rPr>
        <w:rFonts w:ascii="Wingdings" w:hAnsi="Wingdings" w:hint="default"/>
      </w:rPr>
    </w:lvl>
    <w:lvl w:ilvl="6" w:tplc="BF385364" w:tentative="1">
      <w:start w:val="1"/>
      <w:numFmt w:val="bullet"/>
      <w:lvlText w:val=""/>
      <w:lvlJc w:val="start"/>
      <w:pPr>
        <w:ind w:start="252pt" w:hanging="18pt"/>
      </w:pPr>
      <w:rPr>
        <w:rFonts w:ascii="Symbol" w:hAnsi="Symbol" w:hint="default"/>
      </w:rPr>
    </w:lvl>
    <w:lvl w:ilvl="7" w:tplc="B3E85040" w:tentative="1">
      <w:start w:val="1"/>
      <w:numFmt w:val="bullet"/>
      <w:lvlText w:val="o"/>
      <w:lvlJc w:val="start"/>
      <w:pPr>
        <w:ind w:start="288pt" w:hanging="18pt"/>
      </w:pPr>
      <w:rPr>
        <w:rFonts w:ascii="Courier New" w:hAnsi="Courier New" w:cs="Courier New" w:hint="default"/>
      </w:rPr>
    </w:lvl>
    <w:lvl w:ilvl="8" w:tplc="F732BABA" w:tentative="1">
      <w:start w:val="1"/>
      <w:numFmt w:val="bullet"/>
      <w:lvlText w:val=""/>
      <w:lvlJc w:val="start"/>
      <w:pPr>
        <w:ind w:start="324pt" w:hanging="18pt"/>
      </w:pPr>
      <w:rPr>
        <w:rFonts w:ascii="Wingdings" w:hAnsi="Wingdings" w:hint="default"/>
      </w:rPr>
    </w:lvl>
  </w:abstractNum>
  <w:abstractNum w:abstractNumId="33" w15:restartNumberingAfterBreak="0">
    <w:nsid w:val="12F752D3"/>
    <w:multiLevelType w:val="hybridMultilevel"/>
    <w:tmpl w:val="4DC042E2"/>
    <w:lvl w:ilvl="0" w:tplc="8E98E924">
      <w:start w:val="1"/>
      <w:numFmt w:val="decimal"/>
      <w:pStyle w:val="Titulo3-"/>
      <w:lvlText w:val="6.3.%1."/>
      <w:lvlJc w:val="start"/>
      <w:pPr>
        <w:tabs>
          <w:tab w:val="num" w:pos="72pt"/>
        </w:tabs>
        <w:ind w:start="72pt" w:hanging="18pt"/>
      </w:pPr>
      <w:rPr>
        <w:rFonts w:cs="Times New Roman" w:hint="default"/>
        <w:b/>
      </w:rPr>
    </w:lvl>
    <w:lvl w:ilvl="1" w:tplc="CE588758" w:tentative="1">
      <w:start w:val="1"/>
      <w:numFmt w:val="lowerLetter"/>
      <w:lvlText w:val="%2."/>
      <w:lvlJc w:val="start"/>
      <w:pPr>
        <w:tabs>
          <w:tab w:val="num" w:pos="72pt"/>
        </w:tabs>
        <w:ind w:start="72pt" w:hanging="18pt"/>
      </w:pPr>
      <w:rPr>
        <w:rFonts w:cs="Times New Roman"/>
      </w:rPr>
    </w:lvl>
    <w:lvl w:ilvl="2" w:tplc="A94C7BFE" w:tentative="1">
      <w:start w:val="1"/>
      <w:numFmt w:val="lowerRoman"/>
      <w:lvlText w:val="%3."/>
      <w:lvlJc w:val="end"/>
      <w:pPr>
        <w:tabs>
          <w:tab w:val="num" w:pos="108pt"/>
        </w:tabs>
        <w:ind w:start="108pt" w:hanging="9pt"/>
      </w:pPr>
      <w:rPr>
        <w:rFonts w:cs="Times New Roman"/>
      </w:rPr>
    </w:lvl>
    <w:lvl w:ilvl="3" w:tplc="29A4CB88" w:tentative="1">
      <w:start w:val="1"/>
      <w:numFmt w:val="decimal"/>
      <w:lvlText w:val="%4."/>
      <w:lvlJc w:val="start"/>
      <w:pPr>
        <w:tabs>
          <w:tab w:val="num" w:pos="144pt"/>
        </w:tabs>
        <w:ind w:start="144pt" w:hanging="18pt"/>
      </w:pPr>
      <w:rPr>
        <w:rFonts w:cs="Times New Roman"/>
      </w:rPr>
    </w:lvl>
    <w:lvl w:ilvl="4" w:tplc="D764B5FA" w:tentative="1">
      <w:start w:val="1"/>
      <w:numFmt w:val="lowerLetter"/>
      <w:lvlText w:val="%5."/>
      <w:lvlJc w:val="start"/>
      <w:pPr>
        <w:tabs>
          <w:tab w:val="num" w:pos="180pt"/>
        </w:tabs>
        <w:ind w:start="180pt" w:hanging="18pt"/>
      </w:pPr>
      <w:rPr>
        <w:rFonts w:cs="Times New Roman"/>
      </w:rPr>
    </w:lvl>
    <w:lvl w:ilvl="5" w:tplc="B24A5B28" w:tentative="1">
      <w:start w:val="1"/>
      <w:numFmt w:val="lowerRoman"/>
      <w:lvlText w:val="%6."/>
      <w:lvlJc w:val="end"/>
      <w:pPr>
        <w:tabs>
          <w:tab w:val="num" w:pos="216pt"/>
        </w:tabs>
        <w:ind w:start="216pt" w:hanging="9pt"/>
      </w:pPr>
      <w:rPr>
        <w:rFonts w:cs="Times New Roman"/>
      </w:rPr>
    </w:lvl>
    <w:lvl w:ilvl="6" w:tplc="9DB844F8" w:tentative="1">
      <w:start w:val="1"/>
      <w:numFmt w:val="decimal"/>
      <w:lvlText w:val="%7."/>
      <w:lvlJc w:val="start"/>
      <w:pPr>
        <w:tabs>
          <w:tab w:val="num" w:pos="252pt"/>
        </w:tabs>
        <w:ind w:start="252pt" w:hanging="18pt"/>
      </w:pPr>
      <w:rPr>
        <w:rFonts w:cs="Times New Roman"/>
      </w:rPr>
    </w:lvl>
    <w:lvl w:ilvl="7" w:tplc="2D00BD30" w:tentative="1">
      <w:start w:val="1"/>
      <w:numFmt w:val="lowerLetter"/>
      <w:lvlText w:val="%8."/>
      <w:lvlJc w:val="start"/>
      <w:pPr>
        <w:tabs>
          <w:tab w:val="num" w:pos="288pt"/>
        </w:tabs>
        <w:ind w:start="288pt" w:hanging="18pt"/>
      </w:pPr>
      <w:rPr>
        <w:rFonts w:cs="Times New Roman"/>
      </w:rPr>
    </w:lvl>
    <w:lvl w:ilvl="8" w:tplc="606475C8" w:tentative="1">
      <w:start w:val="1"/>
      <w:numFmt w:val="lowerRoman"/>
      <w:lvlText w:val="%9."/>
      <w:lvlJc w:val="end"/>
      <w:pPr>
        <w:tabs>
          <w:tab w:val="num" w:pos="324pt"/>
        </w:tabs>
        <w:ind w:start="324pt" w:hanging="9pt"/>
      </w:pPr>
      <w:rPr>
        <w:rFonts w:cs="Times New Roman"/>
      </w:rPr>
    </w:lvl>
  </w:abstractNum>
  <w:abstractNum w:abstractNumId="34" w15:restartNumberingAfterBreak="0">
    <w:nsid w:val="13C52C76"/>
    <w:multiLevelType w:val="hybridMultilevel"/>
    <w:tmpl w:val="4B5A4984"/>
    <w:lvl w:ilvl="0" w:tplc="EA1CB942">
      <w:start w:val="1"/>
      <w:numFmt w:val="bullet"/>
      <w:pStyle w:val="Bullet1ernivel"/>
      <w:lvlText w:val=""/>
      <w:lvlJc w:val="start"/>
      <w:pPr>
        <w:ind w:start="53.45pt" w:hanging="18pt"/>
      </w:pPr>
      <w:rPr>
        <w:rFonts w:ascii="Symbol" w:hAnsi="Symbol" w:hint="default"/>
      </w:rPr>
    </w:lvl>
    <w:lvl w:ilvl="1" w:tplc="BA4216AA" w:tentative="1">
      <w:start w:val="1"/>
      <w:numFmt w:val="bullet"/>
      <w:lvlText w:val="o"/>
      <w:lvlJc w:val="start"/>
      <w:pPr>
        <w:ind w:start="89.45pt" w:hanging="18pt"/>
      </w:pPr>
      <w:rPr>
        <w:rFonts w:ascii="Courier New" w:hAnsi="Courier New" w:cs="Courier New" w:hint="default"/>
      </w:rPr>
    </w:lvl>
    <w:lvl w:ilvl="2" w:tplc="EA1A9A7A" w:tentative="1">
      <w:start w:val="1"/>
      <w:numFmt w:val="bullet"/>
      <w:lvlText w:val=""/>
      <w:lvlJc w:val="start"/>
      <w:pPr>
        <w:ind w:start="125.45pt" w:hanging="18pt"/>
      </w:pPr>
      <w:rPr>
        <w:rFonts w:ascii="Wingdings" w:hAnsi="Wingdings" w:hint="default"/>
      </w:rPr>
    </w:lvl>
    <w:lvl w:ilvl="3" w:tplc="B5A89A36" w:tentative="1">
      <w:start w:val="1"/>
      <w:numFmt w:val="bullet"/>
      <w:lvlText w:val=""/>
      <w:lvlJc w:val="start"/>
      <w:pPr>
        <w:ind w:start="161.40pt" w:hanging="18pt"/>
      </w:pPr>
      <w:rPr>
        <w:rFonts w:ascii="Symbol" w:hAnsi="Symbol" w:hint="default"/>
      </w:rPr>
    </w:lvl>
    <w:lvl w:ilvl="4" w:tplc="9AB49466" w:tentative="1">
      <w:start w:val="1"/>
      <w:numFmt w:val="bullet"/>
      <w:lvlText w:val="o"/>
      <w:lvlJc w:val="start"/>
      <w:pPr>
        <w:ind w:start="197.45pt" w:hanging="18pt"/>
      </w:pPr>
      <w:rPr>
        <w:rFonts w:ascii="Courier New" w:hAnsi="Courier New" w:cs="Courier New" w:hint="default"/>
      </w:rPr>
    </w:lvl>
    <w:lvl w:ilvl="5" w:tplc="8354920A" w:tentative="1">
      <w:start w:val="1"/>
      <w:numFmt w:val="bullet"/>
      <w:lvlText w:val=""/>
      <w:lvlJc w:val="start"/>
      <w:pPr>
        <w:ind w:start="233.45pt" w:hanging="18pt"/>
      </w:pPr>
      <w:rPr>
        <w:rFonts w:ascii="Wingdings" w:hAnsi="Wingdings" w:hint="default"/>
      </w:rPr>
    </w:lvl>
    <w:lvl w:ilvl="6" w:tplc="F8BAA7C4" w:tentative="1">
      <w:start w:val="1"/>
      <w:numFmt w:val="bullet"/>
      <w:lvlText w:val=""/>
      <w:lvlJc w:val="start"/>
      <w:pPr>
        <w:ind w:start="269.45pt" w:hanging="18pt"/>
      </w:pPr>
      <w:rPr>
        <w:rFonts w:ascii="Symbol" w:hAnsi="Symbol" w:hint="default"/>
      </w:rPr>
    </w:lvl>
    <w:lvl w:ilvl="7" w:tplc="8B84C540" w:tentative="1">
      <w:start w:val="1"/>
      <w:numFmt w:val="bullet"/>
      <w:lvlText w:val="o"/>
      <w:lvlJc w:val="start"/>
      <w:pPr>
        <w:ind w:start="305.45pt" w:hanging="18pt"/>
      </w:pPr>
      <w:rPr>
        <w:rFonts w:ascii="Courier New" w:hAnsi="Courier New" w:cs="Courier New" w:hint="default"/>
      </w:rPr>
    </w:lvl>
    <w:lvl w:ilvl="8" w:tplc="9E2A2AD6" w:tentative="1">
      <w:start w:val="1"/>
      <w:numFmt w:val="bullet"/>
      <w:lvlText w:val=""/>
      <w:lvlJc w:val="start"/>
      <w:pPr>
        <w:ind w:start="341.45pt" w:hanging="18pt"/>
      </w:pPr>
      <w:rPr>
        <w:rFonts w:ascii="Wingdings" w:hAnsi="Wingdings" w:hint="default"/>
      </w:rPr>
    </w:lvl>
  </w:abstractNum>
  <w:abstractNum w:abstractNumId="35" w15:restartNumberingAfterBreak="0">
    <w:nsid w:val="13F008E6"/>
    <w:multiLevelType w:val="hybridMultilevel"/>
    <w:tmpl w:val="4458326C"/>
    <w:lvl w:ilvl="0" w:tplc="8BA24858">
      <w:start w:val="1"/>
      <w:numFmt w:val="bullet"/>
      <w:lvlText w:val=""/>
      <w:lvlJc w:val="start"/>
      <w:pPr>
        <w:ind w:start="36pt" w:hanging="18pt"/>
      </w:pPr>
      <w:rPr>
        <w:rFonts w:ascii="Symbol" w:hAnsi="Symbol" w:hint="default"/>
      </w:rPr>
    </w:lvl>
    <w:lvl w:ilvl="1" w:tplc="B6A0CE34">
      <w:start w:val="1"/>
      <w:numFmt w:val="bullet"/>
      <w:lvlText w:val="o"/>
      <w:lvlJc w:val="start"/>
      <w:pPr>
        <w:ind w:start="72pt" w:hanging="18pt"/>
      </w:pPr>
      <w:rPr>
        <w:rFonts w:ascii="Courier New" w:hAnsi="Courier New" w:cs="Courier New" w:hint="default"/>
      </w:rPr>
    </w:lvl>
    <w:lvl w:ilvl="2" w:tplc="478C4CA2">
      <w:start w:val="1"/>
      <w:numFmt w:val="bullet"/>
      <w:lvlText w:val=""/>
      <w:lvlJc w:val="start"/>
      <w:pPr>
        <w:ind w:start="108pt" w:hanging="18pt"/>
      </w:pPr>
      <w:rPr>
        <w:rFonts w:ascii="Wingdings" w:hAnsi="Wingdings" w:hint="default"/>
      </w:rPr>
    </w:lvl>
    <w:lvl w:ilvl="3" w:tplc="3FF85E9E">
      <w:start w:val="1"/>
      <w:numFmt w:val="bullet"/>
      <w:lvlText w:val=""/>
      <w:lvlJc w:val="start"/>
      <w:pPr>
        <w:ind w:start="144pt" w:hanging="18pt"/>
      </w:pPr>
      <w:rPr>
        <w:rFonts w:ascii="Symbol" w:hAnsi="Symbol" w:hint="default"/>
      </w:rPr>
    </w:lvl>
    <w:lvl w:ilvl="4" w:tplc="696A9A8E">
      <w:start w:val="1"/>
      <w:numFmt w:val="bullet"/>
      <w:lvlText w:val="o"/>
      <w:lvlJc w:val="start"/>
      <w:pPr>
        <w:ind w:start="180pt" w:hanging="18pt"/>
      </w:pPr>
      <w:rPr>
        <w:rFonts w:ascii="Courier New" w:hAnsi="Courier New" w:cs="Courier New" w:hint="default"/>
      </w:rPr>
    </w:lvl>
    <w:lvl w:ilvl="5" w:tplc="C442B15A">
      <w:start w:val="1"/>
      <w:numFmt w:val="bullet"/>
      <w:lvlText w:val=""/>
      <w:lvlJc w:val="start"/>
      <w:pPr>
        <w:ind w:start="216pt" w:hanging="18pt"/>
      </w:pPr>
      <w:rPr>
        <w:rFonts w:ascii="Wingdings" w:hAnsi="Wingdings" w:hint="default"/>
      </w:rPr>
    </w:lvl>
    <w:lvl w:ilvl="6" w:tplc="416AD562">
      <w:start w:val="1"/>
      <w:numFmt w:val="bullet"/>
      <w:lvlText w:val=""/>
      <w:lvlJc w:val="start"/>
      <w:pPr>
        <w:ind w:start="252pt" w:hanging="18pt"/>
      </w:pPr>
      <w:rPr>
        <w:rFonts w:ascii="Symbol" w:hAnsi="Symbol" w:hint="default"/>
      </w:rPr>
    </w:lvl>
    <w:lvl w:ilvl="7" w:tplc="B136DB74">
      <w:start w:val="1"/>
      <w:numFmt w:val="bullet"/>
      <w:lvlText w:val="o"/>
      <w:lvlJc w:val="start"/>
      <w:pPr>
        <w:ind w:start="288pt" w:hanging="18pt"/>
      </w:pPr>
      <w:rPr>
        <w:rFonts w:ascii="Courier New" w:hAnsi="Courier New" w:cs="Courier New" w:hint="default"/>
      </w:rPr>
    </w:lvl>
    <w:lvl w:ilvl="8" w:tplc="9D2E8C56">
      <w:start w:val="1"/>
      <w:numFmt w:val="bullet"/>
      <w:lvlText w:val=""/>
      <w:lvlJc w:val="start"/>
      <w:pPr>
        <w:ind w:start="324pt" w:hanging="18pt"/>
      </w:pPr>
      <w:rPr>
        <w:rFonts w:ascii="Wingdings" w:hAnsi="Wingdings" w:hint="default"/>
      </w:rPr>
    </w:lvl>
  </w:abstractNum>
  <w:abstractNum w:abstractNumId="36" w15:restartNumberingAfterBreak="0">
    <w:nsid w:val="144666A0"/>
    <w:multiLevelType w:val="hybridMultilevel"/>
    <w:tmpl w:val="AE5A5164"/>
    <w:lvl w:ilvl="0" w:tplc="0700FB86">
      <w:start w:val="6"/>
      <w:numFmt w:val="bullet"/>
      <w:lvlText w:val="•"/>
      <w:lvlJc w:val="start"/>
      <w:pPr>
        <w:ind w:start="36pt" w:hanging="18pt"/>
      </w:pPr>
      <w:rPr>
        <w:rFonts w:ascii="Century Gothic" w:eastAsia="Calibri" w:hAnsi="Century Gothic" w:cs="Arial" w:hint="default"/>
      </w:rPr>
    </w:lvl>
    <w:lvl w:ilvl="1" w:tplc="E8F0E7EC" w:tentative="1">
      <w:start w:val="1"/>
      <w:numFmt w:val="bullet"/>
      <w:lvlText w:val="o"/>
      <w:lvlJc w:val="start"/>
      <w:pPr>
        <w:ind w:start="72pt" w:hanging="18pt"/>
      </w:pPr>
      <w:rPr>
        <w:rFonts w:ascii="Courier New" w:hAnsi="Courier New" w:cs="Courier New" w:hint="default"/>
      </w:rPr>
    </w:lvl>
    <w:lvl w:ilvl="2" w:tplc="D126336E" w:tentative="1">
      <w:start w:val="1"/>
      <w:numFmt w:val="bullet"/>
      <w:lvlText w:val=""/>
      <w:lvlJc w:val="start"/>
      <w:pPr>
        <w:ind w:start="108pt" w:hanging="18pt"/>
      </w:pPr>
      <w:rPr>
        <w:rFonts w:ascii="Wingdings" w:hAnsi="Wingdings" w:hint="default"/>
      </w:rPr>
    </w:lvl>
    <w:lvl w:ilvl="3" w:tplc="7E1C8D92" w:tentative="1">
      <w:start w:val="1"/>
      <w:numFmt w:val="bullet"/>
      <w:lvlText w:val=""/>
      <w:lvlJc w:val="start"/>
      <w:pPr>
        <w:ind w:start="144pt" w:hanging="18pt"/>
      </w:pPr>
      <w:rPr>
        <w:rFonts w:ascii="Symbol" w:hAnsi="Symbol" w:hint="default"/>
      </w:rPr>
    </w:lvl>
    <w:lvl w:ilvl="4" w:tplc="897AAD72" w:tentative="1">
      <w:start w:val="1"/>
      <w:numFmt w:val="bullet"/>
      <w:lvlText w:val="o"/>
      <w:lvlJc w:val="start"/>
      <w:pPr>
        <w:ind w:start="180pt" w:hanging="18pt"/>
      </w:pPr>
      <w:rPr>
        <w:rFonts w:ascii="Courier New" w:hAnsi="Courier New" w:cs="Courier New" w:hint="default"/>
      </w:rPr>
    </w:lvl>
    <w:lvl w:ilvl="5" w:tplc="995CE162" w:tentative="1">
      <w:start w:val="1"/>
      <w:numFmt w:val="bullet"/>
      <w:lvlText w:val=""/>
      <w:lvlJc w:val="start"/>
      <w:pPr>
        <w:ind w:start="216pt" w:hanging="18pt"/>
      </w:pPr>
      <w:rPr>
        <w:rFonts w:ascii="Wingdings" w:hAnsi="Wingdings" w:hint="default"/>
      </w:rPr>
    </w:lvl>
    <w:lvl w:ilvl="6" w:tplc="F12A950E" w:tentative="1">
      <w:start w:val="1"/>
      <w:numFmt w:val="bullet"/>
      <w:lvlText w:val=""/>
      <w:lvlJc w:val="start"/>
      <w:pPr>
        <w:ind w:start="252pt" w:hanging="18pt"/>
      </w:pPr>
      <w:rPr>
        <w:rFonts w:ascii="Symbol" w:hAnsi="Symbol" w:hint="default"/>
      </w:rPr>
    </w:lvl>
    <w:lvl w:ilvl="7" w:tplc="D2E66B4A" w:tentative="1">
      <w:start w:val="1"/>
      <w:numFmt w:val="bullet"/>
      <w:lvlText w:val="o"/>
      <w:lvlJc w:val="start"/>
      <w:pPr>
        <w:ind w:start="288pt" w:hanging="18pt"/>
      </w:pPr>
      <w:rPr>
        <w:rFonts w:ascii="Courier New" w:hAnsi="Courier New" w:cs="Courier New" w:hint="default"/>
      </w:rPr>
    </w:lvl>
    <w:lvl w:ilvl="8" w:tplc="570035DE" w:tentative="1">
      <w:start w:val="1"/>
      <w:numFmt w:val="bullet"/>
      <w:lvlText w:val=""/>
      <w:lvlJc w:val="start"/>
      <w:pPr>
        <w:ind w:start="324pt" w:hanging="18pt"/>
      </w:pPr>
      <w:rPr>
        <w:rFonts w:ascii="Wingdings" w:hAnsi="Wingdings" w:hint="default"/>
      </w:rPr>
    </w:lvl>
  </w:abstractNum>
  <w:abstractNum w:abstractNumId="37" w15:restartNumberingAfterBreak="0">
    <w:nsid w:val="149B2A8F"/>
    <w:multiLevelType w:val="hybridMultilevel"/>
    <w:tmpl w:val="DB6AF3DA"/>
    <w:lvl w:ilvl="0" w:tplc="DEAACE60">
      <w:start w:val="6"/>
      <w:numFmt w:val="bullet"/>
      <w:lvlText w:val="•"/>
      <w:lvlJc w:val="start"/>
      <w:pPr>
        <w:ind w:start="54pt" w:hanging="18pt"/>
      </w:pPr>
      <w:rPr>
        <w:rFonts w:ascii="Century Gothic" w:eastAsia="Calibri" w:hAnsi="Century Gothic" w:cs="Arial" w:hint="default"/>
      </w:rPr>
    </w:lvl>
    <w:lvl w:ilvl="1" w:tplc="E3DA9DC2" w:tentative="1">
      <w:start w:val="1"/>
      <w:numFmt w:val="bullet"/>
      <w:lvlText w:val="o"/>
      <w:lvlJc w:val="start"/>
      <w:pPr>
        <w:ind w:start="90pt" w:hanging="18pt"/>
      </w:pPr>
      <w:rPr>
        <w:rFonts w:ascii="Courier New" w:hAnsi="Courier New" w:cs="Courier New" w:hint="default"/>
      </w:rPr>
    </w:lvl>
    <w:lvl w:ilvl="2" w:tplc="AA96DEE4" w:tentative="1">
      <w:start w:val="1"/>
      <w:numFmt w:val="bullet"/>
      <w:lvlText w:val=""/>
      <w:lvlJc w:val="start"/>
      <w:pPr>
        <w:ind w:start="126pt" w:hanging="18pt"/>
      </w:pPr>
      <w:rPr>
        <w:rFonts w:ascii="Wingdings" w:hAnsi="Wingdings" w:hint="default"/>
      </w:rPr>
    </w:lvl>
    <w:lvl w:ilvl="3" w:tplc="7340BEDA" w:tentative="1">
      <w:start w:val="1"/>
      <w:numFmt w:val="bullet"/>
      <w:lvlText w:val=""/>
      <w:lvlJc w:val="start"/>
      <w:pPr>
        <w:ind w:start="162pt" w:hanging="18pt"/>
      </w:pPr>
      <w:rPr>
        <w:rFonts w:ascii="Symbol" w:hAnsi="Symbol" w:hint="default"/>
      </w:rPr>
    </w:lvl>
    <w:lvl w:ilvl="4" w:tplc="32A2BA68" w:tentative="1">
      <w:start w:val="1"/>
      <w:numFmt w:val="bullet"/>
      <w:lvlText w:val="o"/>
      <w:lvlJc w:val="start"/>
      <w:pPr>
        <w:ind w:start="198pt" w:hanging="18pt"/>
      </w:pPr>
      <w:rPr>
        <w:rFonts w:ascii="Courier New" w:hAnsi="Courier New" w:cs="Courier New" w:hint="default"/>
      </w:rPr>
    </w:lvl>
    <w:lvl w:ilvl="5" w:tplc="9984E310" w:tentative="1">
      <w:start w:val="1"/>
      <w:numFmt w:val="bullet"/>
      <w:lvlText w:val=""/>
      <w:lvlJc w:val="start"/>
      <w:pPr>
        <w:ind w:start="234pt" w:hanging="18pt"/>
      </w:pPr>
      <w:rPr>
        <w:rFonts w:ascii="Wingdings" w:hAnsi="Wingdings" w:hint="default"/>
      </w:rPr>
    </w:lvl>
    <w:lvl w:ilvl="6" w:tplc="7F869442" w:tentative="1">
      <w:start w:val="1"/>
      <w:numFmt w:val="bullet"/>
      <w:lvlText w:val=""/>
      <w:lvlJc w:val="start"/>
      <w:pPr>
        <w:ind w:start="270pt" w:hanging="18pt"/>
      </w:pPr>
      <w:rPr>
        <w:rFonts w:ascii="Symbol" w:hAnsi="Symbol" w:hint="default"/>
      </w:rPr>
    </w:lvl>
    <w:lvl w:ilvl="7" w:tplc="1E2A98C8" w:tentative="1">
      <w:start w:val="1"/>
      <w:numFmt w:val="bullet"/>
      <w:lvlText w:val="o"/>
      <w:lvlJc w:val="start"/>
      <w:pPr>
        <w:ind w:start="306pt" w:hanging="18pt"/>
      </w:pPr>
      <w:rPr>
        <w:rFonts w:ascii="Courier New" w:hAnsi="Courier New" w:cs="Courier New" w:hint="default"/>
      </w:rPr>
    </w:lvl>
    <w:lvl w:ilvl="8" w:tplc="A3162160" w:tentative="1">
      <w:start w:val="1"/>
      <w:numFmt w:val="bullet"/>
      <w:lvlText w:val=""/>
      <w:lvlJc w:val="start"/>
      <w:pPr>
        <w:ind w:start="342pt" w:hanging="18pt"/>
      </w:pPr>
      <w:rPr>
        <w:rFonts w:ascii="Wingdings" w:hAnsi="Wingdings" w:hint="default"/>
      </w:rPr>
    </w:lvl>
  </w:abstractNum>
  <w:abstractNum w:abstractNumId="38" w15:restartNumberingAfterBreak="0">
    <w:nsid w:val="16A02BC0"/>
    <w:multiLevelType w:val="hybridMultilevel"/>
    <w:tmpl w:val="5A96B8DA"/>
    <w:lvl w:ilvl="0" w:tplc="36C6B4C6">
      <w:start w:val="6"/>
      <w:numFmt w:val="bullet"/>
      <w:lvlText w:val="•"/>
      <w:lvlJc w:val="start"/>
      <w:pPr>
        <w:ind w:start="46.35pt" w:hanging="18pt"/>
      </w:pPr>
      <w:rPr>
        <w:rFonts w:ascii="Century Gothic" w:eastAsia="Calibri" w:hAnsi="Century Gothic" w:cs="Arial" w:hint="default"/>
      </w:rPr>
    </w:lvl>
    <w:lvl w:ilvl="1" w:tplc="080A0003">
      <w:start w:val="1"/>
      <w:numFmt w:val="bullet"/>
      <w:lvlText w:val="o"/>
      <w:lvlJc w:val="start"/>
      <w:pPr>
        <w:ind w:start="82.35pt" w:hanging="18pt"/>
      </w:pPr>
      <w:rPr>
        <w:rFonts w:ascii="Courier New" w:hAnsi="Courier New" w:cs="Courier New" w:hint="default"/>
      </w:rPr>
    </w:lvl>
    <w:lvl w:ilvl="2" w:tplc="080A0005">
      <w:start w:val="1"/>
      <w:numFmt w:val="bullet"/>
      <w:lvlText w:val=""/>
      <w:lvlJc w:val="start"/>
      <w:pPr>
        <w:ind w:start="118.35pt" w:hanging="18pt"/>
      </w:pPr>
      <w:rPr>
        <w:rFonts w:ascii="Wingdings" w:hAnsi="Wingdings" w:hint="default"/>
      </w:rPr>
    </w:lvl>
    <w:lvl w:ilvl="3" w:tplc="080A0001">
      <w:start w:val="1"/>
      <w:numFmt w:val="bullet"/>
      <w:lvlText w:val=""/>
      <w:lvlJc w:val="start"/>
      <w:pPr>
        <w:ind w:start="154.35pt" w:hanging="18pt"/>
      </w:pPr>
      <w:rPr>
        <w:rFonts w:ascii="Symbol" w:hAnsi="Symbol" w:hint="default"/>
      </w:rPr>
    </w:lvl>
    <w:lvl w:ilvl="4" w:tplc="080A0003">
      <w:start w:val="1"/>
      <w:numFmt w:val="bullet"/>
      <w:lvlText w:val="o"/>
      <w:lvlJc w:val="start"/>
      <w:pPr>
        <w:ind w:start="190.35pt" w:hanging="18pt"/>
      </w:pPr>
      <w:rPr>
        <w:rFonts w:ascii="Courier New" w:hAnsi="Courier New" w:cs="Courier New" w:hint="default"/>
      </w:rPr>
    </w:lvl>
    <w:lvl w:ilvl="5" w:tplc="080A0005">
      <w:start w:val="1"/>
      <w:numFmt w:val="bullet"/>
      <w:lvlText w:val=""/>
      <w:lvlJc w:val="start"/>
      <w:pPr>
        <w:ind w:start="226.35pt" w:hanging="18pt"/>
      </w:pPr>
      <w:rPr>
        <w:rFonts w:ascii="Wingdings" w:hAnsi="Wingdings" w:hint="default"/>
      </w:rPr>
    </w:lvl>
    <w:lvl w:ilvl="6" w:tplc="080A0001">
      <w:start w:val="1"/>
      <w:numFmt w:val="bullet"/>
      <w:lvlText w:val=""/>
      <w:lvlJc w:val="start"/>
      <w:pPr>
        <w:ind w:start="262.35pt" w:hanging="18pt"/>
      </w:pPr>
      <w:rPr>
        <w:rFonts w:ascii="Symbol" w:hAnsi="Symbol" w:hint="default"/>
      </w:rPr>
    </w:lvl>
    <w:lvl w:ilvl="7" w:tplc="080A0003">
      <w:start w:val="1"/>
      <w:numFmt w:val="bullet"/>
      <w:lvlText w:val="o"/>
      <w:lvlJc w:val="start"/>
      <w:pPr>
        <w:ind w:start="298.35pt" w:hanging="18pt"/>
      </w:pPr>
      <w:rPr>
        <w:rFonts w:ascii="Courier New" w:hAnsi="Courier New" w:cs="Courier New" w:hint="default"/>
      </w:rPr>
    </w:lvl>
    <w:lvl w:ilvl="8" w:tplc="080A0005">
      <w:start w:val="1"/>
      <w:numFmt w:val="bullet"/>
      <w:lvlText w:val=""/>
      <w:lvlJc w:val="start"/>
      <w:pPr>
        <w:ind w:start="334.35pt" w:hanging="18pt"/>
      </w:pPr>
      <w:rPr>
        <w:rFonts w:ascii="Wingdings" w:hAnsi="Wingdings" w:hint="default"/>
      </w:rPr>
    </w:lvl>
  </w:abstractNum>
  <w:abstractNum w:abstractNumId="39" w15:restartNumberingAfterBreak="0">
    <w:nsid w:val="18301E50"/>
    <w:multiLevelType w:val="hybridMultilevel"/>
    <w:tmpl w:val="53DEC522"/>
    <w:lvl w:ilvl="0" w:tplc="83607AD4">
      <w:start w:val="6"/>
      <w:numFmt w:val="bullet"/>
      <w:lvlText w:val="•"/>
      <w:lvlJc w:val="start"/>
      <w:pPr>
        <w:ind w:start="39.85pt" w:hanging="18pt"/>
      </w:pPr>
      <w:rPr>
        <w:rFonts w:ascii="Century Gothic" w:eastAsia="Calibri" w:hAnsi="Century Gothic" w:cs="Arial" w:hint="default"/>
      </w:rPr>
    </w:lvl>
    <w:lvl w:ilvl="1" w:tplc="92067DD8" w:tentative="1">
      <w:start w:val="1"/>
      <w:numFmt w:val="bullet"/>
      <w:lvlText w:val="o"/>
      <w:lvlJc w:val="start"/>
      <w:pPr>
        <w:ind w:start="75.80pt" w:hanging="18pt"/>
      </w:pPr>
      <w:rPr>
        <w:rFonts w:ascii="Courier New" w:hAnsi="Courier New" w:cs="Courier New" w:hint="default"/>
      </w:rPr>
    </w:lvl>
    <w:lvl w:ilvl="2" w:tplc="663C8914" w:tentative="1">
      <w:start w:val="1"/>
      <w:numFmt w:val="bullet"/>
      <w:lvlText w:val=""/>
      <w:lvlJc w:val="start"/>
      <w:pPr>
        <w:ind w:start="111.85pt" w:hanging="18pt"/>
      </w:pPr>
      <w:rPr>
        <w:rFonts w:ascii="Wingdings" w:hAnsi="Wingdings" w:hint="default"/>
      </w:rPr>
    </w:lvl>
    <w:lvl w:ilvl="3" w:tplc="28940AF0" w:tentative="1">
      <w:start w:val="1"/>
      <w:numFmt w:val="bullet"/>
      <w:lvlText w:val=""/>
      <w:lvlJc w:val="start"/>
      <w:pPr>
        <w:ind w:start="147.85pt" w:hanging="18pt"/>
      </w:pPr>
      <w:rPr>
        <w:rFonts w:ascii="Symbol" w:hAnsi="Symbol" w:hint="default"/>
      </w:rPr>
    </w:lvl>
    <w:lvl w:ilvl="4" w:tplc="DAEAD49E" w:tentative="1">
      <w:start w:val="1"/>
      <w:numFmt w:val="bullet"/>
      <w:lvlText w:val="o"/>
      <w:lvlJc w:val="start"/>
      <w:pPr>
        <w:ind w:start="183.85pt" w:hanging="18pt"/>
      </w:pPr>
      <w:rPr>
        <w:rFonts w:ascii="Courier New" w:hAnsi="Courier New" w:cs="Courier New" w:hint="default"/>
      </w:rPr>
    </w:lvl>
    <w:lvl w:ilvl="5" w:tplc="5C5A80B0" w:tentative="1">
      <w:start w:val="1"/>
      <w:numFmt w:val="bullet"/>
      <w:lvlText w:val=""/>
      <w:lvlJc w:val="start"/>
      <w:pPr>
        <w:ind w:start="219.85pt" w:hanging="18pt"/>
      </w:pPr>
      <w:rPr>
        <w:rFonts w:ascii="Wingdings" w:hAnsi="Wingdings" w:hint="default"/>
      </w:rPr>
    </w:lvl>
    <w:lvl w:ilvl="6" w:tplc="4BA66D3A" w:tentative="1">
      <w:start w:val="1"/>
      <w:numFmt w:val="bullet"/>
      <w:lvlText w:val=""/>
      <w:lvlJc w:val="start"/>
      <w:pPr>
        <w:ind w:start="255.85pt" w:hanging="18pt"/>
      </w:pPr>
      <w:rPr>
        <w:rFonts w:ascii="Symbol" w:hAnsi="Symbol" w:hint="default"/>
      </w:rPr>
    </w:lvl>
    <w:lvl w:ilvl="7" w:tplc="D07E2440" w:tentative="1">
      <w:start w:val="1"/>
      <w:numFmt w:val="bullet"/>
      <w:lvlText w:val="o"/>
      <w:lvlJc w:val="start"/>
      <w:pPr>
        <w:ind w:start="291.85pt" w:hanging="18pt"/>
      </w:pPr>
      <w:rPr>
        <w:rFonts w:ascii="Courier New" w:hAnsi="Courier New" w:cs="Courier New" w:hint="default"/>
      </w:rPr>
    </w:lvl>
    <w:lvl w:ilvl="8" w:tplc="FCBE9D06" w:tentative="1">
      <w:start w:val="1"/>
      <w:numFmt w:val="bullet"/>
      <w:lvlText w:val=""/>
      <w:lvlJc w:val="start"/>
      <w:pPr>
        <w:ind w:start="327.85pt" w:hanging="18pt"/>
      </w:pPr>
      <w:rPr>
        <w:rFonts w:ascii="Wingdings" w:hAnsi="Wingdings" w:hint="default"/>
      </w:rPr>
    </w:lvl>
  </w:abstractNum>
  <w:abstractNum w:abstractNumId="40" w15:restartNumberingAfterBreak="0">
    <w:nsid w:val="18704340"/>
    <w:multiLevelType w:val="hybridMultilevel"/>
    <w:tmpl w:val="822A0136"/>
    <w:lvl w:ilvl="0" w:tplc="921CA7AA">
      <w:start w:val="1"/>
      <w:numFmt w:val="bullet"/>
      <w:lvlText w:val=""/>
      <w:lvlJc w:val="start"/>
      <w:pPr>
        <w:ind w:start="54pt" w:hanging="18pt"/>
      </w:pPr>
      <w:rPr>
        <w:rFonts w:ascii="Symbol" w:hAnsi="Symbol" w:hint="default"/>
      </w:rPr>
    </w:lvl>
    <w:lvl w:ilvl="1" w:tplc="B434C6E0" w:tentative="1">
      <w:start w:val="1"/>
      <w:numFmt w:val="bullet"/>
      <w:lvlText w:val="o"/>
      <w:lvlJc w:val="start"/>
      <w:pPr>
        <w:ind w:start="90pt" w:hanging="18pt"/>
      </w:pPr>
      <w:rPr>
        <w:rFonts w:ascii="Courier New" w:hAnsi="Courier New" w:cs="Courier New" w:hint="default"/>
      </w:rPr>
    </w:lvl>
    <w:lvl w:ilvl="2" w:tplc="0FE2AA64" w:tentative="1">
      <w:start w:val="1"/>
      <w:numFmt w:val="bullet"/>
      <w:lvlText w:val=""/>
      <w:lvlJc w:val="start"/>
      <w:pPr>
        <w:ind w:start="126pt" w:hanging="18pt"/>
      </w:pPr>
      <w:rPr>
        <w:rFonts w:ascii="Wingdings" w:hAnsi="Wingdings" w:hint="default"/>
      </w:rPr>
    </w:lvl>
    <w:lvl w:ilvl="3" w:tplc="6F707EE2" w:tentative="1">
      <w:start w:val="1"/>
      <w:numFmt w:val="bullet"/>
      <w:lvlText w:val=""/>
      <w:lvlJc w:val="start"/>
      <w:pPr>
        <w:ind w:start="162pt" w:hanging="18pt"/>
      </w:pPr>
      <w:rPr>
        <w:rFonts w:ascii="Symbol" w:hAnsi="Symbol" w:hint="default"/>
      </w:rPr>
    </w:lvl>
    <w:lvl w:ilvl="4" w:tplc="04906BAC" w:tentative="1">
      <w:start w:val="1"/>
      <w:numFmt w:val="bullet"/>
      <w:lvlText w:val="o"/>
      <w:lvlJc w:val="start"/>
      <w:pPr>
        <w:ind w:start="198pt" w:hanging="18pt"/>
      </w:pPr>
      <w:rPr>
        <w:rFonts w:ascii="Courier New" w:hAnsi="Courier New" w:cs="Courier New" w:hint="default"/>
      </w:rPr>
    </w:lvl>
    <w:lvl w:ilvl="5" w:tplc="14FA2AEA" w:tentative="1">
      <w:start w:val="1"/>
      <w:numFmt w:val="bullet"/>
      <w:lvlText w:val=""/>
      <w:lvlJc w:val="start"/>
      <w:pPr>
        <w:ind w:start="234pt" w:hanging="18pt"/>
      </w:pPr>
      <w:rPr>
        <w:rFonts w:ascii="Wingdings" w:hAnsi="Wingdings" w:hint="default"/>
      </w:rPr>
    </w:lvl>
    <w:lvl w:ilvl="6" w:tplc="AE6E44E4" w:tentative="1">
      <w:start w:val="1"/>
      <w:numFmt w:val="bullet"/>
      <w:lvlText w:val=""/>
      <w:lvlJc w:val="start"/>
      <w:pPr>
        <w:ind w:start="270pt" w:hanging="18pt"/>
      </w:pPr>
      <w:rPr>
        <w:rFonts w:ascii="Symbol" w:hAnsi="Symbol" w:hint="default"/>
      </w:rPr>
    </w:lvl>
    <w:lvl w:ilvl="7" w:tplc="40A8D160" w:tentative="1">
      <w:start w:val="1"/>
      <w:numFmt w:val="bullet"/>
      <w:lvlText w:val="o"/>
      <w:lvlJc w:val="start"/>
      <w:pPr>
        <w:ind w:start="306pt" w:hanging="18pt"/>
      </w:pPr>
      <w:rPr>
        <w:rFonts w:ascii="Courier New" w:hAnsi="Courier New" w:cs="Courier New" w:hint="default"/>
      </w:rPr>
    </w:lvl>
    <w:lvl w:ilvl="8" w:tplc="D6A89E4C" w:tentative="1">
      <w:start w:val="1"/>
      <w:numFmt w:val="bullet"/>
      <w:lvlText w:val=""/>
      <w:lvlJc w:val="start"/>
      <w:pPr>
        <w:ind w:start="342pt" w:hanging="18pt"/>
      </w:pPr>
      <w:rPr>
        <w:rFonts w:ascii="Wingdings" w:hAnsi="Wingdings" w:hint="default"/>
      </w:rPr>
    </w:lvl>
  </w:abstractNum>
  <w:abstractNum w:abstractNumId="41" w15:restartNumberingAfterBreak="0">
    <w:nsid w:val="18CC0D76"/>
    <w:multiLevelType w:val="hybridMultilevel"/>
    <w:tmpl w:val="2FAA0266"/>
    <w:lvl w:ilvl="0" w:tplc="36C6B4C6">
      <w:start w:val="6"/>
      <w:numFmt w:val="bullet"/>
      <w:lvlText w:val="•"/>
      <w:lvlJc w:val="start"/>
      <w:pPr>
        <w:ind w:start="36pt" w:hanging="18pt"/>
      </w:pPr>
      <w:rPr>
        <w:rFonts w:ascii="Century Gothic" w:eastAsia="Calibri" w:hAnsi="Century Gothic" w:cs="Arial" w:hint="default"/>
      </w:rPr>
    </w:lvl>
    <w:lvl w:ilvl="1" w:tplc="080A0003">
      <w:start w:val="1"/>
      <w:numFmt w:val="bullet"/>
      <w:lvlText w:val="o"/>
      <w:lvlJc w:val="start"/>
      <w:pPr>
        <w:ind w:start="72pt" w:hanging="18pt"/>
      </w:pPr>
      <w:rPr>
        <w:rFonts w:ascii="Courier New" w:hAnsi="Courier New" w:cs="Courier New" w:hint="default"/>
      </w:rPr>
    </w:lvl>
    <w:lvl w:ilvl="2" w:tplc="080A0005">
      <w:start w:val="1"/>
      <w:numFmt w:val="bullet"/>
      <w:lvlText w:val=""/>
      <w:lvlJc w:val="start"/>
      <w:pPr>
        <w:ind w:start="108pt" w:hanging="18pt"/>
      </w:pPr>
      <w:rPr>
        <w:rFonts w:ascii="Wingdings" w:hAnsi="Wingdings" w:hint="default"/>
      </w:rPr>
    </w:lvl>
    <w:lvl w:ilvl="3" w:tplc="080A0001">
      <w:start w:val="1"/>
      <w:numFmt w:val="bullet"/>
      <w:lvlText w:val=""/>
      <w:lvlJc w:val="start"/>
      <w:pPr>
        <w:ind w:start="144pt" w:hanging="18pt"/>
      </w:pPr>
      <w:rPr>
        <w:rFonts w:ascii="Symbol" w:hAnsi="Symbol" w:hint="default"/>
      </w:rPr>
    </w:lvl>
    <w:lvl w:ilvl="4" w:tplc="080A0003">
      <w:start w:val="1"/>
      <w:numFmt w:val="bullet"/>
      <w:lvlText w:val="o"/>
      <w:lvlJc w:val="start"/>
      <w:pPr>
        <w:ind w:start="180pt" w:hanging="18pt"/>
      </w:pPr>
      <w:rPr>
        <w:rFonts w:ascii="Courier New" w:hAnsi="Courier New" w:cs="Courier New" w:hint="default"/>
      </w:rPr>
    </w:lvl>
    <w:lvl w:ilvl="5" w:tplc="080A0005">
      <w:start w:val="1"/>
      <w:numFmt w:val="bullet"/>
      <w:lvlText w:val=""/>
      <w:lvlJc w:val="start"/>
      <w:pPr>
        <w:ind w:start="216pt" w:hanging="18pt"/>
      </w:pPr>
      <w:rPr>
        <w:rFonts w:ascii="Wingdings" w:hAnsi="Wingdings" w:hint="default"/>
      </w:rPr>
    </w:lvl>
    <w:lvl w:ilvl="6" w:tplc="080A0001">
      <w:start w:val="1"/>
      <w:numFmt w:val="bullet"/>
      <w:lvlText w:val=""/>
      <w:lvlJc w:val="start"/>
      <w:pPr>
        <w:ind w:start="252pt" w:hanging="18pt"/>
      </w:pPr>
      <w:rPr>
        <w:rFonts w:ascii="Symbol" w:hAnsi="Symbol" w:hint="default"/>
      </w:rPr>
    </w:lvl>
    <w:lvl w:ilvl="7" w:tplc="080A0003">
      <w:start w:val="1"/>
      <w:numFmt w:val="bullet"/>
      <w:lvlText w:val="o"/>
      <w:lvlJc w:val="start"/>
      <w:pPr>
        <w:ind w:start="288pt" w:hanging="18pt"/>
      </w:pPr>
      <w:rPr>
        <w:rFonts w:ascii="Courier New" w:hAnsi="Courier New" w:cs="Courier New" w:hint="default"/>
      </w:rPr>
    </w:lvl>
    <w:lvl w:ilvl="8" w:tplc="080A0005">
      <w:start w:val="1"/>
      <w:numFmt w:val="bullet"/>
      <w:lvlText w:val=""/>
      <w:lvlJc w:val="start"/>
      <w:pPr>
        <w:ind w:start="324pt" w:hanging="18pt"/>
      </w:pPr>
      <w:rPr>
        <w:rFonts w:ascii="Wingdings" w:hAnsi="Wingdings" w:hint="default"/>
      </w:rPr>
    </w:lvl>
  </w:abstractNum>
  <w:abstractNum w:abstractNumId="42" w15:restartNumberingAfterBreak="0">
    <w:nsid w:val="193C53A1"/>
    <w:multiLevelType w:val="hybridMultilevel"/>
    <w:tmpl w:val="C2442688"/>
    <w:lvl w:ilvl="0" w:tplc="BED0A6C6">
      <w:start w:val="1"/>
      <w:numFmt w:val="bullet"/>
      <w:lvlText w:val=""/>
      <w:lvlJc w:val="start"/>
      <w:pPr>
        <w:ind w:start="54pt" w:hanging="18pt"/>
      </w:pPr>
      <w:rPr>
        <w:rFonts w:ascii="Symbol" w:hAnsi="Symbol" w:hint="default"/>
      </w:rPr>
    </w:lvl>
    <w:lvl w:ilvl="1" w:tplc="780CCC86">
      <w:start w:val="1"/>
      <w:numFmt w:val="bullet"/>
      <w:lvlText w:val="o"/>
      <w:lvlJc w:val="start"/>
      <w:pPr>
        <w:ind w:start="90pt" w:hanging="18pt"/>
      </w:pPr>
      <w:rPr>
        <w:rFonts w:ascii="Courier New" w:hAnsi="Courier New" w:cs="Courier New" w:hint="default"/>
      </w:rPr>
    </w:lvl>
    <w:lvl w:ilvl="2" w:tplc="BDFC13AA">
      <w:start w:val="1"/>
      <w:numFmt w:val="bullet"/>
      <w:lvlText w:val=""/>
      <w:lvlJc w:val="start"/>
      <w:pPr>
        <w:ind w:start="126pt" w:hanging="18pt"/>
      </w:pPr>
      <w:rPr>
        <w:rFonts w:ascii="Wingdings" w:hAnsi="Wingdings" w:hint="default"/>
      </w:rPr>
    </w:lvl>
    <w:lvl w:ilvl="3" w:tplc="A1467410">
      <w:start w:val="1"/>
      <w:numFmt w:val="bullet"/>
      <w:lvlText w:val=""/>
      <w:lvlJc w:val="start"/>
      <w:pPr>
        <w:ind w:start="162pt" w:hanging="18pt"/>
      </w:pPr>
      <w:rPr>
        <w:rFonts w:ascii="Symbol" w:hAnsi="Symbol" w:hint="default"/>
      </w:rPr>
    </w:lvl>
    <w:lvl w:ilvl="4" w:tplc="F6E8C1A6">
      <w:start w:val="1"/>
      <w:numFmt w:val="bullet"/>
      <w:lvlText w:val="o"/>
      <w:lvlJc w:val="start"/>
      <w:pPr>
        <w:ind w:start="198pt" w:hanging="18pt"/>
      </w:pPr>
      <w:rPr>
        <w:rFonts w:ascii="Courier New" w:hAnsi="Courier New" w:cs="Courier New" w:hint="default"/>
      </w:rPr>
    </w:lvl>
    <w:lvl w:ilvl="5" w:tplc="86EED564">
      <w:start w:val="1"/>
      <w:numFmt w:val="bullet"/>
      <w:lvlText w:val=""/>
      <w:lvlJc w:val="start"/>
      <w:pPr>
        <w:ind w:start="234pt" w:hanging="18pt"/>
      </w:pPr>
      <w:rPr>
        <w:rFonts w:ascii="Wingdings" w:hAnsi="Wingdings" w:hint="default"/>
      </w:rPr>
    </w:lvl>
    <w:lvl w:ilvl="6" w:tplc="EBEC4908">
      <w:start w:val="1"/>
      <w:numFmt w:val="bullet"/>
      <w:lvlText w:val=""/>
      <w:lvlJc w:val="start"/>
      <w:pPr>
        <w:ind w:start="270pt" w:hanging="18pt"/>
      </w:pPr>
      <w:rPr>
        <w:rFonts w:ascii="Symbol" w:hAnsi="Symbol" w:hint="default"/>
      </w:rPr>
    </w:lvl>
    <w:lvl w:ilvl="7" w:tplc="2D4AC552">
      <w:start w:val="1"/>
      <w:numFmt w:val="bullet"/>
      <w:lvlText w:val="o"/>
      <w:lvlJc w:val="start"/>
      <w:pPr>
        <w:ind w:start="306pt" w:hanging="18pt"/>
      </w:pPr>
      <w:rPr>
        <w:rFonts w:ascii="Courier New" w:hAnsi="Courier New" w:cs="Courier New" w:hint="default"/>
      </w:rPr>
    </w:lvl>
    <w:lvl w:ilvl="8" w:tplc="78222F30">
      <w:start w:val="1"/>
      <w:numFmt w:val="bullet"/>
      <w:lvlText w:val=""/>
      <w:lvlJc w:val="start"/>
      <w:pPr>
        <w:ind w:start="342pt" w:hanging="18pt"/>
      </w:pPr>
      <w:rPr>
        <w:rFonts w:ascii="Wingdings" w:hAnsi="Wingdings" w:hint="default"/>
      </w:rPr>
    </w:lvl>
  </w:abstractNum>
  <w:abstractNum w:abstractNumId="43" w15:restartNumberingAfterBreak="0">
    <w:nsid w:val="19686281"/>
    <w:multiLevelType w:val="hybridMultilevel"/>
    <w:tmpl w:val="5AB2F1D0"/>
    <w:lvl w:ilvl="0" w:tplc="549A25BE">
      <w:start w:val="6"/>
      <w:numFmt w:val="bullet"/>
      <w:lvlText w:val="•"/>
      <w:lvlJc w:val="start"/>
      <w:pPr>
        <w:ind w:start="36pt" w:hanging="18pt"/>
      </w:pPr>
      <w:rPr>
        <w:rFonts w:ascii="Century Gothic" w:eastAsia="Calibri" w:hAnsi="Century Gothic" w:cs="Arial" w:hint="default"/>
      </w:rPr>
    </w:lvl>
    <w:lvl w:ilvl="1" w:tplc="75B2B1AA" w:tentative="1">
      <w:start w:val="1"/>
      <w:numFmt w:val="bullet"/>
      <w:lvlText w:val="o"/>
      <w:lvlJc w:val="start"/>
      <w:pPr>
        <w:ind w:start="72pt" w:hanging="18pt"/>
      </w:pPr>
      <w:rPr>
        <w:rFonts w:ascii="Courier New" w:hAnsi="Courier New" w:cs="Courier New" w:hint="default"/>
      </w:rPr>
    </w:lvl>
    <w:lvl w:ilvl="2" w:tplc="38FC8A1C" w:tentative="1">
      <w:start w:val="1"/>
      <w:numFmt w:val="bullet"/>
      <w:lvlText w:val=""/>
      <w:lvlJc w:val="start"/>
      <w:pPr>
        <w:ind w:start="108pt" w:hanging="18pt"/>
      </w:pPr>
      <w:rPr>
        <w:rFonts w:ascii="Wingdings" w:hAnsi="Wingdings" w:hint="default"/>
      </w:rPr>
    </w:lvl>
    <w:lvl w:ilvl="3" w:tplc="B6FA14E0" w:tentative="1">
      <w:start w:val="1"/>
      <w:numFmt w:val="bullet"/>
      <w:lvlText w:val=""/>
      <w:lvlJc w:val="start"/>
      <w:pPr>
        <w:ind w:start="144pt" w:hanging="18pt"/>
      </w:pPr>
      <w:rPr>
        <w:rFonts w:ascii="Symbol" w:hAnsi="Symbol" w:hint="default"/>
      </w:rPr>
    </w:lvl>
    <w:lvl w:ilvl="4" w:tplc="5C56A3D0" w:tentative="1">
      <w:start w:val="1"/>
      <w:numFmt w:val="bullet"/>
      <w:lvlText w:val="o"/>
      <w:lvlJc w:val="start"/>
      <w:pPr>
        <w:ind w:start="180pt" w:hanging="18pt"/>
      </w:pPr>
      <w:rPr>
        <w:rFonts w:ascii="Courier New" w:hAnsi="Courier New" w:cs="Courier New" w:hint="default"/>
      </w:rPr>
    </w:lvl>
    <w:lvl w:ilvl="5" w:tplc="DBDAD772" w:tentative="1">
      <w:start w:val="1"/>
      <w:numFmt w:val="bullet"/>
      <w:lvlText w:val=""/>
      <w:lvlJc w:val="start"/>
      <w:pPr>
        <w:ind w:start="216pt" w:hanging="18pt"/>
      </w:pPr>
      <w:rPr>
        <w:rFonts w:ascii="Wingdings" w:hAnsi="Wingdings" w:hint="default"/>
      </w:rPr>
    </w:lvl>
    <w:lvl w:ilvl="6" w:tplc="D842E774" w:tentative="1">
      <w:start w:val="1"/>
      <w:numFmt w:val="bullet"/>
      <w:lvlText w:val=""/>
      <w:lvlJc w:val="start"/>
      <w:pPr>
        <w:ind w:start="252pt" w:hanging="18pt"/>
      </w:pPr>
      <w:rPr>
        <w:rFonts w:ascii="Symbol" w:hAnsi="Symbol" w:hint="default"/>
      </w:rPr>
    </w:lvl>
    <w:lvl w:ilvl="7" w:tplc="F0B03722" w:tentative="1">
      <w:start w:val="1"/>
      <w:numFmt w:val="bullet"/>
      <w:lvlText w:val="o"/>
      <w:lvlJc w:val="start"/>
      <w:pPr>
        <w:ind w:start="288pt" w:hanging="18pt"/>
      </w:pPr>
      <w:rPr>
        <w:rFonts w:ascii="Courier New" w:hAnsi="Courier New" w:cs="Courier New" w:hint="default"/>
      </w:rPr>
    </w:lvl>
    <w:lvl w:ilvl="8" w:tplc="9DE279B0" w:tentative="1">
      <w:start w:val="1"/>
      <w:numFmt w:val="bullet"/>
      <w:lvlText w:val=""/>
      <w:lvlJc w:val="start"/>
      <w:pPr>
        <w:ind w:start="324pt" w:hanging="18pt"/>
      </w:pPr>
      <w:rPr>
        <w:rFonts w:ascii="Wingdings" w:hAnsi="Wingdings" w:hint="default"/>
      </w:rPr>
    </w:lvl>
  </w:abstractNum>
  <w:abstractNum w:abstractNumId="44" w15:restartNumberingAfterBreak="0">
    <w:nsid w:val="199A5580"/>
    <w:multiLevelType w:val="hybridMultilevel"/>
    <w:tmpl w:val="F0A4514E"/>
    <w:lvl w:ilvl="0" w:tplc="080A000D">
      <w:start w:val="1"/>
      <w:numFmt w:val="bullet"/>
      <w:lvlText w:val=""/>
      <w:lvlJc w:val="start"/>
      <w:pPr>
        <w:ind w:start="37.70pt" w:hanging="18pt"/>
      </w:pPr>
      <w:rPr>
        <w:rFonts w:ascii="Wingdings" w:hAnsi="Wingdings" w:hint="default"/>
      </w:rPr>
    </w:lvl>
    <w:lvl w:ilvl="1" w:tplc="080A0003">
      <w:start w:val="1"/>
      <w:numFmt w:val="bullet"/>
      <w:lvlText w:val="o"/>
      <w:lvlJc w:val="start"/>
      <w:pPr>
        <w:ind w:start="73.70pt" w:hanging="18pt"/>
      </w:pPr>
      <w:rPr>
        <w:rFonts w:ascii="Courier New" w:hAnsi="Courier New" w:cs="Courier New" w:hint="default"/>
      </w:rPr>
    </w:lvl>
    <w:lvl w:ilvl="2" w:tplc="080A0005">
      <w:start w:val="1"/>
      <w:numFmt w:val="bullet"/>
      <w:lvlText w:val=""/>
      <w:lvlJc w:val="start"/>
      <w:pPr>
        <w:ind w:start="109.70pt" w:hanging="18pt"/>
      </w:pPr>
      <w:rPr>
        <w:rFonts w:ascii="Wingdings" w:hAnsi="Wingdings" w:hint="default"/>
      </w:rPr>
    </w:lvl>
    <w:lvl w:ilvl="3" w:tplc="080A0001">
      <w:start w:val="1"/>
      <w:numFmt w:val="bullet"/>
      <w:lvlText w:val=""/>
      <w:lvlJc w:val="start"/>
      <w:pPr>
        <w:ind w:start="145.70pt" w:hanging="18pt"/>
      </w:pPr>
      <w:rPr>
        <w:rFonts w:ascii="Symbol" w:hAnsi="Symbol" w:hint="default"/>
      </w:rPr>
    </w:lvl>
    <w:lvl w:ilvl="4" w:tplc="080A0003">
      <w:start w:val="1"/>
      <w:numFmt w:val="bullet"/>
      <w:lvlText w:val="o"/>
      <w:lvlJc w:val="start"/>
      <w:pPr>
        <w:ind w:start="181.70pt" w:hanging="18pt"/>
      </w:pPr>
      <w:rPr>
        <w:rFonts w:ascii="Courier New" w:hAnsi="Courier New" w:cs="Courier New" w:hint="default"/>
      </w:rPr>
    </w:lvl>
    <w:lvl w:ilvl="5" w:tplc="080A0005">
      <w:start w:val="1"/>
      <w:numFmt w:val="bullet"/>
      <w:lvlText w:val=""/>
      <w:lvlJc w:val="start"/>
      <w:pPr>
        <w:ind w:start="217.70pt" w:hanging="18pt"/>
      </w:pPr>
      <w:rPr>
        <w:rFonts w:ascii="Wingdings" w:hAnsi="Wingdings" w:hint="default"/>
      </w:rPr>
    </w:lvl>
    <w:lvl w:ilvl="6" w:tplc="080A0001">
      <w:start w:val="1"/>
      <w:numFmt w:val="bullet"/>
      <w:lvlText w:val=""/>
      <w:lvlJc w:val="start"/>
      <w:pPr>
        <w:ind w:start="253.70pt" w:hanging="18pt"/>
      </w:pPr>
      <w:rPr>
        <w:rFonts w:ascii="Symbol" w:hAnsi="Symbol" w:hint="default"/>
      </w:rPr>
    </w:lvl>
    <w:lvl w:ilvl="7" w:tplc="080A0003">
      <w:start w:val="1"/>
      <w:numFmt w:val="bullet"/>
      <w:lvlText w:val="o"/>
      <w:lvlJc w:val="start"/>
      <w:pPr>
        <w:ind w:start="289.70pt" w:hanging="18pt"/>
      </w:pPr>
      <w:rPr>
        <w:rFonts w:ascii="Courier New" w:hAnsi="Courier New" w:cs="Courier New" w:hint="default"/>
      </w:rPr>
    </w:lvl>
    <w:lvl w:ilvl="8" w:tplc="080A0005">
      <w:start w:val="1"/>
      <w:numFmt w:val="bullet"/>
      <w:lvlText w:val=""/>
      <w:lvlJc w:val="start"/>
      <w:pPr>
        <w:ind w:start="325.70pt" w:hanging="18pt"/>
      </w:pPr>
      <w:rPr>
        <w:rFonts w:ascii="Wingdings" w:hAnsi="Wingdings" w:hint="default"/>
      </w:rPr>
    </w:lvl>
  </w:abstractNum>
  <w:abstractNum w:abstractNumId="45" w15:restartNumberingAfterBreak="0">
    <w:nsid w:val="19DD70C6"/>
    <w:multiLevelType w:val="hybridMultilevel"/>
    <w:tmpl w:val="64D813D2"/>
    <w:lvl w:ilvl="0" w:tplc="1884CEFA">
      <w:start w:val="6"/>
      <w:numFmt w:val="bullet"/>
      <w:lvlText w:val="•"/>
      <w:lvlJc w:val="start"/>
      <w:pPr>
        <w:ind w:start="39.25pt" w:hanging="18pt"/>
      </w:pPr>
      <w:rPr>
        <w:rFonts w:ascii="Century Gothic" w:eastAsia="Calibri" w:hAnsi="Century Gothic" w:cs="Arial" w:hint="default"/>
      </w:rPr>
    </w:lvl>
    <w:lvl w:ilvl="1" w:tplc="C57CD43C" w:tentative="1">
      <w:start w:val="1"/>
      <w:numFmt w:val="bullet"/>
      <w:lvlText w:val="o"/>
      <w:lvlJc w:val="start"/>
      <w:pPr>
        <w:ind w:start="75.30pt" w:hanging="18pt"/>
      </w:pPr>
      <w:rPr>
        <w:rFonts w:ascii="Courier New" w:hAnsi="Courier New" w:cs="Courier New" w:hint="default"/>
      </w:rPr>
    </w:lvl>
    <w:lvl w:ilvl="2" w:tplc="7F58CAC8" w:tentative="1">
      <w:start w:val="1"/>
      <w:numFmt w:val="bullet"/>
      <w:lvlText w:val=""/>
      <w:lvlJc w:val="start"/>
      <w:pPr>
        <w:ind w:start="111.30pt" w:hanging="18pt"/>
      </w:pPr>
      <w:rPr>
        <w:rFonts w:ascii="Wingdings" w:hAnsi="Wingdings" w:hint="default"/>
      </w:rPr>
    </w:lvl>
    <w:lvl w:ilvl="3" w:tplc="E98C2DB6" w:tentative="1">
      <w:start w:val="1"/>
      <w:numFmt w:val="bullet"/>
      <w:lvlText w:val=""/>
      <w:lvlJc w:val="start"/>
      <w:pPr>
        <w:ind w:start="147.30pt" w:hanging="18pt"/>
      </w:pPr>
      <w:rPr>
        <w:rFonts w:ascii="Symbol" w:hAnsi="Symbol" w:hint="default"/>
      </w:rPr>
    </w:lvl>
    <w:lvl w:ilvl="4" w:tplc="0B146608" w:tentative="1">
      <w:start w:val="1"/>
      <w:numFmt w:val="bullet"/>
      <w:lvlText w:val="o"/>
      <w:lvlJc w:val="start"/>
      <w:pPr>
        <w:ind w:start="183.30pt" w:hanging="18pt"/>
      </w:pPr>
      <w:rPr>
        <w:rFonts w:ascii="Courier New" w:hAnsi="Courier New" w:cs="Courier New" w:hint="default"/>
      </w:rPr>
    </w:lvl>
    <w:lvl w:ilvl="5" w:tplc="C27C893E" w:tentative="1">
      <w:start w:val="1"/>
      <w:numFmt w:val="bullet"/>
      <w:lvlText w:val=""/>
      <w:lvlJc w:val="start"/>
      <w:pPr>
        <w:ind w:start="219.30pt" w:hanging="18pt"/>
      </w:pPr>
      <w:rPr>
        <w:rFonts w:ascii="Wingdings" w:hAnsi="Wingdings" w:hint="default"/>
      </w:rPr>
    </w:lvl>
    <w:lvl w:ilvl="6" w:tplc="B7F24C8A" w:tentative="1">
      <w:start w:val="1"/>
      <w:numFmt w:val="bullet"/>
      <w:lvlText w:val=""/>
      <w:lvlJc w:val="start"/>
      <w:pPr>
        <w:ind w:start="255.30pt" w:hanging="18pt"/>
      </w:pPr>
      <w:rPr>
        <w:rFonts w:ascii="Symbol" w:hAnsi="Symbol" w:hint="default"/>
      </w:rPr>
    </w:lvl>
    <w:lvl w:ilvl="7" w:tplc="D8CC86CA" w:tentative="1">
      <w:start w:val="1"/>
      <w:numFmt w:val="bullet"/>
      <w:lvlText w:val="o"/>
      <w:lvlJc w:val="start"/>
      <w:pPr>
        <w:ind w:start="291.30pt" w:hanging="18pt"/>
      </w:pPr>
      <w:rPr>
        <w:rFonts w:ascii="Courier New" w:hAnsi="Courier New" w:cs="Courier New" w:hint="default"/>
      </w:rPr>
    </w:lvl>
    <w:lvl w:ilvl="8" w:tplc="6DEEB76C" w:tentative="1">
      <w:start w:val="1"/>
      <w:numFmt w:val="bullet"/>
      <w:lvlText w:val=""/>
      <w:lvlJc w:val="start"/>
      <w:pPr>
        <w:ind w:start="327.30pt" w:hanging="18pt"/>
      </w:pPr>
      <w:rPr>
        <w:rFonts w:ascii="Wingdings" w:hAnsi="Wingdings" w:hint="default"/>
      </w:rPr>
    </w:lvl>
  </w:abstractNum>
  <w:abstractNum w:abstractNumId="46" w15:restartNumberingAfterBreak="0">
    <w:nsid w:val="1A2C3071"/>
    <w:multiLevelType w:val="hybridMultilevel"/>
    <w:tmpl w:val="57D4E9C2"/>
    <w:lvl w:ilvl="0" w:tplc="47AE57CC">
      <w:start w:val="1"/>
      <w:numFmt w:val="bullet"/>
      <w:lvlText w:val=""/>
      <w:lvlJc w:val="start"/>
      <w:pPr>
        <w:ind w:start="36pt" w:hanging="18pt"/>
      </w:pPr>
      <w:rPr>
        <w:rFonts w:ascii="Wingdings" w:hAnsi="Wingdings" w:hint="default"/>
      </w:rPr>
    </w:lvl>
    <w:lvl w:ilvl="1" w:tplc="C9EAC178">
      <w:start w:val="1"/>
      <w:numFmt w:val="bullet"/>
      <w:lvlText w:val="o"/>
      <w:lvlJc w:val="start"/>
      <w:pPr>
        <w:ind w:start="72pt" w:hanging="18pt"/>
      </w:pPr>
      <w:rPr>
        <w:rFonts w:ascii="Courier New" w:hAnsi="Courier New" w:cs="Courier New" w:hint="default"/>
      </w:rPr>
    </w:lvl>
    <w:lvl w:ilvl="2" w:tplc="C4B4BE20">
      <w:start w:val="1"/>
      <w:numFmt w:val="bullet"/>
      <w:lvlText w:val=""/>
      <w:lvlJc w:val="start"/>
      <w:pPr>
        <w:ind w:start="108pt" w:hanging="18pt"/>
      </w:pPr>
      <w:rPr>
        <w:rFonts w:ascii="Wingdings" w:hAnsi="Wingdings" w:hint="default"/>
      </w:rPr>
    </w:lvl>
    <w:lvl w:ilvl="3" w:tplc="876E2420">
      <w:start w:val="1"/>
      <w:numFmt w:val="bullet"/>
      <w:lvlText w:val=""/>
      <w:lvlJc w:val="start"/>
      <w:pPr>
        <w:ind w:start="144pt" w:hanging="18pt"/>
      </w:pPr>
      <w:rPr>
        <w:rFonts w:ascii="Symbol" w:hAnsi="Symbol" w:hint="default"/>
      </w:rPr>
    </w:lvl>
    <w:lvl w:ilvl="4" w:tplc="2326CD5E">
      <w:start w:val="1"/>
      <w:numFmt w:val="bullet"/>
      <w:lvlText w:val="o"/>
      <w:lvlJc w:val="start"/>
      <w:pPr>
        <w:ind w:start="180pt" w:hanging="18pt"/>
      </w:pPr>
      <w:rPr>
        <w:rFonts w:ascii="Courier New" w:hAnsi="Courier New" w:cs="Courier New" w:hint="default"/>
      </w:rPr>
    </w:lvl>
    <w:lvl w:ilvl="5" w:tplc="166463B4">
      <w:start w:val="1"/>
      <w:numFmt w:val="bullet"/>
      <w:lvlText w:val=""/>
      <w:lvlJc w:val="start"/>
      <w:pPr>
        <w:ind w:start="216pt" w:hanging="18pt"/>
      </w:pPr>
      <w:rPr>
        <w:rFonts w:ascii="Wingdings" w:hAnsi="Wingdings" w:hint="default"/>
      </w:rPr>
    </w:lvl>
    <w:lvl w:ilvl="6" w:tplc="61B83B82">
      <w:start w:val="1"/>
      <w:numFmt w:val="bullet"/>
      <w:lvlText w:val=""/>
      <w:lvlJc w:val="start"/>
      <w:pPr>
        <w:ind w:start="252pt" w:hanging="18pt"/>
      </w:pPr>
      <w:rPr>
        <w:rFonts w:ascii="Symbol" w:hAnsi="Symbol" w:hint="default"/>
      </w:rPr>
    </w:lvl>
    <w:lvl w:ilvl="7" w:tplc="646848BC">
      <w:start w:val="1"/>
      <w:numFmt w:val="bullet"/>
      <w:lvlText w:val="o"/>
      <w:lvlJc w:val="start"/>
      <w:pPr>
        <w:ind w:start="288pt" w:hanging="18pt"/>
      </w:pPr>
      <w:rPr>
        <w:rFonts w:ascii="Courier New" w:hAnsi="Courier New" w:cs="Courier New" w:hint="default"/>
      </w:rPr>
    </w:lvl>
    <w:lvl w:ilvl="8" w:tplc="A6D4B21E">
      <w:start w:val="1"/>
      <w:numFmt w:val="bullet"/>
      <w:lvlText w:val=""/>
      <w:lvlJc w:val="start"/>
      <w:pPr>
        <w:ind w:start="324pt" w:hanging="18pt"/>
      </w:pPr>
      <w:rPr>
        <w:rFonts w:ascii="Wingdings" w:hAnsi="Wingdings" w:hint="default"/>
      </w:rPr>
    </w:lvl>
  </w:abstractNum>
  <w:abstractNum w:abstractNumId="47" w15:restartNumberingAfterBreak="0">
    <w:nsid w:val="1AAB4EC2"/>
    <w:multiLevelType w:val="hybridMultilevel"/>
    <w:tmpl w:val="6E54E3BE"/>
    <w:lvl w:ilvl="0" w:tplc="21729948">
      <w:start w:val="1"/>
      <w:numFmt w:val="bullet"/>
      <w:lvlText w:val=""/>
      <w:lvlJc w:val="start"/>
      <w:pPr>
        <w:ind w:start="39.25pt" w:hanging="18pt"/>
      </w:pPr>
      <w:rPr>
        <w:rFonts w:ascii="Symbol" w:hAnsi="Symbol" w:hint="default"/>
      </w:rPr>
    </w:lvl>
    <w:lvl w:ilvl="1" w:tplc="0A8E339A" w:tentative="1">
      <w:start w:val="1"/>
      <w:numFmt w:val="bullet"/>
      <w:lvlText w:val="o"/>
      <w:lvlJc w:val="start"/>
      <w:pPr>
        <w:ind w:start="75.30pt" w:hanging="18pt"/>
      </w:pPr>
      <w:rPr>
        <w:rFonts w:ascii="Courier New" w:hAnsi="Courier New" w:cs="Courier New" w:hint="default"/>
      </w:rPr>
    </w:lvl>
    <w:lvl w:ilvl="2" w:tplc="100AD31C" w:tentative="1">
      <w:start w:val="1"/>
      <w:numFmt w:val="bullet"/>
      <w:lvlText w:val=""/>
      <w:lvlJc w:val="start"/>
      <w:pPr>
        <w:ind w:start="111.30pt" w:hanging="18pt"/>
      </w:pPr>
      <w:rPr>
        <w:rFonts w:ascii="Wingdings" w:hAnsi="Wingdings" w:hint="default"/>
      </w:rPr>
    </w:lvl>
    <w:lvl w:ilvl="3" w:tplc="8F8A04DE" w:tentative="1">
      <w:start w:val="1"/>
      <w:numFmt w:val="bullet"/>
      <w:lvlText w:val=""/>
      <w:lvlJc w:val="start"/>
      <w:pPr>
        <w:ind w:start="147.30pt" w:hanging="18pt"/>
      </w:pPr>
      <w:rPr>
        <w:rFonts w:ascii="Symbol" w:hAnsi="Symbol" w:hint="default"/>
      </w:rPr>
    </w:lvl>
    <w:lvl w:ilvl="4" w:tplc="10E8D840" w:tentative="1">
      <w:start w:val="1"/>
      <w:numFmt w:val="bullet"/>
      <w:lvlText w:val="o"/>
      <w:lvlJc w:val="start"/>
      <w:pPr>
        <w:ind w:start="183.30pt" w:hanging="18pt"/>
      </w:pPr>
      <w:rPr>
        <w:rFonts w:ascii="Courier New" w:hAnsi="Courier New" w:cs="Courier New" w:hint="default"/>
      </w:rPr>
    </w:lvl>
    <w:lvl w:ilvl="5" w:tplc="A530CDEA" w:tentative="1">
      <w:start w:val="1"/>
      <w:numFmt w:val="bullet"/>
      <w:lvlText w:val=""/>
      <w:lvlJc w:val="start"/>
      <w:pPr>
        <w:ind w:start="219.30pt" w:hanging="18pt"/>
      </w:pPr>
      <w:rPr>
        <w:rFonts w:ascii="Wingdings" w:hAnsi="Wingdings" w:hint="default"/>
      </w:rPr>
    </w:lvl>
    <w:lvl w:ilvl="6" w:tplc="1C78A528" w:tentative="1">
      <w:start w:val="1"/>
      <w:numFmt w:val="bullet"/>
      <w:lvlText w:val=""/>
      <w:lvlJc w:val="start"/>
      <w:pPr>
        <w:ind w:start="255.30pt" w:hanging="18pt"/>
      </w:pPr>
      <w:rPr>
        <w:rFonts w:ascii="Symbol" w:hAnsi="Symbol" w:hint="default"/>
      </w:rPr>
    </w:lvl>
    <w:lvl w:ilvl="7" w:tplc="588A3F14" w:tentative="1">
      <w:start w:val="1"/>
      <w:numFmt w:val="bullet"/>
      <w:lvlText w:val="o"/>
      <w:lvlJc w:val="start"/>
      <w:pPr>
        <w:ind w:start="291.30pt" w:hanging="18pt"/>
      </w:pPr>
      <w:rPr>
        <w:rFonts w:ascii="Courier New" w:hAnsi="Courier New" w:cs="Courier New" w:hint="default"/>
      </w:rPr>
    </w:lvl>
    <w:lvl w:ilvl="8" w:tplc="5F9EB0B4" w:tentative="1">
      <w:start w:val="1"/>
      <w:numFmt w:val="bullet"/>
      <w:lvlText w:val=""/>
      <w:lvlJc w:val="start"/>
      <w:pPr>
        <w:ind w:start="327.30pt" w:hanging="18pt"/>
      </w:pPr>
      <w:rPr>
        <w:rFonts w:ascii="Wingdings" w:hAnsi="Wingdings" w:hint="default"/>
      </w:rPr>
    </w:lvl>
  </w:abstractNum>
  <w:abstractNum w:abstractNumId="48" w15:restartNumberingAfterBreak="0">
    <w:nsid w:val="1AC05B88"/>
    <w:multiLevelType w:val="hybridMultilevel"/>
    <w:tmpl w:val="68001FCC"/>
    <w:lvl w:ilvl="0" w:tplc="5D68E1DE">
      <w:start w:val="1"/>
      <w:numFmt w:val="bullet"/>
      <w:lvlText w:val=""/>
      <w:lvlJc w:val="start"/>
      <w:pPr>
        <w:ind w:start="36pt" w:hanging="18pt"/>
      </w:pPr>
      <w:rPr>
        <w:rFonts w:ascii="Symbol" w:hAnsi="Symbol" w:hint="default"/>
      </w:rPr>
    </w:lvl>
    <w:lvl w:ilvl="1" w:tplc="84344FE8" w:tentative="1">
      <w:start w:val="1"/>
      <w:numFmt w:val="bullet"/>
      <w:lvlText w:val="o"/>
      <w:lvlJc w:val="start"/>
      <w:pPr>
        <w:ind w:start="72pt" w:hanging="18pt"/>
      </w:pPr>
      <w:rPr>
        <w:rFonts w:ascii="Courier New" w:hAnsi="Courier New" w:cs="Courier New" w:hint="default"/>
      </w:rPr>
    </w:lvl>
    <w:lvl w:ilvl="2" w:tplc="EEC6DD12" w:tentative="1">
      <w:start w:val="1"/>
      <w:numFmt w:val="bullet"/>
      <w:lvlText w:val=""/>
      <w:lvlJc w:val="start"/>
      <w:pPr>
        <w:ind w:start="108pt" w:hanging="18pt"/>
      </w:pPr>
      <w:rPr>
        <w:rFonts w:ascii="Wingdings" w:hAnsi="Wingdings" w:hint="default"/>
      </w:rPr>
    </w:lvl>
    <w:lvl w:ilvl="3" w:tplc="B14EA7D0" w:tentative="1">
      <w:start w:val="1"/>
      <w:numFmt w:val="bullet"/>
      <w:lvlText w:val=""/>
      <w:lvlJc w:val="start"/>
      <w:pPr>
        <w:ind w:start="144pt" w:hanging="18pt"/>
      </w:pPr>
      <w:rPr>
        <w:rFonts w:ascii="Symbol" w:hAnsi="Symbol" w:hint="default"/>
      </w:rPr>
    </w:lvl>
    <w:lvl w:ilvl="4" w:tplc="46A46830" w:tentative="1">
      <w:start w:val="1"/>
      <w:numFmt w:val="bullet"/>
      <w:lvlText w:val="o"/>
      <w:lvlJc w:val="start"/>
      <w:pPr>
        <w:ind w:start="180pt" w:hanging="18pt"/>
      </w:pPr>
      <w:rPr>
        <w:rFonts w:ascii="Courier New" w:hAnsi="Courier New" w:cs="Courier New" w:hint="default"/>
      </w:rPr>
    </w:lvl>
    <w:lvl w:ilvl="5" w:tplc="92240074" w:tentative="1">
      <w:start w:val="1"/>
      <w:numFmt w:val="bullet"/>
      <w:lvlText w:val=""/>
      <w:lvlJc w:val="start"/>
      <w:pPr>
        <w:ind w:start="216pt" w:hanging="18pt"/>
      </w:pPr>
      <w:rPr>
        <w:rFonts w:ascii="Wingdings" w:hAnsi="Wingdings" w:hint="default"/>
      </w:rPr>
    </w:lvl>
    <w:lvl w:ilvl="6" w:tplc="DD1AD86C" w:tentative="1">
      <w:start w:val="1"/>
      <w:numFmt w:val="bullet"/>
      <w:lvlText w:val=""/>
      <w:lvlJc w:val="start"/>
      <w:pPr>
        <w:ind w:start="252pt" w:hanging="18pt"/>
      </w:pPr>
      <w:rPr>
        <w:rFonts w:ascii="Symbol" w:hAnsi="Symbol" w:hint="default"/>
      </w:rPr>
    </w:lvl>
    <w:lvl w:ilvl="7" w:tplc="26DC4CCA" w:tentative="1">
      <w:start w:val="1"/>
      <w:numFmt w:val="bullet"/>
      <w:lvlText w:val="o"/>
      <w:lvlJc w:val="start"/>
      <w:pPr>
        <w:ind w:start="288pt" w:hanging="18pt"/>
      </w:pPr>
      <w:rPr>
        <w:rFonts w:ascii="Courier New" w:hAnsi="Courier New" w:cs="Courier New" w:hint="default"/>
      </w:rPr>
    </w:lvl>
    <w:lvl w:ilvl="8" w:tplc="60B2F2CE" w:tentative="1">
      <w:start w:val="1"/>
      <w:numFmt w:val="bullet"/>
      <w:lvlText w:val=""/>
      <w:lvlJc w:val="start"/>
      <w:pPr>
        <w:ind w:start="324pt" w:hanging="18pt"/>
      </w:pPr>
      <w:rPr>
        <w:rFonts w:ascii="Wingdings" w:hAnsi="Wingdings" w:hint="default"/>
      </w:rPr>
    </w:lvl>
  </w:abstractNum>
  <w:abstractNum w:abstractNumId="49" w15:restartNumberingAfterBreak="0">
    <w:nsid w:val="1AD93F98"/>
    <w:multiLevelType w:val="hybridMultilevel"/>
    <w:tmpl w:val="CD363B00"/>
    <w:lvl w:ilvl="0" w:tplc="C62ACC5C">
      <w:start w:val="6"/>
      <w:numFmt w:val="bullet"/>
      <w:lvlText w:val="•"/>
      <w:lvlJc w:val="start"/>
      <w:pPr>
        <w:ind w:start="54pt" w:hanging="18pt"/>
      </w:pPr>
      <w:rPr>
        <w:rFonts w:ascii="Century Gothic" w:eastAsia="Calibri" w:hAnsi="Century Gothic" w:cs="Arial" w:hint="default"/>
      </w:rPr>
    </w:lvl>
    <w:lvl w:ilvl="1" w:tplc="6B66A67A" w:tentative="1">
      <w:start w:val="1"/>
      <w:numFmt w:val="bullet"/>
      <w:lvlText w:val="o"/>
      <w:lvlJc w:val="start"/>
      <w:pPr>
        <w:ind w:start="90pt" w:hanging="18pt"/>
      </w:pPr>
      <w:rPr>
        <w:rFonts w:ascii="Courier New" w:hAnsi="Courier New" w:cs="Courier New" w:hint="default"/>
      </w:rPr>
    </w:lvl>
    <w:lvl w:ilvl="2" w:tplc="123854B4" w:tentative="1">
      <w:start w:val="1"/>
      <w:numFmt w:val="bullet"/>
      <w:lvlText w:val=""/>
      <w:lvlJc w:val="start"/>
      <w:pPr>
        <w:ind w:start="126pt" w:hanging="18pt"/>
      </w:pPr>
      <w:rPr>
        <w:rFonts w:ascii="Wingdings" w:hAnsi="Wingdings" w:hint="default"/>
      </w:rPr>
    </w:lvl>
    <w:lvl w:ilvl="3" w:tplc="EBE0AC72" w:tentative="1">
      <w:start w:val="1"/>
      <w:numFmt w:val="bullet"/>
      <w:lvlText w:val=""/>
      <w:lvlJc w:val="start"/>
      <w:pPr>
        <w:ind w:start="162pt" w:hanging="18pt"/>
      </w:pPr>
      <w:rPr>
        <w:rFonts w:ascii="Symbol" w:hAnsi="Symbol" w:hint="default"/>
      </w:rPr>
    </w:lvl>
    <w:lvl w:ilvl="4" w:tplc="1B341BCC" w:tentative="1">
      <w:start w:val="1"/>
      <w:numFmt w:val="bullet"/>
      <w:lvlText w:val="o"/>
      <w:lvlJc w:val="start"/>
      <w:pPr>
        <w:ind w:start="198pt" w:hanging="18pt"/>
      </w:pPr>
      <w:rPr>
        <w:rFonts w:ascii="Courier New" w:hAnsi="Courier New" w:cs="Courier New" w:hint="default"/>
      </w:rPr>
    </w:lvl>
    <w:lvl w:ilvl="5" w:tplc="C11275EA" w:tentative="1">
      <w:start w:val="1"/>
      <w:numFmt w:val="bullet"/>
      <w:lvlText w:val=""/>
      <w:lvlJc w:val="start"/>
      <w:pPr>
        <w:ind w:start="234pt" w:hanging="18pt"/>
      </w:pPr>
      <w:rPr>
        <w:rFonts w:ascii="Wingdings" w:hAnsi="Wingdings" w:hint="default"/>
      </w:rPr>
    </w:lvl>
    <w:lvl w:ilvl="6" w:tplc="37AC2D40" w:tentative="1">
      <w:start w:val="1"/>
      <w:numFmt w:val="bullet"/>
      <w:lvlText w:val=""/>
      <w:lvlJc w:val="start"/>
      <w:pPr>
        <w:ind w:start="270pt" w:hanging="18pt"/>
      </w:pPr>
      <w:rPr>
        <w:rFonts w:ascii="Symbol" w:hAnsi="Symbol" w:hint="default"/>
      </w:rPr>
    </w:lvl>
    <w:lvl w:ilvl="7" w:tplc="351E4614" w:tentative="1">
      <w:start w:val="1"/>
      <w:numFmt w:val="bullet"/>
      <w:lvlText w:val="o"/>
      <w:lvlJc w:val="start"/>
      <w:pPr>
        <w:ind w:start="306pt" w:hanging="18pt"/>
      </w:pPr>
      <w:rPr>
        <w:rFonts w:ascii="Courier New" w:hAnsi="Courier New" w:cs="Courier New" w:hint="default"/>
      </w:rPr>
    </w:lvl>
    <w:lvl w:ilvl="8" w:tplc="C46009D6" w:tentative="1">
      <w:start w:val="1"/>
      <w:numFmt w:val="bullet"/>
      <w:lvlText w:val=""/>
      <w:lvlJc w:val="start"/>
      <w:pPr>
        <w:ind w:start="342pt" w:hanging="18pt"/>
      </w:pPr>
      <w:rPr>
        <w:rFonts w:ascii="Wingdings" w:hAnsi="Wingdings" w:hint="default"/>
      </w:rPr>
    </w:lvl>
  </w:abstractNum>
  <w:abstractNum w:abstractNumId="50" w15:restartNumberingAfterBreak="0">
    <w:nsid w:val="1C2F6AA7"/>
    <w:multiLevelType w:val="hybridMultilevel"/>
    <w:tmpl w:val="08AC2970"/>
    <w:lvl w:ilvl="0" w:tplc="5C1AEEDA">
      <w:start w:val="1"/>
      <w:numFmt w:val="bullet"/>
      <w:lvlText w:val=""/>
      <w:lvlJc w:val="start"/>
      <w:pPr>
        <w:ind w:start="54pt" w:hanging="18pt"/>
      </w:pPr>
      <w:rPr>
        <w:rFonts w:ascii="Wingdings" w:hAnsi="Wingdings" w:hint="default"/>
      </w:rPr>
    </w:lvl>
    <w:lvl w:ilvl="1" w:tplc="D9D67A10" w:tentative="1">
      <w:start w:val="1"/>
      <w:numFmt w:val="bullet"/>
      <w:lvlText w:val="o"/>
      <w:lvlJc w:val="start"/>
      <w:pPr>
        <w:ind w:start="90pt" w:hanging="18pt"/>
      </w:pPr>
      <w:rPr>
        <w:rFonts w:ascii="Courier New" w:hAnsi="Courier New" w:cs="Courier New" w:hint="default"/>
      </w:rPr>
    </w:lvl>
    <w:lvl w:ilvl="2" w:tplc="5646266A" w:tentative="1">
      <w:start w:val="1"/>
      <w:numFmt w:val="bullet"/>
      <w:lvlText w:val=""/>
      <w:lvlJc w:val="start"/>
      <w:pPr>
        <w:ind w:start="126pt" w:hanging="18pt"/>
      </w:pPr>
      <w:rPr>
        <w:rFonts w:ascii="Wingdings" w:hAnsi="Wingdings" w:hint="default"/>
      </w:rPr>
    </w:lvl>
    <w:lvl w:ilvl="3" w:tplc="394A3136" w:tentative="1">
      <w:start w:val="1"/>
      <w:numFmt w:val="bullet"/>
      <w:lvlText w:val=""/>
      <w:lvlJc w:val="start"/>
      <w:pPr>
        <w:ind w:start="162pt" w:hanging="18pt"/>
      </w:pPr>
      <w:rPr>
        <w:rFonts w:ascii="Symbol" w:hAnsi="Symbol" w:hint="default"/>
      </w:rPr>
    </w:lvl>
    <w:lvl w:ilvl="4" w:tplc="4822B5B4" w:tentative="1">
      <w:start w:val="1"/>
      <w:numFmt w:val="bullet"/>
      <w:lvlText w:val="o"/>
      <w:lvlJc w:val="start"/>
      <w:pPr>
        <w:ind w:start="198pt" w:hanging="18pt"/>
      </w:pPr>
      <w:rPr>
        <w:rFonts w:ascii="Courier New" w:hAnsi="Courier New" w:cs="Courier New" w:hint="default"/>
      </w:rPr>
    </w:lvl>
    <w:lvl w:ilvl="5" w:tplc="3B9C4A0C" w:tentative="1">
      <w:start w:val="1"/>
      <w:numFmt w:val="bullet"/>
      <w:lvlText w:val=""/>
      <w:lvlJc w:val="start"/>
      <w:pPr>
        <w:ind w:start="234pt" w:hanging="18pt"/>
      </w:pPr>
      <w:rPr>
        <w:rFonts w:ascii="Wingdings" w:hAnsi="Wingdings" w:hint="default"/>
      </w:rPr>
    </w:lvl>
    <w:lvl w:ilvl="6" w:tplc="01C433F0" w:tentative="1">
      <w:start w:val="1"/>
      <w:numFmt w:val="bullet"/>
      <w:lvlText w:val=""/>
      <w:lvlJc w:val="start"/>
      <w:pPr>
        <w:ind w:start="270pt" w:hanging="18pt"/>
      </w:pPr>
      <w:rPr>
        <w:rFonts w:ascii="Symbol" w:hAnsi="Symbol" w:hint="default"/>
      </w:rPr>
    </w:lvl>
    <w:lvl w:ilvl="7" w:tplc="D51E5C04" w:tentative="1">
      <w:start w:val="1"/>
      <w:numFmt w:val="bullet"/>
      <w:lvlText w:val="o"/>
      <w:lvlJc w:val="start"/>
      <w:pPr>
        <w:ind w:start="306pt" w:hanging="18pt"/>
      </w:pPr>
      <w:rPr>
        <w:rFonts w:ascii="Courier New" w:hAnsi="Courier New" w:cs="Courier New" w:hint="default"/>
      </w:rPr>
    </w:lvl>
    <w:lvl w:ilvl="8" w:tplc="71486AF8" w:tentative="1">
      <w:start w:val="1"/>
      <w:numFmt w:val="bullet"/>
      <w:lvlText w:val=""/>
      <w:lvlJc w:val="start"/>
      <w:pPr>
        <w:ind w:start="342pt" w:hanging="18pt"/>
      </w:pPr>
      <w:rPr>
        <w:rFonts w:ascii="Wingdings" w:hAnsi="Wingdings" w:hint="default"/>
      </w:rPr>
    </w:lvl>
  </w:abstractNum>
  <w:abstractNum w:abstractNumId="51" w15:restartNumberingAfterBreak="0">
    <w:nsid w:val="1C4C3813"/>
    <w:multiLevelType w:val="hybridMultilevel"/>
    <w:tmpl w:val="BA9C7B5A"/>
    <w:lvl w:ilvl="0" w:tplc="6E16B3E2">
      <w:start w:val="1"/>
      <w:numFmt w:val="decimal"/>
      <w:pStyle w:val="Nprimero"/>
      <w:lvlText w:val="%1)"/>
      <w:lvlJc w:val="start"/>
      <w:pPr>
        <w:ind w:start="72pt" w:hanging="18pt"/>
      </w:pPr>
    </w:lvl>
    <w:lvl w:ilvl="1" w:tplc="78887A02" w:tentative="1">
      <w:start w:val="1"/>
      <w:numFmt w:val="lowerLetter"/>
      <w:lvlText w:val="%2."/>
      <w:lvlJc w:val="start"/>
      <w:pPr>
        <w:ind w:start="108pt" w:hanging="18pt"/>
      </w:pPr>
    </w:lvl>
    <w:lvl w:ilvl="2" w:tplc="3A3C6B82" w:tentative="1">
      <w:start w:val="1"/>
      <w:numFmt w:val="lowerRoman"/>
      <w:lvlText w:val="%3."/>
      <w:lvlJc w:val="end"/>
      <w:pPr>
        <w:ind w:start="144pt" w:hanging="9pt"/>
      </w:pPr>
    </w:lvl>
    <w:lvl w:ilvl="3" w:tplc="EE1C5614" w:tentative="1">
      <w:start w:val="1"/>
      <w:numFmt w:val="decimal"/>
      <w:lvlText w:val="%4."/>
      <w:lvlJc w:val="start"/>
      <w:pPr>
        <w:ind w:start="180pt" w:hanging="18pt"/>
      </w:pPr>
    </w:lvl>
    <w:lvl w:ilvl="4" w:tplc="A8AE9FFE" w:tentative="1">
      <w:start w:val="1"/>
      <w:numFmt w:val="lowerLetter"/>
      <w:lvlText w:val="%5."/>
      <w:lvlJc w:val="start"/>
      <w:pPr>
        <w:ind w:start="216pt" w:hanging="18pt"/>
      </w:pPr>
    </w:lvl>
    <w:lvl w:ilvl="5" w:tplc="4E7C4278" w:tentative="1">
      <w:start w:val="1"/>
      <w:numFmt w:val="lowerRoman"/>
      <w:lvlText w:val="%6."/>
      <w:lvlJc w:val="end"/>
      <w:pPr>
        <w:ind w:start="252pt" w:hanging="9pt"/>
      </w:pPr>
    </w:lvl>
    <w:lvl w:ilvl="6" w:tplc="62106760" w:tentative="1">
      <w:start w:val="1"/>
      <w:numFmt w:val="decimal"/>
      <w:lvlText w:val="%7."/>
      <w:lvlJc w:val="start"/>
      <w:pPr>
        <w:ind w:start="288pt" w:hanging="18pt"/>
      </w:pPr>
    </w:lvl>
    <w:lvl w:ilvl="7" w:tplc="546E7B3A" w:tentative="1">
      <w:start w:val="1"/>
      <w:numFmt w:val="lowerLetter"/>
      <w:lvlText w:val="%8."/>
      <w:lvlJc w:val="start"/>
      <w:pPr>
        <w:ind w:start="324pt" w:hanging="18pt"/>
      </w:pPr>
    </w:lvl>
    <w:lvl w:ilvl="8" w:tplc="F69C5AF2" w:tentative="1">
      <w:start w:val="1"/>
      <w:numFmt w:val="lowerRoman"/>
      <w:lvlText w:val="%9."/>
      <w:lvlJc w:val="end"/>
      <w:pPr>
        <w:ind w:start="360pt" w:hanging="9pt"/>
      </w:pPr>
    </w:lvl>
  </w:abstractNum>
  <w:abstractNum w:abstractNumId="52" w15:restartNumberingAfterBreak="0">
    <w:nsid w:val="1C8B3BCC"/>
    <w:multiLevelType w:val="hybridMultilevel"/>
    <w:tmpl w:val="9652587C"/>
    <w:lvl w:ilvl="0" w:tplc="787E1F8A">
      <w:start w:val="1"/>
      <w:numFmt w:val="bullet"/>
      <w:lvlText w:val=""/>
      <w:lvlJc w:val="start"/>
      <w:pPr>
        <w:ind w:start="39.40pt" w:hanging="18pt"/>
      </w:pPr>
      <w:rPr>
        <w:rFonts w:ascii="Symbol" w:hAnsi="Symbol" w:hint="default"/>
      </w:rPr>
    </w:lvl>
    <w:lvl w:ilvl="1" w:tplc="677A1AA4" w:tentative="1">
      <w:start w:val="1"/>
      <w:numFmt w:val="bullet"/>
      <w:lvlText w:val="o"/>
      <w:lvlJc w:val="start"/>
      <w:pPr>
        <w:ind w:start="75.40pt" w:hanging="18pt"/>
      </w:pPr>
      <w:rPr>
        <w:rFonts w:ascii="Courier New" w:hAnsi="Courier New" w:cs="Courier New" w:hint="default"/>
      </w:rPr>
    </w:lvl>
    <w:lvl w:ilvl="2" w:tplc="806C3F2A" w:tentative="1">
      <w:start w:val="1"/>
      <w:numFmt w:val="bullet"/>
      <w:lvlText w:val=""/>
      <w:lvlJc w:val="start"/>
      <w:pPr>
        <w:ind w:start="111.40pt" w:hanging="18pt"/>
      </w:pPr>
      <w:rPr>
        <w:rFonts w:ascii="Wingdings" w:hAnsi="Wingdings" w:hint="default"/>
      </w:rPr>
    </w:lvl>
    <w:lvl w:ilvl="3" w:tplc="8F449586" w:tentative="1">
      <w:start w:val="1"/>
      <w:numFmt w:val="bullet"/>
      <w:lvlText w:val=""/>
      <w:lvlJc w:val="start"/>
      <w:pPr>
        <w:ind w:start="147.40pt" w:hanging="18pt"/>
      </w:pPr>
      <w:rPr>
        <w:rFonts w:ascii="Symbol" w:hAnsi="Symbol" w:hint="default"/>
      </w:rPr>
    </w:lvl>
    <w:lvl w:ilvl="4" w:tplc="AD3A0D74" w:tentative="1">
      <w:start w:val="1"/>
      <w:numFmt w:val="bullet"/>
      <w:lvlText w:val="o"/>
      <w:lvlJc w:val="start"/>
      <w:pPr>
        <w:ind w:start="183.40pt" w:hanging="18pt"/>
      </w:pPr>
      <w:rPr>
        <w:rFonts w:ascii="Courier New" w:hAnsi="Courier New" w:cs="Courier New" w:hint="default"/>
      </w:rPr>
    </w:lvl>
    <w:lvl w:ilvl="5" w:tplc="87D45016" w:tentative="1">
      <w:start w:val="1"/>
      <w:numFmt w:val="bullet"/>
      <w:lvlText w:val=""/>
      <w:lvlJc w:val="start"/>
      <w:pPr>
        <w:ind w:start="219.40pt" w:hanging="18pt"/>
      </w:pPr>
      <w:rPr>
        <w:rFonts w:ascii="Wingdings" w:hAnsi="Wingdings" w:hint="default"/>
      </w:rPr>
    </w:lvl>
    <w:lvl w:ilvl="6" w:tplc="C574A4A8" w:tentative="1">
      <w:start w:val="1"/>
      <w:numFmt w:val="bullet"/>
      <w:lvlText w:val=""/>
      <w:lvlJc w:val="start"/>
      <w:pPr>
        <w:ind w:start="255.40pt" w:hanging="18pt"/>
      </w:pPr>
      <w:rPr>
        <w:rFonts w:ascii="Symbol" w:hAnsi="Symbol" w:hint="default"/>
      </w:rPr>
    </w:lvl>
    <w:lvl w:ilvl="7" w:tplc="4ED8218E" w:tentative="1">
      <w:start w:val="1"/>
      <w:numFmt w:val="bullet"/>
      <w:lvlText w:val="o"/>
      <w:lvlJc w:val="start"/>
      <w:pPr>
        <w:ind w:start="291.35pt" w:hanging="18pt"/>
      </w:pPr>
      <w:rPr>
        <w:rFonts w:ascii="Courier New" w:hAnsi="Courier New" w:cs="Courier New" w:hint="default"/>
      </w:rPr>
    </w:lvl>
    <w:lvl w:ilvl="8" w:tplc="97922E36" w:tentative="1">
      <w:start w:val="1"/>
      <w:numFmt w:val="bullet"/>
      <w:lvlText w:val=""/>
      <w:lvlJc w:val="start"/>
      <w:pPr>
        <w:ind w:start="327.35pt" w:hanging="18pt"/>
      </w:pPr>
      <w:rPr>
        <w:rFonts w:ascii="Wingdings" w:hAnsi="Wingdings" w:hint="default"/>
      </w:rPr>
    </w:lvl>
  </w:abstractNum>
  <w:abstractNum w:abstractNumId="53" w15:restartNumberingAfterBreak="0">
    <w:nsid w:val="1D2F588E"/>
    <w:multiLevelType w:val="hybridMultilevel"/>
    <w:tmpl w:val="FCE80A56"/>
    <w:lvl w:ilvl="0" w:tplc="5D4CA846">
      <w:start w:val="1"/>
      <w:numFmt w:val="bullet"/>
      <w:lvlText w:val=""/>
      <w:lvlJc w:val="start"/>
      <w:pPr>
        <w:ind w:start="33.85pt" w:hanging="18pt"/>
      </w:pPr>
      <w:rPr>
        <w:rFonts w:ascii="Symbol" w:hAnsi="Symbol" w:hint="default"/>
      </w:rPr>
    </w:lvl>
    <w:lvl w:ilvl="1" w:tplc="183050BA" w:tentative="1">
      <w:start w:val="1"/>
      <w:numFmt w:val="bullet"/>
      <w:lvlText w:val="o"/>
      <w:lvlJc w:val="start"/>
      <w:pPr>
        <w:ind w:start="69.80pt" w:hanging="18pt"/>
      </w:pPr>
      <w:rPr>
        <w:rFonts w:ascii="Courier New" w:hAnsi="Courier New" w:cs="Courier New" w:hint="default"/>
      </w:rPr>
    </w:lvl>
    <w:lvl w:ilvl="2" w:tplc="5B843FB0" w:tentative="1">
      <w:start w:val="1"/>
      <w:numFmt w:val="bullet"/>
      <w:lvlText w:val=""/>
      <w:lvlJc w:val="start"/>
      <w:pPr>
        <w:ind w:start="105.85pt" w:hanging="18pt"/>
      </w:pPr>
      <w:rPr>
        <w:rFonts w:ascii="Wingdings" w:hAnsi="Wingdings" w:hint="default"/>
      </w:rPr>
    </w:lvl>
    <w:lvl w:ilvl="3" w:tplc="D256C754" w:tentative="1">
      <w:start w:val="1"/>
      <w:numFmt w:val="bullet"/>
      <w:lvlText w:val=""/>
      <w:lvlJc w:val="start"/>
      <w:pPr>
        <w:ind w:start="141.85pt" w:hanging="18pt"/>
      </w:pPr>
      <w:rPr>
        <w:rFonts w:ascii="Symbol" w:hAnsi="Symbol" w:hint="default"/>
      </w:rPr>
    </w:lvl>
    <w:lvl w:ilvl="4" w:tplc="7686674A" w:tentative="1">
      <w:start w:val="1"/>
      <w:numFmt w:val="bullet"/>
      <w:lvlText w:val="o"/>
      <w:lvlJc w:val="start"/>
      <w:pPr>
        <w:ind w:start="177.85pt" w:hanging="18pt"/>
      </w:pPr>
      <w:rPr>
        <w:rFonts w:ascii="Courier New" w:hAnsi="Courier New" w:cs="Courier New" w:hint="default"/>
      </w:rPr>
    </w:lvl>
    <w:lvl w:ilvl="5" w:tplc="E35E28C6" w:tentative="1">
      <w:start w:val="1"/>
      <w:numFmt w:val="bullet"/>
      <w:lvlText w:val=""/>
      <w:lvlJc w:val="start"/>
      <w:pPr>
        <w:ind w:start="213.85pt" w:hanging="18pt"/>
      </w:pPr>
      <w:rPr>
        <w:rFonts w:ascii="Wingdings" w:hAnsi="Wingdings" w:hint="default"/>
      </w:rPr>
    </w:lvl>
    <w:lvl w:ilvl="6" w:tplc="86F4B078" w:tentative="1">
      <w:start w:val="1"/>
      <w:numFmt w:val="bullet"/>
      <w:lvlText w:val=""/>
      <w:lvlJc w:val="start"/>
      <w:pPr>
        <w:ind w:start="249.85pt" w:hanging="18pt"/>
      </w:pPr>
      <w:rPr>
        <w:rFonts w:ascii="Symbol" w:hAnsi="Symbol" w:hint="default"/>
      </w:rPr>
    </w:lvl>
    <w:lvl w:ilvl="7" w:tplc="9F169FD6" w:tentative="1">
      <w:start w:val="1"/>
      <w:numFmt w:val="bullet"/>
      <w:lvlText w:val="o"/>
      <w:lvlJc w:val="start"/>
      <w:pPr>
        <w:ind w:start="285.85pt" w:hanging="18pt"/>
      </w:pPr>
      <w:rPr>
        <w:rFonts w:ascii="Courier New" w:hAnsi="Courier New" w:cs="Courier New" w:hint="default"/>
      </w:rPr>
    </w:lvl>
    <w:lvl w:ilvl="8" w:tplc="5EFA0586" w:tentative="1">
      <w:start w:val="1"/>
      <w:numFmt w:val="bullet"/>
      <w:lvlText w:val=""/>
      <w:lvlJc w:val="start"/>
      <w:pPr>
        <w:ind w:start="321.85pt" w:hanging="18pt"/>
      </w:pPr>
      <w:rPr>
        <w:rFonts w:ascii="Wingdings" w:hAnsi="Wingdings" w:hint="default"/>
      </w:rPr>
    </w:lvl>
  </w:abstractNum>
  <w:abstractNum w:abstractNumId="54" w15:restartNumberingAfterBreak="0">
    <w:nsid w:val="1E317001"/>
    <w:multiLevelType w:val="hybridMultilevel"/>
    <w:tmpl w:val="2DA8056A"/>
    <w:lvl w:ilvl="0" w:tplc="B262D11A">
      <w:start w:val="1"/>
      <w:numFmt w:val="bullet"/>
      <w:lvlText w:val=""/>
      <w:lvlJc w:val="start"/>
      <w:pPr>
        <w:ind w:start="36pt" w:hanging="18pt"/>
      </w:pPr>
      <w:rPr>
        <w:rFonts w:ascii="Symbol" w:hAnsi="Symbol" w:hint="default"/>
      </w:rPr>
    </w:lvl>
    <w:lvl w:ilvl="1" w:tplc="4F1445EA" w:tentative="1">
      <w:start w:val="1"/>
      <w:numFmt w:val="bullet"/>
      <w:lvlText w:val="o"/>
      <w:lvlJc w:val="start"/>
      <w:pPr>
        <w:ind w:start="72pt" w:hanging="18pt"/>
      </w:pPr>
      <w:rPr>
        <w:rFonts w:ascii="Courier New" w:hAnsi="Courier New" w:cs="Courier New" w:hint="default"/>
      </w:rPr>
    </w:lvl>
    <w:lvl w:ilvl="2" w:tplc="72C8F46A" w:tentative="1">
      <w:start w:val="1"/>
      <w:numFmt w:val="bullet"/>
      <w:lvlText w:val=""/>
      <w:lvlJc w:val="start"/>
      <w:pPr>
        <w:ind w:start="108pt" w:hanging="18pt"/>
      </w:pPr>
      <w:rPr>
        <w:rFonts w:ascii="Wingdings" w:hAnsi="Wingdings" w:hint="default"/>
      </w:rPr>
    </w:lvl>
    <w:lvl w:ilvl="3" w:tplc="4CACE4EA" w:tentative="1">
      <w:start w:val="1"/>
      <w:numFmt w:val="bullet"/>
      <w:lvlText w:val=""/>
      <w:lvlJc w:val="start"/>
      <w:pPr>
        <w:ind w:start="144pt" w:hanging="18pt"/>
      </w:pPr>
      <w:rPr>
        <w:rFonts w:ascii="Symbol" w:hAnsi="Symbol" w:hint="default"/>
      </w:rPr>
    </w:lvl>
    <w:lvl w:ilvl="4" w:tplc="74B0103A" w:tentative="1">
      <w:start w:val="1"/>
      <w:numFmt w:val="bullet"/>
      <w:lvlText w:val="o"/>
      <w:lvlJc w:val="start"/>
      <w:pPr>
        <w:ind w:start="180pt" w:hanging="18pt"/>
      </w:pPr>
      <w:rPr>
        <w:rFonts w:ascii="Courier New" w:hAnsi="Courier New" w:cs="Courier New" w:hint="default"/>
      </w:rPr>
    </w:lvl>
    <w:lvl w:ilvl="5" w:tplc="E062B930" w:tentative="1">
      <w:start w:val="1"/>
      <w:numFmt w:val="bullet"/>
      <w:lvlText w:val=""/>
      <w:lvlJc w:val="start"/>
      <w:pPr>
        <w:ind w:start="216pt" w:hanging="18pt"/>
      </w:pPr>
      <w:rPr>
        <w:rFonts w:ascii="Wingdings" w:hAnsi="Wingdings" w:hint="default"/>
      </w:rPr>
    </w:lvl>
    <w:lvl w:ilvl="6" w:tplc="EA60E3CE" w:tentative="1">
      <w:start w:val="1"/>
      <w:numFmt w:val="bullet"/>
      <w:lvlText w:val=""/>
      <w:lvlJc w:val="start"/>
      <w:pPr>
        <w:ind w:start="252pt" w:hanging="18pt"/>
      </w:pPr>
      <w:rPr>
        <w:rFonts w:ascii="Symbol" w:hAnsi="Symbol" w:hint="default"/>
      </w:rPr>
    </w:lvl>
    <w:lvl w:ilvl="7" w:tplc="E2DCD26C" w:tentative="1">
      <w:start w:val="1"/>
      <w:numFmt w:val="bullet"/>
      <w:lvlText w:val="o"/>
      <w:lvlJc w:val="start"/>
      <w:pPr>
        <w:ind w:start="288pt" w:hanging="18pt"/>
      </w:pPr>
      <w:rPr>
        <w:rFonts w:ascii="Courier New" w:hAnsi="Courier New" w:cs="Courier New" w:hint="default"/>
      </w:rPr>
    </w:lvl>
    <w:lvl w:ilvl="8" w:tplc="01E0379A" w:tentative="1">
      <w:start w:val="1"/>
      <w:numFmt w:val="bullet"/>
      <w:lvlText w:val=""/>
      <w:lvlJc w:val="start"/>
      <w:pPr>
        <w:ind w:start="324pt" w:hanging="18pt"/>
      </w:pPr>
      <w:rPr>
        <w:rFonts w:ascii="Wingdings" w:hAnsi="Wingdings" w:hint="default"/>
      </w:rPr>
    </w:lvl>
  </w:abstractNum>
  <w:abstractNum w:abstractNumId="55" w15:restartNumberingAfterBreak="0">
    <w:nsid w:val="1F6345A4"/>
    <w:multiLevelType w:val="hybridMultilevel"/>
    <w:tmpl w:val="EE4683A4"/>
    <w:lvl w:ilvl="0" w:tplc="3184E81E">
      <w:start w:val="1"/>
      <w:numFmt w:val="bullet"/>
      <w:lvlText w:val=""/>
      <w:lvlJc w:val="start"/>
      <w:pPr>
        <w:ind w:start="36pt" w:hanging="18pt"/>
      </w:pPr>
      <w:rPr>
        <w:rFonts w:ascii="Symbol" w:hAnsi="Symbol" w:hint="default"/>
      </w:rPr>
    </w:lvl>
    <w:lvl w:ilvl="1" w:tplc="487A036E">
      <w:start w:val="1"/>
      <w:numFmt w:val="bullet"/>
      <w:lvlText w:val="o"/>
      <w:lvlJc w:val="start"/>
      <w:pPr>
        <w:ind w:start="72pt" w:hanging="18pt"/>
      </w:pPr>
      <w:rPr>
        <w:rFonts w:ascii="Courier New" w:hAnsi="Courier New" w:cs="Courier New" w:hint="default"/>
      </w:rPr>
    </w:lvl>
    <w:lvl w:ilvl="2" w:tplc="E07CA6C8">
      <w:start w:val="1"/>
      <w:numFmt w:val="bullet"/>
      <w:lvlText w:val=""/>
      <w:lvlJc w:val="start"/>
      <w:pPr>
        <w:ind w:start="108pt" w:hanging="18pt"/>
      </w:pPr>
      <w:rPr>
        <w:rFonts w:ascii="Wingdings" w:hAnsi="Wingdings" w:hint="default"/>
      </w:rPr>
    </w:lvl>
    <w:lvl w:ilvl="3" w:tplc="E9E48258">
      <w:start w:val="1"/>
      <w:numFmt w:val="bullet"/>
      <w:lvlText w:val=""/>
      <w:lvlJc w:val="start"/>
      <w:pPr>
        <w:ind w:start="144pt" w:hanging="18pt"/>
      </w:pPr>
      <w:rPr>
        <w:rFonts w:ascii="Symbol" w:hAnsi="Symbol" w:hint="default"/>
      </w:rPr>
    </w:lvl>
    <w:lvl w:ilvl="4" w:tplc="E3FE427A">
      <w:start w:val="1"/>
      <w:numFmt w:val="bullet"/>
      <w:lvlText w:val="o"/>
      <w:lvlJc w:val="start"/>
      <w:pPr>
        <w:ind w:start="180pt" w:hanging="18pt"/>
      </w:pPr>
      <w:rPr>
        <w:rFonts w:ascii="Courier New" w:hAnsi="Courier New" w:cs="Courier New" w:hint="default"/>
      </w:rPr>
    </w:lvl>
    <w:lvl w:ilvl="5" w:tplc="B6F8CEAE">
      <w:start w:val="1"/>
      <w:numFmt w:val="bullet"/>
      <w:lvlText w:val=""/>
      <w:lvlJc w:val="start"/>
      <w:pPr>
        <w:ind w:start="216pt" w:hanging="18pt"/>
      </w:pPr>
      <w:rPr>
        <w:rFonts w:ascii="Wingdings" w:hAnsi="Wingdings" w:hint="default"/>
      </w:rPr>
    </w:lvl>
    <w:lvl w:ilvl="6" w:tplc="6AC8F0EA">
      <w:start w:val="1"/>
      <w:numFmt w:val="bullet"/>
      <w:lvlText w:val=""/>
      <w:lvlJc w:val="start"/>
      <w:pPr>
        <w:ind w:start="252pt" w:hanging="18pt"/>
      </w:pPr>
      <w:rPr>
        <w:rFonts w:ascii="Symbol" w:hAnsi="Symbol" w:hint="default"/>
      </w:rPr>
    </w:lvl>
    <w:lvl w:ilvl="7" w:tplc="DB34F884">
      <w:start w:val="1"/>
      <w:numFmt w:val="bullet"/>
      <w:lvlText w:val="o"/>
      <w:lvlJc w:val="start"/>
      <w:pPr>
        <w:ind w:start="288pt" w:hanging="18pt"/>
      </w:pPr>
      <w:rPr>
        <w:rFonts w:ascii="Courier New" w:hAnsi="Courier New" w:cs="Courier New" w:hint="default"/>
      </w:rPr>
    </w:lvl>
    <w:lvl w:ilvl="8" w:tplc="A0E4C5DC">
      <w:start w:val="1"/>
      <w:numFmt w:val="bullet"/>
      <w:lvlText w:val=""/>
      <w:lvlJc w:val="start"/>
      <w:pPr>
        <w:ind w:start="324pt" w:hanging="18pt"/>
      </w:pPr>
      <w:rPr>
        <w:rFonts w:ascii="Wingdings" w:hAnsi="Wingdings" w:hint="default"/>
      </w:rPr>
    </w:lvl>
  </w:abstractNum>
  <w:abstractNum w:abstractNumId="56" w15:restartNumberingAfterBreak="0">
    <w:nsid w:val="204D5478"/>
    <w:multiLevelType w:val="hybridMultilevel"/>
    <w:tmpl w:val="8DA0AF6E"/>
    <w:lvl w:ilvl="0" w:tplc="400A1EE8">
      <w:start w:val="1"/>
      <w:numFmt w:val="bullet"/>
      <w:lvlText w:val=""/>
      <w:lvlJc w:val="start"/>
      <w:pPr>
        <w:ind w:start="39.25pt" w:hanging="18pt"/>
      </w:pPr>
      <w:rPr>
        <w:rFonts w:ascii="Symbol" w:hAnsi="Symbol" w:hint="default"/>
      </w:rPr>
    </w:lvl>
    <w:lvl w:ilvl="1" w:tplc="1C8447F4" w:tentative="1">
      <w:start w:val="1"/>
      <w:numFmt w:val="bullet"/>
      <w:lvlText w:val="o"/>
      <w:lvlJc w:val="start"/>
      <w:pPr>
        <w:ind w:start="75.30pt" w:hanging="18pt"/>
      </w:pPr>
      <w:rPr>
        <w:rFonts w:ascii="Courier New" w:hAnsi="Courier New" w:cs="Courier New" w:hint="default"/>
      </w:rPr>
    </w:lvl>
    <w:lvl w:ilvl="2" w:tplc="EE20C666" w:tentative="1">
      <w:start w:val="1"/>
      <w:numFmt w:val="bullet"/>
      <w:lvlText w:val=""/>
      <w:lvlJc w:val="start"/>
      <w:pPr>
        <w:ind w:start="111.30pt" w:hanging="18pt"/>
      </w:pPr>
      <w:rPr>
        <w:rFonts w:ascii="Wingdings" w:hAnsi="Wingdings" w:hint="default"/>
      </w:rPr>
    </w:lvl>
    <w:lvl w:ilvl="3" w:tplc="B5EA47B2" w:tentative="1">
      <w:start w:val="1"/>
      <w:numFmt w:val="bullet"/>
      <w:lvlText w:val=""/>
      <w:lvlJc w:val="start"/>
      <w:pPr>
        <w:ind w:start="147.30pt" w:hanging="18pt"/>
      </w:pPr>
      <w:rPr>
        <w:rFonts w:ascii="Symbol" w:hAnsi="Symbol" w:hint="default"/>
      </w:rPr>
    </w:lvl>
    <w:lvl w:ilvl="4" w:tplc="D334F638" w:tentative="1">
      <w:start w:val="1"/>
      <w:numFmt w:val="bullet"/>
      <w:lvlText w:val="o"/>
      <w:lvlJc w:val="start"/>
      <w:pPr>
        <w:ind w:start="183.30pt" w:hanging="18pt"/>
      </w:pPr>
      <w:rPr>
        <w:rFonts w:ascii="Courier New" w:hAnsi="Courier New" w:cs="Courier New" w:hint="default"/>
      </w:rPr>
    </w:lvl>
    <w:lvl w:ilvl="5" w:tplc="4F6689A8" w:tentative="1">
      <w:start w:val="1"/>
      <w:numFmt w:val="bullet"/>
      <w:lvlText w:val=""/>
      <w:lvlJc w:val="start"/>
      <w:pPr>
        <w:ind w:start="219.30pt" w:hanging="18pt"/>
      </w:pPr>
      <w:rPr>
        <w:rFonts w:ascii="Wingdings" w:hAnsi="Wingdings" w:hint="default"/>
      </w:rPr>
    </w:lvl>
    <w:lvl w:ilvl="6" w:tplc="8D28A2C6" w:tentative="1">
      <w:start w:val="1"/>
      <w:numFmt w:val="bullet"/>
      <w:lvlText w:val=""/>
      <w:lvlJc w:val="start"/>
      <w:pPr>
        <w:ind w:start="255.30pt" w:hanging="18pt"/>
      </w:pPr>
      <w:rPr>
        <w:rFonts w:ascii="Symbol" w:hAnsi="Symbol" w:hint="default"/>
      </w:rPr>
    </w:lvl>
    <w:lvl w:ilvl="7" w:tplc="F17E1358" w:tentative="1">
      <w:start w:val="1"/>
      <w:numFmt w:val="bullet"/>
      <w:lvlText w:val="o"/>
      <w:lvlJc w:val="start"/>
      <w:pPr>
        <w:ind w:start="291.30pt" w:hanging="18pt"/>
      </w:pPr>
      <w:rPr>
        <w:rFonts w:ascii="Courier New" w:hAnsi="Courier New" w:cs="Courier New" w:hint="default"/>
      </w:rPr>
    </w:lvl>
    <w:lvl w:ilvl="8" w:tplc="9B129A30" w:tentative="1">
      <w:start w:val="1"/>
      <w:numFmt w:val="bullet"/>
      <w:lvlText w:val=""/>
      <w:lvlJc w:val="start"/>
      <w:pPr>
        <w:ind w:start="327.30pt" w:hanging="18pt"/>
      </w:pPr>
      <w:rPr>
        <w:rFonts w:ascii="Wingdings" w:hAnsi="Wingdings" w:hint="default"/>
      </w:rPr>
    </w:lvl>
  </w:abstractNum>
  <w:abstractNum w:abstractNumId="57" w15:restartNumberingAfterBreak="0">
    <w:nsid w:val="208E1210"/>
    <w:multiLevelType w:val="multilevel"/>
    <w:tmpl w:val="5D7484B0"/>
    <w:lvl w:ilvl="0">
      <w:start w:val="1"/>
      <w:numFmt w:val="decimal"/>
      <w:lvlText w:val="%1."/>
      <w:lvlJc w:val="start"/>
      <w:pPr>
        <w:tabs>
          <w:tab w:val="num" w:pos="0pt"/>
        </w:tabs>
        <w:ind w:start="18pt" w:hanging="18pt"/>
      </w:pPr>
      <w:rPr>
        <w:rFonts w:cs="Times New Roman" w:hint="default"/>
      </w:rPr>
    </w:lvl>
    <w:lvl w:ilvl="1">
      <w:numFmt w:val="none"/>
      <w:lvlText w:val="%26.1."/>
      <w:lvlJc w:val="start"/>
      <w:pPr>
        <w:tabs>
          <w:tab w:val="num" w:pos="0pt"/>
        </w:tabs>
        <w:ind w:start="21.60pt" w:hanging="21.60pt"/>
      </w:pPr>
      <w:rPr>
        <w:rFonts w:cs="Times New Roman" w:hint="default"/>
      </w:rPr>
    </w:lvl>
    <w:lvl w:ilvl="2">
      <w:start w:val="1"/>
      <w:numFmt w:val="decimal"/>
      <w:lvlText w:val="%1.%2.%3."/>
      <w:lvlJc w:val="start"/>
      <w:pPr>
        <w:tabs>
          <w:tab w:val="num" w:pos="0pt"/>
        </w:tabs>
        <w:ind w:start="61.20pt" w:hanging="25.20pt"/>
      </w:pPr>
      <w:rPr>
        <w:rFonts w:cs="Times New Roman" w:hint="default"/>
      </w:rPr>
    </w:lvl>
    <w:lvl w:ilvl="3">
      <w:start w:val="1"/>
      <w:numFmt w:val="decimal"/>
      <w:pStyle w:val="SUBCAP4"/>
      <w:lvlText w:val="%1.%2.%3.%4."/>
      <w:lvlJc w:val="start"/>
      <w:pPr>
        <w:tabs>
          <w:tab w:val="num" w:pos="0pt"/>
        </w:tabs>
        <w:ind w:start="86.40pt" w:hanging="32.40pt"/>
      </w:pPr>
      <w:rPr>
        <w:rFonts w:cs="Times New Roman" w:hint="default"/>
      </w:rPr>
    </w:lvl>
    <w:lvl w:ilvl="4">
      <w:start w:val="1"/>
      <w:numFmt w:val="decimal"/>
      <w:lvlText w:val="%1.%2.%3.%4.%5."/>
      <w:lvlJc w:val="start"/>
      <w:pPr>
        <w:tabs>
          <w:tab w:val="num" w:pos="0pt"/>
        </w:tabs>
        <w:ind w:start="111.60pt" w:hanging="39.60pt"/>
      </w:pPr>
      <w:rPr>
        <w:rFonts w:cs="Times New Roman" w:hint="default"/>
      </w:rPr>
    </w:lvl>
    <w:lvl w:ilvl="5">
      <w:start w:val="1"/>
      <w:numFmt w:val="decimal"/>
      <w:lvlText w:val="%1.%2.%3.%4.%5.%6."/>
      <w:lvlJc w:val="start"/>
      <w:pPr>
        <w:tabs>
          <w:tab w:val="num" w:pos="0pt"/>
        </w:tabs>
        <w:ind w:start="136.80pt" w:hanging="46.80pt"/>
      </w:pPr>
      <w:rPr>
        <w:rFonts w:cs="Times New Roman" w:hint="default"/>
      </w:rPr>
    </w:lvl>
    <w:lvl w:ilvl="6">
      <w:start w:val="1"/>
      <w:numFmt w:val="decimal"/>
      <w:lvlText w:val="%1.%2.%3.%4.%5.%6.%7."/>
      <w:lvlJc w:val="start"/>
      <w:pPr>
        <w:tabs>
          <w:tab w:val="num" w:pos="0pt"/>
        </w:tabs>
        <w:ind w:start="162pt" w:hanging="54pt"/>
      </w:pPr>
      <w:rPr>
        <w:rFonts w:cs="Times New Roman" w:hint="default"/>
      </w:rPr>
    </w:lvl>
    <w:lvl w:ilvl="7">
      <w:start w:val="1"/>
      <w:numFmt w:val="decimal"/>
      <w:lvlText w:val="%1.%2.%3.%4.%5.%6.%7.%8."/>
      <w:lvlJc w:val="start"/>
      <w:pPr>
        <w:tabs>
          <w:tab w:val="num" w:pos="0pt"/>
        </w:tabs>
        <w:ind w:start="187.20pt" w:hanging="61.20pt"/>
      </w:pPr>
      <w:rPr>
        <w:rFonts w:cs="Times New Roman" w:hint="default"/>
      </w:rPr>
    </w:lvl>
    <w:lvl w:ilvl="8">
      <w:start w:val="1"/>
      <w:numFmt w:val="decimal"/>
      <w:lvlText w:val="%1.%2.%3.%4.%5.%6.%7.%8.%9."/>
      <w:lvlJc w:val="start"/>
      <w:pPr>
        <w:tabs>
          <w:tab w:val="num" w:pos="0pt"/>
        </w:tabs>
        <w:ind w:start="216pt" w:hanging="72pt"/>
      </w:pPr>
      <w:rPr>
        <w:rFonts w:cs="Times New Roman" w:hint="default"/>
      </w:rPr>
    </w:lvl>
  </w:abstractNum>
  <w:abstractNum w:abstractNumId="58" w15:restartNumberingAfterBreak="0">
    <w:nsid w:val="20A76FEB"/>
    <w:multiLevelType w:val="hybridMultilevel"/>
    <w:tmpl w:val="C32ACFFE"/>
    <w:lvl w:ilvl="0" w:tplc="B95A29B6">
      <w:start w:val="1"/>
      <w:numFmt w:val="bullet"/>
      <w:lvlText w:val=""/>
      <w:lvlJc w:val="start"/>
      <w:pPr>
        <w:ind w:start="39.25pt" w:hanging="18pt"/>
      </w:pPr>
      <w:rPr>
        <w:rFonts w:ascii="Symbol" w:hAnsi="Symbol" w:hint="default"/>
      </w:rPr>
    </w:lvl>
    <w:lvl w:ilvl="1" w:tplc="8322325A" w:tentative="1">
      <w:start w:val="1"/>
      <w:numFmt w:val="bullet"/>
      <w:lvlText w:val="o"/>
      <w:lvlJc w:val="start"/>
      <w:pPr>
        <w:ind w:start="75.30pt" w:hanging="18pt"/>
      </w:pPr>
      <w:rPr>
        <w:rFonts w:ascii="Courier New" w:hAnsi="Courier New" w:cs="Courier New" w:hint="default"/>
      </w:rPr>
    </w:lvl>
    <w:lvl w:ilvl="2" w:tplc="1D080AA2" w:tentative="1">
      <w:start w:val="1"/>
      <w:numFmt w:val="bullet"/>
      <w:lvlText w:val=""/>
      <w:lvlJc w:val="start"/>
      <w:pPr>
        <w:ind w:start="111.30pt" w:hanging="18pt"/>
      </w:pPr>
      <w:rPr>
        <w:rFonts w:ascii="Wingdings" w:hAnsi="Wingdings" w:hint="default"/>
      </w:rPr>
    </w:lvl>
    <w:lvl w:ilvl="3" w:tplc="2C6808EE" w:tentative="1">
      <w:start w:val="1"/>
      <w:numFmt w:val="bullet"/>
      <w:lvlText w:val=""/>
      <w:lvlJc w:val="start"/>
      <w:pPr>
        <w:ind w:start="147.30pt" w:hanging="18pt"/>
      </w:pPr>
      <w:rPr>
        <w:rFonts w:ascii="Symbol" w:hAnsi="Symbol" w:hint="default"/>
      </w:rPr>
    </w:lvl>
    <w:lvl w:ilvl="4" w:tplc="142C5720" w:tentative="1">
      <w:start w:val="1"/>
      <w:numFmt w:val="bullet"/>
      <w:lvlText w:val="o"/>
      <w:lvlJc w:val="start"/>
      <w:pPr>
        <w:ind w:start="183.30pt" w:hanging="18pt"/>
      </w:pPr>
      <w:rPr>
        <w:rFonts w:ascii="Courier New" w:hAnsi="Courier New" w:cs="Courier New" w:hint="default"/>
      </w:rPr>
    </w:lvl>
    <w:lvl w:ilvl="5" w:tplc="CCD479B4" w:tentative="1">
      <w:start w:val="1"/>
      <w:numFmt w:val="bullet"/>
      <w:lvlText w:val=""/>
      <w:lvlJc w:val="start"/>
      <w:pPr>
        <w:ind w:start="219.30pt" w:hanging="18pt"/>
      </w:pPr>
      <w:rPr>
        <w:rFonts w:ascii="Wingdings" w:hAnsi="Wingdings" w:hint="default"/>
      </w:rPr>
    </w:lvl>
    <w:lvl w:ilvl="6" w:tplc="6CC0737E" w:tentative="1">
      <w:start w:val="1"/>
      <w:numFmt w:val="bullet"/>
      <w:lvlText w:val=""/>
      <w:lvlJc w:val="start"/>
      <w:pPr>
        <w:ind w:start="255.30pt" w:hanging="18pt"/>
      </w:pPr>
      <w:rPr>
        <w:rFonts w:ascii="Symbol" w:hAnsi="Symbol" w:hint="default"/>
      </w:rPr>
    </w:lvl>
    <w:lvl w:ilvl="7" w:tplc="1B841036" w:tentative="1">
      <w:start w:val="1"/>
      <w:numFmt w:val="bullet"/>
      <w:lvlText w:val="o"/>
      <w:lvlJc w:val="start"/>
      <w:pPr>
        <w:ind w:start="291.30pt" w:hanging="18pt"/>
      </w:pPr>
      <w:rPr>
        <w:rFonts w:ascii="Courier New" w:hAnsi="Courier New" w:cs="Courier New" w:hint="default"/>
      </w:rPr>
    </w:lvl>
    <w:lvl w:ilvl="8" w:tplc="64CA1AEC" w:tentative="1">
      <w:start w:val="1"/>
      <w:numFmt w:val="bullet"/>
      <w:lvlText w:val=""/>
      <w:lvlJc w:val="start"/>
      <w:pPr>
        <w:ind w:start="327.30pt" w:hanging="18pt"/>
      </w:pPr>
      <w:rPr>
        <w:rFonts w:ascii="Wingdings" w:hAnsi="Wingdings" w:hint="default"/>
      </w:rPr>
    </w:lvl>
  </w:abstractNum>
  <w:abstractNum w:abstractNumId="59" w15:restartNumberingAfterBreak="0">
    <w:nsid w:val="20DA7FD6"/>
    <w:multiLevelType w:val="hybridMultilevel"/>
    <w:tmpl w:val="1FFC7494"/>
    <w:lvl w:ilvl="0" w:tplc="080A0001">
      <w:start w:val="1"/>
      <w:numFmt w:val="bullet"/>
      <w:lvlText w:val=""/>
      <w:lvlJc w:val="start"/>
      <w:pPr>
        <w:ind w:start="36pt" w:hanging="18pt"/>
      </w:pPr>
      <w:rPr>
        <w:rFonts w:ascii="Symbol" w:hAnsi="Symbol" w:hint="default"/>
      </w:rPr>
    </w:lvl>
    <w:lvl w:ilvl="1" w:tplc="080A0003">
      <w:start w:val="1"/>
      <w:numFmt w:val="bullet"/>
      <w:lvlText w:val="o"/>
      <w:lvlJc w:val="start"/>
      <w:pPr>
        <w:ind w:start="72pt" w:hanging="18pt"/>
      </w:pPr>
      <w:rPr>
        <w:rFonts w:ascii="Courier New" w:hAnsi="Courier New" w:cs="Courier New" w:hint="default"/>
      </w:rPr>
    </w:lvl>
    <w:lvl w:ilvl="2" w:tplc="080A0005">
      <w:start w:val="1"/>
      <w:numFmt w:val="bullet"/>
      <w:lvlText w:val=""/>
      <w:lvlJc w:val="start"/>
      <w:pPr>
        <w:ind w:start="108pt" w:hanging="18pt"/>
      </w:pPr>
      <w:rPr>
        <w:rFonts w:ascii="Wingdings" w:hAnsi="Wingdings" w:hint="default"/>
      </w:rPr>
    </w:lvl>
    <w:lvl w:ilvl="3" w:tplc="080A0001">
      <w:start w:val="1"/>
      <w:numFmt w:val="bullet"/>
      <w:lvlText w:val=""/>
      <w:lvlJc w:val="start"/>
      <w:pPr>
        <w:ind w:start="144pt" w:hanging="18pt"/>
      </w:pPr>
      <w:rPr>
        <w:rFonts w:ascii="Symbol" w:hAnsi="Symbol" w:hint="default"/>
      </w:rPr>
    </w:lvl>
    <w:lvl w:ilvl="4" w:tplc="080A0003">
      <w:start w:val="1"/>
      <w:numFmt w:val="bullet"/>
      <w:lvlText w:val="o"/>
      <w:lvlJc w:val="start"/>
      <w:pPr>
        <w:ind w:start="180pt" w:hanging="18pt"/>
      </w:pPr>
      <w:rPr>
        <w:rFonts w:ascii="Courier New" w:hAnsi="Courier New" w:cs="Courier New" w:hint="default"/>
      </w:rPr>
    </w:lvl>
    <w:lvl w:ilvl="5" w:tplc="080A0005">
      <w:start w:val="1"/>
      <w:numFmt w:val="bullet"/>
      <w:lvlText w:val=""/>
      <w:lvlJc w:val="start"/>
      <w:pPr>
        <w:ind w:start="216pt" w:hanging="18pt"/>
      </w:pPr>
      <w:rPr>
        <w:rFonts w:ascii="Wingdings" w:hAnsi="Wingdings" w:hint="default"/>
      </w:rPr>
    </w:lvl>
    <w:lvl w:ilvl="6" w:tplc="080A0001">
      <w:start w:val="1"/>
      <w:numFmt w:val="bullet"/>
      <w:lvlText w:val=""/>
      <w:lvlJc w:val="start"/>
      <w:pPr>
        <w:ind w:start="252pt" w:hanging="18pt"/>
      </w:pPr>
      <w:rPr>
        <w:rFonts w:ascii="Symbol" w:hAnsi="Symbol" w:hint="default"/>
      </w:rPr>
    </w:lvl>
    <w:lvl w:ilvl="7" w:tplc="080A0003">
      <w:start w:val="1"/>
      <w:numFmt w:val="bullet"/>
      <w:lvlText w:val="o"/>
      <w:lvlJc w:val="start"/>
      <w:pPr>
        <w:ind w:start="288pt" w:hanging="18pt"/>
      </w:pPr>
      <w:rPr>
        <w:rFonts w:ascii="Courier New" w:hAnsi="Courier New" w:cs="Courier New" w:hint="default"/>
      </w:rPr>
    </w:lvl>
    <w:lvl w:ilvl="8" w:tplc="080A0005">
      <w:start w:val="1"/>
      <w:numFmt w:val="bullet"/>
      <w:lvlText w:val=""/>
      <w:lvlJc w:val="start"/>
      <w:pPr>
        <w:ind w:start="324pt" w:hanging="18pt"/>
      </w:pPr>
      <w:rPr>
        <w:rFonts w:ascii="Wingdings" w:hAnsi="Wingdings" w:hint="default"/>
      </w:rPr>
    </w:lvl>
  </w:abstractNum>
  <w:abstractNum w:abstractNumId="60" w15:restartNumberingAfterBreak="0">
    <w:nsid w:val="20E34ECE"/>
    <w:multiLevelType w:val="hybridMultilevel"/>
    <w:tmpl w:val="39A252D2"/>
    <w:lvl w:ilvl="0" w:tplc="BEDC9D76">
      <w:start w:val="1"/>
      <w:numFmt w:val="lowerLetter"/>
      <w:pStyle w:val="Lsegunda"/>
      <w:lvlText w:val="%1)"/>
      <w:lvlJc w:val="start"/>
      <w:pPr>
        <w:ind w:start="108pt" w:hanging="18pt"/>
      </w:pPr>
    </w:lvl>
    <w:lvl w:ilvl="1" w:tplc="61D4660C" w:tentative="1">
      <w:start w:val="1"/>
      <w:numFmt w:val="lowerLetter"/>
      <w:lvlText w:val="%2."/>
      <w:lvlJc w:val="start"/>
      <w:pPr>
        <w:ind w:start="144pt" w:hanging="18pt"/>
      </w:pPr>
    </w:lvl>
    <w:lvl w:ilvl="2" w:tplc="4F4C6F10" w:tentative="1">
      <w:start w:val="1"/>
      <w:numFmt w:val="lowerRoman"/>
      <w:lvlText w:val="%3."/>
      <w:lvlJc w:val="end"/>
      <w:pPr>
        <w:ind w:start="180pt" w:hanging="9pt"/>
      </w:pPr>
    </w:lvl>
    <w:lvl w:ilvl="3" w:tplc="47E20840" w:tentative="1">
      <w:start w:val="1"/>
      <w:numFmt w:val="decimal"/>
      <w:lvlText w:val="%4."/>
      <w:lvlJc w:val="start"/>
      <w:pPr>
        <w:ind w:start="216pt" w:hanging="18pt"/>
      </w:pPr>
    </w:lvl>
    <w:lvl w:ilvl="4" w:tplc="CCBAAB14" w:tentative="1">
      <w:start w:val="1"/>
      <w:numFmt w:val="lowerLetter"/>
      <w:lvlText w:val="%5."/>
      <w:lvlJc w:val="start"/>
      <w:pPr>
        <w:ind w:start="252pt" w:hanging="18pt"/>
      </w:pPr>
    </w:lvl>
    <w:lvl w:ilvl="5" w:tplc="8A5A25D2" w:tentative="1">
      <w:start w:val="1"/>
      <w:numFmt w:val="lowerRoman"/>
      <w:lvlText w:val="%6."/>
      <w:lvlJc w:val="end"/>
      <w:pPr>
        <w:ind w:start="288pt" w:hanging="9pt"/>
      </w:pPr>
    </w:lvl>
    <w:lvl w:ilvl="6" w:tplc="65643906" w:tentative="1">
      <w:start w:val="1"/>
      <w:numFmt w:val="decimal"/>
      <w:lvlText w:val="%7."/>
      <w:lvlJc w:val="start"/>
      <w:pPr>
        <w:ind w:start="324pt" w:hanging="18pt"/>
      </w:pPr>
    </w:lvl>
    <w:lvl w:ilvl="7" w:tplc="E5F0BF98" w:tentative="1">
      <w:start w:val="1"/>
      <w:numFmt w:val="lowerLetter"/>
      <w:lvlText w:val="%8."/>
      <w:lvlJc w:val="start"/>
      <w:pPr>
        <w:ind w:start="360pt" w:hanging="18pt"/>
      </w:pPr>
    </w:lvl>
    <w:lvl w:ilvl="8" w:tplc="B7F25486" w:tentative="1">
      <w:start w:val="1"/>
      <w:numFmt w:val="lowerRoman"/>
      <w:lvlText w:val="%9."/>
      <w:lvlJc w:val="end"/>
      <w:pPr>
        <w:ind w:start="396pt" w:hanging="9pt"/>
      </w:pPr>
    </w:lvl>
  </w:abstractNum>
  <w:abstractNum w:abstractNumId="61" w15:restartNumberingAfterBreak="0">
    <w:nsid w:val="21C83216"/>
    <w:multiLevelType w:val="hybridMultilevel"/>
    <w:tmpl w:val="84AE8B2C"/>
    <w:lvl w:ilvl="0" w:tplc="F16AF16A">
      <w:start w:val="1"/>
      <w:numFmt w:val="bullet"/>
      <w:lvlText w:val=""/>
      <w:lvlJc w:val="start"/>
      <w:pPr>
        <w:ind w:start="36pt" w:hanging="18pt"/>
      </w:pPr>
      <w:rPr>
        <w:rFonts w:ascii="Symbol" w:hAnsi="Symbol" w:hint="default"/>
      </w:rPr>
    </w:lvl>
    <w:lvl w:ilvl="1" w:tplc="1F2C6152">
      <w:start w:val="1"/>
      <w:numFmt w:val="bullet"/>
      <w:lvlText w:val="o"/>
      <w:lvlJc w:val="start"/>
      <w:pPr>
        <w:ind w:start="72pt" w:hanging="18pt"/>
      </w:pPr>
      <w:rPr>
        <w:rFonts w:ascii="Courier New" w:hAnsi="Courier New" w:cs="Courier New" w:hint="default"/>
      </w:rPr>
    </w:lvl>
    <w:lvl w:ilvl="2" w:tplc="223CCFF4">
      <w:start w:val="1"/>
      <w:numFmt w:val="bullet"/>
      <w:lvlText w:val=""/>
      <w:lvlJc w:val="start"/>
      <w:pPr>
        <w:ind w:start="108pt" w:hanging="18pt"/>
      </w:pPr>
      <w:rPr>
        <w:rFonts w:ascii="Wingdings" w:hAnsi="Wingdings" w:hint="default"/>
      </w:rPr>
    </w:lvl>
    <w:lvl w:ilvl="3" w:tplc="779ABDE6">
      <w:start w:val="1"/>
      <w:numFmt w:val="bullet"/>
      <w:lvlText w:val=""/>
      <w:lvlJc w:val="start"/>
      <w:pPr>
        <w:ind w:start="144pt" w:hanging="18pt"/>
      </w:pPr>
      <w:rPr>
        <w:rFonts w:ascii="Symbol" w:hAnsi="Symbol" w:hint="default"/>
      </w:rPr>
    </w:lvl>
    <w:lvl w:ilvl="4" w:tplc="C3ECBE36">
      <w:start w:val="1"/>
      <w:numFmt w:val="bullet"/>
      <w:lvlText w:val="o"/>
      <w:lvlJc w:val="start"/>
      <w:pPr>
        <w:ind w:start="180pt" w:hanging="18pt"/>
      </w:pPr>
      <w:rPr>
        <w:rFonts w:ascii="Courier New" w:hAnsi="Courier New" w:cs="Courier New" w:hint="default"/>
      </w:rPr>
    </w:lvl>
    <w:lvl w:ilvl="5" w:tplc="CDD2B104">
      <w:start w:val="1"/>
      <w:numFmt w:val="bullet"/>
      <w:lvlText w:val=""/>
      <w:lvlJc w:val="start"/>
      <w:pPr>
        <w:ind w:start="216pt" w:hanging="18pt"/>
      </w:pPr>
      <w:rPr>
        <w:rFonts w:ascii="Wingdings" w:hAnsi="Wingdings" w:hint="default"/>
      </w:rPr>
    </w:lvl>
    <w:lvl w:ilvl="6" w:tplc="81226270">
      <w:start w:val="1"/>
      <w:numFmt w:val="bullet"/>
      <w:lvlText w:val=""/>
      <w:lvlJc w:val="start"/>
      <w:pPr>
        <w:ind w:start="252pt" w:hanging="18pt"/>
      </w:pPr>
      <w:rPr>
        <w:rFonts w:ascii="Symbol" w:hAnsi="Symbol" w:hint="default"/>
      </w:rPr>
    </w:lvl>
    <w:lvl w:ilvl="7" w:tplc="E85A6F3E">
      <w:start w:val="1"/>
      <w:numFmt w:val="bullet"/>
      <w:lvlText w:val="o"/>
      <w:lvlJc w:val="start"/>
      <w:pPr>
        <w:ind w:start="288pt" w:hanging="18pt"/>
      </w:pPr>
      <w:rPr>
        <w:rFonts w:ascii="Courier New" w:hAnsi="Courier New" w:cs="Courier New" w:hint="default"/>
      </w:rPr>
    </w:lvl>
    <w:lvl w:ilvl="8" w:tplc="39D031D6">
      <w:start w:val="1"/>
      <w:numFmt w:val="bullet"/>
      <w:lvlText w:val=""/>
      <w:lvlJc w:val="start"/>
      <w:pPr>
        <w:ind w:start="324pt" w:hanging="18pt"/>
      </w:pPr>
      <w:rPr>
        <w:rFonts w:ascii="Wingdings" w:hAnsi="Wingdings" w:hint="default"/>
      </w:rPr>
    </w:lvl>
  </w:abstractNum>
  <w:abstractNum w:abstractNumId="62" w15:restartNumberingAfterBreak="0">
    <w:nsid w:val="23511282"/>
    <w:multiLevelType w:val="hybridMultilevel"/>
    <w:tmpl w:val="85E404DA"/>
    <w:lvl w:ilvl="0" w:tplc="080A000D">
      <w:start w:val="1"/>
      <w:numFmt w:val="bullet"/>
      <w:lvlText w:val=""/>
      <w:lvlJc w:val="start"/>
      <w:pPr>
        <w:ind w:start="36pt" w:hanging="18pt"/>
      </w:pPr>
      <w:rPr>
        <w:rFonts w:ascii="Wingdings" w:hAnsi="Wingdings" w:hint="default"/>
      </w:rPr>
    </w:lvl>
    <w:lvl w:ilvl="1" w:tplc="080A0003">
      <w:start w:val="1"/>
      <w:numFmt w:val="bullet"/>
      <w:lvlText w:val="o"/>
      <w:lvlJc w:val="start"/>
      <w:pPr>
        <w:ind w:start="72pt" w:hanging="18pt"/>
      </w:pPr>
      <w:rPr>
        <w:rFonts w:ascii="Courier New" w:hAnsi="Courier New" w:cs="Courier New" w:hint="default"/>
      </w:rPr>
    </w:lvl>
    <w:lvl w:ilvl="2" w:tplc="080A0005">
      <w:start w:val="1"/>
      <w:numFmt w:val="bullet"/>
      <w:lvlText w:val=""/>
      <w:lvlJc w:val="start"/>
      <w:pPr>
        <w:ind w:start="108pt" w:hanging="18pt"/>
      </w:pPr>
      <w:rPr>
        <w:rFonts w:ascii="Wingdings" w:hAnsi="Wingdings" w:hint="default"/>
      </w:rPr>
    </w:lvl>
    <w:lvl w:ilvl="3" w:tplc="080A0001">
      <w:start w:val="1"/>
      <w:numFmt w:val="bullet"/>
      <w:lvlText w:val=""/>
      <w:lvlJc w:val="start"/>
      <w:pPr>
        <w:ind w:start="144pt" w:hanging="18pt"/>
      </w:pPr>
      <w:rPr>
        <w:rFonts w:ascii="Symbol" w:hAnsi="Symbol" w:hint="default"/>
      </w:rPr>
    </w:lvl>
    <w:lvl w:ilvl="4" w:tplc="080A0003">
      <w:start w:val="1"/>
      <w:numFmt w:val="bullet"/>
      <w:lvlText w:val="o"/>
      <w:lvlJc w:val="start"/>
      <w:pPr>
        <w:ind w:start="180pt" w:hanging="18pt"/>
      </w:pPr>
      <w:rPr>
        <w:rFonts w:ascii="Courier New" w:hAnsi="Courier New" w:cs="Courier New" w:hint="default"/>
      </w:rPr>
    </w:lvl>
    <w:lvl w:ilvl="5" w:tplc="080A0005">
      <w:start w:val="1"/>
      <w:numFmt w:val="bullet"/>
      <w:lvlText w:val=""/>
      <w:lvlJc w:val="start"/>
      <w:pPr>
        <w:ind w:start="216pt" w:hanging="18pt"/>
      </w:pPr>
      <w:rPr>
        <w:rFonts w:ascii="Wingdings" w:hAnsi="Wingdings" w:hint="default"/>
      </w:rPr>
    </w:lvl>
    <w:lvl w:ilvl="6" w:tplc="080A0001">
      <w:start w:val="1"/>
      <w:numFmt w:val="bullet"/>
      <w:lvlText w:val=""/>
      <w:lvlJc w:val="start"/>
      <w:pPr>
        <w:ind w:start="252pt" w:hanging="18pt"/>
      </w:pPr>
      <w:rPr>
        <w:rFonts w:ascii="Symbol" w:hAnsi="Symbol" w:hint="default"/>
      </w:rPr>
    </w:lvl>
    <w:lvl w:ilvl="7" w:tplc="080A0003">
      <w:start w:val="1"/>
      <w:numFmt w:val="bullet"/>
      <w:lvlText w:val="o"/>
      <w:lvlJc w:val="start"/>
      <w:pPr>
        <w:ind w:start="288pt" w:hanging="18pt"/>
      </w:pPr>
      <w:rPr>
        <w:rFonts w:ascii="Courier New" w:hAnsi="Courier New" w:cs="Courier New" w:hint="default"/>
      </w:rPr>
    </w:lvl>
    <w:lvl w:ilvl="8" w:tplc="080A0005">
      <w:start w:val="1"/>
      <w:numFmt w:val="bullet"/>
      <w:lvlText w:val=""/>
      <w:lvlJc w:val="start"/>
      <w:pPr>
        <w:ind w:start="324pt" w:hanging="18pt"/>
      </w:pPr>
      <w:rPr>
        <w:rFonts w:ascii="Wingdings" w:hAnsi="Wingdings" w:hint="default"/>
      </w:rPr>
    </w:lvl>
  </w:abstractNum>
  <w:abstractNum w:abstractNumId="63" w15:restartNumberingAfterBreak="0">
    <w:nsid w:val="239016F4"/>
    <w:multiLevelType w:val="hybridMultilevel"/>
    <w:tmpl w:val="950A1856"/>
    <w:lvl w:ilvl="0" w:tplc="365E40F2">
      <w:start w:val="1"/>
      <w:numFmt w:val="bullet"/>
      <w:lvlText w:val=""/>
      <w:lvlJc w:val="start"/>
      <w:pPr>
        <w:ind w:start="36pt" w:hanging="18pt"/>
      </w:pPr>
      <w:rPr>
        <w:rFonts w:ascii="Symbol" w:hAnsi="Symbol" w:hint="default"/>
      </w:rPr>
    </w:lvl>
    <w:lvl w:ilvl="1" w:tplc="14AA037C" w:tentative="1">
      <w:start w:val="1"/>
      <w:numFmt w:val="bullet"/>
      <w:lvlText w:val="o"/>
      <w:lvlJc w:val="start"/>
      <w:pPr>
        <w:ind w:start="72pt" w:hanging="18pt"/>
      </w:pPr>
      <w:rPr>
        <w:rFonts w:ascii="Courier New" w:hAnsi="Courier New" w:cs="Courier New" w:hint="default"/>
      </w:rPr>
    </w:lvl>
    <w:lvl w:ilvl="2" w:tplc="EEA0F9F4" w:tentative="1">
      <w:start w:val="1"/>
      <w:numFmt w:val="bullet"/>
      <w:lvlText w:val=""/>
      <w:lvlJc w:val="start"/>
      <w:pPr>
        <w:ind w:start="108pt" w:hanging="18pt"/>
      </w:pPr>
      <w:rPr>
        <w:rFonts w:ascii="Wingdings" w:hAnsi="Wingdings" w:hint="default"/>
      </w:rPr>
    </w:lvl>
    <w:lvl w:ilvl="3" w:tplc="BD607EF2" w:tentative="1">
      <w:start w:val="1"/>
      <w:numFmt w:val="bullet"/>
      <w:lvlText w:val=""/>
      <w:lvlJc w:val="start"/>
      <w:pPr>
        <w:ind w:start="144pt" w:hanging="18pt"/>
      </w:pPr>
      <w:rPr>
        <w:rFonts w:ascii="Symbol" w:hAnsi="Symbol" w:hint="default"/>
      </w:rPr>
    </w:lvl>
    <w:lvl w:ilvl="4" w:tplc="6A4EC7DE" w:tentative="1">
      <w:start w:val="1"/>
      <w:numFmt w:val="bullet"/>
      <w:lvlText w:val="o"/>
      <w:lvlJc w:val="start"/>
      <w:pPr>
        <w:ind w:start="180pt" w:hanging="18pt"/>
      </w:pPr>
      <w:rPr>
        <w:rFonts w:ascii="Courier New" w:hAnsi="Courier New" w:cs="Courier New" w:hint="default"/>
      </w:rPr>
    </w:lvl>
    <w:lvl w:ilvl="5" w:tplc="3B00ED64" w:tentative="1">
      <w:start w:val="1"/>
      <w:numFmt w:val="bullet"/>
      <w:lvlText w:val=""/>
      <w:lvlJc w:val="start"/>
      <w:pPr>
        <w:ind w:start="216pt" w:hanging="18pt"/>
      </w:pPr>
      <w:rPr>
        <w:rFonts w:ascii="Wingdings" w:hAnsi="Wingdings" w:hint="default"/>
      </w:rPr>
    </w:lvl>
    <w:lvl w:ilvl="6" w:tplc="DB2E1C74" w:tentative="1">
      <w:start w:val="1"/>
      <w:numFmt w:val="bullet"/>
      <w:lvlText w:val=""/>
      <w:lvlJc w:val="start"/>
      <w:pPr>
        <w:ind w:start="252pt" w:hanging="18pt"/>
      </w:pPr>
      <w:rPr>
        <w:rFonts w:ascii="Symbol" w:hAnsi="Symbol" w:hint="default"/>
      </w:rPr>
    </w:lvl>
    <w:lvl w:ilvl="7" w:tplc="1840CF9C" w:tentative="1">
      <w:start w:val="1"/>
      <w:numFmt w:val="bullet"/>
      <w:lvlText w:val="o"/>
      <w:lvlJc w:val="start"/>
      <w:pPr>
        <w:ind w:start="288pt" w:hanging="18pt"/>
      </w:pPr>
      <w:rPr>
        <w:rFonts w:ascii="Courier New" w:hAnsi="Courier New" w:cs="Courier New" w:hint="default"/>
      </w:rPr>
    </w:lvl>
    <w:lvl w:ilvl="8" w:tplc="2EA2505E" w:tentative="1">
      <w:start w:val="1"/>
      <w:numFmt w:val="bullet"/>
      <w:lvlText w:val=""/>
      <w:lvlJc w:val="start"/>
      <w:pPr>
        <w:ind w:start="324pt" w:hanging="18pt"/>
      </w:pPr>
      <w:rPr>
        <w:rFonts w:ascii="Wingdings" w:hAnsi="Wingdings" w:hint="default"/>
      </w:rPr>
    </w:lvl>
  </w:abstractNum>
  <w:abstractNum w:abstractNumId="64" w15:restartNumberingAfterBreak="0">
    <w:nsid w:val="23BC21D6"/>
    <w:multiLevelType w:val="hybridMultilevel"/>
    <w:tmpl w:val="9502E4EE"/>
    <w:lvl w:ilvl="0" w:tplc="D4DC921E">
      <w:start w:val="1"/>
      <w:numFmt w:val="bullet"/>
      <w:lvlText w:val=""/>
      <w:lvlJc w:val="start"/>
      <w:pPr>
        <w:ind w:start="36pt" w:hanging="18pt"/>
      </w:pPr>
      <w:rPr>
        <w:rFonts w:ascii="Symbol" w:hAnsi="Symbol" w:hint="default"/>
      </w:rPr>
    </w:lvl>
    <w:lvl w:ilvl="1" w:tplc="3132C858" w:tentative="1">
      <w:start w:val="1"/>
      <w:numFmt w:val="bullet"/>
      <w:lvlText w:val="o"/>
      <w:lvlJc w:val="start"/>
      <w:pPr>
        <w:ind w:start="72pt" w:hanging="18pt"/>
      </w:pPr>
      <w:rPr>
        <w:rFonts w:ascii="Courier New" w:hAnsi="Courier New" w:cs="Courier New" w:hint="default"/>
      </w:rPr>
    </w:lvl>
    <w:lvl w:ilvl="2" w:tplc="52607D82" w:tentative="1">
      <w:start w:val="1"/>
      <w:numFmt w:val="bullet"/>
      <w:lvlText w:val=""/>
      <w:lvlJc w:val="start"/>
      <w:pPr>
        <w:ind w:start="108pt" w:hanging="18pt"/>
      </w:pPr>
      <w:rPr>
        <w:rFonts w:ascii="Wingdings" w:hAnsi="Wingdings" w:hint="default"/>
      </w:rPr>
    </w:lvl>
    <w:lvl w:ilvl="3" w:tplc="71B252E8" w:tentative="1">
      <w:start w:val="1"/>
      <w:numFmt w:val="bullet"/>
      <w:lvlText w:val=""/>
      <w:lvlJc w:val="start"/>
      <w:pPr>
        <w:ind w:start="144pt" w:hanging="18pt"/>
      </w:pPr>
      <w:rPr>
        <w:rFonts w:ascii="Symbol" w:hAnsi="Symbol" w:hint="default"/>
      </w:rPr>
    </w:lvl>
    <w:lvl w:ilvl="4" w:tplc="03D41FEE" w:tentative="1">
      <w:start w:val="1"/>
      <w:numFmt w:val="bullet"/>
      <w:lvlText w:val="o"/>
      <w:lvlJc w:val="start"/>
      <w:pPr>
        <w:ind w:start="180pt" w:hanging="18pt"/>
      </w:pPr>
      <w:rPr>
        <w:rFonts w:ascii="Courier New" w:hAnsi="Courier New" w:cs="Courier New" w:hint="default"/>
      </w:rPr>
    </w:lvl>
    <w:lvl w:ilvl="5" w:tplc="4978F602" w:tentative="1">
      <w:start w:val="1"/>
      <w:numFmt w:val="bullet"/>
      <w:lvlText w:val=""/>
      <w:lvlJc w:val="start"/>
      <w:pPr>
        <w:ind w:start="216pt" w:hanging="18pt"/>
      </w:pPr>
      <w:rPr>
        <w:rFonts w:ascii="Wingdings" w:hAnsi="Wingdings" w:hint="default"/>
      </w:rPr>
    </w:lvl>
    <w:lvl w:ilvl="6" w:tplc="53D699C6" w:tentative="1">
      <w:start w:val="1"/>
      <w:numFmt w:val="bullet"/>
      <w:lvlText w:val=""/>
      <w:lvlJc w:val="start"/>
      <w:pPr>
        <w:ind w:start="252pt" w:hanging="18pt"/>
      </w:pPr>
      <w:rPr>
        <w:rFonts w:ascii="Symbol" w:hAnsi="Symbol" w:hint="default"/>
      </w:rPr>
    </w:lvl>
    <w:lvl w:ilvl="7" w:tplc="BBBCAF38" w:tentative="1">
      <w:start w:val="1"/>
      <w:numFmt w:val="bullet"/>
      <w:lvlText w:val="o"/>
      <w:lvlJc w:val="start"/>
      <w:pPr>
        <w:ind w:start="288pt" w:hanging="18pt"/>
      </w:pPr>
      <w:rPr>
        <w:rFonts w:ascii="Courier New" w:hAnsi="Courier New" w:cs="Courier New" w:hint="default"/>
      </w:rPr>
    </w:lvl>
    <w:lvl w:ilvl="8" w:tplc="8B607990" w:tentative="1">
      <w:start w:val="1"/>
      <w:numFmt w:val="bullet"/>
      <w:lvlText w:val=""/>
      <w:lvlJc w:val="start"/>
      <w:pPr>
        <w:ind w:start="324pt" w:hanging="18pt"/>
      </w:pPr>
      <w:rPr>
        <w:rFonts w:ascii="Wingdings" w:hAnsi="Wingdings" w:hint="default"/>
      </w:rPr>
    </w:lvl>
  </w:abstractNum>
  <w:abstractNum w:abstractNumId="65" w15:restartNumberingAfterBreak="0">
    <w:nsid w:val="24091A11"/>
    <w:multiLevelType w:val="hybridMultilevel"/>
    <w:tmpl w:val="361E6FB4"/>
    <w:lvl w:ilvl="0" w:tplc="48983B50">
      <w:start w:val="1"/>
      <w:numFmt w:val="bullet"/>
      <w:lvlText w:val=""/>
      <w:lvlJc w:val="start"/>
      <w:pPr>
        <w:ind w:start="36pt" w:hanging="18pt"/>
      </w:pPr>
      <w:rPr>
        <w:rFonts w:ascii="Wingdings" w:hAnsi="Wingdings" w:hint="default"/>
      </w:rPr>
    </w:lvl>
    <w:lvl w:ilvl="1" w:tplc="E6828DDA" w:tentative="1">
      <w:start w:val="1"/>
      <w:numFmt w:val="bullet"/>
      <w:lvlText w:val="o"/>
      <w:lvlJc w:val="start"/>
      <w:pPr>
        <w:ind w:start="72pt" w:hanging="18pt"/>
      </w:pPr>
      <w:rPr>
        <w:rFonts w:ascii="Courier New" w:hAnsi="Courier New" w:cs="Courier New" w:hint="default"/>
      </w:rPr>
    </w:lvl>
    <w:lvl w:ilvl="2" w:tplc="4782C86A" w:tentative="1">
      <w:start w:val="1"/>
      <w:numFmt w:val="bullet"/>
      <w:lvlText w:val=""/>
      <w:lvlJc w:val="start"/>
      <w:pPr>
        <w:ind w:start="108pt" w:hanging="18pt"/>
      </w:pPr>
      <w:rPr>
        <w:rFonts w:ascii="Wingdings" w:hAnsi="Wingdings" w:hint="default"/>
      </w:rPr>
    </w:lvl>
    <w:lvl w:ilvl="3" w:tplc="126AC388" w:tentative="1">
      <w:start w:val="1"/>
      <w:numFmt w:val="bullet"/>
      <w:lvlText w:val=""/>
      <w:lvlJc w:val="start"/>
      <w:pPr>
        <w:ind w:start="144pt" w:hanging="18pt"/>
      </w:pPr>
      <w:rPr>
        <w:rFonts w:ascii="Symbol" w:hAnsi="Symbol" w:hint="default"/>
      </w:rPr>
    </w:lvl>
    <w:lvl w:ilvl="4" w:tplc="CC80CF8C" w:tentative="1">
      <w:start w:val="1"/>
      <w:numFmt w:val="bullet"/>
      <w:lvlText w:val="o"/>
      <w:lvlJc w:val="start"/>
      <w:pPr>
        <w:ind w:start="180pt" w:hanging="18pt"/>
      </w:pPr>
      <w:rPr>
        <w:rFonts w:ascii="Courier New" w:hAnsi="Courier New" w:cs="Courier New" w:hint="default"/>
      </w:rPr>
    </w:lvl>
    <w:lvl w:ilvl="5" w:tplc="CE60EE6A" w:tentative="1">
      <w:start w:val="1"/>
      <w:numFmt w:val="bullet"/>
      <w:lvlText w:val=""/>
      <w:lvlJc w:val="start"/>
      <w:pPr>
        <w:ind w:start="216pt" w:hanging="18pt"/>
      </w:pPr>
      <w:rPr>
        <w:rFonts w:ascii="Wingdings" w:hAnsi="Wingdings" w:hint="default"/>
      </w:rPr>
    </w:lvl>
    <w:lvl w:ilvl="6" w:tplc="121639B6" w:tentative="1">
      <w:start w:val="1"/>
      <w:numFmt w:val="bullet"/>
      <w:lvlText w:val=""/>
      <w:lvlJc w:val="start"/>
      <w:pPr>
        <w:ind w:start="252pt" w:hanging="18pt"/>
      </w:pPr>
      <w:rPr>
        <w:rFonts w:ascii="Symbol" w:hAnsi="Symbol" w:hint="default"/>
      </w:rPr>
    </w:lvl>
    <w:lvl w:ilvl="7" w:tplc="49221F44" w:tentative="1">
      <w:start w:val="1"/>
      <w:numFmt w:val="bullet"/>
      <w:lvlText w:val="o"/>
      <w:lvlJc w:val="start"/>
      <w:pPr>
        <w:ind w:start="288pt" w:hanging="18pt"/>
      </w:pPr>
      <w:rPr>
        <w:rFonts w:ascii="Courier New" w:hAnsi="Courier New" w:cs="Courier New" w:hint="default"/>
      </w:rPr>
    </w:lvl>
    <w:lvl w:ilvl="8" w:tplc="BDCEFF78" w:tentative="1">
      <w:start w:val="1"/>
      <w:numFmt w:val="bullet"/>
      <w:lvlText w:val=""/>
      <w:lvlJc w:val="start"/>
      <w:pPr>
        <w:ind w:start="324pt" w:hanging="18pt"/>
      </w:pPr>
      <w:rPr>
        <w:rFonts w:ascii="Wingdings" w:hAnsi="Wingdings" w:hint="default"/>
      </w:rPr>
    </w:lvl>
  </w:abstractNum>
  <w:abstractNum w:abstractNumId="66" w15:restartNumberingAfterBreak="0">
    <w:nsid w:val="24A17938"/>
    <w:multiLevelType w:val="hybridMultilevel"/>
    <w:tmpl w:val="31D642D6"/>
    <w:lvl w:ilvl="0" w:tplc="080A000D">
      <w:start w:val="1"/>
      <w:numFmt w:val="bullet"/>
      <w:lvlText w:val=""/>
      <w:lvlJc w:val="start"/>
      <w:pPr>
        <w:ind w:start="37.70pt" w:hanging="18pt"/>
      </w:pPr>
      <w:rPr>
        <w:rFonts w:ascii="Wingdings" w:hAnsi="Wingdings" w:hint="default"/>
      </w:rPr>
    </w:lvl>
    <w:lvl w:ilvl="1" w:tplc="080A0003">
      <w:start w:val="1"/>
      <w:numFmt w:val="bullet"/>
      <w:lvlText w:val="o"/>
      <w:lvlJc w:val="start"/>
      <w:pPr>
        <w:ind w:start="73.70pt" w:hanging="18pt"/>
      </w:pPr>
      <w:rPr>
        <w:rFonts w:ascii="Courier New" w:hAnsi="Courier New" w:cs="Courier New" w:hint="default"/>
      </w:rPr>
    </w:lvl>
    <w:lvl w:ilvl="2" w:tplc="080A0005">
      <w:start w:val="1"/>
      <w:numFmt w:val="bullet"/>
      <w:lvlText w:val=""/>
      <w:lvlJc w:val="start"/>
      <w:pPr>
        <w:ind w:start="109.70pt" w:hanging="18pt"/>
      </w:pPr>
      <w:rPr>
        <w:rFonts w:ascii="Wingdings" w:hAnsi="Wingdings" w:hint="default"/>
      </w:rPr>
    </w:lvl>
    <w:lvl w:ilvl="3" w:tplc="080A0001">
      <w:start w:val="1"/>
      <w:numFmt w:val="bullet"/>
      <w:lvlText w:val=""/>
      <w:lvlJc w:val="start"/>
      <w:pPr>
        <w:ind w:start="145.70pt" w:hanging="18pt"/>
      </w:pPr>
      <w:rPr>
        <w:rFonts w:ascii="Symbol" w:hAnsi="Symbol" w:hint="default"/>
      </w:rPr>
    </w:lvl>
    <w:lvl w:ilvl="4" w:tplc="080A0003">
      <w:start w:val="1"/>
      <w:numFmt w:val="bullet"/>
      <w:lvlText w:val="o"/>
      <w:lvlJc w:val="start"/>
      <w:pPr>
        <w:ind w:start="181.70pt" w:hanging="18pt"/>
      </w:pPr>
      <w:rPr>
        <w:rFonts w:ascii="Courier New" w:hAnsi="Courier New" w:cs="Courier New" w:hint="default"/>
      </w:rPr>
    </w:lvl>
    <w:lvl w:ilvl="5" w:tplc="080A0005">
      <w:start w:val="1"/>
      <w:numFmt w:val="bullet"/>
      <w:lvlText w:val=""/>
      <w:lvlJc w:val="start"/>
      <w:pPr>
        <w:ind w:start="217.70pt" w:hanging="18pt"/>
      </w:pPr>
      <w:rPr>
        <w:rFonts w:ascii="Wingdings" w:hAnsi="Wingdings" w:hint="default"/>
      </w:rPr>
    </w:lvl>
    <w:lvl w:ilvl="6" w:tplc="080A0001">
      <w:start w:val="1"/>
      <w:numFmt w:val="bullet"/>
      <w:lvlText w:val=""/>
      <w:lvlJc w:val="start"/>
      <w:pPr>
        <w:ind w:start="253.70pt" w:hanging="18pt"/>
      </w:pPr>
      <w:rPr>
        <w:rFonts w:ascii="Symbol" w:hAnsi="Symbol" w:hint="default"/>
      </w:rPr>
    </w:lvl>
    <w:lvl w:ilvl="7" w:tplc="080A0003">
      <w:start w:val="1"/>
      <w:numFmt w:val="bullet"/>
      <w:lvlText w:val="o"/>
      <w:lvlJc w:val="start"/>
      <w:pPr>
        <w:ind w:start="289.70pt" w:hanging="18pt"/>
      </w:pPr>
      <w:rPr>
        <w:rFonts w:ascii="Courier New" w:hAnsi="Courier New" w:cs="Courier New" w:hint="default"/>
      </w:rPr>
    </w:lvl>
    <w:lvl w:ilvl="8" w:tplc="080A0005">
      <w:start w:val="1"/>
      <w:numFmt w:val="bullet"/>
      <w:lvlText w:val=""/>
      <w:lvlJc w:val="start"/>
      <w:pPr>
        <w:ind w:start="325.70pt" w:hanging="18pt"/>
      </w:pPr>
      <w:rPr>
        <w:rFonts w:ascii="Wingdings" w:hAnsi="Wingdings" w:hint="default"/>
      </w:rPr>
    </w:lvl>
  </w:abstractNum>
  <w:abstractNum w:abstractNumId="67" w15:restartNumberingAfterBreak="0">
    <w:nsid w:val="24AF78C9"/>
    <w:multiLevelType w:val="hybridMultilevel"/>
    <w:tmpl w:val="AAA645D8"/>
    <w:lvl w:ilvl="0" w:tplc="080A0017">
      <w:start w:val="1"/>
      <w:numFmt w:val="lowerLetter"/>
      <w:lvlText w:val="%1)"/>
      <w:lvlJc w:val="start"/>
      <w:pPr>
        <w:ind w:start="36pt" w:hanging="18pt"/>
      </w:pPr>
      <w:rPr>
        <w:rFonts w:hint="default"/>
      </w:rPr>
    </w:lvl>
    <w:lvl w:ilvl="1" w:tplc="080A0019" w:tentative="1">
      <w:start w:val="1"/>
      <w:numFmt w:val="lowerLetter"/>
      <w:lvlText w:val="%2."/>
      <w:lvlJc w:val="start"/>
      <w:pPr>
        <w:ind w:start="72pt" w:hanging="18pt"/>
      </w:pPr>
    </w:lvl>
    <w:lvl w:ilvl="2" w:tplc="080A001B" w:tentative="1">
      <w:start w:val="1"/>
      <w:numFmt w:val="lowerRoman"/>
      <w:lvlText w:val="%3."/>
      <w:lvlJc w:val="end"/>
      <w:pPr>
        <w:ind w:start="108pt" w:hanging="9pt"/>
      </w:pPr>
    </w:lvl>
    <w:lvl w:ilvl="3" w:tplc="080A000F" w:tentative="1">
      <w:start w:val="1"/>
      <w:numFmt w:val="decimal"/>
      <w:lvlText w:val="%4."/>
      <w:lvlJc w:val="start"/>
      <w:pPr>
        <w:ind w:start="144pt" w:hanging="18pt"/>
      </w:pPr>
    </w:lvl>
    <w:lvl w:ilvl="4" w:tplc="080A0019" w:tentative="1">
      <w:start w:val="1"/>
      <w:numFmt w:val="lowerLetter"/>
      <w:lvlText w:val="%5."/>
      <w:lvlJc w:val="start"/>
      <w:pPr>
        <w:ind w:start="180pt" w:hanging="18pt"/>
      </w:pPr>
    </w:lvl>
    <w:lvl w:ilvl="5" w:tplc="080A001B" w:tentative="1">
      <w:start w:val="1"/>
      <w:numFmt w:val="lowerRoman"/>
      <w:lvlText w:val="%6."/>
      <w:lvlJc w:val="end"/>
      <w:pPr>
        <w:ind w:start="216pt" w:hanging="9pt"/>
      </w:pPr>
    </w:lvl>
    <w:lvl w:ilvl="6" w:tplc="080A000F" w:tentative="1">
      <w:start w:val="1"/>
      <w:numFmt w:val="decimal"/>
      <w:lvlText w:val="%7."/>
      <w:lvlJc w:val="start"/>
      <w:pPr>
        <w:ind w:start="252pt" w:hanging="18pt"/>
      </w:pPr>
    </w:lvl>
    <w:lvl w:ilvl="7" w:tplc="080A0019" w:tentative="1">
      <w:start w:val="1"/>
      <w:numFmt w:val="lowerLetter"/>
      <w:lvlText w:val="%8."/>
      <w:lvlJc w:val="start"/>
      <w:pPr>
        <w:ind w:start="288pt" w:hanging="18pt"/>
      </w:pPr>
    </w:lvl>
    <w:lvl w:ilvl="8" w:tplc="080A001B" w:tentative="1">
      <w:start w:val="1"/>
      <w:numFmt w:val="lowerRoman"/>
      <w:lvlText w:val="%9."/>
      <w:lvlJc w:val="end"/>
      <w:pPr>
        <w:ind w:start="324pt" w:hanging="9pt"/>
      </w:pPr>
    </w:lvl>
  </w:abstractNum>
  <w:abstractNum w:abstractNumId="68" w15:restartNumberingAfterBreak="0">
    <w:nsid w:val="258B0F52"/>
    <w:multiLevelType w:val="hybridMultilevel"/>
    <w:tmpl w:val="F3EA1EB6"/>
    <w:lvl w:ilvl="0" w:tplc="217A97B8">
      <w:start w:val="1"/>
      <w:numFmt w:val="bullet"/>
      <w:lvlText w:val=""/>
      <w:lvlJc w:val="start"/>
      <w:pPr>
        <w:ind w:start="36pt" w:hanging="18pt"/>
      </w:pPr>
      <w:rPr>
        <w:rFonts w:ascii="Wingdings" w:hAnsi="Wingdings" w:hint="default"/>
      </w:rPr>
    </w:lvl>
    <w:lvl w:ilvl="1" w:tplc="DD9663EE" w:tentative="1">
      <w:start w:val="1"/>
      <w:numFmt w:val="bullet"/>
      <w:lvlText w:val="o"/>
      <w:lvlJc w:val="start"/>
      <w:pPr>
        <w:ind w:start="72pt" w:hanging="18pt"/>
      </w:pPr>
      <w:rPr>
        <w:rFonts w:ascii="Courier New" w:hAnsi="Courier New" w:cs="Courier New" w:hint="default"/>
      </w:rPr>
    </w:lvl>
    <w:lvl w:ilvl="2" w:tplc="03DA1C4C" w:tentative="1">
      <w:start w:val="1"/>
      <w:numFmt w:val="bullet"/>
      <w:lvlText w:val=""/>
      <w:lvlJc w:val="start"/>
      <w:pPr>
        <w:ind w:start="108pt" w:hanging="18pt"/>
      </w:pPr>
      <w:rPr>
        <w:rFonts w:ascii="Wingdings" w:hAnsi="Wingdings" w:hint="default"/>
      </w:rPr>
    </w:lvl>
    <w:lvl w:ilvl="3" w:tplc="F676A338" w:tentative="1">
      <w:start w:val="1"/>
      <w:numFmt w:val="bullet"/>
      <w:lvlText w:val=""/>
      <w:lvlJc w:val="start"/>
      <w:pPr>
        <w:ind w:start="144pt" w:hanging="18pt"/>
      </w:pPr>
      <w:rPr>
        <w:rFonts w:ascii="Symbol" w:hAnsi="Symbol" w:hint="default"/>
      </w:rPr>
    </w:lvl>
    <w:lvl w:ilvl="4" w:tplc="4A66B7D6" w:tentative="1">
      <w:start w:val="1"/>
      <w:numFmt w:val="bullet"/>
      <w:lvlText w:val="o"/>
      <w:lvlJc w:val="start"/>
      <w:pPr>
        <w:ind w:start="180pt" w:hanging="18pt"/>
      </w:pPr>
      <w:rPr>
        <w:rFonts w:ascii="Courier New" w:hAnsi="Courier New" w:cs="Courier New" w:hint="default"/>
      </w:rPr>
    </w:lvl>
    <w:lvl w:ilvl="5" w:tplc="007AC604" w:tentative="1">
      <w:start w:val="1"/>
      <w:numFmt w:val="bullet"/>
      <w:lvlText w:val=""/>
      <w:lvlJc w:val="start"/>
      <w:pPr>
        <w:ind w:start="216pt" w:hanging="18pt"/>
      </w:pPr>
      <w:rPr>
        <w:rFonts w:ascii="Wingdings" w:hAnsi="Wingdings" w:hint="default"/>
      </w:rPr>
    </w:lvl>
    <w:lvl w:ilvl="6" w:tplc="270EA7B6" w:tentative="1">
      <w:start w:val="1"/>
      <w:numFmt w:val="bullet"/>
      <w:lvlText w:val=""/>
      <w:lvlJc w:val="start"/>
      <w:pPr>
        <w:ind w:start="252pt" w:hanging="18pt"/>
      </w:pPr>
      <w:rPr>
        <w:rFonts w:ascii="Symbol" w:hAnsi="Symbol" w:hint="default"/>
      </w:rPr>
    </w:lvl>
    <w:lvl w:ilvl="7" w:tplc="8B443B26" w:tentative="1">
      <w:start w:val="1"/>
      <w:numFmt w:val="bullet"/>
      <w:lvlText w:val="o"/>
      <w:lvlJc w:val="start"/>
      <w:pPr>
        <w:ind w:start="288pt" w:hanging="18pt"/>
      </w:pPr>
      <w:rPr>
        <w:rFonts w:ascii="Courier New" w:hAnsi="Courier New" w:cs="Courier New" w:hint="default"/>
      </w:rPr>
    </w:lvl>
    <w:lvl w:ilvl="8" w:tplc="97E002A4" w:tentative="1">
      <w:start w:val="1"/>
      <w:numFmt w:val="bullet"/>
      <w:lvlText w:val=""/>
      <w:lvlJc w:val="start"/>
      <w:pPr>
        <w:ind w:start="324pt" w:hanging="18pt"/>
      </w:pPr>
      <w:rPr>
        <w:rFonts w:ascii="Wingdings" w:hAnsi="Wingdings" w:hint="default"/>
      </w:rPr>
    </w:lvl>
  </w:abstractNum>
  <w:abstractNum w:abstractNumId="69" w15:restartNumberingAfterBreak="0">
    <w:nsid w:val="25AE3E0C"/>
    <w:multiLevelType w:val="hybridMultilevel"/>
    <w:tmpl w:val="B8FE949A"/>
    <w:lvl w:ilvl="0" w:tplc="EAC8B826">
      <w:start w:val="1"/>
      <w:numFmt w:val="bullet"/>
      <w:lvlText w:val=""/>
      <w:lvlJc w:val="start"/>
      <w:pPr>
        <w:ind w:start="39.25pt" w:hanging="18pt"/>
      </w:pPr>
      <w:rPr>
        <w:rFonts w:ascii="Symbol" w:hAnsi="Symbol" w:hint="default"/>
      </w:rPr>
    </w:lvl>
    <w:lvl w:ilvl="1" w:tplc="2AE6391A">
      <w:start w:val="1"/>
      <w:numFmt w:val="bullet"/>
      <w:lvlText w:val="o"/>
      <w:lvlJc w:val="start"/>
      <w:pPr>
        <w:ind w:start="75.30pt" w:hanging="18pt"/>
      </w:pPr>
      <w:rPr>
        <w:rFonts w:ascii="Courier New" w:hAnsi="Courier New" w:cs="Courier New" w:hint="default"/>
      </w:rPr>
    </w:lvl>
    <w:lvl w:ilvl="2" w:tplc="2CF89B9E">
      <w:start w:val="1"/>
      <w:numFmt w:val="bullet"/>
      <w:lvlText w:val=""/>
      <w:lvlJc w:val="start"/>
      <w:pPr>
        <w:ind w:start="111.30pt" w:hanging="18pt"/>
      </w:pPr>
      <w:rPr>
        <w:rFonts w:ascii="Wingdings" w:hAnsi="Wingdings" w:hint="default"/>
      </w:rPr>
    </w:lvl>
    <w:lvl w:ilvl="3" w:tplc="8B9A1DB2">
      <w:start w:val="1"/>
      <w:numFmt w:val="bullet"/>
      <w:lvlText w:val=""/>
      <w:lvlJc w:val="start"/>
      <w:pPr>
        <w:ind w:start="147.30pt" w:hanging="18pt"/>
      </w:pPr>
      <w:rPr>
        <w:rFonts w:ascii="Symbol" w:hAnsi="Symbol" w:hint="default"/>
      </w:rPr>
    </w:lvl>
    <w:lvl w:ilvl="4" w:tplc="B718C72A">
      <w:start w:val="1"/>
      <w:numFmt w:val="bullet"/>
      <w:lvlText w:val="o"/>
      <w:lvlJc w:val="start"/>
      <w:pPr>
        <w:ind w:start="183.30pt" w:hanging="18pt"/>
      </w:pPr>
      <w:rPr>
        <w:rFonts w:ascii="Courier New" w:hAnsi="Courier New" w:cs="Courier New" w:hint="default"/>
      </w:rPr>
    </w:lvl>
    <w:lvl w:ilvl="5" w:tplc="5254B1DE">
      <w:start w:val="1"/>
      <w:numFmt w:val="bullet"/>
      <w:lvlText w:val=""/>
      <w:lvlJc w:val="start"/>
      <w:pPr>
        <w:ind w:start="219.30pt" w:hanging="18pt"/>
      </w:pPr>
      <w:rPr>
        <w:rFonts w:ascii="Wingdings" w:hAnsi="Wingdings" w:hint="default"/>
      </w:rPr>
    </w:lvl>
    <w:lvl w:ilvl="6" w:tplc="31C81526">
      <w:start w:val="1"/>
      <w:numFmt w:val="bullet"/>
      <w:lvlText w:val=""/>
      <w:lvlJc w:val="start"/>
      <w:pPr>
        <w:ind w:start="255.30pt" w:hanging="18pt"/>
      </w:pPr>
      <w:rPr>
        <w:rFonts w:ascii="Symbol" w:hAnsi="Symbol" w:hint="default"/>
      </w:rPr>
    </w:lvl>
    <w:lvl w:ilvl="7" w:tplc="A2783FB4">
      <w:start w:val="1"/>
      <w:numFmt w:val="bullet"/>
      <w:lvlText w:val="o"/>
      <w:lvlJc w:val="start"/>
      <w:pPr>
        <w:ind w:start="291.30pt" w:hanging="18pt"/>
      </w:pPr>
      <w:rPr>
        <w:rFonts w:ascii="Courier New" w:hAnsi="Courier New" w:cs="Courier New" w:hint="default"/>
      </w:rPr>
    </w:lvl>
    <w:lvl w:ilvl="8" w:tplc="7152F894">
      <w:start w:val="1"/>
      <w:numFmt w:val="bullet"/>
      <w:lvlText w:val=""/>
      <w:lvlJc w:val="start"/>
      <w:pPr>
        <w:ind w:start="327.30pt" w:hanging="18pt"/>
      </w:pPr>
      <w:rPr>
        <w:rFonts w:ascii="Wingdings" w:hAnsi="Wingdings" w:hint="default"/>
      </w:rPr>
    </w:lvl>
  </w:abstractNum>
  <w:abstractNum w:abstractNumId="70" w15:restartNumberingAfterBreak="0">
    <w:nsid w:val="25BD01C6"/>
    <w:multiLevelType w:val="hybridMultilevel"/>
    <w:tmpl w:val="26E68B40"/>
    <w:lvl w:ilvl="0" w:tplc="13D8B68C">
      <w:start w:val="1"/>
      <w:numFmt w:val="bullet"/>
      <w:lvlText w:val=""/>
      <w:lvlJc w:val="start"/>
      <w:pPr>
        <w:ind w:start="18pt" w:hanging="18pt"/>
      </w:pPr>
      <w:rPr>
        <w:rFonts w:ascii="Wingdings" w:hAnsi="Wingdings" w:hint="default"/>
      </w:rPr>
    </w:lvl>
    <w:lvl w:ilvl="1" w:tplc="93F48F54">
      <w:start w:val="1"/>
      <w:numFmt w:val="bullet"/>
      <w:lvlText w:val="o"/>
      <w:lvlJc w:val="start"/>
      <w:pPr>
        <w:ind w:start="90pt" w:hanging="18pt"/>
      </w:pPr>
      <w:rPr>
        <w:rFonts w:ascii="Courier New" w:hAnsi="Courier New" w:cs="Courier New" w:hint="default"/>
      </w:rPr>
    </w:lvl>
    <w:lvl w:ilvl="2" w:tplc="34D43118">
      <w:start w:val="1"/>
      <w:numFmt w:val="bullet"/>
      <w:lvlText w:val=""/>
      <w:lvlJc w:val="start"/>
      <w:pPr>
        <w:ind w:start="126pt" w:hanging="18pt"/>
      </w:pPr>
      <w:rPr>
        <w:rFonts w:ascii="Wingdings" w:hAnsi="Wingdings" w:hint="default"/>
      </w:rPr>
    </w:lvl>
    <w:lvl w:ilvl="3" w:tplc="D81C5DE8">
      <w:start w:val="1"/>
      <w:numFmt w:val="bullet"/>
      <w:lvlText w:val=""/>
      <w:lvlJc w:val="start"/>
      <w:pPr>
        <w:ind w:start="162pt" w:hanging="18pt"/>
      </w:pPr>
      <w:rPr>
        <w:rFonts w:ascii="Symbol" w:hAnsi="Symbol" w:hint="default"/>
      </w:rPr>
    </w:lvl>
    <w:lvl w:ilvl="4" w:tplc="1C0C7292">
      <w:start w:val="1"/>
      <w:numFmt w:val="bullet"/>
      <w:lvlText w:val="o"/>
      <w:lvlJc w:val="start"/>
      <w:pPr>
        <w:ind w:start="198pt" w:hanging="18pt"/>
      </w:pPr>
      <w:rPr>
        <w:rFonts w:ascii="Courier New" w:hAnsi="Courier New" w:cs="Courier New" w:hint="default"/>
      </w:rPr>
    </w:lvl>
    <w:lvl w:ilvl="5" w:tplc="E1C8524C">
      <w:start w:val="1"/>
      <w:numFmt w:val="bullet"/>
      <w:lvlText w:val=""/>
      <w:lvlJc w:val="start"/>
      <w:pPr>
        <w:ind w:start="234pt" w:hanging="18pt"/>
      </w:pPr>
      <w:rPr>
        <w:rFonts w:ascii="Wingdings" w:hAnsi="Wingdings" w:hint="default"/>
      </w:rPr>
    </w:lvl>
    <w:lvl w:ilvl="6" w:tplc="AFF84658">
      <w:start w:val="1"/>
      <w:numFmt w:val="bullet"/>
      <w:lvlText w:val=""/>
      <w:lvlJc w:val="start"/>
      <w:pPr>
        <w:ind w:start="270pt" w:hanging="18pt"/>
      </w:pPr>
      <w:rPr>
        <w:rFonts w:ascii="Symbol" w:hAnsi="Symbol" w:hint="default"/>
      </w:rPr>
    </w:lvl>
    <w:lvl w:ilvl="7" w:tplc="EB3E2862">
      <w:start w:val="1"/>
      <w:numFmt w:val="bullet"/>
      <w:lvlText w:val="o"/>
      <w:lvlJc w:val="start"/>
      <w:pPr>
        <w:ind w:start="306pt" w:hanging="18pt"/>
      </w:pPr>
      <w:rPr>
        <w:rFonts w:ascii="Courier New" w:hAnsi="Courier New" w:cs="Courier New" w:hint="default"/>
      </w:rPr>
    </w:lvl>
    <w:lvl w:ilvl="8" w:tplc="8E3ACEA0">
      <w:start w:val="1"/>
      <w:numFmt w:val="bullet"/>
      <w:lvlText w:val=""/>
      <w:lvlJc w:val="start"/>
      <w:pPr>
        <w:ind w:start="342pt" w:hanging="18pt"/>
      </w:pPr>
      <w:rPr>
        <w:rFonts w:ascii="Wingdings" w:hAnsi="Wingdings" w:hint="default"/>
      </w:rPr>
    </w:lvl>
  </w:abstractNum>
  <w:abstractNum w:abstractNumId="71" w15:restartNumberingAfterBreak="0">
    <w:nsid w:val="265B38EB"/>
    <w:multiLevelType w:val="hybridMultilevel"/>
    <w:tmpl w:val="AE7680F6"/>
    <w:lvl w:ilvl="0" w:tplc="2EB2ECA2">
      <w:start w:val="1"/>
      <w:numFmt w:val="bullet"/>
      <w:lvlText w:val=""/>
      <w:lvlJc w:val="start"/>
      <w:pPr>
        <w:ind w:start="39.25pt" w:hanging="18pt"/>
      </w:pPr>
      <w:rPr>
        <w:rFonts w:ascii="Symbol" w:hAnsi="Symbol" w:hint="default"/>
      </w:rPr>
    </w:lvl>
    <w:lvl w:ilvl="1" w:tplc="B9D258B2" w:tentative="1">
      <w:start w:val="1"/>
      <w:numFmt w:val="bullet"/>
      <w:lvlText w:val="o"/>
      <w:lvlJc w:val="start"/>
      <w:pPr>
        <w:ind w:start="75.30pt" w:hanging="18pt"/>
      </w:pPr>
      <w:rPr>
        <w:rFonts w:ascii="Courier New" w:hAnsi="Courier New" w:cs="Courier New" w:hint="default"/>
      </w:rPr>
    </w:lvl>
    <w:lvl w:ilvl="2" w:tplc="356846BC" w:tentative="1">
      <w:start w:val="1"/>
      <w:numFmt w:val="bullet"/>
      <w:lvlText w:val=""/>
      <w:lvlJc w:val="start"/>
      <w:pPr>
        <w:ind w:start="111.30pt" w:hanging="18pt"/>
      </w:pPr>
      <w:rPr>
        <w:rFonts w:ascii="Wingdings" w:hAnsi="Wingdings" w:hint="default"/>
      </w:rPr>
    </w:lvl>
    <w:lvl w:ilvl="3" w:tplc="186A09F4" w:tentative="1">
      <w:start w:val="1"/>
      <w:numFmt w:val="bullet"/>
      <w:lvlText w:val=""/>
      <w:lvlJc w:val="start"/>
      <w:pPr>
        <w:ind w:start="147.30pt" w:hanging="18pt"/>
      </w:pPr>
      <w:rPr>
        <w:rFonts w:ascii="Symbol" w:hAnsi="Symbol" w:hint="default"/>
      </w:rPr>
    </w:lvl>
    <w:lvl w:ilvl="4" w:tplc="3008FEA8" w:tentative="1">
      <w:start w:val="1"/>
      <w:numFmt w:val="bullet"/>
      <w:lvlText w:val="o"/>
      <w:lvlJc w:val="start"/>
      <w:pPr>
        <w:ind w:start="183.30pt" w:hanging="18pt"/>
      </w:pPr>
      <w:rPr>
        <w:rFonts w:ascii="Courier New" w:hAnsi="Courier New" w:cs="Courier New" w:hint="default"/>
      </w:rPr>
    </w:lvl>
    <w:lvl w:ilvl="5" w:tplc="272635F0" w:tentative="1">
      <w:start w:val="1"/>
      <w:numFmt w:val="bullet"/>
      <w:lvlText w:val=""/>
      <w:lvlJc w:val="start"/>
      <w:pPr>
        <w:ind w:start="219.30pt" w:hanging="18pt"/>
      </w:pPr>
      <w:rPr>
        <w:rFonts w:ascii="Wingdings" w:hAnsi="Wingdings" w:hint="default"/>
      </w:rPr>
    </w:lvl>
    <w:lvl w:ilvl="6" w:tplc="8C9EEB0A" w:tentative="1">
      <w:start w:val="1"/>
      <w:numFmt w:val="bullet"/>
      <w:lvlText w:val=""/>
      <w:lvlJc w:val="start"/>
      <w:pPr>
        <w:ind w:start="255.30pt" w:hanging="18pt"/>
      </w:pPr>
      <w:rPr>
        <w:rFonts w:ascii="Symbol" w:hAnsi="Symbol" w:hint="default"/>
      </w:rPr>
    </w:lvl>
    <w:lvl w:ilvl="7" w:tplc="5D32B7A2" w:tentative="1">
      <w:start w:val="1"/>
      <w:numFmt w:val="bullet"/>
      <w:lvlText w:val="o"/>
      <w:lvlJc w:val="start"/>
      <w:pPr>
        <w:ind w:start="291.30pt" w:hanging="18pt"/>
      </w:pPr>
      <w:rPr>
        <w:rFonts w:ascii="Courier New" w:hAnsi="Courier New" w:cs="Courier New" w:hint="default"/>
      </w:rPr>
    </w:lvl>
    <w:lvl w:ilvl="8" w:tplc="49E89ADC" w:tentative="1">
      <w:start w:val="1"/>
      <w:numFmt w:val="bullet"/>
      <w:lvlText w:val=""/>
      <w:lvlJc w:val="start"/>
      <w:pPr>
        <w:ind w:start="327.30pt" w:hanging="18pt"/>
      </w:pPr>
      <w:rPr>
        <w:rFonts w:ascii="Wingdings" w:hAnsi="Wingdings" w:hint="default"/>
      </w:rPr>
    </w:lvl>
  </w:abstractNum>
  <w:abstractNum w:abstractNumId="72" w15:restartNumberingAfterBreak="0">
    <w:nsid w:val="2666559F"/>
    <w:multiLevelType w:val="hybridMultilevel"/>
    <w:tmpl w:val="E5F48064"/>
    <w:lvl w:ilvl="0" w:tplc="080A0001">
      <w:start w:val="1"/>
      <w:numFmt w:val="bullet"/>
      <w:lvlText w:val=""/>
      <w:lvlJc w:val="start"/>
      <w:pPr>
        <w:ind w:start="36pt" w:hanging="18pt"/>
      </w:pPr>
      <w:rPr>
        <w:rFonts w:ascii="Symbol" w:hAnsi="Symbol" w:hint="default"/>
      </w:rPr>
    </w:lvl>
    <w:lvl w:ilvl="1" w:tplc="080A0003" w:tentative="1">
      <w:start w:val="1"/>
      <w:numFmt w:val="bullet"/>
      <w:lvlText w:val="o"/>
      <w:lvlJc w:val="start"/>
      <w:pPr>
        <w:ind w:start="72pt" w:hanging="18pt"/>
      </w:pPr>
      <w:rPr>
        <w:rFonts w:ascii="Courier New" w:hAnsi="Courier New" w:cs="Courier New" w:hint="default"/>
      </w:rPr>
    </w:lvl>
    <w:lvl w:ilvl="2" w:tplc="080A0005" w:tentative="1">
      <w:start w:val="1"/>
      <w:numFmt w:val="bullet"/>
      <w:lvlText w:val=""/>
      <w:lvlJc w:val="start"/>
      <w:pPr>
        <w:ind w:start="108pt" w:hanging="18pt"/>
      </w:pPr>
      <w:rPr>
        <w:rFonts w:ascii="Wingdings" w:hAnsi="Wingdings" w:hint="default"/>
      </w:rPr>
    </w:lvl>
    <w:lvl w:ilvl="3" w:tplc="080A0001" w:tentative="1">
      <w:start w:val="1"/>
      <w:numFmt w:val="bullet"/>
      <w:lvlText w:val=""/>
      <w:lvlJc w:val="start"/>
      <w:pPr>
        <w:ind w:start="144pt" w:hanging="18pt"/>
      </w:pPr>
      <w:rPr>
        <w:rFonts w:ascii="Symbol" w:hAnsi="Symbol" w:hint="default"/>
      </w:rPr>
    </w:lvl>
    <w:lvl w:ilvl="4" w:tplc="080A0003" w:tentative="1">
      <w:start w:val="1"/>
      <w:numFmt w:val="bullet"/>
      <w:lvlText w:val="o"/>
      <w:lvlJc w:val="start"/>
      <w:pPr>
        <w:ind w:start="180pt" w:hanging="18pt"/>
      </w:pPr>
      <w:rPr>
        <w:rFonts w:ascii="Courier New" w:hAnsi="Courier New" w:cs="Courier New" w:hint="default"/>
      </w:rPr>
    </w:lvl>
    <w:lvl w:ilvl="5" w:tplc="080A0005" w:tentative="1">
      <w:start w:val="1"/>
      <w:numFmt w:val="bullet"/>
      <w:lvlText w:val=""/>
      <w:lvlJc w:val="start"/>
      <w:pPr>
        <w:ind w:start="216pt" w:hanging="18pt"/>
      </w:pPr>
      <w:rPr>
        <w:rFonts w:ascii="Wingdings" w:hAnsi="Wingdings" w:hint="default"/>
      </w:rPr>
    </w:lvl>
    <w:lvl w:ilvl="6" w:tplc="080A0001" w:tentative="1">
      <w:start w:val="1"/>
      <w:numFmt w:val="bullet"/>
      <w:lvlText w:val=""/>
      <w:lvlJc w:val="start"/>
      <w:pPr>
        <w:ind w:start="252pt" w:hanging="18pt"/>
      </w:pPr>
      <w:rPr>
        <w:rFonts w:ascii="Symbol" w:hAnsi="Symbol" w:hint="default"/>
      </w:rPr>
    </w:lvl>
    <w:lvl w:ilvl="7" w:tplc="080A0003" w:tentative="1">
      <w:start w:val="1"/>
      <w:numFmt w:val="bullet"/>
      <w:lvlText w:val="o"/>
      <w:lvlJc w:val="start"/>
      <w:pPr>
        <w:ind w:start="288pt" w:hanging="18pt"/>
      </w:pPr>
      <w:rPr>
        <w:rFonts w:ascii="Courier New" w:hAnsi="Courier New" w:cs="Courier New" w:hint="default"/>
      </w:rPr>
    </w:lvl>
    <w:lvl w:ilvl="8" w:tplc="080A0005" w:tentative="1">
      <w:start w:val="1"/>
      <w:numFmt w:val="bullet"/>
      <w:lvlText w:val=""/>
      <w:lvlJc w:val="start"/>
      <w:pPr>
        <w:ind w:start="324pt" w:hanging="18pt"/>
      </w:pPr>
      <w:rPr>
        <w:rFonts w:ascii="Wingdings" w:hAnsi="Wingdings" w:hint="default"/>
      </w:rPr>
    </w:lvl>
  </w:abstractNum>
  <w:abstractNum w:abstractNumId="73" w15:restartNumberingAfterBreak="0">
    <w:nsid w:val="26BE06E0"/>
    <w:multiLevelType w:val="hybridMultilevel"/>
    <w:tmpl w:val="C7521EEE"/>
    <w:lvl w:ilvl="0" w:tplc="A4143216">
      <w:start w:val="6"/>
      <w:numFmt w:val="bullet"/>
      <w:lvlText w:val="•"/>
      <w:lvlJc w:val="start"/>
      <w:pPr>
        <w:ind w:start="36pt" w:hanging="18pt"/>
      </w:pPr>
      <w:rPr>
        <w:rFonts w:ascii="Century Gothic" w:eastAsia="Calibri" w:hAnsi="Century Gothic" w:cs="Arial" w:hint="default"/>
      </w:rPr>
    </w:lvl>
    <w:lvl w:ilvl="1" w:tplc="E0B65DB4" w:tentative="1">
      <w:start w:val="1"/>
      <w:numFmt w:val="bullet"/>
      <w:lvlText w:val="o"/>
      <w:lvlJc w:val="start"/>
      <w:pPr>
        <w:ind w:start="72pt" w:hanging="18pt"/>
      </w:pPr>
      <w:rPr>
        <w:rFonts w:ascii="Courier New" w:hAnsi="Courier New" w:cs="Courier New" w:hint="default"/>
      </w:rPr>
    </w:lvl>
    <w:lvl w:ilvl="2" w:tplc="581EFEBE" w:tentative="1">
      <w:start w:val="1"/>
      <w:numFmt w:val="bullet"/>
      <w:lvlText w:val=""/>
      <w:lvlJc w:val="start"/>
      <w:pPr>
        <w:ind w:start="108pt" w:hanging="18pt"/>
      </w:pPr>
      <w:rPr>
        <w:rFonts w:ascii="Wingdings" w:hAnsi="Wingdings" w:hint="default"/>
      </w:rPr>
    </w:lvl>
    <w:lvl w:ilvl="3" w:tplc="5C06B516" w:tentative="1">
      <w:start w:val="1"/>
      <w:numFmt w:val="bullet"/>
      <w:lvlText w:val=""/>
      <w:lvlJc w:val="start"/>
      <w:pPr>
        <w:ind w:start="144pt" w:hanging="18pt"/>
      </w:pPr>
      <w:rPr>
        <w:rFonts w:ascii="Symbol" w:hAnsi="Symbol" w:hint="default"/>
      </w:rPr>
    </w:lvl>
    <w:lvl w:ilvl="4" w:tplc="9168DA26" w:tentative="1">
      <w:start w:val="1"/>
      <w:numFmt w:val="bullet"/>
      <w:lvlText w:val="o"/>
      <w:lvlJc w:val="start"/>
      <w:pPr>
        <w:ind w:start="180pt" w:hanging="18pt"/>
      </w:pPr>
      <w:rPr>
        <w:rFonts w:ascii="Courier New" w:hAnsi="Courier New" w:cs="Courier New" w:hint="default"/>
      </w:rPr>
    </w:lvl>
    <w:lvl w:ilvl="5" w:tplc="9A3A1930" w:tentative="1">
      <w:start w:val="1"/>
      <w:numFmt w:val="bullet"/>
      <w:lvlText w:val=""/>
      <w:lvlJc w:val="start"/>
      <w:pPr>
        <w:ind w:start="216pt" w:hanging="18pt"/>
      </w:pPr>
      <w:rPr>
        <w:rFonts w:ascii="Wingdings" w:hAnsi="Wingdings" w:hint="default"/>
      </w:rPr>
    </w:lvl>
    <w:lvl w:ilvl="6" w:tplc="CEFAF25C" w:tentative="1">
      <w:start w:val="1"/>
      <w:numFmt w:val="bullet"/>
      <w:lvlText w:val=""/>
      <w:lvlJc w:val="start"/>
      <w:pPr>
        <w:ind w:start="252pt" w:hanging="18pt"/>
      </w:pPr>
      <w:rPr>
        <w:rFonts w:ascii="Symbol" w:hAnsi="Symbol" w:hint="default"/>
      </w:rPr>
    </w:lvl>
    <w:lvl w:ilvl="7" w:tplc="5EC63836" w:tentative="1">
      <w:start w:val="1"/>
      <w:numFmt w:val="bullet"/>
      <w:lvlText w:val="o"/>
      <w:lvlJc w:val="start"/>
      <w:pPr>
        <w:ind w:start="288pt" w:hanging="18pt"/>
      </w:pPr>
      <w:rPr>
        <w:rFonts w:ascii="Courier New" w:hAnsi="Courier New" w:cs="Courier New" w:hint="default"/>
      </w:rPr>
    </w:lvl>
    <w:lvl w:ilvl="8" w:tplc="D8D4D300" w:tentative="1">
      <w:start w:val="1"/>
      <w:numFmt w:val="bullet"/>
      <w:lvlText w:val=""/>
      <w:lvlJc w:val="start"/>
      <w:pPr>
        <w:ind w:start="324pt" w:hanging="18pt"/>
      </w:pPr>
      <w:rPr>
        <w:rFonts w:ascii="Wingdings" w:hAnsi="Wingdings" w:hint="default"/>
      </w:rPr>
    </w:lvl>
  </w:abstractNum>
  <w:abstractNum w:abstractNumId="74" w15:restartNumberingAfterBreak="0">
    <w:nsid w:val="273D16C0"/>
    <w:multiLevelType w:val="hybridMultilevel"/>
    <w:tmpl w:val="014626EE"/>
    <w:lvl w:ilvl="0" w:tplc="D4D4735C">
      <w:start w:val="1"/>
      <w:numFmt w:val="bullet"/>
      <w:lvlText w:val=""/>
      <w:lvlJc w:val="start"/>
      <w:pPr>
        <w:ind w:start="39.40pt" w:hanging="18pt"/>
      </w:pPr>
      <w:rPr>
        <w:rFonts w:ascii="Symbol" w:hAnsi="Symbol" w:hint="default"/>
      </w:rPr>
    </w:lvl>
    <w:lvl w:ilvl="1" w:tplc="2F2C01A6" w:tentative="1">
      <w:start w:val="1"/>
      <w:numFmt w:val="bullet"/>
      <w:lvlText w:val="o"/>
      <w:lvlJc w:val="start"/>
      <w:pPr>
        <w:ind w:start="75.40pt" w:hanging="18pt"/>
      </w:pPr>
      <w:rPr>
        <w:rFonts w:ascii="Courier New" w:hAnsi="Courier New" w:cs="Courier New" w:hint="default"/>
      </w:rPr>
    </w:lvl>
    <w:lvl w:ilvl="2" w:tplc="7718366C" w:tentative="1">
      <w:start w:val="1"/>
      <w:numFmt w:val="bullet"/>
      <w:lvlText w:val=""/>
      <w:lvlJc w:val="start"/>
      <w:pPr>
        <w:ind w:start="111.40pt" w:hanging="18pt"/>
      </w:pPr>
      <w:rPr>
        <w:rFonts w:ascii="Wingdings" w:hAnsi="Wingdings" w:hint="default"/>
      </w:rPr>
    </w:lvl>
    <w:lvl w:ilvl="3" w:tplc="2EA850D0" w:tentative="1">
      <w:start w:val="1"/>
      <w:numFmt w:val="bullet"/>
      <w:lvlText w:val=""/>
      <w:lvlJc w:val="start"/>
      <w:pPr>
        <w:ind w:start="147.40pt" w:hanging="18pt"/>
      </w:pPr>
      <w:rPr>
        <w:rFonts w:ascii="Symbol" w:hAnsi="Symbol" w:hint="default"/>
      </w:rPr>
    </w:lvl>
    <w:lvl w:ilvl="4" w:tplc="BBC89C7A" w:tentative="1">
      <w:start w:val="1"/>
      <w:numFmt w:val="bullet"/>
      <w:lvlText w:val="o"/>
      <w:lvlJc w:val="start"/>
      <w:pPr>
        <w:ind w:start="183.40pt" w:hanging="18pt"/>
      </w:pPr>
      <w:rPr>
        <w:rFonts w:ascii="Courier New" w:hAnsi="Courier New" w:cs="Courier New" w:hint="default"/>
      </w:rPr>
    </w:lvl>
    <w:lvl w:ilvl="5" w:tplc="89E6E194" w:tentative="1">
      <w:start w:val="1"/>
      <w:numFmt w:val="bullet"/>
      <w:lvlText w:val=""/>
      <w:lvlJc w:val="start"/>
      <w:pPr>
        <w:ind w:start="219.40pt" w:hanging="18pt"/>
      </w:pPr>
      <w:rPr>
        <w:rFonts w:ascii="Wingdings" w:hAnsi="Wingdings" w:hint="default"/>
      </w:rPr>
    </w:lvl>
    <w:lvl w:ilvl="6" w:tplc="92507708" w:tentative="1">
      <w:start w:val="1"/>
      <w:numFmt w:val="bullet"/>
      <w:lvlText w:val=""/>
      <w:lvlJc w:val="start"/>
      <w:pPr>
        <w:ind w:start="255.40pt" w:hanging="18pt"/>
      </w:pPr>
      <w:rPr>
        <w:rFonts w:ascii="Symbol" w:hAnsi="Symbol" w:hint="default"/>
      </w:rPr>
    </w:lvl>
    <w:lvl w:ilvl="7" w:tplc="D498539A" w:tentative="1">
      <w:start w:val="1"/>
      <w:numFmt w:val="bullet"/>
      <w:lvlText w:val="o"/>
      <w:lvlJc w:val="start"/>
      <w:pPr>
        <w:ind w:start="291.35pt" w:hanging="18pt"/>
      </w:pPr>
      <w:rPr>
        <w:rFonts w:ascii="Courier New" w:hAnsi="Courier New" w:cs="Courier New" w:hint="default"/>
      </w:rPr>
    </w:lvl>
    <w:lvl w:ilvl="8" w:tplc="916A3500" w:tentative="1">
      <w:start w:val="1"/>
      <w:numFmt w:val="bullet"/>
      <w:lvlText w:val=""/>
      <w:lvlJc w:val="start"/>
      <w:pPr>
        <w:ind w:start="327.35pt" w:hanging="18pt"/>
      </w:pPr>
      <w:rPr>
        <w:rFonts w:ascii="Wingdings" w:hAnsi="Wingdings" w:hint="default"/>
      </w:rPr>
    </w:lvl>
  </w:abstractNum>
  <w:abstractNum w:abstractNumId="75" w15:restartNumberingAfterBreak="0">
    <w:nsid w:val="284752F1"/>
    <w:multiLevelType w:val="hybridMultilevel"/>
    <w:tmpl w:val="79DEC2AA"/>
    <w:lvl w:ilvl="0" w:tplc="BACE13DA">
      <w:start w:val="1"/>
      <w:numFmt w:val="bullet"/>
      <w:lvlText w:val=""/>
      <w:lvlJc w:val="start"/>
      <w:pPr>
        <w:ind w:start="36pt" w:hanging="18pt"/>
      </w:pPr>
      <w:rPr>
        <w:rFonts w:ascii="Symbol" w:hAnsi="Symbol" w:hint="default"/>
      </w:rPr>
    </w:lvl>
    <w:lvl w:ilvl="1" w:tplc="D2C8C77C" w:tentative="1">
      <w:start w:val="1"/>
      <w:numFmt w:val="bullet"/>
      <w:lvlText w:val="o"/>
      <w:lvlJc w:val="start"/>
      <w:pPr>
        <w:ind w:start="72pt" w:hanging="18pt"/>
      </w:pPr>
      <w:rPr>
        <w:rFonts w:ascii="Courier New" w:hAnsi="Courier New" w:cs="Courier New" w:hint="default"/>
      </w:rPr>
    </w:lvl>
    <w:lvl w:ilvl="2" w:tplc="5D945ED2" w:tentative="1">
      <w:start w:val="1"/>
      <w:numFmt w:val="bullet"/>
      <w:lvlText w:val=""/>
      <w:lvlJc w:val="start"/>
      <w:pPr>
        <w:ind w:start="108pt" w:hanging="18pt"/>
      </w:pPr>
      <w:rPr>
        <w:rFonts w:ascii="Wingdings" w:hAnsi="Wingdings" w:hint="default"/>
      </w:rPr>
    </w:lvl>
    <w:lvl w:ilvl="3" w:tplc="14C05E9C" w:tentative="1">
      <w:start w:val="1"/>
      <w:numFmt w:val="bullet"/>
      <w:lvlText w:val=""/>
      <w:lvlJc w:val="start"/>
      <w:pPr>
        <w:ind w:start="144pt" w:hanging="18pt"/>
      </w:pPr>
      <w:rPr>
        <w:rFonts w:ascii="Symbol" w:hAnsi="Symbol" w:hint="default"/>
      </w:rPr>
    </w:lvl>
    <w:lvl w:ilvl="4" w:tplc="0D0E3366" w:tentative="1">
      <w:start w:val="1"/>
      <w:numFmt w:val="bullet"/>
      <w:lvlText w:val="o"/>
      <w:lvlJc w:val="start"/>
      <w:pPr>
        <w:ind w:start="180pt" w:hanging="18pt"/>
      </w:pPr>
      <w:rPr>
        <w:rFonts w:ascii="Courier New" w:hAnsi="Courier New" w:cs="Courier New" w:hint="default"/>
      </w:rPr>
    </w:lvl>
    <w:lvl w:ilvl="5" w:tplc="4E1AD288" w:tentative="1">
      <w:start w:val="1"/>
      <w:numFmt w:val="bullet"/>
      <w:lvlText w:val=""/>
      <w:lvlJc w:val="start"/>
      <w:pPr>
        <w:ind w:start="216pt" w:hanging="18pt"/>
      </w:pPr>
      <w:rPr>
        <w:rFonts w:ascii="Wingdings" w:hAnsi="Wingdings" w:hint="default"/>
      </w:rPr>
    </w:lvl>
    <w:lvl w:ilvl="6" w:tplc="3710CB42" w:tentative="1">
      <w:start w:val="1"/>
      <w:numFmt w:val="bullet"/>
      <w:lvlText w:val=""/>
      <w:lvlJc w:val="start"/>
      <w:pPr>
        <w:ind w:start="252pt" w:hanging="18pt"/>
      </w:pPr>
      <w:rPr>
        <w:rFonts w:ascii="Symbol" w:hAnsi="Symbol" w:hint="default"/>
      </w:rPr>
    </w:lvl>
    <w:lvl w:ilvl="7" w:tplc="34087EBA" w:tentative="1">
      <w:start w:val="1"/>
      <w:numFmt w:val="bullet"/>
      <w:lvlText w:val="o"/>
      <w:lvlJc w:val="start"/>
      <w:pPr>
        <w:ind w:start="288pt" w:hanging="18pt"/>
      </w:pPr>
      <w:rPr>
        <w:rFonts w:ascii="Courier New" w:hAnsi="Courier New" w:cs="Courier New" w:hint="default"/>
      </w:rPr>
    </w:lvl>
    <w:lvl w:ilvl="8" w:tplc="41D88470" w:tentative="1">
      <w:start w:val="1"/>
      <w:numFmt w:val="bullet"/>
      <w:lvlText w:val=""/>
      <w:lvlJc w:val="start"/>
      <w:pPr>
        <w:ind w:start="324pt" w:hanging="18pt"/>
      </w:pPr>
      <w:rPr>
        <w:rFonts w:ascii="Wingdings" w:hAnsi="Wingdings" w:hint="default"/>
      </w:rPr>
    </w:lvl>
  </w:abstractNum>
  <w:abstractNum w:abstractNumId="76" w15:restartNumberingAfterBreak="0">
    <w:nsid w:val="2989387C"/>
    <w:multiLevelType w:val="hybridMultilevel"/>
    <w:tmpl w:val="5A50019E"/>
    <w:lvl w:ilvl="0" w:tplc="36C6B4C6">
      <w:start w:val="6"/>
      <w:numFmt w:val="bullet"/>
      <w:lvlText w:val="•"/>
      <w:lvlJc w:val="start"/>
      <w:pPr>
        <w:ind w:start="36pt" w:hanging="18pt"/>
      </w:pPr>
      <w:rPr>
        <w:rFonts w:ascii="Century Gothic" w:eastAsia="Calibri" w:hAnsi="Century Gothic" w:cs="Arial" w:hint="default"/>
      </w:rPr>
    </w:lvl>
    <w:lvl w:ilvl="1" w:tplc="080A0003">
      <w:start w:val="1"/>
      <w:numFmt w:val="bullet"/>
      <w:lvlText w:val="o"/>
      <w:lvlJc w:val="start"/>
      <w:pPr>
        <w:ind w:start="72pt" w:hanging="18pt"/>
      </w:pPr>
      <w:rPr>
        <w:rFonts w:ascii="Courier New" w:hAnsi="Courier New" w:cs="Courier New" w:hint="default"/>
      </w:rPr>
    </w:lvl>
    <w:lvl w:ilvl="2" w:tplc="080A0005">
      <w:start w:val="1"/>
      <w:numFmt w:val="bullet"/>
      <w:lvlText w:val=""/>
      <w:lvlJc w:val="start"/>
      <w:pPr>
        <w:ind w:start="108pt" w:hanging="18pt"/>
      </w:pPr>
      <w:rPr>
        <w:rFonts w:ascii="Wingdings" w:hAnsi="Wingdings" w:hint="default"/>
      </w:rPr>
    </w:lvl>
    <w:lvl w:ilvl="3" w:tplc="080A0001">
      <w:start w:val="1"/>
      <w:numFmt w:val="bullet"/>
      <w:lvlText w:val=""/>
      <w:lvlJc w:val="start"/>
      <w:pPr>
        <w:ind w:start="144pt" w:hanging="18pt"/>
      </w:pPr>
      <w:rPr>
        <w:rFonts w:ascii="Symbol" w:hAnsi="Symbol" w:hint="default"/>
      </w:rPr>
    </w:lvl>
    <w:lvl w:ilvl="4" w:tplc="080A0003">
      <w:start w:val="1"/>
      <w:numFmt w:val="bullet"/>
      <w:lvlText w:val="o"/>
      <w:lvlJc w:val="start"/>
      <w:pPr>
        <w:ind w:start="180pt" w:hanging="18pt"/>
      </w:pPr>
      <w:rPr>
        <w:rFonts w:ascii="Courier New" w:hAnsi="Courier New" w:cs="Courier New" w:hint="default"/>
      </w:rPr>
    </w:lvl>
    <w:lvl w:ilvl="5" w:tplc="080A0005">
      <w:start w:val="1"/>
      <w:numFmt w:val="bullet"/>
      <w:lvlText w:val=""/>
      <w:lvlJc w:val="start"/>
      <w:pPr>
        <w:ind w:start="216pt" w:hanging="18pt"/>
      </w:pPr>
      <w:rPr>
        <w:rFonts w:ascii="Wingdings" w:hAnsi="Wingdings" w:hint="default"/>
      </w:rPr>
    </w:lvl>
    <w:lvl w:ilvl="6" w:tplc="080A0001">
      <w:start w:val="1"/>
      <w:numFmt w:val="bullet"/>
      <w:lvlText w:val=""/>
      <w:lvlJc w:val="start"/>
      <w:pPr>
        <w:ind w:start="252pt" w:hanging="18pt"/>
      </w:pPr>
      <w:rPr>
        <w:rFonts w:ascii="Symbol" w:hAnsi="Symbol" w:hint="default"/>
      </w:rPr>
    </w:lvl>
    <w:lvl w:ilvl="7" w:tplc="080A0003">
      <w:start w:val="1"/>
      <w:numFmt w:val="bullet"/>
      <w:lvlText w:val="o"/>
      <w:lvlJc w:val="start"/>
      <w:pPr>
        <w:ind w:start="288pt" w:hanging="18pt"/>
      </w:pPr>
      <w:rPr>
        <w:rFonts w:ascii="Courier New" w:hAnsi="Courier New" w:cs="Courier New" w:hint="default"/>
      </w:rPr>
    </w:lvl>
    <w:lvl w:ilvl="8" w:tplc="080A0005">
      <w:start w:val="1"/>
      <w:numFmt w:val="bullet"/>
      <w:lvlText w:val=""/>
      <w:lvlJc w:val="start"/>
      <w:pPr>
        <w:ind w:start="324pt" w:hanging="18pt"/>
      </w:pPr>
      <w:rPr>
        <w:rFonts w:ascii="Wingdings" w:hAnsi="Wingdings" w:hint="default"/>
      </w:rPr>
    </w:lvl>
  </w:abstractNum>
  <w:abstractNum w:abstractNumId="77" w15:restartNumberingAfterBreak="0">
    <w:nsid w:val="299B586C"/>
    <w:multiLevelType w:val="hybridMultilevel"/>
    <w:tmpl w:val="04AC818C"/>
    <w:lvl w:ilvl="0" w:tplc="07DCF2D6">
      <w:start w:val="1"/>
      <w:numFmt w:val="bullet"/>
      <w:lvlText w:val=""/>
      <w:lvlJc w:val="start"/>
      <w:pPr>
        <w:ind w:start="37.70pt" w:hanging="18pt"/>
      </w:pPr>
      <w:rPr>
        <w:rFonts w:ascii="Symbol" w:hAnsi="Symbol" w:hint="default"/>
      </w:rPr>
    </w:lvl>
    <w:lvl w:ilvl="1" w:tplc="B9825A06">
      <w:start w:val="1"/>
      <w:numFmt w:val="bullet"/>
      <w:lvlText w:val="o"/>
      <w:lvlJc w:val="start"/>
      <w:pPr>
        <w:ind w:start="73.70pt" w:hanging="18pt"/>
      </w:pPr>
      <w:rPr>
        <w:rFonts w:ascii="Courier New" w:hAnsi="Courier New" w:cs="Courier New" w:hint="default"/>
      </w:rPr>
    </w:lvl>
    <w:lvl w:ilvl="2" w:tplc="0AD29C0E">
      <w:start w:val="1"/>
      <w:numFmt w:val="bullet"/>
      <w:lvlText w:val=""/>
      <w:lvlJc w:val="start"/>
      <w:pPr>
        <w:ind w:start="109.70pt" w:hanging="18pt"/>
      </w:pPr>
      <w:rPr>
        <w:rFonts w:ascii="Wingdings" w:hAnsi="Wingdings" w:hint="default"/>
      </w:rPr>
    </w:lvl>
    <w:lvl w:ilvl="3" w:tplc="38685B32">
      <w:start w:val="1"/>
      <w:numFmt w:val="bullet"/>
      <w:lvlText w:val=""/>
      <w:lvlJc w:val="start"/>
      <w:pPr>
        <w:ind w:start="145.65pt" w:hanging="18pt"/>
      </w:pPr>
      <w:rPr>
        <w:rFonts w:ascii="Symbol" w:hAnsi="Symbol" w:hint="default"/>
      </w:rPr>
    </w:lvl>
    <w:lvl w:ilvl="4" w:tplc="04080BBC">
      <w:start w:val="1"/>
      <w:numFmt w:val="bullet"/>
      <w:lvlText w:val="o"/>
      <w:lvlJc w:val="start"/>
      <w:pPr>
        <w:ind w:start="181.70pt" w:hanging="18pt"/>
      </w:pPr>
      <w:rPr>
        <w:rFonts w:ascii="Courier New" w:hAnsi="Courier New" w:cs="Courier New" w:hint="default"/>
      </w:rPr>
    </w:lvl>
    <w:lvl w:ilvl="5" w:tplc="6FA0EBEC">
      <w:start w:val="1"/>
      <w:numFmt w:val="bullet"/>
      <w:lvlText w:val=""/>
      <w:lvlJc w:val="start"/>
      <w:pPr>
        <w:ind w:start="217.70pt" w:hanging="18pt"/>
      </w:pPr>
      <w:rPr>
        <w:rFonts w:ascii="Wingdings" w:hAnsi="Wingdings" w:hint="default"/>
      </w:rPr>
    </w:lvl>
    <w:lvl w:ilvl="6" w:tplc="4DBEE332">
      <w:start w:val="1"/>
      <w:numFmt w:val="bullet"/>
      <w:lvlText w:val=""/>
      <w:lvlJc w:val="start"/>
      <w:pPr>
        <w:ind w:start="253.70pt" w:hanging="18pt"/>
      </w:pPr>
      <w:rPr>
        <w:rFonts w:ascii="Symbol" w:hAnsi="Symbol" w:hint="default"/>
      </w:rPr>
    </w:lvl>
    <w:lvl w:ilvl="7" w:tplc="B966FA56">
      <w:start w:val="1"/>
      <w:numFmt w:val="bullet"/>
      <w:lvlText w:val="o"/>
      <w:lvlJc w:val="start"/>
      <w:pPr>
        <w:ind w:start="289.70pt" w:hanging="18pt"/>
      </w:pPr>
      <w:rPr>
        <w:rFonts w:ascii="Courier New" w:hAnsi="Courier New" w:cs="Courier New" w:hint="default"/>
      </w:rPr>
    </w:lvl>
    <w:lvl w:ilvl="8" w:tplc="54EC6DE6">
      <w:start w:val="1"/>
      <w:numFmt w:val="bullet"/>
      <w:lvlText w:val=""/>
      <w:lvlJc w:val="start"/>
      <w:pPr>
        <w:ind w:start="325.70pt" w:hanging="18pt"/>
      </w:pPr>
      <w:rPr>
        <w:rFonts w:ascii="Wingdings" w:hAnsi="Wingdings" w:hint="default"/>
      </w:rPr>
    </w:lvl>
  </w:abstractNum>
  <w:abstractNum w:abstractNumId="78" w15:restartNumberingAfterBreak="0">
    <w:nsid w:val="29BE28F0"/>
    <w:multiLevelType w:val="hybridMultilevel"/>
    <w:tmpl w:val="95F8C814"/>
    <w:lvl w:ilvl="0" w:tplc="36C6B4C6">
      <w:start w:val="6"/>
      <w:numFmt w:val="bullet"/>
      <w:lvlText w:val="•"/>
      <w:lvlJc w:val="start"/>
      <w:pPr>
        <w:ind w:start="36pt" w:hanging="18pt"/>
      </w:pPr>
      <w:rPr>
        <w:rFonts w:ascii="Century Gothic" w:eastAsia="Calibri" w:hAnsi="Century Gothic" w:cs="Arial" w:hint="default"/>
      </w:rPr>
    </w:lvl>
    <w:lvl w:ilvl="1" w:tplc="080A0003">
      <w:start w:val="1"/>
      <w:numFmt w:val="bullet"/>
      <w:lvlText w:val="o"/>
      <w:lvlJc w:val="start"/>
      <w:pPr>
        <w:ind w:start="72pt" w:hanging="18pt"/>
      </w:pPr>
      <w:rPr>
        <w:rFonts w:ascii="Courier New" w:hAnsi="Courier New" w:cs="Courier New" w:hint="default"/>
      </w:rPr>
    </w:lvl>
    <w:lvl w:ilvl="2" w:tplc="080A0005">
      <w:start w:val="1"/>
      <w:numFmt w:val="bullet"/>
      <w:lvlText w:val=""/>
      <w:lvlJc w:val="start"/>
      <w:pPr>
        <w:ind w:start="108pt" w:hanging="18pt"/>
      </w:pPr>
      <w:rPr>
        <w:rFonts w:ascii="Wingdings" w:hAnsi="Wingdings" w:hint="default"/>
      </w:rPr>
    </w:lvl>
    <w:lvl w:ilvl="3" w:tplc="080A0001">
      <w:start w:val="1"/>
      <w:numFmt w:val="bullet"/>
      <w:lvlText w:val=""/>
      <w:lvlJc w:val="start"/>
      <w:pPr>
        <w:ind w:start="144pt" w:hanging="18pt"/>
      </w:pPr>
      <w:rPr>
        <w:rFonts w:ascii="Symbol" w:hAnsi="Symbol" w:hint="default"/>
      </w:rPr>
    </w:lvl>
    <w:lvl w:ilvl="4" w:tplc="080A0003">
      <w:start w:val="1"/>
      <w:numFmt w:val="bullet"/>
      <w:lvlText w:val="o"/>
      <w:lvlJc w:val="start"/>
      <w:pPr>
        <w:ind w:start="180pt" w:hanging="18pt"/>
      </w:pPr>
      <w:rPr>
        <w:rFonts w:ascii="Courier New" w:hAnsi="Courier New" w:cs="Courier New" w:hint="default"/>
      </w:rPr>
    </w:lvl>
    <w:lvl w:ilvl="5" w:tplc="080A0005">
      <w:start w:val="1"/>
      <w:numFmt w:val="bullet"/>
      <w:lvlText w:val=""/>
      <w:lvlJc w:val="start"/>
      <w:pPr>
        <w:ind w:start="216pt" w:hanging="18pt"/>
      </w:pPr>
      <w:rPr>
        <w:rFonts w:ascii="Wingdings" w:hAnsi="Wingdings" w:hint="default"/>
      </w:rPr>
    </w:lvl>
    <w:lvl w:ilvl="6" w:tplc="080A0001">
      <w:start w:val="1"/>
      <w:numFmt w:val="bullet"/>
      <w:lvlText w:val=""/>
      <w:lvlJc w:val="start"/>
      <w:pPr>
        <w:ind w:start="252pt" w:hanging="18pt"/>
      </w:pPr>
      <w:rPr>
        <w:rFonts w:ascii="Symbol" w:hAnsi="Symbol" w:hint="default"/>
      </w:rPr>
    </w:lvl>
    <w:lvl w:ilvl="7" w:tplc="080A0003">
      <w:start w:val="1"/>
      <w:numFmt w:val="bullet"/>
      <w:lvlText w:val="o"/>
      <w:lvlJc w:val="start"/>
      <w:pPr>
        <w:ind w:start="288pt" w:hanging="18pt"/>
      </w:pPr>
      <w:rPr>
        <w:rFonts w:ascii="Courier New" w:hAnsi="Courier New" w:cs="Courier New" w:hint="default"/>
      </w:rPr>
    </w:lvl>
    <w:lvl w:ilvl="8" w:tplc="080A0005">
      <w:start w:val="1"/>
      <w:numFmt w:val="bullet"/>
      <w:lvlText w:val=""/>
      <w:lvlJc w:val="start"/>
      <w:pPr>
        <w:ind w:start="324pt" w:hanging="18pt"/>
      </w:pPr>
      <w:rPr>
        <w:rFonts w:ascii="Wingdings" w:hAnsi="Wingdings" w:hint="default"/>
      </w:rPr>
    </w:lvl>
  </w:abstractNum>
  <w:abstractNum w:abstractNumId="79" w15:restartNumberingAfterBreak="0">
    <w:nsid w:val="29E6168D"/>
    <w:multiLevelType w:val="hybridMultilevel"/>
    <w:tmpl w:val="5D785DEA"/>
    <w:styleLink w:val="Estilo21"/>
    <w:lvl w:ilvl="0" w:tplc="5394E1BA">
      <w:start w:val="1"/>
      <w:numFmt w:val="bullet"/>
      <w:lvlText w:val=""/>
      <w:lvlJc w:val="start"/>
      <w:pPr>
        <w:ind w:start="78.55pt" w:hanging="18pt"/>
      </w:pPr>
      <w:rPr>
        <w:rFonts w:ascii="Symbol" w:hAnsi="Symbol" w:hint="default"/>
      </w:rPr>
    </w:lvl>
    <w:lvl w:ilvl="1" w:tplc="288ABDF4" w:tentative="1">
      <w:start w:val="1"/>
      <w:numFmt w:val="bullet"/>
      <w:lvlText w:val="o"/>
      <w:lvlJc w:val="start"/>
      <w:pPr>
        <w:ind w:start="114.55pt" w:hanging="18pt"/>
      </w:pPr>
      <w:rPr>
        <w:rFonts w:ascii="Courier New" w:hAnsi="Courier New" w:cs="Courier New" w:hint="default"/>
      </w:rPr>
    </w:lvl>
    <w:lvl w:ilvl="2" w:tplc="BB58C838" w:tentative="1">
      <w:start w:val="1"/>
      <w:numFmt w:val="bullet"/>
      <w:lvlText w:val=""/>
      <w:lvlJc w:val="start"/>
      <w:pPr>
        <w:ind w:start="150.55pt" w:hanging="18pt"/>
      </w:pPr>
      <w:rPr>
        <w:rFonts w:ascii="Wingdings" w:hAnsi="Wingdings" w:hint="default"/>
      </w:rPr>
    </w:lvl>
    <w:lvl w:ilvl="3" w:tplc="C4268EFC" w:tentative="1">
      <w:start w:val="1"/>
      <w:numFmt w:val="bullet"/>
      <w:lvlText w:val=""/>
      <w:lvlJc w:val="start"/>
      <w:pPr>
        <w:ind w:start="186.55pt" w:hanging="18pt"/>
      </w:pPr>
      <w:rPr>
        <w:rFonts w:ascii="Symbol" w:hAnsi="Symbol" w:hint="default"/>
      </w:rPr>
    </w:lvl>
    <w:lvl w:ilvl="4" w:tplc="D6981028" w:tentative="1">
      <w:start w:val="1"/>
      <w:numFmt w:val="bullet"/>
      <w:lvlText w:val="o"/>
      <w:lvlJc w:val="start"/>
      <w:pPr>
        <w:ind w:start="222.55pt" w:hanging="18pt"/>
      </w:pPr>
      <w:rPr>
        <w:rFonts w:ascii="Courier New" w:hAnsi="Courier New" w:cs="Courier New" w:hint="default"/>
      </w:rPr>
    </w:lvl>
    <w:lvl w:ilvl="5" w:tplc="300CB016" w:tentative="1">
      <w:start w:val="1"/>
      <w:numFmt w:val="bullet"/>
      <w:lvlText w:val=""/>
      <w:lvlJc w:val="start"/>
      <w:pPr>
        <w:ind w:start="258.55pt" w:hanging="18pt"/>
      </w:pPr>
      <w:rPr>
        <w:rFonts w:ascii="Wingdings" w:hAnsi="Wingdings" w:hint="default"/>
      </w:rPr>
    </w:lvl>
    <w:lvl w:ilvl="6" w:tplc="C80E3C76" w:tentative="1">
      <w:start w:val="1"/>
      <w:numFmt w:val="bullet"/>
      <w:lvlText w:val=""/>
      <w:lvlJc w:val="start"/>
      <w:pPr>
        <w:ind w:start="294.55pt" w:hanging="18pt"/>
      </w:pPr>
      <w:rPr>
        <w:rFonts w:ascii="Symbol" w:hAnsi="Symbol" w:hint="default"/>
      </w:rPr>
    </w:lvl>
    <w:lvl w:ilvl="7" w:tplc="F828AB72" w:tentative="1">
      <w:start w:val="1"/>
      <w:numFmt w:val="bullet"/>
      <w:lvlText w:val="o"/>
      <w:lvlJc w:val="start"/>
      <w:pPr>
        <w:ind w:start="330.55pt" w:hanging="18pt"/>
      </w:pPr>
      <w:rPr>
        <w:rFonts w:ascii="Courier New" w:hAnsi="Courier New" w:cs="Courier New" w:hint="default"/>
      </w:rPr>
    </w:lvl>
    <w:lvl w:ilvl="8" w:tplc="B434E3A4" w:tentative="1">
      <w:start w:val="1"/>
      <w:numFmt w:val="bullet"/>
      <w:lvlText w:val=""/>
      <w:lvlJc w:val="start"/>
      <w:pPr>
        <w:ind w:start="366.55pt" w:hanging="18pt"/>
      </w:pPr>
      <w:rPr>
        <w:rFonts w:ascii="Wingdings" w:hAnsi="Wingdings" w:hint="default"/>
      </w:rPr>
    </w:lvl>
  </w:abstractNum>
  <w:abstractNum w:abstractNumId="80" w15:restartNumberingAfterBreak="0">
    <w:nsid w:val="2A0F31F4"/>
    <w:multiLevelType w:val="hybridMultilevel"/>
    <w:tmpl w:val="3C2CCB1C"/>
    <w:lvl w:ilvl="0" w:tplc="C0A0471C">
      <w:start w:val="1"/>
      <w:numFmt w:val="bullet"/>
      <w:lvlText w:val=""/>
      <w:lvlJc w:val="start"/>
      <w:pPr>
        <w:ind w:start="53.85pt" w:hanging="18pt"/>
      </w:pPr>
      <w:rPr>
        <w:rFonts w:ascii="Symbol" w:hAnsi="Symbol" w:hint="default"/>
      </w:rPr>
    </w:lvl>
    <w:lvl w:ilvl="1" w:tplc="8E444B34" w:tentative="1">
      <w:start w:val="1"/>
      <w:numFmt w:val="bullet"/>
      <w:lvlText w:val="o"/>
      <w:lvlJc w:val="start"/>
      <w:pPr>
        <w:ind w:start="89.85pt" w:hanging="18pt"/>
      </w:pPr>
      <w:rPr>
        <w:rFonts w:ascii="Courier New" w:hAnsi="Courier New" w:cs="Courier New" w:hint="default"/>
      </w:rPr>
    </w:lvl>
    <w:lvl w:ilvl="2" w:tplc="910E699A" w:tentative="1">
      <w:start w:val="1"/>
      <w:numFmt w:val="bullet"/>
      <w:lvlText w:val=""/>
      <w:lvlJc w:val="start"/>
      <w:pPr>
        <w:ind w:start="125.85pt" w:hanging="18pt"/>
      </w:pPr>
      <w:rPr>
        <w:rFonts w:ascii="Wingdings" w:hAnsi="Wingdings" w:hint="default"/>
      </w:rPr>
    </w:lvl>
    <w:lvl w:ilvl="3" w:tplc="B02E7116" w:tentative="1">
      <w:start w:val="1"/>
      <w:numFmt w:val="bullet"/>
      <w:lvlText w:val=""/>
      <w:lvlJc w:val="start"/>
      <w:pPr>
        <w:ind w:start="161.85pt" w:hanging="18pt"/>
      </w:pPr>
      <w:rPr>
        <w:rFonts w:ascii="Symbol" w:hAnsi="Symbol" w:hint="default"/>
      </w:rPr>
    </w:lvl>
    <w:lvl w:ilvl="4" w:tplc="E0BAD73A" w:tentative="1">
      <w:start w:val="1"/>
      <w:numFmt w:val="bullet"/>
      <w:lvlText w:val="o"/>
      <w:lvlJc w:val="start"/>
      <w:pPr>
        <w:ind w:start="197.85pt" w:hanging="18pt"/>
      </w:pPr>
      <w:rPr>
        <w:rFonts w:ascii="Courier New" w:hAnsi="Courier New" w:cs="Courier New" w:hint="default"/>
      </w:rPr>
    </w:lvl>
    <w:lvl w:ilvl="5" w:tplc="7E5024AA" w:tentative="1">
      <w:start w:val="1"/>
      <w:numFmt w:val="bullet"/>
      <w:lvlText w:val=""/>
      <w:lvlJc w:val="start"/>
      <w:pPr>
        <w:ind w:start="233.85pt" w:hanging="18pt"/>
      </w:pPr>
      <w:rPr>
        <w:rFonts w:ascii="Wingdings" w:hAnsi="Wingdings" w:hint="default"/>
      </w:rPr>
    </w:lvl>
    <w:lvl w:ilvl="6" w:tplc="DC540310" w:tentative="1">
      <w:start w:val="1"/>
      <w:numFmt w:val="bullet"/>
      <w:lvlText w:val=""/>
      <w:lvlJc w:val="start"/>
      <w:pPr>
        <w:ind w:start="269.85pt" w:hanging="18pt"/>
      </w:pPr>
      <w:rPr>
        <w:rFonts w:ascii="Symbol" w:hAnsi="Symbol" w:hint="default"/>
      </w:rPr>
    </w:lvl>
    <w:lvl w:ilvl="7" w:tplc="FF4CCD5A" w:tentative="1">
      <w:start w:val="1"/>
      <w:numFmt w:val="bullet"/>
      <w:lvlText w:val="o"/>
      <w:lvlJc w:val="start"/>
      <w:pPr>
        <w:ind w:start="305.85pt" w:hanging="18pt"/>
      </w:pPr>
      <w:rPr>
        <w:rFonts w:ascii="Courier New" w:hAnsi="Courier New" w:cs="Courier New" w:hint="default"/>
      </w:rPr>
    </w:lvl>
    <w:lvl w:ilvl="8" w:tplc="69626FFA" w:tentative="1">
      <w:start w:val="1"/>
      <w:numFmt w:val="bullet"/>
      <w:lvlText w:val=""/>
      <w:lvlJc w:val="start"/>
      <w:pPr>
        <w:ind w:start="341.85pt" w:hanging="18pt"/>
      </w:pPr>
      <w:rPr>
        <w:rFonts w:ascii="Wingdings" w:hAnsi="Wingdings" w:hint="default"/>
      </w:rPr>
    </w:lvl>
  </w:abstractNum>
  <w:abstractNum w:abstractNumId="81" w15:restartNumberingAfterBreak="0">
    <w:nsid w:val="2A7E5EFB"/>
    <w:multiLevelType w:val="hybridMultilevel"/>
    <w:tmpl w:val="1BC473B2"/>
    <w:lvl w:ilvl="0" w:tplc="2436B0C2">
      <w:start w:val="1"/>
      <w:numFmt w:val="bullet"/>
      <w:lvlText w:val=""/>
      <w:lvlJc w:val="start"/>
      <w:pPr>
        <w:ind w:start="36pt" w:hanging="18pt"/>
      </w:pPr>
      <w:rPr>
        <w:rFonts w:ascii="Symbol" w:hAnsi="Symbol" w:hint="default"/>
      </w:rPr>
    </w:lvl>
    <w:lvl w:ilvl="1" w:tplc="929E65C4" w:tentative="1">
      <w:start w:val="1"/>
      <w:numFmt w:val="bullet"/>
      <w:lvlText w:val="o"/>
      <w:lvlJc w:val="start"/>
      <w:pPr>
        <w:ind w:start="72pt" w:hanging="18pt"/>
      </w:pPr>
      <w:rPr>
        <w:rFonts w:ascii="Courier New" w:hAnsi="Courier New" w:cs="Courier New" w:hint="default"/>
      </w:rPr>
    </w:lvl>
    <w:lvl w:ilvl="2" w:tplc="848C6760" w:tentative="1">
      <w:start w:val="1"/>
      <w:numFmt w:val="bullet"/>
      <w:lvlText w:val=""/>
      <w:lvlJc w:val="start"/>
      <w:pPr>
        <w:ind w:start="108pt" w:hanging="18pt"/>
      </w:pPr>
      <w:rPr>
        <w:rFonts w:ascii="Wingdings" w:hAnsi="Wingdings" w:hint="default"/>
      </w:rPr>
    </w:lvl>
    <w:lvl w:ilvl="3" w:tplc="464412FA" w:tentative="1">
      <w:start w:val="1"/>
      <w:numFmt w:val="bullet"/>
      <w:lvlText w:val=""/>
      <w:lvlJc w:val="start"/>
      <w:pPr>
        <w:ind w:start="144pt" w:hanging="18pt"/>
      </w:pPr>
      <w:rPr>
        <w:rFonts w:ascii="Symbol" w:hAnsi="Symbol" w:hint="default"/>
      </w:rPr>
    </w:lvl>
    <w:lvl w:ilvl="4" w:tplc="6852A08E" w:tentative="1">
      <w:start w:val="1"/>
      <w:numFmt w:val="bullet"/>
      <w:lvlText w:val="o"/>
      <w:lvlJc w:val="start"/>
      <w:pPr>
        <w:ind w:start="180pt" w:hanging="18pt"/>
      </w:pPr>
      <w:rPr>
        <w:rFonts w:ascii="Courier New" w:hAnsi="Courier New" w:cs="Courier New" w:hint="default"/>
      </w:rPr>
    </w:lvl>
    <w:lvl w:ilvl="5" w:tplc="0914B3FE" w:tentative="1">
      <w:start w:val="1"/>
      <w:numFmt w:val="bullet"/>
      <w:lvlText w:val=""/>
      <w:lvlJc w:val="start"/>
      <w:pPr>
        <w:ind w:start="216pt" w:hanging="18pt"/>
      </w:pPr>
      <w:rPr>
        <w:rFonts w:ascii="Wingdings" w:hAnsi="Wingdings" w:hint="default"/>
      </w:rPr>
    </w:lvl>
    <w:lvl w:ilvl="6" w:tplc="8996BDD8" w:tentative="1">
      <w:start w:val="1"/>
      <w:numFmt w:val="bullet"/>
      <w:lvlText w:val=""/>
      <w:lvlJc w:val="start"/>
      <w:pPr>
        <w:ind w:start="252pt" w:hanging="18pt"/>
      </w:pPr>
      <w:rPr>
        <w:rFonts w:ascii="Symbol" w:hAnsi="Symbol" w:hint="default"/>
      </w:rPr>
    </w:lvl>
    <w:lvl w:ilvl="7" w:tplc="AFFE457A" w:tentative="1">
      <w:start w:val="1"/>
      <w:numFmt w:val="bullet"/>
      <w:lvlText w:val="o"/>
      <w:lvlJc w:val="start"/>
      <w:pPr>
        <w:ind w:start="288pt" w:hanging="18pt"/>
      </w:pPr>
      <w:rPr>
        <w:rFonts w:ascii="Courier New" w:hAnsi="Courier New" w:cs="Courier New" w:hint="default"/>
      </w:rPr>
    </w:lvl>
    <w:lvl w:ilvl="8" w:tplc="C93C7958" w:tentative="1">
      <w:start w:val="1"/>
      <w:numFmt w:val="bullet"/>
      <w:lvlText w:val=""/>
      <w:lvlJc w:val="start"/>
      <w:pPr>
        <w:ind w:start="324pt" w:hanging="18pt"/>
      </w:pPr>
      <w:rPr>
        <w:rFonts w:ascii="Wingdings" w:hAnsi="Wingdings" w:hint="default"/>
      </w:rPr>
    </w:lvl>
  </w:abstractNum>
  <w:abstractNum w:abstractNumId="82" w15:restartNumberingAfterBreak="0">
    <w:nsid w:val="2B2C0020"/>
    <w:multiLevelType w:val="hybridMultilevel"/>
    <w:tmpl w:val="D3120010"/>
    <w:lvl w:ilvl="0" w:tplc="85627A9A">
      <w:start w:val="6"/>
      <w:numFmt w:val="bullet"/>
      <w:lvlText w:val="•"/>
      <w:lvlJc w:val="start"/>
      <w:pPr>
        <w:ind w:start="53.85pt" w:hanging="18pt"/>
      </w:pPr>
      <w:rPr>
        <w:rFonts w:ascii="Century Gothic" w:eastAsia="Calibri" w:hAnsi="Century Gothic" w:cs="Arial" w:hint="default"/>
      </w:rPr>
    </w:lvl>
    <w:lvl w:ilvl="1" w:tplc="D7EE663A" w:tentative="1">
      <w:start w:val="1"/>
      <w:numFmt w:val="bullet"/>
      <w:lvlText w:val="o"/>
      <w:lvlJc w:val="start"/>
      <w:pPr>
        <w:ind w:start="89.85pt" w:hanging="18pt"/>
      </w:pPr>
      <w:rPr>
        <w:rFonts w:ascii="Courier New" w:hAnsi="Courier New" w:cs="Courier New" w:hint="default"/>
      </w:rPr>
    </w:lvl>
    <w:lvl w:ilvl="2" w:tplc="352C41AA" w:tentative="1">
      <w:start w:val="1"/>
      <w:numFmt w:val="bullet"/>
      <w:lvlText w:val=""/>
      <w:lvlJc w:val="start"/>
      <w:pPr>
        <w:ind w:start="125.85pt" w:hanging="18pt"/>
      </w:pPr>
      <w:rPr>
        <w:rFonts w:ascii="Wingdings" w:hAnsi="Wingdings" w:hint="default"/>
      </w:rPr>
    </w:lvl>
    <w:lvl w:ilvl="3" w:tplc="A2E24AF4" w:tentative="1">
      <w:start w:val="1"/>
      <w:numFmt w:val="bullet"/>
      <w:lvlText w:val=""/>
      <w:lvlJc w:val="start"/>
      <w:pPr>
        <w:ind w:start="161.85pt" w:hanging="18pt"/>
      </w:pPr>
      <w:rPr>
        <w:rFonts w:ascii="Symbol" w:hAnsi="Symbol" w:hint="default"/>
      </w:rPr>
    </w:lvl>
    <w:lvl w:ilvl="4" w:tplc="C2F8442C" w:tentative="1">
      <w:start w:val="1"/>
      <w:numFmt w:val="bullet"/>
      <w:lvlText w:val="o"/>
      <w:lvlJc w:val="start"/>
      <w:pPr>
        <w:ind w:start="197.85pt" w:hanging="18pt"/>
      </w:pPr>
      <w:rPr>
        <w:rFonts w:ascii="Courier New" w:hAnsi="Courier New" w:cs="Courier New" w:hint="default"/>
      </w:rPr>
    </w:lvl>
    <w:lvl w:ilvl="5" w:tplc="AD3C8AC2" w:tentative="1">
      <w:start w:val="1"/>
      <w:numFmt w:val="bullet"/>
      <w:lvlText w:val=""/>
      <w:lvlJc w:val="start"/>
      <w:pPr>
        <w:ind w:start="233.85pt" w:hanging="18pt"/>
      </w:pPr>
      <w:rPr>
        <w:rFonts w:ascii="Wingdings" w:hAnsi="Wingdings" w:hint="default"/>
      </w:rPr>
    </w:lvl>
    <w:lvl w:ilvl="6" w:tplc="D2DCE026" w:tentative="1">
      <w:start w:val="1"/>
      <w:numFmt w:val="bullet"/>
      <w:lvlText w:val=""/>
      <w:lvlJc w:val="start"/>
      <w:pPr>
        <w:ind w:start="269.85pt" w:hanging="18pt"/>
      </w:pPr>
      <w:rPr>
        <w:rFonts w:ascii="Symbol" w:hAnsi="Symbol" w:hint="default"/>
      </w:rPr>
    </w:lvl>
    <w:lvl w:ilvl="7" w:tplc="C92AE75C" w:tentative="1">
      <w:start w:val="1"/>
      <w:numFmt w:val="bullet"/>
      <w:lvlText w:val="o"/>
      <w:lvlJc w:val="start"/>
      <w:pPr>
        <w:ind w:start="305.85pt" w:hanging="18pt"/>
      </w:pPr>
      <w:rPr>
        <w:rFonts w:ascii="Courier New" w:hAnsi="Courier New" w:cs="Courier New" w:hint="default"/>
      </w:rPr>
    </w:lvl>
    <w:lvl w:ilvl="8" w:tplc="646292F8" w:tentative="1">
      <w:start w:val="1"/>
      <w:numFmt w:val="bullet"/>
      <w:lvlText w:val=""/>
      <w:lvlJc w:val="start"/>
      <w:pPr>
        <w:ind w:start="341.85pt" w:hanging="18pt"/>
      </w:pPr>
      <w:rPr>
        <w:rFonts w:ascii="Wingdings" w:hAnsi="Wingdings" w:hint="default"/>
      </w:rPr>
    </w:lvl>
  </w:abstractNum>
  <w:abstractNum w:abstractNumId="83" w15:restartNumberingAfterBreak="0">
    <w:nsid w:val="2B3F566A"/>
    <w:multiLevelType w:val="hybridMultilevel"/>
    <w:tmpl w:val="EE7C9F1A"/>
    <w:lvl w:ilvl="0" w:tplc="29225ECA">
      <w:start w:val="1"/>
      <w:numFmt w:val="bullet"/>
      <w:lvlText w:val=""/>
      <w:lvlJc w:val="start"/>
      <w:pPr>
        <w:ind w:start="39.25pt" w:hanging="18pt"/>
      </w:pPr>
      <w:rPr>
        <w:rFonts w:ascii="Symbol" w:hAnsi="Symbol" w:hint="default"/>
      </w:rPr>
    </w:lvl>
    <w:lvl w:ilvl="1" w:tplc="F266CE8A">
      <w:start w:val="1"/>
      <w:numFmt w:val="bullet"/>
      <w:lvlText w:val="o"/>
      <w:lvlJc w:val="start"/>
      <w:pPr>
        <w:ind w:start="75.30pt" w:hanging="18pt"/>
      </w:pPr>
      <w:rPr>
        <w:rFonts w:ascii="Courier New" w:hAnsi="Courier New" w:cs="Courier New" w:hint="default"/>
      </w:rPr>
    </w:lvl>
    <w:lvl w:ilvl="2" w:tplc="0304EEF0">
      <w:start w:val="1"/>
      <w:numFmt w:val="bullet"/>
      <w:lvlText w:val=""/>
      <w:lvlJc w:val="start"/>
      <w:pPr>
        <w:ind w:start="111.30pt" w:hanging="18pt"/>
      </w:pPr>
      <w:rPr>
        <w:rFonts w:ascii="Wingdings" w:hAnsi="Wingdings" w:hint="default"/>
      </w:rPr>
    </w:lvl>
    <w:lvl w:ilvl="3" w:tplc="1A56DD2E">
      <w:start w:val="1"/>
      <w:numFmt w:val="bullet"/>
      <w:lvlText w:val=""/>
      <w:lvlJc w:val="start"/>
      <w:pPr>
        <w:ind w:start="147.30pt" w:hanging="18pt"/>
      </w:pPr>
      <w:rPr>
        <w:rFonts w:ascii="Symbol" w:hAnsi="Symbol" w:hint="default"/>
      </w:rPr>
    </w:lvl>
    <w:lvl w:ilvl="4" w:tplc="CB6C6F9A">
      <w:start w:val="1"/>
      <w:numFmt w:val="bullet"/>
      <w:lvlText w:val="o"/>
      <w:lvlJc w:val="start"/>
      <w:pPr>
        <w:ind w:start="183.30pt" w:hanging="18pt"/>
      </w:pPr>
      <w:rPr>
        <w:rFonts w:ascii="Courier New" w:hAnsi="Courier New" w:cs="Courier New" w:hint="default"/>
      </w:rPr>
    </w:lvl>
    <w:lvl w:ilvl="5" w:tplc="E1BA5EFA">
      <w:start w:val="1"/>
      <w:numFmt w:val="bullet"/>
      <w:lvlText w:val=""/>
      <w:lvlJc w:val="start"/>
      <w:pPr>
        <w:ind w:start="219.30pt" w:hanging="18pt"/>
      </w:pPr>
      <w:rPr>
        <w:rFonts w:ascii="Wingdings" w:hAnsi="Wingdings" w:hint="default"/>
      </w:rPr>
    </w:lvl>
    <w:lvl w:ilvl="6" w:tplc="14A692C4">
      <w:start w:val="1"/>
      <w:numFmt w:val="bullet"/>
      <w:lvlText w:val=""/>
      <w:lvlJc w:val="start"/>
      <w:pPr>
        <w:ind w:start="255.30pt" w:hanging="18pt"/>
      </w:pPr>
      <w:rPr>
        <w:rFonts w:ascii="Symbol" w:hAnsi="Symbol" w:hint="default"/>
      </w:rPr>
    </w:lvl>
    <w:lvl w:ilvl="7" w:tplc="DC64A73E">
      <w:start w:val="1"/>
      <w:numFmt w:val="bullet"/>
      <w:lvlText w:val="o"/>
      <w:lvlJc w:val="start"/>
      <w:pPr>
        <w:ind w:start="291.30pt" w:hanging="18pt"/>
      </w:pPr>
      <w:rPr>
        <w:rFonts w:ascii="Courier New" w:hAnsi="Courier New" w:cs="Courier New" w:hint="default"/>
      </w:rPr>
    </w:lvl>
    <w:lvl w:ilvl="8" w:tplc="76A2A19C">
      <w:start w:val="1"/>
      <w:numFmt w:val="bullet"/>
      <w:lvlText w:val=""/>
      <w:lvlJc w:val="start"/>
      <w:pPr>
        <w:ind w:start="327.30pt" w:hanging="18pt"/>
      </w:pPr>
      <w:rPr>
        <w:rFonts w:ascii="Wingdings" w:hAnsi="Wingdings" w:hint="default"/>
      </w:rPr>
    </w:lvl>
  </w:abstractNum>
  <w:abstractNum w:abstractNumId="84" w15:restartNumberingAfterBreak="0">
    <w:nsid w:val="2B9A6DAB"/>
    <w:multiLevelType w:val="hybridMultilevel"/>
    <w:tmpl w:val="19D0BECA"/>
    <w:lvl w:ilvl="0" w:tplc="080A000D">
      <w:start w:val="1"/>
      <w:numFmt w:val="bullet"/>
      <w:lvlText w:val=""/>
      <w:lvlJc w:val="start"/>
      <w:pPr>
        <w:ind w:start="37.70pt" w:hanging="18pt"/>
      </w:pPr>
      <w:rPr>
        <w:rFonts w:ascii="Wingdings" w:hAnsi="Wingdings" w:hint="default"/>
      </w:rPr>
    </w:lvl>
    <w:lvl w:ilvl="1" w:tplc="080A0003">
      <w:start w:val="1"/>
      <w:numFmt w:val="bullet"/>
      <w:lvlText w:val="o"/>
      <w:lvlJc w:val="start"/>
      <w:pPr>
        <w:ind w:start="73.70pt" w:hanging="18pt"/>
      </w:pPr>
      <w:rPr>
        <w:rFonts w:ascii="Courier New" w:hAnsi="Courier New" w:cs="Courier New" w:hint="default"/>
      </w:rPr>
    </w:lvl>
    <w:lvl w:ilvl="2" w:tplc="080A0005">
      <w:start w:val="1"/>
      <w:numFmt w:val="bullet"/>
      <w:lvlText w:val=""/>
      <w:lvlJc w:val="start"/>
      <w:pPr>
        <w:ind w:start="109.70pt" w:hanging="18pt"/>
      </w:pPr>
      <w:rPr>
        <w:rFonts w:ascii="Wingdings" w:hAnsi="Wingdings" w:hint="default"/>
      </w:rPr>
    </w:lvl>
    <w:lvl w:ilvl="3" w:tplc="080A0001">
      <w:start w:val="1"/>
      <w:numFmt w:val="bullet"/>
      <w:lvlText w:val=""/>
      <w:lvlJc w:val="start"/>
      <w:pPr>
        <w:ind w:start="145.70pt" w:hanging="18pt"/>
      </w:pPr>
      <w:rPr>
        <w:rFonts w:ascii="Symbol" w:hAnsi="Symbol" w:hint="default"/>
      </w:rPr>
    </w:lvl>
    <w:lvl w:ilvl="4" w:tplc="080A0003">
      <w:start w:val="1"/>
      <w:numFmt w:val="bullet"/>
      <w:lvlText w:val="o"/>
      <w:lvlJc w:val="start"/>
      <w:pPr>
        <w:ind w:start="181.70pt" w:hanging="18pt"/>
      </w:pPr>
      <w:rPr>
        <w:rFonts w:ascii="Courier New" w:hAnsi="Courier New" w:cs="Courier New" w:hint="default"/>
      </w:rPr>
    </w:lvl>
    <w:lvl w:ilvl="5" w:tplc="080A0005">
      <w:start w:val="1"/>
      <w:numFmt w:val="bullet"/>
      <w:lvlText w:val=""/>
      <w:lvlJc w:val="start"/>
      <w:pPr>
        <w:ind w:start="217.70pt" w:hanging="18pt"/>
      </w:pPr>
      <w:rPr>
        <w:rFonts w:ascii="Wingdings" w:hAnsi="Wingdings" w:hint="default"/>
      </w:rPr>
    </w:lvl>
    <w:lvl w:ilvl="6" w:tplc="080A0001">
      <w:start w:val="1"/>
      <w:numFmt w:val="bullet"/>
      <w:lvlText w:val=""/>
      <w:lvlJc w:val="start"/>
      <w:pPr>
        <w:ind w:start="253.70pt" w:hanging="18pt"/>
      </w:pPr>
      <w:rPr>
        <w:rFonts w:ascii="Symbol" w:hAnsi="Symbol" w:hint="default"/>
      </w:rPr>
    </w:lvl>
    <w:lvl w:ilvl="7" w:tplc="080A0003">
      <w:start w:val="1"/>
      <w:numFmt w:val="bullet"/>
      <w:lvlText w:val="o"/>
      <w:lvlJc w:val="start"/>
      <w:pPr>
        <w:ind w:start="289.70pt" w:hanging="18pt"/>
      </w:pPr>
      <w:rPr>
        <w:rFonts w:ascii="Courier New" w:hAnsi="Courier New" w:cs="Courier New" w:hint="default"/>
      </w:rPr>
    </w:lvl>
    <w:lvl w:ilvl="8" w:tplc="080A0005">
      <w:start w:val="1"/>
      <w:numFmt w:val="bullet"/>
      <w:lvlText w:val=""/>
      <w:lvlJc w:val="start"/>
      <w:pPr>
        <w:ind w:start="325.70pt" w:hanging="18pt"/>
      </w:pPr>
      <w:rPr>
        <w:rFonts w:ascii="Wingdings" w:hAnsi="Wingdings" w:hint="default"/>
      </w:rPr>
    </w:lvl>
  </w:abstractNum>
  <w:abstractNum w:abstractNumId="85" w15:restartNumberingAfterBreak="0">
    <w:nsid w:val="2C5B65D5"/>
    <w:multiLevelType w:val="hybridMultilevel"/>
    <w:tmpl w:val="D33C210A"/>
    <w:lvl w:ilvl="0" w:tplc="E7183B94">
      <w:start w:val="1"/>
      <w:numFmt w:val="bullet"/>
      <w:lvlText w:val=""/>
      <w:lvlJc w:val="start"/>
      <w:pPr>
        <w:ind w:start="36pt" w:hanging="18pt"/>
      </w:pPr>
      <w:rPr>
        <w:rFonts w:ascii="Symbol" w:hAnsi="Symbol" w:hint="default"/>
      </w:rPr>
    </w:lvl>
    <w:lvl w:ilvl="1" w:tplc="F1DC19B8">
      <w:start w:val="1"/>
      <w:numFmt w:val="bullet"/>
      <w:lvlText w:val="o"/>
      <w:lvlJc w:val="start"/>
      <w:pPr>
        <w:ind w:start="72pt" w:hanging="18pt"/>
      </w:pPr>
      <w:rPr>
        <w:rFonts w:ascii="Courier New" w:hAnsi="Courier New" w:cs="Courier New" w:hint="default"/>
      </w:rPr>
    </w:lvl>
    <w:lvl w:ilvl="2" w:tplc="2788D90C">
      <w:start w:val="1"/>
      <w:numFmt w:val="bullet"/>
      <w:lvlText w:val=""/>
      <w:lvlJc w:val="start"/>
      <w:pPr>
        <w:ind w:start="108pt" w:hanging="18pt"/>
      </w:pPr>
      <w:rPr>
        <w:rFonts w:ascii="Wingdings" w:hAnsi="Wingdings" w:hint="default"/>
      </w:rPr>
    </w:lvl>
    <w:lvl w:ilvl="3" w:tplc="20CA6F3C">
      <w:start w:val="1"/>
      <w:numFmt w:val="bullet"/>
      <w:lvlText w:val=""/>
      <w:lvlJc w:val="start"/>
      <w:pPr>
        <w:ind w:start="144pt" w:hanging="18pt"/>
      </w:pPr>
      <w:rPr>
        <w:rFonts w:ascii="Symbol" w:hAnsi="Symbol" w:hint="default"/>
      </w:rPr>
    </w:lvl>
    <w:lvl w:ilvl="4" w:tplc="E9A26C84">
      <w:start w:val="1"/>
      <w:numFmt w:val="bullet"/>
      <w:lvlText w:val="o"/>
      <w:lvlJc w:val="start"/>
      <w:pPr>
        <w:ind w:start="180pt" w:hanging="18pt"/>
      </w:pPr>
      <w:rPr>
        <w:rFonts w:ascii="Courier New" w:hAnsi="Courier New" w:cs="Courier New" w:hint="default"/>
      </w:rPr>
    </w:lvl>
    <w:lvl w:ilvl="5" w:tplc="6E5AD204">
      <w:start w:val="1"/>
      <w:numFmt w:val="bullet"/>
      <w:lvlText w:val=""/>
      <w:lvlJc w:val="start"/>
      <w:pPr>
        <w:ind w:start="216pt" w:hanging="18pt"/>
      </w:pPr>
      <w:rPr>
        <w:rFonts w:ascii="Wingdings" w:hAnsi="Wingdings" w:hint="default"/>
      </w:rPr>
    </w:lvl>
    <w:lvl w:ilvl="6" w:tplc="82E04F84">
      <w:start w:val="1"/>
      <w:numFmt w:val="bullet"/>
      <w:lvlText w:val=""/>
      <w:lvlJc w:val="start"/>
      <w:pPr>
        <w:ind w:start="252pt" w:hanging="18pt"/>
      </w:pPr>
      <w:rPr>
        <w:rFonts w:ascii="Symbol" w:hAnsi="Symbol" w:hint="default"/>
      </w:rPr>
    </w:lvl>
    <w:lvl w:ilvl="7" w:tplc="FB08266C">
      <w:start w:val="1"/>
      <w:numFmt w:val="bullet"/>
      <w:lvlText w:val="o"/>
      <w:lvlJc w:val="start"/>
      <w:pPr>
        <w:ind w:start="288pt" w:hanging="18pt"/>
      </w:pPr>
      <w:rPr>
        <w:rFonts w:ascii="Courier New" w:hAnsi="Courier New" w:cs="Courier New" w:hint="default"/>
      </w:rPr>
    </w:lvl>
    <w:lvl w:ilvl="8" w:tplc="7CF0A5C4">
      <w:start w:val="1"/>
      <w:numFmt w:val="bullet"/>
      <w:lvlText w:val=""/>
      <w:lvlJc w:val="start"/>
      <w:pPr>
        <w:ind w:start="324pt" w:hanging="18pt"/>
      </w:pPr>
      <w:rPr>
        <w:rFonts w:ascii="Wingdings" w:hAnsi="Wingdings" w:hint="default"/>
      </w:rPr>
    </w:lvl>
  </w:abstractNum>
  <w:abstractNum w:abstractNumId="86" w15:restartNumberingAfterBreak="0">
    <w:nsid w:val="2C8B09EF"/>
    <w:multiLevelType w:val="multilevel"/>
    <w:tmpl w:val="E5B63796"/>
    <w:lvl w:ilvl="0">
      <w:start w:val="3"/>
      <w:numFmt w:val="decimal"/>
      <w:lvlText w:val="%1."/>
      <w:lvlJc w:val="start"/>
      <w:pPr>
        <w:ind w:start="18pt" w:hanging="18pt"/>
      </w:pPr>
      <w:rPr>
        <w:rFonts w:cs="Times New Roman" w:hint="default"/>
      </w:rPr>
    </w:lvl>
    <w:lvl w:ilvl="1">
      <w:start w:val="1"/>
      <w:numFmt w:val="decimal"/>
      <w:pStyle w:val="DIDSUBCAP"/>
      <w:lvlText w:val="%1.%2."/>
      <w:lvlJc w:val="start"/>
      <w:pPr>
        <w:ind w:start="39.60pt" w:hanging="21.60pt"/>
      </w:pPr>
      <w:rPr>
        <w:rFonts w:cs="Times New Roman" w:hint="default"/>
      </w:rPr>
    </w:lvl>
    <w:lvl w:ilvl="2">
      <w:start w:val="1"/>
      <w:numFmt w:val="decimal"/>
      <w:lvlText w:val="%1.%2.%3."/>
      <w:lvlJc w:val="start"/>
      <w:pPr>
        <w:ind w:start="61.20pt" w:hanging="25.20pt"/>
      </w:pPr>
      <w:rPr>
        <w:rFonts w:cs="Times New Roman" w:hint="default"/>
      </w:rPr>
    </w:lvl>
    <w:lvl w:ilvl="3">
      <w:start w:val="1"/>
      <w:numFmt w:val="decimal"/>
      <w:lvlText w:val="%1.%2.%3.%4."/>
      <w:lvlJc w:val="start"/>
      <w:pPr>
        <w:ind w:start="86.40pt" w:hanging="32.40pt"/>
      </w:pPr>
      <w:rPr>
        <w:rFonts w:cs="Times New Roman" w:hint="default"/>
      </w:rPr>
    </w:lvl>
    <w:lvl w:ilvl="4">
      <w:start w:val="1"/>
      <w:numFmt w:val="decimal"/>
      <w:lvlText w:val="%1.%2.%3.%4.%5."/>
      <w:lvlJc w:val="start"/>
      <w:pPr>
        <w:ind w:start="111.60pt" w:hanging="39.60pt"/>
      </w:pPr>
      <w:rPr>
        <w:rFonts w:cs="Times New Roman" w:hint="default"/>
      </w:rPr>
    </w:lvl>
    <w:lvl w:ilvl="5">
      <w:start w:val="1"/>
      <w:numFmt w:val="decimal"/>
      <w:lvlText w:val="%1.%2.%3.%4.%5.%6."/>
      <w:lvlJc w:val="start"/>
      <w:pPr>
        <w:ind w:start="136.80pt" w:hanging="46.80pt"/>
      </w:pPr>
      <w:rPr>
        <w:rFonts w:cs="Times New Roman" w:hint="default"/>
      </w:rPr>
    </w:lvl>
    <w:lvl w:ilvl="6">
      <w:start w:val="1"/>
      <w:numFmt w:val="decimal"/>
      <w:lvlText w:val="%1.%2.%3.%4.%5.%6.%7."/>
      <w:lvlJc w:val="start"/>
      <w:pPr>
        <w:ind w:start="162pt" w:hanging="54pt"/>
      </w:pPr>
      <w:rPr>
        <w:rFonts w:cs="Times New Roman" w:hint="default"/>
      </w:rPr>
    </w:lvl>
    <w:lvl w:ilvl="7">
      <w:start w:val="1"/>
      <w:numFmt w:val="decimal"/>
      <w:lvlText w:val="%1.%2.%3.%4.%5.%6.%7.%8."/>
      <w:lvlJc w:val="start"/>
      <w:pPr>
        <w:ind w:start="187.20pt" w:hanging="61.20pt"/>
      </w:pPr>
      <w:rPr>
        <w:rFonts w:cs="Times New Roman" w:hint="default"/>
      </w:rPr>
    </w:lvl>
    <w:lvl w:ilvl="8">
      <w:start w:val="1"/>
      <w:numFmt w:val="decimal"/>
      <w:lvlText w:val="%1.%2.%3.%4.%5.%6.%7.%8.%9."/>
      <w:lvlJc w:val="start"/>
      <w:pPr>
        <w:ind w:start="216pt" w:hanging="72pt"/>
      </w:pPr>
      <w:rPr>
        <w:rFonts w:cs="Times New Roman" w:hint="default"/>
      </w:rPr>
    </w:lvl>
  </w:abstractNum>
  <w:abstractNum w:abstractNumId="87" w15:restartNumberingAfterBreak="0">
    <w:nsid w:val="2D474679"/>
    <w:multiLevelType w:val="hybridMultilevel"/>
    <w:tmpl w:val="C584CA64"/>
    <w:lvl w:ilvl="0" w:tplc="0532D18C">
      <w:start w:val="1"/>
      <w:numFmt w:val="bullet"/>
      <w:lvlText w:val=""/>
      <w:lvlJc w:val="start"/>
      <w:pPr>
        <w:ind w:start="33.85pt" w:hanging="18pt"/>
      </w:pPr>
      <w:rPr>
        <w:rFonts w:ascii="Symbol" w:hAnsi="Symbol" w:hint="default"/>
      </w:rPr>
    </w:lvl>
    <w:lvl w:ilvl="1" w:tplc="940863BE" w:tentative="1">
      <w:start w:val="1"/>
      <w:numFmt w:val="bullet"/>
      <w:lvlText w:val="o"/>
      <w:lvlJc w:val="start"/>
      <w:pPr>
        <w:ind w:start="69.80pt" w:hanging="18pt"/>
      </w:pPr>
      <w:rPr>
        <w:rFonts w:ascii="Courier New" w:hAnsi="Courier New" w:cs="Courier New" w:hint="default"/>
      </w:rPr>
    </w:lvl>
    <w:lvl w:ilvl="2" w:tplc="F328DFE0" w:tentative="1">
      <w:start w:val="1"/>
      <w:numFmt w:val="bullet"/>
      <w:lvlText w:val=""/>
      <w:lvlJc w:val="start"/>
      <w:pPr>
        <w:ind w:start="105.85pt" w:hanging="18pt"/>
      </w:pPr>
      <w:rPr>
        <w:rFonts w:ascii="Wingdings" w:hAnsi="Wingdings" w:hint="default"/>
      </w:rPr>
    </w:lvl>
    <w:lvl w:ilvl="3" w:tplc="37563470" w:tentative="1">
      <w:start w:val="1"/>
      <w:numFmt w:val="bullet"/>
      <w:lvlText w:val=""/>
      <w:lvlJc w:val="start"/>
      <w:pPr>
        <w:ind w:start="141.85pt" w:hanging="18pt"/>
      </w:pPr>
      <w:rPr>
        <w:rFonts w:ascii="Symbol" w:hAnsi="Symbol" w:hint="default"/>
      </w:rPr>
    </w:lvl>
    <w:lvl w:ilvl="4" w:tplc="25B84AB4" w:tentative="1">
      <w:start w:val="1"/>
      <w:numFmt w:val="bullet"/>
      <w:lvlText w:val="o"/>
      <w:lvlJc w:val="start"/>
      <w:pPr>
        <w:ind w:start="177.85pt" w:hanging="18pt"/>
      </w:pPr>
      <w:rPr>
        <w:rFonts w:ascii="Courier New" w:hAnsi="Courier New" w:cs="Courier New" w:hint="default"/>
      </w:rPr>
    </w:lvl>
    <w:lvl w:ilvl="5" w:tplc="4BB61E6E" w:tentative="1">
      <w:start w:val="1"/>
      <w:numFmt w:val="bullet"/>
      <w:lvlText w:val=""/>
      <w:lvlJc w:val="start"/>
      <w:pPr>
        <w:ind w:start="213.85pt" w:hanging="18pt"/>
      </w:pPr>
      <w:rPr>
        <w:rFonts w:ascii="Wingdings" w:hAnsi="Wingdings" w:hint="default"/>
      </w:rPr>
    </w:lvl>
    <w:lvl w:ilvl="6" w:tplc="A2B8EC7A" w:tentative="1">
      <w:start w:val="1"/>
      <w:numFmt w:val="bullet"/>
      <w:lvlText w:val=""/>
      <w:lvlJc w:val="start"/>
      <w:pPr>
        <w:ind w:start="249.85pt" w:hanging="18pt"/>
      </w:pPr>
      <w:rPr>
        <w:rFonts w:ascii="Symbol" w:hAnsi="Symbol" w:hint="default"/>
      </w:rPr>
    </w:lvl>
    <w:lvl w:ilvl="7" w:tplc="A026551E" w:tentative="1">
      <w:start w:val="1"/>
      <w:numFmt w:val="bullet"/>
      <w:lvlText w:val="o"/>
      <w:lvlJc w:val="start"/>
      <w:pPr>
        <w:ind w:start="285.85pt" w:hanging="18pt"/>
      </w:pPr>
      <w:rPr>
        <w:rFonts w:ascii="Courier New" w:hAnsi="Courier New" w:cs="Courier New" w:hint="default"/>
      </w:rPr>
    </w:lvl>
    <w:lvl w:ilvl="8" w:tplc="E7C4E118" w:tentative="1">
      <w:start w:val="1"/>
      <w:numFmt w:val="bullet"/>
      <w:lvlText w:val=""/>
      <w:lvlJc w:val="start"/>
      <w:pPr>
        <w:ind w:start="321.85pt" w:hanging="18pt"/>
      </w:pPr>
      <w:rPr>
        <w:rFonts w:ascii="Wingdings" w:hAnsi="Wingdings" w:hint="default"/>
      </w:rPr>
    </w:lvl>
  </w:abstractNum>
  <w:abstractNum w:abstractNumId="88" w15:restartNumberingAfterBreak="0">
    <w:nsid w:val="2D5B3FCE"/>
    <w:multiLevelType w:val="hybridMultilevel"/>
    <w:tmpl w:val="0E202E70"/>
    <w:lvl w:ilvl="0" w:tplc="4AEA41CA">
      <w:start w:val="1"/>
      <w:numFmt w:val="bullet"/>
      <w:lvlText w:val=""/>
      <w:lvlJc w:val="start"/>
      <w:pPr>
        <w:ind w:start="39.40pt" w:hanging="18pt"/>
      </w:pPr>
      <w:rPr>
        <w:rFonts w:ascii="Symbol" w:hAnsi="Symbol" w:hint="default"/>
      </w:rPr>
    </w:lvl>
    <w:lvl w:ilvl="1" w:tplc="431AD146" w:tentative="1">
      <w:start w:val="1"/>
      <w:numFmt w:val="bullet"/>
      <w:lvlText w:val="o"/>
      <w:lvlJc w:val="start"/>
      <w:pPr>
        <w:ind w:start="75.40pt" w:hanging="18pt"/>
      </w:pPr>
      <w:rPr>
        <w:rFonts w:ascii="Courier New" w:hAnsi="Courier New" w:cs="Courier New" w:hint="default"/>
      </w:rPr>
    </w:lvl>
    <w:lvl w:ilvl="2" w:tplc="2ACE81D4" w:tentative="1">
      <w:start w:val="1"/>
      <w:numFmt w:val="bullet"/>
      <w:lvlText w:val=""/>
      <w:lvlJc w:val="start"/>
      <w:pPr>
        <w:ind w:start="111.40pt" w:hanging="18pt"/>
      </w:pPr>
      <w:rPr>
        <w:rFonts w:ascii="Wingdings" w:hAnsi="Wingdings" w:hint="default"/>
      </w:rPr>
    </w:lvl>
    <w:lvl w:ilvl="3" w:tplc="0898FCF2" w:tentative="1">
      <w:start w:val="1"/>
      <w:numFmt w:val="bullet"/>
      <w:lvlText w:val=""/>
      <w:lvlJc w:val="start"/>
      <w:pPr>
        <w:ind w:start="147.40pt" w:hanging="18pt"/>
      </w:pPr>
      <w:rPr>
        <w:rFonts w:ascii="Symbol" w:hAnsi="Symbol" w:hint="default"/>
      </w:rPr>
    </w:lvl>
    <w:lvl w:ilvl="4" w:tplc="71D456F4" w:tentative="1">
      <w:start w:val="1"/>
      <w:numFmt w:val="bullet"/>
      <w:lvlText w:val="o"/>
      <w:lvlJc w:val="start"/>
      <w:pPr>
        <w:ind w:start="183.40pt" w:hanging="18pt"/>
      </w:pPr>
      <w:rPr>
        <w:rFonts w:ascii="Courier New" w:hAnsi="Courier New" w:cs="Courier New" w:hint="default"/>
      </w:rPr>
    </w:lvl>
    <w:lvl w:ilvl="5" w:tplc="4FD88CF8" w:tentative="1">
      <w:start w:val="1"/>
      <w:numFmt w:val="bullet"/>
      <w:lvlText w:val=""/>
      <w:lvlJc w:val="start"/>
      <w:pPr>
        <w:ind w:start="219.40pt" w:hanging="18pt"/>
      </w:pPr>
      <w:rPr>
        <w:rFonts w:ascii="Wingdings" w:hAnsi="Wingdings" w:hint="default"/>
      </w:rPr>
    </w:lvl>
    <w:lvl w:ilvl="6" w:tplc="70A4D32C" w:tentative="1">
      <w:start w:val="1"/>
      <w:numFmt w:val="bullet"/>
      <w:lvlText w:val=""/>
      <w:lvlJc w:val="start"/>
      <w:pPr>
        <w:ind w:start="255.40pt" w:hanging="18pt"/>
      </w:pPr>
      <w:rPr>
        <w:rFonts w:ascii="Symbol" w:hAnsi="Symbol" w:hint="default"/>
      </w:rPr>
    </w:lvl>
    <w:lvl w:ilvl="7" w:tplc="DE088036" w:tentative="1">
      <w:start w:val="1"/>
      <w:numFmt w:val="bullet"/>
      <w:lvlText w:val="o"/>
      <w:lvlJc w:val="start"/>
      <w:pPr>
        <w:ind w:start="291.35pt" w:hanging="18pt"/>
      </w:pPr>
      <w:rPr>
        <w:rFonts w:ascii="Courier New" w:hAnsi="Courier New" w:cs="Courier New" w:hint="default"/>
      </w:rPr>
    </w:lvl>
    <w:lvl w:ilvl="8" w:tplc="1278ED20" w:tentative="1">
      <w:start w:val="1"/>
      <w:numFmt w:val="bullet"/>
      <w:lvlText w:val=""/>
      <w:lvlJc w:val="start"/>
      <w:pPr>
        <w:ind w:start="327.35pt" w:hanging="18pt"/>
      </w:pPr>
      <w:rPr>
        <w:rFonts w:ascii="Wingdings" w:hAnsi="Wingdings" w:hint="default"/>
      </w:rPr>
    </w:lvl>
  </w:abstractNum>
  <w:abstractNum w:abstractNumId="89" w15:restartNumberingAfterBreak="0">
    <w:nsid w:val="2D792D4C"/>
    <w:multiLevelType w:val="hybridMultilevel"/>
    <w:tmpl w:val="4BA44F60"/>
    <w:lvl w:ilvl="0" w:tplc="C3BEF968">
      <w:start w:val="1"/>
      <w:numFmt w:val="bullet"/>
      <w:lvlText w:val=""/>
      <w:lvlJc w:val="start"/>
      <w:pPr>
        <w:ind w:start="36pt" w:hanging="18pt"/>
      </w:pPr>
      <w:rPr>
        <w:rFonts w:ascii="Symbol" w:hAnsi="Symbol" w:hint="default"/>
      </w:rPr>
    </w:lvl>
    <w:lvl w:ilvl="1" w:tplc="A2063A9C">
      <w:start w:val="1"/>
      <w:numFmt w:val="bullet"/>
      <w:lvlText w:val="o"/>
      <w:lvlJc w:val="start"/>
      <w:pPr>
        <w:ind w:start="72pt" w:hanging="18pt"/>
      </w:pPr>
      <w:rPr>
        <w:rFonts w:ascii="Courier New" w:hAnsi="Courier New" w:cs="Courier New" w:hint="default"/>
      </w:rPr>
    </w:lvl>
    <w:lvl w:ilvl="2" w:tplc="EFBA58CC">
      <w:start w:val="1"/>
      <w:numFmt w:val="bullet"/>
      <w:lvlText w:val=""/>
      <w:lvlJc w:val="start"/>
      <w:pPr>
        <w:ind w:start="108pt" w:hanging="18pt"/>
      </w:pPr>
      <w:rPr>
        <w:rFonts w:ascii="Wingdings" w:hAnsi="Wingdings" w:hint="default"/>
      </w:rPr>
    </w:lvl>
    <w:lvl w:ilvl="3" w:tplc="1E44874C">
      <w:start w:val="1"/>
      <w:numFmt w:val="bullet"/>
      <w:lvlText w:val=""/>
      <w:lvlJc w:val="start"/>
      <w:pPr>
        <w:ind w:start="144pt" w:hanging="18pt"/>
      </w:pPr>
      <w:rPr>
        <w:rFonts w:ascii="Symbol" w:hAnsi="Symbol" w:hint="default"/>
      </w:rPr>
    </w:lvl>
    <w:lvl w:ilvl="4" w:tplc="07A0F3AA">
      <w:start w:val="1"/>
      <w:numFmt w:val="bullet"/>
      <w:lvlText w:val="o"/>
      <w:lvlJc w:val="start"/>
      <w:pPr>
        <w:ind w:start="180pt" w:hanging="18pt"/>
      </w:pPr>
      <w:rPr>
        <w:rFonts w:ascii="Courier New" w:hAnsi="Courier New" w:cs="Courier New" w:hint="default"/>
      </w:rPr>
    </w:lvl>
    <w:lvl w:ilvl="5" w:tplc="6B32E252">
      <w:start w:val="1"/>
      <w:numFmt w:val="bullet"/>
      <w:lvlText w:val=""/>
      <w:lvlJc w:val="start"/>
      <w:pPr>
        <w:ind w:start="216pt" w:hanging="18pt"/>
      </w:pPr>
      <w:rPr>
        <w:rFonts w:ascii="Wingdings" w:hAnsi="Wingdings" w:hint="default"/>
      </w:rPr>
    </w:lvl>
    <w:lvl w:ilvl="6" w:tplc="2318A6CA">
      <w:start w:val="1"/>
      <w:numFmt w:val="bullet"/>
      <w:lvlText w:val=""/>
      <w:lvlJc w:val="start"/>
      <w:pPr>
        <w:ind w:start="252pt" w:hanging="18pt"/>
      </w:pPr>
      <w:rPr>
        <w:rFonts w:ascii="Symbol" w:hAnsi="Symbol" w:hint="default"/>
      </w:rPr>
    </w:lvl>
    <w:lvl w:ilvl="7" w:tplc="081EC3A2">
      <w:start w:val="1"/>
      <w:numFmt w:val="bullet"/>
      <w:lvlText w:val="o"/>
      <w:lvlJc w:val="start"/>
      <w:pPr>
        <w:ind w:start="288pt" w:hanging="18pt"/>
      </w:pPr>
      <w:rPr>
        <w:rFonts w:ascii="Courier New" w:hAnsi="Courier New" w:cs="Courier New" w:hint="default"/>
      </w:rPr>
    </w:lvl>
    <w:lvl w:ilvl="8" w:tplc="A5985FD0">
      <w:start w:val="1"/>
      <w:numFmt w:val="bullet"/>
      <w:lvlText w:val=""/>
      <w:lvlJc w:val="start"/>
      <w:pPr>
        <w:ind w:start="324pt" w:hanging="18pt"/>
      </w:pPr>
      <w:rPr>
        <w:rFonts w:ascii="Wingdings" w:hAnsi="Wingdings" w:hint="default"/>
      </w:rPr>
    </w:lvl>
  </w:abstractNum>
  <w:abstractNum w:abstractNumId="90" w15:restartNumberingAfterBreak="0">
    <w:nsid w:val="2E1B10DC"/>
    <w:multiLevelType w:val="hybridMultilevel"/>
    <w:tmpl w:val="DB781B24"/>
    <w:lvl w:ilvl="0" w:tplc="55D2C6A0">
      <w:start w:val="1"/>
      <w:numFmt w:val="bullet"/>
      <w:lvlText w:val=""/>
      <w:lvlJc w:val="start"/>
      <w:pPr>
        <w:ind w:start="32.15pt" w:hanging="18pt"/>
      </w:pPr>
      <w:rPr>
        <w:rFonts w:ascii="Symbol" w:hAnsi="Symbol" w:hint="default"/>
      </w:rPr>
    </w:lvl>
    <w:lvl w:ilvl="1" w:tplc="A34880BC">
      <w:start w:val="1"/>
      <w:numFmt w:val="bullet"/>
      <w:lvlText w:val="o"/>
      <w:lvlJc w:val="start"/>
      <w:pPr>
        <w:ind w:start="68.15pt" w:hanging="18pt"/>
      </w:pPr>
      <w:rPr>
        <w:rFonts w:ascii="Courier New" w:hAnsi="Courier New" w:cs="Courier New" w:hint="default"/>
      </w:rPr>
    </w:lvl>
    <w:lvl w:ilvl="2" w:tplc="1E863C3C">
      <w:start w:val="1"/>
      <w:numFmt w:val="bullet"/>
      <w:lvlText w:val=""/>
      <w:lvlJc w:val="start"/>
      <w:pPr>
        <w:ind w:start="104.15pt" w:hanging="18pt"/>
      </w:pPr>
      <w:rPr>
        <w:rFonts w:ascii="Wingdings" w:hAnsi="Wingdings" w:hint="default"/>
      </w:rPr>
    </w:lvl>
    <w:lvl w:ilvl="3" w:tplc="53EABDCA">
      <w:start w:val="1"/>
      <w:numFmt w:val="bullet"/>
      <w:lvlText w:val=""/>
      <w:lvlJc w:val="start"/>
      <w:pPr>
        <w:ind w:start="140.15pt" w:hanging="18pt"/>
      </w:pPr>
      <w:rPr>
        <w:rFonts w:ascii="Symbol" w:hAnsi="Symbol" w:hint="default"/>
      </w:rPr>
    </w:lvl>
    <w:lvl w:ilvl="4" w:tplc="81D2FB8A">
      <w:start w:val="1"/>
      <w:numFmt w:val="bullet"/>
      <w:lvlText w:val="o"/>
      <w:lvlJc w:val="start"/>
      <w:pPr>
        <w:ind w:start="176.15pt" w:hanging="18pt"/>
      </w:pPr>
      <w:rPr>
        <w:rFonts w:ascii="Courier New" w:hAnsi="Courier New" w:cs="Courier New" w:hint="default"/>
      </w:rPr>
    </w:lvl>
    <w:lvl w:ilvl="5" w:tplc="6974145A">
      <w:start w:val="1"/>
      <w:numFmt w:val="bullet"/>
      <w:lvlText w:val=""/>
      <w:lvlJc w:val="start"/>
      <w:pPr>
        <w:ind w:start="212.15pt" w:hanging="18pt"/>
      </w:pPr>
      <w:rPr>
        <w:rFonts w:ascii="Wingdings" w:hAnsi="Wingdings" w:hint="default"/>
      </w:rPr>
    </w:lvl>
    <w:lvl w:ilvl="6" w:tplc="35A45F2A">
      <w:start w:val="1"/>
      <w:numFmt w:val="bullet"/>
      <w:lvlText w:val=""/>
      <w:lvlJc w:val="start"/>
      <w:pPr>
        <w:ind w:start="248.15pt" w:hanging="18pt"/>
      </w:pPr>
      <w:rPr>
        <w:rFonts w:ascii="Symbol" w:hAnsi="Symbol" w:hint="default"/>
      </w:rPr>
    </w:lvl>
    <w:lvl w:ilvl="7" w:tplc="5EF445D8">
      <w:start w:val="1"/>
      <w:numFmt w:val="bullet"/>
      <w:lvlText w:val="o"/>
      <w:lvlJc w:val="start"/>
      <w:pPr>
        <w:ind w:start="284.10pt" w:hanging="18pt"/>
      </w:pPr>
      <w:rPr>
        <w:rFonts w:ascii="Courier New" w:hAnsi="Courier New" w:cs="Courier New" w:hint="default"/>
      </w:rPr>
    </w:lvl>
    <w:lvl w:ilvl="8" w:tplc="F95241C6">
      <w:start w:val="1"/>
      <w:numFmt w:val="bullet"/>
      <w:lvlText w:val=""/>
      <w:lvlJc w:val="start"/>
      <w:pPr>
        <w:ind w:start="320.10pt" w:hanging="18pt"/>
      </w:pPr>
      <w:rPr>
        <w:rFonts w:ascii="Wingdings" w:hAnsi="Wingdings" w:hint="default"/>
      </w:rPr>
    </w:lvl>
  </w:abstractNum>
  <w:abstractNum w:abstractNumId="91" w15:restartNumberingAfterBreak="0">
    <w:nsid w:val="2E744EB0"/>
    <w:multiLevelType w:val="hybridMultilevel"/>
    <w:tmpl w:val="ECDA2EDC"/>
    <w:lvl w:ilvl="0" w:tplc="1698073C">
      <w:start w:val="1"/>
      <w:numFmt w:val="bullet"/>
      <w:lvlText w:val=""/>
      <w:lvlJc w:val="start"/>
      <w:pPr>
        <w:ind w:start="54pt" w:hanging="18pt"/>
      </w:pPr>
      <w:rPr>
        <w:rFonts w:ascii="Symbol" w:hAnsi="Symbol" w:hint="default"/>
      </w:rPr>
    </w:lvl>
    <w:lvl w:ilvl="1" w:tplc="C17404D6" w:tentative="1">
      <w:start w:val="1"/>
      <w:numFmt w:val="bullet"/>
      <w:lvlText w:val="o"/>
      <w:lvlJc w:val="start"/>
      <w:pPr>
        <w:ind w:start="90pt" w:hanging="18pt"/>
      </w:pPr>
      <w:rPr>
        <w:rFonts w:ascii="Courier New" w:hAnsi="Courier New" w:cs="Courier New" w:hint="default"/>
      </w:rPr>
    </w:lvl>
    <w:lvl w:ilvl="2" w:tplc="C9068140" w:tentative="1">
      <w:start w:val="1"/>
      <w:numFmt w:val="bullet"/>
      <w:lvlText w:val=""/>
      <w:lvlJc w:val="start"/>
      <w:pPr>
        <w:ind w:start="126pt" w:hanging="18pt"/>
      </w:pPr>
      <w:rPr>
        <w:rFonts w:ascii="Wingdings" w:hAnsi="Wingdings" w:hint="default"/>
      </w:rPr>
    </w:lvl>
    <w:lvl w:ilvl="3" w:tplc="0666DD86" w:tentative="1">
      <w:start w:val="1"/>
      <w:numFmt w:val="bullet"/>
      <w:lvlText w:val=""/>
      <w:lvlJc w:val="start"/>
      <w:pPr>
        <w:ind w:start="162pt" w:hanging="18pt"/>
      </w:pPr>
      <w:rPr>
        <w:rFonts w:ascii="Symbol" w:hAnsi="Symbol" w:hint="default"/>
      </w:rPr>
    </w:lvl>
    <w:lvl w:ilvl="4" w:tplc="17F46EA6" w:tentative="1">
      <w:start w:val="1"/>
      <w:numFmt w:val="bullet"/>
      <w:lvlText w:val="o"/>
      <w:lvlJc w:val="start"/>
      <w:pPr>
        <w:ind w:start="198pt" w:hanging="18pt"/>
      </w:pPr>
      <w:rPr>
        <w:rFonts w:ascii="Courier New" w:hAnsi="Courier New" w:cs="Courier New" w:hint="default"/>
      </w:rPr>
    </w:lvl>
    <w:lvl w:ilvl="5" w:tplc="692AF912" w:tentative="1">
      <w:start w:val="1"/>
      <w:numFmt w:val="bullet"/>
      <w:lvlText w:val=""/>
      <w:lvlJc w:val="start"/>
      <w:pPr>
        <w:ind w:start="234pt" w:hanging="18pt"/>
      </w:pPr>
      <w:rPr>
        <w:rFonts w:ascii="Wingdings" w:hAnsi="Wingdings" w:hint="default"/>
      </w:rPr>
    </w:lvl>
    <w:lvl w:ilvl="6" w:tplc="EE3ABCE6" w:tentative="1">
      <w:start w:val="1"/>
      <w:numFmt w:val="bullet"/>
      <w:lvlText w:val=""/>
      <w:lvlJc w:val="start"/>
      <w:pPr>
        <w:ind w:start="270pt" w:hanging="18pt"/>
      </w:pPr>
      <w:rPr>
        <w:rFonts w:ascii="Symbol" w:hAnsi="Symbol" w:hint="default"/>
      </w:rPr>
    </w:lvl>
    <w:lvl w:ilvl="7" w:tplc="4D40F54C" w:tentative="1">
      <w:start w:val="1"/>
      <w:numFmt w:val="bullet"/>
      <w:lvlText w:val="o"/>
      <w:lvlJc w:val="start"/>
      <w:pPr>
        <w:ind w:start="306pt" w:hanging="18pt"/>
      </w:pPr>
      <w:rPr>
        <w:rFonts w:ascii="Courier New" w:hAnsi="Courier New" w:cs="Courier New" w:hint="default"/>
      </w:rPr>
    </w:lvl>
    <w:lvl w:ilvl="8" w:tplc="06A40F02" w:tentative="1">
      <w:start w:val="1"/>
      <w:numFmt w:val="bullet"/>
      <w:lvlText w:val=""/>
      <w:lvlJc w:val="start"/>
      <w:pPr>
        <w:ind w:start="342pt" w:hanging="18pt"/>
      </w:pPr>
      <w:rPr>
        <w:rFonts w:ascii="Wingdings" w:hAnsi="Wingdings" w:hint="default"/>
      </w:rPr>
    </w:lvl>
  </w:abstractNum>
  <w:abstractNum w:abstractNumId="92" w15:restartNumberingAfterBreak="0">
    <w:nsid w:val="2E7902AA"/>
    <w:multiLevelType w:val="hybridMultilevel"/>
    <w:tmpl w:val="BD1A2D4A"/>
    <w:lvl w:ilvl="0" w:tplc="6CC2B7DC">
      <w:start w:val="6"/>
      <w:numFmt w:val="bullet"/>
      <w:lvlText w:val="•"/>
      <w:lvlJc w:val="start"/>
      <w:pPr>
        <w:ind w:start="36pt" w:hanging="18pt"/>
      </w:pPr>
      <w:rPr>
        <w:rFonts w:ascii="Century Gothic" w:eastAsia="Calibri" w:hAnsi="Century Gothic" w:cs="Arial" w:hint="default"/>
      </w:rPr>
    </w:lvl>
    <w:lvl w:ilvl="1" w:tplc="27A2C160" w:tentative="1">
      <w:start w:val="1"/>
      <w:numFmt w:val="bullet"/>
      <w:lvlText w:val="o"/>
      <w:lvlJc w:val="start"/>
      <w:pPr>
        <w:ind w:start="72pt" w:hanging="18pt"/>
      </w:pPr>
      <w:rPr>
        <w:rFonts w:ascii="Courier New" w:hAnsi="Courier New" w:cs="Courier New" w:hint="default"/>
      </w:rPr>
    </w:lvl>
    <w:lvl w:ilvl="2" w:tplc="10F2912E" w:tentative="1">
      <w:start w:val="1"/>
      <w:numFmt w:val="bullet"/>
      <w:lvlText w:val=""/>
      <w:lvlJc w:val="start"/>
      <w:pPr>
        <w:ind w:start="108pt" w:hanging="18pt"/>
      </w:pPr>
      <w:rPr>
        <w:rFonts w:ascii="Wingdings" w:hAnsi="Wingdings" w:hint="default"/>
      </w:rPr>
    </w:lvl>
    <w:lvl w:ilvl="3" w:tplc="0CAA301E" w:tentative="1">
      <w:start w:val="1"/>
      <w:numFmt w:val="bullet"/>
      <w:lvlText w:val=""/>
      <w:lvlJc w:val="start"/>
      <w:pPr>
        <w:ind w:start="144pt" w:hanging="18pt"/>
      </w:pPr>
      <w:rPr>
        <w:rFonts w:ascii="Symbol" w:hAnsi="Symbol" w:hint="default"/>
      </w:rPr>
    </w:lvl>
    <w:lvl w:ilvl="4" w:tplc="5CA6E394" w:tentative="1">
      <w:start w:val="1"/>
      <w:numFmt w:val="bullet"/>
      <w:lvlText w:val="o"/>
      <w:lvlJc w:val="start"/>
      <w:pPr>
        <w:ind w:start="180pt" w:hanging="18pt"/>
      </w:pPr>
      <w:rPr>
        <w:rFonts w:ascii="Courier New" w:hAnsi="Courier New" w:cs="Courier New" w:hint="default"/>
      </w:rPr>
    </w:lvl>
    <w:lvl w:ilvl="5" w:tplc="2A70854C" w:tentative="1">
      <w:start w:val="1"/>
      <w:numFmt w:val="bullet"/>
      <w:lvlText w:val=""/>
      <w:lvlJc w:val="start"/>
      <w:pPr>
        <w:ind w:start="216pt" w:hanging="18pt"/>
      </w:pPr>
      <w:rPr>
        <w:rFonts w:ascii="Wingdings" w:hAnsi="Wingdings" w:hint="default"/>
      </w:rPr>
    </w:lvl>
    <w:lvl w:ilvl="6" w:tplc="58CCDDA0" w:tentative="1">
      <w:start w:val="1"/>
      <w:numFmt w:val="bullet"/>
      <w:lvlText w:val=""/>
      <w:lvlJc w:val="start"/>
      <w:pPr>
        <w:ind w:start="252pt" w:hanging="18pt"/>
      </w:pPr>
      <w:rPr>
        <w:rFonts w:ascii="Symbol" w:hAnsi="Symbol" w:hint="default"/>
      </w:rPr>
    </w:lvl>
    <w:lvl w:ilvl="7" w:tplc="CBC61E58" w:tentative="1">
      <w:start w:val="1"/>
      <w:numFmt w:val="bullet"/>
      <w:lvlText w:val="o"/>
      <w:lvlJc w:val="start"/>
      <w:pPr>
        <w:ind w:start="288pt" w:hanging="18pt"/>
      </w:pPr>
      <w:rPr>
        <w:rFonts w:ascii="Courier New" w:hAnsi="Courier New" w:cs="Courier New" w:hint="default"/>
      </w:rPr>
    </w:lvl>
    <w:lvl w:ilvl="8" w:tplc="899E096C" w:tentative="1">
      <w:start w:val="1"/>
      <w:numFmt w:val="bullet"/>
      <w:lvlText w:val=""/>
      <w:lvlJc w:val="start"/>
      <w:pPr>
        <w:ind w:start="324pt" w:hanging="18pt"/>
      </w:pPr>
      <w:rPr>
        <w:rFonts w:ascii="Wingdings" w:hAnsi="Wingdings" w:hint="default"/>
      </w:rPr>
    </w:lvl>
  </w:abstractNum>
  <w:abstractNum w:abstractNumId="93" w15:restartNumberingAfterBreak="0">
    <w:nsid w:val="2FA05A0B"/>
    <w:multiLevelType w:val="hybridMultilevel"/>
    <w:tmpl w:val="64BC0976"/>
    <w:lvl w:ilvl="0" w:tplc="F8C07546">
      <w:start w:val="6"/>
      <w:numFmt w:val="bullet"/>
      <w:lvlText w:val="•"/>
      <w:lvlJc w:val="start"/>
      <w:pPr>
        <w:ind w:start="54pt" w:hanging="18pt"/>
      </w:pPr>
      <w:rPr>
        <w:rFonts w:ascii="Century Gothic" w:eastAsia="Calibri" w:hAnsi="Century Gothic" w:cs="Arial" w:hint="default"/>
      </w:rPr>
    </w:lvl>
    <w:lvl w:ilvl="1" w:tplc="90E63712" w:tentative="1">
      <w:start w:val="1"/>
      <w:numFmt w:val="bullet"/>
      <w:lvlText w:val="o"/>
      <w:lvlJc w:val="start"/>
      <w:pPr>
        <w:ind w:start="90pt" w:hanging="18pt"/>
      </w:pPr>
      <w:rPr>
        <w:rFonts w:ascii="Courier New" w:hAnsi="Courier New" w:cs="Courier New" w:hint="default"/>
      </w:rPr>
    </w:lvl>
    <w:lvl w:ilvl="2" w:tplc="00B0CF2C" w:tentative="1">
      <w:start w:val="1"/>
      <w:numFmt w:val="bullet"/>
      <w:lvlText w:val=""/>
      <w:lvlJc w:val="start"/>
      <w:pPr>
        <w:ind w:start="126pt" w:hanging="18pt"/>
      </w:pPr>
      <w:rPr>
        <w:rFonts w:ascii="Wingdings" w:hAnsi="Wingdings" w:hint="default"/>
      </w:rPr>
    </w:lvl>
    <w:lvl w:ilvl="3" w:tplc="66E26E76" w:tentative="1">
      <w:start w:val="1"/>
      <w:numFmt w:val="bullet"/>
      <w:lvlText w:val=""/>
      <w:lvlJc w:val="start"/>
      <w:pPr>
        <w:ind w:start="162pt" w:hanging="18pt"/>
      </w:pPr>
      <w:rPr>
        <w:rFonts w:ascii="Symbol" w:hAnsi="Symbol" w:hint="default"/>
      </w:rPr>
    </w:lvl>
    <w:lvl w:ilvl="4" w:tplc="39AE317A" w:tentative="1">
      <w:start w:val="1"/>
      <w:numFmt w:val="bullet"/>
      <w:lvlText w:val="o"/>
      <w:lvlJc w:val="start"/>
      <w:pPr>
        <w:ind w:start="198pt" w:hanging="18pt"/>
      </w:pPr>
      <w:rPr>
        <w:rFonts w:ascii="Courier New" w:hAnsi="Courier New" w:cs="Courier New" w:hint="default"/>
      </w:rPr>
    </w:lvl>
    <w:lvl w:ilvl="5" w:tplc="95E2703A" w:tentative="1">
      <w:start w:val="1"/>
      <w:numFmt w:val="bullet"/>
      <w:lvlText w:val=""/>
      <w:lvlJc w:val="start"/>
      <w:pPr>
        <w:ind w:start="234pt" w:hanging="18pt"/>
      </w:pPr>
      <w:rPr>
        <w:rFonts w:ascii="Wingdings" w:hAnsi="Wingdings" w:hint="default"/>
      </w:rPr>
    </w:lvl>
    <w:lvl w:ilvl="6" w:tplc="FCB67FD0" w:tentative="1">
      <w:start w:val="1"/>
      <w:numFmt w:val="bullet"/>
      <w:lvlText w:val=""/>
      <w:lvlJc w:val="start"/>
      <w:pPr>
        <w:ind w:start="270pt" w:hanging="18pt"/>
      </w:pPr>
      <w:rPr>
        <w:rFonts w:ascii="Symbol" w:hAnsi="Symbol" w:hint="default"/>
      </w:rPr>
    </w:lvl>
    <w:lvl w:ilvl="7" w:tplc="F0EE84DC" w:tentative="1">
      <w:start w:val="1"/>
      <w:numFmt w:val="bullet"/>
      <w:lvlText w:val="o"/>
      <w:lvlJc w:val="start"/>
      <w:pPr>
        <w:ind w:start="306pt" w:hanging="18pt"/>
      </w:pPr>
      <w:rPr>
        <w:rFonts w:ascii="Courier New" w:hAnsi="Courier New" w:cs="Courier New" w:hint="default"/>
      </w:rPr>
    </w:lvl>
    <w:lvl w:ilvl="8" w:tplc="7A84A304" w:tentative="1">
      <w:start w:val="1"/>
      <w:numFmt w:val="bullet"/>
      <w:lvlText w:val=""/>
      <w:lvlJc w:val="start"/>
      <w:pPr>
        <w:ind w:start="342pt" w:hanging="18pt"/>
      </w:pPr>
      <w:rPr>
        <w:rFonts w:ascii="Wingdings" w:hAnsi="Wingdings" w:hint="default"/>
      </w:rPr>
    </w:lvl>
  </w:abstractNum>
  <w:abstractNum w:abstractNumId="94" w15:restartNumberingAfterBreak="0">
    <w:nsid w:val="30697A33"/>
    <w:multiLevelType w:val="hybridMultilevel"/>
    <w:tmpl w:val="F93884C8"/>
    <w:lvl w:ilvl="0" w:tplc="8B1C33C4">
      <w:start w:val="1"/>
      <w:numFmt w:val="bullet"/>
      <w:lvlText w:val=""/>
      <w:lvlJc w:val="start"/>
      <w:pPr>
        <w:ind w:start="54.15pt" w:hanging="18pt"/>
      </w:pPr>
      <w:rPr>
        <w:rFonts w:ascii="Symbol" w:hAnsi="Symbol" w:hint="default"/>
      </w:rPr>
    </w:lvl>
    <w:lvl w:ilvl="1" w:tplc="743C814C" w:tentative="1">
      <w:start w:val="1"/>
      <w:numFmt w:val="bullet"/>
      <w:lvlText w:val="o"/>
      <w:lvlJc w:val="start"/>
      <w:pPr>
        <w:ind w:start="90.15pt" w:hanging="18pt"/>
      </w:pPr>
      <w:rPr>
        <w:rFonts w:ascii="Courier New" w:hAnsi="Courier New" w:cs="Courier New" w:hint="default"/>
      </w:rPr>
    </w:lvl>
    <w:lvl w:ilvl="2" w:tplc="B83EA29C" w:tentative="1">
      <w:start w:val="1"/>
      <w:numFmt w:val="bullet"/>
      <w:lvlText w:val=""/>
      <w:lvlJc w:val="start"/>
      <w:pPr>
        <w:ind w:start="126.15pt" w:hanging="18pt"/>
      </w:pPr>
      <w:rPr>
        <w:rFonts w:ascii="Wingdings" w:hAnsi="Wingdings" w:hint="default"/>
      </w:rPr>
    </w:lvl>
    <w:lvl w:ilvl="3" w:tplc="D47A0DFE" w:tentative="1">
      <w:start w:val="1"/>
      <w:numFmt w:val="bullet"/>
      <w:lvlText w:val=""/>
      <w:lvlJc w:val="start"/>
      <w:pPr>
        <w:ind w:start="162.15pt" w:hanging="18pt"/>
      </w:pPr>
      <w:rPr>
        <w:rFonts w:ascii="Symbol" w:hAnsi="Symbol" w:hint="default"/>
      </w:rPr>
    </w:lvl>
    <w:lvl w:ilvl="4" w:tplc="04D01F40" w:tentative="1">
      <w:start w:val="1"/>
      <w:numFmt w:val="bullet"/>
      <w:lvlText w:val="o"/>
      <w:lvlJc w:val="start"/>
      <w:pPr>
        <w:ind w:start="198.15pt" w:hanging="18pt"/>
      </w:pPr>
      <w:rPr>
        <w:rFonts w:ascii="Courier New" w:hAnsi="Courier New" w:cs="Courier New" w:hint="default"/>
      </w:rPr>
    </w:lvl>
    <w:lvl w:ilvl="5" w:tplc="1CFE89AA" w:tentative="1">
      <w:start w:val="1"/>
      <w:numFmt w:val="bullet"/>
      <w:lvlText w:val=""/>
      <w:lvlJc w:val="start"/>
      <w:pPr>
        <w:ind w:start="234.15pt" w:hanging="18pt"/>
      </w:pPr>
      <w:rPr>
        <w:rFonts w:ascii="Wingdings" w:hAnsi="Wingdings" w:hint="default"/>
      </w:rPr>
    </w:lvl>
    <w:lvl w:ilvl="6" w:tplc="AFCCD590" w:tentative="1">
      <w:start w:val="1"/>
      <w:numFmt w:val="bullet"/>
      <w:lvlText w:val=""/>
      <w:lvlJc w:val="start"/>
      <w:pPr>
        <w:ind w:start="270.10pt" w:hanging="18pt"/>
      </w:pPr>
      <w:rPr>
        <w:rFonts w:ascii="Symbol" w:hAnsi="Symbol" w:hint="default"/>
      </w:rPr>
    </w:lvl>
    <w:lvl w:ilvl="7" w:tplc="7E04F0FE" w:tentative="1">
      <w:start w:val="1"/>
      <w:numFmt w:val="bullet"/>
      <w:lvlText w:val="o"/>
      <w:lvlJc w:val="start"/>
      <w:pPr>
        <w:ind w:start="306.10pt" w:hanging="18pt"/>
      </w:pPr>
      <w:rPr>
        <w:rFonts w:ascii="Courier New" w:hAnsi="Courier New" w:cs="Courier New" w:hint="default"/>
      </w:rPr>
    </w:lvl>
    <w:lvl w:ilvl="8" w:tplc="E81863F4" w:tentative="1">
      <w:start w:val="1"/>
      <w:numFmt w:val="bullet"/>
      <w:lvlText w:val=""/>
      <w:lvlJc w:val="start"/>
      <w:pPr>
        <w:ind w:start="342.15pt" w:hanging="18pt"/>
      </w:pPr>
      <w:rPr>
        <w:rFonts w:ascii="Wingdings" w:hAnsi="Wingdings" w:hint="default"/>
      </w:rPr>
    </w:lvl>
  </w:abstractNum>
  <w:abstractNum w:abstractNumId="95" w15:restartNumberingAfterBreak="0">
    <w:nsid w:val="30FC76F0"/>
    <w:multiLevelType w:val="hybridMultilevel"/>
    <w:tmpl w:val="38F80654"/>
    <w:lvl w:ilvl="0" w:tplc="E90868A4">
      <w:start w:val="6"/>
      <w:numFmt w:val="bullet"/>
      <w:lvlText w:val="•"/>
      <w:lvlJc w:val="start"/>
      <w:pPr>
        <w:ind w:start="39.45pt" w:hanging="18pt"/>
      </w:pPr>
      <w:rPr>
        <w:rFonts w:ascii="Century Gothic" w:eastAsia="Calibri" w:hAnsi="Century Gothic" w:cs="Arial" w:hint="default"/>
      </w:rPr>
    </w:lvl>
    <w:lvl w:ilvl="1" w:tplc="C1D218C2" w:tentative="1">
      <w:start w:val="1"/>
      <w:numFmt w:val="bullet"/>
      <w:lvlText w:val="o"/>
      <w:lvlJc w:val="start"/>
      <w:pPr>
        <w:ind w:start="75.45pt" w:hanging="18pt"/>
      </w:pPr>
      <w:rPr>
        <w:rFonts w:ascii="Courier New" w:hAnsi="Courier New" w:cs="Courier New" w:hint="default"/>
      </w:rPr>
    </w:lvl>
    <w:lvl w:ilvl="2" w:tplc="29F2ADB2" w:tentative="1">
      <w:start w:val="1"/>
      <w:numFmt w:val="bullet"/>
      <w:lvlText w:val=""/>
      <w:lvlJc w:val="start"/>
      <w:pPr>
        <w:ind w:start="111.45pt" w:hanging="18pt"/>
      </w:pPr>
      <w:rPr>
        <w:rFonts w:ascii="Wingdings" w:hAnsi="Wingdings" w:hint="default"/>
      </w:rPr>
    </w:lvl>
    <w:lvl w:ilvl="3" w:tplc="F1480306" w:tentative="1">
      <w:start w:val="1"/>
      <w:numFmt w:val="bullet"/>
      <w:lvlText w:val=""/>
      <w:lvlJc w:val="start"/>
      <w:pPr>
        <w:ind w:start="147.40pt" w:hanging="18pt"/>
      </w:pPr>
      <w:rPr>
        <w:rFonts w:ascii="Symbol" w:hAnsi="Symbol" w:hint="default"/>
      </w:rPr>
    </w:lvl>
    <w:lvl w:ilvl="4" w:tplc="64D01346" w:tentative="1">
      <w:start w:val="1"/>
      <w:numFmt w:val="bullet"/>
      <w:lvlText w:val="o"/>
      <w:lvlJc w:val="start"/>
      <w:pPr>
        <w:ind w:start="183.45pt" w:hanging="18pt"/>
      </w:pPr>
      <w:rPr>
        <w:rFonts w:ascii="Courier New" w:hAnsi="Courier New" w:cs="Courier New" w:hint="default"/>
      </w:rPr>
    </w:lvl>
    <w:lvl w:ilvl="5" w:tplc="A99EC0BE" w:tentative="1">
      <w:start w:val="1"/>
      <w:numFmt w:val="bullet"/>
      <w:lvlText w:val=""/>
      <w:lvlJc w:val="start"/>
      <w:pPr>
        <w:ind w:start="219.45pt" w:hanging="18pt"/>
      </w:pPr>
      <w:rPr>
        <w:rFonts w:ascii="Wingdings" w:hAnsi="Wingdings" w:hint="default"/>
      </w:rPr>
    </w:lvl>
    <w:lvl w:ilvl="6" w:tplc="E7D435FA" w:tentative="1">
      <w:start w:val="1"/>
      <w:numFmt w:val="bullet"/>
      <w:lvlText w:val=""/>
      <w:lvlJc w:val="start"/>
      <w:pPr>
        <w:ind w:start="255.45pt" w:hanging="18pt"/>
      </w:pPr>
      <w:rPr>
        <w:rFonts w:ascii="Symbol" w:hAnsi="Symbol" w:hint="default"/>
      </w:rPr>
    </w:lvl>
    <w:lvl w:ilvl="7" w:tplc="192AE450" w:tentative="1">
      <w:start w:val="1"/>
      <w:numFmt w:val="bullet"/>
      <w:lvlText w:val="o"/>
      <w:lvlJc w:val="start"/>
      <w:pPr>
        <w:ind w:start="291.45pt" w:hanging="18pt"/>
      </w:pPr>
      <w:rPr>
        <w:rFonts w:ascii="Courier New" w:hAnsi="Courier New" w:cs="Courier New" w:hint="default"/>
      </w:rPr>
    </w:lvl>
    <w:lvl w:ilvl="8" w:tplc="78549B26" w:tentative="1">
      <w:start w:val="1"/>
      <w:numFmt w:val="bullet"/>
      <w:lvlText w:val=""/>
      <w:lvlJc w:val="start"/>
      <w:pPr>
        <w:ind w:start="327.45pt" w:hanging="18pt"/>
      </w:pPr>
      <w:rPr>
        <w:rFonts w:ascii="Wingdings" w:hAnsi="Wingdings" w:hint="default"/>
      </w:rPr>
    </w:lvl>
  </w:abstractNum>
  <w:abstractNum w:abstractNumId="96" w15:restartNumberingAfterBreak="0">
    <w:nsid w:val="31054148"/>
    <w:multiLevelType w:val="hybridMultilevel"/>
    <w:tmpl w:val="5B2E4D22"/>
    <w:lvl w:ilvl="0" w:tplc="51407ECE">
      <w:start w:val="6"/>
      <w:numFmt w:val="bullet"/>
      <w:lvlText w:val="•"/>
      <w:lvlJc w:val="start"/>
      <w:pPr>
        <w:ind w:start="39.25pt" w:hanging="18pt"/>
      </w:pPr>
      <w:rPr>
        <w:rFonts w:ascii="Century Gothic" w:eastAsia="Calibri" w:hAnsi="Century Gothic" w:cs="Arial" w:hint="default"/>
      </w:rPr>
    </w:lvl>
    <w:lvl w:ilvl="1" w:tplc="0A98E20A" w:tentative="1">
      <w:start w:val="1"/>
      <w:numFmt w:val="bullet"/>
      <w:lvlText w:val="o"/>
      <w:lvlJc w:val="start"/>
      <w:pPr>
        <w:ind w:start="75.30pt" w:hanging="18pt"/>
      </w:pPr>
      <w:rPr>
        <w:rFonts w:ascii="Courier New" w:hAnsi="Courier New" w:cs="Courier New" w:hint="default"/>
      </w:rPr>
    </w:lvl>
    <w:lvl w:ilvl="2" w:tplc="4F806372" w:tentative="1">
      <w:start w:val="1"/>
      <w:numFmt w:val="bullet"/>
      <w:lvlText w:val=""/>
      <w:lvlJc w:val="start"/>
      <w:pPr>
        <w:ind w:start="111.30pt" w:hanging="18pt"/>
      </w:pPr>
      <w:rPr>
        <w:rFonts w:ascii="Wingdings" w:hAnsi="Wingdings" w:hint="default"/>
      </w:rPr>
    </w:lvl>
    <w:lvl w:ilvl="3" w:tplc="840C50B0" w:tentative="1">
      <w:start w:val="1"/>
      <w:numFmt w:val="bullet"/>
      <w:lvlText w:val=""/>
      <w:lvlJc w:val="start"/>
      <w:pPr>
        <w:ind w:start="147.30pt" w:hanging="18pt"/>
      </w:pPr>
      <w:rPr>
        <w:rFonts w:ascii="Symbol" w:hAnsi="Symbol" w:hint="default"/>
      </w:rPr>
    </w:lvl>
    <w:lvl w:ilvl="4" w:tplc="D0F49A0E" w:tentative="1">
      <w:start w:val="1"/>
      <w:numFmt w:val="bullet"/>
      <w:lvlText w:val="o"/>
      <w:lvlJc w:val="start"/>
      <w:pPr>
        <w:ind w:start="183.30pt" w:hanging="18pt"/>
      </w:pPr>
      <w:rPr>
        <w:rFonts w:ascii="Courier New" w:hAnsi="Courier New" w:cs="Courier New" w:hint="default"/>
      </w:rPr>
    </w:lvl>
    <w:lvl w:ilvl="5" w:tplc="BA7E0694" w:tentative="1">
      <w:start w:val="1"/>
      <w:numFmt w:val="bullet"/>
      <w:lvlText w:val=""/>
      <w:lvlJc w:val="start"/>
      <w:pPr>
        <w:ind w:start="219.30pt" w:hanging="18pt"/>
      </w:pPr>
      <w:rPr>
        <w:rFonts w:ascii="Wingdings" w:hAnsi="Wingdings" w:hint="default"/>
      </w:rPr>
    </w:lvl>
    <w:lvl w:ilvl="6" w:tplc="9B50CE1A" w:tentative="1">
      <w:start w:val="1"/>
      <w:numFmt w:val="bullet"/>
      <w:lvlText w:val=""/>
      <w:lvlJc w:val="start"/>
      <w:pPr>
        <w:ind w:start="255.30pt" w:hanging="18pt"/>
      </w:pPr>
      <w:rPr>
        <w:rFonts w:ascii="Symbol" w:hAnsi="Symbol" w:hint="default"/>
      </w:rPr>
    </w:lvl>
    <w:lvl w:ilvl="7" w:tplc="4230BEAE" w:tentative="1">
      <w:start w:val="1"/>
      <w:numFmt w:val="bullet"/>
      <w:lvlText w:val="o"/>
      <w:lvlJc w:val="start"/>
      <w:pPr>
        <w:ind w:start="291.30pt" w:hanging="18pt"/>
      </w:pPr>
      <w:rPr>
        <w:rFonts w:ascii="Courier New" w:hAnsi="Courier New" w:cs="Courier New" w:hint="default"/>
      </w:rPr>
    </w:lvl>
    <w:lvl w:ilvl="8" w:tplc="9F645E8C" w:tentative="1">
      <w:start w:val="1"/>
      <w:numFmt w:val="bullet"/>
      <w:lvlText w:val=""/>
      <w:lvlJc w:val="start"/>
      <w:pPr>
        <w:ind w:start="327.30pt" w:hanging="18pt"/>
      </w:pPr>
      <w:rPr>
        <w:rFonts w:ascii="Wingdings" w:hAnsi="Wingdings" w:hint="default"/>
      </w:rPr>
    </w:lvl>
  </w:abstractNum>
  <w:abstractNum w:abstractNumId="97" w15:restartNumberingAfterBreak="0">
    <w:nsid w:val="33160177"/>
    <w:multiLevelType w:val="hybridMultilevel"/>
    <w:tmpl w:val="AFBAEADE"/>
    <w:lvl w:ilvl="0" w:tplc="6F8A5AE6">
      <w:start w:val="6"/>
      <w:numFmt w:val="bullet"/>
      <w:lvlText w:val="•"/>
      <w:lvlJc w:val="start"/>
      <w:pPr>
        <w:ind w:start="53.85pt" w:hanging="18pt"/>
      </w:pPr>
      <w:rPr>
        <w:rFonts w:ascii="Century Gothic" w:eastAsia="Calibri" w:hAnsi="Century Gothic" w:cs="Arial" w:hint="default"/>
      </w:rPr>
    </w:lvl>
    <w:lvl w:ilvl="1" w:tplc="C49E5E4E" w:tentative="1">
      <w:start w:val="1"/>
      <w:numFmt w:val="bullet"/>
      <w:lvlText w:val="o"/>
      <w:lvlJc w:val="start"/>
      <w:pPr>
        <w:ind w:start="89.85pt" w:hanging="18pt"/>
      </w:pPr>
      <w:rPr>
        <w:rFonts w:ascii="Courier New" w:hAnsi="Courier New" w:cs="Courier New" w:hint="default"/>
      </w:rPr>
    </w:lvl>
    <w:lvl w:ilvl="2" w:tplc="7494DA4C" w:tentative="1">
      <w:start w:val="1"/>
      <w:numFmt w:val="bullet"/>
      <w:lvlText w:val=""/>
      <w:lvlJc w:val="start"/>
      <w:pPr>
        <w:ind w:start="125.85pt" w:hanging="18pt"/>
      </w:pPr>
      <w:rPr>
        <w:rFonts w:ascii="Wingdings" w:hAnsi="Wingdings" w:hint="default"/>
      </w:rPr>
    </w:lvl>
    <w:lvl w:ilvl="3" w:tplc="3480712E" w:tentative="1">
      <w:start w:val="1"/>
      <w:numFmt w:val="bullet"/>
      <w:lvlText w:val=""/>
      <w:lvlJc w:val="start"/>
      <w:pPr>
        <w:ind w:start="161.85pt" w:hanging="18pt"/>
      </w:pPr>
      <w:rPr>
        <w:rFonts w:ascii="Symbol" w:hAnsi="Symbol" w:hint="default"/>
      </w:rPr>
    </w:lvl>
    <w:lvl w:ilvl="4" w:tplc="652C9EC0" w:tentative="1">
      <w:start w:val="1"/>
      <w:numFmt w:val="bullet"/>
      <w:lvlText w:val="o"/>
      <w:lvlJc w:val="start"/>
      <w:pPr>
        <w:ind w:start="197.85pt" w:hanging="18pt"/>
      </w:pPr>
      <w:rPr>
        <w:rFonts w:ascii="Courier New" w:hAnsi="Courier New" w:cs="Courier New" w:hint="default"/>
      </w:rPr>
    </w:lvl>
    <w:lvl w:ilvl="5" w:tplc="D964649E" w:tentative="1">
      <w:start w:val="1"/>
      <w:numFmt w:val="bullet"/>
      <w:lvlText w:val=""/>
      <w:lvlJc w:val="start"/>
      <w:pPr>
        <w:ind w:start="233.85pt" w:hanging="18pt"/>
      </w:pPr>
      <w:rPr>
        <w:rFonts w:ascii="Wingdings" w:hAnsi="Wingdings" w:hint="default"/>
      </w:rPr>
    </w:lvl>
    <w:lvl w:ilvl="6" w:tplc="590A3F66" w:tentative="1">
      <w:start w:val="1"/>
      <w:numFmt w:val="bullet"/>
      <w:lvlText w:val=""/>
      <w:lvlJc w:val="start"/>
      <w:pPr>
        <w:ind w:start="269.85pt" w:hanging="18pt"/>
      </w:pPr>
      <w:rPr>
        <w:rFonts w:ascii="Symbol" w:hAnsi="Symbol" w:hint="default"/>
      </w:rPr>
    </w:lvl>
    <w:lvl w:ilvl="7" w:tplc="9A2C1020" w:tentative="1">
      <w:start w:val="1"/>
      <w:numFmt w:val="bullet"/>
      <w:lvlText w:val="o"/>
      <w:lvlJc w:val="start"/>
      <w:pPr>
        <w:ind w:start="305.85pt" w:hanging="18pt"/>
      </w:pPr>
      <w:rPr>
        <w:rFonts w:ascii="Courier New" w:hAnsi="Courier New" w:cs="Courier New" w:hint="default"/>
      </w:rPr>
    </w:lvl>
    <w:lvl w:ilvl="8" w:tplc="DF36DF96" w:tentative="1">
      <w:start w:val="1"/>
      <w:numFmt w:val="bullet"/>
      <w:lvlText w:val=""/>
      <w:lvlJc w:val="start"/>
      <w:pPr>
        <w:ind w:start="341.85pt" w:hanging="18pt"/>
      </w:pPr>
      <w:rPr>
        <w:rFonts w:ascii="Wingdings" w:hAnsi="Wingdings" w:hint="default"/>
      </w:rPr>
    </w:lvl>
  </w:abstractNum>
  <w:abstractNum w:abstractNumId="98" w15:restartNumberingAfterBreak="0">
    <w:nsid w:val="33917999"/>
    <w:multiLevelType w:val="hybridMultilevel"/>
    <w:tmpl w:val="49F0ECB6"/>
    <w:lvl w:ilvl="0" w:tplc="849499C0">
      <w:start w:val="1"/>
      <w:numFmt w:val="bullet"/>
      <w:lvlText w:val=""/>
      <w:lvlJc w:val="start"/>
      <w:pPr>
        <w:ind w:start="43.10pt" w:hanging="18pt"/>
      </w:pPr>
      <w:rPr>
        <w:rFonts w:ascii="Symbol" w:hAnsi="Symbol" w:hint="default"/>
      </w:rPr>
    </w:lvl>
    <w:lvl w:ilvl="1" w:tplc="F61E9A7E" w:tentative="1">
      <w:start w:val="1"/>
      <w:numFmt w:val="bullet"/>
      <w:lvlText w:val="o"/>
      <w:lvlJc w:val="start"/>
      <w:pPr>
        <w:ind w:start="79.05pt" w:hanging="18pt"/>
      </w:pPr>
      <w:rPr>
        <w:rFonts w:ascii="Courier New" w:hAnsi="Courier New" w:cs="Courier New" w:hint="default"/>
      </w:rPr>
    </w:lvl>
    <w:lvl w:ilvl="2" w:tplc="83BC677C" w:tentative="1">
      <w:start w:val="1"/>
      <w:numFmt w:val="bullet"/>
      <w:lvlText w:val=""/>
      <w:lvlJc w:val="start"/>
      <w:pPr>
        <w:ind w:start="115.10pt" w:hanging="18pt"/>
      </w:pPr>
      <w:rPr>
        <w:rFonts w:ascii="Wingdings" w:hAnsi="Wingdings" w:hint="default"/>
      </w:rPr>
    </w:lvl>
    <w:lvl w:ilvl="3" w:tplc="87928E04" w:tentative="1">
      <w:start w:val="1"/>
      <w:numFmt w:val="bullet"/>
      <w:lvlText w:val=""/>
      <w:lvlJc w:val="start"/>
      <w:pPr>
        <w:ind w:start="151.10pt" w:hanging="18pt"/>
      </w:pPr>
      <w:rPr>
        <w:rFonts w:ascii="Symbol" w:hAnsi="Symbol" w:hint="default"/>
      </w:rPr>
    </w:lvl>
    <w:lvl w:ilvl="4" w:tplc="94924588" w:tentative="1">
      <w:start w:val="1"/>
      <w:numFmt w:val="bullet"/>
      <w:lvlText w:val="o"/>
      <w:lvlJc w:val="start"/>
      <w:pPr>
        <w:ind w:start="187.10pt" w:hanging="18pt"/>
      </w:pPr>
      <w:rPr>
        <w:rFonts w:ascii="Courier New" w:hAnsi="Courier New" w:cs="Courier New" w:hint="default"/>
      </w:rPr>
    </w:lvl>
    <w:lvl w:ilvl="5" w:tplc="DCA64C1A" w:tentative="1">
      <w:start w:val="1"/>
      <w:numFmt w:val="bullet"/>
      <w:lvlText w:val=""/>
      <w:lvlJc w:val="start"/>
      <w:pPr>
        <w:ind w:start="223.10pt" w:hanging="18pt"/>
      </w:pPr>
      <w:rPr>
        <w:rFonts w:ascii="Wingdings" w:hAnsi="Wingdings" w:hint="default"/>
      </w:rPr>
    </w:lvl>
    <w:lvl w:ilvl="6" w:tplc="FD86AE82" w:tentative="1">
      <w:start w:val="1"/>
      <w:numFmt w:val="bullet"/>
      <w:lvlText w:val=""/>
      <w:lvlJc w:val="start"/>
      <w:pPr>
        <w:ind w:start="259.10pt" w:hanging="18pt"/>
      </w:pPr>
      <w:rPr>
        <w:rFonts w:ascii="Symbol" w:hAnsi="Symbol" w:hint="default"/>
      </w:rPr>
    </w:lvl>
    <w:lvl w:ilvl="7" w:tplc="3CA27B82" w:tentative="1">
      <w:start w:val="1"/>
      <w:numFmt w:val="bullet"/>
      <w:lvlText w:val="o"/>
      <w:lvlJc w:val="start"/>
      <w:pPr>
        <w:ind w:start="295.10pt" w:hanging="18pt"/>
      </w:pPr>
      <w:rPr>
        <w:rFonts w:ascii="Courier New" w:hAnsi="Courier New" w:cs="Courier New" w:hint="default"/>
      </w:rPr>
    </w:lvl>
    <w:lvl w:ilvl="8" w:tplc="A0348B42" w:tentative="1">
      <w:start w:val="1"/>
      <w:numFmt w:val="bullet"/>
      <w:lvlText w:val=""/>
      <w:lvlJc w:val="start"/>
      <w:pPr>
        <w:ind w:start="331.10pt" w:hanging="18pt"/>
      </w:pPr>
      <w:rPr>
        <w:rFonts w:ascii="Wingdings" w:hAnsi="Wingdings" w:hint="default"/>
      </w:rPr>
    </w:lvl>
  </w:abstractNum>
  <w:abstractNum w:abstractNumId="99" w15:restartNumberingAfterBreak="0">
    <w:nsid w:val="33B43160"/>
    <w:multiLevelType w:val="hybridMultilevel"/>
    <w:tmpl w:val="FD8A456A"/>
    <w:lvl w:ilvl="0" w:tplc="1C16D6AC">
      <w:start w:val="1"/>
      <w:numFmt w:val="bullet"/>
      <w:lvlText w:val=""/>
      <w:lvlJc w:val="start"/>
      <w:pPr>
        <w:ind w:start="37.70pt" w:hanging="18pt"/>
      </w:pPr>
      <w:rPr>
        <w:rFonts w:ascii="Wingdings" w:hAnsi="Wingdings" w:hint="default"/>
      </w:rPr>
    </w:lvl>
    <w:lvl w:ilvl="1" w:tplc="07825DE8">
      <w:start w:val="1"/>
      <w:numFmt w:val="bullet"/>
      <w:lvlText w:val="o"/>
      <w:lvlJc w:val="start"/>
      <w:pPr>
        <w:ind w:start="73.70pt" w:hanging="18pt"/>
      </w:pPr>
      <w:rPr>
        <w:rFonts w:ascii="Courier New" w:hAnsi="Courier New" w:cs="Courier New" w:hint="default"/>
      </w:rPr>
    </w:lvl>
    <w:lvl w:ilvl="2" w:tplc="200CB1D6">
      <w:start w:val="1"/>
      <w:numFmt w:val="bullet"/>
      <w:lvlText w:val=""/>
      <w:lvlJc w:val="start"/>
      <w:pPr>
        <w:ind w:start="109.70pt" w:hanging="18pt"/>
      </w:pPr>
      <w:rPr>
        <w:rFonts w:ascii="Wingdings" w:hAnsi="Wingdings" w:hint="default"/>
      </w:rPr>
    </w:lvl>
    <w:lvl w:ilvl="3" w:tplc="D6EEF446">
      <w:start w:val="1"/>
      <w:numFmt w:val="bullet"/>
      <w:lvlText w:val=""/>
      <w:lvlJc w:val="start"/>
      <w:pPr>
        <w:ind w:start="145.65pt" w:hanging="18pt"/>
      </w:pPr>
      <w:rPr>
        <w:rFonts w:ascii="Symbol" w:hAnsi="Symbol" w:hint="default"/>
      </w:rPr>
    </w:lvl>
    <w:lvl w:ilvl="4" w:tplc="E6A00AE8">
      <w:start w:val="1"/>
      <w:numFmt w:val="bullet"/>
      <w:lvlText w:val="o"/>
      <w:lvlJc w:val="start"/>
      <w:pPr>
        <w:ind w:start="181.70pt" w:hanging="18pt"/>
      </w:pPr>
      <w:rPr>
        <w:rFonts w:ascii="Courier New" w:hAnsi="Courier New" w:cs="Courier New" w:hint="default"/>
      </w:rPr>
    </w:lvl>
    <w:lvl w:ilvl="5" w:tplc="C72ED95E">
      <w:start w:val="1"/>
      <w:numFmt w:val="bullet"/>
      <w:lvlText w:val=""/>
      <w:lvlJc w:val="start"/>
      <w:pPr>
        <w:ind w:start="217.70pt" w:hanging="18pt"/>
      </w:pPr>
      <w:rPr>
        <w:rFonts w:ascii="Wingdings" w:hAnsi="Wingdings" w:hint="default"/>
      </w:rPr>
    </w:lvl>
    <w:lvl w:ilvl="6" w:tplc="6ECE6E64">
      <w:start w:val="1"/>
      <w:numFmt w:val="bullet"/>
      <w:lvlText w:val=""/>
      <w:lvlJc w:val="start"/>
      <w:pPr>
        <w:ind w:start="253.70pt" w:hanging="18pt"/>
      </w:pPr>
      <w:rPr>
        <w:rFonts w:ascii="Symbol" w:hAnsi="Symbol" w:hint="default"/>
      </w:rPr>
    </w:lvl>
    <w:lvl w:ilvl="7" w:tplc="8236CE80">
      <w:start w:val="1"/>
      <w:numFmt w:val="bullet"/>
      <w:lvlText w:val="o"/>
      <w:lvlJc w:val="start"/>
      <w:pPr>
        <w:ind w:start="289.70pt" w:hanging="18pt"/>
      </w:pPr>
      <w:rPr>
        <w:rFonts w:ascii="Courier New" w:hAnsi="Courier New" w:cs="Courier New" w:hint="default"/>
      </w:rPr>
    </w:lvl>
    <w:lvl w:ilvl="8" w:tplc="C16A8720">
      <w:start w:val="1"/>
      <w:numFmt w:val="bullet"/>
      <w:lvlText w:val=""/>
      <w:lvlJc w:val="start"/>
      <w:pPr>
        <w:ind w:start="325.70pt" w:hanging="18pt"/>
      </w:pPr>
      <w:rPr>
        <w:rFonts w:ascii="Wingdings" w:hAnsi="Wingdings" w:hint="default"/>
      </w:rPr>
    </w:lvl>
  </w:abstractNum>
  <w:abstractNum w:abstractNumId="100" w15:restartNumberingAfterBreak="0">
    <w:nsid w:val="342E15C1"/>
    <w:multiLevelType w:val="hybridMultilevel"/>
    <w:tmpl w:val="7C1E315C"/>
    <w:lvl w:ilvl="0" w:tplc="9E024828">
      <w:start w:val="1"/>
      <w:numFmt w:val="bullet"/>
      <w:lvlText w:val=""/>
      <w:lvlJc w:val="start"/>
      <w:pPr>
        <w:ind w:start="37.70pt" w:hanging="18pt"/>
      </w:pPr>
      <w:rPr>
        <w:rFonts w:ascii="Wingdings" w:hAnsi="Wingdings" w:hint="default"/>
      </w:rPr>
    </w:lvl>
    <w:lvl w:ilvl="1" w:tplc="94FAAA7E">
      <w:start w:val="1"/>
      <w:numFmt w:val="bullet"/>
      <w:lvlText w:val="o"/>
      <w:lvlJc w:val="start"/>
      <w:pPr>
        <w:ind w:start="73.70pt" w:hanging="18pt"/>
      </w:pPr>
      <w:rPr>
        <w:rFonts w:ascii="Courier New" w:hAnsi="Courier New" w:cs="Courier New" w:hint="default"/>
      </w:rPr>
    </w:lvl>
    <w:lvl w:ilvl="2" w:tplc="2B8AB658">
      <w:start w:val="1"/>
      <w:numFmt w:val="bullet"/>
      <w:lvlText w:val=""/>
      <w:lvlJc w:val="start"/>
      <w:pPr>
        <w:ind w:start="109.70pt" w:hanging="18pt"/>
      </w:pPr>
      <w:rPr>
        <w:rFonts w:ascii="Wingdings" w:hAnsi="Wingdings" w:hint="default"/>
      </w:rPr>
    </w:lvl>
    <w:lvl w:ilvl="3" w:tplc="D17AB13E">
      <w:start w:val="1"/>
      <w:numFmt w:val="bullet"/>
      <w:lvlText w:val=""/>
      <w:lvlJc w:val="start"/>
      <w:pPr>
        <w:ind w:start="145.65pt" w:hanging="18pt"/>
      </w:pPr>
      <w:rPr>
        <w:rFonts w:ascii="Symbol" w:hAnsi="Symbol" w:hint="default"/>
      </w:rPr>
    </w:lvl>
    <w:lvl w:ilvl="4" w:tplc="1AC44CEA">
      <w:start w:val="1"/>
      <w:numFmt w:val="bullet"/>
      <w:lvlText w:val="o"/>
      <w:lvlJc w:val="start"/>
      <w:pPr>
        <w:ind w:start="181.70pt" w:hanging="18pt"/>
      </w:pPr>
      <w:rPr>
        <w:rFonts w:ascii="Courier New" w:hAnsi="Courier New" w:cs="Courier New" w:hint="default"/>
      </w:rPr>
    </w:lvl>
    <w:lvl w:ilvl="5" w:tplc="05304A06">
      <w:start w:val="1"/>
      <w:numFmt w:val="bullet"/>
      <w:lvlText w:val=""/>
      <w:lvlJc w:val="start"/>
      <w:pPr>
        <w:ind w:start="217.70pt" w:hanging="18pt"/>
      </w:pPr>
      <w:rPr>
        <w:rFonts w:ascii="Wingdings" w:hAnsi="Wingdings" w:hint="default"/>
      </w:rPr>
    </w:lvl>
    <w:lvl w:ilvl="6" w:tplc="4F0E3D20">
      <w:start w:val="1"/>
      <w:numFmt w:val="bullet"/>
      <w:lvlText w:val=""/>
      <w:lvlJc w:val="start"/>
      <w:pPr>
        <w:ind w:start="253.70pt" w:hanging="18pt"/>
      </w:pPr>
      <w:rPr>
        <w:rFonts w:ascii="Symbol" w:hAnsi="Symbol" w:hint="default"/>
      </w:rPr>
    </w:lvl>
    <w:lvl w:ilvl="7" w:tplc="5F604D70">
      <w:start w:val="1"/>
      <w:numFmt w:val="bullet"/>
      <w:lvlText w:val="o"/>
      <w:lvlJc w:val="start"/>
      <w:pPr>
        <w:ind w:start="289.70pt" w:hanging="18pt"/>
      </w:pPr>
      <w:rPr>
        <w:rFonts w:ascii="Courier New" w:hAnsi="Courier New" w:cs="Courier New" w:hint="default"/>
      </w:rPr>
    </w:lvl>
    <w:lvl w:ilvl="8" w:tplc="590A5946">
      <w:start w:val="1"/>
      <w:numFmt w:val="bullet"/>
      <w:lvlText w:val=""/>
      <w:lvlJc w:val="start"/>
      <w:pPr>
        <w:ind w:start="325.70pt" w:hanging="18pt"/>
      </w:pPr>
      <w:rPr>
        <w:rFonts w:ascii="Wingdings" w:hAnsi="Wingdings" w:hint="default"/>
      </w:rPr>
    </w:lvl>
  </w:abstractNum>
  <w:abstractNum w:abstractNumId="101" w15:restartNumberingAfterBreak="0">
    <w:nsid w:val="34CD4C92"/>
    <w:multiLevelType w:val="hybridMultilevel"/>
    <w:tmpl w:val="8C72875E"/>
    <w:lvl w:ilvl="0" w:tplc="E5BAC98E">
      <w:start w:val="6"/>
      <w:numFmt w:val="bullet"/>
      <w:lvlText w:val="•"/>
      <w:lvlJc w:val="start"/>
      <w:pPr>
        <w:ind w:start="36pt" w:hanging="18pt"/>
      </w:pPr>
      <w:rPr>
        <w:rFonts w:ascii="Century Gothic" w:eastAsia="Calibri" w:hAnsi="Century Gothic" w:cs="Arial" w:hint="default"/>
      </w:rPr>
    </w:lvl>
    <w:lvl w:ilvl="1" w:tplc="DAC2C02A" w:tentative="1">
      <w:start w:val="1"/>
      <w:numFmt w:val="bullet"/>
      <w:lvlText w:val="o"/>
      <w:lvlJc w:val="start"/>
      <w:pPr>
        <w:ind w:start="72pt" w:hanging="18pt"/>
      </w:pPr>
      <w:rPr>
        <w:rFonts w:ascii="Courier New" w:hAnsi="Courier New" w:cs="Courier New" w:hint="default"/>
      </w:rPr>
    </w:lvl>
    <w:lvl w:ilvl="2" w:tplc="8692245C" w:tentative="1">
      <w:start w:val="1"/>
      <w:numFmt w:val="bullet"/>
      <w:lvlText w:val=""/>
      <w:lvlJc w:val="start"/>
      <w:pPr>
        <w:ind w:start="108pt" w:hanging="18pt"/>
      </w:pPr>
      <w:rPr>
        <w:rFonts w:ascii="Wingdings" w:hAnsi="Wingdings" w:hint="default"/>
      </w:rPr>
    </w:lvl>
    <w:lvl w:ilvl="3" w:tplc="308CD320" w:tentative="1">
      <w:start w:val="1"/>
      <w:numFmt w:val="bullet"/>
      <w:lvlText w:val=""/>
      <w:lvlJc w:val="start"/>
      <w:pPr>
        <w:ind w:start="144pt" w:hanging="18pt"/>
      </w:pPr>
      <w:rPr>
        <w:rFonts w:ascii="Symbol" w:hAnsi="Symbol" w:hint="default"/>
      </w:rPr>
    </w:lvl>
    <w:lvl w:ilvl="4" w:tplc="2834D606" w:tentative="1">
      <w:start w:val="1"/>
      <w:numFmt w:val="bullet"/>
      <w:lvlText w:val="o"/>
      <w:lvlJc w:val="start"/>
      <w:pPr>
        <w:ind w:start="180pt" w:hanging="18pt"/>
      </w:pPr>
      <w:rPr>
        <w:rFonts w:ascii="Courier New" w:hAnsi="Courier New" w:cs="Courier New" w:hint="default"/>
      </w:rPr>
    </w:lvl>
    <w:lvl w:ilvl="5" w:tplc="65781F86" w:tentative="1">
      <w:start w:val="1"/>
      <w:numFmt w:val="bullet"/>
      <w:lvlText w:val=""/>
      <w:lvlJc w:val="start"/>
      <w:pPr>
        <w:ind w:start="216pt" w:hanging="18pt"/>
      </w:pPr>
      <w:rPr>
        <w:rFonts w:ascii="Wingdings" w:hAnsi="Wingdings" w:hint="default"/>
      </w:rPr>
    </w:lvl>
    <w:lvl w:ilvl="6" w:tplc="C09479D4" w:tentative="1">
      <w:start w:val="1"/>
      <w:numFmt w:val="bullet"/>
      <w:lvlText w:val=""/>
      <w:lvlJc w:val="start"/>
      <w:pPr>
        <w:ind w:start="252pt" w:hanging="18pt"/>
      </w:pPr>
      <w:rPr>
        <w:rFonts w:ascii="Symbol" w:hAnsi="Symbol" w:hint="default"/>
      </w:rPr>
    </w:lvl>
    <w:lvl w:ilvl="7" w:tplc="470029E8" w:tentative="1">
      <w:start w:val="1"/>
      <w:numFmt w:val="bullet"/>
      <w:lvlText w:val="o"/>
      <w:lvlJc w:val="start"/>
      <w:pPr>
        <w:ind w:start="288pt" w:hanging="18pt"/>
      </w:pPr>
      <w:rPr>
        <w:rFonts w:ascii="Courier New" w:hAnsi="Courier New" w:cs="Courier New" w:hint="default"/>
      </w:rPr>
    </w:lvl>
    <w:lvl w:ilvl="8" w:tplc="07BC1A04" w:tentative="1">
      <w:start w:val="1"/>
      <w:numFmt w:val="bullet"/>
      <w:lvlText w:val=""/>
      <w:lvlJc w:val="start"/>
      <w:pPr>
        <w:ind w:start="324pt" w:hanging="18pt"/>
      </w:pPr>
      <w:rPr>
        <w:rFonts w:ascii="Wingdings" w:hAnsi="Wingdings" w:hint="default"/>
      </w:rPr>
    </w:lvl>
  </w:abstractNum>
  <w:abstractNum w:abstractNumId="102" w15:restartNumberingAfterBreak="0">
    <w:nsid w:val="34E6128B"/>
    <w:multiLevelType w:val="multilevel"/>
    <w:tmpl w:val="E5B63796"/>
    <w:styleLink w:val="Estilo2"/>
    <w:lvl w:ilvl="0">
      <w:start w:val="4"/>
      <w:numFmt w:val="decimal"/>
      <w:lvlText w:val="%1."/>
      <w:lvlJc w:val="start"/>
      <w:pPr>
        <w:ind w:start="18pt" w:hanging="18pt"/>
      </w:pPr>
      <w:rPr>
        <w:rFonts w:cs="Times New Roman" w:hint="default"/>
      </w:rPr>
    </w:lvl>
    <w:lvl w:ilvl="1">
      <w:start w:val="1"/>
      <w:numFmt w:val="decimal"/>
      <w:lvlText w:val="%1.%2."/>
      <w:lvlJc w:val="start"/>
      <w:pPr>
        <w:ind w:start="39.60pt" w:hanging="21.60pt"/>
      </w:pPr>
      <w:rPr>
        <w:rFonts w:cs="Times New Roman" w:hint="default"/>
      </w:rPr>
    </w:lvl>
    <w:lvl w:ilvl="2">
      <w:start w:val="1"/>
      <w:numFmt w:val="decimal"/>
      <w:lvlText w:val="%1.%2.%3."/>
      <w:lvlJc w:val="start"/>
      <w:pPr>
        <w:ind w:start="61.20pt" w:hanging="25.20pt"/>
      </w:pPr>
      <w:rPr>
        <w:rFonts w:cs="Times New Roman" w:hint="default"/>
      </w:rPr>
    </w:lvl>
    <w:lvl w:ilvl="3">
      <w:start w:val="1"/>
      <w:numFmt w:val="decimal"/>
      <w:lvlText w:val="%1.%2.%3.%4."/>
      <w:lvlJc w:val="start"/>
      <w:pPr>
        <w:ind w:start="86.40pt" w:hanging="32.40pt"/>
      </w:pPr>
      <w:rPr>
        <w:rFonts w:cs="Times New Roman" w:hint="default"/>
      </w:rPr>
    </w:lvl>
    <w:lvl w:ilvl="4">
      <w:start w:val="1"/>
      <w:numFmt w:val="decimal"/>
      <w:lvlText w:val="%1.%2.%3.%4.%5."/>
      <w:lvlJc w:val="start"/>
      <w:pPr>
        <w:ind w:start="111.60pt" w:hanging="39.60pt"/>
      </w:pPr>
      <w:rPr>
        <w:rFonts w:cs="Times New Roman" w:hint="default"/>
      </w:rPr>
    </w:lvl>
    <w:lvl w:ilvl="5">
      <w:start w:val="1"/>
      <w:numFmt w:val="decimal"/>
      <w:lvlText w:val="%1.%2.%3.%4.%5.%6."/>
      <w:lvlJc w:val="start"/>
      <w:pPr>
        <w:ind w:start="136.80pt" w:hanging="46.80pt"/>
      </w:pPr>
      <w:rPr>
        <w:rFonts w:cs="Times New Roman" w:hint="default"/>
      </w:rPr>
    </w:lvl>
    <w:lvl w:ilvl="6">
      <w:start w:val="1"/>
      <w:numFmt w:val="decimal"/>
      <w:lvlText w:val="%1.%2.%3.%4.%5.%6.%7."/>
      <w:lvlJc w:val="start"/>
      <w:pPr>
        <w:ind w:start="162pt" w:hanging="54pt"/>
      </w:pPr>
      <w:rPr>
        <w:rFonts w:cs="Times New Roman" w:hint="default"/>
      </w:rPr>
    </w:lvl>
    <w:lvl w:ilvl="7">
      <w:start w:val="1"/>
      <w:numFmt w:val="decimal"/>
      <w:lvlText w:val="%1.%2.%3.%4.%5.%6.%7.%8."/>
      <w:lvlJc w:val="start"/>
      <w:pPr>
        <w:ind w:start="187.20pt" w:hanging="61.20pt"/>
      </w:pPr>
      <w:rPr>
        <w:rFonts w:cs="Times New Roman" w:hint="default"/>
      </w:rPr>
    </w:lvl>
    <w:lvl w:ilvl="8">
      <w:start w:val="1"/>
      <w:numFmt w:val="decimal"/>
      <w:lvlText w:val="%1.%2.%3.%4.%5.%6.%7.%8.%9."/>
      <w:lvlJc w:val="start"/>
      <w:pPr>
        <w:ind w:start="216pt" w:hanging="72pt"/>
      </w:pPr>
      <w:rPr>
        <w:rFonts w:cs="Times New Roman" w:hint="default"/>
      </w:rPr>
    </w:lvl>
  </w:abstractNum>
  <w:abstractNum w:abstractNumId="103" w15:restartNumberingAfterBreak="0">
    <w:nsid w:val="34F37D01"/>
    <w:multiLevelType w:val="hybridMultilevel"/>
    <w:tmpl w:val="C380B156"/>
    <w:lvl w:ilvl="0" w:tplc="0A9422EE">
      <w:start w:val="6"/>
      <w:numFmt w:val="bullet"/>
      <w:lvlText w:val="•"/>
      <w:lvlJc w:val="start"/>
      <w:pPr>
        <w:ind w:start="36pt" w:hanging="18pt"/>
      </w:pPr>
      <w:rPr>
        <w:rFonts w:ascii="Century Gothic" w:eastAsia="Calibri" w:hAnsi="Century Gothic" w:cs="Arial" w:hint="default"/>
      </w:rPr>
    </w:lvl>
    <w:lvl w:ilvl="1" w:tplc="86DAC48A" w:tentative="1">
      <w:start w:val="1"/>
      <w:numFmt w:val="bullet"/>
      <w:lvlText w:val="o"/>
      <w:lvlJc w:val="start"/>
      <w:pPr>
        <w:ind w:start="72pt" w:hanging="18pt"/>
      </w:pPr>
      <w:rPr>
        <w:rFonts w:ascii="Courier New" w:hAnsi="Courier New" w:cs="Courier New" w:hint="default"/>
      </w:rPr>
    </w:lvl>
    <w:lvl w:ilvl="2" w:tplc="73F87EBC" w:tentative="1">
      <w:start w:val="1"/>
      <w:numFmt w:val="bullet"/>
      <w:lvlText w:val=""/>
      <w:lvlJc w:val="start"/>
      <w:pPr>
        <w:ind w:start="108pt" w:hanging="18pt"/>
      </w:pPr>
      <w:rPr>
        <w:rFonts w:ascii="Wingdings" w:hAnsi="Wingdings" w:hint="default"/>
      </w:rPr>
    </w:lvl>
    <w:lvl w:ilvl="3" w:tplc="6C06BD16" w:tentative="1">
      <w:start w:val="1"/>
      <w:numFmt w:val="bullet"/>
      <w:lvlText w:val=""/>
      <w:lvlJc w:val="start"/>
      <w:pPr>
        <w:ind w:start="144pt" w:hanging="18pt"/>
      </w:pPr>
      <w:rPr>
        <w:rFonts w:ascii="Symbol" w:hAnsi="Symbol" w:hint="default"/>
      </w:rPr>
    </w:lvl>
    <w:lvl w:ilvl="4" w:tplc="64FEC402" w:tentative="1">
      <w:start w:val="1"/>
      <w:numFmt w:val="bullet"/>
      <w:lvlText w:val="o"/>
      <w:lvlJc w:val="start"/>
      <w:pPr>
        <w:ind w:start="180pt" w:hanging="18pt"/>
      </w:pPr>
      <w:rPr>
        <w:rFonts w:ascii="Courier New" w:hAnsi="Courier New" w:cs="Courier New" w:hint="default"/>
      </w:rPr>
    </w:lvl>
    <w:lvl w:ilvl="5" w:tplc="393E507A" w:tentative="1">
      <w:start w:val="1"/>
      <w:numFmt w:val="bullet"/>
      <w:lvlText w:val=""/>
      <w:lvlJc w:val="start"/>
      <w:pPr>
        <w:ind w:start="216pt" w:hanging="18pt"/>
      </w:pPr>
      <w:rPr>
        <w:rFonts w:ascii="Wingdings" w:hAnsi="Wingdings" w:hint="default"/>
      </w:rPr>
    </w:lvl>
    <w:lvl w:ilvl="6" w:tplc="E256B7FE" w:tentative="1">
      <w:start w:val="1"/>
      <w:numFmt w:val="bullet"/>
      <w:lvlText w:val=""/>
      <w:lvlJc w:val="start"/>
      <w:pPr>
        <w:ind w:start="252pt" w:hanging="18pt"/>
      </w:pPr>
      <w:rPr>
        <w:rFonts w:ascii="Symbol" w:hAnsi="Symbol" w:hint="default"/>
      </w:rPr>
    </w:lvl>
    <w:lvl w:ilvl="7" w:tplc="3B34CBE6" w:tentative="1">
      <w:start w:val="1"/>
      <w:numFmt w:val="bullet"/>
      <w:lvlText w:val="o"/>
      <w:lvlJc w:val="start"/>
      <w:pPr>
        <w:ind w:start="288pt" w:hanging="18pt"/>
      </w:pPr>
      <w:rPr>
        <w:rFonts w:ascii="Courier New" w:hAnsi="Courier New" w:cs="Courier New" w:hint="default"/>
      </w:rPr>
    </w:lvl>
    <w:lvl w:ilvl="8" w:tplc="AFBA24F6" w:tentative="1">
      <w:start w:val="1"/>
      <w:numFmt w:val="bullet"/>
      <w:lvlText w:val=""/>
      <w:lvlJc w:val="start"/>
      <w:pPr>
        <w:ind w:start="324pt" w:hanging="18pt"/>
      </w:pPr>
      <w:rPr>
        <w:rFonts w:ascii="Wingdings" w:hAnsi="Wingdings" w:hint="default"/>
      </w:rPr>
    </w:lvl>
  </w:abstractNum>
  <w:abstractNum w:abstractNumId="104" w15:restartNumberingAfterBreak="0">
    <w:nsid w:val="3592502D"/>
    <w:multiLevelType w:val="hybridMultilevel"/>
    <w:tmpl w:val="41E45632"/>
    <w:lvl w:ilvl="0" w:tplc="1AE4E624">
      <w:start w:val="1"/>
      <w:numFmt w:val="bullet"/>
      <w:lvlText w:val=""/>
      <w:lvlJc w:val="start"/>
      <w:pPr>
        <w:ind w:start="36pt" w:hanging="18pt"/>
      </w:pPr>
      <w:rPr>
        <w:rFonts w:ascii="Symbol" w:hAnsi="Symbol" w:hint="default"/>
      </w:rPr>
    </w:lvl>
    <w:lvl w:ilvl="1" w:tplc="A90CDB98">
      <w:start w:val="1"/>
      <w:numFmt w:val="bullet"/>
      <w:lvlText w:val="o"/>
      <w:lvlJc w:val="start"/>
      <w:pPr>
        <w:ind w:start="72pt" w:hanging="18pt"/>
      </w:pPr>
      <w:rPr>
        <w:rFonts w:ascii="Courier New" w:hAnsi="Courier New" w:cs="Courier New" w:hint="default"/>
      </w:rPr>
    </w:lvl>
    <w:lvl w:ilvl="2" w:tplc="ED06834E">
      <w:start w:val="1"/>
      <w:numFmt w:val="bullet"/>
      <w:lvlText w:val=""/>
      <w:lvlJc w:val="start"/>
      <w:pPr>
        <w:ind w:start="108pt" w:hanging="18pt"/>
      </w:pPr>
      <w:rPr>
        <w:rFonts w:ascii="Wingdings" w:hAnsi="Wingdings" w:hint="default"/>
      </w:rPr>
    </w:lvl>
    <w:lvl w:ilvl="3" w:tplc="AC7A4A2E">
      <w:start w:val="1"/>
      <w:numFmt w:val="bullet"/>
      <w:lvlText w:val=""/>
      <w:lvlJc w:val="start"/>
      <w:pPr>
        <w:ind w:start="144pt" w:hanging="18pt"/>
      </w:pPr>
      <w:rPr>
        <w:rFonts w:ascii="Symbol" w:hAnsi="Symbol" w:hint="default"/>
      </w:rPr>
    </w:lvl>
    <w:lvl w:ilvl="4" w:tplc="5142DF72">
      <w:start w:val="1"/>
      <w:numFmt w:val="bullet"/>
      <w:lvlText w:val="o"/>
      <w:lvlJc w:val="start"/>
      <w:pPr>
        <w:ind w:start="180pt" w:hanging="18pt"/>
      </w:pPr>
      <w:rPr>
        <w:rFonts w:ascii="Courier New" w:hAnsi="Courier New" w:cs="Courier New" w:hint="default"/>
      </w:rPr>
    </w:lvl>
    <w:lvl w:ilvl="5" w:tplc="C89C8C1E">
      <w:start w:val="1"/>
      <w:numFmt w:val="bullet"/>
      <w:lvlText w:val=""/>
      <w:lvlJc w:val="start"/>
      <w:pPr>
        <w:ind w:start="216pt" w:hanging="18pt"/>
      </w:pPr>
      <w:rPr>
        <w:rFonts w:ascii="Wingdings" w:hAnsi="Wingdings" w:hint="default"/>
      </w:rPr>
    </w:lvl>
    <w:lvl w:ilvl="6" w:tplc="DF205192">
      <w:start w:val="1"/>
      <w:numFmt w:val="bullet"/>
      <w:lvlText w:val=""/>
      <w:lvlJc w:val="start"/>
      <w:pPr>
        <w:ind w:start="252pt" w:hanging="18pt"/>
      </w:pPr>
      <w:rPr>
        <w:rFonts w:ascii="Symbol" w:hAnsi="Symbol" w:hint="default"/>
      </w:rPr>
    </w:lvl>
    <w:lvl w:ilvl="7" w:tplc="D526A130">
      <w:start w:val="1"/>
      <w:numFmt w:val="bullet"/>
      <w:lvlText w:val="o"/>
      <w:lvlJc w:val="start"/>
      <w:pPr>
        <w:ind w:start="288pt" w:hanging="18pt"/>
      </w:pPr>
      <w:rPr>
        <w:rFonts w:ascii="Courier New" w:hAnsi="Courier New" w:cs="Courier New" w:hint="default"/>
      </w:rPr>
    </w:lvl>
    <w:lvl w:ilvl="8" w:tplc="5A06FC24">
      <w:start w:val="1"/>
      <w:numFmt w:val="bullet"/>
      <w:lvlText w:val=""/>
      <w:lvlJc w:val="start"/>
      <w:pPr>
        <w:ind w:start="324pt" w:hanging="18pt"/>
      </w:pPr>
      <w:rPr>
        <w:rFonts w:ascii="Wingdings" w:hAnsi="Wingdings" w:hint="default"/>
      </w:rPr>
    </w:lvl>
  </w:abstractNum>
  <w:abstractNum w:abstractNumId="105" w15:restartNumberingAfterBreak="0">
    <w:nsid w:val="36504BAF"/>
    <w:multiLevelType w:val="hybridMultilevel"/>
    <w:tmpl w:val="6FFEE868"/>
    <w:lvl w:ilvl="0" w:tplc="C9F671D8">
      <w:start w:val="1"/>
      <w:numFmt w:val="bullet"/>
      <w:lvlText w:val=""/>
      <w:lvlJc w:val="start"/>
      <w:pPr>
        <w:ind w:start="33.85pt" w:hanging="18pt"/>
      </w:pPr>
      <w:rPr>
        <w:rFonts w:ascii="Symbol" w:hAnsi="Symbol" w:hint="default"/>
      </w:rPr>
    </w:lvl>
    <w:lvl w:ilvl="1" w:tplc="F05A6588" w:tentative="1">
      <w:start w:val="1"/>
      <w:numFmt w:val="bullet"/>
      <w:lvlText w:val="o"/>
      <w:lvlJc w:val="start"/>
      <w:pPr>
        <w:ind w:start="69.80pt" w:hanging="18pt"/>
      </w:pPr>
      <w:rPr>
        <w:rFonts w:ascii="Courier New" w:hAnsi="Courier New" w:cs="Courier New" w:hint="default"/>
      </w:rPr>
    </w:lvl>
    <w:lvl w:ilvl="2" w:tplc="7750A80C" w:tentative="1">
      <w:start w:val="1"/>
      <w:numFmt w:val="bullet"/>
      <w:lvlText w:val=""/>
      <w:lvlJc w:val="start"/>
      <w:pPr>
        <w:ind w:start="105.85pt" w:hanging="18pt"/>
      </w:pPr>
      <w:rPr>
        <w:rFonts w:ascii="Wingdings" w:hAnsi="Wingdings" w:hint="default"/>
      </w:rPr>
    </w:lvl>
    <w:lvl w:ilvl="3" w:tplc="73C6CD0A" w:tentative="1">
      <w:start w:val="1"/>
      <w:numFmt w:val="bullet"/>
      <w:lvlText w:val=""/>
      <w:lvlJc w:val="start"/>
      <w:pPr>
        <w:ind w:start="141.85pt" w:hanging="18pt"/>
      </w:pPr>
      <w:rPr>
        <w:rFonts w:ascii="Symbol" w:hAnsi="Symbol" w:hint="default"/>
      </w:rPr>
    </w:lvl>
    <w:lvl w:ilvl="4" w:tplc="AC3ADA42" w:tentative="1">
      <w:start w:val="1"/>
      <w:numFmt w:val="bullet"/>
      <w:lvlText w:val="o"/>
      <w:lvlJc w:val="start"/>
      <w:pPr>
        <w:ind w:start="177.85pt" w:hanging="18pt"/>
      </w:pPr>
      <w:rPr>
        <w:rFonts w:ascii="Courier New" w:hAnsi="Courier New" w:cs="Courier New" w:hint="default"/>
      </w:rPr>
    </w:lvl>
    <w:lvl w:ilvl="5" w:tplc="AD980BD6" w:tentative="1">
      <w:start w:val="1"/>
      <w:numFmt w:val="bullet"/>
      <w:lvlText w:val=""/>
      <w:lvlJc w:val="start"/>
      <w:pPr>
        <w:ind w:start="213.85pt" w:hanging="18pt"/>
      </w:pPr>
      <w:rPr>
        <w:rFonts w:ascii="Wingdings" w:hAnsi="Wingdings" w:hint="default"/>
      </w:rPr>
    </w:lvl>
    <w:lvl w:ilvl="6" w:tplc="5CC21874" w:tentative="1">
      <w:start w:val="1"/>
      <w:numFmt w:val="bullet"/>
      <w:lvlText w:val=""/>
      <w:lvlJc w:val="start"/>
      <w:pPr>
        <w:ind w:start="249.85pt" w:hanging="18pt"/>
      </w:pPr>
      <w:rPr>
        <w:rFonts w:ascii="Symbol" w:hAnsi="Symbol" w:hint="default"/>
      </w:rPr>
    </w:lvl>
    <w:lvl w:ilvl="7" w:tplc="8F787680" w:tentative="1">
      <w:start w:val="1"/>
      <w:numFmt w:val="bullet"/>
      <w:lvlText w:val="o"/>
      <w:lvlJc w:val="start"/>
      <w:pPr>
        <w:ind w:start="285.85pt" w:hanging="18pt"/>
      </w:pPr>
      <w:rPr>
        <w:rFonts w:ascii="Courier New" w:hAnsi="Courier New" w:cs="Courier New" w:hint="default"/>
      </w:rPr>
    </w:lvl>
    <w:lvl w:ilvl="8" w:tplc="88FCA55A" w:tentative="1">
      <w:start w:val="1"/>
      <w:numFmt w:val="bullet"/>
      <w:lvlText w:val=""/>
      <w:lvlJc w:val="start"/>
      <w:pPr>
        <w:ind w:start="321.85pt" w:hanging="18pt"/>
      </w:pPr>
      <w:rPr>
        <w:rFonts w:ascii="Wingdings" w:hAnsi="Wingdings" w:hint="default"/>
      </w:rPr>
    </w:lvl>
  </w:abstractNum>
  <w:abstractNum w:abstractNumId="106" w15:restartNumberingAfterBreak="0">
    <w:nsid w:val="36581007"/>
    <w:multiLevelType w:val="hybridMultilevel"/>
    <w:tmpl w:val="A35ECE00"/>
    <w:styleLink w:val="Estilo31"/>
    <w:lvl w:ilvl="0" w:tplc="3A564C1E">
      <w:start w:val="1"/>
      <w:numFmt w:val="bullet"/>
      <w:lvlText w:val=""/>
      <w:lvlJc w:val="start"/>
      <w:pPr>
        <w:ind w:start="78.55pt" w:hanging="18pt"/>
      </w:pPr>
      <w:rPr>
        <w:rFonts w:ascii="Symbol" w:hAnsi="Symbol" w:hint="default"/>
      </w:rPr>
    </w:lvl>
    <w:lvl w:ilvl="1" w:tplc="86F60C28" w:tentative="1">
      <w:start w:val="1"/>
      <w:numFmt w:val="bullet"/>
      <w:lvlText w:val="o"/>
      <w:lvlJc w:val="start"/>
      <w:pPr>
        <w:ind w:start="114.55pt" w:hanging="18pt"/>
      </w:pPr>
      <w:rPr>
        <w:rFonts w:ascii="Courier New" w:hAnsi="Courier New" w:cs="Courier New" w:hint="default"/>
      </w:rPr>
    </w:lvl>
    <w:lvl w:ilvl="2" w:tplc="C8DC5908" w:tentative="1">
      <w:start w:val="1"/>
      <w:numFmt w:val="bullet"/>
      <w:lvlText w:val=""/>
      <w:lvlJc w:val="start"/>
      <w:pPr>
        <w:ind w:start="150.55pt" w:hanging="18pt"/>
      </w:pPr>
      <w:rPr>
        <w:rFonts w:ascii="Wingdings" w:hAnsi="Wingdings" w:hint="default"/>
      </w:rPr>
    </w:lvl>
    <w:lvl w:ilvl="3" w:tplc="F1F87B62" w:tentative="1">
      <w:start w:val="1"/>
      <w:numFmt w:val="bullet"/>
      <w:lvlText w:val=""/>
      <w:lvlJc w:val="start"/>
      <w:pPr>
        <w:ind w:start="186.55pt" w:hanging="18pt"/>
      </w:pPr>
      <w:rPr>
        <w:rFonts w:ascii="Symbol" w:hAnsi="Symbol" w:hint="default"/>
      </w:rPr>
    </w:lvl>
    <w:lvl w:ilvl="4" w:tplc="C062EA02" w:tentative="1">
      <w:start w:val="1"/>
      <w:numFmt w:val="bullet"/>
      <w:lvlText w:val="o"/>
      <w:lvlJc w:val="start"/>
      <w:pPr>
        <w:ind w:start="222.55pt" w:hanging="18pt"/>
      </w:pPr>
      <w:rPr>
        <w:rFonts w:ascii="Courier New" w:hAnsi="Courier New" w:cs="Courier New" w:hint="default"/>
      </w:rPr>
    </w:lvl>
    <w:lvl w:ilvl="5" w:tplc="FAB0EB2C" w:tentative="1">
      <w:start w:val="1"/>
      <w:numFmt w:val="bullet"/>
      <w:lvlText w:val=""/>
      <w:lvlJc w:val="start"/>
      <w:pPr>
        <w:ind w:start="258.55pt" w:hanging="18pt"/>
      </w:pPr>
      <w:rPr>
        <w:rFonts w:ascii="Wingdings" w:hAnsi="Wingdings" w:hint="default"/>
      </w:rPr>
    </w:lvl>
    <w:lvl w:ilvl="6" w:tplc="A3D47422" w:tentative="1">
      <w:start w:val="1"/>
      <w:numFmt w:val="bullet"/>
      <w:lvlText w:val=""/>
      <w:lvlJc w:val="start"/>
      <w:pPr>
        <w:ind w:start="294.55pt" w:hanging="18pt"/>
      </w:pPr>
      <w:rPr>
        <w:rFonts w:ascii="Symbol" w:hAnsi="Symbol" w:hint="default"/>
      </w:rPr>
    </w:lvl>
    <w:lvl w:ilvl="7" w:tplc="BD445E02" w:tentative="1">
      <w:start w:val="1"/>
      <w:numFmt w:val="bullet"/>
      <w:lvlText w:val="o"/>
      <w:lvlJc w:val="start"/>
      <w:pPr>
        <w:ind w:start="330.55pt" w:hanging="18pt"/>
      </w:pPr>
      <w:rPr>
        <w:rFonts w:ascii="Courier New" w:hAnsi="Courier New" w:cs="Courier New" w:hint="default"/>
      </w:rPr>
    </w:lvl>
    <w:lvl w:ilvl="8" w:tplc="FD0405B8" w:tentative="1">
      <w:start w:val="1"/>
      <w:numFmt w:val="bullet"/>
      <w:lvlText w:val=""/>
      <w:lvlJc w:val="start"/>
      <w:pPr>
        <w:ind w:start="366.55pt" w:hanging="18pt"/>
      </w:pPr>
      <w:rPr>
        <w:rFonts w:ascii="Wingdings" w:hAnsi="Wingdings" w:hint="default"/>
      </w:rPr>
    </w:lvl>
  </w:abstractNum>
  <w:abstractNum w:abstractNumId="107" w15:restartNumberingAfterBreak="0">
    <w:nsid w:val="369068CF"/>
    <w:multiLevelType w:val="hybridMultilevel"/>
    <w:tmpl w:val="318644D2"/>
    <w:lvl w:ilvl="0" w:tplc="64268F50">
      <w:start w:val="1"/>
      <w:numFmt w:val="bullet"/>
      <w:lvlText w:val=""/>
      <w:lvlJc w:val="start"/>
      <w:pPr>
        <w:ind w:start="39.25pt" w:hanging="18pt"/>
      </w:pPr>
      <w:rPr>
        <w:rFonts w:ascii="Symbol" w:hAnsi="Symbol" w:hint="default"/>
      </w:rPr>
    </w:lvl>
    <w:lvl w:ilvl="1" w:tplc="78A6FD84" w:tentative="1">
      <w:start w:val="1"/>
      <w:numFmt w:val="bullet"/>
      <w:lvlText w:val="o"/>
      <w:lvlJc w:val="start"/>
      <w:pPr>
        <w:ind w:start="75.30pt" w:hanging="18pt"/>
      </w:pPr>
      <w:rPr>
        <w:rFonts w:ascii="Courier New" w:hAnsi="Courier New" w:cs="Courier New" w:hint="default"/>
      </w:rPr>
    </w:lvl>
    <w:lvl w:ilvl="2" w:tplc="526EA3DC" w:tentative="1">
      <w:start w:val="1"/>
      <w:numFmt w:val="bullet"/>
      <w:lvlText w:val=""/>
      <w:lvlJc w:val="start"/>
      <w:pPr>
        <w:ind w:start="111.30pt" w:hanging="18pt"/>
      </w:pPr>
      <w:rPr>
        <w:rFonts w:ascii="Wingdings" w:hAnsi="Wingdings" w:hint="default"/>
      </w:rPr>
    </w:lvl>
    <w:lvl w:ilvl="3" w:tplc="B2BA177C" w:tentative="1">
      <w:start w:val="1"/>
      <w:numFmt w:val="bullet"/>
      <w:lvlText w:val=""/>
      <w:lvlJc w:val="start"/>
      <w:pPr>
        <w:ind w:start="147.30pt" w:hanging="18pt"/>
      </w:pPr>
      <w:rPr>
        <w:rFonts w:ascii="Symbol" w:hAnsi="Symbol" w:hint="default"/>
      </w:rPr>
    </w:lvl>
    <w:lvl w:ilvl="4" w:tplc="73DC3C2A" w:tentative="1">
      <w:start w:val="1"/>
      <w:numFmt w:val="bullet"/>
      <w:lvlText w:val="o"/>
      <w:lvlJc w:val="start"/>
      <w:pPr>
        <w:ind w:start="183.30pt" w:hanging="18pt"/>
      </w:pPr>
      <w:rPr>
        <w:rFonts w:ascii="Courier New" w:hAnsi="Courier New" w:cs="Courier New" w:hint="default"/>
      </w:rPr>
    </w:lvl>
    <w:lvl w:ilvl="5" w:tplc="6CF8E804" w:tentative="1">
      <w:start w:val="1"/>
      <w:numFmt w:val="bullet"/>
      <w:lvlText w:val=""/>
      <w:lvlJc w:val="start"/>
      <w:pPr>
        <w:ind w:start="219.30pt" w:hanging="18pt"/>
      </w:pPr>
      <w:rPr>
        <w:rFonts w:ascii="Wingdings" w:hAnsi="Wingdings" w:hint="default"/>
      </w:rPr>
    </w:lvl>
    <w:lvl w:ilvl="6" w:tplc="702CAAF2" w:tentative="1">
      <w:start w:val="1"/>
      <w:numFmt w:val="bullet"/>
      <w:lvlText w:val=""/>
      <w:lvlJc w:val="start"/>
      <w:pPr>
        <w:ind w:start="255.30pt" w:hanging="18pt"/>
      </w:pPr>
      <w:rPr>
        <w:rFonts w:ascii="Symbol" w:hAnsi="Symbol" w:hint="default"/>
      </w:rPr>
    </w:lvl>
    <w:lvl w:ilvl="7" w:tplc="89CA760A" w:tentative="1">
      <w:start w:val="1"/>
      <w:numFmt w:val="bullet"/>
      <w:lvlText w:val="o"/>
      <w:lvlJc w:val="start"/>
      <w:pPr>
        <w:ind w:start="291.30pt" w:hanging="18pt"/>
      </w:pPr>
      <w:rPr>
        <w:rFonts w:ascii="Courier New" w:hAnsi="Courier New" w:cs="Courier New" w:hint="default"/>
      </w:rPr>
    </w:lvl>
    <w:lvl w:ilvl="8" w:tplc="F39ADE66" w:tentative="1">
      <w:start w:val="1"/>
      <w:numFmt w:val="bullet"/>
      <w:lvlText w:val=""/>
      <w:lvlJc w:val="start"/>
      <w:pPr>
        <w:ind w:start="327.30pt" w:hanging="18pt"/>
      </w:pPr>
      <w:rPr>
        <w:rFonts w:ascii="Wingdings" w:hAnsi="Wingdings" w:hint="default"/>
      </w:rPr>
    </w:lvl>
  </w:abstractNum>
  <w:abstractNum w:abstractNumId="108" w15:restartNumberingAfterBreak="0">
    <w:nsid w:val="3748755D"/>
    <w:multiLevelType w:val="hybridMultilevel"/>
    <w:tmpl w:val="90D8461A"/>
    <w:lvl w:ilvl="0" w:tplc="7D14D4EA">
      <w:start w:val="6"/>
      <w:numFmt w:val="bullet"/>
      <w:lvlText w:val="•"/>
      <w:lvlJc w:val="start"/>
      <w:pPr>
        <w:ind w:start="39.45pt" w:hanging="18pt"/>
      </w:pPr>
      <w:rPr>
        <w:rFonts w:ascii="Century Gothic" w:eastAsia="Calibri" w:hAnsi="Century Gothic" w:cs="Arial" w:hint="default"/>
      </w:rPr>
    </w:lvl>
    <w:lvl w:ilvl="1" w:tplc="BE0ED20E" w:tentative="1">
      <w:start w:val="1"/>
      <w:numFmt w:val="bullet"/>
      <w:lvlText w:val="o"/>
      <w:lvlJc w:val="start"/>
      <w:pPr>
        <w:ind w:start="75.45pt" w:hanging="18pt"/>
      </w:pPr>
      <w:rPr>
        <w:rFonts w:ascii="Courier New" w:hAnsi="Courier New" w:cs="Courier New" w:hint="default"/>
      </w:rPr>
    </w:lvl>
    <w:lvl w:ilvl="2" w:tplc="01800930" w:tentative="1">
      <w:start w:val="1"/>
      <w:numFmt w:val="bullet"/>
      <w:lvlText w:val=""/>
      <w:lvlJc w:val="start"/>
      <w:pPr>
        <w:ind w:start="111.45pt" w:hanging="18pt"/>
      </w:pPr>
      <w:rPr>
        <w:rFonts w:ascii="Wingdings" w:hAnsi="Wingdings" w:hint="default"/>
      </w:rPr>
    </w:lvl>
    <w:lvl w:ilvl="3" w:tplc="CA4C7A28" w:tentative="1">
      <w:start w:val="1"/>
      <w:numFmt w:val="bullet"/>
      <w:lvlText w:val=""/>
      <w:lvlJc w:val="start"/>
      <w:pPr>
        <w:ind w:start="147.40pt" w:hanging="18pt"/>
      </w:pPr>
      <w:rPr>
        <w:rFonts w:ascii="Symbol" w:hAnsi="Symbol" w:hint="default"/>
      </w:rPr>
    </w:lvl>
    <w:lvl w:ilvl="4" w:tplc="DCB6CDE0" w:tentative="1">
      <w:start w:val="1"/>
      <w:numFmt w:val="bullet"/>
      <w:lvlText w:val="o"/>
      <w:lvlJc w:val="start"/>
      <w:pPr>
        <w:ind w:start="183.45pt" w:hanging="18pt"/>
      </w:pPr>
      <w:rPr>
        <w:rFonts w:ascii="Courier New" w:hAnsi="Courier New" w:cs="Courier New" w:hint="default"/>
      </w:rPr>
    </w:lvl>
    <w:lvl w:ilvl="5" w:tplc="882C8A68" w:tentative="1">
      <w:start w:val="1"/>
      <w:numFmt w:val="bullet"/>
      <w:lvlText w:val=""/>
      <w:lvlJc w:val="start"/>
      <w:pPr>
        <w:ind w:start="219.45pt" w:hanging="18pt"/>
      </w:pPr>
      <w:rPr>
        <w:rFonts w:ascii="Wingdings" w:hAnsi="Wingdings" w:hint="default"/>
      </w:rPr>
    </w:lvl>
    <w:lvl w:ilvl="6" w:tplc="617C65BA" w:tentative="1">
      <w:start w:val="1"/>
      <w:numFmt w:val="bullet"/>
      <w:lvlText w:val=""/>
      <w:lvlJc w:val="start"/>
      <w:pPr>
        <w:ind w:start="255.45pt" w:hanging="18pt"/>
      </w:pPr>
      <w:rPr>
        <w:rFonts w:ascii="Symbol" w:hAnsi="Symbol" w:hint="default"/>
      </w:rPr>
    </w:lvl>
    <w:lvl w:ilvl="7" w:tplc="0FF0CFAE" w:tentative="1">
      <w:start w:val="1"/>
      <w:numFmt w:val="bullet"/>
      <w:lvlText w:val="o"/>
      <w:lvlJc w:val="start"/>
      <w:pPr>
        <w:ind w:start="291.45pt" w:hanging="18pt"/>
      </w:pPr>
      <w:rPr>
        <w:rFonts w:ascii="Courier New" w:hAnsi="Courier New" w:cs="Courier New" w:hint="default"/>
      </w:rPr>
    </w:lvl>
    <w:lvl w:ilvl="8" w:tplc="C2526EE8" w:tentative="1">
      <w:start w:val="1"/>
      <w:numFmt w:val="bullet"/>
      <w:lvlText w:val=""/>
      <w:lvlJc w:val="start"/>
      <w:pPr>
        <w:ind w:start="327.45pt" w:hanging="18pt"/>
      </w:pPr>
      <w:rPr>
        <w:rFonts w:ascii="Wingdings" w:hAnsi="Wingdings" w:hint="default"/>
      </w:rPr>
    </w:lvl>
  </w:abstractNum>
  <w:abstractNum w:abstractNumId="109" w15:restartNumberingAfterBreak="0">
    <w:nsid w:val="38350B86"/>
    <w:multiLevelType w:val="hybridMultilevel"/>
    <w:tmpl w:val="8EE20AB8"/>
    <w:lvl w:ilvl="0" w:tplc="080A0001">
      <w:start w:val="1"/>
      <w:numFmt w:val="bullet"/>
      <w:lvlText w:val=""/>
      <w:lvlJc w:val="start"/>
      <w:pPr>
        <w:ind w:start="36pt" w:hanging="18pt"/>
      </w:pPr>
      <w:rPr>
        <w:rFonts w:ascii="Symbol" w:hAnsi="Symbol" w:hint="default"/>
      </w:rPr>
    </w:lvl>
    <w:lvl w:ilvl="1" w:tplc="080A0003" w:tentative="1">
      <w:start w:val="1"/>
      <w:numFmt w:val="bullet"/>
      <w:lvlText w:val="o"/>
      <w:lvlJc w:val="start"/>
      <w:pPr>
        <w:ind w:start="72pt" w:hanging="18pt"/>
      </w:pPr>
      <w:rPr>
        <w:rFonts w:ascii="Courier New" w:hAnsi="Courier New" w:cs="Courier New" w:hint="default"/>
      </w:rPr>
    </w:lvl>
    <w:lvl w:ilvl="2" w:tplc="080A0005" w:tentative="1">
      <w:start w:val="1"/>
      <w:numFmt w:val="bullet"/>
      <w:lvlText w:val=""/>
      <w:lvlJc w:val="start"/>
      <w:pPr>
        <w:ind w:start="108pt" w:hanging="18pt"/>
      </w:pPr>
      <w:rPr>
        <w:rFonts w:ascii="Wingdings" w:hAnsi="Wingdings" w:hint="default"/>
      </w:rPr>
    </w:lvl>
    <w:lvl w:ilvl="3" w:tplc="080A0001" w:tentative="1">
      <w:start w:val="1"/>
      <w:numFmt w:val="bullet"/>
      <w:lvlText w:val=""/>
      <w:lvlJc w:val="start"/>
      <w:pPr>
        <w:ind w:start="144pt" w:hanging="18pt"/>
      </w:pPr>
      <w:rPr>
        <w:rFonts w:ascii="Symbol" w:hAnsi="Symbol" w:hint="default"/>
      </w:rPr>
    </w:lvl>
    <w:lvl w:ilvl="4" w:tplc="080A0003" w:tentative="1">
      <w:start w:val="1"/>
      <w:numFmt w:val="bullet"/>
      <w:lvlText w:val="o"/>
      <w:lvlJc w:val="start"/>
      <w:pPr>
        <w:ind w:start="180pt" w:hanging="18pt"/>
      </w:pPr>
      <w:rPr>
        <w:rFonts w:ascii="Courier New" w:hAnsi="Courier New" w:cs="Courier New" w:hint="default"/>
      </w:rPr>
    </w:lvl>
    <w:lvl w:ilvl="5" w:tplc="080A0005" w:tentative="1">
      <w:start w:val="1"/>
      <w:numFmt w:val="bullet"/>
      <w:lvlText w:val=""/>
      <w:lvlJc w:val="start"/>
      <w:pPr>
        <w:ind w:start="216pt" w:hanging="18pt"/>
      </w:pPr>
      <w:rPr>
        <w:rFonts w:ascii="Wingdings" w:hAnsi="Wingdings" w:hint="default"/>
      </w:rPr>
    </w:lvl>
    <w:lvl w:ilvl="6" w:tplc="080A0001" w:tentative="1">
      <w:start w:val="1"/>
      <w:numFmt w:val="bullet"/>
      <w:lvlText w:val=""/>
      <w:lvlJc w:val="start"/>
      <w:pPr>
        <w:ind w:start="252pt" w:hanging="18pt"/>
      </w:pPr>
      <w:rPr>
        <w:rFonts w:ascii="Symbol" w:hAnsi="Symbol" w:hint="default"/>
      </w:rPr>
    </w:lvl>
    <w:lvl w:ilvl="7" w:tplc="080A0003" w:tentative="1">
      <w:start w:val="1"/>
      <w:numFmt w:val="bullet"/>
      <w:lvlText w:val="o"/>
      <w:lvlJc w:val="start"/>
      <w:pPr>
        <w:ind w:start="288pt" w:hanging="18pt"/>
      </w:pPr>
      <w:rPr>
        <w:rFonts w:ascii="Courier New" w:hAnsi="Courier New" w:cs="Courier New" w:hint="default"/>
      </w:rPr>
    </w:lvl>
    <w:lvl w:ilvl="8" w:tplc="080A0005" w:tentative="1">
      <w:start w:val="1"/>
      <w:numFmt w:val="bullet"/>
      <w:lvlText w:val=""/>
      <w:lvlJc w:val="start"/>
      <w:pPr>
        <w:ind w:start="324pt" w:hanging="18pt"/>
      </w:pPr>
      <w:rPr>
        <w:rFonts w:ascii="Wingdings" w:hAnsi="Wingdings" w:hint="default"/>
      </w:rPr>
    </w:lvl>
  </w:abstractNum>
  <w:abstractNum w:abstractNumId="110" w15:restartNumberingAfterBreak="0">
    <w:nsid w:val="3896170D"/>
    <w:multiLevelType w:val="hybridMultilevel"/>
    <w:tmpl w:val="16341D14"/>
    <w:lvl w:ilvl="0" w:tplc="C4547E96">
      <w:start w:val="1"/>
      <w:numFmt w:val="bullet"/>
      <w:pStyle w:val="NormalBulletLevel2"/>
      <w:lvlText w:val=""/>
      <w:lvlJc w:val="start"/>
      <w:pPr>
        <w:tabs>
          <w:tab w:val="num" w:pos="450pt"/>
        </w:tabs>
        <w:ind w:start="450pt" w:hanging="18pt"/>
      </w:pPr>
      <w:rPr>
        <w:rFonts w:ascii="Symbol" w:hAnsi="Symbol" w:hint="default"/>
        <w:color w:val="auto"/>
      </w:rPr>
    </w:lvl>
    <w:lvl w:ilvl="1" w:tplc="A91AFF5C">
      <w:start w:val="1"/>
      <w:numFmt w:val="bullet"/>
      <w:lvlText w:val="o"/>
      <w:lvlJc w:val="start"/>
      <w:pPr>
        <w:tabs>
          <w:tab w:val="num" w:pos="270pt"/>
        </w:tabs>
        <w:ind w:start="270pt" w:hanging="18pt"/>
      </w:pPr>
      <w:rPr>
        <w:rFonts w:ascii="Courier New" w:hAnsi="Courier New" w:hint="default"/>
      </w:rPr>
    </w:lvl>
    <w:lvl w:ilvl="2" w:tplc="11CAD8BA" w:tentative="1">
      <w:start w:val="1"/>
      <w:numFmt w:val="bullet"/>
      <w:lvlText w:val=""/>
      <w:lvlJc w:val="start"/>
      <w:pPr>
        <w:tabs>
          <w:tab w:val="num" w:pos="306pt"/>
        </w:tabs>
        <w:ind w:start="306pt" w:hanging="18pt"/>
      </w:pPr>
      <w:rPr>
        <w:rFonts w:ascii="Wingdings" w:hAnsi="Wingdings" w:hint="default"/>
      </w:rPr>
    </w:lvl>
    <w:lvl w:ilvl="3" w:tplc="D2E8BA14" w:tentative="1">
      <w:start w:val="1"/>
      <w:numFmt w:val="bullet"/>
      <w:lvlText w:val=""/>
      <w:lvlJc w:val="start"/>
      <w:pPr>
        <w:tabs>
          <w:tab w:val="num" w:pos="342pt"/>
        </w:tabs>
        <w:ind w:start="342pt" w:hanging="18pt"/>
      </w:pPr>
      <w:rPr>
        <w:rFonts w:ascii="Symbol" w:hAnsi="Symbol" w:hint="default"/>
      </w:rPr>
    </w:lvl>
    <w:lvl w:ilvl="4" w:tplc="2CA86F9C" w:tentative="1">
      <w:start w:val="1"/>
      <w:numFmt w:val="bullet"/>
      <w:lvlText w:val="o"/>
      <w:lvlJc w:val="start"/>
      <w:pPr>
        <w:tabs>
          <w:tab w:val="num" w:pos="378pt"/>
        </w:tabs>
        <w:ind w:start="378pt" w:hanging="18pt"/>
      </w:pPr>
      <w:rPr>
        <w:rFonts w:ascii="Courier New" w:hAnsi="Courier New" w:hint="default"/>
      </w:rPr>
    </w:lvl>
    <w:lvl w:ilvl="5" w:tplc="50682338" w:tentative="1">
      <w:start w:val="1"/>
      <w:numFmt w:val="bullet"/>
      <w:lvlText w:val=""/>
      <w:lvlJc w:val="start"/>
      <w:pPr>
        <w:tabs>
          <w:tab w:val="num" w:pos="414pt"/>
        </w:tabs>
        <w:ind w:start="414pt" w:hanging="18pt"/>
      </w:pPr>
      <w:rPr>
        <w:rFonts w:ascii="Wingdings" w:hAnsi="Wingdings" w:hint="default"/>
      </w:rPr>
    </w:lvl>
    <w:lvl w:ilvl="6" w:tplc="9CD2C242" w:tentative="1">
      <w:start w:val="1"/>
      <w:numFmt w:val="bullet"/>
      <w:lvlText w:val=""/>
      <w:lvlJc w:val="start"/>
      <w:pPr>
        <w:tabs>
          <w:tab w:val="num" w:pos="450pt"/>
        </w:tabs>
        <w:ind w:start="450pt" w:hanging="18pt"/>
      </w:pPr>
      <w:rPr>
        <w:rFonts w:ascii="Symbol" w:hAnsi="Symbol" w:hint="default"/>
      </w:rPr>
    </w:lvl>
    <w:lvl w:ilvl="7" w:tplc="E0ACABC2" w:tentative="1">
      <w:start w:val="1"/>
      <w:numFmt w:val="bullet"/>
      <w:lvlText w:val="o"/>
      <w:lvlJc w:val="start"/>
      <w:pPr>
        <w:tabs>
          <w:tab w:val="num" w:pos="486pt"/>
        </w:tabs>
        <w:ind w:start="486pt" w:hanging="18pt"/>
      </w:pPr>
      <w:rPr>
        <w:rFonts w:ascii="Courier New" w:hAnsi="Courier New" w:hint="default"/>
      </w:rPr>
    </w:lvl>
    <w:lvl w:ilvl="8" w:tplc="B8066C7C" w:tentative="1">
      <w:start w:val="1"/>
      <w:numFmt w:val="bullet"/>
      <w:lvlText w:val=""/>
      <w:lvlJc w:val="start"/>
      <w:pPr>
        <w:tabs>
          <w:tab w:val="num" w:pos="522pt"/>
        </w:tabs>
        <w:ind w:start="522pt" w:hanging="18pt"/>
      </w:pPr>
      <w:rPr>
        <w:rFonts w:ascii="Wingdings" w:hAnsi="Wingdings" w:hint="default"/>
      </w:rPr>
    </w:lvl>
  </w:abstractNum>
  <w:abstractNum w:abstractNumId="111" w15:restartNumberingAfterBreak="0">
    <w:nsid w:val="38C50AA4"/>
    <w:multiLevelType w:val="hybridMultilevel"/>
    <w:tmpl w:val="DB224C30"/>
    <w:lvl w:ilvl="0" w:tplc="080A0001">
      <w:start w:val="1"/>
      <w:numFmt w:val="bullet"/>
      <w:lvlText w:val=""/>
      <w:lvlJc w:val="start"/>
      <w:pPr>
        <w:ind w:start="50.20pt" w:hanging="18pt"/>
      </w:pPr>
      <w:rPr>
        <w:rFonts w:ascii="Symbol" w:hAnsi="Symbol" w:hint="default"/>
      </w:rPr>
    </w:lvl>
    <w:lvl w:ilvl="1" w:tplc="080A0003" w:tentative="1">
      <w:start w:val="1"/>
      <w:numFmt w:val="bullet"/>
      <w:lvlText w:val="o"/>
      <w:lvlJc w:val="start"/>
      <w:pPr>
        <w:ind w:start="86.20pt" w:hanging="18pt"/>
      </w:pPr>
      <w:rPr>
        <w:rFonts w:ascii="Courier New" w:hAnsi="Courier New" w:cs="Courier New" w:hint="default"/>
      </w:rPr>
    </w:lvl>
    <w:lvl w:ilvl="2" w:tplc="080A0005" w:tentative="1">
      <w:start w:val="1"/>
      <w:numFmt w:val="bullet"/>
      <w:lvlText w:val=""/>
      <w:lvlJc w:val="start"/>
      <w:pPr>
        <w:ind w:start="122.20pt" w:hanging="18pt"/>
      </w:pPr>
      <w:rPr>
        <w:rFonts w:ascii="Wingdings" w:hAnsi="Wingdings" w:hint="default"/>
      </w:rPr>
    </w:lvl>
    <w:lvl w:ilvl="3" w:tplc="080A0001" w:tentative="1">
      <w:start w:val="1"/>
      <w:numFmt w:val="bullet"/>
      <w:lvlText w:val=""/>
      <w:lvlJc w:val="start"/>
      <w:pPr>
        <w:ind w:start="158.20pt" w:hanging="18pt"/>
      </w:pPr>
      <w:rPr>
        <w:rFonts w:ascii="Symbol" w:hAnsi="Symbol" w:hint="default"/>
      </w:rPr>
    </w:lvl>
    <w:lvl w:ilvl="4" w:tplc="080A0003" w:tentative="1">
      <w:start w:val="1"/>
      <w:numFmt w:val="bullet"/>
      <w:lvlText w:val="o"/>
      <w:lvlJc w:val="start"/>
      <w:pPr>
        <w:ind w:start="194.20pt" w:hanging="18pt"/>
      </w:pPr>
      <w:rPr>
        <w:rFonts w:ascii="Courier New" w:hAnsi="Courier New" w:cs="Courier New" w:hint="default"/>
      </w:rPr>
    </w:lvl>
    <w:lvl w:ilvl="5" w:tplc="080A0005" w:tentative="1">
      <w:start w:val="1"/>
      <w:numFmt w:val="bullet"/>
      <w:lvlText w:val=""/>
      <w:lvlJc w:val="start"/>
      <w:pPr>
        <w:ind w:start="230.20pt" w:hanging="18pt"/>
      </w:pPr>
      <w:rPr>
        <w:rFonts w:ascii="Wingdings" w:hAnsi="Wingdings" w:hint="default"/>
      </w:rPr>
    </w:lvl>
    <w:lvl w:ilvl="6" w:tplc="080A0001" w:tentative="1">
      <w:start w:val="1"/>
      <w:numFmt w:val="bullet"/>
      <w:lvlText w:val=""/>
      <w:lvlJc w:val="start"/>
      <w:pPr>
        <w:ind w:start="266.20pt" w:hanging="18pt"/>
      </w:pPr>
      <w:rPr>
        <w:rFonts w:ascii="Symbol" w:hAnsi="Symbol" w:hint="default"/>
      </w:rPr>
    </w:lvl>
    <w:lvl w:ilvl="7" w:tplc="080A0003" w:tentative="1">
      <w:start w:val="1"/>
      <w:numFmt w:val="bullet"/>
      <w:lvlText w:val="o"/>
      <w:lvlJc w:val="start"/>
      <w:pPr>
        <w:ind w:start="302.20pt" w:hanging="18pt"/>
      </w:pPr>
      <w:rPr>
        <w:rFonts w:ascii="Courier New" w:hAnsi="Courier New" w:cs="Courier New" w:hint="default"/>
      </w:rPr>
    </w:lvl>
    <w:lvl w:ilvl="8" w:tplc="080A0005" w:tentative="1">
      <w:start w:val="1"/>
      <w:numFmt w:val="bullet"/>
      <w:lvlText w:val=""/>
      <w:lvlJc w:val="start"/>
      <w:pPr>
        <w:ind w:start="338.20pt" w:hanging="18pt"/>
      </w:pPr>
      <w:rPr>
        <w:rFonts w:ascii="Wingdings" w:hAnsi="Wingdings" w:hint="default"/>
      </w:rPr>
    </w:lvl>
  </w:abstractNum>
  <w:abstractNum w:abstractNumId="112" w15:restartNumberingAfterBreak="0">
    <w:nsid w:val="3903786E"/>
    <w:multiLevelType w:val="hybridMultilevel"/>
    <w:tmpl w:val="C4A80C32"/>
    <w:lvl w:ilvl="0" w:tplc="43661028">
      <w:start w:val="1"/>
      <w:numFmt w:val="bullet"/>
      <w:lvlText w:val=""/>
      <w:lvlJc w:val="start"/>
      <w:pPr>
        <w:ind w:start="54pt" w:hanging="18pt"/>
      </w:pPr>
      <w:rPr>
        <w:rFonts w:ascii="Symbol" w:hAnsi="Symbol" w:hint="default"/>
      </w:rPr>
    </w:lvl>
    <w:lvl w:ilvl="1" w:tplc="4E1A91D4" w:tentative="1">
      <w:start w:val="1"/>
      <w:numFmt w:val="bullet"/>
      <w:lvlText w:val="o"/>
      <w:lvlJc w:val="start"/>
      <w:pPr>
        <w:ind w:start="90pt" w:hanging="18pt"/>
      </w:pPr>
      <w:rPr>
        <w:rFonts w:ascii="Courier New" w:hAnsi="Courier New" w:cs="Courier New" w:hint="default"/>
      </w:rPr>
    </w:lvl>
    <w:lvl w:ilvl="2" w:tplc="1B525EE4" w:tentative="1">
      <w:start w:val="1"/>
      <w:numFmt w:val="bullet"/>
      <w:lvlText w:val=""/>
      <w:lvlJc w:val="start"/>
      <w:pPr>
        <w:ind w:start="126pt" w:hanging="18pt"/>
      </w:pPr>
      <w:rPr>
        <w:rFonts w:ascii="Wingdings" w:hAnsi="Wingdings" w:hint="default"/>
      </w:rPr>
    </w:lvl>
    <w:lvl w:ilvl="3" w:tplc="EE909BF0" w:tentative="1">
      <w:start w:val="1"/>
      <w:numFmt w:val="bullet"/>
      <w:lvlText w:val=""/>
      <w:lvlJc w:val="start"/>
      <w:pPr>
        <w:ind w:start="162pt" w:hanging="18pt"/>
      </w:pPr>
      <w:rPr>
        <w:rFonts w:ascii="Symbol" w:hAnsi="Symbol" w:hint="default"/>
      </w:rPr>
    </w:lvl>
    <w:lvl w:ilvl="4" w:tplc="F71C8828" w:tentative="1">
      <w:start w:val="1"/>
      <w:numFmt w:val="bullet"/>
      <w:lvlText w:val="o"/>
      <w:lvlJc w:val="start"/>
      <w:pPr>
        <w:ind w:start="198pt" w:hanging="18pt"/>
      </w:pPr>
      <w:rPr>
        <w:rFonts w:ascii="Courier New" w:hAnsi="Courier New" w:cs="Courier New" w:hint="default"/>
      </w:rPr>
    </w:lvl>
    <w:lvl w:ilvl="5" w:tplc="E71E28F6" w:tentative="1">
      <w:start w:val="1"/>
      <w:numFmt w:val="bullet"/>
      <w:lvlText w:val=""/>
      <w:lvlJc w:val="start"/>
      <w:pPr>
        <w:ind w:start="234pt" w:hanging="18pt"/>
      </w:pPr>
      <w:rPr>
        <w:rFonts w:ascii="Wingdings" w:hAnsi="Wingdings" w:hint="default"/>
      </w:rPr>
    </w:lvl>
    <w:lvl w:ilvl="6" w:tplc="B992C9BE" w:tentative="1">
      <w:start w:val="1"/>
      <w:numFmt w:val="bullet"/>
      <w:lvlText w:val=""/>
      <w:lvlJc w:val="start"/>
      <w:pPr>
        <w:ind w:start="270pt" w:hanging="18pt"/>
      </w:pPr>
      <w:rPr>
        <w:rFonts w:ascii="Symbol" w:hAnsi="Symbol" w:hint="default"/>
      </w:rPr>
    </w:lvl>
    <w:lvl w:ilvl="7" w:tplc="294CBA2E" w:tentative="1">
      <w:start w:val="1"/>
      <w:numFmt w:val="bullet"/>
      <w:lvlText w:val="o"/>
      <w:lvlJc w:val="start"/>
      <w:pPr>
        <w:ind w:start="306pt" w:hanging="18pt"/>
      </w:pPr>
      <w:rPr>
        <w:rFonts w:ascii="Courier New" w:hAnsi="Courier New" w:cs="Courier New" w:hint="default"/>
      </w:rPr>
    </w:lvl>
    <w:lvl w:ilvl="8" w:tplc="2382B836" w:tentative="1">
      <w:start w:val="1"/>
      <w:numFmt w:val="bullet"/>
      <w:lvlText w:val=""/>
      <w:lvlJc w:val="start"/>
      <w:pPr>
        <w:ind w:start="342pt" w:hanging="18pt"/>
      </w:pPr>
      <w:rPr>
        <w:rFonts w:ascii="Wingdings" w:hAnsi="Wingdings" w:hint="default"/>
      </w:rPr>
    </w:lvl>
  </w:abstractNum>
  <w:abstractNum w:abstractNumId="113" w15:restartNumberingAfterBreak="0">
    <w:nsid w:val="398F6E97"/>
    <w:multiLevelType w:val="hybridMultilevel"/>
    <w:tmpl w:val="E280037C"/>
    <w:lvl w:ilvl="0" w:tplc="080A0001">
      <w:start w:val="1"/>
      <w:numFmt w:val="bullet"/>
      <w:lvlText w:val=""/>
      <w:lvlJc w:val="start"/>
      <w:pPr>
        <w:ind w:start="36pt" w:hanging="18pt"/>
      </w:pPr>
      <w:rPr>
        <w:rFonts w:ascii="Symbol" w:hAnsi="Symbol" w:hint="default"/>
      </w:rPr>
    </w:lvl>
    <w:lvl w:ilvl="1" w:tplc="080A0003">
      <w:start w:val="1"/>
      <w:numFmt w:val="bullet"/>
      <w:lvlText w:val="o"/>
      <w:lvlJc w:val="start"/>
      <w:pPr>
        <w:ind w:start="72pt" w:hanging="18pt"/>
      </w:pPr>
      <w:rPr>
        <w:rFonts w:ascii="Courier New" w:hAnsi="Courier New" w:cs="Courier New" w:hint="default"/>
      </w:rPr>
    </w:lvl>
    <w:lvl w:ilvl="2" w:tplc="080A0005">
      <w:start w:val="1"/>
      <w:numFmt w:val="bullet"/>
      <w:lvlText w:val=""/>
      <w:lvlJc w:val="start"/>
      <w:pPr>
        <w:ind w:start="108pt" w:hanging="18pt"/>
      </w:pPr>
      <w:rPr>
        <w:rFonts w:ascii="Wingdings" w:hAnsi="Wingdings" w:hint="default"/>
      </w:rPr>
    </w:lvl>
    <w:lvl w:ilvl="3" w:tplc="080A0001">
      <w:start w:val="1"/>
      <w:numFmt w:val="bullet"/>
      <w:lvlText w:val=""/>
      <w:lvlJc w:val="start"/>
      <w:pPr>
        <w:ind w:start="144pt" w:hanging="18pt"/>
      </w:pPr>
      <w:rPr>
        <w:rFonts w:ascii="Symbol" w:hAnsi="Symbol" w:hint="default"/>
      </w:rPr>
    </w:lvl>
    <w:lvl w:ilvl="4" w:tplc="080A0003">
      <w:start w:val="1"/>
      <w:numFmt w:val="bullet"/>
      <w:lvlText w:val="o"/>
      <w:lvlJc w:val="start"/>
      <w:pPr>
        <w:ind w:start="180pt" w:hanging="18pt"/>
      </w:pPr>
      <w:rPr>
        <w:rFonts w:ascii="Courier New" w:hAnsi="Courier New" w:cs="Courier New" w:hint="default"/>
      </w:rPr>
    </w:lvl>
    <w:lvl w:ilvl="5" w:tplc="080A0005">
      <w:start w:val="1"/>
      <w:numFmt w:val="bullet"/>
      <w:lvlText w:val=""/>
      <w:lvlJc w:val="start"/>
      <w:pPr>
        <w:ind w:start="216pt" w:hanging="18pt"/>
      </w:pPr>
      <w:rPr>
        <w:rFonts w:ascii="Wingdings" w:hAnsi="Wingdings" w:hint="default"/>
      </w:rPr>
    </w:lvl>
    <w:lvl w:ilvl="6" w:tplc="080A0001">
      <w:start w:val="1"/>
      <w:numFmt w:val="bullet"/>
      <w:lvlText w:val=""/>
      <w:lvlJc w:val="start"/>
      <w:pPr>
        <w:ind w:start="252pt" w:hanging="18pt"/>
      </w:pPr>
      <w:rPr>
        <w:rFonts w:ascii="Symbol" w:hAnsi="Symbol" w:hint="default"/>
      </w:rPr>
    </w:lvl>
    <w:lvl w:ilvl="7" w:tplc="080A0003">
      <w:start w:val="1"/>
      <w:numFmt w:val="bullet"/>
      <w:lvlText w:val="o"/>
      <w:lvlJc w:val="start"/>
      <w:pPr>
        <w:ind w:start="288pt" w:hanging="18pt"/>
      </w:pPr>
      <w:rPr>
        <w:rFonts w:ascii="Courier New" w:hAnsi="Courier New" w:cs="Courier New" w:hint="default"/>
      </w:rPr>
    </w:lvl>
    <w:lvl w:ilvl="8" w:tplc="080A0005">
      <w:start w:val="1"/>
      <w:numFmt w:val="bullet"/>
      <w:lvlText w:val=""/>
      <w:lvlJc w:val="start"/>
      <w:pPr>
        <w:ind w:start="324pt" w:hanging="18pt"/>
      </w:pPr>
      <w:rPr>
        <w:rFonts w:ascii="Wingdings" w:hAnsi="Wingdings" w:hint="default"/>
      </w:rPr>
    </w:lvl>
  </w:abstractNum>
  <w:abstractNum w:abstractNumId="114" w15:restartNumberingAfterBreak="0">
    <w:nsid w:val="39C3391C"/>
    <w:multiLevelType w:val="hybridMultilevel"/>
    <w:tmpl w:val="AD6C9890"/>
    <w:lvl w:ilvl="0" w:tplc="E30CE2C0">
      <w:start w:val="8"/>
      <w:numFmt w:val="bullet"/>
      <w:lvlText w:val="-"/>
      <w:lvlJc w:val="start"/>
      <w:pPr>
        <w:ind w:start="39.25pt" w:hanging="18pt"/>
      </w:pPr>
      <w:rPr>
        <w:rFonts w:ascii="Arial" w:eastAsia="Calibri" w:hAnsi="Arial" w:cs="Arial" w:hint="default"/>
      </w:rPr>
    </w:lvl>
    <w:lvl w:ilvl="1" w:tplc="846A7704">
      <w:start w:val="1"/>
      <w:numFmt w:val="bullet"/>
      <w:lvlText w:val="o"/>
      <w:lvlJc w:val="start"/>
      <w:pPr>
        <w:ind w:start="75.30pt" w:hanging="18pt"/>
      </w:pPr>
      <w:rPr>
        <w:rFonts w:ascii="Courier New" w:hAnsi="Courier New" w:cs="Courier New" w:hint="default"/>
      </w:rPr>
    </w:lvl>
    <w:lvl w:ilvl="2" w:tplc="523053B0">
      <w:start w:val="1"/>
      <w:numFmt w:val="bullet"/>
      <w:lvlText w:val=""/>
      <w:lvlJc w:val="start"/>
      <w:pPr>
        <w:ind w:start="111.30pt" w:hanging="18pt"/>
      </w:pPr>
      <w:rPr>
        <w:rFonts w:ascii="Wingdings" w:hAnsi="Wingdings" w:hint="default"/>
      </w:rPr>
    </w:lvl>
    <w:lvl w:ilvl="3" w:tplc="22322258">
      <w:start w:val="1"/>
      <w:numFmt w:val="bullet"/>
      <w:lvlText w:val=""/>
      <w:lvlJc w:val="start"/>
      <w:pPr>
        <w:ind w:start="147.30pt" w:hanging="18pt"/>
      </w:pPr>
      <w:rPr>
        <w:rFonts w:ascii="Symbol" w:hAnsi="Symbol" w:hint="default"/>
      </w:rPr>
    </w:lvl>
    <w:lvl w:ilvl="4" w:tplc="0130DE9E">
      <w:start w:val="1"/>
      <w:numFmt w:val="bullet"/>
      <w:lvlText w:val="o"/>
      <w:lvlJc w:val="start"/>
      <w:pPr>
        <w:ind w:start="183.30pt" w:hanging="18pt"/>
      </w:pPr>
      <w:rPr>
        <w:rFonts w:ascii="Courier New" w:hAnsi="Courier New" w:cs="Courier New" w:hint="default"/>
      </w:rPr>
    </w:lvl>
    <w:lvl w:ilvl="5" w:tplc="FB0C9FA2">
      <w:start w:val="1"/>
      <w:numFmt w:val="bullet"/>
      <w:lvlText w:val=""/>
      <w:lvlJc w:val="start"/>
      <w:pPr>
        <w:ind w:start="219.30pt" w:hanging="18pt"/>
      </w:pPr>
      <w:rPr>
        <w:rFonts w:ascii="Wingdings" w:hAnsi="Wingdings" w:hint="default"/>
      </w:rPr>
    </w:lvl>
    <w:lvl w:ilvl="6" w:tplc="87F43236">
      <w:start w:val="1"/>
      <w:numFmt w:val="bullet"/>
      <w:lvlText w:val=""/>
      <w:lvlJc w:val="start"/>
      <w:pPr>
        <w:ind w:start="255.30pt" w:hanging="18pt"/>
      </w:pPr>
      <w:rPr>
        <w:rFonts w:ascii="Symbol" w:hAnsi="Symbol" w:hint="default"/>
      </w:rPr>
    </w:lvl>
    <w:lvl w:ilvl="7" w:tplc="97EEEF30">
      <w:start w:val="1"/>
      <w:numFmt w:val="bullet"/>
      <w:lvlText w:val="o"/>
      <w:lvlJc w:val="start"/>
      <w:pPr>
        <w:ind w:start="291.30pt" w:hanging="18pt"/>
      </w:pPr>
      <w:rPr>
        <w:rFonts w:ascii="Courier New" w:hAnsi="Courier New" w:cs="Courier New" w:hint="default"/>
      </w:rPr>
    </w:lvl>
    <w:lvl w:ilvl="8" w:tplc="BADC311C">
      <w:start w:val="1"/>
      <w:numFmt w:val="bullet"/>
      <w:lvlText w:val=""/>
      <w:lvlJc w:val="start"/>
      <w:pPr>
        <w:ind w:start="327.30pt" w:hanging="18pt"/>
      </w:pPr>
      <w:rPr>
        <w:rFonts w:ascii="Wingdings" w:hAnsi="Wingdings" w:hint="default"/>
      </w:rPr>
    </w:lvl>
  </w:abstractNum>
  <w:abstractNum w:abstractNumId="115" w15:restartNumberingAfterBreak="0">
    <w:nsid w:val="3A5D4558"/>
    <w:multiLevelType w:val="hybridMultilevel"/>
    <w:tmpl w:val="71D8DCF0"/>
    <w:lvl w:ilvl="0" w:tplc="41ACC60A">
      <w:start w:val="1"/>
      <w:numFmt w:val="decimal"/>
      <w:pStyle w:val="Titulo3"/>
      <w:lvlText w:val="5.5.%1."/>
      <w:lvlJc w:val="start"/>
      <w:pPr>
        <w:tabs>
          <w:tab w:val="num" w:pos="72pt"/>
        </w:tabs>
        <w:ind w:start="72pt" w:hanging="18pt"/>
      </w:pPr>
      <w:rPr>
        <w:rFonts w:cs="Times New Roman" w:hint="default"/>
        <w:b/>
      </w:rPr>
    </w:lvl>
    <w:lvl w:ilvl="1" w:tplc="072449B8" w:tentative="1">
      <w:start w:val="1"/>
      <w:numFmt w:val="lowerLetter"/>
      <w:lvlText w:val="%2."/>
      <w:lvlJc w:val="start"/>
      <w:pPr>
        <w:tabs>
          <w:tab w:val="num" w:pos="72pt"/>
        </w:tabs>
        <w:ind w:start="72pt" w:hanging="18pt"/>
      </w:pPr>
      <w:rPr>
        <w:rFonts w:cs="Times New Roman"/>
      </w:rPr>
    </w:lvl>
    <w:lvl w:ilvl="2" w:tplc="90FCAD88" w:tentative="1">
      <w:start w:val="1"/>
      <w:numFmt w:val="lowerRoman"/>
      <w:lvlText w:val="%3."/>
      <w:lvlJc w:val="end"/>
      <w:pPr>
        <w:tabs>
          <w:tab w:val="num" w:pos="108pt"/>
        </w:tabs>
        <w:ind w:start="108pt" w:hanging="9pt"/>
      </w:pPr>
      <w:rPr>
        <w:rFonts w:cs="Times New Roman"/>
      </w:rPr>
    </w:lvl>
    <w:lvl w:ilvl="3" w:tplc="BB4E4EA8" w:tentative="1">
      <w:start w:val="1"/>
      <w:numFmt w:val="decimal"/>
      <w:lvlText w:val="%4."/>
      <w:lvlJc w:val="start"/>
      <w:pPr>
        <w:tabs>
          <w:tab w:val="num" w:pos="144pt"/>
        </w:tabs>
        <w:ind w:start="144pt" w:hanging="18pt"/>
      </w:pPr>
      <w:rPr>
        <w:rFonts w:cs="Times New Roman"/>
      </w:rPr>
    </w:lvl>
    <w:lvl w:ilvl="4" w:tplc="D29433E4" w:tentative="1">
      <w:start w:val="1"/>
      <w:numFmt w:val="lowerLetter"/>
      <w:lvlText w:val="%5."/>
      <w:lvlJc w:val="start"/>
      <w:pPr>
        <w:tabs>
          <w:tab w:val="num" w:pos="180pt"/>
        </w:tabs>
        <w:ind w:start="180pt" w:hanging="18pt"/>
      </w:pPr>
      <w:rPr>
        <w:rFonts w:cs="Times New Roman"/>
      </w:rPr>
    </w:lvl>
    <w:lvl w:ilvl="5" w:tplc="2D72D27E" w:tentative="1">
      <w:start w:val="1"/>
      <w:numFmt w:val="lowerRoman"/>
      <w:lvlText w:val="%6."/>
      <w:lvlJc w:val="end"/>
      <w:pPr>
        <w:tabs>
          <w:tab w:val="num" w:pos="216pt"/>
        </w:tabs>
        <w:ind w:start="216pt" w:hanging="9pt"/>
      </w:pPr>
      <w:rPr>
        <w:rFonts w:cs="Times New Roman"/>
      </w:rPr>
    </w:lvl>
    <w:lvl w:ilvl="6" w:tplc="C562F4A8" w:tentative="1">
      <w:start w:val="1"/>
      <w:numFmt w:val="decimal"/>
      <w:lvlText w:val="%7."/>
      <w:lvlJc w:val="start"/>
      <w:pPr>
        <w:tabs>
          <w:tab w:val="num" w:pos="252pt"/>
        </w:tabs>
        <w:ind w:start="252pt" w:hanging="18pt"/>
      </w:pPr>
      <w:rPr>
        <w:rFonts w:cs="Times New Roman"/>
      </w:rPr>
    </w:lvl>
    <w:lvl w:ilvl="7" w:tplc="5F84B13C" w:tentative="1">
      <w:start w:val="1"/>
      <w:numFmt w:val="lowerLetter"/>
      <w:lvlText w:val="%8."/>
      <w:lvlJc w:val="start"/>
      <w:pPr>
        <w:tabs>
          <w:tab w:val="num" w:pos="288pt"/>
        </w:tabs>
        <w:ind w:start="288pt" w:hanging="18pt"/>
      </w:pPr>
      <w:rPr>
        <w:rFonts w:cs="Times New Roman"/>
      </w:rPr>
    </w:lvl>
    <w:lvl w:ilvl="8" w:tplc="F1A04C36" w:tentative="1">
      <w:start w:val="1"/>
      <w:numFmt w:val="lowerRoman"/>
      <w:lvlText w:val="%9."/>
      <w:lvlJc w:val="end"/>
      <w:pPr>
        <w:tabs>
          <w:tab w:val="num" w:pos="324pt"/>
        </w:tabs>
        <w:ind w:start="324pt" w:hanging="9pt"/>
      </w:pPr>
      <w:rPr>
        <w:rFonts w:cs="Times New Roman"/>
      </w:rPr>
    </w:lvl>
  </w:abstractNum>
  <w:abstractNum w:abstractNumId="116" w15:restartNumberingAfterBreak="0">
    <w:nsid w:val="3A8B35E6"/>
    <w:multiLevelType w:val="hybridMultilevel"/>
    <w:tmpl w:val="07F81CD4"/>
    <w:lvl w:ilvl="0" w:tplc="BC580B16">
      <w:start w:val="1"/>
      <w:numFmt w:val="bullet"/>
      <w:lvlText w:val=""/>
      <w:lvlJc w:val="start"/>
      <w:pPr>
        <w:ind w:start="36pt" w:hanging="18pt"/>
      </w:pPr>
      <w:rPr>
        <w:rFonts w:ascii="Symbol" w:hAnsi="Symbol" w:hint="default"/>
      </w:rPr>
    </w:lvl>
    <w:lvl w:ilvl="1" w:tplc="8870A69C" w:tentative="1">
      <w:start w:val="1"/>
      <w:numFmt w:val="bullet"/>
      <w:lvlText w:val="o"/>
      <w:lvlJc w:val="start"/>
      <w:pPr>
        <w:ind w:start="72pt" w:hanging="18pt"/>
      </w:pPr>
      <w:rPr>
        <w:rFonts w:ascii="Courier New" w:hAnsi="Courier New" w:cs="Courier New" w:hint="default"/>
      </w:rPr>
    </w:lvl>
    <w:lvl w:ilvl="2" w:tplc="4404CBA0" w:tentative="1">
      <w:start w:val="1"/>
      <w:numFmt w:val="bullet"/>
      <w:lvlText w:val=""/>
      <w:lvlJc w:val="start"/>
      <w:pPr>
        <w:ind w:start="108pt" w:hanging="18pt"/>
      </w:pPr>
      <w:rPr>
        <w:rFonts w:ascii="Wingdings" w:hAnsi="Wingdings" w:hint="default"/>
      </w:rPr>
    </w:lvl>
    <w:lvl w:ilvl="3" w:tplc="6C78D64C" w:tentative="1">
      <w:start w:val="1"/>
      <w:numFmt w:val="bullet"/>
      <w:lvlText w:val=""/>
      <w:lvlJc w:val="start"/>
      <w:pPr>
        <w:ind w:start="144pt" w:hanging="18pt"/>
      </w:pPr>
      <w:rPr>
        <w:rFonts w:ascii="Symbol" w:hAnsi="Symbol" w:hint="default"/>
      </w:rPr>
    </w:lvl>
    <w:lvl w:ilvl="4" w:tplc="E4008EDE" w:tentative="1">
      <w:start w:val="1"/>
      <w:numFmt w:val="bullet"/>
      <w:lvlText w:val="o"/>
      <w:lvlJc w:val="start"/>
      <w:pPr>
        <w:ind w:start="180pt" w:hanging="18pt"/>
      </w:pPr>
      <w:rPr>
        <w:rFonts w:ascii="Courier New" w:hAnsi="Courier New" w:cs="Courier New" w:hint="default"/>
      </w:rPr>
    </w:lvl>
    <w:lvl w:ilvl="5" w:tplc="44CE1F72" w:tentative="1">
      <w:start w:val="1"/>
      <w:numFmt w:val="bullet"/>
      <w:lvlText w:val=""/>
      <w:lvlJc w:val="start"/>
      <w:pPr>
        <w:ind w:start="216pt" w:hanging="18pt"/>
      </w:pPr>
      <w:rPr>
        <w:rFonts w:ascii="Wingdings" w:hAnsi="Wingdings" w:hint="default"/>
      </w:rPr>
    </w:lvl>
    <w:lvl w:ilvl="6" w:tplc="E3AA7D42" w:tentative="1">
      <w:start w:val="1"/>
      <w:numFmt w:val="bullet"/>
      <w:lvlText w:val=""/>
      <w:lvlJc w:val="start"/>
      <w:pPr>
        <w:ind w:start="252pt" w:hanging="18pt"/>
      </w:pPr>
      <w:rPr>
        <w:rFonts w:ascii="Symbol" w:hAnsi="Symbol" w:hint="default"/>
      </w:rPr>
    </w:lvl>
    <w:lvl w:ilvl="7" w:tplc="ACFCC364" w:tentative="1">
      <w:start w:val="1"/>
      <w:numFmt w:val="bullet"/>
      <w:lvlText w:val="o"/>
      <w:lvlJc w:val="start"/>
      <w:pPr>
        <w:ind w:start="288pt" w:hanging="18pt"/>
      </w:pPr>
      <w:rPr>
        <w:rFonts w:ascii="Courier New" w:hAnsi="Courier New" w:cs="Courier New" w:hint="default"/>
      </w:rPr>
    </w:lvl>
    <w:lvl w:ilvl="8" w:tplc="8618CDAE" w:tentative="1">
      <w:start w:val="1"/>
      <w:numFmt w:val="bullet"/>
      <w:lvlText w:val=""/>
      <w:lvlJc w:val="start"/>
      <w:pPr>
        <w:ind w:start="324pt" w:hanging="18pt"/>
      </w:pPr>
      <w:rPr>
        <w:rFonts w:ascii="Wingdings" w:hAnsi="Wingdings" w:hint="default"/>
      </w:rPr>
    </w:lvl>
  </w:abstractNum>
  <w:abstractNum w:abstractNumId="117" w15:restartNumberingAfterBreak="0">
    <w:nsid w:val="3B347B57"/>
    <w:multiLevelType w:val="hybridMultilevel"/>
    <w:tmpl w:val="099CF7F8"/>
    <w:lvl w:ilvl="0" w:tplc="78945CDE">
      <w:start w:val="1"/>
      <w:numFmt w:val="bullet"/>
      <w:lvlText w:val=""/>
      <w:lvlJc w:val="start"/>
      <w:pPr>
        <w:ind w:start="39.25pt" w:hanging="18pt"/>
      </w:pPr>
      <w:rPr>
        <w:rFonts w:ascii="Symbol" w:hAnsi="Symbol" w:hint="default"/>
      </w:rPr>
    </w:lvl>
    <w:lvl w:ilvl="1" w:tplc="0304FB32" w:tentative="1">
      <w:start w:val="1"/>
      <w:numFmt w:val="bullet"/>
      <w:lvlText w:val="o"/>
      <w:lvlJc w:val="start"/>
      <w:pPr>
        <w:ind w:start="75.30pt" w:hanging="18pt"/>
      </w:pPr>
      <w:rPr>
        <w:rFonts w:ascii="Courier New" w:hAnsi="Courier New" w:cs="Courier New" w:hint="default"/>
      </w:rPr>
    </w:lvl>
    <w:lvl w:ilvl="2" w:tplc="4C8C2652" w:tentative="1">
      <w:start w:val="1"/>
      <w:numFmt w:val="bullet"/>
      <w:lvlText w:val=""/>
      <w:lvlJc w:val="start"/>
      <w:pPr>
        <w:ind w:start="111.30pt" w:hanging="18pt"/>
      </w:pPr>
      <w:rPr>
        <w:rFonts w:ascii="Wingdings" w:hAnsi="Wingdings" w:hint="default"/>
      </w:rPr>
    </w:lvl>
    <w:lvl w:ilvl="3" w:tplc="882EC554" w:tentative="1">
      <w:start w:val="1"/>
      <w:numFmt w:val="bullet"/>
      <w:lvlText w:val=""/>
      <w:lvlJc w:val="start"/>
      <w:pPr>
        <w:ind w:start="147.30pt" w:hanging="18pt"/>
      </w:pPr>
      <w:rPr>
        <w:rFonts w:ascii="Symbol" w:hAnsi="Symbol" w:hint="default"/>
      </w:rPr>
    </w:lvl>
    <w:lvl w:ilvl="4" w:tplc="D7A0977C" w:tentative="1">
      <w:start w:val="1"/>
      <w:numFmt w:val="bullet"/>
      <w:lvlText w:val="o"/>
      <w:lvlJc w:val="start"/>
      <w:pPr>
        <w:ind w:start="183.30pt" w:hanging="18pt"/>
      </w:pPr>
      <w:rPr>
        <w:rFonts w:ascii="Courier New" w:hAnsi="Courier New" w:cs="Courier New" w:hint="default"/>
      </w:rPr>
    </w:lvl>
    <w:lvl w:ilvl="5" w:tplc="EB74730A" w:tentative="1">
      <w:start w:val="1"/>
      <w:numFmt w:val="bullet"/>
      <w:lvlText w:val=""/>
      <w:lvlJc w:val="start"/>
      <w:pPr>
        <w:ind w:start="219.30pt" w:hanging="18pt"/>
      </w:pPr>
      <w:rPr>
        <w:rFonts w:ascii="Wingdings" w:hAnsi="Wingdings" w:hint="default"/>
      </w:rPr>
    </w:lvl>
    <w:lvl w:ilvl="6" w:tplc="CB40CD96" w:tentative="1">
      <w:start w:val="1"/>
      <w:numFmt w:val="bullet"/>
      <w:lvlText w:val=""/>
      <w:lvlJc w:val="start"/>
      <w:pPr>
        <w:ind w:start="255.30pt" w:hanging="18pt"/>
      </w:pPr>
      <w:rPr>
        <w:rFonts w:ascii="Symbol" w:hAnsi="Symbol" w:hint="default"/>
      </w:rPr>
    </w:lvl>
    <w:lvl w:ilvl="7" w:tplc="6E0E760A" w:tentative="1">
      <w:start w:val="1"/>
      <w:numFmt w:val="bullet"/>
      <w:lvlText w:val="o"/>
      <w:lvlJc w:val="start"/>
      <w:pPr>
        <w:ind w:start="291.30pt" w:hanging="18pt"/>
      </w:pPr>
      <w:rPr>
        <w:rFonts w:ascii="Courier New" w:hAnsi="Courier New" w:cs="Courier New" w:hint="default"/>
      </w:rPr>
    </w:lvl>
    <w:lvl w:ilvl="8" w:tplc="FC96D484" w:tentative="1">
      <w:start w:val="1"/>
      <w:numFmt w:val="bullet"/>
      <w:lvlText w:val=""/>
      <w:lvlJc w:val="start"/>
      <w:pPr>
        <w:ind w:start="327.30pt" w:hanging="18pt"/>
      </w:pPr>
      <w:rPr>
        <w:rFonts w:ascii="Wingdings" w:hAnsi="Wingdings" w:hint="default"/>
      </w:rPr>
    </w:lvl>
  </w:abstractNum>
  <w:abstractNum w:abstractNumId="118" w15:restartNumberingAfterBreak="0">
    <w:nsid w:val="3B5F7578"/>
    <w:multiLevelType w:val="hybridMultilevel"/>
    <w:tmpl w:val="29260CCE"/>
    <w:lvl w:ilvl="0" w:tplc="F0F697F8">
      <w:start w:val="1"/>
      <w:numFmt w:val="bullet"/>
      <w:lvlText w:val=""/>
      <w:lvlJc w:val="start"/>
      <w:pPr>
        <w:ind w:start="54pt" w:hanging="18pt"/>
      </w:pPr>
      <w:rPr>
        <w:rFonts w:ascii="Symbol" w:hAnsi="Symbol" w:hint="default"/>
      </w:rPr>
    </w:lvl>
    <w:lvl w:ilvl="1" w:tplc="A1549C20">
      <w:start w:val="1"/>
      <w:numFmt w:val="bullet"/>
      <w:lvlText w:val="o"/>
      <w:lvlJc w:val="start"/>
      <w:pPr>
        <w:ind w:start="90pt" w:hanging="18pt"/>
      </w:pPr>
      <w:rPr>
        <w:rFonts w:ascii="Courier New" w:hAnsi="Courier New" w:cs="Courier New" w:hint="default"/>
      </w:rPr>
    </w:lvl>
    <w:lvl w:ilvl="2" w:tplc="ECA065EC">
      <w:start w:val="1"/>
      <w:numFmt w:val="bullet"/>
      <w:lvlText w:val=""/>
      <w:lvlJc w:val="start"/>
      <w:pPr>
        <w:ind w:start="126pt" w:hanging="18pt"/>
      </w:pPr>
      <w:rPr>
        <w:rFonts w:ascii="Wingdings" w:hAnsi="Wingdings" w:hint="default"/>
      </w:rPr>
    </w:lvl>
    <w:lvl w:ilvl="3" w:tplc="75B2B50E">
      <w:start w:val="1"/>
      <w:numFmt w:val="bullet"/>
      <w:lvlText w:val=""/>
      <w:lvlJc w:val="start"/>
      <w:pPr>
        <w:ind w:start="162pt" w:hanging="18pt"/>
      </w:pPr>
      <w:rPr>
        <w:rFonts w:ascii="Symbol" w:hAnsi="Symbol" w:hint="default"/>
      </w:rPr>
    </w:lvl>
    <w:lvl w:ilvl="4" w:tplc="55F402D0">
      <w:start w:val="1"/>
      <w:numFmt w:val="bullet"/>
      <w:lvlText w:val="o"/>
      <w:lvlJc w:val="start"/>
      <w:pPr>
        <w:ind w:start="198pt" w:hanging="18pt"/>
      </w:pPr>
      <w:rPr>
        <w:rFonts w:ascii="Courier New" w:hAnsi="Courier New" w:cs="Courier New" w:hint="default"/>
      </w:rPr>
    </w:lvl>
    <w:lvl w:ilvl="5" w:tplc="4F861BFE">
      <w:start w:val="1"/>
      <w:numFmt w:val="bullet"/>
      <w:lvlText w:val=""/>
      <w:lvlJc w:val="start"/>
      <w:pPr>
        <w:ind w:start="234pt" w:hanging="18pt"/>
      </w:pPr>
      <w:rPr>
        <w:rFonts w:ascii="Wingdings" w:hAnsi="Wingdings" w:hint="default"/>
      </w:rPr>
    </w:lvl>
    <w:lvl w:ilvl="6" w:tplc="50EE1864">
      <w:start w:val="1"/>
      <w:numFmt w:val="bullet"/>
      <w:lvlText w:val=""/>
      <w:lvlJc w:val="start"/>
      <w:pPr>
        <w:ind w:start="270pt" w:hanging="18pt"/>
      </w:pPr>
      <w:rPr>
        <w:rFonts w:ascii="Symbol" w:hAnsi="Symbol" w:hint="default"/>
      </w:rPr>
    </w:lvl>
    <w:lvl w:ilvl="7" w:tplc="1218A822">
      <w:start w:val="1"/>
      <w:numFmt w:val="bullet"/>
      <w:lvlText w:val="o"/>
      <w:lvlJc w:val="start"/>
      <w:pPr>
        <w:ind w:start="306pt" w:hanging="18pt"/>
      </w:pPr>
      <w:rPr>
        <w:rFonts w:ascii="Courier New" w:hAnsi="Courier New" w:cs="Courier New" w:hint="default"/>
      </w:rPr>
    </w:lvl>
    <w:lvl w:ilvl="8" w:tplc="B756D2F8">
      <w:start w:val="1"/>
      <w:numFmt w:val="bullet"/>
      <w:lvlText w:val=""/>
      <w:lvlJc w:val="start"/>
      <w:pPr>
        <w:ind w:start="342pt" w:hanging="18pt"/>
      </w:pPr>
      <w:rPr>
        <w:rFonts w:ascii="Wingdings" w:hAnsi="Wingdings" w:hint="default"/>
      </w:rPr>
    </w:lvl>
  </w:abstractNum>
  <w:abstractNum w:abstractNumId="119" w15:restartNumberingAfterBreak="0">
    <w:nsid w:val="3B9D2E02"/>
    <w:multiLevelType w:val="hybridMultilevel"/>
    <w:tmpl w:val="86E210C2"/>
    <w:lvl w:ilvl="0" w:tplc="3E98DB6E">
      <w:start w:val="1"/>
      <w:numFmt w:val="bullet"/>
      <w:lvlText w:val=""/>
      <w:lvlJc w:val="start"/>
      <w:pPr>
        <w:ind w:start="36pt" w:hanging="18pt"/>
      </w:pPr>
      <w:rPr>
        <w:rFonts w:ascii="Wingdings" w:hAnsi="Wingdings" w:hint="default"/>
      </w:rPr>
    </w:lvl>
    <w:lvl w:ilvl="1" w:tplc="C5864D8A" w:tentative="1">
      <w:start w:val="1"/>
      <w:numFmt w:val="bullet"/>
      <w:lvlText w:val="o"/>
      <w:lvlJc w:val="start"/>
      <w:pPr>
        <w:ind w:start="72pt" w:hanging="18pt"/>
      </w:pPr>
      <w:rPr>
        <w:rFonts w:ascii="Courier New" w:hAnsi="Courier New" w:cs="Courier New" w:hint="default"/>
      </w:rPr>
    </w:lvl>
    <w:lvl w:ilvl="2" w:tplc="07B2A2AE" w:tentative="1">
      <w:start w:val="1"/>
      <w:numFmt w:val="bullet"/>
      <w:lvlText w:val=""/>
      <w:lvlJc w:val="start"/>
      <w:pPr>
        <w:ind w:start="108pt" w:hanging="18pt"/>
      </w:pPr>
      <w:rPr>
        <w:rFonts w:ascii="Wingdings" w:hAnsi="Wingdings" w:hint="default"/>
      </w:rPr>
    </w:lvl>
    <w:lvl w:ilvl="3" w:tplc="9760B414" w:tentative="1">
      <w:start w:val="1"/>
      <w:numFmt w:val="bullet"/>
      <w:lvlText w:val=""/>
      <w:lvlJc w:val="start"/>
      <w:pPr>
        <w:ind w:start="144pt" w:hanging="18pt"/>
      </w:pPr>
      <w:rPr>
        <w:rFonts w:ascii="Symbol" w:hAnsi="Symbol" w:hint="default"/>
      </w:rPr>
    </w:lvl>
    <w:lvl w:ilvl="4" w:tplc="057EF388" w:tentative="1">
      <w:start w:val="1"/>
      <w:numFmt w:val="bullet"/>
      <w:lvlText w:val="o"/>
      <w:lvlJc w:val="start"/>
      <w:pPr>
        <w:ind w:start="180pt" w:hanging="18pt"/>
      </w:pPr>
      <w:rPr>
        <w:rFonts w:ascii="Courier New" w:hAnsi="Courier New" w:cs="Courier New" w:hint="default"/>
      </w:rPr>
    </w:lvl>
    <w:lvl w:ilvl="5" w:tplc="2926DA6A" w:tentative="1">
      <w:start w:val="1"/>
      <w:numFmt w:val="bullet"/>
      <w:lvlText w:val=""/>
      <w:lvlJc w:val="start"/>
      <w:pPr>
        <w:ind w:start="216pt" w:hanging="18pt"/>
      </w:pPr>
      <w:rPr>
        <w:rFonts w:ascii="Wingdings" w:hAnsi="Wingdings" w:hint="default"/>
      </w:rPr>
    </w:lvl>
    <w:lvl w:ilvl="6" w:tplc="B3507496" w:tentative="1">
      <w:start w:val="1"/>
      <w:numFmt w:val="bullet"/>
      <w:lvlText w:val=""/>
      <w:lvlJc w:val="start"/>
      <w:pPr>
        <w:ind w:start="252pt" w:hanging="18pt"/>
      </w:pPr>
      <w:rPr>
        <w:rFonts w:ascii="Symbol" w:hAnsi="Symbol" w:hint="default"/>
      </w:rPr>
    </w:lvl>
    <w:lvl w:ilvl="7" w:tplc="1870E454" w:tentative="1">
      <w:start w:val="1"/>
      <w:numFmt w:val="bullet"/>
      <w:lvlText w:val="o"/>
      <w:lvlJc w:val="start"/>
      <w:pPr>
        <w:ind w:start="288pt" w:hanging="18pt"/>
      </w:pPr>
      <w:rPr>
        <w:rFonts w:ascii="Courier New" w:hAnsi="Courier New" w:cs="Courier New" w:hint="default"/>
      </w:rPr>
    </w:lvl>
    <w:lvl w:ilvl="8" w:tplc="FA60B8FE" w:tentative="1">
      <w:start w:val="1"/>
      <w:numFmt w:val="bullet"/>
      <w:lvlText w:val=""/>
      <w:lvlJc w:val="start"/>
      <w:pPr>
        <w:ind w:start="324pt" w:hanging="18pt"/>
      </w:pPr>
      <w:rPr>
        <w:rFonts w:ascii="Wingdings" w:hAnsi="Wingdings" w:hint="default"/>
      </w:rPr>
    </w:lvl>
  </w:abstractNum>
  <w:abstractNum w:abstractNumId="120" w15:restartNumberingAfterBreak="0">
    <w:nsid w:val="3BED3031"/>
    <w:multiLevelType w:val="hybridMultilevel"/>
    <w:tmpl w:val="1C94AB6E"/>
    <w:lvl w:ilvl="0" w:tplc="BFE8C8E8">
      <w:start w:val="1"/>
      <w:numFmt w:val="bullet"/>
      <w:lvlText w:val=""/>
      <w:lvlJc w:val="start"/>
      <w:pPr>
        <w:ind w:start="36pt" w:hanging="18pt"/>
      </w:pPr>
      <w:rPr>
        <w:rFonts w:ascii="Symbol" w:hAnsi="Symbol" w:hint="default"/>
      </w:rPr>
    </w:lvl>
    <w:lvl w:ilvl="1" w:tplc="04FEC592" w:tentative="1">
      <w:start w:val="1"/>
      <w:numFmt w:val="bullet"/>
      <w:lvlText w:val="o"/>
      <w:lvlJc w:val="start"/>
      <w:pPr>
        <w:ind w:start="72pt" w:hanging="18pt"/>
      </w:pPr>
      <w:rPr>
        <w:rFonts w:ascii="Courier New" w:hAnsi="Courier New" w:cs="Courier New" w:hint="default"/>
      </w:rPr>
    </w:lvl>
    <w:lvl w:ilvl="2" w:tplc="22BCFFCE" w:tentative="1">
      <w:start w:val="1"/>
      <w:numFmt w:val="bullet"/>
      <w:lvlText w:val=""/>
      <w:lvlJc w:val="start"/>
      <w:pPr>
        <w:ind w:start="108pt" w:hanging="18pt"/>
      </w:pPr>
      <w:rPr>
        <w:rFonts w:ascii="Wingdings" w:hAnsi="Wingdings" w:hint="default"/>
      </w:rPr>
    </w:lvl>
    <w:lvl w:ilvl="3" w:tplc="20DE7044" w:tentative="1">
      <w:start w:val="1"/>
      <w:numFmt w:val="bullet"/>
      <w:lvlText w:val=""/>
      <w:lvlJc w:val="start"/>
      <w:pPr>
        <w:ind w:start="144pt" w:hanging="18pt"/>
      </w:pPr>
      <w:rPr>
        <w:rFonts w:ascii="Symbol" w:hAnsi="Symbol" w:hint="default"/>
      </w:rPr>
    </w:lvl>
    <w:lvl w:ilvl="4" w:tplc="7478B66E" w:tentative="1">
      <w:start w:val="1"/>
      <w:numFmt w:val="bullet"/>
      <w:lvlText w:val="o"/>
      <w:lvlJc w:val="start"/>
      <w:pPr>
        <w:ind w:start="180pt" w:hanging="18pt"/>
      </w:pPr>
      <w:rPr>
        <w:rFonts w:ascii="Courier New" w:hAnsi="Courier New" w:cs="Courier New" w:hint="default"/>
      </w:rPr>
    </w:lvl>
    <w:lvl w:ilvl="5" w:tplc="4B1A9986" w:tentative="1">
      <w:start w:val="1"/>
      <w:numFmt w:val="bullet"/>
      <w:lvlText w:val=""/>
      <w:lvlJc w:val="start"/>
      <w:pPr>
        <w:ind w:start="216pt" w:hanging="18pt"/>
      </w:pPr>
      <w:rPr>
        <w:rFonts w:ascii="Wingdings" w:hAnsi="Wingdings" w:hint="default"/>
      </w:rPr>
    </w:lvl>
    <w:lvl w:ilvl="6" w:tplc="48F2EEA2" w:tentative="1">
      <w:start w:val="1"/>
      <w:numFmt w:val="bullet"/>
      <w:lvlText w:val=""/>
      <w:lvlJc w:val="start"/>
      <w:pPr>
        <w:ind w:start="252pt" w:hanging="18pt"/>
      </w:pPr>
      <w:rPr>
        <w:rFonts w:ascii="Symbol" w:hAnsi="Symbol" w:hint="default"/>
      </w:rPr>
    </w:lvl>
    <w:lvl w:ilvl="7" w:tplc="840A0AA0" w:tentative="1">
      <w:start w:val="1"/>
      <w:numFmt w:val="bullet"/>
      <w:lvlText w:val="o"/>
      <w:lvlJc w:val="start"/>
      <w:pPr>
        <w:ind w:start="288pt" w:hanging="18pt"/>
      </w:pPr>
      <w:rPr>
        <w:rFonts w:ascii="Courier New" w:hAnsi="Courier New" w:cs="Courier New" w:hint="default"/>
      </w:rPr>
    </w:lvl>
    <w:lvl w:ilvl="8" w:tplc="ED021F80" w:tentative="1">
      <w:start w:val="1"/>
      <w:numFmt w:val="bullet"/>
      <w:lvlText w:val=""/>
      <w:lvlJc w:val="start"/>
      <w:pPr>
        <w:ind w:start="324pt" w:hanging="18pt"/>
      </w:pPr>
      <w:rPr>
        <w:rFonts w:ascii="Wingdings" w:hAnsi="Wingdings" w:hint="default"/>
      </w:rPr>
    </w:lvl>
  </w:abstractNum>
  <w:abstractNum w:abstractNumId="121" w15:restartNumberingAfterBreak="0">
    <w:nsid w:val="3CB51CAA"/>
    <w:multiLevelType w:val="hybridMultilevel"/>
    <w:tmpl w:val="821E2362"/>
    <w:lvl w:ilvl="0" w:tplc="DA660ED4">
      <w:start w:val="1"/>
      <w:numFmt w:val="bullet"/>
      <w:lvlText w:val=""/>
      <w:lvlJc w:val="start"/>
      <w:pPr>
        <w:ind w:start="36pt" w:hanging="18pt"/>
      </w:pPr>
      <w:rPr>
        <w:rFonts w:ascii="Symbol" w:hAnsi="Symbol" w:hint="default"/>
      </w:rPr>
    </w:lvl>
    <w:lvl w:ilvl="1" w:tplc="30F21720">
      <w:start w:val="1"/>
      <w:numFmt w:val="bullet"/>
      <w:lvlText w:val="o"/>
      <w:lvlJc w:val="start"/>
      <w:pPr>
        <w:ind w:start="72pt" w:hanging="18pt"/>
      </w:pPr>
      <w:rPr>
        <w:rFonts w:ascii="Courier New" w:hAnsi="Courier New" w:cs="Courier New" w:hint="default"/>
      </w:rPr>
    </w:lvl>
    <w:lvl w:ilvl="2" w:tplc="7AE2BF60">
      <w:start w:val="1"/>
      <w:numFmt w:val="bullet"/>
      <w:lvlText w:val=""/>
      <w:lvlJc w:val="start"/>
      <w:pPr>
        <w:ind w:start="108pt" w:hanging="18pt"/>
      </w:pPr>
      <w:rPr>
        <w:rFonts w:ascii="Wingdings" w:hAnsi="Wingdings" w:hint="default"/>
      </w:rPr>
    </w:lvl>
    <w:lvl w:ilvl="3" w:tplc="7030801A">
      <w:start w:val="1"/>
      <w:numFmt w:val="bullet"/>
      <w:lvlText w:val=""/>
      <w:lvlJc w:val="start"/>
      <w:pPr>
        <w:ind w:start="144pt" w:hanging="18pt"/>
      </w:pPr>
      <w:rPr>
        <w:rFonts w:ascii="Symbol" w:hAnsi="Symbol" w:hint="default"/>
      </w:rPr>
    </w:lvl>
    <w:lvl w:ilvl="4" w:tplc="EE6A0D5E">
      <w:start w:val="1"/>
      <w:numFmt w:val="bullet"/>
      <w:lvlText w:val="o"/>
      <w:lvlJc w:val="start"/>
      <w:pPr>
        <w:ind w:start="180pt" w:hanging="18pt"/>
      </w:pPr>
      <w:rPr>
        <w:rFonts w:ascii="Courier New" w:hAnsi="Courier New" w:cs="Courier New" w:hint="default"/>
      </w:rPr>
    </w:lvl>
    <w:lvl w:ilvl="5" w:tplc="48AECD22">
      <w:start w:val="1"/>
      <w:numFmt w:val="bullet"/>
      <w:lvlText w:val=""/>
      <w:lvlJc w:val="start"/>
      <w:pPr>
        <w:ind w:start="216pt" w:hanging="18pt"/>
      </w:pPr>
      <w:rPr>
        <w:rFonts w:ascii="Wingdings" w:hAnsi="Wingdings" w:hint="default"/>
      </w:rPr>
    </w:lvl>
    <w:lvl w:ilvl="6" w:tplc="12C43F94">
      <w:start w:val="1"/>
      <w:numFmt w:val="bullet"/>
      <w:lvlText w:val=""/>
      <w:lvlJc w:val="start"/>
      <w:pPr>
        <w:ind w:start="252pt" w:hanging="18pt"/>
      </w:pPr>
      <w:rPr>
        <w:rFonts w:ascii="Symbol" w:hAnsi="Symbol" w:hint="default"/>
      </w:rPr>
    </w:lvl>
    <w:lvl w:ilvl="7" w:tplc="70721F40">
      <w:start w:val="1"/>
      <w:numFmt w:val="bullet"/>
      <w:lvlText w:val="o"/>
      <w:lvlJc w:val="start"/>
      <w:pPr>
        <w:ind w:start="288pt" w:hanging="18pt"/>
      </w:pPr>
      <w:rPr>
        <w:rFonts w:ascii="Courier New" w:hAnsi="Courier New" w:cs="Courier New" w:hint="default"/>
      </w:rPr>
    </w:lvl>
    <w:lvl w:ilvl="8" w:tplc="61D0D492">
      <w:start w:val="1"/>
      <w:numFmt w:val="bullet"/>
      <w:lvlText w:val=""/>
      <w:lvlJc w:val="start"/>
      <w:pPr>
        <w:ind w:start="324pt" w:hanging="18pt"/>
      </w:pPr>
      <w:rPr>
        <w:rFonts w:ascii="Wingdings" w:hAnsi="Wingdings" w:hint="default"/>
      </w:rPr>
    </w:lvl>
  </w:abstractNum>
  <w:abstractNum w:abstractNumId="122" w15:restartNumberingAfterBreak="0">
    <w:nsid w:val="3D5F1412"/>
    <w:multiLevelType w:val="hybridMultilevel"/>
    <w:tmpl w:val="55DEB9E0"/>
    <w:lvl w:ilvl="0" w:tplc="6872368E">
      <w:start w:val="1"/>
      <w:numFmt w:val="bullet"/>
      <w:lvlText w:val=""/>
      <w:lvlJc w:val="start"/>
      <w:pPr>
        <w:ind w:start="54pt" w:hanging="18pt"/>
      </w:pPr>
      <w:rPr>
        <w:rFonts w:ascii="Symbol" w:hAnsi="Symbol" w:hint="default"/>
      </w:rPr>
    </w:lvl>
    <w:lvl w:ilvl="1" w:tplc="75886F06" w:tentative="1">
      <w:start w:val="1"/>
      <w:numFmt w:val="bullet"/>
      <w:lvlText w:val="o"/>
      <w:lvlJc w:val="start"/>
      <w:pPr>
        <w:ind w:start="90pt" w:hanging="18pt"/>
      </w:pPr>
      <w:rPr>
        <w:rFonts w:ascii="Courier New" w:hAnsi="Courier New" w:cs="Courier New" w:hint="default"/>
      </w:rPr>
    </w:lvl>
    <w:lvl w:ilvl="2" w:tplc="935E269E" w:tentative="1">
      <w:start w:val="1"/>
      <w:numFmt w:val="bullet"/>
      <w:lvlText w:val=""/>
      <w:lvlJc w:val="start"/>
      <w:pPr>
        <w:ind w:start="126pt" w:hanging="18pt"/>
      </w:pPr>
      <w:rPr>
        <w:rFonts w:ascii="Wingdings" w:hAnsi="Wingdings" w:hint="default"/>
      </w:rPr>
    </w:lvl>
    <w:lvl w:ilvl="3" w:tplc="095A43A6" w:tentative="1">
      <w:start w:val="1"/>
      <w:numFmt w:val="bullet"/>
      <w:lvlText w:val=""/>
      <w:lvlJc w:val="start"/>
      <w:pPr>
        <w:ind w:start="162pt" w:hanging="18pt"/>
      </w:pPr>
      <w:rPr>
        <w:rFonts w:ascii="Symbol" w:hAnsi="Symbol" w:hint="default"/>
      </w:rPr>
    </w:lvl>
    <w:lvl w:ilvl="4" w:tplc="876CCD78" w:tentative="1">
      <w:start w:val="1"/>
      <w:numFmt w:val="bullet"/>
      <w:lvlText w:val="o"/>
      <w:lvlJc w:val="start"/>
      <w:pPr>
        <w:ind w:start="198pt" w:hanging="18pt"/>
      </w:pPr>
      <w:rPr>
        <w:rFonts w:ascii="Courier New" w:hAnsi="Courier New" w:cs="Courier New" w:hint="default"/>
      </w:rPr>
    </w:lvl>
    <w:lvl w:ilvl="5" w:tplc="F3D48F06" w:tentative="1">
      <w:start w:val="1"/>
      <w:numFmt w:val="bullet"/>
      <w:lvlText w:val=""/>
      <w:lvlJc w:val="start"/>
      <w:pPr>
        <w:ind w:start="234pt" w:hanging="18pt"/>
      </w:pPr>
      <w:rPr>
        <w:rFonts w:ascii="Wingdings" w:hAnsi="Wingdings" w:hint="default"/>
      </w:rPr>
    </w:lvl>
    <w:lvl w:ilvl="6" w:tplc="3C98DE14" w:tentative="1">
      <w:start w:val="1"/>
      <w:numFmt w:val="bullet"/>
      <w:lvlText w:val=""/>
      <w:lvlJc w:val="start"/>
      <w:pPr>
        <w:ind w:start="270pt" w:hanging="18pt"/>
      </w:pPr>
      <w:rPr>
        <w:rFonts w:ascii="Symbol" w:hAnsi="Symbol" w:hint="default"/>
      </w:rPr>
    </w:lvl>
    <w:lvl w:ilvl="7" w:tplc="1E586024" w:tentative="1">
      <w:start w:val="1"/>
      <w:numFmt w:val="bullet"/>
      <w:lvlText w:val="o"/>
      <w:lvlJc w:val="start"/>
      <w:pPr>
        <w:ind w:start="306pt" w:hanging="18pt"/>
      </w:pPr>
      <w:rPr>
        <w:rFonts w:ascii="Courier New" w:hAnsi="Courier New" w:cs="Courier New" w:hint="default"/>
      </w:rPr>
    </w:lvl>
    <w:lvl w:ilvl="8" w:tplc="9DFC758E" w:tentative="1">
      <w:start w:val="1"/>
      <w:numFmt w:val="bullet"/>
      <w:lvlText w:val=""/>
      <w:lvlJc w:val="start"/>
      <w:pPr>
        <w:ind w:start="342pt" w:hanging="18pt"/>
      </w:pPr>
      <w:rPr>
        <w:rFonts w:ascii="Wingdings" w:hAnsi="Wingdings" w:hint="default"/>
      </w:rPr>
    </w:lvl>
  </w:abstractNum>
  <w:abstractNum w:abstractNumId="123" w15:restartNumberingAfterBreak="0">
    <w:nsid w:val="3D860A8F"/>
    <w:multiLevelType w:val="hybridMultilevel"/>
    <w:tmpl w:val="8EC21194"/>
    <w:lvl w:ilvl="0" w:tplc="080A0001">
      <w:start w:val="1"/>
      <w:numFmt w:val="bullet"/>
      <w:lvlText w:val=""/>
      <w:lvlJc w:val="start"/>
      <w:pPr>
        <w:ind w:start="36pt" w:hanging="18pt"/>
      </w:pPr>
      <w:rPr>
        <w:rFonts w:ascii="Symbol" w:hAnsi="Symbol" w:hint="default"/>
      </w:rPr>
    </w:lvl>
    <w:lvl w:ilvl="1" w:tplc="080A0003">
      <w:start w:val="1"/>
      <w:numFmt w:val="bullet"/>
      <w:lvlText w:val="o"/>
      <w:lvlJc w:val="start"/>
      <w:pPr>
        <w:ind w:start="72pt" w:hanging="18pt"/>
      </w:pPr>
      <w:rPr>
        <w:rFonts w:ascii="Courier New" w:hAnsi="Courier New" w:cs="Courier New" w:hint="default"/>
      </w:rPr>
    </w:lvl>
    <w:lvl w:ilvl="2" w:tplc="080A0005">
      <w:start w:val="1"/>
      <w:numFmt w:val="bullet"/>
      <w:lvlText w:val=""/>
      <w:lvlJc w:val="start"/>
      <w:pPr>
        <w:ind w:start="108pt" w:hanging="18pt"/>
      </w:pPr>
      <w:rPr>
        <w:rFonts w:ascii="Wingdings" w:hAnsi="Wingdings" w:hint="default"/>
      </w:rPr>
    </w:lvl>
    <w:lvl w:ilvl="3" w:tplc="080A0001">
      <w:start w:val="1"/>
      <w:numFmt w:val="bullet"/>
      <w:lvlText w:val=""/>
      <w:lvlJc w:val="start"/>
      <w:pPr>
        <w:ind w:start="144pt" w:hanging="18pt"/>
      </w:pPr>
      <w:rPr>
        <w:rFonts w:ascii="Symbol" w:hAnsi="Symbol" w:hint="default"/>
      </w:rPr>
    </w:lvl>
    <w:lvl w:ilvl="4" w:tplc="080A0003">
      <w:start w:val="1"/>
      <w:numFmt w:val="bullet"/>
      <w:lvlText w:val="o"/>
      <w:lvlJc w:val="start"/>
      <w:pPr>
        <w:ind w:start="180pt" w:hanging="18pt"/>
      </w:pPr>
      <w:rPr>
        <w:rFonts w:ascii="Courier New" w:hAnsi="Courier New" w:cs="Courier New" w:hint="default"/>
      </w:rPr>
    </w:lvl>
    <w:lvl w:ilvl="5" w:tplc="080A0005">
      <w:start w:val="1"/>
      <w:numFmt w:val="bullet"/>
      <w:lvlText w:val=""/>
      <w:lvlJc w:val="start"/>
      <w:pPr>
        <w:ind w:start="216pt" w:hanging="18pt"/>
      </w:pPr>
      <w:rPr>
        <w:rFonts w:ascii="Wingdings" w:hAnsi="Wingdings" w:hint="default"/>
      </w:rPr>
    </w:lvl>
    <w:lvl w:ilvl="6" w:tplc="080A0001">
      <w:start w:val="1"/>
      <w:numFmt w:val="bullet"/>
      <w:lvlText w:val=""/>
      <w:lvlJc w:val="start"/>
      <w:pPr>
        <w:ind w:start="252pt" w:hanging="18pt"/>
      </w:pPr>
      <w:rPr>
        <w:rFonts w:ascii="Symbol" w:hAnsi="Symbol" w:hint="default"/>
      </w:rPr>
    </w:lvl>
    <w:lvl w:ilvl="7" w:tplc="080A0003">
      <w:start w:val="1"/>
      <w:numFmt w:val="bullet"/>
      <w:lvlText w:val="o"/>
      <w:lvlJc w:val="start"/>
      <w:pPr>
        <w:ind w:start="288pt" w:hanging="18pt"/>
      </w:pPr>
      <w:rPr>
        <w:rFonts w:ascii="Courier New" w:hAnsi="Courier New" w:cs="Courier New" w:hint="default"/>
      </w:rPr>
    </w:lvl>
    <w:lvl w:ilvl="8" w:tplc="080A0005">
      <w:start w:val="1"/>
      <w:numFmt w:val="bullet"/>
      <w:lvlText w:val=""/>
      <w:lvlJc w:val="start"/>
      <w:pPr>
        <w:ind w:start="324pt" w:hanging="18pt"/>
      </w:pPr>
      <w:rPr>
        <w:rFonts w:ascii="Wingdings" w:hAnsi="Wingdings" w:hint="default"/>
      </w:rPr>
    </w:lvl>
  </w:abstractNum>
  <w:abstractNum w:abstractNumId="124" w15:restartNumberingAfterBreak="0">
    <w:nsid w:val="3FA905FE"/>
    <w:multiLevelType w:val="hybridMultilevel"/>
    <w:tmpl w:val="012684C6"/>
    <w:lvl w:ilvl="0" w:tplc="8BCC7AA8">
      <w:start w:val="6"/>
      <w:numFmt w:val="bullet"/>
      <w:lvlText w:val="•"/>
      <w:lvlJc w:val="start"/>
      <w:pPr>
        <w:ind w:start="36pt" w:hanging="18pt"/>
      </w:pPr>
      <w:rPr>
        <w:rFonts w:ascii="Century Gothic" w:eastAsia="Calibri" w:hAnsi="Century Gothic" w:cs="Arial" w:hint="default"/>
      </w:rPr>
    </w:lvl>
    <w:lvl w:ilvl="1" w:tplc="E416D2F0" w:tentative="1">
      <w:start w:val="1"/>
      <w:numFmt w:val="bullet"/>
      <w:lvlText w:val="o"/>
      <w:lvlJc w:val="start"/>
      <w:pPr>
        <w:ind w:start="72pt" w:hanging="18pt"/>
      </w:pPr>
      <w:rPr>
        <w:rFonts w:ascii="Courier New" w:hAnsi="Courier New" w:cs="Courier New" w:hint="default"/>
      </w:rPr>
    </w:lvl>
    <w:lvl w:ilvl="2" w:tplc="BFFA6238" w:tentative="1">
      <w:start w:val="1"/>
      <w:numFmt w:val="bullet"/>
      <w:lvlText w:val=""/>
      <w:lvlJc w:val="start"/>
      <w:pPr>
        <w:ind w:start="108pt" w:hanging="18pt"/>
      </w:pPr>
      <w:rPr>
        <w:rFonts w:ascii="Wingdings" w:hAnsi="Wingdings" w:hint="default"/>
      </w:rPr>
    </w:lvl>
    <w:lvl w:ilvl="3" w:tplc="88EAE508" w:tentative="1">
      <w:start w:val="1"/>
      <w:numFmt w:val="bullet"/>
      <w:lvlText w:val=""/>
      <w:lvlJc w:val="start"/>
      <w:pPr>
        <w:ind w:start="144pt" w:hanging="18pt"/>
      </w:pPr>
      <w:rPr>
        <w:rFonts w:ascii="Symbol" w:hAnsi="Symbol" w:hint="default"/>
      </w:rPr>
    </w:lvl>
    <w:lvl w:ilvl="4" w:tplc="1B8AC6BC" w:tentative="1">
      <w:start w:val="1"/>
      <w:numFmt w:val="bullet"/>
      <w:lvlText w:val="o"/>
      <w:lvlJc w:val="start"/>
      <w:pPr>
        <w:ind w:start="180pt" w:hanging="18pt"/>
      </w:pPr>
      <w:rPr>
        <w:rFonts w:ascii="Courier New" w:hAnsi="Courier New" w:cs="Courier New" w:hint="default"/>
      </w:rPr>
    </w:lvl>
    <w:lvl w:ilvl="5" w:tplc="D0AABDE8" w:tentative="1">
      <w:start w:val="1"/>
      <w:numFmt w:val="bullet"/>
      <w:lvlText w:val=""/>
      <w:lvlJc w:val="start"/>
      <w:pPr>
        <w:ind w:start="216pt" w:hanging="18pt"/>
      </w:pPr>
      <w:rPr>
        <w:rFonts w:ascii="Wingdings" w:hAnsi="Wingdings" w:hint="default"/>
      </w:rPr>
    </w:lvl>
    <w:lvl w:ilvl="6" w:tplc="F0F462DC" w:tentative="1">
      <w:start w:val="1"/>
      <w:numFmt w:val="bullet"/>
      <w:lvlText w:val=""/>
      <w:lvlJc w:val="start"/>
      <w:pPr>
        <w:ind w:start="252pt" w:hanging="18pt"/>
      </w:pPr>
      <w:rPr>
        <w:rFonts w:ascii="Symbol" w:hAnsi="Symbol" w:hint="default"/>
      </w:rPr>
    </w:lvl>
    <w:lvl w:ilvl="7" w:tplc="201A0E98" w:tentative="1">
      <w:start w:val="1"/>
      <w:numFmt w:val="bullet"/>
      <w:lvlText w:val="o"/>
      <w:lvlJc w:val="start"/>
      <w:pPr>
        <w:ind w:start="288pt" w:hanging="18pt"/>
      </w:pPr>
      <w:rPr>
        <w:rFonts w:ascii="Courier New" w:hAnsi="Courier New" w:cs="Courier New" w:hint="default"/>
      </w:rPr>
    </w:lvl>
    <w:lvl w:ilvl="8" w:tplc="56542952" w:tentative="1">
      <w:start w:val="1"/>
      <w:numFmt w:val="bullet"/>
      <w:lvlText w:val=""/>
      <w:lvlJc w:val="start"/>
      <w:pPr>
        <w:ind w:start="324pt" w:hanging="18pt"/>
      </w:pPr>
      <w:rPr>
        <w:rFonts w:ascii="Wingdings" w:hAnsi="Wingdings" w:hint="default"/>
      </w:rPr>
    </w:lvl>
  </w:abstractNum>
  <w:abstractNum w:abstractNumId="125" w15:restartNumberingAfterBreak="0">
    <w:nsid w:val="3FBB248C"/>
    <w:multiLevelType w:val="hybridMultilevel"/>
    <w:tmpl w:val="46CA0D56"/>
    <w:lvl w:ilvl="0" w:tplc="080A000D">
      <w:start w:val="1"/>
      <w:numFmt w:val="bullet"/>
      <w:lvlText w:val=""/>
      <w:lvlJc w:val="start"/>
      <w:pPr>
        <w:ind w:start="37.70pt" w:hanging="18pt"/>
      </w:pPr>
      <w:rPr>
        <w:rFonts w:ascii="Wingdings" w:hAnsi="Wingdings" w:hint="default"/>
      </w:rPr>
    </w:lvl>
    <w:lvl w:ilvl="1" w:tplc="080A0003">
      <w:start w:val="1"/>
      <w:numFmt w:val="bullet"/>
      <w:lvlText w:val="o"/>
      <w:lvlJc w:val="start"/>
      <w:pPr>
        <w:ind w:start="73.70pt" w:hanging="18pt"/>
      </w:pPr>
      <w:rPr>
        <w:rFonts w:ascii="Courier New" w:hAnsi="Courier New" w:cs="Courier New" w:hint="default"/>
      </w:rPr>
    </w:lvl>
    <w:lvl w:ilvl="2" w:tplc="080A0005">
      <w:start w:val="1"/>
      <w:numFmt w:val="bullet"/>
      <w:lvlText w:val=""/>
      <w:lvlJc w:val="start"/>
      <w:pPr>
        <w:ind w:start="109.70pt" w:hanging="18pt"/>
      </w:pPr>
      <w:rPr>
        <w:rFonts w:ascii="Wingdings" w:hAnsi="Wingdings" w:hint="default"/>
      </w:rPr>
    </w:lvl>
    <w:lvl w:ilvl="3" w:tplc="080A0001">
      <w:start w:val="1"/>
      <w:numFmt w:val="bullet"/>
      <w:lvlText w:val=""/>
      <w:lvlJc w:val="start"/>
      <w:pPr>
        <w:ind w:start="145.70pt" w:hanging="18pt"/>
      </w:pPr>
      <w:rPr>
        <w:rFonts w:ascii="Symbol" w:hAnsi="Symbol" w:hint="default"/>
      </w:rPr>
    </w:lvl>
    <w:lvl w:ilvl="4" w:tplc="080A0003">
      <w:start w:val="1"/>
      <w:numFmt w:val="bullet"/>
      <w:lvlText w:val="o"/>
      <w:lvlJc w:val="start"/>
      <w:pPr>
        <w:ind w:start="181.70pt" w:hanging="18pt"/>
      </w:pPr>
      <w:rPr>
        <w:rFonts w:ascii="Courier New" w:hAnsi="Courier New" w:cs="Courier New" w:hint="default"/>
      </w:rPr>
    </w:lvl>
    <w:lvl w:ilvl="5" w:tplc="080A0005">
      <w:start w:val="1"/>
      <w:numFmt w:val="bullet"/>
      <w:lvlText w:val=""/>
      <w:lvlJc w:val="start"/>
      <w:pPr>
        <w:ind w:start="217.70pt" w:hanging="18pt"/>
      </w:pPr>
      <w:rPr>
        <w:rFonts w:ascii="Wingdings" w:hAnsi="Wingdings" w:hint="default"/>
      </w:rPr>
    </w:lvl>
    <w:lvl w:ilvl="6" w:tplc="080A0001">
      <w:start w:val="1"/>
      <w:numFmt w:val="bullet"/>
      <w:lvlText w:val=""/>
      <w:lvlJc w:val="start"/>
      <w:pPr>
        <w:ind w:start="253.70pt" w:hanging="18pt"/>
      </w:pPr>
      <w:rPr>
        <w:rFonts w:ascii="Symbol" w:hAnsi="Symbol" w:hint="default"/>
      </w:rPr>
    </w:lvl>
    <w:lvl w:ilvl="7" w:tplc="080A0003">
      <w:start w:val="1"/>
      <w:numFmt w:val="bullet"/>
      <w:lvlText w:val="o"/>
      <w:lvlJc w:val="start"/>
      <w:pPr>
        <w:ind w:start="289.70pt" w:hanging="18pt"/>
      </w:pPr>
      <w:rPr>
        <w:rFonts w:ascii="Courier New" w:hAnsi="Courier New" w:cs="Courier New" w:hint="default"/>
      </w:rPr>
    </w:lvl>
    <w:lvl w:ilvl="8" w:tplc="080A0005">
      <w:start w:val="1"/>
      <w:numFmt w:val="bullet"/>
      <w:lvlText w:val=""/>
      <w:lvlJc w:val="start"/>
      <w:pPr>
        <w:ind w:start="325.70pt" w:hanging="18pt"/>
      </w:pPr>
      <w:rPr>
        <w:rFonts w:ascii="Wingdings" w:hAnsi="Wingdings" w:hint="default"/>
      </w:rPr>
    </w:lvl>
  </w:abstractNum>
  <w:abstractNum w:abstractNumId="126" w15:restartNumberingAfterBreak="0">
    <w:nsid w:val="3FC07CDE"/>
    <w:multiLevelType w:val="multilevel"/>
    <w:tmpl w:val="0809001D"/>
    <w:styleLink w:val="1ai"/>
    <w:lvl w:ilvl="0">
      <w:start w:val="1"/>
      <w:numFmt w:val="decimal"/>
      <w:lvlText w:val="%1)"/>
      <w:lvlJc w:val="start"/>
      <w:pPr>
        <w:ind w:start="18pt" w:hanging="18pt"/>
      </w:pPr>
    </w:lvl>
    <w:lvl w:ilvl="1">
      <w:start w:val="1"/>
      <w:numFmt w:val="lowerLetter"/>
      <w:lvlText w:val="%2)"/>
      <w:lvlJc w:val="start"/>
      <w:pPr>
        <w:ind w:start="36pt" w:hanging="18pt"/>
      </w:pPr>
    </w:lvl>
    <w:lvl w:ilvl="2">
      <w:start w:val="1"/>
      <w:numFmt w:val="lowerRoman"/>
      <w:lvlText w:val="%3)"/>
      <w:lvlJc w:val="start"/>
      <w:pPr>
        <w:ind w:start="54pt" w:hanging="18pt"/>
      </w:pPr>
    </w:lvl>
    <w:lvl w:ilvl="3">
      <w:start w:val="1"/>
      <w:numFmt w:val="decimal"/>
      <w:lvlText w:val="(%4)"/>
      <w:lvlJc w:val="start"/>
      <w:pPr>
        <w:ind w:start="72pt" w:hanging="18pt"/>
      </w:pPr>
    </w:lvl>
    <w:lvl w:ilvl="4">
      <w:start w:val="1"/>
      <w:numFmt w:val="lowerLetter"/>
      <w:lvlText w:val="(%5)"/>
      <w:lvlJc w:val="start"/>
      <w:pPr>
        <w:ind w:start="90pt" w:hanging="18pt"/>
      </w:pPr>
    </w:lvl>
    <w:lvl w:ilvl="5">
      <w:start w:val="1"/>
      <w:numFmt w:val="lowerRoman"/>
      <w:lvlText w:val="(%6)"/>
      <w:lvlJc w:val="start"/>
      <w:pPr>
        <w:ind w:start="108pt" w:hanging="18pt"/>
      </w:pPr>
    </w:lvl>
    <w:lvl w:ilvl="6">
      <w:start w:val="1"/>
      <w:numFmt w:val="decimal"/>
      <w:lvlText w:val="%7."/>
      <w:lvlJc w:val="start"/>
      <w:pPr>
        <w:ind w:start="126pt" w:hanging="18pt"/>
      </w:pPr>
    </w:lvl>
    <w:lvl w:ilvl="7">
      <w:start w:val="1"/>
      <w:numFmt w:val="lowerLetter"/>
      <w:lvlText w:val="%8."/>
      <w:lvlJc w:val="start"/>
      <w:pPr>
        <w:ind w:start="144pt" w:hanging="18pt"/>
      </w:pPr>
    </w:lvl>
    <w:lvl w:ilvl="8">
      <w:start w:val="1"/>
      <w:numFmt w:val="lowerRoman"/>
      <w:lvlText w:val="%9."/>
      <w:lvlJc w:val="start"/>
      <w:pPr>
        <w:ind w:start="162pt" w:hanging="18pt"/>
      </w:pPr>
    </w:lvl>
  </w:abstractNum>
  <w:abstractNum w:abstractNumId="127" w15:restartNumberingAfterBreak="0">
    <w:nsid w:val="3FED1B1B"/>
    <w:multiLevelType w:val="hybridMultilevel"/>
    <w:tmpl w:val="2EFA7378"/>
    <w:lvl w:ilvl="0" w:tplc="5C709982">
      <w:start w:val="1"/>
      <w:numFmt w:val="bullet"/>
      <w:lvlText w:val=""/>
      <w:lvlJc w:val="start"/>
      <w:pPr>
        <w:ind w:start="33.85pt" w:hanging="18pt"/>
      </w:pPr>
      <w:rPr>
        <w:rFonts w:ascii="Symbol" w:hAnsi="Symbol" w:hint="default"/>
      </w:rPr>
    </w:lvl>
    <w:lvl w:ilvl="1" w:tplc="A268F974" w:tentative="1">
      <w:start w:val="1"/>
      <w:numFmt w:val="bullet"/>
      <w:lvlText w:val="o"/>
      <w:lvlJc w:val="start"/>
      <w:pPr>
        <w:ind w:start="69.80pt" w:hanging="18pt"/>
      </w:pPr>
      <w:rPr>
        <w:rFonts w:ascii="Courier New" w:hAnsi="Courier New" w:cs="Courier New" w:hint="default"/>
      </w:rPr>
    </w:lvl>
    <w:lvl w:ilvl="2" w:tplc="95905102" w:tentative="1">
      <w:start w:val="1"/>
      <w:numFmt w:val="bullet"/>
      <w:lvlText w:val=""/>
      <w:lvlJc w:val="start"/>
      <w:pPr>
        <w:ind w:start="105.85pt" w:hanging="18pt"/>
      </w:pPr>
      <w:rPr>
        <w:rFonts w:ascii="Wingdings" w:hAnsi="Wingdings" w:hint="default"/>
      </w:rPr>
    </w:lvl>
    <w:lvl w:ilvl="3" w:tplc="2DFA48CA" w:tentative="1">
      <w:start w:val="1"/>
      <w:numFmt w:val="bullet"/>
      <w:lvlText w:val=""/>
      <w:lvlJc w:val="start"/>
      <w:pPr>
        <w:ind w:start="141.85pt" w:hanging="18pt"/>
      </w:pPr>
      <w:rPr>
        <w:rFonts w:ascii="Symbol" w:hAnsi="Symbol" w:hint="default"/>
      </w:rPr>
    </w:lvl>
    <w:lvl w:ilvl="4" w:tplc="EBA83104" w:tentative="1">
      <w:start w:val="1"/>
      <w:numFmt w:val="bullet"/>
      <w:lvlText w:val="o"/>
      <w:lvlJc w:val="start"/>
      <w:pPr>
        <w:ind w:start="177.85pt" w:hanging="18pt"/>
      </w:pPr>
      <w:rPr>
        <w:rFonts w:ascii="Courier New" w:hAnsi="Courier New" w:cs="Courier New" w:hint="default"/>
      </w:rPr>
    </w:lvl>
    <w:lvl w:ilvl="5" w:tplc="AFA266D2" w:tentative="1">
      <w:start w:val="1"/>
      <w:numFmt w:val="bullet"/>
      <w:lvlText w:val=""/>
      <w:lvlJc w:val="start"/>
      <w:pPr>
        <w:ind w:start="213.85pt" w:hanging="18pt"/>
      </w:pPr>
      <w:rPr>
        <w:rFonts w:ascii="Wingdings" w:hAnsi="Wingdings" w:hint="default"/>
      </w:rPr>
    </w:lvl>
    <w:lvl w:ilvl="6" w:tplc="1E72401A" w:tentative="1">
      <w:start w:val="1"/>
      <w:numFmt w:val="bullet"/>
      <w:lvlText w:val=""/>
      <w:lvlJc w:val="start"/>
      <w:pPr>
        <w:ind w:start="249.85pt" w:hanging="18pt"/>
      </w:pPr>
      <w:rPr>
        <w:rFonts w:ascii="Symbol" w:hAnsi="Symbol" w:hint="default"/>
      </w:rPr>
    </w:lvl>
    <w:lvl w:ilvl="7" w:tplc="871492DA" w:tentative="1">
      <w:start w:val="1"/>
      <w:numFmt w:val="bullet"/>
      <w:lvlText w:val="o"/>
      <w:lvlJc w:val="start"/>
      <w:pPr>
        <w:ind w:start="285.85pt" w:hanging="18pt"/>
      </w:pPr>
      <w:rPr>
        <w:rFonts w:ascii="Courier New" w:hAnsi="Courier New" w:cs="Courier New" w:hint="default"/>
      </w:rPr>
    </w:lvl>
    <w:lvl w:ilvl="8" w:tplc="5F3E2F6E" w:tentative="1">
      <w:start w:val="1"/>
      <w:numFmt w:val="bullet"/>
      <w:lvlText w:val=""/>
      <w:lvlJc w:val="start"/>
      <w:pPr>
        <w:ind w:start="321.85pt" w:hanging="18pt"/>
      </w:pPr>
      <w:rPr>
        <w:rFonts w:ascii="Wingdings" w:hAnsi="Wingdings" w:hint="default"/>
      </w:rPr>
    </w:lvl>
  </w:abstractNum>
  <w:abstractNum w:abstractNumId="128" w15:restartNumberingAfterBreak="0">
    <w:nsid w:val="40873EF6"/>
    <w:multiLevelType w:val="hybridMultilevel"/>
    <w:tmpl w:val="63D0A042"/>
    <w:lvl w:ilvl="0" w:tplc="080A000D">
      <w:start w:val="1"/>
      <w:numFmt w:val="bullet"/>
      <w:lvlText w:val=""/>
      <w:lvlJc w:val="start"/>
      <w:pPr>
        <w:ind w:start="37.70pt" w:hanging="18pt"/>
      </w:pPr>
      <w:rPr>
        <w:rFonts w:ascii="Wingdings" w:hAnsi="Wingdings" w:hint="default"/>
      </w:rPr>
    </w:lvl>
    <w:lvl w:ilvl="1" w:tplc="080A0003">
      <w:start w:val="1"/>
      <w:numFmt w:val="bullet"/>
      <w:lvlText w:val="o"/>
      <w:lvlJc w:val="start"/>
      <w:pPr>
        <w:ind w:start="73.70pt" w:hanging="18pt"/>
      </w:pPr>
      <w:rPr>
        <w:rFonts w:ascii="Courier New" w:hAnsi="Courier New" w:cs="Courier New" w:hint="default"/>
      </w:rPr>
    </w:lvl>
    <w:lvl w:ilvl="2" w:tplc="080A0005">
      <w:start w:val="1"/>
      <w:numFmt w:val="bullet"/>
      <w:lvlText w:val=""/>
      <w:lvlJc w:val="start"/>
      <w:pPr>
        <w:ind w:start="109.70pt" w:hanging="18pt"/>
      </w:pPr>
      <w:rPr>
        <w:rFonts w:ascii="Wingdings" w:hAnsi="Wingdings" w:hint="default"/>
      </w:rPr>
    </w:lvl>
    <w:lvl w:ilvl="3" w:tplc="080A0001">
      <w:start w:val="1"/>
      <w:numFmt w:val="bullet"/>
      <w:lvlText w:val=""/>
      <w:lvlJc w:val="start"/>
      <w:pPr>
        <w:ind w:start="145.70pt" w:hanging="18pt"/>
      </w:pPr>
      <w:rPr>
        <w:rFonts w:ascii="Symbol" w:hAnsi="Symbol" w:hint="default"/>
      </w:rPr>
    </w:lvl>
    <w:lvl w:ilvl="4" w:tplc="080A0003">
      <w:start w:val="1"/>
      <w:numFmt w:val="bullet"/>
      <w:lvlText w:val="o"/>
      <w:lvlJc w:val="start"/>
      <w:pPr>
        <w:ind w:start="181.70pt" w:hanging="18pt"/>
      </w:pPr>
      <w:rPr>
        <w:rFonts w:ascii="Courier New" w:hAnsi="Courier New" w:cs="Courier New" w:hint="default"/>
      </w:rPr>
    </w:lvl>
    <w:lvl w:ilvl="5" w:tplc="080A0005">
      <w:start w:val="1"/>
      <w:numFmt w:val="bullet"/>
      <w:lvlText w:val=""/>
      <w:lvlJc w:val="start"/>
      <w:pPr>
        <w:ind w:start="217.70pt" w:hanging="18pt"/>
      </w:pPr>
      <w:rPr>
        <w:rFonts w:ascii="Wingdings" w:hAnsi="Wingdings" w:hint="default"/>
      </w:rPr>
    </w:lvl>
    <w:lvl w:ilvl="6" w:tplc="080A0001">
      <w:start w:val="1"/>
      <w:numFmt w:val="bullet"/>
      <w:lvlText w:val=""/>
      <w:lvlJc w:val="start"/>
      <w:pPr>
        <w:ind w:start="253.70pt" w:hanging="18pt"/>
      </w:pPr>
      <w:rPr>
        <w:rFonts w:ascii="Symbol" w:hAnsi="Symbol" w:hint="default"/>
      </w:rPr>
    </w:lvl>
    <w:lvl w:ilvl="7" w:tplc="080A0003">
      <w:start w:val="1"/>
      <w:numFmt w:val="bullet"/>
      <w:lvlText w:val="o"/>
      <w:lvlJc w:val="start"/>
      <w:pPr>
        <w:ind w:start="289.70pt" w:hanging="18pt"/>
      </w:pPr>
      <w:rPr>
        <w:rFonts w:ascii="Courier New" w:hAnsi="Courier New" w:cs="Courier New" w:hint="default"/>
      </w:rPr>
    </w:lvl>
    <w:lvl w:ilvl="8" w:tplc="080A0005">
      <w:start w:val="1"/>
      <w:numFmt w:val="bullet"/>
      <w:lvlText w:val=""/>
      <w:lvlJc w:val="start"/>
      <w:pPr>
        <w:ind w:start="325.70pt" w:hanging="18pt"/>
      </w:pPr>
      <w:rPr>
        <w:rFonts w:ascii="Wingdings" w:hAnsi="Wingdings" w:hint="default"/>
      </w:rPr>
    </w:lvl>
  </w:abstractNum>
  <w:abstractNum w:abstractNumId="129" w15:restartNumberingAfterBreak="0">
    <w:nsid w:val="40BB1374"/>
    <w:multiLevelType w:val="hybridMultilevel"/>
    <w:tmpl w:val="DE2861EA"/>
    <w:lvl w:ilvl="0" w:tplc="274ACA78">
      <w:start w:val="1"/>
      <w:numFmt w:val="bullet"/>
      <w:lvlText w:val=""/>
      <w:lvlJc w:val="start"/>
      <w:pPr>
        <w:ind w:start="36pt" w:hanging="18pt"/>
      </w:pPr>
      <w:rPr>
        <w:rFonts w:ascii="Symbol" w:hAnsi="Symbol" w:hint="default"/>
      </w:rPr>
    </w:lvl>
    <w:lvl w:ilvl="1" w:tplc="0A2EDAA4" w:tentative="1">
      <w:start w:val="1"/>
      <w:numFmt w:val="bullet"/>
      <w:lvlText w:val="o"/>
      <w:lvlJc w:val="start"/>
      <w:pPr>
        <w:ind w:start="72pt" w:hanging="18pt"/>
      </w:pPr>
      <w:rPr>
        <w:rFonts w:ascii="Courier New" w:hAnsi="Courier New" w:cs="Courier New" w:hint="default"/>
      </w:rPr>
    </w:lvl>
    <w:lvl w:ilvl="2" w:tplc="7818C3F2" w:tentative="1">
      <w:start w:val="1"/>
      <w:numFmt w:val="bullet"/>
      <w:lvlText w:val=""/>
      <w:lvlJc w:val="start"/>
      <w:pPr>
        <w:ind w:start="108pt" w:hanging="18pt"/>
      </w:pPr>
      <w:rPr>
        <w:rFonts w:ascii="Wingdings" w:hAnsi="Wingdings" w:hint="default"/>
      </w:rPr>
    </w:lvl>
    <w:lvl w:ilvl="3" w:tplc="9766B38E" w:tentative="1">
      <w:start w:val="1"/>
      <w:numFmt w:val="bullet"/>
      <w:lvlText w:val=""/>
      <w:lvlJc w:val="start"/>
      <w:pPr>
        <w:ind w:start="144pt" w:hanging="18pt"/>
      </w:pPr>
      <w:rPr>
        <w:rFonts w:ascii="Symbol" w:hAnsi="Symbol" w:hint="default"/>
      </w:rPr>
    </w:lvl>
    <w:lvl w:ilvl="4" w:tplc="BD10BA4C" w:tentative="1">
      <w:start w:val="1"/>
      <w:numFmt w:val="bullet"/>
      <w:lvlText w:val="o"/>
      <w:lvlJc w:val="start"/>
      <w:pPr>
        <w:ind w:start="180pt" w:hanging="18pt"/>
      </w:pPr>
      <w:rPr>
        <w:rFonts w:ascii="Courier New" w:hAnsi="Courier New" w:cs="Courier New" w:hint="default"/>
      </w:rPr>
    </w:lvl>
    <w:lvl w:ilvl="5" w:tplc="A3C43286" w:tentative="1">
      <w:start w:val="1"/>
      <w:numFmt w:val="bullet"/>
      <w:lvlText w:val=""/>
      <w:lvlJc w:val="start"/>
      <w:pPr>
        <w:ind w:start="216pt" w:hanging="18pt"/>
      </w:pPr>
      <w:rPr>
        <w:rFonts w:ascii="Wingdings" w:hAnsi="Wingdings" w:hint="default"/>
      </w:rPr>
    </w:lvl>
    <w:lvl w:ilvl="6" w:tplc="C6BCA484" w:tentative="1">
      <w:start w:val="1"/>
      <w:numFmt w:val="bullet"/>
      <w:lvlText w:val=""/>
      <w:lvlJc w:val="start"/>
      <w:pPr>
        <w:ind w:start="252pt" w:hanging="18pt"/>
      </w:pPr>
      <w:rPr>
        <w:rFonts w:ascii="Symbol" w:hAnsi="Symbol" w:hint="default"/>
      </w:rPr>
    </w:lvl>
    <w:lvl w:ilvl="7" w:tplc="D77413E8" w:tentative="1">
      <w:start w:val="1"/>
      <w:numFmt w:val="bullet"/>
      <w:lvlText w:val="o"/>
      <w:lvlJc w:val="start"/>
      <w:pPr>
        <w:ind w:start="288pt" w:hanging="18pt"/>
      </w:pPr>
      <w:rPr>
        <w:rFonts w:ascii="Courier New" w:hAnsi="Courier New" w:cs="Courier New" w:hint="default"/>
      </w:rPr>
    </w:lvl>
    <w:lvl w:ilvl="8" w:tplc="31B2EE64" w:tentative="1">
      <w:start w:val="1"/>
      <w:numFmt w:val="bullet"/>
      <w:lvlText w:val=""/>
      <w:lvlJc w:val="start"/>
      <w:pPr>
        <w:ind w:start="324pt" w:hanging="18pt"/>
      </w:pPr>
      <w:rPr>
        <w:rFonts w:ascii="Wingdings" w:hAnsi="Wingdings" w:hint="default"/>
      </w:rPr>
    </w:lvl>
  </w:abstractNum>
  <w:abstractNum w:abstractNumId="130" w15:restartNumberingAfterBreak="0">
    <w:nsid w:val="40DE3E77"/>
    <w:multiLevelType w:val="hybridMultilevel"/>
    <w:tmpl w:val="94483290"/>
    <w:lvl w:ilvl="0" w:tplc="2A706334">
      <w:start w:val="1"/>
      <w:numFmt w:val="lowerLetter"/>
      <w:lvlText w:val="%1)"/>
      <w:lvlJc w:val="start"/>
      <w:pPr>
        <w:ind w:start="90.30pt" w:hanging="18pt"/>
      </w:pPr>
    </w:lvl>
    <w:lvl w:ilvl="1" w:tplc="23DAAAD8">
      <w:start w:val="1"/>
      <w:numFmt w:val="lowerLetter"/>
      <w:lvlText w:val="%2."/>
      <w:lvlJc w:val="start"/>
      <w:pPr>
        <w:ind w:start="126.30pt" w:hanging="18pt"/>
      </w:pPr>
    </w:lvl>
    <w:lvl w:ilvl="2" w:tplc="B33A58DA">
      <w:start w:val="1"/>
      <w:numFmt w:val="lowerRoman"/>
      <w:lvlText w:val="%3."/>
      <w:lvlJc w:val="end"/>
      <w:pPr>
        <w:ind w:start="162.30pt" w:hanging="9pt"/>
      </w:pPr>
    </w:lvl>
    <w:lvl w:ilvl="3" w:tplc="F8A20D28">
      <w:start w:val="1"/>
      <w:numFmt w:val="decimal"/>
      <w:lvlText w:val="%4."/>
      <w:lvlJc w:val="start"/>
      <w:pPr>
        <w:ind w:start="198.30pt" w:hanging="18pt"/>
      </w:pPr>
    </w:lvl>
    <w:lvl w:ilvl="4" w:tplc="FC54A4D0">
      <w:start w:val="1"/>
      <w:numFmt w:val="lowerLetter"/>
      <w:lvlText w:val="%5."/>
      <w:lvlJc w:val="start"/>
      <w:pPr>
        <w:ind w:start="234.30pt" w:hanging="18pt"/>
      </w:pPr>
    </w:lvl>
    <w:lvl w:ilvl="5" w:tplc="59846EAA">
      <w:start w:val="1"/>
      <w:numFmt w:val="lowerRoman"/>
      <w:lvlText w:val="%6."/>
      <w:lvlJc w:val="end"/>
      <w:pPr>
        <w:ind w:start="270.30pt" w:hanging="9pt"/>
      </w:pPr>
    </w:lvl>
    <w:lvl w:ilvl="6" w:tplc="CFB605D2">
      <w:start w:val="1"/>
      <w:numFmt w:val="decimal"/>
      <w:lvlText w:val="%7."/>
      <w:lvlJc w:val="start"/>
      <w:pPr>
        <w:ind w:start="306.30pt" w:hanging="18pt"/>
      </w:pPr>
    </w:lvl>
    <w:lvl w:ilvl="7" w:tplc="B984A7D2">
      <w:start w:val="1"/>
      <w:numFmt w:val="lowerLetter"/>
      <w:lvlText w:val="%8."/>
      <w:lvlJc w:val="start"/>
      <w:pPr>
        <w:ind w:start="342.30pt" w:hanging="18pt"/>
      </w:pPr>
    </w:lvl>
    <w:lvl w:ilvl="8" w:tplc="D2AC8996">
      <w:start w:val="1"/>
      <w:numFmt w:val="lowerRoman"/>
      <w:lvlText w:val="%9."/>
      <w:lvlJc w:val="end"/>
      <w:pPr>
        <w:ind w:start="378.30pt" w:hanging="9pt"/>
      </w:pPr>
    </w:lvl>
  </w:abstractNum>
  <w:abstractNum w:abstractNumId="131" w15:restartNumberingAfterBreak="0">
    <w:nsid w:val="417977B7"/>
    <w:multiLevelType w:val="hybridMultilevel"/>
    <w:tmpl w:val="1444E046"/>
    <w:lvl w:ilvl="0" w:tplc="9C76DE70">
      <w:start w:val="1"/>
      <w:numFmt w:val="bullet"/>
      <w:lvlText w:val=""/>
      <w:lvlJc w:val="start"/>
      <w:pPr>
        <w:ind w:start="54pt" w:hanging="18pt"/>
      </w:pPr>
      <w:rPr>
        <w:rFonts w:ascii="Symbol" w:hAnsi="Symbol" w:hint="default"/>
      </w:rPr>
    </w:lvl>
    <w:lvl w:ilvl="1" w:tplc="F62CC0B8" w:tentative="1">
      <w:start w:val="1"/>
      <w:numFmt w:val="bullet"/>
      <w:lvlText w:val="o"/>
      <w:lvlJc w:val="start"/>
      <w:pPr>
        <w:ind w:start="90pt" w:hanging="18pt"/>
      </w:pPr>
      <w:rPr>
        <w:rFonts w:ascii="Courier New" w:hAnsi="Courier New" w:cs="Courier New" w:hint="default"/>
      </w:rPr>
    </w:lvl>
    <w:lvl w:ilvl="2" w:tplc="C8560490" w:tentative="1">
      <w:start w:val="1"/>
      <w:numFmt w:val="bullet"/>
      <w:lvlText w:val=""/>
      <w:lvlJc w:val="start"/>
      <w:pPr>
        <w:ind w:start="126pt" w:hanging="18pt"/>
      </w:pPr>
      <w:rPr>
        <w:rFonts w:ascii="Wingdings" w:hAnsi="Wingdings" w:hint="default"/>
      </w:rPr>
    </w:lvl>
    <w:lvl w:ilvl="3" w:tplc="6E5657EC" w:tentative="1">
      <w:start w:val="1"/>
      <w:numFmt w:val="bullet"/>
      <w:lvlText w:val=""/>
      <w:lvlJc w:val="start"/>
      <w:pPr>
        <w:ind w:start="162pt" w:hanging="18pt"/>
      </w:pPr>
      <w:rPr>
        <w:rFonts w:ascii="Symbol" w:hAnsi="Symbol" w:hint="default"/>
      </w:rPr>
    </w:lvl>
    <w:lvl w:ilvl="4" w:tplc="66728606" w:tentative="1">
      <w:start w:val="1"/>
      <w:numFmt w:val="bullet"/>
      <w:lvlText w:val="o"/>
      <w:lvlJc w:val="start"/>
      <w:pPr>
        <w:ind w:start="198pt" w:hanging="18pt"/>
      </w:pPr>
      <w:rPr>
        <w:rFonts w:ascii="Courier New" w:hAnsi="Courier New" w:cs="Courier New" w:hint="default"/>
      </w:rPr>
    </w:lvl>
    <w:lvl w:ilvl="5" w:tplc="31FE4F8E" w:tentative="1">
      <w:start w:val="1"/>
      <w:numFmt w:val="bullet"/>
      <w:lvlText w:val=""/>
      <w:lvlJc w:val="start"/>
      <w:pPr>
        <w:ind w:start="234pt" w:hanging="18pt"/>
      </w:pPr>
      <w:rPr>
        <w:rFonts w:ascii="Wingdings" w:hAnsi="Wingdings" w:hint="default"/>
      </w:rPr>
    </w:lvl>
    <w:lvl w:ilvl="6" w:tplc="6DC4864A" w:tentative="1">
      <w:start w:val="1"/>
      <w:numFmt w:val="bullet"/>
      <w:lvlText w:val=""/>
      <w:lvlJc w:val="start"/>
      <w:pPr>
        <w:ind w:start="270pt" w:hanging="18pt"/>
      </w:pPr>
      <w:rPr>
        <w:rFonts w:ascii="Symbol" w:hAnsi="Symbol" w:hint="default"/>
      </w:rPr>
    </w:lvl>
    <w:lvl w:ilvl="7" w:tplc="2EF0F922" w:tentative="1">
      <w:start w:val="1"/>
      <w:numFmt w:val="bullet"/>
      <w:lvlText w:val="o"/>
      <w:lvlJc w:val="start"/>
      <w:pPr>
        <w:ind w:start="306pt" w:hanging="18pt"/>
      </w:pPr>
      <w:rPr>
        <w:rFonts w:ascii="Courier New" w:hAnsi="Courier New" w:cs="Courier New" w:hint="default"/>
      </w:rPr>
    </w:lvl>
    <w:lvl w:ilvl="8" w:tplc="537C5144" w:tentative="1">
      <w:start w:val="1"/>
      <w:numFmt w:val="bullet"/>
      <w:lvlText w:val=""/>
      <w:lvlJc w:val="start"/>
      <w:pPr>
        <w:ind w:start="342pt" w:hanging="18pt"/>
      </w:pPr>
      <w:rPr>
        <w:rFonts w:ascii="Wingdings" w:hAnsi="Wingdings" w:hint="default"/>
      </w:rPr>
    </w:lvl>
  </w:abstractNum>
  <w:abstractNum w:abstractNumId="132" w15:restartNumberingAfterBreak="0">
    <w:nsid w:val="419D5A31"/>
    <w:multiLevelType w:val="hybridMultilevel"/>
    <w:tmpl w:val="A86A7ACE"/>
    <w:lvl w:ilvl="0" w:tplc="CF4E640A">
      <w:start w:val="1"/>
      <w:numFmt w:val="bullet"/>
      <w:lvlText w:val=""/>
      <w:lvlJc w:val="start"/>
      <w:pPr>
        <w:ind w:start="36pt" w:hanging="18pt"/>
      </w:pPr>
      <w:rPr>
        <w:rFonts w:ascii="Symbol" w:hAnsi="Symbol" w:hint="default"/>
      </w:rPr>
    </w:lvl>
    <w:lvl w:ilvl="1" w:tplc="54103F7C" w:tentative="1">
      <w:start w:val="1"/>
      <w:numFmt w:val="bullet"/>
      <w:lvlText w:val="o"/>
      <w:lvlJc w:val="start"/>
      <w:pPr>
        <w:ind w:start="72pt" w:hanging="18pt"/>
      </w:pPr>
      <w:rPr>
        <w:rFonts w:ascii="Courier New" w:hAnsi="Courier New" w:cs="Courier New" w:hint="default"/>
      </w:rPr>
    </w:lvl>
    <w:lvl w:ilvl="2" w:tplc="CD76A3E0" w:tentative="1">
      <w:start w:val="1"/>
      <w:numFmt w:val="bullet"/>
      <w:lvlText w:val=""/>
      <w:lvlJc w:val="start"/>
      <w:pPr>
        <w:ind w:start="108pt" w:hanging="18pt"/>
      </w:pPr>
      <w:rPr>
        <w:rFonts w:ascii="Wingdings" w:hAnsi="Wingdings" w:hint="default"/>
      </w:rPr>
    </w:lvl>
    <w:lvl w:ilvl="3" w:tplc="7B36512A" w:tentative="1">
      <w:start w:val="1"/>
      <w:numFmt w:val="bullet"/>
      <w:lvlText w:val=""/>
      <w:lvlJc w:val="start"/>
      <w:pPr>
        <w:ind w:start="144pt" w:hanging="18pt"/>
      </w:pPr>
      <w:rPr>
        <w:rFonts w:ascii="Symbol" w:hAnsi="Symbol" w:hint="default"/>
      </w:rPr>
    </w:lvl>
    <w:lvl w:ilvl="4" w:tplc="1C288AC4" w:tentative="1">
      <w:start w:val="1"/>
      <w:numFmt w:val="bullet"/>
      <w:lvlText w:val="o"/>
      <w:lvlJc w:val="start"/>
      <w:pPr>
        <w:ind w:start="180pt" w:hanging="18pt"/>
      </w:pPr>
      <w:rPr>
        <w:rFonts w:ascii="Courier New" w:hAnsi="Courier New" w:cs="Courier New" w:hint="default"/>
      </w:rPr>
    </w:lvl>
    <w:lvl w:ilvl="5" w:tplc="F142F50C" w:tentative="1">
      <w:start w:val="1"/>
      <w:numFmt w:val="bullet"/>
      <w:lvlText w:val=""/>
      <w:lvlJc w:val="start"/>
      <w:pPr>
        <w:ind w:start="216pt" w:hanging="18pt"/>
      </w:pPr>
      <w:rPr>
        <w:rFonts w:ascii="Wingdings" w:hAnsi="Wingdings" w:hint="default"/>
      </w:rPr>
    </w:lvl>
    <w:lvl w:ilvl="6" w:tplc="540E28DE" w:tentative="1">
      <w:start w:val="1"/>
      <w:numFmt w:val="bullet"/>
      <w:lvlText w:val=""/>
      <w:lvlJc w:val="start"/>
      <w:pPr>
        <w:ind w:start="252pt" w:hanging="18pt"/>
      </w:pPr>
      <w:rPr>
        <w:rFonts w:ascii="Symbol" w:hAnsi="Symbol" w:hint="default"/>
      </w:rPr>
    </w:lvl>
    <w:lvl w:ilvl="7" w:tplc="2E54A0AE" w:tentative="1">
      <w:start w:val="1"/>
      <w:numFmt w:val="bullet"/>
      <w:lvlText w:val="o"/>
      <w:lvlJc w:val="start"/>
      <w:pPr>
        <w:ind w:start="288pt" w:hanging="18pt"/>
      </w:pPr>
      <w:rPr>
        <w:rFonts w:ascii="Courier New" w:hAnsi="Courier New" w:cs="Courier New" w:hint="default"/>
      </w:rPr>
    </w:lvl>
    <w:lvl w:ilvl="8" w:tplc="9FC01F60" w:tentative="1">
      <w:start w:val="1"/>
      <w:numFmt w:val="bullet"/>
      <w:lvlText w:val=""/>
      <w:lvlJc w:val="start"/>
      <w:pPr>
        <w:ind w:start="324pt" w:hanging="18pt"/>
      </w:pPr>
      <w:rPr>
        <w:rFonts w:ascii="Wingdings" w:hAnsi="Wingdings" w:hint="default"/>
      </w:rPr>
    </w:lvl>
  </w:abstractNum>
  <w:abstractNum w:abstractNumId="133" w15:restartNumberingAfterBreak="0">
    <w:nsid w:val="41DA0C59"/>
    <w:multiLevelType w:val="hybridMultilevel"/>
    <w:tmpl w:val="B13005EA"/>
    <w:lvl w:ilvl="0" w:tplc="080A0001">
      <w:start w:val="1"/>
      <w:numFmt w:val="bullet"/>
      <w:lvlText w:val=""/>
      <w:lvlJc w:val="start"/>
      <w:pPr>
        <w:ind w:start="36pt" w:hanging="18pt"/>
      </w:pPr>
      <w:rPr>
        <w:rFonts w:ascii="Symbol" w:hAnsi="Symbol" w:hint="default"/>
      </w:rPr>
    </w:lvl>
    <w:lvl w:ilvl="1" w:tplc="080A0003" w:tentative="1">
      <w:start w:val="1"/>
      <w:numFmt w:val="bullet"/>
      <w:lvlText w:val="o"/>
      <w:lvlJc w:val="start"/>
      <w:pPr>
        <w:ind w:start="72pt" w:hanging="18pt"/>
      </w:pPr>
      <w:rPr>
        <w:rFonts w:ascii="Courier New" w:hAnsi="Courier New" w:cs="Courier New" w:hint="default"/>
      </w:rPr>
    </w:lvl>
    <w:lvl w:ilvl="2" w:tplc="080A0005" w:tentative="1">
      <w:start w:val="1"/>
      <w:numFmt w:val="bullet"/>
      <w:lvlText w:val=""/>
      <w:lvlJc w:val="start"/>
      <w:pPr>
        <w:ind w:start="108pt" w:hanging="18pt"/>
      </w:pPr>
      <w:rPr>
        <w:rFonts w:ascii="Wingdings" w:hAnsi="Wingdings" w:hint="default"/>
      </w:rPr>
    </w:lvl>
    <w:lvl w:ilvl="3" w:tplc="080A0001" w:tentative="1">
      <w:start w:val="1"/>
      <w:numFmt w:val="bullet"/>
      <w:lvlText w:val=""/>
      <w:lvlJc w:val="start"/>
      <w:pPr>
        <w:ind w:start="144pt" w:hanging="18pt"/>
      </w:pPr>
      <w:rPr>
        <w:rFonts w:ascii="Symbol" w:hAnsi="Symbol" w:hint="default"/>
      </w:rPr>
    </w:lvl>
    <w:lvl w:ilvl="4" w:tplc="080A0003" w:tentative="1">
      <w:start w:val="1"/>
      <w:numFmt w:val="bullet"/>
      <w:lvlText w:val="o"/>
      <w:lvlJc w:val="start"/>
      <w:pPr>
        <w:ind w:start="180pt" w:hanging="18pt"/>
      </w:pPr>
      <w:rPr>
        <w:rFonts w:ascii="Courier New" w:hAnsi="Courier New" w:cs="Courier New" w:hint="default"/>
      </w:rPr>
    </w:lvl>
    <w:lvl w:ilvl="5" w:tplc="080A0005" w:tentative="1">
      <w:start w:val="1"/>
      <w:numFmt w:val="bullet"/>
      <w:lvlText w:val=""/>
      <w:lvlJc w:val="start"/>
      <w:pPr>
        <w:ind w:start="216pt" w:hanging="18pt"/>
      </w:pPr>
      <w:rPr>
        <w:rFonts w:ascii="Wingdings" w:hAnsi="Wingdings" w:hint="default"/>
      </w:rPr>
    </w:lvl>
    <w:lvl w:ilvl="6" w:tplc="080A0001" w:tentative="1">
      <w:start w:val="1"/>
      <w:numFmt w:val="bullet"/>
      <w:lvlText w:val=""/>
      <w:lvlJc w:val="start"/>
      <w:pPr>
        <w:ind w:start="252pt" w:hanging="18pt"/>
      </w:pPr>
      <w:rPr>
        <w:rFonts w:ascii="Symbol" w:hAnsi="Symbol" w:hint="default"/>
      </w:rPr>
    </w:lvl>
    <w:lvl w:ilvl="7" w:tplc="080A0003" w:tentative="1">
      <w:start w:val="1"/>
      <w:numFmt w:val="bullet"/>
      <w:lvlText w:val="o"/>
      <w:lvlJc w:val="start"/>
      <w:pPr>
        <w:ind w:start="288pt" w:hanging="18pt"/>
      </w:pPr>
      <w:rPr>
        <w:rFonts w:ascii="Courier New" w:hAnsi="Courier New" w:cs="Courier New" w:hint="default"/>
      </w:rPr>
    </w:lvl>
    <w:lvl w:ilvl="8" w:tplc="080A0005" w:tentative="1">
      <w:start w:val="1"/>
      <w:numFmt w:val="bullet"/>
      <w:lvlText w:val=""/>
      <w:lvlJc w:val="start"/>
      <w:pPr>
        <w:ind w:start="324pt" w:hanging="18pt"/>
      </w:pPr>
      <w:rPr>
        <w:rFonts w:ascii="Wingdings" w:hAnsi="Wingdings" w:hint="default"/>
      </w:rPr>
    </w:lvl>
  </w:abstractNum>
  <w:abstractNum w:abstractNumId="134" w15:restartNumberingAfterBreak="0">
    <w:nsid w:val="41EB0828"/>
    <w:multiLevelType w:val="hybridMultilevel"/>
    <w:tmpl w:val="FFA057F4"/>
    <w:lvl w:ilvl="0" w:tplc="9E7448D8">
      <w:start w:val="6"/>
      <w:numFmt w:val="bullet"/>
      <w:lvlText w:val="•"/>
      <w:lvlJc w:val="start"/>
      <w:pPr>
        <w:ind w:start="39.25pt" w:hanging="18pt"/>
      </w:pPr>
      <w:rPr>
        <w:rFonts w:ascii="Century Gothic" w:eastAsia="Calibri" w:hAnsi="Century Gothic" w:cs="Arial" w:hint="default"/>
      </w:rPr>
    </w:lvl>
    <w:lvl w:ilvl="1" w:tplc="10DE7F78" w:tentative="1">
      <w:start w:val="1"/>
      <w:numFmt w:val="bullet"/>
      <w:lvlText w:val="o"/>
      <w:lvlJc w:val="start"/>
      <w:pPr>
        <w:ind w:start="75.30pt" w:hanging="18pt"/>
      </w:pPr>
      <w:rPr>
        <w:rFonts w:ascii="Courier New" w:hAnsi="Courier New" w:cs="Courier New" w:hint="default"/>
      </w:rPr>
    </w:lvl>
    <w:lvl w:ilvl="2" w:tplc="A6324FFA" w:tentative="1">
      <w:start w:val="1"/>
      <w:numFmt w:val="bullet"/>
      <w:lvlText w:val=""/>
      <w:lvlJc w:val="start"/>
      <w:pPr>
        <w:ind w:start="111.30pt" w:hanging="18pt"/>
      </w:pPr>
      <w:rPr>
        <w:rFonts w:ascii="Wingdings" w:hAnsi="Wingdings" w:hint="default"/>
      </w:rPr>
    </w:lvl>
    <w:lvl w:ilvl="3" w:tplc="B8A4F940" w:tentative="1">
      <w:start w:val="1"/>
      <w:numFmt w:val="bullet"/>
      <w:lvlText w:val=""/>
      <w:lvlJc w:val="start"/>
      <w:pPr>
        <w:ind w:start="147.30pt" w:hanging="18pt"/>
      </w:pPr>
      <w:rPr>
        <w:rFonts w:ascii="Symbol" w:hAnsi="Symbol" w:hint="default"/>
      </w:rPr>
    </w:lvl>
    <w:lvl w:ilvl="4" w:tplc="D16CC28E" w:tentative="1">
      <w:start w:val="1"/>
      <w:numFmt w:val="bullet"/>
      <w:lvlText w:val="o"/>
      <w:lvlJc w:val="start"/>
      <w:pPr>
        <w:ind w:start="183.30pt" w:hanging="18pt"/>
      </w:pPr>
      <w:rPr>
        <w:rFonts w:ascii="Courier New" w:hAnsi="Courier New" w:cs="Courier New" w:hint="default"/>
      </w:rPr>
    </w:lvl>
    <w:lvl w:ilvl="5" w:tplc="5C4651A8" w:tentative="1">
      <w:start w:val="1"/>
      <w:numFmt w:val="bullet"/>
      <w:lvlText w:val=""/>
      <w:lvlJc w:val="start"/>
      <w:pPr>
        <w:ind w:start="219.30pt" w:hanging="18pt"/>
      </w:pPr>
      <w:rPr>
        <w:rFonts w:ascii="Wingdings" w:hAnsi="Wingdings" w:hint="default"/>
      </w:rPr>
    </w:lvl>
    <w:lvl w:ilvl="6" w:tplc="F064BABE" w:tentative="1">
      <w:start w:val="1"/>
      <w:numFmt w:val="bullet"/>
      <w:lvlText w:val=""/>
      <w:lvlJc w:val="start"/>
      <w:pPr>
        <w:ind w:start="255.30pt" w:hanging="18pt"/>
      </w:pPr>
      <w:rPr>
        <w:rFonts w:ascii="Symbol" w:hAnsi="Symbol" w:hint="default"/>
      </w:rPr>
    </w:lvl>
    <w:lvl w:ilvl="7" w:tplc="839804D8" w:tentative="1">
      <w:start w:val="1"/>
      <w:numFmt w:val="bullet"/>
      <w:lvlText w:val="o"/>
      <w:lvlJc w:val="start"/>
      <w:pPr>
        <w:ind w:start="291.30pt" w:hanging="18pt"/>
      </w:pPr>
      <w:rPr>
        <w:rFonts w:ascii="Courier New" w:hAnsi="Courier New" w:cs="Courier New" w:hint="default"/>
      </w:rPr>
    </w:lvl>
    <w:lvl w:ilvl="8" w:tplc="46F80D60" w:tentative="1">
      <w:start w:val="1"/>
      <w:numFmt w:val="bullet"/>
      <w:lvlText w:val=""/>
      <w:lvlJc w:val="start"/>
      <w:pPr>
        <w:ind w:start="327.30pt" w:hanging="18pt"/>
      </w:pPr>
      <w:rPr>
        <w:rFonts w:ascii="Wingdings" w:hAnsi="Wingdings" w:hint="default"/>
      </w:rPr>
    </w:lvl>
  </w:abstractNum>
  <w:abstractNum w:abstractNumId="135" w15:restartNumberingAfterBreak="0">
    <w:nsid w:val="41F637B4"/>
    <w:multiLevelType w:val="hybridMultilevel"/>
    <w:tmpl w:val="4538F384"/>
    <w:lvl w:ilvl="0" w:tplc="BDB8CB7A">
      <w:start w:val="1"/>
      <w:numFmt w:val="bullet"/>
      <w:lvlText w:val=""/>
      <w:lvlJc w:val="start"/>
      <w:pPr>
        <w:ind w:start="36pt" w:hanging="18pt"/>
      </w:pPr>
      <w:rPr>
        <w:rFonts w:ascii="Wingdings" w:hAnsi="Wingdings" w:hint="default"/>
      </w:rPr>
    </w:lvl>
    <w:lvl w:ilvl="1" w:tplc="B7026EB4">
      <w:start w:val="1"/>
      <w:numFmt w:val="bullet"/>
      <w:lvlText w:val="o"/>
      <w:lvlJc w:val="start"/>
      <w:pPr>
        <w:ind w:start="72pt" w:hanging="18pt"/>
      </w:pPr>
      <w:rPr>
        <w:rFonts w:ascii="Courier New" w:hAnsi="Courier New" w:cs="Courier New" w:hint="default"/>
      </w:rPr>
    </w:lvl>
    <w:lvl w:ilvl="2" w:tplc="4E6CF5C4">
      <w:start w:val="1"/>
      <w:numFmt w:val="bullet"/>
      <w:lvlText w:val=""/>
      <w:lvlJc w:val="start"/>
      <w:pPr>
        <w:ind w:start="108pt" w:hanging="18pt"/>
      </w:pPr>
      <w:rPr>
        <w:rFonts w:ascii="Wingdings" w:hAnsi="Wingdings" w:hint="default"/>
      </w:rPr>
    </w:lvl>
    <w:lvl w:ilvl="3" w:tplc="177C71EE">
      <w:start w:val="1"/>
      <w:numFmt w:val="bullet"/>
      <w:lvlText w:val=""/>
      <w:lvlJc w:val="start"/>
      <w:pPr>
        <w:ind w:start="144pt" w:hanging="18pt"/>
      </w:pPr>
      <w:rPr>
        <w:rFonts w:ascii="Symbol" w:hAnsi="Symbol" w:hint="default"/>
      </w:rPr>
    </w:lvl>
    <w:lvl w:ilvl="4" w:tplc="49B4F86A">
      <w:start w:val="1"/>
      <w:numFmt w:val="bullet"/>
      <w:lvlText w:val="o"/>
      <w:lvlJc w:val="start"/>
      <w:pPr>
        <w:ind w:start="180pt" w:hanging="18pt"/>
      </w:pPr>
      <w:rPr>
        <w:rFonts w:ascii="Courier New" w:hAnsi="Courier New" w:cs="Courier New" w:hint="default"/>
      </w:rPr>
    </w:lvl>
    <w:lvl w:ilvl="5" w:tplc="BC50C57E">
      <w:start w:val="1"/>
      <w:numFmt w:val="bullet"/>
      <w:lvlText w:val=""/>
      <w:lvlJc w:val="start"/>
      <w:pPr>
        <w:ind w:start="216pt" w:hanging="18pt"/>
      </w:pPr>
      <w:rPr>
        <w:rFonts w:ascii="Wingdings" w:hAnsi="Wingdings" w:hint="default"/>
      </w:rPr>
    </w:lvl>
    <w:lvl w:ilvl="6" w:tplc="28080B4A">
      <w:start w:val="1"/>
      <w:numFmt w:val="bullet"/>
      <w:lvlText w:val=""/>
      <w:lvlJc w:val="start"/>
      <w:pPr>
        <w:ind w:start="252pt" w:hanging="18pt"/>
      </w:pPr>
      <w:rPr>
        <w:rFonts w:ascii="Symbol" w:hAnsi="Symbol" w:hint="default"/>
      </w:rPr>
    </w:lvl>
    <w:lvl w:ilvl="7" w:tplc="669832E8">
      <w:start w:val="1"/>
      <w:numFmt w:val="bullet"/>
      <w:lvlText w:val="o"/>
      <w:lvlJc w:val="start"/>
      <w:pPr>
        <w:ind w:start="288pt" w:hanging="18pt"/>
      </w:pPr>
      <w:rPr>
        <w:rFonts w:ascii="Courier New" w:hAnsi="Courier New" w:cs="Courier New" w:hint="default"/>
      </w:rPr>
    </w:lvl>
    <w:lvl w:ilvl="8" w:tplc="3FCAA1D6">
      <w:start w:val="1"/>
      <w:numFmt w:val="bullet"/>
      <w:lvlText w:val=""/>
      <w:lvlJc w:val="start"/>
      <w:pPr>
        <w:ind w:start="324pt" w:hanging="18pt"/>
      </w:pPr>
      <w:rPr>
        <w:rFonts w:ascii="Wingdings" w:hAnsi="Wingdings" w:hint="default"/>
      </w:rPr>
    </w:lvl>
  </w:abstractNum>
  <w:abstractNum w:abstractNumId="136" w15:restartNumberingAfterBreak="0">
    <w:nsid w:val="42061640"/>
    <w:multiLevelType w:val="hybridMultilevel"/>
    <w:tmpl w:val="B278537E"/>
    <w:lvl w:ilvl="0" w:tplc="4B241392">
      <w:start w:val="1"/>
      <w:numFmt w:val="bullet"/>
      <w:lvlText w:val=""/>
      <w:lvlJc w:val="start"/>
      <w:pPr>
        <w:ind w:start="39.40pt" w:hanging="18pt"/>
      </w:pPr>
      <w:rPr>
        <w:rFonts w:ascii="Symbol" w:hAnsi="Symbol" w:hint="default"/>
      </w:rPr>
    </w:lvl>
    <w:lvl w:ilvl="1" w:tplc="50567DE6" w:tentative="1">
      <w:start w:val="1"/>
      <w:numFmt w:val="bullet"/>
      <w:lvlText w:val="o"/>
      <w:lvlJc w:val="start"/>
      <w:pPr>
        <w:ind w:start="75.40pt" w:hanging="18pt"/>
      </w:pPr>
      <w:rPr>
        <w:rFonts w:ascii="Courier New" w:hAnsi="Courier New" w:cs="Courier New" w:hint="default"/>
      </w:rPr>
    </w:lvl>
    <w:lvl w:ilvl="2" w:tplc="47AE2C4E" w:tentative="1">
      <w:start w:val="1"/>
      <w:numFmt w:val="bullet"/>
      <w:lvlText w:val=""/>
      <w:lvlJc w:val="start"/>
      <w:pPr>
        <w:ind w:start="111.40pt" w:hanging="18pt"/>
      </w:pPr>
      <w:rPr>
        <w:rFonts w:ascii="Wingdings" w:hAnsi="Wingdings" w:hint="default"/>
      </w:rPr>
    </w:lvl>
    <w:lvl w:ilvl="3" w:tplc="FB8E2100" w:tentative="1">
      <w:start w:val="1"/>
      <w:numFmt w:val="bullet"/>
      <w:lvlText w:val=""/>
      <w:lvlJc w:val="start"/>
      <w:pPr>
        <w:ind w:start="147.40pt" w:hanging="18pt"/>
      </w:pPr>
      <w:rPr>
        <w:rFonts w:ascii="Symbol" w:hAnsi="Symbol" w:hint="default"/>
      </w:rPr>
    </w:lvl>
    <w:lvl w:ilvl="4" w:tplc="5D04D612" w:tentative="1">
      <w:start w:val="1"/>
      <w:numFmt w:val="bullet"/>
      <w:lvlText w:val="o"/>
      <w:lvlJc w:val="start"/>
      <w:pPr>
        <w:ind w:start="183.40pt" w:hanging="18pt"/>
      </w:pPr>
      <w:rPr>
        <w:rFonts w:ascii="Courier New" w:hAnsi="Courier New" w:cs="Courier New" w:hint="default"/>
      </w:rPr>
    </w:lvl>
    <w:lvl w:ilvl="5" w:tplc="1ACC57F4" w:tentative="1">
      <w:start w:val="1"/>
      <w:numFmt w:val="bullet"/>
      <w:lvlText w:val=""/>
      <w:lvlJc w:val="start"/>
      <w:pPr>
        <w:ind w:start="219.40pt" w:hanging="18pt"/>
      </w:pPr>
      <w:rPr>
        <w:rFonts w:ascii="Wingdings" w:hAnsi="Wingdings" w:hint="default"/>
      </w:rPr>
    </w:lvl>
    <w:lvl w:ilvl="6" w:tplc="A29EFA0A" w:tentative="1">
      <w:start w:val="1"/>
      <w:numFmt w:val="bullet"/>
      <w:lvlText w:val=""/>
      <w:lvlJc w:val="start"/>
      <w:pPr>
        <w:ind w:start="255.40pt" w:hanging="18pt"/>
      </w:pPr>
      <w:rPr>
        <w:rFonts w:ascii="Symbol" w:hAnsi="Symbol" w:hint="default"/>
      </w:rPr>
    </w:lvl>
    <w:lvl w:ilvl="7" w:tplc="0AFCA8E2" w:tentative="1">
      <w:start w:val="1"/>
      <w:numFmt w:val="bullet"/>
      <w:lvlText w:val="o"/>
      <w:lvlJc w:val="start"/>
      <w:pPr>
        <w:ind w:start="291.35pt" w:hanging="18pt"/>
      </w:pPr>
      <w:rPr>
        <w:rFonts w:ascii="Courier New" w:hAnsi="Courier New" w:cs="Courier New" w:hint="default"/>
      </w:rPr>
    </w:lvl>
    <w:lvl w:ilvl="8" w:tplc="8CE002C4" w:tentative="1">
      <w:start w:val="1"/>
      <w:numFmt w:val="bullet"/>
      <w:lvlText w:val=""/>
      <w:lvlJc w:val="start"/>
      <w:pPr>
        <w:ind w:start="327.35pt" w:hanging="18pt"/>
      </w:pPr>
      <w:rPr>
        <w:rFonts w:ascii="Wingdings" w:hAnsi="Wingdings" w:hint="default"/>
      </w:rPr>
    </w:lvl>
  </w:abstractNum>
  <w:abstractNum w:abstractNumId="137" w15:restartNumberingAfterBreak="0">
    <w:nsid w:val="422C4F4B"/>
    <w:multiLevelType w:val="hybridMultilevel"/>
    <w:tmpl w:val="63BED7DC"/>
    <w:lvl w:ilvl="0" w:tplc="BC6CF5EA">
      <w:start w:val="1"/>
      <w:numFmt w:val="bullet"/>
      <w:lvlText w:val=""/>
      <w:lvlJc w:val="start"/>
      <w:pPr>
        <w:ind w:start="36pt" w:hanging="18pt"/>
      </w:pPr>
      <w:rPr>
        <w:rFonts w:ascii="Symbol" w:hAnsi="Symbol" w:hint="default"/>
      </w:rPr>
    </w:lvl>
    <w:lvl w:ilvl="1" w:tplc="A7B8C480" w:tentative="1">
      <w:start w:val="1"/>
      <w:numFmt w:val="bullet"/>
      <w:lvlText w:val="o"/>
      <w:lvlJc w:val="start"/>
      <w:pPr>
        <w:ind w:start="72pt" w:hanging="18pt"/>
      </w:pPr>
      <w:rPr>
        <w:rFonts w:ascii="Courier New" w:hAnsi="Courier New" w:cs="Courier New" w:hint="default"/>
      </w:rPr>
    </w:lvl>
    <w:lvl w:ilvl="2" w:tplc="1112224E" w:tentative="1">
      <w:start w:val="1"/>
      <w:numFmt w:val="bullet"/>
      <w:lvlText w:val=""/>
      <w:lvlJc w:val="start"/>
      <w:pPr>
        <w:ind w:start="108pt" w:hanging="18pt"/>
      </w:pPr>
      <w:rPr>
        <w:rFonts w:ascii="Wingdings" w:hAnsi="Wingdings" w:hint="default"/>
      </w:rPr>
    </w:lvl>
    <w:lvl w:ilvl="3" w:tplc="9538EACA" w:tentative="1">
      <w:start w:val="1"/>
      <w:numFmt w:val="bullet"/>
      <w:lvlText w:val=""/>
      <w:lvlJc w:val="start"/>
      <w:pPr>
        <w:ind w:start="144pt" w:hanging="18pt"/>
      </w:pPr>
      <w:rPr>
        <w:rFonts w:ascii="Symbol" w:hAnsi="Symbol" w:hint="default"/>
      </w:rPr>
    </w:lvl>
    <w:lvl w:ilvl="4" w:tplc="EA8A3CC4" w:tentative="1">
      <w:start w:val="1"/>
      <w:numFmt w:val="bullet"/>
      <w:lvlText w:val="o"/>
      <w:lvlJc w:val="start"/>
      <w:pPr>
        <w:ind w:start="180pt" w:hanging="18pt"/>
      </w:pPr>
      <w:rPr>
        <w:rFonts w:ascii="Courier New" w:hAnsi="Courier New" w:cs="Courier New" w:hint="default"/>
      </w:rPr>
    </w:lvl>
    <w:lvl w:ilvl="5" w:tplc="911C81B6" w:tentative="1">
      <w:start w:val="1"/>
      <w:numFmt w:val="bullet"/>
      <w:lvlText w:val=""/>
      <w:lvlJc w:val="start"/>
      <w:pPr>
        <w:ind w:start="216pt" w:hanging="18pt"/>
      </w:pPr>
      <w:rPr>
        <w:rFonts w:ascii="Wingdings" w:hAnsi="Wingdings" w:hint="default"/>
      </w:rPr>
    </w:lvl>
    <w:lvl w:ilvl="6" w:tplc="BD90F32E" w:tentative="1">
      <w:start w:val="1"/>
      <w:numFmt w:val="bullet"/>
      <w:lvlText w:val=""/>
      <w:lvlJc w:val="start"/>
      <w:pPr>
        <w:ind w:start="252pt" w:hanging="18pt"/>
      </w:pPr>
      <w:rPr>
        <w:rFonts w:ascii="Symbol" w:hAnsi="Symbol" w:hint="default"/>
      </w:rPr>
    </w:lvl>
    <w:lvl w:ilvl="7" w:tplc="C5E8EFC6" w:tentative="1">
      <w:start w:val="1"/>
      <w:numFmt w:val="bullet"/>
      <w:lvlText w:val="o"/>
      <w:lvlJc w:val="start"/>
      <w:pPr>
        <w:ind w:start="288pt" w:hanging="18pt"/>
      </w:pPr>
      <w:rPr>
        <w:rFonts w:ascii="Courier New" w:hAnsi="Courier New" w:cs="Courier New" w:hint="default"/>
      </w:rPr>
    </w:lvl>
    <w:lvl w:ilvl="8" w:tplc="47003DA8" w:tentative="1">
      <w:start w:val="1"/>
      <w:numFmt w:val="bullet"/>
      <w:lvlText w:val=""/>
      <w:lvlJc w:val="start"/>
      <w:pPr>
        <w:ind w:start="324pt" w:hanging="18pt"/>
      </w:pPr>
      <w:rPr>
        <w:rFonts w:ascii="Wingdings" w:hAnsi="Wingdings" w:hint="default"/>
      </w:rPr>
    </w:lvl>
  </w:abstractNum>
  <w:abstractNum w:abstractNumId="138" w15:restartNumberingAfterBreak="0">
    <w:nsid w:val="425C0717"/>
    <w:multiLevelType w:val="hybridMultilevel"/>
    <w:tmpl w:val="42669B22"/>
    <w:lvl w:ilvl="0" w:tplc="50566CDA">
      <w:start w:val="1"/>
      <w:numFmt w:val="bullet"/>
      <w:pStyle w:val="NormalBulletChar"/>
      <w:lvlText w:val=""/>
      <w:lvlJc w:val="start"/>
      <w:pPr>
        <w:tabs>
          <w:tab w:val="num" w:pos="18pt"/>
        </w:tabs>
        <w:ind w:start="18pt" w:hanging="18pt"/>
      </w:pPr>
      <w:rPr>
        <w:rFonts w:ascii="Symbol" w:hAnsi="Symbol" w:hint="default"/>
        <w:color w:val="0000FF"/>
      </w:rPr>
    </w:lvl>
    <w:lvl w:ilvl="1" w:tplc="6B6C6CFA" w:tentative="1">
      <w:start w:val="1"/>
      <w:numFmt w:val="bullet"/>
      <w:lvlText w:val="o"/>
      <w:lvlJc w:val="start"/>
      <w:pPr>
        <w:tabs>
          <w:tab w:val="num" w:pos="72pt"/>
        </w:tabs>
        <w:ind w:start="72pt" w:hanging="18pt"/>
      </w:pPr>
      <w:rPr>
        <w:rFonts w:ascii="Courier New" w:hAnsi="Courier New" w:hint="default"/>
      </w:rPr>
    </w:lvl>
    <w:lvl w:ilvl="2" w:tplc="520E3596" w:tentative="1">
      <w:start w:val="1"/>
      <w:numFmt w:val="bullet"/>
      <w:lvlText w:val=""/>
      <w:lvlJc w:val="start"/>
      <w:pPr>
        <w:tabs>
          <w:tab w:val="num" w:pos="108pt"/>
        </w:tabs>
        <w:ind w:start="108pt" w:hanging="18pt"/>
      </w:pPr>
      <w:rPr>
        <w:rFonts w:ascii="Wingdings" w:hAnsi="Wingdings" w:hint="default"/>
      </w:rPr>
    </w:lvl>
    <w:lvl w:ilvl="3" w:tplc="21ECE00E" w:tentative="1">
      <w:start w:val="1"/>
      <w:numFmt w:val="bullet"/>
      <w:lvlText w:val=""/>
      <w:lvlJc w:val="start"/>
      <w:pPr>
        <w:tabs>
          <w:tab w:val="num" w:pos="144pt"/>
        </w:tabs>
        <w:ind w:start="144pt" w:hanging="18pt"/>
      </w:pPr>
      <w:rPr>
        <w:rFonts w:ascii="Symbol" w:hAnsi="Symbol" w:hint="default"/>
      </w:rPr>
    </w:lvl>
    <w:lvl w:ilvl="4" w:tplc="F7F64BC2" w:tentative="1">
      <w:start w:val="1"/>
      <w:numFmt w:val="bullet"/>
      <w:lvlText w:val="o"/>
      <w:lvlJc w:val="start"/>
      <w:pPr>
        <w:tabs>
          <w:tab w:val="num" w:pos="180pt"/>
        </w:tabs>
        <w:ind w:start="180pt" w:hanging="18pt"/>
      </w:pPr>
      <w:rPr>
        <w:rFonts w:ascii="Courier New" w:hAnsi="Courier New" w:hint="default"/>
      </w:rPr>
    </w:lvl>
    <w:lvl w:ilvl="5" w:tplc="D60E5E92" w:tentative="1">
      <w:start w:val="1"/>
      <w:numFmt w:val="bullet"/>
      <w:lvlText w:val=""/>
      <w:lvlJc w:val="start"/>
      <w:pPr>
        <w:tabs>
          <w:tab w:val="num" w:pos="216pt"/>
        </w:tabs>
        <w:ind w:start="216pt" w:hanging="18pt"/>
      </w:pPr>
      <w:rPr>
        <w:rFonts w:ascii="Wingdings" w:hAnsi="Wingdings" w:hint="default"/>
      </w:rPr>
    </w:lvl>
    <w:lvl w:ilvl="6" w:tplc="6FB4C820" w:tentative="1">
      <w:start w:val="1"/>
      <w:numFmt w:val="bullet"/>
      <w:lvlText w:val=""/>
      <w:lvlJc w:val="start"/>
      <w:pPr>
        <w:tabs>
          <w:tab w:val="num" w:pos="252pt"/>
        </w:tabs>
        <w:ind w:start="252pt" w:hanging="18pt"/>
      </w:pPr>
      <w:rPr>
        <w:rFonts w:ascii="Symbol" w:hAnsi="Symbol" w:hint="default"/>
      </w:rPr>
    </w:lvl>
    <w:lvl w:ilvl="7" w:tplc="157CBA34" w:tentative="1">
      <w:start w:val="1"/>
      <w:numFmt w:val="bullet"/>
      <w:lvlText w:val="o"/>
      <w:lvlJc w:val="start"/>
      <w:pPr>
        <w:tabs>
          <w:tab w:val="num" w:pos="288pt"/>
        </w:tabs>
        <w:ind w:start="288pt" w:hanging="18pt"/>
      </w:pPr>
      <w:rPr>
        <w:rFonts w:ascii="Courier New" w:hAnsi="Courier New" w:hint="default"/>
      </w:rPr>
    </w:lvl>
    <w:lvl w:ilvl="8" w:tplc="DC24CDFE" w:tentative="1">
      <w:start w:val="1"/>
      <w:numFmt w:val="bullet"/>
      <w:lvlText w:val=""/>
      <w:lvlJc w:val="start"/>
      <w:pPr>
        <w:tabs>
          <w:tab w:val="num" w:pos="324pt"/>
        </w:tabs>
        <w:ind w:start="324pt" w:hanging="18pt"/>
      </w:pPr>
      <w:rPr>
        <w:rFonts w:ascii="Wingdings" w:hAnsi="Wingdings" w:hint="default"/>
      </w:rPr>
    </w:lvl>
  </w:abstractNum>
  <w:abstractNum w:abstractNumId="139" w15:restartNumberingAfterBreak="0">
    <w:nsid w:val="433F0BC9"/>
    <w:multiLevelType w:val="hybridMultilevel"/>
    <w:tmpl w:val="98FA4EE0"/>
    <w:lvl w:ilvl="0" w:tplc="FBB62906">
      <w:start w:val="1"/>
      <w:numFmt w:val="bullet"/>
      <w:lvlText w:val=""/>
      <w:lvlJc w:val="start"/>
      <w:pPr>
        <w:ind w:start="54pt" w:hanging="18pt"/>
      </w:pPr>
      <w:rPr>
        <w:rFonts w:ascii="Symbol" w:hAnsi="Symbol" w:hint="default"/>
      </w:rPr>
    </w:lvl>
    <w:lvl w:ilvl="1" w:tplc="4DC016A2" w:tentative="1">
      <w:start w:val="1"/>
      <w:numFmt w:val="bullet"/>
      <w:lvlText w:val="o"/>
      <w:lvlJc w:val="start"/>
      <w:pPr>
        <w:ind w:start="90pt" w:hanging="18pt"/>
      </w:pPr>
      <w:rPr>
        <w:rFonts w:ascii="Courier New" w:hAnsi="Courier New" w:cs="Courier New" w:hint="default"/>
      </w:rPr>
    </w:lvl>
    <w:lvl w:ilvl="2" w:tplc="A5F88FD2" w:tentative="1">
      <w:start w:val="1"/>
      <w:numFmt w:val="bullet"/>
      <w:lvlText w:val=""/>
      <w:lvlJc w:val="start"/>
      <w:pPr>
        <w:ind w:start="126pt" w:hanging="18pt"/>
      </w:pPr>
      <w:rPr>
        <w:rFonts w:ascii="Wingdings" w:hAnsi="Wingdings" w:hint="default"/>
      </w:rPr>
    </w:lvl>
    <w:lvl w:ilvl="3" w:tplc="0AC80D40" w:tentative="1">
      <w:start w:val="1"/>
      <w:numFmt w:val="bullet"/>
      <w:lvlText w:val=""/>
      <w:lvlJc w:val="start"/>
      <w:pPr>
        <w:ind w:start="162pt" w:hanging="18pt"/>
      </w:pPr>
      <w:rPr>
        <w:rFonts w:ascii="Symbol" w:hAnsi="Symbol" w:hint="default"/>
      </w:rPr>
    </w:lvl>
    <w:lvl w:ilvl="4" w:tplc="C5A62874" w:tentative="1">
      <w:start w:val="1"/>
      <w:numFmt w:val="bullet"/>
      <w:lvlText w:val="o"/>
      <w:lvlJc w:val="start"/>
      <w:pPr>
        <w:ind w:start="198pt" w:hanging="18pt"/>
      </w:pPr>
      <w:rPr>
        <w:rFonts w:ascii="Courier New" w:hAnsi="Courier New" w:cs="Courier New" w:hint="default"/>
      </w:rPr>
    </w:lvl>
    <w:lvl w:ilvl="5" w:tplc="559E14C8" w:tentative="1">
      <w:start w:val="1"/>
      <w:numFmt w:val="bullet"/>
      <w:lvlText w:val=""/>
      <w:lvlJc w:val="start"/>
      <w:pPr>
        <w:ind w:start="234pt" w:hanging="18pt"/>
      </w:pPr>
      <w:rPr>
        <w:rFonts w:ascii="Wingdings" w:hAnsi="Wingdings" w:hint="default"/>
      </w:rPr>
    </w:lvl>
    <w:lvl w:ilvl="6" w:tplc="9D7ABD0A" w:tentative="1">
      <w:start w:val="1"/>
      <w:numFmt w:val="bullet"/>
      <w:lvlText w:val=""/>
      <w:lvlJc w:val="start"/>
      <w:pPr>
        <w:ind w:start="270pt" w:hanging="18pt"/>
      </w:pPr>
      <w:rPr>
        <w:rFonts w:ascii="Symbol" w:hAnsi="Symbol" w:hint="default"/>
      </w:rPr>
    </w:lvl>
    <w:lvl w:ilvl="7" w:tplc="B80C3844" w:tentative="1">
      <w:start w:val="1"/>
      <w:numFmt w:val="bullet"/>
      <w:lvlText w:val="o"/>
      <w:lvlJc w:val="start"/>
      <w:pPr>
        <w:ind w:start="306pt" w:hanging="18pt"/>
      </w:pPr>
      <w:rPr>
        <w:rFonts w:ascii="Courier New" w:hAnsi="Courier New" w:cs="Courier New" w:hint="default"/>
      </w:rPr>
    </w:lvl>
    <w:lvl w:ilvl="8" w:tplc="18E2EDA0" w:tentative="1">
      <w:start w:val="1"/>
      <w:numFmt w:val="bullet"/>
      <w:lvlText w:val=""/>
      <w:lvlJc w:val="start"/>
      <w:pPr>
        <w:ind w:start="342pt" w:hanging="18pt"/>
      </w:pPr>
      <w:rPr>
        <w:rFonts w:ascii="Wingdings" w:hAnsi="Wingdings" w:hint="default"/>
      </w:rPr>
    </w:lvl>
  </w:abstractNum>
  <w:abstractNum w:abstractNumId="140" w15:restartNumberingAfterBreak="0">
    <w:nsid w:val="442744A0"/>
    <w:multiLevelType w:val="hybridMultilevel"/>
    <w:tmpl w:val="F5266D60"/>
    <w:lvl w:ilvl="0" w:tplc="080A000D">
      <w:start w:val="1"/>
      <w:numFmt w:val="bullet"/>
      <w:lvlText w:val=""/>
      <w:lvlJc w:val="start"/>
      <w:pPr>
        <w:ind w:start="36pt" w:hanging="18pt"/>
      </w:pPr>
      <w:rPr>
        <w:rFonts w:ascii="Wingdings" w:hAnsi="Wingdings" w:hint="default"/>
      </w:rPr>
    </w:lvl>
    <w:lvl w:ilvl="1" w:tplc="080A0003">
      <w:start w:val="1"/>
      <w:numFmt w:val="bullet"/>
      <w:lvlText w:val="o"/>
      <w:lvlJc w:val="start"/>
      <w:pPr>
        <w:ind w:start="72pt" w:hanging="18pt"/>
      </w:pPr>
      <w:rPr>
        <w:rFonts w:ascii="Courier New" w:hAnsi="Courier New" w:cs="Courier New" w:hint="default"/>
      </w:rPr>
    </w:lvl>
    <w:lvl w:ilvl="2" w:tplc="080A0005">
      <w:start w:val="1"/>
      <w:numFmt w:val="bullet"/>
      <w:lvlText w:val=""/>
      <w:lvlJc w:val="start"/>
      <w:pPr>
        <w:ind w:start="108pt" w:hanging="18pt"/>
      </w:pPr>
      <w:rPr>
        <w:rFonts w:ascii="Wingdings" w:hAnsi="Wingdings" w:hint="default"/>
      </w:rPr>
    </w:lvl>
    <w:lvl w:ilvl="3" w:tplc="080A0001">
      <w:start w:val="1"/>
      <w:numFmt w:val="bullet"/>
      <w:lvlText w:val=""/>
      <w:lvlJc w:val="start"/>
      <w:pPr>
        <w:ind w:start="144pt" w:hanging="18pt"/>
      </w:pPr>
      <w:rPr>
        <w:rFonts w:ascii="Symbol" w:hAnsi="Symbol" w:hint="default"/>
      </w:rPr>
    </w:lvl>
    <w:lvl w:ilvl="4" w:tplc="080A0003">
      <w:start w:val="1"/>
      <w:numFmt w:val="bullet"/>
      <w:lvlText w:val="o"/>
      <w:lvlJc w:val="start"/>
      <w:pPr>
        <w:ind w:start="180pt" w:hanging="18pt"/>
      </w:pPr>
      <w:rPr>
        <w:rFonts w:ascii="Courier New" w:hAnsi="Courier New" w:cs="Courier New" w:hint="default"/>
      </w:rPr>
    </w:lvl>
    <w:lvl w:ilvl="5" w:tplc="080A0005">
      <w:start w:val="1"/>
      <w:numFmt w:val="bullet"/>
      <w:lvlText w:val=""/>
      <w:lvlJc w:val="start"/>
      <w:pPr>
        <w:ind w:start="216pt" w:hanging="18pt"/>
      </w:pPr>
      <w:rPr>
        <w:rFonts w:ascii="Wingdings" w:hAnsi="Wingdings" w:hint="default"/>
      </w:rPr>
    </w:lvl>
    <w:lvl w:ilvl="6" w:tplc="080A0001">
      <w:start w:val="1"/>
      <w:numFmt w:val="bullet"/>
      <w:lvlText w:val=""/>
      <w:lvlJc w:val="start"/>
      <w:pPr>
        <w:ind w:start="252pt" w:hanging="18pt"/>
      </w:pPr>
      <w:rPr>
        <w:rFonts w:ascii="Symbol" w:hAnsi="Symbol" w:hint="default"/>
      </w:rPr>
    </w:lvl>
    <w:lvl w:ilvl="7" w:tplc="080A0003">
      <w:start w:val="1"/>
      <w:numFmt w:val="bullet"/>
      <w:lvlText w:val="o"/>
      <w:lvlJc w:val="start"/>
      <w:pPr>
        <w:ind w:start="288pt" w:hanging="18pt"/>
      </w:pPr>
      <w:rPr>
        <w:rFonts w:ascii="Courier New" w:hAnsi="Courier New" w:cs="Courier New" w:hint="default"/>
      </w:rPr>
    </w:lvl>
    <w:lvl w:ilvl="8" w:tplc="080A0005">
      <w:start w:val="1"/>
      <w:numFmt w:val="bullet"/>
      <w:lvlText w:val=""/>
      <w:lvlJc w:val="start"/>
      <w:pPr>
        <w:ind w:start="324pt" w:hanging="18pt"/>
      </w:pPr>
      <w:rPr>
        <w:rFonts w:ascii="Wingdings" w:hAnsi="Wingdings" w:hint="default"/>
      </w:rPr>
    </w:lvl>
  </w:abstractNum>
  <w:abstractNum w:abstractNumId="141" w15:restartNumberingAfterBreak="0">
    <w:nsid w:val="442C0F69"/>
    <w:multiLevelType w:val="hybridMultilevel"/>
    <w:tmpl w:val="AB9275B8"/>
    <w:lvl w:ilvl="0" w:tplc="C914A910">
      <w:start w:val="6"/>
      <w:numFmt w:val="bullet"/>
      <w:lvlText w:val="•"/>
      <w:lvlJc w:val="start"/>
      <w:pPr>
        <w:ind w:start="126pt" w:hanging="18pt"/>
      </w:pPr>
      <w:rPr>
        <w:rFonts w:ascii="Century Gothic" w:eastAsia="Calibri" w:hAnsi="Century Gothic" w:cs="Arial" w:hint="default"/>
      </w:rPr>
    </w:lvl>
    <w:lvl w:ilvl="1" w:tplc="6C080AB2" w:tentative="1">
      <w:start w:val="1"/>
      <w:numFmt w:val="bullet"/>
      <w:lvlText w:val="o"/>
      <w:lvlJc w:val="start"/>
      <w:pPr>
        <w:ind w:start="162pt" w:hanging="18pt"/>
      </w:pPr>
      <w:rPr>
        <w:rFonts w:ascii="Courier New" w:hAnsi="Courier New" w:cs="Courier New" w:hint="default"/>
      </w:rPr>
    </w:lvl>
    <w:lvl w:ilvl="2" w:tplc="B1245FD2" w:tentative="1">
      <w:start w:val="1"/>
      <w:numFmt w:val="bullet"/>
      <w:lvlText w:val=""/>
      <w:lvlJc w:val="start"/>
      <w:pPr>
        <w:ind w:start="198pt" w:hanging="18pt"/>
      </w:pPr>
      <w:rPr>
        <w:rFonts w:ascii="Wingdings" w:hAnsi="Wingdings" w:hint="default"/>
      </w:rPr>
    </w:lvl>
    <w:lvl w:ilvl="3" w:tplc="4F8AFA5E" w:tentative="1">
      <w:start w:val="1"/>
      <w:numFmt w:val="bullet"/>
      <w:lvlText w:val=""/>
      <w:lvlJc w:val="start"/>
      <w:pPr>
        <w:ind w:start="234pt" w:hanging="18pt"/>
      </w:pPr>
      <w:rPr>
        <w:rFonts w:ascii="Symbol" w:hAnsi="Symbol" w:hint="default"/>
      </w:rPr>
    </w:lvl>
    <w:lvl w:ilvl="4" w:tplc="9C34DCEC" w:tentative="1">
      <w:start w:val="1"/>
      <w:numFmt w:val="bullet"/>
      <w:lvlText w:val="o"/>
      <w:lvlJc w:val="start"/>
      <w:pPr>
        <w:ind w:start="270pt" w:hanging="18pt"/>
      </w:pPr>
      <w:rPr>
        <w:rFonts w:ascii="Courier New" w:hAnsi="Courier New" w:cs="Courier New" w:hint="default"/>
      </w:rPr>
    </w:lvl>
    <w:lvl w:ilvl="5" w:tplc="FF76E8AA" w:tentative="1">
      <w:start w:val="1"/>
      <w:numFmt w:val="bullet"/>
      <w:lvlText w:val=""/>
      <w:lvlJc w:val="start"/>
      <w:pPr>
        <w:ind w:start="306pt" w:hanging="18pt"/>
      </w:pPr>
      <w:rPr>
        <w:rFonts w:ascii="Wingdings" w:hAnsi="Wingdings" w:hint="default"/>
      </w:rPr>
    </w:lvl>
    <w:lvl w:ilvl="6" w:tplc="7A8E1EA2" w:tentative="1">
      <w:start w:val="1"/>
      <w:numFmt w:val="bullet"/>
      <w:lvlText w:val=""/>
      <w:lvlJc w:val="start"/>
      <w:pPr>
        <w:ind w:start="342pt" w:hanging="18pt"/>
      </w:pPr>
      <w:rPr>
        <w:rFonts w:ascii="Symbol" w:hAnsi="Symbol" w:hint="default"/>
      </w:rPr>
    </w:lvl>
    <w:lvl w:ilvl="7" w:tplc="6F581166" w:tentative="1">
      <w:start w:val="1"/>
      <w:numFmt w:val="bullet"/>
      <w:lvlText w:val="o"/>
      <w:lvlJc w:val="start"/>
      <w:pPr>
        <w:ind w:start="378pt" w:hanging="18pt"/>
      </w:pPr>
      <w:rPr>
        <w:rFonts w:ascii="Courier New" w:hAnsi="Courier New" w:cs="Courier New" w:hint="default"/>
      </w:rPr>
    </w:lvl>
    <w:lvl w:ilvl="8" w:tplc="EB3AD366" w:tentative="1">
      <w:start w:val="1"/>
      <w:numFmt w:val="bullet"/>
      <w:lvlText w:val=""/>
      <w:lvlJc w:val="start"/>
      <w:pPr>
        <w:ind w:start="414pt" w:hanging="18pt"/>
      </w:pPr>
      <w:rPr>
        <w:rFonts w:ascii="Wingdings" w:hAnsi="Wingdings" w:hint="default"/>
      </w:rPr>
    </w:lvl>
  </w:abstractNum>
  <w:abstractNum w:abstractNumId="142" w15:restartNumberingAfterBreak="0">
    <w:nsid w:val="45AD51B4"/>
    <w:multiLevelType w:val="hybridMultilevel"/>
    <w:tmpl w:val="805A7EDA"/>
    <w:lvl w:ilvl="0" w:tplc="9DDC9F6A">
      <w:start w:val="6"/>
      <w:numFmt w:val="bullet"/>
      <w:lvlText w:val="•"/>
      <w:lvlJc w:val="start"/>
      <w:pPr>
        <w:ind w:start="43.10pt" w:hanging="18pt"/>
      </w:pPr>
      <w:rPr>
        <w:rFonts w:ascii="Century Gothic" w:eastAsia="Calibri" w:hAnsi="Century Gothic" w:cs="Arial" w:hint="default"/>
      </w:rPr>
    </w:lvl>
    <w:lvl w:ilvl="1" w:tplc="39A60E60" w:tentative="1">
      <w:start w:val="1"/>
      <w:numFmt w:val="bullet"/>
      <w:lvlText w:val="o"/>
      <w:lvlJc w:val="start"/>
      <w:pPr>
        <w:ind w:start="79.05pt" w:hanging="18pt"/>
      </w:pPr>
      <w:rPr>
        <w:rFonts w:ascii="Courier New" w:hAnsi="Courier New" w:cs="Courier New" w:hint="default"/>
      </w:rPr>
    </w:lvl>
    <w:lvl w:ilvl="2" w:tplc="D938D39C" w:tentative="1">
      <w:start w:val="1"/>
      <w:numFmt w:val="bullet"/>
      <w:lvlText w:val=""/>
      <w:lvlJc w:val="start"/>
      <w:pPr>
        <w:ind w:start="115.10pt" w:hanging="18pt"/>
      </w:pPr>
      <w:rPr>
        <w:rFonts w:ascii="Wingdings" w:hAnsi="Wingdings" w:hint="default"/>
      </w:rPr>
    </w:lvl>
    <w:lvl w:ilvl="3" w:tplc="830A81FE" w:tentative="1">
      <w:start w:val="1"/>
      <w:numFmt w:val="bullet"/>
      <w:lvlText w:val=""/>
      <w:lvlJc w:val="start"/>
      <w:pPr>
        <w:ind w:start="151.10pt" w:hanging="18pt"/>
      </w:pPr>
      <w:rPr>
        <w:rFonts w:ascii="Symbol" w:hAnsi="Symbol" w:hint="default"/>
      </w:rPr>
    </w:lvl>
    <w:lvl w:ilvl="4" w:tplc="8284AA2A" w:tentative="1">
      <w:start w:val="1"/>
      <w:numFmt w:val="bullet"/>
      <w:lvlText w:val="o"/>
      <w:lvlJc w:val="start"/>
      <w:pPr>
        <w:ind w:start="187.10pt" w:hanging="18pt"/>
      </w:pPr>
      <w:rPr>
        <w:rFonts w:ascii="Courier New" w:hAnsi="Courier New" w:cs="Courier New" w:hint="default"/>
      </w:rPr>
    </w:lvl>
    <w:lvl w:ilvl="5" w:tplc="99A82AAE" w:tentative="1">
      <w:start w:val="1"/>
      <w:numFmt w:val="bullet"/>
      <w:lvlText w:val=""/>
      <w:lvlJc w:val="start"/>
      <w:pPr>
        <w:ind w:start="223.10pt" w:hanging="18pt"/>
      </w:pPr>
      <w:rPr>
        <w:rFonts w:ascii="Wingdings" w:hAnsi="Wingdings" w:hint="default"/>
      </w:rPr>
    </w:lvl>
    <w:lvl w:ilvl="6" w:tplc="E21CD650" w:tentative="1">
      <w:start w:val="1"/>
      <w:numFmt w:val="bullet"/>
      <w:lvlText w:val=""/>
      <w:lvlJc w:val="start"/>
      <w:pPr>
        <w:ind w:start="259.10pt" w:hanging="18pt"/>
      </w:pPr>
      <w:rPr>
        <w:rFonts w:ascii="Symbol" w:hAnsi="Symbol" w:hint="default"/>
      </w:rPr>
    </w:lvl>
    <w:lvl w:ilvl="7" w:tplc="70D8715E" w:tentative="1">
      <w:start w:val="1"/>
      <w:numFmt w:val="bullet"/>
      <w:lvlText w:val="o"/>
      <w:lvlJc w:val="start"/>
      <w:pPr>
        <w:ind w:start="295.10pt" w:hanging="18pt"/>
      </w:pPr>
      <w:rPr>
        <w:rFonts w:ascii="Courier New" w:hAnsi="Courier New" w:cs="Courier New" w:hint="default"/>
      </w:rPr>
    </w:lvl>
    <w:lvl w:ilvl="8" w:tplc="B28AC78A" w:tentative="1">
      <w:start w:val="1"/>
      <w:numFmt w:val="bullet"/>
      <w:lvlText w:val=""/>
      <w:lvlJc w:val="start"/>
      <w:pPr>
        <w:ind w:start="331.10pt" w:hanging="18pt"/>
      </w:pPr>
      <w:rPr>
        <w:rFonts w:ascii="Wingdings" w:hAnsi="Wingdings" w:hint="default"/>
      </w:rPr>
    </w:lvl>
  </w:abstractNum>
  <w:abstractNum w:abstractNumId="143" w15:restartNumberingAfterBreak="0">
    <w:nsid w:val="45E22329"/>
    <w:multiLevelType w:val="hybridMultilevel"/>
    <w:tmpl w:val="F55C6CAC"/>
    <w:lvl w:ilvl="0" w:tplc="A04E7ED0">
      <w:start w:val="1"/>
      <w:numFmt w:val="bullet"/>
      <w:lvlText w:val=""/>
      <w:lvlJc w:val="start"/>
      <w:pPr>
        <w:ind w:start="36pt" w:hanging="18pt"/>
      </w:pPr>
      <w:rPr>
        <w:rFonts w:ascii="Symbol" w:hAnsi="Symbol" w:hint="default"/>
      </w:rPr>
    </w:lvl>
    <w:lvl w:ilvl="1" w:tplc="824E6864" w:tentative="1">
      <w:start w:val="1"/>
      <w:numFmt w:val="bullet"/>
      <w:lvlText w:val="o"/>
      <w:lvlJc w:val="start"/>
      <w:pPr>
        <w:ind w:start="72pt" w:hanging="18pt"/>
      </w:pPr>
      <w:rPr>
        <w:rFonts w:ascii="Courier New" w:hAnsi="Courier New" w:cs="Courier New" w:hint="default"/>
      </w:rPr>
    </w:lvl>
    <w:lvl w:ilvl="2" w:tplc="507868DA" w:tentative="1">
      <w:start w:val="1"/>
      <w:numFmt w:val="bullet"/>
      <w:lvlText w:val=""/>
      <w:lvlJc w:val="start"/>
      <w:pPr>
        <w:ind w:start="108pt" w:hanging="18pt"/>
      </w:pPr>
      <w:rPr>
        <w:rFonts w:ascii="Wingdings" w:hAnsi="Wingdings" w:hint="default"/>
      </w:rPr>
    </w:lvl>
    <w:lvl w:ilvl="3" w:tplc="06EE4D50" w:tentative="1">
      <w:start w:val="1"/>
      <w:numFmt w:val="bullet"/>
      <w:lvlText w:val=""/>
      <w:lvlJc w:val="start"/>
      <w:pPr>
        <w:ind w:start="144pt" w:hanging="18pt"/>
      </w:pPr>
      <w:rPr>
        <w:rFonts w:ascii="Symbol" w:hAnsi="Symbol" w:hint="default"/>
      </w:rPr>
    </w:lvl>
    <w:lvl w:ilvl="4" w:tplc="676AC3B4" w:tentative="1">
      <w:start w:val="1"/>
      <w:numFmt w:val="bullet"/>
      <w:lvlText w:val="o"/>
      <w:lvlJc w:val="start"/>
      <w:pPr>
        <w:ind w:start="180pt" w:hanging="18pt"/>
      </w:pPr>
      <w:rPr>
        <w:rFonts w:ascii="Courier New" w:hAnsi="Courier New" w:cs="Courier New" w:hint="default"/>
      </w:rPr>
    </w:lvl>
    <w:lvl w:ilvl="5" w:tplc="810AF5BA" w:tentative="1">
      <w:start w:val="1"/>
      <w:numFmt w:val="bullet"/>
      <w:lvlText w:val=""/>
      <w:lvlJc w:val="start"/>
      <w:pPr>
        <w:ind w:start="216pt" w:hanging="18pt"/>
      </w:pPr>
      <w:rPr>
        <w:rFonts w:ascii="Wingdings" w:hAnsi="Wingdings" w:hint="default"/>
      </w:rPr>
    </w:lvl>
    <w:lvl w:ilvl="6" w:tplc="8D7425F2" w:tentative="1">
      <w:start w:val="1"/>
      <w:numFmt w:val="bullet"/>
      <w:lvlText w:val=""/>
      <w:lvlJc w:val="start"/>
      <w:pPr>
        <w:ind w:start="252pt" w:hanging="18pt"/>
      </w:pPr>
      <w:rPr>
        <w:rFonts w:ascii="Symbol" w:hAnsi="Symbol" w:hint="default"/>
      </w:rPr>
    </w:lvl>
    <w:lvl w:ilvl="7" w:tplc="152EDC44" w:tentative="1">
      <w:start w:val="1"/>
      <w:numFmt w:val="bullet"/>
      <w:lvlText w:val="o"/>
      <w:lvlJc w:val="start"/>
      <w:pPr>
        <w:ind w:start="288pt" w:hanging="18pt"/>
      </w:pPr>
      <w:rPr>
        <w:rFonts w:ascii="Courier New" w:hAnsi="Courier New" w:cs="Courier New" w:hint="default"/>
      </w:rPr>
    </w:lvl>
    <w:lvl w:ilvl="8" w:tplc="B76078EC" w:tentative="1">
      <w:start w:val="1"/>
      <w:numFmt w:val="bullet"/>
      <w:lvlText w:val=""/>
      <w:lvlJc w:val="start"/>
      <w:pPr>
        <w:ind w:start="324pt" w:hanging="18pt"/>
      </w:pPr>
      <w:rPr>
        <w:rFonts w:ascii="Wingdings" w:hAnsi="Wingdings" w:hint="default"/>
      </w:rPr>
    </w:lvl>
  </w:abstractNum>
  <w:abstractNum w:abstractNumId="144" w15:restartNumberingAfterBreak="0">
    <w:nsid w:val="45FA5CE7"/>
    <w:multiLevelType w:val="hybridMultilevel"/>
    <w:tmpl w:val="85B02122"/>
    <w:lvl w:ilvl="0" w:tplc="4F7CD692">
      <w:start w:val="1"/>
      <w:numFmt w:val="bullet"/>
      <w:lvlText w:val=""/>
      <w:lvlJc w:val="start"/>
      <w:pPr>
        <w:ind w:start="36pt" w:hanging="18pt"/>
      </w:pPr>
      <w:rPr>
        <w:rFonts w:ascii="Symbol" w:hAnsi="Symbol" w:hint="default"/>
      </w:rPr>
    </w:lvl>
    <w:lvl w:ilvl="1" w:tplc="54326D2C">
      <w:start w:val="1"/>
      <w:numFmt w:val="bullet"/>
      <w:lvlText w:val="o"/>
      <w:lvlJc w:val="start"/>
      <w:pPr>
        <w:ind w:start="72pt" w:hanging="18pt"/>
      </w:pPr>
      <w:rPr>
        <w:rFonts w:ascii="Courier New" w:hAnsi="Courier New" w:cs="Courier New" w:hint="default"/>
      </w:rPr>
    </w:lvl>
    <w:lvl w:ilvl="2" w:tplc="AEE04E9C">
      <w:start w:val="1"/>
      <w:numFmt w:val="bullet"/>
      <w:lvlText w:val=""/>
      <w:lvlJc w:val="start"/>
      <w:pPr>
        <w:ind w:start="108pt" w:hanging="18pt"/>
      </w:pPr>
      <w:rPr>
        <w:rFonts w:ascii="Wingdings" w:hAnsi="Wingdings" w:hint="default"/>
      </w:rPr>
    </w:lvl>
    <w:lvl w:ilvl="3" w:tplc="25ACC39E">
      <w:start w:val="1"/>
      <w:numFmt w:val="bullet"/>
      <w:lvlText w:val=""/>
      <w:lvlJc w:val="start"/>
      <w:pPr>
        <w:ind w:start="144pt" w:hanging="18pt"/>
      </w:pPr>
      <w:rPr>
        <w:rFonts w:ascii="Symbol" w:hAnsi="Symbol" w:hint="default"/>
      </w:rPr>
    </w:lvl>
    <w:lvl w:ilvl="4" w:tplc="1114AF72">
      <w:start w:val="1"/>
      <w:numFmt w:val="bullet"/>
      <w:lvlText w:val="o"/>
      <w:lvlJc w:val="start"/>
      <w:pPr>
        <w:ind w:start="180pt" w:hanging="18pt"/>
      </w:pPr>
      <w:rPr>
        <w:rFonts w:ascii="Courier New" w:hAnsi="Courier New" w:cs="Courier New" w:hint="default"/>
      </w:rPr>
    </w:lvl>
    <w:lvl w:ilvl="5" w:tplc="2D0EEF3E">
      <w:start w:val="1"/>
      <w:numFmt w:val="bullet"/>
      <w:lvlText w:val=""/>
      <w:lvlJc w:val="start"/>
      <w:pPr>
        <w:ind w:start="216pt" w:hanging="18pt"/>
      </w:pPr>
      <w:rPr>
        <w:rFonts w:ascii="Wingdings" w:hAnsi="Wingdings" w:hint="default"/>
      </w:rPr>
    </w:lvl>
    <w:lvl w:ilvl="6" w:tplc="9D266664">
      <w:start w:val="1"/>
      <w:numFmt w:val="bullet"/>
      <w:lvlText w:val=""/>
      <w:lvlJc w:val="start"/>
      <w:pPr>
        <w:ind w:start="252pt" w:hanging="18pt"/>
      </w:pPr>
      <w:rPr>
        <w:rFonts w:ascii="Symbol" w:hAnsi="Symbol" w:hint="default"/>
      </w:rPr>
    </w:lvl>
    <w:lvl w:ilvl="7" w:tplc="7A3E0F98">
      <w:start w:val="1"/>
      <w:numFmt w:val="bullet"/>
      <w:lvlText w:val="o"/>
      <w:lvlJc w:val="start"/>
      <w:pPr>
        <w:ind w:start="288pt" w:hanging="18pt"/>
      </w:pPr>
      <w:rPr>
        <w:rFonts w:ascii="Courier New" w:hAnsi="Courier New" w:cs="Courier New" w:hint="default"/>
      </w:rPr>
    </w:lvl>
    <w:lvl w:ilvl="8" w:tplc="96C0B996">
      <w:start w:val="1"/>
      <w:numFmt w:val="bullet"/>
      <w:lvlText w:val=""/>
      <w:lvlJc w:val="start"/>
      <w:pPr>
        <w:ind w:start="324pt" w:hanging="18pt"/>
      </w:pPr>
      <w:rPr>
        <w:rFonts w:ascii="Wingdings" w:hAnsi="Wingdings" w:hint="default"/>
      </w:rPr>
    </w:lvl>
  </w:abstractNum>
  <w:abstractNum w:abstractNumId="145" w15:restartNumberingAfterBreak="0">
    <w:nsid w:val="466007B5"/>
    <w:multiLevelType w:val="multilevel"/>
    <w:tmpl w:val="FDA6629C"/>
    <w:styleLink w:val="Estilo3"/>
    <w:lvl w:ilvl="0">
      <w:start w:val="5"/>
      <w:numFmt w:val="decimal"/>
      <w:lvlText w:val="%1."/>
      <w:lvlJc w:val="start"/>
      <w:pPr>
        <w:ind w:start="18pt" w:hanging="18pt"/>
      </w:pPr>
      <w:rPr>
        <w:rFonts w:cs="Times New Roman" w:hint="default"/>
      </w:rPr>
    </w:lvl>
    <w:lvl w:ilvl="1">
      <w:start w:val="1"/>
      <w:numFmt w:val="decimal"/>
      <w:lvlText w:val="%1.%2."/>
      <w:lvlJc w:val="start"/>
      <w:pPr>
        <w:ind w:start="39.60pt" w:hanging="21.60pt"/>
      </w:pPr>
      <w:rPr>
        <w:rFonts w:cs="Times New Roman" w:hint="default"/>
      </w:rPr>
    </w:lvl>
    <w:lvl w:ilvl="2">
      <w:start w:val="1"/>
      <w:numFmt w:val="decimal"/>
      <w:lvlText w:val="%1.%2.%3."/>
      <w:lvlJc w:val="start"/>
      <w:pPr>
        <w:ind w:start="61.20pt" w:hanging="25.20pt"/>
      </w:pPr>
      <w:rPr>
        <w:rFonts w:cs="Times New Roman" w:hint="default"/>
      </w:rPr>
    </w:lvl>
    <w:lvl w:ilvl="3">
      <w:start w:val="1"/>
      <w:numFmt w:val="decimal"/>
      <w:lvlText w:val="%1.%2.%3.%4."/>
      <w:lvlJc w:val="start"/>
      <w:pPr>
        <w:ind w:start="86.40pt" w:hanging="32.40pt"/>
      </w:pPr>
      <w:rPr>
        <w:rFonts w:cs="Times New Roman" w:hint="default"/>
      </w:rPr>
    </w:lvl>
    <w:lvl w:ilvl="4">
      <w:start w:val="1"/>
      <w:numFmt w:val="decimal"/>
      <w:lvlText w:val="%1.%2.%3.%4.%5."/>
      <w:lvlJc w:val="start"/>
      <w:pPr>
        <w:ind w:start="111.60pt" w:hanging="39.60pt"/>
      </w:pPr>
      <w:rPr>
        <w:rFonts w:cs="Times New Roman" w:hint="default"/>
      </w:rPr>
    </w:lvl>
    <w:lvl w:ilvl="5">
      <w:start w:val="1"/>
      <w:numFmt w:val="decimal"/>
      <w:lvlText w:val="%1.%2.%3.%4.%5.%6."/>
      <w:lvlJc w:val="start"/>
      <w:pPr>
        <w:ind w:start="136.80pt" w:hanging="46.80pt"/>
      </w:pPr>
      <w:rPr>
        <w:rFonts w:cs="Times New Roman" w:hint="default"/>
      </w:rPr>
    </w:lvl>
    <w:lvl w:ilvl="6">
      <w:start w:val="1"/>
      <w:numFmt w:val="decimal"/>
      <w:lvlText w:val="%1.%2.%3.%4.%5.%6.%7."/>
      <w:lvlJc w:val="start"/>
      <w:pPr>
        <w:ind w:start="162pt" w:hanging="54pt"/>
      </w:pPr>
      <w:rPr>
        <w:rFonts w:cs="Times New Roman" w:hint="default"/>
      </w:rPr>
    </w:lvl>
    <w:lvl w:ilvl="7">
      <w:start w:val="1"/>
      <w:numFmt w:val="decimal"/>
      <w:lvlText w:val="%1.%2.%3.%4.%5.%6.%7.%8."/>
      <w:lvlJc w:val="start"/>
      <w:pPr>
        <w:ind w:start="187.20pt" w:hanging="61.20pt"/>
      </w:pPr>
      <w:rPr>
        <w:rFonts w:cs="Times New Roman" w:hint="default"/>
      </w:rPr>
    </w:lvl>
    <w:lvl w:ilvl="8">
      <w:start w:val="1"/>
      <w:numFmt w:val="decimal"/>
      <w:lvlText w:val="%1.%2.%3.%4.%5.%6.%7.%8.%9."/>
      <w:lvlJc w:val="start"/>
      <w:pPr>
        <w:ind w:start="216pt" w:hanging="72pt"/>
      </w:pPr>
      <w:rPr>
        <w:rFonts w:cs="Times New Roman" w:hint="default"/>
      </w:rPr>
    </w:lvl>
  </w:abstractNum>
  <w:abstractNum w:abstractNumId="146" w15:restartNumberingAfterBreak="0">
    <w:nsid w:val="46A913BB"/>
    <w:multiLevelType w:val="hybridMultilevel"/>
    <w:tmpl w:val="BDAE5A1E"/>
    <w:lvl w:ilvl="0" w:tplc="53C882DC">
      <w:start w:val="1"/>
      <w:numFmt w:val="bullet"/>
      <w:lvlText w:val=""/>
      <w:lvlJc w:val="start"/>
      <w:pPr>
        <w:ind w:start="54pt" w:hanging="18pt"/>
      </w:pPr>
      <w:rPr>
        <w:rFonts w:ascii="Wingdings" w:hAnsi="Wingdings" w:hint="default"/>
      </w:rPr>
    </w:lvl>
    <w:lvl w:ilvl="1" w:tplc="B3C2AE90" w:tentative="1">
      <w:start w:val="1"/>
      <w:numFmt w:val="bullet"/>
      <w:lvlText w:val="o"/>
      <w:lvlJc w:val="start"/>
      <w:pPr>
        <w:ind w:start="90pt" w:hanging="18pt"/>
      </w:pPr>
      <w:rPr>
        <w:rFonts w:ascii="Courier New" w:hAnsi="Courier New" w:cs="Courier New" w:hint="default"/>
      </w:rPr>
    </w:lvl>
    <w:lvl w:ilvl="2" w:tplc="3DFA155C" w:tentative="1">
      <w:start w:val="1"/>
      <w:numFmt w:val="bullet"/>
      <w:lvlText w:val=""/>
      <w:lvlJc w:val="start"/>
      <w:pPr>
        <w:ind w:start="126pt" w:hanging="18pt"/>
      </w:pPr>
      <w:rPr>
        <w:rFonts w:ascii="Wingdings" w:hAnsi="Wingdings" w:hint="default"/>
      </w:rPr>
    </w:lvl>
    <w:lvl w:ilvl="3" w:tplc="B1384012" w:tentative="1">
      <w:start w:val="1"/>
      <w:numFmt w:val="bullet"/>
      <w:lvlText w:val=""/>
      <w:lvlJc w:val="start"/>
      <w:pPr>
        <w:ind w:start="162pt" w:hanging="18pt"/>
      </w:pPr>
      <w:rPr>
        <w:rFonts w:ascii="Symbol" w:hAnsi="Symbol" w:hint="default"/>
      </w:rPr>
    </w:lvl>
    <w:lvl w:ilvl="4" w:tplc="6568E0FE" w:tentative="1">
      <w:start w:val="1"/>
      <w:numFmt w:val="bullet"/>
      <w:lvlText w:val="o"/>
      <w:lvlJc w:val="start"/>
      <w:pPr>
        <w:ind w:start="198pt" w:hanging="18pt"/>
      </w:pPr>
      <w:rPr>
        <w:rFonts w:ascii="Courier New" w:hAnsi="Courier New" w:cs="Courier New" w:hint="default"/>
      </w:rPr>
    </w:lvl>
    <w:lvl w:ilvl="5" w:tplc="EECE041C" w:tentative="1">
      <w:start w:val="1"/>
      <w:numFmt w:val="bullet"/>
      <w:lvlText w:val=""/>
      <w:lvlJc w:val="start"/>
      <w:pPr>
        <w:ind w:start="234pt" w:hanging="18pt"/>
      </w:pPr>
      <w:rPr>
        <w:rFonts w:ascii="Wingdings" w:hAnsi="Wingdings" w:hint="default"/>
      </w:rPr>
    </w:lvl>
    <w:lvl w:ilvl="6" w:tplc="F40C3786" w:tentative="1">
      <w:start w:val="1"/>
      <w:numFmt w:val="bullet"/>
      <w:lvlText w:val=""/>
      <w:lvlJc w:val="start"/>
      <w:pPr>
        <w:ind w:start="270pt" w:hanging="18pt"/>
      </w:pPr>
      <w:rPr>
        <w:rFonts w:ascii="Symbol" w:hAnsi="Symbol" w:hint="default"/>
      </w:rPr>
    </w:lvl>
    <w:lvl w:ilvl="7" w:tplc="775228CA" w:tentative="1">
      <w:start w:val="1"/>
      <w:numFmt w:val="bullet"/>
      <w:lvlText w:val="o"/>
      <w:lvlJc w:val="start"/>
      <w:pPr>
        <w:ind w:start="306pt" w:hanging="18pt"/>
      </w:pPr>
      <w:rPr>
        <w:rFonts w:ascii="Courier New" w:hAnsi="Courier New" w:cs="Courier New" w:hint="default"/>
      </w:rPr>
    </w:lvl>
    <w:lvl w:ilvl="8" w:tplc="1EAAD340" w:tentative="1">
      <w:start w:val="1"/>
      <w:numFmt w:val="bullet"/>
      <w:lvlText w:val=""/>
      <w:lvlJc w:val="start"/>
      <w:pPr>
        <w:ind w:start="342pt" w:hanging="18pt"/>
      </w:pPr>
      <w:rPr>
        <w:rFonts w:ascii="Wingdings" w:hAnsi="Wingdings" w:hint="default"/>
      </w:rPr>
    </w:lvl>
  </w:abstractNum>
  <w:abstractNum w:abstractNumId="147" w15:restartNumberingAfterBreak="0">
    <w:nsid w:val="47775A37"/>
    <w:multiLevelType w:val="hybridMultilevel"/>
    <w:tmpl w:val="018C90BC"/>
    <w:lvl w:ilvl="0" w:tplc="080A0001">
      <w:start w:val="1"/>
      <w:numFmt w:val="bullet"/>
      <w:lvlText w:val=""/>
      <w:lvlJc w:val="start"/>
      <w:pPr>
        <w:ind w:start="54.15pt" w:hanging="18pt"/>
      </w:pPr>
      <w:rPr>
        <w:rFonts w:ascii="Symbol" w:hAnsi="Symbol" w:hint="default"/>
      </w:rPr>
    </w:lvl>
    <w:lvl w:ilvl="1" w:tplc="080A0003" w:tentative="1">
      <w:start w:val="1"/>
      <w:numFmt w:val="bullet"/>
      <w:lvlText w:val="o"/>
      <w:lvlJc w:val="start"/>
      <w:pPr>
        <w:ind w:start="90.15pt" w:hanging="18pt"/>
      </w:pPr>
      <w:rPr>
        <w:rFonts w:ascii="Courier New" w:hAnsi="Courier New" w:cs="Courier New" w:hint="default"/>
      </w:rPr>
    </w:lvl>
    <w:lvl w:ilvl="2" w:tplc="080A0005" w:tentative="1">
      <w:start w:val="1"/>
      <w:numFmt w:val="bullet"/>
      <w:lvlText w:val=""/>
      <w:lvlJc w:val="start"/>
      <w:pPr>
        <w:ind w:start="126.15pt" w:hanging="18pt"/>
      </w:pPr>
      <w:rPr>
        <w:rFonts w:ascii="Wingdings" w:hAnsi="Wingdings" w:hint="default"/>
      </w:rPr>
    </w:lvl>
    <w:lvl w:ilvl="3" w:tplc="080A0001" w:tentative="1">
      <w:start w:val="1"/>
      <w:numFmt w:val="bullet"/>
      <w:lvlText w:val=""/>
      <w:lvlJc w:val="start"/>
      <w:pPr>
        <w:ind w:start="162.15pt" w:hanging="18pt"/>
      </w:pPr>
      <w:rPr>
        <w:rFonts w:ascii="Symbol" w:hAnsi="Symbol" w:hint="default"/>
      </w:rPr>
    </w:lvl>
    <w:lvl w:ilvl="4" w:tplc="080A0003" w:tentative="1">
      <w:start w:val="1"/>
      <w:numFmt w:val="bullet"/>
      <w:lvlText w:val="o"/>
      <w:lvlJc w:val="start"/>
      <w:pPr>
        <w:ind w:start="198.15pt" w:hanging="18pt"/>
      </w:pPr>
      <w:rPr>
        <w:rFonts w:ascii="Courier New" w:hAnsi="Courier New" w:cs="Courier New" w:hint="default"/>
      </w:rPr>
    </w:lvl>
    <w:lvl w:ilvl="5" w:tplc="080A0005" w:tentative="1">
      <w:start w:val="1"/>
      <w:numFmt w:val="bullet"/>
      <w:lvlText w:val=""/>
      <w:lvlJc w:val="start"/>
      <w:pPr>
        <w:ind w:start="234.15pt" w:hanging="18pt"/>
      </w:pPr>
      <w:rPr>
        <w:rFonts w:ascii="Wingdings" w:hAnsi="Wingdings" w:hint="default"/>
      </w:rPr>
    </w:lvl>
    <w:lvl w:ilvl="6" w:tplc="080A0001" w:tentative="1">
      <w:start w:val="1"/>
      <w:numFmt w:val="bullet"/>
      <w:lvlText w:val=""/>
      <w:lvlJc w:val="start"/>
      <w:pPr>
        <w:ind w:start="270.15pt" w:hanging="18pt"/>
      </w:pPr>
      <w:rPr>
        <w:rFonts w:ascii="Symbol" w:hAnsi="Symbol" w:hint="default"/>
      </w:rPr>
    </w:lvl>
    <w:lvl w:ilvl="7" w:tplc="080A0003" w:tentative="1">
      <w:start w:val="1"/>
      <w:numFmt w:val="bullet"/>
      <w:lvlText w:val="o"/>
      <w:lvlJc w:val="start"/>
      <w:pPr>
        <w:ind w:start="306.15pt" w:hanging="18pt"/>
      </w:pPr>
      <w:rPr>
        <w:rFonts w:ascii="Courier New" w:hAnsi="Courier New" w:cs="Courier New" w:hint="default"/>
      </w:rPr>
    </w:lvl>
    <w:lvl w:ilvl="8" w:tplc="080A0005" w:tentative="1">
      <w:start w:val="1"/>
      <w:numFmt w:val="bullet"/>
      <w:lvlText w:val=""/>
      <w:lvlJc w:val="start"/>
      <w:pPr>
        <w:ind w:start="342.15pt" w:hanging="18pt"/>
      </w:pPr>
      <w:rPr>
        <w:rFonts w:ascii="Wingdings" w:hAnsi="Wingdings" w:hint="default"/>
      </w:rPr>
    </w:lvl>
  </w:abstractNum>
  <w:abstractNum w:abstractNumId="148" w15:restartNumberingAfterBreak="0">
    <w:nsid w:val="478B62CA"/>
    <w:multiLevelType w:val="hybridMultilevel"/>
    <w:tmpl w:val="223CD4CE"/>
    <w:lvl w:ilvl="0" w:tplc="76609D84">
      <w:start w:val="1"/>
      <w:numFmt w:val="decimal"/>
      <w:pStyle w:val="FIGURAS"/>
      <w:lvlText w:val="Figura %1."/>
      <w:lvlJc w:val="start"/>
      <w:pPr>
        <w:ind w:start="223.60pt" w:hanging="18pt"/>
      </w:pPr>
      <w:rPr>
        <w:rFonts w:ascii="Century Gothic" w:hAnsi="Century Gothic" w:cs="Times New Roman" w:hint="default"/>
        <w:b w:val="0"/>
        <w:bCs w:val="0"/>
        <w:i w:val="0"/>
        <w:iCs w:val="0"/>
        <w:caps w:val="0"/>
        <w:smallCaps w:val="0"/>
        <w:strike w:val="0"/>
        <w:dstrike w:val="0"/>
        <w:vanish w:val="0"/>
        <w:color w:val="auto"/>
        <w:spacing w:val="0"/>
        <w:w w:val="100%"/>
        <w:kern w:val="0"/>
        <w:position w:val="0"/>
        <w:sz w:val="20"/>
        <w:szCs w:val="20"/>
        <w:u w:val="none" w:color="000000"/>
        <w:vertAlign w:val="baseline"/>
      </w:rPr>
    </w:lvl>
    <w:lvl w:ilvl="1" w:tplc="59544726">
      <w:start w:val="1"/>
      <w:numFmt w:val="bullet"/>
      <w:lvlText w:val=""/>
      <w:lvlJc w:val="start"/>
      <w:pPr>
        <w:tabs>
          <w:tab w:val="num" w:pos="114.55pt"/>
        </w:tabs>
        <w:ind w:start="114.55pt" w:hanging="18pt"/>
      </w:pPr>
      <w:rPr>
        <w:rFonts w:ascii="Symbol" w:hAnsi="Symbol" w:hint="default"/>
        <w:sz w:val="24"/>
      </w:rPr>
    </w:lvl>
    <w:lvl w:ilvl="2" w:tplc="FFEA4FAE" w:tentative="1">
      <w:start w:val="1"/>
      <w:numFmt w:val="lowerRoman"/>
      <w:lvlText w:val="%3."/>
      <w:lvlJc w:val="end"/>
      <w:pPr>
        <w:ind w:start="150.55pt" w:hanging="9pt"/>
      </w:pPr>
      <w:rPr>
        <w:rFonts w:cs="Times New Roman"/>
      </w:rPr>
    </w:lvl>
    <w:lvl w:ilvl="3" w:tplc="1E3A1E7A" w:tentative="1">
      <w:start w:val="1"/>
      <w:numFmt w:val="decimal"/>
      <w:lvlText w:val="%4."/>
      <w:lvlJc w:val="start"/>
      <w:pPr>
        <w:ind w:start="186.55pt" w:hanging="18pt"/>
      </w:pPr>
      <w:rPr>
        <w:rFonts w:cs="Times New Roman"/>
      </w:rPr>
    </w:lvl>
    <w:lvl w:ilvl="4" w:tplc="76B0DEF2" w:tentative="1">
      <w:start w:val="1"/>
      <w:numFmt w:val="lowerLetter"/>
      <w:lvlText w:val="%5."/>
      <w:lvlJc w:val="start"/>
      <w:pPr>
        <w:ind w:start="222.55pt" w:hanging="18pt"/>
      </w:pPr>
      <w:rPr>
        <w:rFonts w:cs="Times New Roman"/>
      </w:rPr>
    </w:lvl>
    <w:lvl w:ilvl="5" w:tplc="994A1ABE" w:tentative="1">
      <w:start w:val="1"/>
      <w:numFmt w:val="lowerRoman"/>
      <w:lvlText w:val="%6."/>
      <w:lvlJc w:val="end"/>
      <w:pPr>
        <w:ind w:start="258.55pt" w:hanging="9pt"/>
      </w:pPr>
      <w:rPr>
        <w:rFonts w:cs="Times New Roman"/>
      </w:rPr>
    </w:lvl>
    <w:lvl w:ilvl="6" w:tplc="315044A6" w:tentative="1">
      <w:start w:val="1"/>
      <w:numFmt w:val="decimal"/>
      <w:lvlText w:val="%7."/>
      <w:lvlJc w:val="start"/>
      <w:pPr>
        <w:ind w:start="294.55pt" w:hanging="18pt"/>
      </w:pPr>
      <w:rPr>
        <w:rFonts w:cs="Times New Roman"/>
      </w:rPr>
    </w:lvl>
    <w:lvl w:ilvl="7" w:tplc="EBC46A3E" w:tentative="1">
      <w:start w:val="1"/>
      <w:numFmt w:val="lowerLetter"/>
      <w:lvlText w:val="%8."/>
      <w:lvlJc w:val="start"/>
      <w:pPr>
        <w:ind w:start="330.55pt" w:hanging="18pt"/>
      </w:pPr>
      <w:rPr>
        <w:rFonts w:cs="Times New Roman"/>
      </w:rPr>
    </w:lvl>
    <w:lvl w:ilvl="8" w:tplc="69044F6C" w:tentative="1">
      <w:start w:val="1"/>
      <w:numFmt w:val="lowerRoman"/>
      <w:lvlText w:val="%9."/>
      <w:lvlJc w:val="end"/>
      <w:pPr>
        <w:ind w:start="366.55pt" w:hanging="9pt"/>
      </w:pPr>
      <w:rPr>
        <w:rFonts w:cs="Times New Roman"/>
      </w:rPr>
    </w:lvl>
  </w:abstractNum>
  <w:abstractNum w:abstractNumId="149" w15:restartNumberingAfterBreak="0">
    <w:nsid w:val="47C64095"/>
    <w:multiLevelType w:val="hybridMultilevel"/>
    <w:tmpl w:val="E2CC2B62"/>
    <w:lvl w:ilvl="0" w:tplc="080A000D">
      <w:start w:val="1"/>
      <w:numFmt w:val="bullet"/>
      <w:lvlText w:val=""/>
      <w:lvlJc w:val="start"/>
      <w:pPr>
        <w:ind w:start="37.70pt" w:hanging="18pt"/>
      </w:pPr>
      <w:rPr>
        <w:rFonts w:ascii="Wingdings" w:hAnsi="Wingdings" w:hint="default"/>
      </w:rPr>
    </w:lvl>
    <w:lvl w:ilvl="1" w:tplc="080A0003">
      <w:start w:val="1"/>
      <w:numFmt w:val="bullet"/>
      <w:lvlText w:val="o"/>
      <w:lvlJc w:val="start"/>
      <w:pPr>
        <w:ind w:start="73.70pt" w:hanging="18pt"/>
      </w:pPr>
      <w:rPr>
        <w:rFonts w:ascii="Courier New" w:hAnsi="Courier New" w:cs="Courier New" w:hint="default"/>
      </w:rPr>
    </w:lvl>
    <w:lvl w:ilvl="2" w:tplc="080A0005">
      <w:start w:val="1"/>
      <w:numFmt w:val="bullet"/>
      <w:lvlText w:val=""/>
      <w:lvlJc w:val="start"/>
      <w:pPr>
        <w:ind w:start="109.70pt" w:hanging="18pt"/>
      </w:pPr>
      <w:rPr>
        <w:rFonts w:ascii="Wingdings" w:hAnsi="Wingdings" w:hint="default"/>
      </w:rPr>
    </w:lvl>
    <w:lvl w:ilvl="3" w:tplc="080A0001">
      <w:start w:val="1"/>
      <w:numFmt w:val="bullet"/>
      <w:lvlText w:val=""/>
      <w:lvlJc w:val="start"/>
      <w:pPr>
        <w:ind w:start="145.70pt" w:hanging="18pt"/>
      </w:pPr>
      <w:rPr>
        <w:rFonts w:ascii="Symbol" w:hAnsi="Symbol" w:hint="default"/>
      </w:rPr>
    </w:lvl>
    <w:lvl w:ilvl="4" w:tplc="080A0003">
      <w:start w:val="1"/>
      <w:numFmt w:val="bullet"/>
      <w:lvlText w:val="o"/>
      <w:lvlJc w:val="start"/>
      <w:pPr>
        <w:ind w:start="181.70pt" w:hanging="18pt"/>
      </w:pPr>
      <w:rPr>
        <w:rFonts w:ascii="Courier New" w:hAnsi="Courier New" w:cs="Courier New" w:hint="default"/>
      </w:rPr>
    </w:lvl>
    <w:lvl w:ilvl="5" w:tplc="080A0005">
      <w:start w:val="1"/>
      <w:numFmt w:val="bullet"/>
      <w:lvlText w:val=""/>
      <w:lvlJc w:val="start"/>
      <w:pPr>
        <w:ind w:start="217.70pt" w:hanging="18pt"/>
      </w:pPr>
      <w:rPr>
        <w:rFonts w:ascii="Wingdings" w:hAnsi="Wingdings" w:hint="default"/>
      </w:rPr>
    </w:lvl>
    <w:lvl w:ilvl="6" w:tplc="080A0001">
      <w:start w:val="1"/>
      <w:numFmt w:val="bullet"/>
      <w:lvlText w:val=""/>
      <w:lvlJc w:val="start"/>
      <w:pPr>
        <w:ind w:start="253.70pt" w:hanging="18pt"/>
      </w:pPr>
      <w:rPr>
        <w:rFonts w:ascii="Symbol" w:hAnsi="Symbol" w:hint="default"/>
      </w:rPr>
    </w:lvl>
    <w:lvl w:ilvl="7" w:tplc="080A0003">
      <w:start w:val="1"/>
      <w:numFmt w:val="bullet"/>
      <w:lvlText w:val="o"/>
      <w:lvlJc w:val="start"/>
      <w:pPr>
        <w:ind w:start="289.70pt" w:hanging="18pt"/>
      </w:pPr>
      <w:rPr>
        <w:rFonts w:ascii="Courier New" w:hAnsi="Courier New" w:cs="Courier New" w:hint="default"/>
      </w:rPr>
    </w:lvl>
    <w:lvl w:ilvl="8" w:tplc="080A0005">
      <w:start w:val="1"/>
      <w:numFmt w:val="bullet"/>
      <w:lvlText w:val=""/>
      <w:lvlJc w:val="start"/>
      <w:pPr>
        <w:ind w:start="325.70pt" w:hanging="18pt"/>
      </w:pPr>
      <w:rPr>
        <w:rFonts w:ascii="Wingdings" w:hAnsi="Wingdings" w:hint="default"/>
      </w:rPr>
    </w:lvl>
  </w:abstractNum>
  <w:abstractNum w:abstractNumId="150" w15:restartNumberingAfterBreak="0">
    <w:nsid w:val="48231BD4"/>
    <w:multiLevelType w:val="hybridMultilevel"/>
    <w:tmpl w:val="80FCA8AC"/>
    <w:lvl w:ilvl="0" w:tplc="080A000D">
      <w:start w:val="1"/>
      <w:numFmt w:val="bullet"/>
      <w:lvlText w:val=""/>
      <w:lvlJc w:val="start"/>
      <w:pPr>
        <w:ind w:start="36pt" w:hanging="18pt"/>
      </w:pPr>
      <w:rPr>
        <w:rFonts w:ascii="Wingdings" w:hAnsi="Wingdings" w:hint="default"/>
      </w:rPr>
    </w:lvl>
    <w:lvl w:ilvl="1" w:tplc="080A0003">
      <w:start w:val="1"/>
      <w:numFmt w:val="bullet"/>
      <w:lvlText w:val="o"/>
      <w:lvlJc w:val="start"/>
      <w:pPr>
        <w:ind w:start="72pt" w:hanging="18pt"/>
      </w:pPr>
      <w:rPr>
        <w:rFonts w:ascii="Courier New" w:hAnsi="Courier New" w:cs="Courier New" w:hint="default"/>
      </w:rPr>
    </w:lvl>
    <w:lvl w:ilvl="2" w:tplc="080A0005">
      <w:start w:val="1"/>
      <w:numFmt w:val="bullet"/>
      <w:lvlText w:val=""/>
      <w:lvlJc w:val="start"/>
      <w:pPr>
        <w:ind w:start="108pt" w:hanging="18pt"/>
      </w:pPr>
      <w:rPr>
        <w:rFonts w:ascii="Wingdings" w:hAnsi="Wingdings" w:hint="default"/>
      </w:rPr>
    </w:lvl>
    <w:lvl w:ilvl="3" w:tplc="080A0001">
      <w:start w:val="1"/>
      <w:numFmt w:val="bullet"/>
      <w:lvlText w:val=""/>
      <w:lvlJc w:val="start"/>
      <w:pPr>
        <w:ind w:start="144pt" w:hanging="18pt"/>
      </w:pPr>
      <w:rPr>
        <w:rFonts w:ascii="Symbol" w:hAnsi="Symbol" w:hint="default"/>
      </w:rPr>
    </w:lvl>
    <w:lvl w:ilvl="4" w:tplc="080A0003">
      <w:start w:val="1"/>
      <w:numFmt w:val="bullet"/>
      <w:lvlText w:val="o"/>
      <w:lvlJc w:val="start"/>
      <w:pPr>
        <w:ind w:start="180pt" w:hanging="18pt"/>
      </w:pPr>
      <w:rPr>
        <w:rFonts w:ascii="Courier New" w:hAnsi="Courier New" w:cs="Courier New" w:hint="default"/>
      </w:rPr>
    </w:lvl>
    <w:lvl w:ilvl="5" w:tplc="080A0005">
      <w:start w:val="1"/>
      <w:numFmt w:val="bullet"/>
      <w:lvlText w:val=""/>
      <w:lvlJc w:val="start"/>
      <w:pPr>
        <w:ind w:start="216pt" w:hanging="18pt"/>
      </w:pPr>
      <w:rPr>
        <w:rFonts w:ascii="Wingdings" w:hAnsi="Wingdings" w:hint="default"/>
      </w:rPr>
    </w:lvl>
    <w:lvl w:ilvl="6" w:tplc="080A0001">
      <w:start w:val="1"/>
      <w:numFmt w:val="bullet"/>
      <w:lvlText w:val=""/>
      <w:lvlJc w:val="start"/>
      <w:pPr>
        <w:ind w:start="252pt" w:hanging="18pt"/>
      </w:pPr>
      <w:rPr>
        <w:rFonts w:ascii="Symbol" w:hAnsi="Symbol" w:hint="default"/>
      </w:rPr>
    </w:lvl>
    <w:lvl w:ilvl="7" w:tplc="080A0003">
      <w:start w:val="1"/>
      <w:numFmt w:val="bullet"/>
      <w:lvlText w:val="o"/>
      <w:lvlJc w:val="start"/>
      <w:pPr>
        <w:ind w:start="288pt" w:hanging="18pt"/>
      </w:pPr>
      <w:rPr>
        <w:rFonts w:ascii="Courier New" w:hAnsi="Courier New" w:cs="Courier New" w:hint="default"/>
      </w:rPr>
    </w:lvl>
    <w:lvl w:ilvl="8" w:tplc="080A0005">
      <w:start w:val="1"/>
      <w:numFmt w:val="bullet"/>
      <w:lvlText w:val=""/>
      <w:lvlJc w:val="start"/>
      <w:pPr>
        <w:ind w:start="324pt" w:hanging="18pt"/>
      </w:pPr>
      <w:rPr>
        <w:rFonts w:ascii="Wingdings" w:hAnsi="Wingdings" w:hint="default"/>
      </w:rPr>
    </w:lvl>
  </w:abstractNum>
  <w:abstractNum w:abstractNumId="151" w15:restartNumberingAfterBreak="0">
    <w:nsid w:val="484D661A"/>
    <w:multiLevelType w:val="hybridMultilevel"/>
    <w:tmpl w:val="9E92CE4C"/>
    <w:lvl w:ilvl="0" w:tplc="12128A96">
      <w:start w:val="1"/>
      <w:numFmt w:val="bullet"/>
      <w:lvlText w:val=""/>
      <w:lvlJc w:val="start"/>
      <w:pPr>
        <w:ind w:start="36pt" w:hanging="18pt"/>
      </w:pPr>
      <w:rPr>
        <w:rFonts w:ascii="Symbol" w:hAnsi="Symbol" w:hint="default"/>
      </w:rPr>
    </w:lvl>
    <w:lvl w:ilvl="1" w:tplc="4498E116" w:tentative="1">
      <w:start w:val="1"/>
      <w:numFmt w:val="bullet"/>
      <w:lvlText w:val="o"/>
      <w:lvlJc w:val="start"/>
      <w:pPr>
        <w:ind w:start="72pt" w:hanging="18pt"/>
      </w:pPr>
      <w:rPr>
        <w:rFonts w:ascii="Courier New" w:hAnsi="Courier New" w:cs="Courier New" w:hint="default"/>
      </w:rPr>
    </w:lvl>
    <w:lvl w:ilvl="2" w:tplc="9A5A0A6A" w:tentative="1">
      <w:start w:val="1"/>
      <w:numFmt w:val="bullet"/>
      <w:lvlText w:val=""/>
      <w:lvlJc w:val="start"/>
      <w:pPr>
        <w:ind w:start="108pt" w:hanging="18pt"/>
      </w:pPr>
      <w:rPr>
        <w:rFonts w:ascii="Wingdings" w:hAnsi="Wingdings" w:hint="default"/>
      </w:rPr>
    </w:lvl>
    <w:lvl w:ilvl="3" w:tplc="C25E32F8" w:tentative="1">
      <w:start w:val="1"/>
      <w:numFmt w:val="bullet"/>
      <w:lvlText w:val=""/>
      <w:lvlJc w:val="start"/>
      <w:pPr>
        <w:ind w:start="144pt" w:hanging="18pt"/>
      </w:pPr>
      <w:rPr>
        <w:rFonts w:ascii="Symbol" w:hAnsi="Symbol" w:hint="default"/>
      </w:rPr>
    </w:lvl>
    <w:lvl w:ilvl="4" w:tplc="CD9C5478" w:tentative="1">
      <w:start w:val="1"/>
      <w:numFmt w:val="bullet"/>
      <w:lvlText w:val="o"/>
      <w:lvlJc w:val="start"/>
      <w:pPr>
        <w:ind w:start="180pt" w:hanging="18pt"/>
      </w:pPr>
      <w:rPr>
        <w:rFonts w:ascii="Courier New" w:hAnsi="Courier New" w:cs="Courier New" w:hint="default"/>
      </w:rPr>
    </w:lvl>
    <w:lvl w:ilvl="5" w:tplc="F5484E66" w:tentative="1">
      <w:start w:val="1"/>
      <w:numFmt w:val="bullet"/>
      <w:lvlText w:val=""/>
      <w:lvlJc w:val="start"/>
      <w:pPr>
        <w:ind w:start="216pt" w:hanging="18pt"/>
      </w:pPr>
      <w:rPr>
        <w:rFonts w:ascii="Wingdings" w:hAnsi="Wingdings" w:hint="default"/>
      </w:rPr>
    </w:lvl>
    <w:lvl w:ilvl="6" w:tplc="2B96716E" w:tentative="1">
      <w:start w:val="1"/>
      <w:numFmt w:val="bullet"/>
      <w:lvlText w:val=""/>
      <w:lvlJc w:val="start"/>
      <w:pPr>
        <w:ind w:start="252pt" w:hanging="18pt"/>
      </w:pPr>
      <w:rPr>
        <w:rFonts w:ascii="Symbol" w:hAnsi="Symbol" w:hint="default"/>
      </w:rPr>
    </w:lvl>
    <w:lvl w:ilvl="7" w:tplc="054C7414" w:tentative="1">
      <w:start w:val="1"/>
      <w:numFmt w:val="bullet"/>
      <w:lvlText w:val="o"/>
      <w:lvlJc w:val="start"/>
      <w:pPr>
        <w:ind w:start="288pt" w:hanging="18pt"/>
      </w:pPr>
      <w:rPr>
        <w:rFonts w:ascii="Courier New" w:hAnsi="Courier New" w:cs="Courier New" w:hint="default"/>
      </w:rPr>
    </w:lvl>
    <w:lvl w:ilvl="8" w:tplc="B5BECB84" w:tentative="1">
      <w:start w:val="1"/>
      <w:numFmt w:val="bullet"/>
      <w:lvlText w:val=""/>
      <w:lvlJc w:val="start"/>
      <w:pPr>
        <w:ind w:start="324pt" w:hanging="18pt"/>
      </w:pPr>
      <w:rPr>
        <w:rFonts w:ascii="Wingdings" w:hAnsi="Wingdings" w:hint="default"/>
      </w:rPr>
    </w:lvl>
  </w:abstractNum>
  <w:abstractNum w:abstractNumId="152" w15:restartNumberingAfterBreak="0">
    <w:nsid w:val="485820AB"/>
    <w:multiLevelType w:val="hybridMultilevel"/>
    <w:tmpl w:val="E0048192"/>
    <w:lvl w:ilvl="0" w:tplc="DEC012F0">
      <w:start w:val="1"/>
      <w:numFmt w:val="bullet"/>
      <w:lvlText w:val=""/>
      <w:lvlJc w:val="start"/>
      <w:pPr>
        <w:ind w:start="36pt" w:hanging="18pt"/>
      </w:pPr>
      <w:rPr>
        <w:rFonts w:ascii="Symbol" w:hAnsi="Symbol" w:hint="default"/>
      </w:rPr>
    </w:lvl>
    <w:lvl w:ilvl="1" w:tplc="BF9A17FA" w:tentative="1">
      <w:start w:val="1"/>
      <w:numFmt w:val="bullet"/>
      <w:lvlText w:val="o"/>
      <w:lvlJc w:val="start"/>
      <w:pPr>
        <w:ind w:start="72pt" w:hanging="18pt"/>
      </w:pPr>
      <w:rPr>
        <w:rFonts w:ascii="Courier New" w:hAnsi="Courier New" w:cs="Courier New" w:hint="default"/>
      </w:rPr>
    </w:lvl>
    <w:lvl w:ilvl="2" w:tplc="54828730" w:tentative="1">
      <w:start w:val="1"/>
      <w:numFmt w:val="bullet"/>
      <w:lvlText w:val=""/>
      <w:lvlJc w:val="start"/>
      <w:pPr>
        <w:ind w:start="108pt" w:hanging="18pt"/>
      </w:pPr>
      <w:rPr>
        <w:rFonts w:ascii="Wingdings" w:hAnsi="Wingdings" w:hint="default"/>
      </w:rPr>
    </w:lvl>
    <w:lvl w:ilvl="3" w:tplc="B2EC7C04" w:tentative="1">
      <w:start w:val="1"/>
      <w:numFmt w:val="bullet"/>
      <w:lvlText w:val=""/>
      <w:lvlJc w:val="start"/>
      <w:pPr>
        <w:ind w:start="144pt" w:hanging="18pt"/>
      </w:pPr>
      <w:rPr>
        <w:rFonts w:ascii="Symbol" w:hAnsi="Symbol" w:hint="default"/>
      </w:rPr>
    </w:lvl>
    <w:lvl w:ilvl="4" w:tplc="2B142140" w:tentative="1">
      <w:start w:val="1"/>
      <w:numFmt w:val="bullet"/>
      <w:lvlText w:val="o"/>
      <w:lvlJc w:val="start"/>
      <w:pPr>
        <w:ind w:start="180pt" w:hanging="18pt"/>
      </w:pPr>
      <w:rPr>
        <w:rFonts w:ascii="Courier New" w:hAnsi="Courier New" w:cs="Courier New" w:hint="default"/>
      </w:rPr>
    </w:lvl>
    <w:lvl w:ilvl="5" w:tplc="EEF00E4C" w:tentative="1">
      <w:start w:val="1"/>
      <w:numFmt w:val="bullet"/>
      <w:lvlText w:val=""/>
      <w:lvlJc w:val="start"/>
      <w:pPr>
        <w:ind w:start="216pt" w:hanging="18pt"/>
      </w:pPr>
      <w:rPr>
        <w:rFonts w:ascii="Wingdings" w:hAnsi="Wingdings" w:hint="default"/>
      </w:rPr>
    </w:lvl>
    <w:lvl w:ilvl="6" w:tplc="DF3CA6F8" w:tentative="1">
      <w:start w:val="1"/>
      <w:numFmt w:val="bullet"/>
      <w:lvlText w:val=""/>
      <w:lvlJc w:val="start"/>
      <w:pPr>
        <w:ind w:start="252pt" w:hanging="18pt"/>
      </w:pPr>
      <w:rPr>
        <w:rFonts w:ascii="Symbol" w:hAnsi="Symbol" w:hint="default"/>
      </w:rPr>
    </w:lvl>
    <w:lvl w:ilvl="7" w:tplc="F056B0BA" w:tentative="1">
      <w:start w:val="1"/>
      <w:numFmt w:val="bullet"/>
      <w:lvlText w:val="o"/>
      <w:lvlJc w:val="start"/>
      <w:pPr>
        <w:ind w:start="288pt" w:hanging="18pt"/>
      </w:pPr>
      <w:rPr>
        <w:rFonts w:ascii="Courier New" w:hAnsi="Courier New" w:cs="Courier New" w:hint="default"/>
      </w:rPr>
    </w:lvl>
    <w:lvl w:ilvl="8" w:tplc="79925B8E" w:tentative="1">
      <w:start w:val="1"/>
      <w:numFmt w:val="bullet"/>
      <w:lvlText w:val=""/>
      <w:lvlJc w:val="start"/>
      <w:pPr>
        <w:ind w:start="324pt" w:hanging="18pt"/>
      </w:pPr>
      <w:rPr>
        <w:rFonts w:ascii="Wingdings" w:hAnsi="Wingdings" w:hint="default"/>
      </w:rPr>
    </w:lvl>
  </w:abstractNum>
  <w:abstractNum w:abstractNumId="153" w15:restartNumberingAfterBreak="0">
    <w:nsid w:val="489676A0"/>
    <w:multiLevelType w:val="hybridMultilevel"/>
    <w:tmpl w:val="A11E7F62"/>
    <w:lvl w:ilvl="0" w:tplc="946A3F8C">
      <w:start w:val="1"/>
      <w:numFmt w:val="lowerLetter"/>
      <w:pStyle w:val="Inciso1ernivel"/>
      <w:lvlText w:val="%1)"/>
      <w:lvlJc w:val="start"/>
      <w:pPr>
        <w:ind w:start="39.25pt" w:hanging="18pt"/>
      </w:pPr>
      <w:rPr>
        <w:b w:val="0"/>
        <w:i w:val="0"/>
      </w:rPr>
    </w:lvl>
    <w:lvl w:ilvl="1" w:tplc="53FA1432" w:tentative="1">
      <w:start w:val="1"/>
      <w:numFmt w:val="lowerLetter"/>
      <w:lvlText w:val="%2."/>
      <w:lvlJc w:val="start"/>
      <w:pPr>
        <w:ind w:start="72pt" w:hanging="18pt"/>
      </w:pPr>
    </w:lvl>
    <w:lvl w:ilvl="2" w:tplc="43EE7C64" w:tentative="1">
      <w:start w:val="1"/>
      <w:numFmt w:val="lowerRoman"/>
      <w:lvlText w:val="%3."/>
      <w:lvlJc w:val="end"/>
      <w:pPr>
        <w:ind w:start="108pt" w:hanging="9pt"/>
      </w:pPr>
    </w:lvl>
    <w:lvl w:ilvl="3" w:tplc="988E0784" w:tentative="1">
      <w:start w:val="1"/>
      <w:numFmt w:val="decimal"/>
      <w:lvlText w:val="%4."/>
      <w:lvlJc w:val="start"/>
      <w:pPr>
        <w:ind w:start="144pt" w:hanging="18pt"/>
      </w:pPr>
    </w:lvl>
    <w:lvl w:ilvl="4" w:tplc="C79418D6" w:tentative="1">
      <w:start w:val="1"/>
      <w:numFmt w:val="lowerLetter"/>
      <w:lvlText w:val="%5."/>
      <w:lvlJc w:val="start"/>
      <w:pPr>
        <w:ind w:start="180pt" w:hanging="18pt"/>
      </w:pPr>
    </w:lvl>
    <w:lvl w:ilvl="5" w:tplc="49C2F7BC" w:tentative="1">
      <w:start w:val="1"/>
      <w:numFmt w:val="lowerRoman"/>
      <w:lvlText w:val="%6."/>
      <w:lvlJc w:val="end"/>
      <w:pPr>
        <w:ind w:start="216pt" w:hanging="9pt"/>
      </w:pPr>
    </w:lvl>
    <w:lvl w:ilvl="6" w:tplc="9BCEB45E" w:tentative="1">
      <w:start w:val="1"/>
      <w:numFmt w:val="decimal"/>
      <w:lvlText w:val="%7."/>
      <w:lvlJc w:val="start"/>
      <w:pPr>
        <w:ind w:start="252pt" w:hanging="18pt"/>
      </w:pPr>
    </w:lvl>
    <w:lvl w:ilvl="7" w:tplc="29061652" w:tentative="1">
      <w:start w:val="1"/>
      <w:numFmt w:val="lowerLetter"/>
      <w:lvlText w:val="%8."/>
      <w:lvlJc w:val="start"/>
      <w:pPr>
        <w:ind w:start="288pt" w:hanging="18pt"/>
      </w:pPr>
    </w:lvl>
    <w:lvl w:ilvl="8" w:tplc="85CAF8F4" w:tentative="1">
      <w:start w:val="1"/>
      <w:numFmt w:val="lowerRoman"/>
      <w:lvlText w:val="%9."/>
      <w:lvlJc w:val="end"/>
      <w:pPr>
        <w:ind w:start="324pt" w:hanging="9pt"/>
      </w:pPr>
    </w:lvl>
  </w:abstractNum>
  <w:abstractNum w:abstractNumId="154" w15:restartNumberingAfterBreak="0">
    <w:nsid w:val="48CC7625"/>
    <w:multiLevelType w:val="hybridMultilevel"/>
    <w:tmpl w:val="584833AE"/>
    <w:lvl w:ilvl="0" w:tplc="60DA09F0">
      <w:start w:val="1"/>
      <w:numFmt w:val="bullet"/>
      <w:lvlText w:val=""/>
      <w:lvlJc w:val="start"/>
      <w:pPr>
        <w:ind w:start="36pt" w:hanging="18pt"/>
      </w:pPr>
      <w:rPr>
        <w:rFonts w:ascii="Symbol" w:hAnsi="Symbol" w:hint="default"/>
      </w:rPr>
    </w:lvl>
    <w:lvl w:ilvl="1" w:tplc="9474A26C" w:tentative="1">
      <w:start w:val="1"/>
      <w:numFmt w:val="bullet"/>
      <w:lvlText w:val="o"/>
      <w:lvlJc w:val="start"/>
      <w:pPr>
        <w:ind w:start="72pt" w:hanging="18pt"/>
      </w:pPr>
      <w:rPr>
        <w:rFonts w:ascii="Courier New" w:hAnsi="Courier New" w:cs="Courier New" w:hint="default"/>
      </w:rPr>
    </w:lvl>
    <w:lvl w:ilvl="2" w:tplc="7960CC98" w:tentative="1">
      <w:start w:val="1"/>
      <w:numFmt w:val="bullet"/>
      <w:lvlText w:val=""/>
      <w:lvlJc w:val="start"/>
      <w:pPr>
        <w:ind w:start="108pt" w:hanging="18pt"/>
      </w:pPr>
      <w:rPr>
        <w:rFonts w:ascii="Wingdings" w:hAnsi="Wingdings" w:hint="default"/>
      </w:rPr>
    </w:lvl>
    <w:lvl w:ilvl="3" w:tplc="68B8D218" w:tentative="1">
      <w:start w:val="1"/>
      <w:numFmt w:val="bullet"/>
      <w:lvlText w:val=""/>
      <w:lvlJc w:val="start"/>
      <w:pPr>
        <w:ind w:start="144pt" w:hanging="18pt"/>
      </w:pPr>
      <w:rPr>
        <w:rFonts w:ascii="Symbol" w:hAnsi="Symbol" w:hint="default"/>
      </w:rPr>
    </w:lvl>
    <w:lvl w:ilvl="4" w:tplc="5A8E642C" w:tentative="1">
      <w:start w:val="1"/>
      <w:numFmt w:val="bullet"/>
      <w:lvlText w:val="o"/>
      <w:lvlJc w:val="start"/>
      <w:pPr>
        <w:ind w:start="180pt" w:hanging="18pt"/>
      </w:pPr>
      <w:rPr>
        <w:rFonts w:ascii="Courier New" w:hAnsi="Courier New" w:cs="Courier New" w:hint="default"/>
      </w:rPr>
    </w:lvl>
    <w:lvl w:ilvl="5" w:tplc="54884ACE" w:tentative="1">
      <w:start w:val="1"/>
      <w:numFmt w:val="bullet"/>
      <w:lvlText w:val=""/>
      <w:lvlJc w:val="start"/>
      <w:pPr>
        <w:ind w:start="216pt" w:hanging="18pt"/>
      </w:pPr>
      <w:rPr>
        <w:rFonts w:ascii="Wingdings" w:hAnsi="Wingdings" w:hint="default"/>
      </w:rPr>
    </w:lvl>
    <w:lvl w:ilvl="6" w:tplc="0DBA1F30" w:tentative="1">
      <w:start w:val="1"/>
      <w:numFmt w:val="bullet"/>
      <w:lvlText w:val=""/>
      <w:lvlJc w:val="start"/>
      <w:pPr>
        <w:ind w:start="252pt" w:hanging="18pt"/>
      </w:pPr>
      <w:rPr>
        <w:rFonts w:ascii="Symbol" w:hAnsi="Symbol" w:hint="default"/>
      </w:rPr>
    </w:lvl>
    <w:lvl w:ilvl="7" w:tplc="C3562F6C" w:tentative="1">
      <w:start w:val="1"/>
      <w:numFmt w:val="bullet"/>
      <w:lvlText w:val="o"/>
      <w:lvlJc w:val="start"/>
      <w:pPr>
        <w:ind w:start="288pt" w:hanging="18pt"/>
      </w:pPr>
      <w:rPr>
        <w:rFonts w:ascii="Courier New" w:hAnsi="Courier New" w:cs="Courier New" w:hint="default"/>
      </w:rPr>
    </w:lvl>
    <w:lvl w:ilvl="8" w:tplc="BC349B9E" w:tentative="1">
      <w:start w:val="1"/>
      <w:numFmt w:val="bullet"/>
      <w:lvlText w:val=""/>
      <w:lvlJc w:val="start"/>
      <w:pPr>
        <w:ind w:start="324pt" w:hanging="18pt"/>
      </w:pPr>
      <w:rPr>
        <w:rFonts w:ascii="Wingdings" w:hAnsi="Wingdings" w:hint="default"/>
      </w:rPr>
    </w:lvl>
  </w:abstractNum>
  <w:abstractNum w:abstractNumId="155" w15:restartNumberingAfterBreak="0">
    <w:nsid w:val="491F69D9"/>
    <w:multiLevelType w:val="hybridMultilevel"/>
    <w:tmpl w:val="FD94C52A"/>
    <w:lvl w:ilvl="0" w:tplc="080A000D">
      <w:start w:val="1"/>
      <w:numFmt w:val="bullet"/>
      <w:lvlText w:val=""/>
      <w:lvlJc w:val="start"/>
      <w:pPr>
        <w:ind w:start="36pt" w:hanging="18pt"/>
      </w:pPr>
      <w:rPr>
        <w:rFonts w:ascii="Wingdings" w:hAnsi="Wingdings" w:hint="default"/>
      </w:rPr>
    </w:lvl>
    <w:lvl w:ilvl="1" w:tplc="080A0003">
      <w:start w:val="1"/>
      <w:numFmt w:val="bullet"/>
      <w:lvlText w:val="o"/>
      <w:lvlJc w:val="start"/>
      <w:pPr>
        <w:ind w:start="72pt" w:hanging="18pt"/>
      </w:pPr>
      <w:rPr>
        <w:rFonts w:ascii="Courier New" w:hAnsi="Courier New" w:cs="Courier New" w:hint="default"/>
      </w:rPr>
    </w:lvl>
    <w:lvl w:ilvl="2" w:tplc="080A0005">
      <w:start w:val="1"/>
      <w:numFmt w:val="bullet"/>
      <w:lvlText w:val=""/>
      <w:lvlJc w:val="start"/>
      <w:pPr>
        <w:ind w:start="108pt" w:hanging="18pt"/>
      </w:pPr>
      <w:rPr>
        <w:rFonts w:ascii="Wingdings" w:hAnsi="Wingdings" w:hint="default"/>
      </w:rPr>
    </w:lvl>
    <w:lvl w:ilvl="3" w:tplc="080A0001">
      <w:start w:val="1"/>
      <w:numFmt w:val="bullet"/>
      <w:lvlText w:val=""/>
      <w:lvlJc w:val="start"/>
      <w:pPr>
        <w:ind w:start="144pt" w:hanging="18pt"/>
      </w:pPr>
      <w:rPr>
        <w:rFonts w:ascii="Symbol" w:hAnsi="Symbol" w:hint="default"/>
      </w:rPr>
    </w:lvl>
    <w:lvl w:ilvl="4" w:tplc="080A0003">
      <w:start w:val="1"/>
      <w:numFmt w:val="bullet"/>
      <w:lvlText w:val="o"/>
      <w:lvlJc w:val="start"/>
      <w:pPr>
        <w:ind w:start="180pt" w:hanging="18pt"/>
      </w:pPr>
      <w:rPr>
        <w:rFonts w:ascii="Courier New" w:hAnsi="Courier New" w:cs="Courier New" w:hint="default"/>
      </w:rPr>
    </w:lvl>
    <w:lvl w:ilvl="5" w:tplc="080A0005">
      <w:start w:val="1"/>
      <w:numFmt w:val="bullet"/>
      <w:lvlText w:val=""/>
      <w:lvlJc w:val="start"/>
      <w:pPr>
        <w:ind w:start="216pt" w:hanging="18pt"/>
      </w:pPr>
      <w:rPr>
        <w:rFonts w:ascii="Wingdings" w:hAnsi="Wingdings" w:hint="default"/>
      </w:rPr>
    </w:lvl>
    <w:lvl w:ilvl="6" w:tplc="080A0001">
      <w:start w:val="1"/>
      <w:numFmt w:val="bullet"/>
      <w:lvlText w:val=""/>
      <w:lvlJc w:val="start"/>
      <w:pPr>
        <w:ind w:start="252pt" w:hanging="18pt"/>
      </w:pPr>
      <w:rPr>
        <w:rFonts w:ascii="Symbol" w:hAnsi="Symbol" w:hint="default"/>
      </w:rPr>
    </w:lvl>
    <w:lvl w:ilvl="7" w:tplc="080A0003">
      <w:start w:val="1"/>
      <w:numFmt w:val="bullet"/>
      <w:lvlText w:val="o"/>
      <w:lvlJc w:val="start"/>
      <w:pPr>
        <w:ind w:start="288pt" w:hanging="18pt"/>
      </w:pPr>
      <w:rPr>
        <w:rFonts w:ascii="Courier New" w:hAnsi="Courier New" w:cs="Courier New" w:hint="default"/>
      </w:rPr>
    </w:lvl>
    <w:lvl w:ilvl="8" w:tplc="080A0005">
      <w:start w:val="1"/>
      <w:numFmt w:val="bullet"/>
      <w:lvlText w:val=""/>
      <w:lvlJc w:val="start"/>
      <w:pPr>
        <w:ind w:start="324pt" w:hanging="18pt"/>
      </w:pPr>
      <w:rPr>
        <w:rFonts w:ascii="Wingdings" w:hAnsi="Wingdings" w:hint="default"/>
      </w:rPr>
    </w:lvl>
  </w:abstractNum>
  <w:abstractNum w:abstractNumId="156" w15:restartNumberingAfterBreak="0">
    <w:nsid w:val="494D5F90"/>
    <w:multiLevelType w:val="hybridMultilevel"/>
    <w:tmpl w:val="A3F0DD0A"/>
    <w:lvl w:ilvl="0" w:tplc="6CEC328A">
      <w:start w:val="1"/>
      <w:numFmt w:val="bullet"/>
      <w:lvlText w:val=""/>
      <w:lvlJc w:val="start"/>
      <w:pPr>
        <w:ind w:start="37.70pt" w:hanging="18pt"/>
      </w:pPr>
      <w:rPr>
        <w:rFonts w:ascii="Wingdings" w:hAnsi="Wingdings" w:hint="default"/>
      </w:rPr>
    </w:lvl>
    <w:lvl w:ilvl="1" w:tplc="4944205C">
      <w:start w:val="1"/>
      <w:numFmt w:val="bullet"/>
      <w:lvlText w:val="o"/>
      <w:lvlJc w:val="start"/>
      <w:pPr>
        <w:ind w:start="73.70pt" w:hanging="18pt"/>
      </w:pPr>
      <w:rPr>
        <w:rFonts w:ascii="Courier New" w:hAnsi="Courier New" w:cs="Courier New" w:hint="default"/>
      </w:rPr>
    </w:lvl>
    <w:lvl w:ilvl="2" w:tplc="CA7A4066">
      <w:start w:val="1"/>
      <w:numFmt w:val="bullet"/>
      <w:lvlText w:val=""/>
      <w:lvlJc w:val="start"/>
      <w:pPr>
        <w:ind w:start="109.70pt" w:hanging="18pt"/>
      </w:pPr>
      <w:rPr>
        <w:rFonts w:ascii="Wingdings" w:hAnsi="Wingdings" w:hint="default"/>
      </w:rPr>
    </w:lvl>
    <w:lvl w:ilvl="3" w:tplc="E042D196">
      <w:start w:val="1"/>
      <w:numFmt w:val="bullet"/>
      <w:lvlText w:val=""/>
      <w:lvlJc w:val="start"/>
      <w:pPr>
        <w:ind w:start="145.65pt" w:hanging="18pt"/>
      </w:pPr>
      <w:rPr>
        <w:rFonts w:ascii="Symbol" w:hAnsi="Symbol" w:hint="default"/>
      </w:rPr>
    </w:lvl>
    <w:lvl w:ilvl="4" w:tplc="DEF61138">
      <w:start w:val="1"/>
      <w:numFmt w:val="bullet"/>
      <w:lvlText w:val="o"/>
      <w:lvlJc w:val="start"/>
      <w:pPr>
        <w:ind w:start="181.70pt" w:hanging="18pt"/>
      </w:pPr>
      <w:rPr>
        <w:rFonts w:ascii="Courier New" w:hAnsi="Courier New" w:cs="Courier New" w:hint="default"/>
      </w:rPr>
    </w:lvl>
    <w:lvl w:ilvl="5" w:tplc="D98C7556">
      <w:start w:val="1"/>
      <w:numFmt w:val="bullet"/>
      <w:lvlText w:val=""/>
      <w:lvlJc w:val="start"/>
      <w:pPr>
        <w:ind w:start="217.70pt" w:hanging="18pt"/>
      </w:pPr>
      <w:rPr>
        <w:rFonts w:ascii="Wingdings" w:hAnsi="Wingdings" w:hint="default"/>
      </w:rPr>
    </w:lvl>
    <w:lvl w:ilvl="6" w:tplc="BEE023F6">
      <w:start w:val="1"/>
      <w:numFmt w:val="bullet"/>
      <w:lvlText w:val=""/>
      <w:lvlJc w:val="start"/>
      <w:pPr>
        <w:ind w:start="253.70pt" w:hanging="18pt"/>
      </w:pPr>
      <w:rPr>
        <w:rFonts w:ascii="Symbol" w:hAnsi="Symbol" w:hint="default"/>
      </w:rPr>
    </w:lvl>
    <w:lvl w:ilvl="7" w:tplc="10865F58">
      <w:start w:val="1"/>
      <w:numFmt w:val="bullet"/>
      <w:lvlText w:val="o"/>
      <w:lvlJc w:val="start"/>
      <w:pPr>
        <w:ind w:start="289.70pt" w:hanging="18pt"/>
      </w:pPr>
      <w:rPr>
        <w:rFonts w:ascii="Courier New" w:hAnsi="Courier New" w:cs="Courier New" w:hint="default"/>
      </w:rPr>
    </w:lvl>
    <w:lvl w:ilvl="8" w:tplc="280469BA">
      <w:start w:val="1"/>
      <w:numFmt w:val="bullet"/>
      <w:lvlText w:val=""/>
      <w:lvlJc w:val="start"/>
      <w:pPr>
        <w:ind w:start="325.70pt" w:hanging="18pt"/>
      </w:pPr>
      <w:rPr>
        <w:rFonts w:ascii="Wingdings" w:hAnsi="Wingdings" w:hint="default"/>
      </w:rPr>
    </w:lvl>
  </w:abstractNum>
  <w:abstractNum w:abstractNumId="157" w15:restartNumberingAfterBreak="0">
    <w:nsid w:val="4A195731"/>
    <w:multiLevelType w:val="hybridMultilevel"/>
    <w:tmpl w:val="9A00A140"/>
    <w:lvl w:ilvl="0" w:tplc="F71A482C">
      <w:start w:val="1"/>
      <w:numFmt w:val="decimal"/>
      <w:pStyle w:val="Titulo20"/>
      <w:lvlText w:val="5.2.%1."/>
      <w:lvlJc w:val="start"/>
      <w:pPr>
        <w:tabs>
          <w:tab w:val="num" w:pos="36pt"/>
        </w:tabs>
        <w:ind w:start="36pt" w:hanging="18pt"/>
      </w:pPr>
      <w:rPr>
        <w:rFonts w:cs="Times New Roman" w:hint="default"/>
      </w:rPr>
    </w:lvl>
    <w:lvl w:ilvl="1" w:tplc="4FA4D0DC" w:tentative="1">
      <w:start w:val="1"/>
      <w:numFmt w:val="lowerLetter"/>
      <w:lvlText w:val="%2."/>
      <w:lvlJc w:val="start"/>
      <w:pPr>
        <w:tabs>
          <w:tab w:val="num" w:pos="72pt"/>
        </w:tabs>
        <w:ind w:start="72pt" w:hanging="18pt"/>
      </w:pPr>
      <w:rPr>
        <w:rFonts w:cs="Times New Roman"/>
      </w:rPr>
    </w:lvl>
    <w:lvl w:ilvl="2" w:tplc="151630E2" w:tentative="1">
      <w:start w:val="1"/>
      <w:numFmt w:val="lowerRoman"/>
      <w:lvlText w:val="%3."/>
      <w:lvlJc w:val="end"/>
      <w:pPr>
        <w:tabs>
          <w:tab w:val="num" w:pos="108pt"/>
        </w:tabs>
        <w:ind w:start="108pt" w:hanging="9pt"/>
      </w:pPr>
      <w:rPr>
        <w:rFonts w:cs="Times New Roman"/>
      </w:rPr>
    </w:lvl>
    <w:lvl w:ilvl="3" w:tplc="D59426B8" w:tentative="1">
      <w:start w:val="1"/>
      <w:numFmt w:val="decimal"/>
      <w:lvlText w:val="%4."/>
      <w:lvlJc w:val="start"/>
      <w:pPr>
        <w:tabs>
          <w:tab w:val="num" w:pos="144pt"/>
        </w:tabs>
        <w:ind w:start="144pt" w:hanging="18pt"/>
      </w:pPr>
      <w:rPr>
        <w:rFonts w:cs="Times New Roman"/>
      </w:rPr>
    </w:lvl>
    <w:lvl w:ilvl="4" w:tplc="B90807E6" w:tentative="1">
      <w:start w:val="1"/>
      <w:numFmt w:val="lowerLetter"/>
      <w:lvlText w:val="%5."/>
      <w:lvlJc w:val="start"/>
      <w:pPr>
        <w:tabs>
          <w:tab w:val="num" w:pos="180pt"/>
        </w:tabs>
        <w:ind w:start="180pt" w:hanging="18pt"/>
      </w:pPr>
      <w:rPr>
        <w:rFonts w:cs="Times New Roman"/>
      </w:rPr>
    </w:lvl>
    <w:lvl w:ilvl="5" w:tplc="49026624" w:tentative="1">
      <w:start w:val="1"/>
      <w:numFmt w:val="lowerRoman"/>
      <w:lvlText w:val="%6."/>
      <w:lvlJc w:val="end"/>
      <w:pPr>
        <w:tabs>
          <w:tab w:val="num" w:pos="216pt"/>
        </w:tabs>
        <w:ind w:start="216pt" w:hanging="9pt"/>
      </w:pPr>
      <w:rPr>
        <w:rFonts w:cs="Times New Roman"/>
      </w:rPr>
    </w:lvl>
    <w:lvl w:ilvl="6" w:tplc="07C6781C" w:tentative="1">
      <w:start w:val="1"/>
      <w:numFmt w:val="decimal"/>
      <w:lvlText w:val="%7."/>
      <w:lvlJc w:val="start"/>
      <w:pPr>
        <w:tabs>
          <w:tab w:val="num" w:pos="252pt"/>
        </w:tabs>
        <w:ind w:start="252pt" w:hanging="18pt"/>
      </w:pPr>
      <w:rPr>
        <w:rFonts w:cs="Times New Roman"/>
      </w:rPr>
    </w:lvl>
    <w:lvl w:ilvl="7" w:tplc="4DEE288C" w:tentative="1">
      <w:start w:val="1"/>
      <w:numFmt w:val="lowerLetter"/>
      <w:lvlText w:val="%8."/>
      <w:lvlJc w:val="start"/>
      <w:pPr>
        <w:tabs>
          <w:tab w:val="num" w:pos="288pt"/>
        </w:tabs>
        <w:ind w:start="288pt" w:hanging="18pt"/>
      </w:pPr>
      <w:rPr>
        <w:rFonts w:cs="Times New Roman"/>
      </w:rPr>
    </w:lvl>
    <w:lvl w:ilvl="8" w:tplc="C7BCEE0C" w:tentative="1">
      <w:start w:val="1"/>
      <w:numFmt w:val="lowerRoman"/>
      <w:lvlText w:val="%9."/>
      <w:lvlJc w:val="end"/>
      <w:pPr>
        <w:tabs>
          <w:tab w:val="num" w:pos="324pt"/>
        </w:tabs>
        <w:ind w:start="324pt" w:hanging="9pt"/>
      </w:pPr>
      <w:rPr>
        <w:rFonts w:cs="Times New Roman"/>
      </w:rPr>
    </w:lvl>
  </w:abstractNum>
  <w:abstractNum w:abstractNumId="158" w15:restartNumberingAfterBreak="0">
    <w:nsid w:val="4A4E4F19"/>
    <w:multiLevelType w:val="hybridMultilevel"/>
    <w:tmpl w:val="F244CDD4"/>
    <w:lvl w:ilvl="0" w:tplc="8BB87D02">
      <w:start w:val="1"/>
      <w:numFmt w:val="decimal"/>
      <w:pStyle w:val="Titulo3-0"/>
      <w:lvlText w:val="6.2.%1."/>
      <w:lvlJc w:val="start"/>
      <w:pPr>
        <w:tabs>
          <w:tab w:val="num" w:pos="72pt"/>
        </w:tabs>
        <w:ind w:start="72pt" w:hanging="18pt"/>
      </w:pPr>
      <w:rPr>
        <w:rFonts w:cs="Times New Roman" w:hint="default"/>
      </w:rPr>
    </w:lvl>
    <w:lvl w:ilvl="1" w:tplc="41245D44" w:tentative="1">
      <w:start w:val="1"/>
      <w:numFmt w:val="lowerLetter"/>
      <w:lvlText w:val="%2."/>
      <w:lvlJc w:val="start"/>
      <w:pPr>
        <w:tabs>
          <w:tab w:val="num" w:pos="72pt"/>
        </w:tabs>
        <w:ind w:start="72pt" w:hanging="18pt"/>
      </w:pPr>
      <w:rPr>
        <w:rFonts w:cs="Times New Roman"/>
      </w:rPr>
    </w:lvl>
    <w:lvl w:ilvl="2" w:tplc="925C3740" w:tentative="1">
      <w:start w:val="1"/>
      <w:numFmt w:val="lowerRoman"/>
      <w:lvlText w:val="%3."/>
      <w:lvlJc w:val="end"/>
      <w:pPr>
        <w:tabs>
          <w:tab w:val="num" w:pos="108pt"/>
        </w:tabs>
        <w:ind w:start="108pt" w:hanging="9pt"/>
      </w:pPr>
      <w:rPr>
        <w:rFonts w:cs="Times New Roman"/>
      </w:rPr>
    </w:lvl>
    <w:lvl w:ilvl="3" w:tplc="DDB2829C" w:tentative="1">
      <w:start w:val="1"/>
      <w:numFmt w:val="decimal"/>
      <w:lvlText w:val="%4."/>
      <w:lvlJc w:val="start"/>
      <w:pPr>
        <w:tabs>
          <w:tab w:val="num" w:pos="144pt"/>
        </w:tabs>
        <w:ind w:start="144pt" w:hanging="18pt"/>
      </w:pPr>
      <w:rPr>
        <w:rFonts w:cs="Times New Roman"/>
      </w:rPr>
    </w:lvl>
    <w:lvl w:ilvl="4" w:tplc="26502970" w:tentative="1">
      <w:start w:val="1"/>
      <w:numFmt w:val="lowerLetter"/>
      <w:lvlText w:val="%5."/>
      <w:lvlJc w:val="start"/>
      <w:pPr>
        <w:tabs>
          <w:tab w:val="num" w:pos="180pt"/>
        </w:tabs>
        <w:ind w:start="180pt" w:hanging="18pt"/>
      </w:pPr>
      <w:rPr>
        <w:rFonts w:cs="Times New Roman"/>
      </w:rPr>
    </w:lvl>
    <w:lvl w:ilvl="5" w:tplc="F9945E7C" w:tentative="1">
      <w:start w:val="1"/>
      <w:numFmt w:val="lowerRoman"/>
      <w:lvlText w:val="%6."/>
      <w:lvlJc w:val="end"/>
      <w:pPr>
        <w:tabs>
          <w:tab w:val="num" w:pos="216pt"/>
        </w:tabs>
        <w:ind w:start="216pt" w:hanging="9pt"/>
      </w:pPr>
      <w:rPr>
        <w:rFonts w:cs="Times New Roman"/>
      </w:rPr>
    </w:lvl>
    <w:lvl w:ilvl="6" w:tplc="422AC592" w:tentative="1">
      <w:start w:val="1"/>
      <w:numFmt w:val="decimal"/>
      <w:lvlText w:val="%7."/>
      <w:lvlJc w:val="start"/>
      <w:pPr>
        <w:tabs>
          <w:tab w:val="num" w:pos="252pt"/>
        </w:tabs>
        <w:ind w:start="252pt" w:hanging="18pt"/>
      </w:pPr>
      <w:rPr>
        <w:rFonts w:cs="Times New Roman"/>
      </w:rPr>
    </w:lvl>
    <w:lvl w:ilvl="7" w:tplc="11649094" w:tentative="1">
      <w:start w:val="1"/>
      <w:numFmt w:val="lowerLetter"/>
      <w:lvlText w:val="%8."/>
      <w:lvlJc w:val="start"/>
      <w:pPr>
        <w:tabs>
          <w:tab w:val="num" w:pos="288pt"/>
        </w:tabs>
        <w:ind w:start="288pt" w:hanging="18pt"/>
      </w:pPr>
      <w:rPr>
        <w:rFonts w:cs="Times New Roman"/>
      </w:rPr>
    </w:lvl>
    <w:lvl w:ilvl="8" w:tplc="E598AB90" w:tentative="1">
      <w:start w:val="1"/>
      <w:numFmt w:val="lowerRoman"/>
      <w:lvlText w:val="%9."/>
      <w:lvlJc w:val="end"/>
      <w:pPr>
        <w:tabs>
          <w:tab w:val="num" w:pos="324pt"/>
        </w:tabs>
        <w:ind w:start="324pt" w:hanging="9pt"/>
      </w:pPr>
      <w:rPr>
        <w:rFonts w:cs="Times New Roman"/>
      </w:rPr>
    </w:lvl>
  </w:abstractNum>
  <w:abstractNum w:abstractNumId="159" w15:restartNumberingAfterBreak="0">
    <w:nsid w:val="4A596C82"/>
    <w:multiLevelType w:val="hybridMultilevel"/>
    <w:tmpl w:val="F8E04820"/>
    <w:lvl w:ilvl="0" w:tplc="891C85BC">
      <w:start w:val="1"/>
      <w:numFmt w:val="bullet"/>
      <w:lvlText w:val=""/>
      <w:lvlJc w:val="start"/>
      <w:pPr>
        <w:ind w:start="36pt" w:hanging="18pt"/>
      </w:pPr>
      <w:rPr>
        <w:rFonts w:ascii="Symbol" w:hAnsi="Symbol" w:hint="default"/>
      </w:rPr>
    </w:lvl>
    <w:lvl w:ilvl="1" w:tplc="08D2B2DE" w:tentative="1">
      <w:start w:val="1"/>
      <w:numFmt w:val="bullet"/>
      <w:lvlText w:val="o"/>
      <w:lvlJc w:val="start"/>
      <w:pPr>
        <w:ind w:start="72pt" w:hanging="18pt"/>
      </w:pPr>
      <w:rPr>
        <w:rFonts w:ascii="Courier New" w:hAnsi="Courier New" w:cs="Courier New" w:hint="default"/>
      </w:rPr>
    </w:lvl>
    <w:lvl w:ilvl="2" w:tplc="7FFEC412" w:tentative="1">
      <w:start w:val="1"/>
      <w:numFmt w:val="bullet"/>
      <w:lvlText w:val=""/>
      <w:lvlJc w:val="start"/>
      <w:pPr>
        <w:ind w:start="108pt" w:hanging="18pt"/>
      </w:pPr>
      <w:rPr>
        <w:rFonts w:ascii="Wingdings" w:hAnsi="Wingdings" w:hint="default"/>
      </w:rPr>
    </w:lvl>
    <w:lvl w:ilvl="3" w:tplc="9D00A094" w:tentative="1">
      <w:start w:val="1"/>
      <w:numFmt w:val="bullet"/>
      <w:lvlText w:val=""/>
      <w:lvlJc w:val="start"/>
      <w:pPr>
        <w:ind w:start="144pt" w:hanging="18pt"/>
      </w:pPr>
      <w:rPr>
        <w:rFonts w:ascii="Symbol" w:hAnsi="Symbol" w:hint="default"/>
      </w:rPr>
    </w:lvl>
    <w:lvl w:ilvl="4" w:tplc="D5B86F36" w:tentative="1">
      <w:start w:val="1"/>
      <w:numFmt w:val="bullet"/>
      <w:lvlText w:val="o"/>
      <w:lvlJc w:val="start"/>
      <w:pPr>
        <w:ind w:start="180pt" w:hanging="18pt"/>
      </w:pPr>
      <w:rPr>
        <w:rFonts w:ascii="Courier New" w:hAnsi="Courier New" w:cs="Courier New" w:hint="default"/>
      </w:rPr>
    </w:lvl>
    <w:lvl w:ilvl="5" w:tplc="04941696" w:tentative="1">
      <w:start w:val="1"/>
      <w:numFmt w:val="bullet"/>
      <w:lvlText w:val=""/>
      <w:lvlJc w:val="start"/>
      <w:pPr>
        <w:ind w:start="216pt" w:hanging="18pt"/>
      </w:pPr>
      <w:rPr>
        <w:rFonts w:ascii="Wingdings" w:hAnsi="Wingdings" w:hint="default"/>
      </w:rPr>
    </w:lvl>
    <w:lvl w:ilvl="6" w:tplc="D73C9E28" w:tentative="1">
      <w:start w:val="1"/>
      <w:numFmt w:val="bullet"/>
      <w:lvlText w:val=""/>
      <w:lvlJc w:val="start"/>
      <w:pPr>
        <w:ind w:start="252pt" w:hanging="18pt"/>
      </w:pPr>
      <w:rPr>
        <w:rFonts w:ascii="Symbol" w:hAnsi="Symbol" w:hint="default"/>
      </w:rPr>
    </w:lvl>
    <w:lvl w:ilvl="7" w:tplc="EA9277B8" w:tentative="1">
      <w:start w:val="1"/>
      <w:numFmt w:val="bullet"/>
      <w:lvlText w:val="o"/>
      <w:lvlJc w:val="start"/>
      <w:pPr>
        <w:ind w:start="288pt" w:hanging="18pt"/>
      </w:pPr>
      <w:rPr>
        <w:rFonts w:ascii="Courier New" w:hAnsi="Courier New" w:cs="Courier New" w:hint="default"/>
      </w:rPr>
    </w:lvl>
    <w:lvl w:ilvl="8" w:tplc="586C7EFE" w:tentative="1">
      <w:start w:val="1"/>
      <w:numFmt w:val="bullet"/>
      <w:lvlText w:val=""/>
      <w:lvlJc w:val="start"/>
      <w:pPr>
        <w:ind w:start="324pt" w:hanging="18pt"/>
      </w:pPr>
      <w:rPr>
        <w:rFonts w:ascii="Wingdings" w:hAnsi="Wingdings" w:hint="default"/>
      </w:rPr>
    </w:lvl>
  </w:abstractNum>
  <w:abstractNum w:abstractNumId="160" w15:restartNumberingAfterBreak="0">
    <w:nsid w:val="4A8750A4"/>
    <w:multiLevelType w:val="hybridMultilevel"/>
    <w:tmpl w:val="D8E67AEE"/>
    <w:lvl w:ilvl="0" w:tplc="916A1B08">
      <w:start w:val="6"/>
      <w:numFmt w:val="bullet"/>
      <w:lvlText w:val="•"/>
      <w:lvlJc w:val="start"/>
      <w:pPr>
        <w:ind w:start="54pt" w:hanging="18pt"/>
      </w:pPr>
      <w:rPr>
        <w:rFonts w:ascii="Century Gothic" w:eastAsia="Calibri" w:hAnsi="Century Gothic" w:cs="Arial" w:hint="default"/>
      </w:rPr>
    </w:lvl>
    <w:lvl w:ilvl="1" w:tplc="487E9CA2" w:tentative="1">
      <w:start w:val="1"/>
      <w:numFmt w:val="bullet"/>
      <w:lvlText w:val="o"/>
      <w:lvlJc w:val="start"/>
      <w:pPr>
        <w:ind w:start="90pt" w:hanging="18pt"/>
      </w:pPr>
      <w:rPr>
        <w:rFonts w:ascii="Courier New" w:hAnsi="Courier New" w:cs="Courier New" w:hint="default"/>
      </w:rPr>
    </w:lvl>
    <w:lvl w:ilvl="2" w:tplc="8CC28E14" w:tentative="1">
      <w:start w:val="1"/>
      <w:numFmt w:val="bullet"/>
      <w:lvlText w:val=""/>
      <w:lvlJc w:val="start"/>
      <w:pPr>
        <w:ind w:start="126pt" w:hanging="18pt"/>
      </w:pPr>
      <w:rPr>
        <w:rFonts w:ascii="Wingdings" w:hAnsi="Wingdings" w:hint="default"/>
      </w:rPr>
    </w:lvl>
    <w:lvl w:ilvl="3" w:tplc="19F4026E" w:tentative="1">
      <w:start w:val="1"/>
      <w:numFmt w:val="bullet"/>
      <w:lvlText w:val=""/>
      <w:lvlJc w:val="start"/>
      <w:pPr>
        <w:ind w:start="162pt" w:hanging="18pt"/>
      </w:pPr>
      <w:rPr>
        <w:rFonts w:ascii="Symbol" w:hAnsi="Symbol" w:hint="default"/>
      </w:rPr>
    </w:lvl>
    <w:lvl w:ilvl="4" w:tplc="724064FC" w:tentative="1">
      <w:start w:val="1"/>
      <w:numFmt w:val="bullet"/>
      <w:lvlText w:val="o"/>
      <w:lvlJc w:val="start"/>
      <w:pPr>
        <w:ind w:start="198pt" w:hanging="18pt"/>
      </w:pPr>
      <w:rPr>
        <w:rFonts w:ascii="Courier New" w:hAnsi="Courier New" w:cs="Courier New" w:hint="default"/>
      </w:rPr>
    </w:lvl>
    <w:lvl w:ilvl="5" w:tplc="71EE5182" w:tentative="1">
      <w:start w:val="1"/>
      <w:numFmt w:val="bullet"/>
      <w:lvlText w:val=""/>
      <w:lvlJc w:val="start"/>
      <w:pPr>
        <w:ind w:start="234pt" w:hanging="18pt"/>
      </w:pPr>
      <w:rPr>
        <w:rFonts w:ascii="Wingdings" w:hAnsi="Wingdings" w:hint="default"/>
      </w:rPr>
    </w:lvl>
    <w:lvl w:ilvl="6" w:tplc="38962E1C" w:tentative="1">
      <w:start w:val="1"/>
      <w:numFmt w:val="bullet"/>
      <w:lvlText w:val=""/>
      <w:lvlJc w:val="start"/>
      <w:pPr>
        <w:ind w:start="270pt" w:hanging="18pt"/>
      </w:pPr>
      <w:rPr>
        <w:rFonts w:ascii="Symbol" w:hAnsi="Symbol" w:hint="default"/>
      </w:rPr>
    </w:lvl>
    <w:lvl w:ilvl="7" w:tplc="670C9D1E" w:tentative="1">
      <w:start w:val="1"/>
      <w:numFmt w:val="bullet"/>
      <w:lvlText w:val="o"/>
      <w:lvlJc w:val="start"/>
      <w:pPr>
        <w:ind w:start="306pt" w:hanging="18pt"/>
      </w:pPr>
      <w:rPr>
        <w:rFonts w:ascii="Courier New" w:hAnsi="Courier New" w:cs="Courier New" w:hint="default"/>
      </w:rPr>
    </w:lvl>
    <w:lvl w:ilvl="8" w:tplc="029EA6EC" w:tentative="1">
      <w:start w:val="1"/>
      <w:numFmt w:val="bullet"/>
      <w:lvlText w:val=""/>
      <w:lvlJc w:val="start"/>
      <w:pPr>
        <w:ind w:start="342pt" w:hanging="18pt"/>
      </w:pPr>
      <w:rPr>
        <w:rFonts w:ascii="Wingdings" w:hAnsi="Wingdings" w:hint="default"/>
      </w:rPr>
    </w:lvl>
  </w:abstractNum>
  <w:abstractNum w:abstractNumId="161" w15:restartNumberingAfterBreak="0">
    <w:nsid w:val="4B1F2482"/>
    <w:multiLevelType w:val="hybridMultilevel"/>
    <w:tmpl w:val="8B303980"/>
    <w:lvl w:ilvl="0" w:tplc="2C90DA02">
      <w:start w:val="6"/>
      <w:numFmt w:val="bullet"/>
      <w:lvlText w:val="•"/>
      <w:lvlJc w:val="start"/>
      <w:pPr>
        <w:ind w:start="53.85pt" w:hanging="18pt"/>
      </w:pPr>
      <w:rPr>
        <w:rFonts w:ascii="Century Gothic" w:eastAsia="Calibri" w:hAnsi="Century Gothic" w:cs="Arial" w:hint="default"/>
      </w:rPr>
    </w:lvl>
    <w:lvl w:ilvl="1" w:tplc="1108C55E" w:tentative="1">
      <w:start w:val="1"/>
      <w:numFmt w:val="bullet"/>
      <w:lvlText w:val="o"/>
      <w:lvlJc w:val="start"/>
      <w:pPr>
        <w:ind w:start="89.85pt" w:hanging="18pt"/>
      </w:pPr>
      <w:rPr>
        <w:rFonts w:ascii="Courier New" w:hAnsi="Courier New" w:cs="Courier New" w:hint="default"/>
      </w:rPr>
    </w:lvl>
    <w:lvl w:ilvl="2" w:tplc="44E45220" w:tentative="1">
      <w:start w:val="1"/>
      <w:numFmt w:val="bullet"/>
      <w:lvlText w:val=""/>
      <w:lvlJc w:val="start"/>
      <w:pPr>
        <w:ind w:start="125.85pt" w:hanging="18pt"/>
      </w:pPr>
      <w:rPr>
        <w:rFonts w:ascii="Wingdings" w:hAnsi="Wingdings" w:hint="default"/>
      </w:rPr>
    </w:lvl>
    <w:lvl w:ilvl="3" w:tplc="3004837A" w:tentative="1">
      <w:start w:val="1"/>
      <w:numFmt w:val="bullet"/>
      <w:lvlText w:val=""/>
      <w:lvlJc w:val="start"/>
      <w:pPr>
        <w:ind w:start="161.85pt" w:hanging="18pt"/>
      </w:pPr>
      <w:rPr>
        <w:rFonts w:ascii="Symbol" w:hAnsi="Symbol" w:hint="default"/>
      </w:rPr>
    </w:lvl>
    <w:lvl w:ilvl="4" w:tplc="7D98D6CA" w:tentative="1">
      <w:start w:val="1"/>
      <w:numFmt w:val="bullet"/>
      <w:lvlText w:val="o"/>
      <w:lvlJc w:val="start"/>
      <w:pPr>
        <w:ind w:start="197.85pt" w:hanging="18pt"/>
      </w:pPr>
      <w:rPr>
        <w:rFonts w:ascii="Courier New" w:hAnsi="Courier New" w:cs="Courier New" w:hint="default"/>
      </w:rPr>
    </w:lvl>
    <w:lvl w:ilvl="5" w:tplc="9C281774" w:tentative="1">
      <w:start w:val="1"/>
      <w:numFmt w:val="bullet"/>
      <w:lvlText w:val=""/>
      <w:lvlJc w:val="start"/>
      <w:pPr>
        <w:ind w:start="233.85pt" w:hanging="18pt"/>
      </w:pPr>
      <w:rPr>
        <w:rFonts w:ascii="Wingdings" w:hAnsi="Wingdings" w:hint="default"/>
      </w:rPr>
    </w:lvl>
    <w:lvl w:ilvl="6" w:tplc="14849300" w:tentative="1">
      <w:start w:val="1"/>
      <w:numFmt w:val="bullet"/>
      <w:lvlText w:val=""/>
      <w:lvlJc w:val="start"/>
      <w:pPr>
        <w:ind w:start="269.85pt" w:hanging="18pt"/>
      </w:pPr>
      <w:rPr>
        <w:rFonts w:ascii="Symbol" w:hAnsi="Symbol" w:hint="default"/>
      </w:rPr>
    </w:lvl>
    <w:lvl w:ilvl="7" w:tplc="E25C7ABE" w:tentative="1">
      <w:start w:val="1"/>
      <w:numFmt w:val="bullet"/>
      <w:lvlText w:val="o"/>
      <w:lvlJc w:val="start"/>
      <w:pPr>
        <w:ind w:start="305.85pt" w:hanging="18pt"/>
      </w:pPr>
      <w:rPr>
        <w:rFonts w:ascii="Courier New" w:hAnsi="Courier New" w:cs="Courier New" w:hint="default"/>
      </w:rPr>
    </w:lvl>
    <w:lvl w:ilvl="8" w:tplc="68DE8EFA" w:tentative="1">
      <w:start w:val="1"/>
      <w:numFmt w:val="bullet"/>
      <w:lvlText w:val=""/>
      <w:lvlJc w:val="start"/>
      <w:pPr>
        <w:ind w:start="341.85pt" w:hanging="18pt"/>
      </w:pPr>
      <w:rPr>
        <w:rFonts w:ascii="Wingdings" w:hAnsi="Wingdings" w:hint="default"/>
      </w:rPr>
    </w:lvl>
  </w:abstractNum>
  <w:abstractNum w:abstractNumId="162" w15:restartNumberingAfterBreak="0">
    <w:nsid w:val="4B9A19B6"/>
    <w:multiLevelType w:val="hybridMultilevel"/>
    <w:tmpl w:val="174C1400"/>
    <w:lvl w:ilvl="0" w:tplc="87F894B2">
      <w:start w:val="1"/>
      <w:numFmt w:val="bullet"/>
      <w:lvlText w:val=""/>
      <w:lvlJc w:val="start"/>
      <w:pPr>
        <w:ind w:start="39.25pt" w:hanging="18pt"/>
      </w:pPr>
      <w:rPr>
        <w:rFonts w:ascii="Symbol" w:hAnsi="Symbol" w:hint="default"/>
      </w:rPr>
    </w:lvl>
    <w:lvl w:ilvl="1" w:tplc="EC007D96">
      <w:start w:val="1"/>
      <w:numFmt w:val="bullet"/>
      <w:lvlText w:val="o"/>
      <w:lvlJc w:val="start"/>
      <w:pPr>
        <w:ind w:start="75.30pt" w:hanging="18pt"/>
      </w:pPr>
      <w:rPr>
        <w:rFonts w:ascii="Courier New" w:hAnsi="Courier New" w:cs="Courier New" w:hint="default"/>
      </w:rPr>
    </w:lvl>
    <w:lvl w:ilvl="2" w:tplc="460EF250">
      <w:start w:val="1"/>
      <w:numFmt w:val="bullet"/>
      <w:lvlText w:val=""/>
      <w:lvlJc w:val="start"/>
      <w:pPr>
        <w:ind w:start="111.30pt" w:hanging="18pt"/>
      </w:pPr>
      <w:rPr>
        <w:rFonts w:ascii="Wingdings" w:hAnsi="Wingdings" w:hint="default"/>
      </w:rPr>
    </w:lvl>
    <w:lvl w:ilvl="3" w:tplc="7F3C9178">
      <w:start w:val="1"/>
      <w:numFmt w:val="bullet"/>
      <w:lvlText w:val=""/>
      <w:lvlJc w:val="start"/>
      <w:pPr>
        <w:ind w:start="147.30pt" w:hanging="18pt"/>
      </w:pPr>
      <w:rPr>
        <w:rFonts w:ascii="Symbol" w:hAnsi="Symbol" w:hint="default"/>
      </w:rPr>
    </w:lvl>
    <w:lvl w:ilvl="4" w:tplc="351A8D0A">
      <w:start w:val="1"/>
      <w:numFmt w:val="bullet"/>
      <w:lvlText w:val="o"/>
      <w:lvlJc w:val="start"/>
      <w:pPr>
        <w:ind w:start="183.30pt" w:hanging="18pt"/>
      </w:pPr>
      <w:rPr>
        <w:rFonts w:ascii="Courier New" w:hAnsi="Courier New" w:cs="Courier New" w:hint="default"/>
      </w:rPr>
    </w:lvl>
    <w:lvl w:ilvl="5" w:tplc="59462C12">
      <w:start w:val="1"/>
      <w:numFmt w:val="bullet"/>
      <w:lvlText w:val=""/>
      <w:lvlJc w:val="start"/>
      <w:pPr>
        <w:ind w:start="219.30pt" w:hanging="18pt"/>
      </w:pPr>
      <w:rPr>
        <w:rFonts w:ascii="Wingdings" w:hAnsi="Wingdings" w:hint="default"/>
      </w:rPr>
    </w:lvl>
    <w:lvl w:ilvl="6" w:tplc="0E16B512">
      <w:start w:val="1"/>
      <w:numFmt w:val="bullet"/>
      <w:lvlText w:val=""/>
      <w:lvlJc w:val="start"/>
      <w:pPr>
        <w:ind w:start="255.30pt" w:hanging="18pt"/>
      </w:pPr>
      <w:rPr>
        <w:rFonts w:ascii="Symbol" w:hAnsi="Symbol" w:hint="default"/>
      </w:rPr>
    </w:lvl>
    <w:lvl w:ilvl="7" w:tplc="176847A2">
      <w:start w:val="1"/>
      <w:numFmt w:val="bullet"/>
      <w:lvlText w:val="o"/>
      <w:lvlJc w:val="start"/>
      <w:pPr>
        <w:ind w:start="291.30pt" w:hanging="18pt"/>
      </w:pPr>
      <w:rPr>
        <w:rFonts w:ascii="Courier New" w:hAnsi="Courier New" w:cs="Courier New" w:hint="default"/>
      </w:rPr>
    </w:lvl>
    <w:lvl w:ilvl="8" w:tplc="A9243DDE">
      <w:start w:val="1"/>
      <w:numFmt w:val="bullet"/>
      <w:lvlText w:val=""/>
      <w:lvlJc w:val="start"/>
      <w:pPr>
        <w:ind w:start="327.30pt" w:hanging="18pt"/>
      </w:pPr>
      <w:rPr>
        <w:rFonts w:ascii="Wingdings" w:hAnsi="Wingdings" w:hint="default"/>
      </w:rPr>
    </w:lvl>
  </w:abstractNum>
  <w:abstractNum w:abstractNumId="163" w15:restartNumberingAfterBreak="0">
    <w:nsid w:val="4C1F0A86"/>
    <w:multiLevelType w:val="hybridMultilevel"/>
    <w:tmpl w:val="E618B9F8"/>
    <w:lvl w:ilvl="0" w:tplc="080A0001">
      <w:start w:val="1"/>
      <w:numFmt w:val="bullet"/>
      <w:lvlText w:val=""/>
      <w:lvlJc w:val="start"/>
      <w:pPr>
        <w:ind w:start="33.85pt" w:hanging="18pt"/>
      </w:pPr>
      <w:rPr>
        <w:rFonts w:ascii="Symbol" w:hAnsi="Symbol" w:hint="default"/>
      </w:rPr>
    </w:lvl>
    <w:lvl w:ilvl="1" w:tplc="080A0003">
      <w:start w:val="1"/>
      <w:numFmt w:val="bullet"/>
      <w:lvlText w:val="o"/>
      <w:lvlJc w:val="start"/>
      <w:pPr>
        <w:ind w:start="69.85pt" w:hanging="18pt"/>
      </w:pPr>
      <w:rPr>
        <w:rFonts w:ascii="Courier New" w:hAnsi="Courier New" w:cs="Courier New" w:hint="default"/>
      </w:rPr>
    </w:lvl>
    <w:lvl w:ilvl="2" w:tplc="080A0005">
      <w:start w:val="1"/>
      <w:numFmt w:val="bullet"/>
      <w:lvlText w:val=""/>
      <w:lvlJc w:val="start"/>
      <w:pPr>
        <w:ind w:start="105.85pt" w:hanging="18pt"/>
      </w:pPr>
      <w:rPr>
        <w:rFonts w:ascii="Wingdings" w:hAnsi="Wingdings" w:hint="default"/>
      </w:rPr>
    </w:lvl>
    <w:lvl w:ilvl="3" w:tplc="080A0001">
      <w:start w:val="1"/>
      <w:numFmt w:val="bullet"/>
      <w:lvlText w:val=""/>
      <w:lvlJc w:val="start"/>
      <w:pPr>
        <w:ind w:start="141.85pt" w:hanging="18pt"/>
      </w:pPr>
      <w:rPr>
        <w:rFonts w:ascii="Symbol" w:hAnsi="Symbol" w:hint="default"/>
      </w:rPr>
    </w:lvl>
    <w:lvl w:ilvl="4" w:tplc="080A0003">
      <w:start w:val="1"/>
      <w:numFmt w:val="bullet"/>
      <w:lvlText w:val="o"/>
      <w:lvlJc w:val="start"/>
      <w:pPr>
        <w:ind w:start="177.85pt" w:hanging="18pt"/>
      </w:pPr>
      <w:rPr>
        <w:rFonts w:ascii="Courier New" w:hAnsi="Courier New" w:cs="Courier New" w:hint="default"/>
      </w:rPr>
    </w:lvl>
    <w:lvl w:ilvl="5" w:tplc="080A0005">
      <w:start w:val="1"/>
      <w:numFmt w:val="bullet"/>
      <w:lvlText w:val=""/>
      <w:lvlJc w:val="start"/>
      <w:pPr>
        <w:ind w:start="213.85pt" w:hanging="18pt"/>
      </w:pPr>
      <w:rPr>
        <w:rFonts w:ascii="Wingdings" w:hAnsi="Wingdings" w:hint="default"/>
      </w:rPr>
    </w:lvl>
    <w:lvl w:ilvl="6" w:tplc="080A0001">
      <w:start w:val="1"/>
      <w:numFmt w:val="bullet"/>
      <w:lvlText w:val=""/>
      <w:lvlJc w:val="start"/>
      <w:pPr>
        <w:ind w:start="249.85pt" w:hanging="18pt"/>
      </w:pPr>
      <w:rPr>
        <w:rFonts w:ascii="Symbol" w:hAnsi="Symbol" w:hint="default"/>
      </w:rPr>
    </w:lvl>
    <w:lvl w:ilvl="7" w:tplc="080A0003">
      <w:start w:val="1"/>
      <w:numFmt w:val="bullet"/>
      <w:lvlText w:val="o"/>
      <w:lvlJc w:val="start"/>
      <w:pPr>
        <w:ind w:start="285.85pt" w:hanging="18pt"/>
      </w:pPr>
      <w:rPr>
        <w:rFonts w:ascii="Courier New" w:hAnsi="Courier New" w:cs="Courier New" w:hint="default"/>
      </w:rPr>
    </w:lvl>
    <w:lvl w:ilvl="8" w:tplc="080A0005">
      <w:start w:val="1"/>
      <w:numFmt w:val="bullet"/>
      <w:lvlText w:val=""/>
      <w:lvlJc w:val="start"/>
      <w:pPr>
        <w:ind w:start="321.85pt" w:hanging="18pt"/>
      </w:pPr>
      <w:rPr>
        <w:rFonts w:ascii="Wingdings" w:hAnsi="Wingdings" w:hint="default"/>
      </w:rPr>
    </w:lvl>
  </w:abstractNum>
  <w:abstractNum w:abstractNumId="164" w15:restartNumberingAfterBreak="0">
    <w:nsid w:val="4C9A6784"/>
    <w:multiLevelType w:val="hybridMultilevel"/>
    <w:tmpl w:val="E97CE374"/>
    <w:lvl w:ilvl="0" w:tplc="12A24044">
      <w:start w:val="1"/>
      <w:numFmt w:val="bullet"/>
      <w:lvlText w:val=""/>
      <w:lvlJc w:val="start"/>
      <w:pPr>
        <w:ind w:start="39.25pt" w:hanging="18pt"/>
      </w:pPr>
      <w:rPr>
        <w:rFonts w:ascii="Symbol" w:hAnsi="Symbol" w:hint="default"/>
      </w:rPr>
    </w:lvl>
    <w:lvl w:ilvl="1" w:tplc="FC16760E" w:tentative="1">
      <w:start w:val="1"/>
      <w:numFmt w:val="bullet"/>
      <w:lvlText w:val="o"/>
      <w:lvlJc w:val="start"/>
      <w:pPr>
        <w:ind w:start="75.30pt" w:hanging="18pt"/>
      </w:pPr>
      <w:rPr>
        <w:rFonts w:ascii="Courier New" w:hAnsi="Courier New" w:cs="Courier New" w:hint="default"/>
      </w:rPr>
    </w:lvl>
    <w:lvl w:ilvl="2" w:tplc="8CD446B4" w:tentative="1">
      <w:start w:val="1"/>
      <w:numFmt w:val="bullet"/>
      <w:lvlText w:val=""/>
      <w:lvlJc w:val="start"/>
      <w:pPr>
        <w:ind w:start="111.30pt" w:hanging="18pt"/>
      </w:pPr>
      <w:rPr>
        <w:rFonts w:ascii="Wingdings" w:hAnsi="Wingdings" w:hint="default"/>
      </w:rPr>
    </w:lvl>
    <w:lvl w:ilvl="3" w:tplc="E7BE1ABC" w:tentative="1">
      <w:start w:val="1"/>
      <w:numFmt w:val="bullet"/>
      <w:lvlText w:val=""/>
      <w:lvlJc w:val="start"/>
      <w:pPr>
        <w:ind w:start="147.30pt" w:hanging="18pt"/>
      </w:pPr>
      <w:rPr>
        <w:rFonts w:ascii="Symbol" w:hAnsi="Symbol" w:hint="default"/>
      </w:rPr>
    </w:lvl>
    <w:lvl w:ilvl="4" w:tplc="DCDA1728" w:tentative="1">
      <w:start w:val="1"/>
      <w:numFmt w:val="bullet"/>
      <w:lvlText w:val="o"/>
      <w:lvlJc w:val="start"/>
      <w:pPr>
        <w:ind w:start="183.30pt" w:hanging="18pt"/>
      </w:pPr>
      <w:rPr>
        <w:rFonts w:ascii="Courier New" w:hAnsi="Courier New" w:cs="Courier New" w:hint="default"/>
      </w:rPr>
    </w:lvl>
    <w:lvl w:ilvl="5" w:tplc="B030A022" w:tentative="1">
      <w:start w:val="1"/>
      <w:numFmt w:val="bullet"/>
      <w:lvlText w:val=""/>
      <w:lvlJc w:val="start"/>
      <w:pPr>
        <w:ind w:start="219.30pt" w:hanging="18pt"/>
      </w:pPr>
      <w:rPr>
        <w:rFonts w:ascii="Wingdings" w:hAnsi="Wingdings" w:hint="default"/>
      </w:rPr>
    </w:lvl>
    <w:lvl w:ilvl="6" w:tplc="CEE6FFE8" w:tentative="1">
      <w:start w:val="1"/>
      <w:numFmt w:val="bullet"/>
      <w:lvlText w:val=""/>
      <w:lvlJc w:val="start"/>
      <w:pPr>
        <w:ind w:start="255.30pt" w:hanging="18pt"/>
      </w:pPr>
      <w:rPr>
        <w:rFonts w:ascii="Symbol" w:hAnsi="Symbol" w:hint="default"/>
      </w:rPr>
    </w:lvl>
    <w:lvl w:ilvl="7" w:tplc="1C647D34" w:tentative="1">
      <w:start w:val="1"/>
      <w:numFmt w:val="bullet"/>
      <w:lvlText w:val="o"/>
      <w:lvlJc w:val="start"/>
      <w:pPr>
        <w:ind w:start="291.30pt" w:hanging="18pt"/>
      </w:pPr>
      <w:rPr>
        <w:rFonts w:ascii="Courier New" w:hAnsi="Courier New" w:cs="Courier New" w:hint="default"/>
      </w:rPr>
    </w:lvl>
    <w:lvl w:ilvl="8" w:tplc="D68AED10" w:tentative="1">
      <w:start w:val="1"/>
      <w:numFmt w:val="bullet"/>
      <w:lvlText w:val=""/>
      <w:lvlJc w:val="start"/>
      <w:pPr>
        <w:ind w:start="327.30pt" w:hanging="18pt"/>
      </w:pPr>
      <w:rPr>
        <w:rFonts w:ascii="Wingdings" w:hAnsi="Wingdings" w:hint="default"/>
      </w:rPr>
    </w:lvl>
  </w:abstractNum>
  <w:abstractNum w:abstractNumId="165" w15:restartNumberingAfterBreak="0">
    <w:nsid w:val="4E21005D"/>
    <w:multiLevelType w:val="hybridMultilevel"/>
    <w:tmpl w:val="5D086888"/>
    <w:lvl w:ilvl="0" w:tplc="BD0268BC">
      <w:start w:val="6"/>
      <w:numFmt w:val="bullet"/>
      <w:lvlText w:val="•"/>
      <w:lvlJc w:val="start"/>
      <w:pPr>
        <w:ind w:start="36pt" w:hanging="18pt"/>
      </w:pPr>
      <w:rPr>
        <w:rFonts w:ascii="Century Gothic" w:eastAsia="Calibri" w:hAnsi="Century Gothic" w:cs="Arial" w:hint="default"/>
      </w:rPr>
    </w:lvl>
    <w:lvl w:ilvl="1" w:tplc="868406AA" w:tentative="1">
      <w:start w:val="1"/>
      <w:numFmt w:val="bullet"/>
      <w:lvlText w:val="o"/>
      <w:lvlJc w:val="start"/>
      <w:pPr>
        <w:ind w:start="72pt" w:hanging="18pt"/>
      </w:pPr>
      <w:rPr>
        <w:rFonts w:ascii="Courier New" w:hAnsi="Courier New" w:cs="Courier New" w:hint="default"/>
      </w:rPr>
    </w:lvl>
    <w:lvl w:ilvl="2" w:tplc="035A10D0" w:tentative="1">
      <w:start w:val="1"/>
      <w:numFmt w:val="bullet"/>
      <w:lvlText w:val=""/>
      <w:lvlJc w:val="start"/>
      <w:pPr>
        <w:ind w:start="108pt" w:hanging="18pt"/>
      </w:pPr>
      <w:rPr>
        <w:rFonts w:ascii="Wingdings" w:hAnsi="Wingdings" w:hint="default"/>
      </w:rPr>
    </w:lvl>
    <w:lvl w:ilvl="3" w:tplc="72022F6A" w:tentative="1">
      <w:start w:val="1"/>
      <w:numFmt w:val="bullet"/>
      <w:lvlText w:val=""/>
      <w:lvlJc w:val="start"/>
      <w:pPr>
        <w:ind w:start="144pt" w:hanging="18pt"/>
      </w:pPr>
      <w:rPr>
        <w:rFonts w:ascii="Symbol" w:hAnsi="Symbol" w:hint="default"/>
      </w:rPr>
    </w:lvl>
    <w:lvl w:ilvl="4" w:tplc="54722030" w:tentative="1">
      <w:start w:val="1"/>
      <w:numFmt w:val="bullet"/>
      <w:lvlText w:val="o"/>
      <w:lvlJc w:val="start"/>
      <w:pPr>
        <w:ind w:start="180pt" w:hanging="18pt"/>
      </w:pPr>
      <w:rPr>
        <w:rFonts w:ascii="Courier New" w:hAnsi="Courier New" w:cs="Courier New" w:hint="default"/>
      </w:rPr>
    </w:lvl>
    <w:lvl w:ilvl="5" w:tplc="55D41D40" w:tentative="1">
      <w:start w:val="1"/>
      <w:numFmt w:val="bullet"/>
      <w:lvlText w:val=""/>
      <w:lvlJc w:val="start"/>
      <w:pPr>
        <w:ind w:start="216pt" w:hanging="18pt"/>
      </w:pPr>
      <w:rPr>
        <w:rFonts w:ascii="Wingdings" w:hAnsi="Wingdings" w:hint="default"/>
      </w:rPr>
    </w:lvl>
    <w:lvl w:ilvl="6" w:tplc="8BF0053C" w:tentative="1">
      <w:start w:val="1"/>
      <w:numFmt w:val="bullet"/>
      <w:lvlText w:val=""/>
      <w:lvlJc w:val="start"/>
      <w:pPr>
        <w:ind w:start="252pt" w:hanging="18pt"/>
      </w:pPr>
      <w:rPr>
        <w:rFonts w:ascii="Symbol" w:hAnsi="Symbol" w:hint="default"/>
      </w:rPr>
    </w:lvl>
    <w:lvl w:ilvl="7" w:tplc="2C0883C2" w:tentative="1">
      <w:start w:val="1"/>
      <w:numFmt w:val="bullet"/>
      <w:lvlText w:val="o"/>
      <w:lvlJc w:val="start"/>
      <w:pPr>
        <w:ind w:start="288pt" w:hanging="18pt"/>
      </w:pPr>
      <w:rPr>
        <w:rFonts w:ascii="Courier New" w:hAnsi="Courier New" w:cs="Courier New" w:hint="default"/>
      </w:rPr>
    </w:lvl>
    <w:lvl w:ilvl="8" w:tplc="12409DF2" w:tentative="1">
      <w:start w:val="1"/>
      <w:numFmt w:val="bullet"/>
      <w:lvlText w:val=""/>
      <w:lvlJc w:val="start"/>
      <w:pPr>
        <w:ind w:start="324pt" w:hanging="18pt"/>
      </w:pPr>
      <w:rPr>
        <w:rFonts w:ascii="Wingdings" w:hAnsi="Wingdings" w:hint="default"/>
      </w:rPr>
    </w:lvl>
  </w:abstractNum>
  <w:abstractNum w:abstractNumId="166" w15:restartNumberingAfterBreak="0">
    <w:nsid w:val="4E513522"/>
    <w:multiLevelType w:val="hybridMultilevel"/>
    <w:tmpl w:val="32069484"/>
    <w:lvl w:ilvl="0" w:tplc="1E42211A">
      <w:start w:val="1"/>
      <w:numFmt w:val="bullet"/>
      <w:lvlText w:val=""/>
      <w:lvlJc w:val="start"/>
      <w:pPr>
        <w:ind w:start="36pt" w:hanging="18pt"/>
      </w:pPr>
      <w:rPr>
        <w:rFonts w:ascii="Symbol" w:hAnsi="Symbol" w:hint="default"/>
      </w:rPr>
    </w:lvl>
    <w:lvl w:ilvl="1" w:tplc="258CB810" w:tentative="1">
      <w:start w:val="1"/>
      <w:numFmt w:val="bullet"/>
      <w:lvlText w:val="o"/>
      <w:lvlJc w:val="start"/>
      <w:pPr>
        <w:ind w:start="72pt" w:hanging="18pt"/>
      </w:pPr>
      <w:rPr>
        <w:rFonts w:ascii="Courier New" w:hAnsi="Courier New" w:cs="Courier New" w:hint="default"/>
      </w:rPr>
    </w:lvl>
    <w:lvl w:ilvl="2" w:tplc="E1F2C0DA" w:tentative="1">
      <w:start w:val="1"/>
      <w:numFmt w:val="bullet"/>
      <w:lvlText w:val=""/>
      <w:lvlJc w:val="start"/>
      <w:pPr>
        <w:ind w:start="108pt" w:hanging="18pt"/>
      </w:pPr>
      <w:rPr>
        <w:rFonts w:ascii="Wingdings" w:hAnsi="Wingdings" w:hint="default"/>
      </w:rPr>
    </w:lvl>
    <w:lvl w:ilvl="3" w:tplc="252E9828" w:tentative="1">
      <w:start w:val="1"/>
      <w:numFmt w:val="bullet"/>
      <w:lvlText w:val=""/>
      <w:lvlJc w:val="start"/>
      <w:pPr>
        <w:ind w:start="144pt" w:hanging="18pt"/>
      </w:pPr>
      <w:rPr>
        <w:rFonts w:ascii="Symbol" w:hAnsi="Symbol" w:hint="default"/>
      </w:rPr>
    </w:lvl>
    <w:lvl w:ilvl="4" w:tplc="E42AB36E" w:tentative="1">
      <w:start w:val="1"/>
      <w:numFmt w:val="bullet"/>
      <w:lvlText w:val="o"/>
      <w:lvlJc w:val="start"/>
      <w:pPr>
        <w:ind w:start="180pt" w:hanging="18pt"/>
      </w:pPr>
      <w:rPr>
        <w:rFonts w:ascii="Courier New" w:hAnsi="Courier New" w:cs="Courier New" w:hint="default"/>
      </w:rPr>
    </w:lvl>
    <w:lvl w:ilvl="5" w:tplc="1A5CB1F6" w:tentative="1">
      <w:start w:val="1"/>
      <w:numFmt w:val="bullet"/>
      <w:lvlText w:val=""/>
      <w:lvlJc w:val="start"/>
      <w:pPr>
        <w:ind w:start="216pt" w:hanging="18pt"/>
      </w:pPr>
      <w:rPr>
        <w:rFonts w:ascii="Wingdings" w:hAnsi="Wingdings" w:hint="default"/>
      </w:rPr>
    </w:lvl>
    <w:lvl w:ilvl="6" w:tplc="DC8ED7EE" w:tentative="1">
      <w:start w:val="1"/>
      <w:numFmt w:val="bullet"/>
      <w:lvlText w:val=""/>
      <w:lvlJc w:val="start"/>
      <w:pPr>
        <w:ind w:start="252pt" w:hanging="18pt"/>
      </w:pPr>
      <w:rPr>
        <w:rFonts w:ascii="Symbol" w:hAnsi="Symbol" w:hint="default"/>
      </w:rPr>
    </w:lvl>
    <w:lvl w:ilvl="7" w:tplc="408CB73C" w:tentative="1">
      <w:start w:val="1"/>
      <w:numFmt w:val="bullet"/>
      <w:lvlText w:val="o"/>
      <w:lvlJc w:val="start"/>
      <w:pPr>
        <w:ind w:start="288pt" w:hanging="18pt"/>
      </w:pPr>
      <w:rPr>
        <w:rFonts w:ascii="Courier New" w:hAnsi="Courier New" w:cs="Courier New" w:hint="default"/>
      </w:rPr>
    </w:lvl>
    <w:lvl w:ilvl="8" w:tplc="FB1E5C78" w:tentative="1">
      <w:start w:val="1"/>
      <w:numFmt w:val="bullet"/>
      <w:lvlText w:val=""/>
      <w:lvlJc w:val="start"/>
      <w:pPr>
        <w:ind w:start="324pt" w:hanging="18pt"/>
      </w:pPr>
      <w:rPr>
        <w:rFonts w:ascii="Wingdings" w:hAnsi="Wingdings" w:hint="default"/>
      </w:rPr>
    </w:lvl>
  </w:abstractNum>
  <w:abstractNum w:abstractNumId="167" w15:restartNumberingAfterBreak="0">
    <w:nsid w:val="4E6945B7"/>
    <w:multiLevelType w:val="hybridMultilevel"/>
    <w:tmpl w:val="6BD4412A"/>
    <w:lvl w:ilvl="0" w:tplc="5302DABC">
      <w:start w:val="1"/>
      <w:numFmt w:val="bullet"/>
      <w:lvlText w:val=""/>
      <w:lvlJc w:val="start"/>
      <w:pPr>
        <w:ind w:start="39.25pt" w:hanging="18pt"/>
      </w:pPr>
      <w:rPr>
        <w:rFonts w:ascii="Symbol" w:hAnsi="Symbol" w:hint="default"/>
      </w:rPr>
    </w:lvl>
    <w:lvl w:ilvl="1" w:tplc="F9360E9E">
      <w:start w:val="1"/>
      <w:numFmt w:val="bullet"/>
      <w:lvlText w:val="o"/>
      <w:lvlJc w:val="start"/>
      <w:pPr>
        <w:ind w:start="75.30pt" w:hanging="18pt"/>
      </w:pPr>
      <w:rPr>
        <w:rFonts w:ascii="Courier New" w:hAnsi="Courier New" w:cs="Courier New" w:hint="default"/>
      </w:rPr>
    </w:lvl>
    <w:lvl w:ilvl="2" w:tplc="05F26128">
      <w:start w:val="1"/>
      <w:numFmt w:val="bullet"/>
      <w:lvlText w:val=""/>
      <w:lvlJc w:val="start"/>
      <w:pPr>
        <w:ind w:start="111.30pt" w:hanging="18pt"/>
      </w:pPr>
      <w:rPr>
        <w:rFonts w:ascii="Wingdings" w:hAnsi="Wingdings" w:hint="default"/>
      </w:rPr>
    </w:lvl>
    <w:lvl w:ilvl="3" w:tplc="C6566FCC">
      <w:start w:val="1"/>
      <w:numFmt w:val="bullet"/>
      <w:lvlText w:val=""/>
      <w:lvlJc w:val="start"/>
      <w:pPr>
        <w:ind w:start="147.30pt" w:hanging="18pt"/>
      </w:pPr>
      <w:rPr>
        <w:rFonts w:ascii="Symbol" w:hAnsi="Symbol" w:hint="default"/>
      </w:rPr>
    </w:lvl>
    <w:lvl w:ilvl="4" w:tplc="83ACF010">
      <w:start w:val="1"/>
      <w:numFmt w:val="bullet"/>
      <w:lvlText w:val="o"/>
      <w:lvlJc w:val="start"/>
      <w:pPr>
        <w:ind w:start="183.30pt" w:hanging="18pt"/>
      </w:pPr>
      <w:rPr>
        <w:rFonts w:ascii="Courier New" w:hAnsi="Courier New" w:cs="Courier New" w:hint="default"/>
      </w:rPr>
    </w:lvl>
    <w:lvl w:ilvl="5" w:tplc="35545180">
      <w:start w:val="1"/>
      <w:numFmt w:val="bullet"/>
      <w:lvlText w:val=""/>
      <w:lvlJc w:val="start"/>
      <w:pPr>
        <w:ind w:start="219.30pt" w:hanging="18pt"/>
      </w:pPr>
      <w:rPr>
        <w:rFonts w:ascii="Wingdings" w:hAnsi="Wingdings" w:hint="default"/>
      </w:rPr>
    </w:lvl>
    <w:lvl w:ilvl="6" w:tplc="2672423E">
      <w:start w:val="1"/>
      <w:numFmt w:val="bullet"/>
      <w:lvlText w:val=""/>
      <w:lvlJc w:val="start"/>
      <w:pPr>
        <w:ind w:start="255.30pt" w:hanging="18pt"/>
      </w:pPr>
      <w:rPr>
        <w:rFonts w:ascii="Symbol" w:hAnsi="Symbol" w:hint="default"/>
      </w:rPr>
    </w:lvl>
    <w:lvl w:ilvl="7" w:tplc="C84C8E92">
      <w:start w:val="1"/>
      <w:numFmt w:val="bullet"/>
      <w:lvlText w:val="o"/>
      <w:lvlJc w:val="start"/>
      <w:pPr>
        <w:ind w:start="291.30pt" w:hanging="18pt"/>
      </w:pPr>
      <w:rPr>
        <w:rFonts w:ascii="Courier New" w:hAnsi="Courier New" w:cs="Courier New" w:hint="default"/>
      </w:rPr>
    </w:lvl>
    <w:lvl w:ilvl="8" w:tplc="19924596">
      <w:start w:val="1"/>
      <w:numFmt w:val="bullet"/>
      <w:lvlText w:val=""/>
      <w:lvlJc w:val="start"/>
      <w:pPr>
        <w:ind w:start="327.30pt" w:hanging="18pt"/>
      </w:pPr>
      <w:rPr>
        <w:rFonts w:ascii="Wingdings" w:hAnsi="Wingdings" w:hint="default"/>
      </w:rPr>
    </w:lvl>
  </w:abstractNum>
  <w:abstractNum w:abstractNumId="168" w15:restartNumberingAfterBreak="0">
    <w:nsid w:val="4EC23E67"/>
    <w:multiLevelType w:val="hybridMultilevel"/>
    <w:tmpl w:val="B5B09D2A"/>
    <w:lvl w:ilvl="0" w:tplc="0F32454E">
      <w:start w:val="1"/>
      <w:numFmt w:val="bullet"/>
      <w:lvlText w:val=""/>
      <w:lvlJc w:val="start"/>
      <w:pPr>
        <w:ind w:start="36pt" w:hanging="18pt"/>
      </w:pPr>
      <w:rPr>
        <w:rFonts w:ascii="Wingdings" w:hAnsi="Wingdings" w:hint="default"/>
      </w:rPr>
    </w:lvl>
    <w:lvl w:ilvl="1" w:tplc="43D6E71E" w:tentative="1">
      <w:start w:val="1"/>
      <w:numFmt w:val="bullet"/>
      <w:lvlText w:val="o"/>
      <w:lvlJc w:val="start"/>
      <w:pPr>
        <w:ind w:start="72pt" w:hanging="18pt"/>
      </w:pPr>
      <w:rPr>
        <w:rFonts w:ascii="Courier New" w:hAnsi="Courier New" w:cs="Courier New" w:hint="default"/>
      </w:rPr>
    </w:lvl>
    <w:lvl w:ilvl="2" w:tplc="1B087E02" w:tentative="1">
      <w:start w:val="1"/>
      <w:numFmt w:val="bullet"/>
      <w:lvlText w:val=""/>
      <w:lvlJc w:val="start"/>
      <w:pPr>
        <w:ind w:start="108pt" w:hanging="18pt"/>
      </w:pPr>
      <w:rPr>
        <w:rFonts w:ascii="Wingdings" w:hAnsi="Wingdings" w:hint="default"/>
      </w:rPr>
    </w:lvl>
    <w:lvl w:ilvl="3" w:tplc="90DA83BA" w:tentative="1">
      <w:start w:val="1"/>
      <w:numFmt w:val="bullet"/>
      <w:lvlText w:val=""/>
      <w:lvlJc w:val="start"/>
      <w:pPr>
        <w:ind w:start="144pt" w:hanging="18pt"/>
      </w:pPr>
      <w:rPr>
        <w:rFonts w:ascii="Symbol" w:hAnsi="Symbol" w:hint="default"/>
      </w:rPr>
    </w:lvl>
    <w:lvl w:ilvl="4" w:tplc="1A941BF8" w:tentative="1">
      <w:start w:val="1"/>
      <w:numFmt w:val="bullet"/>
      <w:lvlText w:val="o"/>
      <w:lvlJc w:val="start"/>
      <w:pPr>
        <w:ind w:start="180pt" w:hanging="18pt"/>
      </w:pPr>
      <w:rPr>
        <w:rFonts w:ascii="Courier New" w:hAnsi="Courier New" w:cs="Courier New" w:hint="default"/>
      </w:rPr>
    </w:lvl>
    <w:lvl w:ilvl="5" w:tplc="84400210" w:tentative="1">
      <w:start w:val="1"/>
      <w:numFmt w:val="bullet"/>
      <w:lvlText w:val=""/>
      <w:lvlJc w:val="start"/>
      <w:pPr>
        <w:ind w:start="216pt" w:hanging="18pt"/>
      </w:pPr>
      <w:rPr>
        <w:rFonts w:ascii="Wingdings" w:hAnsi="Wingdings" w:hint="default"/>
      </w:rPr>
    </w:lvl>
    <w:lvl w:ilvl="6" w:tplc="72628D52" w:tentative="1">
      <w:start w:val="1"/>
      <w:numFmt w:val="bullet"/>
      <w:lvlText w:val=""/>
      <w:lvlJc w:val="start"/>
      <w:pPr>
        <w:ind w:start="252pt" w:hanging="18pt"/>
      </w:pPr>
      <w:rPr>
        <w:rFonts w:ascii="Symbol" w:hAnsi="Symbol" w:hint="default"/>
      </w:rPr>
    </w:lvl>
    <w:lvl w:ilvl="7" w:tplc="E4FA0678" w:tentative="1">
      <w:start w:val="1"/>
      <w:numFmt w:val="bullet"/>
      <w:lvlText w:val="o"/>
      <w:lvlJc w:val="start"/>
      <w:pPr>
        <w:ind w:start="288pt" w:hanging="18pt"/>
      </w:pPr>
      <w:rPr>
        <w:rFonts w:ascii="Courier New" w:hAnsi="Courier New" w:cs="Courier New" w:hint="default"/>
      </w:rPr>
    </w:lvl>
    <w:lvl w:ilvl="8" w:tplc="7804B65E" w:tentative="1">
      <w:start w:val="1"/>
      <w:numFmt w:val="bullet"/>
      <w:lvlText w:val=""/>
      <w:lvlJc w:val="start"/>
      <w:pPr>
        <w:ind w:start="324pt" w:hanging="18pt"/>
      </w:pPr>
      <w:rPr>
        <w:rFonts w:ascii="Wingdings" w:hAnsi="Wingdings" w:hint="default"/>
      </w:rPr>
    </w:lvl>
  </w:abstractNum>
  <w:abstractNum w:abstractNumId="169" w15:restartNumberingAfterBreak="0">
    <w:nsid w:val="4EE728BF"/>
    <w:multiLevelType w:val="hybridMultilevel"/>
    <w:tmpl w:val="C4A46DB4"/>
    <w:lvl w:ilvl="0" w:tplc="D630B1CC">
      <w:start w:val="1"/>
      <w:numFmt w:val="bullet"/>
      <w:lvlText w:val=""/>
      <w:lvlJc w:val="start"/>
      <w:pPr>
        <w:ind w:start="36pt" w:hanging="18pt"/>
      </w:pPr>
      <w:rPr>
        <w:rFonts w:ascii="Symbol" w:hAnsi="Symbol" w:hint="default"/>
      </w:rPr>
    </w:lvl>
    <w:lvl w:ilvl="1" w:tplc="4DBEEEDE" w:tentative="1">
      <w:start w:val="1"/>
      <w:numFmt w:val="bullet"/>
      <w:lvlText w:val="o"/>
      <w:lvlJc w:val="start"/>
      <w:pPr>
        <w:ind w:start="72pt" w:hanging="18pt"/>
      </w:pPr>
      <w:rPr>
        <w:rFonts w:ascii="Courier New" w:hAnsi="Courier New" w:cs="Courier New" w:hint="default"/>
      </w:rPr>
    </w:lvl>
    <w:lvl w:ilvl="2" w:tplc="4E4ADC36" w:tentative="1">
      <w:start w:val="1"/>
      <w:numFmt w:val="bullet"/>
      <w:lvlText w:val=""/>
      <w:lvlJc w:val="start"/>
      <w:pPr>
        <w:ind w:start="108pt" w:hanging="18pt"/>
      </w:pPr>
      <w:rPr>
        <w:rFonts w:ascii="Wingdings" w:hAnsi="Wingdings" w:hint="default"/>
      </w:rPr>
    </w:lvl>
    <w:lvl w:ilvl="3" w:tplc="985EE95A" w:tentative="1">
      <w:start w:val="1"/>
      <w:numFmt w:val="bullet"/>
      <w:lvlText w:val=""/>
      <w:lvlJc w:val="start"/>
      <w:pPr>
        <w:ind w:start="144pt" w:hanging="18pt"/>
      </w:pPr>
      <w:rPr>
        <w:rFonts w:ascii="Symbol" w:hAnsi="Symbol" w:hint="default"/>
      </w:rPr>
    </w:lvl>
    <w:lvl w:ilvl="4" w:tplc="BA02520E" w:tentative="1">
      <w:start w:val="1"/>
      <w:numFmt w:val="bullet"/>
      <w:lvlText w:val="o"/>
      <w:lvlJc w:val="start"/>
      <w:pPr>
        <w:ind w:start="180pt" w:hanging="18pt"/>
      </w:pPr>
      <w:rPr>
        <w:rFonts w:ascii="Courier New" w:hAnsi="Courier New" w:cs="Courier New" w:hint="default"/>
      </w:rPr>
    </w:lvl>
    <w:lvl w:ilvl="5" w:tplc="5C3CC4AA" w:tentative="1">
      <w:start w:val="1"/>
      <w:numFmt w:val="bullet"/>
      <w:lvlText w:val=""/>
      <w:lvlJc w:val="start"/>
      <w:pPr>
        <w:ind w:start="216pt" w:hanging="18pt"/>
      </w:pPr>
      <w:rPr>
        <w:rFonts w:ascii="Wingdings" w:hAnsi="Wingdings" w:hint="default"/>
      </w:rPr>
    </w:lvl>
    <w:lvl w:ilvl="6" w:tplc="2A5C5428" w:tentative="1">
      <w:start w:val="1"/>
      <w:numFmt w:val="bullet"/>
      <w:lvlText w:val=""/>
      <w:lvlJc w:val="start"/>
      <w:pPr>
        <w:ind w:start="252pt" w:hanging="18pt"/>
      </w:pPr>
      <w:rPr>
        <w:rFonts w:ascii="Symbol" w:hAnsi="Symbol" w:hint="default"/>
      </w:rPr>
    </w:lvl>
    <w:lvl w:ilvl="7" w:tplc="13B0A86E" w:tentative="1">
      <w:start w:val="1"/>
      <w:numFmt w:val="bullet"/>
      <w:lvlText w:val="o"/>
      <w:lvlJc w:val="start"/>
      <w:pPr>
        <w:ind w:start="288pt" w:hanging="18pt"/>
      </w:pPr>
      <w:rPr>
        <w:rFonts w:ascii="Courier New" w:hAnsi="Courier New" w:cs="Courier New" w:hint="default"/>
      </w:rPr>
    </w:lvl>
    <w:lvl w:ilvl="8" w:tplc="1CBEFECA" w:tentative="1">
      <w:start w:val="1"/>
      <w:numFmt w:val="bullet"/>
      <w:lvlText w:val=""/>
      <w:lvlJc w:val="start"/>
      <w:pPr>
        <w:ind w:start="324pt" w:hanging="18pt"/>
      </w:pPr>
      <w:rPr>
        <w:rFonts w:ascii="Wingdings" w:hAnsi="Wingdings" w:hint="default"/>
      </w:rPr>
    </w:lvl>
  </w:abstractNum>
  <w:abstractNum w:abstractNumId="170" w15:restartNumberingAfterBreak="0">
    <w:nsid w:val="4EF12723"/>
    <w:multiLevelType w:val="hybridMultilevel"/>
    <w:tmpl w:val="443E70A8"/>
    <w:lvl w:ilvl="0" w:tplc="BC2C739C">
      <w:start w:val="1"/>
      <w:numFmt w:val="decimal"/>
      <w:pStyle w:val="Titulo30"/>
      <w:lvlText w:val="5.%1."/>
      <w:lvlJc w:val="start"/>
      <w:pPr>
        <w:tabs>
          <w:tab w:val="num" w:pos="42.65pt"/>
        </w:tabs>
        <w:ind w:start="35pt" w:hanging="17pt"/>
      </w:pPr>
      <w:rPr>
        <w:rFonts w:cs="Times New Roman" w:hint="default"/>
      </w:rPr>
    </w:lvl>
    <w:lvl w:ilvl="1" w:tplc="8F6CBD42" w:tentative="1">
      <w:start w:val="1"/>
      <w:numFmt w:val="lowerLetter"/>
      <w:lvlText w:val="%2."/>
      <w:lvlJc w:val="start"/>
      <w:pPr>
        <w:tabs>
          <w:tab w:val="num" w:pos="72pt"/>
        </w:tabs>
        <w:ind w:start="72pt" w:hanging="18pt"/>
      </w:pPr>
      <w:rPr>
        <w:rFonts w:cs="Times New Roman"/>
      </w:rPr>
    </w:lvl>
    <w:lvl w:ilvl="2" w:tplc="244CE8A6" w:tentative="1">
      <w:start w:val="1"/>
      <w:numFmt w:val="lowerRoman"/>
      <w:lvlText w:val="%3."/>
      <w:lvlJc w:val="end"/>
      <w:pPr>
        <w:tabs>
          <w:tab w:val="num" w:pos="108pt"/>
        </w:tabs>
        <w:ind w:start="108pt" w:hanging="9pt"/>
      </w:pPr>
      <w:rPr>
        <w:rFonts w:cs="Times New Roman"/>
      </w:rPr>
    </w:lvl>
    <w:lvl w:ilvl="3" w:tplc="C7FC8440" w:tentative="1">
      <w:start w:val="1"/>
      <w:numFmt w:val="decimal"/>
      <w:lvlText w:val="%4."/>
      <w:lvlJc w:val="start"/>
      <w:pPr>
        <w:tabs>
          <w:tab w:val="num" w:pos="144pt"/>
        </w:tabs>
        <w:ind w:start="144pt" w:hanging="18pt"/>
      </w:pPr>
      <w:rPr>
        <w:rFonts w:cs="Times New Roman"/>
      </w:rPr>
    </w:lvl>
    <w:lvl w:ilvl="4" w:tplc="1DF21284" w:tentative="1">
      <w:start w:val="1"/>
      <w:numFmt w:val="lowerLetter"/>
      <w:lvlText w:val="%5."/>
      <w:lvlJc w:val="start"/>
      <w:pPr>
        <w:tabs>
          <w:tab w:val="num" w:pos="180pt"/>
        </w:tabs>
        <w:ind w:start="180pt" w:hanging="18pt"/>
      </w:pPr>
      <w:rPr>
        <w:rFonts w:cs="Times New Roman"/>
      </w:rPr>
    </w:lvl>
    <w:lvl w:ilvl="5" w:tplc="A62C80A0" w:tentative="1">
      <w:start w:val="1"/>
      <w:numFmt w:val="lowerRoman"/>
      <w:lvlText w:val="%6."/>
      <w:lvlJc w:val="end"/>
      <w:pPr>
        <w:tabs>
          <w:tab w:val="num" w:pos="216pt"/>
        </w:tabs>
        <w:ind w:start="216pt" w:hanging="9pt"/>
      </w:pPr>
      <w:rPr>
        <w:rFonts w:cs="Times New Roman"/>
      </w:rPr>
    </w:lvl>
    <w:lvl w:ilvl="6" w:tplc="FE06D792" w:tentative="1">
      <w:start w:val="1"/>
      <w:numFmt w:val="decimal"/>
      <w:lvlText w:val="%7."/>
      <w:lvlJc w:val="start"/>
      <w:pPr>
        <w:tabs>
          <w:tab w:val="num" w:pos="252pt"/>
        </w:tabs>
        <w:ind w:start="252pt" w:hanging="18pt"/>
      </w:pPr>
      <w:rPr>
        <w:rFonts w:cs="Times New Roman"/>
      </w:rPr>
    </w:lvl>
    <w:lvl w:ilvl="7" w:tplc="AFCA8E82" w:tentative="1">
      <w:start w:val="1"/>
      <w:numFmt w:val="lowerLetter"/>
      <w:lvlText w:val="%8."/>
      <w:lvlJc w:val="start"/>
      <w:pPr>
        <w:tabs>
          <w:tab w:val="num" w:pos="288pt"/>
        </w:tabs>
        <w:ind w:start="288pt" w:hanging="18pt"/>
      </w:pPr>
      <w:rPr>
        <w:rFonts w:cs="Times New Roman"/>
      </w:rPr>
    </w:lvl>
    <w:lvl w:ilvl="8" w:tplc="AB182614" w:tentative="1">
      <w:start w:val="1"/>
      <w:numFmt w:val="lowerRoman"/>
      <w:lvlText w:val="%9."/>
      <w:lvlJc w:val="end"/>
      <w:pPr>
        <w:tabs>
          <w:tab w:val="num" w:pos="324pt"/>
        </w:tabs>
        <w:ind w:start="324pt" w:hanging="9pt"/>
      </w:pPr>
      <w:rPr>
        <w:rFonts w:cs="Times New Roman"/>
      </w:rPr>
    </w:lvl>
  </w:abstractNum>
  <w:abstractNum w:abstractNumId="171" w15:restartNumberingAfterBreak="0">
    <w:nsid w:val="501C0209"/>
    <w:multiLevelType w:val="hybridMultilevel"/>
    <w:tmpl w:val="62B8AB88"/>
    <w:lvl w:ilvl="0" w:tplc="2C66AB50">
      <w:start w:val="1"/>
      <w:numFmt w:val="bullet"/>
      <w:lvlText w:val=""/>
      <w:lvlJc w:val="start"/>
      <w:pPr>
        <w:ind w:start="36pt" w:hanging="18pt"/>
      </w:pPr>
      <w:rPr>
        <w:rFonts w:ascii="Symbol" w:hAnsi="Symbol" w:hint="default"/>
      </w:rPr>
    </w:lvl>
    <w:lvl w:ilvl="1" w:tplc="9CFCFD72" w:tentative="1">
      <w:start w:val="1"/>
      <w:numFmt w:val="bullet"/>
      <w:lvlText w:val="o"/>
      <w:lvlJc w:val="start"/>
      <w:pPr>
        <w:ind w:start="72pt" w:hanging="18pt"/>
      </w:pPr>
      <w:rPr>
        <w:rFonts w:ascii="Courier New" w:hAnsi="Courier New" w:cs="Courier New" w:hint="default"/>
      </w:rPr>
    </w:lvl>
    <w:lvl w:ilvl="2" w:tplc="B386A00E" w:tentative="1">
      <w:start w:val="1"/>
      <w:numFmt w:val="bullet"/>
      <w:lvlText w:val=""/>
      <w:lvlJc w:val="start"/>
      <w:pPr>
        <w:ind w:start="108pt" w:hanging="18pt"/>
      </w:pPr>
      <w:rPr>
        <w:rFonts w:ascii="Wingdings" w:hAnsi="Wingdings" w:hint="default"/>
      </w:rPr>
    </w:lvl>
    <w:lvl w:ilvl="3" w:tplc="B9BACC3C" w:tentative="1">
      <w:start w:val="1"/>
      <w:numFmt w:val="bullet"/>
      <w:lvlText w:val=""/>
      <w:lvlJc w:val="start"/>
      <w:pPr>
        <w:ind w:start="144pt" w:hanging="18pt"/>
      </w:pPr>
      <w:rPr>
        <w:rFonts w:ascii="Symbol" w:hAnsi="Symbol" w:hint="default"/>
      </w:rPr>
    </w:lvl>
    <w:lvl w:ilvl="4" w:tplc="A46E96FC" w:tentative="1">
      <w:start w:val="1"/>
      <w:numFmt w:val="bullet"/>
      <w:lvlText w:val="o"/>
      <w:lvlJc w:val="start"/>
      <w:pPr>
        <w:ind w:start="180pt" w:hanging="18pt"/>
      </w:pPr>
      <w:rPr>
        <w:rFonts w:ascii="Courier New" w:hAnsi="Courier New" w:cs="Courier New" w:hint="default"/>
      </w:rPr>
    </w:lvl>
    <w:lvl w:ilvl="5" w:tplc="E2E62E82" w:tentative="1">
      <w:start w:val="1"/>
      <w:numFmt w:val="bullet"/>
      <w:lvlText w:val=""/>
      <w:lvlJc w:val="start"/>
      <w:pPr>
        <w:ind w:start="216pt" w:hanging="18pt"/>
      </w:pPr>
      <w:rPr>
        <w:rFonts w:ascii="Wingdings" w:hAnsi="Wingdings" w:hint="default"/>
      </w:rPr>
    </w:lvl>
    <w:lvl w:ilvl="6" w:tplc="8AA678DC" w:tentative="1">
      <w:start w:val="1"/>
      <w:numFmt w:val="bullet"/>
      <w:lvlText w:val=""/>
      <w:lvlJc w:val="start"/>
      <w:pPr>
        <w:ind w:start="252pt" w:hanging="18pt"/>
      </w:pPr>
      <w:rPr>
        <w:rFonts w:ascii="Symbol" w:hAnsi="Symbol" w:hint="default"/>
      </w:rPr>
    </w:lvl>
    <w:lvl w:ilvl="7" w:tplc="212AC93E" w:tentative="1">
      <w:start w:val="1"/>
      <w:numFmt w:val="bullet"/>
      <w:lvlText w:val="o"/>
      <w:lvlJc w:val="start"/>
      <w:pPr>
        <w:ind w:start="288pt" w:hanging="18pt"/>
      </w:pPr>
      <w:rPr>
        <w:rFonts w:ascii="Courier New" w:hAnsi="Courier New" w:cs="Courier New" w:hint="default"/>
      </w:rPr>
    </w:lvl>
    <w:lvl w:ilvl="8" w:tplc="F628E282" w:tentative="1">
      <w:start w:val="1"/>
      <w:numFmt w:val="bullet"/>
      <w:lvlText w:val=""/>
      <w:lvlJc w:val="start"/>
      <w:pPr>
        <w:ind w:start="324pt" w:hanging="18pt"/>
      </w:pPr>
      <w:rPr>
        <w:rFonts w:ascii="Wingdings" w:hAnsi="Wingdings" w:hint="default"/>
      </w:rPr>
    </w:lvl>
  </w:abstractNum>
  <w:abstractNum w:abstractNumId="172" w15:restartNumberingAfterBreak="0">
    <w:nsid w:val="501C0B99"/>
    <w:multiLevelType w:val="hybridMultilevel"/>
    <w:tmpl w:val="296ED132"/>
    <w:lvl w:ilvl="0" w:tplc="B754C658">
      <w:start w:val="1"/>
      <w:numFmt w:val="bullet"/>
      <w:lvlText w:val=""/>
      <w:lvlJc w:val="start"/>
      <w:pPr>
        <w:ind w:start="39.25pt" w:hanging="18pt"/>
      </w:pPr>
      <w:rPr>
        <w:rFonts w:ascii="Symbol" w:hAnsi="Symbol" w:hint="default"/>
      </w:rPr>
    </w:lvl>
    <w:lvl w:ilvl="1" w:tplc="BD9EF57A" w:tentative="1">
      <w:start w:val="1"/>
      <w:numFmt w:val="bullet"/>
      <w:lvlText w:val="o"/>
      <w:lvlJc w:val="start"/>
      <w:pPr>
        <w:ind w:start="75.30pt" w:hanging="18pt"/>
      </w:pPr>
      <w:rPr>
        <w:rFonts w:ascii="Courier New" w:hAnsi="Courier New" w:cs="Courier New" w:hint="default"/>
      </w:rPr>
    </w:lvl>
    <w:lvl w:ilvl="2" w:tplc="D9E84C4A" w:tentative="1">
      <w:start w:val="1"/>
      <w:numFmt w:val="bullet"/>
      <w:lvlText w:val=""/>
      <w:lvlJc w:val="start"/>
      <w:pPr>
        <w:ind w:start="111.30pt" w:hanging="18pt"/>
      </w:pPr>
      <w:rPr>
        <w:rFonts w:ascii="Wingdings" w:hAnsi="Wingdings" w:hint="default"/>
      </w:rPr>
    </w:lvl>
    <w:lvl w:ilvl="3" w:tplc="4510C620" w:tentative="1">
      <w:start w:val="1"/>
      <w:numFmt w:val="bullet"/>
      <w:lvlText w:val=""/>
      <w:lvlJc w:val="start"/>
      <w:pPr>
        <w:ind w:start="147.30pt" w:hanging="18pt"/>
      </w:pPr>
      <w:rPr>
        <w:rFonts w:ascii="Symbol" w:hAnsi="Symbol" w:hint="default"/>
      </w:rPr>
    </w:lvl>
    <w:lvl w:ilvl="4" w:tplc="39C0C6C4" w:tentative="1">
      <w:start w:val="1"/>
      <w:numFmt w:val="bullet"/>
      <w:lvlText w:val="o"/>
      <w:lvlJc w:val="start"/>
      <w:pPr>
        <w:ind w:start="183.30pt" w:hanging="18pt"/>
      </w:pPr>
      <w:rPr>
        <w:rFonts w:ascii="Courier New" w:hAnsi="Courier New" w:cs="Courier New" w:hint="default"/>
      </w:rPr>
    </w:lvl>
    <w:lvl w:ilvl="5" w:tplc="FB4C31F0" w:tentative="1">
      <w:start w:val="1"/>
      <w:numFmt w:val="bullet"/>
      <w:lvlText w:val=""/>
      <w:lvlJc w:val="start"/>
      <w:pPr>
        <w:ind w:start="219.30pt" w:hanging="18pt"/>
      </w:pPr>
      <w:rPr>
        <w:rFonts w:ascii="Wingdings" w:hAnsi="Wingdings" w:hint="default"/>
      </w:rPr>
    </w:lvl>
    <w:lvl w:ilvl="6" w:tplc="2EBC488E" w:tentative="1">
      <w:start w:val="1"/>
      <w:numFmt w:val="bullet"/>
      <w:lvlText w:val=""/>
      <w:lvlJc w:val="start"/>
      <w:pPr>
        <w:ind w:start="255.30pt" w:hanging="18pt"/>
      </w:pPr>
      <w:rPr>
        <w:rFonts w:ascii="Symbol" w:hAnsi="Symbol" w:hint="default"/>
      </w:rPr>
    </w:lvl>
    <w:lvl w:ilvl="7" w:tplc="C6228714" w:tentative="1">
      <w:start w:val="1"/>
      <w:numFmt w:val="bullet"/>
      <w:lvlText w:val="o"/>
      <w:lvlJc w:val="start"/>
      <w:pPr>
        <w:ind w:start="291.30pt" w:hanging="18pt"/>
      </w:pPr>
      <w:rPr>
        <w:rFonts w:ascii="Courier New" w:hAnsi="Courier New" w:cs="Courier New" w:hint="default"/>
      </w:rPr>
    </w:lvl>
    <w:lvl w:ilvl="8" w:tplc="96B63A86" w:tentative="1">
      <w:start w:val="1"/>
      <w:numFmt w:val="bullet"/>
      <w:lvlText w:val=""/>
      <w:lvlJc w:val="start"/>
      <w:pPr>
        <w:ind w:start="327.30pt" w:hanging="18pt"/>
      </w:pPr>
      <w:rPr>
        <w:rFonts w:ascii="Wingdings" w:hAnsi="Wingdings" w:hint="default"/>
      </w:rPr>
    </w:lvl>
  </w:abstractNum>
  <w:abstractNum w:abstractNumId="173" w15:restartNumberingAfterBreak="0">
    <w:nsid w:val="51126731"/>
    <w:multiLevelType w:val="hybridMultilevel"/>
    <w:tmpl w:val="3B7A1974"/>
    <w:lvl w:ilvl="0" w:tplc="B642B3A2">
      <w:start w:val="1"/>
      <w:numFmt w:val="bullet"/>
      <w:lvlText w:val=""/>
      <w:lvlJc w:val="start"/>
      <w:pPr>
        <w:ind w:start="36pt" w:hanging="18pt"/>
      </w:pPr>
      <w:rPr>
        <w:rFonts w:ascii="Symbol" w:hAnsi="Symbol" w:hint="default"/>
      </w:rPr>
    </w:lvl>
    <w:lvl w:ilvl="1" w:tplc="C7F81222" w:tentative="1">
      <w:start w:val="1"/>
      <w:numFmt w:val="bullet"/>
      <w:lvlText w:val="o"/>
      <w:lvlJc w:val="start"/>
      <w:pPr>
        <w:ind w:start="72pt" w:hanging="18pt"/>
      </w:pPr>
      <w:rPr>
        <w:rFonts w:ascii="Courier New" w:hAnsi="Courier New" w:cs="Courier New" w:hint="default"/>
      </w:rPr>
    </w:lvl>
    <w:lvl w:ilvl="2" w:tplc="14729CDC" w:tentative="1">
      <w:start w:val="1"/>
      <w:numFmt w:val="bullet"/>
      <w:lvlText w:val=""/>
      <w:lvlJc w:val="start"/>
      <w:pPr>
        <w:ind w:start="108pt" w:hanging="18pt"/>
      </w:pPr>
      <w:rPr>
        <w:rFonts w:ascii="Wingdings" w:hAnsi="Wingdings" w:hint="default"/>
      </w:rPr>
    </w:lvl>
    <w:lvl w:ilvl="3" w:tplc="31D415CC" w:tentative="1">
      <w:start w:val="1"/>
      <w:numFmt w:val="bullet"/>
      <w:lvlText w:val=""/>
      <w:lvlJc w:val="start"/>
      <w:pPr>
        <w:ind w:start="144pt" w:hanging="18pt"/>
      </w:pPr>
      <w:rPr>
        <w:rFonts w:ascii="Symbol" w:hAnsi="Symbol" w:hint="default"/>
      </w:rPr>
    </w:lvl>
    <w:lvl w:ilvl="4" w:tplc="AE8E2EEC" w:tentative="1">
      <w:start w:val="1"/>
      <w:numFmt w:val="bullet"/>
      <w:lvlText w:val="o"/>
      <w:lvlJc w:val="start"/>
      <w:pPr>
        <w:ind w:start="180pt" w:hanging="18pt"/>
      </w:pPr>
      <w:rPr>
        <w:rFonts w:ascii="Courier New" w:hAnsi="Courier New" w:cs="Courier New" w:hint="default"/>
      </w:rPr>
    </w:lvl>
    <w:lvl w:ilvl="5" w:tplc="A288A2CA" w:tentative="1">
      <w:start w:val="1"/>
      <w:numFmt w:val="bullet"/>
      <w:lvlText w:val=""/>
      <w:lvlJc w:val="start"/>
      <w:pPr>
        <w:ind w:start="216pt" w:hanging="18pt"/>
      </w:pPr>
      <w:rPr>
        <w:rFonts w:ascii="Wingdings" w:hAnsi="Wingdings" w:hint="default"/>
      </w:rPr>
    </w:lvl>
    <w:lvl w:ilvl="6" w:tplc="B7A01A96" w:tentative="1">
      <w:start w:val="1"/>
      <w:numFmt w:val="bullet"/>
      <w:lvlText w:val=""/>
      <w:lvlJc w:val="start"/>
      <w:pPr>
        <w:ind w:start="252pt" w:hanging="18pt"/>
      </w:pPr>
      <w:rPr>
        <w:rFonts w:ascii="Symbol" w:hAnsi="Symbol" w:hint="default"/>
      </w:rPr>
    </w:lvl>
    <w:lvl w:ilvl="7" w:tplc="67FCB83C" w:tentative="1">
      <w:start w:val="1"/>
      <w:numFmt w:val="bullet"/>
      <w:lvlText w:val="o"/>
      <w:lvlJc w:val="start"/>
      <w:pPr>
        <w:ind w:start="288pt" w:hanging="18pt"/>
      </w:pPr>
      <w:rPr>
        <w:rFonts w:ascii="Courier New" w:hAnsi="Courier New" w:cs="Courier New" w:hint="default"/>
      </w:rPr>
    </w:lvl>
    <w:lvl w:ilvl="8" w:tplc="542C86DE" w:tentative="1">
      <w:start w:val="1"/>
      <w:numFmt w:val="bullet"/>
      <w:lvlText w:val=""/>
      <w:lvlJc w:val="start"/>
      <w:pPr>
        <w:ind w:start="324pt" w:hanging="18pt"/>
      </w:pPr>
      <w:rPr>
        <w:rFonts w:ascii="Wingdings" w:hAnsi="Wingdings" w:hint="default"/>
      </w:rPr>
    </w:lvl>
  </w:abstractNum>
  <w:abstractNum w:abstractNumId="174" w15:restartNumberingAfterBreak="0">
    <w:nsid w:val="52B4106E"/>
    <w:multiLevelType w:val="hybridMultilevel"/>
    <w:tmpl w:val="00C024DE"/>
    <w:lvl w:ilvl="0" w:tplc="573E7954">
      <w:start w:val="6"/>
      <w:numFmt w:val="bullet"/>
      <w:lvlText w:val="•"/>
      <w:lvlJc w:val="start"/>
      <w:pPr>
        <w:ind w:start="54pt" w:hanging="18pt"/>
      </w:pPr>
      <w:rPr>
        <w:rFonts w:ascii="Century Gothic" w:eastAsia="Calibri" w:hAnsi="Century Gothic" w:cs="Arial" w:hint="default"/>
      </w:rPr>
    </w:lvl>
    <w:lvl w:ilvl="1" w:tplc="09AEB6E2" w:tentative="1">
      <w:start w:val="1"/>
      <w:numFmt w:val="bullet"/>
      <w:lvlText w:val="o"/>
      <w:lvlJc w:val="start"/>
      <w:pPr>
        <w:ind w:start="90pt" w:hanging="18pt"/>
      </w:pPr>
      <w:rPr>
        <w:rFonts w:ascii="Courier New" w:hAnsi="Courier New" w:cs="Courier New" w:hint="default"/>
      </w:rPr>
    </w:lvl>
    <w:lvl w:ilvl="2" w:tplc="9B406B72" w:tentative="1">
      <w:start w:val="1"/>
      <w:numFmt w:val="bullet"/>
      <w:lvlText w:val=""/>
      <w:lvlJc w:val="start"/>
      <w:pPr>
        <w:ind w:start="126pt" w:hanging="18pt"/>
      </w:pPr>
      <w:rPr>
        <w:rFonts w:ascii="Wingdings" w:hAnsi="Wingdings" w:hint="default"/>
      </w:rPr>
    </w:lvl>
    <w:lvl w:ilvl="3" w:tplc="7EF05BC8" w:tentative="1">
      <w:start w:val="1"/>
      <w:numFmt w:val="bullet"/>
      <w:lvlText w:val=""/>
      <w:lvlJc w:val="start"/>
      <w:pPr>
        <w:ind w:start="162pt" w:hanging="18pt"/>
      </w:pPr>
      <w:rPr>
        <w:rFonts w:ascii="Symbol" w:hAnsi="Symbol" w:hint="default"/>
      </w:rPr>
    </w:lvl>
    <w:lvl w:ilvl="4" w:tplc="835275AE" w:tentative="1">
      <w:start w:val="1"/>
      <w:numFmt w:val="bullet"/>
      <w:lvlText w:val="o"/>
      <w:lvlJc w:val="start"/>
      <w:pPr>
        <w:ind w:start="198pt" w:hanging="18pt"/>
      </w:pPr>
      <w:rPr>
        <w:rFonts w:ascii="Courier New" w:hAnsi="Courier New" w:cs="Courier New" w:hint="default"/>
      </w:rPr>
    </w:lvl>
    <w:lvl w:ilvl="5" w:tplc="01687562" w:tentative="1">
      <w:start w:val="1"/>
      <w:numFmt w:val="bullet"/>
      <w:lvlText w:val=""/>
      <w:lvlJc w:val="start"/>
      <w:pPr>
        <w:ind w:start="234pt" w:hanging="18pt"/>
      </w:pPr>
      <w:rPr>
        <w:rFonts w:ascii="Wingdings" w:hAnsi="Wingdings" w:hint="default"/>
      </w:rPr>
    </w:lvl>
    <w:lvl w:ilvl="6" w:tplc="D3DC285A" w:tentative="1">
      <w:start w:val="1"/>
      <w:numFmt w:val="bullet"/>
      <w:lvlText w:val=""/>
      <w:lvlJc w:val="start"/>
      <w:pPr>
        <w:ind w:start="270pt" w:hanging="18pt"/>
      </w:pPr>
      <w:rPr>
        <w:rFonts w:ascii="Symbol" w:hAnsi="Symbol" w:hint="default"/>
      </w:rPr>
    </w:lvl>
    <w:lvl w:ilvl="7" w:tplc="4858A84E" w:tentative="1">
      <w:start w:val="1"/>
      <w:numFmt w:val="bullet"/>
      <w:lvlText w:val="o"/>
      <w:lvlJc w:val="start"/>
      <w:pPr>
        <w:ind w:start="306pt" w:hanging="18pt"/>
      </w:pPr>
      <w:rPr>
        <w:rFonts w:ascii="Courier New" w:hAnsi="Courier New" w:cs="Courier New" w:hint="default"/>
      </w:rPr>
    </w:lvl>
    <w:lvl w:ilvl="8" w:tplc="5000819E" w:tentative="1">
      <w:start w:val="1"/>
      <w:numFmt w:val="bullet"/>
      <w:lvlText w:val=""/>
      <w:lvlJc w:val="start"/>
      <w:pPr>
        <w:ind w:start="342pt" w:hanging="18pt"/>
      </w:pPr>
      <w:rPr>
        <w:rFonts w:ascii="Wingdings" w:hAnsi="Wingdings" w:hint="default"/>
      </w:rPr>
    </w:lvl>
  </w:abstractNum>
  <w:abstractNum w:abstractNumId="175" w15:restartNumberingAfterBreak="0">
    <w:nsid w:val="52E14B5B"/>
    <w:multiLevelType w:val="hybridMultilevel"/>
    <w:tmpl w:val="55C27090"/>
    <w:lvl w:ilvl="0" w:tplc="080A0001">
      <w:start w:val="1"/>
      <w:numFmt w:val="bullet"/>
      <w:lvlText w:val=""/>
      <w:lvlJc w:val="start"/>
      <w:pPr>
        <w:ind w:start="43.10pt" w:hanging="18pt"/>
      </w:pPr>
      <w:rPr>
        <w:rFonts w:ascii="Symbol" w:hAnsi="Symbol" w:hint="default"/>
      </w:rPr>
    </w:lvl>
    <w:lvl w:ilvl="1" w:tplc="FFFFFFFF" w:tentative="1">
      <w:start w:val="1"/>
      <w:numFmt w:val="bullet"/>
      <w:lvlText w:val="o"/>
      <w:lvlJc w:val="start"/>
      <w:pPr>
        <w:ind w:start="79.10pt" w:hanging="18pt"/>
      </w:pPr>
      <w:rPr>
        <w:rFonts w:ascii="Courier New" w:hAnsi="Courier New" w:cs="Courier New" w:hint="default"/>
      </w:rPr>
    </w:lvl>
    <w:lvl w:ilvl="2" w:tplc="FFFFFFFF" w:tentative="1">
      <w:start w:val="1"/>
      <w:numFmt w:val="bullet"/>
      <w:lvlText w:val=""/>
      <w:lvlJc w:val="start"/>
      <w:pPr>
        <w:ind w:start="115.10pt" w:hanging="18pt"/>
      </w:pPr>
      <w:rPr>
        <w:rFonts w:ascii="Wingdings" w:hAnsi="Wingdings" w:hint="default"/>
      </w:rPr>
    </w:lvl>
    <w:lvl w:ilvl="3" w:tplc="FFFFFFFF" w:tentative="1">
      <w:start w:val="1"/>
      <w:numFmt w:val="bullet"/>
      <w:lvlText w:val=""/>
      <w:lvlJc w:val="start"/>
      <w:pPr>
        <w:ind w:start="151.10pt" w:hanging="18pt"/>
      </w:pPr>
      <w:rPr>
        <w:rFonts w:ascii="Symbol" w:hAnsi="Symbol" w:hint="default"/>
      </w:rPr>
    </w:lvl>
    <w:lvl w:ilvl="4" w:tplc="FFFFFFFF" w:tentative="1">
      <w:start w:val="1"/>
      <w:numFmt w:val="bullet"/>
      <w:lvlText w:val="o"/>
      <w:lvlJc w:val="start"/>
      <w:pPr>
        <w:ind w:start="187.10pt" w:hanging="18pt"/>
      </w:pPr>
      <w:rPr>
        <w:rFonts w:ascii="Courier New" w:hAnsi="Courier New" w:cs="Courier New" w:hint="default"/>
      </w:rPr>
    </w:lvl>
    <w:lvl w:ilvl="5" w:tplc="FFFFFFFF" w:tentative="1">
      <w:start w:val="1"/>
      <w:numFmt w:val="bullet"/>
      <w:lvlText w:val=""/>
      <w:lvlJc w:val="start"/>
      <w:pPr>
        <w:ind w:start="223.10pt" w:hanging="18pt"/>
      </w:pPr>
      <w:rPr>
        <w:rFonts w:ascii="Wingdings" w:hAnsi="Wingdings" w:hint="default"/>
      </w:rPr>
    </w:lvl>
    <w:lvl w:ilvl="6" w:tplc="FFFFFFFF" w:tentative="1">
      <w:start w:val="1"/>
      <w:numFmt w:val="bullet"/>
      <w:lvlText w:val=""/>
      <w:lvlJc w:val="start"/>
      <w:pPr>
        <w:ind w:start="259.10pt" w:hanging="18pt"/>
      </w:pPr>
      <w:rPr>
        <w:rFonts w:ascii="Symbol" w:hAnsi="Symbol" w:hint="default"/>
      </w:rPr>
    </w:lvl>
    <w:lvl w:ilvl="7" w:tplc="FFFFFFFF" w:tentative="1">
      <w:start w:val="1"/>
      <w:numFmt w:val="bullet"/>
      <w:lvlText w:val="o"/>
      <w:lvlJc w:val="start"/>
      <w:pPr>
        <w:ind w:start="295.10pt" w:hanging="18pt"/>
      </w:pPr>
      <w:rPr>
        <w:rFonts w:ascii="Courier New" w:hAnsi="Courier New" w:cs="Courier New" w:hint="default"/>
      </w:rPr>
    </w:lvl>
    <w:lvl w:ilvl="8" w:tplc="FFFFFFFF" w:tentative="1">
      <w:start w:val="1"/>
      <w:numFmt w:val="bullet"/>
      <w:lvlText w:val=""/>
      <w:lvlJc w:val="start"/>
      <w:pPr>
        <w:ind w:start="331.10pt" w:hanging="18pt"/>
      </w:pPr>
      <w:rPr>
        <w:rFonts w:ascii="Wingdings" w:hAnsi="Wingdings" w:hint="default"/>
      </w:rPr>
    </w:lvl>
  </w:abstractNum>
  <w:abstractNum w:abstractNumId="176" w15:restartNumberingAfterBreak="0">
    <w:nsid w:val="53023AC7"/>
    <w:multiLevelType w:val="hybridMultilevel"/>
    <w:tmpl w:val="7EEE0E9A"/>
    <w:lvl w:ilvl="0" w:tplc="83CA7DF6">
      <w:start w:val="1"/>
      <w:numFmt w:val="decimal"/>
      <w:pStyle w:val="Titulo31"/>
      <w:lvlText w:val="6.%1."/>
      <w:lvlJc w:val="start"/>
      <w:pPr>
        <w:tabs>
          <w:tab w:val="num" w:pos="42.65pt"/>
        </w:tabs>
        <w:ind w:start="35pt" w:hanging="17pt"/>
      </w:pPr>
      <w:rPr>
        <w:rFonts w:cs="Times New Roman" w:hint="default"/>
      </w:rPr>
    </w:lvl>
    <w:lvl w:ilvl="1" w:tplc="C4163B22" w:tentative="1">
      <w:start w:val="1"/>
      <w:numFmt w:val="lowerLetter"/>
      <w:lvlText w:val="%2."/>
      <w:lvlJc w:val="start"/>
      <w:pPr>
        <w:tabs>
          <w:tab w:val="num" w:pos="72pt"/>
        </w:tabs>
        <w:ind w:start="72pt" w:hanging="18pt"/>
      </w:pPr>
      <w:rPr>
        <w:rFonts w:cs="Times New Roman"/>
      </w:rPr>
    </w:lvl>
    <w:lvl w:ilvl="2" w:tplc="D4288F26" w:tentative="1">
      <w:start w:val="1"/>
      <w:numFmt w:val="lowerRoman"/>
      <w:lvlText w:val="%3."/>
      <w:lvlJc w:val="end"/>
      <w:pPr>
        <w:tabs>
          <w:tab w:val="num" w:pos="108pt"/>
        </w:tabs>
        <w:ind w:start="108pt" w:hanging="9pt"/>
      </w:pPr>
      <w:rPr>
        <w:rFonts w:cs="Times New Roman"/>
      </w:rPr>
    </w:lvl>
    <w:lvl w:ilvl="3" w:tplc="51C0B6E2" w:tentative="1">
      <w:start w:val="1"/>
      <w:numFmt w:val="decimal"/>
      <w:lvlText w:val="%4."/>
      <w:lvlJc w:val="start"/>
      <w:pPr>
        <w:tabs>
          <w:tab w:val="num" w:pos="144pt"/>
        </w:tabs>
        <w:ind w:start="144pt" w:hanging="18pt"/>
      </w:pPr>
      <w:rPr>
        <w:rFonts w:cs="Times New Roman"/>
      </w:rPr>
    </w:lvl>
    <w:lvl w:ilvl="4" w:tplc="9CF6303E" w:tentative="1">
      <w:start w:val="1"/>
      <w:numFmt w:val="lowerLetter"/>
      <w:lvlText w:val="%5."/>
      <w:lvlJc w:val="start"/>
      <w:pPr>
        <w:tabs>
          <w:tab w:val="num" w:pos="180pt"/>
        </w:tabs>
        <w:ind w:start="180pt" w:hanging="18pt"/>
      </w:pPr>
      <w:rPr>
        <w:rFonts w:cs="Times New Roman"/>
      </w:rPr>
    </w:lvl>
    <w:lvl w:ilvl="5" w:tplc="151053FC" w:tentative="1">
      <w:start w:val="1"/>
      <w:numFmt w:val="lowerRoman"/>
      <w:lvlText w:val="%6."/>
      <w:lvlJc w:val="end"/>
      <w:pPr>
        <w:tabs>
          <w:tab w:val="num" w:pos="216pt"/>
        </w:tabs>
        <w:ind w:start="216pt" w:hanging="9pt"/>
      </w:pPr>
      <w:rPr>
        <w:rFonts w:cs="Times New Roman"/>
      </w:rPr>
    </w:lvl>
    <w:lvl w:ilvl="6" w:tplc="67BC2596" w:tentative="1">
      <w:start w:val="1"/>
      <w:numFmt w:val="decimal"/>
      <w:lvlText w:val="%7."/>
      <w:lvlJc w:val="start"/>
      <w:pPr>
        <w:tabs>
          <w:tab w:val="num" w:pos="252pt"/>
        </w:tabs>
        <w:ind w:start="252pt" w:hanging="18pt"/>
      </w:pPr>
      <w:rPr>
        <w:rFonts w:cs="Times New Roman"/>
      </w:rPr>
    </w:lvl>
    <w:lvl w:ilvl="7" w:tplc="4204F774" w:tentative="1">
      <w:start w:val="1"/>
      <w:numFmt w:val="lowerLetter"/>
      <w:lvlText w:val="%8."/>
      <w:lvlJc w:val="start"/>
      <w:pPr>
        <w:tabs>
          <w:tab w:val="num" w:pos="288pt"/>
        </w:tabs>
        <w:ind w:start="288pt" w:hanging="18pt"/>
      </w:pPr>
      <w:rPr>
        <w:rFonts w:cs="Times New Roman"/>
      </w:rPr>
    </w:lvl>
    <w:lvl w:ilvl="8" w:tplc="A5B0D67C" w:tentative="1">
      <w:start w:val="1"/>
      <w:numFmt w:val="lowerRoman"/>
      <w:lvlText w:val="%9."/>
      <w:lvlJc w:val="end"/>
      <w:pPr>
        <w:tabs>
          <w:tab w:val="num" w:pos="324pt"/>
        </w:tabs>
        <w:ind w:start="324pt" w:hanging="9pt"/>
      </w:pPr>
      <w:rPr>
        <w:rFonts w:cs="Times New Roman"/>
      </w:rPr>
    </w:lvl>
  </w:abstractNum>
  <w:abstractNum w:abstractNumId="177" w15:restartNumberingAfterBreak="0">
    <w:nsid w:val="530C489C"/>
    <w:multiLevelType w:val="hybridMultilevel"/>
    <w:tmpl w:val="59884B4C"/>
    <w:lvl w:ilvl="0" w:tplc="0F323602">
      <w:start w:val="1"/>
      <w:numFmt w:val="bullet"/>
      <w:lvlText w:val=""/>
      <w:lvlJc w:val="start"/>
      <w:pPr>
        <w:ind w:start="36pt" w:hanging="18pt"/>
      </w:pPr>
      <w:rPr>
        <w:rFonts w:ascii="Symbol" w:hAnsi="Symbol" w:hint="default"/>
      </w:rPr>
    </w:lvl>
    <w:lvl w:ilvl="1" w:tplc="5E542492" w:tentative="1">
      <w:start w:val="1"/>
      <w:numFmt w:val="bullet"/>
      <w:lvlText w:val="o"/>
      <w:lvlJc w:val="start"/>
      <w:pPr>
        <w:ind w:start="72pt" w:hanging="18pt"/>
      </w:pPr>
      <w:rPr>
        <w:rFonts w:ascii="Courier New" w:hAnsi="Courier New" w:cs="Courier New" w:hint="default"/>
      </w:rPr>
    </w:lvl>
    <w:lvl w:ilvl="2" w:tplc="7452F68C" w:tentative="1">
      <w:start w:val="1"/>
      <w:numFmt w:val="bullet"/>
      <w:lvlText w:val=""/>
      <w:lvlJc w:val="start"/>
      <w:pPr>
        <w:ind w:start="108pt" w:hanging="18pt"/>
      </w:pPr>
      <w:rPr>
        <w:rFonts w:ascii="Wingdings" w:hAnsi="Wingdings" w:hint="default"/>
      </w:rPr>
    </w:lvl>
    <w:lvl w:ilvl="3" w:tplc="0A1C3EFC" w:tentative="1">
      <w:start w:val="1"/>
      <w:numFmt w:val="bullet"/>
      <w:lvlText w:val=""/>
      <w:lvlJc w:val="start"/>
      <w:pPr>
        <w:ind w:start="144pt" w:hanging="18pt"/>
      </w:pPr>
      <w:rPr>
        <w:rFonts w:ascii="Symbol" w:hAnsi="Symbol" w:hint="default"/>
      </w:rPr>
    </w:lvl>
    <w:lvl w:ilvl="4" w:tplc="AADAE48A" w:tentative="1">
      <w:start w:val="1"/>
      <w:numFmt w:val="bullet"/>
      <w:lvlText w:val="o"/>
      <w:lvlJc w:val="start"/>
      <w:pPr>
        <w:ind w:start="180pt" w:hanging="18pt"/>
      </w:pPr>
      <w:rPr>
        <w:rFonts w:ascii="Courier New" w:hAnsi="Courier New" w:cs="Courier New" w:hint="default"/>
      </w:rPr>
    </w:lvl>
    <w:lvl w:ilvl="5" w:tplc="2C8A037E" w:tentative="1">
      <w:start w:val="1"/>
      <w:numFmt w:val="bullet"/>
      <w:lvlText w:val=""/>
      <w:lvlJc w:val="start"/>
      <w:pPr>
        <w:ind w:start="216pt" w:hanging="18pt"/>
      </w:pPr>
      <w:rPr>
        <w:rFonts w:ascii="Wingdings" w:hAnsi="Wingdings" w:hint="default"/>
      </w:rPr>
    </w:lvl>
    <w:lvl w:ilvl="6" w:tplc="6C6E2C4C" w:tentative="1">
      <w:start w:val="1"/>
      <w:numFmt w:val="bullet"/>
      <w:lvlText w:val=""/>
      <w:lvlJc w:val="start"/>
      <w:pPr>
        <w:ind w:start="252pt" w:hanging="18pt"/>
      </w:pPr>
      <w:rPr>
        <w:rFonts w:ascii="Symbol" w:hAnsi="Symbol" w:hint="default"/>
      </w:rPr>
    </w:lvl>
    <w:lvl w:ilvl="7" w:tplc="CD00F676" w:tentative="1">
      <w:start w:val="1"/>
      <w:numFmt w:val="bullet"/>
      <w:lvlText w:val="o"/>
      <w:lvlJc w:val="start"/>
      <w:pPr>
        <w:ind w:start="288pt" w:hanging="18pt"/>
      </w:pPr>
      <w:rPr>
        <w:rFonts w:ascii="Courier New" w:hAnsi="Courier New" w:cs="Courier New" w:hint="default"/>
      </w:rPr>
    </w:lvl>
    <w:lvl w:ilvl="8" w:tplc="9A52C106" w:tentative="1">
      <w:start w:val="1"/>
      <w:numFmt w:val="bullet"/>
      <w:lvlText w:val=""/>
      <w:lvlJc w:val="start"/>
      <w:pPr>
        <w:ind w:start="324pt" w:hanging="18pt"/>
      </w:pPr>
      <w:rPr>
        <w:rFonts w:ascii="Wingdings" w:hAnsi="Wingdings" w:hint="default"/>
      </w:rPr>
    </w:lvl>
  </w:abstractNum>
  <w:abstractNum w:abstractNumId="178" w15:restartNumberingAfterBreak="0">
    <w:nsid w:val="54200AFA"/>
    <w:multiLevelType w:val="hybridMultilevel"/>
    <w:tmpl w:val="84B0F02C"/>
    <w:lvl w:ilvl="0" w:tplc="E9A043B0">
      <w:start w:val="6"/>
      <w:numFmt w:val="bullet"/>
      <w:lvlText w:val="•"/>
      <w:lvlJc w:val="start"/>
      <w:pPr>
        <w:ind w:start="36pt" w:hanging="18pt"/>
      </w:pPr>
      <w:rPr>
        <w:rFonts w:ascii="Century Gothic" w:eastAsia="Calibri" w:hAnsi="Century Gothic" w:cs="Arial" w:hint="default"/>
      </w:rPr>
    </w:lvl>
    <w:lvl w:ilvl="1" w:tplc="3F52BC36" w:tentative="1">
      <w:start w:val="1"/>
      <w:numFmt w:val="bullet"/>
      <w:lvlText w:val="o"/>
      <w:lvlJc w:val="start"/>
      <w:pPr>
        <w:ind w:start="72pt" w:hanging="18pt"/>
      </w:pPr>
      <w:rPr>
        <w:rFonts w:ascii="Courier New" w:hAnsi="Courier New" w:cs="Courier New" w:hint="default"/>
      </w:rPr>
    </w:lvl>
    <w:lvl w:ilvl="2" w:tplc="F3885E14" w:tentative="1">
      <w:start w:val="1"/>
      <w:numFmt w:val="bullet"/>
      <w:lvlText w:val=""/>
      <w:lvlJc w:val="start"/>
      <w:pPr>
        <w:ind w:start="108pt" w:hanging="18pt"/>
      </w:pPr>
      <w:rPr>
        <w:rFonts w:ascii="Wingdings" w:hAnsi="Wingdings" w:hint="default"/>
      </w:rPr>
    </w:lvl>
    <w:lvl w:ilvl="3" w:tplc="B77ED708" w:tentative="1">
      <w:start w:val="1"/>
      <w:numFmt w:val="bullet"/>
      <w:lvlText w:val=""/>
      <w:lvlJc w:val="start"/>
      <w:pPr>
        <w:ind w:start="144pt" w:hanging="18pt"/>
      </w:pPr>
      <w:rPr>
        <w:rFonts w:ascii="Symbol" w:hAnsi="Symbol" w:hint="default"/>
      </w:rPr>
    </w:lvl>
    <w:lvl w:ilvl="4" w:tplc="DBAC0CAC" w:tentative="1">
      <w:start w:val="1"/>
      <w:numFmt w:val="bullet"/>
      <w:lvlText w:val="o"/>
      <w:lvlJc w:val="start"/>
      <w:pPr>
        <w:ind w:start="180pt" w:hanging="18pt"/>
      </w:pPr>
      <w:rPr>
        <w:rFonts w:ascii="Courier New" w:hAnsi="Courier New" w:cs="Courier New" w:hint="default"/>
      </w:rPr>
    </w:lvl>
    <w:lvl w:ilvl="5" w:tplc="5DA29C8E" w:tentative="1">
      <w:start w:val="1"/>
      <w:numFmt w:val="bullet"/>
      <w:lvlText w:val=""/>
      <w:lvlJc w:val="start"/>
      <w:pPr>
        <w:ind w:start="216pt" w:hanging="18pt"/>
      </w:pPr>
      <w:rPr>
        <w:rFonts w:ascii="Wingdings" w:hAnsi="Wingdings" w:hint="default"/>
      </w:rPr>
    </w:lvl>
    <w:lvl w:ilvl="6" w:tplc="96C0BD12" w:tentative="1">
      <w:start w:val="1"/>
      <w:numFmt w:val="bullet"/>
      <w:lvlText w:val=""/>
      <w:lvlJc w:val="start"/>
      <w:pPr>
        <w:ind w:start="252pt" w:hanging="18pt"/>
      </w:pPr>
      <w:rPr>
        <w:rFonts w:ascii="Symbol" w:hAnsi="Symbol" w:hint="default"/>
      </w:rPr>
    </w:lvl>
    <w:lvl w:ilvl="7" w:tplc="1486A816" w:tentative="1">
      <w:start w:val="1"/>
      <w:numFmt w:val="bullet"/>
      <w:lvlText w:val="o"/>
      <w:lvlJc w:val="start"/>
      <w:pPr>
        <w:ind w:start="288pt" w:hanging="18pt"/>
      </w:pPr>
      <w:rPr>
        <w:rFonts w:ascii="Courier New" w:hAnsi="Courier New" w:cs="Courier New" w:hint="default"/>
      </w:rPr>
    </w:lvl>
    <w:lvl w:ilvl="8" w:tplc="BF56B90A" w:tentative="1">
      <w:start w:val="1"/>
      <w:numFmt w:val="bullet"/>
      <w:lvlText w:val=""/>
      <w:lvlJc w:val="start"/>
      <w:pPr>
        <w:ind w:start="324pt" w:hanging="18pt"/>
      </w:pPr>
      <w:rPr>
        <w:rFonts w:ascii="Wingdings" w:hAnsi="Wingdings" w:hint="default"/>
      </w:rPr>
    </w:lvl>
  </w:abstractNum>
  <w:abstractNum w:abstractNumId="179" w15:restartNumberingAfterBreak="0">
    <w:nsid w:val="554C1E7E"/>
    <w:multiLevelType w:val="hybridMultilevel"/>
    <w:tmpl w:val="1B584C1E"/>
    <w:lvl w:ilvl="0" w:tplc="080A0001">
      <w:start w:val="1"/>
      <w:numFmt w:val="bullet"/>
      <w:lvlText w:val=""/>
      <w:lvlJc w:val="start"/>
      <w:pPr>
        <w:ind w:start="36pt" w:hanging="18pt"/>
      </w:pPr>
      <w:rPr>
        <w:rFonts w:ascii="Symbol" w:hAnsi="Symbol" w:hint="default"/>
      </w:rPr>
    </w:lvl>
    <w:lvl w:ilvl="1" w:tplc="080A0003" w:tentative="1">
      <w:start w:val="1"/>
      <w:numFmt w:val="bullet"/>
      <w:lvlText w:val="o"/>
      <w:lvlJc w:val="start"/>
      <w:pPr>
        <w:ind w:start="72pt" w:hanging="18pt"/>
      </w:pPr>
      <w:rPr>
        <w:rFonts w:ascii="Courier New" w:hAnsi="Courier New" w:cs="Courier New" w:hint="default"/>
      </w:rPr>
    </w:lvl>
    <w:lvl w:ilvl="2" w:tplc="080A0005" w:tentative="1">
      <w:start w:val="1"/>
      <w:numFmt w:val="bullet"/>
      <w:lvlText w:val=""/>
      <w:lvlJc w:val="start"/>
      <w:pPr>
        <w:ind w:start="108pt" w:hanging="18pt"/>
      </w:pPr>
      <w:rPr>
        <w:rFonts w:ascii="Wingdings" w:hAnsi="Wingdings" w:hint="default"/>
      </w:rPr>
    </w:lvl>
    <w:lvl w:ilvl="3" w:tplc="080A0001" w:tentative="1">
      <w:start w:val="1"/>
      <w:numFmt w:val="bullet"/>
      <w:lvlText w:val=""/>
      <w:lvlJc w:val="start"/>
      <w:pPr>
        <w:ind w:start="144pt" w:hanging="18pt"/>
      </w:pPr>
      <w:rPr>
        <w:rFonts w:ascii="Symbol" w:hAnsi="Symbol" w:hint="default"/>
      </w:rPr>
    </w:lvl>
    <w:lvl w:ilvl="4" w:tplc="080A0003" w:tentative="1">
      <w:start w:val="1"/>
      <w:numFmt w:val="bullet"/>
      <w:lvlText w:val="o"/>
      <w:lvlJc w:val="start"/>
      <w:pPr>
        <w:ind w:start="180pt" w:hanging="18pt"/>
      </w:pPr>
      <w:rPr>
        <w:rFonts w:ascii="Courier New" w:hAnsi="Courier New" w:cs="Courier New" w:hint="default"/>
      </w:rPr>
    </w:lvl>
    <w:lvl w:ilvl="5" w:tplc="080A0005" w:tentative="1">
      <w:start w:val="1"/>
      <w:numFmt w:val="bullet"/>
      <w:lvlText w:val=""/>
      <w:lvlJc w:val="start"/>
      <w:pPr>
        <w:ind w:start="216pt" w:hanging="18pt"/>
      </w:pPr>
      <w:rPr>
        <w:rFonts w:ascii="Wingdings" w:hAnsi="Wingdings" w:hint="default"/>
      </w:rPr>
    </w:lvl>
    <w:lvl w:ilvl="6" w:tplc="080A0001" w:tentative="1">
      <w:start w:val="1"/>
      <w:numFmt w:val="bullet"/>
      <w:lvlText w:val=""/>
      <w:lvlJc w:val="start"/>
      <w:pPr>
        <w:ind w:start="252pt" w:hanging="18pt"/>
      </w:pPr>
      <w:rPr>
        <w:rFonts w:ascii="Symbol" w:hAnsi="Symbol" w:hint="default"/>
      </w:rPr>
    </w:lvl>
    <w:lvl w:ilvl="7" w:tplc="080A0003" w:tentative="1">
      <w:start w:val="1"/>
      <w:numFmt w:val="bullet"/>
      <w:lvlText w:val="o"/>
      <w:lvlJc w:val="start"/>
      <w:pPr>
        <w:ind w:start="288pt" w:hanging="18pt"/>
      </w:pPr>
      <w:rPr>
        <w:rFonts w:ascii="Courier New" w:hAnsi="Courier New" w:cs="Courier New" w:hint="default"/>
      </w:rPr>
    </w:lvl>
    <w:lvl w:ilvl="8" w:tplc="080A0005" w:tentative="1">
      <w:start w:val="1"/>
      <w:numFmt w:val="bullet"/>
      <w:lvlText w:val=""/>
      <w:lvlJc w:val="start"/>
      <w:pPr>
        <w:ind w:start="324pt" w:hanging="18pt"/>
      </w:pPr>
      <w:rPr>
        <w:rFonts w:ascii="Wingdings" w:hAnsi="Wingdings" w:hint="default"/>
      </w:rPr>
    </w:lvl>
  </w:abstractNum>
  <w:abstractNum w:abstractNumId="180" w15:restartNumberingAfterBreak="0">
    <w:nsid w:val="55707AAC"/>
    <w:multiLevelType w:val="hybridMultilevel"/>
    <w:tmpl w:val="ECAC1B8E"/>
    <w:lvl w:ilvl="0" w:tplc="1DE652BA">
      <w:start w:val="1"/>
      <w:numFmt w:val="bullet"/>
      <w:lvlText w:val=""/>
      <w:lvlJc w:val="start"/>
      <w:pPr>
        <w:ind w:start="33.85pt" w:hanging="18pt"/>
      </w:pPr>
      <w:rPr>
        <w:rFonts w:ascii="Symbol" w:hAnsi="Symbol" w:hint="default"/>
      </w:rPr>
    </w:lvl>
    <w:lvl w:ilvl="1" w:tplc="23361EFC" w:tentative="1">
      <w:start w:val="1"/>
      <w:numFmt w:val="bullet"/>
      <w:lvlText w:val="o"/>
      <w:lvlJc w:val="start"/>
      <w:pPr>
        <w:ind w:start="69.80pt" w:hanging="18pt"/>
      </w:pPr>
      <w:rPr>
        <w:rFonts w:ascii="Courier New" w:hAnsi="Courier New" w:cs="Courier New" w:hint="default"/>
      </w:rPr>
    </w:lvl>
    <w:lvl w:ilvl="2" w:tplc="EC7E22B6" w:tentative="1">
      <w:start w:val="1"/>
      <w:numFmt w:val="bullet"/>
      <w:lvlText w:val=""/>
      <w:lvlJc w:val="start"/>
      <w:pPr>
        <w:ind w:start="105.85pt" w:hanging="18pt"/>
      </w:pPr>
      <w:rPr>
        <w:rFonts w:ascii="Wingdings" w:hAnsi="Wingdings" w:hint="default"/>
      </w:rPr>
    </w:lvl>
    <w:lvl w:ilvl="3" w:tplc="F70E5F02" w:tentative="1">
      <w:start w:val="1"/>
      <w:numFmt w:val="bullet"/>
      <w:lvlText w:val=""/>
      <w:lvlJc w:val="start"/>
      <w:pPr>
        <w:ind w:start="141.85pt" w:hanging="18pt"/>
      </w:pPr>
      <w:rPr>
        <w:rFonts w:ascii="Symbol" w:hAnsi="Symbol" w:hint="default"/>
      </w:rPr>
    </w:lvl>
    <w:lvl w:ilvl="4" w:tplc="59F0CC48" w:tentative="1">
      <w:start w:val="1"/>
      <w:numFmt w:val="bullet"/>
      <w:lvlText w:val="o"/>
      <w:lvlJc w:val="start"/>
      <w:pPr>
        <w:ind w:start="177.85pt" w:hanging="18pt"/>
      </w:pPr>
      <w:rPr>
        <w:rFonts w:ascii="Courier New" w:hAnsi="Courier New" w:cs="Courier New" w:hint="default"/>
      </w:rPr>
    </w:lvl>
    <w:lvl w:ilvl="5" w:tplc="8654E9DA" w:tentative="1">
      <w:start w:val="1"/>
      <w:numFmt w:val="bullet"/>
      <w:lvlText w:val=""/>
      <w:lvlJc w:val="start"/>
      <w:pPr>
        <w:ind w:start="213.85pt" w:hanging="18pt"/>
      </w:pPr>
      <w:rPr>
        <w:rFonts w:ascii="Wingdings" w:hAnsi="Wingdings" w:hint="default"/>
      </w:rPr>
    </w:lvl>
    <w:lvl w:ilvl="6" w:tplc="FB10225A" w:tentative="1">
      <w:start w:val="1"/>
      <w:numFmt w:val="bullet"/>
      <w:lvlText w:val=""/>
      <w:lvlJc w:val="start"/>
      <w:pPr>
        <w:ind w:start="249.85pt" w:hanging="18pt"/>
      </w:pPr>
      <w:rPr>
        <w:rFonts w:ascii="Symbol" w:hAnsi="Symbol" w:hint="default"/>
      </w:rPr>
    </w:lvl>
    <w:lvl w:ilvl="7" w:tplc="536267A8" w:tentative="1">
      <w:start w:val="1"/>
      <w:numFmt w:val="bullet"/>
      <w:lvlText w:val="o"/>
      <w:lvlJc w:val="start"/>
      <w:pPr>
        <w:ind w:start="285.85pt" w:hanging="18pt"/>
      </w:pPr>
      <w:rPr>
        <w:rFonts w:ascii="Courier New" w:hAnsi="Courier New" w:cs="Courier New" w:hint="default"/>
      </w:rPr>
    </w:lvl>
    <w:lvl w:ilvl="8" w:tplc="2A1E4DC6" w:tentative="1">
      <w:start w:val="1"/>
      <w:numFmt w:val="bullet"/>
      <w:lvlText w:val=""/>
      <w:lvlJc w:val="start"/>
      <w:pPr>
        <w:ind w:start="321.85pt" w:hanging="18pt"/>
      </w:pPr>
      <w:rPr>
        <w:rFonts w:ascii="Wingdings" w:hAnsi="Wingdings" w:hint="default"/>
      </w:rPr>
    </w:lvl>
  </w:abstractNum>
  <w:abstractNum w:abstractNumId="181" w15:restartNumberingAfterBreak="0">
    <w:nsid w:val="559D2F6C"/>
    <w:multiLevelType w:val="hybridMultilevel"/>
    <w:tmpl w:val="FD569718"/>
    <w:lvl w:ilvl="0" w:tplc="B02C3240">
      <w:start w:val="1"/>
      <w:numFmt w:val="bullet"/>
      <w:lvlText w:val=""/>
      <w:lvlJc w:val="start"/>
      <w:pPr>
        <w:ind w:start="37.70pt" w:hanging="18pt"/>
      </w:pPr>
      <w:rPr>
        <w:rFonts w:ascii="Wingdings" w:hAnsi="Wingdings" w:hint="default"/>
      </w:rPr>
    </w:lvl>
    <w:lvl w:ilvl="1" w:tplc="4CBA076E">
      <w:start w:val="1"/>
      <w:numFmt w:val="bullet"/>
      <w:lvlText w:val="o"/>
      <w:lvlJc w:val="start"/>
      <w:pPr>
        <w:ind w:start="73.70pt" w:hanging="18pt"/>
      </w:pPr>
      <w:rPr>
        <w:rFonts w:ascii="Courier New" w:hAnsi="Courier New" w:cs="Courier New" w:hint="default"/>
      </w:rPr>
    </w:lvl>
    <w:lvl w:ilvl="2" w:tplc="80B63CB2">
      <w:start w:val="1"/>
      <w:numFmt w:val="bullet"/>
      <w:lvlText w:val=""/>
      <w:lvlJc w:val="start"/>
      <w:pPr>
        <w:ind w:start="109.70pt" w:hanging="18pt"/>
      </w:pPr>
      <w:rPr>
        <w:rFonts w:ascii="Wingdings" w:hAnsi="Wingdings" w:hint="default"/>
      </w:rPr>
    </w:lvl>
    <w:lvl w:ilvl="3" w:tplc="CCFC65B6">
      <w:start w:val="1"/>
      <w:numFmt w:val="bullet"/>
      <w:lvlText w:val=""/>
      <w:lvlJc w:val="start"/>
      <w:pPr>
        <w:ind w:start="145.65pt" w:hanging="18pt"/>
      </w:pPr>
      <w:rPr>
        <w:rFonts w:ascii="Symbol" w:hAnsi="Symbol" w:hint="default"/>
      </w:rPr>
    </w:lvl>
    <w:lvl w:ilvl="4" w:tplc="7CC2BA1C">
      <w:start w:val="1"/>
      <w:numFmt w:val="bullet"/>
      <w:lvlText w:val="o"/>
      <w:lvlJc w:val="start"/>
      <w:pPr>
        <w:ind w:start="181.70pt" w:hanging="18pt"/>
      </w:pPr>
      <w:rPr>
        <w:rFonts w:ascii="Courier New" w:hAnsi="Courier New" w:cs="Courier New" w:hint="default"/>
      </w:rPr>
    </w:lvl>
    <w:lvl w:ilvl="5" w:tplc="4E50D10E">
      <w:start w:val="1"/>
      <w:numFmt w:val="bullet"/>
      <w:lvlText w:val=""/>
      <w:lvlJc w:val="start"/>
      <w:pPr>
        <w:ind w:start="217.70pt" w:hanging="18pt"/>
      </w:pPr>
      <w:rPr>
        <w:rFonts w:ascii="Wingdings" w:hAnsi="Wingdings" w:hint="default"/>
      </w:rPr>
    </w:lvl>
    <w:lvl w:ilvl="6" w:tplc="A2E80990">
      <w:start w:val="1"/>
      <w:numFmt w:val="bullet"/>
      <w:lvlText w:val=""/>
      <w:lvlJc w:val="start"/>
      <w:pPr>
        <w:ind w:start="253.70pt" w:hanging="18pt"/>
      </w:pPr>
      <w:rPr>
        <w:rFonts w:ascii="Symbol" w:hAnsi="Symbol" w:hint="default"/>
      </w:rPr>
    </w:lvl>
    <w:lvl w:ilvl="7" w:tplc="41ACB6E6">
      <w:start w:val="1"/>
      <w:numFmt w:val="bullet"/>
      <w:lvlText w:val="o"/>
      <w:lvlJc w:val="start"/>
      <w:pPr>
        <w:ind w:start="289.70pt" w:hanging="18pt"/>
      </w:pPr>
      <w:rPr>
        <w:rFonts w:ascii="Courier New" w:hAnsi="Courier New" w:cs="Courier New" w:hint="default"/>
      </w:rPr>
    </w:lvl>
    <w:lvl w:ilvl="8" w:tplc="186AF342">
      <w:start w:val="1"/>
      <w:numFmt w:val="bullet"/>
      <w:lvlText w:val=""/>
      <w:lvlJc w:val="start"/>
      <w:pPr>
        <w:ind w:start="325.70pt" w:hanging="18pt"/>
      </w:pPr>
      <w:rPr>
        <w:rFonts w:ascii="Wingdings" w:hAnsi="Wingdings" w:hint="default"/>
      </w:rPr>
    </w:lvl>
  </w:abstractNum>
  <w:abstractNum w:abstractNumId="182" w15:restartNumberingAfterBreak="0">
    <w:nsid w:val="56542422"/>
    <w:multiLevelType w:val="hybridMultilevel"/>
    <w:tmpl w:val="CCAED886"/>
    <w:lvl w:ilvl="0" w:tplc="0AD86E5A">
      <w:start w:val="6"/>
      <w:numFmt w:val="bullet"/>
      <w:lvlText w:val="•"/>
      <w:lvlJc w:val="start"/>
      <w:pPr>
        <w:ind w:start="36pt" w:hanging="18pt"/>
      </w:pPr>
      <w:rPr>
        <w:rFonts w:ascii="Century Gothic" w:eastAsia="Calibri" w:hAnsi="Century Gothic" w:cs="Arial" w:hint="default"/>
      </w:rPr>
    </w:lvl>
    <w:lvl w:ilvl="1" w:tplc="0AE419EA" w:tentative="1">
      <w:start w:val="1"/>
      <w:numFmt w:val="bullet"/>
      <w:lvlText w:val="o"/>
      <w:lvlJc w:val="start"/>
      <w:pPr>
        <w:ind w:start="72pt" w:hanging="18pt"/>
      </w:pPr>
      <w:rPr>
        <w:rFonts w:ascii="Courier New" w:hAnsi="Courier New" w:cs="Courier New" w:hint="default"/>
      </w:rPr>
    </w:lvl>
    <w:lvl w:ilvl="2" w:tplc="8BF23EB6" w:tentative="1">
      <w:start w:val="1"/>
      <w:numFmt w:val="bullet"/>
      <w:lvlText w:val=""/>
      <w:lvlJc w:val="start"/>
      <w:pPr>
        <w:ind w:start="108pt" w:hanging="18pt"/>
      </w:pPr>
      <w:rPr>
        <w:rFonts w:ascii="Wingdings" w:hAnsi="Wingdings" w:hint="default"/>
      </w:rPr>
    </w:lvl>
    <w:lvl w:ilvl="3" w:tplc="34227666" w:tentative="1">
      <w:start w:val="1"/>
      <w:numFmt w:val="bullet"/>
      <w:lvlText w:val=""/>
      <w:lvlJc w:val="start"/>
      <w:pPr>
        <w:ind w:start="144pt" w:hanging="18pt"/>
      </w:pPr>
      <w:rPr>
        <w:rFonts w:ascii="Symbol" w:hAnsi="Symbol" w:hint="default"/>
      </w:rPr>
    </w:lvl>
    <w:lvl w:ilvl="4" w:tplc="C2D27C5C" w:tentative="1">
      <w:start w:val="1"/>
      <w:numFmt w:val="bullet"/>
      <w:lvlText w:val="o"/>
      <w:lvlJc w:val="start"/>
      <w:pPr>
        <w:ind w:start="180pt" w:hanging="18pt"/>
      </w:pPr>
      <w:rPr>
        <w:rFonts w:ascii="Courier New" w:hAnsi="Courier New" w:cs="Courier New" w:hint="default"/>
      </w:rPr>
    </w:lvl>
    <w:lvl w:ilvl="5" w:tplc="42E6EA5A" w:tentative="1">
      <w:start w:val="1"/>
      <w:numFmt w:val="bullet"/>
      <w:lvlText w:val=""/>
      <w:lvlJc w:val="start"/>
      <w:pPr>
        <w:ind w:start="216pt" w:hanging="18pt"/>
      </w:pPr>
      <w:rPr>
        <w:rFonts w:ascii="Wingdings" w:hAnsi="Wingdings" w:hint="default"/>
      </w:rPr>
    </w:lvl>
    <w:lvl w:ilvl="6" w:tplc="1EDE92F8" w:tentative="1">
      <w:start w:val="1"/>
      <w:numFmt w:val="bullet"/>
      <w:lvlText w:val=""/>
      <w:lvlJc w:val="start"/>
      <w:pPr>
        <w:ind w:start="252pt" w:hanging="18pt"/>
      </w:pPr>
      <w:rPr>
        <w:rFonts w:ascii="Symbol" w:hAnsi="Symbol" w:hint="default"/>
      </w:rPr>
    </w:lvl>
    <w:lvl w:ilvl="7" w:tplc="DEC6EB2C" w:tentative="1">
      <w:start w:val="1"/>
      <w:numFmt w:val="bullet"/>
      <w:lvlText w:val="o"/>
      <w:lvlJc w:val="start"/>
      <w:pPr>
        <w:ind w:start="288pt" w:hanging="18pt"/>
      </w:pPr>
      <w:rPr>
        <w:rFonts w:ascii="Courier New" w:hAnsi="Courier New" w:cs="Courier New" w:hint="default"/>
      </w:rPr>
    </w:lvl>
    <w:lvl w:ilvl="8" w:tplc="AFEA5036" w:tentative="1">
      <w:start w:val="1"/>
      <w:numFmt w:val="bullet"/>
      <w:lvlText w:val=""/>
      <w:lvlJc w:val="start"/>
      <w:pPr>
        <w:ind w:start="324pt" w:hanging="18pt"/>
      </w:pPr>
      <w:rPr>
        <w:rFonts w:ascii="Wingdings" w:hAnsi="Wingdings" w:hint="default"/>
      </w:rPr>
    </w:lvl>
  </w:abstractNum>
  <w:abstractNum w:abstractNumId="183" w15:restartNumberingAfterBreak="0">
    <w:nsid w:val="56734946"/>
    <w:multiLevelType w:val="hybridMultilevel"/>
    <w:tmpl w:val="97926A4E"/>
    <w:lvl w:ilvl="0" w:tplc="A8C2AA84">
      <w:start w:val="1"/>
      <w:numFmt w:val="bullet"/>
      <w:lvlText w:val=""/>
      <w:lvlJc w:val="start"/>
      <w:pPr>
        <w:ind w:start="54pt" w:hanging="18pt"/>
      </w:pPr>
      <w:rPr>
        <w:rFonts w:ascii="Symbol" w:hAnsi="Symbol" w:hint="default"/>
      </w:rPr>
    </w:lvl>
    <w:lvl w:ilvl="1" w:tplc="1D6ACFFC" w:tentative="1">
      <w:start w:val="1"/>
      <w:numFmt w:val="bullet"/>
      <w:lvlText w:val="o"/>
      <w:lvlJc w:val="start"/>
      <w:pPr>
        <w:ind w:start="90pt" w:hanging="18pt"/>
      </w:pPr>
      <w:rPr>
        <w:rFonts w:ascii="Courier New" w:hAnsi="Courier New" w:cs="Courier New" w:hint="default"/>
      </w:rPr>
    </w:lvl>
    <w:lvl w:ilvl="2" w:tplc="906AD0F6" w:tentative="1">
      <w:start w:val="1"/>
      <w:numFmt w:val="bullet"/>
      <w:lvlText w:val=""/>
      <w:lvlJc w:val="start"/>
      <w:pPr>
        <w:ind w:start="126pt" w:hanging="18pt"/>
      </w:pPr>
      <w:rPr>
        <w:rFonts w:ascii="Wingdings" w:hAnsi="Wingdings" w:hint="default"/>
      </w:rPr>
    </w:lvl>
    <w:lvl w:ilvl="3" w:tplc="1130A9A6" w:tentative="1">
      <w:start w:val="1"/>
      <w:numFmt w:val="bullet"/>
      <w:lvlText w:val=""/>
      <w:lvlJc w:val="start"/>
      <w:pPr>
        <w:ind w:start="162pt" w:hanging="18pt"/>
      </w:pPr>
      <w:rPr>
        <w:rFonts w:ascii="Symbol" w:hAnsi="Symbol" w:hint="default"/>
      </w:rPr>
    </w:lvl>
    <w:lvl w:ilvl="4" w:tplc="D2743022" w:tentative="1">
      <w:start w:val="1"/>
      <w:numFmt w:val="bullet"/>
      <w:lvlText w:val="o"/>
      <w:lvlJc w:val="start"/>
      <w:pPr>
        <w:ind w:start="198pt" w:hanging="18pt"/>
      </w:pPr>
      <w:rPr>
        <w:rFonts w:ascii="Courier New" w:hAnsi="Courier New" w:cs="Courier New" w:hint="default"/>
      </w:rPr>
    </w:lvl>
    <w:lvl w:ilvl="5" w:tplc="E0A6E35A" w:tentative="1">
      <w:start w:val="1"/>
      <w:numFmt w:val="bullet"/>
      <w:lvlText w:val=""/>
      <w:lvlJc w:val="start"/>
      <w:pPr>
        <w:ind w:start="234pt" w:hanging="18pt"/>
      </w:pPr>
      <w:rPr>
        <w:rFonts w:ascii="Wingdings" w:hAnsi="Wingdings" w:hint="default"/>
      </w:rPr>
    </w:lvl>
    <w:lvl w:ilvl="6" w:tplc="B824B8B4" w:tentative="1">
      <w:start w:val="1"/>
      <w:numFmt w:val="bullet"/>
      <w:lvlText w:val=""/>
      <w:lvlJc w:val="start"/>
      <w:pPr>
        <w:ind w:start="270pt" w:hanging="18pt"/>
      </w:pPr>
      <w:rPr>
        <w:rFonts w:ascii="Symbol" w:hAnsi="Symbol" w:hint="default"/>
      </w:rPr>
    </w:lvl>
    <w:lvl w:ilvl="7" w:tplc="7400A9D8" w:tentative="1">
      <w:start w:val="1"/>
      <w:numFmt w:val="bullet"/>
      <w:lvlText w:val="o"/>
      <w:lvlJc w:val="start"/>
      <w:pPr>
        <w:ind w:start="306pt" w:hanging="18pt"/>
      </w:pPr>
      <w:rPr>
        <w:rFonts w:ascii="Courier New" w:hAnsi="Courier New" w:cs="Courier New" w:hint="default"/>
      </w:rPr>
    </w:lvl>
    <w:lvl w:ilvl="8" w:tplc="73EEEAC4" w:tentative="1">
      <w:start w:val="1"/>
      <w:numFmt w:val="bullet"/>
      <w:lvlText w:val=""/>
      <w:lvlJc w:val="start"/>
      <w:pPr>
        <w:ind w:start="342pt" w:hanging="18pt"/>
      </w:pPr>
      <w:rPr>
        <w:rFonts w:ascii="Wingdings" w:hAnsi="Wingdings" w:hint="default"/>
      </w:rPr>
    </w:lvl>
  </w:abstractNum>
  <w:abstractNum w:abstractNumId="184" w15:restartNumberingAfterBreak="0">
    <w:nsid w:val="569A1EBE"/>
    <w:multiLevelType w:val="multilevel"/>
    <w:tmpl w:val="C694C08C"/>
    <w:lvl w:ilvl="0">
      <w:start w:val="7"/>
      <w:numFmt w:val="decimal"/>
      <w:lvlText w:val="%1."/>
      <w:lvlJc w:val="start"/>
      <w:pPr>
        <w:ind w:start="18pt" w:hanging="18pt"/>
      </w:pPr>
      <w:rPr>
        <w:rFonts w:hint="default"/>
      </w:rPr>
    </w:lvl>
    <w:lvl w:ilvl="1">
      <w:start w:val="1"/>
      <w:numFmt w:val="decimal"/>
      <w:lvlText w:val="%1.%2."/>
      <w:lvlJc w:val="start"/>
      <w:pPr>
        <w:ind w:start="36pt" w:hanging="18pt"/>
      </w:pPr>
      <w:rPr>
        <w:rFonts w:hint="default"/>
      </w:rPr>
    </w:lvl>
    <w:lvl w:ilvl="2">
      <w:start w:val="2"/>
      <w:numFmt w:val="decimal"/>
      <w:lvlText w:val="%1.%2.%3."/>
      <w:lvlJc w:val="start"/>
      <w:pPr>
        <w:ind w:start="54pt" w:hanging="18pt"/>
      </w:pPr>
      <w:rPr>
        <w:rFonts w:hint="default"/>
      </w:rPr>
    </w:lvl>
    <w:lvl w:ilvl="3">
      <w:start w:val="1"/>
      <w:numFmt w:val="decimal"/>
      <w:lvlRestart w:val="0"/>
      <w:pStyle w:val="aaa7333"/>
      <w:lvlText w:val="%1.%2.%3.%4"/>
      <w:lvlJc w:val="start"/>
      <w:pPr>
        <w:ind w:start="72pt" w:hanging="18pt"/>
      </w:pPr>
      <w:rPr>
        <w:rFonts w:hint="default"/>
      </w:rPr>
    </w:lvl>
    <w:lvl w:ilvl="4">
      <w:start w:val="1"/>
      <w:numFmt w:val="lowerLetter"/>
      <w:lvlText w:val="(%5)"/>
      <w:lvlJc w:val="start"/>
      <w:pPr>
        <w:ind w:start="90pt" w:hanging="18pt"/>
      </w:pPr>
      <w:rPr>
        <w:rFonts w:hint="default"/>
      </w:rPr>
    </w:lvl>
    <w:lvl w:ilvl="5">
      <w:start w:val="1"/>
      <w:numFmt w:val="lowerRoman"/>
      <w:lvlText w:val="(%6)"/>
      <w:lvlJc w:val="start"/>
      <w:pPr>
        <w:ind w:start="108pt" w:hanging="18pt"/>
      </w:pPr>
      <w:rPr>
        <w:rFonts w:hint="default"/>
      </w:rPr>
    </w:lvl>
    <w:lvl w:ilvl="6">
      <w:start w:val="1"/>
      <w:numFmt w:val="decimal"/>
      <w:lvlText w:val="%7."/>
      <w:lvlJc w:val="start"/>
      <w:pPr>
        <w:ind w:start="126pt" w:hanging="18pt"/>
      </w:pPr>
      <w:rPr>
        <w:rFonts w:hint="default"/>
      </w:rPr>
    </w:lvl>
    <w:lvl w:ilvl="7">
      <w:start w:val="1"/>
      <w:numFmt w:val="lowerLetter"/>
      <w:lvlText w:val="%8."/>
      <w:lvlJc w:val="start"/>
      <w:pPr>
        <w:ind w:start="144pt" w:hanging="18pt"/>
      </w:pPr>
      <w:rPr>
        <w:rFonts w:hint="default"/>
      </w:rPr>
    </w:lvl>
    <w:lvl w:ilvl="8">
      <w:start w:val="1"/>
      <w:numFmt w:val="lowerRoman"/>
      <w:lvlText w:val="%9."/>
      <w:lvlJc w:val="start"/>
      <w:pPr>
        <w:ind w:start="162pt" w:hanging="18pt"/>
      </w:pPr>
      <w:rPr>
        <w:rFonts w:hint="default"/>
      </w:rPr>
    </w:lvl>
  </w:abstractNum>
  <w:abstractNum w:abstractNumId="185" w15:restartNumberingAfterBreak="0">
    <w:nsid w:val="56C21EEF"/>
    <w:multiLevelType w:val="hybridMultilevel"/>
    <w:tmpl w:val="E92E1C12"/>
    <w:lvl w:ilvl="0" w:tplc="E9727ECE">
      <w:start w:val="1"/>
      <w:numFmt w:val="bullet"/>
      <w:lvlText w:val=""/>
      <w:lvlJc w:val="start"/>
      <w:pPr>
        <w:ind w:start="39.25pt" w:hanging="18pt"/>
      </w:pPr>
      <w:rPr>
        <w:rFonts w:ascii="Symbol" w:hAnsi="Symbol" w:hint="default"/>
      </w:rPr>
    </w:lvl>
    <w:lvl w:ilvl="1" w:tplc="09BE416A" w:tentative="1">
      <w:start w:val="1"/>
      <w:numFmt w:val="bullet"/>
      <w:lvlText w:val="o"/>
      <w:lvlJc w:val="start"/>
      <w:pPr>
        <w:ind w:start="75.30pt" w:hanging="18pt"/>
      </w:pPr>
      <w:rPr>
        <w:rFonts w:ascii="Courier New" w:hAnsi="Courier New" w:cs="Courier New" w:hint="default"/>
      </w:rPr>
    </w:lvl>
    <w:lvl w:ilvl="2" w:tplc="FD6CDC4E" w:tentative="1">
      <w:start w:val="1"/>
      <w:numFmt w:val="bullet"/>
      <w:lvlText w:val=""/>
      <w:lvlJc w:val="start"/>
      <w:pPr>
        <w:ind w:start="111.30pt" w:hanging="18pt"/>
      </w:pPr>
      <w:rPr>
        <w:rFonts w:ascii="Wingdings" w:hAnsi="Wingdings" w:hint="default"/>
      </w:rPr>
    </w:lvl>
    <w:lvl w:ilvl="3" w:tplc="37B8E45C" w:tentative="1">
      <w:start w:val="1"/>
      <w:numFmt w:val="bullet"/>
      <w:lvlText w:val=""/>
      <w:lvlJc w:val="start"/>
      <w:pPr>
        <w:ind w:start="147.30pt" w:hanging="18pt"/>
      </w:pPr>
      <w:rPr>
        <w:rFonts w:ascii="Symbol" w:hAnsi="Symbol" w:hint="default"/>
      </w:rPr>
    </w:lvl>
    <w:lvl w:ilvl="4" w:tplc="266C8736" w:tentative="1">
      <w:start w:val="1"/>
      <w:numFmt w:val="bullet"/>
      <w:lvlText w:val="o"/>
      <w:lvlJc w:val="start"/>
      <w:pPr>
        <w:ind w:start="183.30pt" w:hanging="18pt"/>
      </w:pPr>
      <w:rPr>
        <w:rFonts w:ascii="Courier New" w:hAnsi="Courier New" w:cs="Courier New" w:hint="default"/>
      </w:rPr>
    </w:lvl>
    <w:lvl w:ilvl="5" w:tplc="BD9EDD9C" w:tentative="1">
      <w:start w:val="1"/>
      <w:numFmt w:val="bullet"/>
      <w:lvlText w:val=""/>
      <w:lvlJc w:val="start"/>
      <w:pPr>
        <w:ind w:start="219.30pt" w:hanging="18pt"/>
      </w:pPr>
      <w:rPr>
        <w:rFonts w:ascii="Wingdings" w:hAnsi="Wingdings" w:hint="default"/>
      </w:rPr>
    </w:lvl>
    <w:lvl w:ilvl="6" w:tplc="3A94C566" w:tentative="1">
      <w:start w:val="1"/>
      <w:numFmt w:val="bullet"/>
      <w:lvlText w:val=""/>
      <w:lvlJc w:val="start"/>
      <w:pPr>
        <w:ind w:start="255.30pt" w:hanging="18pt"/>
      </w:pPr>
      <w:rPr>
        <w:rFonts w:ascii="Symbol" w:hAnsi="Symbol" w:hint="default"/>
      </w:rPr>
    </w:lvl>
    <w:lvl w:ilvl="7" w:tplc="596E46E6" w:tentative="1">
      <w:start w:val="1"/>
      <w:numFmt w:val="bullet"/>
      <w:lvlText w:val="o"/>
      <w:lvlJc w:val="start"/>
      <w:pPr>
        <w:ind w:start="291.30pt" w:hanging="18pt"/>
      </w:pPr>
      <w:rPr>
        <w:rFonts w:ascii="Courier New" w:hAnsi="Courier New" w:cs="Courier New" w:hint="default"/>
      </w:rPr>
    </w:lvl>
    <w:lvl w:ilvl="8" w:tplc="7714A5F4" w:tentative="1">
      <w:start w:val="1"/>
      <w:numFmt w:val="bullet"/>
      <w:lvlText w:val=""/>
      <w:lvlJc w:val="start"/>
      <w:pPr>
        <w:ind w:start="327.30pt" w:hanging="18pt"/>
      </w:pPr>
      <w:rPr>
        <w:rFonts w:ascii="Wingdings" w:hAnsi="Wingdings" w:hint="default"/>
      </w:rPr>
    </w:lvl>
  </w:abstractNum>
  <w:abstractNum w:abstractNumId="186" w15:restartNumberingAfterBreak="0">
    <w:nsid w:val="56CB6D93"/>
    <w:multiLevelType w:val="hybridMultilevel"/>
    <w:tmpl w:val="D18C8070"/>
    <w:lvl w:ilvl="0" w:tplc="2B1635CE">
      <w:start w:val="1"/>
      <w:numFmt w:val="bullet"/>
      <w:lvlText w:val=""/>
      <w:lvlJc w:val="start"/>
      <w:pPr>
        <w:ind w:start="36pt" w:hanging="18pt"/>
      </w:pPr>
      <w:rPr>
        <w:rFonts w:ascii="Symbol" w:hAnsi="Symbol" w:hint="default"/>
      </w:rPr>
    </w:lvl>
    <w:lvl w:ilvl="1" w:tplc="821AC90E" w:tentative="1">
      <w:start w:val="1"/>
      <w:numFmt w:val="bullet"/>
      <w:lvlText w:val="o"/>
      <w:lvlJc w:val="start"/>
      <w:pPr>
        <w:ind w:start="72pt" w:hanging="18pt"/>
      </w:pPr>
      <w:rPr>
        <w:rFonts w:ascii="Courier New" w:hAnsi="Courier New" w:cs="Courier New" w:hint="default"/>
      </w:rPr>
    </w:lvl>
    <w:lvl w:ilvl="2" w:tplc="A7A4CC7E" w:tentative="1">
      <w:start w:val="1"/>
      <w:numFmt w:val="bullet"/>
      <w:lvlText w:val=""/>
      <w:lvlJc w:val="start"/>
      <w:pPr>
        <w:ind w:start="108pt" w:hanging="18pt"/>
      </w:pPr>
      <w:rPr>
        <w:rFonts w:ascii="Wingdings" w:hAnsi="Wingdings" w:hint="default"/>
      </w:rPr>
    </w:lvl>
    <w:lvl w:ilvl="3" w:tplc="A19C5D2E" w:tentative="1">
      <w:start w:val="1"/>
      <w:numFmt w:val="bullet"/>
      <w:lvlText w:val=""/>
      <w:lvlJc w:val="start"/>
      <w:pPr>
        <w:ind w:start="144pt" w:hanging="18pt"/>
      </w:pPr>
      <w:rPr>
        <w:rFonts w:ascii="Symbol" w:hAnsi="Symbol" w:hint="default"/>
      </w:rPr>
    </w:lvl>
    <w:lvl w:ilvl="4" w:tplc="44305486" w:tentative="1">
      <w:start w:val="1"/>
      <w:numFmt w:val="bullet"/>
      <w:lvlText w:val="o"/>
      <w:lvlJc w:val="start"/>
      <w:pPr>
        <w:ind w:start="180pt" w:hanging="18pt"/>
      </w:pPr>
      <w:rPr>
        <w:rFonts w:ascii="Courier New" w:hAnsi="Courier New" w:cs="Courier New" w:hint="default"/>
      </w:rPr>
    </w:lvl>
    <w:lvl w:ilvl="5" w:tplc="0E482B52" w:tentative="1">
      <w:start w:val="1"/>
      <w:numFmt w:val="bullet"/>
      <w:lvlText w:val=""/>
      <w:lvlJc w:val="start"/>
      <w:pPr>
        <w:ind w:start="216pt" w:hanging="18pt"/>
      </w:pPr>
      <w:rPr>
        <w:rFonts w:ascii="Wingdings" w:hAnsi="Wingdings" w:hint="default"/>
      </w:rPr>
    </w:lvl>
    <w:lvl w:ilvl="6" w:tplc="3B96673C" w:tentative="1">
      <w:start w:val="1"/>
      <w:numFmt w:val="bullet"/>
      <w:lvlText w:val=""/>
      <w:lvlJc w:val="start"/>
      <w:pPr>
        <w:ind w:start="252pt" w:hanging="18pt"/>
      </w:pPr>
      <w:rPr>
        <w:rFonts w:ascii="Symbol" w:hAnsi="Symbol" w:hint="default"/>
      </w:rPr>
    </w:lvl>
    <w:lvl w:ilvl="7" w:tplc="0246BA44" w:tentative="1">
      <w:start w:val="1"/>
      <w:numFmt w:val="bullet"/>
      <w:lvlText w:val="o"/>
      <w:lvlJc w:val="start"/>
      <w:pPr>
        <w:ind w:start="288pt" w:hanging="18pt"/>
      </w:pPr>
      <w:rPr>
        <w:rFonts w:ascii="Courier New" w:hAnsi="Courier New" w:cs="Courier New" w:hint="default"/>
      </w:rPr>
    </w:lvl>
    <w:lvl w:ilvl="8" w:tplc="3A1A8724" w:tentative="1">
      <w:start w:val="1"/>
      <w:numFmt w:val="bullet"/>
      <w:lvlText w:val=""/>
      <w:lvlJc w:val="start"/>
      <w:pPr>
        <w:ind w:start="324pt" w:hanging="18pt"/>
      </w:pPr>
      <w:rPr>
        <w:rFonts w:ascii="Wingdings" w:hAnsi="Wingdings" w:hint="default"/>
      </w:rPr>
    </w:lvl>
  </w:abstractNum>
  <w:abstractNum w:abstractNumId="187" w15:restartNumberingAfterBreak="0">
    <w:nsid w:val="57272C63"/>
    <w:multiLevelType w:val="hybridMultilevel"/>
    <w:tmpl w:val="317A878E"/>
    <w:lvl w:ilvl="0" w:tplc="CAF6E45A">
      <w:start w:val="1"/>
      <w:numFmt w:val="bullet"/>
      <w:lvlText w:val=""/>
      <w:lvlJc w:val="start"/>
      <w:pPr>
        <w:ind w:start="36pt" w:hanging="18pt"/>
      </w:pPr>
      <w:rPr>
        <w:rFonts w:ascii="Symbol" w:hAnsi="Symbol" w:hint="default"/>
      </w:rPr>
    </w:lvl>
    <w:lvl w:ilvl="1" w:tplc="E06ABF34" w:tentative="1">
      <w:start w:val="1"/>
      <w:numFmt w:val="bullet"/>
      <w:lvlText w:val="o"/>
      <w:lvlJc w:val="start"/>
      <w:pPr>
        <w:ind w:start="72pt" w:hanging="18pt"/>
      </w:pPr>
      <w:rPr>
        <w:rFonts w:ascii="Courier New" w:hAnsi="Courier New" w:cs="Courier New" w:hint="default"/>
      </w:rPr>
    </w:lvl>
    <w:lvl w:ilvl="2" w:tplc="E13EC02E" w:tentative="1">
      <w:start w:val="1"/>
      <w:numFmt w:val="bullet"/>
      <w:lvlText w:val=""/>
      <w:lvlJc w:val="start"/>
      <w:pPr>
        <w:ind w:start="108pt" w:hanging="18pt"/>
      </w:pPr>
      <w:rPr>
        <w:rFonts w:ascii="Wingdings" w:hAnsi="Wingdings" w:hint="default"/>
      </w:rPr>
    </w:lvl>
    <w:lvl w:ilvl="3" w:tplc="28FCC48E" w:tentative="1">
      <w:start w:val="1"/>
      <w:numFmt w:val="bullet"/>
      <w:lvlText w:val=""/>
      <w:lvlJc w:val="start"/>
      <w:pPr>
        <w:ind w:start="144pt" w:hanging="18pt"/>
      </w:pPr>
      <w:rPr>
        <w:rFonts w:ascii="Symbol" w:hAnsi="Symbol" w:hint="default"/>
      </w:rPr>
    </w:lvl>
    <w:lvl w:ilvl="4" w:tplc="EEF25E2A" w:tentative="1">
      <w:start w:val="1"/>
      <w:numFmt w:val="bullet"/>
      <w:lvlText w:val="o"/>
      <w:lvlJc w:val="start"/>
      <w:pPr>
        <w:ind w:start="180pt" w:hanging="18pt"/>
      </w:pPr>
      <w:rPr>
        <w:rFonts w:ascii="Courier New" w:hAnsi="Courier New" w:cs="Courier New" w:hint="default"/>
      </w:rPr>
    </w:lvl>
    <w:lvl w:ilvl="5" w:tplc="0F5CB2FC" w:tentative="1">
      <w:start w:val="1"/>
      <w:numFmt w:val="bullet"/>
      <w:lvlText w:val=""/>
      <w:lvlJc w:val="start"/>
      <w:pPr>
        <w:ind w:start="216pt" w:hanging="18pt"/>
      </w:pPr>
      <w:rPr>
        <w:rFonts w:ascii="Wingdings" w:hAnsi="Wingdings" w:hint="default"/>
      </w:rPr>
    </w:lvl>
    <w:lvl w:ilvl="6" w:tplc="00B69F46" w:tentative="1">
      <w:start w:val="1"/>
      <w:numFmt w:val="bullet"/>
      <w:lvlText w:val=""/>
      <w:lvlJc w:val="start"/>
      <w:pPr>
        <w:ind w:start="252pt" w:hanging="18pt"/>
      </w:pPr>
      <w:rPr>
        <w:rFonts w:ascii="Symbol" w:hAnsi="Symbol" w:hint="default"/>
      </w:rPr>
    </w:lvl>
    <w:lvl w:ilvl="7" w:tplc="C4A0BF84" w:tentative="1">
      <w:start w:val="1"/>
      <w:numFmt w:val="bullet"/>
      <w:lvlText w:val="o"/>
      <w:lvlJc w:val="start"/>
      <w:pPr>
        <w:ind w:start="288pt" w:hanging="18pt"/>
      </w:pPr>
      <w:rPr>
        <w:rFonts w:ascii="Courier New" w:hAnsi="Courier New" w:cs="Courier New" w:hint="default"/>
      </w:rPr>
    </w:lvl>
    <w:lvl w:ilvl="8" w:tplc="D934382A" w:tentative="1">
      <w:start w:val="1"/>
      <w:numFmt w:val="bullet"/>
      <w:lvlText w:val=""/>
      <w:lvlJc w:val="start"/>
      <w:pPr>
        <w:ind w:start="324pt" w:hanging="18pt"/>
      </w:pPr>
      <w:rPr>
        <w:rFonts w:ascii="Wingdings" w:hAnsi="Wingdings" w:hint="default"/>
      </w:rPr>
    </w:lvl>
  </w:abstractNum>
  <w:abstractNum w:abstractNumId="188" w15:restartNumberingAfterBreak="0">
    <w:nsid w:val="57577A12"/>
    <w:multiLevelType w:val="hybridMultilevel"/>
    <w:tmpl w:val="BEB4A580"/>
    <w:lvl w:ilvl="0" w:tplc="42A05F7A">
      <w:start w:val="1"/>
      <w:numFmt w:val="bullet"/>
      <w:lvlText w:val=""/>
      <w:lvlJc w:val="start"/>
      <w:pPr>
        <w:ind w:start="37.70pt" w:hanging="18pt"/>
      </w:pPr>
      <w:rPr>
        <w:rFonts w:ascii="Wingdings" w:hAnsi="Wingdings" w:hint="default"/>
      </w:rPr>
    </w:lvl>
    <w:lvl w:ilvl="1" w:tplc="3EE657C6">
      <w:start w:val="1"/>
      <w:numFmt w:val="bullet"/>
      <w:lvlText w:val="o"/>
      <w:lvlJc w:val="start"/>
      <w:pPr>
        <w:ind w:start="73.70pt" w:hanging="18pt"/>
      </w:pPr>
      <w:rPr>
        <w:rFonts w:ascii="Courier New" w:hAnsi="Courier New" w:cs="Courier New" w:hint="default"/>
      </w:rPr>
    </w:lvl>
    <w:lvl w:ilvl="2" w:tplc="B2341F3E">
      <w:start w:val="1"/>
      <w:numFmt w:val="bullet"/>
      <w:lvlText w:val=""/>
      <w:lvlJc w:val="start"/>
      <w:pPr>
        <w:ind w:start="109.70pt" w:hanging="18pt"/>
      </w:pPr>
      <w:rPr>
        <w:rFonts w:ascii="Wingdings" w:hAnsi="Wingdings" w:hint="default"/>
      </w:rPr>
    </w:lvl>
    <w:lvl w:ilvl="3" w:tplc="E048C2AA">
      <w:start w:val="1"/>
      <w:numFmt w:val="bullet"/>
      <w:lvlText w:val=""/>
      <w:lvlJc w:val="start"/>
      <w:pPr>
        <w:ind w:start="145.65pt" w:hanging="18pt"/>
      </w:pPr>
      <w:rPr>
        <w:rFonts w:ascii="Symbol" w:hAnsi="Symbol" w:hint="default"/>
      </w:rPr>
    </w:lvl>
    <w:lvl w:ilvl="4" w:tplc="AC245DC2">
      <w:start w:val="1"/>
      <w:numFmt w:val="bullet"/>
      <w:lvlText w:val="o"/>
      <w:lvlJc w:val="start"/>
      <w:pPr>
        <w:ind w:start="181.70pt" w:hanging="18pt"/>
      </w:pPr>
      <w:rPr>
        <w:rFonts w:ascii="Courier New" w:hAnsi="Courier New" w:cs="Courier New" w:hint="default"/>
      </w:rPr>
    </w:lvl>
    <w:lvl w:ilvl="5" w:tplc="7764D19A">
      <w:start w:val="1"/>
      <w:numFmt w:val="bullet"/>
      <w:lvlText w:val=""/>
      <w:lvlJc w:val="start"/>
      <w:pPr>
        <w:ind w:start="217.70pt" w:hanging="18pt"/>
      </w:pPr>
      <w:rPr>
        <w:rFonts w:ascii="Wingdings" w:hAnsi="Wingdings" w:hint="default"/>
      </w:rPr>
    </w:lvl>
    <w:lvl w:ilvl="6" w:tplc="7F0A0B16">
      <w:start w:val="1"/>
      <w:numFmt w:val="bullet"/>
      <w:lvlText w:val=""/>
      <w:lvlJc w:val="start"/>
      <w:pPr>
        <w:ind w:start="253.70pt" w:hanging="18pt"/>
      </w:pPr>
      <w:rPr>
        <w:rFonts w:ascii="Symbol" w:hAnsi="Symbol" w:hint="default"/>
      </w:rPr>
    </w:lvl>
    <w:lvl w:ilvl="7" w:tplc="C8B09176">
      <w:start w:val="1"/>
      <w:numFmt w:val="bullet"/>
      <w:lvlText w:val="o"/>
      <w:lvlJc w:val="start"/>
      <w:pPr>
        <w:ind w:start="289.70pt" w:hanging="18pt"/>
      </w:pPr>
      <w:rPr>
        <w:rFonts w:ascii="Courier New" w:hAnsi="Courier New" w:cs="Courier New" w:hint="default"/>
      </w:rPr>
    </w:lvl>
    <w:lvl w:ilvl="8" w:tplc="DC00A040">
      <w:start w:val="1"/>
      <w:numFmt w:val="bullet"/>
      <w:lvlText w:val=""/>
      <w:lvlJc w:val="start"/>
      <w:pPr>
        <w:ind w:start="325.70pt" w:hanging="18pt"/>
      </w:pPr>
      <w:rPr>
        <w:rFonts w:ascii="Wingdings" w:hAnsi="Wingdings" w:hint="default"/>
      </w:rPr>
    </w:lvl>
  </w:abstractNum>
  <w:abstractNum w:abstractNumId="189" w15:restartNumberingAfterBreak="0">
    <w:nsid w:val="57BC02EE"/>
    <w:multiLevelType w:val="hybridMultilevel"/>
    <w:tmpl w:val="1F78C98A"/>
    <w:lvl w:ilvl="0" w:tplc="B5EA6364">
      <w:start w:val="1"/>
      <w:numFmt w:val="bullet"/>
      <w:lvlText w:val=""/>
      <w:lvlJc w:val="start"/>
      <w:pPr>
        <w:ind w:start="36pt" w:hanging="18pt"/>
      </w:pPr>
      <w:rPr>
        <w:rFonts w:ascii="Symbol" w:hAnsi="Symbol" w:hint="default"/>
      </w:rPr>
    </w:lvl>
    <w:lvl w:ilvl="1" w:tplc="79BC9302">
      <w:start w:val="1"/>
      <w:numFmt w:val="bullet"/>
      <w:lvlText w:val="o"/>
      <w:lvlJc w:val="start"/>
      <w:pPr>
        <w:ind w:start="72pt" w:hanging="18pt"/>
      </w:pPr>
      <w:rPr>
        <w:rFonts w:ascii="Courier New" w:hAnsi="Courier New" w:cs="Courier New" w:hint="default"/>
      </w:rPr>
    </w:lvl>
    <w:lvl w:ilvl="2" w:tplc="2E2E1C10">
      <w:start w:val="1"/>
      <w:numFmt w:val="bullet"/>
      <w:lvlText w:val=""/>
      <w:lvlJc w:val="start"/>
      <w:pPr>
        <w:ind w:start="108pt" w:hanging="18pt"/>
      </w:pPr>
      <w:rPr>
        <w:rFonts w:ascii="Wingdings" w:hAnsi="Wingdings" w:hint="default"/>
      </w:rPr>
    </w:lvl>
    <w:lvl w:ilvl="3" w:tplc="196246E6">
      <w:start w:val="1"/>
      <w:numFmt w:val="bullet"/>
      <w:lvlText w:val=""/>
      <w:lvlJc w:val="start"/>
      <w:pPr>
        <w:ind w:start="144pt" w:hanging="18pt"/>
      </w:pPr>
      <w:rPr>
        <w:rFonts w:ascii="Symbol" w:hAnsi="Symbol" w:hint="default"/>
      </w:rPr>
    </w:lvl>
    <w:lvl w:ilvl="4" w:tplc="5C72192E">
      <w:start w:val="1"/>
      <w:numFmt w:val="bullet"/>
      <w:lvlText w:val="o"/>
      <w:lvlJc w:val="start"/>
      <w:pPr>
        <w:ind w:start="180pt" w:hanging="18pt"/>
      </w:pPr>
      <w:rPr>
        <w:rFonts w:ascii="Courier New" w:hAnsi="Courier New" w:cs="Courier New" w:hint="default"/>
      </w:rPr>
    </w:lvl>
    <w:lvl w:ilvl="5" w:tplc="38625114">
      <w:start w:val="1"/>
      <w:numFmt w:val="bullet"/>
      <w:lvlText w:val=""/>
      <w:lvlJc w:val="start"/>
      <w:pPr>
        <w:ind w:start="216pt" w:hanging="18pt"/>
      </w:pPr>
      <w:rPr>
        <w:rFonts w:ascii="Wingdings" w:hAnsi="Wingdings" w:hint="default"/>
      </w:rPr>
    </w:lvl>
    <w:lvl w:ilvl="6" w:tplc="E6423752">
      <w:start w:val="1"/>
      <w:numFmt w:val="bullet"/>
      <w:lvlText w:val=""/>
      <w:lvlJc w:val="start"/>
      <w:pPr>
        <w:ind w:start="252pt" w:hanging="18pt"/>
      </w:pPr>
      <w:rPr>
        <w:rFonts w:ascii="Symbol" w:hAnsi="Symbol" w:hint="default"/>
      </w:rPr>
    </w:lvl>
    <w:lvl w:ilvl="7" w:tplc="96FCB964">
      <w:start w:val="1"/>
      <w:numFmt w:val="bullet"/>
      <w:lvlText w:val="o"/>
      <w:lvlJc w:val="start"/>
      <w:pPr>
        <w:ind w:start="288pt" w:hanging="18pt"/>
      </w:pPr>
      <w:rPr>
        <w:rFonts w:ascii="Courier New" w:hAnsi="Courier New" w:cs="Courier New" w:hint="default"/>
      </w:rPr>
    </w:lvl>
    <w:lvl w:ilvl="8" w:tplc="B0AC2D00">
      <w:start w:val="1"/>
      <w:numFmt w:val="bullet"/>
      <w:lvlText w:val=""/>
      <w:lvlJc w:val="start"/>
      <w:pPr>
        <w:ind w:start="324pt" w:hanging="18pt"/>
      </w:pPr>
      <w:rPr>
        <w:rFonts w:ascii="Wingdings" w:hAnsi="Wingdings" w:hint="default"/>
      </w:rPr>
    </w:lvl>
  </w:abstractNum>
  <w:abstractNum w:abstractNumId="190" w15:restartNumberingAfterBreak="0">
    <w:nsid w:val="5AD01A6E"/>
    <w:multiLevelType w:val="hybridMultilevel"/>
    <w:tmpl w:val="47E6D56E"/>
    <w:lvl w:ilvl="0" w:tplc="04707E12">
      <w:start w:val="1"/>
      <w:numFmt w:val="bullet"/>
      <w:lvlText w:val=""/>
      <w:lvlJc w:val="start"/>
      <w:pPr>
        <w:ind w:start="54pt" w:hanging="18pt"/>
      </w:pPr>
      <w:rPr>
        <w:rFonts w:ascii="Symbol" w:hAnsi="Symbol" w:hint="default"/>
      </w:rPr>
    </w:lvl>
    <w:lvl w:ilvl="1" w:tplc="E56609D2" w:tentative="1">
      <w:start w:val="1"/>
      <w:numFmt w:val="bullet"/>
      <w:lvlText w:val="o"/>
      <w:lvlJc w:val="start"/>
      <w:pPr>
        <w:ind w:start="90pt" w:hanging="18pt"/>
      </w:pPr>
      <w:rPr>
        <w:rFonts w:ascii="Courier New" w:hAnsi="Courier New" w:cs="Courier New" w:hint="default"/>
      </w:rPr>
    </w:lvl>
    <w:lvl w:ilvl="2" w:tplc="14BA627E" w:tentative="1">
      <w:start w:val="1"/>
      <w:numFmt w:val="bullet"/>
      <w:lvlText w:val=""/>
      <w:lvlJc w:val="start"/>
      <w:pPr>
        <w:ind w:start="126pt" w:hanging="18pt"/>
      </w:pPr>
      <w:rPr>
        <w:rFonts w:ascii="Wingdings" w:hAnsi="Wingdings" w:hint="default"/>
      </w:rPr>
    </w:lvl>
    <w:lvl w:ilvl="3" w:tplc="DF50AE5E" w:tentative="1">
      <w:start w:val="1"/>
      <w:numFmt w:val="bullet"/>
      <w:lvlText w:val=""/>
      <w:lvlJc w:val="start"/>
      <w:pPr>
        <w:ind w:start="162pt" w:hanging="18pt"/>
      </w:pPr>
      <w:rPr>
        <w:rFonts w:ascii="Symbol" w:hAnsi="Symbol" w:hint="default"/>
      </w:rPr>
    </w:lvl>
    <w:lvl w:ilvl="4" w:tplc="E3ACF0CE" w:tentative="1">
      <w:start w:val="1"/>
      <w:numFmt w:val="bullet"/>
      <w:lvlText w:val="o"/>
      <w:lvlJc w:val="start"/>
      <w:pPr>
        <w:ind w:start="198pt" w:hanging="18pt"/>
      </w:pPr>
      <w:rPr>
        <w:rFonts w:ascii="Courier New" w:hAnsi="Courier New" w:cs="Courier New" w:hint="default"/>
      </w:rPr>
    </w:lvl>
    <w:lvl w:ilvl="5" w:tplc="9BF48AF6" w:tentative="1">
      <w:start w:val="1"/>
      <w:numFmt w:val="bullet"/>
      <w:lvlText w:val=""/>
      <w:lvlJc w:val="start"/>
      <w:pPr>
        <w:ind w:start="234pt" w:hanging="18pt"/>
      </w:pPr>
      <w:rPr>
        <w:rFonts w:ascii="Wingdings" w:hAnsi="Wingdings" w:hint="default"/>
      </w:rPr>
    </w:lvl>
    <w:lvl w:ilvl="6" w:tplc="75F0EDDE" w:tentative="1">
      <w:start w:val="1"/>
      <w:numFmt w:val="bullet"/>
      <w:lvlText w:val=""/>
      <w:lvlJc w:val="start"/>
      <w:pPr>
        <w:ind w:start="270pt" w:hanging="18pt"/>
      </w:pPr>
      <w:rPr>
        <w:rFonts w:ascii="Symbol" w:hAnsi="Symbol" w:hint="default"/>
      </w:rPr>
    </w:lvl>
    <w:lvl w:ilvl="7" w:tplc="FEB4D9C0" w:tentative="1">
      <w:start w:val="1"/>
      <w:numFmt w:val="bullet"/>
      <w:lvlText w:val="o"/>
      <w:lvlJc w:val="start"/>
      <w:pPr>
        <w:ind w:start="306pt" w:hanging="18pt"/>
      </w:pPr>
      <w:rPr>
        <w:rFonts w:ascii="Courier New" w:hAnsi="Courier New" w:cs="Courier New" w:hint="default"/>
      </w:rPr>
    </w:lvl>
    <w:lvl w:ilvl="8" w:tplc="38EC17E2" w:tentative="1">
      <w:start w:val="1"/>
      <w:numFmt w:val="bullet"/>
      <w:lvlText w:val=""/>
      <w:lvlJc w:val="start"/>
      <w:pPr>
        <w:ind w:start="342pt" w:hanging="18pt"/>
      </w:pPr>
      <w:rPr>
        <w:rFonts w:ascii="Wingdings" w:hAnsi="Wingdings" w:hint="default"/>
      </w:rPr>
    </w:lvl>
  </w:abstractNum>
  <w:abstractNum w:abstractNumId="191" w15:restartNumberingAfterBreak="0">
    <w:nsid w:val="5BFF18E0"/>
    <w:multiLevelType w:val="hybridMultilevel"/>
    <w:tmpl w:val="EDD6B27A"/>
    <w:lvl w:ilvl="0" w:tplc="187CB464">
      <w:start w:val="1"/>
      <w:numFmt w:val="bullet"/>
      <w:lvlText w:val=""/>
      <w:lvlJc w:val="start"/>
      <w:pPr>
        <w:ind w:start="36pt" w:hanging="18pt"/>
      </w:pPr>
      <w:rPr>
        <w:rFonts w:ascii="Symbol" w:hAnsi="Symbol" w:hint="default"/>
      </w:rPr>
    </w:lvl>
    <w:lvl w:ilvl="1" w:tplc="D054C516">
      <w:start w:val="1"/>
      <w:numFmt w:val="bullet"/>
      <w:lvlText w:val="o"/>
      <w:lvlJc w:val="start"/>
      <w:pPr>
        <w:ind w:start="72pt" w:hanging="18pt"/>
      </w:pPr>
      <w:rPr>
        <w:rFonts w:ascii="Courier New" w:hAnsi="Courier New" w:cs="Courier New" w:hint="default"/>
      </w:rPr>
    </w:lvl>
    <w:lvl w:ilvl="2" w:tplc="88F6B150">
      <w:start w:val="1"/>
      <w:numFmt w:val="bullet"/>
      <w:lvlText w:val=""/>
      <w:lvlJc w:val="start"/>
      <w:pPr>
        <w:ind w:start="108pt" w:hanging="18pt"/>
      </w:pPr>
      <w:rPr>
        <w:rFonts w:ascii="Wingdings" w:hAnsi="Wingdings" w:hint="default"/>
      </w:rPr>
    </w:lvl>
    <w:lvl w:ilvl="3" w:tplc="0172D9FC">
      <w:start w:val="1"/>
      <w:numFmt w:val="bullet"/>
      <w:lvlText w:val=""/>
      <w:lvlJc w:val="start"/>
      <w:pPr>
        <w:ind w:start="144pt" w:hanging="18pt"/>
      </w:pPr>
      <w:rPr>
        <w:rFonts w:ascii="Symbol" w:hAnsi="Symbol" w:hint="default"/>
      </w:rPr>
    </w:lvl>
    <w:lvl w:ilvl="4" w:tplc="1034EE96">
      <w:start w:val="1"/>
      <w:numFmt w:val="bullet"/>
      <w:lvlText w:val="o"/>
      <w:lvlJc w:val="start"/>
      <w:pPr>
        <w:ind w:start="180pt" w:hanging="18pt"/>
      </w:pPr>
      <w:rPr>
        <w:rFonts w:ascii="Courier New" w:hAnsi="Courier New" w:cs="Courier New" w:hint="default"/>
      </w:rPr>
    </w:lvl>
    <w:lvl w:ilvl="5" w:tplc="766A1CBC">
      <w:start w:val="1"/>
      <w:numFmt w:val="bullet"/>
      <w:lvlText w:val=""/>
      <w:lvlJc w:val="start"/>
      <w:pPr>
        <w:ind w:start="216pt" w:hanging="18pt"/>
      </w:pPr>
      <w:rPr>
        <w:rFonts w:ascii="Wingdings" w:hAnsi="Wingdings" w:hint="default"/>
      </w:rPr>
    </w:lvl>
    <w:lvl w:ilvl="6" w:tplc="BF302362">
      <w:start w:val="1"/>
      <w:numFmt w:val="bullet"/>
      <w:lvlText w:val=""/>
      <w:lvlJc w:val="start"/>
      <w:pPr>
        <w:ind w:start="252pt" w:hanging="18pt"/>
      </w:pPr>
      <w:rPr>
        <w:rFonts w:ascii="Symbol" w:hAnsi="Symbol" w:hint="default"/>
      </w:rPr>
    </w:lvl>
    <w:lvl w:ilvl="7" w:tplc="E1A05078">
      <w:start w:val="1"/>
      <w:numFmt w:val="bullet"/>
      <w:lvlText w:val="o"/>
      <w:lvlJc w:val="start"/>
      <w:pPr>
        <w:ind w:start="288pt" w:hanging="18pt"/>
      </w:pPr>
      <w:rPr>
        <w:rFonts w:ascii="Courier New" w:hAnsi="Courier New" w:cs="Courier New" w:hint="default"/>
      </w:rPr>
    </w:lvl>
    <w:lvl w:ilvl="8" w:tplc="69F0BCDE">
      <w:start w:val="1"/>
      <w:numFmt w:val="bullet"/>
      <w:lvlText w:val=""/>
      <w:lvlJc w:val="start"/>
      <w:pPr>
        <w:ind w:start="324pt" w:hanging="18pt"/>
      </w:pPr>
      <w:rPr>
        <w:rFonts w:ascii="Wingdings" w:hAnsi="Wingdings" w:hint="default"/>
      </w:rPr>
    </w:lvl>
  </w:abstractNum>
  <w:abstractNum w:abstractNumId="192" w15:restartNumberingAfterBreak="0">
    <w:nsid w:val="5CA32D84"/>
    <w:multiLevelType w:val="hybridMultilevel"/>
    <w:tmpl w:val="B76A069C"/>
    <w:lvl w:ilvl="0" w:tplc="7868C806">
      <w:start w:val="6"/>
      <w:numFmt w:val="bullet"/>
      <w:lvlText w:val="•"/>
      <w:lvlJc w:val="start"/>
      <w:pPr>
        <w:ind w:start="39.25pt" w:hanging="18pt"/>
      </w:pPr>
      <w:rPr>
        <w:rFonts w:ascii="Century Gothic" w:eastAsia="Calibri" w:hAnsi="Century Gothic" w:cs="Arial" w:hint="default"/>
      </w:rPr>
    </w:lvl>
    <w:lvl w:ilvl="1" w:tplc="49BABB80" w:tentative="1">
      <w:start w:val="1"/>
      <w:numFmt w:val="bullet"/>
      <w:lvlText w:val="o"/>
      <w:lvlJc w:val="start"/>
      <w:pPr>
        <w:ind w:start="75.30pt" w:hanging="18pt"/>
      </w:pPr>
      <w:rPr>
        <w:rFonts w:ascii="Courier New" w:hAnsi="Courier New" w:cs="Courier New" w:hint="default"/>
      </w:rPr>
    </w:lvl>
    <w:lvl w:ilvl="2" w:tplc="988473D4" w:tentative="1">
      <w:start w:val="1"/>
      <w:numFmt w:val="bullet"/>
      <w:lvlText w:val=""/>
      <w:lvlJc w:val="start"/>
      <w:pPr>
        <w:ind w:start="111.30pt" w:hanging="18pt"/>
      </w:pPr>
      <w:rPr>
        <w:rFonts w:ascii="Wingdings" w:hAnsi="Wingdings" w:hint="default"/>
      </w:rPr>
    </w:lvl>
    <w:lvl w:ilvl="3" w:tplc="F93CF9AC" w:tentative="1">
      <w:start w:val="1"/>
      <w:numFmt w:val="bullet"/>
      <w:lvlText w:val=""/>
      <w:lvlJc w:val="start"/>
      <w:pPr>
        <w:ind w:start="147.30pt" w:hanging="18pt"/>
      </w:pPr>
      <w:rPr>
        <w:rFonts w:ascii="Symbol" w:hAnsi="Symbol" w:hint="default"/>
      </w:rPr>
    </w:lvl>
    <w:lvl w:ilvl="4" w:tplc="C9B6EFAA" w:tentative="1">
      <w:start w:val="1"/>
      <w:numFmt w:val="bullet"/>
      <w:lvlText w:val="o"/>
      <w:lvlJc w:val="start"/>
      <w:pPr>
        <w:ind w:start="183.30pt" w:hanging="18pt"/>
      </w:pPr>
      <w:rPr>
        <w:rFonts w:ascii="Courier New" w:hAnsi="Courier New" w:cs="Courier New" w:hint="default"/>
      </w:rPr>
    </w:lvl>
    <w:lvl w:ilvl="5" w:tplc="14BA7B18" w:tentative="1">
      <w:start w:val="1"/>
      <w:numFmt w:val="bullet"/>
      <w:lvlText w:val=""/>
      <w:lvlJc w:val="start"/>
      <w:pPr>
        <w:ind w:start="219.30pt" w:hanging="18pt"/>
      </w:pPr>
      <w:rPr>
        <w:rFonts w:ascii="Wingdings" w:hAnsi="Wingdings" w:hint="default"/>
      </w:rPr>
    </w:lvl>
    <w:lvl w:ilvl="6" w:tplc="C5027026" w:tentative="1">
      <w:start w:val="1"/>
      <w:numFmt w:val="bullet"/>
      <w:lvlText w:val=""/>
      <w:lvlJc w:val="start"/>
      <w:pPr>
        <w:ind w:start="255.30pt" w:hanging="18pt"/>
      </w:pPr>
      <w:rPr>
        <w:rFonts w:ascii="Symbol" w:hAnsi="Symbol" w:hint="default"/>
      </w:rPr>
    </w:lvl>
    <w:lvl w:ilvl="7" w:tplc="DC4E57BA" w:tentative="1">
      <w:start w:val="1"/>
      <w:numFmt w:val="bullet"/>
      <w:lvlText w:val="o"/>
      <w:lvlJc w:val="start"/>
      <w:pPr>
        <w:ind w:start="291.30pt" w:hanging="18pt"/>
      </w:pPr>
      <w:rPr>
        <w:rFonts w:ascii="Courier New" w:hAnsi="Courier New" w:cs="Courier New" w:hint="default"/>
      </w:rPr>
    </w:lvl>
    <w:lvl w:ilvl="8" w:tplc="F5BE17F0" w:tentative="1">
      <w:start w:val="1"/>
      <w:numFmt w:val="bullet"/>
      <w:lvlText w:val=""/>
      <w:lvlJc w:val="start"/>
      <w:pPr>
        <w:ind w:start="327.30pt" w:hanging="18pt"/>
      </w:pPr>
      <w:rPr>
        <w:rFonts w:ascii="Wingdings" w:hAnsi="Wingdings" w:hint="default"/>
      </w:rPr>
    </w:lvl>
  </w:abstractNum>
  <w:abstractNum w:abstractNumId="193" w15:restartNumberingAfterBreak="0">
    <w:nsid w:val="5CEC1E1C"/>
    <w:multiLevelType w:val="hybridMultilevel"/>
    <w:tmpl w:val="944E11FE"/>
    <w:lvl w:ilvl="0" w:tplc="080A0001">
      <w:start w:val="1"/>
      <w:numFmt w:val="bullet"/>
      <w:lvlText w:val=""/>
      <w:lvlJc w:val="start"/>
      <w:pPr>
        <w:ind w:start="36pt" w:hanging="18pt"/>
      </w:pPr>
      <w:rPr>
        <w:rFonts w:ascii="Symbol" w:hAnsi="Symbol" w:hint="default"/>
      </w:rPr>
    </w:lvl>
    <w:lvl w:ilvl="1" w:tplc="080A0003" w:tentative="1">
      <w:start w:val="1"/>
      <w:numFmt w:val="bullet"/>
      <w:lvlText w:val="o"/>
      <w:lvlJc w:val="start"/>
      <w:pPr>
        <w:ind w:start="72pt" w:hanging="18pt"/>
      </w:pPr>
      <w:rPr>
        <w:rFonts w:ascii="Courier New" w:hAnsi="Courier New" w:cs="Courier New" w:hint="default"/>
      </w:rPr>
    </w:lvl>
    <w:lvl w:ilvl="2" w:tplc="080A0005" w:tentative="1">
      <w:start w:val="1"/>
      <w:numFmt w:val="bullet"/>
      <w:lvlText w:val=""/>
      <w:lvlJc w:val="start"/>
      <w:pPr>
        <w:ind w:start="108pt" w:hanging="18pt"/>
      </w:pPr>
      <w:rPr>
        <w:rFonts w:ascii="Wingdings" w:hAnsi="Wingdings" w:hint="default"/>
      </w:rPr>
    </w:lvl>
    <w:lvl w:ilvl="3" w:tplc="080A0001" w:tentative="1">
      <w:start w:val="1"/>
      <w:numFmt w:val="bullet"/>
      <w:lvlText w:val=""/>
      <w:lvlJc w:val="start"/>
      <w:pPr>
        <w:ind w:start="144pt" w:hanging="18pt"/>
      </w:pPr>
      <w:rPr>
        <w:rFonts w:ascii="Symbol" w:hAnsi="Symbol" w:hint="default"/>
      </w:rPr>
    </w:lvl>
    <w:lvl w:ilvl="4" w:tplc="080A0003" w:tentative="1">
      <w:start w:val="1"/>
      <w:numFmt w:val="bullet"/>
      <w:lvlText w:val="o"/>
      <w:lvlJc w:val="start"/>
      <w:pPr>
        <w:ind w:start="180pt" w:hanging="18pt"/>
      </w:pPr>
      <w:rPr>
        <w:rFonts w:ascii="Courier New" w:hAnsi="Courier New" w:cs="Courier New" w:hint="default"/>
      </w:rPr>
    </w:lvl>
    <w:lvl w:ilvl="5" w:tplc="080A0005" w:tentative="1">
      <w:start w:val="1"/>
      <w:numFmt w:val="bullet"/>
      <w:lvlText w:val=""/>
      <w:lvlJc w:val="start"/>
      <w:pPr>
        <w:ind w:start="216pt" w:hanging="18pt"/>
      </w:pPr>
      <w:rPr>
        <w:rFonts w:ascii="Wingdings" w:hAnsi="Wingdings" w:hint="default"/>
      </w:rPr>
    </w:lvl>
    <w:lvl w:ilvl="6" w:tplc="080A0001" w:tentative="1">
      <w:start w:val="1"/>
      <w:numFmt w:val="bullet"/>
      <w:lvlText w:val=""/>
      <w:lvlJc w:val="start"/>
      <w:pPr>
        <w:ind w:start="252pt" w:hanging="18pt"/>
      </w:pPr>
      <w:rPr>
        <w:rFonts w:ascii="Symbol" w:hAnsi="Symbol" w:hint="default"/>
      </w:rPr>
    </w:lvl>
    <w:lvl w:ilvl="7" w:tplc="080A0003" w:tentative="1">
      <w:start w:val="1"/>
      <w:numFmt w:val="bullet"/>
      <w:lvlText w:val="o"/>
      <w:lvlJc w:val="start"/>
      <w:pPr>
        <w:ind w:start="288pt" w:hanging="18pt"/>
      </w:pPr>
      <w:rPr>
        <w:rFonts w:ascii="Courier New" w:hAnsi="Courier New" w:cs="Courier New" w:hint="default"/>
      </w:rPr>
    </w:lvl>
    <w:lvl w:ilvl="8" w:tplc="080A0005" w:tentative="1">
      <w:start w:val="1"/>
      <w:numFmt w:val="bullet"/>
      <w:lvlText w:val=""/>
      <w:lvlJc w:val="start"/>
      <w:pPr>
        <w:ind w:start="324pt" w:hanging="18pt"/>
      </w:pPr>
      <w:rPr>
        <w:rFonts w:ascii="Wingdings" w:hAnsi="Wingdings" w:hint="default"/>
      </w:rPr>
    </w:lvl>
  </w:abstractNum>
  <w:abstractNum w:abstractNumId="194" w15:restartNumberingAfterBreak="0">
    <w:nsid w:val="5EB518F8"/>
    <w:multiLevelType w:val="hybridMultilevel"/>
    <w:tmpl w:val="3AB6B8A2"/>
    <w:lvl w:ilvl="0" w:tplc="080A0001">
      <w:start w:val="1"/>
      <w:numFmt w:val="bullet"/>
      <w:lvlText w:val=""/>
      <w:lvlJc w:val="start"/>
      <w:pPr>
        <w:ind w:start="36pt" w:hanging="18pt"/>
      </w:pPr>
      <w:rPr>
        <w:rFonts w:ascii="Symbol" w:hAnsi="Symbol" w:hint="default"/>
      </w:rPr>
    </w:lvl>
    <w:lvl w:ilvl="1" w:tplc="080A0003" w:tentative="1">
      <w:start w:val="1"/>
      <w:numFmt w:val="bullet"/>
      <w:lvlText w:val="o"/>
      <w:lvlJc w:val="start"/>
      <w:pPr>
        <w:ind w:start="72pt" w:hanging="18pt"/>
      </w:pPr>
      <w:rPr>
        <w:rFonts w:ascii="Courier New" w:hAnsi="Courier New" w:cs="Courier New" w:hint="default"/>
      </w:rPr>
    </w:lvl>
    <w:lvl w:ilvl="2" w:tplc="080A0005" w:tentative="1">
      <w:start w:val="1"/>
      <w:numFmt w:val="bullet"/>
      <w:lvlText w:val=""/>
      <w:lvlJc w:val="start"/>
      <w:pPr>
        <w:ind w:start="108pt" w:hanging="18pt"/>
      </w:pPr>
      <w:rPr>
        <w:rFonts w:ascii="Wingdings" w:hAnsi="Wingdings" w:hint="default"/>
      </w:rPr>
    </w:lvl>
    <w:lvl w:ilvl="3" w:tplc="080A0001" w:tentative="1">
      <w:start w:val="1"/>
      <w:numFmt w:val="bullet"/>
      <w:lvlText w:val=""/>
      <w:lvlJc w:val="start"/>
      <w:pPr>
        <w:ind w:start="144pt" w:hanging="18pt"/>
      </w:pPr>
      <w:rPr>
        <w:rFonts w:ascii="Symbol" w:hAnsi="Symbol" w:hint="default"/>
      </w:rPr>
    </w:lvl>
    <w:lvl w:ilvl="4" w:tplc="080A0003" w:tentative="1">
      <w:start w:val="1"/>
      <w:numFmt w:val="bullet"/>
      <w:lvlText w:val="o"/>
      <w:lvlJc w:val="start"/>
      <w:pPr>
        <w:ind w:start="180pt" w:hanging="18pt"/>
      </w:pPr>
      <w:rPr>
        <w:rFonts w:ascii="Courier New" w:hAnsi="Courier New" w:cs="Courier New" w:hint="default"/>
      </w:rPr>
    </w:lvl>
    <w:lvl w:ilvl="5" w:tplc="080A0005" w:tentative="1">
      <w:start w:val="1"/>
      <w:numFmt w:val="bullet"/>
      <w:lvlText w:val=""/>
      <w:lvlJc w:val="start"/>
      <w:pPr>
        <w:ind w:start="216pt" w:hanging="18pt"/>
      </w:pPr>
      <w:rPr>
        <w:rFonts w:ascii="Wingdings" w:hAnsi="Wingdings" w:hint="default"/>
      </w:rPr>
    </w:lvl>
    <w:lvl w:ilvl="6" w:tplc="080A0001" w:tentative="1">
      <w:start w:val="1"/>
      <w:numFmt w:val="bullet"/>
      <w:lvlText w:val=""/>
      <w:lvlJc w:val="start"/>
      <w:pPr>
        <w:ind w:start="252pt" w:hanging="18pt"/>
      </w:pPr>
      <w:rPr>
        <w:rFonts w:ascii="Symbol" w:hAnsi="Symbol" w:hint="default"/>
      </w:rPr>
    </w:lvl>
    <w:lvl w:ilvl="7" w:tplc="080A0003" w:tentative="1">
      <w:start w:val="1"/>
      <w:numFmt w:val="bullet"/>
      <w:lvlText w:val="o"/>
      <w:lvlJc w:val="start"/>
      <w:pPr>
        <w:ind w:start="288pt" w:hanging="18pt"/>
      </w:pPr>
      <w:rPr>
        <w:rFonts w:ascii="Courier New" w:hAnsi="Courier New" w:cs="Courier New" w:hint="default"/>
      </w:rPr>
    </w:lvl>
    <w:lvl w:ilvl="8" w:tplc="080A0005" w:tentative="1">
      <w:start w:val="1"/>
      <w:numFmt w:val="bullet"/>
      <w:lvlText w:val=""/>
      <w:lvlJc w:val="start"/>
      <w:pPr>
        <w:ind w:start="324pt" w:hanging="18pt"/>
      </w:pPr>
      <w:rPr>
        <w:rFonts w:ascii="Wingdings" w:hAnsi="Wingdings" w:hint="default"/>
      </w:rPr>
    </w:lvl>
  </w:abstractNum>
  <w:abstractNum w:abstractNumId="195" w15:restartNumberingAfterBreak="0">
    <w:nsid w:val="5F4D67C1"/>
    <w:multiLevelType w:val="hybridMultilevel"/>
    <w:tmpl w:val="4BA0A30C"/>
    <w:lvl w:ilvl="0" w:tplc="0308AE20">
      <w:start w:val="1"/>
      <w:numFmt w:val="bullet"/>
      <w:lvlText w:val=""/>
      <w:lvlJc w:val="start"/>
      <w:pPr>
        <w:ind w:start="39.25pt" w:hanging="18pt"/>
      </w:pPr>
      <w:rPr>
        <w:rFonts w:ascii="Symbol" w:hAnsi="Symbol" w:hint="default"/>
      </w:rPr>
    </w:lvl>
    <w:lvl w:ilvl="1" w:tplc="AA784890" w:tentative="1">
      <w:start w:val="1"/>
      <w:numFmt w:val="bullet"/>
      <w:lvlText w:val="o"/>
      <w:lvlJc w:val="start"/>
      <w:pPr>
        <w:ind w:start="75.30pt" w:hanging="18pt"/>
      </w:pPr>
      <w:rPr>
        <w:rFonts w:ascii="Courier New" w:hAnsi="Courier New" w:cs="Courier New" w:hint="default"/>
      </w:rPr>
    </w:lvl>
    <w:lvl w:ilvl="2" w:tplc="30302330" w:tentative="1">
      <w:start w:val="1"/>
      <w:numFmt w:val="bullet"/>
      <w:lvlText w:val=""/>
      <w:lvlJc w:val="start"/>
      <w:pPr>
        <w:ind w:start="111.30pt" w:hanging="18pt"/>
      </w:pPr>
      <w:rPr>
        <w:rFonts w:ascii="Wingdings" w:hAnsi="Wingdings" w:hint="default"/>
      </w:rPr>
    </w:lvl>
    <w:lvl w:ilvl="3" w:tplc="38B4E46E" w:tentative="1">
      <w:start w:val="1"/>
      <w:numFmt w:val="bullet"/>
      <w:lvlText w:val=""/>
      <w:lvlJc w:val="start"/>
      <w:pPr>
        <w:ind w:start="147.30pt" w:hanging="18pt"/>
      </w:pPr>
      <w:rPr>
        <w:rFonts w:ascii="Symbol" w:hAnsi="Symbol" w:hint="default"/>
      </w:rPr>
    </w:lvl>
    <w:lvl w:ilvl="4" w:tplc="0F4A0016" w:tentative="1">
      <w:start w:val="1"/>
      <w:numFmt w:val="bullet"/>
      <w:lvlText w:val="o"/>
      <w:lvlJc w:val="start"/>
      <w:pPr>
        <w:ind w:start="183.30pt" w:hanging="18pt"/>
      </w:pPr>
      <w:rPr>
        <w:rFonts w:ascii="Courier New" w:hAnsi="Courier New" w:cs="Courier New" w:hint="default"/>
      </w:rPr>
    </w:lvl>
    <w:lvl w:ilvl="5" w:tplc="A3B291D8" w:tentative="1">
      <w:start w:val="1"/>
      <w:numFmt w:val="bullet"/>
      <w:lvlText w:val=""/>
      <w:lvlJc w:val="start"/>
      <w:pPr>
        <w:ind w:start="219.30pt" w:hanging="18pt"/>
      </w:pPr>
      <w:rPr>
        <w:rFonts w:ascii="Wingdings" w:hAnsi="Wingdings" w:hint="default"/>
      </w:rPr>
    </w:lvl>
    <w:lvl w:ilvl="6" w:tplc="B700E8D4" w:tentative="1">
      <w:start w:val="1"/>
      <w:numFmt w:val="bullet"/>
      <w:lvlText w:val=""/>
      <w:lvlJc w:val="start"/>
      <w:pPr>
        <w:ind w:start="255.30pt" w:hanging="18pt"/>
      </w:pPr>
      <w:rPr>
        <w:rFonts w:ascii="Symbol" w:hAnsi="Symbol" w:hint="default"/>
      </w:rPr>
    </w:lvl>
    <w:lvl w:ilvl="7" w:tplc="938E59F6" w:tentative="1">
      <w:start w:val="1"/>
      <w:numFmt w:val="bullet"/>
      <w:lvlText w:val="o"/>
      <w:lvlJc w:val="start"/>
      <w:pPr>
        <w:ind w:start="291.30pt" w:hanging="18pt"/>
      </w:pPr>
      <w:rPr>
        <w:rFonts w:ascii="Courier New" w:hAnsi="Courier New" w:cs="Courier New" w:hint="default"/>
      </w:rPr>
    </w:lvl>
    <w:lvl w:ilvl="8" w:tplc="B554D7E2" w:tentative="1">
      <w:start w:val="1"/>
      <w:numFmt w:val="bullet"/>
      <w:lvlText w:val=""/>
      <w:lvlJc w:val="start"/>
      <w:pPr>
        <w:ind w:start="327.30pt" w:hanging="18pt"/>
      </w:pPr>
      <w:rPr>
        <w:rFonts w:ascii="Wingdings" w:hAnsi="Wingdings" w:hint="default"/>
      </w:rPr>
    </w:lvl>
  </w:abstractNum>
  <w:abstractNum w:abstractNumId="196" w15:restartNumberingAfterBreak="0">
    <w:nsid w:val="5F6573F0"/>
    <w:multiLevelType w:val="hybridMultilevel"/>
    <w:tmpl w:val="22A8E8D4"/>
    <w:lvl w:ilvl="0" w:tplc="B1942AD6">
      <w:start w:val="1"/>
      <w:numFmt w:val="bullet"/>
      <w:lvlText w:val=""/>
      <w:lvlJc w:val="start"/>
      <w:pPr>
        <w:ind w:start="36pt" w:hanging="18pt"/>
      </w:pPr>
      <w:rPr>
        <w:rFonts w:ascii="Symbol" w:hAnsi="Symbol" w:hint="default"/>
      </w:rPr>
    </w:lvl>
    <w:lvl w:ilvl="1" w:tplc="D56C46BC">
      <w:start w:val="1"/>
      <w:numFmt w:val="bullet"/>
      <w:lvlText w:val="o"/>
      <w:lvlJc w:val="start"/>
      <w:pPr>
        <w:ind w:start="72pt" w:hanging="18pt"/>
      </w:pPr>
      <w:rPr>
        <w:rFonts w:ascii="Courier New" w:hAnsi="Courier New" w:cs="Courier New" w:hint="default"/>
      </w:rPr>
    </w:lvl>
    <w:lvl w:ilvl="2" w:tplc="228A7A3A">
      <w:start w:val="1"/>
      <w:numFmt w:val="bullet"/>
      <w:lvlText w:val=""/>
      <w:lvlJc w:val="start"/>
      <w:pPr>
        <w:ind w:start="108pt" w:hanging="18pt"/>
      </w:pPr>
      <w:rPr>
        <w:rFonts w:ascii="Wingdings" w:hAnsi="Wingdings" w:hint="default"/>
      </w:rPr>
    </w:lvl>
    <w:lvl w:ilvl="3" w:tplc="61546CB0">
      <w:start w:val="1"/>
      <w:numFmt w:val="bullet"/>
      <w:lvlText w:val=""/>
      <w:lvlJc w:val="start"/>
      <w:pPr>
        <w:ind w:start="144pt" w:hanging="18pt"/>
      </w:pPr>
      <w:rPr>
        <w:rFonts w:ascii="Symbol" w:hAnsi="Symbol" w:hint="default"/>
      </w:rPr>
    </w:lvl>
    <w:lvl w:ilvl="4" w:tplc="16901332">
      <w:start w:val="1"/>
      <w:numFmt w:val="bullet"/>
      <w:lvlText w:val="o"/>
      <w:lvlJc w:val="start"/>
      <w:pPr>
        <w:ind w:start="180pt" w:hanging="18pt"/>
      </w:pPr>
      <w:rPr>
        <w:rFonts w:ascii="Courier New" w:hAnsi="Courier New" w:cs="Courier New" w:hint="default"/>
      </w:rPr>
    </w:lvl>
    <w:lvl w:ilvl="5" w:tplc="A2FC30A0">
      <w:start w:val="1"/>
      <w:numFmt w:val="bullet"/>
      <w:lvlText w:val=""/>
      <w:lvlJc w:val="start"/>
      <w:pPr>
        <w:ind w:start="216pt" w:hanging="18pt"/>
      </w:pPr>
      <w:rPr>
        <w:rFonts w:ascii="Wingdings" w:hAnsi="Wingdings" w:hint="default"/>
      </w:rPr>
    </w:lvl>
    <w:lvl w:ilvl="6" w:tplc="E26ABCF8">
      <w:start w:val="1"/>
      <w:numFmt w:val="bullet"/>
      <w:lvlText w:val=""/>
      <w:lvlJc w:val="start"/>
      <w:pPr>
        <w:ind w:start="252pt" w:hanging="18pt"/>
      </w:pPr>
      <w:rPr>
        <w:rFonts w:ascii="Symbol" w:hAnsi="Symbol" w:hint="default"/>
      </w:rPr>
    </w:lvl>
    <w:lvl w:ilvl="7" w:tplc="0B8EAA04">
      <w:start w:val="1"/>
      <w:numFmt w:val="bullet"/>
      <w:lvlText w:val="o"/>
      <w:lvlJc w:val="start"/>
      <w:pPr>
        <w:ind w:start="288pt" w:hanging="18pt"/>
      </w:pPr>
      <w:rPr>
        <w:rFonts w:ascii="Courier New" w:hAnsi="Courier New" w:cs="Courier New" w:hint="default"/>
      </w:rPr>
    </w:lvl>
    <w:lvl w:ilvl="8" w:tplc="E580EBDE">
      <w:start w:val="1"/>
      <w:numFmt w:val="bullet"/>
      <w:lvlText w:val=""/>
      <w:lvlJc w:val="start"/>
      <w:pPr>
        <w:ind w:start="324pt" w:hanging="18pt"/>
      </w:pPr>
      <w:rPr>
        <w:rFonts w:ascii="Wingdings" w:hAnsi="Wingdings" w:hint="default"/>
      </w:rPr>
    </w:lvl>
  </w:abstractNum>
  <w:abstractNum w:abstractNumId="197" w15:restartNumberingAfterBreak="0">
    <w:nsid w:val="5FA222A1"/>
    <w:multiLevelType w:val="hybridMultilevel"/>
    <w:tmpl w:val="54D83E90"/>
    <w:lvl w:ilvl="0" w:tplc="5C4678DE">
      <w:start w:val="6"/>
      <w:numFmt w:val="bullet"/>
      <w:lvlText w:val="•"/>
      <w:lvlJc w:val="start"/>
      <w:pPr>
        <w:ind w:start="39.25pt" w:hanging="18pt"/>
      </w:pPr>
      <w:rPr>
        <w:rFonts w:ascii="Century Gothic" w:eastAsia="Calibri" w:hAnsi="Century Gothic" w:cs="Arial" w:hint="default"/>
      </w:rPr>
    </w:lvl>
    <w:lvl w:ilvl="1" w:tplc="6BFAF36A" w:tentative="1">
      <w:start w:val="1"/>
      <w:numFmt w:val="bullet"/>
      <w:lvlText w:val="o"/>
      <w:lvlJc w:val="start"/>
      <w:pPr>
        <w:ind w:start="75.30pt" w:hanging="18pt"/>
      </w:pPr>
      <w:rPr>
        <w:rFonts w:ascii="Courier New" w:hAnsi="Courier New" w:cs="Courier New" w:hint="default"/>
      </w:rPr>
    </w:lvl>
    <w:lvl w:ilvl="2" w:tplc="EB02525E" w:tentative="1">
      <w:start w:val="1"/>
      <w:numFmt w:val="bullet"/>
      <w:lvlText w:val=""/>
      <w:lvlJc w:val="start"/>
      <w:pPr>
        <w:ind w:start="111.30pt" w:hanging="18pt"/>
      </w:pPr>
      <w:rPr>
        <w:rFonts w:ascii="Wingdings" w:hAnsi="Wingdings" w:hint="default"/>
      </w:rPr>
    </w:lvl>
    <w:lvl w:ilvl="3" w:tplc="64A21506" w:tentative="1">
      <w:start w:val="1"/>
      <w:numFmt w:val="bullet"/>
      <w:lvlText w:val=""/>
      <w:lvlJc w:val="start"/>
      <w:pPr>
        <w:ind w:start="147.30pt" w:hanging="18pt"/>
      </w:pPr>
      <w:rPr>
        <w:rFonts w:ascii="Symbol" w:hAnsi="Symbol" w:hint="default"/>
      </w:rPr>
    </w:lvl>
    <w:lvl w:ilvl="4" w:tplc="F0B84464" w:tentative="1">
      <w:start w:val="1"/>
      <w:numFmt w:val="bullet"/>
      <w:lvlText w:val="o"/>
      <w:lvlJc w:val="start"/>
      <w:pPr>
        <w:ind w:start="183.30pt" w:hanging="18pt"/>
      </w:pPr>
      <w:rPr>
        <w:rFonts w:ascii="Courier New" w:hAnsi="Courier New" w:cs="Courier New" w:hint="default"/>
      </w:rPr>
    </w:lvl>
    <w:lvl w:ilvl="5" w:tplc="4372C5B2" w:tentative="1">
      <w:start w:val="1"/>
      <w:numFmt w:val="bullet"/>
      <w:lvlText w:val=""/>
      <w:lvlJc w:val="start"/>
      <w:pPr>
        <w:ind w:start="219.30pt" w:hanging="18pt"/>
      </w:pPr>
      <w:rPr>
        <w:rFonts w:ascii="Wingdings" w:hAnsi="Wingdings" w:hint="default"/>
      </w:rPr>
    </w:lvl>
    <w:lvl w:ilvl="6" w:tplc="C9C63EF4" w:tentative="1">
      <w:start w:val="1"/>
      <w:numFmt w:val="bullet"/>
      <w:lvlText w:val=""/>
      <w:lvlJc w:val="start"/>
      <w:pPr>
        <w:ind w:start="255.30pt" w:hanging="18pt"/>
      </w:pPr>
      <w:rPr>
        <w:rFonts w:ascii="Symbol" w:hAnsi="Symbol" w:hint="default"/>
      </w:rPr>
    </w:lvl>
    <w:lvl w:ilvl="7" w:tplc="91FAACB2" w:tentative="1">
      <w:start w:val="1"/>
      <w:numFmt w:val="bullet"/>
      <w:lvlText w:val="o"/>
      <w:lvlJc w:val="start"/>
      <w:pPr>
        <w:ind w:start="291.30pt" w:hanging="18pt"/>
      </w:pPr>
      <w:rPr>
        <w:rFonts w:ascii="Courier New" w:hAnsi="Courier New" w:cs="Courier New" w:hint="default"/>
      </w:rPr>
    </w:lvl>
    <w:lvl w:ilvl="8" w:tplc="D05270C6" w:tentative="1">
      <w:start w:val="1"/>
      <w:numFmt w:val="bullet"/>
      <w:lvlText w:val=""/>
      <w:lvlJc w:val="start"/>
      <w:pPr>
        <w:ind w:start="327.30pt" w:hanging="18pt"/>
      </w:pPr>
      <w:rPr>
        <w:rFonts w:ascii="Wingdings" w:hAnsi="Wingdings" w:hint="default"/>
      </w:rPr>
    </w:lvl>
  </w:abstractNum>
  <w:abstractNum w:abstractNumId="198" w15:restartNumberingAfterBreak="0">
    <w:nsid w:val="5FC4326F"/>
    <w:multiLevelType w:val="hybridMultilevel"/>
    <w:tmpl w:val="FDD208D4"/>
    <w:lvl w:ilvl="0" w:tplc="080A0001">
      <w:start w:val="1"/>
      <w:numFmt w:val="bullet"/>
      <w:lvlText w:val=""/>
      <w:lvlJc w:val="start"/>
      <w:pPr>
        <w:ind w:start="36pt" w:hanging="18pt"/>
      </w:pPr>
      <w:rPr>
        <w:rFonts w:ascii="Symbol" w:hAnsi="Symbol" w:hint="default"/>
      </w:rPr>
    </w:lvl>
    <w:lvl w:ilvl="1" w:tplc="080A0003">
      <w:start w:val="1"/>
      <w:numFmt w:val="bullet"/>
      <w:lvlText w:val="o"/>
      <w:lvlJc w:val="start"/>
      <w:pPr>
        <w:ind w:start="72pt" w:hanging="18pt"/>
      </w:pPr>
      <w:rPr>
        <w:rFonts w:ascii="Courier New" w:hAnsi="Courier New" w:cs="Courier New" w:hint="default"/>
      </w:rPr>
    </w:lvl>
    <w:lvl w:ilvl="2" w:tplc="080A0005">
      <w:start w:val="1"/>
      <w:numFmt w:val="bullet"/>
      <w:lvlText w:val=""/>
      <w:lvlJc w:val="start"/>
      <w:pPr>
        <w:ind w:start="108pt" w:hanging="18pt"/>
      </w:pPr>
      <w:rPr>
        <w:rFonts w:ascii="Wingdings" w:hAnsi="Wingdings" w:hint="default"/>
      </w:rPr>
    </w:lvl>
    <w:lvl w:ilvl="3" w:tplc="080A0001">
      <w:start w:val="1"/>
      <w:numFmt w:val="bullet"/>
      <w:lvlText w:val=""/>
      <w:lvlJc w:val="start"/>
      <w:pPr>
        <w:ind w:start="144pt" w:hanging="18pt"/>
      </w:pPr>
      <w:rPr>
        <w:rFonts w:ascii="Symbol" w:hAnsi="Symbol" w:hint="default"/>
      </w:rPr>
    </w:lvl>
    <w:lvl w:ilvl="4" w:tplc="080A0003">
      <w:start w:val="1"/>
      <w:numFmt w:val="bullet"/>
      <w:lvlText w:val="o"/>
      <w:lvlJc w:val="start"/>
      <w:pPr>
        <w:ind w:start="180pt" w:hanging="18pt"/>
      </w:pPr>
      <w:rPr>
        <w:rFonts w:ascii="Courier New" w:hAnsi="Courier New" w:cs="Courier New" w:hint="default"/>
      </w:rPr>
    </w:lvl>
    <w:lvl w:ilvl="5" w:tplc="080A0005">
      <w:start w:val="1"/>
      <w:numFmt w:val="bullet"/>
      <w:lvlText w:val=""/>
      <w:lvlJc w:val="start"/>
      <w:pPr>
        <w:ind w:start="216pt" w:hanging="18pt"/>
      </w:pPr>
      <w:rPr>
        <w:rFonts w:ascii="Wingdings" w:hAnsi="Wingdings" w:hint="default"/>
      </w:rPr>
    </w:lvl>
    <w:lvl w:ilvl="6" w:tplc="080A0001">
      <w:start w:val="1"/>
      <w:numFmt w:val="bullet"/>
      <w:lvlText w:val=""/>
      <w:lvlJc w:val="start"/>
      <w:pPr>
        <w:ind w:start="252pt" w:hanging="18pt"/>
      </w:pPr>
      <w:rPr>
        <w:rFonts w:ascii="Symbol" w:hAnsi="Symbol" w:hint="default"/>
      </w:rPr>
    </w:lvl>
    <w:lvl w:ilvl="7" w:tplc="080A0003">
      <w:start w:val="1"/>
      <w:numFmt w:val="bullet"/>
      <w:lvlText w:val="o"/>
      <w:lvlJc w:val="start"/>
      <w:pPr>
        <w:ind w:start="288pt" w:hanging="18pt"/>
      </w:pPr>
      <w:rPr>
        <w:rFonts w:ascii="Courier New" w:hAnsi="Courier New" w:cs="Courier New" w:hint="default"/>
      </w:rPr>
    </w:lvl>
    <w:lvl w:ilvl="8" w:tplc="080A0005">
      <w:start w:val="1"/>
      <w:numFmt w:val="bullet"/>
      <w:lvlText w:val=""/>
      <w:lvlJc w:val="start"/>
      <w:pPr>
        <w:ind w:start="324pt" w:hanging="18pt"/>
      </w:pPr>
      <w:rPr>
        <w:rFonts w:ascii="Wingdings" w:hAnsi="Wingdings" w:hint="default"/>
      </w:rPr>
    </w:lvl>
  </w:abstractNum>
  <w:abstractNum w:abstractNumId="199" w15:restartNumberingAfterBreak="0">
    <w:nsid w:val="5FD410FB"/>
    <w:multiLevelType w:val="hybridMultilevel"/>
    <w:tmpl w:val="2D14BDF2"/>
    <w:lvl w:ilvl="0" w:tplc="CF48B314">
      <w:start w:val="1"/>
      <w:numFmt w:val="bullet"/>
      <w:lvlText w:val=""/>
      <w:lvlJc w:val="start"/>
      <w:pPr>
        <w:ind w:start="39.25pt" w:hanging="18pt"/>
      </w:pPr>
      <w:rPr>
        <w:rFonts w:ascii="Symbol" w:hAnsi="Symbol" w:hint="default"/>
      </w:rPr>
    </w:lvl>
    <w:lvl w:ilvl="1" w:tplc="7DB29928" w:tentative="1">
      <w:start w:val="1"/>
      <w:numFmt w:val="bullet"/>
      <w:lvlText w:val="o"/>
      <w:lvlJc w:val="start"/>
      <w:pPr>
        <w:ind w:start="75.30pt" w:hanging="18pt"/>
      </w:pPr>
      <w:rPr>
        <w:rFonts w:ascii="Courier New" w:hAnsi="Courier New" w:cs="Courier New" w:hint="default"/>
      </w:rPr>
    </w:lvl>
    <w:lvl w:ilvl="2" w:tplc="1DF23378" w:tentative="1">
      <w:start w:val="1"/>
      <w:numFmt w:val="bullet"/>
      <w:lvlText w:val=""/>
      <w:lvlJc w:val="start"/>
      <w:pPr>
        <w:ind w:start="111.30pt" w:hanging="18pt"/>
      </w:pPr>
      <w:rPr>
        <w:rFonts w:ascii="Wingdings" w:hAnsi="Wingdings" w:hint="default"/>
      </w:rPr>
    </w:lvl>
    <w:lvl w:ilvl="3" w:tplc="D21C3BD6" w:tentative="1">
      <w:start w:val="1"/>
      <w:numFmt w:val="bullet"/>
      <w:lvlText w:val=""/>
      <w:lvlJc w:val="start"/>
      <w:pPr>
        <w:ind w:start="147.30pt" w:hanging="18pt"/>
      </w:pPr>
      <w:rPr>
        <w:rFonts w:ascii="Symbol" w:hAnsi="Symbol" w:hint="default"/>
      </w:rPr>
    </w:lvl>
    <w:lvl w:ilvl="4" w:tplc="D21C3C46" w:tentative="1">
      <w:start w:val="1"/>
      <w:numFmt w:val="bullet"/>
      <w:lvlText w:val="o"/>
      <w:lvlJc w:val="start"/>
      <w:pPr>
        <w:ind w:start="183.30pt" w:hanging="18pt"/>
      </w:pPr>
      <w:rPr>
        <w:rFonts w:ascii="Courier New" w:hAnsi="Courier New" w:cs="Courier New" w:hint="default"/>
      </w:rPr>
    </w:lvl>
    <w:lvl w:ilvl="5" w:tplc="CEE85468" w:tentative="1">
      <w:start w:val="1"/>
      <w:numFmt w:val="bullet"/>
      <w:lvlText w:val=""/>
      <w:lvlJc w:val="start"/>
      <w:pPr>
        <w:ind w:start="219.30pt" w:hanging="18pt"/>
      </w:pPr>
      <w:rPr>
        <w:rFonts w:ascii="Wingdings" w:hAnsi="Wingdings" w:hint="default"/>
      </w:rPr>
    </w:lvl>
    <w:lvl w:ilvl="6" w:tplc="789433AE" w:tentative="1">
      <w:start w:val="1"/>
      <w:numFmt w:val="bullet"/>
      <w:lvlText w:val=""/>
      <w:lvlJc w:val="start"/>
      <w:pPr>
        <w:ind w:start="255.30pt" w:hanging="18pt"/>
      </w:pPr>
      <w:rPr>
        <w:rFonts w:ascii="Symbol" w:hAnsi="Symbol" w:hint="default"/>
      </w:rPr>
    </w:lvl>
    <w:lvl w:ilvl="7" w:tplc="EED06112" w:tentative="1">
      <w:start w:val="1"/>
      <w:numFmt w:val="bullet"/>
      <w:lvlText w:val="o"/>
      <w:lvlJc w:val="start"/>
      <w:pPr>
        <w:ind w:start="291.30pt" w:hanging="18pt"/>
      </w:pPr>
      <w:rPr>
        <w:rFonts w:ascii="Courier New" w:hAnsi="Courier New" w:cs="Courier New" w:hint="default"/>
      </w:rPr>
    </w:lvl>
    <w:lvl w:ilvl="8" w:tplc="5E1CC118" w:tentative="1">
      <w:start w:val="1"/>
      <w:numFmt w:val="bullet"/>
      <w:lvlText w:val=""/>
      <w:lvlJc w:val="start"/>
      <w:pPr>
        <w:ind w:start="327.30pt" w:hanging="18pt"/>
      </w:pPr>
      <w:rPr>
        <w:rFonts w:ascii="Wingdings" w:hAnsi="Wingdings" w:hint="default"/>
      </w:rPr>
    </w:lvl>
  </w:abstractNum>
  <w:abstractNum w:abstractNumId="200" w15:restartNumberingAfterBreak="0">
    <w:nsid w:val="602B0D79"/>
    <w:multiLevelType w:val="hybridMultilevel"/>
    <w:tmpl w:val="33AE223E"/>
    <w:lvl w:ilvl="0" w:tplc="2752C470">
      <w:start w:val="1"/>
      <w:numFmt w:val="bullet"/>
      <w:lvlText w:val=""/>
      <w:lvlJc w:val="start"/>
      <w:pPr>
        <w:ind w:start="36pt" w:hanging="18pt"/>
      </w:pPr>
      <w:rPr>
        <w:rFonts w:ascii="Symbol" w:hAnsi="Symbol" w:hint="default"/>
      </w:rPr>
    </w:lvl>
    <w:lvl w:ilvl="1" w:tplc="92B0CC36" w:tentative="1">
      <w:start w:val="1"/>
      <w:numFmt w:val="bullet"/>
      <w:lvlText w:val="o"/>
      <w:lvlJc w:val="start"/>
      <w:pPr>
        <w:ind w:start="72pt" w:hanging="18pt"/>
      </w:pPr>
      <w:rPr>
        <w:rFonts w:ascii="Courier New" w:hAnsi="Courier New" w:cs="Courier New" w:hint="default"/>
      </w:rPr>
    </w:lvl>
    <w:lvl w:ilvl="2" w:tplc="CBA6490A" w:tentative="1">
      <w:start w:val="1"/>
      <w:numFmt w:val="bullet"/>
      <w:lvlText w:val=""/>
      <w:lvlJc w:val="start"/>
      <w:pPr>
        <w:ind w:start="108pt" w:hanging="18pt"/>
      </w:pPr>
      <w:rPr>
        <w:rFonts w:ascii="Wingdings" w:hAnsi="Wingdings" w:hint="default"/>
      </w:rPr>
    </w:lvl>
    <w:lvl w:ilvl="3" w:tplc="6D64FCA4" w:tentative="1">
      <w:start w:val="1"/>
      <w:numFmt w:val="bullet"/>
      <w:lvlText w:val=""/>
      <w:lvlJc w:val="start"/>
      <w:pPr>
        <w:ind w:start="144pt" w:hanging="18pt"/>
      </w:pPr>
      <w:rPr>
        <w:rFonts w:ascii="Symbol" w:hAnsi="Symbol" w:hint="default"/>
      </w:rPr>
    </w:lvl>
    <w:lvl w:ilvl="4" w:tplc="E79867BC" w:tentative="1">
      <w:start w:val="1"/>
      <w:numFmt w:val="bullet"/>
      <w:lvlText w:val="o"/>
      <w:lvlJc w:val="start"/>
      <w:pPr>
        <w:ind w:start="180pt" w:hanging="18pt"/>
      </w:pPr>
      <w:rPr>
        <w:rFonts w:ascii="Courier New" w:hAnsi="Courier New" w:cs="Courier New" w:hint="default"/>
      </w:rPr>
    </w:lvl>
    <w:lvl w:ilvl="5" w:tplc="0D40CCDC" w:tentative="1">
      <w:start w:val="1"/>
      <w:numFmt w:val="bullet"/>
      <w:lvlText w:val=""/>
      <w:lvlJc w:val="start"/>
      <w:pPr>
        <w:ind w:start="216pt" w:hanging="18pt"/>
      </w:pPr>
      <w:rPr>
        <w:rFonts w:ascii="Wingdings" w:hAnsi="Wingdings" w:hint="default"/>
      </w:rPr>
    </w:lvl>
    <w:lvl w:ilvl="6" w:tplc="94340EBE" w:tentative="1">
      <w:start w:val="1"/>
      <w:numFmt w:val="bullet"/>
      <w:lvlText w:val=""/>
      <w:lvlJc w:val="start"/>
      <w:pPr>
        <w:ind w:start="252pt" w:hanging="18pt"/>
      </w:pPr>
      <w:rPr>
        <w:rFonts w:ascii="Symbol" w:hAnsi="Symbol" w:hint="default"/>
      </w:rPr>
    </w:lvl>
    <w:lvl w:ilvl="7" w:tplc="088078D2" w:tentative="1">
      <w:start w:val="1"/>
      <w:numFmt w:val="bullet"/>
      <w:lvlText w:val="o"/>
      <w:lvlJc w:val="start"/>
      <w:pPr>
        <w:ind w:start="288pt" w:hanging="18pt"/>
      </w:pPr>
      <w:rPr>
        <w:rFonts w:ascii="Courier New" w:hAnsi="Courier New" w:cs="Courier New" w:hint="default"/>
      </w:rPr>
    </w:lvl>
    <w:lvl w:ilvl="8" w:tplc="7710245A" w:tentative="1">
      <w:start w:val="1"/>
      <w:numFmt w:val="bullet"/>
      <w:lvlText w:val=""/>
      <w:lvlJc w:val="start"/>
      <w:pPr>
        <w:ind w:start="324pt" w:hanging="18pt"/>
      </w:pPr>
      <w:rPr>
        <w:rFonts w:ascii="Wingdings" w:hAnsi="Wingdings" w:hint="default"/>
      </w:rPr>
    </w:lvl>
  </w:abstractNum>
  <w:abstractNum w:abstractNumId="201" w15:restartNumberingAfterBreak="0">
    <w:nsid w:val="60CC3264"/>
    <w:multiLevelType w:val="hybridMultilevel"/>
    <w:tmpl w:val="DA207B8A"/>
    <w:lvl w:ilvl="0" w:tplc="080A0001">
      <w:start w:val="1"/>
      <w:numFmt w:val="bullet"/>
      <w:lvlText w:val=""/>
      <w:lvlJc w:val="start"/>
      <w:pPr>
        <w:ind w:start="36pt" w:hanging="18pt"/>
      </w:pPr>
      <w:rPr>
        <w:rFonts w:ascii="Symbol" w:hAnsi="Symbol" w:hint="default"/>
      </w:rPr>
    </w:lvl>
    <w:lvl w:ilvl="1" w:tplc="080A0003" w:tentative="1">
      <w:start w:val="1"/>
      <w:numFmt w:val="bullet"/>
      <w:lvlText w:val="o"/>
      <w:lvlJc w:val="start"/>
      <w:pPr>
        <w:ind w:start="72pt" w:hanging="18pt"/>
      </w:pPr>
      <w:rPr>
        <w:rFonts w:ascii="Courier New" w:hAnsi="Courier New" w:cs="Courier New" w:hint="default"/>
      </w:rPr>
    </w:lvl>
    <w:lvl w:ilvl="2" w:tplc="080A0005" w:tentative="1">
      <w:start w:val="1"/>
      <w:numFmt w:val="bullet"/>
      <w:lvlText w:val=""/>
      <w:lvlJc w:val="start"/>
      <w:pPr>
        <w:ind w:start="108pt" w:hanging="18pt"/>
      </w:pPr>
      <w:rPr>
        <w:rFonts w:ascii="Wingdings" w:hAnsi="Wingdings" w:hint="default"/>
      </w:rPr>
    </w:lvl>
    <w:lvl w:ilvl="3" w:tplc="080A0001" w:tentative="1">
      <w:start w:val="1"/>
      <w:numFmt w:val="bullet"/>
      <w:lvlText w:val=""/>
      <w:lvlJc w:val="start"/>
      <w:pPr>
        <w:ind w:start="144pt" w:hanging="18pt"/>
      </w:pPr>
      <w:rPr>
        <w:rFonts w:ascii="Symbol" w:hAnsi="Symbol" w:hint="default"/>
      </w:rPr>
    </w:lvl>
    <w:lvl w:ilvl="4" w:tplc="080A0003" w:tentative="1">
      <w:start w:val="1"/>
      <w:numFmt w:val="bullet"/>
      <w:lvlText w:val="o"/>
      <w:lvlJc w:val="start"/>
      <w:pPr>
        <w:ind w:start="180pt" w:hanging="18pt"/>
      </w:pPr>
      <w:rPr>
        <w:rFonts w:ascii="Courier New" w:hAnsi="Courier New" w:cs="Courier New" w:hint="default"/>
      </w:rPr>
    </w:lvl>
    <w:lvl w:ilvl="5" w:tplc="080A0005" w:tentative="1">
      <w:start w:val="1"/>
      <w:numFmt w:val="bullet"/>
      <w:lvlText w:val=""/>
      <w:lvlJc w:val="start"/>
      <w:pPr>
        <w:ind w:start="216pt" w:hanging="18pt"/>
      </w:pPr>
      <w:rPr>
        <w:rFonts w:ascii="Wingdings" w:hAnsi="Wingdings" w:hint="default"/>
      </w:rPr>
    </w:lvl>
    <w:lvl w:ilvl="6" w:tplc="080A0001" w:tentative="1">
      <w:start w:val="1"/>
      <w:numFmt w:val="bullet"/>
      <w:lvlText w:val=""/>
      <w:lvlJc w:val="start"/>
      <w:pPr>
        <w:ind w:start="252pt" w:hanging="18pt"/>
      </w:pPr>
      <w:rPr>
        <w:rFonts w:ascii="Symbol" w:hAnsi="Symbol" w:hint="default"/>
      </w:rPr>
    </w:lvl>
    <w:lvl w:ilvl="7" w:tplc="080A0003" w:tentative="1">
      <w:start w:val="1"/>
      <w:numFmt w:val="bullet"/>
      <w:lvlText w:val="o"/>
      <w:lvlJc w:val="start"/>
      <w:pPr>
        <w:ind w:start="288pt" w:hanging="18pt"/>
      </w:pPr>
      <w:rPr>
        <w:rFonts w:ascii="Courier New" w:hAnsi="Courier New" w:cs="Courier New" w:hint="default"/>
      </w:rPr>
    </w:lvl>
    <w:lvl w:ilvl="8" w:tplc="080A0005" w:tentative="1">
      <w:start w:val="1"/>
      <w:numFmt w:val="bullet"/>
      <w:lvlText w:val=""/>
      <w:lvlJc w:val="start"/>
      <w:pPr>
        <w:ind w:start="324pt" w:hanging="18pt"/>
      </w:pPr>
      <w:rPr>
        <w:rFonts w:ascii="Wingdings" w:hAnsi="Wingdings" w:hint="default"/>
      </w:rPr>
    </w:lvl>
  </w:abstractNum>
  <w:abstractNum w:abstractNumId="202" w15:restartNumberingAfterBreak="0">
    <w:nsid w:val="61653933"/>
    <w:multiLevelType w:val="hybridMultilevel"/>
    <w:tmpl w:val="2402A812"/>
    <w:lvl w:ilvl="0" w:tplc="4BFA49DC">
      <w:start w:val="1"/>
      <w:numFmt w:val="bullet"/>
      <w:lvlText w:val=""/>
      <w:lvlJc w:val="start"/>
      <w:pPr>
        <w:ind w:start="36pt" w:hanging="18pt"/>
      </w:pPr>
      <w:rPr>
        <w:rFonts w:ascii="Symbol" w:hAnsi="Symbol" w:hint="default"/>
      </w:rPr>
    </w:lvl>
    <w:lvl w:ilvl="1" w:tplc="E488DF12" w:tentative="1">
      <w:start w:val="1"/>
      <w:numFmt w:val="bullet"/>
      <w:lvlText w:val="o"/>
      <w:lvlJc w:val="start"/>
      <w:pPr>
        <w:ind w:start="72pt" w:hanging="18pt"/>
      </w:pPr>
      <w:rPr>
        <w:rFonts w:ascii="Courier New" w:hAnsi="Courier New" w:cs="Courier New" w:hint="default"/>
      </w:rPr>
    </w:lvl>
    <w:lvl w:ilvl="2" w:tplc="2F38C41C" w:tentative="1">
      <w:start w:val="1"/>
      <w:numFmt w:val="bullet"/>
      <w:lvlText w:val=""/>
      <w:lvlJc w:val="start"/>
      <w:pPr>
        <w:ind w:start="108pt" w:hanging="18pt"/>
      </w:pPr>
      <w:rPr>
        <w:rFonts w:ascii="Wingdings" w:hAnsi="Wingdings" w:hint="default"/>
      </w:rPr>
    </w:lvl>
    <w:lvl w:ilvl="3" w:tplc="FBAE068E" w:tentative="1">
      <w:start w:val="1"/>
      <w:numFmt w:val="bullet"/>
      <w:lvlText w:val=""/>
      <w:lvlJc w:val="start"/>
      <w:pPr>
        <w:ind w:start="144pt" w:hanging="18pt"/>
      </w:pPr>
      <w:rPr>
        <w:rFonts w:ascii="Symbol" w:hAnsi="Symbol" w:hint="default"/>
      </w:rPr>
    </w:lvl>
    <w:lvl w:ilvl="4" w:tplc="E018A0EE" w:tentative="1">
      <w:start w:val="1"/>
      <w:numFmt w:val="bullet"/>
      <w:lvlText w:val="o"/>
      <w:lvlJc w:val="start"/>
      <w:pPr>
        <w:ind w:start="180pt" w:hanging="18pt"/>
      </w:pPr>
      <w:rPr>
        <w:rFonts w:ascii="Courier New" w:hAnsi="Courier New" w:cs="Courier New" w:hint="default"/>
      </w:rPr>
    </w:lvl>
    <w:lvl w:ilvl="5" w:tplc="3F6A372E" w:tentative="1">
      <w:start w:val="1"/>
      <w:numFmt w:val="bullet"/>
      <w:lvlText w:val=""/>
      <w:lvlJc w:val="start"/>
      <w:pPr>
        <w:ind w:start="216pt" w:hanging="18pt"/>
      </w:pPr>
      <w:rPr>
        <w:rFonts w:ascii="Wingdings" w:hAnsi="Wingdings" w:hint="default"/>
      </w:rPr>
    </w:lvl>
    <w:lvl w:ilvl="6" w:tplc="46F2081A" w:tentative="1">
      <w:start w:val="1"/>
      <w:numFmt w:val="bullet"/>
      <w:lvlText w:val=""/>
      <w:lvlJc w:val="start"/>
      <w:pPr>
        <w:ind w:start="252pt" w:hanging="18pt"/>
      </w:pPr>
      <w:rPr>
        <w:rFonts w:ascii="Symbol" w:hAnsi="Symbol" w:hint="default"/>
      </w:rPr>
    </w:lvl>
    <w:lvl w:ilvl="7" w:tplc="45401F54" w:tentative="1">
      <w:start w:val="1"/>
      <w:numFmt w:val="bullet"/>
      <w:lvlText w:val="o"/>
      <w:lvlJc w:val="start"/>
      <w:pPr>
        <w:ind w:start="288pt" w:hanging="18pt"/>
      </w:pPr>
      <w:rPr>
        <w:rFonts w:ascii="Courier New" w:hAnsi="Courier New" w:cs="Courier New" w:hint="default"/>
      </w:rPr>
    </w:lvl>
    <w:lvl w:ilvl="8" w:tplc="5EAC6448" w:tentative="1">
      <w:start w:val="1"/>
      <w:numFmt w:val="bullet"/>
      <w:lvlText w:val=""/>
      <w:lvlJc w:val="start"/>
      <w:pPr>
        <w:ind w:start="324pt" w:hanging="18pt"/>
      </w:pPr>
      <w:rPr>
        <w:rFonts w:ascii="Wingdings" w:hAnsi="Wingdings" w:hint="default"/>
      </w:rPr>
    </w:lvl>
  </w:abstractNum>
  <w:abstractNum w:abstractNumId="203" w15:restartNumberingAfterBreak="0">
    <w:nsid w:val="61A7136B"/>
    <w:multiLevelType w:val="hybridMultilevel"/>
    <w:tmpl w:val="3D26337E"/>
    <w:lvl w:ilvl="0" w:tplc="080A000D">
      <w:start w:val="1"/>
      <w:numFmt w:val="bullet"/>
      <w:lvlText w:val=""/>
      <w:lvlJc w:val="start"/>
      <w:pPr>
        <w:ind w:start="36pt" w:hanging="18pt"/>
      </w:pPr>
      <w:rPr>
        <w:rFonts w:ascii="Wingdings" w:hAnsi="Wingdings" w:hint="default"/>
      </w:rPr>
    </w:lvl>
    <w:lvl w:ilvl="1" w:tplc="080A0003">
      <w:start w:val="1"/>
      <w:numFmt w:val="bullet"/>
      <w:lvlText w:val="o"/>
      <w:lvlJc w:val="start"/>
      <w:pPr>
        <w:ind w:start="72pt" w:hanging="18pt"/>
      </w:pPr>
      <w:rPr>
        <w:rFonts w:ascii="Courier New" w:hAnsi="Courier New" w:cs="Courier New" w:hint="default"/>
      </w:rPr>
    </w:lvl>
    <w:lvl w:ilvl="2" w:tplc="080A0005">
      <w:start w:val="1"/>
      <w:numFmt w:val="bullet"/>
      <w:lvlText w:val=""/>
      <w:lvlJc w:val="start"/>
      <w:pPr>
        <w:ind w:start="108pt" w:hanging="18pt"/>
      </w:pPr>
      <w:rPr>
        <w:rFonts w:ascii="Wingdings" w:hAnsi="Wingdings" w:hint="default"/>
      </w:rPr>
    </w:lvl>
    <w:lvl w:ilvl="3" w:tplc="080A0001">
      <w:start w:val="1"/>
      <w:numFmt w:val="bullet"/>
      <w:lvlText w:val=""/>
      <w:lvlJc w:val="start"/>
      <w:pPr>
        <w:ind w:start="144pt" w:hanging="18pt"/>
      </w:pPr>
      <w:rPr>
        <w:rFonts w:ascii="Symbol" w:hAnsi="Symbol" w:hint="default"/>
      </w:rPr>
    </w:lvl>
    <w:lvl w:ilvl="4" w:tplc="080A0003">
      <w:start w:val="1"/>
      <w:numFmt w:val="bullet"/>
      <w:lvlText w:val="o"/>
      <w:lvlJc w:val="start"/>
      <w:pPr>
        <w:ind w:start="180pt" w:hanging="18pt"/>
      </w:pPr>
      <w:rPr>
        <w:rFonts w:ascii="Courier New" w:hAnsi="Courier New" w:cs="Courier New" w:hint="default"/>
      </w:rPr>
    </w:lvl>
    <w:lvl w:ilvl="5" w:tplc="080A0005">
      <w:start w:val="1"/>
      <w:numFmt w:val="bullet"/>
      <w:lvlText w:val=""/>
      <w:lvlJc w:val="start"/>
      <w:pPr>
        <w:ind w:start="216pt" w:hanging="18pt"/>
      </w:pPr>
      <w:rPr>
        <w:rFonts w:ascii="Wingdings" w:hAnsi="Wingdings" w:hint="default"/>
      </w:rPr>
    </w:lvl>
    <w:lvl w:ilvl="6" w:tplc="080A0001">
      <w:start w:val="1"/>
      <w:numFmt w:val="bullet"/>
      <w:lvlText w:val=""/>
      <w:lvlJc w:val="start"/>
      <w:pPr>
        <w:ind w:start="252pt" w:hanging="18pt"/>
      </w:pPr>
      <w:rPr>
        <w:rFonts w:ascii="Symbol" w:hAnsi="Symbol" w:hint="default"/>
      </w:rPr>
    </w:lvl>
    <w:lvl w:ilvl="7" w:tplc="080A0003">
      <w:start w:val="1"/>
      <w:numFmt w:val="bullet"/>
      <w:lvlText w:val="o"/>
      <w:lvlJc w:val="start"/>
      <w:pPr>
        <w:ind w:start="288pt" w:hanging="18pt"/>
      </w:pPr>
      <w:rPr>
        <w:rFonts w:ascii="Courier New" w:hAnsi="Courier New" w:cs="Courier New" w:hint="default"/>
      </w:rPr>
    </w:lvl>
    <w:lvl w:ilvl="8" w:tplc="080A0005">
      <w:start w:val="1"/>
      <w:numFmt w:val="bullet"/>
      <w:lvlText w:val=""/>
      <w:lvlJc w:val="start"/>
      <w:pPr>
        <w:ind w:start="324pt" w:hanging="18pt"/>
      </w:pPr>
      <w:rPr>
        <w:rFonts w:ascii="Wingdings" w:hAnsi="Wingdings" w:hint="default"/>
      </w:rPr>
    </w:lvl>
  </w:abstractNum>
  <w:abstractNum w:abstractNumId="204" w15:restartNumberingAfterBreak="0">
    <w:nsid w:val="61F95196"/>
    <w:multiLevelType w:val="hybridMultilevel"/>
    <w:tmpl w:val="804AFED0"/>
    <w:lvl w:ilvl="0" w:tplc="080A0001">
      <w:start w:val="1"/>
      <w:numFmt w:val="bullet"/>
      <w:lvlText w:val=""/>
      <w:lvlJc w:val="start"/>
      <w:pPr>
        <w:ind w:start="36pt" w:hanging="18pt"/>
      </w:pPr>
      <w:rPr>
        <w:rFonts w:ascii="Symbol" w:hAnsi="Symbol" w:hint="default"/>
      </w:rPr>
    </w:lvl>
    <w:lvl w:ilvl="1" w:tplc="080A0003" w:tentative="1">
      <w:start w:val="1"/>
      <w:numFmt w:val="bullet"/>
      <w:lvlText w:val="o"/>
      <w:lvlJc w:val="start"/>
      <w:pPr>
        <w:ind w:start="72pt" w:hanging="18pt"/>
      </w:pPr>
      <w:rPr>
        <w:rFonts w:ascii="Courier New" w:hAnsi="Courier New" w:cs="Courier New" w:hint="default"/>
      </w:rPr>
    </w:lvl>
    <w:lvl w:ilvl="2" w:tplc="080A0005" w:tentative="1">
      <w:start w:val="1"/>
      <w:numFmt w:val="bullet"/>
      <w:lvlText w:val=""/>
      <w:lvlJc w:val="start"/>
      <w:pPr>
        <w:ind w:start="108pt" w:hanging="18pt"/>
      </w:pPr>
      <w:rPr>
        <w:rFonts w:ascii="Wingdings" w:hAnsi="Wingdings" w:hint="default"/>
      </w:rPr>
    </w:lvl>
    <w:lvl w:ilvl="3" w:tplc="080A0001" w:tentative="1">
      <w:start w:val="1"/>
      <w:numFmt w:val="bullet"/>
      <w:lvlText w:val=""/>
      <w:lvlJc w:val="start"/>
      <w:pPr>
        <w:ind w:start="144pt" w:hanging="18pt"/>
      </w:pPr>
      <w:rPr>
        <w:rFonts w:ascii="Symbol" w:hAnsi="Symbol" w:hint="default"/>
      </w:rPr>
    </w:lvl>
    <w:lvl w:ilvl="4" w:tplc="080A0003" w:tentative="1">
      <w:start w:val="1"/>
      <w:numFmt w:val="bullet"/>
      <w:lvlText w:val="o"/>
      <w:lvlJc w:val="start"/>
      <w:pPr>
        <w:ind w:start="180pt" w:hanging="18pt"/>
      </w:pPr>
      <w:rPr>
        <w:rFonts w:ascii="Courier New" w:hAnsi="Courier New" w:cs="Courier New" w:hint="default"/>
      </w:rPr>
    </w:lvl>
    <w:lvl w:ilvl="5" w:tplc="080A0005" w:tentative="1">
      <w:start w:val="1"/>
      <w:numFmt w:val="bullet"/>
      <w:lvlText w:val=""/>
      <w:lvlJc w:val="start"/>
      <w:pPr>
        <w:ind w:start="216pt" w:hanging="18pt"/>
      </w:pPr>
      <w:rPr>
        <w:rFonts w:ascii="Wingdings" w:hAnsi="Wingdings" w:hint="default"/>
      </w:rPr>
    </w:lvl>
    <w:lvl w:ilvl="6" w:tplc="080A0001" w:tentative="1">
      <w:start w:val="1"/>
      <w:numFmt w:val="bullet"/>
      <w:lvlText w:val=""/>
      <w:lvlJc w:val="start"/>
      <w:pPr>
        <w:ind w:start="252pt" w:hanging="18pt"/>
      </w:pPr>
      <w:rPr>
        <w:rFonts w:ascii="Symbol" w:hAnsi="Symbol" w:hint="default"/>
      </w:rPr>
    </w:lvl>
    <w:lvl w:ilvl="7" w:tplc="080A0003" w:tentative="1">
      <w:start w:val="1"/>
      <w:numFmt w:val="bullet"/>
      <w:lvlText w:val="o"/>
      <w:lvlJc w:val="start"/>
      <w:pPr>
        <w:ind w:start="288pt" w:hanging="18pt"/>
      </w:pPr>
      <w:rPr>
        <w:rFonts w:ascii="Courier New" w:hAnsi="Courier New" w:cs="Courier New" w:hint="default"/>
      </w:rPr>
    </w:lvl>
    <w:lvl w:ilvl="8" w:tplc="080A0005" w:tentative="1">
      <w:start w:val="1"/>
      <w:numFmt w:val="bullet"/>
      <w:lvlText w:val=""/>
      <w:lvlJc w:val="start"/>
      <w:pPr>
        <w:ind w:start="324pt" w:hanging="18pt"/>
      </w:pPr>
      <w:rPr>
        <w:rFonts w:ascii="Wingdings" w:hAnsi="Wingdings" w:hint="default"/>
      </w:rPr>
    </w:lvl>
  </w:abstractNum>
  <w:abstractNum w:abstractNumId="205" w15:restartNumberingAfterBreak="0">
    <w:nsid w:val="620115CB"/>
    <w:multiLevelType w:val="hybridMultilevel"/>
    <w:tmpl w:val="97AABA28"/>
    <w:lvl w:ilvl="0" w:tplc="006EF43C">
      <w:start w:val="1"/>
      <w:numFmt w:val="bullet"/>
      <w:lvlText w:val=""/>
      <w:lvlJc w:val="start"/>
      <w:pPr>
        <w:ind w:start="53.85pt" w:hanging="18pt"/>
      </w:pPr>
      <w:rPr>
        <w:rFonts w:ascii="Symbol" w:hAnsi="Symbol" w:hint="default"/>
      </w:rPr>
    </w:lvl>
    <w:lvl w:ilvl="1" w:tplc="4AA4ECFC">
      <w:start w:val="1"/>
      <w:numFmt w:val="bullet"/>
      <w:lvlText w:val="o"/>
      <w:lvlJc w:val="start"/>
      <w:pPr>
        <w:ind w:start="89.85pt" w:hanging="18pt"/>
      </w:pPr>
      <w:rPr>
        <w:rFonts w:ascii="Courier New" w:hAnsi="Courier New" w:cs="Courier New" w:hint="default"/>
      </w:rPr>
    </w:lvl>
    <w:lvl w:ilvl="2" w:tplc="0C78CC34">
      <w:start w:val="1"/>
      <w:numFmt w:val="bullet"/>
      <w:lvlText w:val=""/>
      <w:lvlJc w:val="start"/>
      <w:pPr>
        <w:ind w:start="125.85pt" w:hanging="18pt"/>
      </w:pPr>
      <w:rPr>
        <w:rFonts w:ascii="Wingdings" w:hAnsi="Wingdings" w:hint="default"/>
      </w:rPr>
    </w:lvl>
    <w:lvl w:ilvl="3" w:tplc="9768DA52">
      <w:start w:val="1"/>
      <w:numFmt w:val="bullet"/>
      <w:lvlText w:val=""/>
      <w:lvlJc w:val="start"/>
      <w:pPr>
        <w:ind w:start="161.85pt" w:hanging="18pt"/>
      </w:pPr>
      <w:rPr>
        <w:rFonts w:ascii="Symbol" w:hAnsi="Symbol" w:hint="default"/>
      </w:rPr>
    </w:lvl>
    <w:lvl w:ilvl="4" w:tplc="FB8A7358">
      <w:start w:val="1"/>
      <w:numFmt w:val="bullet"/>
      <w:lvlText w:val="o"/>
      <w:lvlJc w:val="start"/>
      <w:pPr>
        <w:ind w:start="197.85pt" w:hanging="18pt"/>
      </w:pPr>
      <w:rPr>
        <w:rFonts w:ascii="Courier New" w:hAnsi="Courier New" w:cs="Courier New" w:hint="default"/>
      </w:rPr>
    </w:lvl>
    <w:lvl w:ilvl="5" w:tplc="96025200">
      <w:start w:val="1"/>
      <w:numFmt w:val="bullet"/>
      <w:lvlText w:val=""/>
      <w:lvlJc w:val="start"/>
      <w:pPr>
        <w:ind w:start="233.85pt" w:hanging="18pt"/>
      </w:pPr>
      <w:rPr>
        <w:rFonts w:ascii="Wingdings" w:hAnsi="Wingdings" w:hint="default"/>
      </w:rPr>
    </w:lvl>
    <w:lvl w:ilvl="6" w:tplc="372A9BA4">
      <w:start w:val="1"/>
      <w:numFmt w:val="bullet"/>
      <w:lvlText w:val=""/>
      <w:lvlJc w:val="start"/>
      <w:pPr>
        <w:ind w:start="269.85pt" w:hanging="18pt"/>
      </w:pPr>
      <w:rPr>
        <w:rFonts w:ascii="Symbol" w:hAnsi="Symbol" w:hint="default"/>
      </w:rPr>
    </w:lvl>
    <w:lvl w:ilvl="7" w:tplc="7FCA00EA">
      <w:start w:val="1"/>
      <w:numFmt w:val="bullet"/>
      <w:lvlText w:val="o"/>
      <w:lvlJc w:val="start"/>
      <w:pPr>
        <w:ind w:start="305.85pt" w:hanging="18pt"/>
      </w:pPr>
      <w:rPr>
        <w:rFonts w:ascii="Courier New" w:hAnsi="Courier New" w:cs="Courier New" w:hint="default"/>
      </w:rPr>
    </w:lvl>
    <w:lvl w:ilvl="8" w:tplc="7DC20D22">
      <w:start w:val="1"/>
      <w:numFmt w:val="bullet"/>
      <w:lvlText w:val=""/>
      <w:lvlJc w:val="start"/>
      <w:pPr>
        <w:ind w:start="341.85pt" w:hanging="18pt"/>
      </w:pPr>
      <w:rPr>
        <w:rFonts w:ascii="Wingdings" w:hAnsi="Wingdings" w:hint="default"/>
      </w:rPr>
    </w:lvl>
  </w:abstractNum>
  <w:abstractNum w:abstractNumId="206" w15:restartNumberingAfterBreak="0">
    <w:nsid w:val="64502EB7"/>
    <w:multiLevelType w:val="hybridMultilevel"/>
    <w:tmpl w:val="A4363F14"/>
    <w:lvl w:ilvl="0" w:tplc="6C8210E0">
      <w:start w:val="1"/>
      <w:numFmt w:val="bullet"/>
      <w:lvlText w:val=""/>
      <w:lvlJc w:val="start"/>
      <w:pPr>
        <w:ind w:start="37.70pt" w:hanging="18pt"/>
      </w:pPr>
      <w:rPr>
        <w:rFonts w:ascii="Wingdings" w:hAnsi="Wingdings" w:hint="default"/>
      </w:rPr>
    </w:lvl>
    <w:lvl w:ilvl="1" w:tplc="C2BE9184">
      <w:start w:val="1"/>
      <w:numFmt w:val="bullet"/>
      <w:lvlText w:val="o"/>
      <w:lvlJc w:val="start"/>
      <w:pPr>
        <w:ind w:start="73.70pt" w:hanging="18pt"/>
      </w:pPr>
      <w:rPr>
        <w:rFonts w:ascii="Courier New" w:hAnsi="Courier New" w:cs="Courier New" w:hint="default"/>
      </w:rPr>
    </w:lvl>
    <w:lvl w:ilvl="2" w:tplc="10E449AC">
      <w:start w:val="1"/>
      <w:numFmt w:val="bullet"/>
      <w:lvlText w:val=""/>
      <w:lvlJc w:val="start"/>
      <w:pPr>
        <w:ind w:start="109.70pt" w:hanging="18pt"/>
      </w:pPr>
      <w:rPr>
        <w:rFonts w:ascii="Wingdings" w:hAnsi="Wingdings" w:hint="default"/>
      </w:rPr>
    </w:lvl>
    <w:lvl w:ilvl="3" w:tplc="D49CE8DC">
      <w:start w:val="1"/>
      <w:numFmt w:val="bullet"/>
      <w:lvlText w:val=""/>
      <w:lvlJc w:val="start"/>
      <w:pPr>
        <w:ind w:start="145.65pt" w:hanging="18pt"/>
      </w:pPr>
      <w:rPr>
        <w:rFonts w:ascii="Symbol" w:hAnsi="Symbol" w:hint="default"/>
      </w:rPr>
    </w:lvl>
    <w:lvl w:ilvl="4" w:tplc="0256F0BE">
      <w:start w:val="1"/>
      <w:numFmt w:val="bullet"/>
      <w:lvlText w:val="o"/>
      <w:lvlJc w:val="start"/>
      <w:pPr>
        <w:ind w:start="181.70pt" w:hanging="18pt"/>
      </w:pPr>
      <w:rPr>
        <w:rFonts w:ascii="Courier New" w:hAnsi="Courier New" w:cs="Courier New" w:hint="default"/>
      </w:rPr>
    </w:lvl>
    <w:lvl w:ilvl="5" w:tplc="280CDB2A">
      <w:start w:val="1"/>
      <w:numFmt w:val="bullet"/>
      <w:lvlText w:val=""/>
      <w:lvlJc w:val="start"/>
      <w:pPr>
        <w:ind w:start="217.70pt" w:hanging="18pt"/>
      </w:pPr>
      <w:rPr>
        <w:rFonts w:ascii="Wingdings" w:hAnsi="Wingdings" w:hint="default"/>
      </w:rPr>
    </w:lvl>
    <w:lvl w:ilvl="6" w:tplc="5F28F5A8">
      <w:start w:val="1"/>
      <w:numFmt w:val="bullet"/>
      <w:lvlText w:val=""/>
      <w:lvlJc w:val="start"/>
      <w:pPr>
        <w:ind w:start="253.70pt" w:hanging="18pt"/>
      </w:pPr>
      <w:rPr>
        <w:rFonts w:ascii="Symbol" w:hAnsi="Symbol" w:hint="default"/>
      </w:rPr>
    </w:lvl>
    <w:lvl w:ilvl="7" w:tplc="FA0E9920">
      <w:start w:val="1"/>
      <w:numFmt w:val="bullet"/>
      <w:lvlText w:val="o"/>
      <w:lvlJc w:val="start"/>
      <w:pPr>
        <w:ind w:start="289.70pt" w:hanging="18pt"/>
      </w:pPr>
      <w:rPr>
        <w:rFonts w:ascii="Courier New" w:hAnsi="Courier New" w:cs="Courier New" w:hint="default"/>
      </w:rPr>
    </w:lvl>
    <w:lvl w:ilvl="8" w:tplc="CBAC2A34">
      <w:start w:val="1"/>
      <w:numFmt w:val="bullet"/>
      <w:lvlText w:val=""/>
      <w:lvlJc w:val="start"/>
      <w:pPr>
        <w:ind w:start="325.70pt" w:hanging="18pt"/>
      </w:pPr>
      <w:rPr>
        <w:rFonts w:ascii="Wingdings" w:hAnsi="Wingdings" w:hint="default"/>
      </w:rPr>
    </w:lvl>
  </w:abstractNum>
  <w:abstractNum w:abstractNumId="207" w15:restartNumberingAfterBreak="0">
    <w:nsid w:val="64E43EA3"/>
    <w:multiLevelType w:val="hybridMultilevel"/>
    <w:tmpl w:val="240E9C5A"/>
    <w:lvl w:ilvl="0" w:tplc="DAAEDB16">
      <w:start w:val="1"/>
      <w:numFmt w:val="decimal"/>
      <w:pStyle w:val="EstiloRequeridoIzquierda063cmPrimeralnea0cm"/>
      <w:lvlText w:val="R(%1) "/>
      <w:lvlJc w:val="start"/>
      <w:pPr>
        <w:tabs>
          <w:tab w:val="num" w:pos="31.65pt"/>
        </w:tabs>
        <w:ind w:start="25.10pt" w:hanging="18pt"/>
      </w:pPr>
      <w:rPr>
        <w:rFonts w:ascii="Arial" w:hAnsi="Arial" w:cs="Times New Roman" w:hint="default"/>
        <w:b/>
        <w:bCs w:val="0"/>
        <w:i w:val="0"/>
        <w:iCs w:val="0"/>
        <w:caps w:val="0"/>
        <w:smallCaps w:val="0"/>
        <w:strike w:val="0"/>
        <w:dstrike w:val="0"/>
        <w:snapToGrid w:val="0"/>
        <w:vanish w:val="0"/>
        <w:color w:val="000000"/>
        <w:spacing w:val="0"/>
        <w:w w:val="0%"/>
        <w:kern w:val="0"/>
        <w:position w:val="0"/>
        <w:sz w:val="20"/>
        <w:szCs w:val="20"/>
        <w:u w:val="none"/>
        <w:vertAlign w:val="baseline"/>
      </w:rPr>
    </w:lvl>
    <w:lvl w:ilvl="1" w:tplc="831AF198">
      <w:start w:val="1"/>
      <w:numFmt w:val="bullet"/>
      <w:lvlText w:val=""/>
      <w:lvlJc w:val="start"/>
      <w:pPr>
        <w:tabs>
          <w:tab w:val="num" w:pos="82.30pt"/>
        </w:tabs>
        <w:ind w:start="82.30pt" w:hanging="18pt"/>
      </w:pPr>
      <w:rPr>
        <w:rFonts w:ascii="Symbol" w:hAnsi="Symbol" w:hint="default"/>
        <w:b/>
        <w:i w:val="0"/>
        <w:sz w:val="20"/>
      </w:rPr>
    </w:lvl>
    <w:lvl w:ilvl="2" w:tplc="D6AAB014">
      <w:numFmt w:val="bullet"/>
      <w:lvlText w:val="-"/>
      <w:lvlJc w:val="start"/>
      <w:pPr>
        <w:tabs>
          <w:tab w:val="num" w:pos="144.55pt"/>
        </w:tabs>
        <w:ind w:start="144.55pt" w:hanging="35.25pt"/>
      </w:pPr>
      <w:rPr>
        <w:rFonts w:ascii="Arial" w:eastAsia="Times New Roman" w:hAnsi="Arial" w:hint="default"/>
      </w:rPr>
    </w:lvl>
    <w:lvl w:ilvl="3" w:tplc="779ABCCE">
      <w:start w:val="16"/>
      <w:numFmt w:val="upperLetter"/>
      <w:lvlText w:val="%4-"/>
      <w:lvlJc w:val="start"/>
      <w:pPr>
        <w:tabs>
          <w:tab w:val="num" w:pos="158.05pt"/>
        </w:tabs>
        <w:ind w:start="158.05pt" w:hanging="21.75pt"/>
      </w:pPr>
      <w:rPr>
        <w:rFonts w:cs="Times New Roman" w:hint="default"/>
        <w:b w:val="0"/>
      </w:rPr>
    </w:lvl>
    <w:lvl w:ilvl="4" w:tplc="D67262F4" w:tentative="1">
      <w:start w:val="1"/>
      <w:numFmt w:val="lowerLetter"/>
      <w:lvlText w:val="%5."/>
      <w:lvlJc w:val="start"/>
      <w:pPr>
        <w:tabs>
          <w:tab w:val="num" w:pos="190.30pt"/>
        </w:tabs>
        <w:ind w:start="190.30pt" w:hanging="18pt"/>
      </w:pPr>
      <w:rPr>
        <w:rFonts w:cs="Times New Roman"/>
      </w:rPr>
    </w:lvl>
    <w:lvl w:ilvl="5" w:tplc="93046960" w:tentative="1">
      <w:start w:val="1"/>
      <w:numFmt w:val="lowerRoman"/>
      <w:lvlText w:val="%6."/>
      <w:lvlJc w:val="end"/>
      <w:pPr>
        <w:tabs>
          <w:tab w:val="num" w:pos="226.30pt"/>
        </w:tabs>
        <w:ind w:start="226.30pt" w:hanging="9pt"/>
      </w:pPr>
      <w:rPr>
        <w:rFonts w:cs="Times New Roman"/>
      </w:rPr>
    </w:lvl>
    <w:lvl w:ilvl="6" w:tplc="193EE8E0" w:tentative="1">
      <w:start w:val="1"/>
      <w:numFmt w:val="decimal"/>
      <w:lvlText w:val="%7."/>
      <w:lvlJc w:val="start"/>
      <w:pPr>
        <w:tabs>
          <w:tab w:val="num" w:pos="262.30pt"/>
        </w:tabs>
        <w:ind w:start="262.30pt" w:hanging="18pt"/>
      </w:pPr>
      <w:rPr>
        <w:rFonts w:cs="Times New Roman"/>
      </w:rPr>
    </w:lvl>
    <w:lvl w:ilvl="7" w:tplc="55807BCC" w:tentative="1">
      <w:start w:val="1"/>
      <w:numFmt w:val="lowerLetter"/>
      <w:lvlText w:val="%8."/>
      <w:lvlJc w:val="start"/>
      <w:pPr>
        <w:tabs>
          <w:tab w:val="num" w:pos="298.30pt"/>
        </w:tabs>
        <w:ind w:start="298.30pt" w:hanging="18pt"/>
      </w:pPr>
      <w:rPr>
        <w:rFonts w:cs="Times New Roman"/>
      </w:rPr>
    </w:lvl>
    <w:lvl w:ilvl="8" w:tplc="DAC6921E" w:tentative="1">
      <w:start w:val="1"/>
      <w:numFmt w:val="lowerRoman"/>
      <w:lvlText w:val="%9."/>
      <w:lvlJc w:val="end"/>
      <w:pPr>
        <w:tabs>
          <w:tab w:val="num" w:pos="334.30pt"/>
        </w:tabs>
        <w:ind w:start="334.30pt" w:hanging="9pt"/>
      </w:pPr>
      <w:rPr>
        <w:rFonts w:cs="Times New Roman"/>
      </w:rPr>
    </w:lvl>
  </w:abstractNum>
  <w:abstractNum w:abstractNumId="208" w15:restartNumberingAfterBreak="0">
    <w:nsid w:val="6584356C"/>
    <w:multiLevelType w:val="hybridMultilevel"/>
    <w:tmpl w:val="64767042"/>
    <w:lvl w:ilvl="0" w:tplc="C1FA29BC">
      <w:start w:val="1"/>
      <w:numFmt w:val="bullet"/>
      <w:lvlText w:val=""/>
      <w:lvlJc w:val="start"/>
      <w:pPr>
        <w:ind w:start="36pt" w:hanging="18pt"/>
      </w:pPr>
      <w:rPr>
        <w:rFonts w:ascii="Symbol" w:hAnsi="Symbol" w:hint="default"/>
      </w:rPr>
    </w:lvl>
    <w:lvl w:ilvl="1" w:tplc="7A708906" w:tentative="1">
      <w:start w:val="1"/>
      <w:numFmt w:val="bullet"/>
      <w:lvlText w:val="o"/>
      <w:lvlJc w:val="start"/>
      <w:pPr>
        <w:ind w:start="72pt" w:hanging="18pt"/>
      </w:pPr>
      <w:rPr>
        <w:rFonts w:ascii="Courier New" w:hAnsi="Courier New" w:cs="Courier New" w:hint="default"/>
      </w:rPr>
    </w:lvl>
    <w:lvl w:ilvl="2" w:tplc="4E3E28E4" w:tentative="1">
      <w:start w:val="1"/>
      <w:numFmt w:val="bullet"/>
      <w:lvlText w:val=""/>
      <w:lvlJc w:val="start"/>
      <w:pPr>
        <w:ind w:start="108pt" w:hanging="18pt"/>
      </w:pPr>
      <w:rPr>
        <w:rFonts w:ascii="Wingdings" w:hAnsi="Wingdings" w:hint="default"/>
      </w:rPr>
    </w:lvl>
    <w:lvl w:ilvl="3" w:tplc="39E8D0CA" w:tentative="1">
      <w:start w:val="1"/>
      <w:numFmt w:val="bullet"/>
      <w:lvlText w:val=""/>
      <w:lvlJc w:val="start"/>
      <w:pPr>
        <w:ind w:start="144pt" w:hanging="18pt"/>
      </w:pPr>
      <w:rPr>
        <w:rFonts w:ascii="Symbol" w:hAnsi="Symbol" w:hint="default"/>
      </w:rPr>
    </w:lvl>
    <w:lvl w:ilvl="4" w:tplc="7868AB58" w:tentative="1">
      <w:start w:val="1"/>
      <w:numFmt w:val="bullet"/>
      <w:lvlText w:val="o"/>
      <w:lvlJc w:val="start"/>
      <w:pPr>
        <w:ind w:start="180pt" w:hanging="18pt"/>
      </w:pPr>
      <w:rPr>
        <w:rFonts w:ascii="Courier New" w:hAnsi="Courier New" w:cs="Courier New" w:hint="default"/>
      </w:rPr>
    </w:lvl>
    <w:lvl w:ilvl="5" w:tplc="F2A8B432" w:tentative="1">
      <w:start w:val="1"/>
      <w:numFmt w:val="bullet"/>
      <w:lvlText w:val=""/>
      <w:lvlJc w:val="start"/>
      <w:pPr>
        <w:ind w:start="216pt" w:hanging="18pt"/>
      </w:pPr>
      <w:rPr>
        <w:rFonts w:ascii="Wingdings" w:hAnsi="Wingdings" w:hint="default"/>
      </w:rPr>
    </w:lvl>
    <w:lvl w:ilvl="6" w:tplc="526C5D5C" w:tentative="1">
      <w:start w:val="1"/>
      <w:numFmt w:val="bullet"/>
      <w:lvlText w:val=""/>
      <w:lvlJc w:val="start"/>
      <w:pPr>
        <w:ind w:start="252pt" w:hanging="18pt"/>
      </w:pPr>
      <w:rPr>
        <w:rFonts w:ascii="Symbol" w:hAnsi="Symbol" w:hint="default"/>
      </w:rPr>
    </w:lvl>
    <w:lvl w:ilvl="7" w:tplc="037874AE" w:tentative="1">
      <w:start w:val="1"/>
      <w:numFmt w:val="bullet"/>
      <w:lvlText w:val="o"/>
      <w:lvlJc w:val="start"/>
      <w:pPr>
        <w:ind w:start="288pt" w:hanging="18pt"/>
      </w:pPr>
      <w:rPr>
        <w:rFonts w:ascii="Courier New" w:hAnsi="Courier New" w:cs="Courier New" w:hint="default"/>
      </w:rPr>
    </w:lvl>
    <w:lvl w:ilvl="8" w:tplc="CC5681CC" w:tentative="1">
      <w:start w:val="1"/>
      <w:numFmt w:val="bullet"/>
      <w:lvlText w:val=""/>
      <w:lvlJc w:val="start"/>
      <w:pPr>
        <w:ind w:start="324pt" w:hanging="18pt"/>
      </w:pPr>
      <w:rPr>
        <w:rFonts w:ascii="Wingdings" w:hAnsi="Wingdings" w:hint="default"/>
      </w:rPr>
    </w:lvl>
  </w:abstractNum>
  <w:abstractNum w:abstractNumId="209" w15:restartNumberingAfterBreak="0">
    <w:nsid w:val="65D615D4"/>
    <w:multiLevelType w:val="hybridMultilevel"/>
    <w:tmpl w:val="1A2C736C"/>
    <w:lvl w:ilvl="0" w:tplc="13120368">
      <w:start w:val="1"/>
      <w:numFmt w:val="bullet"/>
      <w:lvlText w:val=""/>
      <w:lvlJc w:val="start"/>
      <w:pPr>
        <w:ind w:start="36pt" w:hanging="18pt"/>
      </w:pPr>
      <w:rPr>
        <w:rFonts w:ascii="Symbol" w:hAnsi="Symbol" w:hint="default"/>
      </w:rPr>
    </w:lvl>
    <w:lvl w:ilvl="1" w:tplc="222E9AB4" w:tentative="1">
      <w:start w:val="1"/>
      <w:numFmt w:val="bullet"/>
      <w:lvlText w:val="o"/>
      <w:lvlJc w:val="start"/>
      <w:pPr>
        <w:ind w:start="72pt" w:hanging="18pt"/>
      </w:pPr>
      <w:rPr>
        <w:rFonts w:ascii="Courier New" w:hAnsi="Courier New" w:cs="Courier New" w:hint="default"/>
      </w:rPr>
    </w:lvl>
    <w:lvl w:ilvl="2" w:tplc="7784945C" w:tentative="1">
      <w:start w:val="1"/>
      <w:numFmt w:val="bullet"/>
      <w:lvlText w:val=""/>
      <w:lvlJc w:val="start"/>
      <w:pPr>
        <w:ind w:start="108pt" w:hanging="18pt"/>
      </w:pPr>
      <w:rPr>
        <w:rFonts w:ascii="Wingdings" w:hAnsi="Wingdings" w:hint="default"/>
      </w:rPr>
    </w:lvl>
    <w:lvl w:ilvl="3" w:tplc="2CF6552E" w:tentative="1">
      <w:start w:val="1"/>
      <w:numFmt w:val="bullet"/>
      <w:lvlText w:val=""/>
      <w:lvlJc w:val="start"/>
      <w:pPr>
        <w:ind w:start="144pt" w:hanging="18pt"/>
      </w:pPr>
      <w:rPr>
        <w:rFonts w:ascii="Symbol" w:hAnsi="Symbol" w:hint="default"/>
      </w:rPr>
    </w:lvl>
    <w:lvl w:ilvl="4" w:tplc="2314299C" w:tentative="1">
      <w:start w:val="1"/>
      <w:numFmt w:val="bullet"/>
      <w:lvlText w:val="o"/>
      <w:lvlJc w:val="start"/>
      <w:pPr>
        <w:ind w:start="180pt" w:hanging="18pt"/>
      </w:pPr>
      <w:rPr>
        <w:rFonts w:ascii="Courier New" w:hAnsi="Courier New" w:cs="Courier New" w:hint="default"/>
      </w:rPr>
    </w:lvl>
    <w:lvl w:ilvl="5" w:tplc="AC4EC79A" w:tentative="1">
      <w:start w:val="1"/>
      <w:numFmt w:val="bullet"/>
      <w:lvlText w:val=""/>
      <w:lvlJc w:val="start"/>
      <w:pPr>
        <w:ind w:start="216pt" w:hanging="18pt"/>
      </w:pPr>
      <w:rPr>
        <w:rFonts w:ascii="Wingdings" w:hAnsi="Wingdings" w:hint="default"/>
      </w:rPr>
    </w:lvl>
    <w:lvl w:ilvl="6" w:tplc="049AFC90" w:tentative="1">
      <w:start w:val="1"/>
      <w:numFmt w:val="bullet"/>
      <w:lvlText w:val=""/>
      <w:lvlJc w:val="start"/>
      <w:pPr>
        <w:ind w:start="252pt" w:hanging="18pt"/>
      </w:pPr>
      <w:rPr>
        <w:rFonts w:ascii="Symbol" w:hAnsi="Symbol" w:hint="default"/>
      </w:rPr>
    </w:lvl>
    <w:lvl w:ilvl="7" w:tplc="C722E90C" w:tentative="1">
      <w:start w:val="1"/>
      <w:numFmt w:val="bullet"/>
      <w:lvlText w:val="o"/>
      <w:lvlJc w:val="start"/>
      <w:pPr>
        <w:ind w:start="288pt" w:hanging="18pt"/>
      </w:pPr>
      <w:rPr>
        <w:rFonts w:ascii="Courier New" w:hAnsi="Courier New" w:cs="Courier New" w:hint="default"/>
      </w:rPr>
    </w:lvl>
    <w:lvl w:ilvl="8" w:tplc="2DD83294" w:tentative="1">
      <w:start w:val="1"/>
      <w:numFmt w:val="bullet"/>
      <w:lvlText w:val=""/>
      <w:lvlJc w:val="start"/>
      <w:pPr>
        <w:ind w:start="324pt" w:hanging="18pt"/>
      </w:pPr>
      <w:rPr>
        <w:rFonts w:ascii="Wingdings" w:hAnsi="Wingdings" w:hint="default"/>
      </w:rPr>
    </w:lvl>
  </w:abstractNum>
  <w:abstractNum w:abstractNumId="210" w15:restartNumberingAfterBreak="0">
    <w:nsid w:val="66692464"/>
    <w:multiLevelType w:val="hybridMultilevel"/>
    <w:tmpl w:val="7682EEF0"/>
    <w:lvl w:ilvl="0" w:tplc="080A000D">
      <w:start w:val="1"/>
      <w:numFmt w:val="bullet"/>
      <w:lvlText w:val=""/>
      <w:lvlJc w:val="start"/>
      <w:pPr>
        <w:ind w:start="36pt" w:hanging="18pt"/>
      </w:pPr>
      <w:rPr>
        <w:rFonts w:ascii="Wingdings" w:hAnsi="Wingdings" w:hint="default"/>
      </w:rPr>
    </w:lvl>
    <w:lvl w:ilvl="1" w:tplc="080A0003">
      <w:start w:val="1"/>
      <w:numFmt w:val="bullet"/>
      <w:lvlText w:val="o"/>
      <w:lvlJc w:val="start"/>
      <w:pPr>
        <w:ind w:start="72pt" w:hanging="18pt"/>
      </w:pPr>
      <w:rPr>
        <w:rFonts w:ascii="Courier New" w:hAnsi="Courier New" w:cs="Courier New" w:hint="default"/>
      </w:rPr>
    </w:lvl>
    <w:lvl w:ilvl="2" w:tplc="080A0005">
      <w:start w:val="1"/>
      <w:numFmt w:val="bullet"/>
      <w:lvlText w:val=""/>
      <w:lvlJc w:val="start"/>
      <w:pPr>
        <w:ind w:start="108pt" w:hanging="18pt"/>
      </w:pPr>
      <w:rPr>
        <w:rFonts w:ascii="Wingdings" w:hAnsi="Wingdings" w:hint="default"/>
      </w:rPr>
    </w:lvl>
    <w:lvl w:ilvl="3" w:tplc="080A0001">
      <w:start w:val="1"/>
      <w:numFmt w:val="bullet"/>
      <w:lvlText w:val=""/>
      <w:lvlJc w:val="start"/>
      <w:pPr>
        <w:ind w:start="144pt" w:hanging="18pt"/>
      </w:pPr>
      <w:rPr>
        <w:rFonts w:ascii="Symbol" w:hAnsi="Symbol" w:hint="default"/>
      </w:rPr>
    </w:lvl>
    <w:lvl w:ilvl="4" w:tplc="080A0003">
      <w:start w:val="1"/>
      <w:numFmt w:val="bullet"/>
      <w:lvlText w:val="o"/>
      <w:lvlJc w:val="start"/>
      <w:pPr>
        <w:ind w:start="180pt" w:hanging="18pt"/>
      </w:pPr>
      <w:rPr>
        <w:rFonts w:ascii="Courier New" w:hAnsi="Courier New" w:cs="Courier New" w:hint="default"/>
      </w:rPr>
    </w:lvl>
    <w:lvl w:ilvl="5" w:tplc="080A0005">
      <w:start w:val="1"/>
      <w:numFmt w:val="bullet"/>
      <w:lvlText w:val=""/>
      <w:lvlJc w:val="start"/>
      <w:pPr>
        <w:ind w:start="216pt" w:hanging="18pt"/>
      </w:pPr>
      <w:rPr>
        <w:rFonts w:ascii="Wingdings" w:hAnsi="Wingdings" w:hint="default"/>
      </w:rPr>
    </w:lvl>
    <w:lvl w:ilvl="6" w:tplc="080A0001">
      <w:start w:val="1"/>
      <w:numFmt w:val="bullet"/>
      <w:lvlText w:val=""/>
      <w:lvlJc w:val="start"/>
      <w:pPr>
        <w:ind w:start="252pt" w:hanging="18pt"/>
      </w:pPr>
      <w:rPr>
        <w:rFonts w:ascii="Symbol" w:hAnsi="Symbol" w:hint="default"/>
      </w:rPr>
    </w:lvl>
    <w:lvl w:ilvl="7" w:tplc="080A0003">
      <w:start w:val="1"/>
      <w:numFmt w:val="bullet"/>
      <w:lvlText w:val="o"/>
      <w:lvlJc w:val="start"/>
      <w:pPr>
        <w:ind w:start="288pt" w:hanging="18pt"/>
      </w:pPr>
      <w:rPr>
        <w:rFonts w:ascii="Courier New" w:hAnsi="Courier New" w:cs="Courier New" w:hint="default"/>
      </w:rPr>
    </w:lvl>
    <w:lvl w:ilvl="8" w:tplc="080A0005">
      <w:start w:val="1"/>
      <w:numFmt w:val="bullet"/>
      <w:lvlText w:val=""/>
      <w:lvlJc w:val="start"/>
      <w:pPr>
        <w:ind w:start="324pt" w:hanging="18pt"/>
      </w:pPr>
      <w:rPr>
        <w:rFonts w:ascii="Wingdings" w:hAnsi="Wingdings" w:hint="default"/>
      </w:rPr>
    </w:lvl>
  </w:abstractNum>
  <w:abstractNum w:abstractNumId="211" w15:restartNumberingAfterBreak="0">
    <w:nsid w:val="668F5BF4"/>
    <w:multiLevelType w:val="hybridMultilevel"/>
    <w:tmpl w:val="D7709A1C"/>
    <w:lvl w:ilvl="0" w:tplc="C1DA4D48">
      <w:start w:val="5"/>
      <w:numFmt w:val="lowerLetter"/>
      <w:lvlText w:val="%1)"/>
      <w:lvlJc w:val="start"/>
      <w:pPr>
        <w:ind w:start="39.25pt" w:hanging="18pt"/>
      </w:pPr>
      <w:rPr>
        <w:rFonts w:hint="default"/>
        <w:b/>
        <w:bCs w:val="0"/>
      </w:rPr>
    </w:lvl>
    <w:lvl w:ilvl="1" w:tplc="3ACE7974" w:tentative="1">
      <w:start w:val="1"/>
      <w:numFmt w:val="lowerLetter"/>
      <w:lvlText w:val="%2."/>
      <w:lvlJc w:val="start"/>
      <w:pPr>
        <w:ind w:start="75.30pt" w:hanging="18pt"/>
      </w:pPr>
    </w:lvl>
    <w:lvl w:ilvl="2" w:tplc="DC52D518" w:tentative="1">
      <w:start w:val="1"/>
      <w:numFmt w:val="lowerRoman"/>
      <w:lvlText w:val="%3."/>
      <w:lvlJc w:val="end"/>
      <w:pPr>
        <w:ind w:start="111.30pt" w:hanging="9pt"/>
      </w:pPr>
    </w:lvl>
    <w:lvl w:ilvl="3" w:tplc="70C49D76" w:tentative="1">
      <w:start w:val="1"/>
      <w:numFmt w:val="decimal"/>
      <w:lvlText w:val="%4."/>
      <w:lvlJc w:val="start"/>
      <w:pPr>
        <w:ind w:start="147.30pt" w:hanging="18pt"/>
      </w:pPr>
    </w:lvl>
    <w:lvl w:ilvl="4" w:tplc="488A4B14" w:tentative="1">
      <w:start w:val="1"/>
      <w:numFmt w:val="lowerLetter"/>
      <w:lvlText w:val="%5."/>
      <w:lvlJc w:val="start"/>
      <w:pPr>
        <w:ind w:start="183.30pt" w:hanging="18pt"/>
      </w:pPr>
    </w:lvl>
    <w:lvl w:ilvl="5" w:tplc="D32277D8" w:tentative="1">
      <w:start w:val="1"/>
      <w:numFmt w:val="lowerRoman"/>
      <w:lvlText w:val="%6."/>
      <w:lvlJc w:val="end"/>
      <w:pPr>
        <w:ind w:start="219.30pt" w:hanging="9pt"/>
      </w:pPr>
    </w:lvl>
    <w:lvl w:ilvl="6" w:tplc="FE164146" w:tentative="1">
      <w:start w:val="1"/>
      <w:numFmt w:val="decimal"/>
      <w:lvlText w:val="%7."/>
      <w:lvlJc w:val="start"/>
      <w:pPr>
        <w:ind w:start="255.30pt" w:hanging="18pt"/>
      </w:pPr>
    </w:lvl>
    <w:lvl w:ilvl="7" w:tplc="685E50C4" w:tentative="1">
      <w:start w:val="1"/>
      <w:numFmt w:val="lowerLetter"/>
      <w:lvlText w:val="%8."/>
      <w:lvlJc w:val="start"/>
      <w:pPr>
        <w:ind w:start="291.30pt" w:hanging="18pt"/>
      </w:pPr>
    </w:lvl>
    <w:lvl w:ilvl="8" w:tplc="DE0E3A58" w:tentative="1">
      <w:start w:val="1"/>
      <w:numFmt w:val="lowerRoman"/>
      <w:lvlText w:val="%9."/>
      <w:lvlJc w:val="end"/>
      <w:pPr>
        <w:ind w:start="327.30pt" w:hanging="9pt"/>
      </w:pPr>
    </w:lvl>
  </w:abstractNum>
  <w:abstractNum w:abstractNumId="212" w15:restartNumberingAfterBreak="0">
    <w:nsid w:val="67841171"/>
    <w:multiLevelType w:val="hybridMultilevel"/>
    <w:tmpl w:val="78AAAB26"/>
    <w:lvl w:ilvl="0" w:tplc="AAE255A8">
      <w:start w:val="1"/>
      <w:numFmt w:val="bullet"/>
      <w:lvlText w:val=""/>
      <w:lvlJc w:val="start"/>
      <w:pPr>
        <w:ind w:start="33.85pt" w:hanging="18pt"/>
      </w:pPr>
      <w:rPr>
        <w:rFonts w:ascii="Symbol" w:hAnsi="Symbol" w:hint="default"/>
      </w:rPr>
    </w:lvl>
    <w:lvl w:ilvl="1" w:tplc="8D0EE4FE" w:tentative="1">
      <w:start w:val="1"/>
      <w:numFmt w:val="bullet"/>
      <w:lvlText w:val="o"/>
      <w:lvlJc w:val="start"/>
      <w:pPr>
        <w:ind w:start="69.80pt" w:hanging="18pt"/>
      </w:pPr>
      <w:rPr>
        <w:rFonts w:ascii="Courier New" w:hAnsi="Courier New" w:cs="Courier New" w:hint="default"/>
      </w:rPr>
    </w:lvl>
    <w:lvl w:ilvl="2" w:tplc="80C6B556" w:tentative="1">
      <w:start w:val="1"/>
      <w:numFmt w:val="bullet"/>
      <w:lvlText w:val=""/>
      <w:lvlJc w:val="start"/>
      <w:pPr>
        <w:ind w:start="105.85pt" w:hanging="18pt"/>
      </w:pPr>
      <w:rPr>
        <w:rFonts w:ascii="Wingdings" w:hAnsi="Wingdings" w:hint="default"/>
      </w:rPr>
    </w:lvl>
    <w:lvl w:ilvl="3" w:tplc="30269C86" w:tentative="1">
      <w:start w:val="1"/>
      <w:numFmt w:val="bullet"/>
      <w:lvlText w:val=""/>
      <w:lvlJc w:val="start"/>
      <w:pPr>
        <w:ind w:start="141.85pt" w:hanging="18pt"/>
      </w:pPr>
      <w:rPr>
        <w:rFonts w:ascii="Symbol" w:hAnsi="Symbol" w:hint="default"/>
      </w:rPr>
    </w:lvl>
    <w:lvl w:ilvl="4" w:tplc="70944A08" w:tentative="1">
      <w:start w:val="1"/>
      <w:numFmt w:val="bullet"/>
      <w:lvlText w:val="o"/>
      <w:lvlJc w:val="start"/>
      <w:pPr>
        <w:ind w:start="177.85pt" w:hanging="18pt"/>
      </w:pPr>
      <w:rPr>
        <w:rFonts w:ascii="Courier New" w:hAnsi="Courier New" w:cs="Courier New" w:hint="default"/>
      </w:rPr>
    </w:lvl>
    <w:lvl w:ilvl="5" w:tplc="97E60026" w:tentative="1">
      <w:start w:val="1"/>
      <w:numFmt w:val="bullet"/>
      <w:lvlText w:val=""/>
      <w:lvlJc w:val="start"/>
      <w:pPr>
        <w:ind w:start="213.85pt" w:hanging="18pt"/>
      </w:pPr>
      <w:rPr>
        <w:rFonts w:ascii="Wingdings" w:hAnsi="Wingdings" w:hint="default"/>
      </w:rPr>
    </w:lvl>
    <w:lvl w:ilvl="6" w:tplc="FF367636" w:tentative="1">
      <w:start w:val="1"/>
      <w:numFmt w:val="bullet"/>
      <w:lvlText w:val=""/>
      <w:lvlJc w:val="start"/>
      <w:pPr>
        <w:ind w:start="249.85pt" w:hanging="18pt"/>
      </w:pPr>
      <w:rPr>
        <w:rFonts w:ascii="Symbol" w:hAnsi="Symbol" w:hint="default"/>
      </w:rPr>
    </w:lvl>
    <w:lvl w:ilvl="7" w:tplc="9294A8FA" w:tentative="1">
      <w:start w:val="1"/>
      <w:numFmt w:val="bullet"/>
      <w:lvlText w:val="o"/>
      <w:lvlJc w:val="start"/>
      <w:pPr>
        <w:ind w:start="285.85pt" w:hanging="18pt"/>
      </w:pPr>
      <w:rPr>
        <w:rFonts w:ascii="Courier New" w:hAnsi="Courier New" w:cs="Courier New" w:hint="default"/>
      </w:rPr>
    </w:lvl>
    <w:lvl w:ilvl="8" w:tplc="07AE0D82" w:tentative="1">
      <w:start w:val="1"/>
      <w:numFmt w:val="bullet"/>
      <w:lvlText w:val=""/>
      <w:lvlJc w:val="start"/>
      <w:pPr>
        <w:ind w:start="321.85pt" w:hanging="18pt"/>
      </w:pPr>
      <w:rPr>
        <w:rFonts w:ascii="Wingdings" w:hAnsi="Wingdings" w:hint="default"/>
      </w:rPr>
    </w:lvl>
  </w:abstractNum>
  <w:abstractNum w:abstractNumId="213" w15:restartNumberingAfterBreak="0">
    <w:nsid w:val="67922789"/>
    <w:multiLevelType w:val="hybridMultilevel"/>
    <w:tmpl w:val="FEFC986E"/>
    <w:lvl w:ilvl="0" w:tplc="080A0001">
      <w:start w:val="1"/>
      <w:numFmt w:val="bullet"/>
      <w:lvlText w:val=""/>
      <w:lvlJc w:val="start"/>
      <w:pPr>
        <w:ind w:start="36pt" w:hanging="18pt"/>
      </w:pPr>
      <w:rPr>
        <w:rFonts w:ascii="Symbol" w:hAnsi="Symbol" w:hint="default"/>
      </w:rPr>
    </w:lvl>
    <w:lvl w:ilvl="1" w:tplc="080A0003">
      <w:start w:val="1"/>
      <w:numFmt w:val="bullet"/>
      <w:lvlText w:val="o"/>
      <w:lvlJc w:val="start"/>
      <w:pPr>
        <w:ind w:start="72pt" w:hanging="18pt"/>
      </w:pPr>
      <w:rPr>
        <w:rFonts w:ascii="Courier New" w:hAnsi="Courier New" w:cs="Courier New" w:hint="default"/>
      </w:rPr>
    </w:lvl>
    <w:lvl w:ilvl="2" w:tplc="080A0005">
      <w:start w:val="1"/>
      <w:numFmt w:val="bullet"/>
      <w:lvlText w:val=""/>
      <w:lvlJc w:val="start"/>
      <w:pPr>
        <w:ind w:start="108pt" w:hanging="18pt"/>
      </w:pPr>
      <w:rPr>
        <w:rFonts w:ascii="Wingdings" w:hAnsi="Wingdings" w:hint="default"/>
      </w:rPr>
    </w:lvl>
    <w:lvl w:ilvl="3" w:tplc="080A0001">
      <w:start w:val="1"/>
      <w:numFmt w:val="bullet"/>
      <w:lvlText w:val=""/>
      <w:lvlJc w:val="start"/>
      <w:pPr>
        <w:ind w:start="144pt" w:hanging="18pt"/>
      </w:pPr>
      <w:rPr>
        <w:rFonts w:ascii="Symbol" w:hAnsi="Symbol" w:hint="default"/>
      </w:rPr>
    </w:lvl>
    <w:lvl w:ilvl="4" w:tplc="080A0003">
      <w:start w:val="1"/>
      <w:numFmt w:val="bullet"/>
      <w:lvlText w:val="o"/>
      <w:lvlJc w:val="start"/>
      <w:pPr>
        <w:ind w:start="180pt" w:hanging="18pt"/>
      </w:pPr>
      <w:rPr>
        <w:rFonts w:ascii="Courier New" w:hAnsi="Courier New" w:cs="Courier New" w:hint="default"/>
      </w:rPr>
    </w:lvl>
    <w:lvl w:ilvl="5" w:tplc="080A0005">
      <w:start w:val="1"/>
      <w:numFmt w:val="bullet"/>
      <w:lvlText w:val=""/>
      <w:lvlJc w:val="start"/>
      <w:pPr>
        <w:ind w:start="216pt" w:hanging="18pt"/>
      </w:pPr>
      <w:rPr>
        <w:rFonts w:ascii="Wingdings" w:hAnsi="Wingdings" w:hint="default"/>
      </w:rPr>
    </w:lvl>
    <w:lvl w:ilvl="6" w:tplc="080A0001">
      <w:start w:val="1"/>
      <w:numFmt w:val="bullet"/>
      <w:lvlText w:val=""/>
      <w:lvlJc w:val="start"/>
      <w:pPr>
        <w:ind w:start="252pt" w:hanging="18pt"/>
      </w:pPr>
      <w:rPr>
        <w:rFonts w:ascii="Symbol" w:hAnsi="Symbol" w:hint="default"/>
      </w:rPr>
    </w:lvl>
    <w:lvl w:ilvl="7" w:tplc="080A0003">
      <w:start w:val="1"/>
      <w:numFmt w:val="bullet"/>
      <w:lvlText w:val="o"/>
      <w:lvlJc w:val="start"/>
      <w:pPr>
        <w:ind w:start="288pt" w:hanging="18pt"/>
      </w:pPr>
      <w:rPr>
        <w:rFonts w:ascii="Courier New" w:hAnsi="Courier New" w:cs="Courier New" w:hint="default"/>
      </w:rPr>
    </w:lvl>
    <w:lvl w:ilvl="8" w:tplc="080A0005">
      <w:start w:val="1"/>
      <w:numFmt w:val="bullet"/>
      <w:lvlText w:val=""/>
      <w:lvlJc w:val="start"/>
      <w:pPr>
        <w:ind w:start="324pt" w:hanging="18pt"/>
      </w:pPr>
      <w:rPr>
        <w:rFonts w:ascii="Wingdings" w:hAnsi="Wingdings" w:hint="default"/>
      </w:rPr>
    </w:lvl>
  </w:abstractNum>
  <w:abstractNum w:abstractNumId="214" w15:restartNumberingAfterBreak="0">
    <w:nsid w:val="681F3F3F"/>
    <w:multiLevelType w:val="hybridMultilevel"/>
    <w:tmpl w:val="4FC6B210"/>
    <w:lvl w:ilvl="0" w:tplc="080A000D">
      <w:start w:val="1"/>
      <w:numFmt w:val="bullet"/>
      <w:lvlText w:val=""/>
      <w:lvlJc w:val="start"/>
      <w:pPr>
        <w:ind w:start="37.70pt" w:hanging="18pt"/>
      </w:pPr>
      <w:rPr>
        <w:rFonts w:ascii="Wingdings" w:hAnsi="Wingdings" w:hint="default"/>
      </w:rPr>
    </w:lvl>
    <w:lvl w:ilvl="1" w:tplc="080A0003">
      <w:start w:val="1"/>
      <w:numFmt w:val="bullet"/>
      <w:lvlText w:val="o"/>
      <w:lvlJc w:val="start"/>
      <w:pPr>
        <w:ind w:start="73.70pt" w:hanging="18pt"/>
      </w:pPr>
      <w:rPr>
        <w:rFonts w:ascii="Courier New" w:hAnsi="Courier New" w:cs="Courier New" w:hint="default"/>
      </w:rPr>
    </w:lvl>
    <w:lvl w:ilvl="2" w:tplc="080A0005">
      <w:start w:val="1"/>
      <w:numFmt w:val="bullet"/>
      <w:lvlText w:val=""/>
      <w:lvlJc w:val="start"/>
      <w:pPr>
        <w:ind w:start="109.70pt" w:hanging="18pt"/>
      </w:pPr>
      <w:rPr>
        <w:rFonts w:ascii="Wingdings" w:hAnsi="Wingdings" w:hint="default"/>
      </w:rPr>
    </w:lvl>
    <w:lvl w:ilvl="3" w:tplc="080A0001">
      <w:start w:val="1"/>
      <w:numFmt w:val="bullet"/>
      <w:lvlText w:val=""/>
      <w:lvlJc w:val="start"/>
      <w:pPr>
        <w:ind w:start="145.70pt" w:hanging="18pt"/>
      </w:pPr>
      <w:rPr>
        <w:rFonts w:ascii="Symbol" w:hAnsi="Symbol" w:hint="default"/>
      </w:rPr>
    </w:lvl>
    <w:lvl w:ilvl="4" w:tplc="080A0003">
      <w:start w:val="1"/>
      <w:numFmt w:val="bullet"/>
      <w:lvlText w:val="o"/>
      <w:lvlJc w:val="start"/>
      <w:pPr>
        <w:ind w:start="181.70pt" w:hanging="18pt"/>
      </w:pPr>
      <w:rPr>
        <w:rFonts w:ascii="Courier New" w:hAnsi="Courier New" w:cs="Courier New" w:hint="default"/>
      </w:rPr>
    </w:lvl>
    <w:lvl w:ilvl="5" w:tplc="080A0005">
      <w:start w:val="1"/>
      <w:numFmt w:val="bullet"/>
      <w:lvlText w:val=""/>
      <w:lvlJc w:val="start"/>
      <w:pPr>
        <w:ind w:start="217.70pt" w:hanging="18pt"/>
      </w:pPr>
      <w:rPr>
        <w:rFonts w:ascii="Wingdings" w:hAnsi="Wingdings" w:hint="default"/>
      </w:rPr>
    </w:lvl>
    <w:lvl w:ilvl="6" w:tplc="080A0001">
      <w:start w:val="1"/>
      <w:numFmt w:val="bullet"/>
      <w:lvlText w:val=""/>
      <w:lvlJc w:val="start"/>
      <w:pPr>
        <w:ind w:start="253.70pt" w:hanging="18pt"/>
      </w:pPr>
      <w:rPr>
        <w:rFonts w:ascii="Symbol" w:hAnsi="Symbol" w:hint="default"/>
      </w:rPr>
    </w:lvl>
    <w:lvl w:ilvl="7" w:tplc="080A0003">
      <w:start w:val="1"/>
      <w:numFmt w:val="bullet"/>
      <w:lvlText w:val="o"/>
      <w:lvlJc w:val="start"/>
      <w:pPr>
        <w:ind w:start="289.70pt" w:hanging="18pt"/>
      </w:pPr>
      <w:rPr>
        <w:rFonts w:ascii="Courier New" w:hAnsi="Courier New" w:cs="Courier New" w:hint="default"/>
      </w:rPr>
    </w:lvl>
    <w:lvl w:ilvl="8" w:tplc="080A0005">
      <w:start w:val="1"/>
      <w:numFmt w:val="bullet"/>
      <w:lvlText w:val=""/>
      <w:lvlJc w:val="start"/>
      <w:pPr>
        <w:ind w:start="325.70pt" w:hanging="18pt"/>
      </w:pPr>
      <w:rPr>
        <w:rFonts w:ascii="Wingdings" w:hAnsi="Wingdings" w:hint="default"/>
      </w:rPr>
    </w:lvl>
  </w:abstractNum>
  <w:abstractNum w:abstractNumId="215" w15:restartNumberingAfterBreak="0">
    <w:nsid w:val="686A03DB"/>
    <w:multiLevelType w:val="hybridMultilevel"/>
    <w:tmpl w:val="0B5039A4"/>
    <w:lvl w:ilvl="0" w:tplc="1E5AB1E4">
      <w:start w:val="1"/>
      <w:numFmt w:val="bullet"/>
      <w:lvlText w:val=""/>
      <w:lvlJc w:val="start"/>
      <w:pPr>
        <w:ind w:start="36pt" w:hanging="18pt"/>
      </w:pPr>
      <w:rPr>
        <w:rFonts w:ascii="Symbol" w:hAnsi="Symbol" w:hint="default"/>
      </w:rPr>
    </w:lvl>
    <w:lvl w:ilvl="1" w:tplc="F566D05E" w:tentative="1">
      <w:start w:val="1"/>
      <w:numFmt w:val="bullet"/>
      <w:lvlText w:val="o"/>
      <w:lvlJc w:val="start"/>
      <w:pPr>
        <w:ind w:start="72pt" w:hanging="18pt"/>
      </w:pPr>
      <w:rPr>
        <w:rFonts w:ascii="Courier New" w:hAnsi="Courier New" w:cs="Courier New" w:hint="default"/>
      </w:rPr>
    </w:lvl>
    <w:lvl w:ilvl="2" w:tplc="3988670E" w:tentative="1">
      <w:start w:val="1"/>
      <w:numFmt w:val="bullet"/>
      <w:lvlText w:val=""/>
      <w:lvlJc w:val="start"/>
      <w:pPr>
        <w:ind w:start="108pt" w:hanging="18pt"/>
      </w:pPr>
      <w:rPr>
        <w:rFonts w:ascii="Wingdings" w:hAnsi="Wingdings" w:hint="default"/>
      </w:rPr>
    </w:lvl>
    <w:lvl w:ilvl="3" w:tplc="10FE57D0" w:tentative="1">
      <w:start w:val="1"/>
      <w:numFmt w:val="bullet"/>
      <w:lvlText w:val=""/>
      <w:lvlJc w:val="start"/>
      <w:pPr>
        <w:ind w:start="144pt" w:hanging="18pt"/>
      </w:pPr>
      <w:rPr>
        <w:rFonts w:ascii="Symbol" w:hAnsi="Symbol" w:hint="default"/>
      </w:rPr>
    </w:lvl>
    <w:lvl w:ilvl="4" w:tplc="3E640AB4" w:tentative="1">
      <w:start w:val="1"/>
      <w:numFmt w:val="bullet"/>
      <w:lvlText w:val="o"/>
      <w:lvlJc w:val="start"/>
      <w:pPr>
        <w:ind w:start="180pt" w:hanging="18pt"/>
      </w:pPr>
      <w:rPr>
        <w:rFonts w:ascii="Courier New" w:hAnsi="Courier New" w:cs="Courier New" w:hint="default"/>
      </w:rPr>
    </w:lvl>
    <w:lvl w:ilvl="5" w:tplc="1B68A3F6" w:tentative="1">
      <w:start w:val="1"/>
      <w:numFmt w:val="bullet"/>
      <w:lvlText w:val=""/>
      <w:lvlJc w:val="start"/>
      <w:pPr>
        <w:ind w:start="216pt" w:hanging="18pt"/>
      </w:pPr>
      <w:rPr>
        <w:rFonts w:ascii="Wingdings" w:hAnsi="Wingdings" w:hint="default"/>
      </w:rPr>
    </w:lvl>
    <w:lvl w:ilvl="6" w:tplc="BED6886A" w:tentative="1">
      <w:start w:val="1"/>
      <w:numFmt w:val="bullet"/>
      <w:lvlText w:val=""/>
      <w:lvlJc w:val="start"/>
      <w:pPr>
        <w:ind w:start="252pt" w:hanging="18pt"/>
      </w:pPr>
      <w:rPr>
        <w:rFonts w:ascii="Symbol" w:hAnsi="Symbol" w:hint="default"/>
      </w:rPr>
    </w:lvl>
    <w:lvl w:ilvl="7" w:tplc="D49CEC30" w:tentative="1">
      <w:start w:val="1"/>
      <w:numFmt w:val="bullet"/>
      <w:lvlText w:val="o"/>
      <w:lvlJc w:val="start"/>
      <w:pPr>
        <w:ind w:start="288pt" w:hanging="18pt"/>
      </w:pPr>
      <w:rPr>
        <w:rFonts w:ascii="Courier New" w:hAnsi="Courier New" w:cs="Courier New" w:hint="default"/>
      </w:rPr>
    </w:lvl>
    <w:lvl w:ilvl="8" w:tplc="7A349B2E" w:tentative="1">
      <w:start w:val="1"/>
      <w:numFmt w:val="bullet"/>
      <w:lvlText w:val=""/>
      <w:lvlJc w:val="start"/>
      <w:pPr>
        <w:ind w:start="324pt" w:hanging="18pt"/>
      </w:pPr>
      <w:rPr>
        <w:rFonts w:ascii="Wingdings" w:hAnsi="Wingdings" w:hint="default"/>
      </w:rPr>
    </w:lvl>
  </w:abstractNum>
  <w:abstractNum w:abstractNumId="216" w15:restartNumberingAfterBreak="0">
    <w:nsid w:val="69246A85"/>
    <w:multiLevelType w:val="singleLevel"/>
    <w:tmpl w:val="5EF8A412"/>
    <w:lvl w:ilvl="0">
      <w:start w:val="1"/>
      <w:numFmt w:val="bullet"/>
      <w:pStyle w:val="Figure"/>
      <w:lvlText w:val=""/>
      <w:lvlJc w:val="start"/>
      <w:pPr>
        <w:tabs>
          <w:tab w:val="num" w:pos="46.80pt"/>
        </w:tabs>
        <w:ind w:start="46.80pt" w:hanging="18pt"/>
      </w:pPr>
      <w:rPr>
        <w:rFonts w:ascii="Wingdings" w:hAnsi="Wingdings" w:hint="default"/>
        <w:color w:val="800000"/>
        <w:sz w:val="16"/>
      </w:rPr>
    </w:lvl>
  </w:abstractNum>
  <w:abstractNum w:abstractNumId="217" w15:restartNumberingAfterBreak="0">
    <w:nsid w:val="69BB75CF"/>
    <w:multiLevelType w:val="hybridMultilevel"/>
    <w:tmpl w:val="9D52E5A4"/>
    <w:lvl w:ilvl="0" w:tplc="3230EA24">
      <w:start w:val="6"/>
      <w:numFmt w:val="bullet"/>
      <w:lvlText w:val="•"/>
      <w:lvlJc w:val="start"/>
      <w:pPr>
        <w:ind w:start="53.85pt" w:hanging="18pt"/>
      </w:pPr>
      <w:rPr>
        <w:rFonts w:ascii="Century Gothic" w:eastAsia="Calibri" w:hAnsi="Century Gothic" w:cs="Arial" w:hint="default"/>
      </w:rPr>
    </w:lvl>
    <w:lvl w:ilvl="1" w:tplc="251C0C74" w:tentative="1">
      <w:start w:val="1"/>
      <w:numFmt w:val="bullet"/>
      <w:lvlText w:val="o"/>
      <w:lvlJc w:val="start"/>
      <w:pPr>
        <w:ind w:start="89.85pt" w:hanging="18pt"/>
      </w:pPr>
      <w:rPr>
        <w:rFonts w:ascii="Courier New" w:hAnsi="Courier New" w:cs="Courier New" w:hint="default"/>
      </w:rPr>
    </w:lvl>
    <w:lvl w:ilvl="2" w:tplc="23C0F020" w:tentative="1">
      <w:start w:val="1"/>
      <w:numFmt w:val="bullet"/>
      <w:lvlText w:val=""/>
      <w:lvlJc w:val="start"/>
      <w:pPr>
        <w:ind w:start="125.85pt" w:hanging="18pt"/>
      </w:pPr>
      <w:rPr>
        <w:rFonts w:ascii="Wingdings" w:hAnsi="Wingdings" w:hint="default"/>
      </w:rPr>
    </w:lvl>
    <w:lvl w:ilvl="3" w:tplc="97E6EEEC" w:tentative="1">
      <w:start w:val="1"/>
      <w:numFmt w:val="bullet"/>
      <w:lvlText w:val=""/>
      <w:lvlJc w:val="start"/>
      <w:pPr>
        <w:ind w:start="161.85pt" w:hanging="18pt"/>
      </w:pPr>
      <w:rPr>
        <w:rFonts w:ascii="Symbol" w:hAnsi="Symbol" w:hint="default"/>
      </w:rPr>
    </w:lvl>
    <w:lvl w:ilvl="4" w:tplc="7306072E" w:tentative="1">
      <w:start w:val="1"/>
      <w:numFmt w:val="bullet"/>
      <w:lvlText w:val="o"/>
      <w:lvlJc w:val="start"/>
      <w:pPr>
        <w:ind w:start="197.85pt" w:hanging="18pt"/>
      </w:pPr>
      <w:rPr>
        <w:rFonts w:ascii="Courier New" w:hAnsi="Courier New" w:cs="Courier New" w:hint="default"/>
      </w:rPr>
    </w:lvl>
    <w:lvl w:ilvl="5" w:tplc="AFC6E384" w:tentative="1">
      <w:start w:val="1"/>
      <w:numFmt w:val="bullet"/>
      <w:lvlText w:val=""/>
      <w:lvlJc w:val="start"/>
      <w:pPr>
        <w:ind w:start="233.85pt" w:hanging="18pt"/>
      </w:pPr>
      <w:rPr>
        <w:rFonts w:ascii="Wingdings" w:hAnsi="Wingdings" w:hint="default"/>
      </w:rPr>
    </w:lvl>
    <w:lvl w:ilvl="6" w:tplc="CA1404A4" w:tentative="1">
      <w:start w:val="1"/>
      <w:numFmt w:val="bullet"/>
      <w:lvlText w:val=""/>
      <w:lvlJc w:val="start"/>
      <w:pPr>
        <w:ind w:start="269.85pt" w:hanging="18pt"/>
      </w:pPr>
      <w:rPr>
        <w:rFonts w:ascii="Symbol" w:hAnsi="Symbol" w:hint="default"/>
      </w:rPr>
    </w:lvl>
    <w:lvl w:ilvl="7" w:tplc="65C6C9D4" w:tentative="1">
      <w:start w:val="1"/>
      <w:numFmt w:val="bullet"/>
      <w:lvlText w:val="o"/>
      <w:lvlJc w:val="start"/>
      <w:pPr>
        <w:ind w:start="305.85pt" w:hanging="18pt"/>
      </w:pPr>
      <w:rPr>
        <w:rFonts w:ascii="Courier New" w:hAnsi="Courier New" w:cs="Courier New" w:hint="default"/>
      </w:rPr>
    </w:lvl>
    <w:lvl w:ilvl="8" w:tplc="8250B1A6" w:tentative="1">
      <w:start w:val="1"/>
      <w:numFmt w:val="bullet"/>
      <w:lvlText w:val=""/>
      <w:lvlJc w:val="start"/>
      <w:pPr>
        <w:ind w:start="341.85pt" w:hanging="18pt"/>
      </w:pPr>
      <w:rPr>
        <w:rFonts w:ascii="Wingdings" w:hAnsi="Wingdings" w:hint="default"/>
      </w:rPr>
    </w:lvl>
  </w:abstractNum>
  <w:abstractNum w:abstractNumId="218" w15:restartNumberingAfterBreak="0">
    <w:nsid w:val="6A3B2F27"/>
    <w:multiLevelType w:val="hybridMultilevel"/>
    <w:tmpl w:val="4FA6EFEE"/>
    <w:lvl w:ilvl="0" w:tplc="3154B4F0">
      <w:start w:val="6"/>
      <w:numFmt w:val="bullet"/>
      <w:lvlText w:val="•"/>
      <w:lvlJc w:val="start"/>
      <w:pPr>
        <w:ind w:start="50.20pt" w:hanging="18pt"/>
      </w:pPr>
      <w:rPr>
        <w:rFonts w:ascii="Century Gothic" w:eastAsia="Calibri" w:hAnsi="Century Gothic" w:cs="Arial" w:hint="default"/>
      </w:rPr>
    </w:lvl>
    <w:lvl w:ilvl="1" w:tplc="F4C4BB4A" w:tentative="1">
      <w:start w:val="1"/>
      <w:numFmt w:val="bullet"/>
      <w:lvlText w:val="o"/>
      <w:lvlJc w:val="start"/>
      <w:pPr>
        <w:ind w:start="86.20pt" w:hanging="18pt"/>
      </w:pPr>
      <w:rPr>
        <w:rFonts w:ascii="Courier New" w:hAnsi="Courier New" w:cs="Courier New" w:hint="default"/>
      </w:rPr>
    </w:lvl>
    <w:lvl w:ilvl="2" w:tplc="7C74EB64" w:tentative="1">
      <w:start w:val="1"/>
      <w:numFmt w:val="bullet"/>
      <w:lvlText w:val=""/>
      <w:lvlJc w:val="start"/>
      <w:pPr>
        <w:ind w:start="122.20pt" w:hanging="18pt"/>
      </w:pPr>
      <w:rPr>
        <w:rFonts w:ascii="Wingdings" w:hAnsi="Wingdings" w:hint="default"/>
      </w:rPr>
    </w:lvl>
    <w:lvl w:ilvl="3" w:tplc="E5BAC940" w:tentative="1">
      <w:start w:val="1"/>
      <w:numFmt w:val="bullet"/>
      <w:lvlText w:val=""/>
      <w:lvlJc w:val="start"/>
      <w:pPr>
        <w:ind w:start="158.15pt" w:hanging="18pt"/>
      </w:pPr>
      <w:rPr>
        <w:rFonts w:ascii="Symbol" w:hAnsi="Symbol" w:hint="default"/>
      </w:rPr>
    </w:lvl>
    <w:lvl w:ilvl="4" w:tplc="1A2C89DE" w:tentative="1">
      <w:start w:val="1"/>
      <w:numFmt w:val="bullet"/>
      <w:lvlText w:val="o"/>
      <w:lvlJc w:val="start"/>
      <w:pPr>
        <w:ind w:start="194.20pt" w:hanging="18pt"/>
      </w:pPr>
      <w:rPr>
        <w:rFonts w:ascii="Courier New" w:hAnsi="Courier New" w:cs="Courier New" w:hint="default"/>
      </w:rPr>
    </w:lvl>
    <w:lvl w:ilvl="5" w:tplc="6FF0AEA0" w:tentative="1">
      <w:start w:val="1"/>
      <w:numFmt w:val="bullet"/>
      <w:lvlText w:val=""/>
      <w:lvlJc w:val="start"/>
      <w:pPr>
        <w:ind w:start="230.20pt" w:hanging="18pt"/>
      </w:pPr>
      <w:rPr>
        <w:rFonts w:ascii="Wingdings" w:hAnsi="Wingdings" w:hint="default"/>
      </w:rPr>
    </w:lvl>
    <w:lvl w:ilvl="6" w:tplc="BD04BE26" w:tentative="1">
      <w:start w:val="1"/>
      <w:numFmt w:val="bullet"/>
      <w:lvlText w:val=""/>
      <w:lvlJc w:val="start"/>
      <w:pPr>
        <w:ind w:start="266.20pt" w:hanging="18pt"/>
      </w:pPr>
      <w:rPr>
        <w:rFonts w:ascii="Symbol" w:hAnsi="Symbol" w:hint="default"/>
      </w:rPr>
    </w:lvl>
    <w:lvl w:ilvl="7" w:tplc="4B22EB60" w:tentative="1">
      <w:start w:val="1"/>
      <w:numFmt w:val="bullet"/>
      <w:lvlText w:val="o"/>
      <w:lvlJc w:val="start"/>
      <w:pPr>
        <w:ind w:start="302.20pt" w:hanging="18pt"/>
      </w:pPr>
      <w:rPr>
        <w:rFonts w:ascii="Courier New" w:hAnsi="Courier New" w:cs="Courier New" w:hint="default"/>
      </w:rPr>
    </w:lvl>
    <w:lvl w:ilvl="8" w:tplc="53DE0208" w:tentative="1">
      <w:start w:val="1"/>
      <w:numFmt w:val="bullet"/>
      <w:lvlText w:val=""/>
      <w:lvlJc w:val="start"/>
      <w:pPr>
        <w:ind w:start="338.20pt" w:hanging="18pt"/>
      </w:pPr>
      <w:rPr>
        <w:rFonts w:ascii="Wingdings" w:hAnsi="Wingdings" w:hint="default"/>
      </w:rPr>
    </w:lvl>
  </w:abstractNum>
  <w:abstractNum w:abstractNumId="219" w15:restartNumberingAfterBreak="0">
    <w:nsid w:val="6A3E239D"/>
    <w:multiLevelType w:val="hybridMultilevel"/>
    <w:tmpl w:val="93D6E548"/>
    <w:lvl w:ilvl="0" w:tplc="5CACCDA2">
      <w:start w:val="1"/>
      <w:numFmt w:val="bullet"/>
      <w:lvlText w:val=""/>
      <w:lvlJc w:val="start"/>
      <w:pPr>
        <w:ind w:start="36pt" w:hanging="18pt"/>
      </w:pPr>
      <w:rPr>
        <w:rFonts w:ascii="Symbol" w:hAnsi="Symbol" w:hint="default"/>
      </w:rPr>
    </w:lvl>
    <w:lvl w:ilvl="1" w:tplc="74FA3904" w:tentative="1">
      <w:start w:val="1"/>
      <w:numFmt w:val="bullet"/>
      <w:lvlText w:val="o"/>
      <w:lvlJc w:val="start"/>
      <w:pPr>
        <w:ind w:start="72pt" w:hanging="18pt"/>
      </w:pPr>
      <w:rPr>
        <w:rFonts w:ascii="Courier New" w:hAnsi="Courier New" w:cs="Courier New" w:hint="default"/>
      </w:rPr>
    </w:lvl>
    <w:lvl w:ilvl="2" w:tplc="D6200BC6" w:tentative="1">
      <w:start w:val="1"/>
      <w:numFmt w:val="bullet"/>
      <w:lvlText w:val=""/>
      <w:lvlJc w:val="start"/>
      <w:pPr>
        <w:ind w:start="108pt" w:hanging="18pt"/>
      </w:pPr>
      <w:rPr>
        <w:rFonts w:ascii="Wingdings" w:hAnsi="Wingdings" w:hint="default"/>
      </w:rPr>
    </w:lvl>
    <w:lvl w:ilvl="3" w:tplc="F6E42AF6" w:tentative="1">
      <w:start w:val="1"/>
      <w:numFmt w:val="bullet"/>
      <w:lvlText w:val=""/>
      <w:lvlJc w:val="start"/>
      <w:pPr>
        <w:ind w:start="144pt" w:hanging="18pt"/>
      </w:pPr>
      <w:rPr>
        <w:rFonts w:ascii="Symbol" w:hAnsi="Symbol" w:hint="default"/>
      </w:rPr>
    </w:lvl>
    <w:lvl w:ilvl="4" w:tplc="9680193E" w:tentative="1">
      <w:start w:val="1"/>
      <w:numFmt w:val="bullet"/>
      <w:lvlText w:val="o"/>
      <w:lvlJc w:val="start"/>
      <w:pPr>
        <w:ind w:start="180pt" w:hanging="18pt"/>
      </w:pPr>
      <w:rPr>
        <w:rFonts w:ascii="Courier New" w:hAnsi="Courier New" w:cs="Courier New" w:hint="default"/>
      </w:rPr>
    </w:lvl>
    <w:lvl w:ilvl="5" w:tplc="CB38A018" w:tentative="1">
      <w:start w:val="1"/>
      <w:numFmt w:val="bullet"/>
      <w:lvlText w:val=""/>
      <w:lvlJc w:val="start"/>
      <w:pPr>
        <w:ind w:start="216pt" w:hanging="18pt"/>
      </w:pPr>
      <w:rPr>
        <w:rFonts w:ascii="Wingdings" w:hAnsi="Wingdings" w:hint="default"/>
      </w:rPr>
    </w:lvl>
    <w:lvl w:ilvl="6" w:tplc="375E7B6E" w:tentative="1">
      <w:start w:val="1"/>
      <w:numFmt w:val="bullet"/>
      <w:lvlText w:val=""/>
      <w:lvlJc w:val="start"/>
      <w:pPr>
        <w:ind w:start="252pt" w:hanging="18pt"/>
      </w:pPr>
      <w:rPr>
        <w:rFonts w:ascii="Symbol" w:hAnsi="Symbol" w:hint="default"/>
      </w:rPr>
    </w:lvl>
    <w:lvl w:ilvl="7" w:tplc="A20051A4" w:tentative="1">
      <w:start w:val="1"/>
      <w:numFmt w:val="bullet"/>
      <w:lvlText w:val="o"/>
      <w:lvlJc w:val="start"/>
      <w:pPr>
        <w:ind w:start="288pt" w:hanging="18pt"/>
      </w:pPr>
      <w:rPr>
        <w:rFonts w:ascii="Courier New" w:hAnsi="Courier New" w:cs="Courier New" w:hint="default"/>
      </w:rPr>
    </w:lvl>
    <w:lvl w:ilvl="8" w:tplc="568CB3B6" w:tentative="1">
      <w:start w:val="1"/>
      <w:numFmt w:val="bullet"/>
      <w:lvlText w:val=""/>
      <w:lvlJc w:val="start"/>
      <w:pPr>
        <w:ind w:start="324pt" w:hanging="18pt"/>
      </w:pPr>
      <w:rPr>
        <w:rFonts w:ascii="Wingdings" w:hAnsi="Wingdings" w:hint="default"/>
      </w:rPr>
    </w:lvl>
  </w:abstractNum>
  <w:abstractNum w:abstractNumId="220" w15:restartNumberingAfterBreak="0">
    <w:nsid w:val="6B8D3C2C"/>
    <w:multiLevelType w:val="hybridMultilevel"/>
    <w:tmpl w:val="5EBAA3B6"/>
    <w:lvl w:ilvl="0" w:tplc="A594CF32">
      <w:start w:val="1"/>
      <w:numFmt w:val="bullet"/>
      <w:lvlText w:val=""/>
      <w:lvlJc w:val="start"/>
      <w:pPr>
        <w:ind w:start="36pt" w:hanging="18pt"/>
      </w:pPr>
      <w:rPr>
        <w:rFonts w:ascii="Symbol" w:hAnsi="Symbol" w:hint="default"/>
      </w:rPr>
    </w:lvl>
    <w:lvl w:ilvl="1" w:tplc="52AE5B2E" w:tentative="1">
      <w:start w:val="1"/>
      <w:numFmt w:val="bullet"/>
      <w:lvlText w:val="o"/>
      <w:lvlJc w:val="start"/>
      <w:pPr>
        <w:ind w:start="72pt" w:hanging="18pt"/>
      </w:pPr>
      <w:rPr>
        <w:rFonts w:ascii="Courier New" w:hAnsi="Courier New" w:cs="Courier New" w:hint="default"/>
      </w:rPr>
    </w:lvl>
    <w:lvl w:ilvl="2" w:tplc="66263EC2" w:tentative="1">
      <w:start w:val="1"/>
      <w:numFmt w:val="bullet"/>
      <w:lvlText w:val=""/>
      <w:lvlJc w:val="start"/>
      <w:pPr>
        <w:ind w:start="108pt" w:hanging="18pt"/>
      </w:pPr>
      <w:rPr>
        <w:rFonts w:ascii="Wingdings" w:hAnsi="Wingdings" w:hint="default"/>
      </w:rPr>
    </w:lvl>
    <w:lvl w:ilvl="3" w:tplc="EA5C4AE8" w:tentative="1">
      <w:start w:val="1"/>
      <w:numFmt w:val="bullet"/>
      <w:lvlText w:val=""/>
      <w:lvlJc w:val="start"/>
      <w:pPr>
        <w:ind w:start="144pt" w:hanging="18pt"/>
      </w:pPr>
      <w:rPr>
        <w:rFonts w:ascii="Symbol" w:hAnsi="Symbol" w:hint="default"/>
      </w:rPr>
    </w:lvl>
    <w:lvl w:ilvl="4" w:tplc="F522BB6E" w:tentative="1">
      <w:start w:val="1"/>
      <w:numFmt w:val="bullet"/>
      <w:lvlText w:val="o"/>
      <w:lvlJc w:val="start"/>
      <w:pPr>
        <w:ind w:start="180pt" w:hanging="18pt"/>
      </w:pPr>
      <w:rPr>
        <w:rFonts w:ascii="Courier New" w:hAnsi="Courier New" w:cs="Courier New" w:hint="default"/>
      </w:rPr>
    </w:lvl>
    <w:lvl w:ilvl="5" w:tplc="25D4A73A" w:tentative="1">
      <w:start w:val="1"/>
      <w:numFmt w:val="bullet"/>
      <w:lvlText w:val=""/>
      <w:lvlJc w:val="start"/>
      <w:pPr>
        <w:ind w:start="216pt" w:hanging="18pt"/>
      </w:pPr>
      <w:rPr>
        <w:rFonts w:ascii="Wingdings" w:hAnsi="Wingdings" w:hint="default"/>
      </w:rPr>
    </w:lvl>
    <w:lvl w:ilvl="6" w:tplc="C94E4120" w:tentative="1">
      <w:start w:val="1"/>
      <w:numFmt w:val="bullet"/>
      <w:lvlText w:val=""/>
      <w:lvlJc w:val="start"/>
      <w:pPr>
        <w:ind w:start="252pt" w:hanging="18pt"/>
      </w:pPr>
      <w:rPr>
        <w:rFonts w:ascii="Symbol" w:hAnsi="Symbol" w:hint="default"/>
      </w:rPr>
    </w:lvl>
    <w:lvl w:ilvl="7" w:tplc="F20EA454" w:tentative="1">
      <w:start w:val="1"/>
      <w:numFmt w:val="bullet"/>
      <w:lvlText w:val="o"/>
      <w:lvlJc w:val="start"/>
      <w:pPr>
        <w:ind w:start="288pt" w:hanging="18pt"/>
      </w:pPr>
      <w:rPr>
        <w:rFonts w:ascii="Courier New" w:hAnsi="Courier New" w:cs="Courier New" w:hint="default"/>
      </w:rPr>
    </w:lvl>
    <w:lvl w:ilvl="8" w:tplc="BF7A4584" w:tentative="1">
      <w:start w:val="1"/>
      <w:numFmt w:val="bullet"/>
      <w:lvlText w:val=""/>
      <w:lvlJc w:val="start"/>
      <w:pPr>
        <w:ind w:start="324pt" w:hanging="18pt"/>
      </w:pPr>
      <w:rPr>
        <w:rFonts w:ascii="Wingdings" w:hAnsi="Wingdings" w:hint="default"/>
      </w:rPr>
    </w:lvl>
  </w:abstractNum>
  <w:abstractNum w:abstractNumId="221" w15:restartNumberingAfterBreak="0">
    <w:nsid w:val="6C844441"/>
    <w:multiLevelType w:val="hybridMultilevel"/>
    <w:tmpl w:val="91FAC8F0"/>
    <w:lvl w:ilvl="0" w:tplc="7F08B220">
      <w:start w:val="1"/>
      <w:numFmt w:val="bullet"/>
      <w:lvlText w:val=""/>
      <w:lvlJc w:val="start"/>
      <w:pPr>
        <w:ind w:start="36pt" w:hanging="18pt"/>
      </w:pPr>
      <w:rPr>
        <w:rFonts w:ascii="Wingdings" w:hAnsi="Wingdings" w:hint="default"/>
      </w:rPr>
    </w:lvl>
    <w:lvl w:ilvl="1" w:tplc="EE4461E4">
      <w:start w:val="1"/>
      <w:numFmt w:val="bullet"/>
      <w:lvlText w:val="o"/>
      <w:lvlJc w:val="start"/>
      <w:pPr>
        <w:ind w:start="72pt" w:hanging="18pt"/>
      </w:pPr>
      <w:rPr>
        <w:rFonts w:ascii="Courier New" w:hAnsi="Courier New" w:cs="Courier New" w:hint="default"/>
      </w:rPr>
    </w:lvl>
    <w:lvl w:ilvl="2" w:tplc="D3005700">
      <w:start w:val="1"/>
      <w:numFmt w:val="bullet"/>
      <w:lvlText w:val=""/>
      <w:lvlJc w:val="start"/>
      <w:pPr>
        <w:ind w:start="108pt" w:hanging="18pt"/>
      </w:pPr>
      <w:rPr>
        <w:rFonts w:ascii="Wingdings" w:hAnsi="Wingdings" w:hint="default"/>
      </w:rPr>
    </w:lvl>
    <w:lvl w:ilvl="3" w:tplc="2BF824B2">
      <w:start w:val="1"/>
      <w:numFmt w:val="bullet"/>
      <w:lvlText w:val=""/>
      <w:lvlJc w:val="start"/>
      <w:pPr>
        <w:ind w:start="144pt" w:hanging="18pt"/>
      </w:pPr>
      <w:rPr>
        <w:rFonts w:ascii="Symbol" w:hAnsi="Symbol" w:hint="default"/>
      </w:rPr>
    </w:lvl>
    <w:lvl w:ilvl="4" w:tplc="1AA6A754">
      <w:start w:val="1"/>
      <w:numFmt w:val="bullet"/>
      <w:lvlText w:val="o"/>
      <w:lvlJc w:val="start"/>
      <w:pPr>
        <w:ind w:start="180pt" w:hanging="18pt"/>
      </w:pPr>
      <w:rPr>
        <w:rFonts w:ascii="Courier New" w:hAnsi="Courier New" w:cs="Courier New" w:hint="default"/>
      </w:rPr>
    </w:lvl>
    <w:lvl w:ilvl="5" w:tplc="BE3E05F0">
      <w:start w:val="1"/>
      <w:numFmt w:val="bullet"/>
      <w:lvlText w:val=""/>
      <w:lvlJc w:val="start"/>
      <w:pPr>
        <w:ind w:start="216pt" w:hanging="18pt"/>
      </w:pPr>
      <w:rPr>
        <w:rFonts w:ascii="Wingdings" w:hAnsi="Wingdings" w:hint="default"/>
      </w:rPr>
    </w:lvl>
    <w:lvl w:ilvl="6" w:tplc="4B1855F6">
      <w:start w:val="1"/>
      <w:numFmt w:val="bullet"/>
      <w:lvlText w:val=""/>
      <w:lvlJc w:val="start"/>
      <w:pPr>
        <w:ind w:start="252pt" w:hanging="18pt"/>
      </w:pPr>
      <w:rPr>
        <w:rFonts w:ascii="Symbol" w:hAnsi="Symbol" w:hint="default"/>
      </w:rPr>
    </w:lvl>
    <w:lvl w:ilvl="7" w:tplc="2C7A8BD6">
      <w:start w:val="1"/>
      <w:numFmt w:val="bullet"/>
      <w:lvlText w:val="o"/>
      <w:lvlJc w:val="start"/>
      <w:pPr>
        <w:ind w:start="288pt" w:hanging="18pt"/>
      </w:pPr>
      <w:rPr>
        <w:rFonts w:ascii="Courier New" w:hAnsi="Courier New" w:cs="Courier New" w:hint="default"/>
      </w:rPr>
    </w:lvl>
    <w:lvl w:ilvl="8" w:tplc="0EA059C0">
      <w:start w:val="1"/>
      <w:numFmt w:val="bullet"/>
      <w:lvlText w:val=""/>
      <w:lvlJc w:val="start"/>
      <w:pPr>
        <w:ind w:start="324pt" w:hanging="18pt"/>
      </w:pPr>
      <w:rPr>
        <w:rFonts w:ascii="Wingdings" w:hAnsi="Wingdings" w:hint="default"/>
      </w:rPr>
    </w:lvl>
  </w:abstractNum>
  <w:abstractNum w:abstractNumId="222" w15:restartNumberingAfterBreak="0">
    <w:nsid w:val="6CAF5388"/>
    <w:multiLevelType w:val="hybridMultilevel"/>
    <w:tmpl w:val="9C9459CA"/>
    <w:lvl w:ilvl="0" w:tplc="E06055C6">
      <w:start w:val="6"/>
      <w:numFmt w:val="bullet"/>
      <w:lvlText w:val="•"/>
      <w:lvlJc w:val="start"/>
      <w:pPr>
        <w:ind w:start="39.45pt" w:hanging="18pt"/>
      </w:pPr>
      <w:rPr>
        <w:rFonts w:ascii="Century Gothic" w:eastAsia="Calibri" w:hAnsi="Century Gothic" w:cs="Arial" w:hint="default"/>
      </w:rPr>
    </w:lvl>
    <w:lvl w:ilvl="1" w:tplc="0F76A652" w:tentative="1">
      <w:start w:val="1"/>
      <w:numFmt w:val="bullet"/>
      <w:lvlText w:val="o"/>
      <w:lvlJc w:val="start"/>
      <w:pPr>
        <w:ind w:start="75.45pt" w:hanging="18pt"/>
      </w:pPr>
      <w:rPr>
        <w:rFonts w:ascii="Courier New" w:hAnsi="Courier New" w:cs="Courier New" w:hint="default"/>
      </w:rPr>
    </w:lvl>
    <w:lvl w:ilvl="2" w:tplc="3C36532E" w:tentative="1">
      <w:start w:val="1"/>
      <w:numFmt w:val="bullet"/>
      <w:lvlText w:val=""/>
      <w:lvlJc w:val="start"/>
      <w:pPr>
        <w:ind w:start="111.45pt" w:hanging="18pt"/>
      </w:pPr>
      <w:rPr>
        <w:rFonts w:ascii="Wingdings" w:hAnsi="Wingdings" w:hint="default"/>
      </w:rPr>
    </w:lvl>
    <w:lvl w:ilvl="3" w:tplc="A4CCADF4" w:tentative="1">
      <w:start w:val="1"/>
      <w:numFmt w:val="bullet"/>
      <w:lvlText w:val=""/>
      <w:lvlJc w:val="start"/>
      <w:pPr>
        <w:ind w:start="147.40pt" w:hanging="18pt"/>
      </w:pPr>
      <w:rPr>
        <w:rFonts w:ascii="Symbol" w:hAnsi="Symbol" w:hint="default"/>
      </w:rPr>
    </w:lvl>
    <w:lvl w:ilvl="4" w:tplc="E5CE983A" w:tentative="1">
      <w:start w:val="1"/>
      <w:numFmt w:val="bullet"/>
      <w:lvlText w:val="o"/>
      <w:lvlJc w:val="start"/>
      <w:pPr>
        <w:ind w:start="183.45pt" w:hanging="18pt"/>
      </w:pPr>
      <w:rPr>
        <w:rFonts w:ascii="Courier New" w:hAnsi="Courier New" w:cs="Courier New" w:hint="default"/>
      </w:rPr>
    </w:lvl>
    <w:lvl w:ilvl="5" w:tplc="81CC0D96" w:tentative="1">
      <w:start w:val="1"/>
      <w:numFmt w:val="bullet"/>
      <w:lvlText w:val=""/>
      <w:lvlJc w:val="start"/>
      <w:pPr>
        <w:ind w:start="219.45pt" w:hanging="18pt"/>
      </w:pPr>
      <w:rPr>
        <w:rFonts w:ascii="Wingdings" w:hAnsi="Wingdings" w:hint="default"/>
      </w:rPr>
    </w:lvl>
    <w:lvl w:ilvl="6" w:tplc="809A3732" w:tentative="1">
      <w:start w:val="1"/>
      <w:numFmt w:val="bullet"/>
      <w:lvlText w:val=""/>
      <w:lvlJc w:val="start"/>
      <w:pPr>
        <w:ind w:start="255.45pt" w:hanging="18pt"/>
      </w:pPr>
      <w:rPr>
        <w:rFonts w:ascii="Symbol" w:hAnsi="Symbol" w:hint="default"/>
      </w:rPr>
    </w:lvl>
    <w:lvl w:ilvl="7" w:tplc="F0907818" w:tentative="1">
      <w:start w:val="1"/>
      <w:numFmt w:val="bullet"/>
      <w:lvlText w:val="o"/>
      <w:lvlJc w:val="start"/>
      <w:pPr>
        <w:ind w:start="291.45pt" w:hanging="18pt"/>
      </w:pPr>
      <w:rPr>
        <w:rFonts w:ascii="Courier New" w:hAnsi="Courier New" w:cs="Courier New" w:hint="default"/>
      </w:rPr>
    </w:lvl>
    <w:lvl w:ilvl="8" w:tplc="D3806830" w:tentative="1">
      <w:start w:val="1"/>
      <w:numFmt w:val="bullet"/>
      <w:lvlText w:val=""/>
      <w:lvlJc w:val="start"/>
      <w:pPr>
        <w:ind w:start="327.45pt" w:hanging="18pt"/>
      </w:pPr>
      <w:rPr>
        <w:rFonts w:ascii="Wingdings" w:hAnsi="Wingdings" w:hint="default"/>
      </w:rPr>
    </w:lvl>
  </w:abstractNum>
  <w:abstractNum w:abstractNumId="223" w15:restartNumberingAfterBreak="0">
    <w:nsid w:val="6CC63DBD"/>
    <w:multiLevelType w:val="multilevel"/>
    <w:tmpl w:val="953CAD8C"/>
    <w:lvl w:ilvl="0">
      <w:start w:val="1"/>
      <w:numFmt w:val="decimal"/>
      <w:lvlText w:val="%1."/>
      <w:lvlJc w:val="start"/>
      <w:pPr>
        <w:ind w:start="36pt" w:hanging="18pt"/>
      </w:pPr>
    </w:lvl>
    <w:lvl w:ilvl="1">
      <w:start w:val="2"/>
      <w:numFmt w:val="decimal"/>
      <w:isLgl/>
      <w:lvlText w:val="%1.%2"/>
      <w:lvlJc w:val="start"/>
      <w:pPr>
        <w:ind w:start="67.65pt" w:hanging="18pt"/>
      </w:pPr>
    </w:lvl>
    <w:lvl w:ilvl="2">
      <w:start w:val="1"/>
      <w:numFmt w:val="upperLetter"/>
      <w:isLgl/>
      <w:lvlText w:val="%1.%2.%3"/>
      <w:lvlJc w:val="start"/>
      <w:pPr>
        <w:ind w:start="117.30pt" w:hanging="36pt"/>
      </w:pPr>
    </w:lvl>
    <w:lvl w:ilvl="3">
      <w:start w:val="1"/>
      <w:numFmt w:val="upperRoman"/>
      <w:isLgl/>
      <w:lvlText w:val="%1.%2.%3.%4"/>
      <w:lvlJc w:val="start"/>
      <w:pPr>
        <w:ind w:start="166.95pt" w:hanging="54pt"/>
      </w:pPr>
    </w:lvl>
    <w:lvl w:ilvl="4">
      <w:start w:val="1"/>
      <w:numFmt w:val="decimal"/>
      <w:isLgl/>
      <w:lvlText w:val="%1.%2.%3.%4.%5"/>
      <w:lvlJc w:val="start"/>
      <w:pPr>
        <w:ind w:start="198.60pt" w:hanging="54pt"/>
      </w:pPr>
    </w:lvl>
    <w:lvl w:ilvl="5">
      <w:start w:val="1"/>
      <w:numFmt w:val="decimal"/>
      <w:isLgl/>
      <w:lvlText w:val="%1.%2.%3.%4.%5.%6"/>
      <w:lvlJc w:val="start"/>
      <w:pPr>
        <w:ind w:start="230.25pt" w:hanging="54pt"/>
      </w:pPr>
    </w:lvl>
    <w:lvl w:ilvl="6">
      <w:start w:val="1"/>
      <w:numFmt w:val="decimal"/>
      <w:isLgl/>
      <w:lvlText w:val="%1.%2.%3.%4.%5.%6.%7"/>
      <w:lvlJc w:val="start"/>
      <w:pPr>
        <w:ind w:start="279.85pt" w:hanging="72pt"/>
      </w:pPr>
    </w:lvl>
    <w:lvl w:ilvl="7">
      <w:start w:val="1"/>
      <w:numFmt w:val="decimal"/>
      <w:isLgl/>
      <w:lvlText w:val="%1.%2.%3.%4.%5.%6.%7.%8"/>
      <w:lvlJc w:val="start"/>
      <w:pPr>
        <w:ind w:start="311.55pt" w:hanging="72pt"/>
      </w:pPr>
    </w:lvl>
    <w:lvl w:ilvl="8">
      <w:start w:val="1"/>
      <w:numFmt w:val="decimal"/>
      <w:isLgl/>
      <w:lvlText w:val="%1.%2.%3.%4.%5.%6.%7.%8.%9"/>
      <w:lvlJc w:val="start"/>
      <w:pPr>
        <w:ind w:start="361.20pt" w:hanging="90pt"/>
      </w:pPr>
    </w:lvl>
  </w:abstractNum>
  <w:abstractNum w:abstractNumId="224" w15:restartNumberingAfterBreak="0">
    <w:nsid w:val="6CC76A7E"/>
    <w:multiLevelType w:val="hybridMultilevel"/>
    <w:tmpl w:val="B5F6257A"/>
    <w:lvl w:ilvl="0" w:tplc="CE3087A8">
      <w:start w:val="1"/>
      <w:numFmt w:val="bullet"/>
      <w:lvlText w:val="o"/>
      <w:lvlJc w:val="start"/>
      <w:pPr>
        <w:ind w:start="60.75pt" w:hanging="18pt"/>
      </w:pPr>
      <w:rPr>
        <w:rFonts w:ascii="Courier New" w:hAnsi="Courier New" w:cs="Courier New" w:hint="default"/>
      </w:rPr>
    </w:lvl>
    <w:lvl w:ilvl="1" w:tplc="CADAA3EA">
      <w:start w:val="1"/>
      <w:numFmt w:val="bullet"/>
      <w:lvlText w:val="o"/>
      <w:lvlJc w:val="start"/>
      <w:pPr>
        <w:ind w:start="96.75pt" w:hanging="18pt"/>
      </w:pPr>
      <w:rPr>
        <w:rFonts w:ascii="Courier New" w:hAnsi="Courier New" w:cs="Courier New" w:hint="default"/>
      </w:rPr>
    </w:lvl>
    <w:lvl w:ilvl="2" w:tplc="DA50BDBC">
      <w:start w:val="1"/>
      <w:numFmt w:val="bullet"/>
      <w:lvlText w:val=""/>
      <w:lvlJc w:val="start"/>
      <w:pPr>
        <w:ind w:start="132.75pt" w:hanging="18pt"/>
      </w:pPr>
      <w:rPr>
        <w:rFonts w:ascii="Wingdings" w:hAnsi="Wingdings" w:hint="default"/>
      </w:rPr>
    </w:lvl>
    <w:lvl w:ilvl="3" w:tplc="5BD8EC06">
      <w:start w:val="1"/>
      <w:numFmt w:val="bullet"/>
      <w:lvlText w:val=""/>
      <w:lvlJc w:val="start"/>
      <w:pPr>
        <w:ind w:start="168.75pt" w:hanging="18pt"/>
      </w:pPr>
      <w:rPr>
        <w:rFonts w:ascii="Symbol" w:hAnsi="Symbol" w:hint="default"/>
      </w:rPr>
    </w:lvl>
    <w:lvl w:ilvl="4" w:tplc="57909E7C">
      <w:start w:val="1"/>
      <w:numFmt w:val="bullet"/>
      <w:lvlText w:val="o"/>
      <w:lvlJc w:val="start"/>
      <w:pPr>
        <w:ind w:start="204.75pt" w:hanging="18pt"/>
      </w:pPr>
      <w:rPr>
        <w:rFonts w:ascii="Courier New" w:hAnsi="Courier New" w:cs="Courier New" w:hint="default"/>
      </w:rPr>
    </w:lvl>
    <w:lvl w:ilvl="5" w:tplc="9D961B9C">
      <w:start w:val="1"/>
      <w:numFmt w:val="bullet"/>
      <w:lvlText w:val=""/>
      <w:lvlJc w:val="start"/>
      <w:pPr>
        <w:ind w:start="240.75pt" w:hanging="18pt"/>
      </w:pPr>
      <w:rPr>
        <w:rFonts w:ascii="Wingdings" w:hAnsi="Wingdings" w:hint="default"/>
      </w:rPr>
    </w:lvl>
    <w:lvl w:ilvl="6" w:tplc="9CD8A348">
      <w:start w:val="1"/>
      <w:numFmt w:val="bullet"/>
      <w:lvlText w:val=""/>
      <w:lvlJc w:val="start"/>
      <w:pPr>
        <w:ind w:start="276.75pt" w:hanging="18pt"/>
      </w:pPr>
      <w:rPr>
        <w:rFonts w:ascii="Symbol" w:hAnsi="Symbol" w:hint="default"/>
      </w:rPr>
    </w:lvl>
    <w:lvl w:ilvl="7" w:tplc="6EF8C242">
      <w:start w:val="1"/>
      <w:numFmt w:val="bullet"/>
      <w:lvlText w:val="o"/>
      <w:lvlJc w:val="start"/>
      <w:pPr>
        <w:ind w:start="312.75pt" w:hanging="18pt"/>
      </w:pPr>
      <w:rPr>
        <w:rFonts w:ascii="Courier New" w:hAnsi="Courier New" w:cs="Courier New" w:hint="default"/>
      </w:rPr>
    </w:lvl>
    <w:lvl w:ilvl="8" w:tplc="1920359E">
      <w:start w:val="1"/>
      <w:numFmt w:val="bullet"/>
      <w:lvlText w:val=""/>
      <w:lvlJc w:val="start"/>
      <w:pPr>
        <w:ind w:start="348.75pt" w:hanging="18pt"/>
      </w:pPr>
      <w:rPr>
        <w:rFonts w:ascii="Wingdings" w:hAnsi="Wingdings" w:hint="default"/>
      </w:rPr>
    </w:lvl>
  </w:abstractNum>
  <w:abstractNum w:abstractNumId="225" w15:restartNumberingAfterBreak="0">
    <w:nsid w:val="6DBB6758"/>
    <w:multiLevelType w:val="hybridMultilevel"/>
    <w:tmpl w:val="46628FEE"/>
    <w:lvl w:ilvl="0" w:tplc="50CE4BC4">
      <w:start w:val="1"/>
      <w:numFmt w:val="bullet"/>
      <w:lvlText w:val=""/>
      <w:lvlJc w:val="start"/>
      <w:pPr>
        <w:ind w:start="36pt" w:hanging="18pt"/>
      </w:pPr>
      <w:rPr>
        <w:rFonts w:ascii="Symbol" w:hAnsi="Symbol" w:hint="default"/>
        <w:strike w:val="0"/>
        <w:color w:val="auto"/>
      </w:rPr>
    </w:lvl>
    <w:lvl w:ilvl="1" w:tplc="3794A66E">
      <w:start w:val="1"/>
      <w:numFmt w:val="bullet"/>
      <w:lvlText w:val="o"/>
      <w:lvlJc w:val="start"/>
      <w:pPr>
        <w:ind w:start="72pt" w:hanging="18pt"/>
      </w:pPr>
      <w:rPr>
        <w:rFonts w:ascii="Courier New" w:hAnsi="Courier New" w:cs="Courier New" w:hint="default"/>
      </w:rPr>
    </w:lvl>
    <w:lvl w:ilvl="2" w:tplc="58B47456">
      <w:start w:val="1"/>
      <w:numFmt w:val="bullet"/>
      <w:lvlText w:val=""/>
      <w:lvlJc w:val="start"/>
      <w:pPr>
        <w:ind w:start="108pt" w:hanging="18pt"/>
      </w:pPr>
      <w:rPr>
        <w:rFonts w:ascii="Wingdings" w:hAnsi="Wingdings" w:hint="default"/>
      </w:rPr>
    </w:lvl>
    <w:lvl w:ilvl="3" w:tplc="7FCC5C98">
      <w:start w:val="1"/>
      <w:numFmt w:val="bullet"/>
      <w:lvlText w:val=""/>
      <w:lvlJc w:val="start"/>
      <w:pPr>
        <w:ind w:start="144pt" w:hanging="18pt"/>
      </w:pPr>
      <w:rPr>
        <w:rFonts w:ascii="Symbol" w:hAnsi="Symbol" w:hint="default"/>
      </w:rPr>
    </w:lvl>
    <w:lvl w:ilvl="4" w:tplc="98F6A54E">
      <w:start w:val="1"/>
      <w:numFmt w:val="bullet"/>
      <w:lvlText w:val="o"/>
      <w:lvlJc w:val="start"/>
      <w:pPr>
        <w:ind w:start="180pt" w:hanging="18pt"/>
      </w:pPr>
      <w:rPr>
        <w:rFonts w:ascii="Courier New" w:hAnsi="Courier New" w:cs="Courier New" w:hint="default"/>
      </w:rPr>
    </w:lvl>
    <w:lvl w:ilvl="5" w:tplc="2BA22F08">
      <w:start w:val="1"/>
      <w:numFmt w:val="bullet"/>
      <w:lvlText w:val=""/>
      <w:lvlJc w:val="start"/>
      <w:pPr>
        <w:ind w:start="216pt" w:hanging="18pt"/>
      </w:pPr>
      <w:rPr>
        <w:rFonts w:ascii="Wingdings" w:hAnsi="Wingdings" w:hint="default"/>
      </w:rPr>
    </w:lvl>
    <w:lvl w:ilvl="6" w:tplc="A2E83C80">
      <w:start w:val="1"/>
      <w:numFmt w:val="bullet"/>
      <w:lvlText w:val=""/>
      <w:lvlJc w:val="start"/>
      <w:pPr>
        <w:ind w:start="252pt" w:hanging="18pt"/>
      </w:pPr>
      <w:rPr>
        <w:rFonts w:ascii="Symbol" w:hAnsi="Symbol" w:hint="default"/>
      </w:rPr>
    </w:lvl>
    <w:lvl w:ilvl="7" w:tplc="639CF750">
      <w:start w:val="1"/>
      <w:numFmt w:val="bullet"/>
      <w:lvlText w:val="o"/>
      <w:lvlJc w:val="start"/>
      <w:pPr>
        <w:ind w:start="288pt" w:hanging="18pt"/>
      </w:pPr>
      <w:rPr>
        <w:rFonts w:ascii="Courier New" w:hAnsi="Courier New" w:cs="Courier New" w:hint="default"/>
      </w:rPr>
    </w:lvl>
    <w:lvl w:ilvl="8" w:tplc="41CEC5EC">
      <w:start w:val="1"/>
      <w:numFmt w:val="bullet"/>
      <w:lvlText w:val=""/>
      <w:lvlJc w:val="start"/>
      <w:pPr>
        <w:ind w:start="324pt" w:hanging="18pt"/>
      </w:pPr>
      <w:rPr>
        <w:rFonts w:ascii="Wingdings" w:hAnsi="Wingdings" w:hint="default"/>
      </w:rPr>
    </w:lvl>
  </w:abstractNum>
  <w:abstractNum w:abstractNumId="226" w15:restartNumberingAfterBreak="0">
    <w:nsid w:val="6FE5769E"/>
    <w:multiLevelType w:val="hybridMultilevel"/>
    <w:tmpl w:val="B8BC7238"/>
    <w:lvl w:ilvl="0" w:tplc="36C6B4C6">
      <w:start w:val="6"/>
      <w:numFmt w:val="bullet"/>
      <w:lvlText w:val="•"/>
      <w:lvlJc w:val="start"/>
      <w:pPr>
        <w:ind w:start="36pt" w:hanging="18pt"/>
      </w:pPr>
      <w:rPr>
        <w:rFonts w:ascii="Century Gothic" w:eastAsia="Calibri" w:hAnsi="Century Gothic" w:cs="Arial" w:hint="default"/>
      </w:rPr>
    </w:lvl>
    <w:lvl w:ilvl="1" w:tplc="080A0003">
      <w:start w:val="1"/>
      <w:numFmt w:val="bullet"/>
      <w:lvlText w:val="o"/>
      <w:lvlJc w:val="start"/>
      <w:pPr>
        <w:ind w:start="72pt" w:hanging="18pt"/>
      </w:pPr>
      <w:rPr>
        <w:rFonts w:ascii="Courier New" w:hAnsi="Courier New" w:cs="Courier New" w:hint="default"/>
      </w:rPr>
    </w:lvl>
    <w:lvl w:ilvl="2" w:tplc="080A0005">
      <w:start w:val="1"/>
      <w:numFmt w:val="bullet"/>
      <w:lvlText w:val=""/>
      <w:lvlJc w:val="start"/>
      <w:pPr>
        <w:ind w:start="108pt" w:hanging="18pt"/>
      </w:pPr>
      <w:rPr>
        <w:rFonts w:ascii="Wingdings" w:hAnsi="Wingdings" w:hint="default"/>
      </w:rPr>
    </w:lvl>
    <w:lvl w:ilvl="3" w:tplc="080A0001">
      <w:start w:val="1"/>
      <w:numFmt w:val="bullet"/>
      <w:lvlText w:val=""/>
      <w:lvlJc w:val="start"/>
      <w:pPr>
        <w:ind w:start="144pt" w:hanging="18pt"/>
      </w:pPr>
      <w:rPr>
        <w:rFonts w:ascii="Symbol" w:hAnsi="Symbol" w:hint="default"/>
      </w:rPr>
    </w:lvl>
    <w:lvl w:ilvl="4" w:tplc="080A0003">
      <w:start w:val="1"/>
      <w:numFmt w:val="bullet"/>
      <w:lvlText w:val="o"/>
      <w:lvlJc w:val="start"/>
      <w:pPr>
        <w:ind w:start="180pt" w:hanging="18pt"/>
      </w:pPr>
      <w:rPr>
        <w:rFonts w:ascii="Courier New" w:hAnsi="Courier New" w:cs="Courier New" w:hint="default"/>
      </w:rPr>
    </w:lvl>
    <w:lvl w:ilvl="5" w:tplc="080A0005">
      <w:start w:val="1"/>
      <w:numFmt w:val="bullet"/>
      <w:lvlText w:val=""/>
      <w:lvlJc w:val="start"/>
      <w:pPr>
        <w:ind w:start="216pt" w:hanging="18pt"/>
      </w:pPr>
      <w:rPr>
        <w:rFonts w:ascii="Wingdings" w:hAnsi="Wingdings" w:hint="default"/>
      </w:rPr>
    </w:lvl>
    <w:lvl w:ilvl="6" w:tplc="080A0001">
      <w:start w:val="1"/>
      <w:numFmt w:val="bullet"/>
      <w:lvlText w:val=""/>
      <w:lvlJc w:val="start"/>
      <w:pPr>
        <w:ind w:start="252pt" w:hanging="18pt"/>
      </w:pPr>
      <w:rPr>
        <w:rFonts w:ascii="Symbol" w:hAnsi="Symbol" w:hint="default"/>
      </w:rPr>
    </w:lvl>
    <w:lvl w:ilvl="7" w:tplc="080A0003">
      <w:start w:val="1"/>
      <w:numFmt w:val="bullet"/>
      <w:lvlText w:val="o"/>
      <w:lvlJc w:val="start"/>
      <w:pPr>
        <w:ind w:start="288pt" w:hanging="18pt"/>
      </w:pPr>
      <w:rPr>
        <w:rFonts w:ascii="Courier New" w:hAnsi="Courier New" w:cs="Courier New" w:hint="default"/>
      </w:rPr>
    </w:lvl>
    <w:lvl w:ilvl="8" w:tplc="080A0005">
      <w:start w:val="1"/>
      <w:numFmt w:val="bullet"/>
      <w:lvlText w:val=""/>
      <w:lvlJc w:val="start"/>
      <w:pPr>
        <w:ind w:start="324pt" w:hanging="18pt"/>
      </w:pPr>
      <w:rPr>
        <w:rFonts w:ascii="Wingdings" w:hAnsi="Wingdings" w:hint="default"/>
      </w:rPr>
    </w:lvl>
  </w:abstractNum>
  <w:abstractNum w:abstractNumId="227" w15:restartNumberingAfterBreak="0">
    <w:nsid w:val="701F1CE7"/>
    <w:multiLevelType w:val="hybridMultilevel"/>
    <w:tmpl w:val="18BA05A2"/>
    <w:lvl w:ilvl="0" w:tplc="472606EA">
      <w:start w:val="6"/>
      <w:numFmt w:val="bullet"/>
      <w:lvlText w:val="•"/>
      <w:lvlJc w:val="start"/>
      <w:pPr>
        <w:ind w:start="36pt" w:hanging="18pt"/>
      </w:pPr>
      <w:rPr>
        <w:rFonts w:ascii="Century Gothic" w:eastAsia="Calibri" w:hAnsi="Century Gothic" w:cs="Arial" w:hint="default"/>
      </w:rPr>
    </w:lvl>
    <w:lvl w:ilvl="1" w:tplc="C1465250" w:tentative="1">
      <w:start w:val="1"/>
      <w:numFmt w:val="bullet"/>
      <w:lvlText w:val="o"/>
      <w:lvlJc w:val="start"/>
      <w:pPr>
        <w:ind w:start="72pt" w:hanging="18pt"/>
      </w:pPr>
      <w:rPr>
        <w:rFonts w:ascii="Courier New" w:hAnsi="Courier New" w:cs="Courier New" w:hint="default"/>
      </w:rPr>
    </w:lvl>
    <w:lvl w:ilvl="2" w:tplc="38D0CADC" w:tentative="1">
      <w:start w:val="1"/>
      <w:numFmt w:val="bullet"/>
      <w:lvlText w:val=""/>
      <w:lvlJc w:val="start"/>
      <w:pPr>
        <w:ind w:start="108pt" w:hanging="18pt"/>
      </w:pPr>
      <w:rPr>
        <w:rFonts w:ascii="Wingdings" w:hAnsi="Wingdings" w:hint="default"/>
      </w:rPr>
    </w:lvl>
    <w:lvl w:ilvl="3" w:tplc="D348EEEA" w:tentative="1">
      <w:start w:val="1"/>
      <w:numFmt w:val="bullet"/>
      <w:lvlText w:val=""/>
      <w:lvlJc w:val="start"/>
      <w:pPr>
        <w:ind w:start="144pt" w:hanging="18pt"/>
      </w:pPr>
      <w:rPr>
        <w:rFonts w:ascii="Symbol" w:hAnsi="Symbol" w:hint="default"/>
      </w:rPr>
    </w:lvl>
    <w:lvl w:ilvl="4" w:tplc="1F78C6DC" w:tentative="1">
      <w:start w:val="1"/>
      <w:numFmt w:val="bullet"/>
      <w:lvlText w:val="o"/>
      <w:lvlJc w:val="start"/>
      <w:pPr>
        <w:ind w:start="180pt" w:hanging="18pt"/>
      </w:pPr>
      <w:rPr>
        <w:rFonts w:ascii="Courier New" w:hAnsi="Courier New" w:cs="Courier New" w:hint="default"/>
      </w:rPr>
    </w:lvl>
    <w:lvl w:ilvl="5" w:tplc="9774E9A4" w:tentative="1">
      <w:start w:val="1"/>
      <w:numFmt w:val="bullet"/>
      <w:lvlText w:val=""/>
      <w:lvlJc w:val="start"/>
      <w:pPr>
        <w:ind w:start="216pt" w:hanging="18pt"/>
      </w:pPr>
      <w:rPr>
        <w:rFonts w:ascii="Wingdings" w:hAnsi="Wingdings" w:hint="default"/>
      </w:rPr>
    </w:lvl>
    <w:lvl w:ilvl="6" w:tplc="E774DE4A" w:tentative="1">
      <w:start w:val="1"/>
      <w:numFmt w:val="bullet"/>
      <w:lvlText w:val=""/>
      <w:lvlJc w:val="start"/>
      <w:pPr>
        <w:ind w:start="252pt" w:hanging="18pt"/>
      </w:pPr>
      <w:rPr>
        <w:rFonts w:ascii="Symbol" w:hAnsi="Symbol" w:hint="default"/>
      </w:rPr>
    </w:lvl>
    <w:lvl w:ilvl="7" w:tplc="7B62F812" w:tentative="1">
      <w:start w:val="1"/>
      <w:numFmt w:val="bullet"/>
      <w:lvlText w:val="o"/>
      <w:lvlJc w:val="start"/>
      <w:pPr>
        <w:ind w:start="288pt" w:hanging="18pt"/>
      </w:pPr>
      <w:rPr>
        <w:rFonts w:ascii="Courier New" w:hAnsi="Courier New" w:cs="Courier New" w:hint="default"/>
      </w:rPr>
    </w:lvl>
    <w:lvl w:ilvl="8" w:tplc="5EA8DAB6" w:tentative="1">
      <w:start w:val="1"/>
      <w:numFmt w:val="bullet"/>
      <w:lvlText w:val=""/>
      <w:lvlJc w:val="start"/>
      <w:pPr>
        <w:ind w:start="324pt" w:hanging="18pt"/>
      </w:pPr>
      <w:rPr>
        <w:rFonts w:ascii="Wingdings" w:hAnsi="Wingdings" w:hint="default"/>
      </w:rPr>
    </w:lvl>
  </w:abstractNum>
  <w:abstractNum w:abstractNumId="228" w15:restartNumberingAfterBreak="0">
    <w:nsid w:val="7058376F"/>
    <w:multiLevelType w:val="hybridMultilevel"/>
    <w:tmpl w:val="C25252DE"/>
    <w:lvl w:ilvl="0" w:tplc="F7DA23F4">
      <w:start w:val="1"/>
      <w:numFmt w:val="bullet"/>
      <w:lvlText w:val=""/>
      <w:lvlJc w:val="start"/>
      <w:pPr>
        <w:ind w:start="36pt" w:hanging="18pt"/>
      </w:pPr>
      <w:rPr>
        <w:rFonts w:ascii="Symbol" w:hAnsi="Symbol" w:hint="default"/>
      </w:rPr>
    </w:lvl>
    <w:lvl w:ilvl="1" w:tplc="ACF8152E" w:tentative="1">
      <w:start w:val="1"/>
      <w:numFmt w:val="bullet"/>
      <w:lvlText w:val="o"/>
      <w:lvlJc w:val="start"/>
      <w:pPr>
        <w:ind w:start="72pt" w:hanging="18pt"/>
      </w:pPr>
      <w:rPr>
        <w:rFonts w:ascii="Courier New" w:hAnsi="Courier New" w:cs="Courier New" w:hint="default"/>
      </w:rPr>
    </w:lvl>
    <w:lvl w:ilvl="2" w:tplc="CA547B70" w:tentative="1">
      <w:start w:val="1"/>
      <w:numFmt w:val="bullet"/>
      <w:lvlText w:val=""/>
      <w:lvlJc w:val="start"/>
      <w:pPr>
        <w:ind w:start="108pt" w:hanging="18pt"/>
      </w:pPr>
      <w:rPr>
        <w:rFonts w:ascii="Wingdings" w:hAnsi="Wingdings" w:hint="default"/>
      </w:rPr>
    </w:lvl>
    <w:lvl w:ilvl="3" w:tplc="0C9057D0" w:tentative="1">
      <w:start w:val="1"/>
      <w:numFmt w:val="bullet"/>
      <w:lvlText w:val=""/>
      <w:lvlJc w:val="start"/>
      <w:pPr>
        <w:ind w:start="144pt" w:hanging="18pt"/>
      </w:pPr>
      <w:rPr>
        <w:rFonts w:ascii="Symbol" w:hAnsi="Symbol" w:hint="default"/>
      </w:rPr>
    </w:lvl>
    <w:lvl w:ilvl="4" w:tplc="1F5EDB18" w:tentative="1">
      <w:start w:val="1"/>
      <w:numFmt w:val="bullet"/>
      <w:lvlText w:val="o"/>
      <w:lvlJc w:val="start"/>
      <w:pPr>
        <w:ind w:start="180pt" w:hanging="18pt"/>
      </w:pPr>
      <w:rPr>
        <w:rFonts w:ascii="Courier New" w:hAnsi="Courier New" w:cs="Courier New" w:hint="default"/>
      </w:rPr>
    </w:lvl>
    <w:lvl w:ilvl="5" w:tplc="E6CA51EA" w:tentative="1">
      <w:start w:val="1"/>
      <w:numFmt w:val="bullet"/>
      <w:lvlText w:val=""/>
      <w:lvlJc w:val="start"/>
      <w:pPr>
        <w:ind w:start="216pt" w:hanging="18pt"/>
      </w:pPr>
      <w:rPr>
        <w:rFonts w:ascii="Wingdings" w:hAnsi="Wingdings" w:hint="default"/>
      </w:rPr>
    </w:lvl>
    <w:lvl w:ilvl="6" w:tplc="CDB8A850" w:tentative="1">
      <w:start w:val="1"/>
      <w:numFmt w:val="bullet"/>
      <w:lvlText w:val=""/>
      <w:lvlJc w:val="start"/>
      <w:pPr>
        <w:ind w:start="252pt" w:hanging="18pt"/>
      </w:pPr>
      <w:rPr>
        <w:rFonts w:ascii="Symbol" w:hAnsi="Symbol" w:hint="default"/>
      </w:rPr>
    </w:lvl>
    <w:lvl w:ilvl="7" w:tplc="87AC6B52" w:tentative="1">
      <w:start w:val="1"/>
      <w:numFmt w:val="bullet"/>
      <w:lvlText w:val="o"/>
      <w:lvlJc w:val="start"/>
      <w:pPr>
        <w:ind w:start="288pt" w:hanging="18pt"/>
      </w:pPr>
      <w:rPr>
        <w:rFonts w:ascii="Courier New" w:hAnsi="Courier New" w:cs="Courier New" w:hint="default"/>
      </w:rPr>
    </w:lvl>
    <w:lvl w:ilvl="8" w:tplc="A78C191E" w:tentative="1">
      <w:start w:val="1"/>
      <w:numFmt w:val="bullet"/>
      <w:lvlText w:val=""/>
      <w:lvlJc w:val="start"/>
      <w:pPr>
        <w:ind w:start="324pt" w:hanging="18pt"/>
      </w:pPr>
      <w:rPr>
        <w:rFonts w:ascii="Wingdings" w:hAnsi="Wingdings" w:hint="default"/>
      </w:rPr>
    </w:lvl>
  </w:abstractNum>
  <w:abstractNum w:abstractNumId="229" w15:restartNumberingAfterBreak="0">
    <w:nsid w:val="7070577A"/>
    <w:multiLevelType w:val="hybridMultilevel"/>
    <w:tmpl w:val="5B6497B0"/>
    <w:lvl w:ilvl="0" w:tplc="EE860A08">
      <w:start w:val="1"/>
      <w:numFmt w:val="bullet"/>
      <w:lvlText w:val=""/>
      <w:lvlJc w:val="start"/>
      <w:pPr>
        <w:ind w:start="36pt" w:hanging="18pt"/>
      </w:pPr>
      <w:rPr>
        <w:rFonts w:ascii="Symbol" w:hAnsi="Symbol" w:hint="default"/>
      </w:rPr>
    </w:lvl>
    <w:lvl w:ilvl="1" w:tplc="18467F44" w:tentative="1">
      <w:start w:val="1"/>
      <w:numFmt w:val="bullet"/>
      <w:lvlText w:val="o"/>
      <w:lvlJc w:val="start"/>
      <w:pPr>
        <w:ind w:start="72pt" w:hanging="18pt"/>
      </w:pPr>
      <w:rPr>
        <w:rFonts w:ascii="Courier New" w:hAnsi="Courier New" w:cs="Courier New" w:hint="default"/>
      </w:rPr>
    </w:lvl>
    <w:lvl w:ilvl="2" w:tplc="F7681942" w:tentative="1">
      <w:start w:val="1"/>
      <w:numFmt w:val="bullet"/>
      <w:lvlText w:val=""/>
      <w:lvlJc w:val="start"/>
      <w:pPr>
        <w:ind w:start="108pt" w:hanging="18pt"/>
      </w:pPr>
      <w:rPr>
        <w:rFonts w:ascii="Wingdings" w:hAnsi="Wingdings" w:hint="default"/>
      </w:rPr>
    </w:lvl>
    <w:lvl w:ilvl="3" w:tplc="821018DE" w:tentative="1">
      <w:start w:val="1"/>
      <w:numFmt w:val="bullet"/>
      <w:lvlText w:val=""/>
      <w:lvlJc w:val="start"/>
      <w:pPr>
        <w:ind w:start="144pt" w:hanging="18pt"/>
      </w:pPr>
      <w:rPr>
        <w:rFonts w:ascii="Symbol" w:hAnsi="Symbol" w:hint="default"/>
      </w:rPr>
    </w:lvl>
    <w:lvl w:ilvl="4" w:tplc="85F0D1A4" w:tentative="1">
      <w:start w:val="1"/>
      <w:numFmt w:val="bullet"/>
      <w:lvlText w:val="o"/>
      <w:lvlJc w:val="start"/>
      <w:pPr>
        <w:ind w:start="180pt" w:hanging="18pt"/>
      </w:pPr>
      <w:rPr>
        <w:rFonts w:ascii="Courier New" w:hAnsi="Courier New" w:cs="Courier New" w:hint="default"/>
      </w:rPr>
    </w:lvl>
    <w:lvl w:ilvl="5" w:tplc="30A0F4A6" w:tentative="1">
      <w:start w:val="1"/>
      <w:numFmt w:val="bullet"/>
      <w:lvlText w:val=""/>
      <w:lvlJc w:val="start"/>
      <w:pPr>
        <w:ind w:start="216pt" w:hanging="18pt"/>
      </w:pPr>
      <w:rPr>
        <w:rFonts w:ascii="Wingdings" w:hAnsi="Wingdings" w:hint="default"/>
      </w:rPr>
    </w:lvl>
    <w:lvl w:ilvl="6" w:tplc="3934CB7A" w:tentative="1">
      <w:start w:val="1"/>
      <w:numFmt w:val="bullet"/>
      <w:lvlText w:val=""/>
      <w:lvlJc w:val="start"/>
      <w:pPr>
        <w:ind w:start="252pt" w:hanging="18pt"/>
      </w:pPr>
      <w:rPr>
        <w:rFonts w:ascii="Symbol" w:hAnsi="Symbol" w:hint="default"/>
      </w:rPr>
    </w:lvl>
    <w:lvl w:ilvl="7" w:tplc="88489D52" w:tentative="1">
      <w:start w:val="1"/>
      <w:numFmt w:val="bullet"/>
      <w:lvlText w:val="o"/>
      <w:lvlJc w:val="start"/>
      <w:pPr>
        <w:ind w:start="288pt" w:hanging="18pt"/>
      </w:pPr>
      <w:rPr>
        <w:rFonts w:ascii="Courier New" w:hAnsi="Courier New" w:cs="Courier New" w:hint="default"/>
      </w:rPr>
    </w:lvl>
    <w:lvl w:ilvl="8" w:tplc="C6CC16E0" w:tentative="1">
      <w:start w:val="1"/>
      <w:numFmt w:val="bullet"/>
      <w:lvlText w:val=""/>
      <w:lvlJc w:val="start"/>
      <w:pPr>
        <w:ind w:start="324pt" w:hanging="18pt"/>
      </w:pPr>
      <w:rPr>
        <w:rFonts w:ascii="Wingdings" w:hAnsi="Wingdings" w:hint="default"/>
      </w:rPr>
    </w:lvl>
  </w:abstractNum>
  <w:abstractNum w:abstractNumId="230" w15:restartNumberingAfterBreak="0">
    <w:nsid w:val="70AF3765"/>
    <w:multiLevelType w:val="hybridMultilevel"/>
    <w:tmpl w:val="B038E5CA"/>
    <w:lvl w:ilvl="0" w:tplc="4DD0AE12">
      <w:start w:val="1"/>
      <w:numFmt w:val="bullet"/>
      <w:lvlText w:val=""/>
      <w:lvlJc w:val="start"/>
      <w:pPr>
        <w:ind w:start="72.30pt" w:hanging="18pt"/>
      </w:pPr>
      <w:rPr>
        <w:rFonts w:ascii="Symbol" w:hAnsi="Symbol" w:hint="default"/>
      </w:rPr>
    </w:lvl>
    <w:lvl w:ilvl="1" w:tplc="880EFB7E">
      <w:start w:val="1"/>
      <w:numFmt w:val="bullet"/>
      <w:lvlText w:val="o"/>
      <w:lvlJc w:val="start"/>
      <w:pPr>
        <w:ind w:start="108.30pt" w:hanging="18pt"/>
      </w:pPr>
      <w:rPr>
        <w:rFonts w:ascii="Courier New" w:hAnsi="Courier New" w:cs="Courier New" w:hint="default"/>
      </w:rPr>
    </w:lvl>
    <w:lvl w:ilvl="2" w:tplc="CAEEAD34">
      <w:start w:val="1"/>
      <w:numFmt w:val="bullet"/>
      <w:lvlText w:val=""/>
      <w:lvlJc w:val="start"/>
      <w:pPr>
        <w:ind w:start="144.30pt" w:hanging="18pt"/>
      </w:pPr>
      <w:rPr>
        <w:rFonts w:ascii="Wingdings" w:hAnsi="Wingdings" w:hint="default"/>
      </w:rPr>
    </w:lvl>
    <w:lvl w:ilvl="3" w:tplc="240C5880">
      <w:start w:val="1"/>
      <w:numFmt w:val="bullet"/>
      <w:lvlText w:val=""/>
      <w:lvlJc w:val="start"/>
      <w:pPr>
        <w:ind w:start="180.30pt" w:hanging="18pt"/>
      </w:pPr>
      <w:rPr>
        <w:rFonts w:ascii="Symbol" w:hAnsi="Symbol" w:hint="default"/>
      </w:rPr>
    </w:lvl>
    <w:lvl w:ilvl="4" w:tplc="9968A66E">
      <w:start w:val="1"/>
      <w:numFmt w:val="bullet"/>
      <w:lvlText w:val="o"/>
      <w:lvlJc w:val="start"/>
      <w:pPr>
        <w:ind w:start="216.30pt" w:hanging="18pt"/>
      </w:pPr>
      <w:rPr>
        <w:rFonts w:ascii="Courier New" w:hAnsi="Courier New" w:cs="Courier New" w:hint="default"/>
      </w:rPr>
    </w:lvl>
    <w:lvl w:ilvl="5" w:tplc="39BC5154">
      <w:start w:val="1"/>
      <w:numFmt w:val="bullet"/>
      <w:lvlText w:val=""/>
      <w:lvlJc w:val="start"/>
      <w:pPr>
        <w:ind w:start="252.30pt" w:hanging="18pt"/>
      </w:pPr>
      <w:rPr>
        <w:rFonts w:ascii="Wingdings" w:hAnsi="Wingdings" w:hint="default"/>
      </w:rPr>
    </w:lvl>
    <w:lvl w:ilvl="6" w:tplc="7DAEF1B4">
      <w:start w:val="1"/>
      <w:numFmt w:val="bullet"/>
      <w:lvlText w:val=""/>
      <w:lvlJc w:val="start"/>
      <w:pPr>
        <w:ind w:start="288.30pt" w:hanging="18pt"/>
      </w:pPr>
      <w:rPr>
        <w:rFonts w:ascii="Symbol" w:hAnsi="Symbol" w:hint="default"/>
      </w:rPr>
    </w:lvl>
    <w:lvl w:ilvl="7" w:tplc="515CCF54">
      <w:start w:val="1"/>
      <w:numFmt w:val="bullet"/>
      <w:lvlText w:val="o"/>
      <w:lvlJc w:val="start"/>
      <w:pPr>
        <w:ind w:start="324.30pt" w:hanging="18pt"/>
      </w:pPr>
      <w:rPr>
        <w:rFonts w:ascii="Courier New" w:hAnsi="Courier New" w:cs="Courier New" w:hint="default"/>
      </w:rPr>
    </w:lvl>
    <w:lvl w:ilvl="8" w:tplc="46884716">
      <w:start w:val="1"/>
      <w:numFmt w:val="bullet"/>
      <w:lvlText w:val=""/>
      <w:lvlJc w:val="start"/>
      <w:pPr>
        <w:ind w:start="360.30pt" w:hanging="18pt"/>
      </w:pPr>
      <w:rPr>
        <w:rFonts w:ascii="Wingdings" w:hAnsi="Wingdings" w:hint="default"/>
      </w:rPr>
    </w:lvl>
  </w:abstractNum>
  <w:abstractNum w:abstractNumId="231" w15:restartNumberingAfterBreak="0">
    <w:nsid w:val="70CD3A17"/>
    <w:multiLevelType w:val="hybridMultilevel"/>
    <w:tmpl w:val="7750DA98"/>
    <w:lvl w:ilvl="0" w:tplc="080A000D">
      <w:start w:val="1"/>
      <w:numFmt w:val="bullet"/>
      <w:lvlText w:val=""/>
      <w:lvlJc w:val="start"/>
      <w:pPr>
        <w:ind w:start="37.70pt" w:hanging="18pt"/>
      </w:pPr>
      <w:rPr>
        <w:rFonts w:ascii="Wingdings" w:hAnsi="Wingdings" w:hint="default"/>
      </w:rPr>
    </w:lvl>
    <w:lvl w:ilvl="1" w:tplc="080A0003">
      <w:start w:val="1"/>
      <w:numFmt w:val="bullet"/>
      <w:lvlText w:val="o"/>
      <w:lvlJc w:val="start"/>
      <w:pPr>
        <w:ind w:start="73.70pt" w:hanging="18pt"/>
      </w:pPr>
      <w:rPr>
        <w:rFonts w:ascii="Courier New" w:hAnsi="Courier New" w:cs="Courier New" w:hint="default"/>
      </w:rPr>
    </w:lvl>
    <w:lvl w:ilvl="2" w:tplc="080A0005">
      <w:start w:val="1"/>
      <w:numFmt w:val="bullet"/>
      <w:lvlText w:val=""/>
      <w:lvlJc w:val="start"/>
      <w:pPr>
        <w:ind w:start="109.70pt" w:hanging="18pt"/>
      </w:pPr>
      <w:rPr>
        <w:rFonts w:ascii="Wingdings" w:hAnsi="Wingdings" w:hint="default"/>
      </w:rPr>
    </w:lvl>
    <w:lvl w:ilvl="3" w:tplc="080A0001">
      <w:start w:val="1"/>
      <w:numFmt w:val="bullet"/>
      <w:lvlText w:val=""/>
      <w:lvlJc w:val="start"/>
      <w:pPr>
        <w:ind w:start="145.70pt" w:hanging="18pt"/>
      </w:pPr>
      <w:rPr>
        <w:rFonts w:ascii="Symbol" w:hAnsi="Symbol" w:hint="default"/>
      </w:rPr>
    </w:lvl>
    <w:lvl w:ilvl="4" w:tplc="080A0003">
      <w:start w:val="1"/>
      <w:numFmt w:val="bullet"/>
      <w:lvlText w:val="o"/>
      <w:lvlJc w:val="start"/>
      <w:pPr>
        <w:ind w:start="181.70pt" w:hanging="18pt"/>
      </w:pPr>
      <w:rPr>
        <w:rFonts w:ascii="Courier New" w:hAnsi="Courier New" w:cs="Courier New" w:hint="default"/>
      </w:rPr>
    </w:lvl>
    <w:lvl w:ilvl="5" w:tplc="080A0005">
      <w:start w:val="1"/>
      <w:numFmt w:val="bullet"/>
      <w:lvlText w:val=""/>
      <w:lvlJc w:val="start"/>
      <w:pPr>
        <w:ind w:start="217.70pt" w:hanging="18pt"/>
      </w:pPr>
      <w:rPr>
        <w:rFonts w:ascii="Wingdings" w:hAnsi="Wingdings" w:hint="default"/>
      </w:rPr>
    </w:lvl>
    <w:lvl w:ilvl="6" w:tplc="080A0001">
      <w:start w:val="1"/>
      <w:numFmt w:val="bullet"/>
      <w:lvlText w:val=""/>
      <w:lvlJc w:val="start"/>
      <w:pPr>
        <w:ind w:start="253.70pt" w:hanging="18pt"/>
      </w:pPr>
      <w:rPr>
        <w:rFonts w:ascii="Symbol" w:hAnsi="Symbol" w:hint="default"/>
      </w:rPr>
    </w:lvl>
    <w:lvl w:ilvl="7" w:tplc="080A0003">
      <w:start w:val="1"/>
      <w:numFmt w:val="bullet"/>
      <w:lvlText w:val="o"/>
      <w:lvlJc w:val="start"/>
      <w:pPr>
        <w:ind w:start="289.70pt" w:hanging="18pt"/>
      </w:pPr>
      <w:rPr>
        <w:rFonts w:ascii="Courier New" w:hAnsi="Courier New" w:cs="Courier New" w:hint="default"/>
      </w:rPr>
    </w:lvl>
    <w:lvl w:ilvl="8" w:tplc="080A0005">
      <w:start w:val="1"/>
      <w:numFmt w:val="bullet"/>
      <w:lvlText w:val=""/>
      <w:lvlJc w:val="start"/>
      <w:pPr>
        <w:ind w:start="325.70pt" w:hanging="18pt"/>
      </w:pPr>
      <w:rPr>
        <w:rFonts w:ascii="Wingdings" w:hAnsi="Wingdings" w:hint="default"/>
      </w:rPr>
    </w:lvl>
  </w:abstractNum>
  <w:abstractNum w:abstractNumId="232" w15:restartNumberingAfterBreak="0">
    <w:nsid w:val="72207BEE"/>
    <w:multiLevelType w:val="hybridMultilevel"/>
    <w:tmpl w:val="42D69616"/>
    <w:lvl w:ilvl="0" w:tplc="7F94B750">
      <w:start w:val="1"/>
      <w:numFmt w:val="decimal"/>
      <w:pStyle w:val="1ernivel"/>
      <w:lvlText w:val="%1)"/>
      <w:lvlJc w:val="start"/>
      <w:pPr>
        <w:ind w:start="36pt" w:hanging="18pt"/>
      </w:pPr>
      <w:rPr>
        <w:rFonts w:hint="default"/>
      </w:rPr>
    </w:lvl>
    <w:lvl w:ilvl="1" w:tplc="FF7E120C" w:tentative="1">
      <w:start w:val="1"/>
      <w:numFmt w:val="lowerLetter"/>
      <w:lvlText w:val="%2."/>
      <w:lvlJc w:val="start"/>
      <w:pPr>
        <w:ind w:start="72pt" w:hanging="18pt"/>
      </w:pPr>
    </w:lvl>
    <w:lvl w:ilvl="2" w:tplc="D2B2966E" w:tentative="1">
      <w:start w:val="1"/>
      <w:numFmt w:val="lowerRoman"/>
      <w:lvlText w:val="%3."/>
      <w:lvlJc w:val="end"/>
      <w:pPr>
        <w:ind w:start="108pt" w:hanging="9pt"/>
      </w:pPr>
    </w:lvl>
    <w:lvl w:ilvl="3" w:tplc="7FB0FB02" w:tentative="1">
      <w:start w:val="1"/>
      <w:numFmt w:val="decimal"/>
      <w:lvlText w:val="%4."/>
      <w:lvlJc w:val="start"/>
      <w:pPr>
        <w:ind w:start="144pt" w:hanging="18pt"/>
      </w:pPr>
    </w:lvl>
    <w:lvl w:ilvl="4" w:tplc="01322FCC" w:tentative="1">
      <w:start w:val="1"/>
      <w:numFmt w:val="lowerLetter"/>
      <w:lvlText w:val="%5."/>
      <w:lvlJc w:val="start"/>
      <w:pPr>
        <w:ind w:start="180pt" w:hanging="18pt"/>
      </w:pPr>
    </w:lvl>
    <w:lvl w:ilvl="5" w:tplc="04A0F048" w:tentative="1">
      <w:start w:val="1"/>
      <w:numFmt w:val="lowerRoman"/>
      <w:lvlText w:val="%6."/>
      <w:lvlJc w:val="end"/>
      <w:pPr>
        <w:ind w:start="216pt" w:hanging="9pt"/>
      </w:pPr>
    </w:lvl>
    <w:lvl w:ilvl="6" w:tplc="A8C048EC" w:tentative="1">
      <w:start w:val="1"/>
      <w:numFmt w:val="decimal"/>
      <w:lvlText w:val="%7."/>
      <w:lvlJc w:val="start"/>
      <w:pPr>
        <w:ind w:start="252pt" w:hanging="18pt"/>
      </w:pPr>
    </w:lvl>
    <w:lvl w:ilvl="7" w:tplc="0D3C3A28" w:tentative="1">
      <w:start w:val="1"/>
      <w:numFmt w:val="lowerLetter"/>
      <w:lvlText w:val="%8."/>
      <w:lvlJc w:val="start"/>
      <w:pPr>
        <w:ind w:start="288pt" w:hanging="18pt"/>
      </w:pPr>
    </w:lvl>
    <w:lvl w:ilvl="8" w:tplc="9B602854" w:tentative="1">
      <w:start w:val="1"/>
      <w:numFmt w:val="lowerRoman"/>
      <w:lvlText w:val="%9."/>
      <w:lvlJc w:val="end"/>
      <w:pPr>
        <w:ind w:start="324pt" w:hanging="9pt"/>
      </w:pPr>
    </w:lvl>
  </w:abstractNum>
  <w:abstractNum w:abstractNumId="233" w15:restartNumberingAfterBreak="0">
    <w:nsid w:val="738E6417"/>
    <w:multiLevelType w:val="hybridMultilevel"/>
    <w:tmpl w:val="17962B36"/>
    <w:lvl w:ilvl="0" w:tplc="7408EED0">
      <w:start w:val="1"/>
      <w:numFmt w:val="bullet"/>
      <w:lvlText w:val=""/>
      <w:lvlJc w:val="start"/>
      <w:pPr>
        <w:ind w:start="36pt" w:hanging="18pt"/>
      </w:pPr>
      <w:rPr>
        <w:rFonts w:ascii="Wingdings" w:hAnsi="Wingdings" w:hint="default"/>
      </w:rPr>
    </w:lvl>
    <w:lvl w:ilvl="1" w:tplc="43B2826E" w:tentative="1">
      <w:start w:val="1"/>
      <w:numFmt w:val="bullet"/>
      <w:lvlText w:val="o"/>
      <w:lvlJc w:val="start"/>
      <w:pPr>
        <w:ind w:start="72pt" w:hanging="18pt"/>
      </w:pPr>
      <w:rPr>
        <w:rFonts w:ascii="Courier New" w:hAnsi="Courier New" w:cs="Courier New" w:hint="default"/>
      </w:rPr>
    </w:lvl>
    <w:lvl w:ilvl="2" w:tplc="3BE4E998" w:tentative="1">
      <w:start w:val="1"/>
      <w:numFmt w:val="bullet"/>
      <w:lvlText w:val=""/>
      <w:lvlJc w:val="start"/>
      <w:pPr>
        <w:ind w:start="108pt" w:hanging="18pt"/>
      </w:pPr>
      <w:rPr>
        <w:rFonts w:ascii="Wingdings" w:hAnsi="Wingdings" w:hint="default"/>
      </w:rPr>
    </w:lvl>
    <w:lvl w:ilvl="3" w:tplc="10D07D0C" w:tentative="1">
      <w:start w:val="1"/>
      <w:numFmt w:val="bullet"/>
      <w:lvlText w:val=""/>
      <w:lvlJc w:val="start"/>
      <w:pPr>
        <w:ind w:start="144pt" w:hanging="18pt"/>
      </w:pPr>
      <w:rPr>
        <w:rFonts w:ascii="Symbol" w:hAnsi="Symbol" w:hint="default"/>
      </w:rPr>
    </w:lvl>
    <w:lvl w:ilvl="4" w:tplc="94E80F10" w:tentative="1">
      <w:start w:val="1"/>
      <w:numFmt w:val="bullet"/>
      <w:lvlText w:val="o"/>
      <w:lvlJc w:val="start"/>
      <w:pPr>
        <w:ind w:start="180pt" w:hanging="18pt"/>
      </w:pPr>
      <w:rPr>
        <w:rFonts w:ascii="Courier New" w:hAnsi="Courier New" w:cs="Courier New" w:hint="default"/>
      </w:rPr>
    </w:lvl>
    <w:lvl w:ilvl="5" w:tplc="36A24A30" w:tentative="1">
      <w:start w:val="1"/>
      <w:numFmt w:val="bullet"/>
      <w:lvlText w:val=""/>
      <w:lvlJc w:val="start"/>
      <w:pPr>
        <w:ind w:start="216pt" w:hanging="18pt"/>
      </w:pPr>
      <w:rPr>
        <w:rFonts w:ascii="Wingdings" w:hAnsi="Wingdings" w:hint="default"/>
      </w:rPr>
    </w:lvl>
    <w:lvl w:ilvl="6" w:tplc="6D385564" w:tentative="1">
      <w:start w:val="1"/>
      <w:numFmt w:val="bullet"/>
      <w:lvlText w:val=""/>
      <w:lvlJc w:val="start"/>
      <w:pPr>
        <w:ind w:start="252pt" w:hanging="18pt"/>
      </w:pPr>
      <w:rPr>
        <w:rFonts w:ascii="Symbol" w:hAnsi="Symbol" w:hint="default"/>
      </w:rPr>
    </w:lvl>
    <w:lvl w:ilvl="7" w:tplc="54EAECDE" w:tentative="1">
      <w:start w:val="1"/>
      <w:numFmt w:val="bullet"/>
      <w:lvlText w:val="o"/>
      <w:lvlJc w:val="start"/>
      <w:pPr>
        <w:ind w:start="288pt" w:hanging="18pt"/>
      </w:pPr>
      <w:rPr>
        <w:rFonts w:ascii="Courier New" w:hAnsi="Courier New" w:cs="Courier New" w:hint="default"/>
      </w:rPr>
    </w:lvl>
    <w:lvl w:ilvl="8" w:tplc="7E8681BC" w:tentative="1">
      <w:start w:val="1"/>
      <w:numFmt w:val="bullet"/>
      <w:lvlText w:val=""/>
      <w:lvlJc w:val="start"/>
      <w:pPr>
        <w:ind w:start="324pt" w:hanging="18pt"/>
      </w:pPr>
      <w:rPr>
        <w:rFonts w:ascii="Wingdings" w:hAnsi="Wingdings" w:hint="default"/>
      </w:rPr>
    </w:lvl>
  </w:abstractNum>
  <w:abstractNum w:abstractNumId="234" w15:restartNumberingAfterBreak="0">
    <w:nsid w:val="73B41A94"/>
    <w:multiLevelType w:val="hybridMultilevel"/>
    <w:tmpl w:val="AB706BAA"/>
    <w:lvl w:ilvl="0" w:tplc="D83E533E">
      <w:start w:val="6"/>
      <w:numFmt w:val="bullet"/>
      <w:lvlText w:val="•"/>
      <w:lvlJc w:val="start"/>
      <w:pPr>
        <w:ind w:start="36pt" w:hanging="18pt"/>
      </w:pPr>
      <w:rPr>
        <w:rFonts w:ascii="Century Gothic" w:eastAsia="Calibri" w:hAnsi="Century Gothic" w:cs="Arial" w:hint="default"/>
      </w:rPr>
    </w:lvl>
    <w:lvl w:ilvl="1" w:tplc="F894D9A2" w:tentative="1">
      <w:start w:val="1"/>
      <w:numFmt w:val="bullet"/>
      <w:lvlText w:val="o"/>
      <w:lvlJc w:val="start"/>
      <w:pPr>
        <w:ind w:start="72pt" w:hanging="18pt"/>
      </w:pPr>
      <w:rPr>
        <w:rFonts w:ascii="Courier New" w:hAnsi="Courier New" w:cs="Courier New" w:hint="default"/>
      </w:rPr>
    </w:lvl>
    <w:lvl w:ilvl="2" w:tplc="C4429C60" w:tentative="1">
      <w:start w:val="1"/>
      <w:numFmt w:val="bullet"/>
      <w:lvlText w:val=""/>
      <w:lvlJc w:val="start"/>
      <w:pPr>
        <w:ind w:start="108pt" w:hanging="18pt"/>
      </w:pPr>
      <w:rPr>
        <w:rFonts w:ascii="Wingdings" w:hAnsi="Wingdings" w:hint="default"/>
      </w:rPr>
    </w:lvl>
    <w:lvl w:ilvl="3" w:tplc="A9CC9A20" w:tentative="1">
      <w:start w:val="1"/>
      <w:numFmt w:val="bullet"/>
      <w:lvlText w:val=""/>
      <w:lvlJc w:val="start"/>
      <w:pPr>
        <w:ind w:start="144pt" w:hanging="18pt"/>
      </w:pPr>
      <w:rPr>
        <w:rFonts w:ascii="Symbol" w:hAnsi="Symbol" w:hint="default"/>
      </w:rPr>
    </w:lvl>
    <w:lvl w:ilvl="4" w:tplc="327E8318" w:tentative="1">
      <w:start w:val="1"/>
      <w:numFmt w:val="bullet"/>
      <w:lvlText w:val="o"/>
      <w:lvlJc w:val="start"/>
      <w:pPr>
        <w:ind w:start="180pt" w:hanging="18pt"/>
      </w:pPr>
      <w:rPr>
        <w:rFonts w:ascii="Courier New" w:hAnsi="Courier New" w:cs="Courier New" w:hint="default"/>
      </w:rPr>
    </w:lvl>
    <w:lvl w:ilvl="5" w:tplc="A8E4B544" w:tentative="1">
      <w:start w:val="1"/>
      <w:numFmt w:val="bullet"/>
      <w:lvlText w:val=""/>
      <w:lvlJc w:val="start"/>
      <w:pPr>
        <w:ind w:start="216pt" w:hanging="18pt"/>
      </w:pPr>
      <w:rPr>
        <w:rFonts w:ascii="Wingdings" w:hAnsi="Wingdings" w:hint="default"/>
      </w:rPr>
    </w:lvl>
    <w:lvl w:ilvl="6" w:tplc="8F6EE4D8" w:tentative="1">
      <w:start w:val="1"/>
      <w:numFmt w:val="bullet"/>
      <w:lvlText w:val=""/>
      <w:lvlJc w:val="start"/>
      <w:pPr>
        <w:ind w:start="252pt" w:hanging="18pt"/>
      </w:pPr>
      <w:rPr>
        <w:rFonts w:ascii="Symbol" w:hAnsi="Symbol" w:hint="default"/>
      </w:rPr>
    </w:lvl>
    <w:lvl w:ilvl="7" w:tplc="D7E4CEFE" w:tentative="1">
      <w:start w:val="1"/>
      <w:numFmt w:val="bullet"/>
      <w:lvlText w:val="o"/>
      <w:lvlJc w:val="start"/>
      <w:pPr>
        <w:ind w:start="288pt" w:hanging="18pt"/>
      </w:pPr>
      <w:rPr>
        <w:rFonts w:ascii="Courier New" w:hAnsi="Courier New" w:cs="Courier New" w:hint="default"/>
      </w:rPr>
    </w:lvl>
    <w:lvl w:ilvl="8" w:tplc="9BEA0642" w:tentative="1">
      <w:start w:val="1"/>
      <w:numFmt w:val="bullet"/>
      <w:lvlText w:val=""/>
      <w:lvlJc w:val="start"/>
      <w:pPr>
        <w:ind w:start="324pt" w:hanging="18pt"/>
      </w:pPr>
      <w:rPr>
        <w:rFonts w:ascii="Wingdings" w:hAnsi="Wingdings" w:hint="default"/>
      </w:rPr>
    </w:lvl>
  </w:abstractNum>
  <w:abstractNum w:abstractNumId="235" w15:restartNumberingAfterBreak="0">
    <w:nsid w:val="73EA2A1E"/>
    <w:multiLevelType w:val="hybridMultilevel"/>
    <w:tmpl w:val="E86E6054"/>
    <w:lvl w:ilvl="0" w:tplc="74F2CF08">
      <w:start w:val="1"/>
      <w:numFmt w:val="bullet"/>
      <w:lvlText w:val=""/>
      <w:lvlJc w:val="start"/>
      <w:pPr>
        <w:ind w:start="36pt" w:hanging="18pt"/>
      </w:pPr>
      <w:rPr>
        <w:rFonts w:ascii="Symbol" w:hAnsi="Symbol" w:hint="default"/>
      </w:rPr>
    </w:lvl>
    <w:lvl w:ilvl="1" w:tplc="13BEE4BA" w:tentative="1">
      <w:start w:val="1"/>
      <w:numFmt w:val="bullet"/>
      <w:lvlText w:val="o"/>
      <w:lvlJc w:val="start"/>
      <w:pPr>
        <w:ind w:start="72pt" w:hanging="18pt"/>
      </w:pPr>
      <w:rPr>
        <w:rFonts w:ascii="Courier New" w:hAnsi="Courier New" w:cs="Courier New" w:hint="default"/>
      </w:rPr>
    </w:lvl>
    <w:lvl w:ilvl="2" w:tplc="78C6BF70" w:tentative="1">
      <w:start w:val="1"/>
      <w:numFmt w:val="bullet"/>
      <w:lvlText w:val=""/>
      <w:lvlJc w:val="start"/>
      <w:pPr>
        <w:ind w:start="108pt" w:hanging="18pt"/>
      </w:pPr>
      <w:rPr>
        <w:rFonts w:ascii="Wingdings" w:hAnsi="Wingdings" w:hint="default"/>
      </w:rPr>
    </w:lvl>
    <w:lvl w:ilvl="3" w:tplc="CAE8A98A" w:tentative="1">
      <w:start w:val="1"/>
      <w:numFmt w:val="bullet"/>
      <w:lvlText w:val=""/>
      <w:lvlJc w:val="start"/>
      <w:pPr>
        <w:ind w:start="144pt" w:hanging="18pt"/>
      </w:pPr>
      <w:rPr>
        <w:rFonts w:ascii="Symbol" w:hAnsi="Symbol" w:hint="default"/>
      </w:rPr>
    </w:lvl>
    <w:lvl w:ilvl="4" w:tplc="81A28CEA" w:tentative="1">
      <w:start w:val="1"/>
      <w:numFmt w:val="bullet"/>
      <w:lvlText w:val="o"/>
      <w:lvlJc w:val="start"/>
      <w:pPr>
        <w:ind w:start="180pt" w:hanging="18pt"/>
      </w:pPr>
      <w:rPr>
        <w:rFonts w:ascii="Courier New" w:hAnsi="Courier New" w:cs="Courier New" w:hint="default"/>
      </w:rPr>
    </w:lvl>
    <w:lvl w:ilvl="5" w:tplc="8D124CBC" w:tentative="1">
      <w:start w:val="1"/>
      <w:numFmt w:val="bullet"/>
      <w:lvlText w:val=""/>
      <w:lvlJc w:val="start"/>
      <w:pPr>
        <w:ind w:start="216pt" w:hanging="18pt"/>
      </w:pPr>
      <w:rPr>
        <w:rFonts w:ascii="Wingdings" w:hAnsi="Wingdings" w:hint="default"/>
      </w:rPr>
    </w:lvl>
    <w:lvl w:ilvl="6" w:tplc="2BF6EBD2" w:tentative="1">
      <w:start w:val="1"/>
      <w:numFmt w:val="bullet"/>
      <w:lvlText w:val=""/>
      <w:lvlJc w:val="start"/>
      <w:pPr>
        <w:ind w:start="252pt" w:hanging="18pt"/>
      </w:pPr>
      <w:rPr>
        <w:rFonts w:ascii="Symbol" w:hAnsi="Symbol" w:hint="default"/>
      </w:rPr>
    </w:lvl>
    <w:lvl w:ilvl="7" w:tplc="8F448C68" w:tentative="1">
      <w:start w:val="1"/>
      <w:numFmt w:val="bullet"/>
      <w:lvlText w:val="o"/>
      <w:lvlJc w:val="start"/>
      <w:pPr>
        <w:ind w:start="288pt" w:hanging="18pt"/>
      </w:pPr>
      <w:rPr>
        <w:rFonts w:ascii="Courier New" w:hAnsi="Courier New" w:cs="Courier New" w:hint="default"/>
      </w:rPr>
    </w:lvl>
    <w:lvl w:ilvl="8" w:tplc="DA0C917C" w:tentative="1">
      <w:start w:val="1"/>
      <w:numFmt w:val="bullet"/>
      <w:lvlText w:val=""/>
      <w:lvlJc w:val="start"/>
      <w:pPr>
        <w:ind w:start="324pt" w:hanging="18pt"/>
      </w:pPr>
      <w:rPr>
        <w:rFonts w:ascii="Wingdings" w:hAnsi="Wingdings" w:hint="default"/>
      </w:rPr>
    </w:lvl>
  </w:abstractNum>
  <w:abstractNum w:abstractNumId="236" w15:restartNumberingAfterBreak="0">
    <w:nsid w:val="7418048E"/>
    <w:multiLevelType w:val="hybridMultilevel"/>
    <w:tmpl w:val="CC068F5A"/>
    <w:lvl w:ilvl="0" w:tplc="0AE8A6B2">
      <w:start w:val="6"/>
      <w:numFmt w:val="bullet"/>
      <w:lvlText w:val="•"/>
      <w:lvlJc w:val="start"/>
      <w:pPr>
        <w:ind w:start="54pt" w:hanging="18pt"/>
      </w:pPr>
      <w:rPr>
        <w:rFonts w:ascii="Century Gothic" w:eastAsia="Calibri" w:hAnsi="Century Gothic" w:cs="Arial" w:hint="default"/>
      </w:rPr>
    </w:lvl>
    <w:lvl w:ilvl="1" w:tplc="93EEACB0" w:tentative="1">
      <w:start w:val="1"/>
      <w:numFmt w:val="bullet"/>
      <w:lvlText w:val="o"/>
      <w:lvlJc w:val="start"/>
      <w:pPr>
        <w:ind w:start="90pt" w:hanging="18pt"/>
      </w:pPr>
      <w:rPr>
        <w:rFonts w:ascii="Courier New" w:hAnsi="Courier New" w:cs="Courier New" w:hint="default"/>
      </w:rPr>
    </w:lvl>
    <w:lvl w:ilvl="2" w:tplc="6A98E5E8" w:tentative="1">
      <w:start w:val="1"/>
      <w:numFmt w:val="bullet"/>
      <w:lvlText w:val=""/>
      <w:lvlJc w:val="start"/>
      <w:pPr>
        <w:ind w:start="126pt" w:hanging="18pt"/>
      </w:pPr>
      <w:rPr>
        <w:rFonts w:ascii="Wingdings" w:hAnsi="Wingdings" w:hint="default"/>
      </w:rPr>
    </w:lvl>
    <w:lvl w:ilvl="3" w:tplc="B368336C" w:tentative="1">
      <w:start w:val="1"/>
      <w:numFmt w:val="bullet"/>
      <w:lvlText w:val=""/>
      <w:lvlJc w:val="start"/>
      <w:pPr>
        <w:ind w:start="162pt" w:hanging="18pt"/>
      </w:pPr>
      <w:rPr>
        <w:rFonts w:ascii="Symbol" w:hAnsi="Symbol" w:hint="default"/>
      </w:rPr>
    </w:lvl>
    <w:lvl w:ilvl="4" w:tplc="1398EC6A" w:tentative="1">
      <w:start w:val="1"/>
      <w:numFmt w:val="bullet"/>
      <w:lvlText w:val="o"/>
      <w:lvlJc w:val="start"/>
      <w:pPr>
        <w:ind w:start="198pt" w:hanging="18pt"/>
      </w:pPr>
      <w:rPr>
        <w:rFonts w:ascii="Courier New" w:hAnsi="Courier New" w:cs="Courier New" w:hint="default"/>
      </w:rPr>
    </w:lvl>
    <w:lvl w:ilvl="5" w:tplc="4242286A" w:tentative="1">
      <w:start w:val="1"/>
      <w:numFmt w:val="bullet"/>
      <w:lvlText w:val=""/>
      <w:lvlJc w:val="start"/>
      <w:pPr>
        <w:ind w:start="234pt" w:hanging="18pt"/>
      </w:pPr>
      <w:rPr>
        <w:rFonts w:ascii="Wingdings" w:hAnsi="Wingdings" w:hint="default"/>
      </w:rPr>
    </w:lvl>
    <w:lvl w:ilvl="6" w:tplc="D53C147C" w:tentative="1">
      <w:start w:val="1"/>
      <w:numFmt w:val="bullet"/>
      <w:lvlText w:val=""/>
      <w:lvlJc w:val="start"/>
      <w:pPr>
        <w:ind w:start="270pt" w:hanging="18pt"/>
      </w:pPr>
      <w:rPr>
        <w:rFonts w:ascii="Symbol" w:hAnsi="Symbol" w:hint="default"/>
      </w:rPr>
    </w:lvl>
    <w:lvl w:ilvl="7" w:tplc="60B6BFD4" w:tentative="1">
      <w:start w:val="1"/>
      <w:numFmt w:val="bullet"/>
      <w:lvlText w:val="o"/>
      <w:lvlJc w:val="start"/>
      <w:pPr>
        <w:ind w:start="306pt" w:hanging="18pt"/>
      </w:pPr>
      <w:rPr>
        <w:rFonts w:ascii="Courier New" w:hAnsi="Courier New" w:cs="Courier New" w:hint="default"/>
      </w:rPr>
    </w:lvl>
    <w:lvl w:ilvl="8" w:tplc="C622A2AE" w:tentative="1">
      <w:start w:val="1"/>
      <w:numFmt w:val="bullet"/>
      <w:lvlText w:val=""/>
      <w:lvlJc w:val="start"/>
      <w:pPr>
        <w:ind w:start="342pt" w:hanging="18pt"/>
      </w:pPr>
      <w:rPr>
        <w:rFonts w:ascii="Wingdings" w:hAnsi="Wingdings" w:hint="default"/>
      </w:rPr>
    </w:lvl>
  </w:abstractNum>
  <w:abstractNum w:abstractNumId="237" w15:restartNumberingAfterBreak="0">
    <w:nsid w:val="74246CF7"/>
    <w:multiLevelType w:val="hybridMultilevel"/>
    <w:tmpl w:val="A62C815C"/>
    <w:lvl w:ilvl="0" w:tplc="143EFF44">
      <w:start w:val="1"/>
      <w:numFmt w:val="bullet"/>
      <w:lvlText w:val=""/>
      <w:lvlJc w:val="start"/>
      <w:pPr>
        <w:ind w:start="36pt" w:hanging="18pt"/>
      </w:pPr>
      <w:rPr>
        <w:rFonts w:ascii="Wingdings" w:hAnsi="Wingdings" w:hint="default"/>
      </w:rPr>
    </w:lvl>
    <w:lvl w:ilvl="1" w:tplc="69962342">
      <w:start w:val="1"/>
      <w:numFmt w:val="bullet"/>
      <w:lvlText w:val="o"/>
      <w:lvlJc w:val="start"/>
      <w:pPr>
        <w:ind w:start="72pt" w:hanging="18pt"/>
      </w:pPr>
      <w:rPr>
        <w:rFonts w:ascii="Courier New" w:hAnsi="Courier New" w:cs="Courier New" w:hint="default"/>
      </w:rPr>
    </w:lvl>
    <w:lvl w:ilvl="2" w:tplc="DD9C6310">
      <w:start w:val="1"/>
      <w:numFmt w:val="bullet"/>
      <w:lvlText w:val=""/>
      <w:lvlJc w:val="start"/>
      <w:pPr>
        <w:ind w:start="108pt" w:hanging="18pt"/>
      </w:pPr>
      <w:rPr>
        <w:rFonts w:ascii="Wingdings" w:hAnsi="Wingdings" w:hint="default"/>
      </w:rPr>
    </w:lvl>
    <w:lvl w:ilvl="3" w:tplc="F5B6E020">
      <w:start w:val="1"/>
      <w:numFmt w:val="bullet"/>
      <w:lvlText w:val=""/>
      <w:lvlJc w:val="start"/>
      <w:pPr>
        <w:ind w:start="144pt" w:hanging="18pt"/>
      </w:pPr>
      <w:rPr>
        <w:rFonts w:ascii="Symbol" w:hAnsi="Symbol" w:hint="default"/>
      </w:rPr>
    </w:lvl>
    <w:lvl w:ilvl="4" w:tplc="BDDE6238">
      <w:start w:val="1"/>
      <w:numFmt w:val="bullet"/>
      <w:lvlText w:val="o"/>
      <w:lvlJc w:val="start"/>
      <w:pPr>
        <w:ind w:start="180pt" w:hanging="18pt"/>
      </w:pPr>
      <w:rPr>
        <w:rFonts w:ascii="Courier New" w:hAnsi="Courier New" w:cs="Courier New" w:hint="default"/>
      </w:rPr>
    </w:lvl>
    <w:lvl w:ilvl="5" w:tplc="99A273FE">
      <w:start w:val="1"/>
      <w:numFmt w:val="bullet"/>
      <w:lvlText w:val=""/>
      <w:lvlJc w:val="start"/>
      <w:pPr>
        <w:ind w:start="216pt" w:hanging="18pt"/>
      </w:pPr>
      <w:rPr>
        <w:rFonts w:ascii="Wingdings" w:hAnsi="Wingdings" w:hint="default"/>
      </w:rPr>
    </w:lvl>
    <w:lvl w:ilvl="6" w:tplc="5590094A">
      <w:start w:val="1"/>
      <w:numFmt w:val="bullet"/>
      <w:lvlText w:val=""/>
      <w:lvlJc w:val="start"/>
      <w:pPr>
        <w:ind w:start="252pt" w:hanging="18pt"/>
      </w:pPr>
      <w:rPr>
        <w:rFonts w:ascii="Symbol" w:hAnsi="Symbol" w:hint="default"/>
      </w:rPr>
    </w:lvl>
    <w:lvl w:ilvl="7" w:tplc="C61826C0">
      <w:start w:val="1"/>
      <w:numFmt w:val="bullet"/>
      <w:lvlText w:val="o"/>
      <w:lvlJc w:val="start"/>
      <w:pPr>
        <w:ind w:start="288pt" w:hanging="18pt"/>
      </w:pPr>
      <w:rPr>
        <w:rFonts w:ascii="Courier New" w:hAnsi="Courier New" w:cs="Courier New" w:hint="default"/>
      </w:rPr>
    </w:lvl>
    <w:lvl w:ilvl="8" w:tplc="13F867CC">
      <w:start w:val="1"/>
      <w:numFmt w:val="bullet"/>
      <w:lvlText w:val=""/>
      <w:lvlJc w:val="start"/>
      <w:pPr>
        <w:ind w:start="324pt" w:hanging="18pt"/>
      </w:pPr>
      <w:rPr>
        <w:rFonts w:ascii="Wingdings" w:hAnsi="Wingdings" w:hint="default"/>
      </w:rPr>
    </w:lvl>
  </w:abstractNum>
  <w:abstractNum w:abstractNumId="238" w15:restartNumberingAfterBreak="0">
    <w:nsid w:val="742A5015"/>
    <w:multiLevelType w:val="hybridMultilevel"/>
    <w:tmpl w:val="7A161364"/>
    <w:lvl w:ilvl="0" w:tplc="7FD6D7C2">
      <w:start w:val="1"/>
      <w:numFmt w:val="bullet"/>
      <w:lvlText w:val=""/>
      <w:lvlJc w:val="start"/>
      <w:pPr>
        <w:ind w:start="36pt" w:hanging="18pt"/>
      </w:pPr>
      <w:rPr>
        <w:rFonts w:ascii="Wingdings" w:hAnsi="Wingdings" w:hint="default"/>
      </w:rPr>
    </w:lvl>
    <w:lvl w:ilvl="1" w:tplc="ABE883A2">
      <w:start w:val="1"/>
      <w:numFmt w:val="bullet"/>
      <w:lvlText w:val="o"/>
      <w:lvlJc w:val="start"/>
      <w:pPr>
        <w:ind w:start="72pt" w:hanging="18pt"/>
      </w:pPr>
      <w:rPr>
        <w:rFonts w:ascii="Courier New" w:hAnsi="Courier New" w:cs="Courier New" w:hint="default"/>
      </w:rPr>
    </w:lvl>
    <w:lvl w:ilvl="2" w:tplc="6714FCEC">
      <w:start w:val="1"/>
      <w:numFmt w:val="bullet"/>
      <w:lvlText w:val=""/>
      <w:lvlJc w:val="start"/>
      <w:pPr>
        <w:ind w:start="108pt" w:hanging="18pt"/>
      </w:pPr>
      <w:rPr>
        <w:rFonts w:ascii="Wingdings" w:hAnsi="Wingdings" w:hint="default"/>
      </w:rPr>
    </w:lvl>
    <w:lvl w:ilvl="3" w:tplc="97F0453E">
      <w:start w:val="1"/>
      <w:numFmt w:val="bullet"/>
      <w:lvlText w:val=""/>
      <w:lvlJc w:val="start"/>
      <w:pPr>
        <w:ind w:start="144pt" w:hanging="18pt"/>
      </w:pPr>
      <w:rPr>
        <w:rFonts w:ascii="Symbol" w:hAnsi="Symbol" w:hint="default"/>
      </w:rPr>
    </w:lvl>
    <w:lvl w:ilvl="4" w:tplc="D5F24362">
      <w:start w:val="1"/>
      <w:numFmt w:val="bullet"/>
      <w:lvlText w:val="o"/>
      <w:lvlJc w:val="start"/>
      <w:pPr>
        <w:ind w:start="180pt" w:hanging="18pt"/>
      </w:pPr>
      <w:rPr>
        <w:rFonts w:ascii="Courier New" w:hAnsi="Courier New" w:cs="Courier New" w:hint="default"/>
      </w:rPr>
    </w:lvl>
    <w:lvl w:ilvl="5" w:tplc="67BC32F2">
      <w:start w:val="1"/>
      <w:numFmt w:val="bullet"/>
      <w:lvlText w:val=""/>
      <w:lvlJc w:val="start"/>
      <w:pPr>
        <w:ind w:start="216pt" w:hanging="18pt"/>
      </w:pPr>
      <w:rPr>
        <w:rFonts w:ascii="Wingdings" w:hAnsi="Wingdings" w:hint="default"/>
      </w:rPr>
    </w:lvl>
    <w:lvl w:ilvl="6" w:tplc="BABE8D06">
      <w:start w:val="1"/>
      <w:numFmt w:val="bullet"/>
      <w:lvlText w:val=""/>
      <w:lvlJc w:val="start"/>
      <w:pPr>
        <w:ind w:start="252pt" w:hanging="18pt"/>
      </w:pPr>
      <w:rPr>
        <w:rFonts w:ascii="Symbol" w:hAnsi="Symbol" w:hint="default"/>
      </w:rPr>
    </w:lvl>
    <w:lvl w:ilvl="7" w:tplc="C734A2B8">
      <w:start w:val="1"/>
      <w:numFmt w:val="bullet"/>
      <w:lvlText w:val="o"/>
      <w:lvlJc w:val="start"/>
      <w:pPr>
        <w:ind w:start="288pt" w:hanging="18pt"/>
      </w:pPr>
      <w:rPr>
        <w:rFonts w:ascii="Courier New" w:hAnsi="Courier New" w:cs="Courier New" w:hint="default"/>
      </w:rPr>
    </w:lvl>
    <w:lvl w:ilvl="8" w:tplc="120A7690">
      <w:start w:val="1"/>
      <w:numFmt w:val="bullet"/>
      <w:lvlText w:val=""/>
      <w:lvlJc w:val="start"/>
      <w:pPr>
        <w:ind w:start="324pt" w:hanging="18pt"/>
      </w:pPr>
      <w:rPr>
        <w:rFonts w:ascii="Wingdings" w:hAnsi="Wingdings" w:hint="default"/>
      </w:rPr>
    </w:lvl>
  </w:abstractNum>
  <w:abstractNum w:abstractNumId="239" w15:restartNumberingAfterBreak="0">
    <w:nsid w:val="758F315F"/>
    <w:multiLevelType w:val="hybridMultilevel"/>
    <w:tmpl w:val="843EB5EA"/>
    <w:lvl w:ilvl="0" w:tplc="080A0001">
      <w:start w:val="1"/>
      <w:numFmt w:val="bullet"/>
      <w:lvlText w:val=""/>
      <w:lvlJc w:val="start"/>
      <w:pPr>
        <w:ind w:start="36pt" w:hanging="18pt"/>
      </w:pPr>
      <w:rPr>
        <w:rFonts w:ascii="Symbol" w:hAnsi="Symbol" w:hint="default"/>
      </w:rPr>
    </w:lvl>
    <w:lvl w:ilvl="1" w:tplc="080A0003" w:tentative="1">
      <w:start w:val="1"/>
      <w:numFmt w:val="bullet"/>
      <w:lvlText w:val="o"/>
      <w:lvlJc w:val="start"/>
      <w:pPr>
        <w:ind w:start="72pt" w:hanging="18pt"/>
      </w:pPr>
      <w:rPr>
        <w:rFonts w:ascii="Courier New" w:hAnsi="Courier New" w:cs="Courier New" w:hint="default"/>
      </w:rPr>
    </w:lvl>
    <w:lvl w:ilvl="2" w:tplc="080A0005" w:tentative="1">
      <w:start w:val="1"/>
      <w:numFmt w:val="bullet"/>
      <w:lvlText w:val=""/>
      <w:lvlJc w:val="start"/>
      <w:pPr>
        <w:ind w:start="108pt" w:hanging="18pt"/>
      </w:pPr>
      <w:rPr>
        <w:rFonts w:ascii="Wingdings" w:hAnsi="Wingdings" w:hint="default"/>
      </w:rPr>
    </w:lvl>
    <w:lvl w:ilvl="3" w:tplc="080A0001" w:tentative="1">
      <w:start w:val="1"/>
      <w:numFmt w:val="bullet"/>
      <w:lvlText w:val=""/>
      <w:lvlJc w:val="start"/>
      <w:pPr>
        <w:ind w:start="144pt" w:hanging="18pt"/>
      </w:pPr>
      <w:rPr>
        <w:rFonts w:ascii="Symbol" w:hAnsi="Symbol" w:hint="default"/>
      </w:rPr>
    </w:lvl>
    <w:lvl w:ilvl="4" w:tplc="080A0003" w:tentative="1">
      <w:start w:val="1"/>
      <w:numFmt w:val="bullet"/>
      <w:lvlText w:val="o"/>
      <w:lvlJc w:val="start"/>
      <w:pPr>
        <w:ind w:start="180pt" w:hanging="18pt"/>
      </w:pPr>
      <w:rPr>
        <w:rFonts w:ascii="Courier New" w:hAnsi="Courier New" w:cs="Courier New" w:hint="default"/>
      </w:rPr>
    </w:lvl>
    <w:lvl w:ilvl="5" w:tplc="080A0005" w:tentative="1">
      <w:start w:val="1"/>
      <w:numFmt w:val="bullet"/>
      <w:lvlText w:val=""/>
      <w:lvlJc w:val="start"/>
      <w:pPr>
        <w:ind w:start="216pt" w:hanging="18pt"/>
      </w:pPr>
      <w:rPr>
        <w:rFonts w:ascii="Wingdings" w:hAnsi="Wingdings" w:hint="default"/>
      </w:rPr>
    </w:lvl>
    <w:lvl w:ilvl="6" w:tplc="080A0001" w:tentative="1">
      <w:start w:val="1"/>
      <w:numFmt w:val="bullet"/>
      <w:lvlText w:val=""/>
      <w:lvlJc w:val="start"/>
      <w:pPr>
        <w:ind w:start="252pt" w:hanging="18pt"/>
      </w:pPr>
      <w:rPr>
        <w:rFonts w:ascii="Symbol" w:hAnsi="Symbol" w:hint="default"/>
      </w:rPr>
    </w:lvl>
    <w:lvl w:ilvl="7" w:tplc="080A0003" w:tentative="1">
      <w:start w:val="1"/>
      <w:numFmt w:val="bullet"/>
      <w:lvlText w:val="o"/>
      <w:lvlJc w:val="start"/>
      <w:pPr>
        <w:ind w:start="288pt" w:hanging="18pt"/>
      </w:pPr>
      <w:rPr>
        <w:rFonts w:ascii="Courier New" w:hAnsi="Courier New" w:cs="Courier New" w:hint="default"/>
      </w:rPr>
    </w:lvl>
    <w:lvl w:ilvl="8" w:tplc="080A0005" w:tentative="1">
      <w:start w:val="1"/>
      <w:numFmt w:val="bullet"/>
      <w:lvlText w:val=""/>
      <w:lvlJc w:val="start"/>
      <w:pPr>
        <w:ind w:start="324pt" w:hanging="18pt"/>
      </w:pPr>
      <w:rPr>
        <w:rFonts w:ascii="Wingdings" w:hAnsi="Wingdings" w:hint="default"/>
      </w:rPr>
    </w:lvl>
  </w:abstractNum>
  <w:abstractNum w:abstractNumId="240" w15:restartNumberingAfterBreak="0">
    <w:nsid w:val="759F16F6"/>
    <w:multiLevelType w:val="hybridMultilevel"/>
    <w:tmpl w:val="B4862FC2"/>
    <w:lvl w:ilvl="0" w:tplc="080A000D">
      <w:start w:val="1"/>
      <w:numFmt w:val="bullet"/>
      <w:lvlText w:val=""/>
      <w:lvlJc w:val="start"/>
      <w:pPr>
        <w:ind w:start="36pt" w:hanging="18pt"/>
      </w:pPr>
      <w:rPr>
        <w:rFonts w:ascii="Wingdings" w:hAnsi="Wingdings" w:hint="default"/>
      </w:rPr>
    </w:lvl>
    <w:lvl w:ilvl="1" w:tplc="080A0003">
      <w:start w:val="1"/>
      <w:numFmt w:val="bullet"/>
      <w:lvlText w:val="o"/>
      <w:lvlJc w:val="start"/>
      <w:pPr>
        <w:ind w:start="72pt" w:hanging="18pt"/>
      </w:pPr>
      <w:rPr>
        <w:rFonts w:ascii="Courier New" w:hAnsi="Courier New" w:cs="Courier New" w:hint="default"/>
      </w:rPr>
    </w:lvl>
    <w:lvl w:ilvl="2" w:tplc="080A0005">
      <w:start w:val="1"/>
      <w:numFmt w:val="bullet"/>
      <w:lvlText w:val=""/>
      <w:lvlJc w:val="start"/>
      <w:pPr>
        <w:ind w:start="108pt" w:hanging="18pt"/>
      </w:pPr>
      <w:rPr>
        <w:rFonts w:ascii="Wingdings" w:hAnsi="Wingdings" w:hint="default"/>
      </w:rPr>
    </w:lvl>
    <w:lvl w:ilvl="3" w:tplc="080A0001">
      <w:start w:val="1"/>
      <w:numFmt w:val="bullet"/>
      <w:lvlText w:val=""/>
      <w:lvlJc w:val="start"/>
      <w:pPr>
        <w:ind w:start="144pt" w:hanging="18pt"/>
      </w:pPr>
      <w:rPr>
        <w:rFonts w:ascii="Symbol" w:hAnsi="Symbol" w:hint="default"/>
      </w:rPr>
    </w:lvl>
    <w:lvl w:ilvl="4" w:tplc="080A0003">
      <w:start w:val="1"/>
      <w:numFmt w:val="bullet"/>
      <w:lvlText w:val="o"/>
      <w:lvlJc w:val="start"/>
      <w:pPr>
        <w:ind w:start="180pt" w:hanging="18pt"/>
      </w:pPr>
      <w:rPr>
        <w:rFonts w:ascii="Courier New" w:hAnsi="Courier New" w:cs="Courier New" w:hint="default"/>
      </w:rPr>
    </w:lvl>
    <w:lvl w:ilvl="5" w:tplc="080A0005">
      <w:start w:val="1"/>
      <w:numFmt w:val="bullet"/>
      <w:lvlText w:val=""/>
      <w:lvlJc w:val="start"/>
      <w:pPr>
        <w:ind w:start="216pt" w:hanging="18pt"/>
      </w:pPr>
      <w:rPr>
        <w:rFonts w:ascii="Wingdings" w:hAnsi="Wingdings" w:hint="default"/>
      </w:rPr>
    </w:lvl>
    <w:lvl w:ilvl="6" w:tplc="080A0001">
      <w:start w:val="1"/>
      <w:numFmt w:val="bullet"/>
      <w:lvlText w:val=""/>
      <w:lvlJc w:val="start"/>
      <w:pPr>
        <w:ind w:start="252pt" w:hanging="18pt"/>
      </w:pPr>
      <w:rPr>
        <w:rFonts w:ascii="Symbol" w:hAnsi="Symbol" w:hint="default"/>
      </w:rPr>
    </w:lvl>
    <w:lvl w:ilvl="7" w:tplc="080A0003">
      <w:start w:val="1"/>
      <w:numFmt w:val="bullet"/>
      <w:lvlText w:val="o"/>
      <w:lvlJc w:val="start"/>
      <w:pPr>
        <w:ind w:start="288pt" w:hanging="18pt"/>
      </w:pPr>
      <w:rPr>
        <w:rFonts w:ascii="Courier New" w:hAnsi="Courier New" w:cs="Courier New" w:hint="default"/>
      </w:rPr>
    </w:lvl>
    <w:lvl w:ilvl="8" w:tplc="080A0005">
      <w:start w:val="1"/>
      <w:numFmt w:val="bullet"/>
      <w:lvlText w:val=""/>
      <w:lvlJc w:val="start"/>
      <w:pPr>
        <w:ind w:start="324pt" w:hanging="18pt"/>
      </w:pPr>
      <w:rPr>
        <w:rFonts w:ascii="Wingdings" w:hAnsi="Wingdings" w:hint="default"/>
      </w:rPr>
    </w:lvl>
  </w:abstractNum>
  <w:abstractNum w:abstractNumId="241" w15:restartNumberingAfterBreak="0">
    <w:nsid w:val="76707E82"/>
    <w:multiLevelType w:val="hybridMultilevel"/>
    <w:tmpl w:val="18C804A0"/>
    <w:lvl w:ilvl="0" w:tplc="C3284E3A">
      <w:start w:val="1"/>
      <w:numFmt w:val="bullet"/>
      <w:lvlText w:val=""/>
      <w:lvlJc w:val="start"/>
      <w:pPr>
        <w:ind w:start="36pt" w:hanging="18pt"/>
      </w:pPr>
      <w:rPr>
        <w:rFonts w:ascii="Symbol" w:hAnsi="Symbol" w:hint="default"/>
      </w:rPr>
    </w:lvl>
    <w:lvl w:ilvl="1" w:tplc="85B4F16A" w:tentative="1">
      <w:start w:val="1"/>
      <w:numFmt w:val="bullet"/>
      <w:lvlText w:val="o"/>
      <w:lvlJc w:val="start"/>
      <w:pPr>
        <w:ind w:start="72pt" w:hanging="18pt"/>
      </w:pPr>
      <w:rPr>
        <w:rFonts w:ascii="Courier New" w:hAnsi="Courier New" w:cs="Courier New" w:hint="default"/>
      </w:rPr>
    </w:lvl>
    <w:lvl w:ilvl="2" w:tplc="39D4CC4A" w:tentative="1">
      <w:start w:val="1"/>
      <w:numFmt w:val="bullet"/>
      <w:lvlText w:val=""/>
      <w:lvlJc w:val="start"/>
      <w:pPr>
        <w:ind w:start="108pt" w:hanging="18pt"/>
      </w:pPr>
      <w:rPr>
        <w:rFonts w:ascii="Wingdings" w:hAnsi="Wingdings" w:hint="default"/>
      </w:rPr>
    </w:lvl>
    <w:lvl w:ilvl="3" w:tplc="C0EA4FA8" w:tentative="1">
      <w:start w:val="1"/>
      <w:numFmt w:val="bullet"/>
      <w:lvlText w:val=""/>
      <w:lvlJc w:val="start"/>
      <w:pPr>
        <w:ind w:start="144pt" w:hanging="18pt"/>
      </w:pPr>
      <w:rPr>
        <w:rFonts w:ascii="Symbol" w:hAnsi="Symbol" w:hint="default"/>
      </w:rPr>
    </w:lvl>
    <w:lvl w:ilvl="4" w:tplc="51DCCEF0" w:tentative="1">
      <w:start w:val="1"/>
      <w:numFmt w:val="bullet"/>
      <w:lvlText w:val="o"/>
      <w:lvlJc w:val="start"/>
      <w:pPr>
        <w:ind w:start="180pt" w:hanging="18pt"/>
      </w:pPr>
      <w:rPr>
        <w:rFonts w:ascii="Courier New" w:hAnsi="Courier New" w:cs="Courier New" w:hint="default"/>
      </w:rPr>
    </w:lvl>
    <w:lvl w:ilvl="5" w:tplc="4368572C" w:tentative="1">
      <w:start w:val="1"/>
      <w:numFmt w:val="bullet"/>
      <w:lvlText w:val=""/>
      <w:lvlJc w:val="start"/>
      <w:pPr>
        <w:ind w:start="216pt" w:hanging="18pt"/>
      </w:pPr>
      <w:rPr>
        <w:rFonts w:ascii="Wingdings" w:hAnsi="Wingdings" w:hint="default"/>
      </w:rPr>
    </w:lvl>
    <w:lvl w:ilvl="6" w:tplc="94A87760" w:tentative="1">
      <w:start w:val="1"/>
      <w:numFmt w:val="bullet"/>
      <w:lvlText w:val=""/>
      <w:lvlJc w:val="start"/>
      <w:pPr>
        <w:ind w:start="252pt" w:hanging="18pt"/>
      </w:pPr>
      <w:rPr>
        <w:rFonts w:ascii="Symbol" w:hAnsi="Symbol" w:hint="default"/>
      </w:rPr>
    </w:lvl>
    <w:lvl w:ilvl="7" w:tplc="250EDA58" w:tentative="1">
      <w:start w:val="1"/>
      <w:numFmt w:val="bullet"/>
      <w:lvlText w:val="o"/>
      <w:lvlJc w:val="start"/>
      <w:pPr>
        <w:ind w:start="288pt" w:hanging="18pt"/>
      </w:pPr>
      <w:rPr>
        <w:rFonts w:ascii="Courier New" w:hAnsi="Courier New" w:cs="Courier New" w:hint="default"/>
      </w:rPr>
    </w:lvl>
    <w:lvl w:ilvl="8" w:tplc="0CAEC0B8" w:tentative="1">
      <w:start w:val="1"/>
      <w:numFmt w:val="bullet"/>
      <w:lvlText w:val=""/>
      <w:lvlJc w:val="start"/>
      <w:pPr>
        <w:ind w:start="324pt" w:hanging="18pt"/>
      </w:pPr>
      <w:rPr>
        <w:rFonts w:ascii="Wingdings" w:hAnsi="Wingdings" w:hint="default"/>
      </w:rPr>
    </w:lvl>
  </w:abstractNum>
  <w:abstractNum w:abstractNumId="242" w15:restartNumberingAfterBreak="0">
    <w:nsid w:val="76BC4C6F"/>
    <w:multiLevelType w:val="hybridMultilevel"/>
    <w:tmpl w:val="19C4F5FC"/>
    <w:lvl w:ilvl="0" w:tplc="AC1EB0C8">
      <w:start w:val="1"/>
      <w:numFmt w:val="bullet"/>
      <w:lvlText w:val=""/>
      <w:lvlJc w:val="start"/>
      <w:pPr>
        <w:ind w:start="37.70pt" w:hanging="18pt"/>
      </w:pPr>
      <w:rPr>
        <w:rFonts w:ascii="Wingdings" w:hAnsi="Wingdings" w:hint="default"/>
      </w:rPr>
    </w:lvl>
    <w:lvl w:ilvl="1" w:tplc="65526C0A" w:tentative="1">
      <w:start w:val="1"/>
      <w:numFmt w:val="bullet"/>
      <w:lvlText w:val="o"/>
      <w:lvlJc w:val="start"/>
      <w:pPr>
        <w:ind w:start="73.70pt" w:hanging="18pt"/>
      </w:pPr>
      <w:rPr>
        <w:rFonts w:ascii="Courier New" w:hAnsi="Courier New" w:cs="Courier New" w:hint="default"/>
      </w:rPr>
    </w:lvl>
    <w:lvl w:ilvl="2" w:tplc="58BA4056" w:tentative="1">
      <w:start w:val="1"/>
      <w:numFmt w:val="bullet"/>
      <w:lvlText w:val=""/>
      <w:lvlJc w:val="start"/>
      <w:pPr>
        <w:ind w:start="109.70pt" w:hanging="18pt"/>
      </w:pPr>
      <w:rPr>
        <w:rFonts w:ascii="Wingdings" w:hAnsi="Wingdings" w:hint="default"/>
      </w:rPr>
    </w:lvl>
    <w:lvl w:ilvl="3" w:tplc="8D44EBC2" w:tentative="1">
      <w:start w:val="1"/>
      <w:numFmt w:val="bullet"/>
      <w:lvlText w:val=""/>
      <w:lvlJc w:val="start"/>
      <w:pPr>
        <w:ind w:start="145.65pt" w:hanging="18pt"/>
      </w:pPr>
      <w:rPr>
        <w:rFonts w:ascii="Symbol" w:hAnsi="Symbol" w:hint="default"/>
      </w:rPr>
    </w:lvl>
    <w:lvl w:ilvl="4" w:tplc="292CFBA8" w:tentative="1">
      <w:start w:val="1"/>
      <w:numFmt w:val="bullet"/>
      <w:lvlText w:val="o"/>
      <w:lvlJc w:val="start"/>
      <w:pPr>
        <w:ind w:start="181.70pt" w:hanging="18pt"/>
      </w:pPr>
      <w:rPr>
        <w:rFonts w:ascii="Courier New" w:hAnsi="Courier New" w:cs="Courier New" w:hint="default"/>
      </w:rPr>
    </w:lvl>
    <w:lvl w:ilvl="5" w:tplc="12443A72" w:tentative="1">
      <w:start w:val="1"/>
      <w:numFmt w:val="bullet"/>
      <w:lvlText w:val=""/>
      <w:lvlJc w:val="start"/>
      <w:pPr>
        <w:ind w:start="217.70pt" w:hanging="18pt"/>
      </w:pPr>
      <w:rPr>
        <w:rFonts w:ascii="Wingdings" w:hAnsi="Wingdings" w:hint="default"/>
      </w:rPr>
    </w:lvl>
    <w:lvl w:ilvl="6" w:tplc="866090C2" w:tentative="1">
      <w:start w:val="1"/>
      <w:numFmt w:val="bullet"/>
      <w:lvlText w:val=""/>
      <w:lvlJc w:val="start"/>
      <w:pPr>
        <w:ind w:start="253.70pt" w:hanging="18pt"/>
      </w:pPr>
      <w:rPr>
        <w:rFonts w:ascii="Symbol" w:hAnsi="Symbol" w:hint="default"/>
      </w:rPr>
    </w:lvl>
    <w:lvl w:ilvl="7" w:tplc="EEB088C6" w:tentative="1">
      <w:start w:val="1"/>
      <w:numFmt w:val="bullet"/>
      <w:lvlText w:val="o"/>
      <w:lvlJc w:val="start"/>
      <w:pPr>
        <w:ind w:start="289.70pt" w:hanging="18pt"/>
      </w:pPr>
      <w:rPr>
        <w:rFonts w:ascii="Courier New" w:hAnsi="Courier New" w:cs="Courier New" w:hint="default"/>
      </w:rPr>
    </w:lvl>
    <w:lvl w:ilvl="8" w:tplc="847290AA" w:tentative="1">
      <w:start w:val="1"/>
      <w:numFmt w:val="bullet"/>
      <w:lvlText w:val=""/>
      <w:lvlJc w:val="start"/>
      <w:pPr>
        <w:ind w:start="325.70pt" w:hanging="18pt"/>
      </w:pPr>
      <w:rPr>
        <w:rFonts w:ascii="Wingdings" w:hAnsi="Wingdings" w:hint="default"/>
      </w:rPr>
    </w:lvl>
  </w:abstractNum>
  <w:abstractNum w:abstractNumId="243" w15:restartNumberingAfterBreak="0">
    <w:nsid w:val="76D23984"/>
    <w:multiLevelType w:val="hybridMultilevel"/>
    <w:tmpl w:val="D0B08C94"/>
    <w:lvl w:ilvl="0" w:tplc="03E832D4">
      <w:start w:val="1"/>
      <w:numFmt w:val="bullet"/>
      <w:lvlText w:val=""/>
      <w:lvlJc w:val="start"/>
      <w:pPr>
        <w:ind w:start="37.70pt" w:hanging="18pt"/>
      </w:pPr>
      <w:rPr>
        <w:rFonts w:ascii="Wingdings" w:hAnsi="Wingdings" w:hint="default"/>
      </w:rPr>
    </w:lvl>
    <w:lvl w:ilvl="1" w:tplc="63F62E00" w:tentative="1">
      <w:start w:val="1"/>
      <w:numFmt w:val="bullet"/>
      <w:lvlText w:val="o"/>
      <w:lvlJc w:val="start"/>
      <w:pPr>
        <w:ind w:start="73.70pt" w:hanging="18pt"/>
      </w:pPr>
      <w:rPr>
        <w:rFonts w:ascii="Courier New" w:hAnsi="Courier New" w:cs="Courier New" w:hint="default"/>
      </w:rPr>
    </w:lvl>
    <w:lvl w:ilvl="2" w:tplc="2F008E9E" w:tentative="1">
      <w:start w:val="1"/>
      <w:numFmt w:val="bullet"/>
      <w:lvlText w:val=""/>
      <w:lvlJc w:val="start"/>
      <w:pPr>
        <w:ind w:start="109.70pt" w:hanging="18pt"/>
      </w:pPr>
      <w:rPr>
        <w:rFonts w:ascii="Wingdings" w:hAnsi="Wingdings" w:hint="default"/>
      </w:rPr>
    </w:lvl>
    <w:lvl w:ilvl="3" w:tplc="CDF833D2" w:tentative="1">
      <w:start w:val="1"/>
      <w:numFmt w:val="bullet"/>
      <w:lvlText w:val=""/>
      <w:lvlJc w:val="start"/>
      <w:pPr>
        <w:ind w:start="145.65pt" w:hanging="18pt"/>
      </w:pPr>
      <w:rPr>
        <w:rFonts w:ascii="Symbol" w:hAnsi="Symbol" w:hint="default"/>
      </w:rPr>
    </w:lvl>
    <w:lvl w:ilvl="4" w:tplc="64662A34" w:tentative="1">
      <w:start w:val="1"/>
      <w:numFmt w:val="bullet"/>
      <w:lvlText w:val="o"/>
      <w:lvlJc w:val="start"/>
      <w:pPr>
        <w:ind w:start="181.70pt" w:hanging="18pt"/>
      </w:pPr>
      <w:rPr>
        <w:rFonts w:ascii="Courier New" w:hAnsi="Courier New" w:cs="Courier New" w:hint="default"/>
      </w:rPr>
    </w:lvl>
    <w:lvl w:ilvl="5" w:tplc="705050C0" w:tentative="1">
      <w:start w:val="1"/>
      <w:numFmt w:val="bullet"/>
      <w:lvlText w:val=""/>
      <w:lvlJc w:val="start"/>
      <w:pPr>
        <w:ind w:start="217.70pt" w:hanging="18pt"/>
      </w:pPr>
      <w:rPr>
        <w:rFonts w:ascii="Wingdings" w:hAnsi="Wingdings" w:hint="default"/>
      </w:rPr>
    </w:lvl>
    <w:lvl w:ilvl="6" w:tplc="3DA085DC" w:tentative="1">
      <w:start w:val="1"/>
      <w:numFmt w:val="bullet"/>
      <w:lvlText w:val=""/>
      <w:lvlJc w:val="start"/>
      <w:pPr>
        <w:ind w:start="253.70pt" w:hanging="18pt"/>
      </w:pPr>
      <w:rPr>
        <w:rFonts w:ascii="Symbol" w:hAnsi="Symbol" w:hint="default"/>
      </w:rPr>
    </w:lvl>
    <w:lvl w:ilvl="7" w:tplc="CF00E21C" w:tentative="1">
      <w:start w:val="1"/>
      <w:numFmt w:val="bullet"/>
      <w:lvlText w:val="o"/>
      <w:lvlJc w:val="start"/>
      <w:pPr>
        <w:ind w:start="289.70pt" w:hanging="18pt"/>
      </w:pPr>
      <w:rPr>
        <w:rFonts w:ascii="Courier New" w:hAnsi="Courier New" w:cs="Courier New" w:hint="default"/>
      </w:rPr>
    </w:lvl>
    <w:lvl w:ilvl="8" w:tplc="EBE09378" w:tentative="1">
      <w:start w:val="1"/>
      <w:numFmt w:val="bullet"/>
      <w:lvlText w:val=""/>
      <w:lvlJc w:val="start"/>
      <w:pPr>
        <w:ind w:start="325.70pt" w:hanging="18pt"/>
      </w:pPr>
      <w:rPr>
        <w:rFonts w:ascii="Wingdings" w:hAnsi="Wingdings" w:hint="default"/>
      </w:rPr>
    </w:lvl>
  </w:abstractNum>
  <w:abstractNum w:abstractNumId="244" w15:restartNumberingAfterBreak="0">
    <w:nsid w:val="76DD3B50"/>
    <w:multiLevelType w:val="multilevel"/>
    <w:tmpl w:val="B9BE2D34"/>
    <w:lvl w:ilvl="0">
      <w:start w:val="1"/>
      <w:numFmt w:val="decimal"/>
      <w:lvlText w:val="%1."/>
      <w:lvlJc w:val="start"/>
      <w:pPr>
        <w:tabs>
          <w:tab w:val="num" w:pos="18pt"/>
        </w:tabs>
        <w:ind w:start="18pt" w:hanging="18pt"/>
      </w:pPr>
      <w:rPr>
        <w:rFonts w:cs="Times New Roman" w:hint="default"/>
        <w:sz w:val="32"/>
      </w:rPr>
    </w:lvl>
    <w:lvl w:ilvl="1">
      <w:start w:val="1"/>
      <w:numFmt w:val="decimal"/>
      <w:lvlText w:val="%1.%2."/>
      <w:lvlJc w:val="start"/>
      <w:pPr>
        <w:tabs>
          <w:tab w:val="num" w:pos="57.10pt"/>
        </w:tabs>
        <w:ind w:start="57.10pt" w:hanging="21.60pt"/>
      </w:pPr>
      <w:rPr>
        <w:rFonts w:cs="Times New Roman" w:hint="default"/>
        <w:sz w:val="28"/>
        <w:szCs w:val="28"/>
      </w:rPr>
    </w:lvl>
    <w:lvl w:ilvl="2">
      <w:start w:val="1"/>
      <w:numFmt w:val="decimal"/>
      <w:pStyle w:val="SUBSUBCAP"/>
      <w:lvlText w:val="%1.%2.%3."/>
      <w:lvlJc w:val="start"/>
      <w:pPr>
        <w:tabs>
          <w:tab w:val="num" w:pos="61.20pt"/>
        </w:tabs>
        <w:ind w:start="61.20pt" w:hanging="25.20pt"/>
      </w:pPr>
      <w:rPr>
        <w:rFonts w:cs="Times New Roman" w:hint="default"/>
      </w:rPr>
    </w:lvl>
    <w:lvl w:ilvl="3">
      <w:start w:val="1"/>
      <w:numFmt w:val="decimal"/>
      <w:lvlText w:val="%1.%2.%3.%4."/>
      <w:lvlJc w:val="start"/>
      <w:pPr>
        <w:tabs>
          <w:tab w:val="num" w:pos="86.40pt"/>
        </w:tabs>
        <w:ind w:start="86.40pt" w:hanging="32.40pt"/>
      </w:pPr>
      <w:rPr>
        <w:rFonts w:cs="Times New Roman" w:hint="default"/>
        <w:b/>
        <w:bCs/>
      </w:rPr>
    </w:lvl>
    <w:lvl w:ilvl="4">
      <w:start w:val="1"/>
      <w:numFmt w:val="decimal"/>
      <w:lvlText w:val="%1.%2.%3.%4.%5."/>
      <w:lvlJc w:val="start"/>
      <w:pPr>
        <w:tabs>
          <w:tab w:val="num" w:pos="111.60pt"/>
        </w:tabs>
        <w:ind w:start="111.60pt" w:hanging="39.60pt"/>
      </w:pPr>
      <w:rPr>
        <w:rFonts w:cs="Times New Roman" w:hint="default"/>
      </w:rPr>
    </w:lvl>
    <w:lvl w:ilvl="5">
      <w:start w:val="1"/>
      <w:numFmt w:val="decimal"/>
      <w:lvlText w:val="%1.%2.%3.%4.%5.%6."/>
      <w:lvlJc w:val="start"/>
      <w:pPr>
        <w:tabs>
          <w:tab w:val="num" w:pos="136.80pt"/>
        </w:tabs>
        <w:ind w:start="136.80pt" w:hanging="46.80pt"/>
      </w:pPr>
      <w:rPr>
        <w:rFonts w:cs="Times New Roman" w:hint="default"/>
      </w:rPr>
    </w:lvl>
    <w:lvl w:ilvl="6">
      <w:start w:val="1"/>
      <w:numFmt w:val="decimal"/>
      <w:lvlText w:val="%1.%2.%3.%4.%5.%6.%7."/>
      <w:lvlJc w:val="start"/>
      <w:pPr>
        <w:tabs>
          <w:tab w:val="num" w:pos="162pt"/>
        </w:tabs>
        <w:ind w:start="162pt" w:hanging="54pt"/>
      </w:pPr>
      <w:rPr>
        <w:rFonts w:cs="Times New Roman" w:hint="default"/>
      </w:rPr>
    </w:lvl>
    <w:lvl w:ilvl="7">
      <w:start w:val="1"/>
      <w:numFmt w:val="decimal"/>
      <w:lvlText w:val="%1.%2.%3.%4.%5.%6.%7.%8."/>
      <w:lvlJc w:val="start"/>
      <w:pPr>
        <w:tabs>
          <w:tab w:val="num" w:pos="187.20pt"/>
        </w:tabs>
        <w:ind w:start="187.20pt" w:hanging="61.20pt"/>
      </w:pPr>
      <w:rPr>
        <w:rFonts w:cs="Times New Roman" w:hint="default"/>
      </w:rPr>
    </w:lvl>
    <w:lvl w:ilvl="8">
      <w:start w:val="1"/>
      <w:numFmt w:val="decimal"/>
      <w:lvlText w:val="%1.%2.%3.%4.%5.%6.%7.%8.%9."/>
      <w:lvlJc w:val="start"/>
      <w:pPr>
        <w:tabs>
          <w:tab w:val="num" w:pos="216pt"/>
        </w:tabs>
        <w:ind w:start="216pt" w:hanging="72pt"/>
      </w:pPr>
      <w:rPr>
        <w:rFonts w:cs="Times New Roman" w:hint="default"/>
      </w:rPr>
    </w:lvl>
  </w:abstractNum>
  <w:abstractNum w:abstractNumId="245" w15:restartNumberingAfterBreak="0">
    <w:nsid w:val="76E623F0"/>
    <w:multiLevelType w:val="hybridMultilevel"/>
    <w:tmpl w:val="185CC072"/>
    <w:lvl w:ilvl="0" w:tplc="3424C664">
      <w:start w:val="1"/>
      <w:numFmt w:val="bullet"/>
      <w:lvlText w:val=""/>
      <w:lvlJc w:val="start"/>
      <w:pPr>
        <w:ind w:start="54pt" w:hanging="18pt"/>
      </w:pPr>
      <w:rPr>
        <w:rFonts w:ascii="Symbol" w:hAnsi="Symbol" w:hint="default"/>
      </w:rPr>
    </w:lvl>
    <w:lvl w:ilvl="1" w:tplc="98882C9E">
      <w:start w:val="1"/>
      <w:numFmt w:val="bullet"/>
      <w:lvlText w:val="o"/>
      <w:lvlJc w:val="start"/>
      <w:pPr>
        <w:ind w:start="90pt" w:hanging="18pt"/>
      </w:pPr>
      <w:rPr>
        <w:rFonts w:ascii="Courier New" w:hAnsi="Courier New" w:cs="Courier New" w:hint="default"/>
      </w:rPr>
    </w:lvl>
    <w:lvl w:ilvl="2" w:tplc="390CEC1A">
      <w:start w:val="1"/>
      <w:numFmt w:val="bullet"/>
      <w:lvlText w:val=""/>
      <w:lvlJc w:val="start"/>
      <w:pPr>
        <w:ind w:start="126pt" w:hanging="18pt"/>
      </w:pPr>
      <w:rPr>
        <w:rFonts w:ascii="Wingdings" w:hAnsi="Wingdings" w:hint="default"/>
      </w:rPr>
    </w:lvl>
    <w:lvl w:ilvl="3" w:tplc="333E57B0">
      <w:start w:val="1"/>
      <w:numFmt w:val="bullet"/>
      <w:lvlText w:val=""/>
      <w:lvlJc w:val="start"/>
      <w:pPr>
        <w:ind w:start="162pt" w:hanging="18pt"/>
      </w:pPr>
      <w:rPr>
        <w:rFonts w:ascii="Symbol" w:hAnsi="Symbol" w:hint="default"/>
      </w:rPr>
    </w:lvl>
    <w:lvl w:ilvl="4" w:tplc="65303A46">
      <w:start w:val="1"/>
      <w:numFmt w:val="bullet"/>
      <w:lvlText w:val="o"/>
      <w:lvlJc w:val="start"/>
      <w:pPr>
        <w:ind w:start="198pt" w:hanging="18pt"/>
      </w:pPr>
      <w:rPr>
        <w:rFonts w:ascii="Courier New" w:hAnsi="Courier New" w:cs="Courier New" w:hint="default"/>
      </w:rPr>
    </w:lvl>
    <w:lvl w:ilvl="5" w:tplc="E8D4C724">
      <w:start w:val="1"/>
      <w:numFmt w:val="bullet"/>
      <w:lvlText w:val=""/>
      <w:lvlJc w:val="start"/>
      <w:pPr>
        <w:ind w:start="234pt" w:hanging="18pt"/>
      </w:pPr>
      <w:rPr>
        <w:rFonts w:ascii="Wingdings" w:hAnsi="Wingdings" w:hint="default"/>
      </w:rPr>
    </w:lvl>
    <w:lvl w:ilvl="6" w:tplc="30ACAD38">
      <w:start w:val="1"/>
      <w:numFmt w:val="bullet"/>
      <w:lvlText w:val=""/>
      <w:lvlJc w:val="start"/>
      <w:pPr>
        <w:ind w:start="270pt" w:hanging="18pt"/>
      </w:pPr>
      <w:rPr>
        <w:rFonts w:ascii="Symbol" w:hAnsi="Symbol" w:hint="default"/>
      </w:rPr>
    </w:lvl>
    <w:lvl w:ilvl="7" w:tplc="B052A64A">
      <w:start w:val="1"/>
      <w:numFmt w:val="bullet"/>
      <w:lvlText w:val="o"/>
      <w:lvlJc w:val="start"/>
      <w:pPr>
        <w:ind w:start="306pt" w:hanging="18pt"/>
      </w:pPr>
      <w:rPr>
        <w:rFonts w:ascii="Courier New" w:hAnsi="Courier New" w:cs="Courier New" w:hint="default"/>
      </w:rPr>
    </w:lvl>
    <w:lvl w:ilvl="8" w:tplc="F5C67030">
      <w:start w:val="1"/>
      <w:numFmt w:val="bullet"/>
      <w:lvlText w:val=""/>
      <w:lvlJc w:val="start"/>
      <w:pPr>
        <w:ind w:start="342pt" w:hanging="18pt"/>
      </w:pPr>
      <w:rPr>
        <w:rFonts w:ascii="Wingdings" w:hAnsi="Wingdings" w:hint="default"/>
      </w:rPr>
    </w:lvl>
  </w:abstractNum>
  <w:abstractNum w:abstractNumId="246" w15:restartNumberingAfterBreak="0">
    <w:nsid w:val="77925EBB"/>
    <w:multiLevelType w:val="hybridMultilevel"/>
    <w:tmpl w:val="96C6B18C"/>
    <w:lvl w:ilvl="0" w:tplc="52342E44">
      <w:start w:val="1"/>
      <w:numFmt w:val="decimal"/>
      <w:pStyle w:val="ARequeridoR"/>
      <w:lvlText w:val="(R%1):"/>
      <w:lvlJc w:val="start"/>
      <w:pPr>
        <w:tabs>
          <w:tab w:val="num" w:pos="28.35pt"/>
        </w:tabs>
        <w:ind w:start="28.35pt" w:hanging="28.35pt"/>
      </w:pPr>
      <w:rPr>
        <w:rFonts w:ascii="Times New Roman" w:hAnsi="Times New Roman" w:cs="Times New Roman" w:hint="default"/>
        <w:b/>
        <w:i/>
        <w:sz w:val="22"/>
      </w:rPr>
    </w:lvl>
    <w:lvl w:ilvl="1" w:tplc="5D1EB334">
      <w:start w:val="1"/>
      <w:numFmt w:val="decimal"/>
      <w:lvlText w:val="%2)"/>
      <w:lvlJc w:val="start"/>
      <w:pPr>
        <w:tabs>
          <w:tab w:val="num" w:pos="72pt"/>
        </w:tabs>
        <w:ind w:start="72pt" w:hanging="18pt"/>
      </w:pPr>
      <w:rPr>
        <w:rFonts w:cs="Times New Roman" w:hint="default"/>
      </w:rPr>
    </w:lvl>
    <w:lvl w:ilvl="2" w:tplc="7334FB9C">
      <w:start w:val="1"/>
      <w:numFmt w:val="lowerLetter"/>
      <w:lvlText w:val="%3)"/>
      <w:lvlJc w:val="start"/>
      <w:pPr>
        <w:tabs>
          <w:tab w:val="num" w:pos="117pt"/>
        </w:tabs>
        <w:ind w:start="117pt" w:hanging="18pt"/>
      </w:pPr>
      <w:rPr>
        <w:rFonts w:cs="Times New Roman" w:hint="default"/>
      </w:rPr>
    </w:lvl>
    <w:lvl w:ilvl="3" w:tplc="4B7A19CA" w:tentative="1">
      <w:start w:val="1"/>
      <w:numFmt w:val="decimal"/>
      <w:lvlText w:val="%4."/>
      <w:lvlJc w:val="start"/>
      <w:pPr>
        <w:tabs>
          <w:tab w:val="num" w:pos="144pt"/>
        </w:tabs>
        <w:ind w:start="144pt" w:hanging="18pt"/>
      </w:pPr>
      <w:rPr>
        <w:rFonts w:cs="Times New Roman"/>
      </w:rPr>
    </w:lvl>
    <w:lvl w:ilvl="4" w:tplc="C83055E4" w:tentative="1">
      <w:start w:val="1"/>
      <w:numFmt w:val="lowerLetter"/>
      <w:lvlText w:val="%5."/>
      <w:lvlJc w:val="start"/>
      <w:pPr>
        <w:tabs>
          <w:tab w:val="num" w:pos="180pt"/>
        </w:tabs>
        <w:ind w:start="180pt" w:hanging="18pt"/>
      </w:pPr>
      <w:rPr>
        <w:rFonts w:cs="Times New Roman"/>
      </w:rPr>
    </w:lvl>
    <w:lvl w:ilvl="5" w:tplc="A650F586" w:tentative="1">
      <w:start w:val="1"/>
      <w:numFmt w:val="lowerRoman"/>
      <w:lvlText w:val="%6."/>
      <w:lvlJc w:val="end"/>
      <w:pPr>
        <w:tabs>
          <w:tab w:val="num" w:pos="216pt"/>
        </w:tabs>
        <w:ind w:start="216pt" w:hanging="9pt"/>
      </w:pPr>
      <w:rPr>
        <w:rFonts w:cs="Times New Roman"/>
      </w:rPr>
    </w:lvl>
    <w:lvl w:ilvl="6" w:tplc="9CD2BF4E" w:tentative="1">
      <w:start w:val="1"/>
      <w:numFmt w:val="decimal"/>
      <w:lvlText w:val="%7."/>
      <w:lvlJc w:val="start"/>
      <w:pPr>
        <w:tabs>
          <w:tab w:val="num" w:pos="252pt"/>
        </w:tabs>
        <w:ind w:start="252pt" w:hanging="18pt"/>
      </w:pPr>
      <w:rPr>
        <w:rFonts w:cs="Times New Roman"/>
      </w:rPr>
    </w:lvl>
    <w:lvl w:ilvl="7" w:tplc="CD4C5CBE" w:tentative="1">
      <w:start w:val="1"/>
      <w:numFmt w:val="lowerLetter"/>
      <w:lvlText w:val="%8."/>
      <w:lvlJc w:val="start"/>
      <w:pPr>
        <w:tabs>
          <w:tab w:val="num" w:pos="288pt"/>
        </w:tabs>
        <w:ind w:start="288pt" w:hanging="18pt"/>
      </w:pPr>
      <w:rPr>
        <w:rFonts w:cs="Times New Roman"/>
      </w:rPr>
    </w:lvl>
    <w:lvl w:ilvl="8" w:tplc="78FCC8DC" w:tentative="1">
      <w:start w:val="1"/>
      <w:numFmt w:val="lowerRoman"/>
      <w:lvlText w:val="%9."/>
      <w:lvlJc w:val="end"/>
      <w:pPr>
        <w:tabs>
          <w:tab w:val="num" w:pos="324pt"/>
        </w:tabs>
        <w:ind w:start="324pt" w:hanging="9pt"/>
      </w:pPr>
      <w:rPr>
        <w:rFonts w:cs="Times New Roman"/>
      </w:rPr>
    </w:lvl>
  </w:abstractNum>
  <w:abstractNum w:abstractNumId="247" w15:restartNumberingAfterBreak="0">
    <w:nsid w:val="78064B9A"/>
    <w:multiLevelType w:val="hybridMultilevel"/>
    <w:tmpl w:val="1DFE02AE"/>
    <w:lvl w:ilvl="0" w:tplc="2F46213C">
      <w:start w:val="1"/>
      <w:numFmt w:val="bullet"/>
      <w:lvlText w:val=""/>
      <w:lvlJc w:val="start"/>
      <w:pPr>
        <w:ind w:start="36pt" w:hanging="18pt"/>
      </w:pPr>
      <w:rPr>
        <w:rFonts w:ascii="Symbol" w:hAnsi="Symbol" w:hint="default"/>
      </w:rPr>
    </w:lvl>
    <w:lvl w:ilvl="1" w:tplc="5DB08934" w:tentative="1">
      <w:start w:val="1"/>
      <w:numFmt w:val="bullet"/>
      <w:lvlText w:val="o"/>
      <w:lvlJc w:val="start"/>
      <w:pPr>
        <w:ind w:start="72pt" w:hanging="18pt"/>
      </w:pPr>
      <w:rPr>
        <w:rFonts w:ascii="Courier New" w:hAnsi="Courier New" w:cs="Courier New" w:hint="default"/>
      </w:rPr>
    </w:lvl>
    <w:lvl w:ilvl="2" w:tplc="0BAAC99C" w:tentative="1">
      <w:start w:val="1"/>
      <w:numFmt w:val="bullet"/>
      <w:lvlText w:val=""/>
      <w:lvlJc w:val="start"/>
      <w:pPr>
        <w:ind w:start="108pt" w:hanging="18pt"/>
      </w:pPr>
      <w:rPr>
        <w:rFonts w:ascii="Wingdings" w:hAnsi="Wingdings" w:hint="default"/>
      </w:rPr>
    </w:lvl>
    <w:lvl w:ilvl="3" w:tplc="1EF06800" w:tentative="1">
      <w:start w:val="1"/>
      <w:numFmt w:val="bullet"/>
      <w:lvlText w:val=""/>
      <w:lvlJc w:val="start"/>
      <w:pPr>
        <w:ind w:start="144pt" w:hanging="18pt"/>
      </w:pPr>
      <w:rPr>
        <w:rFonts w:ascii="Symbol" w:hAnsi="Symbol" w:hint="default"/>
      </w:rPr>
    </w:lvl>
    <w:lvl w:ilvl="4" w:tplc="3F10D9C2" w:tentative="1">
      <w:start w:val="1"/>
      <w:numFmt w:val="bullet"/>
      <w:lvlText w:val="o"/>
      <w:lvlJc w:val="start"/>
      <w:pPr>
        <w:ind w:start="180pt" w:hanging="18pt"/>
      </w:pPr>
      <w:rPr>
        <w:rFonts w:ascii="Courier New" w:hAnsi="Courier New" w:cs="Courier New" w:hint="default"/>
      </w:rPr>
    </w:lvl>
    <w:lvl w:ilvl="5" w:tplc="93F6B9D8" w:tentative="1">
      <w:start w:val="1"/>
      <w:numFmt w:val="bullet"/>
      <w:lvlText w:val=""/>
      <w:lvlJc w:val="start"/>
      <w:pPr>
        <w:ind w:start="216pt" w:hanging="18pt"/>
      </w:pPr>
      <w:rPr>
        <w:rFonts w:ascii="Wingdings" w:hAnsi="Wingdings" w:hint="default"/>
      </w:rPr>
    </w:lvl>
    <w:lvl w:ilvl="6" w:tplc="40DE135E" w:tentative="1">
      <w:start w:val="1"/>
      <w:numFmt w:val="bullet"/>
      <w:lvlText w:val=""/>
      <w:lvlJc w:val="start"/>
      <w:pPr>
        <w:ind w:start="252pt" w:hanging="18pt"/>
      </w:pPr>
      <w:rPr>
        <w:rFonts w:ascii="Symbol" w:hAnsi="Symbol" w:hint="default"/>
      </w:rPr>
    </w:lvl>
    <w:lvl w:ilvl="7" w:tplc="704EBEAC" w:tentative="1">
      <w:start w:val="1"/>
      <w:numFmt w:val="bullet"/>
      <w:lvlText w:val="o"/>
      <w:lvlJc w:val="start"/>
      <w:pPr>
        <w:ind w:start="288pt" w:hanging="18pt"/>
      </w:pPr>
      <w:rPr>
        <w:rFonts w:ascii="Courier New" w:hAnsi="Courier New" w:cs="Courier New" w:hint="default"/>
      </w:rPr>
    </w:lvl>
    <w:lvl w:ilvl="8" w:tplc="49E0A368" w:tentative="1">
      <w:start w:val="1"/>
      <w:numFmt w:val="bullet"/>
      <w:lvlText w:val=""/>
      <w:lvlJc w:val="start"/>
      <w:pPr>
        <w:ind w:start="324pt" w:hanging="18pt"/>
      </w:pPr>
      <w:rPr>
        <w:rFonts w:ascii="Wingdings" w:hAnsi="Wingdings" w:hint="default"/>
      </w:rPr>
    </w:lvl>
  </w:abstractNum>
  <w:abstractNum w:abstractNumId="248" w15:restartNumberingAfterBreak="0">
    <w:nsid w:val="780E7D45"/>
    <w:multiLevelType w:val="hybridMultilevel"/>
    <w:tmpl w:val="22C67D6C"/>
    <w:lvl w:ilvl="0" w:tplc="76309DF6">
      <w:start w:val="1"/>
      <w:numFmt w:val="bullet"/>
      <w:lvlText w:val=""/>
      <w:lvlJc w:val="start"/>
      <w:pPr>
        <w:ind w:start="36pt" w:hanging="18pt"/>
      </w:pPr>
      <w:rPr>
        <w:rFonts w:ascii="Symbol" w:hAnsi="Symbol" w:hint="default"/>
      </w:rPr>
    </w:lvl>
    <w:lvl w:ilvl="1" w:tplc="7B247D6E" w:tentative="1">
      <w:start w:val="1"/>
      <w:numFmt w:val="bullet"/>
      <w:lvlText w:val="o"/>
      <w:lvlJc w:val="start"/>
      <w:pPr>
        <w:ind w:start="72pt" w:hanging="18pt"/>
      </w:pPr>
      <w:rPr>
        <w:rFonts w:ascii="Courier New" w:hAnsi="Courier New" w:cs="Courier New" w:hint="default"/>
      </w:rPr>
    </w:lvl>
    <w:lvl w:ilvl="2" w:tplc="8C1CA744" w:tentative="1">
      <w:start w:val="1"/>
      <w:numFmt w:val="bullet"/>
      <w:lvlText w:val=""/>
      <w:lvlJc w:val="start"/>
      <w:pPr>
        <w:ind w:start="108pt" w:hanging="18pt"/>
      </w:pPr>
      <w:rPr>
        <w:rFonts w:ascii="Wingdings" w:hAnsi="Wingdings" w:hint="default"/>
      </w:rPr>
    </w:lvl>
    <w:lvl w:ilvl="3" w:tplc="8D36E69C" w:tentative="1">
      <w:start w:val="1"/>
      <w:numFmt w:val="bullet"/>
      <w:lvlText w:val=""/>
      <w:lvlJc w:val="start"/>
      <w:pPr>
        <w:ind w:start="144pt" w:hanging="18pt"/>
      </w:pPr>
      <w:rPr>
        <w:rFonts w:ascii="Symbol" w:hAnsi="Symbol" w:hint="default"/>
      </w:rPr>
    </w:lvl>
    <w:lvl w:ilvl="4" w:tplc="ABB0FEC8" w:tentative="1">
      <w:start w:val="1"/>
      <w:numFmt w:val="bullet"/>
      <w:lvlText w:val="o"/>
      <w:lvlJc w:val="start"/>
      <w:pPr>
        <w:ind w:start="180pt" w:hanging="18pt"/>
      </w:pPr>
      <w:rPr>
        <w:rFonts w:ascii="Courier New" w:hAnsi="Courier New" w:cs="Courier New" w:hint="default"/>
      </w:rPr>
    </w:lvl>
    <w:lvl w:ilvl="5" w:tplc="F0B604CC" w:tentative="1">
      <w:start w:val="1"/>
      <w:numFmt w:val="bullet"/>
      <w:lvlText w:val=""/>
      <w:lvlJc w:val="start"/>
      <w:pPr>
        <w:ind w:start="216pt" w:hanging="18pt"/>
      </w:pPr>
      <w:rPr>
        <w:rFonts w:ascii="Wingdings" w:hAnsi="Wingdings" w:hint="default"/>
      </w:rPr>
    </w:lvl>
    <w:lvl w:ilvl="6" w:tplc="6A8E3820" w:tentative="1">
      <w:start w:val="1"/>
      <w:numFmt w:val="bullet"/>
      <w:lvlText w:val=""/>
      <w:lvlJc w:val="start"/>
      <w:pPr>
        <w:ind w:start="252pt" w:hanging="18pt"/>
      </w:pPr>
      <w:rPr>
        <w:rFonts w:ascii="Symbol" w:hAnsi="Symbol" w:hint="default"/>
      </w:rPr>
    </w:lvl>
    <w:lvl w:ilvl="7" w:tplc="926A92CA" w:tentative="1">
      <w:start w:val="1"/>
      <w:numFmt w:val="bullet"/>
      <w:lvlText w:val="o"/>
      <w:lvlJc w:val="start"/>
      <w:pPr>
        <w:ind w:start="288pt" w:hanging="18pt"/>
      </w:pPr>
      <w:rPr>
        <w:rFonts w:ascii="Courier New" w:hAnsi="Courier New" w:cs="Courier New" w:hint="default"/>
      </w:rPr>
    </w:lvl>
    <w:lvl w:ilvl="8" w:tplc="B6C08826" w:tentative="1">
      <w:start w:val="1"/>
      <w:numFmt w:val="bullet"/>
      <w:lvlText w:val=""/>
      <w:lvlJc w:val="start"/>
      <w:pPr>
        <w:ind w:start="324pt" w:hanging="18pt"/>
      </w:pPr>
      <w:rPr>
        <w:rFonts w:ascii="Wingdings" w:hAnsi="Wingdings" w:hint="default"/>
      </w:rPr>
    </w:lvl>
  </w:abstractNum>
  <w:abstractNum w:abstractNumId="249" w15:restartNumberingAfterBreak="0">
    <w:nsid w:val="79087AAA"/>
    <w:multiLevelType w:val="hybridMultilevel"/>
    <w:tmpl w:val="51F46ABE"/>
    <w:lvl w:ilvl="0" w:tplc="66506354">
      <w:start w:val="1"/>
      <w:numFmt w:val="bullet"/>
      <w:lvlText w:val=""/>
      <w:lvlJc w:val="start"/>
      <w:pPr>
        <w:ind w:start="39.25pt" w:hanging="18pt"/>
      </w:pPr>
      <w:rPr>
        <w:rFonts w:ascii="Symbol" w:hAnsi="Symbol" w:hint="default"/>
      </w:rPr>
    </w:lvl>
    <w:lvl w:ilvl="1" w:tplc="0024D2B4" w:tentative="1">
      <w:start w:val="1"/>
      <w:numFmt w:val="bullet"/>
      <w:lvlText w:val="o"/>
      <w:lvlJc w:val="start"/>
      <w:pPr>
        <w:ind w:start="75.30pt" w:hanging="18pt"/>
      </w:pPr>
      <w:rPr>
        <w:rFonts w:ascii="Courier New" w:hAnsi="Courier New" w:cs="Courier New" w:hint="default"/>
      </w:rPr>
    </w:lvl>
    <w:lvl w:ilvl="2" w:tplc="C29A2944" w:tentative="1">
      <w:start w:val="1"/>
      <w:numFmt w:val="bullet"/>
      <w:lvlText w:val=""/>
      <w:lvlJc w:val="start"/>
      <w:pPr>
        <w:ind w:start="111.30pt" w:hanging="18pt"/>
      </w:pPr>
      <w:rPr>
        <w:rFonts w:ascii="Wingdings" w:hAnsi="Wingdings" w:hint="default"/>
      </w:rPr>
    </w:lvl>
    <w:lvl w:ilvl="3" w:tplc="A404E0D6" w:tentative="1">
      <w:start w:val="1"/>
      <w:numFmt w:val="bullet"/>
      <w:lvlText w:val=""/>
      <w:lvlJc w:val="start"/>
      <w:pPr>
        <w:ind w:start="147.30pt" w:hanging="18pt"/>
      </w:pPr>
      <w:rPr>
        <w:rFonts w:ascii="Symbol" w:hAnsi="Symbol" w:hint="default"/>
      </w:rPr>
    </w:lvl>
    <w:lvl w:ilvl="4" w:tplc="04660406" w:tentative="1">
      <w:start w:val="1"/>
      <w:numFmt w:val="bullet"/>
      <w:lvlText w:val="o"/>
      <w:lvlJc w:val="start"/>
      <w:pPr>
        <w:ind w:start="183.30pt" w:hanging="18pt"/>
      </w:pPr>
      <w:rPr>
        <w:rFonts w:ascii="Courier New" w:hAnsi="Courier New" w:cs="Courier New" w:hint="default"/>
      </w:rPr>
    </w:lvl>
    <w:lvl w:ilvl="5" w:tplc="C930D89C" w:tentative="1">
      <w:start w:val="1"/>
      <w:numFmt w:val="bullet"/>
      <w:lvlText w:val=""/>
      <w:lvlJc w:val="start"/>
      <w:pPr>
        <w:ind w:start="219.30pt" w:hanging="18pt"/>
      </w:pPr>
      <w:rPr>
        <w:rFonts w:ascii="Wingdings" w:hAnsi="Wingdings" w:hint="default"/>
      </w:rPr>
    </w:lvl>
    <w:lvl w:ilvl="6" w:tplc="6E6A3228" w:tentative="1">
      <w:start w:val="1"/>
      <w:numFmt w:val="bullet"/>
      <w:lvlText w:val=""/>
      <w:lvlJc w:val="start"/>
      <w:pPr>
        <w:ind w:start="255.30pt" w:hanging="18pt"/>
      </w:pPr>
      <w:rPr>
        <w:rFonts w:ascii="Symbol" w:hAnsi="Symbol" w:hint="default"/>
      </w:rPr>
    </w:lvl>
    <w:lvl w:ilvl="7" w:tplc="A5E2507C" w:tentative="1">
      <w:start w:val="1"/>
      <w:numFmt w:val="bullet"/>
      <w:lvlText w:val="o"/>
      <w:lvlJc w:val="start"/>
      <w:pPr>
        <w:ind w:start="291.30pt" w:hanging="18pt"/>
      </w:pPr>
      <w:rPr>
        <w:rFonts w:ascii="Courier New" w:hAnsi="Courier New" w:cs="Courier New" w:hint="default"/>
      </w:rPr>
    </w:lvl>
    <w:lvl w:ilvl="8" w:tplc="1228F324" w:tentative="1">
      <w:start w:val="1"/>
      <w:numFmt w:val="bullet"/>
      <w:lvlText w:val=""/>
      <w:lvlJc w:val="start"/>
      <w:pPr>
        <w:ind w:start="327.30pt" w:hanging="18pt"/>
      </w:pPr>
      <w:rPr>
        <w:rFonts w:ascii="Wingdings" w:hAnsi="Wingdings" w:hint="default"/>
      </w:rPr>
    </w:lvl>
  </w:abstractNum>
  <w:abstractNum w:abstractNumId="250" w15:restartNumberingAfterBreak="0">
    <w:nsid w:val="796020DF"/>
    <w:multiLevelType w:val="hybridMultilevel"/>
    <w:tmpl w:val="946452E4"/>
    <w:lvl w:ilvl="0" w:tplc="080A0001">
      <w:start w:val="1"/>
      <w:numFmt w:val="bullet"/>
      <w:lvlText w:val=""/>
      <w:lvlJc w:val="start"/>
      <w:pPr>
        <w:ind w:start="36pt" w:hanging="18pt"/>
      </w:pPr>
      <w:rPr>
        <w:rFonts w:ascii="Symbol" w:hAnsi="Symbol" w:hint="default"/>
      </w:rPr>
    </w:lvl>
    <w:lvl w:ilvl="1" w:tplc="080A0003">
      <w:start w:val="1"/>
      <w:numFmt w:val="bullet"/>
      <w:lvlText w:val="o"/>
      <w:lvlJc w:val="start"/>
      <w:pPr>
        <w:ind w:start="72pt" w:hanging="18pt"/>
      </w:pPr>
      <w:rPr>
        <w:rFonts w:ascii="Courier New" w:hAnsi="Courier New" w:cs="Courier New" w:hint="default"/>
      </w:rPr>
    </w:lvl>
    <w:lvl w:ilvl="2" w:tplc="080A0005">
      <w:start w:val="1"/>
      <w:numFmt w:val="bullet"/>
      <w:lvlText w:val=""/>
      <w:lvlJc w:val="start"/>
      <w:pPr>
        <w:ind w:start="108pt" w:hanging="18pt"/>
      </w:pPr>
      <w:rPr>
        <w:rFonts w:ascii="Wingdings" w:hAnsi="Wingdings" w:hint="default"/>
      </w:rPr>
    </w:lvl>
    <w:lvl w:ilvl="3" w:tplc="080A0001">
      <w:start w:val="1"/>
      <w:numFmt w:val="bullet"/>
      <w:lvlText w:val=""/>
      <w:lvlJc w:val="start"/>
      <w:pPr>
        <w:ind w:start="144pt" w:hanging="18pt"/>
      </w:pPr>
      <w:rPr>
        <w:rFonts w:ascii="Symbol" w:hAnsi="Symbol" w:hint="default"/>
      </w:rPr>
    </w:lvl>
    <w:lvl w:ilvl="4" w:tplc="080A0003">
      <w:start w:val="1"/>
      <w:numFmt w:val="bullet"/>
      <w:lvlText w:val="o"/>
      <w:lvlJc w:val="start"/>
      <w:pPr>
        <w:ind w:start="180pt" w:hanging="18pt"/>
      </w:pPr>
      <w:rPr>
        <w:rFonts w:ascii="Courier New" w:hAnsi="Courier New" w:cs="Courier New" w:hint="default"/>
      </w:rPr>
    </w:lvl>
    <w:lvl w:ilvl="5" w:tplc="080A0005">
      <w:start w:val="1"/>
      <w:numFmt w:val="bullet"/>
      <w:lvlText w:val=""/>
      <w:lvlJc w:val="start"/>
      <w:pPr>
        <w:ind w:start="216pt" w:hanging="18pt"/>
      </w:pPr>
      <w:rPr>
        <w:rFonts w:ascii="Wingdings" w:hAnsi="Wingdings" w:hint="default"/>
      </w:rPr>
    </w:lvl>
    <w:lvl w:ilvl="6" w:tplc="080A0001">
      <w:start w:val="1"/>
      <w:numFmt w:val="bullet"/>
      <w:lvlText w:val=""/>
      <w:lvlJc w:val="start"/>
      <w:pPr>
        <w:ind w:start="252pt" w:hanging="18pt"/>
      </w:pPr>
      <w:rPr>
        <w:rFonts w:ascii="Symbol" w:hAnsi="Symbol" w:hint="default"/>
      </w:rPr>
    </w:lvl>
    <w:lvl w:ilvl="7" w:tplc="080A0003">
      <w:start w:val="1"/>
      <w:numFmt w:val="bullet"/>
      <w:lvlText w:val="o"/>
      <w:lvlJc w:val="start"/>
      <w:pPr>
        <w:ind w:start="288pt" w:hanging="18pt"/>
      </w:pPr>
      <w:rPr>
        <w:rFonts w:ascii="Courier New" w:hAnsi="Courier New" w:cs="Courier New" w:hint="default"/>
      </w:rPr>
    </w:lvl>
    <w:lvl w:ilvl="8" w:tplc="080A0005">
      <w:start w:val="1"/>
      <w:numFmt w:val="bullet"/>
      <w:lvlText w:val=""/>
      <w:lvlJc w:val="start"/>
      <w:pPr>
        <w:ind w:start="324pt" w:hanging="18pt"/>
      </w:pPr>
      <w:rPr>
        <w:rFonts w:ascii="Wingdings" w:hAnsi="Wingdings" w:hint="default"/>
      </w:rPr>
    </w:lvl>
  </w:abstractNum>
  <w:abstractNum w:abstractNumId="251" w15:restartNumberingAfterBreak="0">
    <w:nsid w:val="79AC0525"/>
    <w:multiLevelType w:val="hybridMultilevel"/>
    <w:tmpl w:val="B908DB30"/>
    <w:lvl w:ilvl="0" w:tplc="37D07188">
      <w:start w:val="1"/>
      <w:numFmt w:val="bullet"/>
      <w:pStyle w:val="Listaconvietas"/>
      <w:lvlText w:val=""/>
      <w:lvlJc w:val="start"/>
      <w:pPr>
        <w:ind w:start="36pt" w:hanging="18pt"/>
      </w:pPr>
      <w:rPr>
        <w:rFonts w:ascii="Symbol" w:hAnsi="Symbol" w:hint="default"/>
      </w:rPr>
    </w:lvl>
    <w:lvl w:ilvl="1" w:tplc="FFECA3FE">
      <w:numFmt w:val="bullet"/>
      <w:pStyle w:val="Niv2Bullets"/>
      <w:lvlText w:val="-"/>
      <w:lvlJc w:val="start"/>
      <w:pPr>
        <w:ind w:start="72pt" w:hanging="18pt"/>
      </w:pPr>
      <w:rPr>
        <w:rFonts w:ascii="ITC Avant Garde" w:eastAsia="Calibri" w:hAnsi="ITC Avant Garde" w:cs="Times New Roman" w:hint="default"/>
      </w:rPr>
    </w:lvl>
    <w:lvl w:ilvl="2" w:tplc="C34498A8" w:tentative="1">
      <w:start w:val="1"/>
      <w:numFmt w:val="bullet"/>
      <w:lvlText w:val=""/>
      <w:lvlJc w:val="start"/>
      <w:pPr>
        <w:ind w:start="108pt" w:hanging="18pt"/>
      </w:pPr>
      <w:rPr>
        <w:rFonts w:ascii="Wingdings" w:hAnsi="Wingdings" w:hint="default"/>
      </w:rPr>
    </w:lvl>
    <w:lvl w:ilvl="3" w:tplc="ECD407B6" w:tentative="1">
      <w:start w:val="1"/>
      <w:numFmt w:val="bullet"/>
      <w:lvlText w:val=""/>
      <w:lvlJc w:val="start"/>
      <w:pPr>
        <w:ind w:start="144pt" w:hanging="18pt"/>
      </w:pPr>
      <w:rPr>
        <w:rFonts w:ascii="Symbol" w:hAnsi="Symbol" w:hint="default"/>
      </w:rPr>
    </w:lvl>
    <w:lvl w:ilvl="4" w:tplc="0C58FC04" w:tentative="1">
      <w:start w:val="1"/>
      <w:numFmt w:val="bullet"/>
      <w:lvlText w:val="o"/>
      <w:lvlJc w:val="start"/>
      <w:pPr>
        <w:ind w:start="180pt" w:hanging="18pt"/>
      </w:pPr>
      <w:rPr>
        <w:rFonts w:ascii="Courier New" w:hAnsi="Courier New" w:cs="Courier New" w:hint="default"/>
      </w:rPr>
    </w:lvl>
    <w:lvl w:ilvl="5" w:tplc="D2F22B2E" w:tentative="1">
      <w:start w:val="1"/>
      <w:numFmt w:val="bullet"/>
      <w:lvlText w:val=""/>
      <w:lvlJc w:val="start"/>
      <w:pPr>
        <w:ind w:start="216pt" w:hanging="18pt"/>
      </w:pPr>
      <w:rPr>
        <w:rFonts w:ascii="Wingdings" w:hAnsi="Wingdings" w:hint="default"/>
      </w:rPr>
    </w:lvl>
    <w:lvl w:ilvl="6" w:tplc="FD786CFC" w:tentative="1">
      <w:start w:val="1"/>
      <w:numFmt w:val="bullet"/>
      <w:lvlText w:val=""/>
      <w:lvlJc w:val="start"/>
      <w:pPr>
        <w:ind w:start="252pt" w:hanging="18pt"/>
      </w:pPr>
      <w:rPr>
        <w:rFonts w:ascii="Symbol" w:hAnsi="Symbol" w:hint="default"/>
      </w:rPr>
    </w:lvl>
    <w:lvl w:ilvl="7" w:tplc="83AE4F7A" w:tentative="1">
      <w:start w:val="1"/>
      <w:numFmt w:val="bullet"/>
      <w:lvlText w:val="o"/>
      <w:lvlJc w:val="start"/>
      <w:pPr>
        <w:ind w:start="288pt" w:hanging="18pt"/>
      </w:pPr>
      <w:rPr>
        <w:rFonts w:ascii="Courier New" w:hAnsi="Courier New" w:cs="Courier New" w:hint="default"/>
      </w:rPr>
    </w:lvl>
    <w:lvl w:ilvl="8" w:tplc="743C81E6" w:tentative="1">
      <w:start w:val="1"/>
      <w:numFmt w:val="bullet"/>
      <w:lvlText w:val=""/>
      <w:lvlJc w:val="start"/>
      <w:pPr>
        <w:ind w:start="324pt" w:hanging="18pt"/>
      </w:pPr>
      <w:rPr>
        <w:rFonts w:ascii="Wingdings" w:hAnsi="Wingdings" w:hint="default"/>
      </w:rPr>
    </w:lvl>
  </w:abstractNum>
  <w:abstractNum w:abstractNumId="252" w15:restartNumberingAfterBreak="0">
    <w:nsid w:val="7A2D6494"/>
    <w:multiLevelType w:val="hybridMultilevel"/>
    <w:tmpl w:val="AAF276C8"/>
    <w:lvl w:ilvl="0" w:tplc="3200ADDC">
      <w:start w:val="1"/>
      <w:numFmt w:val="bullet"/>
      <w:lvlText w:val=""/>
      <w:lvlJc w:val="start"/>
      <w:pPr>
        <w:ind w:start="36pt" w:hanging="18pt"/>
      </w:pPr>
      <w:rPr>
        <w:rFonts w:ascii="Symbol" w:hAnsi="Symbol" w:hint="default"/>
      </w:rPr>
    </w:lvl>
    <w:lvl w:ilvl="1" w:tplc="80D00B3A" w:tentative="1">
      <w:start w:val="1"/>
      <w:numFmt w:val="bullet"/>
      <w:lvlText w:val="o"/>
      <w:lvlJc w:val="start"/>
      <w:pPr>
        <w:ind w:start="72pt" w:hanging="18pt"/>
      </w:pPr>
      <w:rPr>
        <w:rFonts w:ascii="Courier New" w:hAnsi="Courier New" w:cs="Courier New" w:hint="default"/>
      </w:rPr>
    </w:lvl>
    <w:lvl w:ilvl="2" w:tplc="FA4241AE" w:tentative="1">
      <w:start w:val="1"/>
      <w:numFmt w:val="bullet"/>
      <w:lvlText w:val=""/>
      <w:lvlJc w:val="start"/>
      <w:pPr>
        <w:ind w:start="108pt" w:hanging="18pt"/>
      </w:pPr>
      <w:rPr>
        <w:rFonts w:ascii="Wingdings" w:hAnsi="Wingdings" w:hint="default"/>
      </w:rPr>
    </w:lvl>
    <w:lvl w:ilvl="3" w:tplc="3530FD8A" w:tentative="1">
      <w:start w:val="1"/>
      <w:numFmt w:val="bullet"/>
      <w:lvlText w:val=""/>
      <w:lvlJc w:val="start"/>
      <w:pPr>
        <w:ind w:start="144pt" w:hanging="18pt"/>
      </w:pPr>
      <w:rPr>
        <w:rFonts w:ascii="Symbol" w:hAnsi="Symbol" w:hint="default"/>
      </w:rPr>
    </w:lvl>
    <w:lvl w:ilvl="4" w:tplc="444A5F62" w:tentative="1">
      <w:start w:val="1"/>
      <w:numFmt w:val="bullet"/>
      <w:lvlText w:val="o"/>
      <w:lvlJc w:val="start"/>
      <w:pPr>
        <w:ind w:start="180pt" w:hanging="18pt"/>
      </w:pPr>
      <w:rPr>
        <w:rFonts w:ascii="Courier New" w:hAnsi="Courier New" w:cs="Courier New" w:hint="default"/>
      </w:rPr>
    </w:lvl>
    <w:lvl w:ilvl="5" w:tplc="CC321718" w:tentative="1">
      <w:start w:val="1"/>
      <w:numFmt w:val="bullet"/>
      <w:lvlText w:val=""/>
      <w:lvlJc w:val="start"/>
      <w:pPr>
        <w:ind w:start="216pt" w:hanging="18pt"/>
      </w:pPr>
      <w:rPr>
        <w:rFonts w:ascii="Wingdings" w:hAnsi="Wingdings" w:hint="default"/>
      </w:rPr>
    </w:lvl>
    <w:lvl w:ilvl="6" w:tplc="6A9421E6" w:tentative="1">
      <w:start w:val="1"/>
      <w:numFmt w:val="bullet"/>
      <w:lvlText w:val=""/>
      <w:lvlJc w:val="start"/>
      <w:pPr>
        <w:ind w:start="252pt" w:hanging="18pt"/>
      </w:pPr>
      <w:rPr>
        <w:rFonts w:ascii="Symbol" w:hAnsi="Symbol" w:hint="default"/>
      </w:rPr>
    </w:lvl>
    <w:lvl w:ilvl="7" w:tplc="D99E190A" w:tentative="1">
      <w:start w:val="1"/>
      <w:numFmt w:val="bullet"/>
      <w:lvlText w:val="o"/>
      <w:lvlJc w:val="start"/>
      <w:pPr>
        <w:ind w:start="288pt" w:hanging="18pt"/>
      </w:pPr>
      <w:rPr>
        <w:rFonts w:ascii="Courier New" w:hAnsi="Courier New" w:cs="Courier New" w:hint="default"/>
      </w:rPr>
    </w:lvl>
    <w:lvl w:ilvl="8" w:tplc="E6366B3E" w:tentative="1">
      <w:start w:val="1"/>
      <w:numFmt w:val="bullet"/>
      <w:lvlText w:val=""/>
      <w:lvlJc w:val="start"/>
      <w:pPr>
        <w:ind w:start="324pt" w:hanging="18pt"/>
      </w:pPr>
      <w:rPr>
        <w:rFonts w:ascii="Wingdings" w:hAnsi="Wingdings" w:hint="default"/>
      </w:rPr>
    </w:lvl>
  </w:abstractNum>
  <w:abstractNum w:abstractNumId="253" w15:restartNumberingAfterBreak="0">
    <w:nsid w:val="7AA612C3"/>
    <w:multiLevelType w:val="hybridMultilevel"/>
    <w:tmpl w:val="031EEA8C"/>
    <w:lvl w:ilvl="0" w:tplc="C12E739E">
      <w:start w:val="6"/>
      <w:numFmt w:val="bullet"/>
      <w:lvlText w:val="•"/>
      <w:lvlJc w:val="start"/>
      <w:pPr>
        <w:ind w:start="36pt" w:hanging="18pt"/>
      </w:pPr>
      <w:rPr>
        <w:rFonts w:ascii="Century Gothic" w:eastAsia="Calibri" w:hAnsi="Century Gothic" w:cs="Arial" w:hint="default"/>
      </w:rPr>
    </w:lvl>
    <w:lvl w:ilvl="1" w:tplc="058AC43E" w:tentative="1">
      <w:start w:val="1"/>
      <w:numFmt w:val="bullet"/>
      <w:lvlText w:val="o"/>
      <w:lvlJc w:val="start"/>
      <w:pPr>
        <w:ind w:start="72pt" w:hanging="18pt"/>
      </w:pPr>
      <w:rPr>
        <w:rFonts w:ascii="Courier New" w:hAnsi="Courier New" w:cs="Courier New" w:hint="default"/>
      </w:rPr>
    </w:lvl>
    <w:lvl w:ilvl="2" w:tplc="27D686B8" w:tentative="1">
      <w:start w:val="1"/>
      <w:numFmt w:val="bullet"/>
      <w:lvlText w:val=""/>
      <w:lvlJc w:val="start"/>
      <w:pPr>
        <w:ind w:start="108pt" w:hanging="18pt"/>
      </w:pPr>
      <w:rPr>
        <w:rFonts w:ascii="Wingdings" w:hAnsi="Wingdings" w:hint="default"/>
      </w:rPr>
    </w:lvl>
    <w:lvl w:ilvl="3" w:tplc="C3DC611E" w:tentative="1">
      <w:start w:val="1"/>
      <w:numFmt w:val="bullet"/>
      <w:lvlText w:val=""/>
      <w:lvlJc w:val="start"/>
      <w:pPr>
        <w:ind w:start="144pt" w:hanging="18pt"/>
      </w:pPr>
      <w:rPr>
        <w:rFonts w:ascii="Symbol" w:hAnsi="Symbol" w:hint="default"/>
      </w:rPr>
    </w:lvl>
    <w:lvl w:ilvl="4" w:tplc="3E1E7D90" w:tentative="1">
      <w:start w:val="1"/>
      <w:numFmt w:val="bullet"/>
      <w:lvlText w:val="o"/>
      <w:lvlJc w:val="start"/>
      <w:pPr>
        <w:ind w:start="180pt" w:hanging="18pt"/>
      </w:pPr>
      <w:rPr>
        <w:rFonts w:ascii="Courier New" w:hAnsi="Courier New" w:cs="Courier New" w:hint="default"/>
      </w:rPr>
    </w:lvl>
    <w:lvl w:ilvl="5" w:tplc="9C5C2046" w:tentative="1">
      <w:start w:val="1"/>
      <w:numFmt w:val="bullet"/>
      <w:lvlText w:val=""/>
      <w:lvlJc w:val="start"/>
      <w:pPr>
        <w:ind w:start="216pt" w:hanging="18pt"/>
      </w:pPr>
      <w:rPr>
        <w:rFonts w:ascii="Wingdings" w:hAnsi="Wingdings" w:hint="default"/>
      </w:rPr>
    </w:lvl>
    <w:lvl w:ilvl="6" w:tplc="A55656F2" w:tentative="1">
      <w:start w:val="1"/>
      <w:numFmt w:val="bullet"/>
      <w:lvlText w:val=""/>
      <w:lvlJc w:val="start"/>
      <w:pPr>
        <w:ind w:start="252pt" w:hanging="18pt"/>
      </w:pPr>
      <w:rPr>
        <w:rFonts w:ascii="Symbol" w:hAnsi="Symbol" w:hint="default"/>
      </w:rPr>
    </w:lvl>
    <w:lvl w:ilvl="7" w:tplc="0DC22BC4" w:tentative="1">
      <w:start w:val="1"/>
      <w:numFmt w:val="bullet"/>
      <w:lvlText w:val="o"/>
      <w:lvlJc w:val="start"/>
      <w:pPr>
        <w:ind w:start="288pt" w:hanging="18pt"/>
      </w:pPr>
      <w:rPr>
        <w:rFonts w:ascii="Courier New" w:hAnsi="Courier New" w:cs="Courier New" w:hint="default"/>
      </w:rPr>
    </w:lvl>
    <w:lvl w:ilvl="8" w:tplc="6D1664CC" w:tentative="1">
      <w:start w:val="1"/>
      <w:numFmt w:val="bullet"/>
      <w:lvlText w:val=""/>
      <w:lvlJc w:val="start"/>
      <w:pPr>
        <w:ind w:start="324pt" w:hanging="18pt"/>
      </w:pPr>
      <w:rPr>
        <w:rFonts w:ascii="Wingdings" w:hAnsi="Wingdings" w:hint="default"/>
      </w:rPr>
    </w:lvl>
  </w:abstractNum>
  <w:abstractNum w:abstractNumId="254" w15:restartNumberingAfterBreak="0">
    <w:nsid w:val="7AC05C8F"/>
    <w:multiLevelType w:val="hybridMultilevel"/>
    <w:tmpl w:val="32707314"/>
    <w:lvl w:ilvl="0" w:tplc="080A000D">
      <w:start w:val="1"/>
      <w:numFmt w:val="bullet"/>
      <w:lvlText w:val=""/>
      <w:lvlJc w:val="start"/>
      <w:pPr>
        <w:ind w:start="36pt" w:hanging="18pt"/>
      </w:pPr>
      <w:rPr>
        <w:rFonts w:ascii="Wingdings" w:hAnsi="Wingdings" w:hint="default"/>
      </w:rPr>
    </w:lvl>
    <w:lvl w:ilvl="1" w:tplc="080A0003">
      <w:start w:val="1"/>
      <w:numFmt w:val="bullet"/>
      <w:lvlText w:val="o"/>
      <w:lvlJc w:val="start"/>
      <w:pPr>
        <w:ind w:start="72pt" w:hanging="18pt"/>
      </w:pPr>
      <w:rPr>
        <w:rFonts w:ascii="Courier New" w:hAnsi="Courier New" w:cs="Courier New" w:hint="default"/>
      </w:rPr>
    </w:lvl>
    <w:lvl w:ilvl="2" w:tplc="080A0005">
      <w:start w:val="1"/>
      <w:numFmt w:val="bullet"/>
      <w:lvlText w:val=""/>
      <w:lvlJc w:val="start"/>
      <w:pPr>
        <w:ind w:start="108pt" w:hanging="18pt"/>
      </w:pPr>
      <w:rPr>
        <w:rFonts w:ascii="Wingdings" w:hAnsi="Wingdings" w:hint="default"/>
      </w:rPr>
    </w:lvl>
    <w:lvl w:ilvl="3" w:tplc="080A0001">
      <w:start w:val="1"/>
      <w:numFmt w:val="bullet"/>
      <w:lvlText w:val=""/>
      <w:lvlJc w:val="start"/>
      <w:pPr>
        <w:ind w:start="144pt" w:hanging="18pt"/>
      </w:pPr>
      <w:rPr>
        <w:rFonts w:ascii="Symbol" w:hAnsi="Symbol" w:hint="default"/>
      </w:rPr>
    </w:lvl>
    <w:lvl w:ilvl="4" w:tplc="080A0003">
      <w:start w:val="1"/>
      <w:numFmt w:val="bullet"/>
      <w:lvlText w:val="o"/>
      <w:lvlJc w:val="start"/>
      <w:pPr>
        <w:ind w:start="180pt" w:hanging="18pt"/>
      </w:pPr>
      <w:rPr>
        <w:rFonts w:ascii="Courier New" w:hAnsi="Courier New" w:cs="Courier New" w:hint="default"/>
      </w:rPr>
    </w:lvl>
    <w:lvl w:ilvl="5" w:tplc="080A0005">
      <w:start w:val="1"/>
      <w:numFmt w:val="bullet"/>
      <w:lvlText w:val=""/>
      <w:lvlJc w:val="start"/>
      <w:pPr>
        <w:ind w:start="216pt" w:hanging="18pt"/>
      </w:pPr>
      <w:rPr>
        <w:rFonts w:ascii="Wingdings" w:hAnsi="Wingdings" w:hint="default"/>
      </w:rPr>
    </w:lvl>
    <w:lvl w:ilvl="6" w:tplc="080A0001">
      <w:start w:val="1"/>
      <w:numFmt w:val="bullet"/>
      <w:lvlText w:val=""/>
      <w:lvlJc w:val="start"/>
      <w:pPr>
        <w:ind w:start="252pt" w:hanging="18pt"/>
      </w:pPr>
      <w:rPr>
        <w:rFonts w:ascii="Symbol" w:hAnsi="Symbol" w:hint="default"/>
      </w:rPr>
    </w:lvl>
    <w:lvl w:ilvl="7" w:tplc="080A0003">
      <w:start w:val="1"/>
      <w:numFmt w:val="bullet"/>
      <w:lvlText w:val="o"/>
      <w:lvlJc w:val="start"/>
      <w:pPr>
        <w:ind w:start="288pt" w:hanging="18pt"/>
      </w:pPr>
      <w:rPr>
        <w:rFonts w:ascii="Courier New" w:hAnsi="Courier New" w:cs="Courier New" w:hint="default"/>
      </w:rPr>
    </w:lvl>
    <w:lvl w:ilvl="8" w:tplc="080A0005">
      <w:start w:val="1"/>
      <w:numFmt w:val="bullet"/>
      <w:lvlText w:val=""/>
      <w:lvlJc w:val="start"/>
      <w:pPr>
        <w:ind w:start="324pt" w:hanging="18pt"/>
      </w:pPr>
      <w:rPr>
        <w:rFonts w:ascii="Wingdings" w:hAnsi="Wingdings" w:hint="default"/>
      </w:rPr>
    </w:lvl>
  </w:abstractNum>
  <w:abstractNum w:abstractNumId="255" w15:restartNumberingAfterBreak="0">
    <w:nsid w:val="7ADF0BC8"/>
    <w:multiLevelType w:val="hybridMultilevel"/>
    <w:tmpl w:val="2D78E146"/>
    <w:lvl w:ilvl="0" w:tplc="A8401120">
      <w:start w:val="1"/>
      <w:numFmt w:val="bullet"/>
      <w:lvlText w:val=""/>
      <w:lvlJc w:val="start"/>
      <w:pPr>
        <w:ind w:start="57.30pt" w:hanging="18pt"/>
      </w:pPr>
      <w:rPr>
        <w:rFonts w:ascii="Symbol" w:hAnsi="Symbol" w:hint="default"/>
      </w:rPr>
    </w:lvl>
    <w:lvl w:ilvl="1" w:tplc="411C4518">
      <w:start w:val="1"/>
      <w:numFmt w:val="bullet"/>
      <w:lvlText w:val="o"/>
      <w:lvlJc w:val="start"/>
      <w:pPr>
        <w:ind w:start="93.30pt" w:hanging="18pt"/>
      </w:pPr>
      <w:rPr>
        <w:rFonts w:ascii="Courier New" w:hAnsi="Courier New" w:cs="Courier New" w:hint="default"/>
      </w:rPr>
    </w:lvl>
    <w:lvl w:ilvl="2" w:tplc="FF480CB0">
      <w:start w:val="1"/>
      <w:numFmt w:val="bullet"/>
      <w:lvlText w:val=""/>
      <w:lvlJc w:val="start"/>
      <w:pPr>
        <w:ind w:start="129.30pt" w:hanging="18pt"/>
      </w:pPr>
      <w:rPr>
        <w:rFonts w:ascii="Wingdings" w:hAnsi="Wingdings" w:hint="default"/>
      </w:rPr>
    </w:lvl>
    <w:lvl w:ilvl="3" w:tplc="37B20CE0">
      <w:start w:val="1"/>
      <w:numFmt w:val="bullet"/>
      <w:lvlText w:val=""/>
      <w:lvlJc w:val="start"/>
      <w:pPr>
        <w:ind w:start="165.30pt" w:hanging="18pt"/>
      </w:pPr>
      <w:rPr>
        <w:rFonts w:ascii="Symbol" w:hAnsi="Symbol" w:hint="default"/>
      </w:rPr>
    </w:lvl>
    <w:lvl w:ilvl="4" w:tplc="4FE2EC92">
      <w:start w:val="1"/>
      <w:numFmt w:val="bullet"/>
      <w:lvlText w:val="o"/>
      <w:lvlJc w:val="start"/>
      <w:pPr>
        <w:ind w:start="201.30pt" w:hanging="18pt"/>
      </w:pPr>
      <w:rPr>
        <w:rFonts w:ascii="Courier New" w:hAnsi="Courier New" w:cs="Courier New" w:hint="default"/>
      </w:rPr>
    </w:lvl>
    <w:lvl w:ilvl="5" w:tplc="1D2801B2">
      <w:start w:val="1"/>
      <w:numFmt w:val="bullet"/>
      <w:lvlText w:val=""/>
      <w:lvlJc w:val="start"/>
      <w:pPr>
        <w:ind w:start="237.30pt" w:hanging="18pt"/>
      </w:pPr>
      <w:rPr>
        <w:rFonts w:ascii="Wingdings" w:hAnsi="Wingdings" w:hint="default"/>
      </w:rPr>
    </w:lvl>
    <w:lvl w:ilvl="6" w:tplc="664E378A">
      <w:start w:val="1"/>
      <w:numFmt w:val="bullet"/>
      <w:lvlText w:val=""/>
      <w:lvlJc w:val="start"/>
      <w:pPr>
        <w:ind w:start="273.30pt" w:hanging="18pt"/>
      </w:pPr>
      <w:rPr>
        <w:rFonts w:ascii="Symbol" w:hAnsi="Symbol" w:hint="default"/>
      </w:rPr>
    </w:lvl>
    <w:lvl w:ilvl="7" w:tplc="FD6A5A38">
      <w:start w:val="1"/>
      <w:numFmt w:val="bullet"/>
      <w:lvlText w:val="o"/>
      <w:lvlJc w:val="start"/>
      <w:pPr>
        <w:ind w:start="309.30pt" w:hanging="18pt"/>
      </w:pPr>
      <w:rPr>
        <w:rFonts w:ascii="Courier New" w:hAnsi="Courier New" w:cs="Courier New" w:hint="default"/>
      </w:rPr>
    </w:lvl>
    <w:lvl w:ilvl="8" w:tplc="88D48F80">
      <w:start w:val="1"/>
      <w:numFmt w:val="bullet"/>
      <w:lvlText w:val=""/>
      <w:lvlJc w:val="start"/>
      <w:pPr>
        <w:ind w:start="345.30pt" w:hanging="18pt"/>
      </w:pPr>
      <w:rPr>
        <w:rFonts w:ascii="Wingdings" w:hAnsi="Wingdings" w:hint="default"/>
      </w:rPr>
    </w:lvl>
  </w:abstractNum>
  <w:abstractNum w:abstractNumId="256" w15:restartNumberingAfterBreak="0">
    <w:nsid w:val="7AEB6F36"/>
    <w:multiLevelType w:val="hybridMultilevel"/>
    <w:tmpl w:val="3A123760"/>
    <w:lvl w:ilvl="0" w:tplc="5C546284">
      <w:start w:val="1"/>
      <w:numFmt w:val="bullet"/>
      <w:pStyle w:val="ListaCitaOtras"/>
      <w:lvlText w:val=""/>
      <w:lvlJc w:val="start"/>
      <w:pPr>
        <w:ind w:start="78.55pt" w:hanging="18pt"/>
      </w:pPr>
      <w:rPr>
        <w:rFonts w:ascii="Symbol" w:hAnsi="Symbol" w:hint="default"/>
      </w:rPr>
    </w:lvl>
    <w:lvl w:ilvl="1" w:tplc="F372EC32" w:tentative="1">
      <w:start w:val="1"/>
      <w:numFmt w:val="bullet"/>
      <w:lvlText w:val="o"/>
      <w:lvlJc w:val="start"/>
      <w:pPr>
        <w:ind w:start="114.55pt" w:hanging="18pt"/>
      </w:pPr>
      <w:rPr>
        <w:rFonts w:ascii="Courier New" w:hAnsi="Courier New" w:cs="Courier New" w:hint="default"/>
      </w:rPr>
    </w:lvl>
    <w:lvl w:ilvl="2" w:tplc="C8A84872" w:tentative="1">
      <w:start w:val="1"/>
      <w:numFmt w:val="bullet"/>
      <w:lvlText w:val=""/>
      <w:lvlJc w:val="start"/>
      <w:pPr>
        <w:ind w:start="150.55pt" w:hanging="18pt"/>
      </w:pPr>
      <w:rPr>
        <w:rFonts w:ascii="Wingdings" w:hAnsi="Wingdings" w:hint="default"/>
      </w:rPr>
    </w:lvl>
    <w:lvl w:ilvl="3" w:tplc="8C4824B6" w:tentative="1">
      <w:start w:val="1"/>
      <w:numFmt w:val="bullet"/>
      <w:lvlText w:val=""/>
      <w:lvlJc w:val="start"/>
      <w:pPr>
        <w:ind w:start="186.55pt" w:hanging="18pt"/>
      </w:pPr>
      <w:rPr>
        <w:rFonts w:ascii="Symbol" w:hAnsi="Symbol" w:hint="default"/>
      </w:rPr>
    </w:lvl>
    <w:lvl w:ilvl="4" w:tplc="C620777A" w:tentative="1">
      <w:start w:val="1"/>
      <w:numFmt w:val="bullet"/>
      <w:lvlText w:val="o"/>
      <w:lvlJc w:val="start"/>
      <w:pPr>
        <w:ind w:start="222.55pt" w:hanging="18pt"/>
      </w:pPr>
      <w:rPr>
        <w:rFonts w:ascii="Courier New" w:hAnsi="Courier New" w:cs="Courier New" w:hint="default"/>
      </w:rPr>
    </w:lvl>
    <w:lvl w:ilvl="5" w:tplc="0B3A2986" w:tentative="1">
      <w:start w:val="1"/>
      <w:numFmt w:val="bullet"/>
      <w:lvlText w:val=""/>
      <w:lvlJc w:val="start"/>
      <w:pPr>
        <w:ind w:start="258.55pt" w:hanging="18pt"/>
      </w:pPr>
      <w:rPr>
        <w:rFonts w:ascii="Wingdings" w:hAnsi="Wingdings" w:hint="default"/>
      </w:rPr>
    </w:lvl>
    <w:lvl w:ilvl="6" w:tplc="6F20AB94" w:tentative="1">
      <w:start w:val="1"/>
      <w:numFmt w:val="bullet"/>
      <w:lvlText w:val=""/>
      <w:lvlJc w:val="start"/>
      <w:pPr>
        <w:ind w:start="294.55pt" w:hanging="18pt"/>
      </w:pPr>
      <w:rPr>
        <w:rFonts w:ascii="Symbol" w:hAnsi="Symbol" w:hint="default"/>
      </w:rPr>
    </w:lvl>
    <w:lvl w:ilvl="7" w:tplc="02861FBA" w:tentative="1">
      <w:start w:val="1"/>
      <w:numFmt w:val="bullet"/>
      <w:lvlText w:val="o"/>
      <w:lvlJc w:val="start"/>
      <w:pPr>
        <w:ind w:start="330.55pt" w:hanging="18pt"/>
      </w:pPr>
      <w:rPr>
        <w:rFonts w:ascii="Courier New" w:hAnsi="Courier New" w:cs="Courier New" w:hint="default"/>
      </w:rPr>
    </w:lvl>
    <w:lvl w:ilvl="8" w:tplc="74EACC82" w:tentative="1">
      <w:start w:val="1"/>
      <w:numFmt w:val="bullet"/>
      <w:lvlText w:val=""/>
      <w:lvlJc w:val="start"/>
      <w:pPr>
        <w:ind w:start="366.55pt" w:hanging="18pt"/>
      </w:pPr>
      <w:rPr>
        <w:rFonts w:ascii="Wingdings" w:hAnsi="Wingdings" w:hint="default"/>
      </w:rPr>
    </w:lvl>
  </w:abstractNum>
  <w:abstractNum w:abstractNumId="257" w15:restartNumberingAfterBreak="0">
    <w:nsid w:val="7B6E0592"/>
    <w:multiLevelType w:val="hybridMultilevel"/>
    <w:tmpl w:val="A1A84B90"/>
    <w:lvl w:ilvl="0" w:tplc="259047F0">
      <w:start w:val="1"/>
      <w:numFmt w:val="bullet"/>
      <w:lvlText w:val=""/>
      <w:lvlJc w:val="start"/>
      <w:pPr>
        <w:ind w:start="39.25pt" w:hanging="18pt"/>
      </w:pPr>
      <w:rPr>
        <w:rFonts w:ascii="Symbol" w:hAnsi="Symbol" w:hint="default"/>
      </w:rPr>
    </w:lvl>
    <w:lvl w:ilvl="1" w:tplc="365233E4" w:tentative="1">
      <w:start w:val="1"/>
      <w:numFmt w:val="bullet"/>
      <w:lvlText w:val="o"/>
      <w:lvlJc w:val="start"/>
      <w:pPr>
        <w:ind w:start="75.30pt" w:hanging="18pt"/>
      </w:pPr>
      <w:rPr>
        <w:rFonts w:ascii="Courier New" w:hAnsi="Courier New" w:cs="Courier New" w:hint="default"/>
      </w:rPr>
    </w:lvl>
    <w:lvl w:ilvl="2" w:tplc="1ECA8F94" w:tentative="1">
      <w:start w:val="1"/>
      <w:numFmt w:val="bullet"/>
      <w:lvlText w:val=""/>
      <w:lvlJc w:val="start"/>
      <w:pPr>
        <w:ind w:start="111.30pt" w:hanging="18pt"/>
      </w:pPr>
      <w:rPr>
        <w:rFonts w:ascii="Wingdings" w:hAnsi="Wingdings" w:hint="default"/>
      </w:rPr>
    </w:lvl>
    <w:lvl w:ilvl="3" w:tplc="C140481E" w:tentative="1">
      <w:start w:val="1"/>
      <w:numFmt w:val="bullet"/>
      <w:lvlText w:val=""/>
      <w:lvlJc w:val="start"/>
      <w:pPr>
        <w:ind w:start="147.30pt" w:hanging="18pt"/>
      </w:pPr>
      <w:rPr>
        <w:rFonts w:ascii="Symbol" w:hAnsi="Symbol" w:hint="default"/>
      </w:rPr>
    </w:lvl>
    <w:lvl w:ilvl="4" w:tplc="3354724E" w:tentative="1">
      <w:start w:val="1"/>
      <w:numFmt w:val="bullet"/>
      <w:lvlText w:val="o"/>
      <w:lvlJc w:val="start"/>
      <w:pPr>
        <w:ind w:start="183.30pt" w:hanging="18pt"/>
      </w:pPr>
      <w:rPr>
        <w:rFonts w:ascii="Courier New" w:hAnsi="Courier New" w:cs="Courier New" w:hint="default"/>
      </w:rPr>
    </w:lvl>
    <w:lvl w:ilvl="5" w:tplc="97564F1E" w:tentative="1">
      <w:start w:val="1"/>
      <w:numFmt w:val="bullet"/>
      <w:lvlText w:val=""/>
      <w:lvlJc w:val="start"/>
      <w:pPr>
        <w:ind w:start="219.30pt" w:hanging="18pt"/>
      </w:pPr>
      <w:rPr>
        <w:rFonts w:ascii="Wingdings" w:hAnsi="Wingdings" w:hint="default"/>
      </w:rPr>
    </w:lvl>
    <w:lvl w:ilvl="6" w:tplc="C13EE1F2" w:tentative="1">
      <w:start w:val="1"/>
      <w:numFmt w:val="bullet"/>
      <w:lvlText w:val=""/>
      <w:lvlJc w:val="start"/>
      <w:pPr>
        <w:ind w:start="255.30pt" w:hanging="18pt"/>
      </w:pPr>
      <w:rPr>
        <w:rFonts w:ascii="Symbol" w:hAnsi="Symbol" w:hint="default"/>
      </w:rPr>
    </w:lvl>
    <w:lvl w:ilvl="7" w:tplc="BFACB2CA" w:tentative="1">
      <w:start w:val="1"/>
      <w:numFmt w:val="bullet"/>
      <w:lvlText w:val="o"/>
      <w:lvlJc w:val="start"/>
      <w:pPr>
        <w:ind w:start="291.30pt" w:hanging="18pt"/>
      </w:pPr>
      <w:rPr>
        <w:rFonts w:ascii="Courier New" w:hAnsi="Courier New" w:cs="Courier New" w:hint="default"/>
      </w:rPr>
    </w:lvl>
    <w:lvl w:ilvl="8" w:tplc="7C46FDB0" w:tentative="1">
      <w:start w:val="1"/>
      <w:numFmt w:val="bullet"/>
      <w:lvlText w:val=""/>
      <w:lvlJc w:val="start"/>
      <w:pPr>
        <w:ind w:start="327.30pt" w:hanging="18pt"/>
      </w:pPr>
      <w:rPr>
        <w:rFonts w:ascii="Wingdings" w:hAnsi="Wingdings" w:hint="default"/>
      </w:rPr>
    </w:lvl>
  </w:abstractNum>
  <w:abstractNum w:abstractNumId="258" w15:restartNumberingAfterBreak="0">
    <w:nsid w:val="7CB333F8"/>
    <w:multiLevelType w:val="hybridMultilevel"/>
    <w:tmpl w:val="02B8BD82"/>
    <w:lvl w:ilvl="0" w:tplc="32C2ADDA">
      <w:start w:val="6"/>
      <w:numFmt w:val="bullet"/>
      <w:lvlText w:val="•"/>
      <w:lvlJc w:val="start"/>
      <w:pPr>
        <w:ind w:start="54pt" w:hanging="18pt"/>
      </w:pPr>
      <w:rPr>
        <w:rFonts w:ascii="Century Gothic" w:eastAsia="Calibri" w:hAnsi="Century Gothic" w:cs="Arial" w:hint="default"/>
      </w:rPr>
    </w:lvl>
    <w:lvl w:ilvl="1" w:tplc="FF5633E2" w:tentative="1">
      <w:start w:val="1"/>
      <w:numFmt w:val="bullet"/>
      <w:lvlText w:val="o"/>
      <w:lvlJc w:val="start"/>
      <w:pPr>
        <w:ind w:start="90pt" w:hanging="18pt"/>
      </w:pPr>
      <w:rPr>
        <w:rFonts w:ascii="Courier New" w:hAnsi="Courier New" w:cs="Courier New" w:hint="default"/>
      </w:rPr>
    </w:lvl>
    <w:lvl w:ilvl="2" w:tplc="EBFCDC4E" w:tentative="1">
      <w:start w:val="1"/>
      <w:numFmt w:val="bullet"/>
      <w:lvlText w:val=""/>
      <w:lvlJc w:val="start"/>
      <w:pPr>
        <w:ind w:start="126pt" w:hanging="18pt"/>
      </w:pPr>
      <w:rPr>
        <w:rFonts w:ascii="Wingdings" w:hAnsi="Wingdings" w:hint="default"/>
      </w:rPr>
    </w:lvl>
    <w:lvl w:ilvl="3" w:tplc="3ABCBAE8" w:tentative="1">
      <w:start w:val="1"/>
      <w:numFmt w:val="bullet"/>
      <w:lvlText w:val=""/>
      <w:lvlJc w:val="start"/>
      <w:pPr>
        <w:ind w:start="162pt" w:hanging="18pt"/>
      </w:pPr>
      <w:rPr>
        <w:rFonts w:ascii="Symbol" w:hAnsi="Symbol" w:hint="default"/>
      </w:rPr>
    </w:lvl>
    <w:lvl w:ilvl="4" w:tplc="D84A2886" w:tentative="1">
      <w:start w:val="1"/>
      <w:numFmt w:val="bullet"/>
      <w:lvlText w:val="o"/>
      <w:lvlJc w:val="start"/>
      <w:pPr>
        <w:ind w:start="198pt" w:hanging="18pt"/>
      </w:pPr>
      <w:rPr>
        <w:rFonts w:ascii="Courier New" w:hAnsi="Courier New" w:cs="Courier New" w:hint="default"/>
      </w:rPr>
    </w:lvl>
    <w:lvl w:ilvl="5" w:tplc="0AA4A164" w:tentative="1">
      <w:start w:val="1"/>
      <w:numFmt w:val="bullet"/>
      <w:lvlText w:val=""/>
      <w:lvlJc w:val="start"/>
      <w:pPr>
        <w:ind w:start="234pt" w:hanging="18pt"/>
      </w:pPr>
      <w:rPr>
        <w:rFonts w:ascii="Wingdings" w:hAnsi="Wingdings" w:hint="default"/>
      </w:rPr>
    </w:lvl>
    <w:lvl w:ilvl="6" w:tplc="123E349A" w:tentative="1">
      <w:start w:val="1"/>
      <w:numFmt w:val="bullet"/>
      <w:lvlText w:val=""/>
      <w:lvlJc w:val="start"/>
      <w:pPr>
        <w:ind w:start="270pt" w:hanging="18pt"/>
      </w:pPr>
      <w:rPr>
        <w:rFonts w:ascii="Symbol" w:hAnsi="Symbol" w:hint="default"/>
      </w:rPr>
    </w:lvl>
    <w:lvl w:ilvl="7" w:tplc="69DECF42" w:tentative="1">
      <w:start w:val="1"/>
      <w:numFmt w:val="bullet"/>
      <w:lvlText w:val="o"/>
      <w:lvlJc w:val="start"/>
      <w:pPr>
        <w:ind w:start="306pt" w:hanging="18pt"/>
      </w:pPr>
      <w:rPr>
        <w:rFonts w:ascii="Courier New" w:hAnsi="Courier New" w:cs="Courier New" w:hint="default"/>
      </w:rPr>
    </w:lvl>
    <w:lvl w:ilvl="8" w:tplc="8E20F762" w:tentative="1">
      <w:start w:val="1"/>
      <w:numFmt w:val="bullet"/>
      <w:lvlText w:val=""/>
      <w:lvlJc w:val="start"/>
      <w:pPr>
        <w:ind w:start="342pt" w:hanging="18pt"/>
      </w:pPr>
      <w:rPr>
        <w:rFonts w:ascii="Wingdings" w:hAnsi="Wingdings" w:hint="default"/>
      </w:rPr>
    </w:lvl>
  </w:abstractNum>
  <w:abstractNum w:abstractNumId="259" w15:restartNumberingAfterBreak="0">
    <w:nsid w:val="7CB45BDA"/>
    <w:multiLevelType w:val="hybridMultilevel"/>
    <w:tmpl w:val="2CDAFB68"/>
    <w:lvl w:ilvl="0" w:tplc="CABC2F3C">
      <w:start w:val="1"/>
      <w:numFmt w:val="bullet"/>
      <w:lvlText w:val=""/>
      <w:lvlJc w:val="start"/>
      <w:pPr>
        <w:ind w:start="36pt" w:hanging="18pt"/>
      </w:pPr>
      <w:rPr>
        <w:rFonts w:ascii="Symbol" w:hAnsi="Symbol" w:hint="default"/>
      </w:rPr>
    </w:lvl>
    <w:lvl w:ilvl="1" w:tplc="8D903FCE" w:tentative="1">
      <w:start w:val="1"/>
      <w:numFmt w:val="bullet"/>
      <w:lvlText w:val="o"/>
      <w:lvlJc w:val="start"/>
      <w:pPr>
        <w:ind w:start="72pt" w:hanging="18pt"/>
      </w:pPr>
      <w:rPr>
        <w:rFonts w:ascii="Courier New" w:hAnsi="Courier New" w:cs="Courier New" w:hint="default"/>
      </w:rPr>
    </w:lvl>
    <w:lvl w:ilvl="2" w:tplc="44C8048C" w:tentative="1">
      <w:start w:val="1"/>
      <w:numFmt w:val="bullet"/>
      <w:lvlText w:val=""/>
      <w:lvlJc w:val="start"/>
      <w:pPr>
        <w:ind w:start="108pt" w:hanging="18pt"/>
      </w:pPr>
      <w:rPr>
        <w:rFonts w:ascii="Wingdings" w:hAnsi="Wingdings" w:hint="default"/>
      </w:rPr>
    </w:lvl>
    <w:lvl w:ilvl="3" w:tplc="ABB23DBA" w:tentative="1">
      <w:start w:val="1"/>
      <w:numFmt w:val="bullet"/>
      <w:lvlText w:val=""/>
      <w:lvlJc w:val="start"/>
      <w:pPr>
        <w:ind w:start="144pt" w:hanging="18pt"/>
      </w:pPr>
      <w:rPr>
        <w:rFonts w:ascii="Symbol" w:hAnsi="Symbol" w:hint="default"/>
      </w:rPr>
    </w:lvl>
    <w:lvl w:ilvl="4" w:tplc="5810E9A2" w:tentative="1">
      <w:start w:val="1"/>
      <w:numFmt w:val="bullet"/>
      <w:lvlText w:val="o"/>
      <w:lvlJc w:val="start"/>
      <w:pPr>
        <w:ind w:start="180pt" w:hanging="18pt"/>
      </w:pPr>
      <w:rPr>
        <w:rFonts w:ascii="Courier New" w:hAnsi="Courier New" w:cs="Courier New" w:hint="default"/>
      </w:rPr>
    </w:lvl>
    <w:lvl w:ilvl="5" w:tplc="912A971C" w:tentative="1">
      <w:start w:val="1"/>
      <w:numFmt w:val="bullet"/>
      <w:lvlText w:val=""/>
      <w:lvlJc w:val="start"/>
      <w:pPr>
        <w:ind w:start="216pt" w:hanging="18pt"/>
      </w:pPr>
      <w:rPr>
        <w:rFonts w:ascii="Wingdings" w:hAnsi="Wingdings" w:hint="default"/>
      </w:rPr>
    </w:lvl>
    <w:lvl w:ilvl="6" w:tplc="7A00C09A" w:tentative="1">
      <w:start w:val="1"/>
      <w:numFmt w:val="bullet"/>
      <w:lvlText w:val=""/>
      <w:lvlJc w:val="start"/>
      <w:pPr>
        <w:ind w:start="252pt" w:hanging="18pt"/>
      </w:pPr>
      <w:rPr>
        <w:rFonts w:ascii="Symbol" w:hAnsi="Symbol" w:hint="default"/>
      </w:rPr>
    </w:lvl>
    <w:lvl w:ilvl="7" w:tplc="4CC22E88" w:tentative="1">
      <w:start w:val="1"/>
      <w:numFmt w:val="bullet"/>
      <w:lvlText w:val="o"/>
      <w:lvlJc w:val="start"/>
      <w:pPr>
        <w:ind w:start="288pt" w:hanging="18pt"/>
      </w:pPr>
      <w:rPr>
        <w:rFonts w:ascii="Courier New" w:hAnsi="Courier New" w:cs="Courier New" w:hint="default"/>
      </w:rPr>
    </w:lvl>
    <w:lvl w:ilvl="8" w:tplc="77B621FC" w:tentative="1">
      <w:start w:val="1"/>
      <w:numFmt w:val="bullet"/>
      <w:lvlText w:val=""/>
      <w:lvlJc w:val="start"/>
      <w:pPr>
        <w:ind w:start="324pt" w:hanging="18pt"/>
      </w:pPr>
      <w:rPr>
        <w:rFonts w:ascii="Wingdings" w:hAnsi="Wingdings" w:hint="default"/>
      </w:rPr>
    </w:lvl>
  </w:abstractNum>
  <w:abstractNum w:abstractNumId="260" w15:restartNumberingAfterBreak="0">
    <w:nsid w:val="7CBB5FF5"/>
    <w:multiLevelType w:val="hybridMultilevel"/>
    <w:tmpl w:val="E46A4F76"/>
    <w:lvl w:ilvl="0" w:tplc="AAB0AC2E">
      <w:start w:val="1"/>
      <w:numFmt w:val="bullet"/>
      <w:lvlText w:val=""/>
      <w:lvlJc w:val="start"/>
      <w:pPr>
        <w:ind w:start="37.70pt" w:hanging="18pt"/>
      </w:pPr>
      <w:rPr>
        <w:rFonts w:ascii="Wingdings" w:hAnsi="Wingdings" w:hint="default"/>
      </w:rPr>
    </w:lvl>
    <w:lvl w:ilvl="1" w:tplc="E07C76C8" w:tentative="1">
      <w:start w:val="1"/>
      <w:numFmt w:val="bullet"/>
      <w:lvlText w:val="o"/>
      <w:lvlJc w:val="start"/>
      <w:pPr>
        <w:ind w:start="73.70pt" w:hanging="18pt"/>
      </w:pPr>
      <w:rPr>
        <w:rFonts w:ascii="Courier New" w:hAnsi="Courier New" w:cs="Courier New" w:hint="default"/>
      </w:rPr>
    </w:lvl>
    <w:lvl w:ilvl="2" w:tplc="7834C5E6" w:tentative="1">
      <w:start w:val="1"/>
      <w:numFmt w:val="bullet"/>
      <w:lvlText w:val=""/>
      <w:lvlJc w:val="start"/>
      <w:pPr>
        <w:ind w:start="109.70pt" w:hanging="18pt"/>
      </w:pPr>
      <w:rPr>
        <w:rFonts w:ascii="Wingdings" w:hAnsi="Wingdings" w:hint="default"/>
      </w:rPr>
    </w:lvl>
    <w:lvl w:ilvl="3" w:tplc="9DB49E6A" w:tentative="1">
      <w:start w:val="1"/>
      <w:numFmt w:val="bullet"/>
      <w:lvlText w:val=""/>
      <w:lvlJc w:val="start"/>
      <w:pPr>
        <w:ind w:start="145.65pt" w:hanging="18pt"/>
      </w:pPr>
      <w:rPr>
        <w:rFonts w:ascii="Symbol" w:hAnsi="Symbol" w:hint="default"/>
      </w:rPr>
    </w:lvl>
    <w:lvl w:ilvl="4" w:tplc="C0A88FD8" w:tentative="1">
      <w:start w:val="1"/>
      <w:numFmt w:val="bullet"/>
      <w:lvlText w:val="o"/>
      <w:lvlJc w:val="start"/>
      <w:pPr>
        <w:ind w:start="181.70pt" w:hanging="18pt"/>
      </w:pPr>
      <w:rPr>
        <w:rFonts w:ascii="Courier New" w:hAnsi="Courier New" w:cs="Courier New" w:hint="default"/>
      </w:rPr>
    </w:lvl>
    <w:lvl w:ilvl="5" w:tplc="EF5AF35E" w:tentative="1">
      <w:start w:val="1"/>
      <w:numFmt w:val="bullet"/>
      <w:lvlText w:val=""/>
      <w:lvlJc w:val="start"/>
      <w:pPr>
        <w:ind w:start="217.70pt" w:hanging="18pt"/>
      </w:pPr>
      <w:rPr>
        <w:rFonts w:ascii="Wingdings" w:hAnsi="Wingdings" w:hint="default"/>
      </w:rPr>
    </w:lvl>
    <w:lvl w:ilvl="6" w:tplc="085402E6" w:tentative="1">
      <w:start w:val="1"/>
      <w:numFmt w:val="bullet"/>
      <w:lvlText w:val=""/>
      <w:lvlJc w:val="start"/>
      <w:pPr>
        <w:ind w:start="253.70pt" w:hanging="18pt"/>
      </w:pPr>
      <w:rPr>
        <w:rFonts w:ascii="Symbol" w:hAnsi="Symbol" w:hint="default"/>
      </w:rPr>
    </w:lvl>
    <w:lvl w:ilvl="7" w:tplc="6E481BE8" w:tentative="1">
      <w:start w:val="1"/>
      <w:numFmt w:val="bullet"/>
      <w:lvlText w:val="o"/>
      <w:lvlJc w:val="start"/>
      <w:pPr>
        <w:ind w:start="289.70pt" w:hanging="18pt"/>
      </w:pPr>
      <w:rPr>
        <w:rFonts w:ascii="Courier New" w:hAnsi="Courier New" w:cs="Courier New" w:hint="default"/>
      </w:rPr>
    </w:lvl>
    <w:lvl w:ilvl="8" w:tplc="DC52B1B6" w:tentative="1">
      <w:start w:val="1"/>
      <w:numFmt w:val="bullet"/>
      <w:lvlText w:val=""/>
      <w:lvlJc w:val="start"/>
      <w:pPr>
        <w:ind w:start="325.70pt" w:hanging="18pt"/>
      </w:pPr>
      <w:rPr>
        <w:rFonts w:ascii="Wingdings" w:hAnsi="Wingdings" w:hint="default"/>
      </w:rPr>
    </w:lvl>
  </w:abstractNum>
  <w:abstractNum w:abstractNumId="261" w15:restartNumberingAfterBreak="0">
    <w:nsid w:val="7DD94E98"/>
    <w:multiLevelType w:val="hybridMultilevel"/>
    <w:tmpl w:val="DB04D01A"/>
    <w:lvl w:ilvl="0" w:tplc="080A000D">
      <w:start w:val="1"/>
      <w:numFmt w:val="bullet"/>
      <w:lvlText w:val=""/>
      <w:lvlJc w:val="start"/>
      <w:pPr>
        <w:ind w:start="36pt" w:hanging="18pt"/>
      </w:pPr>
      <w:rPr>
        <w:rFonts w:ascii="Wingdings" w:hAnsi="Wingdings" w:hint="default"/>
      </w:rPr>
    </w:lvl>
    <w:lvl w:ilvl="1" w:tplc="080A0003">
      <w:start w:val="1"/>
      <w:numFmt w:val="bullet"/>
      <w:lvlText w:val="o"/>
      <w:lvlJc w:val="start"/>
      <w:pPr>
        <w:ind w:start="72pt" w:hanging="18pt"/>
      </w:pPr>
      <w:rPr>
        <w:rFonts w:ascii="Courier New" w:hAnsi="Courier New" w:cs="Courier New" w:hint="default"/>
      </w:rPr>
    </w:lvl>
    <w:lvl w:ilvl="2" w:tplc="080A0005">
      <w:start w:val="1"/>
      <w:numFmt w:val="bullet"/>
      <w:lvlText w:val=""/>
      <w:lvlJc w:val="start"/>
      <w:pPr>
        <w:ind w:start="108pt" w:hanging="18pt"/>
      </w:pPr>
      <w:rPr>
        <w:rFonts w:ascii="Wingdings" w:hAnsi="Wingdings" w:hint="default"/>
      </w:rPr>
    </w:lvl>
    <w:lvl w:ilvl="3" w:tplc="080A0001">
      <w:start w:val="1"/>
      <w:numFmt w:val="bullet"/>
      <w:lvlText w:val=""/>
      <w:lvlJc w:val="start"/>
      <w:pPr>
        <w:ind w:start="144pt" w:hanging="18pt"/>
      </w:pPr>
      <w:rPr>
        <w:rFonts w:ascii="Symbol" w:hAnsi="Symbol" w:hint="default"/>
      </w:rPr>
    </w:lvl>
    <w:lvl w:ilvl="4" w:tplc="080A0003">
      <w:start w:val="1"/>
      <w:numFmt w:val="bullet"/>
      <w:lvlText w:val="o"/>
      <w:lvlJc w:val="start"/>
      <w:pPr>
        <w:ind w:start="180pt" w:hanging="18pt"/>
      </w:pPr>
      <w:rPr>
        <w:rFonts w:ascii="Courier New" w:hAnsi="Courier New" w:cs="Courier New" w:hint="default"/>
      </w:rPr>
    </w:lvl>
    <w:lvl w:ilvl="5" w:tplc="080A0005">
      <w:start w:val="1"/>
      <w:numFmt w:val="bullet"/>
      <w:lvlText w:val=""/>
      <w:lvlJc w:val="start"/>
      <w:pPr>
        <w:ind w:start="216pt" w:hanging="18pt"/>
      </w:pPr>
      <w:rPr>
        <w:rFonts w:ascii="Wingdings" w:hAnsi="Wingdings" w:hint="default"/>
      </w:rPr>
    </w:lvl>
    <w:lvl w:ilvl="6" w:tplc="080A0001">
      <w:start w:val="1"/>
      <w:numFmt w:val="bullet"/>
      <w:lvlText w:val=""/>
      <w:lvlJc w:val="start"/>
      <w:pPr>
        <w:ind w:start="252pt" w:hanging="18pt"/>
      </w:pPr>
      <w:rPr>
        <w:rFonts w:ascii="Symbol" w:hAnsi="Symbol" w:hint="default"/>
      </w:rPr>
    </w:lvl>
    <w:lvl w:ilvl="7" w:tplc="080A0003">
      <w:start w:val="1"/>
      <w:numFmt w:val="bullet"/>
      <w:lvlText w:val="o"/>
      <w:lvlJc w:val="start"/>
      <w:pPr>
        <w:ind w:start="288pt" w:hanging="18pt"/>
      </w:pPr>
      <w:rPr>
        <w:rFonts w:ascii="Courier New" w:hAnsi="Courier New" w:cs="Courier New" w:hint="default"/>
      </w:rPr>
    </w:lvl>
    <w:lvl w:ilvl="8" w:tplc="080A0005">
      <w:start w:val="1"/>
      <w:numFmt w:val="bullet"/>
      <w:lvlText w:val=""/>
      <w:lvlJc w:val="start"/>
      <w:pPr>
        <w:ind w:start="324pt" w:hanging="18pt"/>
      </w:pPr>
      <w:rPr>
        <w:rFonts w:ascii="Wingdings" w:hAnsi="Wingdings" w:hint="default"/>
      </w:rPr>
    </w:lvl>
  </w:abstractNum>
  <w:abstractNum w:abstractNumId="262" w15:restartNumberingAfterBreak="0">
    <w:nsid w:val="7F1E733D"/>
    <w:multiLevelType w:val="hybridMultilevel"/>
    <w:tmpl w:val="FD8C9338"/>
    <w:lvl w:ilvl="0" w:tplc="870A346A">
      <w:start w:val="1"/>
      <w:numFmt w:val="bullet"/>
      <w:lvlText w:val=""/>
      <w:lvlJc w:val="start"/>
      <w:pPr>
        <w:ind w:start="39.25pt" w:hanging="18pt"/>
      </w:pPr>
      <w:rPr>
        <w:rFonts w:ascii="Wingdings" w:hAnsi="Wingdings" w:hint="default"/>
      </w:rPr>
    </w:lvl>
    <w:lvl w:ilvl="1" w:tplc="396C6B6E">
      <w:start w:val="1"/>
      <w:numFmt w:val="bullet"/>
      <w:lvlText w:val="o"/>
      <w:lvlJc w:val="start"/>
      <w:pPr>
        <w:ind w:start="93.30pt" w:hanging="18pt"/>
      </w:pPr>
      <w:rPr>
        <w:rFonts w:ascii="Courier New" w:hAnsi="Courier New" w:cs="Courier New" w:hint="default"/>
      </w:rPr>
    </w:lvl>
    <w:lvl w:ilvl="2" w:tplc="FBC44B06">
      <w:start w:val="1"/>
      <w:numFmt w:val="bullet"/>
      <w:lvlText w:val=""/>
      <w:lvlJc w:val="start"/>
      <w:pPr>
        <w:ind w:start="129.30pt" w:hanging="18pt"/>
      </w:pPr>
      <w:rPr>
        <w:rFonts w:ascii="Wingdings" w:hAnsi="Wingdings" w:hint="default"/>
      </w:rPr>
    </w:lvl>
    <w:lvl w:ilvl="3" w:tplc="7CE60028">
      <w:start w:val="1"/>
      <w:numFmt w:val="bullet"/>
      <w:lvlText w:val=""/>
      <w:lvlJc w:val="start"/>
      <w:pPr>
        <w:ind w:start="165.30pt" w:hanging="18pt"/>
      </w:pPr>
      <w:rPr>
        <w:rFonts w:ascii="Symbol" w:hAnsi="Symbol" w:hint="default"/>
      </w:rPr>
    </w:lvl>
    <w:lvl w:ilvl="4" w:tplc="39EECE18">
      <w:start w:val="1"/>
      <w:numFmt w:val="bullet"/>
      <w:lvlText w:val="o"/>
      <w:lvlJc w:val="start"/>
      <w:pPr>
        <w:ind w:start="201.30pt" w:hanging="18pt"/>
      </w:pPr>
      <w:rPr>
        <w:rFonts w:ascii="Courier New" w:hAnsi="Courier New" w:cs="Courier New" w:hint="default"/>
      </w:rPr>
    </w:lvl>
    <w:lvl w:ilvl="5" w:tplc="E746FDF6">
      <w:start w:val="1"/>
      <w:numFmt w:val="bullet"/>
      <w:lvlText w:val=""/>
      <w:lvlJc w:val="start"/>
      <w:pPr>
        <w:ind w:start="237.30pt" w:hanging="18pt"/>
      </w:pPr>
      <w:rPr>
        <w:rFonts w:ascii="Wingdings" w:hAnsi="Wingdings" w:hint="default"/>
      </w:rPr>
    </w:lvl>
    <w:lvl w:ilvl="6" w:tplc="8E386454">
      <w:start w:val="1"/>
      <w:numFmt w:val="bullet"/>
      <w:lvlText w:val=""/>
      <w:lvlJc w:val="start"/>
      <w:pPr>
        <w:ind w:start="273.30pt" w:hanging="18pt"/>
      </w:pPr>
      <w:rPr>
        <w:rFonts w:ascii="Symbol" w:hAnsi="Symbol" w:hint="default"/>
      </w:rPr>
    </w:lvl>
    <w:lvl w:ilvl="7" w:tplc="5C408130">
      <w:start w:val="1"/>
      <w:numFmt w:val="bullet"/>
      <w:lvlText w:val="o"/>
      <w:lvlJc w:val="start"/>
      <w:pPr>
        <w:ind w:start="309.30pt" w:hanging="18pt"/>
      </w:pPr>
      <w:rPr>
        <w:rFonts w:ascii="Courier New" w:hAnsi="Courier New" w:cs="Courier New" w:hint="default"/>
      </w:rPr>
    </w:lvl>
    <w:lvl w:ilvl="8" w:tplc="98E4E0E8">
      <w:start w:val="1"/>
      <w:numFmt w:val="bullet"/>
      <w:lvlText w:val=""/>
      <w:lvlJc w:val="start"/>
      <w:pPr>
        <w:ind w:start="345.30pt" w:hanging="18pt"/>
      </w:pPr>
      <w:rPr>
        <w:rFonts w:ascii="Wingdings" w:hAnsi="Wingdings" w:hint="default"/>
      </w:rPr>
    </w:lvl>
  </w:abstractNum>
  <w:abstractNum w:abstractNumId="263" w15:restartNumberingAfterBreak="0">
    <w:nsid w:val="7F5115BE"/>
    <w:multiLevelType w:val="hybridMultilevel"/>
    <w:tmpl w:val="F9CEFE44"/>
    <w:lvl w:ilvl="0" w:tplc="769A70F4">
      <w:start w:val="1"/>
      <w:numFmt w:val="bullet"/>
      <w:lvlText w:val=""/>
      <w:lvlJc w:val="start"/>
      <w:pPr>
        <w:ind w:start="54pt" w:hanging="18pt"/>
      </w:pPr>
      <w:rPr>
        <w:rFonts w:ascii="Symbol" w:hAnsi="Symbol" w:hint="default"/>
      </w:rPr>
    </w:lvl>
    <w:lvl w:ilvl="1" w:tplc="AA24C43A">
      <w:start w:val="1"/>
      <w:numFmt w:val="bullet"/>
      <w:lvlText w:val="o"/>
      <w:lvlJc w:val="start"/>
      <w:pPr>
        <w:ind w:start="90pt" w:hanging="18pt"/>
      </w:pPr>
      <w:rPr>
        <w:rFonts w:ascii="Courier New" w:hAnsi="Courier New" w:cs="Courier New" w:hint="default"/>
      </w:rPr>
    </w:lvl>
    <w:lvl w:ilvl="2" w:tplc="65B414E4">
      <w:start w:val="1"/>
      <w:numFmt w:val="bullet"/>
      <w:lvlText w:val=""/>
      <w:lvlJc w:val="start"/>
      <w:pPr>
        <w:ind w:start="126pt" w:hanging="18pt"/>
      </w:pPr>
      <w:rPr>
        <w:rFonts w:ascii="Wingdings" w:hAnsi="Wingdings" w:hint="default"/>
      </w:rPr>
    </w:lvl>
    <w:lvl w:ilvl="3" w:tplc="B3683F2C">
      <w:start w:val="1"/>
      <w:numFmt w:val="bullet"/>
      <w:lvlText w:val=""/>
      <w:lvlJc w:val="start"/>
      <w:pPr>
        <w:ind w:start="162pt" w:hanging="18pt"/>
      </w:pPr>
      <w:rPr>
        <w:rFonts w:ascii="Symbol" w:hAnsi="Symbol" w:hint="default"/>
      </w:rPr>
    </w:lvl>
    <w:lvl w:ilvl="4" w:tplc="D05843D4">
      <w:start w:val="1"/>
      <w:numFmt w:val="bullet"/>
      <w:lvlText w:val="o"/>
      <w:lvlJc w:val="start"/>
      <w:pPr>
        <w:ind w:start="198pt" w:hanging="18pt"/>
      </w:pPr>
      <w:rPr>
        <w:rFonts w:ascii="Courier New" w:hAnsi="Courier New" w:cs="Courier New" w:hint="default"/>
      </w:rPr>
    </w:lvl>
    <w:lvl w:ilvl="5" w:tplc="714AA342">
      <w:start w:val="1"/>
      <w:numFmt w:val="bullet"/>
      <w:lvlText w:val=""/>
      <w:lvlJc w:val="start"/>
      <w:pPr>
        <w:ind w:start="234pt" w:hanging="18pt"/>
      </w:pPr>
      <w:rPr>
        <w:rFonts w:ascii="Wingdings" w:hAnsi="Wingdings" w:hint="default"/>
      </w:rPr>
    </w:lvl>
    <w:lvl w:ilvl="6" w:tplc="B07286E0">
      <w:start w:val="1"/>
      <w:numFmt w:val="bullet"/>
      <w:lvlText w:val=""/>
      <w:lvlJc w:val="start"/>
      <w:pPr>
        <w:ind w:start="270pt" w:hanging="18pt"/>
      </w:pPr>
      <w:rPr>
        <w:rFonts w:ascii="Symbol" w:hAnsi="Symbol" w:hint="default"/>
      </w:rPr>
    </w:lvl>
    <w:lvl w:ilvl="7" w:tplc="E426329C">
      <w:start w:val="1"/>
      <w:numFmt w:val="bullet"/>
      <w:lvlText w:val="o"/>
      <w:lvlJc w:val="start"/>
      <w:pPr>
        <w:ind w:start="306pt" w:hanging="18pt"/>
      </w:pPr>
      <w:rPr>
        <w:rFonts w:ascii="Courier New" w:hAnsi="Courier New" w:cs="Courier New" w:hint="default"/>
      </w:rPr>
    </w:lvl>
    <w:lvl w:ilvl="8" w:tplc="0CF2E958">
      <w:start w:val="1"/>
      <w:numFmt w:val="bullet"/>
      <w:lvlText w:val=""/>
      <w:lvlJc w:val="start"/>
      <w:pPr>
        <w:ind w:start="342pt" w:hanging="18pt"/>
      </w:pPr>
      <w:rPr>
        <w:rFonts w:ascii="Wingdings" w:hAnsi="Wingdings" w:hint="default"/>
      </w:rPr>
    </w:lvl>
  </w:abstractNum>
  <w:num w:numId="1">
    <w:abstractNumId w:val="126"/>
  </w:num>
  <w:num w:numId="2">
    <w:abstractNumId w:val="251"/>
  </w:num>
  <w:num w:numId="3">
    <w:abstractNumId w:val="10"/>
  </w:num>
  <w:num w:numId="4">
    <w:abstractNumId w:val="256"/>
  </w:num>
  <w:num w:numId="5">
    <w:abstractNumId w:val="158"/>
  </w:num>
  <w:num w:numId="6">
    <w:abstractNumId w:val="34"/>
  </w:num>
  <w:num w:numId="7">
    <w:abstractNumId w:val="153"/>
    <w:lvlOverride w:ilvl="0">
      <w:startOverride w:val="1"/>
    </w:lvlOverride>
  </w:num>
  <w:num w:numId="8">
    <w:abstractNumId w:val="232"/>
  </w:num>
  <w:num w:numId="9">
    <w:abstractNumId w:val="30"/>
  </w:num>
  <w:num w:numId="10">
    <w:abstractNumId w:val="79"/>
  </w:num>
  <w:num w:numId="11">
    <w:abstractNumId w:val="106"/>
  </w:num>
  <w:num w:numId="12">
    <w:abstractNumId w:val="110"/>
  </w:num>
  <w:num w:numId="13">
    <w:abstractNumId w:val="138"/>
  </w:num>
  <w:num w:numId="14">
    <w:abstractNumId w:val="207"/>
  </w:num>
  <w:num w:numId="15">
    <w:abstractNumId w:val="18"/>
  </w:num>
  <w:num w:numId="16">
    <w:abstractNumId w:val="246"/>
  </w:num>
  <w:num w:numId="17">
    <w:abstractNumId w:val="170"/>
  </w:num>
  <w:num w:numId="18">
    <w:abstractNumId w:val="176"/>
  </w:num>
  <w:num w:numId="19">
    <w:abstractNumId w:val="157"/>
  </w:num>
  <w:num w:numId="20">
    <w:abstractNumId w:val="26"/>
  </w:num>
  <w:num w:numId="21">
    <w:abstractNumId w:val="115"/>
  </w:num>
  <w:num w:numId="22">
    <w:abstractNumId w:val="21"/>
  </w:num>
  <w:num w:numId="23">
    <w:abstractNumId w:val="33"/>
  </w:num>
  <w:num w:numId="24">
    <w:abstractNumId w:val="216"/>
  </w:num>
  <w:num w:numId="25">
    <w:abstractNumId w:val="148"/>
  </w:num>
  <w:num w:numId="26">
    <w:abstractNumId w:val="57"/>
  </w:num>
  <w:num w:numId="27">
    <w:abstractNumId w:val="244"/>
  </w:num>
  <w:num w:numId="28">
    <w:abstractNumId w:val="29"/>
  </w:num>
  <w:num w:numId="29">
    <w:abstractNumId w:val="86"/>
  </w:num>
  <w:num w:numId="30">
    <w:abstractNumId w:val="102"/>
  </w:num>
  <w:num w:numId="31">
    <w:abstractNumId w:val="145"/>
  </w:num>
  <w:num w:numId="32">
    <w:abstractNumId w:val="51"/>
  </w:num>
  <w:num w:numId="33">
    <w:abstractNumId w:val="60"/>
  </w:num>
  <w:num w:numId="34">
    <w:abstractNumId w:val="184"/>
  </w:num>
  <w:num w:numId="35">
    <w:abstractNumId w:val="16"/>
  </w:num>
  <w:num w:numId="36">
    <w:abstractNumId w:val="73"/>
  </w:num>
  <w:num w:numId="37">
    <w:abstractNumId w:val="227"/>
  </w:num>
  <w:num w:numId="38">
    <w:abstractNumId w:val="101"/>
  </w:num>
  <w:num w:numId="39">
    <w:abstractNumId w:val="45"/>
  </w:num>
  <w:num w:numId="40">
    <w:abstractNumId w:val="2"/>
  </w:num>
  <w:num w:numId="41">
    <w:abstractNumId w:val="19"/>
  </w:num>
  <w:num w:numId="42">
    <w:abstractNumId w:val="96"/>
  </w:num>
  <w:num w:numId="43">
    <w:abstractNumId w:val="39"/>
  </w:num>
  <w:num w:numId="44">
    <w:abstractNumId w:val="192"/>
  </w:num>
  <w:num w:numId="45">
    <w:abstractNumId w:val="197"/>
  </w:num>
  <w:num w:numId="46">
    <w:abstractNumId w:val="167"/>
  </w:num>
  <w:num w:numId="47">
    <w:abstractNumId w:val="161"/>
  </w:num>
  <w:num w:numId="48">
    <w:abstractNumId w:val="93"/>
  </w:num>
  <w:num w:numId="49">
    <w:abstractNumId w:val="82"/>
  </w:num>
  <w:num w:numId="50">
    <w:abstractNumId w:val="141"/>
  </w:num>
  <w:num w:numId="51">
    <w:abstractNumId w:val="49"/>
  </w:num>
  <w:num w:numId="52">
    <w:abstractNumId w:val="160"/>
  </w:num>
  <w:num w:numId="53">
    <w:abstractNumId w:val="174"/>
  </w:num>
  <w:num w:numId="54">
    <w:abstractNumId w:val="218"/>
  </w:num>
  <w:num w:numId="55">
    <w:abstractNumId w:val="134"/>
  </w:num>
  <w:num w:numId="56">
    <w:abstractNumId w:val="95"/>
  </w:num>
  <w:num w:numId="57">
    <w:abstractNumId w:val="222"/>
  </w:num>
  <w:num w:numId="58">
    <w:abstractNumId w:val="108"/>
  </w:num>
  <w:num w:numId="59">
    <w:abstractNumId w:val="236"/>
  </w:num>
  <w:num w:numId="60">
    <w:abstractNumId w:val="142"/>
  </w:num>
  <w:num w:numId="61">
    <w:abstractNumId w:val="97"/>
  </w:num>
  <w:num w:numId="62">
    <w:abstractNumId w:val="258"/>
  </w:num>
  <w:num w:numId="63">
    <w:abstractNumId w:val="217"/>
  </w:num>
  <w:num w:numId="64">
    <w:abstractNumId w:val="124"/>
  </w:num>
  <w:num w:numId="65">
    <w:abstractNumId w:val="103"/>
  </w:num>
  <w:num w:numId="66">
    <w:abstractNumId w:val="234"/>
  </w:num>
  <w:num w:numId="67">
    <w:abstractNumId w:val="182"/>
  </w:num>
  <w:num w:numId="68">
    <w:abstractNumId w:val="255"/>
  </w:num>
  <w:num w:numId="69">
    <w:abstractNumId w:val="205"/>
  </w:num>
  <w:num w:numId="70">
    <w:abstractNumId w:val="12"/>
  </w:num>
  <w:num w:numId="71">
    <w:abstractNumId w:val="114"/>
  </w:num>
  <w:num w:numId="72">
    <w:abstractNumId w:val="89"/>
  </w:num>
  <w:num w:numId="73">
    <w:abstractNumId w:val="225"/>
  </w:num>
  <w:num w:numId="74">
    <w:abstractNumId w:val="121"/>
  </w:num>
  <w:num w:numId="75">
    <w:abstractNumId w:val="263"/>
  </w:num>
  <w:num w:numId="76">
    <w:abstractNumId w:val="245"/>
  </w:num>
  <w:num w:numId="77">
    <w:abstractNumId w:val="13"/>
  </w:num>
  <w:num w:numId="78">
    <w:abstractNumId w:val="118"/>
  </w:num>
  <w:num w:numId="79">
    <w:abstractNumId w:val="42"/>
  </w:num>
  <w:num w:numId="80">
    <w:abstractNumId w:val="162"/>
  </w:num>
  <w:num w:numId="81">
    <w:abstractNumId w:val="83"/>
  </w:num>
  <w:num w:numId="82">
    <w:abstractNumId w:val="189"/>
  </w:num>
  <w:num w:numId="83">
    <w:abstractNumId w:val="144"/>
  </w:num>
  <w:num w:numId="84">
    <w:abstractNumId w:val="35"/>
  </w:num>
  <w:num w:numId="85">
    <w:abstractNumId w:val="135"/>
  </w:num>
  <w:num w:numId="86">
    <w:abstractNumId w:val="156"/>
  </w:num>
  <w:num w:numId="87">
    <w:abstractNumId w:val="55"/>
  </w:num>
  <w:num w:numId="88">
    <w:abstractNumId w:val="61"/>
  </w:num>
  <w:num w:numId="89">
    <w:abstractNumId w:val="196"/>
  </w:num>
  <w:num w:numId="90">
    <w:abstractNumId w:val="262"/>
  </w:num>
  <w:num w:numId="91">
    <w:abstractNumId w:val="46"/>
  </w:num>
  <w:num w:numId="92">
    <w:abstractNumId w:val="77"/>
  </w:num>
  <w:num w:numId="93">
    <w:abstractNumId w:val="99"/>
  </w:num>
  <w:num w:numId="94">
    <w:abstractNumId w:val="181"/>
  </w:num>
  <w:num w:numId="95">
    <w:abstractNumId w:val="221"/>
  </w:num>
  <w:num w:numId="96">
    <w:abstractNumId w:val="188"/>
  </w:num>
  <w:num w:numId="97">
    <w:abstractNumId w:val="104"/>
  </w:num>
  <w:num w:numId="98">
    <w:abstractNumId w:val="69"/>
  </w:num>
  <w:num w:numId="99">
    <w:abstractNumId w:val="70"/>
  </w:num>
  <w:num w:numId="100">
    <w:abstractNumId w:val="7"/>
  </w:num>
  <w:num w:numId="101">
    <w:abstractNumId w:val="90"/>
  </w:num>
  <w:num w:numId="102">
    <w:abstractNumId w:val="238"/>
  </w:num>
  <w:num w:numId="103">
    <w:abstractNumId w:val="100"/>
  </w:num>
  <w:num w:numId="104">
    <w:abstractNumId w:val="237"/>
  </w:num>
  <w:num w:numId="105">
    <w:abstractNumId w:val="206"/>
  </w:num>
  <w:num w:numId="106">
    <w:abstractNumId w:val="36"/>
  </w:num>
  <w:num w:numId="107">
    <w:abstractNumId w:val="165"/>
  </w:num>
  <w:num w:numId="108">
    <w:abstractNumId w:val="92"/>
  </w:num>
  <w:num w:numId="109">
    <w:abstractNumId w:val="37"/>
  </w:num>
  <w:num w:numId="110">
    <w:abstractNumId w:val="253"/>
  </w:num>
  <w:num w:numId="111">
    <w:abstractNumId w:val="43"/>
  </w:num>
  <w:num w:numId="112">
    <w:abstractNumId w:val="178"/>
  </w:num>
  <w:num w:numId="113">
    <w:abstractNumId w:val="168"/>
  </w:num>
  <w:num w:numId="114">
    <w:abstractNumId w:val="112"/>
  </w:num>
  <w:num w:numId="115">
    <w:abstractNumId w:val="14"/>
  </w:num>
  <w:num w:numId="116">
    <w:abstractNumId w:val="64"/>
  </w:num>
  <w:num w:numId="117">
    <w:abstractNumId w:val="243"/>
  </w:num>
  <w:num w:numId="118">
    <w:abstractNumId w:val="186"/>
  </w:num>
  <w:num w:numId="119">
    <w:abstractNumId w:val="241"/>
  </w:num>
  <w:num w:numId="120">
    <w:abstractNumId w:val="15"/>
  </w:num>
  <w:num w:numId="121">
    <w:abstractNumId w:val="32"/>
  </w:num>
  <w:num w:numId="122">
    <w:abstractNumId w:val="166"/>
  </w:num>
  <w:num w:numId="123">
    <w:abstractNumId w:val="129"/>
  </w:num>
  <w:num w:numId="124">
    <w:abstractNumId w:val="228"/>
  </w:num>
  <w:num w:numId="125">
    <w:abstractNumId w:val="248"/>
  </w:num>
  <w:num w:numId="126">
    <w:abstractNumId w:val="54"/>
  </w:num>
  <w:num w:numId="127">
    <w:abstractNumId w:val="48"/>
  </w:num>
  <w:num w:numId="128">
    <w:abstractNumId w:val="209"/>
  </w:num>
  <w:num w:numId="129">
    <w:abstractNumId w:val="81"/>
  </w:num>
  <w:num w:numId="130">
    <w:abstractNumId w:val="215"/>
  </w:num>
  <w:num w:numId="131">
    <w:abstractNumId w:val="40"/>
  </w:num>
  <w:num w:numId="132">
    <w:abstractNumId w:val="17"/>
  </w:num>
  <w:num w:numId="133">
    <w:abstractNumId w:val="185"/>
  </w:num>
  <w:num w:numId="134">
    <w:abstractNumId w:val="88"/>
  </w:num>
  <w:num w:numId="135">
    <w:abstractNumId w:val="136"/>
  </w:num>
  <w:num w:numId="136">
    <w:abstractNumId w:val="52"/>
  </w:num>
  <w:num w:numId="137">
    <w:abstractNumId w:val="74"/>
  </w:num>
  <w:num w:numId="138">
    <w:abstractNumId w:val="11"/>
  </w:num>
  <w:num w:numId="139">
    <w:abstractNumId w:val="6"/>
  </w:num>
  <w:num w:numId="140">
    <w:abstractNumId w:val="122"/>
  </w:num>
  <w:num w:numId="141">
    <w:abstractNumId w:val="120"/>
  </w:num>
  <w:num w:numId="142">
    <w:abstractNumId w:val="220"/>
  </w:num>
  <w:num w:numId="143">
    <w:abstractNumId w:val="20"/>
  </w:num>
  <w:num w:numId="144">
    <w:abstractNumId w:val="173"/>
  </w:num>
  <w:num w:numId="145">
    <w:abstractNumId w:val="159"/>
  </w:num>
  <w:num w:numId="146">
    <w:abstractNumId w:val="25"/>
  </w:num>
  <w:num w:numId="147">
    <w:abstractNumId w:val="208"/>
  </w:num>
  <w:num w:numId="148">
    <w:abstractNumId w:val="169"/>
  </w:num>
  <w:num w:numId="149">
    <w:abstractNumId w:val="151"/>
  </w:num>
  <w:num w:numId="150">
    <w:abstractNumId w:val="137"/>
  </w:num>
  <w:num w:numId="151">
    <w:abstractNumId w:val="152"/>
  </w:num>
  <w:num w:numId="152">
    <w:abstractNumId w:val="247"/>
  </w:num>
  <w:num w:numId="153">
    <w:abstractNumId w:val="107"/>
  </w:num>
  <w:num w:numId="154">
    <w:abstractNumId w:val="58"/>
  </w:num>
  <w:num w:numId="155">
    <w:abstractNumId w:val="117"/>
  </w:num>
  <w:num w:numId="156">
    <w:abstractNumId w:val="75"/>
  </w:num>
  <w:num w:numId="157">
    <w:abstractNumId w:val="180"/>
  </w:num>
  <w:num w:numId="158">
    <w:abstractNumId w:val="27"/>
  </w:num>
  <w:num w:numId="159">
    <w:abstractNumId w:val="212"/>
  </w:num>
  <w:num w:numId="160">
    <w:abstractNumId w:val="127"/>
  </w:num>
  <w:num w:numId="161">
    <w:abstractNumId w:val="105"/>
  </w:num>
  <w:num w:numId="162">
    <w:abstractNumId w:val="53"/>
  </w:num>
  <w:num w:numId="163">
    <w:abstractNumId w:val="87"/>
  </w:num>
  <w:num w:numId="164">
    <w:abstractNumId w:val="202"/>
  </w:num>
  <w:num w:numId="165">
    <w:abstractNumId w:val="191"/>
  </w:num>
  <w:num w:numId="166">
    <w:abstractNumId w:val="85"/>
  </w:num>
  <w:num w:numId="167">
    <w:abstractNumId w:val="154"/>
  </w:num>
  <w:num w:numId="168">
    <w:abstractNumId w:val="0"/>
  </w:num>
  <w:num w:numId="169">
    <w:abstractNumId w:val="116"/>
  </w:num>
  <w:num w:numId="170">
    <w:abstractNumId w:val="171"/>
  </w:num>
  <w:num w:numId="171">
    <w:abstractNumId w:val="56"/>
  </w:num>
  <w:num w:numId="172">
    <w:abstractNumId w:val="235"/>
  </w:num>
  <w:num w:numId="173">
    <w:abstractNumId w:val="200"/>
  </w:num>
  <w:num w:numId="174">
    <w:abstractNumId w:val="8"/>
  </w:num>
  <w:num w:numId="175">
    <w:abstractNumId w:val="257"/>
  </w:num>
  <w:num w:numId="176">
    <w:abstractNumId w:val="31"/>
  </w:num>
  <w:num w:numId="177">
    <w:abstractNumId w:val="229"/>
  </w:num>
  <w:num w:numId="178">
    <w:abstractNumId w:val="63"/>
  </w:num>
  <w:num w:numId="179">
    <w:abstractNumId w:val="211"/>
  </w:num>
  <w:num w:numId="180">
    <w:abstractNumId w:val="98"/>
  </w:num>
  <w:num w:numId="181">
    <w:abstractNumId w:val="1"/>
  </w:num>
  <w:num w:numId="182">
    <w:abstractNumId w:val="249"/>
  </w:num>
  <w:num w:numId="183">
    <w:abstractNumId w:val="172"/>
  </w:num>
  <w:num w:numId="184">
    <w:abstractNumId w:val="71"/>
  </w:num>
  <w:num w:numId="185">
    <w:abstractNumId w:val="199"/>
  </w:num>
  <w:num w:numId="186">
    <w:abstractNumId w:val="195"/>
  </w:num>
  <w:num w:numId="187">
    <w:abstractNumId w:val="80"/>
  </w:num>
  <w:num w:numId="188">
    <w:abstractNumId w:val="91"/>
  </w:num>
  <w:num w:numId="189">
    <w:abstractNumId w:val="139"/>
  </w:num>
  <w:num w:numId="190">
    <w:abstractNumId w:val="223"/>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1">
    <w:abstractNumId w:val="224"/>
  </w:num>
  <w:num w:numId="192">
    <w:abstractNumId w:val="230"/>
  </w:num>
  <w:num w:numId="193">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4">
    <w:abstractNumId w:val="9"/>
  </w:num>
  <w:num w:numId="195">
    <w:abstractNumId w:val="164"/>
  </w:num>
  <w:num w:numId="196">
    <w:abstractNumId w:val="187"/>
  </w:num>
  <w:num w:numId="197">
    <w:abstractNumId w:val="131"/>
  </w:num>
  <w:num w:numId="198">
    <w:abstractNumId w:val="94"/>
  </w:num>
  <w:num w:numId="199">
    <w:abstractNumId w:val="183"/>
  </w:num>
  <w:num w:numId="200">
    <w:abstractNumId w:val="177"/>
  </w:num>
  <w:num w:numId="201">
    <w:abstractNumId w:val="190"/>
  </w:num>
  <w:num w:numId="202">
    <w:abstractNumId w:val="47"/>
  </w:num>
  <w:num w:numId="203">
    <w:abstractNumId w:val="259"/>
  </w:num>
  <w:num w:numId="204">
    <w:abstractNumId w:val="233"/>
  </w:num>
  <w:num w:numId="205">
    <w:abstractNumId w:val="260"/>
  </w:num>
  <w:num w:numId="206">
    <w:abstractNumId w:val="68"/>
  </w:num>
  <w:num w:numId="207">
    <w:abstractNumId w:val="119"/>
  </w:num>
  <w:num w:numId="208">
    <w:abstractNumId w:val="242"/>
  </w:num>
  <w:num w:numId="209">
    <w:abstractNumId w:val="219"/>
  </w:num>
  <w:num w:numId="210">
    <w:abstractNumId w:val="143"/>
  </w:num>
  <w:num w:numId="211">
    <w:abstractNumId w:val="252"/>
  </w:num>
  <w:num w:numId="212">
    <w:abstractNumId w:val="3"/>
  </w:num>
  <w:num w:numId="213">
    <w:abstractNumId w:val="65"/>
  </w:num>
  <w:num w:numId="214">
    <w:abstractNumId w:val="146"/>
  </w:num>
  <w:num w:numId="215">
    <w:abstractNumId w:val="50"/>
  </w:num>
  <w:num w:numId="216">
    <w:abstractNumId w:val="22"/>
  </w:num>
  <w:num w:numId="217">
    <w:abstractNumId w:val="147"/>
  </w:num>
  <w:num w:numId="218">
    <w:abstractNumId w:val="239"/>
  </w:num>
  <w:num w:numId="219">
    <w:abstractNumId w:val="59"/>
  </w:num>
  <w:num w:numId="220">
    <w:abstractNumId w:val="113"/>
  </w:num>
  <w:num w:numId="221">
    <w:abstractNumId w:val="198"/>
  </w:num>
  <w:num w:numId="222">
    <w:abstractNumId w:val="123"/>
  </w:num>
  <w:num w:numId="223">
    <w:abstractNumId w:val="38"/>
  </w:num>
  <w:num w:numId="224">
    <w:abstractNumId w:val="149"/>
  </w:num>
  <w:num w:numId="225">
    <w:abstractNumId w:val="240"/>
  </w:num>
  <w:num w:numId="226">
    <w:abstractNumId w:val="140"/>
  </w:num>
  <w:num w:numId="227">
    <w:abstractNumId w:val="203"/>
  </w:num>
  <w:num w:numId="228">
    <w:abstractNumId w:val="5"/>
  </w:num>
  <w:num w:numId="229">
    <w:abstractNumId w:val="214"/>
  </w:num>
  <w:num w:numId="230">
    <w:abstractNumId w:val="125"/>
  </w:num>
  <w:num w:numId="231">
    <w:abstractNumId w:val="254"/>
  </w:num>
  <w:num w:numId="232">
    <w:abstractNumId w:val="41"/>
  </w:num>
  <w:num w:numId="233">
    <w:abstractNumId w:val="28"/>
  </w:num>
  <w:num w:numId="234">
    <w:abstractNumId w:val="155"/>
  </w:num>
  <w:num w:numId="235">
    <w:abstractNumId w:val="66"/>
  </w:num>
  <w:num w:numId="236">
    <w:abstractNumId w:val="44"/>
  </w:num>
  <w:num w:numId="237">
    <w:abstractNumId w:val="150"/>
  </w:num>
  <w:num w:numId="238">
    <w:abstractNumId w:val="261"/>
  </w:num>
  <w:num w:numId="239">
    <w:abstractNumId w:val="62"/>
  </w:num>
  <w:num w:numId="240">
    <w:abstractNumId w:val="231"/>
  </w:num>
  <w:num w:numId="241">
    <w:abstractNumId w:val="4"/>
  </w:num>
  <w:num w:numId="242">
    <w:abstractNumId w:val="210"/>
  </w:num>
  <w:num w:numId="243">
    <w:abstractNumId w:val="128"/>
  </w:num>
  <w:num w:numId="244">
    <w:abstractNumId w:val="84"/>
  </w:num>
  <w:num w:numId="245">
    <w:abstractNumId w:val="226"/>
  </w:num>
  <w:num w:numId="246">
    <w:abstractNumId w:val="76"/>
  </w:num>
  <w:num w:numId="247">
    <w:abstractNumId w:val="78"/>
  </w:num>
  <w:num w:numId="248">
    <w:abstractNumId w:val="213"/>
  </w:num>
  <w:num w:numId="249">
    <w:abstractNumId w:val="23"/>
  </w:num>
  <w:num w:numId="250">
    <w:abstractNumId w:val="250"/>
  </w:num>
  <w:num w:numId="251">
    <w:abstractNumId w:val="67"/>
  </w:num>
  <w:num w:numId="252">
    <w:abstractNumId w:val="163"/>
  </w:num>
  <w:num w:numId="253">
    <w:abstractNumId w:val="132"/>
  </w:num>
  <w:num w:numId="254">
    <w:abstractNumId w:val="175"/>
  </w:num>
  <w:num w:numId="255">
    <w:abstractNumId w:val="24"/>
  </w:num>
  <w:num w:numId="256">
    <w:abstractNumId w:val="111"/>
  </w:num>
  <w:num w:numId="257">
    <w:abstractNumId w:val="72"/>
  </w:num>
  <w:num w:numId="258">
    <w:abstractNumId w:val="133"/>
  </w:num>
  <w:num w:numId="259">
    <w:abstractNumId w:val="194"/>
  </w:num>
  <w:num w:numId="260">
    <w:abstractNumId w:val="109"/>
  </w:num>
  <w:num w:numId="261">
    <w:abstractNumId w:val="179"/>
  </w:num>
  <w:num w:numId="262">
    <w:abstractNumId w:val="204"/>
  </w:num>
  <w:num w:numId="263">
    <w:abstractNumId w:val="201"/>
  </w:num>
  <w:num w:numId="264">
    <w:abstractNumId w:val="193"/>
  </w:num>
  <w:numIdMacAtCleanup w:val="264"/>
</w:numbering>
</file>

<file path=word/people1.xml><?xml version="1.0" encoding="utf-8"?>
<w15:people xmlns:r="http://purl.oclc.org/ooxml/officeDocument/relationships" xmlns:dct="http://purl.org/dc/dcmitype/" xmlns:dc="http://purl.org/dc/elements/1.1/" xmlns:dcterms="http://purl.org/dc/terms/" xmlns:ct="http://schemas.openxmlformats.org/package/2006/content-types" xmlns:mdssi="http://schemas.openxmlformats.org/package/2006/digital-signature" xmlns:cp="http://schemas.openxmlformats.org/package/2006/metadata/core-properties" xmlns:rr="http://schemas.openxmlformats.org/package/2006/relationships" xmlns:xs="http://www.w3.org/2001/XMLSchema" xmlns:m="http://purl.oclc.org/ooxml/officeDocument/math" xmlns:sl="http://purl.oclc.org/ooxml/schemaLibrary/main" xmlns:w="http://purl.oclc.org/ooxml/wordprocessingml/main" xmlns:w10="urn:schemas-microsoft-com:office:word" xmlns:o="urn:schemas-microsoft-com:office:office" xmlns:v="urn:schemas-microsoft-com:vml" xmlns:wp="http://purl.oclc.org/ooxml/drawingml/wordprocessingDrawing" xmlns:c="http://purl.oclc.org/ooxml/drawingml/chart" xmlns:cdr="http://purl.oclc.org/ooxml/drawingml/chartDrawing" xmlns:ns31="http://schemas.openxmlformats.org/drawingml/2006/compatibility" xmlns:ns32="http://purl.oclc.org/ooxml/drawingml/lockedCanvas" xmlns:ns30="http://purl.oclc.org/ooxml/officeDocument/bibliography" xmlns:nsc="http://purl.oclc.org/ooxml/officeDocument/characteristics" xmlns:nscp="http://purl.oclc.org/ooxml/officeDocument/customProperties" xmlns:nscx="http://purl.oclc.org/ooxml/officeDocument/customXml" xmlns:nsdt="http://purl.oclc.org/ooxml/officeDocument/docPropsVTypes" xmlns:nsep="http://purl.oclc.org/ooxml/officeDocument/extendedProperties" xmlns:s="http://purl.oclc.org/ooxml/officeDocument/sharedTypes" xmlns:vv="http://schemas.microsoft.com/visio/2003/core" xmlns:c2007="http://schemas.microsoft.com/office/drawing/2007/8/2/chart" xmlns:c2012="http://schemas.microsoft.com/office/drawing/2012/chart" xmlns:c2014="http://schemas.microsoft.com/office/drawing/2014/chart" xmlns:dia2008="http://schemas.microsoft.com/office/drawing/2008/diagram" xmlns:dia2010="http://schemas.microsoft.com/office/drawing/2010/diagram" xmlns:dm2012="http://schemas.microsoft.com/office/drawing/2012/main" xmlns:w14="http://schemas.microsoft.com/office/word/2010/wordml" xmlns:w16se="http://schemas.microsoft.com/office/word/2015/wordml/symex" xmlns:wps="http://schemas.microsoft.com/office/word/2010/wordprocessingShape" xmlns:wpg="http://schemas.microsoft.com/office/word/2010/wordprocessingGroup" xmlns:wpc="http://schemas.microsoft.com/office/word/2010/wordprocessingCanvas" xmlns:w16cid="http://schemas.microsoft.com/office/word/2016/wordml/cid" xmlns:wp14="http://schemas.microsoft.com/office/word/2010/wordprocessingDrawing" xmlns:wne="http://schemas.microsoft.com/office/word/2006/wordml" xmlns:mc="http://schemas.openxmlformats.org/markup-compatibility/2006" xmlns:wpi="http://schemas.microsoft.com/office/word/2010/wordprocessingInk" xmlns:cs="http://schemas.microsoft.com/office/drawing/2012/chartStyle" xmlns:lms="http://schemas.litera.com/change-pro/word/2019" xmlns:ax="http://schemas.microsoft.com/office/2006/activeX" xmlns:w15="http://schemas.microsoft.com/office/word/2012/wordml" mc:Ignorable="lms w14 w15 w16se w16cid wp14">
  <w15:person w15:author=""/>
</w15:people>
</file>

<file path=word/settings.xml><?xml version="1.0" encoding="utf-8"?>
<w:settings xmlns:mc="http://schemas.openxmlformats.org/markup-compatibility/2006" xmlns:o="urn:schemas-microsoft-com:office:office" xmlns:r="http://purl.oclc.org/ooxml/officeDocument/relationships" xmlns:m="http://purl.oclc.org/ooxml/officeDocument/math" xmlns:v="urn:schemas-microsoft-com:vml" xmlns:w10="urn:schemas-microsoft-com:office:word" xmlns:w="http://purl.oclc.org/ooxml/wordprocessingml/main" xmlns:w14="http://schemas.microsoft.com/office/word/2010/wordml" xmlns:w15="http://schemas.microsoft.com/office/word/2012/wordml" xmlns:sl="http://schemas.openxmlformats.org/schemaLibrary/2006/main" mc:Ignorable="w14 w15">
  <w:zoom w:percent="90%"/>
  <w:removePersonalInformation/>
  <w:removeDateAndTime/>
  <w:hideSpellingErrors/>
  <w:stylePaneFormatFilter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name"/>
  <w:trackRevisions/>
  <w:doNotTrackFormatting/>
  <w:defaultTabStop w:val="68.05pt"/>
  <w:hyphenationZone w:val="21.25pt"/>
  <w:evenAndOddHeaders/>
  <w:characterSpacingControl w:val="doNotCompress"/>
  <w:footnotePr>
    <w:numRestart w:val="eachSect"/>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40D8"/>
    <w:rsid w:val="00000245"/>
    <w:rsid w:val="00000788"/>
    <w:rsid w:val="00000CBB"/>
    <w:rsid w:val="000012C6"/>
    <w:rsid w:val="00001968"/>
    <w:rsid w:val="00001A7C"/>
    <w:rsid w:val="00001F44"/>
    <w:rsid w:val="000023E0"/>
    <w:rsid w:val="00002454"/>
    <w:rsid w:val="000025D7"/>
    <w:rsid w:val="0000280F"/>
    <w:rsid w:val="0000287C"/>
    <w:rsid w:val="00002CB7"/>
    <w:rsid w:val="00002E8F"/>
    <w:rsid w:val="00002FC9"/>
    <w:rsid w:val="00003033"/>
    <w:rsid w:val="00003250"/>
    <w:rsid w:val="00003598"/>
    <w:rsid w:val="00003669"/>
    <w:rsid w:val="00003A5D"/>
    <w:rsid w:val="00003BD0"/>
    <w:rsid w:val="00003DDD"/>
    <w:rsid w:val="00004179"/>
    <w:rsid w:val="0000424A"/>
    <w:rsid w:val="00004277"/>
    <w:rsid w:val="00004361"/>
    <w:rsid w:val="00004534"/>
    <w:rsid w:val="000045B6"/>
    <w:rsid w:val="000049D6"/>
    <w:rsid w:val="00004A6D"/>
    <w:rsid w:val="00004C6B"/>
    <w:rsid w:val="00004EE0"/>
    <w:rsid w:val="000050C2"/>
    <w:rsid w:val="000051BA"/>
    <w:rsid w:val="00005356"/>
    <w:rsid w:val="00005400"/>
    <w:rsid w:val="0000553D"/>
    <w:rsid w:val="000056A1"/>
    <w:rsid w:val="00005A66"/>
    <w:rsid w:val="00005E8E"/>
    <w:rsid w:val="00005F51"/>
    <w:rsid w:val="000060AF"/>
    <w:rsid w:val="000062D9"/>
    <w:rsid w:val="0000634F"/>
    <w:rsid w:val="000063DB"/>
    <w:rsid w:val="000068A5"/>
    <w:rsid w:val="00006A59"/>
    <w:rsid w:val="00006C6C"/>
    <w:rsid w:val="00006C6D"/>
    <w:rsid w:val="00006FF1"/>
    <w:rsid w:val="00007168"/>
    <w:rsid w:val="00007290"/>
    <w:rsid w:val="000073EB"/>
    <w:rsid w:val="00007630"/>
    <w:rsid w:val="00007A5F"/>
    <w:rsid w:val="00007CB7"/>
    <w:rsid w:val="00007D00"/>
    <w:rsid w:val="000100AC"/>
    <w:rsid w:val="000102E5"/>
    <w:rsid w:val="00010482"/>
    <w:rsid w:val="00010907"/>
    <w:rsid w:val="00010B43"/>
    <w:rsid w:val="00010D29"/>
    <w:rsid w:val="00011848"/>
    <w:rsid w:val="000119B9"/>
    <w:rsid w:val="00011BB7"/>
    <w:rsid w:val="00011C48"/>
    <w:rsid w:val="00012075"/>
    <w:rsid w:val="000121ED"/>
    <w:rsid w:val="000124C5"/>
    <w:rsid w:val="000125E5"/>
    <w:rsid w:val="00012BFB"/>
    <w:rsid w:val="00012DF5"/>
    <w:rsid w:val="00012F41"/>
    <w:rsid w:val="00013350"/>
    <w:rsid w:val="00013948"/>
    <w:rsid w:val="00013AEF"/>
    <w:rsid w:val="00013FA4"/>
    <w:rsid w:val="00013FB3"/>
    <w:rsid w:val="00014110"/>
    <w:rsid w:val="00014275"/>
    <w:rsid w:val="0001444A"/>
    <w:rsid w:val="00014682"/>
    <w:rsid w:val="000147B3"/>
    <w:rsid w:val="00014985"/>
    <w:rsid w:val="000153C5"/>
    <w:rsid w:val="0001549F"/>
    <w:rsid w:val="00015689"/>
    <w:rsid w:val="0001580B"/>
    <w:rsid w:val="0001599B"/>
    <w:rsid w:val="0001599E"/>
    <w:rsid w:val="00015D80"/>
    <w:rsid w:val="00015DAB"/>
    <w:rsid w:val="0001609E"/>
    <w:rsid w:val="000161B5"/>
    <w:rsid w:val="00016382"/>
    <w:rsid w:val="0001683D"/>
    <w:rsid w:val="00016BE4"/>
    <w:rsid w:val="00016DCF"/>
    <w:rsid w:val="00016E60"/>
    <w:rsid w:val="00016F43"/>
    <w:rsid w:val="000171E5"/>
    <w:rsid w:val="000173C8"/>
    <w:rsid w:val="0001762C"/>
    <w:rsid w:val="0001771C"/>
    <w:rsid w:val="00017889"/>
    <w:rsid w:val="00017B97"/>
    <w:rsid w:val="00017D93"/>
    <w:rsid w:val="00020374"/>
    <w:rsid w:val="0002060D"/>
    <w:rsid w:val="000206D6"/>
    <w:rsid w:val="0002074A"/>
    <w:rsid w:val="000207D9"/>
    <w:rsid w:val="00020967"/>
    <w:rsid w:val="00020BB3"/>
    <w:rsid w:val="00020BEA"/>
    <w:rsid w:val="00020ECE"/>
    <w:rsid w:val="00021329"/>
    <w:rsid w:val="00021507"/>
    <w:rsid w:val="0002151F"/>
    <w:rsid w:val="00021794"/>
    <w:rsid w:val="000217AF"/>
    <w:rsid w:val="000217F0"/>
    <w:rsid w:val="0002193C"/>
    <w:rsid w:val="00021A82"/>
    <w:rsid w:val="00021AF2"/>
    <w:rsid w:val="00021ECD"/>
    <w:rsid w:val="00021F37"/>
    <w:rsid w:val="00021F46"/>
    <w:rsid w:val="000221E3"/>
    <w:rsid w:val="000223C7"/>
    <w:rsid w:val="000225E4"/>
    <w:rsid w:val="00022746"/>
    <w:rsid w:val="0002275D"/>
    <w:rsid w:val="00022785"/>
    <w:rsid w:val="00022B40"/>
    <w:rsid w:val="00022B7E"/>
    <w:rsid w:val="00022DF6"/>
    <w:rsid w:val="000231C3"/>
    <w:rsid w:val="000233BB"/>
    <w:rsid w:val="0002354A"/>
    <w:rsid w:val="0002386F"/>
    <w:rsid w:val="00023BFE"/>
    <w:rsid w:val="00023D1E"/>
    <w:rsid w:val="00023D4D"/>
    <w:rsid w:val="00023F2A"/>
    <w:rsid w:val="000243B0"/>
    <w:rsid w:val="000246EC"/>
    <w:rsid w:val="0002473F"/>
    <w:rsid w:val="00024951"/>
    <w:rsid w:val="00024CD1"/>
    <w:rsid w:val="00024EA5"/>
    <w:rsid w:val="000256F4"/>
    <w:rsid w:val="00025838"/>
    <w:rsid w:val="00025B9D"/>
    <w:rsid w:val="00025D66"/>
    <w:rsid w:val="00025E67"/>
    <w:rsid w:val="000269D1"/>
    <w:rsid w:val="0002703E"/>
    <w:rsid w:val="000270A8"/>
    <w:rsid w:val="000276CE"/>
    <w:rsid w:val="000277E8"/>
    <w:rsid w:val="0002785F"/>
    <w:rsid w:val="0002788C"/>
    <w:rsid w:val="000278D0"/>
    <w:rsid w:val="0002798D"/>
    <w:rsid w:val="0003013F"/>
    <w:rsid w:val="000301E0"/>
    <w:rsid w:val="0003043B"/>
    <w:rsid w:val="000304E7"/>
    <w:rsid w:val="0003059E"/>
    <w:rsid w:val="00030630"/>
    <w:rsid w:val="000309F1"/>
    <w:rsid w:val="00030CE9"/>
    <w:rsid w:val="00030D0E"/>
    <w:rsid w:val="0003134D"/>
    <w:rsid w:val="0003139E"/>
    <w:rsid w:val="00031A4B"/>
    <w:rsid w:val="00032250"/>
    <w:rsid w:val="0003284F"/>
    <w:rsid w:val="0003291C"/>
    <w:rsid w:val="0003293B"/>
    <w:rsid w:val="00032999"/>
    <w:rsid w:val="00032AB7"/>
    <w:rsid w:val="00032BA0"/>
    <w:rsid w:val="00032D3E"/>
    <w:rsid w:val="00032D54"/>
    <w:rsid w:val="00032DA2"/>
    <w:rsid w:val="00032E38"/>
    <w:rsid w:val="00033138"/>
    <w:rsid w:val="00033154"/>
    <w:rsid w:val="00033368"/>
    <w:rsid w:val="000335F5"/>
    <w:rsid w:val="0003361A"/>
    <w:rsid w:val="000336DA"/>
    <w:rsid w:val="00033BC3"/>
    <w:rsid w:val="00033CFF"/>
    <w:rsid w:val="00033E58"/>
    <w:rsid w:val="0003404A"/>
    <w:rsid w:val="00034114"/>
    <w:rsid w:val="00034237"/>
    <w:rsid w:val="00034522"/>
    <w:rsid w:val="00034AEF"/>
    <w:rsid w:val="00034C66"/>
    <w:rsid w:val="00034D82"/>
    <w:rsid w:val="00034EB2"/>
    <w:rsid w:val="00034FB3"/>
    <w:rsid w:val="00034FBE"/>
    <w:rsid w:val="0003517A"/>
    <w:rsid w:val="0003519D"/>
    <w:rsid w:val="00035277"/>
    <w:rsid w:val="0003527F"/>
    <w:rsid w:val="000357D6"/>
    <w:rsid w:val="00035ADF"/>
    <w:rsid w:val="00035D2C"/>
    <w:rsid w:val="00035D83"/>
    <w:rsid w:val="00035E64"/>
    <w:rsid w:val="0003612A"/>
    <w:rsid w:val="000364C6"/>
    <w:rsid w:val="0003681C"/>
    <w:rsid w:val="00036F5A"/>
    <w:rsid w:val="00036F7E"/>
    <w:rsid w:val="0003706B"/>
    <w:rsid w:val="00037236"/>
    <w:rsid w:val="00037421"/>
    <w:rsid w:val="00037A75"/>
    <w:rsid w:val="00037B79"/>
    <w:rsid w:val="00037D9B"/>
    <w:rsid w:val="00037EA4"/>
    <w:rsid w:val="00037EE2"/>
    <w:rsid w:val="00037EE6"/>
    <w:rsid w:val="00037FDF"/>
    <w:rsid w:val="0004044A"/>
    <w:rsid w:val="00040526"/>
    <w:rsid w:val="000407C2"/>
    <w:rsid w:val="00040912"/>
    <w:rsid w:val="00040A53"/>
    <w:rsid w:val="00040A5E"/>
    <w:rsid w:val="00040ADE"/>
    <w:rsid w:val="00040CB9"/>
    <w:rsid w:val="00040E30"/>
    <w:rsid w:val="0004117E"/>
    <w:rsid w:val="0004137D"/>
    <w:rsid w:val="000413C5"/>
    <w:rsid w:val="00041497"/>
    <w:rsid w:val="00041558"/>
    <w:rsid w:val="00041B34"/>
    <w:rsid w:val="00041D2C"/>
    <w:rsid w:val="00041E5D"/>
    <w:rsid w:val="00041E68"/>
    <w:rsid w:val="00042256"/>
    <w:rsid w:val="00042703"/>
    <w:rsid w:val="0004299F"/>
    <w:rsid w:val="00042E84"/>
    <w:rsid w:val="00043195"/>
    <w:rsid w:val="00043314"/>
    <w:rsid w:val="000438A0"/>
    <w:rsid w:val="00043935"/>
    <w:rsid w:val="00043A2B"/>
    <w:rsid w:val="00043B94"/>
    <w:rsid w:val="00043DD8"/>
    <w:rsid w:val="00044002"/>
    <w:rsid w:val="00044352"/>
    <w:rsid w:val="00044372"/>
    <w:rsid w:val="0004469B"/>
    <w:rsid w:val="00044B75"/>
    <w:rsid w:val="00044C21"/>
    <w:rsid w:val="00044E8B"/>
    <w:rsid w:val="00044EEB"/>
    <w:rsid w:val="000453F6"/>
    <w:rsid w:val="00045509"/>
    <w:rsid w:val="000459B2"/>
    <w:rsid w:val="00045B6C"/>
    <w:rsid w:val="00045B96"/>
    <w:rsid w:val="00045FF8"/>
    <w:rsid w:val="0004638E"/>
    <w:rsid w:val="000465F9"/>
    <w:rsid w:val="00046F80"/>
    <w:rsid w:val="00047689"/>
    <w:rsid w:val="00047845"/>
    <w:rsid w:val="00047902"/>
    <w:rsid w:val="0005000B"/>
    <w:rsid w:val="00050054"/>
    <w:rsid w:val="0005019C"/>
    <w:rsid w:val="000504BC"/>
    <w:rsid w:val="0005051A"/>
    <w:rsid w:val="00050582"/>
    <w:rsid w:val="0005068F"/>
    <w:rsid w:val="00050E65"/>
    <w:rsid w:val="000511F0"/>
    <w:rsid w:val="00051282"/>
    <w:rsid w:val="000513EE"/>
    <w:rsid w:val="000514AA"/>
    <w:rsid w:val="00051611"/>
    <w:rsid w:val="000517AD"/>
    <w:rsid w:val="00051882"/>
    <w:rsid w:val="0005197D"/>
    <w:rsid w:val="00051C57"/>
    <w:rsid w:val="0005204A"/>
    <w:rsid w:val="00052614"/>
    <w:rsid w:val="00052887"/>
    <w:rsid w:val="000529EF"/>
    <w:rsid w:val="00052B7C"/>
    <w:rsid w:val="00052DF0"/>
    <w:rsid w:val="00053073"/>
    <w:rsid w:val="00053327"/>
    <w:rsid w:val="000534F2"/>
    <w:rsid w:val="00053551"/>
    <w:rsid w:val="00053A37"/>
    <w:rsid w:val="00053C73"/>
    <w:rsid w:val="00053DDA"/>
    <w:rsid w:val="00053EDB"/>
    <w:rsid w:val="00053EDF"/>
    <w:rsid w:val="00054036"/>
    <w:rsid w:val="00054462"/>
    <w:rsid w:val="00054901"/>
    <w:rsid w:val="00054AC5"/>
    <w:rsid w:val="00054C06"/>
    <w:rsid w:val="00054DFE"/>
    <w:rsid w:val="00055377"/>
    <w:rsid w:val="000555DA"/>
    <w:rsid w:val="000557DF"/>
    <w:rsid w:val="00055821"/>
    <w:rsid w:val="000559AE"/>
    <w:rsid w:val="00055BA5"/>
    <w:rsid w:val="00055FA5"/>
    <w:rsid w:val="000563C2"/>
    <w:rsid w:val="00056ACD"/>
    <w:rsid w:val="00056D51"/>
    <w:rsid w:val="00056E1C"/>
    <w:rsid w:val="00056F68"/>
    <w:rsid w:val="00057393"/>
    <w:rsid w:val="0005750E"/>
    <w:rsid w:val="00057530"/>
    <w:rsid w:val="00057692"/>
    <w:rsid w:val="00057B09"/>
    <w:rsid w:val="000602D4"/>
    <w:rsid w:val="00060465"/>
    <w:rsid w:val="000607CF"/>
    <w:rsid w:val="00060E5C"/>
    <w:rsid w:val="00060EE1"/>
    <w:rsid w:val="00060FB8"/>
    <w:rsid w:val="000611F8"/>
    <w:rsid w:val="00061277"/>
    <w:rsid w:val="000612DC"/>
    <w:rsid w:val="000613E8"/>
    <w:rsid w:val="000618C5"/>
    <w:rsid w:val="00061C2E"/>
    <w:rsid w:val="00061C69"/>
    <w:rsid w:val="00061F19"/>
    <w:rsid w:val="00061F2C"/>
    <w:rsid w:val="00062167"/>
    <w:rsid w:val="00062276"/>
    <w:rsid w:val="0006230B"/>
    <w:rsid w:val="00062397"/>
    <w:rsid w:val="00062407"/>
    <w:rsid w:val="0006267D"/>
    <w:rsid w:val="000627BC"/>
    <w:rsid w:val="0006341D"/>
    <w:rsid w:val="000636C2"/>
    <w:rsid w:val="00063887"/>
    <w:rsid w:val="000639C3"/>
    <w:rsid w:val="00063C15"/>
    <w:rsid w:val="00063C1A"/>
    <w:rsid w:val="00064249"/>
    <w:rsid w:val="0006439A"/>
    <w:rsid w:val="00064430"/>
    <w:rsid w:val="00064472"/>
    <w:rsid w:val="00064620"/>
    <w:rsid w:val="000646D6"/>
    <w:rsid w:val="00064857"/>
    <w:rsid w:val="000649A5"/>
    <w:rsid w:val="00064AB1"/>
    <w:rsid w:val="00064E9A"/>
    <w:rsid w:val="00065395"/>
    <w:rsid w:val="0006549E"/>
    <w:rsid w:val="00065736"/>
    <w:rsid w:val="00065765"/>
    <w:rsid w:val="00065C9A"/>
    <w:rsid w:val="00065DE5"/>
    <w:rsid w:val="00065E8A"/>
    <w:rsid w:val="0006641D"/>
    <w:rsid w:val="00066698"/>
    <w:rsid w:val="000668CC"/>
    <w:rsid w:val="00066A18"/>
    <w:rsid w:val="000670E4"/>
    <w:rsid w:val="00067211"/>
    <w:rsid w:val="00067243"/>
    <w:rsid w:val="000675B4"/>
    <w:rsid w:val="00067680"/>
    <w:rsid w:val="00067B73"/>
    <w:rsid w:val="00067B9F"/>
    <w:rsid w:val="00067BF6"/>
    <w:rsid w:val="00067E89"/>
    <w:rsid w:val="0007087B"/>
    <w:rsid w:val="00070E3B"/>
    <w:rsid w:val="0007134C"/>
    <w:rsid w:val="000713A2"/>
    <w:rsid w:val="00071630"/>
    <w:rsid w:val="00071D14"/>
    <w:rsid w:val="00071F60"/>
    <w:rsid w:val="000720C7"/>
    <w:rsid w:val="000722B6"/>
    <w:rsid w:val="0007257A"/>
    <w:rsid w:val="000726B9"/>
    <w:rsid w:val="00072AAF"/>
    <w:rsid w:val="00072AB6"/>
    <w:rsid w:val="00072DEC"/>
    <w:rsid w:val="0007371A"/>
    <w:rsid w:val="0007374A"/>
    <w:rsid w:val="000739E2"/>
    <w:rsid w:val="00073F72"/>
    <w:rsid w:val="000744A7"/>
    <w:rsid w:val="000745AC"/>
    <w:rsid w:val="0007475A"/>
    <w:rsid w:val="000747BB"/>
    <w:rsid w:val="000748DD"/>
    <w:rsid w:val="00074A35"/>
    <w:rsid w:val="00074AC3"/>
    <w:rsid w:val="00074B9D"/>
    <w:rsid w:val="00074CF4"/>
    <w:rsid w:val="00074F94"/>
    <w:rsid w:val="00075457"/>
    <w:rsid w:val="0007561C"/>
    <w:rsid w:val="00075825"/>
    <w:rsid w:val="000758CE"/>
    <w:rsid w:val="000759F6"/>
    <w:rsid w:val="00075CDD"/>
    <w:rsid w:val="000766A6"/>
    <w:rsid w:val="00076A01"/>
    <w:rsid w:val="00076A05"/>
    <w:rsid w:val="00076E5F"/>
    <w:rsid w:val="000777A7"/>
    <w:rsid w:val="00077865"/>
    <w:rsid w:val="00077954"/>
    <w:rsid w:val="00077C76"/>
    <w:rsid w:val="000807DD"/>
    <w:rsid w:val="000811C1"/>
    <w:rsid w:val="0008127E"/>
    <w:rsid w:val="000812AE"/>
    <w:rsid w:val="000812CF"/>
    <w:rsid w:val="000813A7"/>
    <w:rsid w:val="00081569"/>
    <w:rsid w:val="00081614"/>
    <w:rsid w:val="000817C4"/>
    <w:rsid w:val="00081BC9"/>
    <w:rsid w:val="00081C4F"/>
    <w:rsid w:val="00081F54"/>
    <w:rsid w:val="00082213"/>
    <w:rsid w:val="000822FE"/>
    <w:rsid w:val="00082483"/>
    <w:rsid w:val="000824CA"/>
    <w:rsid w:val="00082A2E"/>
    <w:rsid w:val="00082BEE"/>
    <w:rsid w:val="00082C07"/>
    <w:rsid w:val="00082C1F"/>
    <w:rsid w:val="00082C5E"/>
    <w:rsid w:val="00082EF5"/>
    <w:rsid w:val="0008304A"/>
    <w:rsid w:val="00083194"/>
    <w:rsid w:val="00083224"/>
    <w:rsid w:val="0008367C"/>
    <w:rsid w:val="000836D3"/>
    <w:rsid w:val="00083A81"/>
    <w:rsid w:val="00083D9D"/>
    <w:rsid w:val="00083DF1"/>
    <w:rsid w:val="000848EF"/>
    <w:rsid w:val="00084C25"/>
    <w:rsid w:val="00084C27"/>
    <w:rsid w:val="00084D56"/>
    <w:rsid w:val="00084FBB"/>
    <w:rsid w:val="00085204"/>
    <w:rsid w:val="000854E9"/>
    <w:rsid w:val="00085527"/>
    <w:rsid w:val="00085577"/>
    <w:rsid w:val="000856CD"/>
    <w:rsid w:val="00085924"/>
    <w:rsid w:val="00085CA6"/>
    <w:rsid w:val="00085E48"/>
    <w:rsid w:val="000864EC"/>
    <w:rsid w:val="00086557"/>
    <w:rsid w:val="00086869"/>
    <w:rsid w:val="000868A6"/>
    <w:rsid w:val="00087183"/>
    <w:rsid w:val="0008730B"/>
    <w:rsid w:val="000875A9"/>
    <w:rsid w:val="0008774B"/>
    <w:rsid w:val="00087755"/>
    <w:rsid w:val="00087855"/>
    <w:rsid w:val="00087A66"/>
    <w:rsid w:val="00087F2A"/>
    <w:rsid w:val="0009023C"/>
    <w:rsid w:val="0009028D"/>
    <w:rsid w:val="00090327"/>
    <w:rsid w:val="000903E7"/>
    <w:rsid w:val="0009068A"/>
    <w:rsid w:val="00090791"/>
    <w:rsid w:val="00090939"/>
    <w:rsid w:val="00090D77"/>
    <w:rsid w:val="00090DF5"/>
    <w:rsid w:val="00091217"/>
    <w:rsid w:val="00091278"/>
    <w:rsid w:val="000915E6"/>
    <w:rsid w:val="000918BE"/>
    <w:rsid w:val="000919EE"/>
    <w:rsid w:val="00091B3E"/>
    <w:rsid w:val="00091E3C"/>
    <w:rsid w:val="00091FF8"/>
    <w:rsid w:val="000925C4"/>
    <w:rsid w:val="00092656"/>
    <w:rsid w:val="000927C6"/>
    <w:rsid w:val="00092FFA"/>
    <w:rsid w:val="000931D9"/>
    <w:rsid w:val="0009329A"/>
    <w:rsid w:val="000935D2"/>
    <w:rsid w:val="00093D46"/>
    <w:rsid w:val="00093DC5"/>
    <w:rsid w:val="00093E35"/>
    <w:rsid w:val="00093E37"/>
    <w:rsid w:val="00093FEE"/>
    <w:rsid w:val="00094237"/>
    <w:rsid w:val="00094394"/>
    <w:rsid w:val="000943D0"/>
    <w:rsid w:val="000945E5"/>
    <w:rsid w:val="00094A0B"/>
    <w:rsid w:val="00094C4F"/>
    <w:rsid w:val="00094C92"/>
    <w:rsid w:val="00094CBA"/>
    <w:rsid w:val="00094E9A"/>
    <w:rsid w:val="00094EB4"/>
    <w:rsid w:val="00094FDA"/>
    <w:rsid w:val="00095532"/>
    <w:rsid w:val="00095629"/>
    <w:rsid w:val="0009591B"/>
    <w:rsid w:val="00095A2E"/>
    <w:rsid w:val="00095C71"/>
    <w:rsid w:val="0009613F"/>
    <w:rsid w:val="000965A0"/>
    <w:rsid w:val="000966E4"/>
    <w:rsid w:val="000966EE"/>
    <w:rsid w:val="00096871"/>
    <w:rsid w:val="0009694C"/>
    <w:rsid w:val="000969E3"/>
    <w:rsid w:val="00096A78"/>
    <w:rsid w:val="00096AAB"/>
    <w:rsid w:val="00096FCF"/>
    <w:rsid w:val="0009707F"/>
    <w:rsid w:val="00097081"/>
    <w:rsid w:val="00097306"/>
    <w:rsid w:val="00097440"/>
    <w:rsid w:val="00097484"/>
    <w:rsid w:val="00097495"/>
    <w:rsid w:val="000974AB"/>
    <w:rsid w:val="00097639"/>
    <w:rsid w:val="0009764F"/>
    <w:rsid w:val="0009790A"/>
    <w:rsid w:val="00097C7C"/>
    <w:rsid w:val="00097E15"/>
    <w:rsid w:val="00097EB1"/>
    <w:rsid w:val="000A045C"/>
    <w:rsid w:val="000A078C"/>
    <w:rsid w:val="000A09D3"/>
    <w:rsid w:val="000A0B2A"/>
    <w:rsid w:val="000A0D37"/>
    <w:rsid w:val="000A0DA7"/>
    <w:rsid w:val="000A0DB7"/>
    <w:rsid w:val="000A0E5F"/>
    <w:rsid w:val="000A123C"/>
    <w:rsid w:val="000A1269"/>
    <w:rsid w:val="000A1774"/>
    <w:rsid w:val="000A183D"/>
    <w:rsid w:val="000A1913"/>
    <w:rsid w:val="000A1B73"/>
    <w:rsid w:val="000A1DE7"/>
    <w:rsid w:val="000A2087"/>
    <w:rsid w:val="000A21FC"/>
    <w:rsid w:val="000A2408"/>
    <w:rsid w:val="000A243D"/>
    <w:rsid w:val="000A26F9"/>
    <w:rsid w:val="000A2C44"/>
    <w:rsid w:val="000A2D03"/>
    <w:rsid w:val="000A3471"/>
    <w:rsid w:val="000A34F1"/>
    <w:rsid w:val="000A37AB"/>
    <w:rsid w:val="000A3862"/>
    <w:rsid w:val="000A3D82"/>
    <w:rsid w:val="000A4197"/>
    <w:rsid w:val="000A429D"/>
    <w:rsid w:val="000A44BB"/>
    <w:rsid w:val="000A4D94"/>
    <w:rsid w:val="000A4F15"/>
    <w:rsid w:val="000A4F7C"/>
    <w:rsid w:val="000A519A"/>
    <w:rsid w:val="000A54DC"/>
    <w:rsid w:val="000A5518"/>
    <w:rsid w:val="000A5526"/>
    <w:rsid w:val="000A59D4"/>
    <w:rsid w:val="000A5CF4"/>
    <w:rsid w:val="000A5F2F"/>
    <w:rsid w:val="000A6096"/>
    <w:rsid w:val="000A6345"/>
    <w:rsid w:val="000A66D7"/>
    <w:rsid w:val="000A6C89"/>
    <w:rsid w:val="000A6DBC"/>
    <w:rsid w:val="000A6E23"/>
    <w:rsid w:val="000A7018"/>
    <w:rsid w:val="000A71DB"/>
    <w:rsid w:val="000A7661"/>
    <w:rsid w:val="000A76F2"/>
    <w:rsid w:val="000A7AF5"/>
    <w:rsid w:val="000A7B5B"/>
    <w:rsid w:val="000A7F1F"/>
    <w:rsid w:val="000B0087"/>
    <w:rsid w:val="000B00D6"/>
    <w:rsid w:val="000B0469"/>
    <w:rsid w:val="000B0902"/>
    <w:rsid w:val="000B14A5"/>
    <w:rsid w:val="000B1552"/>
    <w:rsid w:val="000B16BE"/>
    <w:rsid w:val="000B18BD"/>
    <w:rsid w:val="000B19C4"/>
    <w:rsid w:val="000B19CE"/>
    <w:rsid w:val="000B1B13"/>
    <w:rsid w:val="000B1B6D"/>
    <w:rsid w:val="000B207C"/>
    <w:rsid w:val="000B213E"/>
    <w:rsid w:val="000B2203"/>
    <w:rsid w:val="000B28A9"/>
    <w:rsid w:val="000B2D53"/>
    <w:rsid w:val="000B33D2"/>
    <w:rsid w:val="000B3523"/>
    <w:rsid w:val="000B38A4"/>
    <w:rsid w:val="000B38FB"/>
    <w:rsid w:val="000B3A8C"/>
    <w:rsid w:val="000B3B97"/>
    <w:rsid w:val="000B3CD5"/>
    <w:rsid w:val="000B4007"/>
    <w:rsid w:val="000B4100"/>
    <w:rsid w:val="000B43E4"/>
    <w:rsid w:val="000B4621"/>
    <w:rsid w:val="000B4793"/>
    <w:rsid w:val="000B4CD5"/>
    <w:rsid w:val="000B4E5A"/>
    <w:rsid w:val="000B55EA"/>
    <w:rsid w:val="000B56B4"/>
    <w:rsid w:val="000B58DF"/>
    <w:rsid w:val="000B5AAD"/>
    <w:rsid w:val="000B5B79"/>
    <w:rsid w:val="000B5BDE"/>
    <w:rsid w:val="000B5D4E"/>
    <w:rsid w:val="000B5F27"/>
    <w:rsid w:val="000B5F9A"/>
    <w:rsid w:val="000B60B5"/>
    <w:rsid w:val="000B6789"/>
    <w:rsid w:val="000B6E07"/>
    <w:rsid w:val="000B7576"/>
    <w:rsid w:val="000B76E4"/>
    <w:rsid w:val="000B7716"/>
    <w:rsid w:val="000B7747"/>
    <w:rsid w:val="000B7C81"/>
    <w:rsid w:val="000B7C8D"/>
    <w:rsid w:val="000C0313"/>
    <w:rsid w:val="000C05CC"/>
    <w:rsid w:val="000C07D7"/>
    <w:rsid w:val="000C089C"/>
    <w:rsid w:val="000C08F0"/>
    <w:rsid w:val="000C0C69"/>
    <w:rsid w:val="000C0CF6"/>
    <w:rsid w:val="000C0E9F"/>
    <w:rsid w:val="000C127C"/>
    <w:rsid w:val="000C13A3"/>
    <w:rsid w:val="000C1ABA"/>
    <w:rsid w:val="000C1BC8"/>
    <w:rsid w:val="000C1F72"/>
    <w:rsid w:val="000C20E7"/>
    <w:rsid w:val="000C2942"/>
    <w:rsid w:val="000C2A63"/>
    <w:rsid w:val="000C2C25"/>
    <w:rsid w:val="000C31AF"/>
    <w:rsid w:val="000C32ED"/>
    <w:rsid w:val="000C3963"/>
    <w:rsid w:val="000C3A58"/>
    <w:rsid w:val="000C3DA4"/>
    <w:rsid w:val="000C3E6B"/>
    <w:rsid w:val="000C4215"/>
    <w:rsid w:val="000C421A"/>
    <w:rsid w:val="000C444F"/>
    <w:rsid w:val="000C45AD"/>
    <w:rsid w:val="000C47EF"/>
    <w:rsid w:val="000C4B8E"/>
    <w:rsid w:val="000C4C36"/>
    <w:rsid w:val="000C4DB8"/>
    <w:rsid w:val="000C51FA"/>
    <w:rsid w:val="000C5389"/>
    <w:rsid w:val="000C5495"/>
    <w:rsid w:val="000C5A01"/>
    <w:rsid w:val="000C5B8E"/>
    <w:rsid w:val="000C5F00"/>
    <w:rsid w:val="000C60A6"/>
    <w:rsid w:val="000C615E"/>
    <w:rsid w:val="000C61BE"/>
    <w:rsid w:val="000C66A3"/>
    <w:rsid w:val="000C673C"/>
    <w:rsid w:val="000C68F6"/>
    <w:rsid w:val="000C697A"/>
    <w:rsid w:val="000C6CAF"/>
    <w:rsid w:val="000C6D3E"/>
    <w:rsid w:val="000C6F41"/>
    <w:rsid w:val="000C7025"/>
    <w:rsid w:val="000C70A7"/>
    <w:rsid w:val="000C721E"/>
    <w:rsid w:val="000C72D1"/>
    <w:rsid w:val="000C75FE"/>
    <w:rsid w:val="000C793B"/>
    <w:rsid w:val="000C79C4"/>
    <w:rsid w:val="000C7A96"/>
    <w:rsid w:val="000C7B90"/>
    <w:rsid w:val="000C7F80"/>
    <w:rsid w:val="000D010C"/>
    <w:rsid w:val="000D0201"/>
    <w:rsid w:val="000D0390"/>
    <w:rsid w:val="000D0507"/>
    <w:rsid w:val="000D0620"/>
    <w:rsid w:val="000D08D4"/>
    <w:rsid w:val="000D0B8B"/>
    <w:rsid w:val="000D0D5A"/>
    <w:rsid w:val="000D0E7F"/>
    <w:rsid w:val="000D10BD"/>
    <w:rsid w:val="000D10FA"/>
    <w:rsid w:val="000D12EF"/>
    <w:rsid w:val="000D15CD"/>
    <w:rsid w:val="000D162E"/>
    <w:rsid w:val="000D1B96"/>
    <w:rsid w:val="000D204D"/>
    <w:rsid w:val="000D23FD"/>
    <w:rsid w:val="000D2AA8"/>
    <w:rsid w:val="000D2C64"/>
    <w:rsid w:val="000D2CC4"/>
    <w:rsid w:val="000D2EA7"/>
    <w:rsid w:val="000D2ED0"/>
    <w:rsid w:val="000D3121"/>
    <w:rsid w:val="000D31D0"/>
    <w:rsid w:val="000D3204"/>
    <w:rsid w:val="000D3301"/>
    <w:rsid w:val="000D33F6"/>
    <w:rsid w:val="000D3975"/>
    <w:rsid w:val="000D3AE3"/>
    <w:rsid w:val="000D3E72"/>
    <w:rsid w:val="000D3F3B"/>
    <w:rsid w:val="000D41AA"/>
    <w:rsid w:val="000D4694"/>
    <w:rsid w:val="000D4702"/>
    <w:rsid w:val="000D483F"/>
    <w:rsid w:val="000D4B23"/>
    <w:rsid w:val="000D5352"/>
    <w:rsid w:val="000D5408"/>
    <w:rsid w:val="000D5733"/>
    <w:rsid w:val="000D5842"/>
    <w:rsid w:val="000D595E"/>
    <w:rsid w:val="000D5D68"/>
    <w:rsid w:val="000D5E22"/>
    <w:rsid w:val="000D5EE7"/>
    <w:rsid w:val="000D6118"/>
    <w:rsid w:val="000D6292"/>
    <w:rsid w:val="000D66EC"/>
    <w:rsid w:val="000D695A"/>
    <w:rsid w:val="000D69B8"/>
    <w:rsid w:val="000D6CA8"/>
    <w:rsid w:val="000D6D77"/>
    <w:rsid w:val="000D6F9D"/>
    <w:rsid w:val="000D7220"/>
    <w:rsid w:val="000D724D"/>
    <w:rsid w:val="000D7324"/>
    <w:rsid w:val="000D759C"/>
    <w:rsid w:val="000D7C0C"/>
    <w:rsid w:val="000D7D24"/>
    <w:rsid w:val="000D7EAE"/>
    <w:rsid w:val="000D7FC9"/>
    <w:rsid w:val="000E04B4"/>
    <w:rsid w:val="000E068C"/>
    <w:rsid w:val="000E0711"/>
    <w:rsid w:val="000E079B"/>
    <w:rsid w:val="000E0B1C"/>
    <w:rsid w:val="000E0D60"/>
    <w:rsid w:val="000E0EDF"/>
    <w:rsid w:val="000E1001"/>
    <w:rsid w:val="000E106A"/>
    <w:rsid w:val="000E1828"/>
    <w:rsid w:val="000E1AEE"/>
    <w:rsid w:val="000E1B09"/>
    <w:rsid w:val="000E1BB6"/>
    <w:rsid w:val="000E1C22"/>
    <w:rsid w:val="000E1D8C"/>
    <w:rsid w:val="000E217D"/>
    <w:rsid w:val="000E23E9"/>
    <w:rsid w:val="000E23FC"/>
    <w:rsid w:val="000E2588"/>
    <w:rsid w:val="000E2C52"/>
    <w:rsid w:val="000E2F72"/>
    <w:rsid w:val="000E30FE"/>
    <w:rsid w:val="000E3193"/>
    <w:rsid w:val="000E323F"/>
    <w:rsid w:val="000E34BD"/>
    <w:rsid w:val="000E3ACE"/>
    <w:rsid w:val="000E3DEA"/>
    <w:rsid w:val="000E3E15"/>
    <w:rsid w:val="000E4036"/>
    <w:rsid w:val="000E4101"/>
    <w:rsid w:val="000E460C"/>
    <w:rsid w:val="000E46AC"/>
    <w:rsid w:val="000E4B5B"/>
    <w:rsid w:val="000E4D52"/>
    <w:rsid w:val="000E4F1B"/>
    <w:rsid w:val="000E50EF"/>
    <w:rsid w:val="000E5743"/>
    <w:rsid w:val="000E5A66"/>
    <w:rsid w:val="000E5F0D"/>
    <w:rsid w:val="000E61FB"/>
    <w:rsid w:val="000E6222"/>
    <w:rsid w:val="000E6310"/>
    <w:rsid w:val="000E645D"/>
    <w:rsid w:val="000E65FD"/>
    <w:rsid w:val="000E6719"/>
    <w:rsid w:val="000E6765"/>
    <w:rsid w:val="000E6882"/>
    <w:rsid w:val="000E697D"/>
    <w:rsid w:val="000E6B31"/>
    <w:rsid w:val="000E6DC3"/>
    <w:rsid w:val="000E70E2"/>
    <w:rsid w:val="000E72A7"/>
    <w:rsid w:val="000E72C7"/>
    <w:rsid w:val="000E73E8"/>
    <w:rsid w:val="000E788E"/>
    <w:rsid w:val="000E797F"/>
    <w:rsid w:val="000E7C1D"/>
    <w:rsid w:val="000E7FE4"/>
    <w:rsid w:val="000F0233"/>
    <w:rsid w:val="000F02B8"/>
    <w:rsid w:val="000F0373"/>
    <w:rsid w:val="000F056C"/>
    <w:rsid w:val="000F0D66"/>
    <w:rsid w:val="000F1301"/>
    <w:rsid w:val="000F154F"/>
    <w:rsid w:val="000F16EA"/>
    <w:rsid w:val="000F17A5"/>
    <w:rsid w:val="000F1877"/>
    <w:rsid w:val="000F19D4"/>
    <w:rsid w:val="000F1DE5"/>
    <w:rsid w:val="000F1EE4"/>
    <w:rsid w:val="000F212A"/>
    <w:rsid w:val="000F2391"/>
    <w:rsid w:val="000F2732"/>
    <w:rsid w:val="000F27C0"/>
    <w:rsid w:val="000F2865"/>
    <w:rsid w:val="000F2BE6"/>
    <w:rsid w:val="000F33FA"/>
    <w:rsid w:val="000F3884"/>
    <w:rsid w:val="000F3FC2"/>
    <w:rsid w:val="000F40E8"/>
    <w:rsid w:val="000F4486"/>
    <w:rsid w:val="000F4727"/>
    <w:rsid w:val="000F472E"/>
    <w:rsid w:val="000F4B41"/>
    <w:rsid w:val="000F4BDD"/>
    <w:rsid w:val="000F4C08"/>
    <w:rsid w:val="000F4C36"/>
    <w:rsid w:val="000F4CCF"/>
    <w:rsid w:val="000F4CD1"/>
    <w:rsid w:val="000F4D1B"/>
    <w:rsid w:val="000F4EE7"/>
    <w:rsid w:val="000F50BE"/>
    <w:rsid w:val="000F5120"/>
    <w:rsid w:val="000F518D"/>
    <w:rsid w:val="000F529B"/>
    <w:rsid w:val="000F5374"/>
    <w:rsid w:val="000F5CC7"/>
    <w:rsid w:val="000F6016"/>
    <w:rsid w:val="000F631C"/>
    <w:rsid w:val="000F654F"/>
    <w:rsid w:val="000F65FE"/>
    <w:rsid w:val="000F6823"/>
    <w:rsid w:val="000F6838"/>
    <w:rsid w:val="000F68E8"/>
    <w:rsid w:val="000F6D83"/>
    <w:rsid w:val="000F736D"/>
    <w:rsid w:val="000F7434"/>
    <w:rsid w:val="000F7529"/>
    <w:rsid w:val="000F75D9"/>
    <w:rsid w:val="000F76EE"/>
    <w:rsid w:val="000F7718"/>
    <w:rsid w:val="000F7888"/>
    <w:rsid w:val="000F7D19"/>
    <w:rsid w:val="000F7D4E"/>
    <w:rsid w:val="000F7D88"/>
    <w:rsid w:val="000F7E34"/>
    <w:rsid w:val="000F7E45"/>
    <w:rsid w:val="000F7F0B"/>
    <w:rsid w:val="000F7F56"/>
    <w:rsid w:val="00100196"/>
    <w:rsid w:val="00100365"/>
    <w:rsid w:val="00100428"/>
    <w:rsid w:val="0010074F"/>
    <w:rsid w:val="00100854"/>
    <w:rsid w:val="00100E2F"/>
    <w:rsid w:val="00101103"/>
    <w:rsid w:val="00101117"/>
    <w:rsid w:val="00101232"/>
    <w:rsid w:val="00101A0E"/>
    <w:rsid w:val="00101AA8"/>
    <w:rsid w:val="00101C63"/>
    <w:rsid w:val="00101F3E"/>
    <w:rsid w:val="001022DA"/>
    <w:rsid w:val="00102449"/>
    <w:rsid w:val="00102A6C"/>
    <w:rsid w:val="00102F8F"/>
    <w:rsid w:val="00102FF5"/>
    <w:rsid w:val="001030B1"/>
    <w:rsid w:val="00103283"/>
    <w:rsid w:val="00103354"/>
    <w:rsid w:val="001035A0"/>
    <w:rsid w:val="00103FE0"/>
    <w:rsid w:val="001040CD"/>
    <w:rsid w:val="001043C9"/>
    <w:rsid w:val="001044AE"/>
    <w:rsid w:val="0010455E"/>
    <w:rsid w:val="00104662"/>
    <w:rsid w:val="001046D0"/>
    <w:rsid w:val="00104815"/>
    <w:rsid w:val="00104A27"/>
    <w:rsid w:val="00104A2F"/>
    <w:rsid w:val="00104AE0"/>
    <w:rsid w:val="00104B25"/>
    <w:rsid w:val="0010503A"/>
    <w:rsid w:val="001055E6"/>
    <w:rsid w:val="0010563A"/>
    <w:rsid w:val="00105806"/>
    <w:rsid w:val="00105955"/>
    <w:rsid w:val="00105B42"/>
    <w:rsid w:val="00105D6D"/>
    <w:rsid w:val="00105DBE"/>
    <w:rsid w:val="00106082"/>
    <w:rsid w:val="00106086"/>
    <w:rsid w:val="001061D1"/>
    <w:rsid w:val="001062F2"/>
    <w:rsid w:val="0010643D"/>
    <w:rsid w:val="00106562"/>
    <w:rsid w:val="001069B2"/>
    <w:rsid w:val="00106A55"/>
    <w:rsid w:val="00106E52"/>
    <w:rsid w:val="00106F33"/>
    <w:rsid w:val="0010710A"/>
    <w:rsid w:val="001079E5"/>
    <w:rsid w:val="00107D3A"/>
    <w:rsid w:val="0011007C"/>
    <w:rsid w:val="00110449"/>
    <w:rsid w:val="0011045B"/>
    <w:rsid w:val="001104F9"/>
    <w:rsid w:val="001108A1"/>
    <w:rsid w:val="001108D5"/>
    <w:rsid w:val="001108D7"/>
    <w:rsid w:val="001108F4"/>
    <w:rsid w:val="00110B81"/>
    <w:rsid w:val="00110C40"/>
    <w:rsid w:val="00110C9E"/>
    <w:rsid w:val="00110E84"/>
    <w:rsid w:val="00110EFC"/>
    <w:rsid w:val="00110FF3"/>
    <w:rsid w:val="00111192"/>
    <w:rsid w:val="001111E4"/>
    <w:rsid w:val="0011129F"/>
    <w:rsid w:val="001114FC"/>
    <w:rsid w:val="001119C0"/>
    <w:rsid w:val="00111B3D"/>
    <w:rsid w:val="00111C27"/>
    <w:rsid w:val="00111CBE"/>
    <w:rsid w:val="00111D82"/>
    <w:rsid w:val="0011211C"/>
    <w:rsid w:val="00112994"/>
    <w:rsid w:val="00112AA8"/>
    <w:rsid w:val="00112CC2"/>
    <w:rsid w:val="001131EC"/>
    <w:rsid w:val="00113276"/>
    <w:rsid w:val="001133BA"/>
    <w:rsid w:val="00113675"/>
    <w:rsid w:val="0011378C"/>
    <w:rsid w:val="00113D54"/>
    <w:rsid w:val="00114015"/>
    <w:rsid w:val="0011403B"/>
    <w:rsid w:val="00114418"/>
    <w:rsid w:val="0011450C"/>
    <w:rsid w:val="001146F6"/>
    <w:rsid w:val="0011475F"/>
    <w:rsid w:val="0011485F"/>
    <w:rsid w:val="00114BF3"/>
    <w:rsid w:val="00114DBC"/>
    <w:rsid w:val="00114DDF"/>
    <w:rsid w:val="00114DF6"/>
    <w:rsid w:val="0011515E"/>
    <w:rsid w:val="001155A9"/>
    <w:rsid w:val="0011588B"/>
    <w:rsid w:val="00115E5C"/>
    <w:rsid w:val="0011607D"/>
    <w:rsid w:val="0011641F"/>
    <w:rsid w:val="00116729"/>
    <w:rsid w:val="00116E14"/>
    <w:rsid w:val="00116FBA"/>
    <w:rsid w:val="00117093"/>
    <w:rsid w:val="0011777E"/>
    <w:rsid w:val="00117F54"/>
    <w:rsid w:val="001200DF"/>
    <w:rsid w:val="0012014F"/>
    <w:rsid w:val="00120217"/>
    <w:rsid w:val="001202BB"/>
    <w:rsid w:val="00120388"/>
    <w:rsid w:val="00120B1F"/>
    <w:rsid w:val="00120B26"/>
    <w:rsid w:val="00121445"/>
    <w:rsid w:val="0012177E"/>
    <w:rsid w:val="00121961"/>
    <w:rsid w:val="00121A70"/>
    <w:rsid w:val="00121ABA"/>
    <w:rsid w:val="001220EA"/>
    <w:rsid w:val="001221F4"/>
    <w:rsid w:val="00122572"/>
    <w:rsid w:val="00122A09"/>
    <w:rsid w:val="00122BCB"/>
    <w:rsid w:val="00122E99"/>
    <w:rsid w:val="00123300"/>
    <w:rsid w:val="00123BE7"/>
    <w:rsid w:val="00123C01"/>
    <w:rsid w:val="00123F30"/>
    <w:rsid w:val="00124031"/>
    <w:rsid w:val="0012417B"/>
    <w:rsid w:val="00124E5F"/>
    <w:rsid w:val="00125066"/>
    <w:rsid w:val="00125469"/>
    <w:rsid w:val="001255B6"/>
    <w:rsid w:val="00125861"/>
    <w:rsid w:val="001259A5"/>
    <w:rsid w:val="00125BEB"/>
    <w:rsid w:val="00125C83"/>
    <w:rsid w:val="00125CBB"/>
    <w:rsid w:val="00126078"/>
    <w:rsid w:val="00126096"/>
    <w:rsid w:val="00126252"/>
    <w:rsid w:val="001268BA"/>
    <w:rsid w:val="00126978"/>
    <w:rsid w:val="00126C1B"/>
    <w:rsid w:val="00126F0E"/>
    <w:rsid w:val="00126F62"/>
    <w:rsid w:val="0012741D"/>
    <w:rsid w:val="001274BB"/>
    <w:rsid w:val="00127595"/>
    <w:rsid w:val="001277B7"/>
    <w:rsid w:val="00127D23"/>
    <w:rsid w:val="00130102"/>
    <w:rsid w:val="0013016E"/>
    <w:rsid w:val="001301C2"/>
    <w:rsid w:val="0013036A"/>
    <w:rsid w:val="0013063C"/>
    <w:rsid w:val="00130678"/>
    <w:rsid w:val="001307CA"/>
    <w:rsid w:val="00130C58"/>
    <w:rsid w:val="00130CD3"/>
    <w:rsid w:val="0013180A"/>
    <w:rsid w:val="00131A40"/>
    <w:rsid w:val="00131D4C"/>
    <w:rsid w:val="001321BD"/>
    <w:rsid w:val="00132499"/>
    <w:rsid w:val="001325F6"/>
    <w:rsid w:val="00132ADD"/>
    <w:rsid w:val="00132C7A"/>
    <w:rsid w:val="001330BE"/>
    <w:rsid w:val="001330D9"/>
    <w:rsid w:val="001331D6"/>
    <w:rsid w:val="00133351"/>
    <w:rsid w:val="00133704"/>
    <w:rsid w:val="00133715"/>
    <w:rsid w:val="001342F4"/>
    <w:rsid w:val="001343EA"/>
    <w:rsid w:val="001344E5"/>
    <w:rsid w:val="0013466F"/>
    <w:rsid w:val="001348E0"/>
    <w:rsid w:val="0013495A"/>
    <w:rsid w:val="00134E71"/>
    <w:rsid w:val="00134E9C"/>
    <w:rsid w:val="00134EA7"/>
    <w:rsid w:val="001354A5"/>
    <w:rsid w:val="00135891"/>
    <w:rsid w:val="001359DB"/>
    <w:rsid w:val="00135A39"/>
    <w:rsid w:val="00135B3D"/>
    <w:rsid w:val="00135D72"/>
    <w:rsid w:val="00135D76"/>
    <w:rsid w:val="00135E53"/>
    <w:rsid w:val="0013612F"/>
    <w:rsid w:val="00136193"/>
    <w:rsid w:val="0013649B"/>
    <w:rsid w:val="001365E7"/>
    <w:rsid w:val="0013662D"/>
    <w:rsid w:val="00136791"/>
    <w:rsid w:val="00136E7E"/>
    <w:rsid w:val="001370FE"/>
    <w:rsid w:val="001371C6"/>
    <w:rsid w:val="0013755A"/>
    <w:rsid w:val="00137658"/>
    <w:rsid w:val="00137830"/>
    <w:rsid w:val="001378C2"/>
    <w:rsid w:val="001378EC"/>
    <w:rsid w:val="001379A9"/>
    <w:rsid w:val="001405F5"/>
    <w:rsid w:val="0014090F"/>
    <w:rsid w:val="00140A15"/>
    <w:rsid w:val="00140A7C"/>
    <w:rsid w:val="00140C57"/>
    <w:rsid w:val="00141050"/>
    <w:rsid w:val="0014124D"/>
    <w:rsid w:val="001412E2"/>
    <w:rsid w:val="00141520"/>
    <w:rsid w:val="001415BB"/>
    <w:rsid w:val="001416BD"/>
    <w:rsid w:val="0014182D"/>
    <w:rsid w:val="00141D70"/>
    <w:rsid w:val="001420D0"/>
    <w:rsid w:val="0014265D"/>
    <w:rsid w:val="0014266B"/>
    <w:rsid w:val="00142AF3"/>
    <w:rsid w:val="00142BA7"/>
    <w:rsid w:val="00142BC0"/>
    <w:rsid w:val="00142BC6"/>
    <w:rsid w:val="00142DC3"/>
    <w:rsid w:val="00142DF3"/>
    <w:rsid w:val="00142EA2"/>
    <w:rsid w:val="00142EB2"/>
    <w:rsid w:val="00143048"/>
    <w:rsid w:val="00143165"/>
    <w:rsid w:val="00143280"/>
    <w:rsid w:val="001434EA"/>
    <w:rsid w:val="0014357F"/>
    <w:rsid w:val="001438FD"/>
    <w:rsid w:val="0014391A"/>
    <w:rsid w:val="00143CA2"/>
    <w:rsid w:val="001441DE"/>
    <w:rsid w:val="00144398"/>
    <w:rsid w:val="001446B9"/>
    <w:rsid w:val="001447D7"/>
    <w:rsid w:val="00144BE7"/>
    <w:rsid w:val="00144F51"/>
    <w:rsid w:val="00144F8A"/>
    <w:rsid w:val="001454C2"/>
    <w:rsid w:val="001455A1"/>
    <w:rsid w:val="001457D5"/>
    <w:rsid w:val="00145AF1"/>
    <w:rsid w:val="00145D36"/>
    <w:rsid w:val="001461FB"/>
    <w:rsid w:val="0014622B"/>
    <w:rsid w:val="0014647D"/>
    <w:rsid w:val="00146485"/>
    <w:rsid w:val="00146A55"/>
    <w:rsid w:val="00146AD2"/>
    <w:rsid w:val="00146BA1"/>
    <w:rsid w:val="00146BC1"/>
    <w:rsid w:val="0014728E"/>
    <w:rsid w:val="00147AC4"/>
    <w:rsid w:val="00147C3B"/>
    <w:rsid w:val="00147C47"/>
    <w:rsid w:val="00147E4C"/>
    <w:rsid w:val="00150169"/>
    <w:rsid w:val="00150564"/>
    <w:rsid w:val="00150777"/>
    <w:rsid w:val="00150A5C"/>
    <w:rsid w:val="00150A8F"/>
    <w:rsid w:val="00151024"/>
    <w:rsid w:val="001513C8"/>
    <w:rsid w:val="001513CA"/>
    <w:rsid w:val="0015146F"/>
    <w:rsid w:val="00151476"/>
    <w:rsid w:val="00151690"/>
    <w:rsid w:val="00151836"/>
    <w:rsid w:val="00151C40"/>
    <w:rsid w:val="00151CE2"/>
    <w:rsid w:val="00151EDC"/>
    <w:rsid w:val="00151EFD"/>
    <w:rsid w:val="00151FB4"/>
    <w:rsid w:val="0015254B"/>
    <w:rsid w:val="00152644"/>
    <w:rsid w:val="00152AAF"/>
    <w:rsid w:val="00152D6D"/>
    <w:rsid w:val="00152E4D"/>
    <w:rsid w:val="00152ECB"/>
    <w:rsid w:val="0015371B"/>
    <w:rsid w:val="00153784"/>
    <w:rsid w:val="00153826"/>
    <w:rsid w:val="0015388E"/>
    <w:rsid w:val="001538D0"/>
    <w:rsid w:val="00154AE9"/>
    <w:rsid w:val="00154BB9"/>
    <w:rsid w:val="00154F07"/>
    <w:rsid w:val="00155177"/>
    <w:rsid w:val="00155566"/>
    <w:rsid w:val="001556D7"/>
    <w:rsid w:val="0015599E"/>
    <w:rsid w:val="00155AE3"/>
    <w:rsid w:val="00155F30"/>
    <w:rsid w:val="001568F3"/>
    <w:rsid w:val="00156B7B"/>
    <w:rsid w:val="0015705A"/>
    <w:rsid w:val="001571C0"/>
    <w:rsid w:val="00157A91"/>
    <w:rsid w:val="00157B70"/>
    <w:rsid w:val="00157D02"/>
    <w:rsid w:val="00157EC2"/>
    <w:rsid w:val="0016047A"/>
    <w:rsid w:val="00160722"/>
    <w:rsid w:val="0016088E"/>
    <w:rsid w:val="00160929"/>
    <w:rsid w:val="0016093A"/>
    <w:rsid w:val="00160A77"/>
    <w:rsid w:val="00160F07"/>
    <w:rsid w:val="00161267"/>
    <w:rsid w:val="00161270"/>
    <w:rsid w:val="00161684"/>
    <w:rsid w:val="0016181E"/>
    <w:rsid w:val="00161B0C"/>
    <w:rsid w:val="00161B7C"/>
    <w:rsid w:val="00162002"/>
    <w:rsid w:val="001620EC"/>
    <w:rsid w:val="00162558"/>
    <w:rsid w:val="00162950"/>
    <w:rsid w:val="0016296B"/>
    <w:rsid w:val="00162EF6"/>
    <w:rsid w:val="00163191"/>
    <w:rsid w:val="0016363A"/>
    <w:rsid w:val="001637B0"/>
    <w:rsid w:val="00163B43"/>
    <w:rsid w:val="00163D7C"/>
    <w:rsid w:val="00163DC1"/>
    <w:rsid w:val="00163EF7"/>
    <w:rsid w:val="0016404F"/>
    <w:rsid w:val="0016424C"/>
    <w:rsid w:val="001644B6"/>
    <w:rsid w:val="00164565"/>
    <w:rsid w:val="001645EA"/>
    <w:rsid w:val="001645F8"/>
    <w:rsid w:val="001646F0"/>
    <w:rsid w:val="001649B3"/>
    <w:rsid w:val="00164C7C"/>
    <w:rsid w:val="00164CDB"/>
    <w:rsid w:val="00164D21"/>
    <w:rsid w:val="00164D29"/>
    <w:rsid w:val="00165121"/>
    <w:rsid w:val="00165224"/>
    <w:rsid w:val="001652B7"/>
    <w:rsid w:val="0016548C"/>
    <w:rsid w:val="0016555E"/>
    <w:rsid w:val="001658A7"/>
    <w:rsid w:val="00165E16"/>
    <w:rsid w:val="001664F6"/>
    <w:rsid w:val="001665F8"/>
    <w:rsid w:val="0016676B"/>
    <w:rsid w:val="00166A5B"/>
    <w:rsid w:val="001675ED"/>
    <w:rsid w:val="001676E0"/>
    <w:rsid w:val="0016795F"/>
    <w:rsid w:val="00167CD9"/>
    <w:rsid w:val="00167DB7"/>
    <w:rsid w:val="00167EC6"/>
    <w:rsid w:val="00167F6D"/>
    <w:rsid w:val="0017015C"/>
    <w:rsid w:val="001701EC"/>
    <w:rsid w:val="001702EC"/>
    <w:rsid w:val="0017047B"/>
    <w:rsid w:val="001704E6"/>
    <w:rsid w:val="00170B77"/>
    <w:rsid w:val="00170BF8"/>
    <w:rsid w:val="00170ED5"/>
    <w:rsid w:val="00171122"/>
    <w:rsid w:val="001712DF"/>
    <w:rsid w:val="0017132F"/>
    <w:rsid w:val="00171581"/>
    <w:rsid w:val="00171B23"/>
    <w:rsid w:val="00171BED"/>
    <w:rsid w:val="00171DDE"/>
    <w:rsid w:val="00171E7D"/>
    <w:rsid w:val="00172260"/>
    <w:rsid w:val="0017227E"/>
    <w:rsid w:val="001725DC"/>
    <w:rsid w:val="00172631"/>
    <w:rsid w:val="001728BE"/>
    <w:rsid w:val="00172AA7"/>
    <w:rsid w:val="0017320E"/>
    <w:rsid w:val="00173275"/>
    <w:rsid w:val="00173333"/>
    <w:rsid w:val="001739D1"/>
    <w:rsid w:val="00173ACD"/>
    <w:rsid w:val="00173B18"/>
    <w:rsid w:val="00173CDA"/>
    <w:rsid w:val="00173D4B"/>
    <w:rsid w:val="00173DAF"/>
    <w:rsid w:val="00174081"/>
    <w:rsid w:val="0017413E"/>
    <w:rsid w:val="001742E4"/>
    <w:rsid w:val="0017461E"/>
    <w:rsid w:val="001746CB"/>
    <w:rsid w:val="00174B97"/>
    <w:rsid w:val="00174BA9"/>
    <w:rsid w:val="00174D41"/>
    <w:rsid w:val="00174DA8"/>
    <w:rsid w:val="00175178"/>
    <w:rsid w:val="0017542C"/>
    <w:rsid w:val="001756FE"/>
    <w:rsid w:val="0017584C"/>
    <w:rsid w:val="00175909"/>
    <w:rsid w:val="00175BC0"/>
    <w:rsid w:val="00175C93"/>
    <w:rsid w:val="00175F65"/>
    <w:rsid w:val="001762FD"/>
    <w:rsid w:val="00176720"/>
    <w:rsid w:val="001768B9"/>
    <w:rsid w:val="00176987"/>
    <w:rsid w:val="00176A10"/>
    <w:rsid w:val="001771B4"/>
    <w:rsid w:val="00177204"/>
    <w:rsid w:val="00177676"/>
    <w:rsid w:val="00177863"/>
    <w:rsid w:val="00177921"/>
    <w:rsid w:val="001779FF"/>
    <w:rsid w:val="00177D58"/>
    <w:rsid w:val="00177E37"/>
    <w:rsid w:val="00177EF6"/>
    <w:rsid w:val="001806A2"/>
    <w:rsid w:val="00180754"/>
    <w:rsid w:val="00180DCC"/>
    <w:rsid w:val="001811E0"/>
    <w:rsid w:val="001811FA"/>
    <w:rsid w:val="001812F6"/>
    <w:rsid w:val="00181382"/>
    <w:rsid w:val="001813E8"/>
    <w:rsid w:val="001816BF"/>
    <w:rsid w:val="00181911"/>
    <w:rsid w:val="00181D99"/>
    <w:rsid w:val="00181DAC"/>
    <w:rsid w:val="00181E91"/>
    <w:rsid w:val="00181F15"/>
    <w:rsid w:val="00182150"/>
    <w:rsid w:val="001822C8"/>
    <w:rsid w:val="0018235C"/>
    <w:rsid w:val="00182666"/>
    <w:rsid w:val="001826E9"/>
    <w:rsid w:val="0018295D"/>
    <w:rsid w:val="00182C18"/>
    <w:rsid w:val="00182FA8"/>
    <w:rsid w:val="0018311E"/>
    <w:rsid w:val="00183138"/>
    <w:rsid w:val="00183260"/>
    <w:rsid w:val="00183373"/>
    <w:rsid w:val="001838BC"/>
    <w:rsid w:val="001838DB"/>
    <w:rsid w:val="00183C40"/>
    <w:rsid w:val="00183CBF"/>
    <w:rsid w:val="00183CFD"/>
    <w:rsid w:val="00183F0A"/>
    <w:rsid w:val="00184054"/>
    <w:rsid w:val="00184325"/>
    <w:rsid w:val="001845B7"/>
    <w:rsid w:val="001848E0"/>
    <w:rsid w:val="00184A02"/>
    <w:rsid w:val="00184CF3"/>
    <w:rsid w:val="00184D01"/>
    <w:rsid w:val="00185056"/>
    <w:rsid w:val="001850D1"/>
    <w:rsid w:val="00185137"/>
    <w:rsid w:val="00185196"/>
    <w:rsid w:val="00185432"/>
    <w:rsid w:val="0018545B"/>
    <w:rsid w:val="0018565F"/>
    <w:rsid w:val="0018569F"/>
    <w:rsid w:val="001858F0"/>
    <w:rsid w:val="00185B4B"/>
    <w:rsid w:val="00185CCE"/>
    <w:rsid w:val="00185CE9"/>
    <w:rsid w:val="00185D62"/>
    <w:rsid w:val="00185E17"/>
    <w:rsid w:val="00185EAC"/>
    <w:rsid w:val="00186181"/>
    <w:rsid w:val="0018634A"/>
    <w:rsid w:val="0018639C"/>
    <w:rsid w:val="00186667"/>
    <w:rsid w:val="001868E6"/>
    <w:rsid w:val="001869CF"/>
    <w:rsid w:val="00186ADF"/>
    <w:rsid w:val="00186C8B"/>
    <w:rsid w:val="00186D2A"/>
    <w:rsid w:val="00186D99"/>
    <w:rsid w:val="00186FA0"/>
    <w:rsid w:val="00186FCD"/>
    <w:rsid w:val="0018704B"/>
    <w:rsid w:val="001870B4"/>
    <w:rsid w:val="001870C5"/>
    <w:rsid w:val="0018782B"/>
    <w:rsid w:val="00187957"/>
    <w:rsid w:val="00187971"/>
    <w:rsid w:val="00187B62"/>
    <w:rsid w:val="00187B6E"/>
    <w:rsid w:val="00187D5A"/>
    <w:rsid w:val="00187E96"/>
    <w:rsid w:val="00187EBE"/>
    <w:rsid w:val="00187EC6"/>
    <w:rsid w:val="00190459"/>
    <w:rsid w:val="0019047C"/>
    <w:rsid w:val="001904F1"/>
    <w:rsid w:val="00190552"/>
    <w:rsid w:val="001905FC"/>
    <w:rsid w:val="00190B61"/>
    <w:rsid w:val="00190B9E"/>
    <w:rsid w:val="00190E9F"/>
    <w:rsid w:val="00190FF8"/>
    <w:rsid w:val="0019134E"/>
    <w:rsid w:val="0019158C"/>
    <w:rsid w:val="0019160B"/>
    <w:rsid w:val="00191803"/>
    <w:rsid w:val="00191BB2"/>
    <w:rsid w:val="00191D47"/>
    <w:rsid w:val="00191DBE"/>
    <w:rsid w:val="00192030"/>
    <w:rsid w:val="001924E5"/>
    <w:rsid w:val="00192712"/>
    <w:rsid w:val="0019284C"/>
    <w:rsid w:val="00192A89"/>
    <w:rsid w:val="00192AB4"/>
    <w:rsid w:val="00192AEA"/>
    <w:rsid w:val="00192B18"/>
    <w:rsid w:val="00192B3D"/>
    <w:rsid w:val="00193055"/>
    <w:rsid w:val="001930B2"/>
    <w:rsid w:val="001931D0"/>
    <w:rsid w:val="0019327F"/>
    <w:rsid w:val="001932D6"/>
    <w:rsid w:val="0019335F"/>
    <w:rsid w:val="001933BC"/>
    <w:rsid w:val="00193496"/>
    <w:rsid w:val="0019350F"/>
    <w:rsid w:val="00193766"/>
    <w:rsid w:val="001938E0"/>
    <w:rsid w:val="00193932"/>
    <w:rsid w:val="00193C9E"/>
    <w:rsid w:val="00193CBD"/>
    <w:rsid w:val="00193D80"/>
    <w:rsid w:val="0019484D"/>
    <w:rsid w:val="00194B4F"/>
    <w:rsid w:val="00194C57"/>
    <w:rsid w:val="00194D06"/>
    <w:rsid w:val="00194F06"/>
    <w:rsid w:val="001957E4"/>
    <w:rsid w:val="0019585B"/>
    <w:rsid w:val="00195C78"/>
    <w:rsid w:val="00195D3C"/>
    <w:rsid w:val="00195D43"/>
    <w:rsid w:val="00196265"/>
    <w:rsid w:val="0019637C"/>
    <w:rsid w:val="001967B1"/>
    <w:rsid w:val="001967F6"/>
    <w:rsid w:val="001968D0"/>
    <w:rsid w:val="001969E9"/>
    <w:rsid w:val="00196B8F"/>
    <w:rsid w:val="00196E11"/>
    <w:rsid w:val="00196F3A"/>
    <w:rsid w:val="001970D0"/>
    <w:rsid w:val="001971B9"/>
    <w:rsid w:val="00197539"/>
    <w:rsid w:val="00197794"/>
    <w:rsid w:val="0019785F"/>
    <w:rsid w:val="00197864"/>
    <w:rsid w:val="00197950"/>
    <w:rsid w:val="00197EC8"/>
    <w:rsid w:val="001A0434"/>
    <w:rsid w:val="001A0F6A"/>
    <w:rsid w:val="001A135F"/>
    <w:rsid w:val="001A1383"/>
    <w:rsid w:val="001A1988"/>
    <w:rsid w:val="001A1A49"/>
    <w:rsid w:val="001A1BA2"/>
    <w:rsid w:val="001A1DA5"/>
    <w:rsid w:val="001A1DBD"/>
    <w:rsid w:val="001A21FA"/>
    <w:rsid w:val="001A220C"/>
    <w:rsid w:val="001A27CE"/>
    <w:rsid w:val="001A28AE"/>
    <w:rsid w:val="001A28E4"/>
    <w:rsid w:val="001A2AF1"/>
    <w:rsid w:val="001A3134"/>
    <w:rsid w:val="001A35BC"/>
    <w:rsid w:val="001A35E3"/>
    <w:rsid w:val="001A361C"/>
    <w:rsid w:val="001A371B"/>
    <w:rsid w:val="001A395F"/>
    <w:rsid w:val="001A39F1"/>
    <w:rsid w:val="001A3A72"/>
    <w:rsid w:val="001A3B69"/>
    <w:rsid w:val="001A3D72"/>
    <w:rsid w:val="001A3DA8"/>
    <w:rsid w:val="001A3F93"/>
    <w:rsid w:val="001A43A9"/>
    <w:rsid w:val="001A440E"/>
    <w:rsid w:val="001A4463"/>
    <w:rsid w:val="001A447D"/>
    <w:rsid w:val="001A4555"/>
    <w:rsid w:val="001A45C9"/>
    <w:rsid w:val="001A4774"/>
    <w:rsid w:val="001A49DB"/>
    <w:rsid w:val="001A4C6A"/>
    <w:rsid w:val="001A4D73"/>
    <w:rsid w:val="001A511B"/>
    <w:rsid w:val="001A5658"/>
    <w:rsid w:val="001A5940"/>
    <w:rsid w:val="001A59E1"/>
    <w:rsid w:val="001A5C24"/>
    <w:rsid w:val="001A5D02"/>
    <w:rsid w:val="001A5FC0"/>
    <w:rsid w:val="001A6121"/>
    <w:rsid w:val="001A61EE"/>
    <w:rsid w:val="001A6222"/>
    <w:rsid w:val="001A6230"/>
    <w:rsid w:val="001A6334"/>
    <w:rsid w:val="001A6B87"/>
    <w:rsid w:val="001A6FD2"/>
    <w:rsid w:val="001A78C5"/>
    <w:rsid w:val="001A7A58"/>
    <w:rsid w:val="001A7BE8"/>
    <w:rsid w:val="001B031E"/>
    <w:rsid w:val="001B0494"/>
    <w:rsid w:val="001B0588"/>
    <w:rsid w:val="001B064D"/>
    <w:rsid w:val="001B0D80"/>
    <w:rsid w:val="001B0E53"/>
    <w:rsid w:val="001B15B0"/>
    <w:rsid w:val="001B1A4D"/>
    <w:rsid w:val="001B1CAB"/>
    <w:rsid w:val="001B1D39"/>
    <w:rsid w:val="001B1F18"/>
    <w:rsid w:val="001B2191"/>
    <w:rsid w:val="001B2711"/>
    <w:rsid w:val="001B2890"/>
    <w:rsid w:val="001B2891"/>
    <w:rsid w:val="001B29BF"/>
    <w:rsid w:val="001B376A"/>
    <w:rsid w:val="001B37BC"/>
    <w:rsid w:val="001B3836"/>
    <w:rsid w:val="001B3F3B"/>
    <w:rsid w:val="001B400F"/>
    <w:rsid w:val="001B40F4"/>
    <w:rsid w:val="001B4225"/>
    <w:rsid w:val="001B4612"/>
    <w:rsid w:val="001B46A5"/>
    <w:rsid w:val="001B51BA"/>
    <w:rsid w:val="001B557A"/>
    <w:rsid w:val="001B55D4"/>
    <w:rsid w:val="001B56A9"/>
    <w:rsid w:val="001B58D9"/>
    <w:rsid w:val="001B59B6"/>
    <w:rsid w:val="001B5D53"/>
    <w:rsid w:val="001B5D77"/>
    <w:rsid w:val="001B60E2"/>
    <w:rsid w:val="001B619B"/>
    <w:rsid w:val="001B65A1"/>
    <w:rsid w:val="001B665D"/>
    <w:rsid w:val="001B6908"/>
    <w:rsid w:val="001B69D7"/>
    <w:rsid w:val="001B6C5C"/>
    <w:rsid w:val="001B6D91"/>
    <w:rsid w:val="001B6ECB"/>
    <w:rsid w:val="001B705F"/>
    <w:rsid w:val="001B708C"/>
    <w:rsid w:val="001B71B8"/>
    <w:rsid w:val="001B73DB"/>
    <w:rsid w:val="001B7454"/>
    <w:rsid w:val="001B7770"/>
    <w:rsid w:val="001B7D62"/>
    <w:rsid w:val="001B7F29"/>
    <w:rsid w:val="001C04F9"/>
    <w:rsid w:val="001C13D1"/>
    <w:rsid w:val="001C1424"/>
    <w:rsid w:val="001C1465"/>
    <w:rsid w:val="001C1B4A"/>
    <w:rsid w:val="001C1C82"/>
    <w:rsid w:val="001C1E31"/>
    <w:rsid w:val="001C2160"/>
    <w:rsid w:val="001C24A4"/>
    <w:rsid w:val="001C28CA"/>
    <w:rsid w:val="001C2D66"/>
    <w:rsid w:val="001C2E6F"/>
    <w:rsid w:val="001C304F"/>
    <w:rsid w:val="001C3179"/>
    <w:rsid w:val="001C3820"/>
    <w:rsid w:val="001C3AA5"/>
    <w:rsid w:val="001C3C05"/>
    <w:rsid w:val="001C3F0A"/>
    <w:rsid w:val="001C4061"/>
    <w:rsid w:val="001C40C5"/>
    <w:rsid w:val="001C40F6"/>
    <w:rsid w:val="001C4637"/>
    <w:rsid w:val="001C46CD"/>
    <w:rsid w:val="001C48C0"/>
    <w:rsid w:val="001C4E07"/>
    <w:rsid w:val="001C5640"/>
    <w:rsid w:val="001C56E3"/>
    <w:rsid w:val="001C5714"/>
    <w:rsid w:val="001C5C77"/>
    <w:rsid w:val="001C5CDD"/>
    <w:rsid w:val="001C5D6C"/>
    <w:rsid w:val="001C5FBE"/>
    <w:rsid w:val="001C601A"/>
    <w:rsid w:val="001C60DD"/>
    <w:rsid w:val="001C6558"/>
    <w:rsid w:val="001C68F6"/>
    <w:rsid w:val="001C6D1E"/>
    <w:rsid w:val="001C6D6A"/>
    <w:rsid w:val="001C6FED"/>
    <w:rsid w:val="001C7113"/>
    <w:rsid w:val="001C73BB"/>
    <w:rsid w:val="001C7862"/>
    <w:rsid w:val="001C7AFD"/>
    <w:rsid w:val="001D0344"/>
    <w:rsid w:val="001D03BF"/>
    <w:rsid w:val="001D04EA"/>
    <w:rsid w:val="001D05D4"/>
    <w:rsid w:val="001D07C6"/>
    <w:rsid w:val="001D07F4"/>
    <w:rsid w:val="001D0821"/>
    <w:rsid w:val="001D0895"/>
    <w:rsid w:val="001D08D0"/>
    <w:rsid w:val="001D092C"/>
    <w:rsid w:val="001D093C"/>
    <w:rsid w:val="001D097D"/>
    <w:rsid w:val="001D0A68"/>
    <w:rsid w:val="001D0CCC"/>
    <w:rsid w:val="001D0D42"/>
    <w:rsid w:val="001D0D76"/>
    <w:rsid w:val="001D0ECE"/>
    <w:rsid w:val="001D108F"/>
    <w:rsid w:val="001D111F"/>
    <w:rsid w:val="001D179A"/>
    <w:rsid w:val="001D17A0"/>
    <w:rsid w:val="001D20A5"/>
    <w:rsid w:val="001D21E1"/>
    <w:rsid w:val="001D2CA1"/>
    <w:rsid w:val="001D2D8A"/>
    <w:rsid w:val="001D2EAD"/>
    <w:rsid w:val="001D3251"/>
    <w:rsid w:val="001D3742"/>
    <w:rsid w:val="001D390D"/>
    <w:rsid w:val="001D3BE5"/>
    <w:rsid w:val="001D3DDC"/>
    <w:rsid w:val="001D3DDE"/>
    <w:rsid w:val="001D40F0"/>
    <w:rsid w:val="001D41C2"/>
    <w:rsid w:val="001D44EB"/>
    <w:rsid w:val="001D46EA"/>
    <w:rsid w:val="001D4703"/>
    <w:rsid w:val="001D4741"/>
    <w:rsid w:val="001D474A"/>
    <w:rsid w:val="001D4C7F"/>
    <w:rsid w:val="001D5374"/>
    <w:rsid w:val="001D58A1"/>
    <w:rsid w:val="001D597E"/>
    <w:rsid w:val="001D59B4"/>
    <w:rsid w:val="001D5A2A"/>
    <w:rsid w:val="001D5B68"/>
    <w:rsid w:val="001D5D66"/>
    <w:rsid w:val="001D6435"/>
    <w:rsid w:val="001D653A"/>
    <w:rsid w:val="001D65E9"/>
    <w:rsid w:val="001D6A66"/>
    <w:rsid w:val="001D6A97"/>
    <w:rsid w:val="001D6B86"/>
    <w:rsid w:val="001D6CB7"/>
    <w:rsid w:val="001D6E47"/>
    <w:rsid w:val="001D713A"/>
    <w:rsid w:val="001D7599"/>
    <w:rsid w:val="001D772D"/>
    <w:rsid w:val="001D7A57"/>
    <w:rsid w:val="001D7C29"/>
    <w:rsid w:val="001D7D72"/>
    <w:rsid w:val="001E000F"/>
    <w:rsid w:val="001E0206"/>
    <w:rsid w:val="001E0786"/>
    <w:rsid w:val="001E08AE"/>
    <w:rsid w:val="001E0924"/>
    <w:rsid w:val="001E0A29"/>
    <w:rsid w:val="001E0A2D"/>
    <w:rsid w:val="001E0AA4"/>
    <w:rsid w:val="001E0EB0"/>
    <w:rsid w:val="001E1050"/>
    <w:rsid w:val="001E12F1"/>
    <w:rsid w:val="001E1365"/>
    <w:rsid w:val="001E145B"/>
    <w:rsid w:val="001E159E"/>
    <w:rsid w:val="001E1990"/>
    <w:rsid w:val="001E1BD7"/>
    <w:rsid w:val="001E2016"/>
    <w:rsid w:val="001E2C26"/>
    <w:rsid w:val="001E320D"/>
    <w:rsid w:val="001E36C7"/>
    <w:rsid w:val="001E39D8"/>
    <w:rsid w:val="001E40BE"/>
    <w:rsid w:val="001E418A"/>
    <w:rsid w:val="001E43B1"/>
    <w:rsid w:val="001E4BD9"/>
    <w:rsid w:val="001E4C1F"/>
    <w:rsid w:val="001E4F26"/>
    <w:rsid w:val="001E50CE"/>
    <w:rsid w:val="001E50D2"/>
    <w:rsid w:val="001E5292"/>
    <w:rsid w:val="001E52BE"/>
    <w:rsid w:val="001E5589"/>
    <w:rsid w:val="001E55D8"/>
    <w:rsid w:val="001E5711"/>
    <w:rsid w:val="001E582A"/>
    <w:rsid w:val="001E58E8"/>
    <w:rsid w:val="001E58FA"/>
    <w:rsid w:val="001E5D77"/>
    <w:rsid w:val="001E5F0A"/>
    <w:rsid w:val="001E5FD4"/>
    <w:rsid w:val="001E60B0"/>
    <w:rsid w:val="001E6174"/>
    <w:rsid w:val="001E61D5"/>
    <w:rsid w:val="001E6294"/>
    <w:rsid w:val="001E6341"/>
    <w:rsid w:val="001E64CC"/>
    <w:rsid w:val="001E6C6E"/>
    <w:rsid w:val="001E6CDA"/>
    <w:rsid w:val="001E6E95"/>
    <w:rsid w:val="001E6EE8"/>
    <w:rsid w:val="001E71B7"/>
    <w:rsid w:val="001E726E"/>
    <w:rsid w:val="001E748F"/>
    <w:rsid w:val="001E7541"/>
    <w:rsid w:val="001E7630"/>
    <w:rsid w:val="001E7895"/>
    <w:rsid w:val="001E799C"/>
    <w:rsid w:val="001E7A26"/>
    <w:rsid w:val="001E7A56"/>
    <w:rsid w:val="001E7B43"/>
    <w:rsid w:val="001E7DCC"/>
    <w:rsid w:val="001E7E08"/>
    <w:rsid w:val="001F0447"/>
    <w:rsid w:val="001F045C"/>
    <w:rsid w:val="001F0585"/>
    <w:rsid w:val="001F0600"/>
    <w:rsid w:val="001F08B1"/>
    <w:rsid w:val="001F08BF"/>
    <w:rsid w:val="001F09CB"/>
    <w:rsid w:val="001F09F7"/>
    <w:rsid w:val="001F0A96"/>
    <w:rsid w:val="001F0E1A"/>
    <w:rsid w:val="001F0EB8"/>
    <w:rsid w:val="001F14DF"/>
    <w:rsid w:val="001F1717"/>
    <w:rsid w:val="001F1AD6"/>
    <w:rsid w:val="001F1CCF"/>
    <w:rsid w:val="001F26FD"/>
    <w:rsid w:val="001F27DD"/>
    <w:rsid w:val="001F28A7"/>
    <w:rsid w:val="001F2974"/>
    <w:rsid w:val="001F2A56"/>
    <w:rsid w:val="001F2AFB"/>
    <w:rsid w:val="001F2C2F"/>
    <w:rsid w:val="001F2DDA"/>
    <w:rsid w:val="001F3A5D"/>
    <w:rsid w:val="001F3BE4"/>
    <w:rsid w:val="001F3D10"/>
    <w:rsid w:val="001F3D76"/>
    <w:rsid w:val="001F4306"/>
    <w:rsid w:val="001F4995"/>
    <w:rsid w:val="001F4B94"/>
    <w:rsid w:val="001F5270"/>
    <w:rsid w:val="001F56A0"/>
    <w:rsid w:val="001F5F20"/>
    <w:rsid w:val="001F5F26"/>
    <w:rsid w:val="001F5F9F"/>
    <w:rsid w:val="001F640A"/>
    <w:rsid w:val="001F657E"/>
    <w:rsid w:val="001F67B2"/>
    <w:rsid w:val="001F71B5"/>
    <w:rsid w:val="001F7372"/>
    <w:rsid w:val="001F73E9"/>
    <w:rsid w:val="001F74D5"/>
    <w:rsid w:val="001F75D6"/>
    <w:rsid w:val="001F77FF"/>
    <w:rsid w:val="001F79A2"/>
    <w:rsid w:val="001F7C59"/>
    <w:rsid w:val="001F7D69"/>
    <w:rsid w:val="001F7EEF"/>
    <w:rsid w:val="0020026B"/>
    <w:rsid w:val="002002ED"/>
    <w:rsid w:val="00200403"/>
    <w:rsid w:val="0020042B"/>
    <w:rsid w:val="00200B2E"/>
    <w:rsid w:val="00200E61"/>
    <w:rsid w:val="00200F9F"/>
    <w:rsid w:val="002011A7"/>
    <w:rsid w:val="00201247"/>
    <w:rsid w:val="00201307"/>
    <w:rsid w:val="002014D9"/>
    <w:rsid w:val="00201516"/>
    <w:rsid w:val="0020162A"/>
    <w:rsid w:val="00201675"/>
    <w:rsid w:val="002019FC"/>
    <w:rsid w:val="00201A94"/>
    <w:rsid w:val="00201E2B"/>
    <w:rsid w:val="002022F1"/>
    <w:rsid w:val="002024D6"/>
    <w:rsid w:val="0020255F"/>
    <w:rsid w:val="0020273E"/>
    <w:rsid w:val="00202960"/>
    <w:rsid w:val="00202C94"/>
    <w:rsid w:val="00202F37"/>
    <w:rsid w:val="00203031"/>
    <w:rsid w:val="00203046"/>
    <w:rsid w:val="0020339C"/>
    <w:rsid w:val="002033F6"/>
    <w:rsid w:val="00203424"/>
    <w:rsid w:val="00203754"/>
    <w:rsid w:val="00203A10"/>
    <w:rsid w:val="00203ACA"/>
    <w:rsid w:val="00203B95"/>
    <w:rsid w:val="00204050"/>
    <w:rsid w:val="002040AB"/>
    <w:rsid w:val="002041E7"/>
    <w:rsid w:val="00204340"/>
    <w:rsid w:val="00204ACD"/>
    <w:rsid w:val="00204BC4"/>
    <w:rsid w:val="00204E64"/>
    <w:rsid w:val="002053DE"/>
    <w:rsid w:val="00205453"/>
    <w:rsid w:val="00205545"/>
    <w:rsid w:val="00205A87"/>
    <w:rsid w:val="00205EC0"/>
    <w:rsid w:val="00206175"/>
    <w:rsid w:val="002061A0"/>
    <w:rsid w:val="0020626C"/>
    <w:rsid w:val="002062A0"/>
    <w:rsid w:val="002062F8"/>
    <w:rsid w:val="00206446"/>
    <w:rsid w:val="0020679C"/>
    <w:rsid w:val="0020684C"/>
    <w:rsid w:val="00206919"/>
    <w:rsid w:val="002069DD"/>
    <w:rsid w:val="00206A5B"/>
    <w:rsid w:val="002070A7"/>
    <w:rsid w:val="00207113"/>
    <w:rsid w:val="0020722D"/>
    <w:rsid w:val="00207345"/>
    <w:rsid w:val="00207577"/>
    <w:rsid w:val="0020779C"/>
    <w:rsid w:val="00207A31"/>
    <w:rsid w:val="00207BE5"/>
    <w:rsid w:val="00207BEF"/>
    <w:rsid w:val="00207DB5"/>
    <w:rsid w:val="00207EA3"/>
    <w:rsid w:val="0021030F"/>
    <w:rsid w:val="00210AFB"/>
    <w:rsid w:val="00210B72"/>
    <w:rsid w:val="00210BDF"/>
    <w:rsid w:val="00210CD9"/>
    <w:rsid w:val="00210F8A"/>
    <w:rsid w:val="00210FAE"/>
    <w:rsid w:val="002114DA"/>
    <w:rsid w:val="00211B1B"/>
    <w:rsid w:val="00211C2E"/>
    <w:rsid w:val="00211C43"/>
    <w:rsid w:val="0021233D"/>
    <w:rsid w:val="0021234A"/>
    <w:rsid w:val="00212468"/>
    <w:rsid w:val="002126CE"/>
    <w:rsid w:val="002127DE"/>
    <w:rsid w:val="00212E21"/>
    <w:rsid w:val="00212E8E"/>
    <w:rsid w:val="00212F21"/>
    <w:rsid w:val="002132F1"/>
    <w:rsid w:val="0021339B"/>
    <w:rsid w:val="002133DE"/>
    <w:rsid w:val="002135A7"/>
    <w:rsid w:val="0021364D"/>
    <w:rsid w:val="0021376D"/>
    <w:rsid w:val="0021382A"/>
    <w:rsid w:val="00213840"/>
    <w:rsid w:val="00213990"/>
    <w:rsid w:val="00213998"/>
    <w:rsid w:val="00213AD6"/>
    <w:rsid w:val="0021426F"/>
    <w:rsid w:val="00214501"/>
    <w:rsid w:val="00214867"/>
    <w:rsid w:val="002149B2"/>
    <w:rsid w:val="00214A89"/>
    <w:rsid w:val="00214AB7"/>
    <w:rsid w:val="00214F1A"/>
    <w:rsid w:val="00214F3D"/>
    <w:rsid w:val="00214F91"/>
    <w:rsid w:val="00215619"/>
    <w:rsid w:val="0021589A"/>
    <w:rsid w:val="0021593C"/>
    <w:rsid w:val="00215BD4"/>
    <w:rsid w:val="00215CC3"/>
    <w:rsid w:val="00215D7E"/>
    <w:rsid w:val="002160C3"/>
    <w:rsid w:val="0021618A"/>
    <w:rsid w:val="002161C2"/>
    <w:rsid w:val="002162C6"/>
    <w:rsid w:val="00216364"/>
    <w:rsid w:val="0021642B"/>
    <w:rsid w:val="00216913"/>
    <w:rsid w:val="0021692A"/>
    <w:rsid w:val="00216BF4"/>
    <w:rsid w:val="00216D3C"/>
    <w:rsid w:val="00216D99"/>
    <w:rsid w:val="00217035"/>
    <w:rsid w:val="0021731D"/>
    <w:rsid w:val="002176B9"/>
    <w:rsid w:val="002179FB"/>
    <w:rsid w:val="00217A81"/>
    <w:rsid w:val="00217B6A"/>
    <w:rsid w:val="00217BFE"/>
    <w:rsid w:val="002205D0"/>
    <w:rsid w:val="00220666"/>
    <w:rsid w:val="00220735"/>
    <w:rsid w:val="002207ED"/>
    <w:rsid w:val="00220DA4"/>
    <w:rsid w:val="00220DC3"/>
    <w:rsid w:val="00220E28"/>
    <w:rsid w:val="00220F14"/>
    <w:rsid w:val="00220F19"/>
    <w:rsid w:val="0022125E"/>
    <w:rsid w:val="0022190D"/>
    <w:rsid w:val="00221DB3"/>
    <w:rsid w:val="00221F63"/>
    <w:rsid w:val="0022205D"/>
    <w:rsid w:val="00222098"/>
    <w:rsid w:val="0022212B"/>
    <w:rsid w:val="00222160"/>
    <w:rsid w:val="0022245E"/>
    <w:rsid w:val="00222514"/>
    <w:rsid w:val="002225B7"/>
    <w:rsid w:val="00222699"/>
    <w:rsid w:val="002229E9"/>
    <w:rsid w:val="00222D66"/>
    <w:rsid w:val="00223140"/>
    <w:rsid w:val="00223141"/>
    <w:rsid w:val="00223200"/>
    <w:rsid w:val="00223527"/>
    <w:rsid w:val="00223808"/>
    <w:rsid w:val="00223A62"/>
    <w:rsid w:val="00223AC5"/>
    <w:rsid w:val="00223B0D"/>
    <w:rsid w:val="00223D8A"/>
    <w:rsid w:val="002242CE"/>
    <w:rsid w:val="002242DE"/>
    <w:rsid w:val="002244A5"/>
    <w:rsid w:val="002246E4"/>
    <w:rsid w:val="00224C2C"/>
    <w:rsid w:val="00224C9F"/>
    <w:rsid w:val="00224D2F"/>
    <w:rsid w:val="0022505D"/>
    <w:rsid w:val="0022527B"/>
    <w:rsid w:val="00225384"/>
    <w:rsid w:val="00225543"/>
    <w:rsid w:val="00225743"/>
    <w:rsid w:val="00225870"/>
    <w:rsid w:val="002258A2"/>
    <w:rsid w:val="00225944"/>
    <w:rsid w:val="00225C23"/>
    <w:rsid w:val="00225ED5"/>
    <w:rsid w:val="002261E6"/>
    <w:rsid w:val="0022635C"/>
    <w:rsid w:val="00226450"/>
    <w:rsid w:val="00226612"/>
    <w:rsid w:val="002266B5"/>
    <w:rsid w:val="00226C80"/>
    <w:rsid w:val="0022728A"/>
    <w:rsid w:val="002274D0"/>
    <w:rsid w:val="00227897"/>
    <w:rsid w:val="00227D8C"/>
    <w:rsid w:val="00227E44"/>
    <w:rsid w:val="00227FE7"/>
    <w:rsid w:val="002301F1"/>
    <w:rsid w:val="0023058A"/>
    <w:rsid w:val="00230D1C"/>
    <w:rsid w:val="00230EF7"/>
    <w:rsid w:val="0023146C"/>
    <w:rsid w:val="00231745"/>
    <w:rsid w:val="00231DED"/>
    <w:rsid w:val="00231DFB"/>
    <w:rsid w:val="002320C2"/>
    <w:rsid w:val="00232277"/>
    <w:rsid w:val="002324FD"/>
    <w:rsid w:val="0023254B"/>
    <w:rsid w:val="0023261B"/>
    <w:rsid w:val="0023262D"/>
    <w:rsid w:val="002328FA"/>
    <w:rsid w:val="00232A8D"/>
    <w:rsid w:val="00232E69"/>
    <w:rsid w:val="00232EE8"/>
    <w:rsid w:val="002331C8"/>
    <w:rsid w:val="00233220"/>
    <w:rsid w:val="0023349D"/>
    <w:rsid w:val="00233A2B"/>
    <w:rsid w:val="0023402D"/>
    <w:rsid w:val="0023408C"/>
    <w:rsid w:val="00234263"/>
    <w:rsid w:val="00234336"/>
    <w:rsid w:val="0023434F"/>
    <w:rsid w:val="0023437F"/>
    <w:rsid w:val="002346C7"/>
    <w:rsid w:val="002346E7"/>
    <w:rsid w:val="002347A7"/>
    <w:rsid w:val="00234A03"/>
    <w:rsid w:val="00234B71"/>
    <w:rsid w:val="00234B73"/>
    <w:rsid w:val="00234EF8"/>
    <w:rsid w:val="0023514C"/>
    <w:rsid w:val="00235173"/>
    <w:rsid w:val="0023525C"/>
    <w:rsid w:val="00235435"/>
    <w:rsid w:val="002357C1"/>
    <w:rsid w:val="00235CCD"/>
    <w:rsid w:val="002361BD"/>
    <w:rsid w:val="00236265"/>
    <w:rsid w:val="002363A1"/>
    <w:rsid w:val="002363D4"/>
    <w:rsid w:val="0023645D"/>
    <w:rsid w:val="00236755"/>
    <w:rsid w:val="00236A3F"/>
    <w:rsid w:val="00236BDE"/>
    <w:rsid w:val="00236BE4"/>
    <w:rsid w:val="00236CCC"/>
    <w:rsid w:val="00237453"/>
    <w:rsid w:val="00237480"/>
    <w:rsid w:val="002376D9"/>
    <w:rsid w:val="00237730"/>
    <w:rsid w:val="0023785A"/>
    <w:rsid w:val="002378BD"/>
    <w:rsid w:val="00237A09"/>
    <w:rsid w:val="00237B7B"/>
    <w:rsid w:val="00237C8C"/>
    <w:rsid w:val="00240144"/>
    <w:rsid w:val="0024027A"/>
    <w:rsid w:val="002402E8"/>
    <w:rsid w:val="002408F8"/>
    <w:rsid w:val="002409E2"/>
    <w:rsid w:val="00240AF1"/>
    <w:rsid w:val="00240CA8"/>
    <w:rsid w:val="00240DC6"/>
    <w:rsid w:val="00240EA3"/>
    <w:rsid w:val="00240FDE"/>
    <w:rsid w:val="002412C2"/>
    <w:rsid w:val="0024149E"/>
    <w:rsid w:val="00241500"/>
    <w:rsid w:val="0024173D"/>
    <w:rsid w:val="00241792"/>
    <w:rsid w:val="002418C8"/>
    <w:rsid w:val="002419F8"/>
    <w:rsid w:val="00241B00"/>
    <w:rsid w:val="00241B01"/>
    <w:rsid w:val="00241BCD"/>
    <w:rsid w:val="00241C72"/>
    <w:rsid w:val="00241DC2"/>
    <w:rsid w:val="00241F06"/>
    <w:rsid w:val="0024231A"/>
    <w:rsid w:val="00242393"/>
    <w:rsid w:val="00242CC5"/>
    <w:rsid w:val="00242DCC"/>
    <w:rsid w:val="00242EB6"/>
    <w:rsid w:val="00242F29"/>
    <w:rsid w:val="0024318E"/>
    <w:rsid w:val="0024403B"/>
    <w:rsid w:val="00244195"/>
    <w:rsid w:val="00244356"/>
    <w:rsid w:val="0024443F"/>
    <w:rsid w:val="0024455C"/>
    <w:rsid w:val="002445DE"/>
    <w:rsid w:val="0024473D"/>
    <w:rsid w:val="00244D55"/>
    <w:rsid w:val="002452E7"/>
    <w:rsid w:val="0024563C"/>
    <w:rsid w:val="0024589C"/>
    <w:rsid w:val="002459E1"/>
    <w:rsid w:val="00245C22"/>
    <w:rsid w:val="00246001"/>
    <w:rsid w:val="002460F9"/>
    <w:rsid w:val="002462E3"/>
    <w:rsid w:val="002468DA"/>
    <w:rsid w:val="0024698C"/>
    <w:rsid w:val="00246C90"/>
    <w:rsid w:val="0024700E"/>
    <w:rsid w:val="00247014"/>
    <w:rsid w:val="00247161"/>
    <w:rsid w:val="0024734B"/>
    <w:rsid w:val="00247360"/>
    <w:rsid w:val="00247525"/>
    <w:rsid w:val="00247877"/>
    <w:rsid w:val="002479C0"/>
    <w:rsid w:val="00247C0D"/>
    <w:rsid w:val="00247E3E"/>
    <w:rsid w:val="00247E44"/>
    <w:rsid w:val="00247EC2"/>
    <w:rsid w:val="00247F4A"/>
    <w:rsid w:val="00247F61"/>
    <w:rsid w:val="0025065B"/>
    <w:rsid w:val="002507A0"/>
    <w:rsid w:val="00250837"/>
    <w:rsid w:val="00250A33"/>
    <w:rsid w:val="00250C99"/>
    <w:rsid w:val="00250EB7"/>
    <w:rsid w:val="00250FD1"/>
    <w:rsid w:val="00251023"/>
    <w:rsid w:val="002511A4"/>
    <w:rsid w:val="002512DD"/>
    <w:rsid w:val="002515A3"/>
    <w:rsid w:val="00251CA5"/>
    <w:rsid w:val="00251E05"/>
    <w:rsid w:val="00251F32"/>
    <w:rsid w:val="00251FEF"/>
    <w:rsid w:val="002521B8"/>
    <w:rsid w:val="0025231E"/>
    <w:rsid w:val="002526C4"/>
    <w:rsid w:val="00252ABF"/>
    <w:rsid w:val="00252ADB"/>
    <w:rsid w:val="00252E04"/>
    <w:rsid w:val="00253033"/>
    <w:rsid w:val="00253568"/>
    <w:rsid w:val="00253578"/>
    <w:rsid w:val="00253C0B"/>
    <w:rsid w:val="0025414B"/>
    <w:rsid w:val="0025437C"/>
    <w:rsid w:val="002546CB"/>
    <w:rsid w:val="002547F6"/>
    <w:rsid w:val="00254CA9"/>
    <w:rsid w:val="00254CC9"/>
    <w:rsid w:val="00254ED8"/>
    <w:rsid w:val="0025526C"/>
    <w:rsid w:val="00255361"/>
    <w:rsid w:val="00255471"/>
    <w:rsid w:val="0025559E"/>
    <w:rsid w:val="002555F2"/>
    <w:rsid w:val="0025590B"/>
    <w:rsid w:val="002559F1"/>
    <w:rsid w:val="00255FA0"/>
    <w:rsid w:val="002564B0"/>
    <w:rsid w:val="002564D0"/>
    <w:rsid w:val="002564E0"/>
    <w:rsid w:val="002568B9"/>
    <w:rsid w:val="00256A9A"/>
    <w:rsid w:val="00256AC2"/>
    <w:rsid w:val="00256AE0"/>
    <w:rsid w:val="00256D2D"/>
    <w:rsid w:val="0025772C"/>
    <w:rsid w:val="00257B69"/>
    <w:rsid w:val="00257F4D"/>
    <w:rsid w:val="00260036"/>
    <w:rsid w:val="002602DE"/>
    <w:rsid w:val="00260366"/>
    <w:rsid w:val="002603D3"/>
    <w:rsid w:val="00260448"/>
    <w:rsid w:val="002605E3"/>
    <w:rsid w:val="00260746"/>
    <w:rsid w:val="0026079F"/>
    <w:rsid w:val="00260D28"/>
    <w:rsid w:val="00260E27"/>
    <w:rsid w:val="00260E88"/>
    <w:rsid w:val="00260FA5"/>
    <w:rsid w:val="002610B7"/>
    <w:rsid w:val="0026187D"/>
    <w:rsid w:val="002618AF"/>
    <w:rsid w:val="002619A9"/>
    <w:rsid w:val="00261B8C"/>
    <w:rsid w:val="00261C73"/>
    <w:rsid w:val="00261D3D"/>
    <w:rsid w:val="00262044"/>
    <w:rsid w:val="00262095"/>
    <w:rsid w:val="002622E4"/>
    <w:rsid w:val="0026248B"/>
    <w:rsid w:val="00262902"/>
    <w:rsid w:val="0026299A"/>
    <w:rsid w:val="002629C1"/>
    <w:rsid w:val="002629EA"/>
    <w:rsid w:val="00262E41"/>
    <w:rsid w:val="00263044"/>
    <w:rsid w:val="0026336C"/>
    <w:rsid w:val="00263376"/>
    <w:rsid w:val="002634E2"/>
    <w:rsid w:val="002636B6"/>
    <w:rsid w:val="00263924"/>
    <w:rsid w:val="00263976"/>
    <w:rsid w:val="00263D5B"/>
    <w:rsid w:val="0026437B"/>
    <w:rsid w:val="002648A6"/>
    <w:rsid w:val="00264A14"/>
    <w:rsid w:val="00264B91"/>
    <w:rsid w:val="00264BFA"/>
    <w:rsid w:val="00264D96"/>
    <w:rsid w:val="00264DDD"/>
    <w:rsid w:val="00264FE4"/>
    <w:rsid w:val="00265133"/>
    <w:rsid w:val="002655AA"/>
    <w:rsid w:val="0026575A"/>
    <w:rsid w:val="002657F5"/>
    <w:rsid w:val="002658FC"/>
    <w:rsid w:val="00265A4C"/>
    <w:rsid w:val="00266529"/>
    <w:rsid w:val="0026672B"/>
    <w:rsid w:val="0026680F"/>
    <w:rsid w:val="002668FB"/>
    <w:rsid w:val="00266AAF"/>
    <w:rsid w:val="00266B87"/>
    <w:rsid w:val="00266F82"/>
    <w:rsid w:val="002671E3"/>
    <w:rsid w:val="0026724E"/>
    <w:rsid w:val="0026742D"/>
    <w:rsid w:val="00267B70"/>
    <w:rsid w:val="00267F12"/>
    <w:rsid w:val="00270222"/>
    <w:rsid w:val="0027027C"/>
    <w:rsid w:val="002702E7"/>
    <w:rsid w:val="00270425"/>
    <w:rsid w:val="00270572"/>
    <w:rsid w:val="00270631"/>
    <w:rsid w:val="00270653"/>
    <w:rsid w:val="00270784"/>
    <w:rsid w:val="002707CE"/>
    <w:rsid w:val="00270AD5"/>
    <w:rsid w:val="00270B0D"/>
    <w:rsid w:val="00270C27"/>
    <w:rsid w:val="00270CA2"/>
    <w:rsid w:val="002710A9"/>
    <w:rsid w:val="0027134D"/>
    <w:rsid w:val="0027141D"/>
    <w:rsid w:val="0027163E"/>
    <w:rsid w:val="00271C96"/>
    <w:rsid w:val="00271ED1"/>
    <w:rsid w:val="002721EE"/>
    <w:rsid w:val="0027255A"/>
    <w:rsid w:val="002725B3"/>
    <w:rsid w:val="00272C2D"/>
    <w:rsid w:val="00272D5D"/>
    <w:rsid w:val="00272D60"/>
    <w:rsid w:val="0027302B"/>
    <w:rsid w:val="002736A7"/>
    <w:rsid w:val="002737AA"/>
    <w:rsid w:val="002738C9"/>
    <w:rsid w:val="00273D29"/>
    <w:rsid w:val="00273D94"/>
    <w:rsid w:val="0027433B"/>
    <w:rsid w:val="002745AE"/>
    <w:rsid w:val="002749B7"/>
    <w:rsid w:val="002749CC"/>
    <w:rsid w:val="00274E34"/>
    <w:rsid w:val="00274E37"/>
    <w:rsid w:val="00274FDE"/>
    <w:rsid w:val="0027507D"/>
    <w:rsid w:val="002753E7"/>
    <w:rsid w:val="002756D7"/>
    <w:rsid w:val="002757DC"/>
    <w:rsid w:val="00276123"/>
    <w:rsid w:val="002763CC"/>
    <w:rsid w:val="0027675E"/>
    <w:rsid w:val="0027693F"/>
    <w:rsid w:val="00276B80"/>
    <w:rsid w:val="00277669"/>
    <w:rsid w:val="0027767A"/>
    <w:rsid w:val="00277771"/>
    <w:rsid w:val="002778BB"/>
    <w:rsid w:val="002778BC"/>
    <w:rsid w:val="00277A42"/>
    <w:rsid w:val="00277B82"/>
    <w:rsid w:val="00277BB9"/>
    <w:rsid w:val="00277C12"/>
    <w:rsid w:val="00277E67"/>
    <w:rsid w:val="00277E76"/>
    <w:rsid w:val="00277ED2"/>
    <w:rsid w:val="00277F3A"/>
    <w:rsid w:val="00277FC7"/>
    <w:rsid w:val="002803AB"/>
    <w:rsid w:val="0028053D"/>
    <w:rsid w:val="00280550"/>
    <w:rsid w:val="002809C4"/>
    <w:rsid w:val="0028105D"/>
    <w:rsid w:val="00281353"/>
    <w:rsid w:val="002817F3"/>
    <w:rsid w:val="00281BF4"/>
    <w:rsid w:val="00281C0C"/>
    <w:rsid w:val="00281FDA"/>
    <w:rsid w:val="0028238C"/>
    <w:rsid w:val="002825F1"/>
    <w:rsid w:val="002828F1"/>
    <w:rsid w:val="002829B7"/>
    <w:rsid w:val="00282AA4"/>
    <w:rsid w:val="00282AB7"/>
    <w:rsid w:val="00282E38"/>
    <w:rsid w:val="00282F6B"/>
    <w:rsid w:val="00283004"/>
    <w:rsid w:val="0028305D"/>
    <w:rsid w:val="00283271"/>
    <w:rsid w:val="00283277"/>
    <w:rsid w:val="00283280"/>
    <w:rsid w:val="00283602"/>
    <w:rsid w:val="002836AD"/>
    <w:rsid w:val="002838AF"/>
    <w:rsid w:val="002839BF"/>
    <w:rsid w:val="00283B48"/>
    <w:rsid w:val="002842BF"/>
    <w:rsid w:val="002843F9"/>
    <w:rsid w:val="00284705"/>
    <w:rsid w:val="00284C48"/>
    <w:rsid w:val="00285776"/>
    <w:rsid w:val="00285D61"/>
    <w:rsid w:val="00285E3C"/>
    <w:rsid w:val="00286096"/>
    <w:rsid w:val="00286157"/>
    <w:rsid w:val="002862C0"/>
    <w:rsid w:val="00286A94"/>
    <w:rsid w:val="00286AB9"/>
    <w:rsid w:val="00286CBD"/>
    <w:rsid w:val="00286F4B"/>
    <w:rsid w:val="0028714F"/>
    <w:rsid w:val="002871C6"/>
    <w:rsid w:val="002872A3"/>
    <w:rsid w:val="0028748D"/>
    <w:rsid w:val="002878E2"/>
    <w:rsid w:val="002879AD"/>
    <w:rsid w:val="00287CC4"/>
    <w:rsid w:val="002900BE"/>
    <w:rsid w:val="0029073D"/>
    <w:rsid w:val="00290A22"/>
    <w:rsid w:val="00290C46"/>
    <w:rsid w:val="00290C7C"/>
    <w:rsid w:val="00290E7B"/>
    <w:rsid w:val="00290E81"/>
    <w:rsid w:val="00290ED2"/>
    <w:rsid w:val="00290F0C"/>
    <w:rsid w:val="00291463"/>
    <w:rsid w:val="0029159C"/>
    <w:rsid w:val="00291680"/>
    <w:rsid w:val="002916FF"/>
    <w:rsid w:val="00291727"/>
    <w:rsid w:val="00291C98"/>
    <w:rsid w:val="00291EFF"/>
    <w:rsid w:val="00292168"/>
    <w:rsid w:val="0029216D"/>
    <w:rsid w:val="002921C5"/>
    <w:rsid w:val="002921C7"/>
    <w:rsid w:val="00292960"/>
    <w:rsid w:val="00292AB1"/>
    <w:rsid w:val="00292C05"/>
    <w:rsid w:val="00292E2D"/>
    <w:rsid w:val="00292FEC"/>
    <w:rsid w:val="002930F3"/>
    <w:rsid w:val="00293276"/>
    <w:rsid w:val="002935EC"/>
    <w:rsid w:val="00293EE1"/>
    <w:rsid w:val="00293F10"/>
    <w:rsid w:val="002941C6"/>
    <w:rsid w:val="0029454A"/>
    <w:rsid w:val="00294630"/>
    <w:rsid w:val="002948B9"/>
    <w:rsid w:val="00294DB4"/>
    <w:rsid w:val="00294E2F"/>
    <w:rsid w:val="002950AF"/>
    <w:rsid w:val="002952A6"/>
    <w:rsid w:val="00295347"/>
    <w:rsid w:val="00295450"/>
    <w:rsid w:val="00295468"/>
    <w:rsid w:val="0029566A"/>
    <w:rsid w:val="002956B5"/>
    <w:rsid w:val="00295758"/>
    <w:rsid w:val="002957E8"/>
    <w:rsid w:val="00295913"/>
    <w:rsid w:val="00295C3B"/>
    <w:rsid w:val="00295D3D"/>
    <w:rsid w:val="00295DB0"/>
    <w:rsid w:val="00295F1F"/>
    <w:rsid w:val="00296152"/>
    <w:rsid w:val="00296220"/>
    <w:rsid w:val="0029672E"/>
    <w:rsid w:val="00296839"/>
    <w:rsid w:val="00296BA4"/>
    <w:rsid w:val="00296E7F"/>
    <w:rsid w:val="0029746B"/>
    <w:rsid w:val="002974E6"/>
    <w:rsid w:val="002975E4"/>
    <w:rsid w:val="00297777"/>
    <w:rsid w:val="00297887"/>
    <w:rsid w:val="0029793B"/>
    <w:rsid w:val="0029796A"/>
    <w:rsid w:val="00297AC9"/>
    <w:rsid w:val="002A0090"/>
    <w:rsid w:val="002A02BE"/>
    <w:rsid w:val="002A19D0"/>
    <w:rsid w:val="002A1D8A"/>
    <w:rsid w:val="002A2275"/>
    <w:rsid w:val="002A24A3"/>
    <w:rsid w:val="002A250B"/>
    <w:rsid w:val="002A29C7"/>
    <w:rsid w:val="002A2A5B"/>
    <w:rsid w:val="002A2AE6"/>
    <w:rsid w:val="002A2BA2"/>
    <w:rsid w:val="002A32DF"/>
    <w:rsid w:val="002A3417"/>
    <w:rsid w:val="002A3B48"/>
    <w:rsid w:val="002A3C0D"/>
    <w:rsid w:val="002A4107"/>
    <w:rsid w:val="002A414D"/>
    <w:rsid w:val="002A447D"/>
    <w:rsid w:val="002A4604"/>
    <w:rsid w:val="002A46A2"/>
    <w:rsid w:val="002A47E7"/>
    <w:rsid w:val="002A4AF0"/>
    <w:rsid w:val="002A4EA1"/>
    <w:rsid w:val="002A50AF"/>
    <w:rsid w:val="002A521A"/>
    <w:rsid w:val="002A526E"/>
    <w:rsid w:val="002A53FD"/>
    <w:rsid w:val="002A5925"/>
    <w:rsid w:val="002A5F67"/>
    <w:rsid w:val="002A644F"/>
    <w:rsid w:val="002A6A4A"/>
    <w:rsid w:val="002A702A"/>
    <w:rsid w:val="002A70D6"/>
    <w:rsid w:val="002A715A"/>
    <w:rsid w:val="002A7738"/>
    <w:rsid w:val="002A7765"/>
    <w:rsid w:val="002A77AE"/>
    <w:rsid w:val="002A783F"/>
    <w:rsid w:val="002A7D45"/>
    <w:rsid w:val="002A7E29"/>
    <w:rsid w:val="002B0193"/>
    <w:rsid w:val="002B042D"/>
    <w:rsid w:val="002B069E"/>
    <w:rsid w:val="002B0856"/>
    <w:rsid w:val="002B090F"/>
    <w:rsid w:val="002B097E"/>
    <w:rsid w:val="002B0BBA"/>
    <w:rsid w:val="002B0ECA"/>
    <w:rsid w:val="002B0F25"/>
    <w:rsid w:val="002B1223"/>
    <w:rsid w:val="002B14AC"/>
    <w:rsid w:val="002B1562"/>
    <w:rsid w:val="002B168A"/>
    <w:rsid w:val="002B16B9"/>
    <w:rsid w:val="002B18B3"/>
    <w:rsid w:val="002B18C1"/>
    <w:rsid w:val="002B1A3D"/>
    <w:rsid w:val="002B1DB5"/>
    <w:rsid w:val="002B2117"/>
    <w:rsid w:val="002B22B0"/>
    <w:rsid w:val="002B2757"/>
    <w:rsid w:val="002B27D9"/>
    <w:rsid w:val="002B2980"/>
    <w:rsid w:val="002B2B33"/>
    <w:rsid w:val="002B2BAB"/>
    <w:rsid w:val="002B2E91"/>
    <w:rsid w:val="002B304C"/>
    <w:rsid w:val="002B3080"/>
    <w:rsid w:val="002B370A"/>
    <w:rsid w:val="002B3D9B"/>
    <w:rsid w:val="002B3FCE"/>
    <w:rsid w:val="002B42E8"/>
    <w:rsid w:val="002B4520"/>
    <w:rsid w:val="002B45BE"/>
    <w:rsid w:val="002B4932"/>
    <w:rsid w:val="002B4D06"/>
    <w:rsid w:val="002B4EC2"/>
    <w:rsid w:val="002B5253"/>
    <w:rsid w:val="002B5292"/>
    <w:rsid w:val="002B5460"/>
    <w:rsid w:val="002B5676"/>
    <w:rsid w:val="002B5683"/>
    <w:rsid w:val="002B58CC"/>
    <w:rsid w:val="002B5D9F"/>
    <w:rsid w:val="002B61FA"/>
    <w:rsid w:val="002B62D6"/>
    <w:rsid w:val="002B635F"/>
    <w:rsid w:val="002B6709"/>
    <w:rsid w:val="002B6AAC"/>
    <w:rsid w:val="002B6DAB"/>
    <w:rsid w:val="002B72BD"/>
    <w:rsid w:val="002B7531"/>
    <w:rsid w:val="002B7540"/>
    <w:rsid w:val="002B773E"/>
    <w:rsid w:val="002B794C"/>
    <w:rsid w:val="002B79C8"/>
    <w:rsid w:val="002B7A43"/>
    <w:rsid w:val="002B7C8D"/>
    <w:rsid w:val="002B7F4F"/>
    <w:rsid w:val="002C0264"/>
    <w:rsid w:val="002C0477"/>
    <w:rsid w:val="002C0BD6"/>
    <w:rsid w:val="002C0EB3"/>
    <w:rsid w:val="002C0EB4"/>
    <w:rsid w:val="002C0F53"/>
    <w:rsid w:val="002C1019"/>
    <w:rsid w:val="002C115A"/>
    <w:rsid w:val="002C1230"/>
    <w:rsid w:val="002C139E"/>
    <w:rsid w:val="002C1680"/>
    <w:rsid w:val="002C1700"/>
    <w:rsid w:val="002C187F"/>
    <w:rsid w:val="002C18E9"/>
    <w:rsid w:val="002C1955"/>
    <w:rsid w:val="002C1B7C"/>
    <w:rsid w:val="002C1F9E"/>
    <w:rsid w:val="002C1FFE"/>
    <w:rsid w:val="002C2755"/>
    <w:rsid w:val="002C27D0"/>
    <w:rsid w:val="002C2814"/>
    <w:rsid w:val="002C2869"/>
    <w:rsid w:val="002C29BB"/>
    <w:rsid w:val="002C2CF6"/>
    <w:rsid w:val="002C2D24"/>
    <w:rsid w:val="002C2E31"/>
    <w:rsid w:val="002C328C"/>
    <w:rsid w:val="002C32C3"/>
    <w:rsid w:val="002C3452"/>
    <w:rsid w:val="002C362A"/>
    <w:rsid w:val="002C3676"/>
    <w:rsid w:val="002C3826"/>
    <w:rsid w:val="002C382D"/>
    <w:rsid w:val="002C38E8"/>
    <w:rsid w:val="002C3966"/>
    <w:rsid w:val="002C410A"/>
    <w:rsid w:val="002C41DB"/>
    <w:rsid w:val="002C428F"/>
    <w:rsid w:val="002C44AB"/>
    <w:rsid w:val="002C467C"/>
    <w:rsid w:val="002C484F"/>
    <w:rsid w:val="002C49E1"/>
    <w:rsid w:val="002C4F8A"/>
    <w:rsid w:val="002C5078"/>
    <w:rsid w:val="002C5397"/>
    <w:rsid w:val="002C558A"/>
    <w:rsid w:val="002C6471"/>
    <w:rsid w:val="002C67FD"/>
    <w:rsid w:val="002C689F"/>
    <w:rsid w:val="002C68C2"/>
    <w:rsid w:val="002C6C48"/>
    <w:rsid w:val="002C6FFC"/>
    <w:rsid w:val="002C70FE"/>
    <w:rsid w:val="002C74EB"/>
    <w:rsid w:val="002C77D4"/>
    <w:rsid w:val="002C78C7"/>
    <w:rsid w:val="002C7A74"/>
    <w:rsid w:val="002C7BAA"/>
    <w:rsid w:val="002C7C08"/>
    <w:rsid w:val="002C7C7A"/>
    <w:rsid w:val="002C7F7A"/>
    <w:rsid w:val="002D00AD"/>
    <w:rsid w:val="002D0202"/>
    <w:rsid w:val="002D061F"/>
    <w:rsid w:val="002D083D"/>
    <w:rsid w:val="002D0881"/>
    <w:rsid w:val="002D08A9"/>
    <w:rsid w:val="002D0AE5"/>
    <w:rsid w:val="002D0B1C"/>
    <w:rsid w:val="002D0ECD"/>
    <w:rsid w:val="002D0F56"/>
    <w:rsid w:val="002D0FBC"/>
    <w:rsid w:val="002D113B"/>
    <w:rsid w:val="002D1162"/>
    <w:rsid w:val="002D193B"/>
    <w:rsid w:val="002D19BE"/>
    <w:rsid w:val="002D1AFD"/>
    <w:rsid w:val="002D1E88"/>
    <w:rsid w:val="002D21AB"/>
    <w:rsid w:val="002D231F"/>
    <w:rsid w:val="002D2411"/>
    <w:rsid w:val="002D2C5E"/>
    <w:rsid w:val="002D2DD3"/>
    <w:rsid w:val="002D2EB9"/>
    <w:rsid w:val="002D341C"/>
    <w:rsid w:val="002D3818"/>
    <w:rsid w:val="002D3991"/>
    <w:rsid w:val="002D3C92"/>
    <w:rsid w:val="002D3CCC"/>
    <w:rsid w:val="002D3F0C"/>
    <w:rsid w:val="002D3F87"/>
    <w:rsid w:val="002D4065"/>
    <w:rsid w:val="002D418F"/>
    <w:rsid w:val="002D4355"/>
    <w:rsid w:val="002D4D86"/>
    <w:rsid w:val="002D5051"/>
    <w:rsid w:val="002D50EB"/>
    <w:rsid w:val="002D5469"/>
    <w:rsid w:val="002D5592"/>
    <w:rsid w:val="002D562D"/>
    <w:rsid w:val="002D5838"/>
    <w:rsid w:val="002D5900"/>
    <w:rsid w:val="002D5909"/>
    <w:rsid w:val="002D5959"/>
    <w:rsid w:val="002D5B36"/>
    <w:rsid w:val="002D5B51"/>
    <w:rsid w:val="002D5B5A"/>
    <w:rsid w:val="002D5B6D"/>
    <w:rsid w:val="002D5D10"/>
    <w:rsid w:val="002D5F81"/>
    <w:rsid w:val="002D6653"/>
    <w:rsid w:val="002D67C1"/>
    <w:rsid w:val="002D6C5E"/>
    <w:rsid w:val="002D7302"/>
    <w:rsid w:val="002D7AFE"/>
    <w:rsid w:val="002D7CD3"/>
    <w:rsid w:val="002D7D2A"/>
    <w:rsid w:val="002D7DB2"/>
    <w:rsid w:val="002D7E2E"/>
    <w:rsid w:val="002D7E30"/>
    <w:rsid w:val="002D7FEE"/>
    <w:rsid w:val="002E011F"/>
    <w:rsid w:val="002E0127"/>
    <w:rsid w:val="002E0355"/>
    <w:rsid w:val="002E0390"/>
    <w:rsid w:val="002E04B1"/>
    <w:rsid w:val="002E05C3"/>
    <w:rsid w:val="002E0941"/>
    <w:rsid w:val="002E0A92"/>
    <w:rsid w:val="002E0E3F"/>
    <w:rsid w:val="002E0F2D"/>
    <w:rsid w:val="002E0F7C"/>
    <w:rsid w:val="002E10EA"/>
    <w:rsid w:val="002E143A"/>
    <w:rsid w:val="002E1554"/>
    <w:rsid w:val="002E17DD"/>
    <w:rsid w:val="002E19F9"/>
    <w:rsid w:val="002E1D50"/>
    <w:rsid w:val="002E2397"/>
    <w:rsid w:val="002E2560"/>
    <w:rsid w:val="002E2674"/>
    <w:rsid w:val="002E26AF"/>
    <w:rsid w:val="002E2909"/>
    <w:rsid w:val="002E2AD9"/>
    <w:rsid w:val="002E32A5"/>
    <w:rsid w:val="002E345F"/>
    <w:rsid w:val="002E36F6"/>
    <w:rsid w:val="002E3864"/>
    <w:rsid w:val="002E3AF1"/>
    <w:rsid w:val="002E3B99"/>
    <w:rsid w:val="002E3CDF"/>
    <w:rsid w:val="002E3DF5"/>
    <w:rsid w:val="002E3F11"/>
    <w:rsid w:val="002E430A"/>
    <w:rsid w:val="002E49BA"/>
    <w:rsid w:val="002E4C3F"/>
    <w:rsid w:val="002E4C43"/>
    <w:rsid w:val="002E4EB9"/>
    <w:rsid w:val="002E540C"/>
    <w:rsid w:val="002E5606"/>
    <w:rsid w:val="002E58A7"/>
    <w:rsid w:val="002E5911"/>
    <w:rsid w:val="002E5FA0"/>
    <w:rsid w:val="002E647E"/>
    <w:rsid w:val="002E64B6"/>
    <w:rsid w:val="002E64D9"/>
    <w:rsid w:val="002E6820"/>
    <w:rsid w:val="002E6B5A"/>
    <w:rsid w:val="002E6D1D"/>
    <w:rsid w:val="002E6E81"/>
    <w:rsid w:val="002E70DF"/>
    <w:rsid w:val="002E70FD"/>
    <w:rsid w:val="002E71D4"/>
    <w:rsid w:val="002E7853"/>
    <w:rsid w:val="002E787E"/>
    <w:rsid w:val="002E7C74"/>
    <w:rsid w:val="002E7D0C"/>
    <w:rsid w:val="002E7E82"/>
    <w:rsid w:val="002E7EC4"/>
    <w:rsid w:val="002E7F71"/>
    <w:rsid w:val="002F02D8"/>
    <w:rsid w:val="002F0513"/>
    <w:rsid w:val="002F05A2"/>
    <w:rsid w:val="002F0A07"/>
    <w:rsid w:val="002F0AC3"/>
    <w:rsid w:val="002F0B20"/>
    <w:rsid w:val="002F0B35"/>
    <w:rsid w:val="002F0B71"/>
    <w:rsid w:val="002F0BF2"/>
    <w:rsid w:val="002F0C98"/>
    <w:rsid w:val="002F0D99"/>
    <w:rsid w:val="002F0DEC"/>
    <w:rsid w:val="002F0E45"/>
    <w:rsid w:val="002F0E83"/>
    <w:rsid w:val="002F0F70"/>
    <w:rsid w:val="002F1383"/>
    <w:rsid w:val="002F1424"/>
    <w:rsid w:val="002F1586"/>
    <w:rsid w:val="002F1B65"/>
    <w:rsid w:val="002F1D20"/>
    <w:rsid w:val="002F1E54"/>
    <w:rsid w:val="002F1F50"/>
    <w:rsid w:val="002F1F99"/>
    <w:rsid w:val="002F205F"/>
    <w:rsid w:val="002F2401"/>
    <w:rsid w:val="002F2660"/>
    <w:rsid w:val="002F2948"/>
    <w:rsid w:val="002F29DA"/>
    <w:rsid w:val="002F2BFF"/>
    <w:rsid w:val="002F3048"/>
    <w:rsid w:val="002F3079"/>
    <w:rsid w:val="002F30E8"/>
    <w:rsid w:val="002F3447"/>
    <w:rsid w:val="002F37BC"/>
    <w:rsid w:val="002F3C32"/>
    <w:rsid w:val="002F3EDC"/>
    <w:rsid w:val="002F3F77"/>
    <w:rsid w:val="002F4121"/>
    <w:rsid w:val="002F433C"/>
    <w:rsid w:val="002F4D96"/>
    <w:rsid w:val="002F5099"/>
    <w:rsid w:val="002F510C"/>
    <w:rsid w:val="002F5247"/>
    <w:rsid w:val="002F5447"/>
    <w:rsid w:val="002F56DE"/>
    <w:rsid w:val="002F5D56"/>
    <w:rsid w:val="002F5EAC"/>
    <w:rsid w:val="002F623D"/>
    <w:rsid w:val="002F6345"/>
    <w:rsid w:val="002F63EE"/>
    <w:rsid w:val="002F64EA"/>
    <w:rsid w:val="002F657E"/>
    <w:rsid w:val="002F65DD"/>
    <w:rsid w:val="002F65F7"/>
    <w:rsid w:val="002F66F1"/>
    <w:rsid w:val="002F690C"/>
    <w:rsid w:val="002F72FB"/>
    <w:rsid w:val="002F731A"/>
    <w:rsid w:val="002F75CD"/>
    <w:rsid w:val="002F7642"/>
    <w:rsid w:val="002F793F"/>
    <w:rsid w:val="002F7A8D"/>
    <w:rsid w:val="002F7B6F"/>
    <w:rsid w:val="002F7B94"/>
    <w:rsid w:val="002F7C4C"/>
    <w:rsid w:val="002F7EA9"/>
    <w:rsid w:val="0030076F"/>
    <w:rsid w:val="003009C7"/>
    <w:rsid w:val="00300FE5"/>
    <w:rsid w:val="0030107C"/>
    <w:rsid w:val="00302276"/>
    <w:rsid w:val="003022CF"/>
    <w:rsid w:val="00302607"/>
    <w:rsid w:val="003029B3"/>
    <w:rsid w:val="00302A13"/>
    <w:rsid w:val="00302F17"/>
    <w:rsid w:val="003032F7"/>
    <w:rsid w:val="00303D20"/>
    <w:rsid w:val="003042D1"/>
    <w:rsid w:val="003043E7"/>
    <w:rsid w:val="003046E3"/>
    <w:rsid w:val="0030482C"/>
    <w:rsid w:val="003049A7"/>
    <w:rsid w:val="00304AF0"/>
    <w:rsid w:val="00304C95"/>
    <w:rsid w:val="00304C98"/>
    <w:rsid w:val="00305258"/>
    <w:rsid w:val="00305B65"/>
    <w:rsid w:val="00306148"/>
    <w:rsid w:val="003062DB"/>
    <w:rsid w:val="00306602"/>
    <w:rsid w:val="00306728"/>
    <w:rsid w:val="003067BB"/>
    <w:rsid w:val="00306A22"/>
    <w:rsid w:val="00306B36"/>
    <w:rsid w:val="00306ED4"/>
    <w:rsid w:val="00306FA0"/>
    <w:rsid w:val="00306FDB"/>
    <w:rsid w:val="00307000"/>
    <w:rsid w:val="003073CB"/>
    <w:rsid w:val="00307BD1"/>
    <w:rsid w:val="00307BEA"/>
    <w:rsid w:val="00307DC3"/>
    <w:rsid w:val="00307E2A"/>
    <w:rsid w:val="003102D3"/>
    <w:rsid w:val="003104CE"/>
    <w:rsid w:val="0031054B"/>
    <w:rsid w:val="00310681"/>
    <w:rsid w:val="003106DC"/>
    <w:rsid w:val="00310BC4"/>
    <w:rsid w:val="00310DB9"/>
    <w:rsid w:val="00310DC6"/>
    <w:rsid w:val="0031112F"/>
    <w:rsid w:val="003111A8"/>
    <w:rsid w:val="003111F5"/>
    <w:rsid w:val="00311861"/>
    <w:rsid w:val="00311921"/>
    <w:rsid w:val="00311E0D"/>
    <w:rsid w:val="0031208F"/>
    <w:rsid w:val="00312490"/>
    <w:rsid w:val="0031279E"/>
    <w:rsid w:val="00312B5A"/>
    <w:rsid w:val="00312B86"/>
    <w:rsid w:val="0031304E"/>
    <w:rsid w:val="0031317A"/>
    <w:rsid w:val="00313270"/>
    <w:rsid w:val="0031338C"/>
    <w:rsid w:val="0031378A"/>
    <w:rsid w:val="0031382A"/>
    <w:rsid w:val="00313B3B"/>
    <w:rsid w:val="00313FCC"/>
    <w:rsid w:val="003145CB"/>
    <w:rsid w:val="003145F1"/>
    <w:rsid w:val="00314B2F"/>
    <w:rsid w:val="00314BFB"/>
    <w:rsid w:val="00314CCA"/>
    <w:rsid w:val="00314DB0"/>
    <w:rsid w:val="00315056"/>
    <w:rsid w:val="0031512C"/>
    <w:rsid w:val="00315366"/>
    <w:rsid w:val="00315519"/>
    <w:rsid w:val="003158C0"/>
    <w:rsid w:val="003159B3"/>
    <w:rsid w:val="00315A7A"/>
    <w:rsid w:val="00315B79"/>
    <w:rsid w:val="00316289"/>
    <w:rsid w:val="0031645D"/>
    <w:rsid w:val="003168BD"/>
    <w:rsid w:val="00316C8F"/>
    <w:rsid w:val="00317310"/>
    <w:rsid w:val="003174C6"/>
    <w:rsid w:val="003174D7"/>
    <w:rsid w:val="00317835"/>
    <w:rsid w:val="00317BF1"/>
    <w:rsid w:val="00317D66"/>
    <w:rsid w:val="003203F1"/>
    <w:rsid w:val="00320503"/>
    <w:rsid w:val="00320580"/>
    <w:rsid w:val="003208FB"/>
    <w:rsid w:val="00320928"/>
    <w:rsid w:val="00320E1F"/>
    <w:rsid w:val="00320E3D"/>
    <w:rsid w:val="00320F0E"/>
    <w:rsid w:val="0032110C"/>
    <w:rsid w:val="003213EA"/>
    <w:rsid w:val="003217B4"/>
    <w:rsid w:val="00321B9F"/>
    <w:rsid w:val="00321C00"/>
    <w:rsid w:val="00321C8A"/>
    <w:rsid w:val="00321CBC"/>
    <w:rsid w:val="00321FE5"/>
    <w:rsid w:val="00321FEB"/>
    <w:rsid w:val="003220A9"/>
    <w:rsid w:val="003223F1"/>
    <w:rsid w:val="00322BF6"/>
    <w:rsid w:val="0032315E"/>
    <w:rsid w:val="00323164"/>
    <w:rsid w:val="003233F0"/>
    <w:rsid w:val="00323BB6"/>
    <w:rsid w:val="00324246"/>
    <w:rsid w:val="00324278"/>
    <w:rsid w:val="003248B7"/>
    <w:rsid w:val="00324B54"/>
    <w:rsid w:val="00324BCF"/>
    <w:rsid w:val="00324E59"/>
    <w:rsid w:val="00324EE2"/>
    <w:rsid w:val="00324F27"/>
    <w:rsid w:val="003254EC"/>
    <w:rsid w:val="0032568D"/>
    <w:rsid w:val="003257B6"/>
    <w:rsid w:val="00325833"/>
    <w:rsid w:val="00325991"/>
    <w:rsid w:val="00325A64"/>
    <w:rsid w:val="00325E0B"/>
    <w:rsid w:val="00325F43"/>
    <w:rsid w:val="0032624E"/>
    <w:rsid w:val="0032627A"/>
    <w:rsid w:val="00326502"/>
    <w:rsid w:val="003266DE"/>
    <w:rsid w:val="0032672E"/>
    <w:rsid w:val="003267DB"/>
    <w:rsid w:val="00326FDB"/>
    <w:rsid w:val="0032707A"/>
    <w:rsid w:val="003277C2"/>
    <w:rsid w:val="003279FA"/>
    <w:rsid w:val="00327A78"/>
    <w:rsid w:val="00327BCB"/>
    <w:rsid w:val="00327BF0"/>
    <w:rsid w:val="00327C53"/>
    <w:rsid w:val="00327DCF"/>
    <w:rsid w:val="003301CC"/>
    <w:rsid w:val="003302D1"/>
    <w:rsid w:val="0033044A"/>
    <w:rsid w:val="00330933"/>
    <w:rsid w:val="003309A5"/>
    <w:rsid w:val="00330C4B"/>
    <w:rsid w:val="00330CD2"/>
    <w:rsid w:val="00330D33"/>
    <w:rsid w:val="00330E52"/>
    <w:rsid w:val="003314B1"/>
    <w:rsid w:val="00331662"/>
    <w:rsid w:val="00331C41"/>
    <w:rsid w:val="00331F8D"/>
    <w:rsid w:val="00331FAC"/>
    <w:rsid w:val="0033233A"/>
    <w:rsid w:val="003326EB"/>
    <w:rsid w:val="00332A9E"/>
    <w:rsid w:val="00332E77"/>
    <w:rsid w:val="00333111"/>
    <w:rsid w:val="00333221"/>
    <w:rsid w:val="0033322A"/>
    <w:rsid w:val="00333452"/>
    <w:rsid w:val="003339DE"/>
    <w:rsid w:val="00333C26"/>
    <w:rsid w:val="003340F3"/>
    <w:rsid w:val="00334109"/>
    <w:rsid w:val="00334122"/>
    <w:rsid w:val="0033433F"/>
    <w:rsid w:val="00334999"/>
    <w:rsid w:val="003350A3"/>
    <w:rsid w:val="003352F1"/>
    <w:rsid w:val="003354CF"/>
    <w:rsid w:val="003360EB"/>
    <w:rsid w:val="003363FF"/>
    <w:rsid w:val="003364AA"/>
    <w:rsid w:val="003364D0"/>
    <w:rsid w:val="003366BD"/>
    <w:rsid w:val="003366C9"/>
    <w:rsid w:val="00336797"/>
    <w:rsid w:val="00336799"/>
    <w:rsid w:val="003369C6"/>
    <w:rsid w:val="00336A78"/>
    <w:rsid w:val="00336B33"/>
    <w:rsid w:val="00336E24"/>
    <w:rsid w:val="00336FEF"/>
    <w:rsid w:val="003370BA"/>
    <w:rsid w:val="00337313"/>
    <w:rsid w:val="00337CDA"/>
    <w:rsid w:val="00337E7F"/>
    <w:rsid w:val="003402BC"/>
    <w:rsid w:val="0034048A"/>
    <w:rsid w:val="003408B2"/>
    <w:rsid w:val="003408FB"/>
    <w:rsid w:val="0034091E"/>
    <w:rsid w:val="003409FD"/>
    <w:rsid w:val="00340CD8"/>
    <w:rsid w:val="00340D81"/>
    <w:rsid w:val="00340F05"/>
    <w:rsid w:val="00340FED"/>
    <w:rsid w:val="003414CB"/>
    <w:rsid w:val="00341ECE"/>
    <w:rsid w:val="00342083"/>
    <w:rsid w:val="003421CA"/>
    <w:rsid w:val="003422E8"/>
    <w:rsid w:val="00342372"/>
    <w:rsid w:val="00342F0C"/>
    <w:rsid w:val="00342FDB"/>
    <w:rsid w:val="003431CC"/>
    <w:rsid w:val="003432F3"/>
    <w:rsid w:val="00343499"/>
    <w:rsid w:val="00343756"/>
    <w:rsid w:val="00343867"/>
    <w:rsid w:val="003439DF"/>
    <w:rsid w:val="00343B8A"/>
    <w:rsid w:val="00343B9E"/>
    <w:rsid w:val="00343F1C"/>
    <w:rsid w:val="003442F6"/>
    <w:rsid w:val="0034432A"/>
    <w:rsid w:val="0034471E"/>
    <w:rsid w:val="00344737"/>
    <w:rsid w:val="0034479F"/>
    <w:rsid w:val="00344866"/>
    <w:rsid w:val="00344A30"/>
    <w:rsid w:val="00344F33"/>
    <w:rsid w:val="00345137"/>
    <w:rsid w:val="00345225"/>
    <w:rsid w:val="0034524B"/>
    <w:rsid w:val="00345342"/>
    <w:rsid w:val="003456E6"/>
    <w:rsid w:val="00345A6A"/>
    <w:rsid w:val="00345D08"/>
    <w:rsid w:val="00345D47"/>
    <w:rsid w:val="00345DE9"/>
    <w:rsid w:val="003462BD"/>
    <w:rsid w:val="0034664B"/>
    <w:rsid w:val="00346C2B"/>
    <w:rsid w:val="00346D3F"/>
    <w:rsid w:val="00346FC1"/>
    <w:rsid w:val="0034700C"/>
    <w:rsid w:val="00347195"/>
    <w:rsid w:val="003475A9"/>
    <w:rsid w:val="003476C8"/>
    <w:rsid w:val="0034796B"/>
    <w:rsid w:val="00347D72"/>
    <w:rsid w:val="00347DBD"/>
    <w:rsid w:val="0035028A"/>
    <w:rsid w:val="003502D7"/>
    <w:rsid w:val="003505B7"/>
    <w:rsid w:val="00350874"/>
    <w:rsid w:val="0035090A"/>
    <w:rsid w:val="00350B20"/>
    <w:rsid w:val="00350D50"/>
    <w:rsid w:val="00350F0C"/>
    <w:rsid w:val="00350FA6"/>
    <w:rsid w:val="00350FBF"/>
    <w:rsid w:val="003511A8"/>
    <w:rsid w:val="0035123C"/>
    <w:rsid w:val="003512D5"/>
    <w:rsid w:val="0035131F"/>
    <w:rsid w:val="0035154D"/>
    <w:rsid w:val="00351975"/>
    <w:rsid w:val="00351999"/>
    <w:rsid w:val="00351ABE"/>
    <w:rsid w:val="00351CBD"/>
    <w:rsid w:val="00351F43"/>
    <w:rsid w:val="00351FAC"/>
    <w:rsid w:val="003521A5"/>
    <w:rsid w:val="0035221A"/>
    <w:rsid w:val="0035223E"/>
    <w:rsid w:val="0035231D"/>
    <w:rsid w:val="00352362"/>
    <w:rsid w:val="003524BA"/>
    <w:rsid w:val="0035261C"/>
    <w:rsid w:val="003529C0"/>
    <w:rsid w:val="00352AF6"/>
    <w:rsid w:val="00352C2E"/>
    <w:rsid w:val="00352D83"/>
    <w:rsid w:val="00352EDB"/>
    <w:rsid w:val="0035332C"/>
    <w:rsid w:val="0035344F"/>
    <w:rsid w:val="003535A1"/>
    <w:rsid w:val="00353958"/>
    <w:rsid w:val="0035396C"/>
    <w:rsid w:val="003539FC"/>
    <w:rsid w:val="00353B3D"/>
    <w:rsid w:val="00353D67"/>
    <w:rsid w:val="00353F77"/>
    <w:rsid w:val="00354092"/>
    <w:rsid w:val="003540A4"/>
    <w:rsid w:val="00354131"/>
    <w:rsid w:val="003541E6"/>
    <w:rsid w:val="00354335"/>
    <w:rsid w:val="0035456E"/>
    <w:rsid w:val="00354658"/>
    <w:rsid w:val="00354DF2"/>
    <w:rsid w:val="003551F4"/>
    <w:rsid w:val="00355254"/>
    <w:rsid w:val="0035549B"/>
    <w:rsid w:val="003555F1"/>
    <w:rsid w:val="0035564E"/>
    <w:rsid w:val="00355BE4"/>
    <w:rsid w:val="00355C1B"/>
    <w:rsid w:val="00355C46"/>
    <w:rsid w:val="00356002"/>
    <w:rsid w:val="0035607B"/>
    <w:rsid w:val="003562AE"/>
    <w:rsid w:val="00356489"/>
    <w:rsid w:val="003564DE"/>
    <w:rsid w:val="0035670F"/>
    <w:rsid w:val="003569C4"/>
    <w:rsid w:val="00356CC0"/>
    <w:rsid w:val="00356CDC"/>
    <w:rsid w:val="00356ED9"/>
    <w:rsid w:val="00356F94"/>
    <w:rsid w:val="00357141"/>
    <w:rsid w:val="003571F5"/>
    <w:rsid w:val="00357374"/>
    <w:rsid w:val="003573CE"/>
    <w:rsid w:val="0035744D"/>
    <w:rsid w:val="0035750C"/>
    <w:rsid w:val="00357AE1"/>
    <w:rsid w:val="00357B98"/>
    <w:rsid w:val="00360000"/>
    <w:rsid w:val="00360161"/>
    <w:rsid w:val="00360245"/>
    <w:rsid w:val="0036046C"/>
    <w:rsid w:val="00360556"/>
    <w:rsid w:val="003607E7"/>
    <w:rsid w:val="003609FD"/>
    <w:rsid w:val="00360A86"/>
    <w:rsid w:val="00360CFA"/>
    <w:rsid w:val="00360D26"/>
    <w:rsid w:val="00360E1E"/>
    <w:rsid w:val="00360F60"/>
    <w:rsid w:val="003610BE"/>
    <w:rsid w:val="003614B7"/>
    <w:rsid w:val="00361610"/>
    <w:rsid w:val="003616DC"/>
    <w:rsid w:val="00362089"/>
    <w:rsid w:val="003624F3"/>
    <w:rsid w:val="003625AC"/>
    <w:rsid w:val="00362757"/>
    <w:rsid w:val="00362CE3"/>
    <w:rsid w:val="00362FC2"/>
    <w:rsid w:val="00362FF9"/>
    <w:rsid w:val="003632D5"/>
    <w:rsid w:val="0036331F"/>
    <w:rsid w:val="00363698"/>
    <w:rsid w:val="003637CA"/>
    <w:rsid w:val="00363944"/>
    <w:rsid w:val="00363996"/>
    <w:rsid w:val="00363D1C"/>
    <w:rsid w:val="00363D9F"/>
    <w:rsid w:val="00363F62"/>
    <w:rsid w:val="00364127"/>
    <w:rsid w:val="00364579"/>
    <w:rsid w:val="00364C1E"/>
    <w:rsid w:val="00364DD9"/>
    <w:rsid w:val="00364DE4"/>
    <w:rsid w:val="00364F15"/>
    <w:rsid w:val="00365019"/>
    <w:rsid w:val="0036501B"/>
    <w:rsid w:val="00365175"/>
    <w:rsid w:val="0036526F"/>
    <w:rsid w:val="0036539E"/>
    <w:rsid w:val="003653BF"/>
    <w:rsid w:val="003654E7"/>
    <w:rsid w:val="003656EF"/>
    <w:rsid w:val="00365926"/>
    <w:rsid w:val="00365ABC"/>
    <w:rsid w:val="00365AE9"/>
    <w:rsid w:val="00365C2A"/>
    <w:rsid w:val="00365EA5"/>
    <w:rsid w:val="00366071"/>
    <w:rsid w:val="00366370"/>
    <w:rsid w:val="003664D2"/>
    <w:rsid w:val="00366795"/>
    <w:rsid w:val="00366DAF"/>
    <w:rsid w:val="00366FFE"/>
    <w:rsid w:val="00367143"/>
    <w:rsid w:val="0036733F"/>
    <w:rsid w:val="003675F1"/>
    <w:rsid w:val="00367744"/>
    <w:rsid w:val="00367966"/>
    <w:rsid w:val="00367AED"/>
    <w:rsid w:val="00367C87"/>
    <w:rsid w:val="00367EFA"/>
    <w:rsid w:val="00367F10"/>
    <w:rsid w:val="0037022C"/>
    <w:rsid w:val="00370382"/>
    <w:rsid w:val="003703AD"/>
    <w:rsid w:val="003707B2"/>
    <w:rsid w:val="00370FB5"/>
    <w:rsid w:val="00371188"/>
    <w:rsid w:val="003711ED"/>
    <w:rsid w:val="00371A1A"/>
    <w:rsid w:val="00371AC2"/>
    <w:rsid w:val="00371EB2"/>
    <w:rsid w:val="0037221F"/>
    <w:rsid w:val="00372486"/>
    <w:rsid w:val="003728B8"/>
    <w:rsid w:val="003728DA"/>
    <w:rsid w:val="00372C2F"/>
    <w:rsid w:val="00372D79"/>
    <w:rsid w:val="00372EFD"/>
    <w:rsid w:val="003730A6"/>
    <w:rsid w:val="00373258"/>
    <w:rsid w:val="003732DA"/>
    <w:rsid w:val="00373916"/>
    <w:rsid w:val="00373E45"/>
    <w:rsid w:val="00373F79"/>
    <w:rsid w:val="0037483B"/>
    <w:rsid w:val="00374999"/>
    <w:rsid w:val="00374DB1"/>
    <w:rsid w:val="00374DDD"/>
    <w:rsid w:val="00374EBC"/>
    <w:rsid w:val="00374F68"/>
    <w:rsid w:val="00375067"/>
    <w:rsid w:val="003751FA"/>
    <w:rsid w:val="00375247"/>
    <w:rsid w:val="003754DF"/>
    <w:rsid w:val="00375645"/>
    <w:rsid w:val="00375773"/>
    <w:rsid w:val="003758D9"/>
    <w:rsid w:val="0037590F"/>
    <w:rsid w:val="00375E1B"/>
    <w:rsid w:val="00375F44"/>
    <w:rsid w:val="00376018"/>
    <w:rsid w:val="00376142"/>
    <w:rsid w:val="003766EF"/>
    <w:rsid w:val="0037675D"/>
    <w:rsid w:val="00376B87"/>
    <w:rsid w:val="003770B6"/>
    <w:rsid w:val="003777EF"/>
    <w:rsid w:val="003778FB"/>
    <w:rsid w:val="00377B19"/>
    <w:rsid w:val="0038012B"/>
    <w:rsid w:val="003807BE"/>
    <w:rsid w:val="003809A2"/>
    <w:rsid w:val="00380A40"/>
    <w:rsid w:val="00380AA3"/>
    <w:rsid w:val="00380ABF"/>
    <w:rsid w:val="00381326"/>
    <w:rsid w:val="003813DC"/>
    <w:rsid w:val="0038172D"/>
    <w:rsid w:val="00381A19"/>
    <w:rsid w:val="00381CED"/>
    <w:rsid w:val="00381F49"/>
    <w:rsid w:val="00381FFB"/>
    <w:rsid w:val="003826B5"/>
    <w:rsid w:val="00382914"/>
    <w:rsid w:val="00382BCA"/>
    <w:rsid w:val="00382E78"/>
    <w:rsid w:val="00382FDC"/>
    <w:rsid w:val="003834A6"/>
    <w:rsid w:val="003835B7"/>
    <w:rsid w:val="00383A46"/>
    <w:rsid w:val="00383B6F"/>
    <w:rsid w:val="00383C60"/>
    <w:rsid w:val="00383DD3"/>
    <w:rsid w:val="00383E5D"/>
    <w:rsid w:val="00383EBA"/>
    <w:rsid w:val="0038405E"/>
    <w:rsid w:val="0038414B"/>
    <w:rsid w:val="00384171"/>
    <w:rsid w:val="00384353"/>
    <w:rsid w:val="00384424"/>
    <w:rsid w:val="003844DD"/>
    <w:rsid w:val="0038499E"/>
    <w:rsid w:val="00384AE7"/>
    <w:rsid w:val="00384F43"/>
    <w:rsid w:val="0038510C"/>
    <w:rsid w:val="0038512F"/>
    <w:rsid w:val="00385202"/>
    <w:rsid w:val="0038545C"/>
    <w:rsid w:val="00385A93"/>
    <w:rsid w:val="00385B58"/>
    <w:rsid w:val="00385BFF"/>
    <w:rsid w:val="00385D46"/>
    <w:rsid w:val="0038601F"/>
    <w:rsid w:val="003867C9"/>
    <w:rsid w:val="00386BE4"/>
    <w:rsid w:val="00386CE1"/>
    <w:rsid w:val="00386F1C"/>
    <w:rsid w:val="00386F4D"/>
    <w:rsid w:val="00387116"/>
    <w:rsid w:val="00387186"/>
    <w:rsid w:val="0038756B"/>
    <w:rsid w:val="00387648"/>
    <w:rsid w:val="003876E1"/>
    <w:rsid w:val="00387738"/>
    <w:rsid w:val="00387883"/>
    <w:rsid w:val="00387AB0"/>
    <w:rsid w:val="00387EA5"/>
    <w:rsid w:val="00387EEA"/>
    <w:rsid w:val="00387F87"/>
    <w:rsid w:val="003902AC"/>
    <w:rsid w:val="003902D4"/>
    <w:rsid w:val="00390608"/>
    <w:rsid w:val="00390916"/>
    <w:rsid w:val="00390A2E"/>
    <w:rsid w:val="00390A87"/>
    <w:rsid w:val="00390ABC"/>
    <w:rsid w:val="00390BCD"/>
    <w:rsid w:val="00390E3A"/>
    <w:rsid w:val="00391046"/>
    <w:rsid w:val="003913DB"/>
    <w:rsid w:val="0039172D"/>
    <w:rsid w:val="0039185E"/>
    <w:rsid w:val="00391A93"/>
    <w:rsid w:val="00391C3E"/>
    <w:rsid w:val="00391E02"/>
    <w:rsid w:val="00391EE8"/>
    <w:rsid w:val="00392B0E"/>
    <w:rsid w:val="00392B9B"/>
    <w:rsid w:val="00392C8A"/>
    <w:rsid w:val="00392CE3"/>
    <w:rsid w:val="003932AE"/>
    <w:rsid w:val="003934BF"/>
    <w:rsid w:val="00393521"/>
    <w:rsid w:val="00393595"/>
    <w:rsid w:val="0039371C"/>
    <w:rsid w:val="00393B17"/>
    <w:rsid w:val="00393EEB"/>
    <w:rsid w:val="00393FBB"/>
    <w:rsid w:val="003940A7"/>
    <w:rsid w:val="003943F1"/>
    <w:rsid w:val="003944A5"/>
    <w:rsid w:val="003944C6"/>
    <w:rsid w:val="00394D25"/>
    <w:rsid w:val="00395114"/>
    <w:rsid w:val="003959C5"/>
    <w:rsid w:val="00395C33"/>
    <w:rsid w:val="00395C6A"/>
    <w:rsid w:val="00395D7B"/>
    <w:rsid w:val="00395E94"/>
    <w:rsid w:val="00396049"/>
    <w:rsid w:val="0039624A"/>
    <w:rsid w:val="00396593"/>
    <w:rsid w:val="0039665B"/>
    <w:rsid w:val="00396664"/>
    <w:rsid w:val="0039677D"/>
    <w:rsid w:val="003967D7"/>
    <w:rsid w:val="00396BF6"/>
    <w:rsid w:val="00396C91"/>
    <w:rsid w:val="00397390"/>
    <w:rsid w:val="00397794"/>
    <w:rsid w:val="00397AA6"/>
    <w:rsid w:val="00397AB8"/>
    <w:rsid w:val="00397B30"/>
    <w:rsid w:val="00397DA7"/>
    <w:rsid w:val="00397DAB"/>
    <w:rsid w:val="00397DB4"/>
    <w:rsid w:val="00397F7D"/>
    <w:rsid w:val="003A0325"/>
    <w:rsid w:val="003A03A9"/>
    <w:rsid w:val="003A03DB"/>
    <w:rsid w:val="003A05D9"/>
    <w:rsid w:val="003A0785"/>
    <w:rsid w:val="003A0BB2"/>
    <w:rsid w:val="003A0D23"/>
    <w:rsid w:val="003A0E99"/>
    <w:rsid w:val="003A0F2E"/>
    <w:rsid w:val="003A10C4"/>
    <w:rsid w:val="003A137B"/>
    <w:rsid w:val="003A1702"/>
    <w:rsid w:val="003A1829"/>
    <w:rsid w:val="003A19AF"/>
    <w:rsid w:val="003A1D36"/>
    <w:rsid w:val="003A1E45"/>
    <w:rsid w:val="003A25A7"/>
    <w:rsid w:val="003A2B51"/>
    <w:rsid w:val="003A2CDA"/>
    <w:rsid w:val="003A2F2B"/>
    <w:rsid w:val="003A2F76"/>
    <w:rsid w:val="003A3499"/>
    <w:rsid w:val="003A36F8"/>
    <w:rsid w:val="003A38DD"/>
    <w:rsid w:val="003A3B57"/>
    <w:rsid w:val="003A3BFA"/>
    <w:rsid w:val="003A4172"/>
    <w:rsid w:val="003A42B7"/>
    <w:rsid w:val="003A4725"/>
    <w:rsid w:val="003A48A2"/>
    <w:rsid w:val="003A4952"/>
    <w:rsid w:val="003A49CD"/>
    <w:rsid w:val="003A4F68"/>
    <w:rsid w:val="003A54B9"/>
    <w:rsid w:val="003A56E0"/>
    <w:rsid w:val="003A5850"/>
    <w:rsid w:val="003A58BA"/>
    <w:rsid w:val="003A5BC6"/>
    <w:rsid w:val="003A5D16"/>
    <w:rsid w:val="003A609A"/>
    <w:rsid w:val="003A6351"/>
    <w:rsid w:val="003A670E"/>
    <w:rsid w:val="003A67F4"/>
    <w:rsid w:val="003A6B67"/>
    <w:rsid w:val="003A701B"/>
    <w:rsid w:val="003A70C2"/>
    <w:rsid w:val="003A710C"/>
    <w:rsid w:val="003A7145"/>
    <w:rsid w:val="003A72C7"/>
    <w:rsid w:val="003A793E"/>
    <w:rsid w:val="003A7D42"/>
    <w:rsid w:val="003B011E"/>
    <w:rsid w:val="003B02B0"/>
    <w:rsid w:val="003B04AF"/>
    <w:rsid w:val="003B0809"/>
    <w:rsid w:val="003B0C13"/>
    <w:rsid w:val="003B0C59"/>
    <w:rsid w:val="003B1000"/>
    <w:rsid w:val="003B1096"/>
    <w:rsid w:val="003B157E"/>
    <w:rsid w:val="003B1923"/>
    <w:rsid w:val="003B1A36"/>
    <w:rsid w:val="003B1F8D"/>
    <w:rsid w:val="003B216B"/>
    <w:rsid w:val="003B2370"/>
    <w:rsid w:val="003B23D7"/>
    <w:rsid w:val="003B23DF"/>
    <w:rsid w:val="003B25B1"/>
    <w:rsid w:val="003B25FE"/>
    <w:rsid w:val="003B2C69"/>
    <w:rsid w:val="003B32E1"/>
    <w:rsid w:val="003B33F7"/>
    <w:rsid w:val="003B35B7"/>
    <w:rsid w:val="003B3762"/>
    <w:rsid w:val="003B3C2F"/>
    <w:rsid w:val="003B3D19"/>
    <w:rsid w:val="003B3E34"/>
    <w:rsid w:val="003B41BF"/>
    <w:rsid w:val="003B4694"/>
    <w:rsid w:val="003B46B9"/>
    <w:rsid w:val="003B49F7"/>
    <w:rsid w:val="003B4B53"/>
    <w:rsid w:val="003B50A6"/>
    <w:rsid w:val="003B50F9"/>
    <w:rsid w:val="003B53A2"/>
    <w:rsid w:val="003B5797"/>
    <w:rsid w:val="003B5B0B"/>
    <w:rsid w:val="003B5BA1"/>
    <w:rsid w:val="003B5FCA"/>
    <w:rsid w:val="003B5FF8"/>
    <w:rsid w:val="003B6648"/>
    <w:rsid w:val="003B6859"/>
    <w:rsid w:val="003B6BF4"/>
    <w:rsid w:val="003B6D84"/>
    <w:rsid w:val="003B70E1"/>
    <w:rsid w:val="003B7262"/>
    <w:rsid w:val="003B7532"/>
    <w:rsid w:val="003B7654"/>
    <w:rsid w:val="003B76DF"/>
    <w:rsid w:val="003B7739"/>
    <w:rsid w:val="003B796F"/>
    <w:rsid w:val="003B7AF9"/>
    <w:rsid w:val="003B7E7C"/>
    <w:rsid w:val="003C000C"/>
    <w:rsid w:val="003C01CA"/>
    <w:rsid w:val="003C05AC"/>
    <w:rsid w:val="003C0A2B"/>
    <w:rsid w:val="003C0B09"/>
    <w:rsid w:val="003C0DAC"/>
    <w:rsid w:val="003C0DB4"/>
    <w:rsid w:val="003C0E80"/>
    <w:rsid w:val="003C0E93"/>
    <w:rsid w:val="003C13FA"/>
    <w:rsid w:val="003C188F"/>
    <w:rsid w:val="003C1A9E"/>
    <w:rsid w:val="003C1B05"/>
    <w:rsid w:val="003C1C70"/>
    <w:rsid w:val="003C1D94"/>
    <w:rsid w:val="003C1F6D"/>
    <w:rsid w:val="003C21D7"/>
    <w:rsid w:val="003C254A"/>
    <w:rsid w:val="003C271C"/>
    <w:rsid w:val="003C2943"/>
    <w:rsid w:val="003C2FE8"/>
    <w:rsid w:val="003C349D"/>
    <w:rsid w:val="003C35D4"/>
    <w:rsid w:val="003C3685"/>
    <w:rsid w:val="003C4245"/>
    <w:rsid w:val="003C4345"/>
    <w:rsid w:val="003C438E"/>
    <w:rsid w:val="003C4436"/>
    <w:rsid w:val="003C45D6"/>
    <w:rsid w:val="003C4965"/>
    <w:rsid w:val="003C4AA2"/>
    <w:rsid w:val="003C4ADC"/>
    <w:rsid w:val="003C52C0"/>
    <w:rsid w:val="003C5485"/>
    <w:rsid w:val="003C5870"/>
    <w:rsid w:val="003C592F"/>
    <w:rsid w:val="003C5961"/>
    <w:rsid w:val="003C5A2A"/>
    <w:rsid w:val="003C5AA3"/>
    <w:rsid w:val="003C5C42"/>
    <w:rsid w:val="003C60EB"/>
    <w:rsid w:val="003C6183"/>
    <w:rsid w:val="003C6210"/>
    <w:rsid w:val="003C62CD"/>
    <w:rsid w:val="003C6473"/>
    <w:rsid w:val="003C6483"/>
    <w:rsid w:val="003C65A6"/>
    <w:rsid w:val="003C66D9"/>
    <w:rsid w:val="003C688F"/>
    <w:rsid w:val="003C693D"/>
    <w:rsid w:val="003C69F7"/>
    <w:rsid w:val="003C6E0E"/>
    <w:rsid w:val="003C6EB8"/>
    <w:rsid w:val="003C799C"/>
    <w:rsid w:val="003D00ED"/>
    <w:rsid w:val="003D0285"/>
    <w:rsid w:val="003D037D"/>
    <w:rsid w:val="003D0383"/>
    <w:rsid w:val="003D0A81"/>
    <w:rsid w:val="003D0BCF"/>
    <w:rsid w:val="003D0E42"/>
    <w:rsid w:val="003D0FA0"/>
    <w:rsid w:val="003D12DB"/>
    <w:rsid w:val="003D1695"/>
    <w:rsid w:val="003D1933"/>
    <w:rsid w:val="003D1A63"/>
    <w:rsid w:val="003D1BE9"/>
    <w:rsid w:val="003D1ED0"/>
    <w:rsid w:val="003D22DD"/>
    <w:rsid w:val="003D2344"/>
    <w:rsid w:val="003D2579"/>
    <w:rsid w:val="003D25DC"/>
    <w:rsid w:val="003D29A3"/>
    <w:rsid w:val="003D2BCC"/>
    <w:rsid w:val="003D2C12"/>
    <w:rsid w:val="003D2CCB"/>
    <w:rsid w:val="003D31DE"/>
    <w:rsid w:val="003D3270"/>
    <w:rsid w:val="003D32EF"/>
    <w:rsid w:val="003D3574"/>
    <w:rsid w:val="003D376A"/>
    <w:rsid w:val="003D3798"/>
    <w:rsid w:val="003D3C41"/>
    <w:rsid w:val="003D3E86"/>
    <w:rsid w:val="003D4290"/>
    <w:rsid w:val="003D43DF"/>
    <w:rsid w:val="003D457D"/>
    <w:rsid w:val="003D45FB"/>
    <w:rsid w:val="003D466B"/>
    <w:rsid w:val="003D47EB"/>
    <w:rsid w:val="003D48DF"/>
    <w:rsid w:val="003D4E36"/>
    <w:rsid w:val="003D4FFC"/>
    <w:rsid w:val="003D56B9"/>
    <w:rsid w:val="003D57FF"/>
    <w:rsid w:val="003D5A28"/>
    <w:rsid w:val="003D5BA1"/>
    <w:rsid w:val="003D5EC7"/>
    <w:rsid w:val="003D62A2"/>
    <w:rsid w:val="003D6534"/>
    <w:rsid w:val="003D6550"/>
    <w:rsid w:val="003D678C"/>
    <w:rsid w:val="003D6E53"/>
    <w:rsid w:val="003D70B9"/>
    <w:rsid w:val="003D711B"/>
    <w:rsid w:val="003D72E1"/>
    <w:rsid w:val="003D74FB"/>
    <w:rsid w:val="003D7689"/>
    <w:rsid w:val="003D78AE"/>
    <w:rsid w:val="003D78B6"/>
    <w:rsid w:val="003D7BD7"/>
    <w:rsid w:val="003D7E33"/>
    <w:rsid w:val="003E0847"/>
    <w:rsid w:val="003E093C"/>
    <w:rsid w:val="003E0949"/>
    <w:rsid w:val="003E0C8D"/>
    <w:rsid w:val="003E0E6E"/>
    <w:rsid w:val="003E0E9D"/>
    <w:rsid w:val="003E11BB"/>
    <w:rsid w:val="003E124D"/>
    <w:rsid w:val="003E13A0"/>
    <w:rsid w:val="003E1431"/>
    <w:rsid w:val="003E1505"/>
    <w:rsid w:val="003E1752"/>
    <w:rsid w:val="003E19B7"/>
    <w:rsid w:val="003E1C2A"/>
    <w:rsid w:val="003E25B8"/>
    <w:rsid w:val="003E282F"/>
    <w:rsid w:val="003E2A50"/>
    <w:rsid w:val="003E2AC9"/>
    <w:rsid w:val="003E2F9B"/>
    <w:rsid w:val="003E305B"/>
    <w:rsid w:val="003E3242"/>
    <w:rsid w:val="003E3BBC"/>
    <w:rsid w:val="003E3D75"/>
    <w:rsid w:val="003E3F23"/>
    <w:rsid w:val="003E40C1"/>
    <w:rsid w:val="003E438C"/>
    <w:rsid w:val="003E466B"/>
    <w:rsid w:val="003E485F"/>
    <w:rsid w:val="003E4918"/>
    <w:rsid w:val="003E4C71"/>
    <w:rsid w:val="003E4D32"/>
    <w:rsid w:val="003E4F73"/>
    <w:rsid w:val="003E519A"/>
    <w:rsid w:val="003E54DD"/>
    <w:rsid w:val="003E5570"/>
    <w:rsid w:val="003E56A2"/>
    <w:rsid w:val="003E5B15"/>
    <w:rsid w:val="003E5CE4"/>
    <w:rsid w:val="003E5FD5"/>
    <w:rsid w:val="003E61C7"/>
    <w:rsid w:val="003E6278"/>
    <w:rsid w:val="003E6945"/>
    <w:rsid w:val="003E6C0F"/>
    <w:rsid w:val="003E6E3F"/>
    <w:rsid w:val="003E6FF2"/>
    <w:rsid w:val="003E70EF"/>
    <w:rsid w:val="003E7B0C"/>
    <w:rsid w:val="003E7EEA"/>
    <w:rsid w:val="003F002B"/>
    <w:rsid w:val="003F0231"/>
    <w:rsid w:val="003F034B"/>
    <w:rsid w:val="003F0390"/>
    <w:rsid w:val="003F0442"/>
    <w:rsid w:val="003F056B"/>
    <w:rsid w:val="003F060F"/>
    <w:rsid w:val="003F064E"/>
    <w:rsid w:val="003F0831"/>
    <w:rsid w:val="003F088D"/>
    <w:rsid w:val="003F0960"/>
    <w:rsid w:val="003F0BBF"/>
    <w:rsid w:val="003F0CFF"/>
    <w:rsid w:val="003F0D6A"/>
    <w:rsid w:val="003F0DCB"/>
    <w:rsid w:val="003F15A1"/>
    <w:rsid w:val="003F19C9"/>
    <w:rsid w:val="003F1AB4"/>
    <w:rsid w:val="003F1B93"/>
    <w:rsid w:val="003F1C28"/>
    <w:rsid w:val="003F21C5"/>
    <w:rsid w:val="003F22F2"/>
    <w:rsid w:val="003F2372"/>
    <w:rsid w:val="003F23A9"/>
    <w:rsid w:val="003F23BA"/>
    <w:rsid w:val="003F23DB"/>
    <w:rsid w:val="003F256C"/>
    <w:rsid w:val="003F2A5D"/>
    <w:rsid w:val="003F36C4"/>
    <w:rsid w:val="003F3962"/>
    <w:rsid w:val="003F3A07"/>
    <w:rsid w:val="003F3B38"/>
    <w:rsid w:val="003F3BFF"/>
    <w:rsid w:val="003F3CC4"/>
    <w:rsid w:val="003F4230"/>
    <w:rsid w:val="003F4546"/>
    <w:rsid w:val="003F46ED"/>
    <w:rsid w:val="003F4955"/>
    <w:rsid w:val="003F4B54"/>
    <w:rsid w:val="003F4BB7"/>
    <w:rsid w:val="003F4E2C"/>
    <w:rsid w:val="003F4FD9"/>
    <w:rsid w:val="003F5081"/>
    <w:rsid w:val="003F51DD"/>
    <w:rsid w:val="003F56A2"/>
    <w:rsid w:val="003F5A24"/>
    <w:rsid w:val="003F5AA8"/>
    <w:rsid w:val="003F5D1D"/>
    <w:rsid w:val="003F5E4D"/>
    <w:rsid w:val="003F685E"/>
    <w:rsid w:val="003F6B67"/>
    <w:rsid w:val="003F6DA6"/>
    <w:rsid w:val="003F6DDB"/>
    <w:rsid w:val="003F6EDF"/>
    <w:rsid w:val="003F7088"/>
    <w:rsid w:val="003F715C"/>
    <w:rsid w:val="003F717B"/>
    <w:rsid w:val="003F78E3"/>
    <w:rsid w:val="003F79AE"/>
    <w:rsid w:val="003F7B56"/>
    <w:rsid w:val="003F7B77"/>
    <w:rsid w:val="003F7DCA"/>
    <w:rsid w:val="003F7EBD"/>
    <w:rsid w:val="003F7EFD"/>
    <w:rsid w:val="00400262"/>
    <w:rsid w:val="00400822"/>
    <w:rsid w:val="004008DE"/>
    <w:rsid w:val="00400B78"/>
    <w:rsid w:val="00400CEC"/>
    <w:rsid w:val="00400CF0"/>
    <w:rsid w:val="00400D80"/>
    <w:rsid w:val="00400DD8"/>
    <w:rsid w:val="00401534"/>
    <w:rsid w:val="00401CDA"/>
    <w:rsid w:val="00401F28"/>
    <w:rsid w:val="004020B4"/>
    <w:rsid w:val="00402437"/>
    <w:rsid w:val="004025AB"/>
    <w:rsid w:val="0040264F"/>
    <w:rsid w:val="00402679"/>
    <w:rsid w:val="00402680"/>
    <w:rsid w:val="0040272D"/>
    <w:rsid w:val="0040284F"/>
    <w:rsid w:val="00402866"/>
    <w:rsid w:val="004028C8"/>
    <w:rsid w:val="00402BA1"/>
    <w:rsid w:val="00402E35"/>
    <w:rsid w:val="00402FA5"/>
    <w:rsid w:val="004032B1"/>
    <w:rsid w:val="0040345B"/>
    <w:rsid w:val="00403891"/>
    <w:rsid w:val="004038A9"/>
    <w:rsid w:val="00403B0B"/>
    <w:rsid w:val="00403C70"/>
    <w:rsid w:val="00403FEA"/>
    <w:rsid w:val="004043EC"/>
    <w:rsid w:val="0040443C"/>
    <w:rsid w:val="004046A0"/>
    <w:rsid w:val="00404CD9"/>
    <w:rsid w:val="00404D95"/>
    <w:rsid w:val="004052F4"/>
    <w:rsid w:val="0040555B"/>
    <w:rsid w:val="0040599C"/>
    <w:rsid w:val="004059D0"/>
    <w:rsid w:val="00405B8F"/>
    <w:rsid w:val="00405BB7"/>
    <w:rsid w:val="00405CB0"/>
    <w:rsid w:val="00405DC6"/>
    <w:rsid w:val="00405E4D"/>
    <w:rsid w:val="00405EFA"/>
    <w:rsid w:val="0040609B"/>
    <w:rsid w:val="00406136"/>
    <w:rsid w:val="0040629F"/>
    <w:rsid w:val="004062F8"/>
    <w:rsid w:val="00406768"/>
    <w:rsid w:val="00406B12"/>
    <w:rsid w:val="00406D06"/>
    <w:rsid w:val="00406D20"/>
    <w:rsid w:val="00406FC4"/>
    <w:rsid w:val="0040704B"/>
    <w:rsid w:val="00407245"/>
    <w:rsid w:val="004074E7"/>
    <w:rsid w:val="0040765F"/>
    <w:rsid w:val="00407909"/>
    <w:rsid w:val="0040792F"/>
    <w:rsid w:val="004079F4"/>
    <w:rsid w:val="00407B34"/>
    <w:rsid w:val="00407B6B"/>
    <w:rsid w:val="00407C52"/>
    <w:rsid w:val="00407C57"/>
    <w:rsid w:val="00407DB2"/>
    <w:rsid w:val="00410100"/>
    <w:rsid w:val="004104F3"/>
    <w:rsid w:val="004105FF"/>
    <w:rsid w:val="00410D09"/>
    <w:rsid w:val="00410D6E"/>
    <w:rsid w:val="0041100A"/>
    <w:rsid w:val="0041135C"/>
    <w:rsid w:val="0041139E"/>
    <w:rsid w:val="00411422"/>
    <w:rsid w:val="00411581"/>
    <w:rsid w:val="00411790"/>
    <w:rsid w:val="00411A1A"/>
    <w:rsid w:val="00411BC5"/>
    <w:rsid w:val="00411CCB"/>
    <w:rsid w:val="00412042"/>
    <w:rsid w:val="00412058"/>
    <w:rsid w:val="0041206E"/>
    <w:rsid w:val="00412166"/>
    <w:rsid w:val="00412281"/>
    <w:rsid w:val="0041233D"/>
    <w:rsid w:val="004123B9"/>
    <w:rsid w:val="00412903"/>
    <w:rsid w:val="004129E5"/>
    <w:rsid w:val="00412A5D"/>
    <w:rsid w:val="00412ABE"/>
    <w:rsid w:val="00412B71"/>
    <w:rsid w:val="00412CB8"/>
    <w:rsid w:val="00413703"/>
    <w:rsid w:val="004137C7"/>
    <w:rsid w:val="0041396D"/>
    <w:rsid w:val="00413AE0"/>
    <w:rsid w:val="00413EA3"/>
    <w:rsid w:val="0041409D"/>
    <w:rsid w:val="004140CC"/>
    <w:rsid w:val="0041433F"/>
    <w:rsid w:val="004144FF"/>
    <w:rsid w:val="00414782"/>
    <w:rsid w:val="004148E1"/>
    <w:rsid w:val="00414BEA"/>
    <w:rsid w:val="00414C6C"/>
    <w:rsid w:val="00414DAF"/>
    <w:rsid w:val="00415427"/>
    <w:rsid w:val="0041548D"/>
    <w:rsid w:val="004155AD"/>
    <w:rsid w:val="004157D9"/>
    <w:rsid w:val="00415AAD"/>
    <w:rsid w:val="00415B6D"/>
    <w:rsid w:val="00415BF0"/>
    <w:rsid w:val="004160E2"/>
    <w:rsid w:val="00416202"/>
    <w:rsid w:val="00416526"/>
    <w:rsid w:val="0041671B"/>
    <w:rsid w:val="00416811"/>
    <w:rsid w:val="00416B01"/>
    <w:rsid w:val="00416C47"/>
    <w:rsid w:val="00416F34"/>
    <w:rsid w:val="00416F37"/>
    <w:rsid w:val="00417703"/>
    <w:rsid w:val="00417CF8"/>
    <w:rsid w:val="00417D95"/>
    <w:rsid w:val="00417E38"/>
    <w:rsid w:val="00417FB2"/>
    <w:rsid w:val="0042017E"/>
    <w:rsid w:val="004206C5"/>
    <w:rsid w:val="004207D9"/>
    <w:rsid w:val="0042086D"/>
    <w:rsid w:val="0042086E"/>
    <w:rsid w:val="004208E6"/>
    <w:rsid w:val="00420A52"/>
    <w:rsid w:val="00420C04"/>
    <w:rsid w:val="00420DFF"/>
    <w:rsid w:val="004210D1"/>
    <w:rsid w:val="004213AC"/>
    <w:rsid w:val="00421475"/>
    <w:rsid w:val="0042150B"/>
    <w:rsid w:val="00421618"/>
    <w:rsid w:val="0042190E"/>
    <w:rsid w:val="00421B48"/>
    <w:rsid w:val="00421E19"/>
    <w:rsid w:val="00422540"/>
    <w:rsid w:val="0042256A"/>
    <w:rsid w:val="004227EA"/>
    <w:rsid w:val="00422AC4"/>
    <w:rsid w:val="00422FD3"/>
    <w:rsid w:val="0042345A"/>
    <w:rsid w:val="00423515"/>
    <w:rsid w:val="00423646"/>
    <w:rsid w:val="00423830"/>
    <w:rsid w:val="00423833"/>
    <w:rsid w:val="004239B8"/>
    <w:rsid w:val="00423A71"/>
    <w:rsid w:val="00423D49"/>
    <w:rsid w:val="00423FB4"/>
    <w:rsid w:val="0042419F"/>
    <w:rsid w:val="00424240"/>
    <w:rsid w:val="00424257"/>
    <w:rsid w:val="004242C7"/>
    <w:rsid w:val="004242D6"/>
    <w:rsid w:val="0042452D"/>
    <w:rsid w:val="00424719"/>
    <w:rsid w:val="00424771"/>
    <w:rsid w:val="0042480B"/>
    <w:rsid w:val="004248C7"/>
    <w:rsid w:val="00424A97"/>
    <w:rsid w:val="00424B9E"/>
    <w:rsid w:val="00424CC6"/>
    <w:rsid w:val="00424D80"/>
    <w:rsid w:val="00424F4C"/>
    <w:rsid w:val="0042508A"/>
    <w:rsid w:val="00425138"/>
    <w:rsid w:val="00425306"/>
    <w:rsid w:val="0042539A"/>
    <w:rsid w:val="004258D9"/>
    <w:rsid w:val="00425FAB"/>
    <w:rsid w:val="00426483"/>
    <w:rsid w:val="0042680D"/>
    <w:rsid w:val="00426E23"/>
    <w:rsid w:val="00426EA9"/>
    <w:rsid w:val="004271F6"/>
    <w:rsid w:val="00427255"/>
    <w:rsid w:val="00427322"/>
    <w:rsid w:val="004275C2"/>
    <w:rsid w:val="004275C5"/>
    <w:rsid w:val="004276A9"/>
    <w:rsid w:val="004276DE"/>
    <w:rsid w:val="004279FC"/>
    <w:rsid w:val="00427A92"/>
    <w:rsid w:val="00427C44"/>
    <w:rsid w:val="00427D3F"/>
    <w:rsid w:val="00427EF7"/>
    <w:rsid w:val="0043002D"/>
    <w:rsid w:val="00430201"/>
    <w:rsid w:val="0043040D"/>
    <w:rsid w:val="004306B0"/>
    <w:rsid w:val="004306B1"/>
    <w:rsid w:val="004306FB"/>
    <w:rsid w:val="00430807"/>
    <w:rsid w:val="00430825"/>
    <w:rsid w:val="00430ADD"/>
    <w:rsid w:val="00430D27"/>
    <w:rsid w:val="00430E45"/>
    <w:rsid w:val="00430F0B"/>
    <w:rsid w:val="00430F29"/>
    <w:rsid w:val="00430F71"/>
    <w:rsid w:val="0043104A"/>
    <w:rsid w:val="0043130B"/>
    <w:rsid w:val="004313B1"/>
    <w:rsid w:val="0043145F"/>
    <w:rsid w:val="0043161A"/>
    <w:rsid w:val="00431ADD"/>
    <w:rsid w:val="00431C64"/>
    <w:rsid w:val="00431D31"/>
    <w:rsid w:val="00431DF7"/>
    <w:rsid w:val="00431E00"/>
    <w:rsid w:val="00431EAD"/>
    <w:rsid w:val="0043201E"/>
    <w:rsid w:val="00432201"/>
    <w:rsid w:val="0043220D"/>
    <w:rsid w:val="004322E8"/>
    <w:rsid w:val="004322F6"/>
    <w:rsid w:val="0043236C"/>
    <w:rsid w:val="00432472"/>
    <w:rsid w:val="004327BD"/>
    <w:rsid w:val="004329EB"/>
    <w:rsid w:val="00432CB7"/>
    <w:rsid w:val="00432D11"/>
    <w:rsid w:val="00433260"/>
    <w:rsid w:val="0043332F"/>
    <w:rsid w:val="004333DD"/>
    <w:rsid w:val="004334DE"/>
    <w:rsid w:val="00433901"/>
    <w:rsid w:val="00433A30"/>
    <w:rsid w:val="00433A4A"/>
    <w:rsid w:val="00433D4B"/>
    <w:rsid w:val="00433D75"/>
    <w:rsid w:val="004341A3"/>
    <w:rsid w:val="00434259"/>
    <w:rsid w:val="00434838"/>
    <w:rsid w:val="0043497D"/>
    <w:rsid w:val="00434B1C"/>
    <w:rsid w:val="00434BED"/>
    <w:rsid w:val="00434CB4"/>
    <w:rsid w:val="00435018"/>
    <w:rsid w:val="0043545F"/>
    <w:rsid w:val="00435BA9"/>
    <w:rsid w:val="00435D69"/>
    <w:rsid w:val="00435F66"/>
    <w:rsid w:val="00436191"/>
    <w:rsid w:val="004365DB"/>
    <w:rsid w:val="00436971"/>
    <w:rsid w:val="00436B4C"/>
    <w:rsid w:val="00436D31"/>
    <w:rsid w:val="004376DA"/>
    <w:rsid w:val="00437B32"/>
    <w:rsid w:val="00437BD4"/>
    <w:rsid w:val="00437E0F"/>
    <w:rsid w:val="00437F01"/>
    <w:rsid w:val="00440223"/>
    <w:rsid w:val="00440419"/>
    <w:rsid w:val="00440646"/>
    <w:rsid w:val="004407C8"/>
    <w:rsid w:val="00440B04"/>
    <w:rsid w:val="00440D51"/>
    <w:rsid w:val="00441197"/>
    <w:rsid w:val="004411BF"/>
    <w:rsid w:val="004412C1"/>
    <w:rsid w:val="00441348"/>
    <w:rsid w:val="004413BB"/>
    <w:rsid w:val="004415B2"/>
    <w:rsid w:val="004415D9"/>
    <w:rsid w:val="00441799"/>
    <w:rsid w:val="004419BB"/>
    <w:rsid w:val="004419E2"/>
    <w:rsid w:val="00441A97"/>
    <w:rsid w:val="0044213B"/>
    <w:rsid w:val="0044235F"/>
    <w:rsid w:val="004426B2"/>
    <w:rsid w:val="00442899"/>
    <w:rsid w:val="00442DFA"/>
    <w:rsid w:val="00442FF5"/>
    <w:rsid w:val="00443170"/>
    <w:rsid w:val="00443207"/>
    <w:rsid w:val="004435D8"/>
    <w:rsid w:val="00443835"/>
    <w:rsid w:val="00443A61"/>
    <w:rsid w:val="00443A8A"/>
    <w:rsid w:val="00443B47"/>
    <w:rsid w:val="00443C37"/>
    <w:rsid w:val="00443C58"/>
    <w:rsid w:val="00443FB0"/>
    <w:rsid w:val="00443FDD"/>
    <w:rsid w:val="004441E3"/>
    <w:rsid w:val="0044443A"/>
    <w:rsid w:val="00444565"/>
    <w:rsid w:val="00444D19"/>
    <w:rsid w:val="00444DE2"/>
    <w:rsid w:val="004451DD"/>
    <w:rsid w:val="004455BC"/>
    <w:rsid w:val="00445A9A"/>
    <w:rsid w:val="00445ACB"/>
    <w:rsid w:val="00445B6F"/>
    <w:rsid w:val="00445CC2"/>
    <w:rsid w:val="00445E01"/>
    <w:rsid w:val="00446018"/>
    <w:rsid w:val="004460B9"/>
    <w:rsid w:val="00446483"/>
    <w:rsid w:val="00446497"/>
    <w:rsid w:val="0044656F"/>
    <w:rsid w:val="00446581"/>
    <w:rsid w:val="00446758"/>
    <w:rsid w:val="004467AE"/>
    <w:rsid w:val="00446819"/>
    <w:rsid w:val="0044681A"/>
    <w:rsid w:val="00446890"/>
    <w:rsid w:val="004468CF"/>
    <w:rsid w:val="00446910"/>
    <w:rsid w:val="00446BA4"/>
    <w:rsid w:val="00446D1C"/>
    <w:rsid w:val="00446D35"/>
    <w:rsid w:val="00446EE7"/>
    <w:rsid w:val="00446FEE"/>
    <w:rsid w:val="0044713A"/>
    <w:rsid w:val="00447300"/>
    <w:rsid w:val="004474DF"/>
    <w:rsid w:val="00447500"/>
    <w:rsid w:val="0044782F"/>
    <w:rsid w:val="004478BF"/>
    <w:rsid w:val="00447BF7"/>
    <w:rsid w:val="00447D29"/>
    <w:rsid w:val="00450084"/>
    <w:rsid w:val="00450223"/>
    <w:rsid w:val="004502B3"/>
    <w:rsid w:val="00450398"/>
    <w:rsid w:val="00450629"/>
    <w:rsid w:val="0045069D"/>
    <w:rsid w:val="00450747"/>
    <w:rsid w:val="00450929"/>
    <w:rsid w:val="00450940"/>
    <w:rsid w:val="00450A09"/>
    <w:rsid w:val="00450A4D"/>
    <w:rsid w:val="00450D0B"/>
    <w:rsid w:val="00450DFB"/>
    <w:rsid w:val="00450FBE"/>
    <w:rsid w:val="004510AE"/>
    <w:rsid w:val="00451234"/>
    <w:rsid w:val="0045127C"/>
    <w:rsid w:val="0045178D"/>
    <w:rsid w:val="004519A6"/>
    <w:rsid w:val="00451CDC"/>
    <w:rsid w:val="00451E9F"/>
    <w:rsid w:val="00452328"/>
    <w:rsid w:val="004525AF"/>
    <w:rsid w:val="004527FE"/>
    <w:rsid w:val="00452FD9"/>
    <w:rsid w:val="004530D2"/>
    <w:rsid w:val="004530F5"/>
    <w:rsid w:val="004533E5"/>
    <w:rsid w:val="004534D8"/>
    <w:rsid w:val="0045363C"/>
    <w:rsid w:val="004537FF"/>
    <w:rsid w:val="004539D8"/>
    <w:rsid w:val="00453E16"/>
    <w:rsid w:val="004540B0"/>
    <w:rsid w:val="004540BF"/>
    <w:rsid w:val="00454341"/>
    <w:rsid w:val="00454367"/>
    <w:rsid w:val="00454731"/>
    <w:rsid w:val="0045477E"/>
    <w:rsid w:val="00454897"/>
    <w:rsid w:val="00454AC9"/>
    <w:rsid w:val="00455068"/>
    <w:rsid w:val="00455474"/>
    <w:rsid w:val="0045549E"/>
    <w:rsid w:val="00455787"/>
    <w:rsid w:val="00455A76"/>
    <w:rsid w:val="00455E88"/>
    <w:rsid w:val="0045629A"/>
    <w:rsid w:val="004562A1"/>
    <w:rsid w:val="00456464"/>
    <w:rsid w:val="004565EA"/>
    <w:rsid w:val="00456726"/>
    <w:rsid w:val="00456798"/>
    <w:rsid w:val="00456A68"/>
    <w:rsid w:val="00456ADC"/>
    <w:rsid w:val="00456DCE"/>
    <w:rsid w:val="0045721E"/>
    <w:rsid w:val="004579DE"/>
    <w:rsid w:val="00457C1C"/>
    <w:rsid w:val="00457D76"/>
    <w:rsid w:val="00457F05"/>
    <w:rsid w:val="0046012B"/>
    <w:rsid w:val="004608B8"/>
    <w:rsid w:val="00460907"/>
    <w:rsid w:val="00460DF6"/>
    <w:rsid w:val="00460FAB"/>
    <w:rsid w:val="004612D6"/>
    <w:rsid w:val="004615F5"/>
    <w:rsid w:val="00461724"/>
    <w:rsid w:val="004619BA"/>
    <w:rsid w:val="004619F8"/>
    <w:rsid w:val="00461D91"/>
    <w:rsid w:val="00461FE8"/>
    <w:rsid w:val="004620A7"/>
    <w:rsid w:val="00462264"/>
    <w:rsid w:val="00462362"/>
    <w:rsid w:val="00462746"/>
    <w:rsid w:val="00462865"/>
    <w:rsid w:val="00462C2E"/>
    <w:rsid w:val="00462C87"/>
    <w:rsid w:val="00462DEC"/>
    <w:rsid w:val="00462EAA"/>
    <w:rsid w:val="00463562"/>
    <w:rsid w:val="00463996"/>
    <w:rsid w:val="00463B07"/>
    <w:rsid w:val="00463CB2"/>
    <w:rsid w:val="00463DA5"/>
    <w:rsid w:val="00464957"/>
    <w:rsid w:val="00464CD6"/>
    <w:rsid w:val="00464E67"/>
    <w:rsid w:val="00464F1F"/>
    <w:rsid w:val="00464F93"/>
    <w:rsid w:val="00464FB2"/>
    <w:rsid w:val="00464FB6"/>
    <w:rsid w:val="00465014"/>
    <w:rsid w:val="004651E5"/>
    <w:rsid w:val="0046539C"/>
    <w:rsid w:val="004653A8"/>
    <w:rsid w:val="00465499"/>
    <w:rsid w:val="00465512"/>
    <w:rsid w:val="0046560A"/>
    <w:rsid w:val="004656D3"/>
    <w:rsid w:val="004656E4"/>
    <w:rsid w:val="004657E0"/>
    <w:rsid w:val="00465807"/>
    <w:rsid w:val="00465AD3"/>
    <w:rsid w:val="00465CB7"/>
    <w:rsid w:val="00465F5A"/>
    <w:rsid w:val="00466030"/>
    <w:rsid w:val="00466126"/>
    <w:rsid w:val="00466157"/>
    <w:rsid w:val="0046658C"/>
    <w:rsid w:val="004666CF"/>
    <w:rsid w:val="004666F9"/>
    <w:rsid w:val="004669EA"/>
    <w:rsid w:val="00466A85"/>
    <w:rsid w:val="00466B8C"/>
    <w:rsid w:val="00466E79"/>
    <w:rsid w:val="00467452"/>
    <w:rsid w:val="004676F1"/>
    <w:rsid w:val="0046776E"/>
    <w:rsid w:val="00467817"/>
    <w:rsid w:val="004678BA"/>
    <w:rsid w:val="00467CD8"/>
    <w:rsid w:val="00470062"/>
    <w:rsid w:val="00470064"/>
    <w:rsid w:val="004700BA"/>
    <w:rsid w:val="004700D0"/>
    <w:rsid w:val="004700F3"/>
    <w:rsid w:val="004702C8"/>
    <w:rsid w:val="00470418"/>
    <w:rsid w:val="0047077B"/>
    <w:rsid w:val="00470989"/>
    <w:rsid w:val="00470FEC"/>
    <w:rsid w:val="004710AD"/>
    <w:rsid w:val="00471893"/>
    <w:rsid w:val="00471950"/>
    <w:rsid w:val="00471BD1"/>
    <w:rsid w:val="00471E87"/>
    <w:rsid w:val="00471E97"/>
    <w:rsid w:val="00471EDE"/>
    <w:rsid w:val="00471F82"/>
    <w:rsid w:val="004720CE"/>
    <w:rsid w:val="004721A5"/>
    <w:rsid w:val="00472566"/>
    <w:rsid w:val="00472633"/>
    <w:rsid w:val="0047271A"/>
    <w:rsid w:val="00472B28"/>
    <w:rsid w:val="00472C63"/>
    <w:rsid w:val="00472D82"/>
    <w:rsid w:val="0047333A"/>
    <w:rsid w:val="00473512"/>
    <w:rsid w:val="004735BA"/>
    <w:rsid w:val="0047363E"/>
    <w:rsid w:val="00473694"/>
    <w:rsid w:val="00473867"/>
    <w:rsid w:val="00473972"/>
    <w:rsid w:val="00473AF8"/>
    <w:rsid w:val="004740BA"/>
    <w:rsid w:val="0047453F"/>
    <w:rsid w:val="00474628"/>
    <w:rsid w:val="0047479B"/>
    <w:rsid w:val="00474883"/>
    <w:rsid w:val="004748BB"/>
    <w:rsid w:val="004748DC"/>
    <w:rsid w:val="004748E0"/>
    <w:rsid w:val="00474A2A"/>
    <w:rsid w:val="00474B96"/>
    <w:rsid w:val="00474BAA"/>
    <w:rsid w:val="00474E07"/>
    <w:rsid w:val="00474F99"/>
    <w:rsid w:val="0047509B"/>
    <w:rsid w:val="0047520F"/>
    <w:rsid w:val="0047527A"/>
    <w:rsid w:val="00475550"/>
    <w:rsid w:val="004755B5"/>
    <w:rsid w:val="00475A61"/>
    <w:rsid w:val="00475C13"/>
    <w:rsid w:val="00475CEA"/>
    <w:rsid w:val="004761F7"/>
    <w:rsid w:val="00476862"/>
    <w:rsid w:val="00476871"/>
    <w:rsid w:val="00476CC6"/>
    <w:rsid w:val="00476CD6"/>
    <w:rsid w:val="00477019"/>
    <w:rsid w:val="004770F2"/>
    <w:rsid w:val="004772B2"/>
    <w:rsid w:val="00477A05"/>
    <w:rsid w:val="00477E7A"/>
    <w:rsid w:val="00480090"/>
    <w:rsid w:val="00480154"/>
    <w:rsid w:val="0048021B"/>
    <w:rsid w:val="00480234"/>
    <w:rsid w:val="0048067C"/>
    <w:rsid w:val="0048071B"/>
    <w:rsid w:val="004807C5"/>
    <w:rsid w:val="004809E1"/>
    <w:rsid w:val="00480A3F"/>
    <w:rsid w:val="00480A72"/>
    <w:rsid w:val="00480C2B"/>
    <w:rsid w:val="00480CDC"/>
    <w:rsid w:val="00480E4B"/>
    <w:rsid w:val="00481189"/>
    <w:rsid w:val="004815C1"/>
    <w:rsid w:val="00481732"/>
    <w:rsid w:val="004819FD"/>
    <w:rsid w:val="0048235F"/>
    <w:rsid w:val="0048253B"/>
    <w:rsid w:val="0048290B"/>
    <w:rsid w:val="00483680"/>
    <w:rsid w:val="00483809"/>
    <w:rsid w:val="0048395D"/>
    <w:rsid w:val="00483A6F"/>
    <w:rsid w:val="00483B99"/>
    <w:rsid w:val="00484147"/>
    <w:rsid w:val="00484290"/>
    <w:rsid w:val="00484851"/>
    <w:rsid w:val="0048493F"/>
    <w:rsid w:val="004849D4"/>
    <w:rsid w:val="00484CA1"/>
    <w:rsid w:val="00484E48"/>
    <w:rsid w:val="00485034"/>
    <w:rsid w:val="0048505F"/>
    <w:rsid w:val="00485377"/>
    <w:rsid w:val="004854C8"/>
    <w:rsid w:val="004859F3"/>
    <w:rsid w:val="00485CE2"/>
    <w:rsid w:val="00485F88"/>
    <w:rsid w:val="004860A2"/>
    <w:rsid w:val="00486279"/>
    <w:rsid w:val="004863F7"/>
    <w:rsid w:val="004864C9"/>
    <w:rsid w:val="00486626"/>
    <w:rsid w:val="0048668F"/>
    <w:rsid w:val="0048671B"/>
    <w:rsid w:val="00486A4A"/>
    <w:rsid w:val="00486ADA"/>
    <w:rsid w:val="00486B14"/>
    <w:rsid w:val="00486DA0"/>
    <w:rsid w:val="00486DEF"/>
    <w:rsid w:val="004870BA"/>
    <w:rsid w:val="004871D9"/>
    <w:rsid w:val="004871F5"/>
    <w:rsid w:val="00487566"/>
    <w:rsid w:val="00487A0B"/>
    <w:rsid w:val="00487B9D"/>
    <w:rsid w:val="00487BAC"/>
    <w:rsid w:val="00487D81"/>
    <w:rsid w:val="00490A52"/>
    <w:rsid w:val="00490D80"/>
    <w:rsid w:val="00490DF0"/>
    <w:rsid w:val="00490E56"/>
    <w:rsid w:val="00490F39"/>
    <w:rsid w:val="00491123"/>
    <w:rsid w:val="00491241"/>
    <w:rsid w:val="00491AFD"/>
    <w:rsid w:val="00491C34"/>
    <w:rsid w:val="00491C93"/>
    <w:rsid w:val="00491D28"/>
    <w:rsid w:val="00491ED3"/>
    <w:rsid w:val="0049205C"/>
    <w:rsid w:val="004925F7"/>
    <w:rsid w:val="004929E8"/>
    <w:rsid w:val="00492BB6"/>
    <w:rsid w:val="00492E7D"/>
    <w:rsid w:val="00492FB1"/>
    <w:rsid w:val="0049304D"/>
    <w:rsid w:val="00493199"/>
    <w:rsid w:val="004937FE"/>
    <w:rsid w:val="0049388A"/>
    <w:rsid w:val="00493AD9"/>
    <w:rsid w:val="00493B57"/>
    <w:rsid w:val="00493F60"/>
    <w:rsid w:val="0049450A"/>
    <w:rsid w:val="0049455F"/>
    <w:rsid w:val="0049464C"/>
    <w:rsid w:val="0049482C"/>
    <w:rsid w:val="004949CE"/>
    <w:rsid w:val="00494B3A"/>
    <w:rsid w:val="00494E96"/>
    <w:rsid w:val="00494EC6"/>
    <w:rsid w:val="00495BDB"/>
    <w:rsid w:val="00495E48"/>
    <w:rsid w:val="004961CE"/>
    <w:rsid w:val="00496303"/>
    <w:rsid w:val="0049657D"/>
    <w:rsid w:val="0049660C"/>
    <w:rsid w:val="00496634"/>
    <w:rsid w:val="0049663B"/>
    <w:rsid w:val="00496785"/>
    <w:rsid w:val="00496B26"/>
    <w:rsid w:val="00496BA9"/>
    <w:rsid w:val="00496D19"/>
    <w:rsid w:val="004970CF"/>
    <w:rsid w:val="004971AF"/>
    <w:rsid w:val="00497370"/>
    <w:rsid w:val="0049741F"/>
    <w:rsid w:val="00497437"/>
    <w:rsid w:val="0049752C"/>
    <w:rsid w:val="004976FD"/>
    <w:rsid w:val="00497905"/>
    <w:rsid w:val="004979A8"/>
    <w:rsid w:val="00497ACD"/>
    <w:rsid w:val="00497C7D"/>
    <w:rsid w:val="004A0027"/>
    <w:rsid w:val="004A00FB"/>
    <w:rsid w:val="004A0125"/>
    <w:rsid w:val="004A0221"/>
    <w:rsid w:val="004A0341"/>
    <w:rsid w:val="004A071F"/>
    <w:rsid w:val="004A0739"/>
    <w:rsid w:val="004A07F0"/>
    <w:rsid w:val="004A0E08"/>
    <w:rsid w:val="004A0E13"/>
    <w:rsid w:val="004A1405"/>
    <w:rsid w:val="004A160D"/>
    <w:rsid w:val="004A1789"/>
    <w:rsid w:val="004A19E9"/>
    <w:rsid w:val="004A1D74"/>
    <w:rsid w:val="004A1EAA"/>
    <w:rsid w:val="004A1F6E"/>
    <w:rsid w:val="004A2216"/>
    <w:rsid w:val="004A2273"/>
    <w:rsid w:val="004A2284"/>
    <w:rsid w:val="004A22ED"/>
    <w:rsid w:val="004A233F"/>
    <w:rsid w:val="004A2457"/>
    <w:rsid w:val="004A2900"/>
    <w:rsid w:val="004A292E"/>
    <w:rsid w:val="004A2A68"/>
    <w:rsid w:val="004A2B76"/>
    <w:rsid w:val="004A2C4F"/>
    <w:rsid w:val="004A2C55"/>
    <w:rsid w:val="004A2E1E"/>
    <w:rsid w:val="004A2F67"/>
    <w:rsid w:val="004A2FB7"/>
    <w:rsid w:val="004A3781"/>
    <w:rsid w:val="004A3924"/>
    <w:rsid w:val="004A3B95"/>
    <w:rsid w:val="004A3E1A"/>
    <w:rsid w:val="004A40B8"/>
    <w:rsid w:val="004A4245"/>
    <w:rsid w:val="004A4918"/>
    <w:rsid w:val="004A4CA8"/>
    <w:rsid w:val="004A4E69"/>
    <w:rsid w:val="004A4F92"/>
    <w:rsid w:val="004A5101"/>
    <w:rsid w:val="004A5203"/>
    <w:rsid w:val="004A53CA"/>
    <w:rsid w:val="004A55CE"/>
    <w:rsid w:val="004A58AE"/>
    <w:rsid w:val="004A5DB9"/>
    <w:rsid w:val="004A5F6A"/>
    <w:rsid w:val="004A5F6D"/>
    <w:rsid w:val="004A60DD"/>
    <w:rsid w:val="004A63BA"/>
    <w:rsid w:val="004A6750"/>
    <w:rsid w:val="004A6EF5"/>
    <w:rsid w:val="004A6F8F"/>
    <w:rsid w:val="004A72B7"/>
    <w:rsid w:val="004A745A"/>
    <w:rsid w:val="004A7B48"/>
    <w:rsid w:val="004A7EBD"/>
    <w:rsid w:val="004B004B"/>
    <w:rsid w:val="004B04AC"/>
    <w:rsid w:val="004B099E"/>
    <w:rsid w:val="004B0A99"/>
    <w:rsid w:val="004B0B8E"/>
    <w:rsid w:val="004B14D6"/>
    <w:rsid w:val="004B1532"/>
    <w:rsid w:val="004B15C1"/>
    <w:rsid w:val="004B1F89"/>
    <w:rsid w:val="004B21D2"/>
    <w:rsid w:val="004B23E6"/>
    <w:rsid w:val="004B24A2"/>
    <w:rsid w:val="004B24BF"/>
    <w:rsid w:val="004B2614"/>
    <w:rsid w:val="004B298E"/>
    <w:rsid w:val="004B2A04"/>
    <w:rsid w:val="004B2B6E"/>
    <w:rsid w:val="004B2BC7"/>
    <w:rsid w:val="004B2E8A"/>
    <w:rsid w:val="004B3277"/>
    <w:rsid w:val="004B332E"/>
    <w:rsid w:val="004B335D"/>
    <w:rsid w:val="004B36F3"/>
    <w:rsid w:val="004B3C39"/>
    <w:rsid w:val="004B3DF8"/>
    <w:rsid w:val="004B49C9"/>
    <w:rsid w:val="004B4A53"/>
    <w:rsid w:val="004B4B4B"/>
    <w:rsid w:val="004B4C1F"/>
    <w:rsid w:val="004B51FD"/>
    <w:rsid w:val="004B536E"/>
    <w:rsid w:val="004B57FA"/>
    <w:rsid w:val="004B5992"/>
    <w:rsid w:val="004B5B9A"/>
    <w:rsid w:val="004B5BC1"/>
    <w:rsid w:val="004B5C3D"/>
    <w:rsid w:val="004B6268"/>
    <w:rsid w:val="004B6441"/>
    <w:rsid w:val="004B6529"/>
    <w:rsid w:val="004B6DB2"/>
    <w:rsid w:val="004B6FB5"/>
    <w:rsid w:val="004B6FE3"/>
    <w:rsid w:val="004B7041"/>
    <w:rsid w:val="004B70B2"/>
    <w:rsid w:val="004B71F0"/>
    <w:rsid w:val="004B72D6"/>
    <w:rsid w:val="004B74CA"/>
    <w:rsid w:val="004B7634"/>
    <w:rsid w:val="004B7650"/>
    <w:rsid w:val="004B767B"/>
    <w:rsid w:val="004B7A86"/>
    <w:rsid w:val="004B7B57"/>
    <w:rsid w:val="004B7D5F"/>
    <w:rsid w:val="004C0B34"/>
    <w:rsid w:val="004C0D23"/>
    <w:rsid w:val="004C123B"/>
    <w:rsid w:val="004C166D"/>
    <w:rsid w:val="004C1827"/>
    <w:rsid w:val="004C19D4"/>
    <w:rsid w:val="004C1BF8"/>
    <w:rsid w:val="004C1C36"/>
    <w:rsid w:val="004C1D3F"/>
    <w:rsid w:val="004C1DB1"/>
    <w:rsid w:val="004C1F9E"/>
    <w:rsid w:val="004C2086"/>
    <w:rsid w:val="004C2220"/>
    <w:rsid w:val="004C2ADD"/>
    <w:rsid w:val="004C33BB"/>
    <w:rsid w:val="004C3C0C"/>
    <w:rsid w:val="004C4077"/>
    <w:rsid w:val="004C421D"/>
    <w:rsid w:val="004C4222"/>
    <w:rsid w:val="004C44B1"/>
    <w:rsid w:val="004C459B"/>
    <w:rsid w:val="004C4855"/>
    <w:rsid w:val="004C4A4F"/>
    <w:rsid w:val="004C5020"/>
    <w:rsid w:val="004C5168"/>
    <w:rsid w:val="004C5170"/>
    <w:rsid w:val="004C58A3"/>
    <w:rsid w:val="004C5ACB"/>
    <w:rsid w:val="004C5E64"/>
    <w:rsid w:val="004C5E8A"/>
    <w:rsid w:val="004C5EA1"/>
    <w:rsid w:val="004C5FD4"/>
    <w:rsid w:val="004C6111"/>
    <w:rsid w:val="004C6189"/>
    <w:rsid w:val="004C6210"/>
    <w:rsid w:val="004C6598"/>
    <w:rsid w:val="004C6940"/>
    <w:rsid w:val="004C6962"/>
    <w:rsid w:val="004C6AC3"/>
    <w:rsid w:val="004C6D1E"/>
    <w:rsid w:val="004C7049"/>
    <w:rsid w:val="004C70EF"/>
    <w:rsid w:val="004C72CD"/>
    <w:rsid w:val="004C7438"/>
    <w:rsid w:val="004C7457"/>
    <w:rsid w:val="004C7727"/>
    <w:rsid w:val="004C795C"/>
    <w:rsid w:val="004C7BCF"/>
    <w:rsid w:val="004C7CFB"/>
    <w:rsid w:val="004D0190"/>
    <w:rsid w:val="004D04A6"/>
    <w:rsid w:val="004D05AF"/>
    <w:rsid w:val="004D061C"/>
    <w:rsid w:val="004D0717"/>
    <w:rsid w:val="004D087F"/>
    <w:rsid w:val="004D0892"/>
    <w:rsid w:val="004D094C"/>
    <w:rsid w:val="004D0B9F"/>
    <w:rsid w:val="004D0BA0"/>
    <w:rsid w:val="004D0CF5"/>
    <w:rsid w:val="004D1113"/>
    <w:rsid w:val="004D13B2"/>
    <w:rsid w:val="004D152F"/>
    <w:rsid w:val="004D1719"/>
    <w:rsid w:val="004D1773"/>
    <w:rsid w:val="004D18D5"/>
    <w:rsid w:val="004D1A7C"/>
    <w:rsid w:val="004D1C32"/>
    <w:rsid w:val="004D1C4B"/>
    <w:rsid w:val="004D1FC9"/>
    <w:rsid w:val="004D2527"/>
    <w:rsid w:val="004D29DE"/>
    <w:rsid w:val="004D2A71"/>
    <w:rsid w:val="004D2FE2"/>
    <w:rsid w:val="004D31F6"/>
    <w:rsid w:val="004D33DB"/>
    <w:rsid w:val="004D34E1"/>
    <w:rsid w:val="004D3751"/>
    <w:rsid w:val="004D37C8"/>
    <w:rsid w:val="004D3D1C"/>
    <w:rsid w:val="004D3D79"/>
    <w:rsid w:val="004D4003"/>
    <w:rsid w:val="004D4572"/>
    <w:rsid w:val="004D4A9C"/>
    <w:rsid w:val="004D4AA7"/>
    <w:rsid w:val="004D4E6B"/>
    <w:rsid w:val="004D4F2A"/>
    <w:rsid w:val="004D4F80"/>
    <w:rsid w:val="004D5067"/>
    <w:rsid w:val="004D5B54"/>
    <w:rsid w:val="004D5E58"/>
    <w:rsid w:val="004D5EA6"/>
    <w:rsid w:val="004D5FD9"/>
    <w:rsid w:val="004D63CD"/>
    <w:rsid w:val="004D6756"/>
    <w:rsid w:val="004D6775"/>
    <w:rsid w:val="004D69B0"/>
    <w:rsid w:val="004D6E87"/>
    <w:rsid w:val="004D7139"/>
    <w:rsid w:val="004D71D6"/>
    <w:rsid w:val="004D72FF"/>
    <w:rsid w:val="004D77DF"/>
    <w:rsid w:val="004D7983"/>
    <w:rsid w:val="004D7EE9"/>
    <w:rsid w:val="004D7F62"/>
    <w:rsid w:val="004E0733"/>
    <w:rsid w:val="004E0D07"/>
    <w:rsid w:val="004E0E0B"/>
    <w:rsid w:val="004E1032"/>
    <w:rsid w:val="004E1827"/>
    <w:rsid w:val="004E1884"/>
    <w:rsid w:val="004E1978"/>
    <w:rsid w:val="004E1AE8"/>
    <w:rsid w:val="004E1C8F"/>
    <w:rsid w:val="004E1EDD"/>
    <w:rsid w:val="004E211B"/>
    <w:rsid w:val="004E223A"/>
    <w:rsid w:val="004E227F"/>
    <w:rsid w:val="004E236C"/>
    <w:rsid w:val="004E238B"/>
    <w:rsid w:val="004E254B"/>
    <w:rsid w:val="004E25C5"/>
    <w:rsid w:val="004E2783"/>
    <w:rsid w:val="004E29D3"/>
    <w:rsid w:val="004E2DAD"/>
    <w:rsid w:val="004E2E09"/>
    <w:rsid w:val="004E2EAC"/>
    <w:rsid w:val="004E2F8E"/>
    <w:rsid w:val="004E3161"/>
    <w:rsid w:val="004E3283"/>
    <w:rsid w:val="004E338B"/>
    <w:rsid w:val="004E3610"/>
    <w:rsid w:val="004E389D"/>
    <w:rsid w:val="004E430C"/>
    <w:rsid w:val="004E48C9"/>
    <w:rsid w:val="004E495C"/>
    <w:rsid w:val="004E4A2D"/>
    <w:rsid w:val="004E4A44"/>
    <w:rsid w:val="004E4B79"/>
    <w:rsid w:val="004E4C34"/>
    <w:rsid w:val="004E4DB4"/>
    <w:rsid w:val="004E4F16"/>
    <w:rsid w:val="004E53BE"/>
    <w:rsid w:val="004E55FB"/>
    <w:rsid w:val="004E5697"/>
    <w:rsid w:val="004E5A13"/>
    <w:rsid w:val="004E5C39"/>
    <w:rsid w:val="004E5D2B"/>
    <w:rsid w:val="004E6068"/>
    <w:rsid w:val="004E60BA"/>
    <w:rsid w:val="004E60F3"/>
    <w:rsid w:val="004E61CC"/>
    <w:rsid w:val="004E6289"/>
    <w:rsid w:val="004E6615"/>
    <w:rsid w:val="004E67F5"/>
    <w:rsid w:val="004E6A49"/>
    <w:rsid w:val="004E6B99"/>
    <w:rsid w:val="004E6D06"/>
    <w:rsid w:val="004E74F4"/>
    <w:rsid w:val="004E7684"/>
    <w:rsid w:val="004E77A4"/>
    <w:rsid w:val="004E7890"/>
    <w:rsid w:val="004E7C33"/>
    <w:rsid w:val="004E7F62"/>
    <w:rsid w:val="004F0012"/>
    <w:rsid w:val="004F03F7"/>
    <w:rsid w:val="004F0820"/>
    <w:rsid w:val="004F0984"/>
    <w:rsid w:val="004F0E93"/>
    <w:rsid w:val="004F10F4"/>
    <w:rsid w:val="004F1211"/>
    <w:rsid w:val="004F1290"/>
    <w:rsid w:val="004F14D0"/>
    <w:rsid w:val="004F14DB"/>
    <w:rsid w:val="004F14EB"/>
    <w:rsid w:val="004F2106"/>
    <w:rsid w:val="004F23E1"/>
    <w:rsid w:val="004F24BE"/>
    <w:rsid w:val="004F2A37"/>
    <w:rsid w:val="004F2B89"/>
    <w:rsid w:val="004F2BF8"/>
    <w:rsid w:val="004F2F1B"/>
    <w:rsid w:val="004F2F84"/>
    <w:rsid w:val="004F34CE"/>
    <w:rsid w:val="004F35BD"/>
    <w:rsid w:val="004F3A1F"/>
    <w:rsid w:val="004F3B2E"/>
    <w:rsid w:val="004F3DCE"/>
    <w:rsid w:val="004F3F47"/>
    <w:rsid w:val="004F401A"/>
    <w:rsid w:val="004F42DE"/>
    <w:rsid w:val="004F4440"/>
    <w:rsid w:val="004F44CA"/>
    <w:rsid w:val="004F48D6"/>
    <w:rsid w:val="004F4AAE"/>
    <w:rsid w:val="004F4C94"/>
    <w:rsid w:val="004F50CB"/>
    <w:rsid w:val="004F5108"/>
    <w:rsid w:val="004F5674"/>
    <w:rsid w:val="004F5725"/>
    <w:rsid w:val="004F58A8"/>
    <w:rsid w:val="004F5938"/>
    <w:rsid w:val="004F5DC8"/>
    <w:rsid w:val="004F5EFE"/>
    <w:rsid w:val="004F5FAC"/>
    <w:rsid w:val="004F60C1"/>
    <w:rsid w:val="004F6427"/>
    <w:rsid w:val="004F65CD"/>
    <w:rsid w:val="004F67AB"/>
    <w:rsid w:val="004F6CF8"/>
    <w:rsid w:val="004F6D75"/>
    <w:rsid w:val="004F6E02"/>
    <w:rsid w:val="004F701F"/>
    <w:rsid w:val="004F73A5"/>
    <w:rsid w:val="004F74B4"/>
    <w:rsid w:val="004F75D2"/>
    <w:rsid w:val="004F76A4"/>
    <w:rsid w:val="004F7A98"/>
    <w:rsid w:val="004F7E58"/>
    <w:rsid w:val="0050004D"/>
    <w:rsid w:val="005002D6"/>
    <w:rsid w:val="0050041F"/>
    <w:rsid w:val="00500974"/>
    <w:rsid w:val="005009B8"/>
    <w:rsid w:val="00500C9A"/>
    <w:rsid w:val="00500CC1"/>
    <w:rsid w:val="0050106C"/>
    <w:rsid w:val="00501182"/>
    <w:rsid w:val="005011E5"/>
    <w:rsid w:val="005015C7"/>
    <w:rsid w:val="005015F1"/>
    <w:rsid w:val="00501705"/>
    <w:rsid w:val="005017CB"/>
    <w:rsid w:val="00501AA4"/>
    <w:rsid w:val="00501B66"/>
    <w:rsid w:val="00501BBF"/>
    <w:rsid w:val="00502084"/>
    <w:rsid w:val="005025E2"/>
    <w:rsid w:val="00502B8D"/>
    <w:rsid w:val="00502C19"/>
    <w:rsid w:val="00503044"/>
    <w:rsid w:val="005031AF"/>
    <w:rsid w:val="005032BD"/>
    <w:rsid w:val="00503385"/>
    <w:rsid w:val="0050353B"/>
    <w:rsid w:val="00503654"/>
    <w:rsid w:val="005038CC"/>
    <w:rsid w:val="00503DDE"/>
    <w:rsid w:val="00503FD1"/>
    <w:rsid w:val="00503FD7"/>
    <w:rsid w:val="0050406A"/>
    <w:rsid w:val="00504371"/>
    <w:rsid w:val="00504E9A"/>
    <w:rsid w:val="00504F3F"/>
    <w:rsid w:val="005053ED"/>
    <w:rsid w:val="005056D3"/>
    <w:rsid w:val="005058BE"/>
    <w:rsid w:val="00505A61"/>
    <w:rsid w:val="0050673F"/>
    <w:rsid w:val="00506E06"/>
    <w:rsid w:val="0050705A"/>
    <w:rsid w:val="0050723E"/>
    <w:rsid w:val="00507627"/>
    <w:rsid w:val="00507A12"/>
    <w:rsid w:val="00507A43"/>
    <w:rsid w:val="00507AB5"/>
    <w:rsid w:val="00507C1B"/>
    <w:rsid w:val="00507D67"/>
    <w:rsid w:val="00510022"/>
    <w:rsid w:val="00510040"/>
    <w:rsid w:val="0051059E"/>
    <w:rsid w:val="005106C2"/>
    <w:rsid w:val="00510A28"/>
    <w:rsid w:val="0051111D"/>
    <w:rsid w:val="00511304"/>
    <w:rsid w:val="0051177D"/>
    <w:rsid w:val="00511A0B"/>
    <w:rsid w:val="00511A3F"/>
    <w:rsid w:val="00511B5D"/>
    <w:rsid w:val="00511C7A"/>
    <w:rsid w:val="00511D55"/>
    <w:rsid w:val="0051201D"/>
    <w:rsid w:val="00512106"/>
    <w:rsid w:val="00512152"/>
    <w:rsid w:val="0051215C"/>
    <w:rsid w:val="005123E4"/>
    <w:rsid w:val="005123FB"/>
    <w:rsid w:val="00512564"/>
    <w:rsid w:val="0051266A"/>
    <w:rsid w:val="00512742"/>
    <w:rsid w:val="005128D7"/>
    <w:rsid w:val="00512B56"/>
    <w:rsid w:val="00512D6F"/>
    <w:rsid w:val="00512F00"/>
    <w:rsid w:val="005132D9"/>
    <w:rsid w:val="00513439"/>
    <w:rsid w:val="00513445"/>
    <w:rsid w:val="00513677"/>
    <w:rsid w:val="005136F4"/>
    <w:rsid w:val="0051385F"/>
    <w:rsid w:val="00513948"/>
    <w:rsid w:val="00513B74"/>
    <w:rsid w:val="00513BB1"/>
    <w:rsid w:val="00513E49"/>
    <w:rsid w:val="00514210"/>
    <w:rsid w:val="005143B5"/>
    <w:rsid w:val="0051456C"/>
    <w:rsid w:val="00514A5E"/>
    <w:rsid w:val="00514B7C"/>
    <w:rsid w:val="00514D41"/>
    <w:rsid w:val="00515443"/>
    <w:rsid w:val="005156DD"/>
    <w:rsid w:val="005156F6"/>
    <w:rsid w:val="0051580E"/>
    <w:rsid w:val="005159F5"/>
    <w:rsid w:val="00515AA3"/>
    <w:rsid w:val="00515E88"/>
    <w:rsid w:val="00515EFB"/>
    <w:rsid w:val="0051618F"/>
    <w:rsid w:val="005163DF"/>
    <w:rsid w:val="00516678"/>
    <w:rsid w:val="00516B57"/>
    <w:rsid w:val="00516DC7"/>
    <w:rsid w:val="005173F0"/>
    <w:rsid w:val="00517514"/>
    <w:rsid w:val="0051752C"/>
    <w:rsid w:val="005178DF"/>
    <w:rsid w:val="00520158"/>
    <w:rsid w:val="005203C5"/>
    <w:rsid w:val="0052077E"/>
    <w:rsid w:val="00520A4B"/>
    <w:rsid w:val="00520AB0"/>
    <w:rsid w:val="005210C9"/>
    <w:rsid w:val="005218DC"/>
    <w:rsid w:val="005219E9"/>
    <w:rsid w:val="00521C5A"/>
    <w:rsid w:val="00521F05"/>
    <w:rsid w:val="00521F2F"/>
    <w:rsid w:val="005221A3"/>
    <w:rsid w:val="00522357"/>
    <w:rsid w:val="00522C6C"/>
    <w:rsid w:val="005230C5"/>
    <w:rsid w:val="0052312C"/>
    <w:rsid w:val="005236B0"/>
    <w:rsid w:val="005236F5"/>
    <w:rsid w:val="005237D3"/>
    <w:rsid w:val="00523880"/>
    <w:rsid w:val="00523A7E"/>
    <w:rsid w:val="00523B42"/>
    <w:rsid w:val="00523F8E"/>
    <w:rsid w:val="00524713"/>
    <w:rsid w:val="00524869"/>
    <w:rsid w:val="00524936"/>
    <w:rsid w:val="00524E5B"/>
    <w:rsid w:val="005253AC"/>
    <w:rsid w:val="005253DC"/>
    <w:rsid w:val="00525527"/>
    <w:rsid w:val="00525545"/>
    <w:rsid w:val="00525573"/>
    <w:rsid w:val="00525EF5"/>
    <w:rsid w:val="005261CA"/>
    <w:rsid w:val="00526B6D"/>
    <w:rsid w:val="00526F74"/>
    <w:rsid w:val="005270A8"/>
    <w:rsid w:val="00527507"/>
    <w:rsid w:val="00527533"/>
    <w:rsid w:val="00527A0A"/>
    <w:rsid w:val="00527B77"/>
    <w:rsid w:val="00527C22"/>
    <w:rsid w:val="00527E4C"/>
    <w:rsid w:val="0053004E"/>
    <w:rsid w:val="005307FC"/>
    <w:rsid w:val="00530893"/>
    <w:rsid w:val="00530955"/>
    <w:rsid w:val="00530F92"/>
    <w:rsid w:val="005310E8"/>
    <w:rsid w:val="0053185B"/>
    <w:rsid w:val="005318BA"/>
    <w:rsid w:val="00531A70"/>
    <w:rsid w:val="00531E39"/>
    <w:rsid w:val="00531E54"/>
    <w:rsid w:val="005321A3"/>
    <w:rsid w:val="005323F1"/>
    <w:rsid w:val="005324CB"/>
    <w:rsid w:val="00532A2A"/>
    <w:rsid w:val="00532B79"/>
    <w:rsid w:val="00532BD6"/>
    <w:rsid w:val="005334D8"/>
    <w:rsid w:val="00533A89"/>
    <w:rsid w:val="00533D9A"/>
    <w:rsid w:val="00534492"/>
    <w:rsid w:val="005347FC"/>
    <w:rsid w:val="00534823"/>
    <w:rsid w:val="00534868"/>
    <w:rsid w:val="005348DB"/>
    <w:rsid w:val="00534971"/>
    <w:rsid w:val="00534A0C"/>
    <w:rsid w:val="00535772"/>
    <w:rsid w:val="0053595F"/>
    <w:rsid w:val="005359B3"/>
    <w:rsid w:val="00535AE2"/>
    <w:rsid w:val="00535AEC"/>
    <w:rsid w:val="00535C43"/>
    <w:rsid w:val="00535E4F"/>
    <w:rsid w:val="00536066"/>
    <w:rsid w:val="005362B7"/>
    <w:rsid w:val="0053635E"/>
    <w:rsid w:val="0053639C"/>
    <w:rsid w:val="00536591"/>
    <w:rsid w:val="00536689"/>
    <w:rsid w:val="00536890"/>
    <w:rsid w:val="00536A75"/>
    <w:rsid w:val="00536A98"/>
    <w:rsid w:val="00536DC1"/>
    <w:rsid w:val="00536EA0"/>
    <w:rsid w:val="00537090"/>
    <w:rsid w:val="00537107"/>
    <w:rsid w:val="005376B5"/>
    <w:rsid w:val="005377C3"/>
    <w:rsid w:val="00537AC6"/>
    <w:rsid w:val="00537C50"/>
    <w:rsid w:val="00537CEE"/>
    <w:rsid w:val="00537DD9"/>
    <w:rsid w:val="00540201"/>
    <w:rsid w:val="005408B8"/>
    <w:rsid w:val="005409C5"/>
    <w:rsid w:val="00540A1D"/>
    <w:rsid w:val="00540B7B"/>
    <w:rsid w:val="00540F13"/>
    <w:rsid w:val="005412EA"/>
    <w:rsid w:val="005415AF"/>
    <w:rsid w:val="00541737"/>
    <w:rsid w:val="005418A5"/>
    <w:rsid w:val="005418B3"/>
    <w:rsid w:val="005419F5"/>
    <w:rsid w:val="00541B4B"/>
    <w:rsid w:val="00541DED"/>
    <w:rsid w:val="0054210F"/>
    <w:rsid w:val="0054216C"/>
    <w:rsid w:val="0054260B"/>
    <w:rsid w:val="00542634"/>
    <w:rsid w:val="00542AE9"/>
    <w:rsid w:val="00542BB5"/>
    <w:rsid w:val="00542C46"/>
    <w:rsid w:val="005434A2"/>
    <w:rsid w:val="005436A3"/>
    <w:rsid w:val="005437D1"/>
    <w:rsid w:val="005439C7"/>
    <w:rsid w:val="00543DD4"/>
    <w:rsid w:val="00543EEB"/>
    <w:rsid w:val="005440F9"/>
    <w:rsid w:val="00544119"/>
    <w:rsid w:val="00544167"/>
    <w:rsid w:val="005445D4"/>
    <w:rsid w:val="005445DE"/>
    <w:rsid w:val="0054467B"/>
    <w:rsid w:val="0054479F"/>
    <w:rsid w:val="00544A96"/>
    <w:rsid w:val="00544B11"/>
    <w:rsid w:val="00544B28"/>
    <w:rsid w:val="00544FDC"/>
    <w:rsid w:val="005452B6"/>
    <w:rsid w:val="0054532D"/>
    <w:rsid w:val="005455C8"/>
    <w:rsid w:val="00545980"/>
    <w:rsid w:val="00545B6A"/>
    <w:rsid w:val="00545D28"/>
    <w:rsid w:val="00545F54"/>
    <w:rsid w:val="00546160"/>
    <w:rsid w:val="00546468"/>
    <w:rsid w:val="005464B8"/>
    <w:rsid w:val="0054758B"/>
    <w:rsid w:val="005478BD"/>
    <w:rsid w:val="00547A69"/>
    <w:rsid w:val="00547EAE"/>
    <w:rsid w:val="00550057"/>
    <w:rsid w:val="00550252"/>
    <w:rsid w:val="005506F1"/>
    <w:rsid w:val="00550D34"/>
    <w:rsid w:val="00550DBC"/>
    <w:rsid w:val="00550E95"/>
    <w:rsid w:val="005511E1"/>
    <w:rsid w:val="00551254"/>
    <w:rsid w:val="00551898"/>
    <w:rsid w:val="00551CD3"/>
    <w:rsid w:val="005522F0"/>
    <w:rsid w:val="005525CC"/>
    <w:rsid w:val="0055277C"/>
    <w:rsid w:val="00552FEC"/>
    <w:rsid w:val="00553065"/>
    <w:rsid w:val="00553292"/>
    <w:rsid w:val="0055339D"/>
    <w:rsid w:val="005535CE"/>
    <w:rsid w:val="00553616"/>
    <w:rsid w:val="00553924"/>
    <w:rsid w:val="00553B59"/>
    <w:rsid w:val="00553C79"/>
    <w:rsid w:val="00553CA5"/>
    <w:rsid w:val="00553CC0"/>
    <w:rsid w:val="005540C5"/>
    <w:rsid w:val="005542A6"/>
    <w:rsid w:val="005542BD"/>
    <w:rsid w:val="00554373"/>
    <w:rsid w:val="00554378"/>
    <w:rsid w:val="00554428"/>
    <w:rsid w:val="00554589"/>
    <w:rsid w:val="00554612"/>
    <w:rsid w:val="00554D16"/>
    <w:rsid w:val="00554D4D"/>
    <w:rsid w:val="00554D7A"/>
    <w:rsid w:val="00554E83"/>
    <w:rsid w:val="00555095"/>
    <w:rsid w:val="0055516A"/>
    <w:rsid w:val="0055599B"/>
    <w:rsid w:val="00555A38"/>
    <w:rsid w:val="00555BA8"/>
    <w:rsid w:val="00555BF4"/>
    <w:rsid w:val="00555CDD"/>
    <w:rsid w:val="00555FC6"/>
    <w:rsid w:val="0055617D"/>
    <w:rsid w:val="005563B3"/>
    <w:rsid w:val="0055655E"/>
    <w:rsid w:val="005565AB"/>
    <w:rsid w:val="0055661C"/>
    <w:rsid w:val="00556724"/>
    <w:rsid w:val="0055682D"/>
    <w:rsid w:val="00556A75"/>
    <w:rsid w:val="00556B02"/>
    <w:rsid w:val="00556BB0"/>
    <w:rsid w:val="00556BE6"/>
    <w:rsid w:val="005570B1"/>
    <w:rsid w:val="00557367"/>
    <w:rsid w:val="0055736F"/>
    <w:rsid w:val="00557B17"/>
    <w:rsid w:val="00557B33"/>
    <w:rsid w:val="00557D15"/>
    <w:rsid w:val="00557D1C"/>
    <w:rsid w:val="00557EAC"/>
    <w:rsid w:val="00557EFF"/>
    <w:rsid w:val="00557F6D"/>
    <w:rsid w:val="0056005A"/>
    <w:rsid w:val="00560570"/>
    <w:rsid w:val="00560643"/>
    <w:rsid w:val="00560ABA"/>
    <w:rsid w:val="00560D7C"/>
    <w:rsid w:val="00560E26"/>
    <w:rsid w:val="00561812"/>
    <w:rsid w:val="00561852"/>
    <w:rsid w:val="00561974"/>
    <w:rsid w:val="00561F9A"/>
    <w:rsid w:val="00562064"/>
    <w:rsid w:val="00562088"/>
    <w:rsid w:val="0056250F"/>
    <w:rsid w:val="005627AE"/>
    <w:rsid w:val="0056297C"/>
    <w:rsid w:val="00562C88"/>
    <w:rsid w:val="00562CBB"/>
    <w:rsid w:val="00562DCA"/>
    <w:rsid w:val="00562E20"/>
    <w:rsid w:val="00562EF3"/>
    <w:rsid w:val="0056300C"/>
    <w:rsid w:val="00563849"/>
    <w:rsid w:val="0056391F"/>
    <w:rsid w:val="00563DDF"/>
    <w:rsid w:val="005640DC"/>
    <w:rsid w:val="005642F7"/>
    <w:rsid w:val="00564557"/>
    <w:rsid w:val="005645CD"/>
    <w:rsid w:val="005646BB"/>
    <w:rsid w:val="00564771"/>
    <w:rsid w:val="00564D7E"/>
    <w:rsid w:val="00564E0B"/>
    <w:rsid w:val="00564F7F"/>
    <w:rsid w:val="005652C5"/>
    <w:rsid w:val="00565447"/>
    <w:rsid w:val="0056580D"/>
    <w:rsid w:val="00565C87"/>
    <w:rsid w:val="005660B3"/>
    <w:rsid w:val="005662F5"/>
    <w:rsid w:val="0056654B"/>
    <w:rsid w:val="005665E8"/>
    <w:rsid w:val="005667F9"/>
    <w:rsid w:val="00566BA1"/>
    <w:rsid w:val="00566BD9"/>
    <w:rsid w:val="00566BE9"/>
    <w:rsid w:val="00566E17"/>
    <w:rsid w:val="00566F4F"/>
    <w:rsid w:val="005670A4"/>
    <w:rsid w:val="00567229"/>
    <w:rsid w:val="0056736E"/>
    <w:rsid w:val="00567430"/>
    <w:rsid w:val="005675ED"/>
    <w:rsid w:val="005675F7"/>
    <w:rsid w:val="0056780B"/>
    <w:rsid w:val="005678FC"/>
    <w:rsid w:val="0056792E"/>
    <w:rsid w:val="00567B97"/>
    <w:rsid w:val="00567D2E"/>
    <w:rsid w:val="00567DF7"/>
    <w:rsid w:val="0057020A"/>
    <w:rsid w:val="005703E4"/>
    <w:rsid w:val="00570400"/>
    <w:rsid w:val="0057040F"/>
    <w:rsid w:val="0057067E"/>
    <w:rsid w:val="00570A50"/>
    <w:rsid w:val="00570C6E"/>
    <w:rsid w:val="00570CA9"/>
    <w:rsid w:val="00570D44"/>
    <w:rsid w:val="00570FFA"/>
    <w:rsid w:val="00571235"/>
    <w:rsid w:val="00571256"/>
    <w:rsid w:val="00571299"/>
    <w:rsid w:val="00571455"/>
    <w:rsid w:val="005714CD"/>
    <w:rsid w:val="00571A8B"/>
    <w:rsid w:val="005721CE"/>
    <w:rsid w:val="005724C4"/>
    <w:rsid w:val="005726A8"/>
    <w:rsid w:val="00572896"/>
    <w:rsid w:val="005728BC"/>
    <w:rsid w:val="00572CEA"/>
    <w:rsid w:val="00572E48"/>
    <w:rsid w:val="00572EFE"/>
    <w:rsid w:val="00573375"/>
    <w:rsid w:val="00573B20"/>
    <w:rsid w:val="00573E0A"/>
    <w:rsid w:val="00573EC5"/>
    <w:rsid w:val="00573EDA"/>
    <w:rsid w:val="00573F03"/>
    <w:rsid w:val="00574014"/>
    <w:rsid w:val="00574130"/>
    <w:rsid w:val="005743AE"/>
    <w:rsid w:val="0057479D"/>
    <w:rsid w:val="005749E5"/>
    <w:rsid w:val="00574A7E"/>
    <w:rsid w:val="0057508F"/>
    <w:rsid w:val="00575219"/>
    <w:rsid w:val="00575287"/>
    <w:rsid w:val="0057542F"/>
    <w:rsid w:val="00575727"/>
    <w:rsid w:val="00575823"/>
    <w:rsid w:val="00575834"/>
    <w:rsid w:val="00575B4A"/>
    <w:rsid w:val="00575E44"/>
    <w:rsid w:val="00575F18"/>
    <w:rsid w:val="00576258"/>
    <w:rsid w:val="0057630B"/>
    <w:rsid w:val="00576399"/>
    <w:rsid w:val="005765A7"/>
    <w:rsid w:val="005765F3"/>
    <w:rsid w:val="00576863"/>
    <w:rsid w:val="00576B25"/>
    <w:rsid w:val="00576CDC"/>
    <w:rsid w:val="005770B4"/>
    <w:rsid w:val="005770F0"/>
    <w:rsid w:val="0057727C"/>
    <w:rsid w:val="00577347"/>
    <w:rsid w:val="00577481"/>
    <w:rsid w:val="0057795E"/>
    <w:rsid w:val="00577B75"/>
    <w:rsid w:val="00577BC5"/>
    <w:rsid w:val="00577BD0"/>
    <w:rsid w:val="00577C96"/>
    <w:rsid w:val="00577ED0"/>
    <w:rsid w:val="00577EDB"/>
    <w:rsid w:val="00580011"/>
    <w:rsid w:val="00580255"/>
    <w:rsid w:val="005803D5"/>
    <w:rsid w:val="005809C5"/>
    <w:rsid w:val="00580F0D"/>
    <w:rsid w:val="00580FD7"/>
    <w:rsid w:val="00581038"/>
    <w:rsid w:val="00581173"/>
    <w:rsid w:val="005811D0"/>
    <w:rsid w:val="005812CA"/>
    <w:rsid w:val="005812F9"/>
    <w:rsid w:val="00581D21"/>
    <w:rsid w:val="00581F06"/>
    <w:rsid w:val="005822E6"/>
    <w:rsid w:val="0058239A"/>
    <w:rsid w:val="00582605"/>
    <w:rsid w:val="00582A24"/>
    <w:rsid w:val="00582B5A"/>
    <w:rsid w:val="00582DB0"/>
    <w:rsid w:val="005830C3"/>
    <w:rsid w:val="00583383"/>
    <w:rsid w:val="005839B3"/>
    <w:rsid w:val="00583D49"/>
    <w:rsid w:val="00583DEB"/>
    <w:rsid w:val="0058423D"/>
    <w:rsid w:val="005844DC"/>
    <w:rsid w:val="0058464D"/>
    <w:rsid w:val="005846C6"/>
    <w:rsid w:val="0058486E"/>
    <w:rsid w:val="0058488A"/>
    <w:rsid w:val="00584CCD"/>
    <w:rsid w:val="00584EA9"/>
    <w:rsid w:val="00584FBE"/>
    <w:rsid w:val="0058518D"/>
    <w:rsid w:val="005855CA"/>
    <w:rsid w:val="0058588A"/>
    <w:rsid w:val="00585904"/>
    <w:rsid w:val="00585961"/>
    <w:rsid w:val="0058599E"/>
    <w:rsid w:val="00585C36"/>
    <w:rsid w:val="00585CCC"/>
    <w:rsid w:val="00585E9D"/>
    <w:rsid w:val="00586BC2"/>
    <w:rsid w:val="00586D7C"/>
    <w:rsid w:val="00587171"/>
    <w:rsid w:val="005872B2"/>
    <w:rsid w:val="0058767B"/>
    <w:rsid w:val="005876A6"/>
    <w:rsid w:val="005878FE"/>
    <w:rsid w:val="00587924"/>
    <w:rsid w:val="00587B3A"/>
    <w:rsid w:val="00587E96"/>
    <w:rsid w:val="00587FBA"/>
    <w:rsid w:val="0059009A"/>
    <w:rsid w:val="005900A7"/>
    <w:rsid w:val="00590163"/>
    <w:rsid w:val="0059061D"/>
    <w:rsid w:val="00590A55"/>
    <w:rsid w:val="00590EAD"/>
    <w:rsid w:val="005914DC"/>
    <w:rsid w:val="00591622"/>
    <w:rsid w:val="00591AD1"/>
    <w:rsid w:val="00591C70"/>
    <w:rsid w:val="005922F3"/>
    <w:rsid w:val="00592491"/>
    <w:rsid w:val="005924C8"/>
    <w:rsid w:val="005924D7"/>
    <w:rsid w:val="005925F8"/>
    <w:rsid w:val="00592760"/>
    <w:rsid w:val="00592A30"/>
    <w:rsid w:val="00592BF5"/>
    <w:rsid w:val="00592BF6"/>
    <w:rsid w:val="00592C96"/>
    <w:rsid w:val="00592D4D"/>
    <w:rsid w:val="00592EF2"/>
    <w:rsid w:val="00593159"/>
    <w:rsid w:val="00593570"/>
    <w:rsid w:val="005937C2"/>
    <w:rsid w:val="005939BF"/>
    <w:rsid w:val="00593BE4"/>
    <w:rsid w:val="00593D73"/>
    <w:rsid w:val="00594309"/>
    <w:rsid w:val="005946A9"/>
    <w:rsid w:val="00594A06"/>
    <w:rsid w:val="00594A6C"/>
    <w:rsid w:val="00594ACE"/>
    <w:rsid w:val="005950D6"/>
    <w:rsid w:val="00595163"/>
    <w:rsid w:val="005954C2"/>
    <w:rsid w:val="00595538"/>
    <w:rsid w:val="005957FC"/>
    <w:rsid w:val="00595A4F"/>
    <w:rsid w:val="00595C12"/>
    <w:rsid w:val="00595D8B"/>
    <w:rsid w:val="00595E2B"/>
    <w:rsid w:val="00596129"/>
    <w:rsid w:val="00596323"/>
    <w:rsid w:val="00596787"/>
    <w:rsid w:val="00596948"/>
    <w:rsid w:val="00596B84"/>
    <w:rsid w:val="00596DFC"/>
    <w:rsid w:val="00596FDD"/>
    <w:rsid w:val="005976AB"/>
    <w:rsid w:val="005976DF"/>
    <w:rsid w:val="00597712"/>
    <w:rsid w:val="0059789F"/>
    <w:rsid w:val="0059798D"/>
    <w:rsid w:val="00597AEC"/>
    <w:rsid w:val="00597B7A"/>
    <w:rsid w:val="005A0068"/>
    <w:rsid w:val="005A09C6"/>
    <w:rsid w:val="005A0AC6"/>
    <w:rsid w:val="005A0E17"/>
    <w:rsid w:val="005A0E68"/>
    <w:rsid w:val="005A0FA2"/>
    <w:rsid w:val="005A1147"/>
    <w:rsid w:val="005A15BD"/>
    <w:rsid w:val="005A1774"/>
    <w:rsid w:val="005A1BC0"/>
    <w:rsid w:val="005A1D03"/>
    <w:rsid w:val="005A1D1C"/>
    <w:rsid w:val="005A2773"/>
    <w:rsid w:val="005A2C12"/>
    <w:rsid w:val="005A2E49"/>
    <w:rsid w:val="005A2F06"/>
    <w:rsid w:val="005A2F64"/>
    <w:rsid w:val="005A3118"/>
    <w:rsid w:val="005A325A"/>
    <w:rsid w:val="005A3AD1"/>
    <w:rsid w:val="005A43A5"/>
    <w:rsid w:val="005A43F5"/>
    <w:rsid w:val="005A4573"/>
    <w:rsid w:val="005A4609"/>
    <w:rsid w:val="005A474D"/>
    <w:rsid w:val="005A4AD6"/>
    <w:rsid w:val="005A5087"/>
    <w:rsid w:val="005A50A8"/>
    <w:rsid w:val="005A5272"/>
    <w:rsid w:val="005A544E"/>
    <w:rsid w:val="005A57D8"/>
    <w:rsid w:val="005A58EF"/>
    <w:rsid w:val="005A5AB3"/>
    <w:rsid w:val="005A5B1A"/>
    <w:rsid w:val="005A66EC"/>
    <w:rsid w:val="005A6ADB"/>
    <w:rsid w:val="005A6C65"/>
    <w:rsid w:val="005A707A"/>
    <w:rsid w:val="005A709D"/>
    <w:rsid w:val="005A78E2"/>
    <w:rsid w:val="005A793E"/>
    <w:rsid w:val="005A7F73"/>
    <w:rsid w:val="005B0303"/>
    <w:rsid w:val="005B03B4"/>
    <w:rsid w:val="005B03F4"/>
    <w:rsid w:val="005B04B7"/>
    <w:rsid w:val="005B076F"/>
    <w:rsid w:val="005B0799"/>
    <w:rsid w:val="005B0C24"/>
    <w:rsid w:val="005B1395"/>
    <w:rsid w:val="005B16BD"/>
    <w:rsid w:val="005B19BA"/>
    <w:rsid w:val="005B1B60"/>
    <w:rsid w:val="005B1C92"/>
    <w:rsid w:val="005B22A2"/>
    <w:rsid w:val="005B230C"/>
    <w:rsid w:val="005B2566"/>
    <w:rsid w:val="005B2722"/>
    <w:rsid w:val="005B29B9"/>
    <w:rsid w:val="005B2B13"/>
    <w:rsid w:val="005B2E3E"/>
    <w:rsid w:val="005B2EFB"/>
    <w:rsid w:val="005B301C"/>
    <w:rsid w:val="005B32C6"/>
    <w:rsid w:val="005B355D"/>
    <w:rsid w:val="005B37D0"/>
    <w:rsid w:val="005B3959"/>
    <w:rsid w:val="005B3A12"/>
    <w:rsid w:val="005B3B79"/>
    <w:rsid w:val="005B3D5E"/>
    <w:rsid w:val="005B4092"/>
    <w:rsid w:val="005B4167"/>
    <w:rsid w:val="005B41AC"/>
    <w:rsid w:val="005B4268"/>
    <w:rsid w:val="005B4419"/>
    <w:rsid w:val="005B45A2"/>
    <w:rsid w:val="005B45B2"/>
    <w:rsid w:val="005B499E"/>
    <w:rsid w:val="005B4A6E"/>
    <w:rsid w:val="005B51E9"/>
    <w:rsid w:val="005B570D"/>
    <w:rsid w:val="005B5820"/>
    <w:rsid w:val="005B5F33"/>
    <w:rsid w:val="005B6A19"/>
    <w:rsid w:val="005B6B6E"/>
    <w:rsid w:val="005B6BB4"/>
    <w:rsid w:val="005B6E2E"/>
    <w:rsid w:val="005B712B"/>
    <w:rsid w:val="005B716C"/>
    <w:rsid w:val="005B77D9"/>
    <w:rsid w:val="005B7973"/>
    <w:rsid w:val="005B7B26"/>
    <w:rsid w:val="005B7C3F"/>
    <w:rsid w:val="005C016D"/>
    <w:rsid w:val="005C04A4"/>
    <w:rsid w:val="005C0585"/>
    <w:rsid w:val="005C0728"/>
    <w:rsid w:val="005C0D4A"/>
    <w:rsid w:val="005C1076"/>
    <w:rsid w:val="005C11BC"/>
    <w:rsid w:val="005C1370"/>
    <w:rsid w:val="005C147C"/>
    <w:rsid w:val="005C1638"/>
    <w:rsid w:val="005C181B"/>
    <w:rsid w:val="005C1C0D"/>
    <w:rsid w:val="005C209F"/>
    <w:rsid w:val="005C20D6"/>
    <w:rsid w:val="005C21AB"/>
    <w:rsid w:val="005C22AC"/>
    <w:rsid w:val="005C2718"/>
    <w:rsid w:val="005C279C"/>
    <w:rsid w:val="005C34BB"/>
    <w:rsid w:val="005C35B5"/>
    <w:rsid w:val="005C39D7"/>
    <w:rsid w:val="005C3A1E"/>
    <w:rsid w:val="005C3A4F"/>
    <w:rsid w:val="005C4354"/>
    <w:rsid w:val="005C48A9"/>
    <w:rsid w:val="005C4970"/>
    <w:rsid w:val="005C4D34"/>
    <w:rsid w:val="005C4F14"/>
    <w:rsid w:val="005C4F97"/>
    <w:rsid w:val="005C501E"/>
    <w:rsid w:val="005C50AD"/>
    <w:rsid w:val="005C5186"/>
    <w:rsid w:val="005C51DD"/>
    <w:rsid w:val="005C55D2"/>
    <w:rsid w:val="005C56F2"/>
    <w:rsid w:val="005C5711"/>
    <w:rsid w:val="005C59FD"/>
    <w:rsid w:val="005C5A19"/>
    <w:rsid w:val="005C5C84"/>
    <w:rsid w:val="005C5FD3"/>
    <w:rsid w:val="005C60E3"/>
    <w:rsid w:val="005C61C2"/>
    <w:rsid w:val="005C63AB"/>
    <w:rsid w:val="005C6553"/>
    <w:rsid w:val="005C67D4"/>
    <w:rsid w:val="005C67D6"/>
    <w:rsid w:val="005C6E26"/>
    <w:rsid w:val="005C70A8"/>
    <w:rsid w:val="005C7543"/>
    <w:rsid w:val="005C7B76"/>
    <w:rsid w:val="005D039B"/>
    <w:rsid w:val="005D03BE"/>
    <w:rsid w:val="005D049E"/>
    <w:rsid w:val="005D05D8"/>
    <w:rsid w:val="005D0651"/>
    <w:rsid w:val="005D07BC"/>
    <w:rsid w:val="005D0A50"/>
    <w:rsid w:val="005D10AC"/>
    <w:rsid w:val="005D12BD"/>
    <w:rsid w:val="005D177A"/>
    <w:rsid w:val="005D1919"/>
    <w:rsid w:val="005D1989"/>
    <w:rsid w:val="005D1AA8"/>
    <w:rsid w:val="005D1C57"/>
    <w:rsid w:val="005D1D7C"/>
    <w:rsid w:val="005D2135"/>
    <w:rsid w:val="005D2CD9"/>
    <w:rsid w:val="005D2EEB"/>
    <w:rsid w:val="005D309A"/>
    <w:rsid w:val="005D323B"/>
    <w:rsid w:val="005D3456"/>
    <w:rsid w:val="005D387B"/>
    <w:rsid w:val="005D3FA2"/>
    <w:rsid w:val="005D4604"/>
    <w:rsid w:val="005D481F"/>
    <w:rsid w:val="005D4923"/>
    <w:rsid w:val="005D49CB"/>
    <w:rsid w:val="005D4B7D"/>
    <w:rsid w:val="005D4C48"/>
    <w:rsid w:val="005D5039"/>
    <w:rsid w:val="005D58D9"/>
    <w:rsid w:val="005D5DBC"/>
    <w:rsid w:val="005D5E5A"/>
    <w:rsid w:val="005D607E"/>
    <w:rsid w:val="005D696A"/>
    <w:rsid w:val="005D699F"/>
    <w:rsid w:val="005D6B8D"/>
    <w:rsid w:val="005D6C58"/>
    <w:rsid w:val="005D6CF1"/>
    <w:rsid w:val="005D6EAC"/>
    <w:rsid w:val="005D6EE2"/>
    <w:rsid w:val="005D6F6D"/>
    <w:rsid w:val="005D7148"/>
    <w:rsid w:val="005D7210"/>
    <w:rsid w:val="005D7217"/>
    <w:rsid w:val="005D7BE5"/>
    <w:rsid w:val="005D7CA6"/>
    <w:rsid w:val="005D7E77"/>
    <w:rsid w:val="005E00BC"/>
    <w:rsid w:val="005E02BB"/>
    <w:rsid w:val="005E039D"/>
    <w:rsid w:val="005E0446"/>
    <w:rsid w:val="005E047C"/>
    <w:rsid w:val="005E0594"/>
    <w:rsid w:val="005E07B2"/>
    <w:rsid w:val="005E0E6F"/>
    <w:rsid w:val="005E0ED3"/>
    <w:rsid w:val="005E14CC"/>
    <w:rsid w:val="005E1566"/>
    <w:rsid w:val="005E1572"/>
    <w:rsid w:val="005E17EA"/>
    <w:rsid w:val="005E1AEB"/>
    <w:rsid w:val="005E20AF"/>
    <w:rsid w:val="005E20FF"/>
    <w:rsid w:val="005E277C"/>
    <w:rsid w:val="005E2BE3"/>
    <w:rsid w:val="005E2C46"/>
    <w:rsid w:val="005E2E83"/>
    <w:rsid w:val="005E3100"/>
    <w:rsid w:val="005E3703"/>
    <w:rsid w:val="005E37BE"/>
    <w:rsid w:val="005E3812"/>
    <w:rsid w:val="005E3891"/>
    <w:rsid w:val="005E3A72"/>
    <w:rsid w:val="005E3BDD"/>
    <w:rsid w:val="005E4089"/>
    <w:rsid w:val="005E42DD"/>
    <w:rsid w:val="005E4327"/>
    <w:rsid w:val="005E44BA"/>
    <w:rsid w:val="005E456F"/>
    <w:rsid w:val="005E461C"/>
    <w:rsid w:val="005E48B1"/>
    <w:rsid w:val="005E4992"/>
    <w:rsid w:val="005E4A0C"/>
    <w:rsid w:val="005E4A43"/>
    <w:rsid w:val="005E4C6A"/>
    <w:rsid w:val="005E4D35"/>
    <w:rsid w:val="005E4E6B"/>
    <w:rsid w:val="005E4F30"/>
    <w:rsid w:val="005E51E2"/>
    <w:rsid w:val="005E5291"/>
    <w:rsid w:val="005E5811"/>
    <w:rsid w:val="005E5A4C"/>
    <w:rsid w:val="005E5C14"/>
    <w:rsid w:val="005E5C99"/>
    <w:rsid w:val="005E5D57"/>
    <w:rsid w:val="005E5D58"/>
    <w:rsid w:val="005E60BD"/>
    <w:rsid w:val="005E62F8"/>
    <w:rsid w:val="005E6433"/>
    <w:rsid w:val="005E660C"/>
    <w:rsid w:val="005E66EF"/>
    <w:rsid w:val="005E6721"/>
    <w:rsid w:val="005E6774"/>
    <w:rsid w:val="005E6C19"/>
    <w:rsid w:val="005E6F05"/>
    <w:rsid w:val="005E6F13"/>
    <w:rsid w:val="005E7271"/>
    <w:rsid w:val="005E7385"/>
    <w:rsid w:val="005E7555"/>
    <w:rsid w:val="005E7721"/>
    <w:rsid w:val="005E77A0"/>
    <w:rsid w:val="005E7982"/>
    <w:rsid w:val="005E7F4C"/>
    <w:rsid w:val="005F0296"/>
    <w:rsid w:val="005F0493"/>
    <w:rsid w:val="005F04F6"/>
    <w:rsid w:val="005F0698"/>
    <w:rsid w:val="005F07D7"/>
    <w:rsid w:val="005F105A"/>
    <w:rsid w:val="005F1428"/>
    <w:rsid w:val="005F1519"/>
    <w:rsid w:val="005F154C"/>
    <w:rsid w:val="005F1D00"/>
    <w:rsid w:val="005F1F97"/>
    <w:rsid w:val="005F27C3"/>
    <w:rsid w:val="005F28A2"/>
    <w:rsid w:val="005F295D"/>
    <w:rsid w:val="005F2B1F"/>
    <w:rsid w:val="005F2DA0"/>
    <w:rsid w:val="005F3074"/>
    <w:rsid w:val="005F30CB"/>
    <w:rsid w:val="005F34B5"/>
    <w:rsid w:val="005F36AB"/>
    <w:rsid w:val="005F36D6"/>
    <w:rsid w:val="005F36E1"/>
    <w:rsid w:val="005F3723"/>
    <w:rsid w:val="005F373D"/>
    <w:rsid w:val="005F37D1"/>
    <w:rsid w:val="005F3925"/>
    <w:rsid w:val="005F3A5E"/>
    <w:rsid w:val="005F3BAF"/>
    <w:rsid w:val="005F43F3"/>
    <w:rsid w:val="005F46BB"/>
    <w:rsid w:val="005F46DE"/>
    <w:rsid w:val="005F4BF0"/>
    <w:rsid w:val="005F4F63"/>
    <w:rsid w:val="005F4FFF"/>
    <w:rsid w:val="005F52E2"/>
    <w:rsid w:val="005F5392"/>
    <w:rsid w:val="005F553B"/>
    <w:rsid w:val="005F55F2"/>
    <w:rsid w:val="005F57E6"/>
    <w:rsid w:val="005F6016"/>
    <w:rsid w:val="005F63DD"/>
    <w:rsid w:val="005F6416"/>
    <w:rsid w:val="005F651C"/>
    <w:rsid w:val="005F68B7"/>
    <w:rsid w:val="005F7338"/>
    <w:rsid w:val="005F7342"/>
    <w:rsid w:val="005F7393"/>
    <w:rsid w:val="005F73B1"/>
    <w:rsid w:val="005F7400"/>
    <w:rsid w:val="005F76D4"/>
    <w:rsid w:val="005F7DFB"/>
    <w:rsid w:val="005F7E53"/>
    <w:rsid w:val="006004D3"/>
    <w:rsid w:val="0060064B"/>
    <w:rsid w:val="00600781"/>
    <w:rsid w:val="0060082F"/>
    <w:rsid w:val="0060091D"/>
    <w:rsid w:val="00600A92"/>
    <w:rsid w:val="00600C09"/>
    <w:rsid w:val="00600C1C"/>
    <w:rsid w:val="006010A4"/>
    <w:rsid w:val="0060115D"/>
    <w:rsid w:val="00601324"/>
    <w:rsid w:val="006014B2"/>
    <w:rsid w:val="006015A8"/>
    <w:rsid w:val="00601730"/>
    <w:rsid w:val="006017C8"/>
    <w:rsid w:val="006019B5"/>
    <w:rsid w:val="00601E02"/>
    <w:rsid w:val="0060241B"/>
    <w:rsid w:val="00602AC8"/>
    <w:rsid w:val="00602BA9"/>
    <w:rsid w:val="00602C3D"/>
    <w:rsid w:val="00602E9B"/>
    <w:rsid w:val="006030A7"/>
    <w:rsid w:val="00603141"/>
    <w:rsid w:val="0060348F"/>
    <w:rsid w:val="00603786"/>
    <w:rsid w:val="00603852"/>
    <w:rsid w:val="006039C6"/>
    <w:rsid w:val="00604057"/>
    <w:rsid w:val="00604237"/>
    <w:rsid w:val="006042C1"/>
    <w:rsid w:val="0060478C"/>
    <w:rsid w:val="006048B2"/>
    <w:rsid w:val="00604A62"/>
    <w:rsid w:val="00604C8D"/>
    <w:rsid w:val="00604FBA"/>
    <w:rsid w:val="0060518C"/>
    <w:rsid w:val="0060531C"/>
    <w:rsid w:val="006054DB"/>
    <w:rsid w:val="006054F5"/>
    <w:rsid w:val="0060563D"/>
    <w:rsid w:val="00605A23"/>
    <w:rsid w:val="00605AD7"/>
    <w:rsid w:val="00605DD6"/>
    <w:rsid w:val="00605EC2"/>
    <w:rsid w:val="00605F19"/>
    <w:rsid w:val="00606090"/>
    <w:rsid w:val="00606424"/>
    <w:rsid w:val="0060648B"/>
    <w:rsid w:val="0060651F"/>
    <w:rsid w:val="00606579"/>
    <w:rsid w:val="00606784"/>
    <w:rsid w:val="0060679F"/>
    <w:rsid w:val="00606B48"/>
    <w:rsid w:val="00606B94"/>
    <w:rsid w:val="00606CE5"/>
    <w:rsid w:val="00606F15"/>
    <w:rsid w:val="006071ED"/>
    <w:rsid w:val="00607219"/>
    <w:rsid w:val="00607406"/>
    <w:rsid w:val="006079A9"/>
    <w:rsid w:val="00607CA7"/>
    <w:rsid w:val="00607D39"/>
    <w:rsid w:val="006100DE"/>
    <w:rsid w:val="0061039F"/>
    <w:rsid w:val="00610585"/>
    <w:rsid w:val="0061059D"/>
    <w:rsid w:val="0061087C"/>
    <w:rsid w:val="00610928"/>
    <w:rsid w:val="00610A44"/>
    <w:rsid w:val="00610D1C"/>
    <w:rsid w:val="00611019"/>
    <w:rsid w:val="00611427"/>
    <w:rsid w:val="00611546"/>
    <w:rsid w:val="006119B9"/>
    <w:rsid w:val="00611AF2"/>
    <w:rsid w:val="00611EB9"/>
    <w:rsid w:val="0061209D"/>
    <w:rsid w:val="00612245"/>
    <w:rsid w:val="006125A1"/>
    <w:rsid w:val="0061261F"/>
    <w:rsid w:val="00612627"/>
    <w:rsid w:val="00612861"/>
    <w:rsid w:val="0061298E"/>
    <w:rsid w:val="00613529"/>
    <w:rsid w:val="00613687"/>
    <w:rsid w:val="0061368E"/>
    <w:rsid w:val="0061371B"/>
    <w:rsid w:val="006137DB"/>
    <w:rsid w:val="006138AB"/>
    <w:rsid w:val="006138C3"/>
    <w:rsid w:val="006139E1"/>
    <w:rsid w:val="00613DDC"/>
    <w:rsid w:val="006142C9"/>
    <w:rsid w:val="00614722"/>
    <w:rsid w:val="006149A0"/>
    <w:rsid w:val="00614C3C"/>
    <w:rsid w:val="006150A3"/>
    <w:rsid w:val="006153E8"/>
    <w:rsid w:val="0061550F"/>
    <w:rsid w:val="006156B9"/>
    <w:rsid w:val="00615724"/>
    <w:rsid w:val="006157F1"/>
    <w:rsid w:val="0061592D"/>
    <w:rsid w:val="00615A1F"/>
    <w:rsid w:val="00616071"/>
    <w:rsid w:val="006160EF"/>
    <w:rsid w:val="006167A9"/>
    <w:rsid w:val="006168C0"/>
    <w:rsid w:val="0061711D"/>
    <w:rsid w:val="0061738E"/>
    <w:rsid w:val="0061757A"/>
    <w:rsid w:val="00617582"/>
    <w:rsid w:val="0061762F"/>
    <w:rsid w:val="0061769F"/>
    <w:rsid w:val="006176B2"/>
    <w:rsid w:val="0061798F"/>
    <w:rsid w:val="00617B58"/>
    <w:rsid w:val="00617B9B"/>
    <w:rsid w:val="00617CF3"/>
    <w:rsid w:val="00617EA9"/>
    <w:rsid w:val="0062024B"/>
    <w:rsid w:val="0062060B"/>
    <w:rsid w:val="0062096B"/>
    <w:rsid w:val="0062114A"/>
    <w:rsid w:val="00621438"/>
    <w:rsid w:val="00621444"/>
    <w:rsid w:val="006216CC"/>
    <w:rsid w:val="0062175B"/>
    <w:rsid w:val="00621923"/>
    <w:rsid w:val="00621A45"/>
    <w:rsid w:val="00621C4E"/>
    <w:rsid w:val="00621F83"/>
    <w:rsid w:val="00622033"/>
    <w:rsid w:val="00622310"/>
    <w:rsid w:val="006226C0"/>
    <w:rsid w:val="0062274C"/>
    <w:rsid w:val="006229E7"/>
    <w:rsid w:val="00622F51"/>
    <w:rsid w:val="0062306F"/>
    <w:rsid w:val="00623228"/>
    <w:rsid w:val="00623706"/>
    <w:rsid w:val="006238F5"/>
    <w:rsid w:val="00623B27"/>
    <w:rsid w:val="00623BDA"/>
    <w:rsid w:val="00623E14"/>
    <w:rsid w:val="00624007"/>
    <w:rsid w:val="00624224"/>
    <w:rsid w:val="00624472"/>
    <w:rsid w:val="006247DA"/>
    <w:rsid w:val="00624A19"/>
    <w:rsid w:val="00624A26"/>
    <w:rsid w:val="00624C08"/>
    <w:rsid w:val="00624C2A"/>
    <w:rsid w:val="00624D08"/>
    <w:rsid w:val="00625046"/>
    <w:rsid w:val="00625496"/>
    <w:rsid w:val="00625557"/>
    <w:rsid w:val="00625731"/>
    <w:rsid w:val="00625F00"/>
    <w:rsid w:val="006260CC"/>
    <w:rsid w:val="0062624E"/>
    <w:rsid w:val="00626516"/>
    <w:rsid w:val="00626763"/>
    <w:rsid w:val="00626AFF"/>
    <w:rsid w:val="00626D5F"/>
    <w:rsid w:val="00626D76"/>
    <w:rsid w:val="006274F0"/>
    <w:rsid w:val="006277C3"/>
    <w:rsid w:val="0062783A"/>
    <w:rsid w:val="0062793F"/>
    <w:rsid w:val="00627D76"/>
    <w:rsid w:val="00630091"/>
    <w:rsid w:val="006303E3"/>
    <w:rsid w:val="00630435"/>
    <w:rsid w:val="006305D9"/>
    <w:rsid w:val="006306A8"/>
    <w:rsid w:val="00630800"/>
    <w:rsid w:val="00630C66"/>
    <w:rsid w:val="00630CA5"/>
    <w:rsid w:val="00630CAD"/>
    <w:rsid w:val="00630F1D"/>
    <w:rsid w:val="00631110"/>
    <w:rsid w:val="0063119B"/>
    <w:rsid w:val="00631271"/>
    <w:rsid w:val="006316AC"/>
    <w:rsid w:val="00631895"/>
    <w:rsid w:val="00631EC4"/>
    <w:rsid w:val="00632001"/>
    <w:rsid w:val="006321FA"/>
    <w:rsid w:val="00632270"/>
    <w:rsid w:val="006324A4"/>
    <w:rsid w:val="006326BE"/>
    <w:rsid w:val="00632A82"/>
    <w:rsid w:val="00632EF2"/>
    <w:rsid w:val="006330E4"/>
    <w:rsid w:val="006330FE"/>
    <w:rsid w:val="006331C2"/>
    <w:rsid w:val="006335C2"/>
    <w:rsid w:val="0063371A"/>
    <w:rsid w:val="006338FC"/>
    <w:rsid w:val="00633AAC"/>
    <w:rsid w:val="00633C05"/>
    <w:rsid w:val="00633C0C"/>
    <w:rsid w:val="00633C2E"/>
    <w:rsid w:val="00633DE2"/>
    <w:rsid w:val="00633FC8"/>
    <w:rsid w:val="0063419F"/>
    <w:rsid w:val="006341FD"/>
    <w:rsid w:val="00634255"/>
    <w:rsid w:val="0063429A"/>
    <w:rsid w:val="00634582"/>
    <w:rsid w:val="006346B9"/>
    <w:rsid w:val="0063471C"/>
    <w:rsid w:val="0063484F"/>
    <w:rsid w:val="006348C5"/>
    <w:rsid w:val="006349D2"/>
    <w:rsid w:val="00634C3E"/>
    <w:rsid w:val="00634FFD"/>
    <w:rsid w:val="00635103"/>
    <w:rsid w:val="00635120"/>
    <w:rsid w:val="00635198"/>
    <w:rsid w:val="006355FB"/>
    <w:rsid w:val="00635B82"/>
    <w:rsid w:val="0063635E"/>
    <w:rsid w:val="00636429"/>
    <w:rsid w:val="00636706"/>
    <w:rsid w:val="00636B55"/>
    <w:rsid w:val="00636BEE"/>
    <w:rsid w:val="006370DD"/>
    <w:rsid w:val="00637509"/>
    <w:rsid w:val="0063772D"/>
    <w:rsid w:val="006377A9"/>
    <w:rsid w:val="00637E5F"/>
    <w:rsid w:val="00637F52"/>
    <w:rsid w:val="00640026"/>
    <w:rsid w:val="00640A7C"/>
    <w:rsid w:val="00640C11"/>
    <w:rsid w:val="00640C6B"/>
    <w:rsid w:val="00640CF1"/>
    <w:rsid w:val="00640DB5"/>
    <w:rsid w:val="00640EC5"/>
    <w:rsid w:val="00640ECA"/>
    <w:rsid w:val="00640FBF"/>
    <w:rsid w:val="00641016"/>
    <w:rsid w:val="006413E9"/>
    <w:rsid w:val="00641558"/>
    <w:rsid w:val="0064158E"/>
    <w:rsid w:val="006418BA"/>
    <w:rsid w:val="00641A06"/>
    <w:rsid w:val="00641A47"/>
    <w:rsid w:val="00641AB2"/>
    <w:rsid w:val="006420EF"/>
    <w:rsid w:val="006424F3"/>
    <w:rsid w:val="00642664"/>
    <w:rsid w:val="00642A08"/>
    <w:rsid w:val="00642E01"/>
    <w:rsid w:val="00642F18"/>
    <w:rsid w:val="00642FE5"/>
    <w:rsid w:val="006433F9"/>
    <w:rsid w:val="0064355F"/>
    <w:rsid w:val="0064365A"/>
    <w:rsid w:val="0064378C"/>
    <w:rsid w:val="00643E58"/>
    <w:rsid w:val="00644753"/>
    <w:rsid w:val="0064496A"/>
    <w:rsid w:val="0064498C"/>
    <w:rsid w:val="00644F5B"/>
    <w:rsid w:val="006456C5"/>
    <w:rsid w:val="006456DE"/>
    <w:rsid w:val="00645926"/>
    <w:rsid w:val="006459D8"/>
    <w:rsid w:val="00645AF0"/>
    <w:rsid w:val="00645B4B"/>
    <w:rsid w:val="00645BDA"/>
    <w:rsid w:val="00645E89"/>
    <w:rsid w:val="00645F49"/>
    <w:rsid w:val="00645FD5"/>
    <w:rsid w:val="006460FC"/>
    <w:rsid w:val="006461B1"/>
    <w:rsid w:val="006462BE"/>
    <w:rsid w:val="006463C2"/>
    <w:rsid w:val="0064641E"/>
    <w:rsid w:val="00646466"/>
    <w:rsid w:val="006468CF"/>
    <w:rsid w:val="00646A53"/>
    <w:rsid w:val="00646E81"/>
    <w:rsid w:val="00646FD5"/>
    <w:rsid w:val="006470C6"/>
    <w:rsid w:val="006471E2"/>
    <w:rsid w:val="00647404"/>
    <w:rsid w:val="0064784F"/>
    <w:rsid w:val="00647A47"/>
    <w:rsid w:val="00647A57"/>
    <w:rsid w:val="0065002F"/>
    <w:rsid w:val="006500E8"/>
    <w:rsid w:val="006501AA"/>
    <w:rsid w:val="0065045F"/>
    <w:rsid w:val="0065056D"/>
    <w:rsid w:val="00650682"/>
    <w:rsid w:val="00650967"/>
    <w:rsid w:val="00650A40"/>
    <w:rsid w:val="00650B7B"/>
    <w:rsid w:val="00650EAB"/>
    <w:rsid w:val="00651453"/>
    <w:rsid w:val="00651638"/>
    <w:rsid w:val="00651764"/>
    <w:rsid w:val="006517A2"/>
    <w:rsid w:val="00651822"/>
    <w:rsid w:val="00651A24"/>
    <w:rsid w:val="00651CFA"/>
    <w:rsid w:val="00651CFD"/>
    <w:rsid w:val="00651F0A"/>
    <w:rsid w:val="006522EC"/>
    <w:rsid w:val="00652379"/>
    <w:rsid w:val="00652611"/>
    <w:rsid w:val="00652BC0"/>
    <w:rsid w:val="00652EDC"/>
    <w:rsid w:val="00653476"/>
    <w:rsid w:val="006535DA"/>
    <w:rsid w:val="006536BF"/>
    <w:rsid w:val="006539F0"/>
    <w:rsid w:val="00653ABD"/>
    <w:rsid w:val="00653D3C"/>
    <w:rsid w:val="00653D8E"/>
    <w:rsid w:val="00653DD7"/>
    <w:rsid w:val="00653E03"/>
    <w:rsid w:val="00654109"/>
    <w:rsid w:val="00654175"/>
    <w:rsid w:val="0065434A"/>
    <w:rsid w:val="0065442E"/>
    <w:rsid w:val="0065455B"/>
    <w:rsid w:val="00654563"/>
    <w:rsid w:val="0065467F"/>
    <w:rsid w:val="00654745"/>
    <w:rsid w:val="006548C0"/>
    <w:rsid w:val="00654A07"/>
    <w:rsid w:val="00654A38"/>
    <w:rsid w:val="00654F5D"/>
    <w:rsid w:val="00655060"/>
    <w:rsid w:val="00655A33"/>
    <w:rsid w:val="00655DEC"/>
    <w:rsid w:val="00655EF9"/>
    <w:rsid w:val="0065614B"/>
    <w:rsid w:val="006565D8"/>
    <w:rsid w:val="00656803"/>
    <w:rsid w:val="00657038"/>
    <w:rsid w:val="006577BC"/>
    <w:rsid w:val="00657858"/>
    <w:rsid w:val="00657866"/>
    <w:rsid w:val="006578DF"/>
    <w:rsid w:val="00657D81"/>
    <w:rsid w:val="00657EC0"/>
    <w:rsid w:val="00660104"/>
    <w:rsid w:val="00660678"/>
    <w:rsid w:val="006607B9"/>
    <w:rsid w:val="00660A4D"/>
    <w:rsid w:val="00660AF4"/>
    <w:rsid w:val="00660B3A"/>
    <w:rsid w:val="00660D07"/>
    <w:rsid w:val="00660E26"/>
    <w:rsid w:val="0066127F"/>
    <w:rsid w:val="0066150D"/>
    <w:rsid w:val="006615BD"/>
    <w:rsid w:val="0066173C"/>
    <w:rsid w:val="00661810"/>
    <w:rsid w:val="00661C28"/>
    <w:rsid w:val="00661D19"/>
    <w:rsid w:val="00662253"/>
    <w:rsid w:val="006622D5"/>
    <w:rsid w:val="006625EB"/>
    <w:rsid w:val="0066289F"/>
    <w:rsid w:val="00662940"/>
    <w:rsid w:val="00662EB7"/>
    <w:rsid w:val="00662EC7"/>
    <w:rsid w:val="00662F5E"/>
    <w:rsid w:val="00662F7D"/>
    <w:rsid w:val="006631CF"/>
    <w:rsid w:val="00663427"/>
    <w:rsid w:val="006636A4"/>
    <w:rsid w:val="006638B2"/>
    <w:rsid w:val="006638DF"/>
    <w:rsid w:val="00663AFB"/>
    <w:rsid w:val="00663BF6"/>
    <w:rsid w:val="00663C38"/>
    <w:rsid w:val="00663DB4"/>
    <w:rsid w:val="0066405F"/>
    <w:rsid w:val="00664151"/>
    <w:rsid w:val="0066464E"/>
    <w:rsid w:val="0066496E"/>
    <w:rsid w:val="00665198"/>
    <w:rsid w:val="00665523"/>
    <w:rsid w:val="00665621"/>
    <w:rsid w:val="006657CC"/>
    <w:rsid w:val="0066587C"/>
    <w:rsid w:val="00665D58"/>
    <w:rsid w:val="00665E4C"/>
    <w:rsid w:val="0066630A"/>
    <w:rsid w:val="006663A0"/>
    <w:rsid w:val="00666513"/>
    <w:rsid w:val="00666562"/>
    <w:rsid w:val="0066666E"/>
    <w:rsid w:val="006667F6"/>
    <w:rsid w:val="00666B1C"/>
    <w:rsid w:val="00666E25"/>
    <w:rsid w:val="00667291"/>
    <w:rsid w:val="006676CA"/>
    <w:rsid w:val="006679C6"/>
    <w:rsid w:val="006679D4"/>
    <w:rsid w:val="00667B5E"/>
    <w:rsid w:val="00667CB2"/>
    <w:rsid w:val="00667D1C"/>
    <w:rsid w:val="00670580"/>
    <w:rsid w:val="0067093D"/>
    <w:rsid w:val="00670AE8"/>
    <w:rsid w:val="00670B71"/>
    <w:rsid w:val="00670D33"/>
    <w:rsid w:val="00670E3B"/>
    <w:rsid w:val="006710F1"/>
    <w:rsid w:val="00671213"/>
    <w:rsid w:val="00671229"/>
    <w:rsid w:val="00671341"/>
    <w:rsid w:val="0067162C"/>
    <w:rsid w:val="00671688"/>
    <w:rsid w:val="00671800"/>
    <w:rsid w:val="00671829"/>
    <w:rsid w:val="00671B72"/>
    <w:rsid w:val="00671CEB"/>
    <w:rsid w:val="00671E5C"/>
    <w:rsid w:val="00671EEC"/>
    <w:rsid w:val="0067211A"/>
    <w:rsid w:val="006724D9"/>
    <w:rsid w:val="0067261E"/>
    <w:rsid w:val="0067263E"/>
    <w:rsid w:val="006726A5"/>
    <w:rsid w:val="0067288F"/>
    <w:rsid w:val="0067293F"/>
    <w:rsid w:val="00672E77"/>
    <w:rsid w:val="00672EFA"/>
    <w:rsid w:val="0067326E"/>
    <w:rsid w:val="00673554"/>
    <w:rsid w:val="00673828"/>
    <w:rsid w:val="006738C9"/>
    <w:rsid w:val="006739AC"/>
    <w:rsid w:val="00673E53"/>
    <w:rsid w:val="00673EC8"/>
    <w:rsid w:val="00673FDB"/>
    <w:rsid w:val="006740FB"/>
    <w:rsid w:val="00674149"/>
    <w:rsid w:val="0067425E"/>
    <w:rsid w:val="006743EE"/>
    <w:rsid w:val="00674807"/>
    <w:rsid w:val="00674841"/>
    <w:rsid w:val="00675031"/>
    <w:rsid w:val="006750C9"/>
    <w:rsid w:val="0067531C"/>
    <w:rsid w:val="006754BF"/>
    <w:rsid w:val="00675656"/>
    <w:rsid w:val="0067574C"/>
    <w:rsid w:val="006758D4"/>
    <w:rsid w:val="0067596B"/>
    <w:rsid w:val="00675CEB"/>
    <w:rsid w:val="00675DCA"/>
    <w:rsid w:val="006760FC"/>
    <w:rsid w:val="006761F7"/>
    <w:rsid w:val="0067651E"/>
    <w:rsid w:val="00676718"/>
    <w:rsid w:val="00676B77"/>
    <w:rsid w:val="00677250"/>
    <w:rsid w:val="00677295"/>
    <w:rsid w:val="00677545"/>
    <w:rsid w:val="006778B0"/>
    <w:rsid w:val="00677A64"/>
    <w:rsid w:val="00677C62"/>
    <w:rsid w:val="0068039F"/>
    <w:rsid w:val="00680631"/>
    <w:rsid w:val="00680919"/>
    <w:rsid w:val="00680E82"/>
    <w:rsid w:val="00680FC9"/>
    <w:rsid w:val="0068121E"/>
    <w:rsid w:val="00681300"/>
    <w:rsid w:val="00681425"/>
    <w:rsid w:val="006814F3"/>
    <w:rsid w:val="0068163F"/>
    <w:rsid w:val="00681A3A"/>
    <w:rsid w:val="00681DAC"/>
    <w:rsid w:val="00682135"/>
    <w:rsid w:val="00682880"/>
    <w:rsid w:val="006828A9"/>
    <w:rsid w:val="00682F01"/>
    <w:rsid w:val="006833A0"/>
    <w:rsid w:val="006834D3"/>
    <w:rsid w:val="00683587"/>
    <w:rsid w:val="00683A52"/>
    <w:rsid w:val="00683B58"/>
    <w:rsid w:val="00683C4B"/>
    <w:rsid w:val="00683FA0"/>
    <w:rsid w:val="0068403C"/>
    <w:rsid w:val="0068434C"/>
    <w:rsid w:val="00684357"/>
    <w:rsid w:val="006843E8"/>
    <w:rsid w:val="006844E2"/>
    <w:rsid w:val="006846AF"/>
    <w:rsid w:val="00684957"/>
    <w:rsid w:val="00684E32"/>
    <w:rsid w:val="006850A1"/>
    <w:rsid w:val="0068568C"/>
    <w:rsid w:val="0068582C"/>
    <w:rsid w:val="00685B76"/>
    <w:rsid w:val="00685BDE"/>
    <w:rsid w:val="00685EC3"/>
    <w:rsid w:val="006862CD"/>
    <w:rsid w:val="006864C8"/>
    <w:rsid w:val="006864F6"/>
    <w:rsid w:val="006865A6"/>
    <w:rsid w:val="006868A4"/>
    <w:rsid w:val="00686AAE"/>
    <w:rsid w:val="00686C1C"/>
    <w:rsid w:val="00687153"/>
    <w:rsid w:val="006871E5"/>
    <w:rsid w:val="0068769D"/>
    <w:rsid w:val="006877C6"/>
    <w:rsid w:val="0068794F"/>
    <w:rsid w:val="006879B4"/>
    <w:rsid w:val="00690296"/>
    <w:rsid w:val="00690462"/>
    <w:rsid w:val="006904FA"/>
    <w:rsid w:val="0069060D"/>
    <w:rsid w:val="006908FD"/>
    <w:rsid w:val="0069090C"/>
    <w:rsid w:val="00690BD4"/>
    <w:rsid w:val="00690F27"/>
    <w:rsid w:val="006911B3"/>
    <w:rsid w:val="0069190A"/>
    <w:rsid w:val="00691A31"/>
    <w:rsid w:val="00691AC0"/>
    <w:rsid w:val="00691ED8"/>
    <w:rsid w:val="0069243A"/>
    <w:rsid w:val="006925B2"/>
    <w:rsid w:val="006926CC"/>
    <w:rsid w:val="0069293F"/>
    <w:rsid w:val="006930A2"/>
    <w:rsid w:val="006930FC"/>
    <w:rsid w:val="0069317D"/>
    <w:rsid w:val="00693226"/>
    <w:rsid w:val="00693397"/>
    <w:rsid w:val="006933F1"/>
    <w:rsid w:val="0069347B"/>
    <w:rsid w:val="00693914"/>
    <w:rsid w:val="00693963"/>
    <w:rsid w:val="00693B63"/>
    <w:rsid w:val="00693BD6"/>
    <w:rsid w:val="00693EE7"/>
    <w:rsid w:val="00693F3F"/>
    <w:rsid w:val="00694293"/>
    <w:rsid w:val="0069441E"/>
    <w:rsid w:val="006944E1"/>
    <w:rsid w:val="00694546"/>
    <w:rsid w:val="00694809"/>
    <w:rsid w:val="0069482B"/>
    <w:rsid w:val="00694A24"/>
    <w:rsid w:val="00694ACF"/>
    <w:rsid w:val="00694E78"/>
    <w:rsid w:val="00695131"/>
    <w:rsid w:val="00695141"/>
    <w:rsid w:val="0069528E"/>
    <w:rsid w:val="006952EC"/>
    <w:rsid w:val="00695442"/>
    <w:rsid w:val="00695742"/>
    <w:rsid w:val="00695996"/>
    <w:rsid w:val="0069599F"/>
    <w:rsid w:val="006959A6"/>
    <w:rsid w:val="0069622B"/>
    <w:rsid w:val="006964F4"/>
    <w:rsid w:val="0069666C"/>
    <w:rsid w:val="0069697E"/>
    <w:rsid w:val="00696B23"/>
    <w:rsid w:val="00696D25"/>
    <w:rsid w:val="006975D9"/>
    <w:rsid w:val="0069767D"/>
    <w:rsid w:val="006976DF"/>
    <w:rsid w:val="006977E7"/>
    <w:rsid w:val="00697899"/>
    <w:rsid w:val="00697BF5"/>
    <w:rsid w:val="00697C93"/>
    <w:rsid w:val="00697E3A"/>
    <w:rsid w:val="006A0237"/>
    <w:rsid w:val="006A036D"/>
    <w:rsid w:val="006A052A"/>
    <w:rsid w:val="006A059E"/>
    <w:rsid w:val="006A06BD"/>
    <w:rsid w:val="006A06EA"/>
    <w:rsid w:val="006A0A28"/>
    <w:rsid w:val="006A0C35"/>
    <w:rsid w:val="006A0D21"/>
    <w:rsid w:val="006A0F3E"/>
    <w:rsid w:val="006A1A23"/>
    <w:rsid w:val="006A1DFA"/>
    <w:rsid w:val="006A1E45"/>
    <w:rsid w:val="006A2276"/>
    <w:rsid w:val="006A27CE"/>
    <w:rsid w:val="006A2F6E"/>
    <w:rsid w:val="006A3260"/>
    <w:rsid w:val="006A330B"/>
    <w:rsid w:val="006A354C"/>
    <w:rsid w:val="006A369C"/>
    <w:rsid w:val="006A3915"/>
    <w:rsid w:val="006A3B8F"/>
    <w:rsid w:val="006A3FE0"/>
    <w:rsid w:val="006A42BA"/>
    <w:rsid w:val="006A44D3"/>
    <w:rsid w:val="006A44E7"/>
    <w:rsid w:val="006A4622"/>
    <w:rsid w:val="006A46AC"/>
    <w:rsid w:val="006A476F"/>
    <w:rsid w:val="006A490A"/>
    <w:rsid w:val="006A4C79"/>
    <w:rsid w:val="006A4C9C"/>
    <w:rsid w:val="006A4CA5"/>
    <w:rsid w:val="006A4DF4"/>
    <w:rsid w:val="006A4EFB"/>
    <w:rsid w:val="006A5050"/>
    <w:rsid w:val="006A51AD"/>
    <w:rsid w:val="006A539D"/>
    <w:rsid w:val="006A55D6"/>
    <w:rsid w:val="006A573B"/>
    <w:rsid w:val="006A58DD"/>
    <w:rsid w:val="006A5DD8"/>
    <w:rsid w:val="006A5F3E"/>
    <w:rsid w:val="006A6290"/>
    <w:rsid w:val="006A6523"/>
    <w:rsid w:val="006A6647"/>
    <w:rsid w:val="006A6C2D"/>
    <w:rsid w:val="006A6CEA"/>
    <w:rsid w:val="006A7B44"/>
    <w:rsid w:val="006A7D43"/>
    <w:rsid w:val="006A7FC1"/>
    <w:rsid w:val="006B00A0"/>
    <w:rsid w:val="006B00AD"/>
    <w:rsid w:val="006B0514"/>
    <w:rsid w:val="006B07BB"/>
    <w:rsid w:val="006B08A1"/>
    <w:rsid w:val="006B09EA"/>
    <w:rsid w:val="006B0B5A"/>
    <w:rsid w:val="006B0D6F"/>
    <w:rsid w:val="006B0DD8"/>
    <w:rsid w:val="006B0E02"/>
    <w:rsid w:val="006B0FAB"/>
    <w:rsid w:val="006B1221"/>
    <w:rsid w:val="006B14C5"/>
    <w:rsid w:val="006B16CC"/>
    <w:rsid w:val="006B18CE"/>
    <w:rsid w:val="006B190A"/>
    <w:rsid w:val="006B19F7"/>
    <w:rsid w:val="006B2018"/>
    <w:rsid w:val="006B2098"/>
    <w:rsid w:val="006B2456"/>
    <w:rsid w:val="006B24AF"/>
    <w:rsid w:val="006B259F"/>
    <w:rsid w:val="006B2A00"/>
    <w:rsid w:val="006B2A3F"/>
    <w:rsid w:val="006B2B93"/>
    <w:rsid w:val="006B2CA6"/>
    <w:rsid w:val="006B2D6A"/>
    <w:rsid w:val="006B30F2"/>
    <w:rsid w:val="006B31B5"/>
    <w:rsid w:val="006B31FF"/>
    <w:rsid w:val="006B3387"/>
    <w:rsid w:val="006B37A2"/>
    <w:rsid w:val="006B3A4E"/>
    <w:rsid w:val="006B3BE2"/>
    <w:rsid w:val="006B3E53"/>
    <w:rsid w:val="006B3EDA"/>
    <w:rsid w:val="006B428E"/>
    <w:rsid w:val="006B433A"/>
    <w:rsid w:val="006B45D4"/>
    <w:rsid w:val="006B4858"/>
    <w:rsid w:val="006B492C"/>
    <w:rsid w:val="006B4A7A"/>
    <w:rsid w:val="006B4E87"/>
    <w:rsid w:val="006B52B0"/>
    <w:rsid w:val="006B5896"/>
    <w:rsid w:val="006B592C"/>
    <w:rsid w:val="006B5930"/>
    <w:rsid w:val="006B5BA6"/>
    <w:rsid w:val="006B5D5C"/>
    <w:rsid w:val="006B658F"/>
    <w:rsid w:val="006B6689"/>
    <w:rsid w:val="006B66E0"/>
    <w:rsid w:val="006B6721"/>
    <w:rsid w:val="006B6815"/>
    <w:rsid w:val="006B6A73"/>
    <w:rsid w:val="006B7287"/>
    <w:rsid w:val="006B74E7"/>
    <w:rsid w:val="006B769D"/>
    <w:rsid w:val="006B778D"/>
    <w:rsid w:val="006B79A3"/>
    <w:rsid w:val="006B7EFA"/>
    <w:rsid w:val="006C01FE"/>
    <w:rsid w:val="006C03DC"/>
    <w:rsid w:val="006C0521"/>
    <w:rsid w:val="006C061D"/>
    <w:rsid w:val="006C0792"/>
    <w:rsid w:val="006C08EC"/>
    <w:rsid w:val="006C0B47"/>
    <w:rsid w:val="006C0D7F"/>
    <w:rsid w:val="006C10C2"/>
    <w:rsid w:val="006C1307"/>
    <w:rsid w:val="006C1497"/>
    <w:rsid w:val="006C166C"/>
    <w:rsid w:val="006C18D3"/>
    <w:rsid w:val="006C1979"/>
    <w:rsid w:val="006C1C5F"/>
    <w:rsid w:val="006C1DA1"/>
    <w:rsid w:val="006C1DD2"/>
    <w:rsid w:val="006C1DE4"/>
    <w:rsid w:val="006C1F31"/>
    <w:rsid w:val="006C20B0"/>
    <w:rsid w:val="006C211F"/>
    <w:rsid w:val="006C24BB"/>
    <w:rsid w:val="006C2AA7"/>
    <w:rsid w:val="006C2AAC"/>
    <w:rsid w:val="006C2BAE"/>
    <w:rsid w:val="006C2BBB"/>
    <w:rsid w:val="006C2E16"/>
    <w:rsid w:val="006C2FDF"/>
    <w:rsid w:val="006C3017"/>
    <w:rsid w:val="006C3220"/>
    <w:rsid w:val="006C3784"/>
    <w:rsid w:val="006C389D"/>
    <w:rsid w:val="006C39C5"/>
    <w:rsid w:val="006C3A7F"/>
    <w:rsid w:val="006C3C01"/>
    <w:rsid w:val="006C3C43"/>
    <w:rsid w:val="006C3C5D"/>
    <w:rsid w:val="006C3CFF"/>
    <w:rsid w:val="006C400C"/>
    <w:rsid w:val="006C4064"/>
    <w:rsid w:val="006C40BB"/>
    <w:rsid w:val="006C423D"/>
    <w:rsid w:val="006C4CDD"/>
    <w:rsid w:val="006C4D3B"/>
    <w:rsid w:val="006C5743"/>
    <w:rsid w:val="006C5863"/>
    <w:rsid w:val="006C5954"/>
    <w:rsid w:val="006C5A78"/>
    <w:rsid w:val="006C5BA9"/>
    <w:rsid w:val="006C5D1E"/>
    <w:rsid w:val="006C611B"/>
    <w:rsid w:val="006C62B6"/>
    <w:rsid w:val="006C6363"/>
    <w:rsid w:val="006C6665"/>
    <w:rsid w:val="006C68B3"/>
    <w:rsid w:val="006C71F7"/>
    <w:rsid w:val="006C75B5"/>
    <w:rsid w:val="006C75D9"/>
    <w:rsid w:val="006C7696"/>
    <w:rsid w:val="006C7936"/>
    <w:rsid w:val="006C7A58"/>
    <w:rsid w:val="006C7B24"/>
    <w:rsid w:val="006C7BF8"/>
    <w:rsid w:val="006C7CDE"/>
    <w:rsid w:val="006D004A"/>
    <w:rsid w:val="006D024F"/>
    <w:rsid w:val="006D0353"/>
    <w:rsid w:val="006D03C3"/>
    <w:rsid w:val="006D0473"/>
    <w:rsid w:val="006D0577"/>
    <w:rsid w:val="006D0587"/>
    <w:rsid w:val="006D0646"/>
    <w:rsid w:val="006D08B0"/>
    <w:rsid w:val="006D095D"/>
    <w:rsid w:val="006D0BF4"/>
    <w:rsid w:val="006D0DCC"/>
    <w:rsid w:val="006D0E88"/>
    <w:rsid w:val="006D10B9"/>
    <w:rsid w:val="006D1238"/>
    <w:rsid w:val="006D12E7"/>
    <w:rsid w:val="006D1389"/>
    <w:rsid w:val="006D144A"/>
    <w:rsid w:val="006D153A"/>
    <w:rsid w:val="006D17DC"/>
    <w:rsid w:val="006D1C14"/>
    <w:rsid w:val="006D1D34"/>
    <w:rsid w:val="006D1DE3"/>
    <w:rsid w:val="006D22AC"/>
    <w:rsid w:val="006D23EF"/>
    <w:rsid w:val="006D289D"/>
    <w:rsid w:val="006D28E2"/>
    <w:rsid w:val="006D2944"/>
    <w:rsid w:val="006D3023"/>
    <w:rsid w:val="006D306D"/>
    <w:rsid w:val="006D32AB"/>
    <w:rsid w:val="006D35F3"/>
    <w:rsid w:val="006D3A7E"/>
    <w:rsid w:val="006D3C66"/>
    <w:rsid w:val="006D3E4A"/>
    <w:rsid w:val="006D43EB"/>
    <w:rsid w:val="006D452C"/>
    <w:rsid w:val="006D4711"/>
    <w:rsid w:val="006D47E8"/>
    <w:rsid w:val="006D480B"/>
    <w:rsid w:val="006D48FC"/>
    <w:rsid w:val="006D49A0"/>
    <w:rsid w:val="006D49A7"/>
    <w:rsid w:val="006D5050"/>
    <w:rsid w:val="006D5129"/>
    <w:rsid w:val="006D5191"/>
    <w:rsid w:val="006D53E0"/>
    <w:rsid w:val="006D54AE"/>
    <w:rsid w:val="006D56BF"/>
    <w:rsid w:val="006D56E9"/>
    <w:rsid w:val="006D5795"/>
    <w:rsid w:val="006D5817"/>
    <w:rsid w:val="006D5988"/>
    <w:rsid w:val="006D59FF"/>
    <w:rsid w:val="006D5CB9"/>
    <w:rsid w:val="006D5EC2"/>
    <w:rsid w:val="006D5FDF"/>
    <w:rsid w:val="006D6058"/>
    <w:rsid w:val="006D6070"/>
    <w:rsid w:val="006D6394"/>
    <w:rsid w:val="006D6709"/>
    <w:rsid w:val="006D69BF"/>
    <w:rsid w:val="006D6CA1"/>
    <w:rsid w:val="006D6D9A"/>
    <w:rsid w:val="006D6E18"/>
    <w:rsid w:val="006D6E1A"/>
    <w:rsid w:val="006D6E6A"/>
    <w:rsid w:val="006D6EE9"/>
    <w:rsid w:val="006D6EFB"/>
    <w:rsid w:val="006D6F94"/>
    <w:rsid w:val="006D7179"/>
    <w:rsid w:val="006D724F"/>
    <w:rsid w:val="006D74D4"/>
    <w:rsid w:val="006D7A3F"/>
    <w:rsid w:val="006D7BA5"/>
    <w:rsid w:val="006D7F31"/>
    <w:rsid w:val="006E0050"/>
    <w:rsid w:val="006E00DD"/>
    <w:rsid w:val="006E0530"/>
    <w:rsid w:val="006E094F"/>
    <w:rsid w:val="006E0C39"/>
    <w:rsid w:val="006E0C6C"/>
    <w:rsid w:val="006E0CEC"/>
    <w:rsid w:val="006E0E9F"/>
    <w:rsid w:val="006E102D"/>
    <w:rsid w:val="006E1282"/>
    <w:rsid w:val="006E19A1"/>
    <w:rsid w:val="006E1AC0"/>
    <w:rsid w:val="006E1AD8"/>
    <w:rsid w:val="006E1BEF"/>
    <w:rsid w:val="006E1C12"/>
    <w:rsid w:val="006E214D"/>
    <w:rsid w:val="006E2295"/>
    <w:rsid w:val="006E242E"/>
    <w:rsid w:val="006E2533"/>
    <w:rsid w:val="006E2785"/>
    <w:rsid w:val="006E27B0"/>
    <w:rsid w:val="006E29BA"/>
    <w:rsid w:val="006E2E8E"/>
    <w:rsid w:val="006E305F"/>
    <w:rsid w:val="006E33C8"/>
    <w:rsid w:val="006E33CC"/>
    <w:rsid w:val="006E340C"/>
    <w:rsid w:val="006E3558"/>
    <w:rsid w:val="006E3841"/>
    <w:rsid w:val="006E38F4"/>
    <w:rsid w:val="006E3D54"/>
    <w:rsid w:val="006E3E9E"/>
    <w:rsid w:val="006E4001"/>
    <w:rsid w:val="006E404C"/>
    <w:rsid w:val="006E4365"/>
    <w:rsid w:val="006E4443"/>
    <w:rsid w:val="006E48C6"/>
    <w:rsid w:val="006E4E82"/>
    <w:rsid w:val="006E4E8A"/>
    <w:rsid w:val="006E4F34"/>
    <w:rsid w:val="006E50EF"/>
    <w:rsid w:val="006E5254"/>
    <w:rsid w:val="006E52B5"/>
    <w:rsid w:val="006E555F"/>
    <w:rsid w:val="006E55C7"/>
    <w:rsid w:val="006E5D6D"/>
    <w:rsid w:val="006E5D9D"/>
    <w:rsid w:val="006E5E35"/>
    <w:rsid w:val="006E602C"/>
    <w:rsid w:val="006E6053"/>
    <w:rsid w:val="006E60AC"/>
    <w:rsid w:val="006E63B2"/>
    <w:rsid w:val="006E6472"/>
    <w:rsid w:val="006E6576"/>
    <w:rsid w:val="006E6754"/>
    <w:rsid w:val="006E6916"/>
    <w:rsid w:val="006E6973"/>
    <w:rsid w:val="006E69B7"/>
    <w:rsid w:val="006E69FC"/>
    <w:rsid w:val="006E6EA2"/>
    <w:rsid w:val="006E704C"/>
    <w:rsid w:val="006E721A"/>
    <w:rsid w:val="006E7326"/>
    <w:rsid w:val="006E75EB"/>
    <w:rsid w:val="006E7642"/>
    <w:rsid w:val="006E7817"/>
    <w:rsid w:val="006E7A3C"/>
    <w:rsid w:val="006E7B2D"/>
    <w:rsid w:val="006E7DB6"/>
    <w:rsid w:val="006E7F95"/>
    <w:rsid w:val="006E7FEE"/>
    <w:rsid w:val="006F0066"/>
    <w:rsid w:val="006F00D8"/>
    <w:rsid w:val="006F04C1"/>
    <w:rsid w:val="006F04C3"/>
    <w:rsid w:val="006F05DA"/>
    <w:rsid w:val="006F12FD"/>
    <w:rsid w:val="006F1547"/>
    <w:rsid w:val="006F1B62"/>
    <w:rsid w:val="006F1F84"/>
    <w:rsid w:val="006F20B5"/>
    <w:rsid w:val="006F2274"/>
    <w:rsid w:val="006F2478"/>
    <w:rsid w:val="006F2CA8"/>
    <w:rsid w:val="006F2F05"/>
    <w:rsid w:val="006F2FDB"/>
    <w:rsid w:val="006F30AB"/>
    <w:rsid w:val="006F338D"/>
    <w:rsid w:val="006F34B3"/>
    <w:rsid w:val="006F353D"/>
    <w:rsid w:val="006F3C88"/>
    <w:rsid w:val="006F3E43"/>
    <w:rsid w:val="006F4407"/>
    <w:rsid w:val="006F445D"/>
    <w:rsid w:val="006F447C"/>
    <w:rsid w:val="006F4647"/>
    <w:rsid w:val="006F4ACF"/>
    <w:rsid w:val="006F4BB0"/>
    <w:rsid w:val="006F4E1B"/>
    <w:rsid w:val="006F50C8"/>
    <w:rsid w:val="006F515C"/>
    <w:rsid w:val="006F5160"/>
    <w:rsid w:val="006F5935"/>
    <w:rsid w:val="006F5B71"/>
    <w:rsid w:val="006F5C30"/>
    <w:rsid w:val="006F5D10"/>
    <w:rsid w:val="006F5DA8"/>
    <w:rsid w:val="006F6275"/>
    <w:rsid w:val="006F634A"/>
    <w:rsid w:val="006F658E"/>
    <w:rsid w:val="006F6628"/>
    <w:rsid w:val="006F66D9"/>
    <w:rsid w:val="006F6773"/>
    <w:rsid w:val="006F6794"/>
    <w:rsid w:val="006F6937"/>
    <w:rsid w:val="006F6B74"/>
    <w:rsid w:val="006F6CBE"/>
    <w:rsid w:val="006F6CF0"/>
    <w:rsid w:val="006F6D90"/>
    <w:rsid w:val="006F6F46"/>
    <w:rsid w:val="006F6FBE"/>
    <w:rsid w:val="006F6FD7"/>
    <w:rsid w:val="006F7163"/>
    <w:rsid w:val="006F719F"/>
    <w:rsid w:val="006F7287"/>
    <w:rsid w:val="006F73A7"/>
    <w:rsid w:val="006F73B3"/>
    <w:rsid w:val="006F77D1"/>
    <w:rsid w:val="006F7B58"/>
    <w:rsid w:val="006F7BD6"/>
    <w:rsid w:val="006F7CA3"/>
    <w:rsid w:val="006F7CD6"/>
    <w:rsid w:val="006F7E53"/>
    <w:rsid w:val="00700401"/>
    <w:rsid w:val="00700536"/>
    <w:rsid w:val="00700837"/>
    <w:rsid w:val="00700A3C"/>
    <w:rsid w:val="00700D9F"/>
    <w:rsid w:val="00700DDE"/>
    <w:rsid w:val="00700E61"/>
    <w:rsid w:val="0070100D"/>
    <w:rsid w:val="00701082"/>
    <w:rsid w:val="007011DE"/>
    <w:rsid w:val="00701665"/>
    <w:rsid w:val="00701BEC"/>
    <w:rsid w:val="00701C33"/>
    <w:rsid w:val="00701C89"/>
    <w:rsid w:val="00701FDE"/>
    <w:rsid w:val="0070202C"/>
    <w:rsid w:val="00702186"/>
    <w:rsid w:val="007022F5"/>
    <w:rsid w:val="0070267D"/>
    <w:rsid w:val="007028B1"/>
    <w:rsid w:val="007028D4"/>
    <w:rsid w:val="00702C48"/>
    <w:rsid w:val="00702E61"/>
    <w:rsid w:val="00702EF5"/>
    <w:rsid w:val="00703047"/>
    <w:rsid w:val="00703485"/>
    <w:rsid w:val="00703523"/>
    <w:rsid w:val="00703977"/>
    <w:rsid w:val="00703D08"/>
    <w:rsid w:val="00704033"/>
    <w:rsid w:val="007042FE"/>
    <w:rsid w:val="00704970"/>
    <w:rsid w:val="00704A9B"/>
    <w:rsid w:val="00704D15"/>
    <w:rsid w:val="00704DA5"/>
    <w:rsid w:val="00704EA8"/>
    <w:rsid w:val="00705093"/>
    <w:rsid w:val="007053A5"/>
    <w:rsid w:val="007053F0"/>
    <w:rsid w:val="00705482"/>
    <w:rsid w:val="00705774"/>
    <w:rsid w:val="00705AA6"/>
    <w:rsid w:val="00705CF2"/>
    <w:rsid w:val="00705EBD"/>
    <w:rsid w:val="007061C6"/>
    <w:rsid w:val="0070646B"/>
    <w:rsid w:val="007064D2"/>
    <w:rsid w:val="007065C3"/>
    <w:rsid w:val="00706775"/>
    <w:rsid w:val="00706AEF"/>
    <w:rsid w:val="00706B6D"/>
    <w:rsid w:val="00706BE9"/>
    <w:rsid w:val="00706F87"/>
    <w:rsid w:val="007070C3"/>
    <w:rsid w:val="007070E4"/>
    <w:rsid w:val="00707149"/>
    <w:rsid w:val="0070749B"/>
    <w:rsid w:val="007076DE"/>
    <w:rsid w:val="00707846"/>
    <w:rsid w:val="007078BB"/>
    <w:rsid w:val="00707977"/>
    <w:rsid w:val="00707D97"/>
    <w:rsid w:val="00707DFC"/>
    <w:rsid w:val="00710103"/>
    <w:rsid w:val="00710358"/>
    <w:rsid w:val="00710AFF"/>
    <w:rsid w:val="00710C36"/>
    <w:rsid w:val="00710D85"/>
    <w:rsid w:val="00711382"/>
    <w:rsid w:val="00711A59"/>
    <w:rsid w:val="00711D34"/>
    <w:rsid w:val="00711E6A"/>
    <w:rsid w:val="00712128"/>
    <w:rsid w:val="0071261E"/>
    <w:rsid w:val="007129A7"/>
    <w:rsid w:val="00712E3B"/>
    <w:rsid w:val="00712EA3"/>
    <w:rsid w:val="00712EFA"/>
    <w:rsid w:val="007130B5"/>
    <w:rsid w:val="007133CB"/>
    <w:rsid w:val="0071354D"/>
    <w:rsid w:val="007137A7"/>
    <w:rsid w:val="00713859"/>
    <w:rsid w:val="00713983"/>
    <w:rsid w:val="00713BC2"/>
    <w:rsid w:val="00713C6E"/>
    <w:rsid w:val="00713DBF"/>
    <w:rsid w:val="00713FCF"/>
    <w:rsid w:val="007140AE"/>
    <w:rsid w:val="00714242"/>
    <w:rsid w:val="00714618"/>
    <w:rsid w:val="00714854"/>
    <w:rsid w:val="00714869"/>
    <w:rsid w:val="00714C70"/>
    <w:rsid w:val="00714E66"/>
    <w:rsid w:val="00714E91"/>
    <w:rsid w:val="00715046"/>
    <w:rsid w:val="0071529A"/>
    <w:rsid w:val="00715414"/>
    <w:rsid w:val="00715487"/>
    <w:rsid w:val="0071549C"/>
    <w:rsid w:val="00715677"/>
    <w:rsid w:val="00715731"/>
    <w:rsid w:val="00715A90"/>
    <w:rsid w:val="00715A92"/>
    <w:rsid w:val="00715AF6"/>
    <w:rsid w:val="00716229"/>
    <w:rsid w:val="0071636B"/>
    <w:rsid w:val="007164CA"/>
    <w:rsid w:val="00716930"/>
    <w:rsid w:val="007169C9"/>
    <w:rsid w:val="00716C16"/>
    <w:rsid w:val="00716CEE"/>
    <w:rsid w:val="00716D32"/>
    <w:rsid w:val="00717166"/>
    <w:rsid w:val="00717628"/>
    <w:rsid w:val="00717A18"/>
    <w:rsid w:val="00717A1B"/>
    <w:rsid w:val="00717E4E"/>
    <w:rsid w:val="00720125"/>
    <w:rsid w:val="00720333"/>
    <w:rsid w:val="00720459"/>
    <w:rsid w:val="00721179"/>
    <w:rsid w:val="007213A7"/>
    <w:rsid w:val="00721687"/>
    <w:rsid w:val="007217BC"/>
    <w:rsid w:val="00721B79"/>
    <w:rsid w:val="00721C2B"/>
    <w:rsid w:val="00721C3C"/>
    <w:rsid w:val="00721C7D"/>
    <w:rsid w:val="00721C83"/>
    <w:rsid w:val="0072216B"/>
    <w:rsid w:val="007226AD"/>
    <w:rsid w:val="007226BC"/>
    <w:rsid w:val="00722887"/>
    <w:rsid w:val="007228EB"/>
    <w:rsid w:val="00722922"/>
    <w:rsid w:val="00722A56"/>
    <w:rsid w:val="00722BE1"/>
    <w:rsid w:val="00722C84"/>
    <w:rsid w:val="00723099"/>
    <w:rsid w:val="0072329D"/>
    <w:rsid w:val="00723346"/>
    <w:rsid w:val="00723E7C"/>
    <w:rsid w:val="00723F67"/>
    <w:rsid w:val="00724089"/>
    <w:rsid w:val="00724129"/>
    <w:rsid w:val="0072435A"/>
    <w:rsid w:val="0072441A"/>
    <w:rsid w:val="00724604"/>
    <w:rsid w:val="00724C84"/>
    <w:rsid w:val="00724E5C"/>
    <w:rsid w:val="007254CC"/>
    <w:rsid w:val="007255C3"/>
    <w:rsid w:val="007255F5"/>
    <w:rsid w:val="007256C9"/>
    <w:rsid w:val="007256F6"/>
    <w:rsid w:val="00725CB5"/>
    <w:rsid w:val="00725E99"/>
    <w:rsid w:val="00726520"/>
    <w:rsid w:val="00726802"/>
    <w:rsid w:val="00726811"/>
    <w:rsid w:val="00726922"/>
    <w:rsid w:val="00726CBD"/>
    <w:rsid w:val="00726EB3"/>
    <w:rsid w:val="00726F42"/>
    <w:rsid w:val="00726F54"/>
    <w:rsid w:val="00726F67"/>
    <w:rsid w:val="00727023"/>
    <w:rsid w:val="0072716C"/>
    <w:rsid w:val="00727563"/>
    <w:rsid w:val="00727682"/>
    <w:rsid w:val="00727942"/>
    <w:rsid w:val="007279B4"/>
    <w:rsid w:val="00727A3F"/>
    <w:rsid w:val="00727AAA"/>
    <w:rsid w:val="00727B7E"/>
    <w:rsid w:val="00727CAB"/>
    <w:rsid w:val="007300A0"/>
    <w:rsid w:val="00730168"/>
    <w:rsid w:val="0073036C"/>
    <w:rsid w:val="00730488"/>
    <w:rsid w:val="00730654"/>
    <w:rsid w:val="0073071D"/>
    <w:rsid w:val="007311E4"/>
    <w:rsid w:val="0073129A"/>
    <w:rsid w:val="00731396"/>
    <w:rsid w:val="00731433"/>
    <w:rsid w:val="00731BC9"/>
    <w:rsid w:val="00731E39"/>
    <w:rsid w:val="00731EF1"/>
    <w:rsid w:val="00732053"/>
    <w:rsid w:val="0073222D"/>
    <w:rsid w:val="0073228B"/>
    <w:rsid w:val="00732F5B"/>
    <w:rsid w:val="00733059"/>
    <w:rsid w:val="0073365E"/>
    <w:rsid w:val="007336D0"/>
    <w:rsid w:val="0073386E"/>
    <w:rsid w:val="007338CA"/>
    <w:rsid w:val="00733A11"/>
    <w:rsid w:val="00733AC8"/>
    <w:rsid w:val="00733C9B"/>
    <w:rsid w:val="007342EB"/>
    <w:rsid w:val="00734339"/>
    <w:rsid w:val="007347F8"/>
    <w:rsid w:val="0073495F"/>
    <w:rsid w:val="007349C5"/>
    <w:rsid w:val="00734B2F"/>
    <w:rsid w:val="00734D46"/>
    <w:rsid w:val="00735797"/>
    <w:rsid w:val="007357C0"/>
    <w:rsid w:val="00735865"/>
    <w:rsid w:val="00735960"/>
    <w:rsid w:val="00736311"/>
    <w:rsid w:val="007363FE"/>
    <w:rsid w:val="00736456"/>
    <w:rsid w:val="0073695C"/>
    <w:rsid w:val="0073698F"/>
    <w:rsid w:val="00736B51"/>
    <w:rsid w:val="00736E70"/>
    <w:rsid w:val="00737076"/>
    <w:rsid w:val="0073714E"/>
    <w:rsid w:val="007371AA"/>
    <w:rsid w:val="007371E4"/>
    <w:rsid w:val="0073727A"/>
    <w:rsid w:val="007372BB"/>
    <w:rsid w:val="00737525"/>
    <w:rsid w:val="007375FE"/>
    <w:rsid w:val="007377BB"/>
    <w:rsid w:val="007378E1"/>
    <w:rsid w:val="00737B99"/>
    <w:rsid w:val="0074026B"/>
    <w:rsid w:val="007402DA"/>
    <w:rsid w:val="007403DF"/>
    <w:rsid w:val="007404A2"/>
    <w:rsid w:val="007404C6"/>
    <w:rsid w:val="007405D9"/>
    <w:rsid w:val="00740767"/>
    <w:rsid w:val="00740D4A"/>
    <w:rsid w:val="00740FFD"/>
    <w:rsid w:val="00741010"/>
    <w:rsid w:val="0074141D"/>
    <w:rsid w:val="00741652"/>
    <w:rsid w:val="00741788"/>
    <w:rsid w:val="00741AFC"/>
    <w:rsid w:val="00741B21"/>
    <w:rsid w:val="00741DEC"/>
    <w:rsid w:val="007423E7"/>
    <w:rsid w:val="0074270A"/>
    <w:rsid w:val="00742974"/>
    <w:rsid w:val="00742A0D"/>
    <w:rsid w:val="00742A5D"/>
    <w:rsid w:val="00742B3F"/>
    <w:rsid w:val="00743017"/>
    <w:rsid w:val="00743038"/>
    <w:rsid w:val="007433FC"/>
    <w:rsid w:val="00743579"/>
    <w:rsid w:val="007437F3"/>
    <w:rsid w:val="0074383A"/>
    <w:rsid w:val="00743DB0"/>
    <w:rsid w:val="0074417E"/>
    <w:rsid w:val="00744478"/>
    <w:rsid w:val="0074462F"/>
    <w:rsid w:val="007446A7"/>
    <w:rsid w:val="0074483A"/>
    <w:rsid w:val="00744908"/>
    <w:rsid w:val="00744DFB"/>
    <w:rsid w:val="00744F3C"/>
    <w:rsid w:val="00745049"/>
    <w:rsid w:val="007451B0"/>
    <w:rsid w:val="00745344"/>
    <w:rsid w:val="007455D5"/>
    <w:rsid w:val="00745685"/>
    <w:rsid w:val="007456B3"/>
    <w:rsid w:val="0074574D"/>
    <w:rsid w:val="00745ACF"/>
    <w:rsid w:val="00745E7A"/>
    <w:rsid w:val="00745EE5"/>
    <w:rsid w:val="0074684C"/>
    <w:rsid w:val="00746A47"/>
    <w:rsid w:val="00746AD3"/>
    <w:rsid w:val="00746D0A"/>
    <w:rsid w:val="00746FBD"/>
    <w:rsid w:val="00747056"/>
    <w:rsid w:val="00747058"/>
    <w:rsid w:val="00747186"/>
    <w:rsid w:val="007472A3"/>
    <w:rsid w:val="00747552"/>
    <w:rsid w:val="0074755D"/>
    <w:rsid w:val="00747945"/>
    <w:rsid w:val="0074799F"/>
    <w:rsid w:val="00747B03"/>
    <w:rsid w:val="00747EB8"/>
    <w:rsid w:val="0075002F"/>
    <w:rsid w:val="00750044"/>
    <w:rsid w:val="0075004C"/>
    <w:rsid w:val="007500C7"/>
    <w:rsid w:val="00750119"/>
    <w:rsid w:val="007502DD"/>
    <w:rsid w:val="00750421"/>
    <w:rsid w:val="00750649"/>
    <w:rsid w:val="0075066B"/>
    <w:rsid w:val="0075068C"/>
    <w:rsid w:val="007506A7"/>
    <w:rsid w:val="0075088F"/>
    <w:rsid w:val="00750900"/>
    <w:rsid w:val="00750961"/>
    <w:rsid w:val="00750A80"/>
    <w:rsid w:val="00751085"/>
    <w:rsid w:val="007513B1"/>
    <w:rsid w:val="0075140C"/>
    <w:rsid w:val="007514B9"/>
    <w:rsid w:val="00751592"/>
    <w:rsid w:val="00751619"/>
    <w:rsid w:val="00751789"/>
    <w:rsid w:val="007518F2"/>
    <w:rsid w:val="007522A3"/>
    <w:rsid w:val="00752553"/>
    <w:rsid w:val="00752897"/>
    <w:rsid w:val="0075293C"/>
    <w:rsid w:val="00752E76"/>
    <w:rsid w:val="00752F93"/>
    <w:rsid w:val="00752FE6"/>
    <w:rsid w:val="00753135"/>
    <w:rsid w:val="0075319A"/>
    <w:rsid w:val="0075333E"/>
    <w:rsid w:val="007533B2"/>
    <w:rsid w:val="007533DE"/>
    <w:rsid w:val="00753C6E"/>
    <w:rsid w:val="00753CD8"/>
    <w:rsid w:val="00753D88"/>
    <w:rsid w:val="0075439A"/>
    <w:rsid w:val="007543B8"/>
    <w:rsid w:val="0075449C"/>
    <w:rsid w:val="00754604"/>
    <w:rsid w:val="00754951"/>
    <w:rsid w:val="00754975"/>
    <w:rsid w:val="00754A22"/>
    <w:rsid w:val="00754A9B"/>
    <w:rsid w:val="00754FEA"/>
    <w:rsid w:val="00755185"/>
    <w:rsid w:val="00755339"/>
    <w:rsid w:val="00755379"/>
    <w:rsid w:val="0075578E"/>
    <w:rsid w:val="00755AAE"/>
    <w:rsid w:val="00755B10"/>
    <w:rsid w:val="00755F5C"/>
    <w:rsid w:val="00755FBA"/>
    <w:rsid w:val="007560B8"/>
    <w:rsid w:val="00756588"/>
    <w:rsid w:val="0075658D"/>
    <w:rsid w:val="00756871"/>
    <w:rsid w:val="007568BA"/>
    <w:rsid w:val="00756E0C"/>
    <w:rsid w:val="00757009"/>
    <w:rsid w:val="00757090"/>
    <w:rsid w:val="007572A5"/>
    <w:rsid w:val="00757647"/>
    <w:rsid w:val="007576B7"/>
    <w:rsid w:val="007578F4"/>
    <w:rsid w:val="00757C3D"/>
    <w:rsid w:val="00757E33"/>
    <w:rsid w:val="00757E85"/>
    <w:rsid w:val="00757EB0"/>
    <w:rsid w:val="00757FF8"/>
    <w:rsid w:val="00760208"/>
    <w:rsid w:val="0076045C"/>
    <w:rsid w:val="0076067A"/>
    <w:rsid w:val="007606A1"/>
    <w:rsid w:val="007606AA"/>
    <w:rsid w:val="007606B7"/>
    <w:rsid w:val="00760724"/>
    <w:rsid w:val="00760771"/>
    <w:rsid w:val="00760A75"/>
    <w:rsid w:val="00760B2C"/>
    <w:rsid w:val="00760B57"/>
    <w:rsid w:val="00760E6C"/>
    <w:rsid w:val="00761048"/>
    <w:rsid w:val="00761776"/>
    <w:rsid w:val="007618B6"/>
    <w:rsid w:val="007619A7"/>
    <w:rsid w:val="007619F9"/>
    <w:rsid w:val="00761B1F"/>
    <w:rsid w:val="00761F22"/>
    <w:rsid w:val="00761F95"/>
    <w:rsid w:val="007620C5"/>
    <w:rsid w:val="00762245"/>
    <w:rsid w:val="007622F8"/>
    <w:rsid w:val="007626AD"/>
    <w:rsid w:val="00762735"/>
    <w:rsid w:val="00762AE6"/>
    <w:rsid w:val="00762D9C"/>
    <w:rsid w:val="00762DE3"/>
    <w:rsid w:val="0076314B"/>
    <w:rsid w:val="00763180"/>
    <w:rsid w:val="007632F0"/>
    <w:rsid w:val="0076370B"/>
    <w:rsid w:val="00763870"/>
    <w:rsid w:val="0076387A"/>
    <w:rsid w:val="007638AD"/>
    <w:rsid w:val="00763C19"/>
    <w:rsid w:val="00763EB7"/>
    <w:rsid w:val="00764081"/>
    <w:rsid w:val="0076446D"/>
    <w:rsid w:val="00764803"/>
    <w:rsid w:val="00764A0C"/>
    <w:rsid w:val="00764A5A"/>
    <w:rsid w:val="00764C48"/>
    <w:rsid w:val="007654C3"/>
    <w:rsid w:val="00765530"/>
    <w:rsid w:val="00765695"/>
    <w:rsid w:val="007657F8"/>
    <w:rsid w:val="00765874"/>
    <w:rsid w:val="00765991"/>
    <w:rsid w:val="0076605A"/>
    <w:rsid w:val="0076637E"/>
    <w:rsid w:val="00766386"/>
    <w:rsid w:val="00766388"/>
    <w:rsid w:val="0076639D"/>
    <w:rsid w:val="00766759"/>
    <w:rsid w:val="0076685D"/>
    <w:rsid w:val="007668E9"/>
    <w:rsid w:val="00766AB6"/>
    <w:rsid w:val="00766B5C"/>
    <w:rsid w:val="00766B87"/>
    <w:rsid w:val="00766D2E"/>
    <w:rsid w:val="00767904"/>
    <w:rsid w:val="00767C9D"/>
    <w:rsid w:val="00767D17"/>
    <w:rsid w:val="0077027D"/>
    <w:rsid w:val="00770686"/>
    <w:rsid w:val="00770786"/>
    <w:rsid w:val="00770996"/>
    <w:rsid w:val="007709F7"/>
    <w:rsid w:val="00770A4B"/>
    <w:rsid w:val="00770DA5"/>
    <w:rsid w:val="00770E46"/>
    <w:rsid w:val="00770E59"/>
    <w:rsid w:val="00771000"/>
    <w:rsid w:val="007712E4"/>
    <w:rsid w:val="00771607"/>
    <w:rsid w:val="00771B95"/>
    <w:rsid w:val="00771D09"/>
    <w:rsid w:val="00771DD4"/>
    <w:rsid w:val="00772505"/>
    <w:rsid w:val="00772763"/>
    <w:rsid w:val="007727BD"/>
    <w:rsid w:val="00772A80"/>
    <w:rsid w:val="00772DB2"/>
    <w:rsid w:val="0077335D"/>
    <w:rsid w:val="007734D9"/>
    <w:rsid w:val="00773595"/>
    <w:rsid w:val="0077390D"/>
    <w:rsid w:val="00773FAA"/>
    <w:rsid w:val="00774154"/>
    <w:rsid w:val="00774560"/>
    <w:rsid w:val="007745B4"/>
    <w:rsid w:val="00774D5A"/>
    <w:rsid w:val="00774FD3"/>
    <w:rsid w:val="0077523D"/>
    <w:rsid w:val="00775375"/>
    <w:rsid w:val="0077548F"/>
    <w:rsid w:val="0077564A"/>
    <w:rsid w:val="00775B5E"/>
    <w:rsid w:val="00775B7B"/>
    <w:rsid w:val="00775BBB"/>
    <w:rsid w:val="00775D51"/>
    <w:rsid w:val="00775E09"/>
    <w:rsid w:val="00775E33"/>
    <w:rsid w:val="0077610B"/>
    <w:rsid w:val="00776469"/>
    <w:rsid w:val="0077684E"/>
    <w:rsid w:val="00776927"/>
    <w:rsid w:val="00776A4A"/>
    <w:rsid w:val="00776B17"/>
    <w:rsid w:val="00776C4D"/>
    <w:rsid w:val="00776E3C"/>
    <w:rsid w:val="00776F0A"/>
    <w:rsid w:val="00777222"/>
    <w:rsid w:val="0077739E"/>
    <w:rsid w:val="007775AF"/>
    <w:rsid w:val="007777C2"/>
    <w:rsid w:val="0077790A"/>
    <w:rsid w:val="0078006F"/>
    <w:rsid w:val="00780097"/>
    <w:rsid w:val="0078051D"/>
    <w:rsid w:val="007805A6"/>
    <w:rsid w:val="007805C4"/>
    <w:rsid w:val="00780C18"/>
    <w:rsid w:val="00780F33"/>
    <w:rsid w:val="007810F5"/>
    <w:rsid w:val="007811BB"/>
    <w:rsid w:val="00781C11"/>
    <w:rsid w:val="00781FAE"/>
    <w:rsid w:val="007820B0"/>
    <w:rsid w:val="007821D9"/>
    <w:rsid w:val="00782401"/>
    <w:rsid w:val="00782532"/>
    <w:rsid w:val="00782559"/>
    <w:rsid w:val="00782878"/>
    <w:rsid w:val="007829F4"/>
    <w:rsid w:val="00782D0D"/>
    <w:rsid w:val="00782D2C"/>
    <w:rsid w:val="00782ED8"/>
    <w:rsid w:val="0078300C"/>
    <w:rsid w:val="0078307E"/>
    <w:rsid w:val="007832ED"/>
    <w:rsid w:val="00783322"/>
    <w:rsid w:val="007833A7"/>
    <w:rsid w:val="007835BE"/>
    <w:rsid w:val="007835FA"/>
    <w:rsid w:val="007836BA"/>
    <w:rsid w:val="00783733"/>
    <w:rsid w:val="00783781"/>
    <w:rsid w:val="00783834"/>
    <w:rsid w:val="00783978"/>
    <w:rsid w:val="00783BB9"/>
    <w:rsid w:val="00783D02"/>
    <w:rsid w:val="00783D60"/>
    <w:rsid w:val="0078403C"/>
    <w:rsid w:val="0078444F"/>
    <w:rsid w:val="00784565"/>
    <w:rsid w:val="007845CB"/>
    <w:rsid w:val="00784719"/>
    <w:rsid w:val="00784A0C"/>
    <w:rsid w:val="00784D85"/>
    <w:rsid w:val="007855AF"/>
    <w:rsid w:val="00785EBB"/>
    <w:rsid w:val="00785FC3"/>
    <w:rsid w:val="007861D6"/>
    <w:rsid w:val="00786807"/>
    <w:rsid w:val="00786A6C"/>
    <w:rsid w:val="00786AE6"/>
    <w:rsid w:val="00786B98"/>
    <w:rsid w:val="00786D87"/>
    <w:rsid w:val="00787606"/>
    <w:rsid w:val="007876CB"/>
    <w:rsid w:val="00787C0C"/>
    <w:rsid w:val="00787F76"/>
    <w:rsid w:val="00790064"/>
    <w:rsid w:val="00790210"/>
    <w:rsid w:val="00790467"/>
    <w:rsid w:val="00790A77"/>
    <w:rsid w:val="00790DEE"/>
    <w:rsid w:val="007910B8"/>
    <w:rsid w:val="00791159"/>
    <w:rsid w:val="007911BB"/>
    <w:rsid w:val="007915CD"/>
    <w:rsid w:val="00791678"/>
    <w:rsid w:val="007919C0"/>
    <w:rsid w:val="00791DC2"/>
    <w:rsid w:val="007922EA"/>
    <w:rsid w:val="0079243A"/>
    <w:rsid w:val="00792635"/>
    <w:rsid w:val="0079278F"/>
    <w:rsid w:val="00792896"/>
    <w:rsid w:val="00792A88"/>
    <w:rsid w:val="00792C91"/>
    <w:rsid w:val="00792D41"/>
    <w:rsid w:val="00792D6A"/>
    <w:rsid w:val="00792EFB"/>
    <w:rsid w:val="00792F1B"/>
    <w:rsid w:val="00792F57"/>
    <w:rsid w:val="0079300D"/>
    <w:rsid w:val="00793494"/>
    <w:rsid w:val="00793547"/>
    <w:rsid w:val="007935A0"/>
    <w:rsid w:val="0079368A"/>
    <w:rsid w:val="0079389E"/>
    <w:rsid w:val="00793BDC"/>
    <w:rsid w:val="00793C7F"/>
    <w:rsid w:val="00793C90"/>
    <w:rsid w:val="00793DB7"/>
    <w:rsid w:val="00793F01"/>
    <w:rsid w:val="0079420B"/>
    <w:rsid w:val="00794591"/>
    <w:rsid w:val="0079463A"/>
    <w:rsid w:val="0079494D"/>
    <w:rsid w:val="00794A3E"/>
    <w:rsid w:val="00794BE9"/>
    <w:rsid w:val="00794CF5"/>
    <w:rsid w:val="00794D5B"/>
    <w:rsid w:val="00794F08"/>
    <w:rsid w:val="00795089"/>
    <w:rsid w:val="00795091"/>
    <w:rsid w:val="0079511E"/>
    <w:rsid w:val="007959ED"/>
    <w:rsid w:val="00795A0E"/>
    <w:rsid w:val="00795A1A"/>
    <w:rsid w:val="00795B33"/>
    <w:rsid w:val="00795B77"/>
    <w:rsid w:val="00796A95"/>
    <w:rsid w:val="00796ADC"/>
    <w:rsid w:val="00796EFB"/>
    <w:rsid w:val="0079701E"/>
    <w:rsid w:val="00797099"/>
    <w:rsid w:val="007971CE"/>
    <w:rsid w:val="00797269"/>
    <w:rsid w:val="00797289"/>
    <w:rsid w:val="007972B5"/>
    <w:rsid w:val="00797309"/>
    <w:rsid w:val="00797396"/>
    <w:rsid w:val="00797564"/>
    <w:rsid w:val="00797F7F"/>
    <w:rsid w:val="007A0448"/>
    <w:rsid w:val="007A0775"/>
    <w:rsid w:val="007A097D"/>
    <w:rsid w:val="007A0C93"/>
    <w:rsid w:val="007A0DD2"/>
    <w:rsid w:val="007A1347"/>
    <w:rsid w:val="007A1702"/>
    <w:rsid w:val="007A17AE"/>
    <w:rsid w:val="007A1B56"/>
    <w:rsid w:val="007A1EF4"/>
    <w:rsid w:val="007A2089"/>
    <w:rsid w:val="007A2E47"/>
    <w:rsid w:val="007A30D0"/>
    <w:rsid w:val="007A320F"/>
    <w:rsid w:val="007A3280"/>
    <w:rsid w:val="007A347F"/>
    <w:rsid w:val="007A34CA"/>
    <w:rsid w:val="007A358E"/>
    <w:rsid w:val="007A370F"/>
    <w:rsid w:val="007A37A0"/>
    <w:rsid w:val="007A3925"/>
    <w:rsid w:val="007A3C02"/>
    <w:rsid w:val="007A3CE7"/>
    <w:rsid w:val="007A3DB6"/>
    <w:rsid w:val="007A40EC"/>
    <w:rsid w:val="007A4538"/>
    <w:rsid w:val="007A46C4"/>
    <w:rsid w:val="007A4729"/>
    <w:rsid w:val="007A4A46"/>
    <w:rsid w:val="007A4B87"/>
    <w:rsid w:val="007A4E04"/>
    <w:rsid w:val="007A55AB"/>
    <w:rsid w:val="007A55AD"/>
    <w:rsid w:val="007A58BD"/>
    <w:rsid w:val="007A5C77"/>
    <w:rsid w:val="007A5F27"/>
    <w:rsid w:val="007A6108"/>
    <w:rsid w:val="007A64AF"/>
    <w:rsid w:val="007A66AA"/>
    <w:rsid w:val="007A673B"/>
    <w:rsid w:val="007A691C"/>
    <w:rsid w:val="007A697D"/>
    <w:rsid w:val="007A6A8C"/>
    <w:rsid w:val="007A6B7B"/>
    <w:rsid w:val="007A6BDD"/>
    <w:rsid w:val="007A6DAF"/>
    <w:rsid w:val="007A6E39"/>
    <w:rsid w:val="007A6E59"/>
    <w:rsid w:val="007A705B"/>
    <w:rsid w:val="007A72AA"/>
    <w:rsid w:val="007A7BCD"/>
    <w:rsid w:val="007A7BFD"/>
    <w:rsid w:val="007A7D44"/>
    <w:rsid w:val="007A7E27"/>
    <w:rsid w:val="007B090B"/>
    <w:rsid w:val="007B0A7F"/>
    <w:rsid w:val="007B0AE6"/>
    <w:rsid w:val="007B0C59"/>
    <w:rsid w:val="007B0D19"/>
    <w:rsid w:val="007B0D74"/>
    <w:rsid w:val="007B1190"/>
    <w:rsid w:val="007B11A8"/>
    <w:rsid w:val="007B1290"/>
    <w:rsid w:val="007B1382"/>
    <w:rsid w:val="007B14DF"/>
    <w:rsid w:val="007B169A"/>
    <w:rsid w:val="007B19A7"/>
    <w:rsid w:val="007B19AE"/>
    <w:rsid w:val="007B1AA6"/>
    <w:rsid w:val="007B2324"/>
    <w:rsid w:val="007B2776"/>
    <w:rsid w:val="007B27CC"/>
    <w:rsid w:val="007B2A20"/>
    <w:rsid w:val="007B2CE5"/>
    <w:rsid w:val="007B2FFD"/>
    <w:rsid w:val="007B383F"/>
    <w:rsid w:val="007B38DD"/>
    <w:rsid w:val="007B3D19"/>
    <w:rsid w:val="007B3D2E"/>
    <w:rsid w:val="007B3E72"/>
    <w:rsid w:val="007B40BA"/>
    <w:rsid w:val="007B475D"/>
    <w:rsid w:val="007B4868"/>
    <w:rsid w:val="007B4AF1"/>
    <w:rsid w:val="007B4B0D"/>
    <w:rsid w:val="007B4EA3"/>
    <w:rsid w:val="007B50E3"/>
    <w:rsid w:val="007B53CA"/>
    <w:rsid w:val="007B575E"/>
    <w:rsid w:val="007B597C"/>
    <w:rsid w:val="007B5C73"/>
    <w:rsid w:val="007B5CFD"/>
    <w:rsid w:val="007B5E9B"/>
    <w:rsid w:val="007B5FC8"/>
    <w:rsid w:val="007B624D"/>
    <w:rsid w:val="007B65EF"/>
    <w:rsid w:val="007B66D5"/>
    <w:rsid w:val="007B670B"/>
    <w:rsid w:val="007B67B3"/>
    <w:rsid w:val="007B6D1E"/>
    <w:rsid w:val="007B6DA4"/>
    <w:rsid w:val="007B6F77"/>
    <w:rsid w:val="007B7146"/>
    <w:rsid w:val="007B725E"/>
    <w:rsid w:val="007B72D6"/>
    <w:rsid w:val="007B72E7"/>
    <w:rsid w:val="007B7327"/>
    <w:rsid w:val="007B7460"/>
    <w:rsid w:val="007B7532"/>
    <w:rsid w:val="007B7698"/>
    <w:rsid w:val="007B7809"/>
    <w:rsid w:val="007B7BF6"/>
    <w:rsid w:val="007B7E26"/>
    <w:rsid w:val="007C0234"/>
    <w:rsid w:val="007C05C0"/>
    <w:rsid w:val="007C07B8"/>
    <w:rsid w:val="007C086D"/>
    <w:rsid w:val="007C0974"/>
    <w:rsid w:val="007C0D1F"/>
    <w:rsid w:val="007C0F8F"/>
    <w:rsid w:val="007C1075"/>
    <w:rsid w:val="007C13FE"/>
    <w:rsid w:val="007C145B"/>
    <w:rsid w:val="007C1966"/>
    <w:rsid w:val="007C1B2E"/>
    <w:rsid w:val="007C1EB7"/>
    <w:rsid w:val="007C1FC3"/>
    <w:rsid w:val="007C20CC"/>
    <w:rsid w:val="007C2715"/>
    <w:rsid w:val="007C2B3C"/>
    <w:rsid w:val="007C312B"/>
    <w:rsid w:val="007C3283"/>
    <w:rsid w:val="007C33C3"/>
    <w:rsid w:val="007C373C"/>
    <w:rsid w:val="007C3BC9"/>
    <w:rsid w:val="007C3C4D"/>
    <w:rsid w:val="007C3E59"/>
    <w:rsid w:val="007C3FA1"/>
    <w:rsid w:val="007C4064"/>
    <w:rsid w:val="007C4179"/>
    <w:rsid w:val="007C43D1"/>
    <w:rsid w:val="007C4455"/>
    <w:rsid w:val="007C44EB"/>
    <w:rsid w:val="007C4A17"/>
    <w:rsid w:val="007C4A46"/>
    <w:rsid w:val="007C4C40"/>
    <w:rsid w:val="007C5506"/>
    <w:rsid w:val="007C5903"/>
    <w:rsid w:val="007C5D00"/>
    <w:rsid w:val="007C5F24"/>
    <w:rsid w:val="007C631D"/>
    <w:rsid w:val="007C63AD"/>
    <w:rsid w:val="007C6482"/>
    <w:rsid w:val="007C6729"/>
    <w:rsid w:val="007C6746"/>
    <w:rsid w:val="007C686D"/>
    <w:rsid w:val="007C6B27"/>
    <w:rsid w:val="007C6B8E"/>
    <w:rsid w:val="007C6C49"/>
    <w:rsid w:val="007C7009"/>
    <w:rsid w:val="007C72A5"/>
    <w:rsid w:val="007C7389"/>
    <w:rsid w:val="007C7461"/>
    <w:rsid w:val="007C75DF"/>
    <w:rsid w:val="007C781C"/>
    <w:rsid w:val="007C784D"/>
    <w:rsid w:val="007C7BBD"/>
    <w:rsid w:val="007C7E92"/>
    <w:rsid w:val="007C7F16"/>
    <w:rsid w:val="007D01F5"/>
    <w:rsid w:val="007D03D8"/>
    <w:rsid w:val="007D0558"/>
    <w:rsid w:val="007D07DA"/>
    <w:rsid w:val="007D0BDE"/>
    <w:rsid w:val="007D0C23"/>
    <w:rsid w:val="007D0D34"/>
    <w:rsid w:val="007D0EC0"/>
    <w:rsid w:val="007D126B"/>
    <w:rsid w:val="007D148A"/>
    <w:rsid w:val="007D14A4"/>
    <w:rsid w:val="007D14B8"/>
    <w:rsid w:val="007D1785"/>
    <w:rsid w:val="007D1898"/>
    <w:rsid w:val="007D1917"/>
    <w:rsid w:val="007D195F"/>
    <w:rsid w:val="007D19E6"/>
    <w:rsid w:val="007D1E6C"/>
    <w:rsid w:val="007D1E91"/>
    <w:rsid w:val="007D1EF2"/>
    <w:rsid w:val="007D1FC2"/>
    <w:rsid w:val="007D2014"/>
    <w:rsid w:val="007D2267"/>
    <w:rsid w:val="007D22FC"/>
    <w:rsid w:val="007D2372"/>
    <w:rsid w:val="007D245F"/>
    <w:rsid w:val="007D263C"/>
    <w:rsid w:val="007D2BE3"/>
    <w:rsid w:val="007D2C5D"/>
    <w:rsid w:val="007D2D65"/>
    <w:rsid w:val="007D2EC3"/>
    <w:rsid w:val="007D2ED1"/>
    <w:rsid w:val="007D305C"/>
    <w:rsid w:val="007D310A"/>
    <w:rsid w:val="007D316A"/>
    <w:rsid w:val="007D32AC"/>
    <w:rsid w:val="007D35DE"/>
    <w:rsid w:val="007D3954"/>
    <w:rsid w:val="007D3DAB"/>
    <w:rsid w:val="007D3E99"/>
    <w:rsid w:val="007D4245"/>
    <w:rsid w:val="007D440C"/>
    <w:rsid w:val="007D4536"/>
    <w:rsid w:val="007D46D0"/>
    <w:rsid w:val="007D4A42"/>
    <w:rsid w:val="007D4F2B"/>
    <w:rsid w:val="007D51EE"/>
    <w:rsid w:val="007D52D2"/>
    <w:rsid w:val="007D564F"/>
    <w:rsid w:val="007D584F"/>
    <w:rsid w:val="007D5E4D"/>
    <w:rsid w:val="007D5FB0"/>
    <w:rsid w:val="007D60B0"/>
    <w:rsid w:val="007D68BB"/>
    <w:rsid w:val="007D6A71"/>
    <w:rsid w:val="007D6E59"/>
    <w:rsid w:val="007D6FB5"/>
    <w:rsid w:val="007D719C"/>
    <w:rsid w:val="007D7405"/>
    <w:rsid w:val="007D7593"/>
    <w:rsid w:val="007D778C"/>
    <w:rsid w:val="007D7F7C"/>
    <w:rsid w:val="007E02B5"/>
    <w:rsid w:val="007E041D"/>
    <w:rsid w:val="007E0495"/>
    <w:rsid w:val="007E0773"/>
    <w:rsid w:val="007E09F8"/>
    <w:rsid w:val="007E0D16"/>
    <w:rsid w:val="007E1136"/>
    <w:rsid w:val="007E114B"/>
    <w:rsid w:val="007E1150"/>
    <w:rsid w:val="007E1312"/>
    <w:rsid w:val="007E184A"/>
    <w:rsid w:val="007E1997"/>
    <w:rsid w:val="007E1A06"/>
    <w:rsid w:val="007E1AEE"/>
    <w:rsid w:val="007E1D00"/>
    <w:rsid w:val="007E1D6C"/>
    <w:rsid w:val="007E2017"/>
    <w:rsid w:val="007E22E9"/>
    <w:rsid w:val="007E2393"/>
    <w:rsid w:val="007E2402"/>
    <w:rsid w:val="007E25D2"/>
    <w:rsid w:val="007E2929"/>
    <w:rsid w:val="007E2D3B"/>
    <w:rsid w:val="007E2DD8"/>
    <w:rsid w:val="007E306F"/>
    <w:rsid w:val="007E3133"/>
    <w:rsid w:val="007E39E1"/>
    <w:rsid w:val="007E3A2A"/>
    <w:rsid w:val="007E3B4A"/>
    <w:rsid w:val="007E3D4C"/>
    <w:rsid w:val="007E3F02"/>
    <w:rsid w:val="007E4465"/>
    <w:rsid w:val="007E45BB"/>
    <w:rsid w:val="007E4A79"/>
    <w:rsid w:val="007E4BA6"/>
    <w:rsid w:val="007E4C96"/>
    <w:rsid w:val="007E4E86"/>
    <w:rsid w:val="007E510E"/>
    <w:rsid w:val="007E5250"/>
    <w:rsid w:val="007E5751"/>
    <w:rsid w:val="007E58A3"/>
    <w:rsid w:val="007E5F11"/>
    <w:rsid w:val="007E62F9"/>
    <w:rsid w:val="007E6489"/>
    <w:rsid w:val="007E649F"/>
    <w:rsid w:val="007E6968"/>
    <w:rsid w:val="007E6EF6"/>
    <w:rsid w:val="007E730B"/>
    <w:rsid w:val="007E74BC"/>
    <w:rsid w:val="007E76DA"/>
    <w:rsid w:val="007E78BD"/>
    <w:rsid w:val="007E79B0"/>
    <w:rsid w:val="007E7CFE"/>
    <w:rsid w:val="007E7E13"/>
    <w:rsid w:val="007E7EAB"/>
    <w:rsid w:val="007F010A"/>
    <w:rsid w:val="007F0114"/>
    <w:rsid w:val="007F0604"/>
    <w:rsid w:val="007F064E"/>
    <w:rsid w:val="007F0925"/>
    <w:rsid w:val="007F0ABE"/>
    <w:rsid w:val="007F0E5E"/>
    <w:rsid w:val="007F12C5"/>
    <w:rsid w:val="007F13BB"/>
    <w:rsid w:val="007F154E"/>
    <w:rsid w:val="007F1934"/>
    <w:rsid w:val="007F1B72"/>
    <w:rsid w:val="007F1CFA"/>
    <w:rsid w:val="007F1D41"/>
    <w:rsid w:val="007F1E1A"/>
    <w:rsid w:val="007F1E57"/>
    <w:rsid w:val="007F209A"/>
    <w:rsid w:val="007F25D7"/>
    <w:rsid w:val="007F262A"/>
    <w:rsid w:val="007F2866"/>
    <w:rsid w:val="007F2AD1"/>
    <w:rsid w:val="007F2D42"/>
    <w:rsid w:val="007F2DCE"/>
    <w:rsid w:val="007F2DDA"/>
    <w:rsid w:val="007F2F52"/>
    <w:rsid w:val="007F30CD"/>
    <w:rsid w:val="007F30EA"/>
    <w:rsid w:val="007F3204"/>
    <w:rsid w:val="007F331F"/>
    <w:rsid w:val="007F3A94"/>
    <w:rsid w:val="007F3AB0"/>
    <w:rsid w:val="007F3CC0"/>
    <w:rsid w:val="007F3DEA"/>
    <w:rsid w:val="007F400C"/>
    <w:rsid w:val="007F420B"/>
    <w:rsid w:val="007F42CD"/>
    <w:rsid w:val="007F43EF"/>
    <w:rsid w:val="007F47B0"/>
    <w:rsid w:val="007F4D4E"/>
    <w:rsid w:val="007F4E18"/>
    <w:rsid w:val="007F4E60"/>
    <w:rsid w:val="007F55EC"/>
    <w:rsid w:val="007F573D"/>
    <w:rsid w:val="007F590A"/>
    <w:rsid w:val="007F5B05"/>
    <w:rsid w:val="007F5DED"/>
    <w:rsid w:val="007F6670"/>
    <w:rsid w:val="007F6FE1"/>
    <w:rsid w:val="007F73DF"/>
    <w:rsid w:val="007F74A2"/>
    <w:rsid w:val="007F7804"/>
    <w:rsid w:val="007F7BD5"/>
    <w:rsid w:val="007F7DA5"/>
    <w:rsid w:val="007F7EEF"/>
    <w:rsid w:val="00800076"/>
    <w:rsid w:val="00800159"/>
    <w:rsid w:val="00800304"/>
    <w:rsid w:val="00800C3E"/>
    <w:rsid w:val="00800ECA"/>
    <w:rsid w:val="00801417"/>
    <w:rsid w:val="00801714"/>
    <w:rsid w:val="0080184F"/>
    <w:rsid w:val="00801C4E"/>
    <w:rsid w:val="00801E08"/>
    <w:rsid w:val="008022E3"/>
    <w:rsid w:val="0080232B"/>
    <w:rsid w:val="00802618"/>
    <w:rsid w:val="00802876"/>
    <w:rsid w:val="00803075"/>
    <w:rsid w:val="008032DF"/>
    <w:rsid w:val="00803451"/>
    <w:rsid w:val="00803A5D"/>
    <w:rsid w:val="0080425B"/>
    <w:rsid w:val="00804553"/>
    <w:rsid w:val="0080478A"/>
    <w:rsid w:val="008048CE"/>
    <w:rsid w:val="008048E0"/>
    <w:rsid w:val="00804966"/>
    <w:rsid w:val="00804EDE"/>
    <w:rsid w:val="00804F22"/>
    <w:rsid w:val="00805621"/>
    <w:rsid w:val="00805640"/>
    <w:rsid w:val="008056BB"/>
    <w:rsid w:val="00805789"/>
    <w:rsid w:val="00805D4B"/>
    <w:rsid w:val="00805F70"/>
    <w:rsid w:val="008060D2"/>
    <w:rsid w:val="0080610B"/>
    <w:rsid w:val="0080614A"/>
    <w:rsid w:val="008062E4"/>
    <w:rsid w:val="00806530"/>
    <w:rsid w:val="008066FB"/>
    <w:rsid w:val="0080685E"/>
    <w:rsid w:val="008068AA"/>
    <w:rsid w:val="00806B3A"/>
    <w:rsid w:val="00806B91"/>
    <w:rsid w:val="00806DDE"/>
    <w:rsid w:val="00806FCA"/>
    <w:rsid w:val="00807020"/>
    <w:rsid w:val="00807140"/>
    <w:rsid w:val="00807169"/>
    <w:rsid w:val="00807193"/>
    <w:rsid w:val="00807232"/>
    <w:rsid w:val="008072BF"/>
    <w:rsid w:val="00807339"/>
    <w:rsid w:val="00807530"/>
    <w:rsid w:val="00807546"/>
    <w:rsid w:val="00807666"/>
    <w:rsid w:val="008078E5"/>
    <w:rsid w:val="00807C16"/>
    <w:rsid w:val="00807C5F"/>
    <w:rsid w:val="00807EF3"/>
    <w:rsid w:val="00807F0F"/>
    <w:rsid w:val="00807F19"/>
    <w:rsid w:val="00810055"/>
    <w:rsid w:val="00810997"/>
    <w:rsid w:val="00810B53"/>
    <w:rsid w:val="00810EFC"/>
    <w:rsid w:val="008110FA"/>
    <w:rsid w:val="00811304"/>
    <w:rsid w:val="0081151E"/>
    <w:rsid w:val="008117D8"/>
    <w:rsid w:val="00811DA3"/>
    <w:rsid w:val="0081220C"/>
    <w:rsid w:val="00812A9B"/>
    <w:rsid w:val="00812BC9"/>
    <w:rsid w:val="00812C10"/>
    <w:rsid w:val="00812ED4"/>
    <w:rsid w:val="00813158"/>
    <w:rsid w:val="00813498"/>
    <w:rsid w:val="00813938"/>
    <w:rsid w:val="0081398A"/>
    <w:rsid w:val="00813AC5"/>
    <w:rsid w:val="00813DB2"/>
    <w:rsid w:val="00813DE4"/>
    <w:rsid w:val="008142CC"/>
    <w:rsid w:val="008142F7"/>
    <w:rsid w:val="0081485B"/>
    <w:rsid w:val="0081487D"/>
    <w:rsid w:val="0081490C"/>
    <w:rsid w:val="00814EF7"/>
    <w:rsid w:val="00814F78"/>
    <w:rsid w:val="00815143"/>
    <w:rsid w:val="008153B1"/>
    <w:rsid w:val="008153C5"/>
    <w:rsid w:val="008154A2"/>
    <w:rsid w:val="00815803"/>
    <w:rsid w:val="00815976"/>
    <w:rsid w:val="00815B38"/>
    <w:rsid w:val="00816064"/>
    <w:rsid w:val="0081625A"/>
    <w:rsid w:val="00816550"/>
    <w:rsid w:val="0081660B"/>
    <w:rsid w:val="008167DC"/>
    <w:rsid w:val="008168F3"/>
    <w:rsid w:val="00816E67"/>
    <w:rsid w:val="00816F3F"/>
    <w:rsid w:val="00816FD3"/>
    <w:rsid w:val="008170BA"/>
    <w:rsid w:val="008171F7"/>
    <w:rsid w:val="00817228"/>
    <w:rsid w:val="00817540"/>
    <w:rsid w:val="008175FF"/>
    <w:rsid w:val="00817DEC"/>
    <w:rsid w:val="008200BB"/>
    <w:rsid w:val="00820151"/>
    <w:rsid w:val="00820189"/>
    <w:rsid w:val="008203C0"/>
    <w:rsid w:val="0082085A"/>
    <w:rsid w:val="00820880"/>
    <w:rsid w:val="00820D14"/>
    <w:rsid w:val="00821173"/>
    <w:rsid w:val="00821684"/>
    <w:rsid w:val="00821715"/>
    <w:rsid w:val="00821915"/>
    <w:rsid w:val="0082198C"/>
    <w:rsid w:val="00821D72"/>
    <w:rsid w:val="008220C7"/>
    <w:rsid w:val="00822902"/>
    <w:rsid w:val="00822DC4"/>
    <w:rsid w:val="00822E47"/>
    <w:rsid w:val="00822E98"/>
    <w:rsid w:val="00822FCB"/>
    <w:rsid w:val="00823143"/>
    <w:rsid w:val="0082352B"/>
    <w:rsid w:val="00823971"/>
    <w:rsid w:val="00823AA5"/>
    <w:rsid w:val="00823BEF"/>
    <w:rsid w:val="00823EF2"/>
    <w:rsid w:val="00824198"/>
    <w:rsid w:val="00824710"/>
    <w:rsid w:val="00824A13"/>
    <w:rsid w:val="00824B03"/>
    <w:rsid w:val="00824EB3"/>
    <w:rsid w:val="008256D3"/>
    <w:rsid w:val="008256EB"/>
    <w:rsid w:val="00825AD6"/>
    <w:rsid w:val="00825EE1"/>
    <w:rsid w:val="00825FA6"/>
    <w:rsid w:val="0082611E"/>
    <w:rsid w:val="008264A5"/>
    <w:rsid w:val="00826844"/>
    <w:rsid w:val="00826C3B"/>
    <w:rsid w:val="00826E6F"/>
    <w:rsid w:val="00827364"/>
    <w:rsid w:val="00827651"/>
    <w:rsid w:val="0082799C"/>
    <w:rsid w:val="00827B17"/>
    <w:rsid w:val="00827BF8"/>
    <w:rsid w:val="00827C29"/>
    <w:rsid w:val="00827E72"/>
    <w:rsid w:val="008303C3"/>
    <w:rsid w:val="00830408"/>
    <w:rsid w:val="0083048A"/>
    <w:rsid w:val="00830577"/>
    <w:rsid w:val="00830931"/>
    <w:rsid w:val="00830BDF"/>
    <w:rsid w:val="00830E1C"/>
    <w:rsid w:val="00830E3E"/>
    <w:rsid w:val="00830FC7"/>
    <w:rsid w:val="00831012"/>
    <w:rsid w:val="00831462"/>
    <w:rsid w:val="0083157A"/>
    <w:rsid w:val="008315A6"/>
    <w:rsid w:val="00831671"/>
    <w:rsid w:val="00831A2B"/>
    <w:rsid w:val="00831A7E"/>
    <w:rsid w:val="00831E50"/>
    <w:rsid w:val="00831F66"/>
    <w:rsid w:val="00832003"/>
    <w:rsid w:val="00832440"/>
    <w:rsid w:val="00832566"/>
    <w:rsid w:val="00832606"/>
    <w:rsid w:val="00832707"/>
    <w:rsid w:val="00832970"/>
    <w:rsid w:val="00832DBC"/>
    <w:rsid w:val="00832F9A"/>
    <w:rsid w:val="00833177"/>
    <w:rsid w:val="00833431"/>
    <w:rsid w:val="008335C4"/>
    <w:rsid w:val="0083361B"/>
    <w:rsid w:val="00833764"/>
    <w:rsid w:val="00833838"/>
    <w:rsid w:val="008339D8"/>
    <w:rsid w:val="00833A10"/>
    <w:rsid w:val="00833B30"/>
    <w:rsid w:val="00833D6D"/>
    <w:rsid w:val="00833E2E"/>
    <w:rsid w:val="00834065"/>
    <w:rsid w:val="008342B8"/>
    <w:rsid w:val="00834320"/>
    <w:rsid w:val="008344D3"/>
    <w:rsid w:val="0083455A"/>
    <w:rsid w:val="0083459B"/>
    <w:rsid w:val="008348CA"/>
    <w:rsid w:val="00834B13"/>
    <w:rsid w:val="00834C5F"/>
    <w:rsid w:val="00834CDD"/>
    <w:rsid w:val="00834E88"/>
    <w:rsid w:val="0083503E"/>
    <w:rsid w:val="008355BA"/>
    <w:rsid w:val="0083561F"/>
    <w:rsid w:val="00835695"/>
    <w:rsid w:val="0083573A"/>
    <w:rsid w:val="00835802"/>
    <w:rsid w:val="008367B9"/>
    <w:rsid w:val="008368D5"/>
    <w:rsid w:val="00836ABA"/>
    <w:rsid w:val="00836F06"/>
    <w:rsid w:val="00837153"/>
    <w:rsid w:val="008371B9"/>
    <w:rsid w:val="008373C8"/>
    <w:rsid w:val="0083742E"/>
    <w:rsid w:val="0083781D"/>
    <w:rsid w:val="00837A3A"/>
    <w:rsid w:val="00837C6C"/>
    <w:rsid w:val="00837CAC"/>
    <w:rsid w:val="00837CE7"/>
    <w:rsid w:val="00837EFB"/>
    <w:rsid w:val="008403DB"/>
    <w:rsid w:val="008404C7"/>
    <w:rsid w:val="0084057D"/>
    <w:rsid w:val="008407BE"/>
    <w:rsid w:val="008407D3"/>
    <w:rsid w:val="0084089E"/>
    <w:rsid w:val="00840A9A"/>
    <w:rsid w:val="00840BB7"/>
    <w:rsid w:val="00840DDE"/>
    <w:rsid w:val="0084109B"/>
    <w:rsid w:val="008410AC"/>
    <w:rsid w:val="00841380"/>
    <w:rsid w:val="008414D7"/>
    <w:rsid w:val="0084151D"/>
    <w:rsid w:val="00841901"/>
    <w:rsid w:val="00841A48"/>
    <w:rsid w:val="00841A58"/>
    <w:rsid w:val="00841F18"/>
    <w:rsid w:val="00842261"/>
    <w:rsid w:val="0084248C"/>
    <w:rsid w:val="0084249E"/>
    <w:rsid w:val="00842592"/>
    <w:rsid w:val="0084269C"/>
    <w:rsid w:val="008427F1"/>
    <w:rsid w:val="008428BD"/>
    <w:rsid w:val="008428D1"/>
    <w:rsid w:val="008429C3"/>
    <w:rsid w:val="008429E4"/>
    <w:rsid w:val="00842C78"/>
    <w:rsid w:val="008435E6"/>
    <w:rsid w:val="0084378C"/>
    <w:rsid w:val="00843845"/>
    <w:rsid w:val="00843BE7"/>
    <w:rsid w:val="00844102"/>
    <w:rsid w:val="00844187"/>
    <w:rsid w:val="008444CF"/>
    <w:rsid w:val="0084460F"/>
    <w:rsid w:val="008447A6"/>
    <w:rsid w:val="008447CA"/>
    <w:rsid w:val="008448A1"/>
    <w:rsid w:val="008448AC"/>
    <w:rsid w:val="00844DA9"/>
    <w:rsid w:val="008450EA"/>
    <w:rsid w:val="00845279"/>
    <w:rsid w:val="008454B0"/>
    <w:rsid w:val="00845533"/>
    <w:rsid w:val="0084559B"/>
    <w:rsid w:val="008455B2"/>
    <w:rsid w:val="0084570E"/>
    <w:rsid w:val="008459A2"/>
    <w:rsid w:val="00845A33"/>
    <w:rsid w:val="00845C81"/>
    <w:rsid w:val="00845D57"/>
    <w:rsid w:val="00845D8F"/>
    <w:rsid w:val="00845F1E"/>
    <w:rsid w:val="0084636F"/>
    <w:rsid w:val="008463DA"/>
    <w:rsid w:val="00846DA1"/>
    <w:rsid w:val="00846EAC"/>
    <w:rsid w:val="00847057"/>
    <w:rsid w:val="008473B2"/>
    <w:rsid w:val="00847D5C"/>
    <w:rsid w:val="00850011"/>
    <w:rsid w:val="00850195"/>
    <w:rsid w:val="00850350"/>
    <w:rsid w:val="0085050D"/>
    <w:rsid w:val="00850598"/>
    <w:rsid w:val="00850654"/>
    <w:rsid w:val="008506DA"/>
    <w:rsid w:val="008507A3"/>
    <w:rsid w:val="008508B7"/>
    <w:rsid w:val="00850AD1"/>
    <w:rsid w:val="00850B80"/>
    <w:rsid w:val="00850E31"/>
    <w:rsid w:val="00850E5E"/>
    <w:rsid w:val="008510F7"/>
    <w:rsid w:val="00851250"/>
    <w:rsid w:val="00851DBF"/>
    <w:rsid w:val="00851EE7"/>
    <w:rsid w:val="00852059"/>
    <w:rsid w:val="0085244A"/>
    <w:rsid w:val="00852A5E"/>
    <w:rsid w:val="00852A60"/>
    <w:rsid w:val="0085321D"/>
    <w:rsid w:val="008533B9"/>
    <w:rsid w:val="0085345C"/>
    <w:rsid w:val="008536F4"/>
    <w:rsid w:val="00853729"/>
    <w:rsid w:val="00853FD3"/>
    <w:rsid w:val="008540ED"/>
    <w:rsid w:val="00854145"/>
    <w:rsid w:val="0085416B"/>
    <w:rsid w:val="008542D9"/>
    <w:rsid w:val="00854842"/>
    <w:rsid w:val="00854908"/>
    <w:rsid w:val="00854A6A"/>
    <w:rsid w:val="00854A81"/>
    <w:rsid w:val="00854B97"/>
    <w:rsid w:val="00854C37"/>
    <w:rsid w:val="00854D6B"/>
    <w:rsid w:val="0085534E"/>
    <w:rsid w:val="0085562C"/>
    <w:rsid w:val="00855680"/>
    <w:rsid w:val="008556D9"/>
    <w:rsid w:val="00855F66"/>
    <w:rsid w:val="00856104"/>
    <w:rsid w:val="008563F4"/>
    <w:rsid w:val="00856477"/>
    <w:rsid w:val="0085686D"/>
    <w:rsid w:val="0085686E"/>
    <w:rsid w:val="0085698A"/>
    <w:rsid w:val="008569B3"/>
    <w:rsid w:val="00856DAD"/>
    <w:rsid w:val="00856EDA"/>
    <w:rsid w:val="00856FC7"/>
    <w:rsid w:val="00857180"/>
    <w:rsid w:val="008572E1"/>
    <w:rsid w:val="008573DC"/>
    <w:rsid w:val="00857674"/>
    <w:rsid w:val="00860070"/>
    <w:rsid w:val="00860188"/>
    <w:rsid w:val="00860231"/>
    <w:rsid w:val="00860ABB"/>
    <w:rsid w:val="00860AC9"/>
    <w:rsid w:val="00860D1E"/>
    <w:rsid w:val="00861043"/>
    <w:rsid w:val="00861105"/>
    <w:rsid w:val="00861791"/>
    <w:rsid w:val="008617B4"/>
    <w:rsid w:val="00861A61"/>
    <w:rsid w:val="00861B4C"/>
    <w:rsid w:val="00861D48"/>
    <w:rsid w:val="00861ED2"/>
    <w:rsid w:val="0086264E"/>
    <w:rsid w:val="00862660"/>
    <w:rsid w:val="008626CC"/>
    <w:rsid w:val="00862756"/>
    <w:rsid w:val="00862C93"/>
    <w:rsid w:val="00862E2D"/>
    <w:rsid w:val="00862E92"/>
    <w:rsid w:val="00863217"/>
    <w:rsid w:val="00863463"/>
    <w:rsid w:val="00863AA1"/>
    <w:rsid w:val="00863B7A"/>
    <w:rsid w:val="00863CD0"/>
    <w:rsid w:val="00863DDF"/>
    <w:rsid w:val="00863EB2"/>
    <w:rsid w:val="00863F5A"/>
    <w:rsid w:val="0086491D"/>
    <w:rsid w:val="00864B27"/>
    <w:rsid w:val="00864C67"/>
    <w:rsid w:val="00865059"/>
    <w:rsid w:val="008651DB"/>
    <w:rsid w:val="00865325"/>
    <w:rsid w:val="008653B2"/>
    <w:rsid w:val="00865413"/>
    <w:rsid w:val="00865677"/>
    <w:rsid w:val="008656A1"/>
    <w:rsid w:val="008658D9"/>
    <w:rsid w:val="00865B78"/>
    <w:rsid w:val="00865F19"/>
    <w:rsid w:val="00865FE2"/>
    <w:rsid w:val="008660DE"/>
    <w:rsid w:val="00866488"/>
    <w:rsid w:val="008669A7"/>
    <w:rsid w:val="00866A03"/>
    <w:rsid w:val="00866A0F"/>
    <w:rsid w:val="00866B6B"/>
    <w:rsid w:val="00866E8E"/>
    <w:rsid w:val="00866EE8"/>
    <w:rsid w:val="0086708A"/>
    <w:rsid w:val="00867205"/>
    <w:rsid w:val="008673EE"/>
    <w:rsid w:val="00867DCE"/>
    <w:rsid w:val="00867E9A"/>
    <w:rsid w:val="00867EF4"/>
    <w:rsid w:val="00870380"/>
    <w:rsid w:val="0087077A"/>
    <w:rsid w:val="008709D1"/>
    <w:rsid w:val="008709D8"/>
    <w:rsid w:val="00870A41"/>
    <w:rsid w:val="00871173"/>
    <w:rsid w:val="00871256"/>
    <w:rsid w:val="00871270"/>
    <w:rsid w:val="00871694"/>
    <w:rsid w:val="00871CBA"/>
    <w:rsid w:val="00871CC0"/>
    <w:rsid w:val="00871CF5"/>
    <w:rsid w:val="00871D76"/>
    <w:rsid w:val="00871DD3"/>
    <w:rsid w:val="00871E62"/>
    <w:rsid w:val="008720D8"/>
    <w:rsid w:val="0087233E"/>
    <w:rsid w:val="0087251C"/>
    <w:rsid w:val="00872701"/>
    <w:rsid w:val="008728A8"/>
    <w:rsid w:val="008728CA"/>
    <w:rsid w:val="008729BE"/>
    <w:rsid w:val="00872AE8"/>
    <w:rsid w:val="00872ECF"/>
    <w:rsid w:val="00873184"/>
    <w:rsid w:val="00873341"/>
    <w:rsid w:val="008735BA"/>
    <w:rsid w:val="00873758"/>
    <w:rsid w:val="00873837"/>
    <w:rsid w:val="008739C7"/>
    <w:rsid w:val="0087447A"/>
    <w:rsid w:val="00874562"/>
    <w:rsid w:val="00874786"/>
    <w:rsid w:val="0087483D"/>
    <w:rsid w:val="00874A64"/>
    <w:rsid w:val="00874BDA"/>
    <w:rsid w:val="00874C87"/>
    <w:rsid w:val="00874CBF"/>
    <w:rsid w:val="00874CCD"/>
    <w:rsid w:val="00874E22"/>
    <w:rsid w:val="008750A8"/>
    <w:rsid w:val="00875354"/>
    <w:rsid w:val="00875752"/>
    <w:rsid w:val="00875A81"/>
    <w:rsid w:val="00875F71"/>
    <w:rsid w:val="00876934"/>
    <w:rsid w:val="00876B13"/>
    <w:rsid w:val="00876EA3"/>
    <w:rsid w:val="0087707E"/>
    <w:rsid w:val="00877305"/>
    <w:rsid w:val="008774E4"/>
    <w:rsid w:val="00877584"/>
    <w:rsid w:val="0087799C"/>
    <w:rsid w:val="008779F5"/>
    <w:rsid w:val="00877B34"/>
    <w:rsid w:val="00877CE4"/>
    <w:rsid w:val="00877DBA"/>
    <w:rsid w:val="00880764"/>
    <w:rsid w:val="008808F7"/>
    <w:rsid w:val="008809A2"/>
    <w:rsid w:val="008809C0"/>
    <w:rsid w:val="00880B7E"/>
    <w:rsid w:val="008811DB"/>
    <w:rsid w:val="008811F5"/>
    <w:rsid w:val="008813F1"/>
    <w:rsid w:val="00881821"/>
    <w:rsid w:val="00881D6A"/>
    <w:rsid w:val="00881E43"/>
    <w:rsid w:val="00881EEE"/>
    <w:rsid w:val="00882315"/>
    <w:rsid w:val="00882410"/>
    <w:rsid w:val="00882425"/>
    <w:rsid w:val="00882470"/>
    <w:rsid w:val="008825A7"/>
    <w:rsid w:val="0088262C"/>
    <w:rsid w:val="008826CB"/>
    <w:rsid w:val="00882728"/>
    <w:rsid w:val="008828F9"/>
    <w:rsid w:val="00882D92"/>
    <w:rsid w:val="00882E84"/>
    <w:rsid w:val="00882EE6"/>
    <w:rsid w:val="008831D7"/>
    <w:rsid w:val="00883560"/>
    <w:rsid w:val="00883671"/>
    <w:rsid w:val="00883899"/>
    <w:rsid w:val="00883960"/>
    <w:rsid w:val="008839A6"/>
    <w:rsid w:val="00883B9B"/>
    <w:rsid w:val="00883CF7"/>
    <w:rsid w:val="00883DA3"/>
    <w:rsid w:val="00883E8F"/>
    <w:rsid w:val="00884026"/>
    <w:rsid w:val="008844E9"/>
    <w:rsid w:val="00884712"/>
    <w:rsid w:val="008849F6"/>
    <w:rsid w:val="00884DAB"/>
    <w:rsid w:val="00884E0A"/>
    <w:rsid w:val="00884EFA"/>
    <w:rsid w:val="00884F7C"/>
    <w:rsid w:val="00885265"/>
    <w:rsid w:val="008854D9"/>
    <w:rsid w:val="00885526"/>
    <w:rsid w:val="0088563C"/>
    <w:rsid w:val="00885C9C"/>
    <w:rsid w:val="00885CFD"/>
    <w:rsid w:val="00885D5B"/>
    <w:rsid w:val="00885DE1"/>
    <w:rsid w:val="00885EEE"/>
    <w:rsid w:val="00885FDB"/>
    <w:rsid w:val="00885FED"/>
    <w:rsid w:val="00886279"/>
    <w:rsid w:val="0088640B"/>
    <w:rsid w:val="00886918"/>
    <w:rsid w:val="00886E5E"/>
    <w:rsid w:val="00886E97"/>
    <w:rsid w:val="00886EC6"/>
    <w:rsid w:val="00886ED5"/>
    <w:rsid w:val="008876A8"/>
    <w:rsid w:val="008878BF"/>
    <w:rsid w:val="00887A72"/>
    <w:rsid w:val="00887DB9"/>
    <w:rsid w:val="00887F7B"/>
    <w:rsid w:val="00887FC1"/>
    <w:rsid w:val="00890229"/>
    <w:rsid w:val="00890511"/>
    <w:rsid w:val="008906FE"/>
    <w:rsid w:val="008909F6"/>
    <w:rsid w:val="00890A05"/>
    <w:rsid w:val="00890E2B"/>
    <w:rsid w:val="008912F1"/>
    <w:rsid w:val="00891391"/>
    <w:rsid w:val="0089181F"/>
    <w:rsid w:val="00891A4C"/>
    <w:rsid w:val="00891DB3"/>
    <w:rsid w:val="00892A8F"/>
    <w:rsid w:val="00892CA0"/>
    <w:rsid w:val="00893030"/>
    <w:rsid w:val="00893097"/>
    <w:rsid w:val="008932C9"/>
    <w:rsid w:val="00893314"/>
    <w:rsid w:val="00893DF6"/>
    <w:rsid w:val="00893F6A"/>
    <w:rsid w:val="00894264"/>
    <w:rsid w:val="0089430C"/>
    <w:rsid w:val="008947A6"/>
    <w:rsid w:val="00894D12"/>
    <w:rsid w:val="008950CA"/>
    <w:rsid w:val="00895288"/>
    <w:rsid w:val="008954D9"/>
    <w:rsid w:val="008954F0"/>
    <w:rsid w:val="008955AC"/>
    <w:rsid w:val="00895665"/>
    <w:rsid w:val="0089577F"/>
    <w:rsid w:val="00895C36"/>
    <w:rsid w:val="00895C6F"/>
    <w:rsid w:val="00895C7D"/>
    <w:rsid w:val="00895E04"/>
    <w:rsid w:val="00895EAA"/>
    <w:rsid w:val="0089603E"/>
    <w:rsid w:val="0089621B"/>
    <w:rsid w:val="008964CB"/>
    <w:rsid w:val="0089676E"/>
    <w:rsid w:val="0089686B"/>
    <w:rsid w:val="00896A13"/>
    <w:rsid w:val="00896E1E"/>
    <w:rsid w:val="008973B0"/>
    <w:rsid w:val="008974A3"/>
    <w:rsid w:val="0089755B"/>
    <w:rsid w:val="00897611"/>
    <w:rsid w:val="00897654"/>
    <w:rsid w:val="0089769C"/>
    <w:rsid w:val="0089795B"/>
    <w:rsid w:val="00897D15"/>
    <w:rsid w:val="00897E20"/>
    <w:rsid w:val="008A00E4"/>
    <w:rsid w:val="008A0382"/>
    <w:rsid w:val="008A0576"/>
    <w:rsid w:val="008A07AD"/>
    <w:rsid w:val="008A07C6"/>
    <w:rsid w:val="008A0E85"/>
    <w:rsid w:val="008A1161"/>
    <w:rsid w:val="008A1344"/>
    <w:rsid w:val="008A1364"/>
    <w:rsid w:val="008A15B8"/>
    <w:rsid w:val="008A1604"/>
    <w:rsid w:val="008A1692"/>
    <w:rsid w:val="008A1B6D"/>
    <w:rsid w:val="008A2037"/>
    <w:rsid w:val="008A2159"/>
    <w:rsid w:val="008A21A6"/>
    <w:rsid w:val="008A21CB"/>
    <w:rsid w:val="008A227E"/>
    <w:rsid w:val="008A2758"/>
    <w:rsid w:val="008A27D0"/>
    <w:rsid w:val="008A29CB"/>
    <w:rsid w:val="008A2A84"/>
    <w:rsid w:val="008A2FEB"/>
    <w:rsid w:val="008A3011"/>
    <w:rsid w:val="008A303F"/>
    <w:rsid w:val="008A3048"/>
    <w:rsid w:val="008A309C"/>
    <w:rsid w:val="008A30DF"/>
    <w:rsid w:val="008A330C"/>
    <w:rsid w:val="008A35EF"/>
    <w:rsid w:val="008A3834"/>
    <w:rsid w:val="008A391D"/>
    <w:rsid w:val="008A39AB"/>
    <w:rsid w:val="008A3FB6"/>
    <w:rsid w:val="008A4194"/>
    <w:rsid w:val="008A4253"/>
    <w:rsid w:val="008A4268"/>
    <w:rsid w:val="008A42BF"/>
    <w:rsid w:val="008A45A4"/>
    <w:rsid w:val="008A46C3"/>
    <w:rsid w:val="008A46DE"/>
    <w:rsid w:val="008A48B2"/>
    <w:rsid w:val="008A4C38"/>
    <w:rsid w:val="008A4C3C"/>
    <w:rsid w:val="008A4F53"/>
    <w:rsid w:val="008A543C"/>
    <w:rsid w:val="008A583A"/>
    <w:rsid w:val="008A59DA"/>
    <w:rsid w:val="008A5AB2"/>
    <w:rsid w:val="008A5C2D"/>
    <w:rsid w:val="008A5E9C"/>
    <w:rsid w:val="008A6605"/>
    <w:rsid w:val="008A6775"/>
    <w:rsid w:val="008A6791"/>
    <w:rsid w:val="008A69C4"/>
    <w:rsid w:val="008A7107"/>
    <w:rsid w:val="008A78C5"/>
    <w:rsid w:val="008A7B39"/>
    <w:rsid w:val="008A7EC7"/>
    <w:rsid w:val="008B00B9"/>
    <w:rsid w:val="008B00E3"/>
    <w:rsid w:val="008B0438"/>
    <w:rsid w:val="008B0503"/>
    <w:rsid w:val="008B0732"/>
    <w:rsid w:val="008B0A15"/>
    <w:rsid w:val="008B0B0F"/>
    <w:rsid w:val="008B0B59"/>
    <w:rsid w:val="008B0B9D"/>
    <w:rsid w:val="008B0F17"/>
    <w:rsid w:val="008B1039"/>
    <w:rsid w:val="008B11F0"/>
    <w:rsid w:val="008B1370"/>
    <w:rsid w:val="008B13D3"/>
    <w:rsid w:val="008B14FC"/>
    <w:rsid w:val="008B188A"/>
    <w:rsid w:val="008B19D8"/>
    <w:rsid w:val="008B1AF3"/>
    <w:rsid w:val="008B2334"/>
    <w:rsid w:val="008B2BCF"/>
    <w:rsid w:val="008B2C5A"/>
    <w:rsid w:val="008B2D9B"/>
    <w:rsid w:val="008B2E29"/>
    <w:rsid w:val="008B3041"/>
    <w:rsid w:val="008B3448"/>
    <w:rsid w:val="008B36FA"/>
    <w:rsid w:val="008B3797"/>
    <w:rsid w:val="008B37F6"/>
    <w:rsid w:val="008B3AD7"/>
    <w:rsid w:val="008B3B4B"/>
    <w:rsid w:val="008B3D20"/>
    <w:rsid w:val="008B3E3F"/>
    <w:rsid w:val="008B3E74"/>
    <w:rsid w:val="008B3EBA"/>
    <w:rsid w:val="008B3EEE"/>
    <w:rsid w:val="008B40E0"/>
    <w:rsid w:val="008B40FE"/>
    <w:rsid w:val="008B47ED"/>
    <w:rsid w:val="008B486B"/>
    <w:rsid w:val="008B488E"/>
    <w:rsid w:val="008B4DC9"/>
    <w:rsid w:val="008B56C2"/>
    <w:rsid w:val="008B60D3"/>
    <w:rsid w:val="008B672A"/>
    <w:rsid w:val="008B6859"/>
    <w:rsid w:val="008B74ED"/>
    <w:rsid w:val="008B798A"/>
    <w:rsid w:val="008B79A4"/>
    <w:rsid w:val="008B7A3E"/>
    <w:rsid w:val="008B7DEC"/>
    <w:rsid w:val="008C0069"/>
    <w:rsid w:val="008C034E"/>
    <w:rsid w:val="008C0466"/>
    <w:rsid w:val="008C090A"/>
    <w:rsid w:val="008C0986"/>
    <w:rsid w:val="008C0BD9"/>
    <w:rsid w:val="008C0E42"/>
    <w:rsid w:val="008C105E"/>
    <w:rsid w:val="008C1285"/>
    <w:rsid w:val="008C14D2"/>
    <w:rsid w:val="008C175C"/>
    <w:rsid w:val="008C1901"/>
    <w:rsid w:val="008C194E"/>
    <w:rsid w:val="008C19ED"/>
    <w:rsid w:val="008C1CB6"/>
    <w:rsid w:val="008C1DAC"/>
    <w:rsid w:val="008C1E02"/>
    <w:rsid w:val="008C1F2D"/>
    <w:rsid w:val="008C1F80"/>
    <w:rsid w:val="008C1FAE"/>
    <w:rsid w:val="008C2043"/>
    <w:rsid w:val="008C2469"/>
    <w:rsid w:val="008C2852"/>
    <w:rsid w:val="008C28CD"/>
    <w:rsid w:val="008C2AFC"/>
    <w:rsid w:val="008C2BDA"/>
    <w:rsid w:val="008C2D73"/>
    <w:rsid w:val="008C31AF"/>
    <w:rsid w:val="008C339A"/>
    <w:rsid w:val="008C352D"/>
    <w:rsid w:val="008C3E2E"/>
    <w:rsid w:val="008C3F1F"/>
    <w:rsid w:val="008C438F"/>
    <w:rsid w:val="008C43BA"/>
    <w:rsid w:val="008C4837"/>
    <w:rsid w:val="008C48DA"/>
    <w:rsid w:val="008C4A16"/>
    <w:rsid w:val="008C4B6A"/>
    <w:rsid w:val="008C4E62"/>
    <w:rsid w:val="008C4F6E"/>
    <w:rsid w:val="008C50C2"/>
    <w:rsid w:val="008C51F3"/>
    <w:rsid w:val="008C544A"/>
    <w:rsid w:val="008C5A5C"/>
    <w:rsid w:val="008C5D71"/>
    <w:rsid w:val="008C5DD3"/>
    <w:rsid w:val="008C643E"/>
    <w:rsid w:val="008C648A"/>
    <w:rsid w:val="008C6607"/>
    <w:rsid w:val="008C68CB"/>
    <w:rsid w:val="008C6C9F"/>
    <w:rsid w:val="008C76D6"/>
    <w:rsid w:val="008C773C"/>
    <w:rsid w:val="008C77B7"/>
    <w:rsid w:val="008C78FB"/>
    <w:rsid w:val="008C79E3"/>
    <w:rsid w:val="008C7F72"/>
    <w:rsid w:val="008D0113"/>
    <w:rsid w:val="008D03C4"/>
    <w:rsid w:val="008D06CD"/>
    <w:rsid w:val="008D07F8"/>
    <w:rsid w:val="008D0935"/>
    <w:rsid w:val="008D1000"/>
    <w:rsid w:val="008D126D"/>
    <w:rsid w:val="008D141F"/>
    <w:rsid w:val="008D153B"/>
    <w:rsid w:val="008D196E"/>
    <w:rsid w:val="008D1A84"/>
    <w:rsid w:val="008D1BE4"/>
    <w:rsid w:val="008D1C51"/>
    <w:rsid w:val="008D1D03"/>
    <w:rsid w:val="008D1D1F"/>
    <w:rsid w:val="008D1F91"/>
    <w:rsid w:val="008D20EE"/>
    <w:rsid w:val="008D23CD"/>
    <w:rsid w:val="008D2459"/>
    <w:rsid w:val="008D252B"/>
    <w:rsid w:val="008D276C"/>
    <w:rsid w:val="008D2A02"/>
    <w:rsid w:val="008D2B05"/>
    <w:rsid w:val="008D2BB1"/>
    <w:rsid w:val="008D2DB7"/>
    <w:rsid w:val="008D2DCA"/>
    <w:rsid w:val="008D2DE4"/>
    <w:rsid w:val="008D30C5"/>
    <w:rsid w:val="008D3101"/>
    <w:rsid w:val="008D3103"/>
    <w:rsid w:val="008D3300"/>
    <w:rsid w:val="008D3368"/>
    <w:rsid w:val="008D3673"/>
    <w:rsid w:val="008D372B"/>
    <w:rsid w:val="008D372C"/>
    <w:rsid w:val="008D39BE"/>
    <w:rsid w:val="008D3A8D"/>
    <w:rsid w:val="008D3AA0"/>
    <w:rsid w:val="008D3B1A"/>
    <w:rsid w:val="008D3E02"/>
    <w:rsid w:val="008D3ED1"/>
    <w:rsid w:val="008D400C"/>
    <w:rsid w:val="008D4103"/>
    <w:rsid w:val="008D41EB"/>
    <w:rsid w:val="008D4471"/>
    <w:rsid w:val="008D455C"/>
    <w:rsid w:val="008D475D"/>
    <w:rsid w:val="008D4B0A"/>
    <w:rsid w:val="008D4CAD"/>
    <w:rsid w:val="008D4D3D"/>
    <w:rsid w:val="008D51C4"/>
    <w:rsid w:val="008D51E1"/>
    <w:rsid w:val="008D51EE"/>
    <w:rsid w:val="008D5678"/>
    <w:rsid w:val="008D58FA"/>
    <w:rsid w:val="008D5DA5"/>
    <w:rsid w:val="008D5E73"/>
    <w:rsid w:val="008D5EBA"/>
    <w:rsid w:val="008D65E8"/>
    <w:rsid w:val="008D6EE3"/>
    <w:rsid w:val="008D7157"/>
    <w:rsid w:val="008D725D"/>
    <w:rsid w:val="008D739C"/>
    <w:rsid w:val="008D74EF"/>
    <w:rsid w:val="008D7592"/>
    <w:rsid w:val="008D767D"/>
    <w:rsid w:val="008D773D"/>
    <w:rsid w:val="008D7812"/>
    <w:rsid w:val="008D78A7"/>
    <w:rsid w:val="008D78D8"/>
    <w:rsid w:val="008D791A"/>
    <w:rsid w:val="008D7991"/>
    <w:rsid w:val="008D7C8D"/>
    <w:rsid w:val="008E01ED"/>
    <w:rsid w:val="008E01F4"/>
    <w:rsid w:val="008E030B"/>
    <w:rsid w:val="008E0922"/>
    <w:rsid w:val="008E0A0F"/>
    <w:rsid w:val="008E0C91"/>
    <w:rsid w:val="008E0CAD"/>
    <w:rsid w:val="008E0D74"/>
    <w:rsid w:val="008E0E00"/>
    <w:rsid w:val="008E0EF2"/>
    <w:rsid w:val="008E0F76"/>
    <w:rsid w:val="008E1000"/>
    <w:rsid w:val="008E12CF"/>
    <w:rsid w:val="008E1885"/>
    <w:rsid w:val="008E1F2A"/>
    <w:rsid w:val="008E2663"/>
    <w:rsid w:val="008E2792"/>
    <w:rsid w:val="008E2A77"/>
    <w:rsid w:val="008E2BD1"/>
    <w:rsid w:val="008E3048"/>
    <w:rsid w:val="008E3447"/>
    <w:rsid w:val="008E350E"/>
    <w:rsid w:val="008E3873"/>
    <w:rsid w:val="008E408C"/>
    <w:rsid w:val="008E4277"/>
    <w:rsid w:val="008E438D"/>
    <w:rsid w:val="008E44FD"/>
    <w:rsid w:val="008E4571"/>
    <w:rsid w:val="008E4A9B"/>
    <w:rsid w:val="008E4D20"/>
    <w:rsid w:val="008E4DB5"/>
    <w:rsid w:val="008E4E22"/>
    <w:rsid w:val="008E5260"/>
    <w:rsid w:val="008E56F9"/>
    <w:rsid w:val="008E573F"/>
    <w:rsid w:val="008E581C"/>
    <w:rsid w:val="008E591E"/>
    <w:rsid w:val="008E5CFB"/>
    <w:rsid w:val="008E5E85"/>
    <w:rsid w:val="008E61D9"/>
    <w:rsid w:val="008E6568"/>
    <w:rsid w:val="008E656B"/>
    <w:rsid w:val="008E677C"/>
    <w:rsid w:val="008E6851"/>
    <w:rsid w:val="008E686D"/>
    <w:rsid w:val="008E6D70"/>
    <w:rsid w:val="008E6F58"/>
    <w:rsid w:val="008E7178"/>
    <w:rsid w:val="008E7922"/>
    <w:rsid w:val="008E7BA9"/>
    <w:rsid w:val="008E7C5D"/>
    <w:rsid w:val="008E7F30"/>
    <w:rsid w:val="008E7F94"/>
    <w:rsid w:val="008E7F9D"/>
    <w:rsid w:val="008E7FDB"/>
    <w:rsid w:val="008F00D2"/>
    <w:rsid w:val="008F0E8E"/>
    <w:rsid w:val="008F1001"/>
    <w:rsid w:val="008F1629"/>
    <w:rsid w:val="008F1A5B"/>
    <w:rsid w:val="008F1B79"/>
    <w:rsid w:val="008F1D55"/>
    <w:rsid w:val="008F2047"/>
    <w:rsid w:val="008F2074"/>
    <w:rsid w:val="008F20BF"/>
    <w:rsid w:val="008F20E8"/>
    <w:rsid w:val="008F214F"/>
    <w:rsid w:val="008F21D9"/>
    <w:rsid w:val="008F28BA"/>
    <w:rsid w:val="008F2A47"/>
    <w:rsid w:val="008F2C0A"/>
    <w:rsid w:val="008F2CDA"/>
    <w:rsid w:val="008F2E89"/>
    <w:rsid w:val="008F2F58"/>
    <w:rsid w:val="008F33A2"/>
    <w:rsid w:val="008F3A6E"/>
    <w:rsid w:val="008F410B"/>
    <w:rsid w:val="008F42D5"/>
    <w:rsid w:val="008F4510"/>
    <w:rsid w:val="008F4526"/>
    <w:rsid w:val="008F466F"/>
    <w:rsid w:val="008F4727"/>
    <w:rsid w:val="008F47A0"/>
    <w:rsid w:val="008F47F6"/>
    <w:rsid w:val="008F4C5D"/>
    <w:rsid w:val="008F4D75"/>
    <w:rsid w:val="008F4E94"/>
    <w:rsid w:val="008F4ED7"/>
    <w:rsid w:val="008F5493"/>
    <w:rsid w:val="008F54E3"/>
    <w:rsid w:val="008F56F4"/>
    <w:rsid w:val="008F5978"/>
    <w:rsid w:val="008F5A04"/>
    <w:rsid w:val="008F5A5D"/>
    <w:rsid w:val="008F5BEB"/>
    <w:rsid w:val="008F5DBF"/>
    <w:rsid w:val="008F619B"/>
    <w:rsid w:val="008F67F2"/>
    <w:rsid w:val="008F6890"/>
    <w:rsid w:val="008F6AEC"/>
    <w:rsid w:val="008F6BCD"/>
    <w:rsid w:val="008F6C8A"/>
    <w:rsid w:val="008F708B"/>
    <w:rsid w:val="008F71E9"/>
    <w:rsid w:val="008F7370"/>
    <w:rsid w:val="008F7383"/>
    <w:rsid w:val="008F790C"/>
    <w:rsid w:val="008F7CCE"/>
    <w:rsid w:val="008F7E78"/>
    <w:rsid w:val="009005E9"/>
    <w:rsid w:val="009006F8"/>
    <w:rsid w:val="0090076C"/>
    <w:rsid w:val="009007C5"/>
    <w:rsid w:val="00900D0B"/>
    <w:rsid w:val="00900E1F"/>
    <w:rsid w:val="00900FB1"/>
    <w:rsid w:val="00900FD4"/>
    <w:rsid w:val="009011EA"/>
    <w:rsid w:val="009018A0"/>
    <w:rsid w:val="00901B8F"/>
    <w:rsid w:val="00901C5E"/>
    <w:rsid w:val="00901C97"/>
    <w:rsid w:val="00901CA1"/>
    <w:rsid w:val="00901F01"/>
    <w:rsid w:val="0090207A"/>
    <w:rsid w:val="0090208B"/>
    <w:rsid w:val="009020CE"/>
    <w:rsid w:val="00902159"/>
    <w:rsid w:val="009024D1"/>
    <w:rsid w:val="009025DD"/>
    <w:rsid w:val="0090267E"/>
    <w:rsid w:val="0090278D"/>
    <w:rsid w:val="0090283F"/>
    <w:rsid w:val="00902A7E"/>
    <w:rsid w:val="00903024"/>
    <w:rsid w:val="00903134"/>
    <w:rsid w:val="00903227"/>
    <w:rsid w:val="0090323A"/>
    <w:rsid w:val="009032C0"/>
    <w:rsid w:val="00903328"/>
    <w:rsid w:val="00903384"/>
    <w:rsid w:val="00903507"/>
    <w:rsid w:val="00903A7D"/>
    <w:rsid w:val="00903C03"/>
    <w:rsid w:val="00903D2E"/>
    <w:rsid w:val="00904335"/>
    <w:rsid w:val="00904357"/>
    <w:rsid w:val="0090439E"/>
    <w:rsid w:val="00904500"/>
    <w:rsid w:val="009049BF"/>
    <w:rsid w:val="00904AB0"/>
    <w:rsid w:val="00904DA8"/>
    <w:rsid w:val="00904DEC"/>
    <w:rsid w:val="00904EFB"/>
    <w:rsid w:val="00905159"/>
    <w:rsid w:val="0090519F"/>
    <w:rsid w:val="00905310"/>
    <w:rsid w:val="009056B4"/>
    <w:rsid w:val="00905D52"/>
    <w:rsid w:val="009061C5"/>
    <w:rsid w:val="009062EB"/>
    <w:rsid w:val="00906399"/>
    <w:rsid w:val="009063A8"/>
    <w:rsid w:val="009064F3"/>
    <w:rsid w:val="00906BAE"/>
    <w:rsid w:val="00906CE6"/>
    <w:rsid w:val="00906D0B"/>
    <w:rsid w:val="00906E4E"/>
    <w:rsid w:val="00906EE5"/>
    <w:rsid w:val="00907256"/>
    <w:rsid w:val="009072FB"/>
    <w:rsid w:val="00907515"/>
    <w:rsid w:val="0090759B"/>
    <w:rsid w:val="0090764D"/>
    <w:rsid w:val="00907779"/>
    <w:rsid w:val="0090785A"/>
    <w:rsid w:val="00907886"/>
    <w:rsid w:val="009078B6"/>
    <w:rsid w:val="009079F7"/>
    <w:rsid w:val="00907B58"/>
    <w:rsid w:val="00907CC8"/>
    <w:rsid w:val="00907D0B"/>
    <w:rsid w:val="00907D16"/>
    <w:rsid w:val="00907FCE"/>
    <w:rsid w:val="009103E6"/>
    <w:rsid w:val="009107C5"/>
    <w:rsid w:val="00910AF5"/>
    <w:rsid w:val="00910CB4"/>
    <w:rsid w:val="00910D6E"/>
    <w:rsid w:val="00910DB1"/>
    <w:rsid w:val="0091125A"/>
    <w:rsid w:val="009112DE"/>
    <w:rsid w:val="0091137D"/>
    <w:rsid w:val="00911393"/>
    <w:rsid w:val="009113FB"/>
    <w:rsid w:val="0091141A"/>
    <w:rsid w:val="00911595"/>
    <w:rsid w:val="00911EAA"/>
    <w:rsid w:val="00911F6D"/>
    <w:rsid w:val="00911FC1"/>
    <w:rsid w:val="0091223F"/>
    <w:rsid w:val="00912384"/>
    <w:rsid w:val="009129EA"/>
    <w:rsid w:val="009131FF"/>
    <w:rsid w:val="00913563"/>
    <w:rsid w:val="00913655"/>
    <w:rsid w:val="009138C0"/>
    <w:rsid w:val="00913B03"/>
    <w:rsid w:val="00913DF1"/>
    <w:rsid w:val="00915597"/>
    <w:rsid w:val="00915600"/>
    <w:rsid w:val="009156ED"/>
    <w:rsid w:val="0091583C"/>
    <w:rsid w:val="009158AA"/>
    <w:rsid w:val="00915941"/>
    <w:rsid w:val="0091598B"/>
    <w:rsid w:val="00915A50"/>
    <w:rsid w:val="00915B29"/>
    <w:rsid w:val="00915F02"/>
    <w:rsid w:val="00915F03"/>
    <w:rsid w:val="009166B8"/>
    <w:rsid w:val="009166CA"/>
    <w:rsid w:val="009167F8"/>
    <w:rsid w:val="00916F23"/>
    <w:rsid w:val="00916F45"/>
    <w:rsid w:val="00916F61"/>
    <w:rsid w:val="00917334"/>
    <w:rsid w:val="00917660"/>
    <w:rsid w:val="0091782F"/>
    <w:rsid w:val="0091787F"/>
    <w:rsid w:val="00917989"/>
    <w:rsid w:val="00917AC8"/>
    <w:rsid w:val="00917E5D"/>
    <w:rsid w:val="00917F06"/>
    <w:rsid w:val="0092005C"/>
    <w:rsid w:val="0092015E"/>
    <w:rsid w:val="00920194"/>
    <w:rsid w:val="009202E8"/>
    <w:rsid w:val="0092079B"/>
    <w:rsid w:val="009207E7"/>
    <w:rsid w:val="00920860"/>
    <w:rsid w:val="00920A4D"/>
    <w:rsid w:val="00920A69"/>
    <w:rsid w:val="00920C63"/>
    <w:rsid w:val="00920DD9"/>
    <w:rsid w:val="009210B1"/>
    <w:rsid w:val="00921306"/>
    <w:rsid w:val="0092135F"/>
    <w:rsid w:val="00921643"/>
    <w:rsid w:val="00921D81"/>
    <w:rsid w:val="00921DF8"/>
    <w:rsid w:val="00921EE6"/>
    <w:rsid w:val="00921FF8"/>
    <w:rsid w:val="009223D8"/>
    <w:rsid w:val="009224EF"/>
    <w:rsid w:val="0092276E"/>
    <w:rsid w:val="00922C01"/>
    <w:rsid w:val="009230EA"/>
    <w:rsid w:val="00923691"/>
    <w:rsid w:val="00923A5B"/>
    <w:rsid w:val="00923AD3"/>
    <w:rsid w:val="00923D1D"/>
    <w:rsid w:val="00924027"/>
    <w:rsid w:val="009240DD"/>
    <w:rsid w:val="009240EA"/>
    <w:rsid w:val="009242F8"/>
    <w:rsid w:val="00924804"/>
    <w:rsid w:val="0092486B"/>
    <w:rsid w:val="00924A60"/>
    <w:rsid w:val="00924B01"/>
    <w:rsid w:val="009250BE"/>
    <w:rsid w:val="009250EC"/>
    <w:rsid w:val="00925129"/>
    <w:rsid w:val="00925407"/>
    <w:rsid w:val="00925448"/>
    <w:rsid w:val="009255E5"/>
    <w:rsid w:val="00925631"/>
    <w:rsid w:val="0092568A"/>
    <w:rsid w:val="009259A0"/>
    <w:rsid w:val="00925A6F"/>
    <w:rsid w:val="00925ADB"/>
    <w:rsid w:val="00925CBC"/>
    <w:rsid w:val="00926160"/>
    <w:rsid w:val="009262AB"/>
    <w:rsid w:val="0092675C"/>
    <w:rsid w:val="00926888"/>
    <w:rsid w:val="009268D8"/>
    <w:rsid w:val="00926A17"/>
    <w:rsid w:val="00926A22"/>
    <w:rsid w:val="00926C63"/>
    <w:rsid w:val="00926CCA"/>
    <w:rsid w:val="00927173"/>
    <w:rsid w:val="00927226"/>
    <w:rsid w:val="009272FB"/>
    <w:rsid w:val="00927318"/>
    <w:rsid w:val="00927E50"/>
    <w:rsid w:val="00927F64"/>
    <w:rsid w:val="00930251"/>
    <w:rsid w:val="0093041F"/>
    <w:rsid w:val="00930497"/>
    <w:rsid w:val="0093056E"/>
    <w:rsid w:val="0093078F"/>
    <w:rsid w:val="00930A97"/>
    <w:rsid w:val="00930D03"/>
    <w:rsid w:val="009311B4"/>
    <w:rsid w:val="00931320"/>
    <w:rsid w:val="00931457"/>
    <w:rsid w:val="00931563"/>
    <w:rsid w:val="0093168B"/>
    <w:rsid w:val="009316E1"/>
    <w:rsid w:val="0093176A"/>
    <w:rsid w:val="009317EE"/>
    <w:rsid w:val="00931B13"/>
    <w:rsid w:val="00931B6B"/>
    <w:rsid w:val="00931F55"/>
    <w:rsid w:val="0093205F"/>
    <w:rsid w:val="00932C19"/>
    <w:rsid w:val="00932C92"/>
    <w:rsid w:val="00932D7A"/>
    <w:rsid w:val="00932F5F"/>
    <w:rsid w:val="009331EC"/>
    <w:rsid w:val="0093323E"/>
    <w:rsid w:val="00933388"/>
    <w:rsid w:val="0093384B"/>
    <w:rsid w:val="00933B61"/>
    <w:rsid w:val="00933D42"/>
    <w:rsid w:val="00933D88"/>
    <w:rsid w:val="00933E24"/>
    <w:rsid w:val="0093434A"/>
    <w:rsid w:val="0093436E"/>
    <w:rsid w:val="009344F1"/>
    <w:rsid w:val="0093468E"/>
    <w:rsid w:val="009347BA"/>
    <w:rsid w:val="009348FD"/>
    <w:rsid w:val="00934E18"/>
    <w:rsid w:val="00934FF3"/>
    <w:rsid w:val="00935222"/>
    <w:rsid w:val="009353E9"/>
    <w:rsid w:val="00935478"/>
    <w:rsid w:val="0093563D"/>
    <w:rsid w:val="009359F4"/>
    <w:rsid w:val="00935AB6"/>
    <w:rsid w:val="00935B77"/>
    <w:rsid w:val="00936091"/>
    <w:rsid w:val="009362F4"/>
    <w:rsid w:val="00936460"/>
    <w:rsid w:val="0093664D"/>
    <w:rsid w:val="00936917"/>
    <w:rsid w:val="00936AD4"/>
    <w:rsid w:val="00936BD5"/>
    <w:rsid w:val="00937167"/>
    <w:rsid w:val="009374D6"/>
    <w:rsid w:val="009374DE"/>
    <w:rsid w:val="00937517"/>
    <w:rsid w:val="00937799"/>
    <w:rsid w:val="00937FAF"/>
    <w:rsid w:val="00940094"/>
    <w:rsid w:val="00940507"/>
    <w:rsid w:val="009405EF"/>
    <w:rsid w:val="00940662"/>
    <w:rsid w:val="009407E4"/>
    <w:rsid w:val="0094086E"/>
    <w:rsid w:val="009408E5"/>
    <w:rsid w:val="00940A31"/>
    <w:rsid w:val="00940EBB"/>
    <w:rsid w:val="0094105C"/>
    <w:rsid w:val="00941088"/>
    <w:rsid w:val="009411F9"/>
    <w:rsid w:val="00941478"/>
    <w:rsid w:val="009415A8"/>
    <w:rsid w:val="009417DE"/>
    <w:rsid w:val="0094189D"/>
    <w:rsid w:val="00941998"/>
    <w:rsid w:val="00941A41"/>
    <w:rsid w:val="00941A51"/>
    <w:rsid w:val="00941A7C"/>
    <w:rsid w:val="00941C7A"/>
    <w:rsid w:val="00941DFB"/>
    <w:rsid w:val="00941FB5"/>
    <w:rsid w:val="009420CD"/>
    <w:rsid w:val="0094212C"/>
    <w:rsid w:val="00942316"/>
    <w:rsid w:val="009423E8"/>
    <w:rsid w:val="00942404"/>
    <w:rsid w:val="0094275F"/>
    <w:rsid w:val="00942C62"/>
    <w:rsid w:val="009434BF"/>
    <w:rsid w:val="00943618"/>
    <w:rsid w:val="0094361D"/>
    <w:rsid w:val="00943662"/>
    <w:rsid w:val="00943746"/>
    <w:rsid w:val="00943B5D"/>
    <w:rsid w:val="00943F2C"/>
    <w:rsid w:val="0094406F"/>
    <w:rsid w:val="0094421E"/>
    <w:rsid w:val="00944283"/>
    <w:rsid w:val="009444C6"/>
    <w:rsid w:val="009447AE"/>
    <w:rsid w:val="0094483C"/>
    <w:rsid w:val="00944A13"/>
    <w:rsid w:val="00944DAC"/>
    <w:rsid w:val="009451CE"/>
    <w:rsid w:val="0094520C"/>
    <w:rsid w:val="00945295"/>
    <w:rsid w:val="0094542F"/>
    <w:rsid w:val="00945709"/>
    <w:rsid w:val="00945964"/>
    <w:rsid w:val="00945989"/>
    <w:rsid w:val="00945C94"/>
    <w:rsid w:val="00946004"/>
    <w:rsid w:val="00946557"/>
    <w:rsid w:val="00946711"/>
    <w:rsid w:val="00946770"/>
    <w:rsid w:val="00946A9C"/>
    <w:rsid w:val="00946F03"/>
    <w:rsid w:val="00946F30"/>
    <w:rsid w:val="0094717F"/>
    <w:rsid w:val="00947297"/>
    <w:rsid w:val="00947332"/>
    <w:rsid w:val="00947353"/>
    <w:rsid w:val="00947ACF"/>
    <w:rsid w:val="00947B12"/>
    <w:rsid w:val="00947B18"/>
    <w:rsid w:val="00947BDC"/>
    <w:rsid w:val="00947D12"/>
    <w:rsid w:val="009502CD"/>
    <w:rsid w:val="00950535"/>
    <w:rsid w:val="00950C26"/>
    <w:rsid w:val="00950F38"/>
    <w:rsid w:val="00950FE5"/>
    <w:rsid w:val="00951032"/>
    <w:rsid w:val="009516A6"/>
    <w:rsid w:val="00951787"/>
    <w:rsid w:val="009519DD"/>
    <w:rsid w:val="00952092"/>
    <w:rsid w:val="009521E4"/>
    <w:rsid w:val="009521FA"/>
    <w:rsid w:val="0095246B"/>
    <w:rsid w:val="009529DA"/>
    <w:rsid w:val="00952D55"/>
    <w:rsid w:val="00952F02"/>
    <w:rsid w:val="00952FC9"/>
    <w:rsid w:val="00953070"/>
    <w:rsid w:val="009530A2"/>
    <w:rsid w:val="009531DB"/>
    <w:rsid w:val="00953322"/>
    <w:rsid w:val="009536AD"/>
    <w:rsid w:val="009538A5"/>
    <w:rsid w:val="00953B67"/>
    <w:rsid w:val="009540B3"/>
    <w:rsid w:val="00954103"/>
    <w:rsid w:val="00954300"/>
    <w:rsid w:val="009543BE"/>
    <w:rsid w:val="00954546"/>
    <w:rsid w:val="00954C4B"/>
    <w:rsid w:val="00954F53"/>
    <w:rsid w:val="009555FA"/>
    <w:rsid w:val="0095578C"/>
    <w:rsid w:val="009561DE"/>
    <w:rsid w:val="0095679E"/>
    <w:rsid w:val="009567E5"/>
    <w:rsid w:val="00956B84"/>
    <w:rsid w:val="00956DFD"/>
    <w:rsid w:val="00956EA3"/>
    <w:rsid w:val="0095762B"/>
    <w:rsid w:val="00957848"/>
    <w:rsid w:val="009579E8"/>
    <w:rsid w:val="00957DA8"/>
    <w:rsid w:val="00957DBF"/>
    <w:rsid w:val="00957E67"/>
    <w:rsid w:val="009601BC"/>
    <w:rsid w:val="009601E2"/>
    <w:rsid w:val="00960253"/>
    <w:rsid w:val="00960330"/>
    <w:rsid w:val="0096049F"/>
    <w:rsid w:val="009604CB"/>
    <w:rsid w:val="009606E8"/>
    <w:rsid w:val="00960D04"/>
    <w:rsid w:val="00960F33"/>
    <w:rsid w:val="009610B4"/>
    <w:rsid w:val="00961262"/>
    <w:rsid w:val="00961389"/>
    <w:rsid w:val="009616D1"/>
    <w:rsid w:val="00961765"/>
    <w:rsid w:val="00961770"/>
    <w:rsid w:val="009618B1"/>
    <w:rsid w:val="009619FF"/>
    <w:rsid w:val="00961EBE"/>
    <w:rsid w:val="00961FD5"/>
    <w:rsid w:val="00962014"/>
    <w:rsid w:val="009621BA"/>
    <w:rsid w:val="0096240D"/>
    <w:rsid w:val="0096254C"/>
    <w:rsid w:val="00962554"/>
    <w:rsid w:val="00962A7E"/>
    <w:rsid w:val="00962EF5"/>
    <w:rsid w:val="009630F1"/>
    <w:rsid w:val="00963187"/>
    <w:rsid w:val="00963583"/>
    <w:rsid w:val="00963588"/>
    <w:rsid w:val="009635FB"/>
    <w:rsid w:val="00963952"/>
    <w:rsid w:val="00963A9B"/>
    <w:rsid w:val="00963C34"/>
    <w:rsid w:val="00963D21"/>
    <w:rsid w:val="00963FDC"/>
    <w:rsid w:val="009643A2"/>
    <w:rsid w:val="00964B2A"/>
    <w:rsid w:val="00964BEE"/>
    <w:rsid w:val="00964DC1"/>
    <w:rsid w:val="009651A1"/>
    <w:rsid w:val="00965389"/>
    <w:rsid w:val="009653B2"/>
    <w:rsid w:val="00965AA4"/>
    <w:rsid w:val="00965B7F"/>
    <w:rsid w:val="00965D61"/>
    <w:rsid w:val="00965F09"/>
    <w:rsid w:val="0096611D"/>
    <w:rsid w:val="009664C1"/>
    <w:rsid w:val="0096669B"/>
    <w:rsid w:val="009666CE"/>
    <w:rsid w:val="00966B5B"/>
    <w:rsid w:val="009672DD"/>
    <w:rsid w:val="00967803"/>
    <w:rsid w:val="009678E4"/>
    <w:rsid w:val="00967A67"/>
    <w:rsid w:val="00967B85"/>
    <w:rsid w:val="00967DC3"/>
    <w:rsid w:val="009701CF"/>
    <w:rsid w:val="00970681"/>
    <w:rsid w:val="0097076D"/>
    <w:rsid w:val="00970840"/>
    <w:rsid w:val="00970C6C"/>
    <w:rsid w:val="00971056"/>
    <w:rsid w:val="0097119D"/>
    <w:rsid w:val="0097183D"/>
    <w:rsid w:val="00971936"/>
    <w:rsid w:val="00971A91"/>
    <w:rsid w:val="00971C8D"/>
    <w:rsid w:val="00971EC1"/>
    <w:rsid w:val="00971FF4"/>
    <w:rsid w:val="00972083"/>
    <w:rsid w:val="009725B6"/>
    <w:rsid w:val="00972BBF"/>
    <w:rsid w:val="00973109"/>
    <w:rsid w:val="00973241"/>
    <w:rsid w:val="009734D0"/>
    <w:rsid w:val="009735B1"/>
    <w:rsid w:val="00973632"/>
    <w:rsid w:val="0097368A"/>
    <w:rsid w:val="00973720"/>
    <w:rsid w:val="00973A0E"/>
    <w:rsid w:val="00973A99"/>
    <w:rsid w:val="00974115"/>
    <w:rsid w:val="0097437F"/>
    <w:rsid w:val="009746B1"/>
    <w:rsid w:val="009746B5"/>
    <w:rsid w:val="00974E60"/>
    <w:rsid w:val="00974EDD"/>
    <w:rsid w:val="0097524F"/>
    <w:rsid w:val="00975440"/>
    <w:rsid w:val="009754CA"/>
    <w:rsid w:val="00975692"/>
    <w:rsid w:val="0097593D"/>
    <w:rsid w:val="00975C4F"/>
    <w:rsid w:val="00975CE5"/>
    <w:rsid w:val="00975DA1"/>
    <w:rsid w:val="00975DF7"/>
    <w:rsid w:val="00975F33"/>
    <w:rsid w:val="00975F5C"/>
    <w:rsid w:val="009760E6"/>
    <w:rsid w:val="00976246"/>
    <w:rsid w:val="00976AE0"/>
    <w:rsid w:val="00976BD6"/>
    <w:rsid w:val="00976BE1"/>
    <w:rsid w:val="00976E0F"/>
    <w:rsid w:val="00977094"/>
    <w:rsid w:val="00977724"/>
    <w:rsid w:val="00977AD2"/>
    <w:rsid w:val="00977BDE"/>
    <w:rsid w:val="00977DF7"/>
    <w:rsid w:val="00980053"/>
    <w:rsid w:val="009801CD"/>
    <w:rsid w:val="00980399"/>
    <w:rsid w:val="009803E2"/>
    <w:rsid w:val="009809EF"/>
    <w:rsid w:val="00980DE6"/>
    <w:rsid w:val="009811EB"/>
    <w:rsid w:val="009815BB"/>
    <w:rsid w:val="00982FA8"/>
    <w:rsid w:val="0098317F"/>
    <w:rsid w:val="00983264"/>
    <w:rsid w:val="009832C0"/>
    <w:rsid w:val="0098340E"/>
    <w:rsid w:val="00983811"/>
    <w:rsid w:val="00983A05"/>
    <w:rsid w:val="00983A50"/>
    <w:rsid w:val="00983CF6"/>
    <w:rsid w:val="00983FD3"/>
    <w:rsid w:val="009844AC"/>
    <w:rsid w:val="009847E0"/>
    <w:rsid w:val="009848DA"/>
    <w:rsid w:val="00984D81"/>
    <w:rsid w:val="00984DB3"/>
    <w:rsid w:val="00984E51"/>
    <w:rsid w:val="00984F61"/>
    <w:rsid w:val="0098505B"/>
    <w:rsid w:val="009850C1"/>
    <w:rsid w:val="009853C0"/>
    <w:rsid w:val="00985900"/>
    <w:rsid w:val="009863FD"/>
    <w:rsid w:val="009867BB"/>
    <w:rsid w:val="00986C8E"/>
    <w:rsid w:val="00986D0D"/>
    <w:rsid w:val="00986F59"/>
    <w:rsid w:val="00987079"/>
    <w:rsid w:val="0098707A"/>
    <w:rsid w:val="0098717E"/>
    <w:rsid w:val="009872E0"/>
    <w:rsid w:val="00987935"/>
    <w:rsid w:val="00987AAC"/>
    <w:rsid w:val="00987FC1"/>
    <w:rsid w:val="00990115"/>
    <w:rsid w:val="00990216"/>
    <w:rsid w:val="0099045B"/>
    <w:rsid w:val="0099061F"/>
    <w:rsid w:val="00990770"/>
    <w:rsid w:val="0099093B"/>
    <w:rsid w:val="00990ACF"/>
    <w:rsid w:val="00990BA0"/>
    <w:rsid w:val="00990C48"/>
    <w:rsid w:val="00990E8A"/>
    <w:rsid w:val="00991174"/>
    <w:rsid w:val="00991667"/>
    <w:rsid w:val="0099185B"/>
    <w:rsid w:val="00991B96"/>
    <w:rsid w:val="00991EC0"/>
    <w:rsid w:val="009920E6"/>
    <w:rsid w:val="009920F2"/>
    <w:rsid w:val="0099219B"/>
    <w:rsid w:val="009921EA"/>
    <w:rsid w:val="009921FA"/>
    <w:rsid w:val="0099257B"/>
    <w:rsid w:val="00992759"/>
    <w:rsid w:val="00992882"/>
    <w:rsid w:val="00992BC1"/>
    <w:rsid w:val="00992D85"/>
    <w:rsid w:val="009933F6"/>
    <w:rsid w:val="009937A5"/>
    <w:rsid w:val="00993A6E"/>
    <w:rsid w:val="00993D18"/>
    <w:rsid w:val="0099409F"/>
    <w:rsid w:val="0099410B"/>
    <w:rsid w:val="0099424B"/>
    <w:rsid w:val="009943CB"/>
    <w:rsid w:val="009943CD"/>
    <w:rsid w:val="009945C5"/>
    <w:rsid w:val="00994612"/>
    <w:rsid w:val="009946AC"/>
    <w:rsid w:val="00994742"/>
    <w:rsid w:val="009948B6"/>
    <w:rsid w:val="00994951"/>
    <w:rsid w:val="009949DD"/>
    <w:rsid w:val="00994BA9"/>
    <w:rsid w:val="00994BD6"/>
    <w:rsid w:val="00994F6F"/>
    <w:rsid w:val="0099503F"/>
    <w:rsid w:val="00995050"/>
    <w:rsid w:val="00995261"/>
    <w:rsid w:val="0099553B"/>
    <w:rsid w:val="00995593"/>
    <w:rsid w:val="00995619"/>
    <w:rsid w:val="00995761"/>
    <w:rsid w:val="0099581A"/>
    <w:rsid w:val="00995986"/>
    <w:rsid w:val="00995B3A"/>
    <w:rsid w:val="00995D63"/>
    <w:rsid w:val="00996A3B"/>
    <w:rsid w:val="00996A47"/>
    <w:rsid w:val="00996B13"/>
    <w:rsid w:val="00996B6E"/>
    <w:rsid w:val="00996C0A"/>
    <w:rsid w:val="00996CD5"/>
    <w:rsid w:val="009970DA"/>
    <w:rsid w:val="0099717F"/>
    <w:rsid w:val="00997789"/>
    <w:rsid w:val="00997872"/>
    <w:rsid w:val="00997DAD"/>
    <w:rsid w:val="00997FED"/>
    <w:rsid w:val="009A0067"/>
    <w:rsid w:val="009A06FE"/>
    <w:rsid w:val="009A072C"/>
    <w:rsid w:val="009A0D5E"/>
    <w:rsid w:val="009A0EF8"/>
    <w:rsid w:val="009A0F75"/>
    <w:rsid w:val="009A126A"/>
    <w:rsid w:val="009A135D"/>
    <w:rsid w:val="009A191E"/>
    <w:rsid w:val="009A1B14"/>
    <w:rsid w:val="009A1D58"/>
    <w:rsid w:val="009A2A6A"/>
    <w:rsid w:val="009A2A83"/>
    <w:rsid w:val="009A2D0E"/>
    <w:rsid w:val="009A2DB5"/>
    <w:rsid w:val="009A2E50"/>
    <w:rsid w:val="009A2EB6"/>
    <w:rsid w:val="009A2F61"/>
    <w:rsid w:val="009A3721"/>
    <w:rsid w:val="009A37B5"/>
    <w:rsid w:val="009A3814"/>
    <w:rsid w:val="009A3885"/>
    <w:rsid w:val="009A395B"/>
    <w:rsid w:val="009A3A17"/>
    <w:rsid w:val="009A3C7F"/>
    <w:rsid w:val="009A3CBE"/>
    <w:rsid w:val="009A3D91"/>
    <w:rsid w:val="009A3EC9"/>
    <w:rsid w:val="009A3F32"/>
    <w:rsid w:val="009A4459"/>
    <w:rsid w:val="009A46BB"/>
    <w:rsid w:val="009A4731"/>
    <w:rsid w:val="009A49BE"/>
    <w:rsid w:val="009A4C45"/>
    <w:rsid w:val="009A5166"/>
    <w:rsid w:val="009A5341"/>
    <w:rsid w:val="009A55DB"/>
    <w:rsid w:val="009A5988"/>
    <w:rsid w:val="009A5AB5"/>
    <w:rsid w:val="009A5E6F"/>
    <w:rsid w:val="009A5FC7"/>
    <w:rsid w:val="009A5FE9"/>
    <w:rsid w:val="009A63A1"/>
    <w:rsid w:val="009A6460"/>
    <w:rsid w:val="009A65A3"/>
    <w:rsid w:val="009A68C0"/>
    <w:rsid w:val="009A6ADE"/>
    <w:rsid w:val="009A6D8B"/>
    <w:rsid w:val="009A7012"/>
    <w:rsid w:val="009A7251"/>
    <w:rsid w:val="009A7472"/>
    <w:rsid w:val="009A7586"/>
    <w:rsid w:val="009A7779"/>
    <w:rsid w:val="009A7889"/>
    <w:rsid w:val="009A7990"/>
    <w:rsid w:val="009A7A1D"/>
    <w:rsid w:val="009A7B02"/>
    <w:rsid w:val="009A7B1B"/>
    <w:rsid w:val="009A7C79"/>
    <w:rsid w:val="009A7D28"/>
    <w:rsid w:val="009A7F3C"/>
    <w:rsid w:val="009B04F8"/>
    <w:rsid w:val="009B0592"/>
    <w:rsid w:val="009B0A26"/>
    <w:rsid w:val="009B0AA3"/>
    <w:rsid w:val="009B0DEF"/>
    <w:rsid w:val="009B1025"/>
    <w:rsid w:val="009B13BC"/>
    <w:rsid w:val="009B160E"/>
    <w:rsid w:val="009B17C0"/>
    <w:rsid w:val="009B1A8A"/>
    <w:rsid w:val="009B1CA1"/>
    <w:rsid w:val="009B1DFB"/>
    <w:rsid w:val="009B269F"/>
    <w:rsid w:val="009B282F"/>
    <w:rsid w:val="009B29C9"/>
    <w:rsid w:val="009B2BF5"/>
    <w:rsid w:val="009B2CFA"/>
    <w:rsid w:val="009B2E21"/>
    <w:rsid w:val="009B2EC5"/>
    <w:rsid w:val="009B3195"/>
    <w:rsid w:val="009B333E"/>
    <w:rsid w:val="009B34B6"/>
    <w:rsid w:val="009B383F"/>
    <w:rsid w:val="009B3AF3"/>
    <w:rsid w:val="009B3B19"/>
    <w:rsid w:val="009B3E77"/>
    <w:rsid w:val="009B4129"/>
    <w:rsid w:val="009B41CB"/>
    <w:rsid w:val="009B4B72"/>
    <w:rsid w:val="009B4C9F"/>
    <w:rsid w:val="009B4E72"/>
    <w:rsid w:val="009B5182"/>
    <w:rsid w:val="009B55EC"/>
    <w:rsid w:val="009B5745"/>
    <w:rsid w:val="009B6300"/>
    <w:rsid w:val="009B631B"/>
    <w:rsid w:val="009B6E9A"/>
    <w:rsid w:val="009B6F10"/>
    <w:rsid w:val="009B7278"/>
    <w:rsid w:val="009B7290"/>
    <w:rsid w:val="009B7D66"/>
    <w:rsid w:val="009B7D77"/>
    <w:rsid w:val="009B7F34"/>
    <w:rsid w:val="009C0035"/>
    <w:rsid w:val="009C02B4"/>
    <w:rsid w:val="009C03EA"/>
    <w:rsid w:val="009C03FC"/>
    <w:rsid w:val="009C0AE2"/>
    <w:rsid w:val="009C0B69"/>
    <w:rsid w:val="009C0D70"/>
    <w:rsid w:val="009C1099"/>
    <w:rsid w:val="009C11D9"/>
    <w:rsid w:val="009C1573"/>
    <w:rsid w:val="009C1734"/>
    <w:rsid w:val="009C19A7"/>
    <w:rsid w:val="009C1D05"/>
    <w:rsid w:val="009C1D3C"/>
    <w:rsid w:val="009C1D76"/>
    <w:rsid w:val="009C1F0F"/>
    <w:rsid w:val="009C2310"/>
    <w:rsid w:val="009C2414"/>
    <w:rsid w:val="009C249C"/>
    <w:rsid w:val="009C27DC"/>
    <w:rsid w:val="009C28A9"/>
    <w:rsid w:val="009C2938"/>
    <w:rsid w:val="009C2B89"/>
    <w:rsid w:val="009C2D2A"/>
    <w:rsid w:val="009C2D45"/>
    <w:rsid w:val="009C2D57"/>
    <w:rsid w:val="009C3135"/>
    <w:rsid w:val="009C3543"/>
    <w:rsid w:val="009C360A"/>
    <w:rsid w:val="009C3736"/>
    <w:rsid w:val="009C3939"/>
    <w:rsid w:val="009C399A"/>
    <w:rsid w:val="009C39B9"/>
    <w:rsid w:val="009C3B41"/>
    <w:rsid w:val="009C3DD2"/>
    <w:rsid w:val="009C4149"/>
    <w:rsid w:val="009C4364"/>
    <w:rsid w:val="009C442B"/>
    <w:rsid w:val="009C4504"/>
    <w:rsid w:val="009C45CA"/>
    <w:rsid w:val="009C472E"/>
    <w:rsid w:val="009C4744"/>
    <w:rsid w:val="009C494B"/>
    <w:rsid w:val="009C4B8E"/>
    <w:rsid w:val="009C50FD"/>
    <w:rsid w:val="009C51B1"/>
    <w:rsid w:val="009C5267"/>
    <w:rsid w:val="009C5587"/>
    <w:rsid w:val="009C5CA8"/>
    <w:rsid w:val="009C5CF0"/>
    <w:rsid w:val="009C5FEC"/>
    <w:rsid w:val="009C6137"/>
    <w:rsid w:val="009C6144"/>
    <w:rsid w:val="009C614B"/>
    <w:rsid w:val="009C6684"/>
    <w:rsid w:val="009C66DA"/>
    <w:rsid w:val="009C6877"/>
    <w:rsid w:val="009C689F"/>
    <w:rsid w:val="009C68CA"/>
    <w:rsid w:val="009C6922"/>
    <w:rsid w:val="009C6B46"/>
    <w:rsid w:val="009C6E63"/>
    <w:rsid w:val="009C6EA7"/>
    <w:rsid w:val="009C70F8"/>
    <w:rsid w:val="009C7407"/>
    <w:rsid w:val="009C740B"/>
    <w:rsid w:val="009C76CA"/>
    <w:rsid w:val="009C780B"/>
    <w:rsid w:val="009C79F7"/>
    <w:rsid w:val="009D0076"/>
    <w:rsid w:val="009D00B8"/>
    <w:rsid w:val="009D07FC"/>
    <w:rsid w:val="009D09EA"/>
    <w:rsid w:val="009D0A1E"/>
    <w:rsid w:val="009D0B30"/>
    <w:rsid w:val="009D0B34"/>
    <w:rsid w:val="009D0BC6"/>
    <w:rsid w:val="009D0E5B"/>
    <w:rsid w:val="009D1036"/>
    <w:rsid w:val="009D113A"/>
    <w:rsid w:val="009D147F"/>
    <w:rsid w:val="009D14B2"/>
    <w:rsid w:val="009D1A28"/>
    <w:rsid w:val="009D1A96"/>
    <w:rsid w:val="009D1D80"/>
    <w:rsid w:val="009D1DA9"/>
    <w:rsid w:val="009D202C"/>
    <w:rsid w:val="009D203B"/>
    <w:rsid w:val="009D20F8"/>
    <w:rsid w:val="009D28C3"/>
    <w:rsid w:val="009D28DB"/>
    <w:rsid w:val="009D298B"/>
    <w:rsid w:val="009D2D78"/>
    <w:rsid w:val="009D324C"/>
    <w:rsid w:val="009D38E1"/>
    <w:rsid w:val="009D3F9E"/>
    <w:rsid w:val="009D41F7"/>
    <w:rsid w:val="009D442C"/>
    <w:rsid w:val="009D4487"/>
    <w:rsid w:val="009D47E4"/>
    <w:rsid w:val="009D491D"/>
    <w:rsid w:val="009D4ABB"/>
    <w:rsid w:val="009D5480"/>
    <w:rsid w:val="009D57EB"/>
    <w:rsid w:val="009D5AAA"/>
    <w:rsid w:val="009D5C4D"/>
    <w:rsid w:val="009D5E33"/>
    <w:rsid w:val="009D6083"/>
    <w:rsid w:val="009D61FA"/>
    <w:rsid w:val="009D6340"/>
    <w:rsid w:val="009D6956"/>
    <w:rsid w:val="009D6BD1"/>
    <w:rsid w:val="009D7261"/>
    <w:rsid w:val="009D73DF"/>
    <w:rsid w:val="009D78A8"/>
    <w:rsid w:val="009D78C2"/>
    <w:rsid w:val="009D7DE7"/>
    <w:rsid w:val="009E0008"/>
    <w:rsid w:val="009E004E"/>
    <w:rsid w:val="009E00C7"/>
    <w:rsid w:val="009E0203"/>
    <w:rsid w:val="009E067F"/>
    <w:rsid w:val="009E094D"/>
    <w:rsid w:val="009E0DE6"/>
    <w:rsid w:val="009E1003"/>
    <w:rsid w:val="009E1151"/>
    <w:rsid w:val="009E1302"/>
    <w:rsid w:val="009E1326"/>
    <w:rsid w:val="009E1A10"/>
    <w:rsid w:val="009E1A95"/>
    <w:rsid w:val="009E1E37"/>
    <w:rsid w:val="009E2926"/>
    <w:rsid w:val="009E31E4"/>
    <w:rsid w:val="009E3500"/>
    <w:rsid w:val="009E3511"/>
    <w:rsid w:val="009E357B"/>
    <w:rsid w:val="009E3C10"/>
    <w:rsid w:val="009E3C63"/>
    <w:rsid w:val="009E3E6D"/>
    <w:rsid w:val="009E3F4A"/>
    <w:rsid w:val="009E3F61"/>
    <w:rsid w:val="009E41A0"/>
    <w:rsid w:val="009E4491"/>
    <w:rsid w:val="009E46E6"/>
    <w:rsid w:val="009E4796"/>
    <w:rsid w:val="009E4949"/>
    <w:rsid w:val="009E49A9"/>
    <w:rsid w:val="009E4E0D"/>
    <w:rsid w:val="009E5094"/>
    <w:rsid w:val="009E50C9"/>
    <w:rsid w:val="009E51D2"/>
    <w:rsid w:val="009E549B"/>
    <w:rsid w:val="009E54B1"/>
    <w:rsid w:val="009E5AB4"/>
    <w:rsid w:val="009E6274"/>
    <w:rsid w:val="009E6631"/>
    <w:rsid w:val="009E6DF5"/>
    <w:rsid w:val="009E6E47"/>
    <w:rsid w:val="009E712C"/>
    <w:rsid w:val="009E7185"/>
    <w:rsid w:val="009E735B"/>
    <w:rsid w:val="009E76D1"/>
    <w:rsid w:val="009E7C6B"/>
    <w:rsid w:val="009E7EC1"/>
    <w:rsid w:val="009F00FA"/>
    <w:rsid w:val="009F02DC"/>
    <w:rsid w:val="009F06B6"/>
    <w:rsid w:val="009F0736"/>
    <w:rsid w:val="009F0D58"/>
    <w:rsid w:val="009F0EB4"/>
    <w:rsid w:val="009F17EA"/>
    <w:rsid w:val="009F1833"/>
    <w:rsid w:val="009F191F"/>
    <w:rsid w:val="009F1B48"/>
    <w:rsid w:val="009F1DD9"/>
    <w:rsid w:val="009F21A9"/>
    <w:rsid w:val="009F2350"/>
    <w:rsid w:val="009F24AE"/>
    <w:rsid w:val="009F25E4"/>
    <w:rsid w:val="009F2C4E"/>
    <w:rsid w:val="009F2E79"/>
    <w:rsid w:val="009F2F2E"/>
    <w:rsid w:val="009F333A"/>
    <w:rsid w:val="009F333F"/>
    <w:rsid w:val="009F3539"/>
    <w:rsid w:val="009F3B1C"/>
    <w:rsid w:val="009F3B9F"/>
    <w:rsid w:val="009F3BC4"/>
    <w:rsid w:val="009F3F00"/>
    <w:rsid w:val="009F3F13"/>
    <w:rsid w:val="009F4038"/>
    <w:rsid w:val="009F4487"/>
    <w:rsid w:val="009F44F0"/>
    <w:rsid w:val="009F44F2"/>
    <w:rsid w:val="009F456D"/>
    <w:rsid w:val="009F4E8D"/>
    <w:rsid w:val="009F4FC6"/>
    <w:rsid w:val="009F536A"/>
    <w:rsid w:val="009F53B4"/>
    <w:rsid w:val="009F53D2"/>
    <w:rsid w:val="009F5513"/>
    <w:rsid w:val="009F5B5F"/>
    <w:rsid w:val="009F5B65"/>
    <w:rsid w:val="009F5C11"/>
    <w:rsid w:val="009F5E12"/>
    <w:rsid w:val="009F5E4D"/>
    <w:rsid w:val="009F5F25"/>
    <w:rsid w:val="009F63A5"/>
    <w:rsid w:val="009F654F"/>
    <w:rsid w:val="009F6727"/>
    <w:rsid w:val="009F6866"/>
    <w:rsid w:val="009F6D19"/>
    <w:rsid w:val="009F7000"/>
    <w:rsid w:val="009F7082"/>
    <w:rsid w:val="009F7290"/>
    <w:rsid w:val="009F73A5"/>
    <w:rsid w:val="009F7762"/>
    <w:rsid w:val="009F77C9"/>
    <w:rsid w:val="00A0002F"/>
    <w:rsid w:val="00A0013D"/>
    <w:rsid w:val="00A00278"/>
    <w:rsid w:val="00A002B1"/>
    <w:rsid w:val="00A004E1"/>
    <w:rsid w:val="00A00580"/>
    <w:rsid w:val="00A00714"/>
    <w:rsid w:val="00A007F1"/>
    <w:rsid w:val="00A00866"/>
    <w:rsid w:val="00A00991"/>
    <w:rsid w:val="00A00A0B"/>
    <w:rsid w:val="00A00A8F"/>
    <w:rsid w:val="00A00AED"/>
    <w:rsid w:val="00A00BFD"/>
    <w:rsid w:val="00A00D19"/>
    <w:rsid w:val="00A01246"/>
    <w:rsid w:val="00A0125C"/>
    <w:rsid w:val="00A014FB"/>
    <w:rsid w:val="00A015FD"/>
    <w:rsid w:val="00A01696"/>
    <w:rsid w:val="00A01746"/>
    <w:rsid w:val="00A01772"/>
    <w:rsid w:val="00A01FD8"/>
    <w:rsid w:val="00A01FE6"/>
    <w:rsid w:val="00A020F9"/>
    <w:rsid w:val="00A02216"/>
    <w:rsid w:val="00A0222F"/>
    <w:rsid w:val="00A02310"/>
    <w:rsid w:val="00A02383"/>
    <w:rsid w:val="00A025AD"/>
    <w:rsid w:val="00A02AA9"/>
    <w:rsid w:val="00A03036"/>
    <w:rsid w:val="00A031D3"/>
    <w:rsid w:val="00A0329F"/>
    <w:rsid w:val="00A032D6"/>
    <w:rsid w:val="00A033B7"/>
    <w:rsid w:val="00A0359E"/>
    <w:rsid w:val="00A03BE5"/>
    <w:rsid w:val="00A03C02"/>
    <w:rsid w:val="00A03CF4"/>
    <w:rsid w:val="00A04133"/>
    <w:rsid w:val="00A0424B"/>
    <w:rsid w:val="00A0469A"/>
    <w:rsid w:val="00A04A7E"/>
    <w:rsid w:val="00A04F37"/>
    <w:rsid w:val="00A05122"/>
    <w:rsid w:val="00A0523A"/>
    <w:rsid w:val="00A05387"/>
    <w:rsid w:val="00A053B7"/>
    <w:rsid w:val="00A058A9"/>
    <w:rsid w:val="00A058C1"/>
    <w:rsid w:val="00A05D97"/>
    <w:rsid w:val="00A05E4B"/>
    <w:rsid w:val="00A05FE3"/>
    <w:rsid w:val="00A064B1"/>
    <w:rsid w:val="00A067AB"/>
    <w:rsid w:val="00A0684F"/>
    <w:rsid w:val="00A06C20"/>
    <w:rsid w:val="00A0719D"/>
    <w:rsid w:val="00A07354"/>
    <w:rsid w:val="00A07385"/>
    <w:rsid w:val="00A07471"/>
    <w:rsid w:val="00A07545"/>
    <w:rsid w:val="00A0766E"/>
    <w:rsid w:val="00A076FF"/>
    <w:rsid w:val="00A07A4E"/>
    <w:rsid w:val="00A100EA"/>
    <w:rsid w:val="00A102BE"/>
    <w:rsid w:val="00A10B4C"/>
    <w:rsid w:val="00A10D7E"/>
    <w:rsid w:val="00A10E7F"/>
    <w:rsid w:val="00A1100B"/>
    <w:rsid w:val="00A11415"/>
    <w:rsid w:val="00A11546"/>
    <w:rsid w:val="00A11643"/>
    <w:rsid w:val="00A11A07"/>
    <w:rsid w:val="00A11B2D"/>
    <w:rsid w:val="00A11CBD"/>
    <w:rsid w:val="00A11FC4"/>
    <w:rsid w:val="00A12339"/>
    <w:rsid w:val="00A123DB"/>
    <w:rsid w:val="00A127FD"/>
    <w:rsid w:val="00A129D6"/>
    <w:rsid w:val="00A129E7"/>
    <w:rsid w:val="00A12B63"/>
    <w:rsid w:val="00A12C0E"/>
    <w:rsid w:val="00A12C55"/>
    <w:rsid w:val="00A12E87"/>
    <w:rsid w:val="00A130EF"/>
    <w:rsid w:val="00A1319D"/>
    <w:rsid w:val="00A131BF"/>
    <w:rsid w:val="00A13571"/>
    <w:rsid w:val="00A137C9"/>
    <w:rsid w:val="00A13BA6"/>
    <w:rsid w:val="00A13CA4"/>
    <w:rsid w:val="00A13D81"/>
    <w:rsid w:val="00A140D8"/>
    <w:rsid w:val="00A142CF"/>
    <w:rsid w:val="00A145C2"/>
    <w:rsid w:val="00A14DDA"/>
    <w:rsid w:val="00A14E49"/>
    <w:rsid w:val="00A15290"/>
    <w:rsid w:val="00A15983"/>
    <w:rsid w:val="00A15A20"/>
    <w:rsid w:val="00A15AAC"/>
    <w:rsid w:val="00A15C02"/>
    <w:rsid w:val="00A15E7F"/>
    <w:rsid w:val="00A15E83"/>
    <w:rsid w:val="00A160CF"/>
    <w:rsid w:val="00A162DE"/>
    <w:rsid w:val="00A1638A"/>
    <w:rsid w:val="00A16679"/>
    <w:rsid w:val="00A16BC0"/>
    <w:rsid w:val="00A16DE4"/>
    <w:rsid w:val="00A16ECD"/>
    <w:rsid w:val="00A16FC5"/>
    <w:rsid w:val="00A16FEC"/>
    <w:rsid w:val="00A17152"/>
    <w:rsid w:val="00A1739B"/>
    <w:rsid w:val="00A17477"/>
    <w:rsid w:val="00A17CE5"/>
    <w:rsid w:val="00A17E79"/>
    <w:rsid w:val="00A2042D"/>
    <w:rsid w:val="00A20557"/>
    <w:rsid w:val="00A20891"/>
    <w:rsid w:val="00A20D79"/>
    <w:rsid w:val="00A2133A"/>
    <w:rsid w:val="00A213B5"/>
    <w:rsid w:val="00A21936"/>
    <w:rsid w:val="00A21AC7"/>
    <w:rsid w:val="00A21D2A"/>
    <w:rsid w:val="00A21D6D"/>
    <w:rsid w:val="00A21E4F"/>
    <w:rsid w:val="00A221F0"/>
    <w:rsid w:val="00A223CB"/>
    <w:rsid w:val="00A224C2"/>
    <w:rsid w:val="00A227B1"/>
    <w:rsid w:val="00A22B55"/>
    <w:rsid w:val="00A22B5E"/>
    <w:rsid w:val="00A22CA1"/>
    <w:rsid w:val="00A22E1B"/>
    <w:rsid w:val="00A22EE0"/>
    <w:rsid w:val="00A22F34"/>
    <w:rsid w:val="00A231C3"/>
    <w:rsid w:val="00A23C89"/>
    <w:rsid w:val="00A23DC6"/>
    <w:rsid w:val="00A23DD2"/>
    <w:rsid w:val="00A23DEC"/>
    <w:rsid w:val="00A23E50"/>
    <w:rsid w:val="00A23F2B"/>
    <w:rsid w:val="00A24030"/>
    <w:rsid w:val="00A241FE"/>
    <w:rsid w:val="00A2449D"/>
    <w:rsid w:val="00A24618"/>
    <w:rsid w:val="00A248F1"/>
    <w:rsid w:val="00A24961"/>
    <w:rsid w:val="00A24AFA"/>
    <w:rsid w:val="00A24BEE"/>
    <w:rsid w:val="00A24CC5"/>
    <w:rsid w:val="00A24E29"/>
    <w:rsid w:val="00A24F5F"/>
    <w:rsid w:val="00A251C4"/>
    <w:rsid w:val="00A25365"/>
    <w:rsid w:val="00A253F8"/>
    <w:rsid w:val="00A2544C"/>
    <w:rsid w:val="00A259DA"/>
    <w:rsid w:val="00A26420"/>
    <w:rsid w:val="00A264E6"/>
    <w:rsid w:val="00A268BF"/>
    <w:rsid w:val="00A26B16"/>
    <w:rsid w:val="00A26EDD"/>
    <w:rsid w:val="00A27405"/>
    <w:rsid w:val="00A27666"/>
    <w:rsid w:val="00A2778D"/>
    <w:rsid w:val="00A27996"/>
    <w:rsid w:val="00A27D5C"/>
    <w:rsid w:val="00A27D5D"/>
    <w:rsid w:val="00A27DF9"/>
    <w:rsid w:val="00A27E46"/>
    <w:rsid w:val="00A27E77"/>
    <w:rsid w:val="00A300A7"/>
    <w:rsid w:val="00A300B7"/>
    <w:rsid w:val="00A3042D"/>
    <w:rsid w:val="00A305D4"/>
    <w:rsid w:val="00A30D25"/>
    <w:rsid w:val="00A31073"/>
    <w:rsid w:val="00A3144F"/>
    <w:rsid w:val="00A316D2"/>
    <w:rsid w:val="00A318D8"/>
    <w:rsid w:val="00A319F3"/>
    <w:rsid w:val="00A31B41"/>
    <w:rsid w:val="00A31C6C"/>
    <w:rsid w:val="00A31F6A"/>
    <w:rsid w:val="00A3210B"/>
    <w:rsid w:val="00A321FA"/>
    <w:rsid w:val="00A32285"/>
    <w:rsid w:val="00A323FE"/>
    <w:rsid w:val="00A32597"/>
    <w:rsid w:val="00A325B8"/>
    <w:rsid w:val="00A32681"/>
    <w:rsid w:val="00A32735"/>
    <w:rsid w:val="00A3291E"/>
    <w:rsid w:val="00A32A7B"/>
    <w:rsid w:val="00A32AE8"/>
    <w:rsid w:val="00A32B69"/>
    <w:rsid w:val="00A32CB0"/>
    <w:rsid w:val="00A32F32"/>
    <w:rsid w:val="00A3301E"/>
    <w:rsid w:val="00A334D7"/>
    <w:rsid w:val="00A336E4"/>
    <w:rsid w:val="00A337FB"/>
    <w:rsid w:val="00A338DE"/>
    <w:rsid w:val="00A33903"/>
    <w:rsid w:val="00A33A17"/>
    <w:rsid w:val="00A33A38"/>
    <w:rsid w:val="00A33B30"/>
    <w:rsid w:val="00A33FC0"/>
    <w:rsid w:val="00A344F4"/>
    <w:rsid w:val="00A34522"/>
    <w:rsid w:val="00A34733"/>
    <w:rsid w:val="00A3473A"/>
    <w:rsid w:val="00A34936"/>
    <w:rsid w:val="00A349DA"/>
    <w:rsid w:val="00A34B4E"/>
    <w:rsid w:val="00A34C5F"/>
    <w:rsid w:val="00A34CA1"/>
    <w:rsid w:val="00A34FCE"/>
    <w:rsid w:val="00A35165"/>
    <w:rsid w:val="00A35233"/>
    <w:rsid w:val="00A3548F"/>
    <w:rsid w:val="00A35B45"/>
    <w:rsid w:val="00A35B5A"/>
    <w:rsid w:val="00A36199"/>
    <w:rsid w:val="00A36220"/>
    <w:rsid w:val="00A36521"/>
    <w:rsid w:val="00A36656"/>
    <w:rsid w:val="00A3701D"/>
    <w:rsid w:val="00A3762C"/>
    <w:rsid w:val="00A376AF"/>
    <w:rsid w:val="00A376D3"/>
    <w:rsid w:val="00A37801"/>
    <w:rsid w:val="00A379EB"/>
    <w:rsid w:val="00A37ECE"/>
    <w:rsid w:val="00A40400"/>
    <w:rsid w:val="00A40488"/>
    <w:rsid w:val="00A40918"/>
    <w:rsid w:val="00A409B4"/>
    <w:rsid w:val="00A40B5D"/>
    <w:rsid w:val="00A40B7A"/>
    <w:rsid w:val="00A40BDF"/>
    <w:rsid w:val="00A40D19"/>
    <w:rsid w:val="00A40DBC"/>
    <w:rsid w:val="00A40E52"/>
    <w:rsid w:val="00A411F5"/>
    <w:rsid w:val="00A41335"/>
    <w:rsid w:val="00A413E3"/>
    <w:rsid w:val="00A41576"/>
    <w:rsid w:val="00A41934"/>
    <w:rsid w:val="00A41979"/>
    <w:rsid w:val="00A41EB4"/>
    <w:rsid w:val="00A42299"/>
    <w:rsid w:val="00A422F5"/>
    <w:rsid w:val="00A42326"/>
    <w:rsid w:val="00A4244A"/>
    <w:rsid w:val="00A42593"/>
    <w:rsid w:val="00A4268C"/>
    <w:rsid w:val="00A42A7F"/>
    <w:rsid w:val="00A42B03"/>
    <w:rsid w:val="00A42ED4"/>
    <w:rsid w:val="00A42F1F"/>
    <w:rsid w:val="00A43198"/>
    <w:rsid w:val="00A431B7"/>
    <w:rsid w:val="00A431E8"/>
    <w:rsid w:val="00A43269"/>
    <w:rsid w:val="00A433DD"/>
    <w:rsid w:val="00A4359D"/>
    <w:rsid w:val="00A4372C"/>
    <w:rsid w:val="00A43AE9"/>
    <w:rsid w:val="00A43C3D"/>
    <w:rsid w:val="00A43CCB"/>
    <w:rsid w:val="00A43E30"/>
    <w:rsid w:val="00A44143"/>
    <w:rsid w:val="00A441DD"/>
    <w:rsid w:val="00A44662"/>
    <w:rsid w:val="00A446FF"/>
    <w:rsid w:val="00A447E1"/>
    <w:rsid w:val="00A44B10"/>
    <w:rsid w:val="00A44B81"/>
    <w:rsid w:val="00A44EF4"/>
    <w:rsid w:val="00A44FD3"/>
    <w:rsid w:val="00A45037"/>
    <w:rsid w:val="00A452D2"/>
    <w:rsid w:val="00A4555D"/>
    <w:rsid w:val="00A4573F"/>
    <w:rsid w:val="00A45E84"/>
    <w:rsid w:val="00A45EB1"/>
    <w:rsid w:val="00A46136"/>
    <w:rsid w:val="00A46264"/>
    <w:rsid w:val="00A46410"/>
    <w:rsid w:val="00A46707"/>
    <w:rsid w:val="00A467CB"/>
    <w:rsid w:val="00A469F5"/>
    <w:rsid w:val="00A46A39"/>
    <w:rsid w:val="00A46AF9"/>
    <w:rsid w:val="00A46B41"/>
    <w:rsid w:val="00A46C1B"/>
    <w:rsid w:val="00A46D04"/>
    <w:rsid w:val="00A46E39"/>
    <w:rsid w:val="00A46F83"/>
    <w:rsid w:val="00A473D6"/>
    <w:rsid w:val="00A473E2"/>
    <w:rsid w:val="00A47640"/>
    <w:rsid w:val="00A47791"/>
    <w:rsid w:val="00A4792C"/>
    <w:rsid w:val="00A47CF5"/>
    <w:rsid w:val="00A50242"/>
    <w:rsid w:val="00A503F8"/>
    <w:rsid w:val="00A50417"/>
    <w:rsid w:val="00A5053F"/>
    <w:rsid w:val="00A50ACE"/>
    <w:rsid w:val="00A50D8D"/>
    <w:rsid w:val="00A5141D"/>
    <w:rsid w:val="00A519D0"/>
    <w:rsid w:val="00A51A99"/>
    <w:rsid w:val="00A51C7B"/>
    <w:rsid w:val="00A52295"/>
    <w:rsid w:val="00A5230D"/>
    <w:rsid w:val="00A52660"/>
    <w:rsid w:val="00A52EF2"/>
    <w:rsid w:val="00A535A5"/>
    <w:rsid w:val="00A53720"/>
    <w:rsid w:val="00A538CA"/>
    <w:rsid w:val="00A53962"/>
    <w:rsid w:val="00A539EC"/>
    <w:rsid w:val="00A53A97"/>
    <w:rsid w:val="00A53D9A"/>
    <w:rsid w:val="00A53EAE"/>
    <w:rsid w:val="00A543AF"/>
    <w:rsid w:val="00A546E3"/>
    <w:rsid w:val="00A5493E"/>
    <w:rsid w:val="00A54D37"/>
    <w:rsid w:val="00A54EA0"/>
    <w:rsid w:val="00A55192"/>
    <w:rsid w:val="00A551C3"/>
    <w:rsid w:val="00A5540E"/>
    <w:rsid w:val="00A55497"/>
    <w:rsid w:val="00A554AA"/>
    <w:rsid w:val="00A5588B"/>
    <w:rsid w:val="00A55899"/>
    <w:rsid w:val="00A55979"/>
    <w:rsid w:val="00A559DF"/>
    <w:rsid w:val="00A55A6B"/>
    <w:rsid w:val="00A55CBA"/>
    <w:rsid w:val="00A55DFB"/>
    <w:rsid w:val="00A55E2B"/>
    <w:rsid w:val="00A55EEE"/>
    <w:rsid w:val="00A5611A"/>
    <w:rsid w:val="00A56193"/>
    <w:rsid w:val="00A562A7"/>
    <w:rsid w:val="00A562C7"/>
    <w:rsid w:val="00A56340"/>
    <w:rsid w:val="00A564CB"/>
    <w:rsid w:val="00A5680E"/>
    <w:rsid w:val="00A568C9"/>
    <w:rsid w:val="00A56939"/>
    <w:rsid w:val="00A56AEF"/>
    <w:rsid w:val="00A57399"/>
    <w:rsid w:val="00A573E7"/>
    <w:rsid w:val="00A57CD1"/>
    <w:rsid w:val="00A57F70"/>
    <w:rsid w:val="00A60517"/>
    <w:rsid w:val="00A606E0"/>
    <w:rsid w:val="00A60828"/>
    <w:rsid w:val="00A6096E"/>
    <w:rsid w:val="00A60BE1"/>
    <w:rsid w:val="00A60C8E"/>
    <w:rsid w:val="00A61002"/>
    <w:rsid w:val="00A61283"/>
    <w:rsid w:val="00A612A6"/>
    <w:rsid w:val="00A6180C"/>
    <w:rsid w:val="00A61CBF"/>
    <w:rsid w:val="00A61F2E"/>
    <w:rsid w:val="00A61FFD"/>
    <w:rsid w:val="00A621B0"/>
    <w:rsid w:val="00A629CC"/>
    <w:rsid w:val="00A62BDC"/>
    <w:rsid w:val="00A62D0D"/>
    <w:rsid w:val="00A63260"/>
    <w:rsid w:val="00A63307"/>
    <w:rsid w:val="00A63813"/>
    <w:rsid w:val="00A63979"/>
    <w:rsid w:val="00A63BB0"/>
    <w:rsid w:val="00A63D0E"/>
    <w:rsid w:val="00A63EB6"/>
    <w:rsid w:val="00A641E3"/>
    <w:rsid w:val="00A64405"/>
    <w:rsid w:val="00A64598"/>
    <w:rsid w:val="00A646C7"/>
    <w:rsid w:val="00A64C26"/>
    <w:rsid w:val="00A654F5"/>
    <w:rsid w:val="00A65630"/>
    <w:rsid w:val="00A65783"/>
    <w:rsid w:val="00A6585F"/>
    <w:rsid w:val="00A65A58"/>
    <w:rsid w:val="00A65AAB"/>
    <w:rsid w:val="00A65B86"/>
    <w:rsid w:val="00A65DED"/>
    <w:rsid w:val="00A65DF8"/>
    <w:rsid w:val="00A65E9C"/>
    <w:rsid w:val="00A65EBD"/>
    <w:rsid w:val="00A65EFF"/>
    <w:rsid w:val="00A66021"/>
    <w:rsid w:val="00A66107"/>
    <w:rsid w:val="00A666A3"/>
    <w:rsid w:val="00A667FB"/>
    <w:rsid w:val="00A668F2"/>
    <w:rsid w:val="00A66A56"/>
    <w:rsid w:val="00A66DF4"/>
    <w:rsid w:val="00A67022"/>
    <w:rsid w:val="00A670B0"/>
    <w:rsid w:val="00A670BC"/>
    <w:rsid w:val="00A67692"/>
    <w:rsid w:val="00A67898"/>
    <w:rsid w:val="00A67958"/>
    <w:rsid w:val="00A67A88"/>
    <w:rsid w:val="00A67C10"/>
    <w:rsid w:val="00A67D1E"/>
    <w:rsid w:val="00A67D4B"/>
    <w:rsid w:val="00A67DBF"/>
    <w:rsid w:val="00A70094"/>
    <w:rsid w:val="00A700B5"/>
    <w:rsid w:val="00A70146"/>
    <w:rsid w:val="00A70187"/>
    <w:rsid w:val="00A7023F"/>
    <w:rsid w:val="00A70537"/>
    <w:rsid w:val="00A705B0"/>
    <w:rsid w:val="00A710C4"/>
    <w:rsid w:val="00A71241"/>
    <w:rsid w:val="00A71360"/>
    <w:rsid w:val="00A71827"/>
    <w:rsid w:val="00A7218B"/>
    <w:rsid w:val="00A72383"/>
    <w:rsid w:val="00A723E6"/>
    <w:rsid w:val="00A7246B"/>
    <w:rsid w:val="00A72875"/>
    <w:rsid w:val="00A728FD"/>
    <w:rsid w:val="00A729C7"/>
    <w:rsid w:val="00A73518"/>
    <w:rsid w:val="00A73593"/>
    <w:rsid w:val="00A7378C"/>
    <w:rsid w:val="00A73D1C"/>
    <w:rsid w:val="00A73E02"/>
    <w:rsid w:val="00A73F6F"/>
    <w:rsid w:val="00A74076"/>
    <w:rsid w:val="00A747F7"/>
    <w:rsid w:val="00A74869"/>
    <w:rsid w:val="00A7488D"/>
    <w:rsid w:val="00A74C90"/>
    <w:rsid w:val="00A74CCF"/>
    <w:rsid w:val="00A752DC"/>
    <w:rsid w:val="00A753A1"/>
    <w:rsid w:val="00A7546B"/>
    <w:rsid w:val="00A757A6"/>
    <w:rsid w:val="00A759FD"/>
    <w:rsid w:val="00A75DC3"/>
    <w:rsid w:val="00A75E54"/>
    <w:rsid w:val="00A75F5E"/>
    <w:rsid w:val="00A760DA"/>
    <w:rsid w:val="00A762DB"/>
    <w:rsid w:val="00A76806"/>
    <w:rsid w:val="00A76878"/>
    <w:rsid w:val="00A76907"/>
    <w:rsid w:val="00A76969"/>
    <w:rsid w:val="00A76A58"/>
    <w:rsid w:val="00A76CDC"/>
    <w:rsid w:val="00A76FC0"/>
    <w:rsid w:val="00A773F9"/>
    <w:rsid w:val="00A77B73"/>
    <w:rsid w:val="00A77B93"/>
    <w:rsid w:val="00A77D26"/>
    <w:rsid w:val="00A77D49"/>
    <w:rsid w:val="00A77E32"/>
    <w:rsid w:val="00A8018F"/>
    <w:rsid w:val="00A80388"/>
    <w:rsid w:val="00A806F6"/>
    <w:rsid w:val="00A809A3"/>
    <w:rsid w:val="00A80A65"/>
    <w:rsid w:val="00A80BEE"/>
    <w:rsid w:val="00A80D59"/>
    <w:rsid w:val="00A810BA"/>
    <w:rsid w:val="00A812F5"/>
    <w:rsid w:val="00A81552"/>
    <w:rsid w:val="00A815C8"/>
    <w:rsid w:val="00A8165B"/>
    <w:rsid w:val="00A8175E"/>
    <w:rsid w:val="00A818D3"/>
    <w:rsid w:val="00A81913"/>
    <w:rsid w:val="00A81A5F"/>
    <w:rsid w:val="00A81AA4"/>
    <w:rsid w:val="00A81EE4"/>
    <w:rsid w:val="00A81F31"/>
    <w:rsid w:val="00A8206E"/>
    <w:rsid w:val="00A827BF"/>
    <w:rsid w:val="00A82A38"/>
    <w:rsid w:val="00A82F34"/>
    <w:rsid w:val="00A83828"/>
    <w:rsid w:val="00A83A38"/>
    <w:rsid w:val="00A83E9C"/>
    <w:rsid w:val="00A841C7"/>
    <w:rsid w:val="00A84204"/>
    <w:rsid w:val="00A84251"/>
    <w:rsid w:val="00A844FE"/>
    <w:rsid w:val="00A84508"/>
    <w:rsid w:val="00A84A96"/>
    <w:rsid w:val="00A850A4"/>
    <w:rsid w:val="00A854E0"/>
    <w:rsid w:val="00A85723"/>
    <w:rsid w:val="00A85744"/>
    <w:rsid w:val="00A858D3"/>
    <w:rsid w:val="00A85968"/>
    <w:rsid w:val="00A859C2"/>
    <w:rsid w:val="00A85B10"/>
    <w:rsid w:val="00A85B25"/>
    <w:rsid w:val="00A85D64"/>
    <w:rsid w:val="00A85D92"/>
    <w:rsid w:val="00A86093"/>
    <w:rsid w:val="00A8611D"/>
    <w:rsid w:val="00A863B6"/>
    <w:rsid w:val="00A864D8"/>
    <w:rsid w:val="00A86706"/>
    <w:rsid w:val="00A868E5"/>
    <w:rsid w:val="00A86A51"/>
    <w:rsid w:val="00A86B0D"/>
    <w:rsid w:val="00A86B92"/>
    <w:rsid w:val="00A86BE2"/>
    <w:rsid w:val="00A86E8F"/>
    <w:rsid w:val="00A8737B"/>
    <w:rsid w:val="00A8749F"/>
    <w:rsid w:val="00A8768E"/>
    <w:rsid w:val="00A876EA"/>
    <w:rsid w:val="00A877DD"/>
    <w:rsid w:val="00A87806"/>
    <w:rsid w:val="00A878BF"/>
    <w:rsid w:val="00A87BFC"/>
    <w:rsid w:val="00A87C47"/>
    <w:rsid w:val="00A87DE5"/>
    <w:rsid w:val="00A900FF"/>
    <w:rsid w:val="00A90364"/>
    <w:rsid w:val="00A903A4"/>
    <w:rsid w:val="00A90744"/>
    <w:rsid w:val="00A90795"/>
    <w:rsid w:val="00A90ACD"/>
    <w:rsid w:val="00A90DAE"/>
    <w:rsid w:val="00A912F6"/>
    <w:rsid w:val="00A913AF"/>
    <w:rsid w:val="00A916DE"/>
    <w:rsid w:val="00A9177A"/>
    <w:rsid w:val="00A91980"/>
    <w:rsid w:val="00A91B54"/>
    <w:rsid w:val="00A9217B"/>
    <w:rsid w:val="00A924AD"/>
    <w:rsid w:val="00A9251E"/>
    <w:rsid w:val="00A92577"/>
    <w:rsid w:val="00A92621"/>
    <w:rsid w:val="00A92623"/>
    <w:rsid w:val="00A92688"/>
    <w:rsid w:val="00A926D2"/>
    <w:rsid w:val="00A92798"/>
    <w:rsid w:val="00A92845"/>
    <w:rsid w:val="00A92D8F"/>
    <w:rsid w:val="00A932D9"/>
    <w:rsid w:val="00A93417"/>
    <w:rsid w:val="00A9364D"/>
    <w:rsid w:val="00A93674"/>
    <w:rsid w:val="00A93A27"/>
    <w:rsid w:val="00A93DCA"/>
    <w:rsid w:val="00A94177"/>
    <w:rsid w:val="00A941BF"/>
    <w:rsid w:val="00A942D9"/>
    <w:rsid w:val="00A9441F"/>
    <w:rsid w:val="00A94AAE"/>
    <w:rsid w:val="00A94CA4"/>
    <w:rsid w:val="00A94CC9"/>
    <w:rsid w:val="00A9505D"/>
    <w:rsid w:val="00A9544A"/>
    <w:rsid w:val="00A954AC"/>
    <w:rsid w:val="00A954F8"/>
    <w:rsid w:val="00A955E1"/>
    <w:rsid w:val="00A95B95"/>
    <w:rsid w:val="00A95F69"/>
    <w:rsid w:val="00A96449"/>
    <w:rsid w:val="00A96776"/>
    <w:rsid w:val="00A96A19"/>
    <w:rsid w:val="00A96A35"/>
    <w:rsid w:val="00A96CFC"/>
    <w:rsid w:val="00A9708D"/>
    <w:rsid w:val="00A97A7E"/>
    <w:rsid w:val="00A97BB2"/>
    <w:rsid w:val="00A97BD7"/>
    <w:rsid w:val="00A97BF4"/>
    <w:rsid w:val="00AA0011"/>
    <w:rsid w:val="00AA0846"/>
    <w:rsid w:val="00AA0C6B"/>
    <w:rsid w:val="00AA0C91"/>
    <w:rsid w:val="00AA0D63"/>
    <w:rsid w:val="00AA12DA"/>
    <w:rsid w:val="00AA1391"/>
    <w:rsid w:val="00AA14A4"/>
    <w:rsid w:val="00AA1698"/>
    <w:rsid w:val="00AA169A"/>
    <w:rsid w:val="00AA1C2C"/>
    <w:rsid w:val="00AA2080"/>
    <w:rsid w:val="00AA2102"/>
    <w:rsid w:val="00AA223F"/>
    <w:rsid w:val="00AA2260"/>
    <w:rsid w:val="00AA2439"/>
    <w:rsid w:val="00AA2495"/>
    <w:rsid w:val="00AA2B40"/>
    <w:rsid w:val="00AA2C57"/>
    <w:rsid w:val="00AA2F8E"/>
    <w:rsid w:val="00AA3388"/>
    <w:rsid w:val="00AA3523"/>
    <w:rsid w:val="00AA354B"/>
    <w:rsid w:val="00AA3564"/>
    <w:rsid w:val="00AA380F"/>
    <w:rsid w:val="00AA3915"/>
    <w:rsid w:val="00AA42CF"/>
    <w:rsid w:val="00AA4325"/>
    <w:rsid w:val="00AA4816"/>
    <w:rsid w:val="00AA48C7"/>
    <w:rsid w:val="00AA497A"/>
    <w:rsid w:val="00AA5835"/>
    <w:rsid w:val="00AA5BF6"/>
    <w:rsid w:val="00AA5F2A"/>
    <w:rsid w:val="00AA607C"/>
    <w:rsid w:val="00AA6E56"/>
    <w:rsid w:val="00AA7075"/>
    <w:rsid w:val="00AA73EA"/>
    <w:rsid w:val="00AA7496"/>
    <w:rsid w:val="00AA7998"/>
    <w:rsid w:val="00AA7A5A"/>
    <w:rsid w:val="00AA7DC0"/>
    <w:rsid w:val="00AA7EFA"/>
    <w:rsid w:val="00AA7F34"/>
    <w:rsid w:val="00AB013D"/>
    <w:rsid w:val="00AB03DF"/>
    <w:rsid w:val="00AB0771"/>
    <w:rsid w:val="00AB0825"/>
    <w:rsid w:val="00AB0932"/>
    <w:rsid w:val="00AB0D04"/>
    <w:rsid w:val="00AB0F28"/>
    <w:rsid w:val="00AB0FA4"/>
    <w:rsid w:val="00AB121F"/>
    <w:rsid w:val="00AB12C6"/>
    <w:rsid w:val="00AB177B"/>
    <w:rsid w:val="00AB1905"/>
    <w:rsid w:val="00AB241F"/>
    <w:rsid w:val="00AB2701"/>
    <w:rsid w:val="00AB2791"/>
    <w:rsid w:val="00AB2AC8"/>
    <w:rsid w:val="00AB2C46"/>
    <w:rsid w:val="00AB2FBF"/>
    <w:rsid w:val="00AB32DD"/>
    <w:rsid w:val="00AB3370"/>
    <w:rsid w:val="00AB3518"/>
    <w:rsid w:val="00AB3AEA"/>
    <w:rsid w:val="00AB3CB9"/>
    <w:rsid w:val="00AB3CF1"/>
    <w:rsid w:val="00AB3E9B"/>
    <w:rsid w:val="00AB437F"/>
    <w:rsid w:val="00AB4760"/>
    <w:rsid w:val="00AB4B32"/>
    <w:rsid w:val="00AB4DEA"/>
    <w:rsid w:val="00AB504A"/>
    <w:rsid w:val="00AB50B1"/>
    <w:rsid w:val="00AB5517"/>
    <w:rsid w:val="00AB561A"/>
    <w:rsid w:val="00AB563E"/>
    <w:rsid w:val="00AB5649"/>
    <w:rsid w:val="00AB5685"/>
    <w:rsid w:val="00AB5D74"/>
    <w:rsid w:val="00AB5D97"/>
    <w:rsid w:val="00AB5E2A"/>
    <w:rsid w:val="00AB63BA"/>
    <w:rsid w:val="00AB6495"/>
    <w:rsid w:val="00AB67C4"/>
    <w:rsid w:val="00AB6A91"/>
    <w:rsid w:val="00AB6D01"/>
    <w:rsid w:val="00AB6DA9"/>
    <w:rsid w:val="00AB6EC4"/>
    <w:rsid w:val="00AB7066"/>
    <w:rsid w:val="00AB70FA"/>
    <w:rsid w:val="00AB7498"/>
    <w:rsid w:val="00AB768A"/>
    <w:rsid w:val="00AB76DF"/>
    <w:rsid w:val="00AB7A0A"/>
    <w:rsid w:val="00AB7E6C"/>
    <w:rsid w:val="00AC059E"/>
    <w:rsid w:val="00AC05B6"/>
    <w:rsid w:val="00AC0626"/>
    <w:rsid w:val="00AC0AA3"/>
    <w:rsid w:val="00AC0F21"/>
    <w:rsid w:val="00AC0FF8"/>
    <w:rsid w:val="00AC1391"/>
    <w:rsid w:val="00AC14BB"/>
    <w:rsid w:val="00AC150A"/>
    <w:rsid w:val="00AC15F0"/>
    <w:rsid w:val="00AC1664"/>
    <w:rsid w:val="00AC1832"/>
    <w:rsid w:val="00AC18EC"/>
    <w:rsid w:val="00AC1AA0"/>
    <w:rsid w:val="00AC1AEA"/>
    <w:rsid w:val="00AC1BCE"/>
    <w:rsid w:val="00AC1E05"/>
    <w:rsid w:val="00AC2038"/>
    <w:rsid w:val="00AC20B4"/>
    <w:rsid w:val="00AC216C"/>
    <w:rsid w:val="00AC223B"/>
    <w:rsid w:val="00AC2325"/>
    <w:rsid w:val="00AC233D"/>
    <w:rsid w:val="00AC264F"/>
    <w:rsid w:val="00AC2B82"/>
    <w:rsid w:val="00AC31DC"/>
    <w:rsid w:val="00AC3248"/>
    <w:rsid w:val="00AC333E"/>
    <w:rsid w:val="00AC3816"/>
    <w:rsid w:val="00AC3817"/>
    <w:rsid w:val="00AC38CD"/>
    <w:rsid w:val="00AC440D"/>
    <w:rsid w:val="00AC4718"/>
    <w:rsid w:val="00AC4988"/>
    <w:rsid w:val="00AC4B74"/>
    <w:rsid w:val="00AC4C40"/>
    <w:rsid w:val="00AC5165"/>
    <w:rsid w:val="00AC5167"/>
    <w:rsid w:val="00AC5172"/>
    <w:rsid w:val="00AC5179"/>
    <w:rsid w:val="00AC5317"/>
    <w:rsid w:val="00AC585C"/>
    <w:rsid w:val="00AC5905"/>
    <w:rsid w:val="00AC59AB"/>
    <w:rsid w:val="00AC59DB"/>
    <w:rsid w:val="00AC5BD7"/>
    <w:rsid w:val="00AC5CD7"/>
    <w:rsid w:val="00AC5D1A"/>
    <w:rsid w:val="00AC5DA9"/>
    <w:rsid w:val="00AC5E03"/>
    <w:rsid w:val="00AC66A9"/>
    <w:rsid w:val="00AC6703"/>
    <w:rsid w:val="00AC677F"/>
    <w:rsid w:val="00AC689D"/>
    <w:rsid w:val="00AC696E"/>
    <w:rsid w:val="00AC6B1C"/>
    <w:rsid w:val="00AC7017"/>
    <w:rsid w:val="00AC70ED"/>
    <w:rsid w:val="00AC7367"/>
    <w:rsid w:val="00AC73F3"/>
    <w:rsid w:val="00AC7570"/>
    <w:rsid w:val="00AC757E"/>
    <w:rsid w:val="00AC759C"/>
    <w:rsid w:val="00AC76AB"/>
    <w:rsid w:val="00AC76DF"/>
    <w:rsid w:val="00AC7782"/>
    <w:rsid w:val="00AC788D"/>
    <w:rsid w:val="00AC7B9A"/>
    <w:rsid w:val="00AC7D66"/>
    <w:rsid w:val="00AC7E68"/>
    <w:rsid w:val="00AD0902"/>
    <w:rsid w:val="00AD0BD1"/>
    <w:rsid w:val="00AD0C4B"/>
    <w:rsid w:val="00AD0F41"/>
    <w:rsid w:val="00AD1144"/>
    <w:rsid w:val="00AD1A4B"/>
    <w:rsid w:val="00AD1C76"/>
    <w:rsid w:val="00AD1CBC"/>
    <w:rsid w:val="00AD1DC8"/>
    <w:rsid w:val="00AD1EE5"/>
    <w:rsid w:val="00AD21BA"/>
    <w:rsid w:val="00AD2486"/>
    <w:rsid w:val="00AD2C54"/>
    <w:rsid w:val="00AD2CE2"/>
    <w:rsid w:val="00AD2E01"/>
    <w:rsid w:val="00AD2FA2"/>
    <w:rsid w:val="00AD3807"/>
    <w:rsid w:val="00AD3873"/>
    <w:rsid w:val="00AD43C9"/>
    <w:rsid w:val="00AD43DC"/>
    <w:rsid w:val="00AD452C"/>
    <w:rsid w:val="00AD454D"/>
    <w:rsid w:val="00AD4BA0"/>
    <w:rsid w:val="00AD4D16"/>
    <w:rsid w:val="00AD4E08"/>
    <w:rsid w:val="00AD5070"/>
    <w:rsid w:val="00AD519B"/>
    <w:rsid w:val="00AD522B"/>
    <w:rsid w:val="00AD54CD"/>
    <w:rsid w:val="00AD5563"/>
    <w:rsid w:val="00AD59FD"/>
    <w:rsid w:val="00AD5CB6"/>
    <w:rsid w:val="00AD5DDA"/>
    <w:rsid w:val="00AD5F5B"/>
    <w:rsid w:val="00AD6408"/>
    <w:rsid w:val="00AD650B"/>
    <w:rsid w:val="00AD6E69"/>
    <w:rsid w:val="00AD6FFF"/>
    <w:rsid w:val="00AD7860"/>
    <w:rsid w:val="00AD790E"/>
    <w:rsid w:val="00AD799F"/>
    <w:rsid w:val="00AD7A39"/>
    <w:rsid w:val="00AD7B63"/>
    <w:rsid w:val="00AE03FF"/>
    <w:rsid w:val="00AE0420"/>
    <w:rsid w:val="00AE04C7"/>
    <w:rsid w:val="00AE06C6"/>
    <w:rsid w:val="00AE0954"/>
    <w:rsid w:val="00AE0F60"/>
    <w:rsid w:val="00AE16E0"/>
    <w:rsid w:val="00AE16F1"/>
    <w:rsid w:val="00AE17E9"/>
    <w:rsid w:val="00AE1833"/>
    <w:rsid w:val="00AE19FF"/>
    <w:rsid w:val="00AE1BCC"/>
    <w:rsid w:val="00AE1C97"/>
    <w:rsid w:val="00AE1E28"/>
    <w:rsid w:val="00AE1E5C"/>
    <w:rsid w:val="00AE1ED5"/>
    <w:rsid w:val="00AE1F01"/>
    <w:rsid w:val="00AE1F8B"/>
    <w:rsid w:val="00AE2115"/>
    <w:rsid w:val="00AE218A"/>
    <w:rsid w:val="00AE25AE"/>
    <w:rsid w:val="00AE2855"/>
    <w:rsid w:val="00AE2918"/>
    <w:rsid w:val="00AE2B61"/>
    <w:rsid w:val="00AE2CDE"/>
    <w:rsid w:val="00AE2D50"/>
    <w:rsid w:val="00AE2D9E"/>
    <w:rsid w:val="00AE351B"/>
    <w:rsid w:val="00AE3579"/>
    <w:rsid w:val="00AE371D"/>
    <w:rsid w:val="00AE3722"/>
    <w:rsid w:val="00AE3C9F"/>
    <w:rsid w:val="00AE3CFE"/>
    <w:rsid w:val="00AE3F89"/>
    <w:rsid w:val="00AE4247"/>
    <w:rsid w:val="00AE4518"/>
    <w:rsid w:val="00AE4570"/>
    <w:rsid w:val="00AE48A2"/>
    <w:rsid w:val="00AE4AD4"/>
    <w:rsid w:val="00AE5657"/>
    <w:rsid w:val="00AE594C"/>
    <w:rsid w:val="00AE5C07"/>
    <w:rsid w:val="00AE5D3D"/>
    <w:rsid w:val="00AE5F8E"/>
    <w:rsid w:val="00AE6134"/>
    <w:rsid w:val="00AE66B8"/>
    <w:rsid w:val="00AE6E17"/>
    <w:rsid w:val="00AE6ED6"/>
    <w:rsid w:val="00AE7264"/>
    <w:rsid w:val="00AE7328"/>
    <w:rsid w:val="00AE73E4"/>
    <w:rsid w:val="00AE762F"/>
    <w:rsid w:val="00AE7787"/>
    <w:rsid w:val="00AE7836"/>
    <w:rsid w:val="00AE79A6"/>
    <w:rsid w:val="00AE7B97"/>
    <w:rsid w:val="00AE7BDE"/>
    <w:rsid w:val="00AE7EB2"/>
    <w:rsid w:val="00AF00DC"/>
    <w:rsid w:val="00AF01A1"/>
    <w:rsid w:val="00AF02A9"/>
    <w:rsid w:val="00AF0579"/>
    <w:rsid w:val="00AF0795"/>
    <w:rsid w:val="00AF0972"/>
    <w:rsid w:val="00AF0E2D"/>
    <w:rsid w:val="00AF14E6"/>
    <w:rsid w:val="00AF1639"/>
    <w:rsid w:val="00AF1902"/>
    <w:rsid w:val="00AF19A2"/>
    <w:rsid w:val="00AF24C8"/>
    <w:rsid w:val="00AF2851"/>
    <w:rsid w:val="00AF28BA"/>
    <w:rsid w:val="00AF28E9"/>
    <w:rsid w:val="00AF2A02"/>
    <w:rsid w:val="00AF2B49"/>
    <w:rsid w:val="00AF2C40"/>
    <w:rsid w:val="00AF2C4E"/>
    <w:rsid w:val="00AF2F2A"/>
    <w:rsid w:val="00AF30A0"/>
    <w:rsid w:val="00AF313A"/>
    <w:rsid w:val="00AF3156"/>
    <w:rsid w:val="00AF31D8"/>
    <w:rsid w:val="00AF320B"/>
    <w:rsid w:val="00AF38F9"/>
    <w:rsid w:val="00AF3CBA"/>
    <w:rsid w:val="00AF3E14"/>
    <w:rsid w:val="00AF3E25"/>
    <w:rsid w:val="00AF41D3"/>
    <w:rsid w:val="00AF4262"/>
    <w:rsid w:val="00AF42D3"/>
    <w:rsid w:val="00AF4E62"/>
    <w:rsid w:val="00AF4F68"/>
    <w:rsid w:val="00AF4F79"/>
    <w:rsid w:val="00AF4FB5"/>
    <w:rsid w:val="00AF5623"/>
    <w:rsid w:val="00AF58E3"/>
    <w:rsid w:val="00AF5A71"/>
    <w:rsid w:val="00AF5D49"/>
    <w:rsid w:val="00AF5DD4"/>
    <w:rsid w:val="00AF5E04"/>
    <w:rsid w:val="00AF6056"/>
    <w:rsid w:val="00AF608C"/>
    <w:rsid w:val="00AF62C7"/>
    <w:rsid w:val="00AF6410"/>
    <w:rsid w:val="00AF68A8"/>
    <w:rsid w:val="00AF694E"/>
    <w:rsid w:val="00AF6994"/>
    <w:rsid w:val="00AF6AD9"/>
    <w:rsid w:val="00AF6B18"/>
    <w:rsid w:val="00AF6C45"/>
    <w:rsid w:val="00AF6C5D"/>
    <w:rsid w:val="00AF6D0C"/>
    <w:rsid w:val="00AF6E83"/>
    <w:rsid w:val="00AF6FD9"/>
    <w:rsid w:val="00AF709E"/>
    <w:rsid w:val="00AF765B"/>
    <w:rsid w:val="00AF7FDB"/>
    <w:rsid w:val="00B00070"/>
    <w:rsid w:val="00B004F9"/>
    <w:rsid w:val="00B005F5"/>
    <w:rsid w:val="00B007D9"/>
    <w:rsid w:val="00B0080E"/>
    <w:rsid w:val="00B00A27"/>
    <w:rsid w:val="00B00B81"/>
    <w:rsid w:val="00B00C09"/>
    <w:rsid w:val="00B00CE2"/>
    <w:rsid w:val="00B00E44"/>
    <w:rsid w:val="00B01917"/>
    <w:rsid w:val="00B0195A"/>
    <w:rsid w:val="00B0198B"/>
    <w:rsid w:val="00B01D9B"/>
    <w:rsid w:val="00B01DD1"/>
    <w:rsid w:val="00B0203C"/>
    <w:rsid w:val="00B025ED"/>
    <w:rsid w:val="00B026BF"/>
    <w:rsid w:val="00B02A30"/>
    <w:rsid w:val="00B02ED7"/>
    <w:rsid w:val="00B03083"/>
    <w:rsid w:val="00B03499"/>
    <w:rsid w:val="00B034DD"/>
    <w:rsid w:val="00B03B0F"/>
    <w:rsid w:val="00B03E8C"/>
    <w:rsid w:val="00B04223"/>
    <w:rsid w:val="00B0438D"/>
    <w:rsid w:val="00B044E1"/>
    <w:rsid w:val="00B04CCC"/>
    <w:rsid w:val="00B04F2A"/>
    <w:rsid w:val="00B05163"/>
    <w:rsid w:val="00B052AB"/>
    <w:rsid w:val="00B052D4"/>
    <w:rsid w:val="00B0544D"/>
    <w:rsid w:val="00B054E2"/>
    <w:rsid w:val="00B055D9"/>
    <w:rsid w:val="00B057F0"/>
    <w:rsid w:val="00B059B2"/>
    <w:rsid w:val="00B05AEE"/>
    <w:rsid w:val="00B05B70"/>
    <w:rsid w:val="00B05C4E"/>
    <w:rsid w:val="00B05CE9"/>
    <w:rsid w:val="00B05D21"/>
    <w:rsid w:val="00B064D8"/>
    <w:rsid w:val="00B06524"/>
    <w:rsid w:val="00B0656C"/>
    <w:rsid w:val="00B06A58"/>
    <w:rsid w:val="00B06A67"/>
    <w:rsid w:val="00B06AE5"/>
    <w:rsid w:val="00B071BA"/>
    <w:rsid w:val="00B07366"/>
    <w:rsid w:val="00B07382"/>
    <w:rsid w:val="00B07492"/>
    <w:rsid w:val="00B077B7"/>
    <w:rsid w:val="00B07D10"/>
    <w:rsid w:val="00B07F55"/>
    <w:rsid w:val="00B107AB"/>
    <w:rsid w:val="00B10997"/>
    <w:rsid w:val="00B10C30"/>
    <w:rsid w:val="00B10C52"/>
    <w:rsid w:val="00B10D99"/>
    <w:rsid w:val="00B1121D"/>
    <w:rsid w:val="00B1135B"/>
    <w:rsid w:val="00B113A7"/>
    <w:rsid w:val="00B113C0"/>
    <w:rsid w:val="00B11404"/>
    <w:rsid w:val="00B114EA"/>
    <w:rsid w:val="00B116D9"/>
    <w:rsid w:val="00B11DF5"/>
    <w:rsid w:val="00B11F6D"/>
    <w:rsid w:val="00B120F4"/>
    <w:rsid w:val="00B1236F"/>
    <w:rsid w:val="00B12607"/>
    <w:rsid w:val="00B12660"/>
    <w:rsid w:val="00B126C1"/>
    <w:rsid w:val="00B128CF"/>
    <w:rsid w:val="00B1291D"/>
    <w:rsid w:val="00B12994"/>
    <w:rsid w:val="00B12BB0"/>
    <w:rsid w:val="00B12DA5"/>
    <w:rsid w:val="00B12DB6"/>
    <w:rsid w:val="00B12E2F"/>
    <w:rsid w:val="00B12E8C"/>
    <w:rsid w:val="00B13366"/>
    <w:rsid w:val="00B135BC"/>
    <w:rsid w:val="00B13828"/>
    <w:rsid w:val="00B13A30"/>
    <w:rsid w:val="00B13A64"/>
    <w:rsid w:val="00B13B9A"/>
    <w:rsid w:val="00B13CE5"/>
    <w:rsid w:val="00B13D6E"/>
    <w:rsid w:val="00B13DBD"/>
    <w:rsid w:val="00B13DCC"/>
    <w:rsid w:val="00B13F10"/>
    <w:rsid w:val="00B14079"/>
    <w:rsid w:val="00B140C1"/>
    <w:rsid w:val="00B1439C"/>
    <w:rsid w:val="00B145D1"/>
    <w:rsid w:val="00B148A1"/>
    <w:rsid w:val="00B14C63"/>
    <w:rsid w:val="00B14DD5"/>
    <w:rsid w:val="00B15299"/>
    <w:rsid w:val="00B1538D"/>
    <w:rsid w:val="00B155F0"/>
    <w:rsid w:val="00B1575B"/>
    <w:rsid w:val="00B157DC"/>
    <w:rsid w:val="00B159BE"/>
    <w:rsid w:val="00B15C73"/>
    <w:rsid w:val="00B16222"/>
    <w:rsid w:val="00B1683A"/>
    <w:rsid w:val="00B16869"/>
    <w:rsid w:val="00B169F9"/>
    <w:rsid w:val="00B1760F"/>
    <w:rsid w:val="00B178D2"/>
    <w:rsid w:val="00B179EC"/>
    <w:rsid w:val="00B17A04"/>
    <w:rsid w:val="00B17B8D"/>
    <w:rsid w:val="00B17CC2"/>
    <w:rsid w:val="00B20124"/>
    <w:rsid w:val="00B20142"/>
    <w:rsid w:val="00B20929"/>
    <w:rsid w:val="00B20A75"/>
    <w:rsid w:val="00B2116F"/>
    <w:rsid w:val="00B2133A"/>
    <w:rsid w:val="00B213B2"/>
    <w:rsid w:val="00B21445"/>
    <w:rsid w:val="00B21C1C"/>
    <w:rsid w:val="00B229EC"/>
    <w:rsid w:val="00B22AA7"/>
    <w:rsid w:val="00B22BA2"/>
    <w:rsid w:val="00B2349B"/>
    <w:rsid w:val="00B2356E"/>
    <w:rsid w:val="00B2365D"/>
    <w:rsid w:val="00B2387F"/>
    <w:rsid w:val="00B23AB6"/>
    <w:rsid w:val="00B23FA5"/>
    <w:rsid w:val="00B23FF0"/>
    <w:rsid w:val="00B240C0"/>
    <w:rsid w:val="00B241C4"/>
    <w:rsid w:val="00B24A70"/>
    <w:rsid w:val="00B24D3B"/>
    <w:rsid w:val="00B255A0"/>
    <w:rsid w:val="00B255C3"/>
    <w:rsid w:val="00B2560C"/>
    <w:rsid w:val="00B25708"/>
    <w:rsid w:val="00B257B7"/>
    <w:rsid w:val="00B2590B"/>
    <w:rsid w:val="00B25B7D"/>
    <w:rsid w:val="00B25DE4"/>
    <w:rsid w:val="00B26046"/>
    <w:rsid w:val="00B2605F"/>
    <w:rsid w:val="00B2606E"/>
    <w:rsid w:val="00B2619A"/>
    <w:rsid w:val="00B261A1"/>
    <w:rsid w:val="00B26516"/>
    <w:rsid w:val="00B267E6"/>
    <w:rsid w:val="00B26B8F"/>
    <w:rsid w:val="00B26C41"/>
    <w:rsid w:val="00B27084"/>
    <w:rsid w:val="00B2727D"/>
    <w:rsid w:val="00B2732A"/>
    <w:rsid w:val="00B27420"/>
    <w:rsid w:val="00B27484"/>
    <w:rsid w:val="00B27578"/>
    <w:rsid w:val="00B27609"/>
    <w:rsid w:val="00B278D4"/>
    <w:rsid w:val="00B27A9C"/>
    <w:rsid w:val="00B27B11"/>
    <w:rsid w:val="00B27C1D"/>
    <w:rsid w:val="00B27FC1"/>
    <w:rsid w:val="00B301B8"/>
    <w:rsid w:val="00B30371"/>
    <w:rsid w:val="00B3049C"/>
    <w:rsid w:val="00B304A3"/>
    <w:rsid w:val="00B304B1"/>
    <w:rsid w:val="00B308B8"/>
    <w:rsid w:val="00B30AAA"/>
    <w:rsid w:val="00B30C2E"/>
    <w:rsid w:val="00B30DD1"/>
    <w:rsid w:val="00B3108D"/>
    <w:rsid w:val="00B3113E"/>
    <w:rsid w:val="00B31362"/>
    <w:rsid w:val="00B314F3"/>
    <w:rsid w:val="00B316ED"/>
    <w:rsid w:val="00B3197B"/>
    <w:rsid w:val="00B319A8"/>
    <w:rsid w:val="00B31AF6"/>
    <w:rsid w:val="00B31E5F"/>
    <w:rsid w:val="00B32193"/>
    <w:rsid w:val="00B322E3"/>
    <w:rsid w:val="00B323B2"/>
    <w:rsid w:val="00B3246C"/>
    <w:rsid w:val="00B32514"/>
    <w:rsid w:val="00B32A24"/>
    <w:rsid w:val="00B32F9C"/>
    <w:rsid w:val="00B33315"/>
    <w:rsid w:val="00B339DC"/>
    <w:rsid w:val="00B33BD5"/>
    <w:rsid w:val="00B33E5C"/>
    <w:rsid w:val="00B3417D"/>
    <w:rsid w:val="00B341F1"/>
    <w:rsid w:val="00B344B4"/>
    <w:rsid w:val="00B344DF"/>
    <w:rsid w:val="00B3499F"/>
    <w:rsid w:val="00B34B17"/>
    <w:rsid w:val="00B34DA9"/>
    <w:rsid w:val="00B3503B"/>
    <w:rsid w:val="00B3519F"/>
    <w:rsid w:val="00B35611"/>
    <w:rsid w:val="00B35A6F"/>
    <w:rsid w:val="00B36094"/>
    <w:rsid w:val="00B36117"/>
    <w:rsid w:val="00B36122"/>
    <w:rsid w:val="00B36577"/>
    <w:rsid w:val="00B365BE"/>
    <w:rsid w:val="00B36674"/>
    <w:rsid w:val="00B36A4D"/>
    <w:rsid w:val="00B36A89"/>
    <w:rsid w:val="00B36BA3"/>
    <w:rsid w:val="00B36FE3"/>
    <w:rsid w:val="00B370E3"/>
    <w:rsid w:val="00B372DD"/>
    <w:rsid w:val="00B3749C"/>
    <w:rsid w:val="00B37799"/>
    <w:rsid w:val="00B379CB"/>
    <w:rsid w:val="00B37A2D"/>
    <w:rsid w:val="00B37BFD"/>
    <w:rsid w:val="00B37C6E"/>
    <w:rsid w:val="00B37CE8"/>
    <w:rsid w:val="00B37D73"/>
    <w:rsid w:val="00B40181"/>
    <w:rsid w:val="00B4047B"/>
    <w:rsid w:val="00B404BE"/>
    <w:rsid w:val="00B40BA9"/>
    <w:rsid w:val="00B40C48"/>
    <w:rsid w:val="00B40CA6"/>
    <w:rsid w:val="00B40D72"/>
    <w:rsid w:val="00B40E7A"/>
    <w:rsid w:val="00B40E98"/>
    <w:rsid w:val="00B40F3A"/>
    <w:rsid w:val="00B4100A"/>
    <w:rsid w:val="00B410BB"/>
    <w:rsid w:val="00B41256"/>
    <w:rsid w:val="00B413A3"/>
    <w:rsid w:val="00B415B2"/>
    <w:rsid w:val="00B418BD"/>
    <w:rsid w:val="00B419B0"/>
    <w:rsid w:val="00B419CF"/>
    <w:rsid w:val="00B41BA0"/>
    <w:rsid w:val="00B41BC9"/>
    <w:rsid w:val="00B41C81"/>
    <w:rsid w:val="00B422BC"/>
    <w:rsid w:val="00B4230F"/>
    <w:rsid w:val="00B42710"/>
    <w:rsid w:val="00B42897"/>
    <w:rsid w:val="00B4293A"/>
    <w:rsid w:val="00B42A7F"/>
    <w:rsid w:val="00B42C00"/>
    <w:rsid w:val="00B42C5B"/>
    <w:rsid w:val="00B42D0F"/>
    <w:rsid w:val="00B43270"/>
    <w:rsid w:val="00B43592"/>
    <w:rsid w:val="00B43756"/>
    <w:rsid w:val="00B4383A"/>
    <w:rsid w:val="00B43C74"/>
    <w:rsid w:val="00B43E2B"/>
    <w:rsid w:val="00B43E87"/>
    <w:rsid w:val="00B440E0"/>
    <w:rsid w:val="00B442F9"/>
    <w:rsid w:val="00B4465B"/>
    <w:rsid w:val="00B44968"/>
    <w:rsid w:val="00B44DAE"/>
    <w:rsid w:val="00B44EC8"/>
    <w:rsid w:val="00B4506A"/>
    <w:rsid w:val="00B45374"/>
    <w:rsid w:val="00B453EF"/>
    <w:rsid w:val="00B454E3"/>
    <w:rsid w:val="00B45840"/>
    <w:rsid w:val="00B45981"/>
    <w:rsid w:val="00B45A2D"/>
    <w:rsid w:val="00B45C56"/>
    <w:rsid w:val="00B46169"/>
    <w:rsid w:val="00B465B2"/>
    <w:rsid w:val="00B465E6"/>
    <w:rsid w:val="00B466CF"/>
    <w:rsid w:val="00B46740"/>
    <w:rsid w:val="00B4692E"/>
    <w:rsid w:val="00B46EC2"/>
    <w:rsid w:val="00B46F61"/>
    <w:rsid w:val="00B472F4"/>
    <w:rsid w:val="00B47301"/>
    <w:rsid w:val="00B47603"/>
    <w:rsid w:val="00B47673"/>
    <w:rsid w:val="00B47686"/>
    <w:rsid w:val="00B47746"/>
    <w:rsid w:val="00B47F37"/>
    <w:rsid w:val="00B502B6"/>
    <w:rsid w:val="00B505F1"/>
    <w:rsid w:val="00B50744"/>
    <w:rsid w:val="00B50751"/>
    <w:rsid w:val="00B50C36"/>
    <w:rsid w:val="00B50C50"/>
    <w:rsid w:val="00B50FDB"/>
    <w:rsid w:val="00B51395"/>
    <w:rsid w:val="00B51915"/>
    <w:rsid w:val="00B51B3D"/>
    <w:rsid w:val="00B529D4"/>
    <w:rsid w:val="00B52A36"/>
    <w:rsid w:val="00B52B70"/>
    <w:rsid w:val="00B52D34"/>
    <w:rsid w:val="00B5306A"/>
    <w:rsid w:val="00B530A5"/>
    <w:rsid w:val="00B533CA"/>
    <w:rsid w:val="00B534AC"/>
    <w:rsid w:val="00B5355D"/>
    <w:rsid w:val="00B53873"/>
    <w:rsid w:val="00B54192"/>
    <w:rsid w:val="00B5463E"/>
    <w:rsid w:val="00B54D3B"/>
    <w:rsid w:val="00B54F56"/>
    <w:rsid w:val="00B5521F"/>
    <w:rsid w:val="00B555FB"/>
    <w:rsid w:val="00B556D4"/>
    <w:rsid w:val="00B556FB"/>
    <w:rsid w:val="00B55C63"/>
    <w:rsid w:val="00B55E4E"/>
    <w:rsid w:val="00B55E58"/>
    <w:rsid w:val="00B561D0"/>
    <w:rsid w:val="00B56226"/>
    <w:rsid w:val="00B563F6"/>
    <w:rsid w:val="00B56639"/>
    <w:rsid w:val="00B56792"/>
    <w:rsid w:val="00B56C6C"/>
    <w:rsid w:val="00B56F91"/>
    <w:rsid w:val="00B57272"/>
    <w:rsid w:val="00B57508"/>
    <w:rsid w:val="00B575E5"/>
    <w:rsid w:val="00B57866"/>
    <w:rsid w:val="00B578BA"/>
    <w:rsid w:val="00B57B4C"/>
    <w:rsid w:val="00B57D5A"/>
    <w:rsid w:val="00B57D6C"/>
    <w:rsid w:val="00B57D87"/>
    <w:rsid w:val="00B57FB3"/>
    <w:rsid w:val="00B601BE"/>
    <w:rsid w:val="00B60663"/>
    <w:rsid w:val="00B607A6"/>
    <w:rsid w:val="00B60820"/>
    <w:rsid w:val="00B60D5F"/>
    <w:rsid w:val="00B60F88"/>
    <w:rsid w:val="00B61374"/>
    <w:rsid w:val="00B61705"/>
    <w:rsid w:val="00B6186D"/>
    <w:rsid w:val="00B61C3D"/>
    <w:rsid w:val="00B6205A"/>
    <w:rsid w:val="00B62406"/>
    <w:rsid w:val="00B627A1"/>
    <w:rsid w:val="00B62979"/>
    <w:rsid w:val="00B62B64"/>
    <w:rsid w:val="00B62BCA"/>
    <w:rsid w:val="00B62BED"/>
    <w:rsid w:val="00B63AE4"/>
    <w:rsid w:val="00B63BB3"/>
    <w:rsid w:val="00B63D15"/>
    <w:rsid w:val="00B6404B"/>
    <w:rsid w:val="00B6427E"/>
    <w:rsid w:val="00B64735"/>
    <w:rsid w:val="00B64A2D"/>
    <w:rsid w:val="00B64BB8"/>
    <w:rsid w:val="00B65577"/>
    <w:rsid w:val="00B65984"/>
    <w:rsid w:val="00B65BCC"/>
    <w:rsid w:val="00B65F25"/>
    <w:rsid w:val="00B65F58"/>
    <w:rsid w:val="00B6604B"/>
    <w:rsid w:val="00B66075"/>
    <w:rsid w:val="00B661EA"/>
    <w:rsid w:val="00B6663D"/>
    <w:rsid w:val="00B66778"/>
    <w:rsid w:val="00B66AAB"/>
    <w:rsid w:val="00B670DF"/>
    <w:rsid w:val="00B6715D"/>
    <w:rsid w:val="00B671B7"/>
    <w:rsid w:val="00B671DA"/>
    <w:rsid w:val="00B67311"/>
    <w:rsid w:val="00B6744B"/>
    <w:rsid w:val="00B6765E"/>
    <w:rsid w:val="00B679D9"/>
    <w:rsid w:val="00B67A00"/>
    <w:rsid w:val="00B67CD9"/>
    <w:rsid w:val="00B67D17"/>
    <w:rsid w:val="00B70061"/>
    <w:rsid w:val="00B70152"/>
    <w:rsid w:val="00B701AF"/>
    <w:rsid w:val="00B7031D"/>
    <w:rsid w:val="00B70495"/>
    <w:rsid w:val="00B7090E"/>
    <w:rsid w:val="00B709C3"/>
    <w:rsid w:val="00B70A4D"/>
    <w:rsid w:val="00B70AF1"/>
    <w:rsid w:val="00B70B42"/>
    <w:rsid w:val="00B70BA3"/>
    <w:rsid w:val="00B70CB1"/>
    <w:rsid w:val="00B70EDC"/>
    <w:rsid w:val="00B71858"/>
    <w:rsid w:val="00B71C1E"/>
    <w:rsid w:val="00B71EF0"/>
    <w:rsid w:val="00B7220E"/>
    <w:rsid w:val="00B72613"/>
    <w:rsid w:val="00B727F7"/>
    <w:rsid w:val="00B72947"/>
    <w:rsid w:val="00B72C1F"/>
    <w:rsid w:val="00B72EA8"/>
    <w:rsid w:val="00B72F45"/>
    <w:rsid w:val="00B73208"/>
    <w:rsid w:val="00B73300"/>
    <w:rsid w:val="00B733B2"/>
    <w:rsid w:val="00B737E1"/>
    <w:rsid w:val="00B73A87"/>
    <w:rsid w:val="00B73B34"/>
    <w:rsid w:val="00B73BA7"/>
    <w:rsid w:val="00B73BD6"/>
    <w:rsid w:val="00B73E92"/>
    <w:rsid w:val="00B73EB5"/>
    <w:rsid w:val="00B73ECD"/>
    <w:rsid w:val="00B74425"/>
    <w:rsid w:val="00B744E3"/>
    <w:rsid w:val="00B74760"/>
    <w:rsid w:val="00B7492E"/>
    <w:rsid w:val="00B751E3"/>
    <w:rsid w:val="00B7538A"/>
    <w:rsid w:val="00B75555"/>
    <w:rsid w:val="00B75611"/>
    <w:rsid w:val="00B756A1"/>
    <w:rsid w:val="00B757B7"/>
    <w:rsid w:val="00B75810"/>
    <w:rsid w:val="00B75A8E"/>
    <w:rsid w:val="00B75EDA"/>
    <w:rsid w:val="00B768A1"/>
    <w:rsid w:val="00B76926"/>
    <w:rsid w:val="00B76C76"/>
    <w:rsid w:val="00B76D83"/>
    <w:rsid w:val="00B77321"/>
    <w:rsid w:val="00B77495"/>
    <w:rsid w:val="00B77525"/>
    <w:rsid w:val="00B7776D"/>
    <w:rsid w:val="00B77882"/>
    <w:rsid w:val="00B779CF"/>
    <w:rsid w:val="00B77BED"/>
    <w:rsid w:val="00B77C3E"/>
    <w:rsid w:val="00B77D5B"/>
    <w:rsid w:val="00B803D1"/>
    <w:rsid w:val="00B80632"/>
    <w:rsid w:val="00B806C2"/>
    <w:rsid w:val="00B806D9"/>
    <w:rsid w:val="00B80B2D"/>
    <w:rsid w:val="00B80C75"/>
    <w:rsid w:val="00B80C7E"/>
    <w:rsid w:val="00B80F9D"/>
    <w:rsid w:val="00B8110E"/>
    <w:rsid w:val="00B81338"/>
    <w:rsid w:val="00B8142B"/>
    <w:rsid w:val="00B8152B"/>
    <w:rsid w:val="00B8158C"/>
    <w:rsid w:val="00B81C7D"/>
    <w:rsid w:val="00B81D23"/>
    <w:rsid w:val="00B81F52"/>
    <w:rsid w:val="00B8222D"/>
    <w:rsid w:val="00B8229B"/>
    <w:rsid w:val="00B822BE"/>
    <w:rsid w:val="00B8243F"/>
    <w:rsid w:val="00B82731"/>
    <w:rsid w:val="00B82900"/>
    <w:rsid w:val="00B8299A"/>
    <w:rsid w:val="00B82ACC"/>
    <w:rsid w:val="00B83015"/>
    <w:rsid w:val="00B83030"/>
    <w:rsid w:val="00B8311E"/>
    <w:rsid w:val="00B83235"/>
    <w:rsid w:val="00B83286"/>
    <w:rsid w:val="00B83354"/>
    <w:rsid w:val="00B8364D"/>
    <w:rsid w:val="00B83828"/>
    <w:rsid w:val="00B8394B"/>
    <w:rsid w:val="00B840E0"/>
    <w:rsid w:val="00B843F8"/>
    <w:rsid w:val="00B84512"/>
    <w:rsid w:val="00B845BE"/>
    <w:rsid w:val="00B8460B"/>
    <w:rsid w:val="00B84AB0"/>
    <w:rsid w:val="00B84C1D"/>
    <w:rsid w:val="00B84D1E"/>
    <w:rsid w:val="00B84E11"/>
    <w:rsid w:val="00B85025"/>
    <w:rsid w:val="00B8502A"/>
    <w:rsid w:val="00B8505D"/>
    <w:rsid w:val="00B850F7"/>
    <w:rsid w:val="00B8529E"/>
    <w:rsid w:val="00B8558E"/>
    <w:rsid w:val="00B856D3"/>
    <w:rsid w:val="00B85785"/>
    <w:rsid w:val="00B859AC"/>
    <w:rsid w:val="00B85A1F"/>
    <w:rsid w:val="00B85AC9"/>
    <w:rsid w:val="00B85DAD"/>
    <w:rsid w:val="00B85E02"/>
    <w:rsid w:val="00B86032"/>
    <w:rsid w:val="00B860F1"/>
    <w:rsid w:val="00B86378"/>
    <w:rsid w:val="00B868B9"/>
    <w:rsid w:val="00B869BD"/>
    <w:rsid w:val="00B86A4F"/>
    <w:rsid w:val="00B86BB0"/>
    <w:rsid w:val="00B87451"/>
    <w:rsid w:val="00B874FB"/>
    <w:rsid w:val="00B876C5"/>
    <w:rsid w:val="00B877E4"/>
    <w:rsid w:val="00B878AE"/>
    <w:rsid w:val="00B878FE"/>
    <w:rsid w:val="00B87968"/>
    <w:rsid w:val="00B9068C"/>
    <w:rsid w:val="00B9072A"/>
    <w:rsid w:val="00B90752"/>
    <w:rsid w:val="00B90B1C"/>
    <w:rsid w:val="00B90B7D"/>
    <w:rsid w:val="00B90C34"/>
    <w:rsid w:val="00B90C79"/>
    <w:rsid w:val="00B90F72"/>
    <w:rsid w:val="00B90FB6"/>
    <w:rsid w:val="00B91005"/>
    <w:rsid w:val="00B917F0"/>
    <w:rsid w:val="00B917F5"/>
    <w:rsid w:val="00B91894"/>
    <w:rsid w:val="00B918E5"/>
    <w:rsid w:val="00B918F8"/>
    <w:rsid w:val="00B91D19"/>
    <w:rsid w:val="00B920C4"/>
    <w:rsid w:val="00B92245"/>
    <w:rsid w:val="00B923B8"/>
    <w:rsid w:val="00B92508"/>
    <w:rsid w:val="00B926C7"/>
    <w:rsid w:val="00B92839"/>
    <w:rsid w:val="00B92895"/>
    <w:rsid w:val="00B92E1F"/>
    <w:rsid w:val="00B931FA"/>
    <w:rsid w:val="00B932F2"/>
    <w:rsid w:val="00B93822"/>
    <w:rsid w:val="00B939F3"/>
    <w:rsid w:val="00B93C10"/>
    <w:rsid w:val="00B93C58"/>
    <w:rsid w:val="00B93D1B"/>
    <w:rsid w:val="00B93E2A"/>
    <w:rsid w:val="00B93ECE"/>
    <w:rsid w:val="00B93F2A"/>
    <w:rsid w:val="00B93FAB"/>
    <w:rsid w:val="00B94094"/>
    <w:rsid w:val="00B94131"/>
    <w:rsid w:val="00B943D5"/>
    <w:rsid w:val="00B9447F"/>
    <w:rsid w:val="00B94731"/>
    <w:rsid w:val="00B94D31"/>
    <w:rsid w:val="00B94FC4"/>
    <w:rsid w:val="00B950AA"/>
    <w:rsid w:val="00B95401"/>
    <w:rsid w:val="00B95539"/>
    <w:rsid w:val="00B9568B"/>
    <w:rsid w:val="00B9578A"/>
    <w:rsid w:val="00B957F0"/>
    <w:rsid w:val="00B95970"/>
    <w:rsid w:val="00B95B82"/>
    <w:rsid w:val="00B96095"/>
    <w:rsid w:val="00B9614C"/>
    <w:rsid w:val="00B9631B"/>
    <w:rsid w:val="00B9659B"/>
    <w:rsid w:val="00B96678"/>
    <w:rsid w:val="00B96A1E"/>
    <w:rsid w:val="00B96C41"/>
    <w:rsid w:val="00B96D00"/>
    <w:rsid w:val="00B96E3E"/>
    <w:rsid w:val="00B96E45"/>
    <w:rsid w:val="00B97074"/>
    <w:rsid w:val="00B972BB"/>
    <w:rsid w:val="00B9731B"/>
    <w:rsid w:val="00B973CD"/>
    <w:rsid w:val="00B97806"/>
    <w:rsid w:val="00B97F73"/>
    <w:rsid w:val="00BA02EE"/>
    <w:rsid w:val="00BA0401"/>
    <w:rsid w:val="00BA045F"/>
    <w:rsid w:val="00BA05F0"/>
    <w:rsid w:val="00BA0734"/>
    <w:rsid w:val="00BA0736"/>
    <w:rsid w:val="00BA0B0C"/>
    <w:rsid w:val="00BA0B42"/>
    <w:rsid w:val="00BA0F78"/>
    <w:rsid w:val="00BA1140"/>
    <w:rsid w:val="00BA12F2"/>
    <w:rsid w:val="00BA135D"/>
    <w:rsid w:val="00BA172A"/>
    <w:rsid w:val="00BA1903"/>
    <w:rsid w:val="00BA1A70"/>
    <w:rsid w:val="00BA1B2C"/>
    <w:rsid w:val="00BA1B7F"/>
    <w:rsid w:val="00BA1D83"/>
    <w:rsid w:val="00BA21A9"/>
    <w:rsid w:val="00BA2315"/>
    <w:rsid w:val="00BA2394"/>
    <w:rsid w:val="00BA26DA"/>
    <w:rsid w:val="00BA2943"/>
    <w:rsid w:val="00BA2BB7"/>
    <w:rsid w:val="00BA2BB8"/>
    <w:rsid w:val="00BA31C3"/>
    <w:rsid w:val="00BA31DA"/>
    <w:rsid w:val="00BA3353"/>
    <w:rsid w:val="00BA361A"/>
    <w:rsid w:val="00BA3D0E"/>
    <w:rsid w:val="00BA3E16"/>
    <w:rsid w:val="00BA3FD1"/>
    <w:rsid w:val="00BA41F3"/>
    <w:rsid w:val="00BA4373"/>
    <w:rsid w:val="00BA4470"/>
    <w:rsid w:val="00BA4545"/>
    <w:rsid w:val="00BA4819"/>
    <w:rsid w:val="00BA4A83"/>
    <w:rsid w:val="00BA4C75"/>
    <w:rsid w:val="00BA519A"/>
    <w:rsid w:val="00BA53F2"/>
    <w:rsid w:val="00BA5A3F"/>
    <w:rsid w:val="00BA6018"/>
    <w:rsid w:val="00BA6469"/>
    <w:rsid w:val="00BA64BF"/>
    <w:rsid w:val="00BA66E1"/>
    <w:rsid w:val="00BA68FC"/>
    <w:rsid w:val="00BA690C"/>
    <w:rsid w:val="00BA6CF6"/>
    <w:rsid w:val="00BA6D19"/>
    <w:rsid w:val="00BA6ECA"/>
    <w:rsid w:val="00BA704D"/>
    <w:rsid w:val="00BA7064"/>
    <w:rsid w:val="00BA7188"/>
    <w:rsid w:val="00BA7309"/>
    <w:rsid w:val="00BA7DDB"/>
    <w:rsid w:val="00BB01DC"/>
    <w:rsid w:val="00BB0429"/>
    <w:rsid w:val="00BB06B9"/>
    <w:rsid w:val="00BB071E"/>
    <w:rsid w:val="00BB0B90"/>
    <w:rsid w:val="00BB0C4B"/>
    <w:rsid w:val="00BB0CE6"/>
    <w:rsid w:val="00BB110A"/>
    <w:rsid w:val="00BB11B1"/>
    <w:rsid w:val="00BB11B7"/>
    <w:rsid w:val="00BB120A"/>
    <w:rsid w:val="00BB128E"/>
    <w:rsid w:val="00BB12F9"/>
    <w:rsid w:val="00BB1776"/>
    <w:rsid w:val="00BB19C6"/>
    <w:rsid w:val="00BB1DE3"/>
    <w:rsid w:val="00BB1EE0"/>
    <w:rsid w:val="00BB1FE0"/>
    <w:rsid w:val="00BB1FEF"/>
    <w:rsid w:val="00BB23AD"/>
    <w:rsid w:val="00BB2511"/>
    <w:rsid w:val="00BB251E"/>
    <w:rsid w:val="00BB2570"/>
    <w:rsid w:val="00BB25FE"/>
    <w:rsid w:val="00BB2633"/>
    <w:rsid w:val="00BB2687"/>
    <w:rsid w:val="00BB286E"/>
    <w:rsid w:val="00BB2CE9"/>
    <w:rsid w:val="00BB2D1A"/>
    <w:rsid w:val="00BB2E75"/>
    <w:rsid w:val="00BB2E8C"/>
    <w:rsid w:val="00BB31BC"/>
    <w:rsid w:val="00BB323F"/>
    <w:rsid w:val="00BB3541"/>
    <w:rsid w:val="00BB3579"/>
    <w:rsid w:val="00BB3703"/>
    <w:rsid w:val="00BB3770"/>
    <w:rsid w:val="00BB3916"/>
    <w:rsid w:val="00BB3945"/>
    <w:rsid w:val="00BB3A7F"/>
    <w:rsid w:val="00BB3A89"/>
    <w:rsid w:val="00BB3BF4"/>
    <w:rsid w:val="00BB3D69"/>
    <w:rsid w:val="00BB3D93"/>
    <w:rsid w:val="00BB42F4"/>
    <w:rsid w:val="00BB430F"/>
    <w:rsid w:val="00BB467A"/>
    <w:rsid w:val="00BB4A1A"/>
    <w:rsid w:val="00BB4A2A"/>
    <w:rsid w:val="00BB4AF3"/>
    <w:rsid w:val="00BB4E43"/>
    <w:rsid w:val="00BB57F9"/>
    <w:rsid w:val="00BB5867"/>
    <w:rsid w:val="00BB5CAE"/>
    <w:rsid w:val="00BB626A"/>
    <w:rsid w:val="00BB6358"/>
    <w:rsid w:val="00BB6A55"/>
    <w:rsid w:val="00BB6DD8"/>
    <w:rsid w:val="00BB6DE8"/>
    <w:rsid w:val="00BB7695"/>
    <w:rsid w:val="00BB7A47"/>
    <w:rsid w:val="00BB7A92"/>
    <w:rsid w:val="00BB7DDF"/>
    <w:rsid w:val="00BB7E4A"/>
    <w:rsid w:val="00BB7F6E"/>
    <w:rsid w:val="00BC038B"/>
    <w:rsid w:val="00BC052D"/>
    <w:rsid w:val="00BC09F4"/>
    <w:rsid w:val="00BC0BE7"/>
    <w:rsid w:val="00BC0C1E"/>
    <w:rsid w:val="00BC0F75"/>
    <w:rsid w:val="00BC0FAE"/>
    <w:rsid w:val="00BC10EC"/>
    <w:rsid w:val="00BC10FA"/>
    <w:rsid w:val="00BC1356"/>
    <w:rsid w:val="00BC1A5A"/>
    <w:rsid w:val="00BC235D"/>
    <w:rsid w:val="00BC23D8"/>
    <w:rsid w:val="00BC25C2"/>
    <w:rsid w:val="00BC2629"/>
    <w:rsid w:val="00BC29E7"/>
    <w:rsid w:val="00BC2A20"/>
    <w:rsid w:val="00BC2BC4"/>
    <w:rsid w:val="00BC2E7C"/>
    <w:rsid w:val="00BC35D6"/>
    <w:rsid w:val="00BC360B"/>
    <w:rsid w:val="00BC3B07"/>
    <w:rsid w:val="00BC3C78"/>
    <w:rsid w:val="00BC3D80"/>
    <w:rsid w:val="00BC3E21"/>
    <w:rsid w:val="00BC4084"/>
    <w:rsid w:val="00BC421E"/>
    <w:rsid w:val="00BC4238"/>
    <w:rsid w:val="00BC471C"/>
    <w:rsid w:val="00BC4825"/>
    <w:rsid w:val="00BC49B2"/>
    <w:rsid w:val="00BC4A88"/>
    <w:rsid w:val="00BC4AE4"/>
    <w:rsid w:val="00BC4BE3"/>
    <w:rsid w:val="00BC4E98"/>
    <w:rsid w:val="00BC4FB9"/>
    <w:rsid w:val="00BC503D"/>
    <w:rsid w:val="00BC5305"/>
    <w:rsid w:val="00BC55B7"/>
    <w:rsid w:val="00BC57E1"/>
    <w:rsid w:val="00BC594A"/>
    <w:rsid w:val="00BC5A35"/>
    <w:rsid w:val="00BC5E06"/>
    <w:rsid w:val="00BC5F20"/>
    <w:rsid w:val="00BC60C3"/>
    <w:rsid w:val="00BC6159"/>
    <w:rsid w:val="00BC6251"/>
    <w:rsid w:val="00BC6770"/>
    <w:rsid w:val="00BC69FE"/>
    <w:rsid w:val="00BC7013"/>
    <w:rsid w:val="00BC7087"/>
    <w:rsid w:val="00BC756C"/>
    <w:rsid w:val="00BC7660"/>
    <w:rsid w:val="00BC783E"/>
    <w:rsid w:val="00BC799A"/>
    <w:rsid w:val="00BD00C1"/>
    <w:rsid w:val="00BD033F"/>
    <w:rsid w:val="00BD0473"/>
    <w:rsid w:val="00BD066F"/>
    <w:rsid w:val="00BD0C3B"/>
    <w:rsid w:val="00BD0C85"/>
    <w:rsid w:val="00BD0DD0"/>
    <w:rsid w:val="00BD0DD2"/>
    <w:rsid w:val="00BD0DD9"/>
    <w:rsid w:val="00BD0EEA"/>
    <w:rsid w:val="00BD0F6B"/>
    <w:rsid w:val="00BD14ED"/>
    <w:rsid w:val="00BD15F9"/>
    <w:rsid w:val="00BD16B2"/>
    <w:rsid w:val="00BD17A5"/>
    <w:rsid w:val="00BD1916"/>
    <w:rsid w:val="00BD1ADC"/>
    <w:rsid w:val="00BD1B48"/>
    <w:rsid w:val="00BD1B62"/>
    <w:rsid w:val="00BD1BAE"/>
    <w:rsid w:val="00BD1F17"/>
    <w:rsid w:val="00BD2099"/>
    <w:rsid w:val="00BD20A4"/>
    <w:rsid w:val="00BD222C"/>
    <w:rsid w:val="00BD22C5"/>
    <w:rsid w:val="00BD234D"/>
    <w:rsid w:val="00BD24CA"/>
    <w:rsid w:val="00BD2C06"/>
    <w:rsid w:val="00BD3372"/>
    <w:rsid w:val="00BD3973"/>
    <w:rsid w:val="00BD3B14"/>
    <w:rsid w:val="00BD3EF4"/>
    <w:rsid w:val="00BD3F7D"/>
    <w:rsid w:val="00BD42A3"/>
    <w:rsid w:val="00BD42C7"/>
    <w:rsid w:val="00BD49E6"/>
    <w:rsid w:val="00BD4B7C"/>
    <w:rsid w:val="00BD4EB9"/>
    <w:rsid w:val="00BD5154"/>
    <w:rsid w:val="00BD5283"/>
    <w:rsid w:val="00BD5429"/>
    <w:rsid w:val="00BD5820"/>
    <w:rsid w:val="00BD5CF4"/>
    <w:rsid w:val="00BD64E5"/>
    <w:rsid w:val="00BD66DE"/>
    <w:rsid w:val="00BD6A3B"/>
    <w:rsid w:val="00BD6F06"/>
    <w:rsid w:val="00BD75E3"/>
    <w:rsid w:val="00BD7901"/>
    <w:rsid w:val="00BD7A26"/>
    <w:rsid w:val="00BD7AC5"/>
    <w:rsid w:val="00BD7DBA"/>
    <w:rsid w:val="00BD7E79"/>
    <w:rsid w:val="00BE047A"/>
    <w:rsid w:val="00BE06AB"/>
    <w:rsid w:val="00BE06AE"/>
    <w:rsid w:val="00BE0CEE"/>
    <w:rsid w:val="00BE0D5F"/>
    <w:rsid w:val="00BE0FE5"/>
    <w:rsid w:val="00BE104C"/>
    <w:rsid w:val="00BE10BB"/>
    <w:rsid w:val="00BE12CA"/>
    <w:rsid w:val="00BE13CC"/>
    <w:rsid w:val="00BE1646"/>
    <w:rsid w:val="00BE173F"/>
    <w:rsid w:val="00BE195B"/>
    <w:rsid w:val="00BE1CB3"/>
    <w:rsid w:val="00BE2112"/>
    <w:rsid w:val="00BE223F"/>
    <w:rsid w:val="00BE238C"/>
    <w:rsid w:val="00BE25AB"/>
    <w:rsid w:val="00BE27D3"/>
    <w:rsid w:val="00BE286B"/>
    <w:rsid w:val="00BE287C"/>
    <w:rsid w:val="00BE2CCC"/>
    <w:rsid w:val="00BE2FCD"/>
    <w:rsid w:val="00BE330F"/>
    <w:rsid w:val="00BE344E"/>
    <w:rsid w:val="00BE358D"/>
    <w:rsid w:val="00BE363D"/>
    <w:rsid w:val="00BE36CF"/>
    <w:rsid w:val="00BE3DF7"/>
    <w:rsid w:val="00BE3EC7"/>
    <w:rsid w:val="00BE4FF6"/>
    <w:rsid w:val="00BE506E"/>
    <w:rsid w:val="00BE5267"/>
    <w:rsid w:val="00BE5282"/>
    <w:rsid w:val="00BE5359"/>
    <w:rsid w:val="00BE5747"/>
    <w:rsid w:val="00BE5A2F"/>
    <w:rsid w:val="00BE5A96"/>
    <w:rsid w:val="00BE5BF3"/>
    <w:rsid w:val="00BE5C6C"/>
    <w:rsid w:val="00BE5D1D"/>
    <w:rsid w:val="00BE5E75"/>
    <w:rsid w:val="00BE5FF7"/>
    <w:rsid w:val="00BE63A2"/>
    <w:rsid w:val="00BE67F8"/>
    <w:rsid w:val="00BE68D8"/>
    <w:rsid w:val="00BE6B7A"/>
    <w:rsid w:val="00BE6D8D"/>
    <w:rsid w:val="00BE6FE3"/>
    <w:rsid w:val="00BE70A1"/>
    <w:rsid w:val="00BE74F2"/>
    <w:rsid w:val="00BE768C"/>
    <w:rsid w:val="00BE76EB"/>
    <w:rsid w:val="00BE77CE"/>
    <w:rsid w:val="00BE78A1"/>
    <w:rsid w:val="00BE7AAB"/>
    <w:rsid w:val="00BE7CA2"/>
    <w:rsid w:val="00BE7D63"/>
    <w:rsid w:val="00BF00CE"/>
    <w:rsid w:val="00BF03E5"/>
    <w:rsid w:val="00BF0481"/>
    <w:rsid w:val="00BF05B4"/>
    <w:rsid w:val="00BF06A0"/>
    <w:rsid w:val="00BF06FE"/>
    <w:rsid w:val="00BF0B34"/>
    <w:rsid w:val="00BF0C05"/>
    <w:rsid w:val="00BF0D38"/>
    <w:rsid w:val="00BF10BD"/>
    <w:rsid w:val="00BF12ED"/>
    <w:rsid w:val="00BF133B"/>
    <w:rsid w:val="00BF148B"/>
    <w:rsid w:val="00BF1558"/>
    <w:rsid w:val="00BF184D"/>
    <w:rsid w:val="00BF1B69"/>
    <w:rsid w:val="00BF1BDC"/>
    <w:rsid w:val="00BF1D9E"/>
    <w:rsid w:val="00BF1DED"/>
    <w:rsid w:val="00BF2073"/>
    <w:rsid w:val="00BF27D8"/>
    <w:rsid w:val="00BF2D39"/>
    <w:rsid w:val="00BF2E48"/>
    <w:rsid w:val="00BF2F08"/>
    <w:rsid w:val="00BF2F9A"/>
    <w:rsid w:val="00BF30CF"/>
    <w:rsid w:val="00BF31D3"/>
    <w:rsid w:val="00BF327C"/>
    <w:rsid w:val="00BF328D"/>
    <w:rsid w:val="00BF360B"/>
    <w:rsid w:val="00BF36CD"/>
    <w:rsid w:val="00BF3815"/>
    <w:rsid w:val="00BF3A1D"/>
    <w:rsid w:val="00BF3B8F"/>
    <w:rsid w:val="00BF3BAB"/>
    <w:rsid w:val="00BF3BEC"/>
    <w:rsid w:val="00BF3E95"/>
    <w:rsid w:val="00BF4037"/>
    <w:rsid w:val="00BF41AB"/>
    <w:rsid w:val="00BF4249"/>
    <w:rsid w:val="00BF42A8"/>
    <w:rsid w:val="00BF482D"/>
    <w:rsid w:val="00BF49A1"/>
    <w:rsid w:val="00BF4DBA"/>
    <w:rsid w:val="00BF5173"/>
    <w:rsid w:val="00BF5292"/>
    <w:rsid w:val="00BF5336"/>
    <w:rsid w:val="00BF53F0"/>
    <w:rsid w:val="00BF5743"/>
    <w:rsid w:val="00BF57C1"/>
    <w:rsid w:val="00BF5E54"/>
    <w:rsid w:val="00BF5E8F"/>
    <w:rsid w:val="00BF60C0"/>
    <w:rsid w:val="00BF62AE"/>
    <w:rsid w:val="00BF62CE"/>
    <w:rsid w:val="00BF67BF"/>
    <w:rsid w:val="00BF68AC"/>
    <w:rsid w:val="00BF68FC"/>
    <w:rsid w:val="00BF6D45"/>
    <w:rsid w:val="00BF6D9D"/>
    <w:rsid w:val="00BF76F1"/>
    <w:rsid w:val="00BF781A"/>
    <w:rsid w:val="00BF7984"/>
    <w:rsid w:val="00BF7A18"/>
    <w:rsid w:val="00BF7B7B"/>
    <w:rsid w:val="00BF7C34"/>
    <w:rsid w:val="00C00153"/>
    <w:rsid w:val="00C0043B"/>
    <w:rsid w:val="00C0093E"/>
    <w:rsid w:val="00C00D7C"/>
    <w:rsid w:val="00C00DB4"/>
    <w:rsid w:val="00C010A0"/>
    <w:rsid w:val="00C012AE"/>
    <w:rsid w:val="00C0133F"/>
    <w:rsid w:val="00C01475"/>
    <w:rsid w:val="00C014B4"/>
    <w:rsid w:val="00C0162E"/>
    <w:rsid w:val="00C016AD"/>
    <w:rsid w:val="00C01F45"/>
    <w:rsid w:val="00C022A6"/>
    <w:rsid w:val="00C0261B"/>
    <w:rsid w:val="00C02653"/>
    <w:rsid w:val="00C02C26"/>
    <w:rsid w:val="00C02CD1"/>
    <w:rsid w:val="00C032AE"/>
    <w:rsid w:val="00C038A2"/>
    <w:rsid w:val="00C03A59"/>
    <w:rsid w:val="00C041E0"/>
    <w:rsid w:val="00C0454C"/>
    <w:rsid w:val="00C04669"/>
    <w:rsid w:val="00C050BC"/>
    <w:rsid w:val="00C05132"/>
    <w:rsid w:val="00C054AB"/>
    <w:rsid w:val="00C058EB"/>
    <w:rsid w:val="00C05AAA"/>
    <w:rsid w:val="00C05CBA"/>
    <w:rsid w:val="00C06160"/>
    <w:rsid w:val="00C067CF"/>
    <w:rsid w:val="00C06895"/>
    <w:rsid w:val="00C0697E"/>
    <w:rsid w:val="00C06985"/>
    <w:rsid w:val="00C06A96"/>
    <w:rsid w:val="00C06BC0"/>
    <w:rsid w:val="00C06C03"/>
    <w:rsid w:val="00C06EC7"/>
    <w:rsid w:val="00C07652"/>
    <w:rsid w:val="00C0796D"/>
    <w:rsid w:val="00C079B4"/>
    <w:rsid w:val="00C07A19"/>
    <w:rsid w:val="00C07CC6"/>
    <w:rsid w:val="00C07FD7"/>
    <w:rsid w:val="00C10181"/>
    <w:rsid w:val="00C101C6"/>
    <w:rsid w:val="00C102B2"/>
    <w:rsid w:val="00C10300"/>
    <w:rsid w:val="00C10498"/>
    <w:rsid w:val="00C1068B"/>
    <w:rsid w:val="00C10D83"/>
    <w:rsid w:val="00C10F93"/>
    <w:rsid w:val="00C1113E"/>
    <w:rsid w:val="00C1152C"/>
    <w:rsid w:val="00C1181B"/>
    <w:rsid w:val="00C11B8D"/>
    <w:rsid w:val="00C11BCC"/>
    <w:rsid w:val="00C11C5E"/>
    <w:rsid w:val="00C11CAE"/>
    <w:rsid w:val="00C11CB6"/>
    <w:rsid w:val="00C12155"/>
    <w:rsid w:val="00C1217D"/>
    <w:rsid w:val="00C122CE"/>
    <w:rsid w:val="00C12312"/>
    <w:rsid w:val="00C12341"/>
    <w:rsid w:val="00C12610"/>
    <w:rsid w:val="00C12ACB"/>
    <w:rsid w:val="00C12AD2"/>
    <w:rsid w:val="00C13038"/>
    <w:rsid w:val="00C130A9"/>
    <w:rsid w:val="00C131F2"/>
    <w:rsid w:val="00C13228"/>
    <w:rsid w:val="00C134A6"/>
    <w:rsid w:val="00C13948"/>
    <w:rsid w:val="00C1395E"/>
    <w:rsid w:val="00C13A50"/>
    <w:rsid w:val="00C13F5C"/>
    <w:rsid w:val="00C13FAE"/>
    <w:rsid w:val="00C1401C"/>
    <w:rsid w:val="00C14068"/>
    <w:rsid w:val="00C1414C"/>
    <w:rsid w:val="00C143F3"/>
    <w:rsid w:val="00C14510"/>
    <w:rsid w:val="00C145B1"/>
    <w:rsid w:val="00C149E1"/>
    <w:rsid w:val="00C14AAF"/>
    <w:rsid w:val="00C14D8A"/>
    <w:rsid w:val="00C14E22"/>
    <w:rsid w:val="00C14F9C"/>
    <w:rsid w:val="00C15020"/>
    <w:rsid w:val="00C1504A"/>
    <w:rsid w:val="00C1514A"/>
    <w:rsid w:val="00C152D0"/>
    <w:rsid w:val="00C153A9"/>
    <w:rsid w:val="00C153AF"/>
    <w:rsid w:val="00C15560"/>
    <w:rsid w:val="00C15840"/>
    <w:rsid w:val="00C1587B"/>
    <w:rsid w:val="00C15BBF"/>
    <w:rsid w:val="00C15D5B"/>
    <w:rsid w:val="00C16140"/>
    <w:rsid w:val="00C161D9"/>
    <w:rsid w:val="00C16564"/>
    <w:rsid w:val="00C16A30"/>
    <w:rsid w:val="00C16A56"/>
    <w:rsid w:val="00C16C05"/>
    <w:rsid w:val="00C16C7A"/>
    <w:rsid w:val="00C16C8C"/>
    <w:rsid w:val="00C16CD6"/>
    <w:rsid w:val="00C16E1A"/>
    <w:rsid w:val="00C16E50"/>
    <w:rsid w:val="00C1712A"/>
    <w:rsid w:val="00C17274"/>
    <w:rsid w:val="00C17705"/>
    <w:rsid w:val="00C17749"/>
    <w:rsid w:val="00C1793F"/>
    <w:rsid w:val="00C20194"/>
    <w:rsid w:val="00C2023F"/>
    <w:rsid w:val="00C20338"/>
    <w:rsid w:val="00C20BC2"/>
    <w:rsid w:val="00C20DB4"/>
    <w:rsid w:val="00C210BC"/>
    <w:rsid w:val="00C210DC"/>
    <w:rsid w:val="00C21169"/>
    <w:rsid w:val="00C211C8"/>
    <w:rsid w:val="00C211FA"/>
    <w:rsid w:val="00C2132D"/>
    <w:rsid w:val="00C21375"/>
    <w:rsid w:val="00C21410"/>
    <w:rsid w:val="00C215A3"/>
    <w:rsid w:val="00C21B73"/>
    <w:rsid w:val="00C21D92"/>
    <w:rsid w:val="00C21F3D"/>
    <w:rsid w:val="00C22007"/>
    <w:rsid w:val="00C222C7"/>
    <w:rsid w:val="00C222CF"/>
    <w:rsid w:val="00C222F5"/>
    <w:rsid w:val="00C22552"/>
    <w:rsid w:val="00C225A2"/>
    <w:rsid w:val="00C22C08"/>
    <w:rsid w:val="00C23165"/>
    <w:rsid w:val="00C23187"/>
    <w:rsid w:val="00C23509"/>
    <w:rsid w:val="00C23BFE"/>
    <w:rsid w:val="00C23F3E"/>
    <w:rsid w:val="00C2409D"/>
    <w:rsid w:val="00C241C2"/>
    <w:rsid w:val="00C24422"/>
    <w:rsid w:val="00C24530"/>
    <w:rsid w:val="00C24579"/>
    <w:rsid w:val="00C2457D"/>
    <w:rsid w:val="00C245F9"/>
    <w:rsid w:val="00C2473F"/>
    <w:rsid w:val="00C24890"/>
    <w:rsid w:val="00C249E7"/>
    <w:rsid w:val="00C24AC0"/>
    <w:rsid w:val="00C24E47"/>
    <w:rsid w:val="00C24F25"/>
    <w:rsid w:val="00C24F73"/>
    <w:rsid w:val="00C2522E"/>
    <w:rsid w:val="00C25245"/>
    <w:rsid w:val="00C255B3"/>
    <w:rsid w:val="00C255B6"/>
    <w:rsid w:val="00C258B3"/>
    <w:rsid w:val="00C258F6"/>
    <w:rsid w:val="00C25E7B"/>
    <w:rsid w:val="00C260F5"/>
    <w:rsid w:val="00C261F3"/>
    <w:rsid w:val="00C267E8"/>
    <w:rsid w:val="00C26D22"/>
    <w:rsid w:val="00C272B2"/>
    <w:rsid w:val="00C27480"/>
    <w:rsid w:val="00C27584"/>
    <w:rsid w:val="00C27682"/>
    <w:rsid w:val="00C2775D"/>
    <w:rsid w:val="00C2787F"/>
    <w:rsid w:val="00C30289"/>
    <w:rsid w:val="00C303D1"/>
    <w:rsid w:val="00C30489"/>
    <w:rsid w:val="00C310D3"/>
    <w:rsid w:val="00C31168"/>
    <w:rsid w:val="00C312DA"/>
    <w:rsid w:val="00C31B13"/>
    <w:rsid w:val="00C31C4D"/>
    <w:rsid w:val="00C32058"/>
    <w:rsid w:val="00C32165"/>
    <w:rsid w:val="00C3231A"/>
    <w:rsid w:val="00C32351"/>
    <w:rsid w:val="00C323D6"/>
    <w:rsid w:val="00C323D9"/>
    <w:rsid w:val="00C32695"/>
    <w:rsid w:val="00C3272C"/>
    <w:rsid w:val="00C32774"/>
    <w:rsid w:val="00C32C89"/>
    <w:rsid w:val="00C32E1D"/>
    <w:rsid w:val="00C32E57"/>
    <w:rsid w:val="00C334EA"/>
    <w:rsid w:val="00C3378C"/>
    <w:rsid w:val="00C338DF"/>
    <w:rsid w:val="00C33D1E"/>
    <w:rsid w:val="00C33D7F"/>
    <w:rsid w:val="00C3406F"/>
    <w:rsid w:val="00C34127"/>
    <w:rsid w:val="00C344C4"/>
    <w:rsid w:val="00C346F9"/>
    <w:rsid w:val="00C347DD"/>
    <w:rsid w:val="00C34BC5"/>
    <w:rsid w:val="00C34C45"/>
    <w:rsid w:val="00C3553B"/>
    <w:rsid w:val="00C35A0C"/>
    <w:rsid w:val="00C35AC1"/>
    <w:rsid w:val="00C35B97"/>
    <w:rsid w:val="00C35FE4"/>
    <w:rsid w:val="00C3601B"/>
    <w:rsid w:val="00C36514"/>
    <w:rsid w:val="00C3659B"/>
    <w:rsid w:val="00C36724"/>
    <w:rsid w:val="00C368A1"/>
    <w:rsid w:val="00C368B8"/>
    <w:rsid w:val="00C36A64"/>
    <w:rsid w:val="00C36A82"/>
    <w:rsid w:val="00C36DDB"/>
    <w:rsid w:val="00C36F0B"/>
    <w:rsid w:val="00C374D0"/>
    <w:rsid w:val="00C374DD"/>
    <w:rsid w:val="00C377C6"/>
    <w:rsid w:val="00C378A3"/>
    <w:rsid w:val="00C3793B"/>
    <w:rsid w:val="00C37D7B"/>
    <w:rsid w:val="00C4030D"/>
    <w:rsid w:val="00C4031D"/>
    <w:rsid w:val="00C40330"/>
    <w:rsid w:val="00C40350"/>
    <w:rsid w:val="00C40822"/>
    <w:rsid w:val="00C4098E"/>
    <w:rsid w:val="00C4128B"/>
    <w:rsid w:val="00C414A3"/>
    <w:rsid w:val="00C414DB"/>
    <w:rsid w:val="00C4196B"/>
    <w:rsid w:val="00C41A78"/>
    <w:rsid w:val="00C41AE2"/>
    <w:rsid w:val="00C422B7"/>
    <w:rsid w:val="00C42685"/>
    <w:rsid w:val="00C42720"/>
    <w:rsid w:val="00C427F8"/>
    <w:rsid w:val="00C42A19"/>
    <w:rsid w:val="00C42A89"/>
    <w:rsid w:val="00C42AEB"/>
    <w:rsid w:val="00C42C93"/>
    <w:rsid w:val="00C4395A"/>
    <w:rsid w:val="00C43A70"/>
    <w:rsid w:val="00C43F2F"/>
    <w:rsid w:val="00C43F34"/>
    <w:rsid w:val="00C44006"/>
    <w:rsid w:val="00C443F1"/>
    <w:rsid w:val="00C44576"/>
    <w:rsid w:val="00C44AA3"/>
    <w:rsid w:val="00C44C7B"/>
    <w:rsid w:val="00C44E52"/>
    <w:rsid w:val="00C44EC1"/>
    <w:rsid w:val="00C44FD2"/>
    <w:rsid w:val="00C45042"/>
    <w:rsid w:val="00C45449"/>
    <w:rsid w:val="00C45BAB"/>
    <w:rsid w:val="00C4670B"/>
    <w:rsid w:val="00C46984"/>
    <w:rsid w:val="00C46EB0"/>
    <w:rsid w:val="00C46F69"/>
    <w:rsid w:val="00C46FEB"/>
    <w:rsid w:val="00C4716A"/>
    <w:rsid w:val="00C47478"/>
    <w:rsid w:val="00C474ED"/>
    <w:rsid w:val="00C477DA"/>
    <w:rsid w:val="00C4798A"/>
    <w:rsid w:val="00C47D68"/>
    <w:rsid w:val="00C47D87"/>
    <w:rsid w:val="00C50001"/>
    <w:rsid w:val="00C50041"/>
    <w:rsid w:val="00C50524"/>
    <w:rsid w:val="00C509A1"/>
    <w:rsid w:val="00C50A05"/>
    <w:rsid w:val="00C50AC1"/>
    <w:rsid w:val="00C50B72"/>
    <w:rsid w:val="00C50C3F"/>
    <w:rsid w:val="00C50EA8"/>
    <w:rsid w:val="00C50F02"/>
    <w:rsid w:val="00C51284"/>
    <w:rsid w:val="00C51290"/>
    <w:rsid w:val="00C512A4"/>
    <w:rsid w:val="00C513D1"/>
    <w:rsid w:val="00C515BF"/>
    <w:rsid w:val="00C51956"/>
    <w:rsid w:val="00C51962"/>
    <w:rsid w:val="00C51A56"/>
    <w:rsid w:val="00C51EA8"/>
    <w:rsid w:val="00C520F8"/>
    <w:rsid w:val="00C52500"/>
    <w:rsid w:val="00C5285D"/>
    <w:rsid w:val="00C52A09"/>
    <w:rsid w:val="00C52B31"/>
    <w:rsid w:val="00C52BF1"/>
    <w:rsid w:val="00C52CC4"/>
    <w:rsid w:val="00C52F69"/>
    <w:rsid w:val="00C52F6C"/>
    <w:rsid w:val="00C5313A"/>
    <w:rsid w:val="00C531B9"/>
    <w:rsid w:val="00C5328D"/>
    <w:rsid w:val="00C53434"/>
    <w:rsid w:val="00C53496"/>
    <w:rsid w:val="00C53777"/>
    <w:rsid w:val="00C537E5"/>
    <w:rsid w:val="00C538B3"/>
    <w:rsid w:val="00C53C0E"/>
    <w:rsid w:val="00C53D24"/>
    <w:rsid w:val="00C53D99"/>
    <w:rsid w:val="00C53E6C"/>
    <w:rsid w:val="00C542DD"/>
    <w:rsid w:val="00C5470D"/>
    <w:rsid w:val="00C54990"/>
    <w:rsid w:val="00C549DB"/>
    <w:rsid w:val="00C54D22"/>
    <w:rsid w:val="00C54E0D"/>
    <w:rsid w:val="00C54FC0"/>
    <w:rsid w:val="00C54FE5"/>
    <w:rsid w:val="00C5532C"/>
    <w:rsid w:val="00C5548D"/>
    <w:rsid w:val="00C55BA1"/>
    <w:rsid w:val="00C561E9"/>
    <w:rsid w:val="00C562E8"/>
    <w:rsid w:val="00C56340"/>
    <w:rsid w:val="00C56A19"/>
    <w:rsid w:val="00C56B06"/>
    <w:rsid w:val="00C56D55"/>
    <w:rsid w:val="00C56DA3"/>
    <w:rsid w:val="00C56FAC"/>
    <w:rsid w:val="00C570BF"/>
    <w:rsid w:val="00C5721D"/>
    <w:rsid w:val="00C57492"/>
    <w:rsid w:val="00C5771E"/>
    <w:rsid w:val="00C57C1F"/>
    <w:rsid w:val="00C57F69"/>
    <w:rsid w:val="00C600B9"/>
    <w:rsid w:val="00C60563"/>
    <w:rsid w:val="00C60A24"/>
    <w:rsid w:val="00C60FBA"/>
    <w:rsid w:val="00C613B8"/>
    <w:rsid w:val="00C614A0"/>
    <w:rsid w:val="00C61754"/>
    <w:rsid w:val="00C61BE8"/>
    <w:rsid w:val="00C61FFF"/>
    <w:rsid w:val="00C621D9"/>
    <w:rsid w:val="00C6226C"/>
    <w:rsid w:val="00C6241D"/>
    <w:rsid w:val="00C6276C"/>
    <w:rsid w:val="00C62A2B"/>
    <w:rsid w:val="00C62A46"/>
    <w:rsid w:val="00C62BD8"/>
    <w:rsid w:val="00C62F88"/>
    <w:rsid w:val="00C62FCF"/>
    <w:rsid w:val="00C631E8"/>
    <w:rsid w:val="00C63394"/>
    <w:rsid w:val="00C6349A"/>
    <w:rsid w:val="00C634FA"/>
    <w:rsid w:val="00C63B77"/>
    <w:rsid w:val="00C63D1B"/>
    <w:rsid w:val="00C63E13"/>
    <w:rsid w:val="00C6413E"/>
    <w:rsid w:val="00C64152"/>
    <w:rsid w:val="00C6428F"/>
    <w:rsid w:val="00C6431A"/>
    <w:rsid w:val="00C64660"/>
    <w:rsid w:val="00C64711"/>
    <w:rsid w:val="00C647B2"/>
    <w:rsid w:val="00C64B92"/>
    <w:rsid w:val="00C64E47"/>
    <w:rsid w:val="00C65120"/>
    <w:rsid w:val="00C65156"/>
    <w:rsid w:val="00C65354"/>
    <w:rsid w:val="00C653E8"/>
    <w:rsid w:val="00C6544E"/>
    <w:rsid w:val="00C655A5"/>
    <w:rsid w:val="00C65BFC"/>
    <w:rsid w:val="00C65DD3"/>
    <w:rsid w:val="00C65E57"/>
    <w:rsid w:val="00C65F62"/>
    <w:rsid w:val="00C65FB4"/>
    <w:rsid w:val="00C65FC1"/>
    <w:rsid w:val="00C65FC7"/>
    <w:rsid w:val="00C6624E"/>
    <w:rsid w:val="00C66466"/>
    <w:rsid w:val="00C664A1"/>
    <w:rsid w:val="00C6670D"/>
    <w:rsid w:val="00C66955"/>
    <w:rsid w:val="00C66B30"/>
    <w:rsid w:val="00C66D8A"/>
    <w:rsid w:val="00C66D98"/>
    <w:rsid w:val="00C66DED"/>
    <w:rsid w:val="00C66FD5"/>
    <w:rsid w:val="00C676B4"/>
    <w:rsid w:val="00C677DE"/>
    <w:rsid w:val="00C67853"/>
    <w:rsid w:val="00C678FF"/>
    <w:rsid w:val="00C6795E"/>
    <w:rsid w:val="00C70254"/>
    <w:rsid w:val="00C70550"/>
    <w:rsid w:val="00C708AB"/>
    <w:rsid w:val="00C70B23"/>
    <w:rsid w:val="00C70D4D"/>
    <w:rsid w:val="00C70FD7"/>
    <w:rsid w:val="00C713DF"/>
    <w:rsid w:val="00C7147D"/>
    <w:rsid w:val="00C71653"/>
    <w:rsid w:val="00C71A37"/>
    <w:rsid w:val="00C71B03"/>
    <w:rsid w:val="00C71BB3"/>
    <w:rsid w:val="00C71D05"/>
    <w:rsid w:val="00C7218E"/>
    <w:rsid w:val="00C724CF"/>
    <w:rsid w:val="00C725EE"/>
    <w:rsid w:val="00C726F9"/>
    <w:rsid w:val="00C72815"/>
    <w:rsid w:val="00C72CC8"/>
    <w:rsid w:val="00C72F83"/>
    <w:rsid w:val="00C7333D"/>
    <w:rsid w:val="00C7373E"/>
    <w:rsid w:val="00C738CA"/>
    <w:rsid w:val="00C73957"/>
    <w:rsid w:val="00C73960"/>
    <w:rsid w:val="00C73E99"/>
    <w:rsid w:val="00C741C9"/>
    <w:rsid w:val="00C742FF"/>
    <w:rsid w:val="00C74B07"/>
    <w:rsid w:val="00C74B21"/>
    <w:rsid w:val="00C74D52"/>
    <w:rsid w:val="00C750CD"/>
    <w:rsid w:val="00C7546D"/>
    <w:rsid w:val="00C755BA"/>
    <w:rsid w:val="00C755C5"/>
    <w:rsid w:val="00C75623"/>
    <w:rsid w:val="00C7586A"/>
    <w:rsid w:val="00C75C89"/>
    <w:rsid w:val="00C75D36"/>
    <w:rsid w:val="00C7612E"/>
    <w:rsid w:val="00C7623B"/>
    <w:rsid w:val="00C76589"/>
    <w:rsid w:val="00C7672E"/>
    <w:rsid w:val="00C76ACF"/>
    <w:rsid w:val="00C76CE6"/>
    <w:rsid w:val="00C76E80"/>
    <w:rsid w:val="00C76F19"/>
    <w:rsid w:val="00C76F7B"/>
    <w:rsid w:val="00C772C8"/>
    <w:rsid w:val="00C774C6"/>
    <w:rsid w:val="00C7759D"/>
    <w:rsid w:val="00C777B0"/>
    <w:rsid w:val="00C77A0D"/>
    <w:rsid w:val="00C77B51"/>
    <w:rsid w:val="00C800E2"/>
    <w:rsid w:val="00C80169"/>
    <w:rsid w:val="00C80451"/>
    <w:rsid w:val="00C8063D"/>
    <w:rsid w:val="00C807F9"/>
    <w:rsid w:val="00C808C0"/>
    <w:rsid w:val="00C81143"/>
    <w:rsid w:val="00C811E9"/>
    <w:rsid w:val="00C81308"/>
    <w:rsid w:val="00C8141F"/>
    <w:rsid w:val="00C81514"/>
    <w:rsid w:val="00C81874"/>
    <w:rsid w:val="00C819A1"/>
    <w:rsid w:val="00C81E45"/>
    <w:rsid w:val="00C81E94"/>
    <w:rsid w:val="00C8208F"/>
    <w:rsid w:val="00C82267"/>
    <w:rsid w:val="00C82296"/>
    <w:rsid w:val="00C8292D"/>
    <w:rsid w:val="00C8294B"/>
    <w:rsid w:val="00C82A09"/>
    <w:rsid w:val="00C82A5D"/>
    <w:rsid w:val="00C82D15"/>
    <w:rsid w:val="00C833B9"/>
    <w:rsid w:val="00C834B6"/>
    <w:rsid w:val="00C835A7"/>
    <w:rsid w:val="00C83CA3"/>
    <w:rsid w:val="00C83E17"/>
    <w:rsid w:val="00C846E1"/>
    <w:rsid w:val="00C847BF"/>
    <w:rsid w:val="00C84B5F"/>
    <w:rsid w:val="00C85054"/>
    <w:rsid w:val="00C850AD"/>
    <w:rsid w:val="00C85286"/>
    <w:rsid w:val="00C852D9"/>
    <w:rsid w:val="00C854A8"/>
    <w:rsid w:val="00C8553C"/>
    <w:rsid w:val="00C85663"/>
    <w:rsid w:val="00C85AF5"/>
    <w:rsid w:val="00C85F83"/>
    <w:rsid w:val="00C86623"/>
    <w:rsid w:val="00C867D0"/>
    <w:rsid w:val="00C86A28"/>
    <w:rsid w:val="00C86B5D"/>
    <w:rsid w:val="00C86B68"/>
    <w:rsid w:val="00C86F08"/>
    <w:rsid w:val="00C87477"/>
    <w:rsid w:val="00C8748F"/>
    <w:rsid w:val="00C8764A"/>
    <w:rsid w:val="00C90127"/>
    <w:rsid w:val="00C90611"/>
    <w:rsid w:val="00C907F1"/>
    <w:rsid w:val="00C9099A"/>
    <w:rsid w:val="00C90B8B"/>
    <w:rsid w:val="00C90C34"/>
    <w:rsid w:val="00C90E9F"/>
    <w:rsid w:val="00C90EC1"/>
    <w:rsid w:val="00C90FC5"/>
    <w:rsid w:val="00C91027"/>
    <w:rsid w:val="00C91135"/>
    <w:rsid w:val="00C91441"/>
    <w:rsid w:val="00C914C8"/>
    <w:rsid w:val="00C91547"/>
    <w:rsid w:val="00C916E7"/>
    <w:rsid w:val="00C9181C"/>
    <w:rsid w:val="00C91898"/>
    <w:rsid w:val="00C91902"/>
    <w:rsid w:val="00C91B0D"/>
    <w:rsid w:val="00C91D0F"/>
    <w:rsid w:val="00C9209F"/>
    <w:rsid w:val="00C9268B"/>
    <w:rsid w:val="00C9298B"/>
    <w:rsid w:val="00C92A74"/>
    <w:rsid w:val="00C92CE5"/>
    <w:rsid w:val="00C92F05"/>
    <w:rsid w:val="00C93038"/>
    <w:rsid w:val="00C93132"/>
    <w:rsid w:val="00C93139"/>
    <w:rsid w:val="00C935D3"/>
    <w:rsid w:val="00C93857"/>
    <w:rsid w:val="00C93AAC"/>
    <w:rsid w:val="00C93C62"/>
    <w:rsid w:val="00C94232"/>
    <w:rsid w:val="00C94402"/>
    <w:rsid w:val="00C94451"/>
    <w:rsid w:val="00C94838"/>
    <w:rsid w:val="00C94B8A"/>
    <w:rsid w:val="00C94C21"/>
    <w:rsid w:val="00C94D9D"/>
    <w:rsid w:val="00C94F6B"/>
    <w:rsid w:val="00C952F3"/>
    <w:rsid w:val="00C959DD"/>
    <w:rsid w:val="00C95A16"/>
    <w:rsid w:val="00C95BEB"/>
    <w:rsid w:val="00C95C1B"/>
    <w:rsid w:val="00C95CB1"/>
    <w:rsid w:val="00C95D91"/>
    <w:rsid w:val="00C95E18"/>
    <w:rsid w:val="00C95E7B"/>
    <w:rsid w:val="00C96107"/>
    <w:rsid w:val="00C9612B"/>
    <w:rsid w:val="00C96611"/>
    <w:rsid w:val="00C9685D"/>
    <w:rsid w:val="00C969D3"/>
    <w:rsid w:val="00C96AF6"/>
    <w:rsid w:val="00C96BD9"/>
    <w:rsid w:val="00C96CA6"/>
    <w:rsid w:val="00C96D15"/>
    <w:rsid w:val="00C96F5A"/>
    <w:rsid w:val="00C974A9"/>
    <w:rsid w:val="00C9750D"/>
    <w:rsid w:val="00C97812"/>
    <w:rsid w:val="00C97B62"/>
    <w:rsid w:val="00C97C48"/>
    <w:rsid w:val="00C97F5F"/>
    <w:rsid w:val="00C97FF2"/>
    <w:rsid w:val="00CA05AE"/>
    <w:rsid w:val="00CA071F"/>
    <w:rsid w:val="00CA09D2"/>
    <w:rsid w:val="00CA0A30"/>
    <w:rsid w:val="00CA0F7F"/>
    <w:rsid w:val="00CA1086"/>
    <w:rsid w:val="00CA1499"/>
    <w:rsid w:val="00CA1621"/>
    <w:rsid w:val="00CA170E"/>
    <w:rsid w:val="00CA1725"/>
    <w:rsid w:val="00CA1865"/>
    <w:rsid w:val="00CA18E6"/>
    <w:rsid w:val="00CA1AEA"/>
    <w:rsid w:val="00CA1CF8"/>
    <w:rsid w:val="00CA1DBB"/>
    <w:rsid w:val="00CA1F60"/>
    <w:rsid w:val="00CA1FAD"/>
    <w:rsid w:val="00CA2299"/>
    <w:rsid w:val="00CA2523"/>
    <w:rsid w:val="00CA2933"/>
    <w:rsid w:val="00CA2CAD"/>
    <w:rsid w:val="00CA318D"/>
    <w:rsid w:val="00CA31DF"/>
    <w:rsid w:val="00CA320C"/>
    <w:rsid w:val="00CA32D2"/>
    <w:rsid w:val="00CA3402"/>
    <w:rsid w:val="00CA34DB"/>
    <w:rsid w:val="00CA35C7"/>
    <w:rsid w:val="00CA3606"/>
    <w:rsid w:val="00CA38C7"/>
    <w:rsid w:val="00CA39D7"/>
    <w:rsid w:val="00CA3D2C"/>
    <w:rsid w:val="00CA4B02"/>
    <w:rsid w:val="00CA5033"/>
    <w:rsid w:val="00CA53D7"/>
    <w:rsid w:val="00CA54CE"/>
    <w:rsid w:val="00CA55DF"/>
    <w:rsid w:val="00CA56E7"/>
    <w:rsid w:val="00CA571C"/>
    <w:rsid w:val="00CA5B4E"/>
    <w:rsid w:val="00CA5C91"/>
    <w:rsid w:val="00CA5EA8"/>
    <w:rsid w:val="00CA629E"/>
    <w:rsid w:val="00CA6571"/>
    <w:rsid w:val="00CA6912"/>
    <w:rsid w:val="00CA6B09"/>
    <w:rsid w:val="00CA6DEA"/>
    <w:rsid w:val="00CA6F0F"/>
    <w:rsid w:val="00CA701F"/>
    <w:rsid w:val="00CA702C"/>
    <w:rsid w:val="00CA7271"/>
    <w:rsid w:val="00CA7273"/>
    <w:rsid w:val="00CA7367"/>
    <w:rsid w:val="00CA7465"/>
    <w:rsid w:val="00CA752F"/>
    <w:rsid w:val="00CA7A66"/>
    <w:rsid w:val="00CA7C41"/>
    <w:rsid w:val="00CA7F29"/>
    <w:rsid w:val="00CB00CF"/>
    <w:rsid w:val="00CB07E0"/>
    <w:rsid w:val="00CB08FD"/>
    <w:rsid w:val="00CB09CD"/>
    <w:rsid w:val="00CB0AB2"/>
    <w:rsid w:val="00CB10D4"/>
    <w:rsid w:val="00CB1347"/>
    <w:rsid w:val="00CB17C5"/>
    <w:rsid w:val="00CB1A0E"/>
    <w:rsid w:val="00CB1AB1"/>
    <w:rsid w:val="00CB1B28"/>
    <w:rsid w:val="00CB1B5D"/>
    <w:rsid w:val="00CB1C9C"/>
    <w:rsid w:val="00CB1D0D"/>
    <w:rsid w:val="00CB20CE"/>
    <w:rsid w:val="00CB20FA"/>
    <w:rsid w:val="00CB2254"/>
    <w:rsid w:val="00CB238D"/>
    <w:rsid w:val="00CB24F5"/>
    <w:rsid w:val="00CB2A7D"/>
    <w:rsid w:val="00CB2C99"/>
    <w:rsid w:val="00CB2F27"/>
    <w:rsid w:val="00CB2FC1"/>
    <w:rsid w:val="00CB32B9"/>
    <w:rsid w:val="00CB32FC"/>
    <w:rsid w:val="00CB358B"/>
    <w:rsid w:val="00CB3B51"/>
    <w:rsid w:val="00CB3FB1"/>
    <w:rsid w:val="00CB40B5"/>
    <w:rsid w:val="00CB40ED"/>
    <w:rsid w:val="00CB426E"/>
    <w:rsid w:val="00CB46DE"/>
    <w:rsid w:val="00CB478F"/>
    <w:rsid w:val="00CB4D2A"/>
    <w:rsid w:val="00CB4D46"/>
    <w:rsid w:val="00CB5A22"/>
    <w:rsid w:val="00CB5A39"/>
    <w:rsid w:val="00CB5CD4"/>
    <w:rsid w:val="00CB5D00"/>
    <w:rsid w:val="00CB5D0E"/>
    <w:rsid w:val="00CB5F00"/>
    <w:rsid w:val="00CB65A8"/>
    <w:rsid w:val="00CB6BA1"/>
    <w:rsid w:val="00CB6BAF"/>
    <w:rsid w:val="00CB6C3E"/>
    <w:rsid w:val="00CB7281"/>
    <w:rsid w:val="00CB76BF"/>
    <w:rsid w:val="00CB784A"/>
    <w:rsid w:val="00CB7A1E"/>
    <w:rsid w:val="00CB7C37"/>
    <w:rsid w:val="00CC0174"/>
    <w:rsid w:val="00CC0A99"/>
    <w:rsid w:val="00CC0AC7"/>
    <w:rsid w:val="00CC0CBC"/>
    <w:rsid w:val="00CC0EBC"/>
    <w:rsid w:val="00CC11AC"/>
    <w:rsid w:val="00CC11C6"/>
    <w:rsid w:val="00CC11DF"/>
    <w:rsid w:val="00CC1563"/>
    <w:rsid w:val="00CC192A"/>
    <w:rsid w:val="00CC1EDE"/>
    <w:rsid w:val="00CC224B"/>
    <w:rsid w:val="00CC2749"/>
    <w:rsid w:val="00CC2FEE"/>
    <w:rsid w:val="00CC30FA"/>
    <w:rsid w:val="00CC325E"/>
    <w:rsid w:val="00CC32F2"/>
    <w:rsid w:val="00CC378A"/>
    <w:rsid w:val="00CC3C25"/>
    <w:rsid w:val="00CC40C2"/>
    <w:rsid w:val="00CC44E0"/>
    <w:rsid w:val="00CC44FB"/>
    <w:rsid w:val="00CC4524"/>
    <w:rsid w:val="00CC498B"/>
    <w:rsid w:val="00CC4BFC"/>
    <w:rsid w:val="00CC4C17"/>
    <w:rsid w:val="00CC4C82"/>
    <w:rsid w:val="00CC4E0C"/>
    <w:rsid w:val="00CC5116"/>
    <w:rsid w:val="00CC51D3"/>
    <w:rsid w:val="00CC55ED"/>
    <w:rsid w:val="00CC5781"/>
    <w:rsid w:val="00CC5908"/>
    <w:rsid w:val="00CC595D"/>
    <w:rsid w:val="00CC5AFF"/>
    <w:rsid w:val="00CC5B31"/>
    <w:rsid w:val="00CC5C64"/>
    <w:rsid w:val="00CC5D1D"/>
    <w:rsid w:val="00CC5E86"/>
    <w:rsid w:val="00CC6023"/>
    <w:rsid w:val="00CC6025"/>
    <w:rsid w:val="00CC61E0"/>
    <w:rsid w:val="00CC6C18"/>
    <w:rsid w:val="00CC6EE7"/>
    <w:rsid w:val="00CC6F47"/>
    <w:rsid w:val="00CC72B2"/>
    <w:rsid w:val="00CC75E0"/>
    <w:rsid w:val="00CC773A"/>
    <w:rsid w:val="00CC778A"/>
    <w:rsid w:val="00CC7A9E"/>
    <w:rsid w:val="00CC7AD9"/>
    <w:rsid w:val="00CC7C06"/>
    <w:rsid w:val="00CC7C58"/>
    <w:rsid w:val="00CC7D73"/>
    <w:rsid w:val="00CD0076"/>
    <w:rsid w:val="00CD00EB"/>
    <w:rsid w:val="00CD07CD"/>
    <w:rsid w:val="00CD07EA"/>
    <w:rsid w:val="00CD09C1"/>
    <w:rsid w:val="00CD0E87"/>
    <w:rsid w:val="00CD0FC3"/>
    <w:rsid w:val="00CD1034"/>
    <w:rsid w:val="00CD133D"/>
    <w:rsid w:val="00CD153E"/>
    <w:rsid w:val="00CD1A69"/>
    <w:rsid w:val="00CD1B58"/>
    <w:rsid w:val="00CD1B9F"/>
    <w:rsid w:val="00CD1E52"/>
    <w:rsid w:val="00CD1EA9"/>
    <w:rsid w:val="00CD1F7B"/>
    <w:rsid w:val="00CD213E"/>
    <w:rsid w:val="00CD2531"/>
    <w:rsid w:val="00CD260F"/>
    <w:rsid w:val="00CD2622"/>
    <w:rsid w:val="00CD2C20"/>
    <w:rsid w:val="00CD2EF8"/>
    <w:rsid w:val="00CD30D4"/>
    <w:rsid w:val="00CD352B"/>
    <w:rsid w:val="00CD35AB"/>
    <w:rsid w:val="00CD3668"/>
    <w:rsid w:val="00CD3ADF"/>
    <w:rsid w:val="00CD3F7B"/>
    <w:rsid w:val="00CD3FB3"/>
    <w:rsid w:val="00CD402F"/>
    <w:rsid w:val="00CD42FF"/>
    <w:rsid w:val="00CD43B8"/>
    <w:rsid w:val="00CD4400"/>
    <w:rsid w:val="00CD446A"/>
    <w:rsid w:val="00CD48AD"/>
    <w:rsid w:val="00CD493D"/>
    <w:rsid w:val="00CD4B3C"/>
    <w:rsid w:val="00CD50AC"/>
    <w:rsid w:val="00CD51D0"/>
    <w:rsid w:val="00CD52A0"/>
    <w:rsid w:val="00CD5465"/>
    <w:rsid w:val="00CD6166"/>
    <w:rsid w:val="00CD6168"/>
    <w:rsid w:val="00CD65A9"/>
    <w:rsid w:val="00CD6641"/>
    <w:rsid w:val="00CD687B"/>
    <w:rsid w:val="00CD6998"/>
    <w:rsid w:val="00CD6DFD"/>
    <w:rsid w:val="00CD6E92"/>
    <w:rsid w:val="00CD7138"/>
    <w:rsid w:val="00CD7168"/>
    <w:rsid w:val="00CD7227"/>
    <w:rsid w:val="00CD72AF"/>
    <w:rsid w:val="00CD738B"/>
    <w:rsid w:val="00CD7496"/>
    <w:rsid w:val="00CD754A"/>
    <w:rsid w:val="00CD7729"/>
    <w:rsid w:val="00CD78DF"/>
    <w:rsid w:val="00CD7AAB"/>
    <w:rsid w:val="00CD7FA7"/>
    <w:rsid w:val="00CE011B"/>
    <w:rsid w:val="00CE050E"/>
    <w:rsid w:val="00CE0584"/>
    <w:rsid w:val="00CE0848"/>
    <w:rsid w:val="00CE0891"/>
    <w:rsid w:val="00CE0D6C"/>
    <w:rsid w:val="00CE0DF3"/>
    <w:rsid w:val="00CE0EDC"/>
    <w:rsid w:val="00CE0F8B"/>
    <w:rsid w:val="00CE2068"/>
    <w:rsid w:val="00CE2093"/>
    <w:rsid w:val="00CE20E9"/>
    <w:rsid w:val="00CE2108"/>
    <w:rsid w:val="00CE2319"/>
    <w:rsid w:val="00CE2485"/>
    <w:rsid w:val="00CE24FC"/>
    <w:rsid w:val="00CE27AF"/>
    <w:rsid w:val="00CE2826"/>
    <w:rsid w:val="00CE2868"/>
    <w:rsid w:val="00CE28D0"/>
    <w:rsid w:val="00CE299C"/>
    <w:rsid w:val="00CE2ACF"/>
    <w:rsid w:val="00CE2E13"/>
    <w:rsid w:val="00CE3125"/>
    <w:rsid w:val="00CE3154"/>
    <w:rsid w:val="00CE3378"/>
    <w:rsid w:val="00CE343F"/>
    <w:rsid w:val="00CE3563"/>
    <w:rsid w:val="00CE38F4"/>
    <w:rsid w:val="00CE3AB1"/>
    <w:rsid w:val="00CE3C31"/>
    <w:rsid w:val="00CE3D20"/>
    <w:rsid w:val="00CE3EA3"/>
    <w:rsid w:val="00CE4064"/>
    <w:rsid w:val="00CE42F0"/>
    <w:rsid w:val="00CE4670"/>
    <w:rsid w:val="00CE4A0A"/>
    <w:rsid w:val="00CE4DA0"/>
    <w:rsid w:val="00CE5103"/>
    <w:rsid w:val="00CE53B2"/>
    <w:rsid w:val="00CE53CD"/>
    <w:rsid w:val="00CE54A3"/>
    <w:rsid w:val="00CE5781"/>
    <w:rsid w:val="00CE5810"/>
    <w:rsid w:val="00CE5960"/>
    <w:rsid w:val="00CE5A09"/>
    <w:rsid w:val="00CE5A56"/>
    <w:rsid w:val="00CE5BD5"/>
    <w:rsid w:val="00CE5CDF"/>
    <w:rsid w:val="00CE5D72"/>
    <w:rsid w:val="00CE60A9"/>
    <w:rsid w:val="00CE636A"/>
    <w:rsid w:val="00CE6411"/>
    <w:rsid w:val="00CE64E0"/>
    <w:rsid w:val="00CE672E"/>
    <w:rsid w:val="00CE6774"/>
    <w:rsid w:val="00CE6813"/>
    <w:rsid w:val="00CE6848"/>
    <w:rsid w:val="00CE6A57"/>
    <w:rsid w:val="00CE6AFD"/>
    <w:rsid w:val="00CE6D5A"/>
    <w:rsid w:val="00CE6E50"/>
    <w:rsid w:val="00CE70B0"/>
    <w:rsid w:val="00CE719F"/>
    <w:rsid w:val="00CE729A"/>
    <w:rsid w:val="00CE73CF"/>
    <w:rsid w:val="00CE7471"/>
    <w:rsid w:val="00CE74A6"/>
    <w:rsid w:val="00CE791E"/>
    <w:rsid w:val="00CE79B2"/>
    <w:rsid w:val="00CE7A89"/>
    <w:rsid w:val="00CE7B66"/>
    <w:rsid w:val="00CE7B6E"/>
    <w:rsid w:val="00CE7E6C"/>
    <w:rsid w:val="00CE7F64"/>
    <w:rsid w:val="00CF01A5"/>
    <w:rsid w:val="00CF0395"/>
    <w:rsid w:val="00CF0B6A"/>
    <w:rsid w:val="00CF0D1A"/>
    <w:rsid w:val="00CF0E4D"/>
    <w:rsid w:val="00CF0F54"/>
    <w:rsid w:val="00CF0F80"/>
    <w:rsid w:val="00CF12C2"/>
    <w:rsid w:val="00CF14AB"/>
    <w:rsid w:val="00CF15A1"/>
    <w:rsid w:val="00CF17C0"/>
    <w:rsid w:val="00CF19C4"/>
    <w:rsid w:val="00CF1B10"/>
    <w:rsid w:val="00CF1C56"/>
    <w:rsid w:val="00CF1CDD"/>
    <w:rsid w:val="00CF2283"/>
    <w:rsid w:val="00CF2B0B"/>
    <w:rsid w:val="00CF2C41"/>
    <w:rsid w:val="00CF2C5B"/>
    <w:rsid w:val="00CF2DAE"/>
    <w:rsid w:val="00CF2DD3"/>
    <w:rsid w:val="00CF302D"/>
    <w:rsid w:val="00CF313A"/>
    <w:rsid w:val="00CF355B"/>
    <w:rsid w:val="00CF3885"/>
    <w:rsid w:val="00CF3AA1"/>
    <w:rsid w:val="00CF3CAA"/>
    <w:rsid w:val="00CF3CB9"/>
    <w:rsid w:val="00CF40AA"/>
    <w:rsid w:val="00CF41EA"/>
    <w:rsid w:val="00CF461F"/>
    <w:rsid w:val="00CF4B38"/>
    <w:rsid w:val="00CF4E9C"/>
    <w:rsid w:val="00CF4EDC"/>
    <w:rsid w:val="00CF512E"/>
    <w:rsid w:val="00CF5672"/>
    <w:rsid w:val="00CF56BE"/>
    <w:rsid w:val="00CF5A79"/>
    <w:rsid w:val="00CF5A88"/>
    <w:rsid w:val="00CF5BB3"/>
    <w:rsid w:val="00CF5C35"/>
    <w:rsid w:val="00CF5E6B"/>
    <w:rsid w:val="00CF6024"/>
    <w:rsid w:val="00CF646F"/>
    <w:rsid w:val="00CF65FC"/>
    <w:rsid w:val="00CF68A2"/>
    <w:rsid w:val="00CF6962"/>
    <w:rsid w:val="00CF697A"/>
    <w:rsid w:val="00CF6D93"/>
    <w:rsid w:val="00CF713E"/>
    <w:rsid w:val="00CF71C0"/>
    <w:rsid w:val="00CF71C7"/>
    <w:rsid w:val="00CF733F"/>
    <w:rsid w:val="00CF7502"/>
    <w:rsid w:val="00CF7940"/>
    <w:rsid w:val="00CF79FB"/>
    <w:rsid w:val="00CF7E64"/>
    <w:rsid w:val="00CF7EB7"/>
    <w:rsid w:val="00CF7FD6"/>
    <w:rsid w:val="00D00045"/>
    <w:rsid w:val="00D00052"/>
    <w:rsid w:val="00D00199"/>
    <w:rsid w:val="00D0037D"/>
    <w:rsid w:val="00D0051D"/>
    <w:rsid w:val="00D00524"/>
    <w:rsid w:val="00D006F2"/>
    <w:rsid w:val="00D008F3"/>
    <w:rsid w:val="00D00A61"/>
    <w:rsid w:val="00D00B28"/>
    <w:rsid w:val="00D00CCC"/>
    <w:rsid w:val="00D00CEA"/>
    <w:rsid w:val="00D00E2F"/>
    <w:rsid w:val="00D00E9C"/>
    <w:rsid w:val="00D00F76"/>
    <w:rsid w:val="00D00F7B"/>
    <w:rsid w:val="00D01209"/>
    <w:rsid w:val="00D0128A"/>
    <w:rsid w:val="00D0128D"/>
    <w:rsid w:val="00D016DB"/>
    <w:rsid w:val="00D01B95"/>
    <w:rsid w:val="00D01D8E"/>
    <w:rsid w:val="00D01E89"/>
    <w:rsid w:val="00D02023"/>
    <w:rsid w:val="00D02098"/>
    <w:rsid w:val="00D02206"/>
    <w:rsid w:val="00D0243A"/>
    <w:rsid w:val="00D02562"/>
    <w:rsid w:val="00D02843"/>
    <w:rsid w:val="00D029C5"/>
    <w:rsid w:val="00D029F9"/>
    <w:rsid w:val="00D02A10"/>
    <w:rsid w:val="00D02BA1"/>
    <w:rsid w:val="00D02C20"/>
    <w:rsid w:val="00D02C5D"/>
    <w:rsid w:val="00D02F54"/>
    <w:rsid w:val="00D036A9"/>
    <w:rsid w:val="00D03773"/>
    <w:rsid w:val="00D03922"/>
    <w:rsid w:val="00D03C74"/>
    <w:rsid w:val="00D03F7F"/>
    <w:rsid w:val="00D04015"/>
    <w:rsid w:val="00D041A2"/>
    <w:rsid w:val="00D04252"/>
    <w:rsid w:val="00D0433B"/>
    <w:rsid w:val="00D043D7"/>
    <w:rsid w:val="00D0452A"/>
    <w:rsid w:val="00D0479D"/>
    <w:rsid w:val="00D04CB4"/>
    <w:rsid w:val="00D04CED"/>
    <w:rsid w:val="00D04DBC"/>
    <w:rsid w:val="00D05446"/>
    <w:rsid w:val="00D056B6"/>
    <w:rsid w:val="00D057E5"/>
    <w:rsid w:val="00D05DC5"/>
    <w:rsid w:val="00D05DDF"/>
    <w:rsid w:val="00D05F3F"/>
    <w:rsid w:val="00D061B1"/>
    <w:rsid w:val="00D062E0"/>
    <w:rsid w:val="00D06415"/>
    <w:rsid w:val="00D06438"/>
    <w:rsid w:val="00D06901"/>
    <w:rsid w:val="00D06A88"/>
    <w:rsid w:val="00D07105"/>
    <w:rsid w:val="00D07262"/>
    <w:rsid w:val="00D074B5"/>
    <w:rsid w:val="00D074E3"/>
    <w:rsid w:val="00D07C89"/>
    <w:rsid w:val="00D07CA0"/>
    <w:rsid w:val="00D07E30"/>
    <w:rsid w:val="00D10003"/>
    <w:rsid w:val="00D10124"/>
    <w:rsid w:val="00D10407"/>
    <w:rsid w:val="00D105ED"/>
    <w:rsid w:val="00D1065A"/>
    <w:rsid w:val="00D10A77"/>
    <w:rsid w:val="00D10AC8"/>
    <w:rsid w:val="00D10DDC"/>
    <w:rsid w:val="00D10FCC"/>
    <w:rsid w:val="00D112C7"/>
    <w:rsid w:val="00D1168D"/>
    <w:rsid w:val="00D11A5F"/>
    <w:rsid w:val="00D11D67"/>
    <w:rsid w:val="00D11EFA"/>
    <w:rsid w:val="00D121CD"/>
    <w:rsid w:val="00D122E6"/>
    <w:rsid w:val="00D12368"/>
    <w:rsid w:val="00D1260F"/>
    <w:rsid w:val="00D12671"/>
    <w:rsid w:val="00D12984"/>
    <w:rsid w:val="00D12A00"/>
    <w:rsid w:val="00D12A4E"/>
    <w:rsid w:val="00D12CF7"/>
    <w:rsid w:val="00D12DD9"/>
    <w:rsid w:val="00D12EDC"/>
    <w:rsid w:val="00D12F9D"/>
    <w:rsid w:val="00D1304D"/>
    <w:rsid w:val="00D13142"/>
    <w:rsid w:val="00D131ED"/>
    <w:rsid w:val="00D13502"/>
    <w:rsid w:val="00D136F1"/>
    <w:rsid w:val="00D137D9"/>
    <w:rsid w:val="00D137EF"/>
    <w:rsid w:val="00D13BE2"/>
    <w:rsid w:val="00D13CD2"/>
    <w:rsid w:val="00D13D86"/>
    <w:rsid w:val="00D13E0D"/>
    <w:rsid w:val="00D13F61"/>
    <w:rsid w:val="00D143EB"/>
    <w:rsid w:val="00D145DC"/>
    <w:rsid w:val="00D14758"/>
    <w:rsid w:val="00D1481E"/>
    <w:rsid w:val="00D14B54"/>
    <w:rsid w:val="00D14D77"/>
    <w:rsid w:val="00D14DA8"/>
    <w:rsid w:val="00D1501B"/>
    <w:rsid w:val="00D159AF"/>
    <w:rsid w:val="00D15AFB"/>
    <w:rsid w:val="00D15B7F"/>
    <w:rsid w:val="00D15C55"/>
    <w:rsid w:val="00D15D4A"/>
    <w:rsid w:val="00D15F85"/>
    <w:rsid w:val="00D15FBE"/>
    <w:rsid w:val="00D1614F"/>
    <w:rsid w:val="00D161CC"/>
    <w:rsid w:val="00D163B7"/>
    <w:rsid w:val="00D16584"/>
    <w:rsid w:val="00D165C1"/>
    <w:rsid w:val="00D165DB"/>
    <w:rsid w:val="00D16D01"/>
    <w:rsid w:val="00D16DA3"/>
    <w:rsid w:val="00D1707C"/>
    <w:rsid w:val="00D1797F"/>
    <w:rsid w:val="00D17BAD"/>
    <w:rsid w:val="00D17FEA"/>
    <w:rsid w:val="00D2034D"/>
    <w:rsid w:val="00D20361"/>
    <w:rsid w:val="00D20603"/>
    <w:rsid w:val="00D20625"/>
    <w:rsid w:val="00D20B16"/>
    <w:rsid w:val="00D20B2F"/>
    <w:rsid w:val="00D20EAF"/>
    <w:rsid w:val="00D20F0A"/>
    <w:rsid w:val="00D20F1C"/>
    <w:rsid w:val="00D21321"/>
    <w:rsid w:val="00D215E9"/>
    <w:rsid w:val="00D21879"/>
    <w:rsid w:val="00D218B1"/>
    <w:rsid w:val="00D219AC"/>
    <w:rsid w:val="00D21B7B"/>
    <w:rsid w:val="00D21D95"/>
    <w:rsid w:val="00D21F97"/>
    <w:rsid w:val="00D2247F"/>
    <w:rsid w:val="00D22677"/>
    <w:rsid w:val="00D22839"/>
    <w:rsid w:val="00D22878"/>
    <w:rsid w:val="00D228FA"/>
    <w:rsid w:val="00D22E67"/>
    <w:rsid w:val="00D236D5"/>
    <w:rsid w:val="00D239EC"/>
    <w:rsid w:val="00D23D14"/>
    <w:rsid w:val="00D23DBF"/>
    <w:rsid w:val="00D23DE6"/>
    <w:rsid w:val="00D24470"/>
    <w:rsid w:val="00D245A6"/>
    <w:rsid w:val="00D245C3"/>
    <w:rsid w:val="00D254F6"/>
    <w:rsid w:val="00D25698"/>
    <w:rsid w:val="00D257ED"/>
    <w:rsid w:val="00D25869"/>
    <w:rsid w:val="00D258C6"/>
    <w:rsid w:val="00D25CCA"/>
    <w:rsid w:val="00D25E2D"/>
    <w:rsid w:val="00D261D0"/>
    <w:rsid w:val="00D26230"/>
    <w:rsid w:val="00D262CA"/>
    <w:rsid w:val="00D266C9"/>
    <w:rsid w:val="00D26739"/>
    <w:rsid w:val="00D2674F"/>
    <w:rsid w:val="00D26B54"/>
    <w:rsid w:val="00D26C94"/>
    <w:rsid w:val="00D26DA2"/>
    <w:rsid w:val="00D26F17"/>
    <w:rsid w:val="00D27692"/>
    <w:rsid w:val="00D2770D"/>
    <w:rsid w:val="00D2780E"/>
    <w:rsid w:val="00D27AFC"/>
    <w:rsid w:val="00D27CDB"/>
    <w:rsid w:val="00D27F82"/>
    <w:rsid w:val="00D3005F"/>
    <w:rsid w:val="00D302CE"/>
    <w:rsid w:val="00D30373"/>
    <w:rsid w:val="00D3068F"/>
    <w:rsid w:val="00D30829"/>
    <w:rsid w:val="00D3098C"/>
    <w:rsid w:val="00D309EC"/>
    <w:rsid w:val="00D30E92"/>
    <w:rsid w:val="00D30FCA"/>
    <w:rsid w:val="00D31060"/>
    <w:rsid w:val="00D31313"/>
    <w:rsid w:val="00D313A7"/>
    <w:rsid w:val="00D314A5"/>
    <w:rsid w:val="00D31646"/>
    <w:rsid w:val="00D316BF"/>
    <w:rsid w:val="00D316ED"/>
    <w:rsid w:val="00D318D2"/>
    <w:rsid w:val="00D31C62"/>
    <w:rsid w:val="00D31E50"/>
    <w:rsid w:val="00D327DA"/>
    <w:rsid w:val="00D329C7"/>
    <w:rsid w:val="00D32B1C"/>
    <w:rsid w:val="00D32B3F"/>
    <w:rsid w:val="00D32D5C"/>
    <w:rsid w:val="00D32EEE"/>
    <w:rsid w:val="00D32FFC"/>
    <w:rsid w:val="00D3347B"/>
    <w:rsid w:val="00D33874"/>
    <w:rsid w:val="00D33A28"/>
    <w:rsid w:val="00D33B1D"/>
    <w:rsid w:val="00D34A7B"/>
    <w:rsid w:val="00D34B59"/>
    <w:rsid w:val="00D34D16"/>
    <w:rsid w:val="00D34FA2"/>
    <w:rsid w:val="00D3501A"/>
    <w:rsid w:val="00D35387"/>
    <w:rsid w:val="00D35CDF"/>
    <w:rsid w:val="00D36569"/>
    <w:rsid w:val="00D36671"/>
    <w:rsid w:val="00D368DE"/>
    <w:rsid w:val="00D36A0B"/>
    <w:rsid w:val="00D36CE7"/>
    <w:rsid w:val="00D36D7D"/>
    <w:rsid w:val="00D36E15"/>
    <w:rsid w:val="00D372D3"/>
    <w:rsid w:val="00D37474"/>
    <w:rsid w:val="00D3753D"/>
    <w:rsid w:val="00D3780B"/>
    <w:rsid w:val="00D37C7E"/>
    <w:rsid w:val="00D37D27"/>
    <w:rsid w:val="00D37E0B"/>
    <w:rsid w:val="00D37E1F"/>
    <w:rsid w:val="00D37E41"/>
    <w:rsid w:val="00D400DE"/>
    <w:rsid w:val="00D400F7"/>
    <w:rsid w:val="00D40260"/>
    <w:rsid w:val="00D404C3"/>
    <w:rsid w:val="00D4093D"/>
    <w:rsid w:val="00D40B52"/>
    <w:rsid w:val="00D40CF3"/>
    <w:rsid w:val="00D40DDD"/>
    <w:rsid w:val="00D40E7A"/>
    <w:rsid w:val="00D410A3"/>
    <w:rsid w:val="00D415A3"/>
    <w:rsid w:val="00D41698"/>
    <w:rsid w:val="00D4182E"/>
    <w:rsid w:val="00D41B76"/>
    <w:rsid w:val="00D41C5C"/>
    <w:rsid w:val="00D41D06"/>
    <w:rsid w:val="00D41F77"/>
    <w:rsid w:val="00D42334"/>
    <w:rsid w:val="00D42574"/>
    <w:rsid w:val="00D42853"/>
    <w:rsid w:val="00D42947"/>
    <w:rsid w:val="00D42AE1"/>
    <w:rsid w:val="00D42E28"/>
    <w:rsid w:val="00D42E67"/>
    <w:rsid w:val="00D42FEE"/>
    <w:rsid w:val="00D4313D"/>
    <w:rsid w:val="00D4325B"/>
    <w:rsid w:val="00D4395B"/>
    <w:rsid w:val="00D43966"/>
    <w:rsid w:val="00D439C2"/>
    <w:rsid w:val="00D43C03"/>
    <w:rsid w:val="00D43F22"/>
    <w:rsid w:val="00D43FF2"/>
    <w:rsid w:val="00D440FD"/>
    <w:rsid w:val="00D44176"/>
    <w:rsid w:val="00D4462E"/>
    <w:rsid w:val="00D44930"/>
    <w:rsid w:val="00D44AE1"/>
    <w:rsid w:val="00D44BFE"/>
    <w:rsid w:val="00D44CE0"/>
    <w:rsid w:val="00D44DE5"/>
    <w:rsid w:val="00D4501A"/>
    <w:rsid w:val="00D454A2"/>
    <w:rsid w:val="00D455F6"/>
    <w:rsid w:val="00D45705"/>
    <w:rsid w:val="00D457E7"/>
    <w:rsid w:val="00D45B3F"/>
    <w:rsid w:val="00D45C9F"/>
    <w:rsid w:val="00D4611C"/>
    <w:rsid w:val="00D4615C"/>
    <w:rsid w:val="00D46381"/>
    <w:rsid w:val="00D4640B"/>
    <w:rsid w:val="00D464A7"/>
    <w:rsid w:val="00D464FC"/>
    <w:rsid w:val="00D46533"/>
    <w:rsid w:val="00D46BC0"/>
    <w:rsid w:val="00D46DD8"/>
    <w:rsid w:val="00D477BC"/>
    <w:rsid w:val="00D47AB9"/>
    <w:rsid w:val="00D47F37"/>
    <w:rsid w:val="00D5062E"/>
    <w:rsid w:val="00D507E3"/>
    <w:rsid w:val="00D50840"/>
    <w:rsid w:val="00D50854"/>
    <w:rsid w:val="00D50AF4"/>
    <w:rsid w:val="00D50EC0"/>
    <w:rsid w:val="00D51333"/>
    <w:rsid w:val="00D514BF"/>
    <w:rsid w:val="00D5172B"/>
    <w:rsid w:val="00D518E3"/>
    <w:rsid w:val="00D51AD8"/>
    <w:rsid w:val="00D51B58"/>
    <w:rsid w:val="00D52098"/>
    <w:rsid w:val="00D5235E"/>
    <w:rsid w:val="00D523DA"/>
    <w:rsid w:val="00D5259C"/>
    <w:rsid w:val="00D525FE"/>
    <w:rsid w:val="00D52627"/>
    <w:rsid w:val="00D52793"/>
    <w:rsid w:val="00D527E3"/>
    <w:rsid w:val="00D52A1B"/>
    <w:rsid w:val="00D52AD8"/>
    <w:rsid w:val="00D52B5E"/>
    <w:rsid w:val="00D533FD"/>
    <w:rsid w:val="00D5371C"/>
    <w:rsid w:val="00D53A7D"/>
    <w:rsid w:val="00D53B71"/>
    <w:rsid w:val="00D53E28"/>
    <w:rsid w:val="00D53E93"/>
    <w:rsid w:val="00D53EA0"/>
    <w:rsid w:val="00D53EAA"/>
    <w:rsid w:val="00D5418F"/>
    <w:rsid w:val="00D541FE"/>
    <w:rsid w:val="00D544EB"/>
    <w:rsid w:val="00D548FF"/>
    <w:rsid w:val="00D54AB0"/>
    <w:rsid w:val="00D550FD"/>
    <w:rsid w:val="00D55225"/>
    <w:rsid w:val="00D55236"/>
    <w:rsid w:val="00D5546F"/>
    <w:rsid w:val="00D558A0"/>
    <w:rsid w:val="00D55933"/>
    <w:rsid w:val="00D55A85"/>
    <w:rsid w:val="00D5618A"/>
    <w:rsid w:val="00D56332"/>
    <w:rsid w:val="00D5651C"/>
    <w:rsid w:val="00D56671"/>
    <w:rsid w:val="00D56686"/>
    <w:rsid w:val="00D56748"/>
    <w:rsid w:val="00D56791"/>
    <w:rsid w:val="00D569FD"/>
    <w:rsid w:val="00D56D87"/>
    <w:rsid w:val="00D56DF6"/>
    <w:rsid w:val="00D570C3"/>
    <w:rsid w:val="00D570E5"/>
    <w:rsid w:val="00D573B7"/>
    <w:rsid w:val="00D57683"/>
    <w:rsid w:val="00D5770C"/>
    <w:rsid w:val="00D5787F"/>
    <w:rsid w:val="00D57D98"/>
    <w:rsid w:val="00D57DE4"/>
    <w:rsid w:val="00D57F23"/>
    <w:rsid w:val="00D60195"/>
    <w:rsid w:val="00D601BF"/>
    <w:rsid w:val="00D6054D"/>
    <w:rsid w:val="00D609A7"/>
    <w:rsid w:val="00D609CE"/>
    <w:rsid w:val="00D60AB3"/>
    <w:rsid w:val="00D6145C"/>
    <w:rsid w:val="00D61DFB"/>
    <w:rsid w:val="00D61FF5"/>
    <w:rsid w:val="00D62103"/>
    <w:rsid w:val="00D6270A"/>
    <w:rsid w:val="00D62817"/>
    <w:rsid w:val="00D6288B"/>
    <w:rsid w:val="00D62955"/>
    <w:rsid w:val="00D62A2C"/>
    <w:rsid w:val="00D62A85"/>
    <w:rsid w:val="00D62D45"/>
    <w:rsid w:val="00D630B7"/>
    <w:rsid w:val="00D63558"/>
    <w:rsid w:val="00D636A3"/>
    <w:rsid w:val="00D638A3"/>
    <w:rsid w:val="00D63CB9"/>
    <w:rsid w:val="00D63D7D"/>
    <w:rsid w:val="00D64173"/>
    <w:rsid w:val="00D641A4"/>
    <w:rsid w:val="00D642EF"/>
    <w:rsid w:val="00D643CE"/>
    <w:rsid w:val="00D6443D"/>
    <w:rsid w:val="00D64AF6"/>
    <w:rsid w:val="00D64BA7"/>
    <w:rsid w:val="00D64DDF"/>
    <w:rsid w:val="00D64E0C"/>
    <w:rsid w:val="00D6506F"/>
    <w:rsid w:val="00D65409"/>
    <w:rsid w:val="00D65548"/>
    <w:rsid w:val="00D65637"/>
    <w:rsid w:val="00D6563E"/>
    <w:rsid w:val="00D65811"/>
    <w:rsid w:val="00D6587F"/>
    <w:rsid w:val="00D65AC5"/>
    <w:rsid w:val="00D65B5F"/>
    <w:rsid w:val="00D65CD2"/>
    <w:rsid w:val="00D65D09"/>
    <w:rsid w:val="00D65D1C"/>
    <w:rsid w:val="00D6610F"/>
    <w:rsid w:val="00D6616E"/>
    <w:rsid w:val="00D66408"/>
    <w:rsid w:val="00D66811"/>
    <w:rsid w:val="00D668BA"/>
    <w:rsid w:val="00D668F1"/>
    <w:rsid w:val="00D66A0B"/>
    <w:rsid w:val="00D66A2F"/>
    <w:rsid w:val="00D66DB9"/>
    <w:rsid w:val="00D670DC"/>
    <w:rsid w:val="00D674FF"/>
    <w:rsid w:val="00D678F6"/>
    <w:rsid w:val="00D67A89"/>
    <w:rsid w:val="00D67BF6"/>
    <w:rsid w:val="00D67C1C"/>
    <w:rsid w:val="00D70A7D"/>
    <w:rsid w:val="00D70B1C"/>
    <w:rsid w:val="00D70C77"/>
    <w:rsid w:val="00D71158"/>
    <w:rsid w:val="00D71360"/>
    <w:rsid w:val="00D71405"/>
    <w:rsid w:val="00D71745"/>
    <w:rsid w:val="00D71841"/>
    <w:rsid w:val="00D718F8"/>
    <w:rsid w:val="00D7202B"/>
    <w:rsid w:val="00D72130"/>
    <w:rsid w:val="00D725F4"/>
    <w:rsid w:val="00D726A1"/>
    <w:rsid w:val="00D727EB"/>
    <w:rsid w:val="00D7286B"/>
    <w:rsid w:val="00D72B24"/>
    <w:rsid w:val="00D73496"/>
    <w:rsid w:val="00D736AC"/>
    <w:rsid w:val="00D73D91"/>
    <w:rsid w:val="00D742CF"/>
    <w:rsid w:val="00D7459B"/>
    <w:rsid w:val="00D745DD"/>
    <w:rsid w:val="00D74693"/>
    <w:rsid w:val="00D749A9"/>
    <w:rsid w:val="00D749FB"/>
    <w:rsid w:val="00D74CB5"/>
    <w:rsid w:val="00D74DB5"/>
    <w:rsid w:val="00D750B6"/>
    <w:rsid w:val="00D7537B"/>
    <w:rsid w:val="00D753F1"/>
    <w:rsid w:val="00D756FF"/>
    <w:rsid w:val="00D75A20"/>
    <w:rsid w:val="00D76299"/>
    <w:rsid w:val="00D76525"/>
    <w:rsid w:val="00D765B1"/>
    <w:rsid w:val="00D7668F"/>
    <w:rsid w:val="00D76719"/>
    <w:rsid w:val="00D76746"/>
    <w:rsid w:val="00D767E5"/>
    <w:rsid w:val="00D76817"/>
    <w:rsid w:val="00D768C7"/>
    <w:rsid w:val="00D76EC4"/>
    <w:rsid w:val="00D76F4D"/>
    <w:rsid w:val="00D772D3"/>
    <w:rsid w:val="00D77462"/>
    <w:rsid w:val="00D7789A"/>
    <w:rsid w:val="00D7794A"/>
    <w:rsid w:val="00D779EF"/>
    <w:rsid w:val="00D77AF1"/>
    <w:rsid w:val="00D77E58"/>
    <w:rsid w:val="00D77F06"/>
    <w:rsid w:val="00D77F94"/>
    <w:rsid w:val="00D802F0"/>
    <w:rsid w:val="00D8033C"/>
    <w:rsid w:val="00D806D7"/>
    <w:rsid w:val="00D80737"/>
    <w:rsid w:val="00D80985"/>
    <w:rsid w:val="00D809BF"/>
    <w:rsid w:val="00D80A99"/>
    <w:rsid w:val="00D80D30"/>
    <w:rsid w:val="00D80D7A"/>
    <w:rsid w:val="00D80F86"/>
    <w:rsid w:val="00D81045"/>
    <w:rsid w:val="00D810F1"/>
    <w:rsid w:val="00D8112A"/>
    <w:rsid w:val="00D81245"/>
    <w:rsid w:val="00D81387"/>
    <w:rsid w:val="00D8141C"/>
    <w:rsid w:val="00D81627"/>
    <w:rsid w:val="00D816E4"/>
    <w:rsid w:val="00D81969"/>
    <w:rsid w:val="00D81A60"/>
    <w:rsid w:val="00D81AA6"/>
    <w:rsid w:val="00D81D89"/>
    <w:rsid w:val="00D81EEF"/>
    <w:rsid w:val="00D824B1"/>
    <w:rsid w:val="00D82511"/>
    <w:rsid w:val="00D826F0"/>
    <w:rsid w:val="00D82791"/>
    <w:rsid w:val="00D82A4E"/>
    <w:rsid w:val="00D82B11"/>
    <w:rsid w:val="00D82C3F"/>
    <w:rsid w:val="00D82DA5"/>
    <w:rsid w:val="00D82FC2"/>
    <w:rsid w:val="00D82FDB"/>
    <w:rsid w:val="00D83664"/>
    <w:rsid w:val="00D839D1"/>
    <w:rsid w:val="00D83A03"/>
    <w:rsid w:val="00D83F1C"/>
    <w:rsid w:val="00D83F41"/>
    <w:rsid w:val="00D84074"/>
    <w:rsid w:val="00D8417A"/>
    <w:rsid w:val="00D8423E"/>
    <w:rsid w:val="00D842E6"/>
    <w:rsid w:val="00D843E7"/>
    <w:rsid w:val="00D843F6"/>
    <w:rsid w:val="00D846F3"/>
    <w:rsid w:val="00D84888"/>
    <w:rsid w:val="00D848A4"/>
    <w:rsid w:val="00D84975"/>
    <w:rsid w:val="00D84AAB"/>
    <w:rsid w:val="00D852D3"/>
    <w:rsid w:val="00D853B1"/>
    <w:rsid w:val="00D8563E"/>
    <w:rsid w:val="00D85A15"/>
    <w:rsid w:val="00D85A53"/>
    <w:rsid w:val="00D85AB2"/>
    <w:rsid w:val="00D85EF6"/>
    <w:rsid w:val="00D86068"/>
    <w:rsid w:val="00D860E6"/>
    <w:rsid w:val="00D862C9"/>
    <w:rsid w:val="00D868AD"/>
    <w:rsid w:val="00D86ACD"/>
    <w:rsid w:val="00D86CE6"/>
    <w:rsid w:val="00D86DD6"/>
    <w:rsid w:val="00D86DDC"/>
    <w:rsid w:val="00D86F39"/>
    <w:rsid w:val="00D87032"/>
    <w:rsid w:val="00D870D0"/>
    <w:rsid w:val="00D87137"/>
    <w:rsid w:val="00D87206"/>
    <w:rsid w:val="00D8749F"/>
    <w:rsid w:val="00D87A2C"/>
    <w:rsid w:val="00D87AA4"/>
    <w:rsid w:val="00D900A7"/>
    <w:rsid w:val="00D90431"/>
    <w:rsid w:val="00D90B9F"/>
    <w:rsid w:val="00D90BEA"/>
    <w:rsid w:val="00D90D01"/>
    <w:rsid w:val="00D9122E"/>
    <w:rsid w:val="00D91394"/>
    <w:rsid w:val="00D9168D"/>
    <w:rsid w:val="00D91699"/>
    <w:rsid w:val="00D919C7"/>
    <w:rsid w:val="00D919E0"/>
    <w:rsid w:val="00D91A80"/>
    <w:rsid w:val="00D91B72"/>
    <w:rsid w:val="00D91E45"/>
    <w:rsid w:val="00D91FFE"/>
    <w:rsid w:val="00D92037"/>
    <w:rsid w:val="00D92A56"/>
    <w:rsid w:val="00D92AF8"/>
    <w:rsid w:val="00D92F98"/>
    <w:rsid w:val="00D930DF"/>
    <w:rsid w:val="00D9319F"/>
    <w:rsid w:val="00D93253"/>
    <w:rsid w:val="00D93491"/>
    <w:rsid w:val="00D93BED"/>
    <w:rsid w:val="00D93D20"/>
    <w:rsid w:val="00D93D2E"/>
    <w:rsid w:val="00D93D9A"/>
    <w:rsid w:val="00D93E21"/>
    <w:rsid w:val="00D93E58"/>
    <w:rsid w:val="00D94078"/>
    <w:rsid w:val="00D94301"/>
    <w:rsid w:val="00D94323"/>
    <w:rsid w:val="00D9439C"/>
    <w:rsid w:val="00D94668"/>
    <w:rsid w:val="00D948BC"/>
    <w:rsid w:val="00D94E8A"/>
    <w:rsid w:val="00D94F59"/>
    <w:rsid w:val="00D9505B"/>
    <w:rsid w:val="00D952D3"/>
    <w:rsid w:val="00D953BC"/>
    <w:rsid w:val="00D959E0"/>
    <w:rsid w:val="00D95B4C"/>
    <w:rsid w:val="00D95BE4"/>
    <w:rsid w:val="00D96014"/>
    <w:rsid w:val="00D96030"/>
    <w:rsid w:val="00D96B47"/>
    <w:rsid w:val="00D96E04"/>
    <w:rsid w:val="00D9703B"/>
    <w:rsid w:val="00D971D4"/>
    <w:rsid w:val="00D97365"/>
    <w:rsid w:val="00D9745B"/>
    <w:rsid w:val="00D974B1"/>
    <w:rsid w:val="00D9755F"/>
    <w:rsid w:val="00D975F1"/>
    <w:rsid w:val="00D975F5"/>
    <w:rsid w:val="00D975FE"/>
    <w:rsid w:val="00D97A11"/>
    <w:rsid w:val="00D97B8B"/>
    <w:rsid w:val="00D97DD2"/>
    <w:rsid w:val="00D97E79"/>
    <w:rsid w:val="00DA0200"/>
    <w:rsid w:val="00DA0866"/>
    <w:rsid w:val="00DA0A11"/>
    <w:rsid w:val="00DA0B9C"/>
    <w:rsid w:val="00DA144A"/>
    <w:rsid w:val="00DA17E5"/>
    <w:rsid w:val="00DA1849"/>
    <w:rsid w:val="00DA199A"/>
    <w:rsid w:val="00DA19C7"/>
    <w:rsid w:val="00DA1C9B"/>
    <w:rsid w:val="00DA1CEB"/>
    <w:rsid w:val="00DA1D61"/>
    <w:rsid w:val="00DA1DC1"/>
    <w:rsid w:val="00DA1E08"/>
    <w:rsid w:val="00DA1E2D"/>
    <w:rsid w:val="00DA1F32"/>
    <w:rsid w:val="00DA1FBC"/>
    <w:rsid w:val="00DA2227"/>
    <w:rsid w:val="00DA22B0"/>
    <w:rsid w:val="00DA237B"/>
    <w:rsid w:val="00DA258C"/>
    <w:rsid w:val="00DA26A5"/>
    <w:rsid w:val="00DA2757"/>
    <w:rsid w:val="00DA2C5A"/>
    <w:rsid w:val="00DA3075"/>
    <w:rsid w:val="00DA346F"/>
    <w:rsid w:val="00DA34CC"/>
    <w:rsid w:val="00DA37C6"/>
    <w:rsid w:val="00DA3856"/>
    <w:rsid w:val="00DA3B48"/>
    <w:rsid w:val="00DA3C8C"/>
    <w:rsid w:val="00DA3E0F"/>
    <w:rsid w:val="00DA41A8"/>
    <w:rsid w:val="00DA46CC"/>
    <w:rsid w:val="00DA483E"/>
    <w:rsid w:val="00DA49C5"/>
    <w:rsid w:val="00DA4B15"/>
    <w:rsid w:val="00DA4B4F"/>
    <w:rsid w:val="00DA4BAE"/>
    <w:rsid w:val="00DA505B"/>
    <w:rsid w:val="00DA5159"/>
    <w:rsid w:val="00DA526D"/>
    <w:rsid w:val="00DA5685"/>
    <w:rsid w:val="00DA5AE2"/>
    <w:rsid w:val="00DA5BDD"/>
    <w:rsid w:val="00DA5E02"/>
    <w:rsid w:val="00DA61B9"/>
    <w:rsid w:val="00DA61F1"/>
    <w:rsid w:val="00DA64DA"/>
    <w:rsid w:val="00DA6621"/>
    <w:rsid w:val="00DA68C1"/>
    <w:rsid w:val="00DA6A30"/>
    <w:rsid w:val="00DA6A89"/>
    <w:rsid w:val="00DA6C68"/>
    <w:rsid w:val="00DA6ED8"/>
    <w:rsid w:val="00DA72C7"/>
    <w:rsid w:val="00DA7574"/>
    <w:rsid w:val="00DA77C5"/>
    <w:rsid w:val="00DA797E"/>
    <w:rsid w:val="00DA7BFA"/>
    <w:rsid w:val="00DA7E3D"/>
    <w:rsid w:val="00DA7F31"/>
    <w:rsid w:val="00DB02E1"/>
    <w:rsid w:val="00DB03C2"/>
    <w:rsid w:val="00DB03D3"/>
    <w:rsid w:val="00DB0455"/>
    <w:rsid w:val="00DB05F3"/>
    <w:rsid w:val="00DB0BA7"/>
    <w:rsid w:val="00DB1337"/>
    <w:rsid w:val="00DB1396"/>
    <w:rsid w:val="00DB17DE"/>
    <w:rsid w:val="00DB193E"/>
    <w:rsid w:val="00DB1949"/>
    <w:rsid w:val="00DB19D7"/>
    <w:rsid w:val="00DB19FB"/>
    <w:rsid w:val="00DB1A8E"/>
    <w:rsid w:val="00DB1ACF"/>
    <w:rsid w:val="00DB1B22"/>
    <w:rsid w:val="00DB1BB6"/>
    <w:rsid w:val="00DB1F14"/>
    <w:rsid w:val="00DB2067"/>
    <w:rsid w:val="00DB23F6"/>
    <w:rsid w:val="00DB2535"/>
    <w:rsid w:val="00DB2737"/>
    <w:rsid w:val="00DB2B58"/>
    <w:rsid w:val="00DB2E23"/>
    <w:rsid w:val="00DB2E38"/>
    <w:rsid w:val="00DB305E"/>
    <w:rsid w:val="00DB318D"/>
    <w:rsid w:val="00DB3E61"/>
    <w:rsid w:val="00DB3E68"/>
    <w:rsid w:val="00DB3EEA"/>
    <w:rsid w:val="00DB4384"/>
    <w:rsid w:val="00DB445A"/>
    <w:rsid w:val="00DB44DE"/>
    <w:rsid w:val="00DB466E"/>
    <w:rsid w:val="00DB474F"/>
    <w:rsid w:val="00DB4C84"/>
    <w:rsid w:val="00DB533D"/>
    <w:rsid w:val="00DB541E"/>
    <w:rsid w:val="00DB55D1"/>
    <w:rsid w:val="00DB55E7"/>
    <w:rsid w:val="00DB5D51"/>
    <w:rsid w:val="00DB5D87"/>
    <w:rsid w:val="00DB5FD2"/>
    <w:rsid w:val="00DB6009"/>
    <w:rsid w:val="00DB60CD"/>
    <w:rsid w:val="00DB6228"/>
    <w:rsid w:val="00DB6469"/>
    <w:rsid w:val="00DB64C7"/>
    <w:rsid w:val="00DB66F4"/>
    <w:rsid w:val="00DB6705"/>
    <w:rsid w:val="00DB6E86"/>
    <w:rsid w:val="00DB6FC6"/>
    <w:rsid w:val="00DB711B"/>
    <w:rsid w:val="00DB768E"/>
    <w:rsid w:val="00DB76DF"/>
    <w:rsid w:val="00DB780C"/>
    <w:rsid w:val="00DB787C"/>
    <w:rsid w:val="00DC0489"/>
    <w:rsid w:val="00DC0886"/>
    <w:rsid w:val="00DC0923"/>
    <w:rsid w:val="00DC0E67"/>
    <w:rsid w:val="00DC117A"/>
    <w:rsid w:val="00DC1281"/>
    <w:rsid w:val="00DC147A"/>
    <w:rsid w:val="00DC14B9"/>
    <w:rsid w:val="00DC15B2"/>
    <w:rsid w:val="00DC1636"/>
    <w:rsid w:val="00DC1886"/>
    <w:rsid w:val="00DC1A13"/>
    <w:rsid w:val="00DC1C46"/>
    <w:rsid w:val="00DC20AA"/>
    <w:rsid w:val="00DC2148"/>
    <w:rsid w:val="00DC22DA"/>
    <w:rsid w:val="00DC24F6"/>
    <w:rsid w:val="00DC2D37"/>
    <w:rsid w:val="00DC334E"/>
    <w:rsid w:val="00DC33B8"/>
    <w:rsid w:val="00DC34F1"/>
    <w:rsid w:val="00DC3687"/>
    <w:rsid w:val="00DC3A7D"/>
    <w:rsid w:val="00DC3C0F"/>
    <w:rsid w:val="00DC3D77"/>
    <w:rsid w:val="00DC3E63"/>
    <w:rsid w:val="00DC3F13"/>
    <w:rsid w:val="00DC4348"/>
    <w:rsid w:val="00DC43C1"/>
    <w:rsid w:val="00DC443F"/>
    <w:rsid w:val="00DC44FD"/>
    <w:rsid w:val="00DC460E"/>
    <w:rsid w:val="00DC4646"/>
    <w:rsid w:val="00DC4720"/>
    <w:rsid w:val="00DC4803"/>
    <w:rsid w:val="00DC48F1"/>
    <w:rsid w:val="00DC4A1C"/>
    <w:rsid w:val="00DC4AF9"/>
    <w:rsid w:val="00DC514F"/>
    <w:rsid w:val="00DC5162"/>
    <w:rsid w:val="00DC52C6"/>
    <w:rsid w:val="00DC5445"/>
    <w:rsid w:val="00DC5511"/>
    <w:rsid w:val="00DC56BE"/>
    <w:rsid w:val="00DC5AA6"/>
    <w:rsid w:val="00DC5C2E"/>
    <w:rsid w:val="00DC619F"/>
    <w:rsid w:val="00DC61AE"/>
    <w:rsid w:val="00DC635A"/>
    <w:rsid w:val="00DC6969"/>
    <w:rsid w:val="00DC697F"/>
    <w:rsid w:val="00DC69BC"/>
    <w:rsid w:val="00DC6EDD"/>
    <w:rsid w:val="00DC6F75"/>
    <w:rsid w:val="00DC70EB"/>
    <w:rsid w:val="00DC7195"/>
    <w:rsid w:val="00DC744C"/>
    <w:rsid w:val="00DC746A"/>
    <w:rsid w:val="00DC74BB"/>
    <w:rsid w:val="00DC7B83"/>
    <w:rsid w:val="00DC7D02"/>
    <w:rsid w:val="00DC7D5C"/>
    <w:rsid w:val="00DC7D9E"/>
    <w:rsid w:val="00DC7E5C"/>
    <w:rsid w:val="00DC7E61"/>
    <w:rsid w:val="00DC7F25"/>
    <w:rsid w:val="00DC7F86"/>
    <w:rsid w:val="00DD0077"/>
    <w:rsid w:val="00DD0097"/>
    <w:rsid w:val="00DD00E0"/>
    <w:rsid w:val="00DD0299"/>
    <w:rsid w:val="00DD05B2"/>
    <w:rsid w:val="00DD05DB"/>
    <w:rsid w:val="00DD07F6"/>
    <w:rsid w:val="00DD0992"/>
    <w:rsid w:val="00DD0ADB"/>
    <w:rsid w:val="00DD0BA1"/>
    <w:rsid w:val="00DD0BC9"/>
    <w:rsid w:val="00DD0CBA"/>
    <w:rsid w:val="00DD130D"/>
    <w:rsid w:val="00DD13AB"/>
    <w:rsid w:val="00DD1563"/>
    <w:rsid w:val="00DD159C"/>
    <w:rsid w:val="00DD1A1A"/>
    <w:rsid w:val="00DD1C4E"/>
    <w:rsid w:val="00DD1CA6"/>
    <w:rsid w:val="00DD1E4B"/>
    <w:rsid w:val="00DD2024"/>
    <w:rsid w:val="00DD24B9"/>
    <w:rsid w:val="00DD26A6"/>
    <w:rsid w:val="00DD2AA6"/>
    <w:rsid w:val="00DD2AFA"/>
    <w:rsid w:val="00DD2B2E"/>
    <w:rsid w:val="00DD2CC2"/>
    <w:rsid w:val="00DD2FE3"/>
    <w:rsid w:val="00DD3026"/>
    <w:rsid w:val="00DD3922"/>
    <w:rsid w:val="00DD39EE"/>
    <w:rsid w:val="00DD3A5C"/>
    <w:rsid w:val="00DD3B86"/>
    <w:rsid w:val="00DD3C20"/>
    <w:rsid w:val="00DD3CFD"/>
    <w:rsid w:val="00DD3FC4"/>
    <w:rsid w:val="00DD47E1"/>
    <w:rsid w:val="00DD51D1"/>
    <w:rsid w:val="00DD5240"/>
    <w:rsid w:val="00DD5474"/>
    <w:rsid w:val="00DD5929"/>
    <w:rsid w:val="00DD5A0B"/>
    <w:rsid w:val="00DD5A70"/>
    <w:rsid w:val="00DD5C4C"/>
    <w:rsid w:val="00DD5DB7"/>
    <w:rsid w:val="00DD609A"/>
    <w:rsid w:val="00DD62F7"/>
    <w:rsid w:val="00DD641E"/>
    <w:rsid w:val="00DD6472"/>
    <w:rsid w:val="00DD664F"/>
    <w:rsid w:val="00DD6ADD"/>
    <w:rsid w:val="00DD6D87"/>
    <w:rsid w:val="00DD711B"/>
    <w:rsid w:val="00DD744F"/>
    <w:rsid w:val="00DD7602"/>
    <w:rsid w:val="00DD7788"/>
    <w:rsid w:val="00DD77ED"/>
    <w:rsid w:val="00DD784F"/>
    <w:rsid w:val="00DD7A71"/>
    <w:rsid w:val="00DD7C44"/>
    <w:rsid w:val="00DD7F75"/>
    <w:rsid w:val="00DE0213"/>
    <w:rsid w:val="00DE0457"/>
    <w:rsid w:val="00DE04A9"/>
    <w:rsid w:val="00DE077A"/>
    <w:rsid w:val="00DE083D"/>
    <w:rsid w:val="00DE0A0E"/>
    <w:rsid w:val="00DE0A46"/>
    <w:rsid w:val="00DE0B8B"/>
    <w:rsid w:val="00DE0F40"/>
    <w:rsid w:val="00DE1033"/>
    <w:rsid w:val="00DE114B"/>
    <w:rsid w:val="00DE11C6"/>
    <w:rsid w:val="00DE12C4"/>
    <w:rsid w:val="00DE13CE"/>
    <w:rsid w:val="00DE144D"/>
    <w:rsid w:val="00DE1577"/>
    <w:rsid w:val="00DE15D0"/>
    <w:rsid w:val="00DE1668"/>
    <w:rsid w:val="00DE174C"/>
    <w:rsid w:val="00DE1F91"/>
    <w:rsid w:val="00DE209A"/>
    <w:rsid w:val="00DE25C4"/>
    <w:rsid w:val="00DE25E8"/>
    <w:rsid w:val="00DE2618"/>
    <w:rsid w:val="00DE276C"/>
    <w:rsid w:val="00DE2978"/>
    <w:rsid w:val="00DE2A84"/>
    <w:rsid w:val="00DE2DF0"/>
    <w:rsid w:val="00DE2E3A"/>
    <w:rsid w:val="00DE334A"/>
    <w:rsid w:val="00DE339F"/>
    <w:rsid w:val="00DE33F0"/>
    <w:rsid w:val="00DE35C8"/>
    <w:rsid w:val="00DE37C9"/>
    <w:rsid w:val="00DE39BA"/>
    <w:rsid w:val="00DE3E12"/>
    <w:rsid w:val="00DE40CB"/>
    <w:rsid w:val="00DE4418"/>
    <w:rsid w:val="00DE463E"/>
    <w:rsid w:val="00DE4721"/>
    <w:rsid w:val="00DE4DEF"/>
    <w:rsid w:val="00DE4FB7"/>
    <w:rsid w:val="00DE50D1"/>
    <w:rsid w:val="00DE51CC"/>
    <w:rsid w:val="00DE5213"/>
    <w:rsid w:val="00DE5254"/>
    <w:rsid w:val="00DE530C"/>
    <w:rsid w:val="00DE539A"/>
    <w:rsid w:val="00DE58D6"/>
    <w:rsid w:val="00DE5A45"/>
    <w:rsid w:val="00DE5A7D"/>
    <w:rsid w:val="00DE5AE1"/>
    <w:rsid w:val="00DE5CD1"/>
    <w:rsid w:val="00DE60EB"/>
    <w:rsid w:val="00DE6954"/>
    <w:rsid w:val="00DE734D"/>
    <w:rsid w:val="00DE73B6"/>
    <w:rsid w:val="00DE7562"/>
    <w:rsid w:val="00DE7695"/>
    <w:rsid w:val="00DE7A4E"/>
    <w:rsid w:val="00DE7D3B"/>
    <w:rsid w:val="00DE7E75"/>
    <w:rsid w:val="00DE7F84"/>
    <w:rsid w:val="00DF0032"/>
    <w:rsid w:val="00DF022C"/>
    <w:rsid w:val="00DF02F9"/>
    <w:rsid w:val="00DF0346"/>
    <w:rsid w:val="00DF053C"/>
    <w:rsid w:val="00DF0725"/>
    <w:rsid w:val="00DF07F6"/>
    <w:rsid w:val="00DF0885"/>
    <w:rsid w:val="00DF092A"/>
    <w:rsid w:val="00DF094B"/>
    <w:rsid w:val="00DF0E91"/>
    <w:rsid w:val="00DF127D"/>
    <w:rsid w:val="00DF12A4"/>
    <w:rsid w:val="00DF1B94"/>
    <w:rsid w:val="00DF1DBA"/>
    <w:rsid w:val="00DF2098"/>
    <w:rsid w:val="00DF211C"/>
    <w:rsid w:val="00DF213F"/>
    <w:rsid w:val="00DF2244"/>
    <w:rsid w:val="00DF276E"/>
    <w:rsid w:val="00DF2A26"/>
    <w:rsid w:val="00DF2A6D"/>
    <w:rsid w:val="00DF2A76"/>
    <w:rsid w:val="00DF2B94"/>
    <w:rsid w:val="00DF2CAA"/>
    <w:rsid w:val="00DF2CC2"/>
    <w:rsid w:val="00DF2F2F"/>
    <w:rsid w:val="00DF2F83"/>
    <w:rsid w:val="00DF307A"/>
    <w:rsid w:val="00DF3094"/>
    <w:rsid w:val="00DF3411"/>
    <w:rsid w:val="00DF3556"/>
    <w:rsid w:val="00DF3A7F"/>
    <w:rsid w:val="00DF3FF5"/>
    <w:rsid w:val="00DF409F"/>
    <w:rsid w:val="00DF4420"/>
    <w:rsid w:val="00DF4915"/>
    <w:rsid w:val="00DF4F7A"/>
    <w:rsid w:val="00DF4FEA"/>
    <w:rsid w:val="00DF50FF"/>
    <w:rsid w:val="00DF52EA"/>
    <w:rsid w:val="00DF54B1"/>
    <w:rsid w:val="00DF55A9"/>
    <w:rsid w:val="00DF584B"/>
    <w:rsid w:val="00DF5A9F"/>
    <w:rsid w:val="00DF5AF1"/>
    <w:rsid w:val="00DF5D27"/>
    <w:rsid w:val="00DF5E24"/>
    <w:rsid w:val="00DF6493"/>
    <w:rsid w:val="00DF6670"/>
    <w:rsid w:val="00DF6816"/>
    <w:rsid w:val="00DF6859"/>
    <w:rsid w:val="00DF69E6"/>
    <w:rsid w:val="00DF6A3C"/>
    <w:rsid w:val="00DF6C80"/>
    <w:rsid w:val="00DF6F09"/>
    <w:rsid w:val="00DF712A"/>
    <w:rsid w:val="00DF7498"/>
    <w:rsid w:val="00DF776C"/>
    <w:rsid w:val="00DF7815"/>
    <w:rsid w:val="00DF79F3"/>
    <w:rsid w:val="00E00166"/>
    <w:rsid w:val="00E00209"/>
    <w:rsid w:val="00E005D5"/>
    <w:rsid w:val="00E00837"/>
    <w:rsid w:val="00E0091C"/>
    <w:rsid w:val="00E00A37"/>
    <w:rsid w:val="00E00BB6"/>
    <w:rsid w:val="00E00C64"/>
    <w:rsid w:val="00E00D99"/>
    <w:rsid w:val="00E010B7"/>
    <w:rsid w:val="00E01148"/>
    <w:rsid w:val="00E0146F"/>
    <w:rsid w:val="00E014DD"/>
    <w:rsid w:val="00E016C9"/>
    <w:rsid w:val="00E01835"/>
    <w:rsid w:val="00E01894"/>
    <w:rsid w:val="00E01A2C"/>
    <w:rsid w:val="00E01A71"/>
    <w:rsid w:val="00E01AA5"/>
    <w:rsid w:val="00E01C9B"/>
    <w:rsid w:val="00E01E1C"/>
    <w:rsid w:val="00E01E99"/>
    <w:rsid w:val="00E01EDD"/>
    <w:rsid w:val="00E01F11"/>
    <w:rsid w:val="00E02485"/>
    <w:rsid w:val="00E0261A"/>
    <w:rsid w:val="00E02920"/>
    <w:rsid w:val="00E02936"/>
    <w:rsid w:val="00E02D9C"/>
    <w:rsid w:val="00E02FC9"/>
    <w:rsid w:val="00E0332A"/>
    <w:rsid w:val="00E03512"/>
    <w:rsid w:val="00E0458A"/>
    <w:rsid w:val="00E047B1"/>
    <w:rsid w:val="00E047EF"/>
    <w:rsid w:val="00E04846"/>
    <w:rsid w:val="00E04D88"/>
    <w:rsid w:val="00E04E2E"/>
    <w:rsid w:val="00E04E95"/>
    <w:rsid w:val="00E05027"/>
    <w:rsid w:val="00E05339"/>
    <w:rsid w:val="00E053A6"/>
    <w:rsid w:val="00E0557E"/>
    <w:rsid w:val="00E05979"/>
    <w:rsid w:val="00E06036"/>
    <w:rsid w:val="00E060FC"/>
    <w:rsid w:val="00E064AC"/>
    <w:rsid w:val="00E06634"/>
    <w:rsid w:val="00E06708"/>
    <w:rsid w:val="00E069EA"/>
    <w:rsid w:val="00E06AD1"/>
    <w:rsid w:val="00E06AEC"/>
    <w:rsid w:val="00E06DC4"/>
    <w:rsid w:val="00E075CF"/>
    <w:rsid w:val="00E075DD"/>
    <w:rsid w:val="00E076BC"/>
    <w:rsid w:val="00E07B6C"/>
    <w:rsid w:val="00E07CCE"/>
    <w:rsid w:val="00E07E66"/>
    <w:rsid w:val="00E100F0"/>
    <w:rsid w:val="00E1025D"/>
    <w:rsid w:val="00E10323"/>
    <w:rsid w:val="00E103AB"/>
    <w:rsid w:val="00E103EC"/>
    <w:rsid w:val="00E10708"/>
    <w:rsid w:val="00E108A2"/>
    <w:rsid w:val="00E10CB6"/>
    <w:rsid w:val="00E10CB7"/>
    <w:rsid w:val="00E10CFA"/>
    <w:rsid w:val="00E10F1C"/>
    <w:rsid w:val="00E112B9"/>
    <w:rsid w:val="00E112CD"/>
    <w:rsid w:val="00E114CE"/>
    <w:rsid w:val="00E1161F"/>
    <w:rsid w:val="00E1168B"/>
    <w:rsid w:val="00E11F06"/>
    <w:rsid w:val="00E11FE1"/>
    <w:rsid w:val="00E12096"/>
    <w:rsid w:val="00E123B9"/>
    <w:rsid w:val="00E12428"/>
    <w:rsid w:val="00E127E0"/>
    <w:rsid w:val="00E128F0"/>
    <w:rsid w:val="00E12B14"/>
    <w:rsid w:val="00E12CBA"/>
    <w:rsid w:val="00E12D97"/>
    <w:rsid w:val="00E12E82"/>
    <w:rsid w:val="00E12EAB"/>
    <w:rsid w:val="00E13187"/>
    <w:rsid w:val="00E132FC"/>
    <w:rsid w:val="00E133B0"/>
    <w:rsid w:val="00E1392C"/>
    <w:rsid w:val="00E13BE4"/>
    <w:rsid w:val="00E13CAE"/>
    <w:rsid w:val="00E13CF8"/>
    <w:rsid w:val="00E13D6E"/>
    <w:rsid w:val="00E1414F"/>
    <w:rsid w:val="00E14684"/>
    <w:rsid w:val="00E147A0"/>
    <w:rsid w:val="00E149F8"/>
    <w:rsid w:val="00E14A21"/>
    <w:rsid w:val="00E14ACE"/>
    <w:rsid w:val="00E14B2D"/>
    <w:rsid w:val="00E14B77"/>
    <w:rsid w:val="00E15107"/>
    <w:rsid w:val="00E15889"/>
    <w:rsid w:val="00E1593E"/>
    <w:rsid w:val="00E15DD2"/>
    <w:rsid w:val="00E15E52"/>
    <w:rsid w:val="00E15E9A"/>
    <w:rsid w:val="00E15FA4"/>
    <w:rsid w:val="00E161A3"/>
    <w:rsid w:val="00E16264"/>
    <w:rsid w:val="00E162E4"/>
    <w:rsid w:val="00E168D6"/>
    <w:rsid w:val="00E16F50"/>
    <w:rsid w:val="00E170EC"/>
    <w:rsid w:val="00E170F9"/>
    <w:rsid w:val="00E171C4"/>
    <w:rsid w:val="00E17368"/>
    <w:rsid w:val="00E17537"/>
    <w:rsid w:val="00E176A4"/>
    <w:rsid w:val="00E1788F"/>
    <w:rsid w:val="00E17B2C"/>
    <w:rsid w:val="00E17B87"/>
    <w:rsid w:val="00E17D86"/>
    <w:rsid w:val="00E200F7"/>
    <w:rsid w:val="00E20133"/>
    <w:rsid w:val="00E2017E"/>
    <w:rsid w:val="00E2048D"/>
    <w:rsid w:val="00E204B5"/>
    <w:rsid w:val="00E2056F"/>
    <w:rsid w:val="00E206BA"/>
    <w:rsid w:val="00E20A93"/>
    <w:rsid w:val="00E2175C"/>
    <w:rsid w:val="00E21844"/>
    <w:rsid w:val="00E21D41"/>
    <w:rsid w:val="00E21E43"/>
    <w:rsid w:val="00E21FF2"/>
    <w:rsid w:val="00E22140"/>
    <w:rsid w:val="00E22A94"/>
    <w:rsid w:val="00E22CA0"/>
    <w:rsid w:val="00E22D17"/>
    <w:rsid w:val="00E230BB"/>
    <w:rsid w:val="00E23187"/>
    <w:rsid w:val="00E23831"/>
    <w:rsid w:val="00E23C22"/>
    <w:rsid w:val="00E23C36"/>
    <w:rsid w:val="00E23E3B"/>
    <w:rsid w:val="00E23F37"/>
    <w:rsid w:val="00E244CB"/>
    <w:rsid w:val="00E24792"/>
    <w:rsid w:val="00E24AE6"/>
    <w:rsid w:val="00E24FD1"/>
    <w:rsid w:val="00E252D7"/>
    <w:rsid w:val="00E253E2"/>
    <w:rsid w:val="00E2554E"/>
    <w:rsid w:val="00E257A7"/>
    <w:rsid w:val="00E257E0"/>
    <w:rsid w:val="00E2588A"/>
    <w:rsid w:val="00E259A3"/>
    <w:rsid w:val="00E259C7"/>
    <w:rsid w:val="00E25B4E"/>
    <w:rsid w:val="00E261C0"/>
    <w:rsid w:val="00E26805"/>
    <w:rsid w:val="00E26A84"/>
    <w:rsid w:val="00E26ADA"/>
    <w:rsid w:val="00E26BFF"/>
    <w:rsid w:val="00E26FEA"/>
    <w:rsid w:val="00E26FFF"/>
    <w:rsid w:val="00E2710E"/>
    <w:rsid w:val="00E2733D"/>
    <w:rsid w:val="00E2749E"/>
    <w:rsid w:val="00E274CF"/>
    <w:rsid w:val="00E27512"/>
    <w:rsid w:val="00E275CD"/>
    <w:rsid w:val="00E2795F"/>
    <w:rsid w:val="00E27996"/>
    <w:rsid w:val="00E27BE8"/>
    <w:rsid w:val="00E27BEE"/>
    <w:rsid w:val="00E27D61"/>
    <w:rsid w:val="00E27E5A"/>
    <w:rsid w:val="00E27FD7"/>
    <w:rsid w:val="00E30499"/>
    <w:rsid w:val="00E3049E"/>
    <w:rsid w:val="00E305AF"/>
    <w:rsid w:val="00E30AC1"/>
    <w:rsid w:val="00E30F5C"/>
    <w:rsid w:val="00E310C2"/>
    <w:rsid w:val="00E313DE"/>
    <w:rsid w:val="00E3171B"/>
    <w:rsid w:val="00E31B89"/>
    <w:rsid w:val="00E31BE8"/>
    <w:rsid w:val="00E31DC7"/>
    <w:rsid w:val="00E320EA"/>
    <w:rsid w:val="00E321EE"/>
    <w:rsid w:val="00E3227A"/>
    <w:rsid w:val="00E32399"/>
    <w:rsid w:val="00E329D5"/>
    <w:rsid w:val="00E32B04"/>
    <w:rsid w:val="00E32B2E"/>
    <w:rsid w:val="00E32ED3"/>
    <w:rsid w:val="00E32EED"/>
    <w:rsid w:val="00E33102"/>
    <w:rsid w:val="00E3334C"/>
    <w:rsid w:val="00E33BC3"/>
    <w:rsid w:val="00E33E72"/>
    <w:rsid w:val="00E33F69"/>
    <w:rsid w:val="00E34082"/>
    <w:rsid w:val="00E34107"/>
    <w:rsid w:val="00E3461C"/>
    <w:rsid w:val="00E34720"/>
    <w:rsid w:val="00E349FA"/>
    <w:rsid w:val="00E349FB"/>
    <w:rsid w:val="00E34F4A"/>
    <w:rsid w:val="00E3520F"/>
    <w:rsid w:val="00E35979"/>
    <w:rsid w:val="00E35D42"/>
    <w:rsid w:val="00E35E6C"/>
    <w:rsid w:val="00E36131"/>
    <w:rsid w:val="00E36330"/>
    <w:rsid w:val="00E36F2C"/>
    <w:rsid w:val="00E36F33"/>
    <w:rsid w:val="00E376BA"/>
    <w:rsid w:val="00E377B8"/>
    <w:rsid w:val="00E379F1"/>
    <w:rsid w:val="00E37A44"/>
    <w:rsid w:val="00E37AE7"/>
    <w:rsid w:val="00E37C8E"/>
    <w:rsid w:val="00E37E9F"/>
    <w:rsid w:val="00E40477"/>
    <w:rsid w:val="00E40629"/>
    <w:rsid w:val="00E40AC6"/>
    <w:rsid w:val="00E40B0C"/>
    <w:rsid w:val="00E40C56"/>
    <w:rsid w:val="00E40D77"/>
    <w:rsid w:val="00E40DBF"/>
    <w:rsid w:val="00E40E06"/>
    <w:rsid w:val="00E40EB5"/>
    <w:rsid w:val="00E412C1"/>
    <w:rsid w:val="00E41831"/>
    <w:rsid w:val="00E41A17"/>
    <w:rsid w:val="00E41A2F"/>
    <w:rsid w:val="00E41AA4"/>
    <w:rsid w:val="00E423B0"/>
    <w:rsid w:val="00E425AB"/>
    <w:rsid w:val="00E4271C"/>
    <w:rsid w:val="00E42762"/>
    <w:rsid w:val="00E427E1"/>
    <w:rsid w:val="00E4280D"/>
    <w:rsid w:val="00E42ACA"/>
    <w:rsid w:val="00E42C39"/>
    <w:rsid w:val="00E42F96"/>
    <w:rsid w:val="00E430A1"/>
    <w:rsid w:val="00E431D4"/>
    <w:rsid w:val="00E43289"/>
    <w:rsid w:val="00E43AB6"/>
    <w:rsid w:val="00E43B5B"/>
    <w:rsid w:val="00E43D59"/>
    <w:rsid w:val="00E43E1E"/>
    <w:rsid w:val="00E43E54"/>
    <w:rsid w:val="00E43E6B"/>
    <w:rsid w:val="00E43E82"/>
    <w:rsid w:val="00E43FDE"/>
    <w:rsid w:val="00E44306"/>
    <w:rsid w:val="00E44422"/>
    <w:rsid w:val="00E44715"/>
    <w:rsid w:val="00E44990"/>
    <w:rsid w:val="00E449E7"/>
    <w:rsid w:val="00E44BEF"/>
    <w:rsid w:val="00E44C58"/>
    <w:rsid w:val="00E44CBB"/>
    <w:rsid w:val="00E44DCF"/>
    <w:rsid w:val="00E44E3A"/>
    <w:rsid w:val="00E450A0"/>
    <w:rsid w:val="00E452D2"/>
    <w:rsid w:val="00E45428"/>
    <w:rsid w:val="00E4552E"/>
    <w:rsid w:val="00E45546"/>
    <w:rsid w:val="00E45585"/>
    <w:rsid w:val="00E455FB"/>
    <w:rsid w:val="00E45706"/>
    <w:rsid w:val="00E45990"/>
    <w:rsid w:val="00E45A8F"/>
    <w:rsid w:val="00E45AE2"/>
    <w:rsid w:val="00E45AEB"/>
    <w:rsid w:val="00E45BA6"/>
    <w:rsid w:val="00E45C9A"/>
    <w:rsid w:val="00E45E21"/>
    <w:rsid w:val="00E45F02"/>
    <w:rsid w:val="00E4609D"/>
    <w:rsid w:val="00E460E0"/>
    <w:rsid w:val="00E46A98"/>
    <w:rsid w:val="00E46AC1"/>
    <w:rsid w:val="00E46B0B"/>
    <w:rsid w:val="00E46D27"/>
    <w:rsid w:val="00E46E15"/>
    <w:rsid w:val="00E46F3A"/>
    <w:rsid w:val="00E47133"/>
    <w:rsid w:val="00E50128"/>
    <w:rsid w:val="00E50138"/>
    <w:rsid w:val="00E502D5"/>
    <w:rsid w:val="00E50841"/>
    <w:rsid w:val="00E50B99"/>
    <w:rsid w:val="00E50CD1"/>
    <w:rsid w:val="00E50D05"/>
    <w:rsid w:val="00E50EE3"/>
    <w:rsid w:val="00E51022"/>
    <w:rsid w:val="00E510DF"/>
    <w:rsid w:val="00E511F5"/>
    <w:rsid w:val="00E513C7"/>
    <w:rsid w:val="00E513EF"/>
    <w:rsid w:val="00E51509"/>
    <w:rsid w:val="00E51530"/>
    <w:rsid w:val="00E515EF"/>
    <w:rsid w:val="00E517B7"/>
    <w:rsid w:val="00E517D0"/>
    <w:rsid w:val="00E518A6"/>
    <w:rsid w:val="00E5197C"/>
    <w:rsid w:val="00E51FBA"/>
    <w:rsid w:val="00E52209"/>
    <w:rsid w:val="00E52223"/>
    <w:rsid w:val="00E522F8"/>
    <w:rsid w:val="00E5261E"/>
    <w:rsid w:val="00E52821"/>
    <w:rsid w:val="00E52930"/>
    <w:rsid w:val="00E52978"/>
    <w:rsid w:val="00E52C47"/>
    <w:rsid w:val="00E52D13"/>
    <w:rsid w:val="00E52D41"/>
    <w:rsid w:val="00E52F9F"/>
    <w:rsid w:val="00E53043"/>
    <w:rsid w:val="00E5304D"/>
    <w:rsid w:val="00E5320E"/>
    <w:rsid w:val="00E53617"/>
    <w:rsid w:val="00E53FA3"/>
    <w:rsid w:val="00E540B0"/>
    <w:rsid w:val="00E540FC"/>
    <w:rsid w:val="00E5439B"/>
    <w:rsid w:val="00E5445F"/>
    <w:rsid w:val="00E54611"/>
    <w:rsid w:val="00E54914"/>
    <w:rsid w:val="00E549B3"/>
    <w:rsid w:val="00E54B1E"/>
    <w:rsid w:val="00E54B24"/>
    <w:rsid w:val="00E54F0E"/>
    <w:rsid w:val="00E54F98"/>
    <w:rsid w:val="00E55CE7"/>
    <w:rsid w:val="00E55EA4"/>
    <w:rsid w:val="00E55F37"/>
    <w:rsid w:val="00E561C9"/>
    <w:rsid w:val="00E56462"/>
    <w:rsid w:val="00E56720"/>
    <w:rsid w:val="00E56942"/>
    <w:rsid w:val="00E56AF4"/>
    <w:rsid w:val="00E56BA4"/>
    <w:rsid w:val="00E56E8E"/>
    <w:rsid w:val="00E56FCF"/>
    <w:rsid w:val="00E5747C"/>
    <w:rsid w:val="00E57588"/>
    <w:rsid w:val="00E575ED"/>
    <w:rsid w:val="00E57642"/>
    <w:rsid w:val="00E57833"/>
    <w:rsid w:val="00E5789F"/>
    <w:rsid w:val="00E578E7"/>
    <w:rsid w:val="00E579EF"/>
    <w:rsid w:val="00E57A1D"/>
    <w:rsid w:val="00E57BDE"/>
    <w:rsid w:val="00E57F67"/>
    <w:rsid w:val="00E6000C"/>
    <w:rsid w:val="00E6042C"/>
    <w:rsid w:val="00E604EB"/>
    <w:rsid w:val="00E6089C"/>
    <w:rsid w:val="00E60C8F"/>
    <w:rsid w:val="00E60EFE"/>
    <w:rsid w:val="00E61177"/>
    <w:rsid w:val="00E612AD"/>
    <w:rsid w:val="00E612DD"/>
    <w:rsid w:val="00E615FE"/>
    <w:rsid w:val="00E62010"/>
    <w:rsid w:val="00E623F5"/>
    <w:rsid w:val="00E625BB"/>
    <w:rsid w:val="00E62899"/>
    <w:rsid w:val="00E62CE1"/>
    <w:rsid w:val="00E62D64"/>
    <w:rsid w:val="00E62DA9"/>
    <w:rsid w:val="00E62EEB"/>
    <w:rsid w:val="00E63174"/>
    <w:rsid w:val="00E638D7"/>
    <w:rsid w:val="00E63B36"/>
    <w:rsid w:val="00E63DF5"/>
    <w:rsid w:val="00E64061"/>
    <w:rsid w:val="00E6459F"/>
    <w:rsid w:val="00E64A59"/>
    <w:rsid w:val="00E64AC7"/>
    <w:rsid w:val="00E64AE5"/>
    <w:rsid w:val="00E64F85"/>
    <w:rsid w:val="00E65054"/>
    <w:rsid w:val="00E6512E"/>
    <w:rsid w:val="00E65240"/>
    <w:rsid w:val="00E654E0"/>
    <w:rsid w:val="00E65614"/>
    <w:rsid w:val="00E65780"/>
    <w:rsid w:val="00E65A4E"/>
    <w:rsid w:val="00E65A57"/>
    <w:rsid w:val="00E65CEF"/>
    <w:rsid w:val="00E65DB8"/>
    <w:rsid w:val="00E65F43"/>
    <w:rsid w:val="00E66242"/>
    <w:rsid w:val="00E664FC"/>
    <w:rsid w:val="00E665D7"/>
    <w:rsid w:val="00E6668E"/>
    <w:rsid w:val="00E66736"/>
    <w:rsid w:val="00E66981"/>
    <w:rsid w:val="00E66B0D"/>
    <w:rsid w:val="00E66B33"/>
    <w:rsid w:val="00E66DEB"/>
    <w:rsid w:val="00E66E71"/>
    <w:rsid w:val="00E6720F"/>
    <w:rsid w:val="00E672E6"/>
    <w:rsid w:val="00E67415"/>
    <w:rsid w:val="00E678A9"/>
    <w:rsid w:val="00E67E56"/>
    <w:rsid w:val="00E70123"/>
    <w:rsid w:val="00E70466"/>
    <w:rsid w:val="00E70917"/>
    <w:rsid w:val="00E71029"/>
    <w:rsid w:val="00E7113B"/>
    <w:rsid w:val="00E714CF"/>
    <w:rsid w:val="00E71941"/>
    <w:rsid w:val="00E71D39"/>
    <w:rsid w:val="00E71E07"/>
    <w:rsid w:val="00E72050"/>
    <w:rsid w:val="00E72220"/>
    <w:rsid w:val="00E72DAD"/>
    <w:rsid w:val="00E72FF1"/>
    <w:rsid w:val="00E73052"/>
    <w:rsid w:val="00E730DF"/>
    <w:rsid w:val="00E731DA"/>
    <w:rsid w:val="00E73404"/>
    <w:rsid w:val="00E73497"/>
    <w:rsid w:val="00E735A0"/>
    <w:rsid w:val="00E7367F"/>
    <w:rsid w:val="00E736A9"/>
    <w:rsid w:val="00E73845"/>
    <w:rsid w:val="00E739E9"/>
    <w:rsid w:val="00E73A88"/>
    <w:rsid w:val="00E73B33"/>
    <w:rsid w:val="00E73C0B"/>
    <w:rsid w:val="00E74129"/>
    <w:rsid w:val="00E7425C"/>
    <w:rsid w:val="00E745D7"/>
    <w:rsid w:val="00E746BD"/>
    <w:rsid w:val="00E74B85"/>
    <w:rsid w:val="00E74BF5"/>
    <w:rsid w:val="00E74C48"/>
    <w:rsid w:val="00E7505C"/>
    <w:rsid w:val="00E752CD"/>
    <w:rsid w:val="00E75581"/>
    <w:rsid w:val="00E757B8"/>
    <w:rsid w:val="00E75CB6"/>
    <w:rsid w:val="00E75D26"/>
    <w:rsid w:val="00E75D8F"/>
    <w:rsid w:val="00E75E0D"/>
    <w:rsid w:val="00E75EDE"/>
    <w:rsid w:val="00E76227"/>
    <w:rsid w:val="00E7643D"/>
    <w:rsid w:val="00E768DE"/>
    <w:rsid w:val="00E769A6"/>
    <w:rsid w:val="00E76CE9"/>
    <w:rsid w:val="00E76FED"/>
    <w:rsid w:val="00E77018"/>
    <w:rsid w:val="00E7705B"/>
    <w:rsid w:val="00E77172"/>
    <w:rsid w:val="00E77202"/>
    <w:rsid w:val="00E77267"/>
    <w:rsid w:val="00E774B4"/>
    <w:rsid w:val="00E7766A"/>
    <w:rsid w:val="00E778BF"/>
    <w:rsid w:val="00E77B25"/>
    <w:rsid w:val="00E77C25"/>
    <w:rsid w:val="00E77CEE"/>
    <w:rsid w:val="00E77E48"/>
    <w:rsid w:val="00E77F19"/>
    <w:rsid w:val="00E77F36"/>
    <w:rsid w:val="00E80037"/>
    <w:rsid w:val="00E80111"/>
    <w:rsid w:val="00E80893"/>
    <w:rsid w:val="00E80F14"/>
    <w:rsid w:val="00E8125F"/>
    <w:rsid w:val="00E81295"/>
    <w:rsid w:val="00E81387"/>
    <w:rsid w:val="00E8154E"/>
    <w:rsid w:val="00E815BA"/>
    <w:rsid w:val="00E819F0"/>
    <w:rsid w:val="00E81D5A"/>
    <w:rsid w:val="00E82036"/>
    <w:rsid w:val="00E8226C"/>
    <w:rsid w:val="00E8283C"/>
    <w:rsid w:val="00E8283E"/>
    <w:rsid w:val="00E828D1"/>
    <w:rsid w:val="00E828F8"/>
    <w:rsid w:val="00E82A01"/>
    <w:rsid w:val="00E82B3B"/>
    <w:rsid w:val="00E82BDA"/>
    <w:rsid w:val="00E82D59"/>
    <w:rsid w:val="00E8308F"/>
    <w:rsid w:val="00E835A1"/>
    <w:rsid w:val="00E835BC"/>
    <w:rsid w:val="00E83B25"/>
    <w:rsid w:val="00E83C36"/>
    <w:rsid w:val="00E83D3A"/>
    <w:rsid w:val="00E84294"/>
    <w:rsid w:val="00E845AF"/>
    <w:rsid w:val="00E84886"/>
    <w:rsid w:val="00E84C79"/>
    <w:rsid w:val="00E84ED4"/>
    <w:rsid w:val="00E85642"/>
    <w:rsid w:val="00E857DB"/>
    <w:rsid w:val="00E85823"/>
    <w:rsid w:val="00E85A24"/>
    <w:rsid w:val="00E85B77"/>
    <w:rsid w:val="00E85F01"/>
    <w:rsid w:val="00E85F9B"/>
    <w:rsid w:val="00E86087"/>
    <w:rsid w:val="00E860DF"/>
    <w:rsid w:val="00E860E4"/>
    <w:rsid w:val="00E862DB"/>
    <w:rsid w:val="00E86807"/>
    <w:rsid w:val="00E86973"/>
    <w:rsid w:val="00E86D8A"/>
    <w:rsid w:val="00E86FF2"/>
    <w:rsid w:val="00E870F3"/>
    <w:rsid w:val="00E875F6"/>
    <w:rsid w:val="00E876EE"/>
    <w:rsid w:val="00E87995"/>
    <w:rsid w:val="00E87CAF"/>
    <w:rsid w:val="00E87CC3"/>
    <w:rsid w:val="00E87D3D"/>
    <w:rsid w:val="00E87E4F"/>
    <w:rsid w:val="00E90776"/>
    <w:rsid w:val="00E90B82"/>
    <w:rsid w:val="00E90DD3"/>
    <w:rsid w:val="00E90E21"/>
    <w:rsid w:val="00E9152F"/>
    <w:rsid w:val="00E91883"/>
    <w:rsid w:val="00E91A50"/>
    <w:rsid w:val="00E91A96"/>
    <w:rsid w:val="00E91B8E"/>
    <w:rsid w:val="00E91DEB"/>
    <w:rsid w:val="00E91E17"/>
    <w:rsid w:val="00E91F46"/>
    <w:rsid w:val="00E9213A"/>
    <w:rsid w:val="00E92260"/>
    <w:rsid w:val="00E926FB"/>
    <w:rsid w:val="00E92A03"/>
    <w:rsid w:val="00E92DCB"/>
    <w:rsid w:val="00E92F21"/>
    <w:rsid w:val="00E93014"/>
    <w:rsid w:val="00E93136"/>
    <w:rsid w:val="00E93EBA"/>
    <w:rsid w:val="00E93F15"/>
    <w:rsid w:val="00E9420D"/>
    <w:rsid w:val="00E944B9"/>
    <w:rsid w:val="00E94A83"/>
    <w:rsid w:val="00E94BCB"/>
    <w:rsid w:val="00E94D36"/>
    <w:rsid w:val="00E94D9E"/>
    <w:rsid w:val="00E94DE1"/>
    <w:rsid w:val="00E94F86"/>
    <w:rsid w:val="00E954D1"/>
    <w:rsid w:val="00E95688"/>
    <w:rsid w:val="00E95806"/>
    <w:rsid w:val="00E958B1"/>
    <w:rsid w:val="00E95B58"/>
    <w:rsid w:val="00E96021"/>
    <w:rsid w:val="00E96088"/>
    <w:rsid w:val="00E960EF"/>
    <w:rsid w:val="00E9659D"/>
    <w:rsid w:val="00E96673"/>
    <w:rsid w:val="00E96683"/>
    <w:rsid w:val="00E96928"/>
    <w:rsid w:val="00E96B0D"/>
    <w:rsid w:val="00E96BA5"/>
    <w:rsid w:val="00E96BA9"/>
    <w:rsid w:val="00E96DFB"/>
    <w:rsid w:val="00E96F0A"/>
    <w:rsid w:val="00E96FF5"/>
    <w:rsid w:val="00E97087"/>
    <w:rsid w:val="00E97224"/>
    <w:rsid w:val="00E9731C"/>
    <w:rsid w:val="00E9774A"/>
    <w:rsid w:val="00E97984"/>
    <w:rsid w:val="00E97A6C"/>
    <w:rsid w:val="00EA00BB"/>
    <w:rsid w:val="00EA019B"/>
    <w:rsid w:val="00EA01F7"/>
    <w:rsid w:val="00EA03F8"/>
    <w:rsid w:val="00EA0619"/>
    <w:rsid w:val="00EA0CD3"/>
    <w:rsid w:val="00EA0E51"/>
    <w:rsid w:val="00EA146F"/>
    <w:rsid w:val="00EA166C"/>
    <w:rsid w:val="00EA18C5"/>
    <w:rsid w:val="00EA1C69"/>
    <w:rsid w:val="00EA1E38"/>
    <w:rsid w:val="00EA1F0A"/>
    <w:rsid w:val="00EA1FBC"/>
    <w:rsid w:val="00EA2160"/>
    <w:rsid w:val="00EA2162"/>
    <w:rsid w:val="00EA2189"/>
    <w:rsid w:val="00EA262D"/>
    <w:rsid w:val="00EA27E3"/>
    <w:rsid w:val="00EA288C"/>
    <w:rsid w:val="00EA2CC9"/>
    <w:rsid w:val="00EA2EFF"/>
    <w:rsid w:val="00EA3611"/>
    <w:rsid w:val="00EA36D5"/>
    <w:rsid w:val="00EA3A7D"/>
    <w:rsid w:val="00EA3FA8"/>
    <w:rsid w:val="00EA46AA"/>
    <w:rsid w:val="00EA480B"/>
    <w:rsid w:val="00EA4C1C"/>
    <w:rsid w:val="00EA4C9F"/>
    <w:rsid w:val="00EA4DB7"/>
    <w:rsid w:val="00EA4E0A"/>
    <w:rsid w:val="00EA5250"/>
    <w:rsid w:val="00EA5401"/>
    <w:rsid w:val="00EA582E"/>
    <w:rsid w:val="00EA5B77"/>
    <w:rsid w:val="00EA5B8B"/>
    <w:rsid w:val="00EA6252"/>
    <w:rsid w:val="00EA63EB"/>
    <w:rsid w:val="00EA6540"/>
    <w:rsid w:val="00EA6541"/>
    <w:rsid w:val="00EA6789"/>
    <w:rsid w:val="00EA68AF"/>
    <w:rsid w:val="00EA6A82"/>
    <w:rsid w:val="00EA6B0C"/>
    <w:rsid w:val="00EA6F04"/>
    <w:rsid w:val="00EA6FC8"/>
    <w:rsid w:val="00EA707A"/>
    <w:rsid w:val="00EA71C9"/>
    <w:rsid w:val="00EA729A"/>
    <w:rsid w:val="00EA7535"/>
    <w:rsid w:val="00EA76B8"/>
    <w:rsid w:val="00EA7E5E"/>
    <w:rsid w:val="00EB045D"/>
    <w:rsid w:val="00EB0508"/>
    <w:rsid w:val="00EB082E"/>
    <w:rsid w:val="00EB087B"/>
    <w:rsid w:val="00EB0A14"/>
    <w:rsid w:val="00EB0C65"/>
    <w:rsid w:val="00EB0DBD"/>
    <w:rsid w:val="00EB0F67"/>
    <w:rsid w:val="00EB10B7"/>
    <w:rsid w:val="00EB1545"/>
    <w:rsid w:val="00EB162D"/>
    <w:rsid w:val="00EB1CC1"/>
    <w:rsid w:val="00EB1E05"/>
    <w:rsid w:val="00EB20A3"/>
    <w:rsid w:val="00EB2126"/>
    <w:rsid w:val="00EB2357"/>
    <w:rsid w:val="00EB2772"/>
    <w:rsid w:val="00EB27DB"/>
    <w:rsid w:val="00EB2893"/>
    <w:rsid w:val="00EB2B1C"/>
    <w:rsid w:val="00EB2C2E"/>
    <w:rsid w:val="00EB32FA"/>
    <w:rsid w:val="00EB34C0"/>
    <w:rsid w:val="00EB350B"/>
    <w:rsid w:val="00EB35D3"/>
    <w:rsid w:val="00EB3819"/>
    <w:rsid w:val="00EB38BB"/>
    <w:rsid w:val="00EB3909"/>
    <w:rsid w:val="00EB3EAC"/>
    <w:rsid w:val="00EB3ED1"/>
    <w:rsid w:val="00EB42C7"/>
    <w:rsid w:val="00EB4696"/>
    <w:rsid w:val="00EB4A96"/>
    <w:rsid w:val="00EB4BAF"/>
    <w:rsid w:val="00EB4FE1"/>
    <w:rsid w:val="00EB4FFB"/>
    <w:rsid w:val="00EB524C"/>
    <w:rsid w:val="00EB5411"/>
    <w:rsid w:val="00EB5535"/>
    <w:rsid w:val="00EB55E2"/>
    <w:rsid w:val="00EB5BDA"/>
    <w:rsid w:val="00EB5C9D"/>
    <w:rsid w:val="00EB5FDB"/>
    <w:rsid w:val="00EB6050"/>
    <w:rsid w:val="00EB6264"/>
    <w:rsid w:val="00EB640F"/>
    <w:rsid w:val="00EB7055"/>
    <w:rsid w:val="00EB7354"/>
    <w:rsid w:val="00EB7419"/>
    <w:rsid w:val="00EB77EC"/>
    <w:rsid w:val="00EB79F9"/>
    <w:rsid w:val="00EB7B87"/>
    <w:rsid w:val="00EB7D36"/>
    <w:rsid w:val="00EB7E80"/>
    <w:rsid w:val="00EC058F"/>
    <w:rsid w:val="00EC0A70"/>
    <w:rsid w:val="00EC0D82"/>
    <w:rsid w:val="00EC10CB"/>
    <w:rsid w:val="00EC1362"/>
    <w:rsid w:val="00EC13ED"/>
    <w:rsid w:val="00EC1622"/>
    <w:rsid w:val="00EC169C"/>
    <w:rsid w:val="00EC17AE"/>
    <w:rsid w:val="00EC1BF5"/>
    <w:rsid w:val="00EC1C59"/>
    <w:rsid w:val="00EC237C"/>
    <w:rsid w:val="00EC2473"/>
    <w:rsid w:val="00EC25F2"/>
    <w:rsid w:val="00EC262C"/>
    <w:rsid w:val="00EC29E6"/>
    <w:rsid w:val="00EC2A15"/>
    <w:rsid w:val="00EC2B4E"/>
    <w:rsid w:val="00EC2B9A"/>
    <w:rsid w:val="00EC2DB6"/>
    <w:rsid w:val="00EC304C"/>
    <w:rsid w:val="00EC328C"/>
    <w:rsid w:val="00EC350C"/>
    <w:rsid w:val="00EC3531"/>
    <w:rsid w:val="00EC36AA"/>
    <w:rsid w:val="00EC372E"/>
    <w:rsid w:val="00EC3973"/>
    <w:rsid w:val="00EC3B78"/>
    <w:rsid w:val="00EC3CB9"/>
    <w:rsid w:val="00EC402D"/>
    <w:rsid w:val="00EC41DD"/>
    <w:rsid w:val="00EC4310"/>
    <w:rsid w:val="00EC44BB"/>
    <w:rsid w:val="00EC48A6"/>
    <w:rsid w:val="00EC49A8"/>
    <w:rsid w:val="00EC4D9F"/>
    <w:rsid w:val="00EC54DC"/>
    <w:rsid w:val="00EC5747"/>
    <w:rsid w:val="00EC59B6"/>
    <w:rsid w:val="00EC59FF"/>
    <w:rsid w:val="00EC5B7A"/>
    <w:rsid w:val="00EC5CED"/>
    <w:rsid w:val="00EC5D96"/>
    <w:rsid w:val="00EC5E1E"/>
    <w:rsid w:val="00EC62CD"/>
    <w:rsid w:val="00EC6659"/>
    <w:rsid w:val="00EC66D6"/>
    <w:rsid w:val="00EC690B"/>
    <w:rsid w:val="00EC6C6F"/>
    <w:rsid w:val="00EC6CA7"/>
    <w:rsid w:val="00EC6D05"/>
    <w:rsid w:val="00EC6D82"/>
    <w:rsid w:val="00EC6E28"/>
    <w:rsid w:val="00EC7088"/>
    <w:rsid w:val="00EC7610"/>
    <w:rsid w:val="00EC781A"/>
    <w:rsid w:val="00EC7868"/>
    <w:rsid w:val="00EC78B3"/>
    <w:rsid w:val="00EC78BD"/>
    <w:rsid w:val="00EC7A28"/>
    <w:rsid w:val="00EC7F2E"/>
    <w:rsid w:val="00ED0630"/>
    <w:rsid w:val="00ED087E"/>
    <w:rsid w:val="00ED0886"/>
    <w:rsid w:val="00ED0BA0"/>
    <w:rsid w:val="00ED0D99"/>
    <w:rsid w:val="00ED0F47"/>
    <w:rsid w:val="00ED1090"/>
    <w:rsid w:val="00ED118C"/>
    <w:rsid w:val="00ED12BF"/>
    <w:rsid w:val="00ED145C"/>
    <w:rsid w:val="00ED1471"/>
    <w:rsid w:val="00ED14CF"/>
    <w:rsid w:val="00ED17C3"/>
    <w:rsid w:val="00ED1AA1"/>
    <w:rsid w:val="00ED1D9E"/>
    <w:rsid w:val="00ED1EA6"/>
    <w:rsid w:val="00ED21B5"/>
    <w:rsid w:val="00ED2340"/>
    <w:rsid w:val="00ED2381"/>
    <w:rsid w:val="00ED25AB"/>
    <w:rsid w:val="00ED2859"/>
    <w:rsid w:val="00ED2B11"/>
    <w:rsid w:val="00ED2BAC"/>
    <w:rsid w:val="00ED2FAB"/>
    <w:rsid w:val="00ED32F7"/>
    <w:rsid w:val="00ED3504"/>
    <w:rsid w:val="00ED35CA"/>
    <w:rsid w:val="00ED3683"/>
    <w:rsid w:val="00ED3814"/>
    <w:rsid w:val="00ED38C7"/>
    <w:rsid w:val="00ED3B83"/>
    <w:rsid w:val="00ED3BE2"/>
    <w:rsid w:val="00ED3CD8"/>
    <w:rsid w:val="00ED42CA"/>
    <w:rsid w:val="00ED44CB"/>
    <w:rsid w:val="00ED4F0D"/>
    <w:rsid w:val="00ED5012"/>
    <w:rsid w:val="00ED5221"/>
    <w:rsid w:val="00ED569A"/>
    <w:rsid w:val="00ED5B92"/>
    <w:rsid w:val="00ED5E3A"/>
    <w:rsid w:val="00ED60B7"/>
    <w:rsid w:val="00ED63D3"/>
    <w:rsid w:val="00ED65FA"/>
    <w:rsid w:val="00ED67DF"/>
    <w:rsid w:val="00ED6B2F"/>
    <w:rsid w:val="00ED6C50"/>
    <w:rsid w:val="00ED6D26"/>
    <w:rsid w:val="00ED6D4A"/>
    <w:rsid w:val="00ED6E3C"/>
    <w:rsid w:val="00ED725B"/>
    <w:rsid w:val="00ED736D"/>
    <w:rsid w:val="00ED7542"/>
    <w:rsid w:val="00ED7791"/>
    <w:rsid w:val="00ED7BD7"/>
    <w:rsid w:val="00ED7C63"/>
    <w:rsid w:val="00EE00A8"/>
    <w:rsid w:val="00EE035C"/>
    <w:rsid w:val="00EE0410"/>
    <w:rsid w:val="00EE053B"/>
    <w:rsid w:val="00EE0603"/>
    <w:rsid w:val="00EE06A5"/>
    <w:rsid w:val="00EE0975"/>
    <w:rsid w:val="00EE0AEC"/>
    <w:rsid w:val="00EE0BCD"/>
    <w:rsid w:val="00EE0F17"/>
    <w:rsid w:val="00EE0FF7"/>
    <w:rsid w:val="00EE12E3"/>
    <w:rsid w:val="00EE1364"/>
    <w:rsid w:val="00EE143D"/>
    <w:rsid w:val="00EE1498"/>
    <w:rsid w:val="00EE15D4"/>
    <w:rsid w:val="00EE162E"/>
    <w:rsid w:val="00EE16CF"/>
    <w:rsid w:val="00EE16D3"/>
    <w:rsid w:val="00EE183B"/>
    <w:rsid w:val="00EE1878"/>
    <w:rsid w:val="00EE1A74"/>
    <w:rsid w:val="00EE219A"/>
    <w:rsid w:val="00EE2954"/>
    <w:rsid w:val="00EE3008"/>
    <w:rsid w:val="00EE3022"/>
    <w:rsid w:val="00EE3481"/>
    <w:rsid w:val="00EE349F"/>
    <w:rsid w:val="00EE3709"/>
    <w:rsid w:val="00EE37BD"/>
    <w:rsid w:val="00EE37E4"/>
    <w:rsid w:val="00EE39EB"/>
    <w:rsid w:val="00EE3B50"/>
    <w:rsid w:val="00EE3C9F"/>
    <w:rsid w:val="00EE3E62"/>
    <w:rsid w:val="00EE4540"/>
    <w:rsid w:val="00EE486C"/>
    <w:rsid w:val="00EE489D"/>
    <w:rsid w:val="00EE5131"/>
    <w:rsid w:val="00EE5465"/>
    <w:rsid w:val="00EE55E1"/>
    <w:rsid w:val="00EE56CB"/>
    <w:rsid w:val="00EE5806"/>
    <w:rsid w:val="00EE5B1D"/>
    <w:rsid w:val="00EE5B7F"/>
    <w:rsid w:val="00EE5CBC"/>
    <w:rsid w:val="00EE6017"/>
    <w:rsid w:val="00EE61D1"/>
    <w:rsid w:val="00EE650C"/>
    <w:rsid w:val="00EE6860"/>
    <w:rsid w:val="00EE68A0"/>
    <w:rsid w:val="00EE694D"/>
    <w:rsid w:val="00EE6C81"/>
    <w:rsid w:val="00EE71AF"/>
    <w:rsid w:val="00EE7211"/>
    <w:rsid w:val="00EE7555"/>
    <w:rsid w:val="00EE773D"/>
    <w:rsid w:val="00EE7AFC"/>
    <w:rsid w:val="00EE7D1D"/>
    <w:rsid w:val="00EE7F3E"/>
    <w:rsid w:val="00EF006A"/>
    <w:rsid w:val="00EF039A"/>
    <w:rsid w:val="00EF03BF"/>
    <w:rsid w:val="00EF047E"/>
    <w:rsid w:val="00EF0492"/>
    <w:rsid w:val="00EF04A2"/>
    <w:rsid w:val="00EF0747"/>
    <w:rsid w:val="00EF0AF2"/>
    <w:rsid w:val="00EF0FD7"/>
    <w:rsid w:val="00EF1241"/>
    <w:rsid w:val="00EF1300"/>
    <w:rsid w:val="00EF159E"/>
    <w:rsid w:val="00EF1728"/>
    <w:rsid w:val="00EF1BD8"/>
    <w:rsid w:val="00EF2234"/>
    <w:rsid w:val="00EF2359"/>
    <w:rsid w:val="00EF24A4"/>
    <w:rsid w:val="00EF270C"/>
    <w:rsid w:val="00EF2816"/>
    <w:rsid w:val="00EF2A34"/>
    <w:rsid w:val="00EF2A88"/>
    <w:rsid w:val="00EF2E91"/>
    <w:rsid w:val="00EF309A"/>
    <w:rsid w:val="00EF33CE"/>
    <w:rsid w:val="00EF34D7"/>
    <w:rsid w:val="00EF3605"/>
    <w:rsid w:val="00EF372F"/>
    <w:rsid w:val="00EF37FF"/>
    <w:rsid w:val="00EF38F1"/>
    <w:rsid w:val="00EF3B1F"/>
    <w:rsid w:val="00EF3CC4"/>
    <w:rsid w:val="00EF3D7D"/>
    <w:rsid w:val="00EF3FC9"/>
    <w:rsid w:val="00EF4012"/>
    <w:rsid w:val="00EF4059"/>
    <w:rsid w:val="00EF45D7"/>
    <w:rsid w:val="00EF487E"/>
    <w:rsid w:val="00EF4DE9"/>
    <w:rsid w:val="00EF5184"/>
    <w:rsid w:val="00EF5260"/>
    <w:rsid w:val="00EF53FC"/>
    <w:rsid w:val="00EF562C"/>
    <w:rsid w:val="00EF563D"/>
    <w:rsid w:val="00EF57B7"/>
    <w:rsid w:val="00EF57FC"/>
    <w:rsid w:val="00EF581E"/>
    <w:rsid w:val="00EF5B56"/>
    <w:rsid w:val="00EF5C99"/>
    <w:rsid w:val="00EF5EF1"/>
    <w:rsid w:val="00EF615A"/>
    <w:rsid w:val="00EF638B"/>
    <w:rsid w:val="00EF6678"/>
    <w:rsid w:val="00EF6780"/>
    <w:rsid w:val="00EF69C2"/>
    <w:rsid w:val="00EF6AC1"/>
    <w:rsid w:val="00EF6E33"/>
    <w:rsid w:val="00EF6FF0"/>
    <w:rsid w:val="00EF7617"/>
    <w:rsid w:val="00EF7689"/>
    <w:rsid w:val="00EF7A9D"/>
    <w:rsid w:val="00EF7C34"/>
    <w:rsid w:val="00EF7C8D"/>
    <w:rsid w:val="00F0017C"/>
    <w:rsid w:val="00F00277"/>
    <w:rsid w:val="00F0033F"/>
    <w:rsid w:val="00F003E0"/>
    <w:rsid w:val="00F00542"/>
    <w:rsid w:val="00F00795"/>
    <w:rsid w:val="00F009C6"/>
    <w:rsid w:val="00F00B1C"/>
    <w:rsid w:val="00F00D9F"/>
    <w:rsid w:val="00F00E5C"/>
    <w:rsid w:val="00F011D1"/>
    <w:rsid w:val="00F0121B"/>
    <w:rsid w:val="00F012AB"/>
    <w:rsid w:val="00F012FF"/>
    <w:rsid w:val="00F01349"/>
    <w:rsid w:val="00F01367"/>
    <w:rsid w:val="00F0147A"/>
    <w:rsid w:val="00F018A8"/>
    <w:rsid w:val="00F01AE3"/>
    <w:rsid w:val="00F01F1D"/>
    <w:rsid w:val="00F026BD"/>
    <w:rsid w:val="00F02785"/>
    <w:rsid w:val="00F027F0"/>
    <w:rsid w:val="00F028CF"/>
    <w:rsid w:val="00F02952"/>
    <w:rsid w:val="00F02B75"/>
    <w:rsid w:val="00F02C09"/>
    <w:rsid w:val="00F02C78"/>
    <w:rsid w:val="00F03129"/>
    <w:rsid w:val="00F0317B"/>
    <w:rsid w:val="00F032B4"/>
    <w:rsid w:val="00F0368E"/>
    <w:rsid w:val="00F037A9"/>
    <w:rsid w:val="00F039FA"/>
    <w:rsid w:val="00F03D3E"/>
    <w:rsid w:val="00F03F00"/>
    <w:rsid w:val="00F040FF"/>
    <w:rsid w:val="00F04123"/>
    <w:rsid w:val="00F04338"/>
    <w:rsid w:val="00F04602"/>
    <w:rsid w:val="00F047FA"/>
    <w:rsid w:val="00F048A8"/>
    <w:rsid w:val="00F04B6A"/>
    <w:rsid w:val="00F04D04"/>
    <w:rsid w:val="00F04E34"/>
    <w:rsid w:val="00F04FDC"/>
    <w:rsid w:val="00F05675"/>
    <w:rsid w:val="00F05935"/>
    <w:rsid w:val="00F05F98"/>
    <w:rsid w:val="00F06268"/>
    <w:rsid w:val="00F06614"/>
    <w:rsid w:val="00F0665B"/>
    <w:rsid w:val="00F066CD"/>
    <w:rsid w:val="00F06A73"/>
    <w:rsid w:val="00F06AD2"/>
    <w:rsid w:val="00F06BFF"/>
    <w:rsid w:val="00F06C9F"/>
    <w:rsid w:val="00F06D55"/>
    <w:rsid w:val="00F06EFA"/>
    <w:rsid w:val="00F06FC6"/>
    <w:rsid w:val="00F0706E"/>
    <w:rsid w:val="00F07367"/>
    <w:rsid w:val="00F07466"/>
    <w:rsid w:val="00F074EA"/>
    <w:rsid w:val="00F076A2"/>
    <w:rsid w:val="00F07748"/>
    <w:rsid w:val="00F07A3B"/>
    <w:rsid w:val="00F07AA5"/>
    <w:rsid w:val="00F07B0C"/>
    <w:rsid w:val="00F07DD5"/>
    <w:rsid w:val="00F101B4"/>
    <w:rsid w:val="00F101C7"/>
    <w:rsid w:val="00F10404"/>
    <w:rsid w:val="00F1053C"/>
    <w:rsid w:val="00F10860"/>
    <w:rsid w:val="00F10A18"/>
    <w:rsid w:val="00F10C91"/>
    <w:rsid w:val="00F10E4D"/>
    <w:rsid w:val="00F1108B"/>
    <w:rsid w:val="00F1158B"/>
    <w:rsid w:val="00F116DE"/>
    <w:rsid w:val="00F11771"/>
    <w:rsid w:val="00F1184D"/>
    <w:rsid w:val="00F11D4B"/>
    <w:rsid w:val="00F11E11"/>
    <w:rsid w:val="00F11EB4"/>
    <w:rsid w:val="00F12010"/>
    <w:rsid w:val="00F120E7"/>
    <w:rsid w:val="00F12DDF"/>
    <w:rsid w:val="00F1314D"/>
    <w:rsid w:val="00F13177"/>
    <w:rsid w:val="00F13697"/>
    <w:rsid w:val="00F13C12"/>
    <w:rsid w:val="00F13D23"/>
    <w:rsid w:val="00F13E70"/>
    <w:rsid w:val="00F13FA1"/>
    <w:rsid w:val="00F1432A"/>
    <w:rsid w:val="00F14560"/>
    <w:rsid w:val="00F145B3"/>
    <w:rsid w:val="00F14796"/>
    <w:rsid w:val="00F1485A"/>
    <w:rsid w:val="00F148C3"/>
    <w:rsid w:val="00F14C69"/>
    <w:rsid w:val="00F14CDA"/>
    <w:rsid w:val="00F153D0"/>
    <w:rsid w:val="00F155F4"/>
    <w:rsid w:val="00F157AB"/>
    <w:rsid w:val="00F158D1"/>
    <w:rsid w:val="00F158D7"/>
    <w:rsid w:val="00F159B5"/>
    <w:rsid w:val="00F15E1B"/>
    <w:rsid w:val="00F15EC5"/>
    <w:rsid w:val="00F15F20"/>
    <w:rsid w:val="00F15F9A"/>
    <w:rsid w:val="00F15FB0"/>
    <w:rsid w:val="00F1615E"/>
    <w:rsid w:val="00F162C5"/>
    <w:rsid w:val="00F16584"/>
    <w:rsid w:val="00F16C68"/>
    <w:rsid w:val="00F16D31"/>
    <w:rsid w:val="00F17084"/>
    <w:rsid w:val="00F177DC"/>
    <w:rsid w:val="00F17940"/>
    <w:rsid w:val="00F17A79"/>
    <w:rsid w:val="00F17D3E"/>
    <w:rsid w:val="00F20221"/>
    <w:rsid w:val="00F2071F"/>
    <w:rsid w:val="00F2081F"/>
    <w:rsid w:val="00F20A39"/>
    <w:rsid w:val="00F20B1B"/>
    <w:rsid w:val="00F20E02"/>
    <w:rsid w:val="00F210CF"/>
    <w:rsid w:val="00F217E7"/>
    <w:rsid w:val="00F21B75"/>
    <w:rsid w:val="00F21D72"/>
    <w:rsid w:val="00F21FF0"/>
    <w:rsid w:val="00F222BF"/>
    <w:rsid w:val="00F223AD"/>
    <w:rsid w:val="00F225C1"/>
    <w:rsid w:val="00F2265A"/>
    <w:rsid w:val="00F226D7"/>
    <w:rsid w:val="00F227AF"/>
    <w:rsid w:val="00F2286C"/>
    <w:rsid w:val="00F22B68"/>
    <w:rsid w:val="00F22BC0"/>
    <w:rsid w:val="00F22F95"/>
    <w:rsid w:val="00F231B2"/>
    <w:rsid w:val="00F234BE"/>
    <w:rsid w:val="00F2359D"/>
    <w:rsid w:val="00F2365D"/>
    <w:rsid w:val="00F238F5"/>
    <w:rsid w:val="00F23AC7"/>
    <w:rsid w:val="00F23BC1"/>
    <w:rsid w:val="00F23C41"/>
    <w:rsid w:val="00F23D53"/>
    <w:rsid w:val="00F23F69"/>
    <w:rsid w:val="00F23FF4"/>
    <w:rsid w:val="00F24010"/>
    <w:rsid w:val="00F24030"/>
    <w:rsid w:val="00F240DB"/>
    <w:rsid w:val="00F2428F"/>
    <w:rsid w:val="00F2473D"/>
    <w:rsid w:val="00F2481E"/>
    <w:rsid w:val="00F24D03"/>
    <w:rsid w:val="00F24ECB"/>
    <w:rsid w:val="00F24FBC"/>
    <w:rsid w:val="00F25165"/>
    <w:rsid w:val="00F252A7"/>
    <w:rsid w:val="00F252F0"/>
    <w:rsid w:val="00F253C9"/>
    <w:rsid w:val="00F25446"/>
    <w:rsid w:val="00F25764"/>
    <w:rsid w:val="00F25833"/>
    <w:rsid w:val="00F25D7A"/>
    <w:rsid w:val="00F2617B"/>
    <w:rsid w:val="00F263AF"/>
    <w:rsid w:val="00F2657C"/>
    <w:rsid w:val="00F265B4"/>
    <w:rsid w:val="00F265D2"/>
    <w:rsid w:val="00F26BA6"/>
    <w:rsid w:val="00F27285"/>
    <w:rsid w:val="00F278E7"/>
    <w:rsid w:val="00F27A6A"/>
    <w:rsid w:val="00F27EFF"/>
    <w:rsid w:val="00F300E0"/>
    <w:rsid w:val="00F30287"/>
    <w:rsid w:val="00F30536"/>
    <w:rsid w:val="00F307A0"/>
    <w:rsid w:val="00F308D0"/>
    <w:rsid w:val="00F3096B"/>
    <w:rsid w:val="00F3114A"/>
    <w:rsid w:val="00F31261"/>
    <w:rsid w:val="00F31637"/>
    <w:rsid w:val="00F3181C"/>
    <w:rsid w:val="00F3191A"/>
    <w:rsid w:val="00F31AD6"/>
    <w:rsid w:val="00F31D34"/>
    <w:rsid w:val="00F31FBD"/>
    <w:rsid w:val="00F320C8"/>
    <w:rsid w:val="00F32234"/>
    <w:rsid w:val="00F32243"/>
    <w:rsid w:val="00F3267E"/>
    <w:rsid w:val="00F326AF"/>
    <w:rsid w:val="00F3275A"/>
    <w:rsid w:val="00F32AA4"/>
    <w:rsid w:val="00F32B0C"/>
    <w:rsid w:val="00F32E84"/>
    <w:rsid w:val="00F32EC6"/>
    <w:rsid w:val="00F32EFA"/>
    <w:rsid w:val="00F33691"/>
    <w:rsid w:val="00F33799"/>
    <w:rsid w:val="00F33ABD"/>
    <w:rsid w:val="00F33BD7"/>
    <w:rsid w:val="00F33CCF"/>
    <w:rsid w:val="00F33D8B"/>
    <w:rsid w:val="00F33E96"/>
    <w:rsid w:val="00F34069"/>
    <w:rsid w:val="00F34336"/>
    <w:rsid w:val="00F3433C"/>
    <w:rsid w:val="00F348C0"/>
    <w:rsid w:val="00F34B76"/>
    <w:rsid w:val="00F34CF6"/>
    <w:rsid w:val="00F34D89"/>
    <w:rsid w:val="00F34D99"/>
    <w:rsid w:val="00F35072"/>
    <w:rsid w:val="00F3520D"/>
    <w:rsid w:val="00F3529D"/>
    <w:rsid w:val="00F35A84"/>
    <w:rsid w:val="00F35B89"/>
    <w:rsid w:val="00F35EDF"/>
    <w:rsid w:val="00F3603B"/>
    <w:rsid w:val="00F36211"/>
    <w:rsid w:val="00F36324"/>
    <w:rsid w:val="00F36541"/>
    <w:rsid w:val="00F3685D"/>
    <w:rsid w:val="00F36DEC"/>
    <w:rsid w:val="00F36EC1"/>
    <w:rsid w:val="00F36FAC"/>
    <w:rsid w:val="00F37066"/>
    <w:rsid w:val="00F376D7"/>
    <w:rsid w:val="00F377FF"/>
    <w:rsid w:val="00F37BA6"/>
    <w:rsid w:val="00F37BF7"/>
    <w:rsid w:val="00F37D8A"/>
    <w:rsid w:val="00F37E8D"/>
    <w:rsid w:val="00F4029B"/>
    <w:rsid w:val="00F403C2"/>
    <w:rsid w:val="00F40642"/>
    <w:rsid w:val="00F4094A"/>
    <w:rsid w:val="00F40B60"/>
    <w:rsid w:val="00F41185"/>
    <w:rsid w:val="00F412E6"/>
    <w:rsid w:val="00F41928"/>
    <w:rsid w:val="00F41A91"/>
    <w:rsid w:val="00F41AFC"/>
    <w:rsid w:val="00F41BDC"/>
    <w:rsid w:val="00F41BF0"/>
    <w:rsid w:val="00F41D97"/>
    <w:rsid w:val="00F41E25"/>
    <w:rsid w:val="00F41F4A"/>
    <w:rsid w:val="00F42220"/>
    <w:rsid w:val="00F42B14"/>
    <w:rsid w:val="00F42B28"/>
    <w:rsid w:val="00F42E08"/>
    <w:rsid w:val="00F42E92"/>
    <w:rsid w:val="00F432DE"/>
    <w:rsid w:val="00F436B9"/>
    <w:rsid w:val="00F438F8"/>
    <w:rsid w:val="00F43BAA"/>
    <w:rsid w:val="00F43F37"/>
    <w:rsid w:val="00F440C8"/>
    <w:rsid w:val="00F4425A"/>
    <w:rsid w:val="00F4470F"/>
    <w:rsid w:val="00F447CB"/>
    <w:rsid w:val="00F44A45"/>
    <w:rsid w:val="00F44C63"/>
    <w:rsid w:val="00F44DA9"/>
    <w:rsid w:val="00F44FC6"/>
    <w:rsid w:val="00F44FCA"/>
    <w:rsid w:val="00F45025"/>
    <w:rsid w:val="00F45BD9"/>
    <w:rsid w:val="00F45C70"/>
    <w:rsid w:val="00F45E0F"/>
    <w:rsid w:val="00F46322"/>
    <w:rsid w:val="00F466C6"/>
    <w:rsid w:val="00F46710"/>
    <w:rsid w:val="00F468E1"/>
    <w:rsid w:val="00F46CB7"/>
    <w:rsid w:val="00F46FF9"/>
    <w:rsid w:val="00F4710F"/>
    <w:rsid w:val="00F4726E"/>
    <w:rsid w:val="00F47859"/>
    <w:rsid w:val="00F47D2F"/>
    <w:rsid w:val="00F47EAC"/>
    <w:rsid w:val="00F5000B"/>
    <w:rsid w:val="00F5035A"/>
    <w:rsid w:val="00F50421"/>
    <w:rsid w:val="00F5069B"/>
    <w:rsid w:val="00F50A9E"/>
    <w:rsid w:val="00F50D27"/>
    <w:rsid w:val="00F51022"/>
    <w:rsid w:val="00F511BC"/>
    <w:rsid w:val="00F5134B"/>
    <w:rsid w:val="00F513A9"/>
    <w:rsid w:val="00F51451"/>
    <w:rsid w:val="00F515B6"/>
    <w:rsid w:val="00F51884"/>
    <w:rsid w:val="00F51C8B"/>
    <w:rsid w:val="00F51DAF"/>
    <w:rsid w:val="00F522D9"/>
    <w:rsid w:val="00F523AC"/>
    <w:rsid w:val="00F526A2"/>
    <w:rsid w:val="00F52865"/>
    <w:rsid w:val="00F52BE1"/>
    <w:rsid w:val="00F52BEE"/>
    <w:rsid w:val="00F52C32"/>
    <w:rsid w:val="00F52D4D"/>
    <w:rsid w:val="00F52E5A"/>
    <w:rsid w:val="00F535CC"/>
    <w:rsid w:val="00F5369F"/>
    <w:rsid w:val="00F53943"/>
    <w:rsid w:val="00F541E5"/>
    <w:rsid w:val="00F541FC"/>
    <w:rsid w:val="00F5428F"/>
    <w:rsid w:val="00F542D3"/>
    <w:rsid w:val="00F5448B"/>
    <w:rsid w:val="00F54842"/>
    <w:rsid w:val="00F54D09"/>
    <w:rsid w:val="00F54D24"/>
    <w:rsid w:val="00F54F4D"/>
    <w:rsid w:val="00F551E1"/>
    <w:rsid w:val="00F55219"/>
    <w:rsid w:val="00F55434"/>
    <w:rsid w:val="00F554B1"/>
    <w:rsid w:val="00F55FE7"/>
    <w:rsid w:val="00F56183"/>
    <w:rsid w:val="00F561BE"/>
    <w:rsid w:val="00F561BF"/>
    <w:rsid w:val="00F56287"/>
    <w:rsid w:val="00F5665B"/>
    <w:rsid w:val="00F566C0"/>
    <w:rsid w:val="00F566EE"/>
    <w:rsid w:val="00F566EF"/>
    <w:rsid w:val="00F569FD"/>
    <w:rsid w:val="00F56A09"/>
    <w:rsid w:val="00F56A31"/>
    <w:rsid w:val="00F56DD4"/>
    <w:rsid w:val="00F570F9"/>
    <w:rsid w:val="00F5782C"/>
    <w:rsid w:val="00F5795C"/>
    <w:rsid w:val="00F57EB5"/>
    <w:rsid w:val="00F603F9"/>
    <w:rsid w:val="00F60498"/>
    <w:rsid w:val="00F60745"/>
    <w:rsid w:val="00F60B94"/>
    <w:rsid w:val="00F60C18"/>
    <w:rsid w:val="00F60D28"/>
    <w:rsid w:val="00F612BF"/>
    <w:rsid w:val="00F616DE"/>
    <w:rsid w:val="00F61980"/>
    <w:rsid w:val="00F61D49"/>
    <w:rsid w:val="00F61FBB"/>
    <w:rsid w:val="00F62059"/>
    <w:rsid w:val="00F62108"/>
    <w:rsid w:val="00F6210B"/>
    <w:rsid w:val="00F6252A"/>
    <w:rsid w:val="00F625ED"/>
    <w:rsid w:val="00F62A8E"/>
    <w:rsid w:val="00F62C49"/>
    <w:rsid w:val="00F62CDA"/>
    <w:rsid w:val="00F631EE"/>
    <w:rsid w:val="00F63299"/>
    <w:rsid w:val="00F6387E"/>
    <w:rsid w:val="00F63EC8"/>
    <w:rsid w:val="00F63F03"/>
    <w:rsid w:val="00F645E5"/>
    <w:rsid w:val="00F6466E"/>
    <w:rsid w:val="00F64936"/>
    <w:rsid w:val="00F64942"/>
    <w:rsid w:val="00F64B10"/>
    <w:rsid w:val="00F652E3"/>
    <w:rsid w:val="00F65AB1"/>
    <w:rsid w:val="00F65DDE"/>
    <w:rsid w:val="00F66745"/>
    <w:rsid w:val="00F667A2"/>
    <w:rsid w:val="00F66B27"/>
    <w:rsid w:val="00F66BA2"/>
    <w:rsid w:val="00F66D17"/>
    <w:rsid w:val="00F6727D"/>
    <w:rsid w:val="00F6750C"/>
    <w:rsid w:val="00F675E0"/>
    <w:rsid w:val="00F677F1"/>
    <w:rsid w:val="00F678F9"/>
    <w:rsid w:val="00F67922"/>
    <w:rsid w:val="00F67FA6"/>
    <w:rsid w:val="00F708E5"/>
    <w:rsid w:val="00F708EE"/>
    <w:rsid w:val="00F71332"/>
    <w:rsid w:val="00F714D6"/>
    <w:rsid w:val="00F7185A"/>
    <w:rsid w:val="00F71AC8"/>
    <w:rsid w:val="00F71ACB"/>
    <w:rsid w:val="00F71D73"/>
    <w:rsid w:val="00F71D95"/>
    <w:rsid w:val="00F71D9C"/>
    <w:rsid w:val="00F71FDD"/>
    <w:rsid w:val="00F72173"/>
    <w:rsid w:val="00F72347"/>
    <w:rsid w:val="00F72385"/>
    <w:rsid w:val="00F72462"/>
    <w:rsid w:val="00F724EE"/>
    <w:rsid w:val="00F7274E"/>
    <w:rsid w:val="00F72A32"/>
    <w:rsid w:val="00F72A8F"/>
    <w:rsid w:val="00F72CA9"/>
    <w:rsid w:val="00F72D2B"/>
    <w:rsid w:val="00F72DA6"/>
    <w:rsid w:val="00F7324A"/>
    <w:rsid w:val="00F7344F"/>
    <w:rsid w:val="00F734B3"/>
    <w:rsid w:val="00F73B2B"/>
    <w:rsid w:val="00F73DAA"/>
    <w:rsid w:val="00F73E81"/>
    <w:rsid w:val="00F73ED0"/>
    <w:rsid w:val="00F73F72"/>
    <w:rsid w:val="00F74263"/>
    <w:rsid w:val="00F744EE"/>
    <w:rsid w:val="00F74949"/>
    <w:rsid w:val="00F74C04"/>
    <w:rsid w:val="00F74F6E"/>
    <w:rsid w:val="00F750E2"/>
    <w:rsid w:val="00F75287"/>
    <w:rsid w:val="00F754CD"/>
    <w:rsid w:val="00F75687"/>
    <w:rsid w:val="00F7575E"/>
    <w:rsid w:val="00F75892"/>
    <w:rsid w:val="00F75CF8"/>
    <w:rsid w:val="00F76286"/>
    <w:rsid w:val="00F765EF"/>
    <w:rsid w:val="00F769B5"/>
    <w:rsid w:val="00F76B74"/>
    <w:rsid w:val="00F76D80"/>
    <w:rsid w:val="00F76EA6"/>
    <w:rsid w:val="00F76EFA"/>
    <w:rsid w:val="00F76F58"/>
    <w:rsid w:val="00F7704E"/>
    <w:rsid w:val="00F770EF"/>
    <w:rsid w:val="00F773F3"/>
    <w:rsid w:val="00F77418"/>
    <w:rsid w:val="00F77478"/>
    <w:rsid w:val="00F77BEE"/>
    <w:rsid w:val="00F77C41"/>
    <w:rsid w:val="00F77EA6"/>
    <w:rsid w:val="00F8052F"/>
    <w:rsid w:val="00F805CD"/>
    <w:rsid w:val="00F80F28"/>
    <w:rsid w:val="00F81022"/>
    <w:rsid w:val="00F81817"/>
    <w:rsid w:val="00F819C9"/>
    <w:rsid w:val="00F81C66"/>
    <w:rsid w:val="00F821F6"/>
    <w:rsid w:val="00F8229F"/>
    <w:rsid w:val="00F825AE"/>
    <w:rsid w:val="00F82848"/>
    <w:rsid w:val="00F82C59"/>
    <w:rsid w:val="00F82C99"/>
    <w:rsid w:val="00F82D4F"/>
    <w:rsid w:val="00F83021"/>
    <w:rsid w:val="00F832C5"/>
    <w:rsid w:val="00F83465"/>
    <w:rsid w:val="00F83813"/>
    <w:rsid w:val="00F83C1C"/>
    <w:rsid w:val="00F83FA3"/>
    <w:rsid w:val="00F8496C"/>
    <w:rsid w:val="00F849B7"/>
    <w:rsid w:val="00F849FF"/>
    <w:rsid w:val="00F84C1F"/>
    <w:rsid w:val="00F851D8"/>
    <w:rsid w:val="00F856D7"/>
    <w:rsid w:val="00F85A8C"/>
    <w:rsid w:val="00F85B83"/>
    <w:rsid w:val="00F85F92"/>
    <w:rsid w:val="00F860DF"/>
    <w:rsid w:val="00F8629A"/>
    <w:rsid w:val="00F8631B"/>
    <w:rsid w:val="00F86734"/>
    <w:rsid w:val="00F8682B"/>
    <w:rsid w:val="00F868FB"/>
    <w:rsid w:val="00F86A67"/>
    <w:rsid w:val="00F86E4A"/>
    <w:rsid w:val="00F86F28"/>
    <w:rsid w:val="00F86F42"/>
    <w:rsid w:val="00F87084"/>
    <w:rsid w:val="00F8708D"/>
    <w:rsid w:val="00F87528"/>
    <w:rsid w:val="00F87869"/>
    <w:rsid w:val="00F87A7B"/>
    <w:rsid w:val="00F87AC6"/>
    <w:rsid w:val="00F87BC4"/>
    <w:rsid w:val="00F87D86"/>
    <w:rsid w:val="00F87DF3"/>
    <w:rsid w:val="00F87F39"/>
    <w:rsid w:val="00F87F67"/>
    <w:rsid w:val="00F87FEB"/>
    <w:rsid w:val="00F90FF4"/>
    <w:rsid w:val="00F91237"/>
    <w:rsid w:val="00F914DE"/>
    <w:rsid w:val="00F91673"/>
    <w:rsid w:val="00F91AD7"/>
    <w:rsid w:val="00F92093"/>
    <w:rsid w:val="00F9212A"/>
    <w:rsid w:val="00F92332"/>
    <w:rsid w:val="00F92571"/>
    <w:rsid w:val="00F92D2E"/>
    <w:rsid w:val="00F9306E"/>
    <w:rsid w:val="00F932C7"/>
    <w:rsid w:val="00F93342"/>
    <w:rsid w:val="00F93410"/>
    <w:rsid w:val="00F9398A"/>
    <w:rsid w:val="00F93994"/>
    <w:rsid w:val="00F93E87"/>
    <w:rsid w:val="00F94572"/>
    <w:rsid w:val="00F94882"/>
    <w:rsid w:val="00F94B79"/>
    <w:rsid w:val="00F94E50"/>
    <w:rsid w:val="00F94FD0"/>
    <w:rsid w:val="00F9532F"/>
    <w:rsid w:val="00F95347"/>
    <w:rsid w:val="00F9567C"/>
    <w:rsid w:val="00F9594F"/>
    <w:rsid w:val="00F95D12"/>
    <w:rsid w:val="00F95FBC"/>
    <w:rsid w:val="00F963ED"/>
    <w:rsid w:val="00F96610"/>
    <w:rsid w:val="00F967D1"/>
    <w:rsid w:val="00F9784A"/>
    <w:rsid w:val="00F97869"/>
    <w:rsid w:val="00F97CD6"/>
    <w:rsid w:val="00FA00F9"/>
    <w:rsid w:val="00FA07B5"/>
    <w:rsid w:val="00FA0837"/>
    <w:rsid w:val="00FA0BF5"/>
    <w:rsid w:val="00FA0EC5"/>
    <w:rsid w:val="00FA0F1D"/>
    <w:rsid w:val="00FA10BD"/>
    <w:rsid w:val="00FA11D1"/>
    <w:rsid w:val="00FA13AE"/>
    <w:rsid w:val="00FA13FF"/>
    <w:rsid w:val="00FA2146"/>
    <w:rsid w:val="00FA2A7A"/>
    <w:rsid w:val="00FA2CC2"/>
    <w:rsid w:val="00FA2D87"/>
    <w:rsid w:val="00FA36A6"/>
    <w:rsid w:val="00FA3B2B"/>
    <w:rsid w:val="00FA3D74"/>
    <w:rsid w:val="00FA406E"/>
    <w:rsid w:val="00FA4179"/>
    <w:rsid w:val="00FA4709"/>
    <w:rsid w:val="00FA4780"/>
    <w:rsid w:val="00FA4C2A"/>
    <w:rsid w:val="00FA4DA0"/>
    <w:rsid w:val="00FA510E"/>
    <w:rsid w:val="00FA533C"/>
    <w:rsid w:val="00FA5461"/>
    <w:rsid w:val="00FA57D1"/>
    <w:rsid w:val="00FA5D57"/>
    <w:rsid w:val="00FA5D9E"/>
    <w:rsid w:val="00FA6056"/>
    <w:rsid w:val="00FA6211"/>
    <w:rsid w:val="00FA6631"/>
    <w:rsid w:val="00FA6B19"/>
    <w:rsid w:val="00FA6EF7"/>
    <w:rsid w:val="00FA739C"/>
    <w:rsid w:val="00FA7487"/>
    <w:rsid w:val="00FA7495"/>
    <w:rsid w:val="00FA74D3"/>
    <w:rsid w:val="00FA7555"/>
    <w:rsid w:val="00FA7840"/>
    <w:rsid w:val="00FA7846"/>
    <w:rsid w:val="00FA79C5"/>
    <w:rsid w:val="00FA7A55"/>
    <w:rsid w:val="00FA7B25"/>
    <w:rsid w:val="00FA7BB0"/>
    <w:rsid w:val="00FA7C23"/>
    <w:rsid w:val="00FA7D05"/>
    <w:rsid w:val="00FA7D10"/>
    <w:rsid w:val="00FA7DC7"/>
    <w:rsid w:val="00FB0872"/>
    <w:rsid w:val="00FB091F"/>
    <w:rsid w:val="00FB0A16"/>
    <w:rsid w:val="00FB0A30"/>
    <w:rsid w:val="00FB0D06"/>
    <w:rsid w:val="00FB0D85"/>
    <w:rsid w:val="00FB0DE7"/>
    <w:rsid w:val="00FB11F2"/>
    <w:rsid w:val="00FB13F5"/>
    <w:rsid w:val="00FB15BB"/>
    <w:rsid w:val="00FB167E"/>
    <w:rsid w:val="00FB173A"/>
    <w:rsid w:val="00FB19B4"/>
    <w:rsid w:val="00FB1A88"/>
    <w:rsid w:val="00FB1B5D"/>
    <w:rsid w:val="00FB1CE9"/>
    <w:rsid w:val="00FB1E26"/>
    <w:rsid w:val="00FB2469"/>
    <w:rsid w:val="00FB24AE"/>
    <w:rsid w:val="00FB27F4"/>
    <w:rsid w:val="00FB2825"/>
    <w:rsid w:val="00FB2C17"/>
    <w:rsid w:val="00FB2D1E"/>
    <w:rsid w:val="00FB2E90"/>
    <w:rsid w:val="00FB31CB"/>
    <w:rsid w:val="00FB3325"/>
    <w:rsid w:val="00FB34C0"/>
    <w:rsid w:val="00FB35D7"/>
    <w:rsid w:val="00FB38D8"/>
    <w:rsid w:val="00FB38E5"/>
    <w:rsid w:val="00FB3C2D"/>
    <w:rsid w:val="00FB3C30"/>
    <w:rsid w:val="00FB3E2F"/>
    <w:rsid w:val="00FB3F2D"/>
    <w:rsid w:val="00FB3FB6"/>
    <w:rsid w:val="00FB4254"/>
    <w:rsid w:val="00FB43B6"/>
    <w:rsid w:val="00FB43B8"/>
    <w:rsid w:val="00FB4827"/>
    <w:rsid w:val="00FB48C9"/>
    <w:rsid w:val="00FB4CFA"/>
    <w:rsid w:val="00FB5086"/>
    <w:rsid w:val="00FB5096"/>
    <w:rsid w:val="00FB519C"/>
    <w:rsid w:val="00FB5298"/>
    <w:rsid w:val="00FB52B7"/>
    <w:rsid w:val="00FB556C"/>
    <w:rsid w:val="00FB578E"/>
    <w:rsid w:val="00FB5904"/>
    <w:rsid w:val="00FB5986"/>
    <w:rsid w:val="00FB5F0E"/>
    <w:rsid w:val="00FB654C"/>
    <w:rsid w:val="00FB67BE"/>
    <w:rsid w:val="00FB6FB3"/>
    <w:rsid w:val="00FB70D4"/>
    <w:rsid w:val="00FB720C"/>
    <w:rsid w:val="00FB7447"/>
    <w:rsid w:val="00FB7688"/>
    <w:rsid w:val="00FB776D"/>
    <w:rsid w:val="00FC00B1"/>
    <w:rsid w:val="00FC012B"/>
    <w:rsid w:val="00FC04F9"/>
    <w:rsid w:val="00FC057D"/>
    <w:rsid w:val="00FC079E"/>
    <w:rsid w:val="00FC07F3"/>
    <w:rsid w:val="00FC0F41"/>
    <w:rsid w:val="00FC1197"/>
    <w:rsid w:val="00FC1297"/>
    <w:rsid w:val="00FC12C3"/>
    <w:rsid w:val="00FC166D"/>
    <w:rsid w:val="00FC1B35"/>
    <w:rsid w:val="00FC1BF5"/>
    <w:rsid w:val="00FC1C78"/>
    <w:rsid w:val="00FC227F"/>
    <w:rsid w:val="00FC2563"/>
    <w:rsid w:val="00FC2925"/>
    <w:rsid w:val="00FC2B7A"/>
    <w:rsid w:val="00FC2BCF"/>
    <w:rsid w:val="00FC2CBF"/>
    <w:rsid w:val="00FC2E1B"/>
    <w:rsid w:val="00FC2E5E"/>
    <w:rsid w:val="00FC3083"/>
    <w:rsid w:val="00FC3106"/>
    <w:rsid w:val="00FC31AF"/>
    <w:rsid w:val="00FC33A7"/>
    <w:rsid w:val="00FC3421"/>
    <w:rsid w:val="00FC3510"/>
    <w:rsid w:val="00FC399C"/>
    <w:rsid w:val="00FC3D0E"/>
    <w:rsid w:val="00FC3D3C"/>
    <w:rsid w:val="00FC41E3"/>
    <w:rsid w:val="00FC4B50"/>
    <w:rsid w:val="00FC4C73"/>
    <w:rsid w:val="00FC4F56"/>
    <w:rsid w:val="00FC5397"/>
    <w:rsid w:val="00FC5486"/>
    <w:rsid w:val="00FC591E"/>
    <w:rsid w:val="00FC5FC1"/>
    <w:rsid w:val="00FC6224"/>
    <w:rsid w:val="00FC633F"/>
    <w:rsid w:val="00FC636C"/>
    <w:rsid w:val="00FC655F"/>
    <w:rsid w:val="00FC6EAA"/>
    <w:rsid w:val="00FC7078"/>
    <w:rsid w:val="00FC7080"/>
    <w:rsid w:val="00FC729C"/>
    <w:rsid w:val="00FC7727"/>
    <w:rsid w:val="00FC780D"/>
    <w:rsid w:val="00FC7890"/>
    <w:rsid w:val="00FC792C"/>
    <w:rsid w:val="00FC79EF"/>
    <w:rsid w:val="00FC7BE4"/>
    <w:rsid w:val="00FC7DA7"/>
    <w:rsid w:val="00FC7E59"/>
    <w:rsid w:val="00FC7EAD"/>
    <w:rsid w:val="00FD0071"/>
    <w:rsid w:val="00FD0181"/>
    <w:rsid w:val="00FD0621"/>
    <w:rsid w:val="00FD06D8"/>
    <w:rsid w:val="00FD0A16"/>
    <w:rsid w:val="00FD1873"/>
    <w:rsid w:val="00FD1B71"/>
    <w:rsid w:val="00FD1BAF"/>
    <w:rsid w:val="00FD1BE4"/>
    <w:rsid w:val="00FD21C3"/>
    <w:rsid w:val="00FD22B6"/>
    <w:rsid w:val="00FD2CA3"/>
    <w:rsid w:val="00FD2CFF"/>
    <w:rsid w:val="00FD2F54"/>
    <w:rsid w:val="00FD302A"/>
    <w:rsid w:val="00FD30CC"/>
    <w:rsid w:val="00FD3249"/>
    <w:rsid w:val="00FD334F"/>
    <w:rsid w:val="00FD36B0"/>
    <w:rsid w:val="00FD3891"/>
    <w:rsid w:val="00FD3992"/>
    <w:rsid w:val="00FD3A39"/>
    <w:rsid w:val="00FD3EB7"/>
    <w:rsid w:val="00FD4039"/>
    <w:rsid w:val="00FD4105"/>
    <w:rsid w:val="00FD418F"/>
    <w:rsid w:val="00FD48F1"/>
    <w:rsid w:val="00FD4C4F"/>
    <w:rsid w:val="00FD502E"/>
    <w:rsid w:val="00FD50C5"/>
    <w:rsid w:val="00FD515D"/>
    <w:rsid w:val="00FD528C"/>
    <w:rsid w:val="00FD560A"/>
    <w:rsid w:val="00FD582F"/>
    <w:rsid w:val="00FD5851"/>
    <w:rsid w:val="00FD596B"/>
    <w:rsid w:val="00FD5A34"/>
    <w:rsid w:val="00FD5C68"/>
    <w:rsid w:val="00FD5C8F"/>
    <w:rsid w:val="00FD5EDD"/>
    <w:rsid w:val="00FD5FA2"/>
    <w:rsid w:val="00FD604C"/>
    <w:rsid w:val="00FD60F7"/>
    <w:rsid w:val="00FD63DC"/>
    <w:rsid w:val="00FD641C"/>
    <w:rsid w:val="00FD6801"/>
    <w:rsid w:val="00FD69F2"/>
    <w:rsid w:val="00FD6BA7"/>
    <w:rsid w:val="00FD6ED1"/>
    <w:rsid w:val="00FD6ED3"/>
    <w:rsid w:val="00FD7260"/>
    <w:rsid w:val="00FD7381"/>
    <w:rsid w:val="00FD75D5"/>
    <w:rsid w:val="00FD7668"/>
    <w:rsid w:val="00FD78DF"/>
    <w:rsid w:val="00FD7E08"/>
    <w:rsid w:val="00FE00E4"/>
    <w:rsid w:val="00FE011E"/>
    <w:rsid w:val="00FE07CF"/>
    <w:rsid w:val="00FE0EA8"/>
    <w:rsid w:val="00FE10E6"/>
    <w:rsid w:val="00FE1120"/>
    <w:rsid w:val="00FE1194"/>
    <w:rsid w:val="00FE1414"/>
    <w:rsid w:val="00FE15D3"/>
    <w:rsid w:val="00FE179A"/>
    <w:rsid w:val="00FE17A2"/>
    <w:rsid w:val="00FE1C27"/>
    <w:rsid w:val="00FE1D90"/>
    <w:rsid w:val="00FE1DE0"/>
    <w:rsid w:val="00FE1FD0"/>
    <w:rsid w:val="00FE246B"/>
    <w:rsid w:val="00FE2791"/>
    <w:rsid w:val="00FE2930"/>
    <w:rsid w:val="00FE2BEA"/>
    <w:rsid w:val="00FE2CE0"/>
    <w:rsid w:val="00FE2EB0"/>
    <w:rsid w:val="00FE2FCF"/>
    <w:rsid w:val="00FE310B"/>
    <w:rsid w:val="00FE338C"/>
    <w:rsid w:val="00FE3709"/>
    <w:rsid w:val="00FE37F3"/>
    <w:rsid w:val="00FE3D3F"/>
    <w:rsid w:val="00FE3DAD"/>
    <w:rsid w:val="00FE3F38"/>
    <w:rsid w:val="00FE447D"/>
    <w:rsid w:val="00FE4513"/>
    <w:rsid w:val="00FE45E2"/>
    <w:rsid w:val="00FE460D"/>
    <w:rsid w:val="00FE4CFF"/>
    <w:rsid w:val="00FE4DAC"/>
    <w:rsid w:val="00FE4E0F"/>
    <w:rsid w:val="00FE5193"/>
    <w:rsid w:val="00FE5246"/>
    <w:rsid w:val="00FE59A7"/>
    <w:rsid w:val="00FE5B05"/>
    <w:rsid w:val="00FE5C1F"/>
    <w:rsid w:val="00FE5D5B"/>
    <w:rsid w:val="00FE5D6C"/>
    <w:rsid w:val="00FE6066"/>
    <w:rsid w:val="00FE6356"/>
    <w:rsid w:val="00FE64B1"/>
    <w:rsid w:val="00FE66F9"/>
    <w:rsid w:val="00FE6868"/>
    <w:rsid w:val="00FE6C90"/>
    <w:rsid w:val="00FE6ED4"/>
    <w:rsid w:val="00FE6FB8"/>
    <w:rsid w:val="00FE7023"/>
    <w:rsid w:val="00FE705D"/>
    <w:rsid w:val="00FE73F1"/>
    <w:rsid w:val="00FE74DA"/>
    <w:rsid w:val="00FE75CF"/>
    <w:rsid w:val="00FE7937"/>
    <w:rsid w:val="00FE7D68"/>
    <w:rsid w:val="00FF0153"/>
    <w:rsid w:val="00FF0520"/>
    <w:rsid w:val="00FF0992"/>
    <w:rsid w:val="00FF09AB"/>
    <w:rsid w:val="00FF0A98"/>
    <w:rsid w:val="00FF0EED"/>
    <w:rsid w:val="00FF0F94"/>
    <w:rsid w:val="00FF11E5"/>
    <w:rsid w:val="00FF1314"/>
    <w:rsid w:val="00FF15C9"/>
    <w:rsid w:val="00FF16F5"/>
    <w:rsid w:val="00FF1828"/>
    <w:rsid w:val="00FF19ED"/>
    <w:rsid w:val="00FF1AB2"/>
    <w:rsid w:val="00FF1CBB"/>
    <w:rsid w:val="00FF1FE0"/>
    <w:rsid w:val="00FF1FF1"/>
    <w:rsid w:val="00FF2097"/>
    <w:rsid w:val="00FF2256"/>
    <w:rsid w:val="00FF2520"/>
    <w:rsid w:val="00FF26A0"/>
    <w:rsid w:val="00FF2787"/>
    <w:rsid w:val="00FF28A8"/>
    <w:rsid w:val="00FF2AA6"/>
    <w:rsid w:val="00FF2FD8"/>
    <w:rsid w:val="00FF3201"/>
    <w:rsid w:val="00FF36DD"/>
    <w:rsid w:val="00FF37B9"/>
    <w:rsid w:val="00FF3D90"/>
    <w:rsid w:val="00FF3DEE"/>
    <w:rsid w:val="00FF3EE3"/>
    <w:rsid w:val="00FF3EFF"/>
    <w:rsid w:val="00FF40CD"/>
    <w:rsid w:val="00FF413C"/>
    <w:rsid w:val="00FF4285"/>
    <w:rsid w:val="00FF42A3"/>
    <w:rsid w:val="00FF43A3"/>
    <w:rsid w:val="00FF447A"/>
    <w:rsid w:val="00FF453A"/>
    <w:rsid w:val="00FF46D2"/>
    <w:rsid w:val="00FF46DC"/>
    <w:rsid w:val="00FF46E8"/>
    <w:rsid w:val="00FF4891"/>
    <w:rsid w:val="00FF4C19"/>
    <w:rsid w:val="00FF5009"/>
    <w:rsid w:val="00FF51D2"/>
    <w:rsid w:val="00FF527A"/>
    <w:rsid w:val="00FF563A"/>
    <w:rsid w:val="00FF57D0"/>
    <w:rsid w:val="00FF5E89"/>
    <w:rsid w:val="00FF5EF3"/>
    <w:rsid w:val="00FF5F4C"/>
    <w:rsid w:val="00FF6089"/>
    <w:rsid w:val="00FF6150"/>
    <w:rsid w:val="00FF6378"/>
    <w:rsid w:val="00FF6443"/>
    <w:rsid w:val="00FF650D"/>
    <w:rsid w:val="00FF6721"/>
    <w:rsid w:val="00FF673D"/>
    <w:rsid w:val="00FF6CC1"/>
    <w:rsid w:val="00FF6D33"/>
    <w:rsid w:val="00FF6D81"/>
    <w:rsid w:val="00FF7278"/>
    <w:rsid w:val="00FF72A9"/>
    <w:rsid w:val="00FF72ED"/>
    <w:rsid w:val="00FF7302"/>
    <w:rsid w:val="00FF7314"/>
    <w:rsid w:val="00FF748B"/>
    <w:rsid w:val="00FF74D0"/>
    <w:rsid w:val="00FF7573"/>
    <w:rsid w:val="00FF75B1"/>
    <w:rsid w:val="00FF75D4"/>
    <w:rsid w:val="00FF78B1"/>
    <w:rsid w:val="00FF7B4B"/>
    <w:rsid w:val="00FF7C90"/>
    <w:rsid w:val="00FF7D22"/>
    <w:rsid w:val="00FF7F6D"/>
    <w:rsid w:val="00FF7F7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decimalSymbol w:val="."/>
  <w:listSeparator w:val=","/>
</w:settings>
</file>

<file path=word/styles.xml><?xml version="1.0" encoding="utf-8"?>
<w:styles xmlns:mc="http://schemas.openxmlformats.org/markup-compatibility/2006" xmlns:r="http://purl.oclc.org/ooxml/officeDocument/relationships" xmlns:w="http://purl.oclc.org/ooxml/wordprocessingml/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8pt" w:line="12.95pt" w:lineRule="auto"/>
      </w:pPr>
    </w:pPrDefault>
  </w:docDefaults>
  <w:latentStyles w:defLockedState="0" w:defUIPriority="99" w:defSemiHidden="0" w:defUnhideWhenUsed="0" w:defQFormat="0" w:count="371">
    <w:lsdException w:name="Normal" w:uiPriority="0"/>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qFormat="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iPriority="2" w:unhideWhenUsed="1" w:qFormat="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qFormat="1"/>
    <w:lsdException w:name="Salutation" w:semiHidden="1" w:uiPriority="0"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iPriority="0" w:unhideWhenUsed="1"/>
    <w:lsdException w:name="Table Classic 1" w:semiHidden="1" w:unhideWhenUsed="1"/>
    <w:lsdException w:name="Table Classic 2" w:semiHidden="1" w:uiPriority="0" w:unhideWhenUsed="1"/>
    <w:lsdException w:name="Table Classic 3" w:semiHidden="1" w:uiPriority="0"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4"/>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5E20FF"/>
    <w:pPr>
      <w:spacing w:after="0pt" w:line="13.80pt" w:lineRule="auto"/>
    </w:pPr>
    <w:rPr>
      <w:rFonts w:ascii="Arial" w:hAnsi="Arial"/>
    </w:rPr>
  </w:style>
  <w:style w:type="paragraph" w:styleId="Ttulo1">
    <w:name w:val="heading 1"/>
    <w:aliases w:val="1,11,Chapter Heading,H1,H11,H110,H111,H1110,H1111,H112,H1121,H113,H1131,H114,H115,H116,H117,H118,H119,H12,H120,H121,H13,H131,H14,H141,H15,H151,H16,H17,H18,H19,I,II+,ITT t1,Level 1,PA Chapter,Section Head,Title1,app heading 1,h1,h:1,h:1app,l1,R1"/>
    <w:basedOn w:val="IFTnormal"/>
    <w:next w:val="Normal"/>
    <w:link w:val="Ttulo1Car"/>
    <w:uiPriority w:val="99"/>
    <w:qFormat/>
    <w:rsid w:val="002F02D8"/>
    <w:pPr>
      <w:outlineLvl w:val="0"/>
    </w:pPr>
    <w:rPr>
      <w:b/>
      <w:lang w:val="es-ES"/>
    </w:rPr>
  </w:style>
  <w:style w:type="paragraph" w:styleId="Ttulo2">
    <w:name w:val="heading 2"/>
    <w:aliases w:val="2,21,22,23,24,25,2TitSec,Fab-2,H2,H21,Head2A,Header 2,Header 21,Header 22,Header 23,Header 24,Level 2,Level2,N2 IFT,Titre 2 ALD,Titre 2 OD,h2,h21,h22,h23,h24,h25,h:2,h:2app,heading 2+ Indent: Left 0.25 in,l2,l21,l22,l23,l24,orderpara1,título 2"/>
    <w:basedOn w:val="Normal"/>
    <w:next w:val="Normal"/>
    <w:link w:val="Ttulo2Car"/>
    <w:uiPriority w:val="9"/>
    <w:unhideWhenUsed/>
    <w:qFormat/>
    <w:rsid w:val="00FC729C"/>
    <w:pPr>
      <w:keepNext/>
      <w:spacing w:after="10pt"/>
      <w:ind w:start="56.70pt" w:hanging="56.70pt"/>
      <w:jc w:val="both"/>
      <w:outlineLvl w:val="1"/>
    </w:pPr>
    <w:rPr>
      <w:rFonts w:ascii="ITC Avant Garde" w:eastAsia="Times New Roman" w:hAnsi="ITC Avant Garde" w:cs="Arial"/>
      <w:b/>
      <w:bCs/>
    </w:rPr>
  </w:style>
  <w:style w:type="paragraph" w:styleId="Ttulo3">
    <w:name w:val="heading 3"/>
    <w:aliases w:val="3,31,310,311,312,313,32,321,322,323,33,331,332,34,341,342,35,351,352,36,361,362,37,371,372,38,39,H3,h,h3,h:3,l3,l31,l310,l311,l312,l313,l32,l321,l322,l323,l33,l331,l332,l34,l341,l342,l35,l351,l352,l36,l361,l362,l37,l371,l372,l38,l39,orderpara2"/>
    <w:basedOn w:val="Normal"/>
    <w:next w:val="Normal"/>
    <w:link w:val="Ttulo3Car"/>
    <w:uiPriority w:val="9"/>
    <w:qFormat/>
    <w:rsid w:val="00A140D8"/>
    <w:pPr>
      <w:keepNext/>
      <w:spacing w:line="12pt" w:lineRule="auto"/>
      <w:ind w:start="131.50pt"/>
      <w:jc w:val="both"/>
      <w:outlineLvl w:val="2"/>
    </w:pPr>
    <w:rPr>
      <w:rFonts w:eastAsia="Times New Roman" w:cs="Times New Roman"/>
      <w:b/>
      <w:bCs/>
      <w:szCs w:val="20"/>
    </w:rPr>
  </w:style>
  <w:style w:type="paragraph" w:styleId="Ttulo4">
    <w:name w:val="heading 4"/>
    <w:aliases w:val="1.1.1.1,4,C Head,E4,H4,H4-Heading 4,Header 4,Heading 4.,Heading Four,I4,ITT t4,Map Title,Normal4,PA Micro Section,T4,Title4,a.,h4,h:4,heading,heading 4 + Indent: Left 0.25 in,heading 4 + Indent: Left 0.5 in,heading4,l4,l4+toc4,le4"/>
    <w:basedOn w:val="Normal"/>
    <w:next w:val="Normal"/>
    <w:link w:val="Ttulo4Car"/>
    <w:uiPriority w:val="9"/>
    <w:qFormat/>
    <w:rsid w:val="00A140D8"/>
    <w:pPr>
      <w:keepNext/>
      <w:spacing w:before="12pt" w:after="3pt" w:line="12pt" w:lineRule="auto"/>
      <w:jc w:val="both"/>
      <w:outlineLvl w:val="3"/>
    </w:pPr>
    <w:rPr>
      <w:rFonts w:ascii="Times New Roman" w:eastAsia="Times New Roman" w:hAnsi="Times New Roman" w:cs="Times New Roman"/>
      <w:b/>
      <w:bCs/>
      <w:sz w:val="28"/>
      <w:szCs w:val="28"/>
      <w:lang w:eastAsia="es-ES"/>
    </w:rPr>
  </w:style>
  <w:style w:type="paragraph" w:styleId="Ttulo5">
    <w:name w:val="heading 5"/>
    <w:aliases w:val="5,51,52,53,Apartado_sub,Considerando,H5,H5-Heading 5,H5-Heading 51,H5-Heading 52,H5-Heading 53,H51,H52,H53,Header 5,Heading5,Heading51,Heading52,ITT t5,Level 5,PA Pico Section,Roman list,h5,h51,h52,heading5,heading51,heading52,l5,l51,l52,le5"/>
    <w:basedOn w:val="Normal"/>
    <w:next w:val="Normal"/>
    <w:link w:val="Ttulo5Car"/>
    <w:uiPriority w:val="9"/>
    <w:qFormat/>
    <w:rsid w:val="00A140D8"/>
    <w:pPr>
      <w:keepNext/>
      <w:spacing w:line="12pt" w:lineRule="auto"/>
      <w:jc w:val="both"/>
      <w:outlineLvl w:val="4"/>
    </w:pPr>
    <w:rPr>
      <w:rFonts w:eastAsia="Times New Roman" w:cs="Times New Roman"/>
      <w:b/>
      <w:sz w:val="20"/>
      <w:szCs w:val="20"/>
    </w:rPr>
  </w:style>
  <w:style w:type="paragraph" w:styleId="Ttulo6">
    <w:name w:val="heading 6"/>
    <w:aliases w:val="6,61,611,612,613,614,62,63,64,65,Bullet list,Header 6,ITT t6,Level 6,PA Appendix,Requirement,Requirement1,Requirement11,Requirement12,Requirement13,Requirement2,Requirement3,Requirement4,Requirement5,h6,h61,h611,h612,h613,h614,h62,h63,h64,h65"/>
    <w:basedOn w:val="Normal"/>
    <w:next w:val="Normal"/>
    <w:link w:val="Ttulo6Car"/>
    <w:uiPriority w:val="9"/>
    <w:qFormat/>
    <w:rsid w:val="00A140D8"/>
    <w:pPr>
      <w:spacing w:before="12pt" w:after="3pt" w:line="12pt" w:lineRule="auto"/>
      <w:jc w:val="both"/>
      <w:outlineLvl w:val="5"/>
    </w:pPr>
    <w:rPr>
      <w:rFonts w:ascii="Times New Roman" w:eastAsia="Times New Roman" w:hAnsi="Times New Roman" w:cs="Times New Roman"/>
      <w:b/>
      <w:bCs/>
      <w:lang w:eastAsia="es-ES"/>
    </w:rPr>
  </w:style>
  <w:style w:type="paragraph" w:styleId="Ttulo7">
    <w:name w:val="heading 7"/>
    <w:aliases w:val="7,Appendix3,ExhibitTitle,Header 7,ITT t7,Objective,PA Appendix Major,h7,letter list,lettered list,req3,st"/>
    <w:basedOn w:val="Normal"/>
    <w:next w:val="Normal"/>
    <w:link w:val="Ttulo7Car"/>
    <w:uiPriority w:val="9"/>
    <w:qFormat/>
    <w:rsid w:val="00A140D8"/>
    <w:pPr>
      <w:spacing w:before="12pt" w:after="3pt" w:line="12pt" w:lineRule="auto"/>
      <w:jc w:val="both"/>
      <w:outlineLvl w:val="6"/>
    </w:pPr>
    <w:rPr>
      <w:rFonts w:ascii="Times New Roman" w:eastAsia="Times New Roman" w:hAnsi="Times New Roman" w:cs="Times New Roman"/>
      <w:sz w:val="24"/>
      <w:szCs w:val="24"/>
      <w:lang w:eastAsia="es-ES"/>
    </w:rPr>
  </w:style>
  <w:style w:type="paragraph" w:styleId="Ttulo8">
    <w:name w:val="heading 8"/>
    <w:aliases w:val="8,Annex,Annex Char Char Char,Annex Char1 Char,Appendix1,Appendix11,Condition,FigureTitle,Heading 8 Char,Heading 8 Char Char Char,Heading 8 Char1 Char,ITT t8,PA Appendix Minor,Reference List,action,figure title,ft,h8,r,req2,requirement"/>
    <w:basedOn w:val="Normal"/>
    <w:next w:val="Normal"/>
    <w:link w:val="Ttulo8Car"/>
    <w:uiPriority w:val="9"/>
    <w:qFormat/>
    <w:rsid w:val="00A140D8"/>
    <w:pPr>
      <w:keepNext/>
      <w:spacing w:line="12pt" w:lineRule="auto"/>
      <w:jc w:val="center"/>
      <w:outlineLvl w:val="7"/>
    </w:pPr>
    <w:rPr>
      <w:rFonts w:eastAsia="Times New Roman" w:cs="Times New Roman"/>
      <w:b/>
      <w:szCs w:val="20"/>
      <w:lang w:eastAsia="es-ES"/>
    </w:rPr>
  </w:style>
  <w:style w:type="paragraph" w:styleId="Ttulo9">
    <w:name w:val="heading 9"/>
    <w:aliases w:val="9,App Heading,Appendix2,Appendix21,Citaciones,Cond'l Reqt.,ITT t9,TableTitle,Titre 10,h9,progress,rb,req bullet,req1,table title,tt"/>
    <w:basedOn w:val="Normal"/>
    <w:next w:val="Normal"/>
    <w:link w:val="Ttulo9Car"/>
    <w:uiPriority w:val="9"/>
    <w:qFormat/>
    <w:rsid w:val="00A140D8"/>
    <w:pPr>
      <w:spacing w:before="12pt" w:after="3pt" w:line="12pt" w:lineRule="auto"/>
      <w:jc w:val="both"/>
      <w:outlineLvl w:val="8"/>
    </w:pPr>
    <w:rPr>
      <w:rFonts w:eastAsia="Times New Roman"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pt" w:type="dxa"/>
      <w:tblCellMar>
        <w:top w:w="0pt" w:type="dxa"/>
        <w:start w:w="5.40pt" w:type="dxa"/>
        <w:bottom w:w="0pt" w:type="dxa"/>
        <w:end w:w="5.40pt" w:type="dxa"/>
      </w:tblCellMar>
    </w:tblPr>
  </w:style>
  <w:style w:type="numbering" w:default="1" w:styleId="Sinlista">
    <w:name w:val="No List"/>
    <w:uiPriority w:val="99"/>
    <w:semiHidden/>
    <w:unhideWhenUsed/>
  </w:style>
  <w:style w:type="paragraph" w:customStyle="1" w:styleId="xxxxNotadeCuadro">
    <w:name w:val="xxxx Nota de Cuadro"/>
    <w:basedOn w:val="xxxNotaelpiemau"/>
    <w:rsid w:val="00225543"/>
  </w:style>
  <w:style w:type="character" w:customStyle="1" w:styleId="Listamulticolor-nfasis1Car">
    <w:name w:val="Lista multicolor - Énfasis 1 Car"/>
    <w:link w:val="Listamulticolor-nfasis11"/>
    <w:uiPriority w:val="34"/>
    <w:rsid w:val="00A140D8"/>
    <w:rPr>
      <w:rFonts w:ascii="Calibri" w:eastAsia="Calibri" w:hAnsi="Calibri" w:cs="Times New Roman"/>
    </w:rPr>
  </w:style>
  <w:style w:type="character" w:customStyle="1" w:styleId="Ttulo4Car1">
    <w:name w:val="Título 4 Car1"/>
    <w:aliases w:val="1.1.1.1 Car1,4 Car1,H4 Car1,H4-Heading 4 Car1,Header 4 Car1,I4 Car1,ITT t4 Car1,Map Title Car1,PA Micro Section Car1,Title4 Car1,a. Car1,h4 Car1,h:4 Car1,heading 4 + Indent: Left 0.5 in Car1,heading Car1,heading4 Car1,l4 Car1,le4 Car1"/>
    <w:basedOn w:val="Fuentedeprrafopredeter"/>
    <w:uiPriority w:val="9"/>
    <w:semiHidden/>
    <w:rsid w:val="00F85A8C"/>
    <w:rPr>
      <w:rFonts w:ascii="Calibri Light" w:eastAsia="Times New Roman" w:hAnsi="Calibri Light" w:cs="Times New Roman"/>
      <w:i/>
      <w:iCs/>
      <w:color w:val="2F5496"/>
      <w:sz w:val="22"/>
      <w:szCs w:val="22"/>
      <w:lang w:eastAsia="en-US"/>
    </w:rPr>
  </w:style>
  <w:style w:type="character" w:customStyle="1" w:styleId="Ttulo3Car">
    <w:name w:val="Título 3 Car"/>
    <w:aliases w:val="3 Car,31 Car,310 Car,311 Car,312 Car,313 Car,32 Car,321 Car,322 Car,323 Car,33 Car,331 Car,332 Car,34 Car,341 Car,342 Car,35 Car,351 Car,352 Car,36 Car,361 Car,362 Car,37 Car,371 Car,372 Car,38 Car,39 Car,H3 Car,h Car,h3 Car,h:3 Car,l3 Car"/>
    <w:basedOn w:val="Fuentedeprrafopredeter"/>
    <w:link w:val="Ttulo3"/>
    <w:uiPriority w:val="9"/>
    <w:rsid w:val="00A140D8"/>
    <w:rPr>
      <w:rFonts w:ascii="Arial" w:eastAsia="Times New Roman" w:hAnsi="Arial" w:cs="Times New Roman"/>
      <w:b/>
      <w:bCs/>
      <w:szCs w:val="20"/>
    </w:rPr>
  </w:style>
  <w:style w:type="paragraph" w:customStyle="1" w:styleId="ListBulletCompact">
    <w:name w:val="List Bullet Compact"/>
    <w:basedOn w:val="Listaconvietas"/>
    <w:uiPriority w:val="99"/>
    <w:qFormat/>
    <w:rsid w:val="00A140D8"/>
    <w:pPr>
      <w:tabs>
        <w:tab w:val="num" w:pos="18pt"/>
      </w:tabs>
      <w:spacing w:after="0pt" w:line="16pt" w:lineRule="atLeast"/>
      <w:ind w:start="17.85pt"/>
    </w:pPr>
    <w:rPr>
      <w:rFonts w:ascii="Arial" w:eastAsiaTheme="minorHAnsi" w:hAnsi="Arial" w:cstheme="minorBidi"/>
      <w:iCs w:val="0"/>
      <w:lang w:val="es-ES_tradnl"/>
    </w:rPr>
  </w:style>
  <w:style w:type="table" w:customStyle="1" w:styleId="Tablaconcuadrcula4-nfasis11">
    <w:name w:val="Tabla con cuadrícula 4 - Énfasis 11"/>
    <w:basedOn w:val="Tablanormal"/>
    <w:uiPriority w:val="49"/>
    <w:rsid w:val="00524713"/>
    <w:pPr>
      <w:spacing w:after="0pt" w:line="12pt" w:lineRule="auto"/>
    </w:pPr>
    <w:rPr>
      <w:rFonts w:ascii="Calibri" w:eastAsia="Calibri" w:hAnsi="Calibri" w:cs="Times New Roman"/>
      <w:sz w:val="20"/>
      <w:szCs w:val="20"/>
      <w:lang w:eastAsia="es-MX"/>
    </w:rPr>
    <w:tblPr>
      <w:tblStyleRowBandSize w:val="1"/>
      <w:tblStyleColBandSize w:val="1"/>
      <w:tblBorders>
        <w:top w:val="single" w:sz="4" w:space="0" w:color="9CC2E5"/>
        <w:start w:val="single" w:sz="4" w:space="0" w:color="9CC2E5"/>
        <w:bottom w:val="single" w:sz="4" w:space="0" w:color="9CC2E5"/>
        <w:end w:val="single" w:sz="4" w:space="0" w:color="9CC2E5"/>
        <w:insideH w:val="single" w:sz="4" w:space="0" w:color="9CC2E5"/>
        <w:insideV w:val="single" w:sz="4" w:space="0" w:color="9CC2E5"/>
      </w:tblBorders>
    </w:tblPr>
    <w:tblStylePr w:type="firstRow">
      <w:rPr>
        <w:b/>
        <w:bCs/>
        <w:color w:val="FFFFFF"/>
      </w:rPr>
      <w:tblPr/>
      <w:tcPr>
        <w:tcBorders>
          <w:top w:val="single" w:sz="4" w:space="0" w:color="5B9BD5"/>
          <w:start w:val="single" w:sz="4" w:space="0" w:color="5B9BD5"/>
          <w:bottom w:val="single" w:sz="4" w:space="0" w:color="5B9BD5"/>
          <w:end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paragraph" w:styleId="Textoindependienteprimerasangra">
    <w:name w:val="Body Text First Indent"/>
    <w:basedOn w:val="Textoindependiente"/>
    <w:link w:val="TextoindependienteprimerasangraCar"/>
    <w:rsid w:val="000B5AAD"/>
    <w:pPr>
      <w:adjustRightInd w:val="0"/>
      <w:spacing w:line="12pt" w:lineRule="auto"/>
      <w:ind w:end="38pt" w:firstLine="10.50pt"/>
    </w:pPr>
    <w:rPr>
      <w:rFonts w:ascii="Times New Roman" w:eastAsia="Times New Roman" w:hAnsi="Times New Roman" w:cs="Arial"/>
      <w:iCs/>
      <w:color w:val="000000"/>
      <w:sz w:val="24"/>
      <w:szCs w:val="24"/>
      <w:lang w:val="es-ES" w:eastAsia="es-ES"/>
    </w:rPr>
  </w:style>
  <w:style w:type="table" w:customStyle="1" w:styleId="Tablaconcuadrcula1">
    <w:name w:val="Tabla con cuadrícula1"/>
    <w:basedOn w:val="Tablanormal"/>
    <w:next w:val="Tablaconcuadrcula"/>
    <w:uiPriority w:val="39"/>
    <w:rsid w:val="00A140D8"/>
    <w:pPr>
      <w:spacing w:after="0pt" w:line="12pt" w:lineRule="auto"/>
    </w:pPr>
    <w:rPr>
      <w:rFonts w:ascii="Arial" w:eastAsia="Times New Roman" w:hAnsi="Arial" w:cs="Times New Roman"/>
      <w:sz w:val="24"/>
      <w:szCs w:val="24"/>
      <w:lang w:eastAsia="es-MX"/>
    </w:rPr>
    <w:tblP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39"/>
    <w:rsid w:val="00277ED2"/>
    <w:pPr>
      <w:spacing w:after="0pt" w:line="12pt" w:lineRule="auto"/>
    </w:pPr>
    <w:rPr>
      <w:rFonts w:ascii="Arial" w:eastAsia="Times New Roman" w:hAnsi="Arial" w:cs="Times New Roman"/>
      <w:sz w:val="24"/>
      <w:szCs w:val="24"/>
      <w:lang w:eastAsia="es-MX"/>
    </w:rPr>
    <w:tblP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Pr>
  </w:style>
  <w:style w:type="paragraph" w:styleId="Saludo">
    <w:name w:val="Salutation"/>
    <w:basedOn w:val="Normal"/>
    <w:next w:val="Normal"/>
    <w:link w:val="SaludoCar"/>
    <w:rsid w:val="000B5AAD"/>
    <w:pPr>
      <w:spacing w:line="12pt" w:lineRule="auto"/>
    </w:pPr>
    <w:rPr>
      <w:rFonts w:ascii="Times New Roman" w:eastAsia="Times New Roman" w:hAnsi="Times New Roman" w:cs="Times New Roman"/>
      <w:sz w:val="24"/>
      <w:szCs w:val="24"/>
      <w:lang w:val="es-ES" w:eastAsia="es-ES"/>
    </w:rPr>
  </w:style>
  <w:style w:type="table" w:customStyle="1" w:styleId="Tablaconcuadrcula6">
    <w:name w:val="Tabla con cuadrícula6"/>
    <w:basedOn w:val="Tablanormal"/>
    <w:next w:val="Tablaconcuadrcula"/>
    <w:uiPriority w:val="39"/>
    <w:rsid w:val="007C2715"/>
    <w:pPr>
      <w:spacing w:after="0pt" w:line="12pt" w:lineRule="auto"/>
    </w:pPr>
    <w:rPr>
      <w:rFonts w:ascii="Times New Roman" w:eastAsia="Times New Roman" w:hAnsi="Times New Roman" w:cs="Times New Roman"/>
      <w:sz w:val="20"/>
      <w:szCs w:val="20"/>
      <w:lang w:eastAsia="es-ES"/>
    </w:rPr>
    <w:tblP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Pr>
  </w:style>
  <w:style w:type="character" w:customStyle="1" w:styleId="PiepginaCar">
    <w:name w:val="Pie página Car"/>
    <w:link w:val="Piepgina"/>
    <w:rsid w:val="00977094"/>
    <w:rPr>
      <w:rFonts w:ascii="ITC Avant Garde" w:eastAsia="Times New Roman" w:hAnsi="ITC Avant Garde" w:cs="Arial"/>
      <w:sz w:val="18"/>
      <w:szCs w:val="18"/>
      <w:lang w:val="es-ES_tradnl" w:eastAsia="es-ES"/>
    </w:rPr>
  </w:style>
  <w:style w:type="table" w:customStyle="1" w:styleId="Tablaconcuadrcula4">
    <w:name w:val="Tabla con cuadrícula4"/>
    <w:basedOn w:val="Tablanormal"/>
    <w:next w:val="Tablaconcuadrcula"/>
    <w:uiPriority w:val="39"/>
    <w:rsid w:val="00F85A8C"/>
    <w:pPr>
      <w:spacing w:after="0pt" w:line="12pt" w:lineRule="auto"/>
    </w:pPr>
    <w:rPr>
      <w:rFonts w:ascii="Arial" w:eastAsia="Times New Roman" w:hAnsi="Arial" w:cs="Times New Roman"/>
      <w:sz w:val="24"/>
      <w:szCs w:val="24"/>
      <w:lang w:eastAsia="es-MX"/>
    </w:rPr>
    <w:tblP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Pr>
  </w:style>
  <w:style w:type="character" w:customStyle="1" w:styleId="SC176142">
    <w:name w:val="SC176142"/>
    <w:uiPriority w:val="99"/>
    <w:rsid w:val="00277ED2"/>
    <w:rPr>
      <w:color w:val="000000"/>
      <w:sz w:val="28"/>
    </w:rPr>
  </w:style>
  <w:style w:type="table" w:customStyle="1" w:styleId="TableNormal2">
    <w:name w:val="Table Normal2"/>
    <w:uiPriority w:val="2"/>
    <w:semiHidden/>
    <w:unhideWhenUsed/>
    <w:qFormat/>
    <w:rsid w:val="00277ED2"/>
    <w:pPr>
      <w:widowControl w:val="0"/>
      <w:spacing w:after="0pt" w:line="12pt" w:lineRule="auto"/>
    </w:pPr>
    <w:rPr>
      <w:rFonts w:ascii="Calibri" w:eastAsia="Calibri" w:hAnsi="Calibri" w:cs="Times New Roman"/>
      <w:lang w:val="en-US"/>
    </w:rPr>
    <w:tblPr>
      <w:tblInd w:w="0pt" w:type="dxa"/>
      <w:tblCellMar>
        <w:top w:w="0pt" w:type="dxa"/>
        <w:start w:w="0pt" w:type="dxa"/>
        <w:bottom w:w="0pt" w:type="dxa"/>
        <w:end w:w="0pt" w:type="dxa"/>
      </w:tblCellMar>
    </w:tblPr>
  </w:style>
  <w:style w:type="character" w:customStyle="1" w:styleId="Ttulo6Car">
    <w:name w:val="Título 6 Car"/>
    <w:aliases w:val="6 Car,61 Car,611 Car,612 Car,613 Car,614 Car,62 Car,63 Car,64 Car,65 Car,Bullet list Car,Header 6 Car,ITT t6 Car,Level 6 Car,PA Appendix Car,Requirement Car,Requirement1 Car,Requirement11 Car,Requirement12 Car,Requirement13 Car,h6 Car"/>
    <w:basedOn w:val="Fuentedeprrafopredeter"/>
    <w:link w:val="Ttulo6"/>
    <w:uiPriority w:val="9"/>
    <w:rsid w:val="00A140D8"/>
    <w:rPr>
      <w:rFonts w:ascii="Times New Roman" w:eastAsia="Times New Roman" w:hAnsi="Times New Roman" w:cs="Times New Roman"/>
      <w:b/>
      <w:bCs/>
      <w:lang w:eastAsia="es-ES"/>
    </w:rPr>
  </w:style>
  <w:style w:type="table" w:customStyle="1" w:styleId="Tablaconcuadrcula5">
    <w:name w:val="Tabla con cuadrícula5"/>
    <w:basedOn w:val="Tablanormal"/>
    <w:next w:val="Tablaconcuadrcula"/>
    <w:uiPriority w:val="39"/>
    <w:rsid w:val="007C2715"/>
    <w:pPr>
      <w:spacing w:after="0pt" w:line="12pt" w:lineRule="auto"/>
    </w:pPr>
    <w:rPr>
      <w:rFonts w:ascii="Arial" w:eastAsia="Times New Roman" w:hAnsi="Arial" w:cs="Times New Roman"/>
      <w:sz w:val="24"/>
      <w:szCs w:val="24"/>
      <w:lang w:eastAsia="es-MX"/>
    </w:rPr>
    <w:tblP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Pr>
  </w:style>
  <w:style w:type="paragraph" w:customStyle="1" w:styleId="xxxPiedeCuadroconnombre">
    <w:name w:val="xxx Pie de Cuadro con nombre"/>
    <w:basedOn w:val="Normal"/>
    <w:uiPriority w:val="99"/>
    <w:qFormat/>
    <w:rsid w:val="00785FC3"/>
    <w:pPr>
      <w:spacing w:before="6pt"/>
      <w:ind w:start="14.20pt"/>
    </w:pPr>
    <w:rPr>
      <w:rFonts w:cs="Arial"/>
      <w:b/>
      <w:sz w:val="20"/>
    </w:rPr>
  </w:style>
  <w:style w:type="character" w:customStyle="1" w:styleId="IFTnormalCar">
    <w:name w:val="IFT normal Car"/>
    <w:basedOn w:val="Fuentedeprrafopredeter"/>
    <w:link w:val="IFTnormal"/>
    <w:qFormat/>
    <w:rsid w:val="003D2344"/>
    <w:rPr>
      <w:rFonts w:ascii="Arial" w:eastAsia="Calibri" w:hAnsi="Arial" w:cs="Arial"/>
      <w:color w:val="000000"/>
      <w:lang w:val="es-ES_tradnl" w:eastAsia="es-ES"/>
    </w:rPr>
  </w:style>
  <w:style w:type="paragraph" w:styleId="Textodeglobo">
    <w:name w:val="Balloon Text"/>
    <w:basedOn w:val="Normal"/>
    <w:link w:val="TextodegloboCar"/>
    <w:uiPriority w:val="99"/>
    <w:unhideWhenUsed/>
    <w:rsid w:val="00A140D8"/>
    <w:pPr>
      <w:spacing w:line="12pt" w:lineRule="auto"/>
    </w:pPr>
    <w:rPr>
      <w:rFonts w:ascii="Segoe UI" w:eastAsia="Calibri" w:hAnsi="Segoe UI" w:cs="Segoe UI"/>
      <w:sz w:val="18"/>
      <w:szCs w:val="18"/>
    </w:rPr>
  </w:style>
  <w:style w:type="character" w:customStyle="1" w:styleId="FootnoteReference1">
    <w:name w:val="FootnoteReference_1"/>
    <w:uiPriority w:val="99"/>
    <w:unhideWhenUsed/>
    <w:qFormat/>
    <w:rPr>
      <w:rFonts w:asciiTheme="minorHAnsi" w:hAnsiTheme="minorHAnsi"/>
      <w:vertAlign w:val="superscript"/>
    </w:rPr>
  </w:style>
  <w:style w:type="paragraph" w:customStyle="1" w:styleId="Nprimero">
    <w:name w:val="N. primero"/>
    <w:basedOn w:val="IFTnormal"/>
    <w:link w:val="NprimeroCar"/>
    <w:qFormat/>
    <w:rsid w:val="000B5AAD"/>
    <w:pPr>
      <w:numPr>
        <w:numId w:val="32"/>
      </w:numPr>
      <w:spacing w:after="10pt"/>
    </w:pPr>
    <w:rPr>
      <w:rFonts w:cs="Calibri"/>
      <w:bCs/>
    </w:rPr>
  </w:style>
  <w:style w:type="paragraph" w:customStyle="1" w:styleId="Listavistosa-nfasis12">
    <w:name w:val="Lista vistosa - Énfasis 12"/>
    <w:basedOn w:val="Normal"/>
    <w:uiPriority w:val="99"/>
    <w:rsid w:val="00277ED2"/>
    <w:pPr>
      <w:spacing w:line="12pt" w:lineRule="auto"/>
      <w:ind w:start="35.40pt"/>
      <w:jc w:val="both"/>
    </w:pPr>
    <w:rPr>
      <w:rFonts w:ascii="Calibri" w:eastAsia="Times New Roman" w:hAnsi="Calibri" w:cs="Times New Roman"/>
      <w:sz w:val="24"/>
      <w:szCs w:val="24"/>
      <w:lang w:eastAsia="es-ES"/>
    </w:rPr>
  </w:style>
  <w:style w:type="paragraph" w:customStyle="1" w:styleId="IFTnormal">
    <w:name w:val="IFT normal"/>
    <w:basedOn w:val="Normal"/>
    <w:link w:val="IFTnormalCar"/>
    <w:qFormat/>
    <w:rsid w:val="00422AC4"/>
    <w:pPr>
      <w:jc w:val="both"/>
    </w:pPr>
    <w:rPr>
      <w:rFonts w:eastAsia="Calibri" w:cs="Arial"/>
      <w:color w:val="000000"/>
      <w:lang w:val="es-ES_tradnl" w:eastAsia="es-ES"/>
    </w:rPr>
  </w:style>
  <w:style w:type="paragraph" w:styleId="Sangradetextonormal">
    <w:name w:val="Body Text Indent"/>
    <w:basedOn w:val="Normal"/>
    <w:link w:val="SangradetextonormalCar"/>
    <w:uiPriority w:val="99"/>
    <w:unhideWhenUsed/>
    <w:rsid w:val="00A140D8"/>
    <w:pPr>
      <w:spacing w:after="6pt"/>
      <w:ind w:start="14.15pt"/>
    </w:pPr>
    <w:rPr>
      <w:rFonts w:ascii="Calibri" w:eastAsia="Calibri" w:hAnsi="Calibri" w:cs="Times New Roman"/>
    </w:rPr>
  </w:style>
  <w:style w:type="paragraph" w:customStyle="1" w:styleId="enumlev2">
    <w:name w:val="enumlev2"/>
    <w:basedOn w:val="enumlev1"/>
    <w:uiPriority w:val="99"/>
    <w:rsid w:val="00277ED2"/>
    <w:pPr>
      <w:overflowPunct w:val="0"/>
      <w:autoSpaceDE w:val="0"/>
      <w:autoSpaceDN w:val="0"/>
      <w:adjustRightInd w:val="0"/>
      <w:ind w:start="59.55pt" w:hanging="19.85pt"/>
      <w:jc w:val="both"/>
      <w:textAlignment w:val="baseline"/>
    </w:pPr>
    <w:rPr>
      <w:lang w:val="es-ES"/>
    </w:rPr>
  </w:style>
  <w:style w:type="paragraph" w:customStyle="1" w:styleId="Niv2Bullets">
    <w:name w:val="Niv2Bullets"/>
    <w:basedOn w:val="IFTnormal"/>
    <w:next w:val="IFTnormal"/>
    <w:qFormat/>
    <w:rsid w:val="00A140D8"/>
    <w:pPr>
      <w:numPr>
        <w:ilvl w:val="1"/>
        <w:numId w:val="2"/>
      </w:numPr>
      <w:ind w:start="71.70pt" w:hanging="17.85pt"/>
      <w:contextualSpacing/>
      <w:outlineLvl w:val="1"/>
    </w:pPr>
  </w:style>
  <w:style w:type="character" w:customStyle="1" w:styleId="Heading6Char">
    <w:name w:val="Heading 6 Char"/>
    <w:aliases w:val="6 Char,61 Char,611 Char,612 Char,62 Char,63 Char,Bullet list Char,Header 6 Char,ITT t6 Char,Level 6 Char,PA Appendix Char,Requirement Char,Requirement1 Char,Requirement11 Char,Requirement2 Char,h6 Char,h61 Char,h611 Char,h62 Char,h63 Char"/>
    <w:uiPriority w:val="9"/>
    <w:semiHidden/>
    <w:rsid w:val="00277ED2"/>
    <w:rPr>
      <w:rFonts w:ascii="Calibri" w:eastAsia="Times New Roman" w:hAnsi="Calibri" w:cs="Times New Roman"/>
      <w:b/>
      <w:bCs/>
      <w:lang w:val="es-ES_tradnl" w:eastAsia="es-ES"/>
    </w:rPr>
  </w:style>
  <w:style w:type="paragraph" w:customStyle="1" w:styleId="Tender-Header">
    <w:name w:val="Tender - Header"/>
    <w:basedOn w:val="Textoindependiente"/>
    <w:uiPriority w:val="99"/>
    <w:rsid w:val="00277ED2"/>
    <w:pPr>
      <w:keepLines/>
      <w:pBdr>
        <w:bottom w:val="single" w:sz="6" w:space="1" w:color="auto"/>
      </w:pBdr>
      <w:tabs>
        <w:tab w:val="start" w:pos="127.60pt"/>
        <w:tab w:val="end" w:pos="496.15pt"/>
      </w:tabs>
      <w:suppressAutoHyphens/>
      <w:spacing w:before="3pt" w:after="0pt" w:line="12pt" w:lineRule="auto"/>
      <w:ind w:start="21.25pt"/>
    </w:pPr>
    <w:rPr>
      <w:rFonts w:ascii="Calibri" w:eastAsia="Times New Roman" w:hAnsi="Calibri" w:cs="Times New Roman"/>
      <w:sz w:val="20"/>
      <w:szCs w:val="24"/>
      <w:lang w:eastAsia="es-ES"/>
    </w:rPr>
  </w:style>
  <w:style w:type="character" w:customStyle="1" w:styleId="Romano1ernivelCar">
    <w:name w:val="Romano 1er nivel Car"/>
    <w:basedOn w:val="Fuentedeprrafopredeter"/>
    <w:link w:val="Romano1ernivel"/>
    <w:rsid w:val="007C2715"/>
    <w:rPr>
      <w:rFonts w:ascii="ITC Avant Garde" w:eastAsia="Calibri" w:hAnsi="ITC Avant Garde" w:cs="Arial"/>
      <w:bCs/>
      <w:color w:val="000000"/>
      <w:lang w:val="es-ES" w:eastAsia="es-ES"/>
    </w:rPr>
  </w:style>
  <w:style w:type="character" w:styleId="Hipervnculo">
    <w:name w:val="Hyperlink"/>
    <w:basedOn w:val="Fuentedeprrafopredeter"/>
    <w:uiPriority w:val="99"/>
    <w:unhideWhenUsed/>
    <w:rsid w:val="00A140D8"/>
    <w:rPr>
      <w:color w:val="0563C1" w:themeColor="hyperlink"/>
      <w:u w:val="single"/>
    </w:rPr>
  </w:style>
  <w:style w:type="character" w:customStyle="1" w:styleId="fontstyle01">
    <w:name w:val="fontstyle01"/>
    <w:basedOn w:val="Fuentedeprrafopredeter"/>
    <w:rsid w:val="007C2715"/>
    <w:rPr>
      <w:rFonts w:ascii="Courier" w:hAnsi="Courier" w:hint="default"/>
      <w:b w:val="0"/>
      <w:bCs w:val="0"/>
      <w:i w:val="0"/>
      <w:iCs w:val="0"/>
      <w:color w:val="000000"/>
      <w:sz w:val="28"/>
      <w:szCs w:val="28"/>
    </w:rPr>
  </w:style>
  <w:style w:type="character" w:customStyle="1" w:styleId="Niv3C4Car">
    <w:name w:val="Niv3C4 Car"/>
    <w:basedOn w:val="SubttuloCar"/>
    <w:link w:val="Niv3C4"/>
    <w:rsid w:val="00A140D8"/>
    <w:rPr>
      <w:rFonts w:ascii="ITC Avant Garde" w:eastAsia="Calibri" w:hAnsi="ITC Avant Garde" w:cs="Times New Roman"/>
      <w:b/>
    </w:rPr>
  </w:style>
  <w:style w:type="paragraph" w:customStyle="1" w:styleId="1TitPrin">
    <w:name w:val="1TitPrin"/>
    <w:basedOn w:val="Ttulo1"/>
    <w:link w:val="1TitPrinCar"/>
    <w:uiPriority w:val="99"/>
    <w:qFormat/>
    <w:rsid w:val="00FC729C"/>
    <w:pPr>
      <w:ind w:start="39.60pt" w:hanging="39.60pt"/>
    </w:pPr>
  </w:style>
  <w:style w:type="character" w:customStyle="1" w:styleId="TextosinformatoCar">
    <w:name w:val="Texto sin formato Car"/>
    <w:basedOn w:val="Fuentedeprrafopredeter"/>
    <w:link w:val="Textosinformato"/>
    <w:uiPriority w:val="99"/>
    <w:rsid w:val="00A140D8"/>
    <w:rPr>
      <w:rFonts w:ascii="Courier New" w:eastAsia="Times New Roman" w:hAnsi="Courier New" w:cs="Courier New"/>
      <w:sz w:val="20"/>
      <w:szCs w:val="20"/>
      <w:lang w:eastAsia="es-ES"/>
    </w:rPr>
  </w:style>
  <w:style w:type="paragraph" w:styleId="Encabezado">
    <w:name w:val="header"/>
    <w:aliases w:val="En-tête-2,Header/Footer,Odd Header,encabezado,first,header,header odd,header odd1,header odd2,header odd3,header odd4,header odd5,header odd6,heading one,ho"/>
    <w:basedOn w:val="Normal"/>
    <w:link w:val="EncabezadoCar"/>
    <w:uiPriority w:val="99"/>
    <w:unhideWhenUsed/>
    <w:rsid w:val="00A140D8"/>
    <w:pPr>
      <w:tabs>
        <w:tab w:val="center" w:pos="220.95pt"/>
        <w:tab w:val="end" w:pos="441.90pt"/>
      </w:tabs>
      <w:spacing w:line="12pt" w:lineRule="auto"/>
    </w:pPr>
    <w:rPr>
      <w:rFonts w:ascii="Calibri" w:eastAsia="Calibri" w:hAnsi="Calibri" w:cs="Times New Roman"/>
    </w:rPr>
  </w:style>
  <w:style w:type="paragraph" w:customStyle="1" w:styleId="PiedeFoto">
    <w:name w:val="Pie de Foto"/>
    <w:basedOn w:val="Normal"/>
    <w:next w:val="Normal"/>
    <w:rsid w:val="001811E0"/>
    <w:pPr>
      <w:spacing w:line="12pt" w:lineRule="auto"/>
      <w:ind w:start="17pt" w:end="14.20pt"/>
      <w:jc w:val="center"/>
    </w:pPr>
    <w:rPr>
      <w:rFonts w:eastAsia="Times New Roman" w:cs="Times New Roman"/>
      <w:b/>
      <w:sz w:val="20"/>
      <w:szCs w:val="20"/>
      <w:lang w:eastAsia="es-ES"/>
    </w:rPr>
  </w:style>
  <w:style w:type="character" w:customStyle="1" w:styleId="longtext">
    <w:name w:val="long_text"/>
    <w:uiPriority w:val="99"/>
    <w:rsid w:val="00277ED2"/>
    <w:rPr>
      <w:rFonts w:cs="Times New Roman"/>
    </w:rPr>
  </w:style>
  <w:style w:type="paragraph" w:customStyle="1" w:styleId="CM18">
    <w:name w:val="CM18"/>
    <w:basedOn w:val="Default"/>
    <w:next w:val="Default"/>
    <w:uiPriority w:val="99"/>
    <w:rsid w:val="00277ED2"/>
    <w:pPr>
      <w:widowControl w:val="0"/>
      <w:spacing w:after="13.15pt"/>
    </w:pPr>
    <w:rPr>
      <w:rFonts w:ascii="Times New Roman" w:eastAsia="Times New Roman" w:hAnsi="Times New Roman" w:cs="Times New Roman"/>
      <w:color w:val="auto"/>
      <w:lang w:val="es-ES" w:eastAsia="es-ES"/>
    </w:rPr>
  </w:style>
  <w:style w:type="table" w:styleId="Tabladecuadrcula1clara-nfasis5">
    <w:name w:val="Grid Table 1 Light Accent 5"/>
    <w:basedOn w:val="Tablanormal"/>
    <w:uiPriority w:val="46"/>
    <w:rsid w:val="007C2715"/>
    <w:pPr>
      <w:spacing w:after="0pt" w:line="12pt" w:lineRule="auto"/>
    </w:pPr>
    <w:tblPr>
      <w:tblStyleRowBandSize w:val="1"/>
      <w:tblStyleColBandSize w:val="1"/>
      <w:tblBorders>
        <w:top w:val="single" w:sz="4" w:space="0" w:color="B4C6E7" w:themeColor="accent5" w:themeTint="66"/>
        <w:start w:val="single" w:sz="4" w:space="0" w:color="B4C6E7" w:themeColor="accent5" w:themeTint="66"/>
        <w:bottom w:val="single" w:sz="4" w:space="0" w:color="B4C6E7" w:themeColor="accent5" w:themeTint="66"/>
        <w:end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character" w:customStyle="1" w:styleId="Ttulo5Car">
    <w:name w:val="Título 5 Car"/>
    <w:aliases w:val="5 Car,51 Car,52 Car,53 Car,Apartado_sub Car,Considerando Car,H5 Car,H5-Heading 5 Car,H5-Heading 51 Car,H5-Heading 52 Car,H5-Heading 53 Car,H51 Car,H52 Car,H53 Car,Header 5 Car,Heading5 Car,Heading51 Car,Heading52 Car,ITT t5 Car,Level 5 Car"/>
    <w:basedOn w:val="Fuentedeprrafopredeter"/>
    <w:link w:val="Ttulo5"/>
    <w:uiPriority w:val="9"/>
    <w:rsid w:val="00A140D8"/>
    <w:rPr>
      <w:rFonts w:ascii="Arial" w:eastAsia="Times New Roman" w:hAnsi="Arial" w:cs="Times New Roman"/>
      <w:b/>
      <w:sz w:val="20"/>
      <w:szCs w:val="20"/>
    </w:rPr>
  </w:style>
  <w:style w:type="paragraph" w:customStyle="1" w:styleId="Estilo4">
    <w:name w:val="Estilo4"/>
    <w:basedOn w:val="Puesto"/>
    <w:autoRedefine/>
    <w:uiPriority w:val="99"/>
    <w:rsid w:val="00277ED2"/>
    <w:pPr>
      <w:ind w:start="14.20pt"/>
      <w:contextualSpacing w:val="0"/>
    </w:pPr>
    <w:rPr>
      <w:rFonts w:ascii="Calibri" w:eastAsia="Times New Roman" w:hAnsi="Calibri" w:cs="Times New Roman"/>
      <w:b/>
      <w:spacing w:val="0"/>
      <w:kern w:val="0"/>
      <w:sz w:val="20"/>
      <w:szCs w:val="24"/>
      <w:lang w:eastAsia="es-ES"/>
    </w:rPr>
  </w:style>
  <w:style w:type="character" w:customStyle="1" w:styleId="SubttuloCar">
    <w:name w:val="Subtítulo Car"/>
    <w:basedOn w:val="Fuentedeprrafopredeter"/>
    <w:link w:val="Subttulo"/>
    <w:uiPriority w:val="99"/>
    <w:rsid w:val="00A140D8"/>
    <w:rPr>
      <w:rFonts w:ascii="ITC Avant Garde" w:eastAsia="Calibri" w:hAnsi="ITC Avant Garde" w:cs="Times New Roman"/>
      <w:b/>
    </w:rPr>
  </w:style>
  <w:style w:type="paragraph" w:customStyle="1" w:styleId="Citaift">
    <w:name w:val="Cita ift"/>
    <w:basedOn w:val="Normal"/>
    <w:link w:val="CitaiftCar"/>
    <w:qFormat/>
    <w:rsid w:val="003D2344"/>
    <w:pPr>
      <w:adjustRightInd w:val="0"/>
      <w:ind w:start="42.55pt" w:end="38pt"/>
      <w:jc w:val="both"/>
    </w:pPr>
    <w:rPr>
      <w:rFonts w:eastAsia="Times New Roman" w:cs="Arial"/>
      <w:i/>
      <w:color w:val="000000"/>
      <w:sz w:val="18"/>
      <w:szCs w:val="18"/>
      <w:lang w:eastAsia="es-ES"/>
    </w:rPr>
  </w:style>
  <w:style w:type="paragraph" w:customStyle="1" w:styleId="SP249902">
    <w:name w:val="SP249902"/>
    <w:basedOn w:val="Default"/>
    <w:next w:val="Default"/>
    <w:uiPriority w:val="99"/>
    <w:rsid w:val="00277ED2"/>
    <w:rPr>
      <w:rFonts w:ascii="Arial" w:eastAsia="Times New Roman" w:hAnsi="Arial" w:cs="Times New Roman"/>
      <w:color w:val="auto"/>
      <w:sz w:val="20"/>
      <w:lang w:val="es-ES" w:eastAsia="es-ES"/>
    </w:rPr>
  </w:style>
  <w:style w:type="character" w:customStyle="1" w:styleId="EncabezadoCar">
    <w:name w:val="Encabezado Car"/>
    <w:aliases w:val="En-tête-2 Car,Header/Footer Car,Odd Header Car,encabezado Car,first Car,header Car,header odd Car,header odd1 Car,header odd2 Car,header odd3 Car,header odd4 Car,header odd5 Car,header odd6 Car,heading one Car,ho Car"/>
    <w:basedOn w:val="Fuentedeprrafopredeter"/>
    <w:link w:val="Encabezado"/>
    <w:uiPriority w:val="99"/>
    <w:qFormat/>
    <w:rsid w:val="00A140D8"/>
    <w:rPr>
      <w:rFonts w:ascii="Calibri" w:eastAsia="Calibri" w:hAnsi="Calibri" w:cs="Times New Roman"/>
    </w:rPr>
  </w:style>
  <w:style w:type="character" w:customStyle="1" w:styleId="LosOdioAtodosCar">
    <w:name w:val="LosOdioAtodos Car"/>
    <w:basedOn w:val="Niv3C4Car"/>
    <w:link w:val="LosOdioAtodos"/>
    <w:rsid w:val="00A140D8"/>
    <w:rPr>
      <w:rFonts w:ascii="ITC Avant Garde" w:eastAsia="Calibri" w:hAnsi="ITC Avant Garde" w:cs="Times New Roman"/>
      <w:b/>
    </w:rPr>
  </w:style>
  <w:style w:type="character" w:customStyle="1" w:styleId="Ttulo1Car">
    <w:name w:val="Título 1 Car"/>
    <w:aliases w:val="1 Car,11 Car,Chapter Heading Car,H1 Car,H11 Car,H110 Car,H111 Car,H1110 Car,H1111 Car,H112 Car,H1121 Car,H113 Car,H1131 Car,H114 Car,H115 Car,H116 Car,H117 Car,H118 Car,H119 Car,H12 Car,H120 Car,H121 Car,H13 Car,H131 Car,H14 Car,H141 Car"/>
    <w:basedOn w:val="Fuentedeprrafopredeter"/>
    <w:link w:val="Ttulo1"/>
    <w:uiPriority w:val="99"/>
    <w:rsid w:val="002F02D8"/>
    <w:rPr>
      <w:rFonts w:ascii="Arial" w:eastAsia="Calibri" w:hAnsi="Arial" w:cs="Arial"/>
      <w:b/>
      <w:color w:val="000000"/>
      <w:lang w:val="es-ES" w:eastAsia="es-ES"/>
    </w:rPr>
  </w:style>
  <w:style w:type="table" w:customStyle="1" w:styleId="Tablaconcuadrcula21">
    <w:name w:val="Tabla con cuadrícula21"/>
    <w:basedOn w:val="Tablanormal"/>
    <w:next w:val="Tablaconcuadrcula"/>
    <w:uiPriority w:val="39"/>
    <w:rsid w:val="00C2457D"/>
    <w:pPr>
      <w:spacing w:after="0pt" w:line="12pt" w:lineRule="auto"/>
    </w:pPr>
    <w:rPr>
      <w:rFonts w:ascii="Calibri" w:eastAsia="Calibri" w:hAnsi="Calibri" w:cs="Times New Roman"/>
      <w:sz w:val="20"/>
      <w:szCs w:val="20"/>
      <w:lang w:val="en-US" w:eastAsia="es-MX"/>
    </w:rPr>
    <w:tblP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Pr>
  </w:style>
  <w:style w:type="paragraph" w:customStyle="1" w:styleId="Prrafodelista3">
    <w:name w:val="Párrafo de lista3"/>
    <w:basedOn w:val="Normal"/>
    <w:uiPriority w:val="34"/>
    <w:qFormat/>
    <w:rsid w:val="00277ED2"/>
    <w:pPr>
      <w:spacing w:line="12pt" w:lineRule="auto"/>
      <w:ind w:start="35.40pt"/>
    </w:pPr>
    <w:rPr>
      <w:rFonts w:ascii="Calibri" w:eastAsia="Times New Roman" w:hAnsi="Calibri" w:cs="Times New Roman"/>
      <w:sz w:val="24"/>
      <w:szCs w:val="24"/>
      <w:lang w:val="es-ES_tradnl" w:eastAsia="es-ES"/>
    </w:rPr>
  </w:style>
  <w:style w:type="paragraph" w:customStyle="1" w:styleId="RecTitle">
    <w:name w:val="Rec_Title"/>
    <w:basedOn w:val="Rec"/>
    <w:next w:val="Normal"/>
    <w:uiPriority w:val="99"/>
    <w:rsid w:val="00277ED2"/>
    <w:pPr>
      <w:spacing w:before="9pt"/>
    </w:pPr>
    <w:rPr>
      <w:b/>
    </w:rPr>
  </w:style>
  <w:style w:type="paragraph" w:styleId="Encabezadodemensaje">
    <w:name w:val="Message Header"/>
    <w:basedOn w:val="Normal"/>
    <w:link w:val="EncabezadodemensajeCar"/>
    <w:rsid w:val="00A140D8"/>
    <w:pPr>
      <w:pBdr>
        <w:top w:val="single" w:sz="6" w:space="1" w:color="auto"/>
        <w:left w:val="single" w:sz="6" w:space="1" w:color="auto"/>
        <w:bottom w:val="single" w:sz="6" w:space="1" w:color="auto"/>
        <w:right w:val="single" w:sz="6" w:space="1" w:color="auto"/>
      </w:pBdr>
      <w:shd w:val="pct20" w:color="auto" w:fill="auto"/>
      <w:spacing w:line="12pt" w:lineRule="auto"/>
      <w:ind w:start="56.70pt" w:hanging="56.70pt"/>
    </w:pPr>
    <w:rPr>
      <w:rFonts w:eastAsia="Times New Roman" w:cs="Arial"/>
      <w:sz w:val="24"/>
      <w:szCs w:val="24"/>
      <w:lang w:val="es-ES" w:eastAsia="es-ES"/>
    </w:rPr>
  </w:style>
  <w:style w:type="character" w:customStyle="1" w:styleId="SaludoCar">
    <w:name w:val="Saludo Car"/>
    <w:basedOn w:val="Fuentedeprrafopredeter"/>
    <w:link w:val="Saludo"/>
    <w:rsid w:val="000B5AAD"/>
    <w:rPr>
      <w:rFonts w:ascii="Times New Roman" w:eastAsia="Times New Roman" w:hAnsi="Times New Roman" w:cs="Times New Roman"/>
      <w:sz w:val="24"/>
      <w:szCs w:val="24"/>
      <w:lang w:val="es-ES" w:eastAsia="es-ES"/>
    </w:rPr>
  </w:style>
  <w:style w:type="character" w:customStyle="1" w:styleId="Ttulo2Car">
    <w:name w:val="Título 2 Car"/>
    <w:aliases w:val="2 Car,21 Car,22 Car,23 Car,24 Car,25 Car,2TitSec Car,Fab-2 Car,H2 Car,H21 Car,Head2A Car,Header 2 Car,Header 21 Car,Header 22 Car,Header 23 Car,Header 24 Car,Level 2 Car,Level2 Car,N2 IFT Car,Titre 2 ALD Car,Titre 2 OD Car,h2 Car,h21 Car"/>
    <w:basedOn w:val="Fuentedeprrafopredeter"/>
    <w:link w:val="Ttulo2"/>
    <w:uiPriority w:val="9"/>
    <w:rsid w:val="00FC729C"/>
    <w:rPr>
      <w:rFonts w:ascii="ITC Avant Garde" w:eastAsia="Times New Roman" w:hAnsi="ITC Avant Garde" w:cs="Arial"/>
      <w:b/>
      <w:bCs/>
    </w:rPr>
  </w:style>
  <w:style w:type="table" w:customStyle="1" w:styleId="TableNormal11">
    <w:name w:val="Table Normal11"/>
    <w:uiPriority w:val="2"/>
    <w:semiHidden/>
    <w:qFormat/>
    <w:rsid w:val="00F85A8C"/>
    <w:pPr>
      <w:widowControl w:val="0"/>
      <w:spacing w:after="0pt" w:line="12pt" w:lineRule="auto"/>
    </w:pPr>
    <w:rPr>
      <w:rFonts w:ascii="Calibri" w:eastAsia="Calibri" w:hAnsi="Calibri" w:cs="Times New Roman"/>
      <w:lang w:val="en-US"/>
    </w:rPr>
    <w:tblPr>
      <w:tblCellMar>
        <w:top w:w="0pt" w:type="dxa"/>
        <w:start w:w="0pt" w:type="dxa"/>
        <w:bottom w:w="0pt" w:type="dxa"/>
        <w:end w:w="0pt" w:type="dxa"/>
      </w:tblCellMar>
    </w:tblPr>
  </w:style>
  <w:style w:type="paragraph" w:customStyle="1" w:styleId="CM3">
    <w:name w:val="CM3"/>
    <w:basedOn w:val="Default"/>
    <w:next w:val="Default"/>
    <w:uiPriority w:val="99"/>
    <w:rsid w:val="00277ED2"/>
    <w:pPr>
      <w:widowControl w:val="0"/>
    </w:pPr>
    <w:rPr>
      <w:rFonts w:ascii="Times New Roman" w:eastAsia="Times New Roman" w:hAnsi="Times New Roman" w:cs="Times New Roman"/>
      <w:color w:val="auto"/>
      <w:lang w:val="es-ES" w:eastAsia="es-ES"/>
    </w:rPr>
  </w:style>
  <w:style w:type="paragraph" w:customStyle="1" w:styleId="Footnote">
    <w:name w:val="Footnote"/>
    <w:basedOn w:val="Normal"/>
    <w:rsid w:val="00A140D8"/>
    <w:pPr>
      <w:suppressAutoHyphens/>
    </w:pPr>
  </w:style>
  <w:style w:type="paragraph" w:customStyle="1" w:styleId="Texto11">
    <w:name w:val="Texto1_1"/>
    <w:uiPriority w:val="99"/>
    <w:pPr>
      <w:spacing w:after="0pt" w:line="12pt" w:lineRule="auto"/>
      <w:ind w:start="17.60pt"/>
      <w:jc w:val="both"/>
    </w:pPr>
    <w:rPr>
      <w:rFonts w:ascii="Arial" w:eastAsia="Times New Roman" w:hAnsi="Arial" w:cs="Times New Roman"/>
      <w:sz w:val="24"/>
      <w:szCs w:val="24"/>
      <w:lang w:val="es-ES_tradnl" w:eastAsia="es-ES"/>
    </w:rPr>
  </w:style>
  <w:style w:type="paragraph" w:customStyle="1" w:styleId="CM26">
    <w:name w:val="CM26"/>
    <w:basedOn w:val="Default"/>
    <w:next w:val="Default"/>
    <w:uiPriority w:val="99"/>
    <w:rsid w:val="00277ED2"/>
    <w:pPr>
      <w:widowControl w:val="0"/>
      <w:spacing w:after="10.40pt"/>
    </w:pPr>
    <w:rPr>
      <w:rFonts w:ascii="Times New Roman" w:eastAsia="Times New Roman" w:hAnsi="Times New Roman" w:cs="Times New Roman"/>
      <w:color w:val="auto"/>
      <w:lang w:val="es-ES" w:eastAsia="es-ES"/>
    </w:rPr>
  </w:style>
  <w:style w:type="character" w:customStyle="1" w:styleId="OPCIONESCar">
    <w:name w:val="OPCIONES Car"/>
    <w:link w:val="OPCIONES"/>
    <w:uiPriority w:val="99"/>
    <w:locked/>
    <w:rsid w:val="00277ED2"/>
    <w:rPr>
      <w:rFonts w:ascii="Calibri" w:eastAsia="Times New Roman" w:hAnsi="Calibri" w:cs="Times New Roman"/>
      <w:sz w:val="24"/>
      <w:szCs w:val="24"/>
      <w:lang w:val="es-ES_tradnl" w:eastAsia="es-ES"/>
    </w:rPr>
  </w:style>
  <w:style w:type="character" w:customStyle="1" w:styleId="CAPITULOSCar">
    <w:name w:val="CAPITULOS Car"/>
    <w:link w:val="CAPITULOS"/>
    <w:uiPriority w:val="99"/>
    <w:locked/>
    <w:rsid w:val="00277ED2"/>
    <w:rPr>
      <w:rFonts w:ascii="Calibri" w:eastAsia="Times New Roman" w:hAnsi="Calibri" w:cs="Times New Roman"/>
      <w:b/>
      <w:sz w:val="32"/>
      <w:szCs w:val="24"/>
      <w:lang w:eastAsia="es-ES"/>
    </w:rPr>
  </w:style>
  <w:style w:type="paragraph" w:customStyle="1" w:styleId="Listamulticolor-nfasis11">
    <w:name w:val="Lista multicolor - Énfasis 11"/>
    <w:basedOn w:val="Normal"/>
    <w:link w:val="Listamulticolor-nfasis1Car"/>
    <w:uiPriority w:val="34"/>
    <w:rsid w:val="00A140D8"/>
    <w:pPr>
      <w:spacing w:after="10pt"/>
      <w:ind w:start="36pt"/>
      <w:contextualSpacing/>
    </w:pPr>
    <w:rPr>
      <w:rFonts w:ascii="Calibri" w:eastAsia="Calibri" w:hAnsi="Calibri" w:cs="Times New Roman"/>
    </w:rPr>
  </w:style>
  <w:style w:type="character" w:customStyle="1" w:styleId="Mencinsinresolver4">
    <w:name w:val="Mención sin resolver4"/>
    <w:basedOn w:val="Fuentedeprrafopredeter"/>
    <w:uiPriority w:val="99"/>
    <w:semiHidden/>
    <w:unhideWhenUsed/>
    <w:rsid w:val="00F75287"/>
    <w:rPr>
      <w:color w:val="605E5C"/>
      <w:shd w:val="clear" w:color="auto" w:fill="E1DFDD"/>
    </w:rPr>
  </w:style>
  <w:style w:type="character" w:customStyle="1" w:styleId="Ttulo4Car">
    <w:name w:val="Título 4 Car"/>
    <w:aliases w:val="1.1.1.1 Car,4 Car,C Head Car,E4 Car,H4 Car,H4-Heading 4 Car,Header 4 Car,Heading 4. Car,Heading Four Car,I4 Car,ITT t4 Car,Map Title Car,Normal4 Car,PA Micro Section Car,T4 Car,Title4 Car,a. Car,h4 Car,h:4 Car,heading Car,heading4 Car"/>
    <w:basedOn w:val="Fuentedeprrafopredeter"/>
    <w:link w:val="Ttulo4"/>
    <w:uiPriority w:val="9"/>
    <w:rsid w:val="00A140D8"/>
    <w:rPr>
      <w:rFonts w:ascii="Times New Roman" w:eastAsia="Times New Roman" w:hAnsi="Times New Roman" w:cs="Times New Roman"/>
      <w:b/>
      <w:bCs/>
      <w:sz w:val="28"/>
      <w:szCs w:val="28"/>
      <w:lang w:eastAsia="es-ES"/>
    </w:rPr>
  </w:style>
  <w:style w:type="character" w:customStyle="1" w:styleId="caps2">
    <w:name w:val="caps2"/>
    <w:basedOn w:val="Fuentedeprrafopredeter"/>
    <w:uiPriority w:val="99"/>
    <w:rsid w:val="00A140D8"/>
    <w:rPr>
      <w:rFonts w:cs="Times New Roman"/>
    </w:rPr>
  </w:style>
  <w:style w:type="character" w:customStyle="1" w:styleId="4TitCuarCar">
    <w:name w:val="4TitCuar Car"/>
    <w:basedOn w:val="Niv3C4Car"/>
    <w:link w:val="4TitCuar"/>
    <w:rsid w:val="006370DD"/>
    <w:rPr>
      <w:rFonts w:ascii="ITC Avant Garde" w:eastAsia="Times New Roman" w:hAnsi="ITC Avant Garde" w:cs="Arial"/>
      <w:b w:val="0"/>
      <w:bCs/>
    </w:rPr>
  </w:style>
  <w:style w:type="character" w:customStyle="1" w:styleId="l62">
    <w:name w:val="l62"/>
    <w:uiPriority w:val="99"/>
    <w:rsid w:val="00277ED2"/>
    <w:rPr>
      <w:rFonts w:cs="Times New Roman"/>
      <w:bdr w:val="none" w:sz="0" w:space="0" w:color="auto" w:frame="1"/>
    </w:rPr>
  </w:style>
  <w:style w:type="paragraph" w:styleId="Textoindependienteprimerasangra2">
    <w:name w:val="Body Text First Indent 2"/>
    <w:basedOn w:val="Sangradetextonormal"/>
    <w:link w:val="Textoindependienteprimerasangra2Car"/>
    <w:rsid w:val="000B5AAD"/>
    <w:pPr>
      <w:spacing w:line="12pt" w:lineRule="auto"/>
      <w:ind w:firstLine="10.50pt"/>
    </w:pPr>
    <w:rPr>
      <w:rFonts w:ascii="Times New Roman" w:eastAsia="Times New Roman" w:hAnsi="Times New Roman"/>
      <w:sz w:val="24"/>
      <w:szCs w:val="24"/>
      <w:lang w:val="es-ES" w:eastAsia="es-ES"/>
    </w:rPr>
  </w:style>
  <w:style w:type="character" w:customStyle="1" w:styleId="Ttulo9Car">
    <w:name w:val="Título 9 Car"/>
    <w:aliases w:val="9 Car,App Heading Car,Appendix2 Car1,Appendix21 Car1,Citaciones Car,Cond'l Reqt. Car,ITT t9 Car,TableTitle Car,Titre 10 Car,h9 Car1,progress Car,rb Car,req bullet Car,req1 Car,table title Car,tt Car1"/>
    <w:basedOn w:val="Fuentedeprrafopredeter"/>
    <w:link w:val="Ttulo9"/>
    <w:uiPriority w:val="9"/>
    <w:rsid w:val="00A140D8"/>
    <w:rPr>
      <w:rFonts w:ascii="Arial" w:eastAsia="Times New Roman" w:hAnsi="Arial" w:cs="Arial"/>
      <w:lang w:eastAsia="es-ES"/>
    </w:rPr>
  </w:style>
  <w:style w:type="character" w:customStyle="1" w:styleId="SangradetextonormalCar">
    <w:name w:val="Sangría de texto normal Car"/>
    <w:basedOn w:val="Fuentedeprrafopredeter"/>
    <w:link w:val="Sangradetextonormal"/>
    <w:uiPriority w:val="99"/>
    <w:rsid w:val="00A140D8"/>
    <w:rPr>
      <w:rFonts w:ascii="Calibri" w:eastAsia="Calibri" w:hAnsi="Calibri" w:cs="Times New Roman"/>
    </w:rPr>
  </w:style>
  <w:style w:type="character" w:customStyle="1" w:styleId="xxxNotaelpiemauCar">
    <w:name w:val="xxx Nota el pie mau Car"/>
    <w:basedOn w:val="TextonotapieCar"/>
    <w:link w:val="xxxNotaelpiemau"/>
    <w:rsid w:val="008C28CD"/>
    <w:rPr>
      <w:rFonts w:ascii="Century Gothic" w:eastAsia="Calibri" w:hAnsi="Century Gothic" w:cs="Times New Roman"/>
      <w:sz w:val="16"/>
      <w:szCs w:val="14"/>
      <w:lang w:val="es-ES" w:eastAsia="es-ES"/>
    </w:rPr>
  </w:style>
  <w:style w:type="character" w:customStyle="1" w:styleId="0Tit111Char">
    <w:name w:val="0Tit 1.1.1 Char"/>
    <w:basedOn w:val="Fuentedeprrafopredeter"/>
    <w:link w:val="0Tit111"/>
    <w:rsid w:val="00C60563"/>
    <w:rPr>
      <w:rFonts w:ascii="Century Gothic" w:hAnsi="Century Gothic" w:cs="Arial"/>
      <w:b/>
    </w:rPr>
  </w:style>
  <w:style w:type="table" w:styleId="Listamedia2-nfasis1">
    <w:name w:val="Medium List 2 Accent 1"/>
    <w:basedOn w:val="Tablanormal"/>
    <w:uiPriority w:val="66"/>
    <w:rsid w:val="00277ED2"/>
    <w:pPr>
      <w:spacing w:after="0pt" w:line="12pt" w:lineRule="auto"/>
    </w:pPr>
    <w:rPr>
      <w:rFonts w:asciiTheme="majorHAnsi" w:eastAsiaTheme="majorEastAsia" w:hAnsiTheme="majorHAnsi" w:cstheme="majorBidi"/>
      <w:color w:val="000000" w:themeColor="text1"/>
      <w:lang w:eastAsia="es-MX"/>
    </w:rPr>
    <w:tblPr>
      <w:tblStyleRowBandSize w:val="1"/>
      <w:tblStyleColBandSize w:val="1"/>
      <w:tblBorders>
        <w:top w:val="single" w:sz="8" w:space="0" w:color="5B9BD5" w:themeColor="accent1"/>
        <w:start w:val="single" w:sz="8" w:space="0" w:color="5B9BD5" w:themeColor="accent1"/>
        <w:bottom w:val="single" w:sz="8" w:space="0" w:color="5B9BD5" w:themeColor="accent1"/>
        <w:end w:val="single" w:sz="8" w:space="0" w:color="5B9BD5" w:themeColor="accent1"/>
      </w:tblBorders>
    </w:tblPr>
    <w:tblStylePr w:type="firstRow">
      <w:rPr>
        <w:sz w:val="24"/>
        <w:szCs w:val="24"/>
      </w:rPr>
      <w:tblPr/>
      <w:tcPr>
        <w:tcBorders>
          <w:top w:val="nil"/>
          <w:start w:val="nil"/>
          <w:bottom w:val="single" w:sz="24" w:space="0" w:color="5B9BD5" w:themeColor="accent1"/>
          <w:end w:val="nil"/>
          <w:insideH w:val="nil"/>
          <w:insideV w:val="nil"/>
        </w:tcBorders>
        <w:shd w:val="clear" w:color="auto" w:fill="FFFFFF" w:themeFill="background1"/>
      </w:tcPr>
    </w:tblStylePr>
    <w:tblStylePr w:type="lastRow">
      <w:tblPr/>
      <w:tcPr>
        <w:tcBorders>
          <w:top w:val="single" w:sz="8" w:space="0" w:color="5B9BD5" w:themeColor="accent1"/>
          <w:start w:val="nil"/>
          <w:bottom w:val="nil"/>
          <w:end w:val="nil"/>
          <w:insideH w:val="nil"/>
          <w:insideV w:val="nil"/>
        </w:tcBorders>
        <w:shd w:val="clear" w:color="auto" w:fill="FFFFFF" w:themeFill="background1"/>
      </w:tcPr>
    </w:tblStylePr>
    <w:tblStylePr w:type="firstCol">
      <w:tblPr/>
      <w:tcPr>
        <w:tcBorders>
          <w:top w:val="nil"/>
          <w:start w:val="nil"/>
          <w:bottom w:val="nil"/>
          <w:end w:val="single" w:sz="8" w:space="0" w:color="5B9BD5" w:themeColor="accent1"/>
          <w:insideH w:val="nil"/>
          <w:insideV w:val="nil"/>
        </w:tcBorders>
        <w:shd w:val="clear" w:color="auto" w:fill="FFFFFF" w:themeFill="background1"/>
      </w:tcPr>
    </w:tblStylePr>
    <w:tblStylePr w:type="lastCol">
      <w:tblPr/>
      <w:tcPr>
        <w:tcBorders>
          <w:top w:val="nil"/>
          <w:start w:val="single" w:sz="8" w:space="0" w:color="5B9BD5" w:themeColor="accent1"/>
          <w:bottom w:val="nil"/>
          <w:end w:val="nil"/>
          <w:insideH w:val="nil"/>
          <w:insideV w:val="nil"/>
        </w:tcBorders>
        <w:shd w:val="clear" w:color="auto" w:fill="FFFFFF" w:themeFill="background1"/>
      </w:tcPr>
    </w:tblStylePr>
    <w:tblStylePr w:type="band1Vert">
      <w:tblPr/>
      <w:tcPr>
        <w:tcBorders>
          <w:start w:val="nil"/>
          <w:end w:val="nil"/>
          <w:insideH w:val="nil"/>
          <w:insideV w:val="nil"/>
        </w:tcBorders>
        <w:shd w:val="clear" w:color="auto" w:fill="D6E6F4" w:themeFill="accent1" w:themeFillTint="3F"/>
      </w:tcPr>
    </w:tblStylePr>
    <w:tblStylePr w:type="band1Horz">
      <w:tblPr/>
      <w:tcPr>
        <w:tcBorders>
          <w:top w:val="nil"/>
          <w:bottom w:val="nil"/>
          <w:insideH w:val="nil"/>
          <w:insideV w:val="nil"/>
        </w:tcBorders>
        <w:shd w:val="clear" w:color="auto" w:fill="D6E6F4" w:themeFill="accent1" w:themeFillTint="3F"/>
      </w:tcPr>
    </w:tblStylePr>
    <w:tblStylePr w:type="nwCell">
      <w:tblPr/>
      <w:tcPr>
        <w:shd w:val="clear" w:color="auto" w:fill="FFFFFF" w:themeFill="background1"/>
      </w:tcPr>
    </w:tblStylePr>
    <w:tblStylePr w:type="swCell">
      <w:tblPr/>
      <w:tcPr>
        <w:tcBorders>
          <w:top w:val="nil"/>
        </w:tcBorders>
      </w:tcPr>
    </w:tblStylePr>
  </w:style>
  <w:style w:type="character" w:customStyle="1" w:styleId="Ttulo7Car">
    <w:name w:val="Título 7 Car"/>
    <w:aliases w:val="7 Car,Appendix3 Car,ExhibitTitle Car,Header 7 Car,ITT t7 Car,Objective Car,PA Appendix Major Car,h7 Car,letter list Car,lettered list Car,req3 Car,st Car"/>
    <w:basedOn w:val="Fuentedeprrafopredeter"/>
    <w:link w:val="Ttulo7"/>
    <w:uiPriority w:val="9"/>
    <w:rsid w:val="00A140D8"/>
    <w:rPr>
      <w:rFonts w:ascii="Times New Roman" w:eastAsia="Times New Roman" w:hAnsi="Times New Roman" w:cs="Times New Roman"/>
      <w:sz w:val="24"/>
      <w:szCs w:val="24"/>
      <w:lang w:eastAsia="es-ES"/>
    </w:rPr>
  </w:style>
  <w:style w:type="character" w:styleId="Hipervnculovisitado">
    <w:name w:val="FollowedHyperlink"/>
    <w:uiPriority w:val="99"/>
    <w:rsid w:val="00A140D8"/>
    <w:rPr>
      <w:color w:val="800080"/>
      <w:u w:val="single"/>
    </w:rPr>
  </w:style>
  <w:style w:type="paragraph" w:customStyle="1" w:styleId="Header1">
    <w:name w:val="Header_1"/>
    <w:uiPriority w:val="99"/>
    <w:unhideWhenUsed/>
    <w:pPr>
      <w:tabs>
        <w:tab w:val="center" w:pos="220.95pt"/>
        <w:tab w:val="end" w:pos="441.90pt"/>
      </w:tabs>
      <w:spacing w:after="0pt" w:line="12pt" w:lineRule="auto"/>
    </w:pPr>
    <w:rPr>
      <w:rFonts w:ascii="Calibri" w:eastAsia="Calibri" w:hAnsi="Calibri" w:cs="Times New Roman"/>
    </w:rPr>
  </w:style>
  <w:style w:type="character" w:customStyle="1" w:styleId="Ttulo8Car">
    <w:name w:val="Título 8 Car"/>
    <w:aliases w:val="8 Car,Annex Car1,Annex Char Char Char Car1,Annex Char1 Char Car1,Appendix1 Car1,Appendix11 Car1,Condition Car,FigureTitle Car,Heading 8 Char Car1,Heading 8 Char Char Char Car1,Heading 8 Char1 Char Car1,ITT t8 Car,PA Appendix Minor Car,r Car"/>
    <w:basedOn w:val="Fuentedeprrafopredeter"/>
    <w:link w:val="Ttulo8"/>
    <w:uiPriority w:val="9"/>
    <w:rsid w:val="00A140D8"/>
    <w:rPr>
      <w:rFonts w:ascii="Arial" w:eastAsia="Times New Roman" w:hAnsi="Arial" w:cs="Times New Roman"/>
      <w:b/>
      <w:szCs w:val="20"/>
      <w:lang w:eastAsia="es-ES"/>
    </w:rPr>
  </w:style>
  <w:style w:type="character" w:customStyle="1" w:styleId="l72">
    <w:name w:val="l72"/>
    <w:uiPriority w:val="99"/>
    <w:rsid w:val="00277ED2"/>
    <w:rPr>
      <w:rFonts w:cs="Times New Roman"/>
      <w:bdr w:val="none" w:sz="0" w:space="0" w:color="auto" w:frame="1"/>
    </w:rPr>
  </w:style>
  <w:style w:type="paragraph" w:styleId="Asuntodelcomentario">
    <w:name w:val="annotation subject"/>
    <w:basedOn w:val="Textocomentario"/>
    <w:next w:val="Textocomentario"/>
    <w:link w:val="AsuntodelcomentarioCar"/>
    <w:uiPriority w:val="99"/>
    <w:unhideWhenUsed/>
    <w:rsid w:val="00A140D8"/>
    <w:rPr>
      <w:b/>
      <w:bCs/>
    </w:rPr>
  </w:style>
  <w:style w:type="character" w:customStyle="1" w:styleId="NumeracinIFTCar">
    <w:name w:val="Numeración IFT Car"/>
    <w:link w:val="NumeracinIFT"/>
    <w:rsid w:val="00A140D8"/>
    <w:rPr>
      <w:rFonts w:ascii="ITC Avant Garde" w:eastAsia="Calibri" w:hAnsi="ITC Avant Garde" w:cs="Arial"/>
      <w:bCs/>
      <w:lang w:eastAsia="es-ES"/>
    </w:rPr>
  </w:style>
  <w:style w:type="table" w:styleId="Tablaconcuadrcula">
    <w:name w:val="Table Grid"/>
    <w:basedOn w:val="Tablanormal"/>
    <w:uiPriority w:val="59"/>
    <w:rsid w:val="00A140D8"/>
    <w:pPr>
      <w:spacing w:after="0pt" w:line="12pt" w:lineRule="auto"/>
    </w:pPr>
    <w:rPr>
      <w:rFonts w:ascii="Times New Roman" w:eastAsia="Times New Roman" w:hAnsi="Times New Roman" w:cs="Times New Roman"/>
      <w:sz w:val="20"/>
      <w:szCs w:val="20"/>
      <w:lang w:eastAsia="es-ES"/>
    </w:rPr>
    <w:tblP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Pr>
  </w:style>
  <w:style w:type="numbering" w:customStyle="1" w:styleId="Sinlista1">
    <w:name w:val="Sin lista1"/>
    <w:next w:val="Sinlista"/>
    <w:uiPriority w:val="99"/>
    <w:semiHidden/>
    <w:unhideWhenUsed/>
    <w:rsid w:val="00A140D8"/>
  </w:style>
  <w:style w:type="paragraph" w:customStyle="1" w:styleId="4TitCuar">
    <w:name w:val="4TitCuar"/>
    <w:basedOn w:val="Ttulo2"/>
    <w:link w:val="4TitCuarCar"/>
    <w:qFormat/>
    <w:rsid w:val="006370DD"/>
    <w:pPr>
      <w:ind w:start="73.70pt" w:hanging="73.70pt"/>
      <w:outlineLvl w:val="2"/>
    </w:pPr>
    <w:rPr>
      <w:b w:val="0"/>
    </w:rPr>
  </w:style>
  <w:style w:type="character" w:customStyle="1" w:styleId="TextodegloboCar">
    <w:name w:val="Texto de globo Car"/>
    <w:basedOn w:val="Fuentedeprrafopredeter"/>
    <w:link w:val="Textodeglobo"/>
    <w:uiPriority w:val="99"/>
    <w:rsid w:val="00A140D8"/>
    <w:rPr>
      <w:rFonts w:ascii="Segoe UI" w:eastAsia="Calibri" w:hAnsi="Segoe UI" w:cs="Segoe UI"/>
      <w:sz w:val="18"/>
      <w:szCs w:val="18"/>
    </w:rPr>
  </w:style>
  <w:style w:type="paragraph" w:styleId="Puesto">
    <w:name w:val="Title"/>
    <w:basedOn w:val="Normal"/>
    <w:next w:val="Normal"/>
    <w:link w:val="PuestoCar"/>
    <w:uiPriority w:val="99"/>
    <w:qFormat/>
    <w:rsid w:val="00A140D8"/>
    <w:pPr>
      <w:spacing w:line="12pt" w:lineRule="auto"/>
      <w:contextualSpacing/>
    </w:pPr>
    <w:rPr>
      <w:rFonts w:asciiTheme="majorHAnsi" w:eastAsiaTheme="majorEastAsia" w:hAnsiTheme="majorHAnsi" w:cstheme="majorBidi"/>
      <w:spacing w:val="-10"/>
      <w:kern w:val="28"/>
      <w:sz w:val="56"/>
      <w:szCs w:val="56"/>
    </w:rPr>
  </w:style>
  <w:style w:type="paragraph" w:styleId="Cita">
    <w:name w:val="Quote"/>
    <w:aliases w:val="Bullets cita"/>
    <w:basedOn w:val="Prrafodelista"/>
    <w:next w:val="Normal"/>
    <w:link w:val="CitaCar"/>
    <w:uiPriority w:val="29"/>
    <w:qFormat/>
    <w:rsid w:val="00A140D8"/>
    <w:pPr>
      <w:numPr>
        <w:numId w:val="3"/>
      </w:numPr>
      <w:ind w:end="30.80pt"/>
      <w:jc w:val="both"/>
    </w:pPr>
    <w:rPr>
      <w:rFonts w:ascii="ITC Avant Garde" w:hAnsi="ITC Avant Garde"/>
      <w:i/>
      <w:sz w:val="18"/>
      <w:szCs w:val="18"/>
    </w:rPr>
  </w:style>
  <w:style w:type="paragraph" w:customStyle="1" w:styleId="Sombreadomulticolor-nfasis11">
    <w:name w:val="Sombreado multicolor - Énfasis 11"/>
    <w:hidden/>
    <w:uiPriority w:val="99"/>
    <w:semiHidden/>
    <w:rsid w:val="00A140D8"/>
    <w:pPr>
      <w:spacing w:after="0pt" w:line="12pt" w:lineRule="auto"/>
    </w:pPr>
    <w:rPr>
      <w:rFonts w:ascii="Calibri" w:eastAsia="Calibri" w:hAnsi="Calibri" w:cs="Times New Roman"/>
    </w:rPr>
  </w:style>
  <w:style w:type="paragraph" w:customStyle="1" w:styleId="msonormal0">
    <w:name w:val="msonormal"/>
    <w:basedOn w:val="Normal"/>
    <w:uiPriority w:val="99"/>
    <w:rsid w:val="00F85A8C"/>
    <w:pPr>
      <w:spacing w:before="5pt" w:beforeAutospacing="1" w:after="5pt" w:afterAutospacing="1" w:line="12pt" w:lineRule="auto"/>
    </w:pPr>
    <w:rPr>
      <w:rFonts w:ascii="Times New Roman" w:eastAsia="Times New Roman" w:hAnsi="Times New Roman" w:cs="Times New Roman"/>
      <w:color w:val="000000"/>
      <w:sz w:val="24"/>
      <w:szCs w:val="24"/>
      <w:lang w:val="es-ES" w:eastAsia="es-ES"/>
    </w:rPr>
  </w:style>
  <w:style w:type="character" w:customStyle="1" w:styleId="CitaCar">
    <w:name w:val="Cita Car"/>
    <w:aliases w:val="Bullets cita Car"/>
    <w:basedOn w:val="Fuentedeprrafopredeter"/>
    <w:link w:val="Cita"/>
    <w:uiPriority w:val="29"/>
    <w:rsid w:val="00A140D8"/>
    <w:rPr>
      <w:rFonts w:ascii="ITC Avant Garde" w:eastAsia="Calibri" w:hAnsi="ITC Avant Garde" w:cs="Times New Roman"/>
      <w:i/>
      <w:sz w:val="18"/>
      <w:szCs w:val="18"/>
    </w:rPr>
  </w:style>
  <w:style w:type="numbering" w:customStyle="1" w:styleId="Sinlista11">
    <w:name w:val="Sin lista11"/>
    <w:next w:val="Sinlista"/>
    <w:uiPriority w:val="99"/>
    <w:semiHidden/>
    <w:unhideWhenUsed/>
    <w:rsid w:val="007C2715"/>
  </w:style>
  <w:style w:type="paragraph" w:customStyle="1" w:styleId="NumeracinIFT">
    <w:name w:val="Numeración IFT"/>
    <w:basedOn w:val="Normal"/>
    <w:link w:val="NumeracinIFTCar"/>
    <w:qFormat/>
    <w:rsid w:val="00A140D8"/>
    <w:pPr>
      <w:tabs>
        <w:tab w:val="start" w:pos="56.70pt"/>
      </w:tabs>
      <w:adjustRightInd w:val="0"/>
      <w:spacing w:after="10pt"/>
      <w:ind w:start="56.70pt" w:hanging="49.60pt"/>
      <w:jc w:val="both"/>
    </w:pPr>
    <w:rPr>
      <w:rFonts w:ascii="ITC Avant Garde" w:eastAsia="Calibri" w:hAnsi="ITC Avant Garde" w:cs="Arial"/>
      <w:bCs/>
      <w:lang w:eastAsia="es-ES"/>
    </w:rPr>
  </w:style>
  <w:style w:type="paragraph" w:customStyle="1" w:styleId="Arial14Bold">
    <w:name w:val="Arial14Bold"/>
    <w:basedOn w:val="Normal"/>
    <w:uiPriority w:val="99"/>
    <w:rsid w:val="00277ED2"/>
    <w:pPr>
      <w:spacing w:line="12pt" w:lineRule="auto"/>
      <w:jc w:val="both"/>
    </w:pPr>
    <w:rPr>
      <w:rFonts w:ascii="Calibri" w:eastAsia="Times New Roman" w:hAnsi="Calibri" w:cs="Times New Roman"/>
      <w:b/>
      <w:sz w:val="28"/>
      <w:szCs w:val="24"/>
      <w:lang w:val="es-ES_tradnl" w:eastAsia="es-ES"/>
    </w:rPr>
  </w:style>
  <w:style w:type="paragraph" w:styleId="ndice9">
    <w:name w:val="index 9"/>
    <w:basedOn w:val="Normal"/>
    <w:next w:val="Normal"/>
    <w:autoRedefine/>
    <w:uiPriority w:val="99"/>
    <w:semiHidden/>
    <w:rsid w:val="00277ED2"/>
    <w:pPr>
      <w:spacing w:line="12pt" w:lineRule="auto"/>
      <w:ind w:start="108pt" w:hanging="12pt"/>
    </w:pPr>
    <w:rPr>
      <w:rFonts w:ascii="Calibri" w:eastAsia="Times New Roman" w:hAnsi="Calibri" w:cs="Times New Roman"/>
      <w:sz w:val="24"/>
      <w:szCs w:val="24"/>
      <w:lang w:eastAsia="es-ES"/>
    </w:rPr>
  </w:style>
  <w:style w:type="paragraph" w:customStyle="1" w:styleId="Rec">
    <w:name w:val="Rec_#"/>
    <w:basedOn w:val="Normal"/>
    <w:next w:val="Normal"/>
    <w:uiPriority w:val="99"/>
    <w:rsid w:val="00277ED2"/>
    <w:pPr>
      <w:keepNext/>
      <w:keepLines/>
      <w:tabs>
        <w:tab w:val="center" w:pos="242.45pt"/>
        <w:tab w:val="end" w:pos="484.80pt"/>
      </w:tabs>
      <w:overflowPunct w:val="0"/>
      <w:autoSpaceDE w:val="0"/>
      <w:autoSpaceDN w:val="0"/>
      <w:adjustRightInd w:val="0"/>
      <w:spacing w:before="36pt" w:line="12pt" w:lineRule="auto"/>
      <w:jc w:val="center"/>
      <w:textAlignment w:val="baseline"/>
    </w:pPr>
    <w:rPr>
      <w:rFonts w:ascii="Times New Roman" w:eastAsia="Times New Roman" w:hAnsi="Times New Roman" w:cs="Times New Roman"/>
      <w:sz w:val="24"/>
      <w:szCs w:val="24"/>
      <w:lang w:val="en-GB" w:eastAsia="es-ES"/>
    </w:rPr>
  </w:style>
  <w:style w:type="character" w:customStyle="1" w:styleId="l102">
    <w:name w:val="l102"/>
    <w:uiPriority w:val="99"/>
    <w:rsid w:val="00277ED2"/>
    <w:rPr>
      <w:rFonts w:cs="Times New Roman"/>
      <w:bdr w:val="none" w:sz="0" w:space="0" w:color="auto" w:frame="1"/>
    </w:rPr>
  </w:style>
  <w:style w:type="character" w:customStyle="1" w:styleId="AsuntodelcomentarioCar">
    <w:name w:val="Asunto del comentario Car"/>
    <w:basedOn w:val="TextocomentarioCar"/>
    <w:link w:val="Asuntodelcomentario"/>
    <w:uiPriority w:val="99"/>
    <w:rsid w:val="00A140D8"/>
    <w:rPr>
      <w:rFonts w:ascii="Calibri" w:eastAsia="Times New Roman" w:hAnsi="Calibri" w:cs="Times New Roman"/>
      <w:b/>
      <w:bCs/>
      <w:sz w:val="20"/>
      <w:szCs w:val="20"/>
      <w:lang w:eastAsia="es-MX"/>
    </w:rPr>
  </w:style>
  <w:style w:type="paragraph" w:styleId="Listaconvietas">
    <w:name w:val="List Bullet"/>
    <w:aliases w:val="Bullets texto"/>
    <w:basedOn w:val="Normal"/>
    <w:uiPriority w:val="99"/>
    <w:unhideWhenUsed/>
    <w:qFormat/>
    <w:rsid w:val="00A140D8"/>
    <w:pPr>
      <w:numPr>
        <w:numId w:val="2"/>
      </w:numPr>
      <w:spacing w:after="10pt"/>
      <w:ind w:start="35.70pt" w:hanging="17.85pt"/>
      <w:jc w:val="both"/>
    </w:pPr>
    <w:rPr>
      <w:rFonts w:ascii="ITC Avant Garde" w:eastAsia="Times New Roman" w:hAnsi="ITC Avant Garde" w:cs="Arial"/>
      <w:iCs/>
    </w:rPr>
  </w:style>
  <w:style w:type="paragraph" w:styleId="Prrafodelista">
    <w:name w:val="List Paragraph"/>
    <w:aliases w:val="4 Viñ 1nivel,Bullet List,Bulletr List Paragraph,CNBV Parrafo1,Cuadros,Cuadrícula media 1 - Énfasis 21,Estilo0,FooterText,List Paragraph1,Lista general,Listas,Numeración 1,Paragraphe de liste1,numbered,prueba1,列出段落,列出段落1,List Paragraph"/>
    <w:basedOn w:val="Normal"/>
    <w:link w:val="PrrafodelistaCar"/>
    <w:uiPriority w:val="34"/>
    <w:qFormat/>
    <w:rsid w:val="002F02D8"/>
    <w:pPr>
      <w:ind w:start="42.55pt"/>
      <w:contextualSpacing/>
    </w:pPr>
    <w:rPr>
      <w:rFonts w:eastAsia="Calibri" w:cs="Times New Roman"/>
    </w:rPr>
  </w:style>
  <w:style w:type="character" w:customStyle="1" w:styleId="CitaIFTCar0">
    <w:name w:val="Cita IFT Car"/>
    <w:link w:val="CitaIFT0"/>
    <w:qFormat/>
    <w:rsid w:val="003D2344"/>
    <w:rPr>
      <w:rFonts w:ascii="Arial" w:eastAsia="Times New Roman" w:hAnsi="Arial" w:cs="Arial"/>
      <w:bCs/>
      <w:i/>
      <w:color w:val="000000"/>
      <w:sz w:val="18"/>
      <w:szCs w:val="18"/>
      <w:lang w:val="es-ES_tradnl" w:eastAsia="es-ES"/>
    </w:rPr>
  </w:style>
  <w:style w:type="character" w:customStyle="1" w:styleId="1TitPrinCar">
    <w:name w:val="1TitPrin Car"/>
    <w:link w:val="1TitPrin"/>
    <w:uiPriority w:val="99"/>
    <w:rsid w:val="00FC729C"/>
    <w:rPr>
      <w:rFonts w:ascii="ITC Avant Garde" w:eastAsia="Calibri" w:hAnsi="ITC Avant Garde" w:cs="Arial"/>
      <w:b/>
      <w:color w:val="000000"/>
      <w:lang w:val="es-ES" w:eastAsia="es-ES"/>
    </w:rPr>
  </w:style>
  <w:style w:type="paragraph" w:customStyle="1" w:styleId="Piepgina">
    <w:name w:val="Pie página"/>
    <w:basedOn w:val="Textonotapie"/>
    <w:link w:val="PiepginaCar"/>
    <w:qFormat/>
    <w:rsid w:val="00977094"/>
    <w:rPr>
      <w:rFonts w:ascii="ITC Avant Garde" w:eastAsia="Times New Roman" w:hAnsi="ITC Avant Garde" w:cs="Arial"/>
      <w:szCs w:val="18"/>
      <w:lang w:val="es-ES_tradnl" w:eastAsia="es-ES"/>
    </w:rPr>
  </w:style>
  <w:style w:type="paragraph" w:styleId="Piedepgina">
    <w:name w:val="footer"/>
    <w:aliases w:val="footer,footer odd"/>
    <w:basedOn w:val="Normal"/>
    <w:link w:val="PiedepginaCar"/>
    <w:uiPriority w:val="99"/>
    <w:unhideWhenUsed/>
    <w:rsid w:val="00A140D8"/>
    <w:pPr>
      <w:tabs>
        <w:tab w:val="center" w:pos="220.95pt"/>
        <w:tab w:val="end" w:pos="441.90pt"/>
      </w:tabs>
      <w:spacing w:line="12pt" w:lineRule="auto"/>
    </w:pPr>
    <w:rPr>
      <w:rFonts w:ascii="Calibri" w:eastAsia="Calibri" w:hAnsi="Calibri" w:cs="Times New Roman"/>
    </w:rPr>
  </w:style>
  <w:style w:type="paragraph" w:styleId="Subttulo">
    <w:name w:val="Subtitle"/>
    <w:basedOn w:val="Normal"/>
    <w:link w:val="SubttuloCar"/>
    <w:uiPriority w:val="99"/>
    <w:qFormat/>
    <w:rsid w:val="00A140D8"/>
    <w:pPr>
      <w:spacing w:after="10pt"/>
      <w:jc w:val="both"/>
    </w:pPr>
    <w:rPr>
      <w:rFonts w:ascii="ITC Avant Garde" w:eastAsia="Calibri" w:hAnsi="ITC Avant Garde" w:cs="Times New Roman"/>
      <w:b/>
    </w:rPr>
  </w:style>
  <w:style w:type="character" w:customStyle="1" w:styleId="ListParagraphChar">
    <w:name w:val="List Paragraph Char"/>
    <w:link w:val="Prrafodelista1"/>
    <w:locked/>
    <w:rsid w:val="001811E0"/>
    <w:rPr>
      <w:rFonts w:ascii="Calibri" w:eastAsia="Times New Roman" w:hAnsi="Calibri" w:cs="Times New Roman"/>
      <w:sz w:val="24"/>
      <w:szCs w:val="24"/>
      <w:lang w:eastAsia="es-ES"/>
    </w:rPr>
  </w:style>
  <w:style w:type="character" w:customStyle="1" w:styleId="N1IFTCar">
    <w:name w:val="N1 IFT Car"/>
    <w:link w:val="N1IFT"/>
    <w:rsid w:val="00A140D8"/>
    <w:rPr>
      <w:rFonts w:ascii="ITC Avant Garde" w:eastAsia="Calibri" w:hAnsi="ITC Avant Garde" w:cs="Arial"/>
      <w:b/>
      <w:color w:val="000000"/>
      <w:lang w:val="es-ES" w:eastAsia="es-ES"/>
    </w:rPr>
  </w:style>
  <w:style w:type="paragraph" w:customStyle="1" w:styleId="CM20">
    <w:name w:val="CM20"/>
    <w:basedOn w:val="Default"/>
    <w:next w:val="Default"/>
    <w:uiPriority w:val="99"/>
    <w:rsid w:val="00277ED2"/>
    <w:pPr>
      <w:widowControl w:val="0"/>
      <w:spacing w:after="34pt"/>
    </w:pPr>
    <w:rPr>
      <w:rFonts w:ascii="Times New Roman" w:eastAsia="Times New Roman" w:hAnsi="Times New Roman" w:cs="Times New Roman"/>
      <w:color w:val="auto"/>
      <w:lang w:val="es-ES" w:eastAsia="es-ES"/>
    </w:rPr>
  </w:style>
  <w:style w:type="character" w:customStyle="1" w:styleId="R2N4C4Car">
    <w:name w:val="R2N4C4 Car"/>
    <w:basedOn w:val="4TitCuarCar"/>
    <w:link w:val="R2N4C4"/>
    <w:rsid w:val="00A140D8"/>
    <w:rPr>
      <w:rFonts w:ascii="ITC Avant Garde" w:eastAsia="Times New Roman" w:hAnsi="ITC Avant Garde" w:cs="Arial"/>
      <w:b w:val="0"/>
      <w:bCs/>
    </w:rPr>
  </w:style>
  <w:style w:type="paragraph" w:customStyle="1" w:styleId="TituloCondiciones">
    <w:name w:val="TituloCondiciones"/>
    <w:basedOn w:val="Prrafodelista"/>
    <w:qFormat/>
    <w:rsid w:val="000B5AAD"/>
    <w:pPr>
      <w:ind w:hanging="18pt"/>
      <w:jc w:val="both"/>
    </w:pPr>
    <w:rPr>
      <w:rFonts w:ascii="ITC Avant Garde" w:hAnsi="ITC Avant Garde"/>
      <w:b/>
    </w:rPr>
  </w:style>
  <w:style w:type="character" w:customStyle="1" w:styleId="PiedepginaCar">
    <w:name w:val="Pie de página Car"/>
    <w:aliases w:val="footer Car,footer odd Car"/>
    <w:basedOn w:val="Fuentedeprrafopredeter"/>
    <w:link w:val="Piedepgina"/>
    <w:uiPriority w:val="99"/>
    <w:rsid w:val="00A140D8"/>
    <w:rPr>
      <w:rFonts w:ascii="Calibri" w:eastAsia="Calibri" w:hAnsi="Calibri" w:cs="Times New Roman"/>
    </w:rPr>
  </w:style>
  <w:style w:type="character" w:styleId="Refdecomentario">
    <w:name w:val="annotation reference"/>
    <w:uiPriority w:val="99"/>
    <w:unhideWhenUsed/>
    <w:rsid w:val="00A140D8"/>
    <w:rPr>
      <w:sz w:val="16"/>
      <w:szCs w:val="16"/>
    </w:rPr>
  </w:style>
  <w:style w:type="character" w:styleId="CitaHTML">
    <w:name w:val="HTML Cite"/>
    <w:uiPriority w:val="99"/>
    <w:semiHidden/>
    <w:unhideWhenUsed/>
    <w:rsid w:val="00A140D8"/>
    <w:rPr>
      <w:i/>
      <w:iCs/>
    </w:rPr>
  </w:style>
  <w:style w:type="paragraph" w:styleId="TDC6">
    <w:name w:val="toc 6"/>
    <w:basedOn w:val="Normal"/>
    <w:next w:val="Normal"/>
    <w:autoRedefine/>
    <w:uiPriority w:val="39"/>
    <w:unhideWhenUsed/>
    <w:rsid w:val="00A140D8"/>
    <w:pPr>
      <w:spacing w:after="5pt"/>
      <w:ind w:start="55pt"/>
    </w:pPr>
    <w:rPr>
      <w:rFonts w:eastAsiaTheme="minorEastAsia"/>
      <w:lang w:val="en-US"/>
    </w:rPr>
  </w:style>
  <w:style w:type="paragraph" w:customStyle="1" w:styleId="font5">
    <w:name w:val="font5"/>
    <w:basedOn w:val="Normal"/>
    <w:uiPriority w:val="99"/>
    <w:rsid w:val="00277ED2"/>
    <w:pPr>
      <w:spacing w:before="5pt" w:after="5pt" w:line="12pt" w:lineRule="auto"/>
    </w:pPr>
    <w:rPr>
      <w:rFonts w:ascii="Tahoma" w:eastAsia="Times New Roman" w:hAnsi="Tahoma" w:cs="Times New Roman"/>
      <w:sz w:val="18"/>
      <w:szCs w:val="24"/>
      <w:lang w:eastAsia="es-ES"/>
    </w:rPr>
  </w:style>
  <w:style w:type="paragraph" w:styleId="Ttulodendice">
    <w:name w:val="index heading"/>
    <w:basedOn w:val="Normal"/>
    <w:next w:val="ndice1"/>
    <w:uiPriority w:val="99"/>
    <w:semiHidden/>
    <w:rsid w:val="00277ED2"/>
    <w:pPr>
      <w:spacing w:before="6pt" w:after="6pt" w:line="12pt" w:lineRule="auto"/>
    </w:pPr>
    <w:rPr>
      <w:rFonts w:ascii="Calibri" w:eastAsia="Times New Roman" w:hAnsi="Calibri" w:cs="Times New Roman"/>
      <w:b/>
      <w:bCs/>
      <w:i/>
      <w:iCs/>
      <w:sz w:val="24"/>
      <w:szCs w:val="24"/>
      <w:lang w:eastAsia="es-ES"/>
    </w:rPr>
  </w:style>
  <w:style w:type="paragraph" w:styleId="Textocomentario">
    <w:name w:val="annotation text"/>
    <w:basedOn w:val="Normal"/>
    <w:link w:val="TextocomentarioCar"/>
    <w:uiPriority w:val="99"/>
    <w:unhideWhenUsed/>
    <w:rsid w:val="00A140D8"/>
    <w:pPr>
      <w:spacing w:after="10pt" w:line="12pt" w:lineRule="auto"/>
    </w:pPr>
    <w:rPr>
      <w:rFonts w:ascii="Calibri" w:eastAsia="Times New Roman" w:hAnsi="Calibri" w:cs="Times New Roman"/>
      <w:sz w:val="20"/>
      <w:szCs w:val="20"/>
      <w:lang w:eastAsia="es-MX"/>
    </w:rPr>
  </w:style>
  <w:style w:type="character" w:customStyle="1" w:styleId="TextocomentarioCar">
    <w:name w:val="Texto comentario Car"/>
    <w:basedOn w:val="Fuentedeprrafopredeter"/>
    <w:link w:val="Textocomentario"/>
    <w:uiPriority w:val="99"/>
    <w:qFormat/>
    <w:rsid w:val="00A140D8"/>
    <w:rPr>
      <w:rFonts w:ascii="Calibri" w:eastAsia="Times New Roman" w:hAnsi="Calibri" w:cs="Times New Roman"/>
      <w:sz w:val="20"/>
      <w:szCs w:val="20"/>
      <w:lang w:eastAsia="es-MX"/>
    </w:rPr>
  </w:style>
  <w:style w:type="character" w:customStyle="1" w:styleId="l92">
    <w:name w:val="l92"/>
    <w:uiPriority w:val="99"/>
    <w:rsid w:val="00277ED2"/>
    <w:rPr>
      <w:rFonts w:cs="Times New Roman"/>
      <w:bdr w:val="none" w:sz="0" w:space="0" w:color="auto" w:frame="1"/>
    </w:rPr>
  </w:style>
  <w:style w:type="paragraph" w:customStyle="1" w:styleId="Cuadrculamediana21">
    <w:name w:val="Cuadrícula mediana 21"/>
    <w:uiPriority w:val="1"/>
    <w:rsid w:val="00A140D8"/>
    <w:pPr>
      <w:spacing w:after="0pt" w:line="12pt" w:lineRule="auto"/>
    </w:pPr>
    <w:rPr>
      <w:rFonts w:ascii="Calibri" w:eastAsia="Calibri" w:hAnsi="Calibri" w:cs="Times New Roman"/>
    </w:rPr>
  </w:style>
  <w:style w:type="character" w:customStyle="1" w:styleId="PrrafodelistaCar">
    <w:name w:val="Párrafo de lista Car"/>
    <w:aliases w:val="4 Viñ 1nivel Car,Bullet List Car,Bulletr List Paragraph Car,CNBV Parrafo1 Car,Cuadros Car,Cuadrícula media 1 - Énfasis 21 Car,Estilo0 Car,FooterText Car,List Paragraph1 Car,Lista general Car,Listas Car,Numeración 1 Car,numbered Car"/>
    <w:link w:val="Prrafodelista"/>
    <w:uiPriority w:val="34"/>
    <w:qFormat/>
    <w:rsid w:val="002F02D8"/>
    <w:rPr>
      <w:rFonts w:ascii="Arial" w:eastAsia="Calibri" w:hAnsi="Arial" w:cs="Times New Roman"/>
    </w:rPr>
  </w:style>
  <w:style w:type="table" w:customStyle="1" w:styleId="Tablabsica31">
    <w:name w:val="Tabla básica 31"/>
    <w:basedOn w:val="Tablanormal"/>
    <w:next w:val="Tablabsica3"/>
    <w:rsid w:val="007C2715"/>
    <w:pPr>
      <w:spacing w:after="0pt" w:line="12pt" w:lineRule="auto"/>
      <w:jc w:val="both"/>
    </w:pPr>
    <w:rPr>
      <w:rFonts w:ascii="Times New Roman" w:eastAsia="Times New Roman" w:hAnsi="Times New Roman" w:cs="Times New Roman"/>
      <w:sz w:val="20"/>
      <w:szCs w:val="20"/>
      <w:lang w:eastAsia="es-ES"/>
    </w:rPr>
    <w:tblPr>
      <w:tblBorders>
        <w:top w:val="single" w:sz="12" w:space="0" w:color="000000"/>
        <w:start w:val="single" w:sz="12" w:space="0" w:color="000000"/>
        <w:bottom w:val="single" w:sz="12" w:space="0" w:color="000000"/>
        <w:end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customStyle="1" w:styleId="Sinespaciado1">
    <w:name w:val="Sin espaciado1"/>
    <w:uiPriority w:val="99"/>
    <w:rsid w:val="00277ED2"/>
    <w:pPr>
      <w:spacing w:after="0pt" w:line="12pt" w:lineRule="auto"/>
    </w:pPr>
    <w:rPr>
      <w:rFonts w:ascii="Arial" w:eastAsia="Times New Roman" w:hAnsi="Arial" w:cs="Times New Roman"/>
      <w:lang w:val="es-ES"/>
    </w:rPr>
  </w:style>
  <w:style w:type="table" w:customStyle="1" w:styleId="Tabladecuadrcula4-nfasis13">
    <w:name w:val="Tabla de cuadrícula 4 - Énfasis 13"/>
    <w:basedOn w:val="Tablanormal"/>
    <w:next w:val="Tabladecuadrcula4-nfasis1"/>
    <w:uiPriority w:val="49"/>
    <w:rsid w:val="00277ED2"/>
    <w:pPr>
      <w:spacing w:after="0pt" w:line="12pt" w:lineRule="auto"/>
    </w:pPr>
    <w:rPr>
      <w:rFonts w:ascii="Calibri" w:eastAsia="Calibri" w:hAnsi="Calibri" w:cs="Times New Roman"/>
    </w:rPr>
    <w:tblPr>
      <w:tblStyleRowBandSize w:val="1"/>
      <w:tblStyleColBandSize w:val="1"/>
      <w:tblBorders>
        <w:top w:val="single" w:sz="4" w:space="0" w:color="9CC2E5"/>
        <w:start w:val="single" w:sz="4" w:space="0" w:color="9CC2E5"/>
        <w:bottom w:val="single" w:sz="4" w:space="0" w:color="9CC2E5"/>
        <w:end w:val="single" w:sz="4" w:space="0" w:color="9CC2E5"/>
        <w:insideH w:val="single" w:sz="4" w:space="0" w:color="9CC2E5"/>
        <w:insideV w:val="single" w:sz="4" w:space="0" w:color="9CC2E5"/>
      </w:tblBorders>
    </w:tblPr>
    <w:tblStylePr w:type="firstRow">
      <w:rPr>
        <w:b/>
        <w:bCs/>
        <w:color w:val="FFFFFF"/>
      </w:rPr>
      <w:tblPr/>
      <w:tcPr>
        <w:tcBorders>
          <w:top w:val="single" w:sz="4" w:space="0" w:color="5B9BD5"/>
          <w:start w:val="single" w:sz="4" w:space="0" w:color="5B9BD5"/>
          <w:bottom w:val="single" w:sz="4" w:space="0" w:color="5B9BD5"/>
          <w:end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paragraph" w:styleId="NormalWeb">
    <w:name w:val="Normal (Web)"/>
    <w:basedOn w:val="Normal"/>
    <w:uiPriority w:val="99"/>
    <w:unhideWhenUsed/>
    <w:rsid w:val="00A140D8"/>
    <w:pPr>
      <w:spacing w:before="5pt" w:beforeAutospacing="1" w:after="5pt" w:afterAutospacing="1" w:line="12pt" w:lineRule="auto"/>
    </w:pPr>
    <w:rPr>
      <w:rFonts w:ascii="Times New Roman" w:eastAsia="Times New Roman" w:hAnsi="Times New Roman" w:cs="Times New Roman"/>
      <w:sz w:val="24"/>
      <w:szCs w:val="24"/>
      <w:lang w:eastAsia="es-MX"/>
    </w:rPr>
  </w:style>
  <w:style w:type="paragraph" w:customStyle="1" w:styleId="Header10">
    <w:name w:val="Header_1"/>
    <w:uiPriority w:val="99"/>
    <w:unhideWhenUsed/>
    <w:pPr>
      <w:tabs>
        <w:tab w:val="center" w:pos="220.95pt"/>
        <w:tab w:val="end" w:pos="441.90pt"/>
      </w:tabs>
      <w:spacing w:after="0pt" w:line="12pt" w:lineRule="auto"/>
    </w:pPr>
    <w:rPr>
      <w:rFonts w:ascii="Calibri" w:eastAsia="Calibri" w:hAnsi="Calibri" w:cs="Times New Roman"/>
    </w:rPr>
  </w:style>
  <w:style w:type="character" w:styleId="Refdenotaalpie">
    <w:name w:val="footnote reference"/>
    <w:aliases w:val="(NECG) Footnote Reference,11 pt,Appel note de bas de p,FR,Footnote Reference Superscript,Footnote Reference/,Ref,Ref. de nota al pie 2,Style 12,Style 124,Style 13,Style 17,Style 3,Style 6,Texto de nota al pie,de nota al pie,fr,o,註腳內容"/>
    <w:link w:val="FootnoteReferenceNumber"/>
    <w:uiPriority w:val="99"/>
    <w:unhideWhenUsed/>
    <w:qFormat/>
    <w:rsid w:val="00A140D8"/>
    <w:rPr>
      <w:vertAlign w:val="superscript"/>
    </w:rPr>
  </w:style>
  <w:style w:type="paragraph" w:styleId="Listaconvietas2">
    <w:name w:val="List Bullet 2"/>
    <w:basedOn w:val="Normal"/>
    <w:link w:val="Listaconvietas2Car"/>
    <w:uiPriority w:val="99"/>
    <w:unhideWhenUsed/>
    <w:rsid w:val="00A140D8"/>
    <w:pPr>
      <w:spacing w:after="10pt"/>
      <w:ind w:start="53.85pt" w:hanging="18pt"/>
      <w:contextualSpacing/>
    </w:pPr>
    <w:rPr>
      <w:rFonts w:ascii="Calibri" w:eastAsia="Calibri" w:hAnsi="Calibri" w:cs="Times New Roman"/>
    </w:rPr>
  </w:style>
  <w:style w:type="paragraph" w:customStyle="1" w:styleId="T1IFT">
    <w:name w:val="T1 IFT"/>
    <w:basedOn w:val="Normal"/>
    <w:link w:val="T1IFTCar"/>
    <w:autoRedefine/>
    <w:qFormat/>
    <w:rsid w:val="008C1F2D"/>
    <w:pPr>
      <w:tabs>
        <w:tab w:val="num" w:pos="36pt"/>
      </w:tabs>
      <w:ind w:start="17.85pt" w:hanging="17.85pt"/>
      <w:jc w:val="center"/>
      <w:outlineLvl w:val="0"/>
    </w:pPr>
    <w:rPr>
      <w:rFonts w:eastAsia="Times New Roman" w:cs="Arial"/>
      <w:b/>
      <w:iCs/>
      <w:szCs w:val="20"/>
      <w:lang w:eastAsia="es-ES"/>
    </w:rPr>
  </w:style>
  <w:style w:type="paragraph" w:customStyle="1" w:styleId="EstiloTitulo3Negrita">
    <w:name w:val="Estilo Titulo 3 + Negrita"/>
    <w:basedOn w:val="Titulo30"/>
    <w:uiPriority w:val="99"/>
    <w:rsid w:val="00277ED2"/>
    <w:pPr>
      <w:numPr>
        <w:numId w:val="20"/>
      </w:numPr>
      <w:tabs>
        <w:tab w:val="num" w:pos="49.65pt"/>
      </w:tabs>
    </w:pPr>
    <w:rPr>
      <w:bCs/>
    </w:rPr>
  </w:style>
  <w:style w:type="character" w:styleId="Nmerodepgina">
    <w:name w:val="page number"/>
    <w:uiPriority w:val="99"/>
    <w:rsid w:val="00A140D8"/>
  </w:style>
  <w:style w:type="paragraph" w:customStyle="1" w:styleId="TxtListado">
    <w:name w:val="TxtListado"/>
    <w:basedOn w:val="Normal"/>
    <w:qFormat/>
    <w:rsid w:val="00A140D8"/>
    <w:pPr>
      <w:spacing w:after="10pt"/>
    </w:pPr>
    <w:rPr>
      <w:rFonts w:ascii="ITC Avant Garde" w:eastAsia="Calibri" w:hAnsi="ITC Avant Garde" w:cs="Times New Roman"/>
      <w:sz w:val="20"/>
      <w:szCs w:val="20"/>
      <w:lang w:eastAsia="es-ES"/>
    </w:rPr>
  </w:style>
  <w:style w:type="character" w:customStyle="1" w:styleId="5TitCinCar">
    <w:name w:val="5TitCin Car"/>
    <w:basedOn w:val="LosOdioAtodosCar"/>
    <w:link w:val="5TitCin"/>
    <w:rsid w:val="00FC729C"/>
    <w:rPr>
      <w:rFonts w:ascii="ITC Avant Garde" w:eastAsia="Times New Roman" w:hAnsi="ITC Avant Garde" w:cs="Arial"/>
      <w:b w:val="0"/>
      <w:bCs/>
    </w:rPr>
  </w:style>
  <w:style w:type="paragraph" w:styleId="Textosinformato">
    <w:name w:val="Plain Text"/>
    <w:basedOn w:val="Normal"/>
    <w:link w:val="TextosinformatoCar"/>
    <w:uiPriority w:val="99"/>
    <w:rsid w:val="00A140D8"/>
    <w:pPr>
      <w:spacing w:line="12pt" w:lineRule="auto"/>
    </w:pPr>
    <w:rPr>
      <w:rFonts w:ascii="Courier New" w:eastAsia="Times New Roman" w:hAnsi="Courier New" w:cs="Courier New"/>
      <w:sz w:val="20"/>
      <w:szCs w:val="20"/>
      <w:lang w:eastAsia="es-ES"/>
    </w:rPr>
  </w:style>
  <w:style w:type="paragraph" w:styleId="Lista">
    <w:name w:val="List"/>
    <w:basedOn w:val="Normal"/>
    <w:rsid w:val="00A140D8"/>
    <w:pPr>
      <w:spacing w:line="12pt" w:lineRule="auto"/>
      <w:ind w:start="14.15pt" w:hanging="14.15pt"/>
    </w:pPr>
    <w:rPr>
      <w:rFonts w:ascii="Times New Roman" w:eastAsia="Times New Roman" w:hAnsi="Times New Roman" w:cs="Times New Roman"/>
      <w:sz w:val="24"/>
      <w:szCs w:val="24"/>
      <w:lang w:val="es-ES" w:eastAsia="es-ES"/>
    </w:rPr>
  </w:style>
  <w:style w:type="character" w:customStyle="1" w:styleId="EncabezadodemensajeCar">
    <w:name w:val="Encabezado de mensaje Car"/>
    <w:basedOn w:val="Fuentedeprrafopredeter"/>
    <w:link w:val="Encabezadodemensaje"/>
    <w:rsid w:val="00A140D8"/>
    <w:rPr>
      <w:rFonts w:ascii="Arial" w:eastAsia="Times New Roman" w:hAnsi="Arial" w:cs="Arial"/>
      <w:sz w:val="24"/>
      <w:szCs w:val="24"/>
      <w:shd w:val="pct20" w:color="auto" w:fill="auto"/>
      <w:lang w:val="es-ES" w:eastAsia="es-ES"/>
    </w:rPr>
  </w:style>
  <w:style w:type="paragraph" w:styleId="Continuarlista">
    <w:name w:val="List Continue"/>
    <w:basedOn w:val="Normal"/>
    <w:uiPriority w:val="99"/>
    <w:rsid w:val="00A140D8"/>
    <w:pPr>
      <w:spacing w:after="6pt" w:line="12pt" w:lineRule="auto"/>
      <w:ind w:start="14.15pt"/>
    </w:pPr>
    <w:rPr>
      <w:rFonts w:ascii="Times New Roman" w:eastAsia="Times New Roman" w:hAnsi="Times New Roman" w:cs="Times New Roman"/>
      <w:sz w:val="24"/>
      <w:szCs w:val="24"/>
      <w:lang w:val="es-ES" w:eastAsia="es-ES"/>
    </w:rPr>
  </w:style>
  <w:style w:type="paragraph" w:styleId="Listaconnmeros">
    <w:name w:val="List Number"/>
    <w:basedOn w:val="Normal"/>
    <w:uiPriority w:val="99"/>
    <w:rsid w:val="00A140D8"/>
    <w:pPr>
      <w:tabs>
        <w:tab w:val="num" w:pos="18pt"/>
      </w:tabs>
      <w:spacing w:after="12pt" w:line="16pt" w:lineRule="atLeast"/>
      <w:ind w:start="18pt" w:hanging="18pt"/>
      <w:contextualSpacing/>
      <w:jc w:val="both"/>
    </w:pPr>
    <w:rPr>
      <w:rFonts w:ascii="Times New Roman" w:eastAsia="Calibri" w:hAnsi="Times New Roman" w:cs="Times New Roman"/>
      <w:lang w:val="es-ES"/>
    </w:rPr>
  </w:style>
  <w:style w:type="character" w:customStyle="1" w:styleId="Listaconvietas2Car">
    <w:name w:val="Lista con viñetas 2 Car"/>
    <w:link w:val="Listaconvietas2"/>
    <w:uiPriority w:val="99"/>
    <w:rsid w:val="00A140D8"/>
    <w:rPr>
      <w:rFonts w:ascii="Calibri" w:eastAsia="Calibri" w:hAnsi="Calibri" w:cs="Times New Roman"/>
    </w:rPr>
  </w:style>
  <w:style w:type="paragraph" w:customStyle="1" w:styleId="1ernivel">
    <w:name w:val="#) 1er nivel"/>
    <w:basedOn w:val="Prrafodelista"/>
    <w:link w:val="1ernivelCar"/>
    <w:uiPriority w:val="99"/>
    <w:qFormat/>
    <w:rsid w:val="00A4359D"/>
    <w:pPr>
      <w:numPr>
        <w:numId w:val="8"/>
      </w:numPr>
      <w:spacing w:before="6pt" w:after="6pt"/>
      <w:contextualSpacing w:val="0"/>
      <w:jc w:val="both"/>
    </w:pPr>
    <w:rPr>
      <w:rFonts w:ascii="ITC Avant Garde" w:hAnsi="ITC Avant Garde" w:cs="Arial"/>
      <w:lang w:val="en-GB" w:eastAsia="es-ES"/>
    </w:rPr>
  </w:style>
  <w:style w:type="character" w:customStyle="1" w:styleId="SUBCAPCar">
    <w:name w:val="SUBCAP Car"/>
    <w:link w:val="SUBCAP"/>
    <w:uiPriority w:val="99"/>
    <w:locked/>
    <w:rsid w:val="00277ED2"/>
    <w:rPr>
      <w:rFonts w:ascii="Calibri" w:eastAsia="Times New Roman" w:hAnsi="Calibri" w:cs="Times New Roman"/>
      <w:b/>
      <w:sz w:val="24"/>
      <w:szCs w:val="24"/>
      <w:lang w:eastAsia="es-ES"/>
    </w:rPr>
  </w:style>
  <w:style w:type="paragraph" w:customStyle="1" w:styleId="Normalaftertitle">
    <w:name w:val="Normal after title"/>
    <w:basedOn w:val="Normal"/>
    <w:uiPriority w:val="99"/>
    <w:rsid w:val="00277ED2"/>
    <w:pPr>
      <w:tabs>
        <w:tab w:val="start" w:pos="39.70pt"/>
        <w:tab w:val="start" w:pos="59.55pt"/>
        <w:tab w:val="start" w:pos="79.40pt"/>
        <w:tab w:val="start" w:pos="99.25pt"/>
      </w:tabs>
      <w:spacing w:before="24pt" w:line="12pt" w:lineRule="auto"/>
      <w:jc w:val="both"/>
    </w:pPr>
    <w:rPr>
      <w:rFonts w:ascii="Calibri" w:eastAsia="Times New Roman" w:hAnsi="Calibri" w:cs="Times New Roman"/>
      <w:sz w:val="24"/>
      <w:szCs w:val="24"/>
      <w:lang w:eastAsia="es-ES"/>
    </w:rPr>
  </w:style>
  <w:style w:type="numbering" w:styleId="1ai">
    <w:name w:val="Outline List 1"/>
    <w:basedOn w:val="Sinlista"/>
    <w:uiPriority w:val="99"/>
    <w:unhideWhenUsed/>
    <w:rsid w:val="00A140D8"/>
    <w:pPr>
      <w:numPr>
        <w:numId w:val="1"/>
      </w:numPr>
    </w:pPr>
  </w:style>
  <w:style w:type="table" w:styleId="Tablaclsica2">
    <w:name w:val="Table Classic 2"/>
    <w:basedOn w:val="Tablanormal"/>
    <w:rsid w:val="00A140D8"/>
    <w:pPr>
      <w:spacing w:after="0pt" w:line="12pt" w:lineRule="auto"/>
      <w:jc w:val="both"/>
    </w:pPr>
    <w:rPr>
      <w:rFonts w:ascii="Times New Roman" w:eastAsia="Times New Roman" w:hAnsi="Times New Roman" w:cs="Times New Roman"/>
      <w:sz w:val="20"/>
      <w:szCs w:val="20"/>
      <w:lang w:eastAsia="es-E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character" w:customStyle="1" w:styleId="Heading5Char5">
    <w:name w:val="Heading 5 Char5"/>
    <w:aliases w:val="5 Char5,51 Char5,H5 Char5,H5-Heading 5 Char5,H5-Heading 51 Char5,H51 Char5,Header 5 Char3,Heading5 Char5,ITT t5 Char3,Level 5 Char3,PA Pico Section Char3,Roman list Char3,h5 Char5,h51 Char5,heading5 Char5,l5 Char5,l51 Char5,le5 Char3"/>
    <w:uiPriority w:val="99"/>
    <w:semiHidden/>
    <w:locked/>
    <w:rsid w:val="00277ED2"/>
    <w:rPr>
      <w:rFonts w:ascii="Calibri" w:hAnsi="Calibri" w:cs="Times New Roman"/>
      <w:b/>
      <w:bCs/>
      <w:i/>
      <w:iCs/>
      <w:sz w:val="26"/>
      <w:szCs w:val="26"/>
      <w:lang w:val="es-ES_tradnl" w:eastAsia="es-ES"/>
    </w:rPr>
  </w:style>
  <w:style w:type="paragraph" w:customStyle="1" w:styleId="OPCIONES2">
    <w:name w:val="OPCIONES2"/>
    <w:basedOn w:val="OPCIONES"/>
    <w:link w:val="OPCIONES2Car"/>
    <w:uiPriority w:val="99"/>
    <w:rsid w:val="00277ED2"/>
  </w:style>
  <w:style w:type="table" w:styleId="Tablabsica3">
    <w:name w:val="Table Simple 3"/>
    <w:basedOn w:val="Tablanormal"/>
    <w:rsid w:val="00A140D8"/>
    <w:pPr>
      <w:spacing w:after="0pt" w:line="12pt" w:lineRule="auto"/>
      <w:jc w:val="both"/>
    </w:pPr>
    <w:rPr>
      <w:rFonts w:ascii="Times New Roman" w:eastAsia="Times New Roman" w:hAnsi="Times New Roman" w:cs="Times New Roman"/>
      <w:sz w:val="20"/>
      <w:szCs w:val="20"/>
      <w:lang w:eastAsia="es-ES"/>
    </w:rPr>
    <w:tblPr>
      <w:tblBorders>
        <w:top w:val="single" w:sz="12" w:space="0" w:color="000000"/>
        <w:start w:val="single" w:sz="12" w:space="0" w:color="000000"/>
        <w:bottom w:val="single" w:sz="12" w:space="0" w:color="000000"/>
        <w:end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aclsica3">
    <w:name w:val="Table Classic 3"/>
    <w:basedOn w:val="Tablanormal"/>
    <w:rsid w:val="00A140D8"/>
    <w:pPr>
      <w:spacing w:after="0pt" w:line="12pt" w:lineRule="auto"/>
      <w:jc w:val="both"/>
    </w:pPr>
    <w:rPr>
      <w:rFonts w:ascii="Times New Roman" w:eastAsia="Times New Roman" w:hAnsi="Times New Roman" w:cs="Times New Roman"/>
      <w:color w:val="000080"/>
      <w:sz w:val="20"/>
      <w:szCs w:val="20"/>
      <w:lang w:eastAsia="es-ES"/>
    </w:rPr>
    <w:tblPr>
      <w:tblBorders>
        <w:top w:val="single" w:sz="12" w:space="0" w:color="000000"/>
        <w:start w:val="single" w:sz="12" w:space="0" w:color="000000"/>
        <w:bottom w:val="single" w:sz="12" w:space="0" w:color="000000"/>
        <w:end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styleId="Ttulodellibro">
    <w:name w:val="Book Title"/>
    <w:basedOn w:val="Fuentedeprrafopredeter"/>
    <w:uiPriority w:val="33"/>
    <w:qFormat/>
    <w:rsid w:val="00A140D8"/>
    <w:rPr>
      <w:b/>
      <w:bCs/>
      <w:smallCaps/>
      <w:spacing w:val="5"/>
    </w:rPr>
  </w:style>
  <w:style w:type="numbering" w:customStyle="1" w:styleId="Estilo1">
    <w:name w:val="Estilo1"/>
    <w:rsid w:val="009C45CA"/>
    <w:pPr>
      <w:numPr>
        <w:numId w:val="28"/>
      </w:numPr>
    </w:pPr>
  </w:style>
  <w:style w:type="character" w:customStyle="1" w:styleId="Heading5Char4">
    <w:name w:val="Heading 5 Char4"/>
    <w:aliases w:val="5 Char4,51 Char4,H5 Char4,H5-Heading 5 Char4,H5-Heading 51 Char4,H51 Char4,Header 5 Char2,Heading5 Char4,ITT t5 Char2,Level 5 Char2,PA Pico Section Char2,Roman list Char2,h5 Char4,h51 Char4,heading5 Char4,l5 Char4,l51 Char4,le5 Char2"/>
    <w:uiPriority w:val="99"/>
    <w:semiHidden/>
    <w:locked/>
    <w:rsid w:val="00277ED2"/>
    <w:rPr>
      <w:rFonts w:ascii="Calibri" w:hAnsi="Calibri" w:cs="Times New Roman"/>
      <w:b/>
      <w:bCs/>
      <w:i/>
      <w:iCs/>
      <w:sz w:val="26"/>
      <w:szCs w:val="26"/>
      <w:lang w:val="es-ES_tradnl" w:eastAsia="es-ES"/>
    </w:rPr>
  </w:style>
  <w:style w:type="table" w:styleId="Cuadrculamedia3-nfasis1">
    <w:name w:val="Medium Grid 3 Accent 1"/>
    <w:basedOn w:val="Tablanormal"/>
    <w:uiPriority w:val="64"/>
    <w:rsid w:val="00A140D8"/>
    <w:pPr>
      <w:spacing w:after="0pt" w:line="12pt"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pt" w:after="0pt" w:line="12pt" w:lineRule="auto"/>
      </w:pPr>
      <w:rPr>
        <w:b/>
        <w:bCs/>
        <w:color w:val="FFFFFF"/>
      </w:rPr>
      <w:tblPr/>
      <w:tcPr>
        <w:tcBorders>
          <w:top w:val="single" w:sz="18" w:space="0" w:color="auto"/>
          <w:start w:val="nil"/>
          <w:bottom w:val="single" w:sz="18" w:space="0" w:color="auto"/>
          <w:end w:val="nil"/>
          <w:insideH w:val="nil"/>
          <w:insideV w:val="nil"/>
        </w:tcBorders>
        <w:shd w:val="clear" w:color="auto" w:fill="4F81BD"/>
      </w:tcPr>
    </w:tblStylePr>
    <w:tblStylePr w:type="lastRow">
      <w:pPr>
        <w:spacing w:before="0pt" w:after="0pt" w:line="12pt" w:lineRule="auto"/>
      </w:pPr>
      <w:rPr>
        <w:color w:val="auto"/>
      </w:rPr>
      <w:tblPr/>
      <w:tcPr>
        <w:tcBorders>
          <w:top w:val="double" w:sz="6" w:space="0" w:color="auto"/>
          <w:start w:val="nil"/>
          <w:bottom w:val="single" w:sz="18" w:space="0" w:color="auto"/>
          <w:end w:val="nil"/>
          <w:insideH w:val="nil"/>
          <w:insideV w:val="nil"/>
        </w:tcBorders>
        <w:shd w:val="clear" w:color="auto" w:fill="FFFFFF"/>
      </w:tcPr>
    </w:tblStylePr>
    <w:tblStylePr w:type="firstCol">
      <w:rPr>
        <w:b/>
        <w:bCs/>
        <w:color w:val="FFFFFF"/>
      </w:rPr>
      <w:tblPr/>
      <w:tcPr>
        <w:tcBorders>
          <w:top w:val="nil"/>
          <w:start w:val="nil"/>
          <w:bottom w:val="single" w:sz="18" w:space="0" w:color="auto"/>
          <w:end w:val="nil"/>
          <w:insideH w:val="nil"/>
          <w:insideV w:val="nil"/>
        </w:tcBorders>
        <w:shd w:val="clear" w:color="auto" w:fill="4F81BD"/>
      </w:tcPr>
    </w:tblStylePr>
    <w:tblStylePr w:type="lastCol">
      <w:rPr>
        <w:b/>
        <w:bCs/>
        <w:color w:val="FFFFFF"/>
      </w:rPr>
      <w:tblPr/>
      <w:tcPr>
        <w:tcBorders>
          <w:start w:val="nil"/>
          <w:end w:val="nil"/>
          <w:insideH w:val="nil"/>
          <w:insideV w:val="nil"/>
        </w:tcBorders>
        <w:shd w:val="clear" w:color="auto" w:fill="4F81BD"/>
      </w:tcPr>
    </w:tblStylePr>
    <w:tblStylePr w:type="band1Vert">
      <w:tblPr/>
      <w:tcPr>
        <w:tcBorders>
          <w:start w:val="nil"/>
          <w:end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start w:val="nil"/>
          <w:bottom w:val="single" w:sz="18" w:space="0" w:color="auto"/>
          <w:end w:val="nil"/>
          <w:insideH w:val="nil"/>
          <w:insideV w:val="nil"/>
        </w:tcBorders>
      </w:tcPr>
    </w:tblStylePr>
    <w:tblStylePr w:type="nwCell">
      <w:rPr>
        <w:color w:val="FFFFFF"/>
      </w:rPr>
      <w:tblPr/>
      <w:tcPr>
        <w:tcBorders>
          <w:top w:val="single" w:sz="18" w:space="0" w:color="auto"/>
          <w:start w:val="nil"/>
          <w:bottom w:val="single" w:sz="18" w:space="0" w:color="auto"/>
          <w:end w:val="nil"/>
          <w:insideH w:val="nil"/>
          <w:insideV w:val="nil"/>
        </w:tcBorders>
      </w:tcPr>
    </w:tblStylePr>
  </w:style>
  <w:style w:type="character" w:customStyle="1" w:styleId="Ttulo3Car1">
    <w:name w:val="Título 3 Car1"/>
    <w:aliases w:val="3 Car1,31 Car1,310 Car1,311 Car1,32 Car1,33 Car1,34 Car1,35 Car1,36 Car1,37 Car1,38 Car1,39 Car1,H3 Car1,h Car1,h:3 Car1,l3 Car1,l31 Car1,l310 Car1,l32 Car1,l33 Car1,l34 Car1,l35 Car1,l36 Car1,l37 Car1,l38 Car1,l39 Car1,orderpara2 Car1"/>
    <w:basedOn w:val="Fuentedeprrafopredeter"/>
    <w:uiPriority w:val="9"/>
    <w:semiHidden/>
    <w:rsid w:val="00F85A8C"/>
    <w:rPr>
      <w:rFonts w:ascii="Calibri Light" w:eastAsia="Times New Roman" w:hAnsi="Calibri Light" w:cs="Times New Roman"/>
      <w:color w:val="1F3763"/>
      <w:sz w:val="24"/>
      <w:szCs w:val="24"/>
      <w:lang w:eastAsia="en-US"/>
    </w:rPr>
  </w:style>
  <w:style w:type="paragraph" w:styleId="Sinespaciado">
    <w:name w:val="No Spacing"/>
    <w:uiPriority w:val="1"/>
    <w:qFormat/>
    <w:rsid w:val="00A140D8"/>
    <w:pPr>
      <w:spacing w:after="0pt" w:line="12pt" w:lineRule="auto"/>
    </w:pPr>
    <w:rPr>
      <w:rFonts w:ascii="Calibri" w:eastAsia="Calibri" w:hAnsi="Calibri" w:cs="Times New Roman"/>
    </w:rPr>
  </w:style>
  <w:style w:type="paragraph" w:styleId="Revisin">
    <w:name w:val="Revision"/>
    <w:hidden/>
    <w:uiPriority w:val="99"/>
    <w:semiHidden/>
    <w:rsid w:val="00A140D8"/>
    <w:pPr>
      <w:spacing w:after="0pt" w:line="12pt" w:lineRule="auto"/>
    </w:pPr>
    <w:rPr>
      <w:rFonts w:ascii="Calibri" w:eastAsia="Calibri" w:hAnsi="Calibri" w:cs="Times New Roman"/>
    </w:rPr>
  </w:style>
  <w:style w:type="paragraph" w:customStyle="1" w:styleId="PuntosC4">
    <w:name w:val="PuntosC4"/>
    <w:basedOn w:val="Normal"/>
    <w:link w:val="PuntosC4Car"/>
    <w:qFormat/>
    <w:rsid w:val="00A140D8"/>
    <w:pPr>
      <w:spacing w:after="10pt"/>
      <w:ind w:start="35.75pt" w:hanging="21.60pt"/>
      <w:jc w:val="both"/>
    </w:pPr>
    <w:rPr>
      <w:rFonts w:ascii="ITC Avant Garde" w:eastAsia="Times New Roman" w:hAnsi="ITC Avant Garde" w:cs="Arial"/>
      <w:b/>
      <w:iCs/>
    </w:rPr>
  </w:style>
  <w:style w:type="paragraph" w:customStyle="1" w:styleId="IFTcita">
    <w:name w:val="IFT cita"/>
    <w:basedOn w:val="Normal"/>
    <w:link w:val="IFTcitaCar"/>
    <w:qFormat/>
    <w:rsid w:val="003502D7"/>
    <w:pPr>
      <w:spacing w:before="2pt" w:after="10pt"/>
      <w:ind w:start="28.35pt" w:end="28.35pt"/>
      <w:jc w:val="both"/>
    </w:pPr>
    <w:rPr>
      <w:rFonts w:ascii="ITC Avant Garde" w:hAnsi="ITC Avant Garde"/>
      <w:b/>
      <w:i/>
      <w:sz w:val="18"/>
      <w:lang w:val="es-ES"/>
    </w:rPr>
  </w:style>
  <w:style w:type="paragraph" w:customStyle="1" w:styleId="ApartadoSub">
    <w:name w:val="ApartadoSub"/>
    <w:basedOn w:val="Normal"/>
    <w:qFormat/>
    <w:rsid w:val="00A140D8"/>
    <w:pPr>
      <w:spacing w:after="10pt"/>
      <w:jc w:val="both"/>
    </w:pPr>
    <w:rPr>
      <w:rFonts w:ascii="ITC Avant Garde" w:eastAsia="Calibri" w:hAnsi="ITC Avant Garde" w:cs="Times New Roman"/>
      <w:u w:val="single"/>
    </w:rPr>
  </w:style>
  <w:style w:type="table" w:styleId="Cuadrculadetablaclara">
    <w:name w:val="Grid Table Light"/>
    <w:basedOn w:val="Tablanormal"/>
    <w:uiPriority w:val="99"/>
    <w:rsid w:val="00277ED2"/>
    <w:pPr>
      <w:spacing w:after="0pt" w:line="12pt" w:lineRule="auto"/>
    </w:pPr>
    <w:rPr>
      <w:rFonts w:eastAsiaTheme="minorEastAsia"/>
      <w:lang w:eastAsia="es-MX"/>
    </w:rPr>
    <w:tblPr>
      <w:tbl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h8Car">
    <w:name w:val="h8 Car"/>
    <w:aliases w:val="8 Car1,Annex Car,Annex Char Car Car,Annex Char Char Char Car,Annex Char1 Char Car,Appendix1 Car,Appendix11 Car,Heading 8 Char Car,Heading 8 Char Char Char Car,Heading 8 Char1 Char Car,ITT t8 Car1,Título 8 Car1,action Car1,figure title Car,ft Car"/>
    <w:uiPriority w:val="99"/>
    <w:locked/>
    <w:rsid w:val="00277ED2"/>
    <w:rPr>
      <w:rFonts w:ascii="Arial" w:hAnsi="Arial" w:cs="Times New Roman"/>
      <w:b/>
      <w:sz w:val="20"/>
      <w:szCs w:val="20"/>
      <w:lang w:val="es-MX" w:eastAsia="es-ES"/>
    </w:rPr>
  </w:style>
  <w:style w:type="paragraph" w:customStyle="1" w:styleId="ListaCitaOtras">
    <w:name w:val="ListaCitaOtras"/>
    <w:basedOn w:val="Normal"/>
    <w:link w:val="ListaCitaOtrasCar"/>
    <w:qFormat/>
    <w:rsid w:val="00A140D8"/>
    <w:pPr>
      <w:numPr>
        <w:numId w:val="4"/>
      </w:numPr>
      <w:ind w:start="78.50pt" w:hanging="17.85pt"/>
    </w:pPr>
  </w:style>
  <w:style w:type="table" w:customStyle="1" w:styleId="TableGrid1">
    <w:name w:val="Table Grid1"/>
    <w:basedOn w:val="Tablanormal"/>
    <w:next w:val="Tablaconcuadrcula"/>
    <w:uiPriority w:val="59"/>
    <w:rsid w:val="00497C7D"/>
    <w:pPr>
      <w:spacing w:before="3pt" w:after="0pt" w:line="12pt" w:lineRule="auto"/>
      <w:jc w:val="both"/>
    </w:pPr>
    <w:rPr>
      <w:rFonts w:ascii="Times New Roman" w:eastAsia="Times New Roman" w:hAnsi="Times New Roman" w:cs="Times New Roman"/>
      <w:sz w:val="20"/>
      <w:szCs w:val="20"/>
      <w:lang w:eastAsia="es-ES"/>
    </w:rPr>
    <w:tblP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Pr>
  </w:style>
  <w:style w:type="paragraph" w:customStyle="1" w:styleId="Inciso1ernivel">
    <w:name w:val="Inciso 1er nivel"/>
    <w:basedOn w:val="Normal"/>
    <w:link w:val="Inciso1ernivelCar"/>
    <w:qFormat/>
    <w:rsid w:val="00A4359D"/>
    <w:pPr>
      <w:numPr>
        <w:numId w:val="7"/>
      </w:numPr>
      <w:adjustRightInd w:val="0"/>
      <w:spacing w:before="6pt" w:after="6pt"/>
      <w:jc w:val="both"/>
    </w:pPr>
    <w:rPr>
      <w:rFonts w:ascii="ITC Avant Garde" w:eastAsia="Calibri" w:hAnsi="ITC Avant Garde" w:cs="Arial"/>
      <w:bCs/>
      <w:color w:val="000000"/>
      <w:lang w:val="en-GB" w:eastAsia="es-ES"/>
    </w:rPr>
  </w:style>
  <w:style w:type="table" w:styleId="Tabladecuadrcula4-nfasis3">
    <w:name w:val="Grid Table 4 Accent 3"/>
    <w:basedOn w:val="Tablanormal"/>
    <w:uiPriority w:val="49"/>
    <w:rsid w:val="002F0E45"/>
    <w:pPr>
      <w:spacing w:after="0pt" w:line="12pt" w:lineRule="auto"/>
    </w:pPr>
    <w:tblPr>
      <w:tblStyleRowBandSize w:val="1"/>
      <w:tblStyleColBandSize w:val="1"/>
      <w:tblBorders>
        <w:top w:val="single" w:sz="4" w:space="0" w:color="C9C9C9" w:themeColor="accent3" w:themeTint="99"/>
        <w:start w:val="single" w:sz="4" w:space="0" w:color="C9C9C9" w:themeColor="accent3" w:themeTint="99"/>
        <w:bottom w:val="single" w:sz="4" w:space="0" w:color="C9C9C9" w:themeColor="accent3" w:themeTint="99"/>
        <w:end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start w:val="single" w:sz="4" w:space="0" w:color="A5A5A5" w:themeColor="accent3"/>
          <w:bottom w:val="single" w:sz="4" w:space="0" w:color="A5A5A5" w:themeColor="accent3"/>
          <w:end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ListaCitaOtrasCar">
    <w:name w:val="ListaCitaOtras Car"/>
    <w:basedOn w:val="Fuentedeprrafopredeter"/>
    <w:link w:val="ListaCitaOtras"/>
    <w:rsid w:val="00A140D8"/>
    <w:rPr>
      <w:rFonts w:ascii="Arial" w:hAnsi="Arial"/>
    </w:rPr>
  </w:style>
  <w:style w:type="character" w:customStyle="1" w:styleId="Inciso1ernivelCar">
    <w:name w:val="Inciso 1er nivel Car"/>
    <w:basedOn w:val="Fuentedeprrafopredeter"/>
    <w:link w:val="Inciso1ernivel"/>
    <w:rsid w:val="00A4359D"/>
    <w:rPr>
      <w:rFonts w:ascii="ITC Avant Garde" w:eastAsia="Calibri" w:hAnsi="ITC Avant Garde" w:cs="Arial"/>
      <w:bCs/>
      <w:color w:val="000000"/>
      <w:lang w:val="en-GB" w:eastAsia="es-ES"/>
    </w:rPr>
  </w:style>
  <w:style w:type="paragraph" w:customStyle="1" w:styleId="Titulo1">
    <w:name w:val="Titulo 1"/>
    <w:basedOn w:val="Prrafodelista"/>
    <w:next w:val="Normal"/>
    <w:qFormat/>
    <w:rsid w:val="00A140D8"/>
    <w:pPr>
      <w:adjustRightInd w:val="0"/>
      <w:spacing w:line="12pt" w:lineRule="auto"/>
      <w:ind w:start="0pt"/>
      <w:jc w:val="both"/>
    </w:pPr>
    <w:rPr>
      <w:rFonts w:ascii="ITC Avant Garde" w:eastAsia="Times New Roman" w:hAnsi="ITC Avant Garde" w:cs="Arial"/>
      <w:b/>
      <w:bCs/>
      <w:color w:val="000000"/>
      <w:lang w:val="es-ES" w:eastAsia="es-ES"/>
    </w:rPr>
  </w:style>
  <w:style w:type="character" w:customStyle="1" w:styleId="Ttulo1Car1">
    <w:name w:val="Título 1 Car1"/>
    <w:aliases w:val="1 Car1,Chapter Heading Car1,H1 Car1,H11 Car1,H111 Car1,H112 Car1,H12 Car1,H13 Car1,H14 Car1,I Car1,II+ Car1,ITT t1 Car1,Level 1 Car1,PA Chapter Car1,Section Head Car1,Title1 Car1,app heading 1 Car1,h1 Car1,h:1 Car1,h:1app Car1,l1 Car1"/>
    <w:basedOn w:val="Fuentedeprrafopredeter"/>
    <w:uiPriority w:val="99"/>
    <w:rsid w:val="00F85A8C"/>
    <w:rPr>
      <w:rFonts w:ascii="Calibri Light" w:eastAsia="Times New Roman" w:hAnsi="Calibri Light" w:cs="Times New Roman"/>
      <w:color w:val="2F5496"/>
      <w:sz w:val="32"/>
      <w:szCs w:val="32"/>
      <w:lang w:eastAsia="en-US"/>
    </w:rPr>
  </w:style>
  <w:style w:type="table" w:styleId="Sombreadomedio2-nfasis1">
    <w:name w:val="Medium Shading 2 Accent 1"/>
    <w:basedOn w:val="Tablanormal"/>
    <w:uiPriority w:val="64"/>
    <w:rsid w:val="00A140D8"/>
    <w:pPr>
      <w:spacing w:after="0pt" w:line="12pt"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pt" w:after="0pt" w:line="12pt" w:lineRule="auto"/>
      </w:pPr>
      <w:rPr>
        <w:b/>
        <w:bCs/>
        <w:color w:val="FFFFFF"/>
      </w:rPr>
      <w:tblPr/>
      <w:tcPr>
        <w:tcBorders>
          <w:top w:val="single" w:sz="18" w:space="0" w:color="auto"/>
          <w:start w:val="nil"/>
          <w:bottom w:val="single" w:sz="18" w:space="0" w:color="auto"/>
          <w:end w:val="nil"/>
          <w:insideH w:val="nil"/>
          <w:insideV w:val="nil"/>
        </w:tcBorders>
        <w:shd w:val="clear" w:color="auto" w:fill="4F81BD"/>
      </w:tcPr>
    </w:tblStylePr>
    <w:tblStylePr w:type="lastRow">
      <w:pPr>
        <w:spacing w:before="0pt" w:after="0pt" w:line="12pt" w:lineRule="auto"/>
      </w:pPr>
      <w:rPr>
        <w:color w:val="auto"/>
      </w:rPr>
      <w:tblPr/>
      <w:tcPr>
        <w:tcBorders>
          <w:top w:val="double" w:sz="6" w:space="0" w:color="auto"/>
          <w:start w:val="nil"/>
          <w:bottom w:val="single" w:sz="18" w:space="0" w:color="auto"/>
          <w:end w:val="nil"/>
          <w:insideH w:val="nil"/>
          <w:insideV w:val="nil"/>
        </w:tcBorders>
        <w:shd w:val="clear" w:color="auto" w:fill="FFFFFF"/>
      </w:tcPr>
    </w:tblStylePr>
    <w:tblStylePr w:type="firstCol">
      <w:rPr>
        <w:b/>
        <w:bCs/>
        <w:color w:val="FFFFFF"/>
      </w:rPr>
      <w:tblPr/>
      <w:tcPr>
        <w:tcBorders>
          <w:top w:val="nil"/>
          <w:start w:val="nil"/>
          <w:bottom w:val="single" w:sz="18" w:space="0" w:color="auto"/>
          <w:end w:val="nil"/>
          <w:insideH w:val="nil"/>
          <w:insideV w:val="nil"/>
        </w:tcBorders>
        <w:shd w:val="clear" w:color="auto" w:fill="4F81BD"/>
      </w:tcPr>
    </w:tblStylePr>
    <w:tblStylePr w:type="lastCol">
      <w:rPr>
        <w:b/>
        <w:bCs/>
        <w:color w:val="FFFFFF"/>
      </w:rPr>
      <w:tblPr/>
      <w:tcPr>
        <w:tcBorders>
          <w:start w:val="nil"/>
          <w:end w:val="nil"/>
          <w:insideH w:val="nil"/>
          <w:insideV w:val="nil"/>
        </w:tcBorders>
        <w:shd w:val="clear" w:color="auto" w:fill="4F81BD"/>
      </w:tcPr>
    </w:tblStylePr>
    <w:tblStylePr w:type="band1Vert">
      <w:tblPr/>
      <w:tcPr>
        <w:tcBorders>
          <w:start w:val="nil"/>
          <w:end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start w:val="nil"/>
          <w:bottom w:val="single" w:sz="18" w:space="0" w:color="auto"/>
          <w:end w:val="nil"/>
          <w:insideH w:val="nil"/>
          <w:insideV w:val="nil"/>
        </w:tcBorders>
      </w:tcPr>
    </w:tblStylePr>
    <w:tblStylePr w:type="nwCell">
      <w:rPr>
        <w:color w:val="FFFFFF"/>
      </w:rPr>
      <w:tblPr/>
      <w:tcPr>
        <w:tcBorders>
          <w:top w:val="single" w:sz="18" w:space="0" w:color="auto"/>
          <w:start w:val="nil"/>
          <w:bottom w:val="single" w:sz="18" w:space="0" w:color="auto"/>
          <w:end w:val="nil"/>
          <w:insideH w:val="nil"/>
          <w:insideV w:val="nil"/>
        </w:tcBorders>
      </w:tcPr>
    </w:tblStylePr>
  </w:style>
  <w:style w:type="character" w:customStyle="1" w:styleId="FootnoteAnchor">
    <w:name w:val="Footnote Anchor"/>
    <w:rsid w:val="00A140D8"/>
    <w:rPr>
      <w:vertAlign w:val="superscript"/>
    </w:rPr>
  </w:style>
  <w:style w:type="table" w:customStyle="1" w:styleId="Tablaconcuadrculaclara1">
    <w:name w:val="Tabla con cuadrícula clara1"/>
    <w:basedOn w:val="Tablanormal"/>
    <w:uiPriority w:val="99"/>
    <w:rsid w:val="00277ED2"/>
    <w:pPr>
      <w:spacing w:after="0pt" w:line="12pt" w:lineRule="auto"/>
    </w:pPr>
    <w:rPr>
      <w:rFonts w:ascii="Calibri" w:eastAsia="Times New Roman" w:hAnsi="Calibri" w:cs="Times New Roman"/>
      <w:sz w:val="20"/>
      <w:szCs w:val="20"/>
      <w:lang w:eastAsia="es-MX"/>
    </w:rPr>
    <w:tblPr>
      <w:tblBorders>
        <w:top w:val="single" w:sz="4" w:space="0" w:color="BFBFBF"/>
        <w:start w:val="single" w:sz="4" w:space="0" w:color="BFBFBF"/>
        <w:bottom w:val="single" w:sz="4" w:space="0" w:color="BFBFBF"/>
        <w:end w:val="single" w:sz="4" w:space="0" w:color="BFBFBF"/>
        <w:insideH w:val="single" w:sz="4" w:space="0" w:color="BFBFBF"/>
        <w:insideV w:val="single" w:sz="4" w:space="0" w:color="BFBFBF"/>
      </w:tblBorders>
    </w:tblPr>
  </w:style>
  <w:style w:type="character" w:customStyle="1" w:styleId="Listavistosa-nfasis1Car">
    <w:name w:val="Lista vistosa - Énfasis 1 Car"/>
    <w:link w:val="Listavistosa-nfasis1"/>
    <w:uiPriority w:val="34"/>
    <w:semiHidden/>
    <w:rsid w:val="00A140D8"/>
    <w:rPr>
      <w:sz w:val="22"/>
      <w:szCs w:val="22"/>
      <w:lang w:eastAsia="en-US"/>
    </w:rPr>
  </w:style>
  <w:style w:type="paragraph" w:customStyle="1" w:styleId="CAPITULOS">
    <w:name w:val="CAPITULOS"/>
    <w:basedOn w:val="Normal"/>
    <w:link w:val="CAPITULOSCar"/>
    <w:uiPriority w:val="99"/>
    <w:rsid w:val="00277ED2"/>
    <w:pPr>
      <w:spacing w:line="12pt" w:lineRule="auto"/>
      <w:jc w:val="both"/>
    </w:pPr>
    <w:rPr>
      <w:rFonts w:ascii="Calibri" w:eastAsia="Times New Roman" w:hAnsi="Calibri" w:cs="Times New Roman"/>
      <w:b/>
      <w:sz w:val="32"/>
      <w:szCs w:val="24"/>
      <w:lang w:eastAsia="es-ES"/>
    </w:rPr>
  </w:style>
  <w:style w:type="paragraph" w:customStyle="1" w:styleId="OPCIONES">
    <w:name w:val="OPCIONES"/>
    <w:basedOn w:val="Normal"/>
    <w:link w:val="OPCIONESCar"/>
    <w:uiPriority w:val="99"/>
    <w:rsid w:val="00277ED2"/>
    <w:pPr>
      <w:spacing w:line="12pt" w:lineRule="auto"/>
      <w:ind w:start="36pt" w:hanging="18pt"/>
      <w:jc w:val="both"/>
    </w:pPr>
    <w:rPr>
      <w:rFonts w:ascii="Calibri" w:eastAsia="Times New Roman" w:hAnsi="Calibri" w:cs="Times New Roman"/>
      <w:sz w:val="24"/>
      <w:szCs w:val="24"/>
      <w:lang w:val="es-ES_tradnl" w:eastAsia="es-ES"/>
    </w:rPr>
  </w:style>
  <w:style w:type="table" w:customStyle="1" w:styleId="Tablaconcuadrcula11">
    <w:name w:val="Tabla con cuadrícula11"/>
    <w:uiPriority w:val="99"/>
    <w:locked/>
    <w:rsid w:val="00F85A8C"/>
    <w:pPr>
      <w:spacing w:after="10pt" w:line="13.80pt" w:lineRule="auto"/>
    </w:pPr>
    <w:rPr>
      <w:rFonts w:ascii="Arial" w:eastAsia="Times New Roman" w:hAnsi="Arial" w:cs="Times New Roman"/>
      <w:sz w:val="24"/>
      <w:szCs w:val="24"/>
      <w:lang w:eastAsia="es-MX"/>
    </w:rPr>
    <w:tblP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CellMar>
        <w:top w:w="0pt" w:type="dxa"/>
        <w:start w:w="5.40pt" w:type="dxa"/>
        <w:bottom w:w="0pt" w:type="dxa"/>
        <w:end w:w="5.40pt" w:type="dxa"/>
      </w:tblCellMar>
    </w:tblPr>
  </w:style>
  <w:style w:type="table" w:styleId="Listavistosa-nfasis1">
    <w:name w:val="Colorful List Accent 1"/>
    <w:basedOn w:val="Tablanormal"/>
    <w:link w:val="Listavistosa-nfasis1Car"/>
    <w:uiPriority w:val="34"/>
    <w:semiHidden/>
    <w:unhideWhenUsed/>
    <w:rsid w:val="00A140D8"/>
    <w:pPr>
      <w:spacing w:after="0pt" w:line="12pt" w:lineRule="auto"/>
    </w:pPr>
    <w:tblPr>
      <w:tblStyleRowBandSize w:val="1"/>
      <w:tblStyleColBandSize w:val="1"/>
    </w:tblPr>
    <w:tcPr>
      <w:shd w:val="clear" w:color="auto" w:fill="EEF5FB" w:themeFill="accent1" w:themeFillTint="19"/>
    </w:tcPr>
    <w:tblStylePr w:type="firstRow">
      <w:tblPr/>
      <w:tcPr>
        <w:tcBorders>
          <w:bottom w:val="single" w:sz="12" w:space="0" w:color="FFFFFF" w:themeColor="background1"/>
        </w:tcBorders>
        <w:shd w:val="clear" w:color="auto" w:fill="D25F12" w:themeFill="accent2"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start w:val="nil"/>
          <w:bottom w:val="nil"/>
          <w:end w:val="nil"/>
          <w:insideH w:val="nil"/>
          <w:insideV w:val="nil"/>
        </w:tcBorders>
        <w:shd w:val="clear" w:color="auto" w:fill="D6E6F4" w:themeFill="accent1" w:themeFillTint="3F"/>
      </w:tcPr>
    </w:tblStylePr>
    <w:tblStylePr w:type="band1Horz">
      <w:tblPr/>
      <w:tcPr>
        <w:shd w:val="clear" w:color="auto" w:fill="DEEAF6" w:themeFill="accent1" w:themeFillTint="33"/>
      </w:tcPr>
    </w:tblStylePr>
  </w:style>
  <w:style w:type="paragraph" w:customStyle="1" w:styleId="PuntosC5">
    <w:name w:val="PuntosC5"/>
    <w:basedOn w:val="PuntosC4"/>
    <w:link w:val="PuntosC5Car"/>
    <w:qFormat/>
    <w:rsid w:val="00A140D8"/>
    <w:pPr>
      <w:ind w:start="39.60pt"/>
    </w:pPr>
  </w:style>
  <w:style w:type="paragraph" w:styleId="Firmadecorreoelectrnico">
    <w:name w:val="E-mail Signature"/>
    <w:basedOn w:val="Normal"/>
    <w:link w:val="FirmadecorreoelectrnicoCar"/>
    <w:uiPriority w:val="99"/>
    <w:rsid w:val="00277ED2"/>
    <w:pPr>
      <w:spacing w:line="12pt" w:lineRule="auto"/>
      <w:jc w:val="both"/>
    </w:pPr>
    <w:rPr>
      <w:rFonts w:ascii="Calibri" w:eastAsia="Times New Roman" w:hAnsi="Calibri" w:cs="Times New Roman"/>
      <w:sz w:val="24"/>
      <w:szCs w:val="24"/>
      <w:lang w:eastAsia="es-ES"/>
    </w:rPr>
  </w:style>
  <w:style w:type="paragraph" w:customStyle="1" w:styleId="Niv2C4">
    <w:name w:val="Niv2C4"/>
    <w:basedOn w:val="Subttulo"/>
    <w:link w:val="Niv2C4Car"/>
    <w:qFormat/>
    <w:rsid w:val="00A140D8"/>
    <w:pPr>
      <w:ind w:start="61.20pt" w:hanging="25.20pt"/>
    </w:pPr>
  </w:style>
  <w:style w:type="paragraph" w:customStyle="1" w:styleId="Ttulo5H55H5-Heading5h5Heading5l5heading5h51H5151H5-Heading51Heading51l51heading51heading51h52H5252H5-Heading52Heading52l52heading52heading52h511H511511Heading51153">
    <w:name w:val="Título 5.H5.5.H5-Heading 5.h5.Heading5.l5.heading5.h51.H51.51.H5-Heading 51.Heading51.l51.heading51.heading 51.h52.H52.52.H5-Heading 52.Heading52.l52.heading52.heading 52.h511.H511.511.Heading511.53"/>
    <w:basedOn w:val="Normal"/>
    <w:next w:val="Normal"/>
    <w:rsid w:val="00A140D8"/>
    <w:pPr>
      <w:keepNext/>
      <w:tabs>
        <w:tab w:val="num" w:pos="50.40pt"/>
      </w:tabs>
      <w:spacing w:line="12pt" w:lineRule="auto"/>
      <w:ind w:start="50.40pt" w:hanging="50.40pt"/>
      <w:jc w:val="both"/>
      <w:outlineLvl w:val="4"/>
    </w:pPr>
    <w:rPr>
      <w:rFonts w:eastAsia="Times New Roman" w:cs="Times New Roman"/>
      <w:b/>
      <w:sz w:val="24"/>
      <w:szCs w:val="20"/>
      <w:u w:val="single"/>
      <w:lang w:val="en-US" w:eastAsia="es-ES"/>
    </w:rPr>
  </w:style>
  <w:style w:type="character" w:customStyle="1" w:styleId="PuntosC4Car">
    <w:name w:val="PuntosC4 Car"/>
    <w:basedOn w:val="Fuentedeprrafopredeter"/>
    <w:link w:val="PuntosC4"/>
    <w:rsid w:val="00A140D8"/>
    <w:rPr>
      <w:rFonts w:ascii="ITC Avant Garde" w:eastAsia="Times New Roman" w:hAnsi="ITC Avant Garde" w:cs="Arial"/>
      <w:b/>
      <w:iCs/>
    </w:rPr>
  </w:style>
  <w:style w:type="character" w:customStyle="1" w:styleId="IFTcitaCar">
    <w:name w:val="IFT cita Car"/>
    <w:basedOn w:val="Fuentedeprrafopredeter"/>
    <w:link w:val="IFTcita"/>
    <w:rsid w:val="003502D7"/>
    <w:rPr>
      <w:rFonts w:ascii="ITC Avant Garde" w:hAnsi="ITC Avant Garde"/>
      <w:b/>
      <w:i/>
      <w:sz w:val="18"/>
      <w:lang w:val="es-ES"/>
    </w:rPr>
  </w:style>
  <w:style w:type="character" w:customStyle="1" w:styleId="PuntosC5Car">
    <w:name w:val="PuntosC5 Car"/>
    <w:basedOn w:val="PuntosC4Car"/>
    <w:link w:val="PuntosC5"/>
    <w:rsid w:val="00A140D8"/>
    <w:rPr>
      <w:rFonts w:ascii="ITC Avant Garde" w:eastAsia="Times New Roman" w:hAnsi="ITC Avant Garde" w:cs="Arial"/>
      <w:b/>
      <w:iCs/>
    </w:rPr>
  </w:style>
  <w:style w:type="paragraph" w:customStyle="1" w:styleId="Niv3C4">
    <w:name w:val="Niv3C4"/>
    <w:basedOn w:val="Subttulo"/>
    <w:link w:val="Niv3C4Car"/>
    <w:qFormat/>
    <w:rsid w:val="00A140D8"/>
    <w:pPr>
      <w:ind w:start="96.25pt" w:hanging="32.40pt"/>
    </w:pPr>
  </w:style>
  <w:style w:type="character" w:customStyle="1" w:styleId="Heading5Char">
    <w:name w:val="Heading 5 Char"/>
    <w:aliases w:val="5 Char,51 Char,52 Char,H5 Char,H5-Heading 5 Char,H5-Heading 51 Char,H51 Char,Header 5 Char,Heading5 Char,Heading51 Char,ITT t5 Char,Level 5 Char,PA Pico Section Char,Roman list Char,h5 Char,h51 Char,heading5 Char,l5 Char,l51 Char,le5 Char"/>
    <w:uiPriority w:val="9"/>
    <w:semiHidden/>
    <w:rsid w:val="00277ED2"/>
    <w:rPr>
      <w:rFonts w:ascii="Calibri" w:eastAsia="Times New Roman" w:hAnsi="Calibri" w:cs="Times New Roman"/>
      <w:b/>
      <w:bCs/>
      <w:i/>
      <w:iCs/>
      <w:sz w:val="26"/>
      <w:szCs w:val="26"/>
      <w:lang w:val="es-ES_tradnl" w:eastAsia="es-ES"/>
    </w:rPr>
  </w:style>
  <w:style w:type="paragraph" w:customStyle="1" w:styleId="texto">
    <w:name w:val="texto"/>
    <w:basedOn w:val="Normal"/>
    <w:rsid w:val="00467452"/>
    <w:pPr>
      <w:spacing w:before="5pt" w:beforeAutospacing="1" w:after="5pt" w:afterAutospacing="1" w:line="12pt" w:lineRule="auto"/>
    </w:pPr>
    <w:rPr>
      <w:rFonts w:ascii="Times New Roman" w:eastAsia="Times New Roman" w:hAnsi="Times New Roman" w:cs="Times New Roman"/>
      <w:sz w:val="24"/>
      <w:szCs w:val="24"/>
      <w:lang w:eastAsia="es-MX"/>
    </w:rPr>
  </w:style>
  <w:style w:type="paragraph" w:customStyle="1" w:styleId="xxxxNotadeCuadro1">
    <w:name w:val="xxxxNotadeCuadro_1"/>
    <w:pPr>
      <w:tabs>
        <w:tab w:val="start" w:pos="14.20pt"/>
      </w:tabs>
      <w:spacing w:after="3pt" w:line="13.80pt" w:lineRule="auto"/>
      <w:ind w:start="14.20pt" w:hanging="14.20pt"/>
      <w:jc w:val="both"/>
    </w:pPr>
    <w:rPr>
      <w:rFonts w:ascii="Century Gothic" w:eastAsia="Calibri" w:hAnsi="Century Gothic" w:cs="Times New Roman"/>
      <w:sz w:val="18"/>
      <w:szCs w:val="14"/>
      <w:lang w:val="es-ES" w:eastAsia="es-ES"/>
    </w:rPr>
  </w:style>
  <w:style w:type="character" w:customStyle="1" w:styleId="SUBCAP4Car">
    <w:name w:val="SUBCAP4 Car"/>
    <w:link w:val="SUBCAP4"/>
    <w:uiPriority w:val="99"/>
    <w:locked/>
    <w:rsid w:val="00277ED2"/>
    <w:rPr>
      <w:rFonts w:ascii="Calibri" w:eastAsia="Times New Roman" w:hAnsi="Calibri" w:cs="Times New Roman"/>
      <w:b/>
      <w:sz w:val="20"/>
      <w:szCs w:val="24"/>
      <w:lang w:val="es-ES" w:eastAsia="es-ES"/>
    </w:rPr>
  </w:style>
  <w:style w:type="paragraph" w:styleId="Textonotapie">
    <w:name w:val="footnote text"/>
    <w:aliases w:val="Ca,Footnote Text Char,Footnote Text Char Char1,Footnote Text Char Char1 Char1 Char Char,Footnote Text Char1,Footnote Text Char1 Char1 Char1 Char,Footnote Text Char1 Char1 Char1 Char Char Char1,Footnote Text Char4 Char Char,fn,ft Char Char"/>
    <w:basedOn w:val="Normal"/>
    <w:link w:val="TextonotapieCar"/>
    <w:autoRedefine/>
    <w:uiPriority w:val="99"/>
    <w:unhideWhenUsed/>
    <w:qFormat/>
    <w:rsid w:val="00F645E5"/>
    <w:pPr>
      <w:spacing w:line="12pt" w:lineRule="auto"/>
      <w:jc w:val="both"/>
    </w:pPr>
    <w:rPr>
      <w:rFonts w:ascii="Century Gothic" w:eastAsia="Calibri" w:hAnsi="Century Gothic" w:cs="Times New Roman"/>
      <w:sz w:val="18"/>
    </w:rPr>
  </w:style>
  <w:style w:type="paragraph" w:customStyle="1" w:styleId="1Bullet">
    <w:name w:val="1Bullet"/>
    <w:basedOn w:val="Normal"/>
    <w:uiPriority w:val="99"/>
    <w:rsid w:val="00277ED2"/>
    <w:pPr>
      <w:tabs>
        <w:tab w:val="start" w:pos="127.60pt"/>
        <w:tab w:val="start" w:pos="192.80pt"/>
        <w:tab w:val="start" w:pos="258pt"/>
        <w:tab w:val="start" w:pos="323.20pt"/>
        <w:tab w:val="start" w:pos="388.40pt"/>
        <w:tab w:val="start" w:pos="453.60pt"/>
      </w:tabs>
      <w:suppressAutoHyphens/>
      <w:spacing w:after="3pt" w:line="12pt" w:lineRule="auto"/>
      <w:ind w:start="127.60pt" w:hanging="14.20pt"/>
    </w:pPr>
    <w:rPr>
      <w:rFonts w:ascii="Garamond" w:eastAsia="Times New Roman" w:hAnsi="Garamond" w:cs="Times New Roman"/>
      <w:szCs w:val="24"/>
      <w:lang w:val="en-GB"/>
    </w:rPr>
  </w:style>
  <w:style w:type="character" w:customStyle="1" w:styleId="EncabezadoCar1">
    <w:name w:val="Encabezado Car1"/>
    <w:aliases w:val="Header/Footer Car1,encabezado Car1,header odd Car1,header odd1 Car1,header odd2 Car1,header odd3 Car1,header odd4 Car1,header odd5 Car1,header odd6 Car1"/>
    <w:basedOn w:val="Fuentedeprrafopredeter"/>
    <w:uiPriority w:val="99"/>
    <w:semiHidden/>
    <w:rsid w:val="00F85A8C"/>
    <w:rPr>
      <w:rFonts w:ascii="Calibri" w:eastAsia="Calibri" w:hAnsi="Calibri" w:cs="Times New Roman"/>
    </w:rPr>
  </w:style>
  <w:style w:type="paragraph" w:styleId="Textonotaalfinal">
    <w:name w:val="endnote text"/>
    <w:basedOn w:val="Normal"/>
    <w:link w:val="TextonotaalfinalCar"/>
    <w:uiPriority w:val="99"/>
    <w:semiHidden/>
    <w:unhideWhenUsed/>
    <w:rsid w:val="00A140D8"/>
    <w:pPr>
      <w:spacing w:line="12pt" w:lineRule="auto"/>
    </w:pPr>
    <w:rPr>
      <w:sz w:val="20"/>
      <w:szCs w:val="20"/>
    </w:rPr>
  </w:style>
  <w:style w:type="character" w:styleId="Nmerodelnea">
    <w:name w:val="line number"/>
    <w:basedOn w:val="Fuentedeprrafopredeter"/>
    <w:uiPriority w:val="99"/>
    <w:semiHidden/>
    <w:unhideWhenUsed/>
    <w:rsid w:val="00EF3D7D"/>
  </w:style>
  <w:style w:type="character" w:customStyle="1" w:styleId="TextonotapieCar">
    <w:name w:val="Texto nota pie Car"/>
    <w:aliases w:val="Ca Car,Footnote Text Char Car,Footnote Text Char Char1 Car,Footnote Text Char Char1 Char1 Char Char Car,Footnote Text Char1 Car,Footnote Text Char1 Char1 Char1 Char Car,Footnote Text Char1 Char1 Char1 Char Char Char1 Car,fn Car"/>
    <w:basedOn w:val="Fuentedeprrafopredeter"/>
    <w:link w:val="Textonotapie"/>
    <w:uiPriority w:val="99"/>
    <w:rsid w:val="00F645E5"/>
    <w:rPr>
      <w:rFonts w:ascii="Century Gothic" w:eastAsia="Calibri" w:hAnsi="Century Gothic" w:cs="Times New Roman"/>
      <w:sz w:val="18"/>
    </w:rPr>
  </w:style>
  <w:style w:type="paragraph" w:styleId="Mapadeldocumento">
    <w:name w:val="Document Map"/>
    <w:basedOn w:val="Normal"/>
    <w:link w:val="MapadeldocumentoCar"/>
    <w:uiPriority w:val="99"/>
    <w:unhideWhenUsed/>
    <w:rsid w:val="00A140D8"/>
    <w:pPr>
      <w:spacing w:line="12pt" w:lineRule="auto"/>
    </w:pPr>
    <w:rPr>
      <w:rFonts w:ascii="Lucida Grande" w:eastAsia="Calibri" w:hAnsi="Lucida Grande" w:cs="Lucida Grande"/>
      <w:sz w:val="24"/>
      <w:szCs w:val="24"/>
    </w:rPr>
  </w:style>
  <w:style w:type="character" w:customStyle="1" w:styleId="MapadeldocumentoCar">
    <w:name w:val="Mapa del documento Car"/>
    <w:basedOn w:val="Fuentedeprrafopredeter"/>
    <w:link w:val="Mapadeldocumento"/>
    <w:uiPriority w:val="99"/>
    <w:rsid w:val="00A140D8"/>
    <w:rPr>
      <w:rFonts w:ascii="Lucida Grande" w:eastAsia="Calibri" w:hAnsi="Lucida Grande" w:cs="Lucida Grande"/>
      <w:sz w:val="24"/>
      <w:szCs w:val="24"/>
    </w:rPr>
  </w:style>
  <w:style w:type="paragraph" w:customStyle="1" w:styleId="CITAIFTOFICIAL">
    <w:name w:val="CITA IFT OFICIAL"/>
    <w:basedOn w:val="Citaift"/>
    <w:link w:val="CITAIFTOFICIALCar"/>
    <w:qFormat/>
    <w:rsid w:val="007C2715"/>
    <w:pPr>
      <w:spacing w:after="10pt"/>
      <w:ind w:start="70.90pt"/>
    </w:pPr>
    <w:rPr>
      <w:rFonts w:eastAsia="Calibri"/>
      <w:sz w:val="20"/>
    </w:rPr>
  </w:style>
  <w:style w:type="table" w:customStyle="1" w:styleId="Sombreadomedio2-nfasis11">
    <w:name w:val="Sombreado medio 2 - Énfasis 11"/>
    <w:basedOn w:val="Tablanormal"/>
    <w:uiPriority w:val="64"/>
    <w:rsid w:val="00A140D8"/>
    <w:pPr>
      <w:spacing w:after="0pt" w:line="12pt"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pt" w:after="0pt" w:line="12pt" w:lineRule="auto"/>
      </w:pPr>
      <w:rPr>
        <w:b/>
        <w:bCs/>
        <w:color w:val="FFFFFF"/>
      </w:rPr>
      <w:tblPr/>
      <w:tcPr>
        <w:tcBorders>
          <w:top w:val="single" w:sz="18" w:space="0" w:color="auto"/>
          <w:start w:val="nil"/>
          <w:bottom w:val="single" w:sz="18" w:space="0" w:color="auto"/>
          <w:end w:val="nil"/>
          <w:insideH w:val="nil"/>
          <w:insideV w:val="nil"/>
        </w:tcBorders>
        <w:shd w:val="clear" w:color="auto" w:fill="4F81BD"/>
      </w:tcPr>
    </w:tblStylePr>
    <w:tblStylePr w:type="lastRow">
      <w:pPr>
        <w:spacing w:before="0pt" w:after="0pt" w:line="12pt" w:lineRule="auto"/>
      </w:pPr>
      <w:rPr>
        <w:color w:val="auto"/>
      </w:rPr>
      <w:tblPr/>
      <w:tcPr>
        <w:tcBorders>
          <w:top w:val="double" w:sz="6" w:space="0" w:color="auto"/>
          <w:start w:val="nil"/>
          <w:bottom w:val="single" w:sz="18" w:space="0" w:color="auto"/>
          <w:end w:val="nil"/>
          <w:insideH w:val="nil"/>
          <w:insideV w:val="nil"/>
        </w:tcBorders>
        <w:shd w:val="clear" w:color="auto" w:fill="FFFFFF"/>
      </w:tcPr>
    </w:tblStylePr>
    <w:tblStylePr w:type="firstCol">
      <w:rPr>
        <w:b/>
        <w:bCs/>
        <w:color w:val="FFFFFF"/>
      </w:rPr>
      <w:tblPr/>
      <w:tcPr>
        <w:tcBorders>
          <w:top w:val="nil"/>
          <w:start w:val="nil"/>
          <w:bottom w:val="single" w:sz="18" w:space="0" w:color="auto"/>
          <w:end w:val="nil"/>
          <w:insideH w:val="nil"/>
          <w:insideV w:val="nil"/>
        </w:tcBorders>
        <w:shd w:val="clear" w:color="auto" w:fill="4F81BD"/>
      </w:tcPr>
    </w:tblStylePr>
    <w:tblStylePr w:type="lastCol">
      <w:rPr>
        <w:b/>
        <w:bCs/>
        <w:color w:val="FFFFFF"/>
      </w:rPr>
      <w:tblPr/>
      <w:tcPr>
        <w:tcBorders>
          <w:start w:val="nil"/>
          <w:end w:val="nil"/>
          <w:insideH w:val="nil"/>
          <w:insideV w:val="nil"/>
        </w:tcBorders>
        <w:shd w:val="clear" w:color="auto" w:fill="4F81BD"/>
      </w:tcPr>
    </w:tblStylePr>
    <w:tblStylePr w:type="band1Vert">
      <w:tblPr/>
      <w:tcPr>
        <w:tcBorders>
          <w:start w:val="nil"/>
          <w:end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start w:val="nil"/>
          <w:bottom w:val="single" w:sz="18" w:space="0" w:color="auto"/>
          <w:end w:val="nil"/>
          <w:insideH w:val="nil"/>
          <w:insideV w:val="nil"/>
        </w:tcBorders>
      </w:tcPr>
    </w:tblStylePr>
    <w:tblStylePr w:type="nwCell">
      <w:rPr>
        <w:color w:val="FFFFFF"/>
      </w:rPr>
      <w:tblPr/>
      <w:tcPr>
        <w:tcBorders>
          <w:top w:val="single" w:sz="18" w:space="0" w:color="auto"/>
          <w:start w:val="nil"/>
          <w:bottom w:val="single" w:sz="18" w:space="0" w:color="auto"/>
          <w:end w:val="nil"/>
          <w:insideH w:val="nil"/>
          <w:insideV w:val="nil"/>
        </w:tcBorders>
      </w:tcPr>
    </w:tblStylePr>
  </w:style>
  <w:style w:type="character" w:customStyle="1" w:styleId="NombreConcesionarioCar">
    <w:name w:val="NombreConcesionario Car"/>
    <w:link w:val="NombreConcesionario"/>
    <w:rsid w:val="00A140D8"/>
    <w:rPr>
      <w:rFonts w:ascii="ITC Avant Garde" w:hAnsi="ITC Avant Garde" w:cs="Arial"/>
      <w:b/>
      <w:color w:val="000000"/>
      <w:lang w:val="es-ES" w:eastAsia="es-ES"/>
    </w:rPr>
  </w:style>
  <w:style w:type="paragraph" w:customStyle="1" w:styleId="TableText">
    <w:name w:val="Table_Text"/>
    <w:basedOn w:val="Normal"/>
    <w:uiPriority w:val="99"/>
    <w:rsid w:val="00277ED2"/>
    <w:pPr>
      <w:tabs>
        <w:tab w:val="start" w:pos="14.20pt"/>
        <w:tab w:val="start" w:pos="28.35pt"/>
        <w:tab w:val="start" w:pos="42.55pt"/>
        <w:tab w:val="start" w:pos="56.70pt"/>
        <w:tab w:val="start" w:pos="70.90pt"/>
        <w:tab w:val="start" w:pos="85.05pt"/>
        <w:tab w:val="start" w:pos="99.25pt"/>
        <w:tab w:val="start" w:pos="113.40pt"/>
        <w:tab w:val="start" w:pos="127.60pt"/>
        <w:tab w:val="start" w:pos="141.75pt"/>
        <w:tab w:val="start" w:pos="155.90pt"/>
        <w:tab w:val="start" w:pos="170.10pt"/>
        <w:tab w:val="start" w:pos="184.30pt"/>
        <w:tab w:val="start" w:pos="198.45pt"/>
      </w:tabs>
      <w:spacing w:before="2.85pt" w:after="2.85pt" w:line="12pt" w:lineRule="auto"/>
      <w:jc w:val="both"/>
    </w:pPr>
    <w:rPr>
      <w:rFonts w:ascii="Calibri" w:eastAsia="Times New Roman" w:hAnsi="Calibri" w:cs="Times New Roman"/>
      <w:sz w:val="24"/>
      <w:szCs w:val="24"/>
      <w:lang w:val="es-ES_tradnl" w:eastAsia="es-ES"/>
    </w:rPr>
  </w:style>
  <w:style w:type="paragraph" w:customStyle="1" w:styleId="iftnormal0">
    <w:name w:val="iftnormal"/>
    <w:basedOn w:val="Normal"/>
    <w:rsid w:val="00A140D8"/>
    <w:pPr>
      <w:spacing w:before="5pt" w:beforeAutospacing="1" w:after="5pt" w:afterAutospacing="1" w:line="12pt" w:lineRule="auto"/>
    </w:pPr>
    <w:rPr>
      <w:rFonts w:ascii="Times New Roman" w:hAnsi="Times New Roman" w:cs="Times New Roman"/>
      <w:sz w:val="24"/>
      <w:szCs w:val="24"/>
      <w:lang w:eastAsia="es-MX"/>
    </w:rPr>
  </w:style>
  <w:style w:type="paragraph" w:styleId="Lista2">
    <w:name w:val="List 2"/>
    <w:basedOn w:val="Normal"/>
    <w:rsid w:val="000B5AAD"/>
    <w:pPr>
      <w:spacing w:line="12pt" w:lineRule="auto"/>
      <w:ind w:start="28.30pt" w:hanging="14.15pt"/>
    </w:pPr>
    <w:rPr>
      <w:rFonts w:ascii="Times New Roman" w:eastAsia="Times New Roman" w:hAnsi="Times New Roman" w:cs="Times New Roman"/>
      <w:sz w:val="24"/>
      <w:szCs w:val="24"/>
      <w:lang w:val="es-ES" w:eastAsia="es-ES"/>
    </w:rPr>
  </w:style>
  <w:style w:type="paragraph" w:customStyle="1" w:styleId="Texto0">
    <w:name w:val="Texto"/>
    <w:basedOn w:val="Normal"/>
    <w:link w:val="TextoCar"/>
    <w:uiPriority w:val="99"/>
    <w:rsid w:val="00A140D8"/>
    <w:pPr>
      <w:spacing w:after="5.05pt" w:line="10.80pt" w:lineRule="exact"/>
      <w:ind w:firstLine="14.40pt"/>
      <w:jc w:val="both"/>
    </w:pPr>
    <w:rPr>
      <w:rFonts w:eastAsia="Times New Roman" w:cs="Arial"/>
      <w:sz w:val="18"/>
      <w:szCs w:val="20"/>
      <w:lang w:val="es-ES" w:eastAsia="es-ES"/>
    </w:rPr>
  </w:style>
  <w:style w:type="character" w:customStyle="1" w:styleId="Textoindependienteprimerasangra2Car">
    <w:name w:val="Texto independiente primera sangría 2 Car"/>
    <w:basedOn w:val="SangradetextonormalCar"/>
    <w:link w:val="Textoindependienteprimerasangra2"/>
    <w:rsid w:val="000B5AAD"/>
    <w:rPr>
      <w:rFonts w:ascii="Times New Roman" w:eastAsia="Times New Roman" w:hAnsi="Times New Roman" w:cs="Times New Roman"/>
      <w:sz w:val="24"/>
      <w:szCs w:val="24"/>
      <w:lang w:val="es-ES" w:eastAsia="es-ES"/>
    </w:rPr>
  </w:style>
  <w:style w:type="character" w:customStyle="1" w:styleId="TextoCar">
    <w:name w:val="Texto Car"/>
    <w:link w:val="Texto0"/>
    <w:uiPriority w:val="99"/>
    <w:locked/>
    <w:rsid w:val="00A140D8"/>
    <w:rPr>
      <w:rFonts w:ascii="Arial" w:eastAsia="Times New Roman" w:hAnsi="Arial" w:cs="Arial"/>
      <w:sz w:val="18"/>
      <w:szCs w:val="20"/>
      <w:lang w:val="es-ES" w:eastAsia="es-ES"/>
    </w:rPr>
  </w:style>
  <w:style w:type="paragraph" w:customStyle="1" w:styleId="z">
    <w:name w:val="z"/>
    <w:basedOn w:val="Normal"/>
    <w:link w:val="zCar"/>
    <w:qFormat/>
    <w:rsid w:val="00A140D8"/>
    <w:pPr>
      <w:spacing w:after="10pt"/>
      <w:jc w:val="both"/>
    </w:pPr>
    <w:rPr>
      <w:rFonts w:ascii="ITC Avant Garde" w:eastAsia="Times New Roman" w:hAnsi="ITC Avant Garde" w:cs="Times New Roman"/>
      <w:iCs/>
    </w:rPr>
  </w:style>
  <w:style w:type="paragraph" w:customStyle="1" w:styleId="Figuretitle">
    <w:name w:val="Figure_title"/>
    <w:basedOn w:val="TableTitle"/>
    <w:next w:val="Normal"/>
    <w:uiPriority w:val="99"/>
    <w:rsid w:val="00277ED2"/>
    <w:pPr>
      <w:keepNext w:val="0"/>
      <w:keepLines/>
      <w:overflowPunct w:val="0"/>
      <w:autoSpaceDE w:val="0"/>
      <w:autoSpaceDN w:val="0"/>
      <w:adjustRightInd w:val="0"/>
      <w:spacing w:before="6pt" w:after="24pt"/>
      <w:textAlignment w:val="baseline"/>
    </w:pPr>
    <w:rPr>
      <w:rFonts w:ascii="Times New Roman" w:hAnsi="Times New Roman"/>
      <w:lang w:val="es-ES"/>
    </w:rPr>
  </w:style>
  <w:style w:type="paragraph" w:customStyle="1" w:styleId="j">
    <w:name w:val="j"/>
    <w:basedOn w:val="Normal"/>
    <w:rsid w:val="007C2715"/>
    <w:pPr>
      <w:spacing w:before="5pt" w:beforeAutospacing="1" w:after="5pt" w:afterAutospacing="1" w:line="12pt" w:lineRule="auto"/>
    </w:pPr>
    <w:rPr>
      <w:rFonts w:ascii="Times New Roman" w:eastAsia="Times New Roman" w:hAnsi="Times New Roman" w:cs="Times New Roman"/>
      <w:sz w:val="24"/>
      <w:szCs w:val="24"/>
      <w:lang w:val="en-GB" w:eastAsia="en-GB"/>
    </w:rPr>
  </w:style>
  <w:style w:type="character" w:customStyle="1" w:styleId="zCar">
    <w:name w:val="z Car"/>
    <w:link w:val="z"/>
    <w:rsid w:val="00A140D8"/>
    <w:rPr>
      <w:rFonts w:ascii="ITC Avant Garde" w:eastAsia="Times New Roman" w:hAnsi="ITC Avant Garde" w:cs="Times New Roman"/>
      <w:iCs/>
    </w:rPr>
  </w:style>
  <w:style w:type="table" w:customStyle="1" w:styleId="Tabladecuadrcula4-nfasis121">
    <w:name w:val="Tabla de cuadrícula 4 - Énfasis 121"/>
    <w:basedOn w:val="Tablanormal"/>
    <w:uiPriority w:val="49"/>
    <w:rsid w:val="00F85A8C"/>
    <w:pPr>
      <w:spacing w:after="0pt" w:line="12pt" w:lineRule="auto"/>
    </w:pPr>
    <w:rPr>
      <w:rFonts w:ascii="Calibri" w:eastAsia="Calibri" w:hAnsi="Calibri" w:cs="Calibri"/>
      <w:sz w:val="20"/>
      <w:szCs w:val="20"/>
      <w:lang w:eastAsia="es-MX"/>
    </w:rPr>
    <w:tblPr/>
    <w:tblStylePr w:type="band1Horz">
      <w:tblPr/>
      <w:tcPr>
        <w:shd w:val="clear" w:color="auto" w:fill="DEEAF6"/>
      </w:tcPr>
    </w:tblStylePr>
  </w:style>
  <w:style w:type="paragraph" w:customStyle="1" w:styleId="Default">
    <w:name w:val="Default"/>
    <w:uiPriority w:val="99"/>
    <w:rsid w:val="00A140D8"/>
    <w:pPr>
      <w:autoSpaceDE w:val="0"/>
      <w:autoSpaceDN w:val="0"/>
      <w:adjustRightInd w:val="0"/>
      <w:spacing w:after="0pt" w:line="12pt" w:lineRule="auto"/>
    </w:pPr>
    <w:rPr>
      <w:rFonts w:ascii="ITC Avant Garde" w:hAnsi="ITC Avant Garde" w:cs="ITC Avant Garde"/>
      <w:color w:val="000000"/>
      <w:sz w:val="24"/>
      <w:szCs w:val="24"/>
    </w:rPr>
  </w:style>
  <w:style w:type="paragraph" w:customStyle="1" w:styleId="Lsegunda">
    <w:name w:val="L. segunda"/>
    <w:basedOn w:val="IFTnormal"/>
    <w:link w:val="LsegundaCar"/>
    <w:qFormat/>
    <w:rsid w:val="000B5AAD"/>
    <w:pPr>
      <w:numPr>
        <w:numId w:val="33"/>
      </w:numPr>
      <w:spacing w:after="10pt"/>
    </w:pPr>
    <w:rPr>
      <w:rFonts w:cs="Calibri"/>
      <w:bCs/>
    </w:rPr>
  </w:style>
  <w:style w:type="paragraph" w:styleId="Textoindependiente3">
    <w:name w:val="Body Text 3"/>
    <w:basedOn w:val="Normal"/>
    <w:link w:val="Textoindependiente3Car"/>
    <w:uiPriority w:val="99"/>
    <w:unhideWhenUsed/>
    <w:rsid w:val="00A140D8"/>
    <w:pPr>
      <w:spacing w:after="6pt"/>
    </w:pPr>
    <w:rPr>
      <w:rFonts w:ascii="Calibri" w:eastAsia="Calibri" w:hAnsi="Calibri" w:cs="Times New Roman"/>
      <w:sz w:val="16"/>
      <w:szCs w:val="16"/>
    </w:rPr>
  </w:style>
  <w:style w:type="character" w:customStyle="1" w:styleId="Textoindependiente3Car">
    <w:name w:val="Texto independiente 3 Car"/>
    <w:basedOn w:val="Fuentedeprrafopredeter"/>
    <w:link w:val="Textoindependiente3"/>
    <w:uiPriority w:val="99"/>
    <w:rsid w:val="00A140D8"/>
    <w:rPr>
      <w:rFonts w:ascii="Calibri" w:eastAsia="Calibri" w:hAnsi="Calibri" w:cs="Times New Roman"/>
      <w:sz w:val="16"/>
      <w:szCs w:val="16"/>
    </w:rPr>
  </w:style>
  <w:style w:type="character" w:customStyle="1" w:styleId="IFTletCar">
    <w:name w:val="IFT let Car"/>
    <w:basedOn w:val="Fuentedeprrafopredeter"/>
    <w:link w:val="IFTlet"/>
    <w:rsid w:val="00F541FC"/>
    <w:rPr>
      <w:rFonts w:ascii="Arial" w:eastAsia="Times New Roman" w:hAnsi="Arial" w:cs="Arial"/>
    </w:rPr>
  </w:style>
  <w:style w:type="paragraph" w:customStyle="1" w:styleId="Listabcdoublelinewide">
    <w:name w:val="List abc double line (wide)"/>
    <w:uiPriority w:val="99"/>
    <w:rsid w:val="00277ED2"/>
    <w:pPr>
      <w:spacing w:before="11pt" w:after="0pt" w:line="12pt" w:lineRule="auto"/>
      <w:ind w:start="36pt" w:hanging="18pt"/>
    </w:pPr>
    <w:rPr>
      <w:rFonts w:ascii="Arial" w:eastAsia="Times New Roman" w:hAnsi="Arial" w:cs="Times New Roman"/>
      <w:szCs w:val="24"/>
      <w:lang w:val="en-US"/>
    </w:rPr>
  </w:style>
  <w:style w:type="paragraph" w:customStyle="1" w:styleId="RQST">
    <w:name w:val="RQST"/>
    <w:basedOn w:val="IFTnormal"/>
    <w:rsid w:val="00A140D8"/>
    <w:pPr>
      <w:widowControl w:val="0"/>
      <w:tabs>
        <w:tab w:val="start" w:pos="21.25pt"/>
      </w:tabs>
      <w:adjustRightInd w:val="0"/>
      <w:ind w:start="54pt" w:hanging="18pt"/>
    </w:pPr>
    <w:rPr>
      <w:rFonts w:eastAsia="Times New Roman"/>
      <w:bCs/>
      <w:color w:val="auto"/>
    </w:rPr>
  </w:style>
  <w:style w:type="character" w:styleId="nfasis">
    <w:name w:val="Emphasis"/>
    <w:aliases w:val="Título 4 (1.1.1)"/>
    <w:uiPriority w:val="20"/>
    <w:qFormat/>
    <w:rsid w:val="00A140D8"/>
    <w:rPr>
      <w:rFonts w:ascii="Arial" w:eastAsia="Times New Roman" w:hAnsi="Arial" w:cs="Times New Roman"/>
      <w:b w:val="0"/>
      <w:bCs/>
      <w:caps w:val="0"/>
      <w:smallCaps w:val="0"/>
      <w:strike w:val="0"/>
      <w:dstrike w:val="0"/>
      <w:vanish w:val="0"/>
      <w:color w:val="auto"/>
      <w:sz w:val="22"/>
      <w:szCs w:val="28"/>
      <w:u w:val="single"/>
      <w:vertAlign w:val="baseline"/>
      <w:lang w:val="es-MX"/>
    </w:rPr>
  </w:style>
  <w:style w:type="character" w:customStyle="1" w:styleId="PuestoCar">
    <w:name w:val="Puesto Car"/>
    <w:basedOn w:val="Fuentedeprrafopredeter"/>
    <w:link w:val="Puesto"/>
    <w:uiPriority w:val="99"/>
    <w:rsid w:val="00A140D8"/>
    <w:rPr>
      <w:rFonts w:asciiTheme="majorHAnsi" w:eastAsiaTheme="majorEastAsia" w:hAnsiTheme="majorHAnsi" w:cstheme="majorBidi"/>
      <w:spacing w:val="-10"/>
      <w:kern w:val="28"/>
      <w:sz w:val="56"/>
      <w:szCs w:val="56"/>
    </w:rPr>
  </w:style>
  <w:style w:type="paragraph" w:customStyle="1" w:styleId="ecxmsonormal">
    <w:name w:val="ecxmsonormal"/>
    <w:basedOn w:val="Normal"/>
    <w:uiPriority w:val="99"/>
    <w:rsid w:val="00A140D8"/>
    <w:pPr>
      <w:spacing w:after="16.20pt"/>
      <w:jc w:val="both"/>
    </w:pPr>
    <w:rPr>
      <w:rFonts w:eastAsia="Calibri" w:cs="Arial"/>
    </w:rPr>
  </w:style>
  <w:style w:type="table" w:customStyle="1" w:styleId="Tablaclsica31">
    <w:name w:val="Tabla clásica 31"/>
    <w:basedOn w:val="Tablanormal"/>
    <w:next w:val="Tablaclsica3"/>
    <w:rsid w:val="007C2715"/>
    <w:pPr>
      <w:spacing w:after="0pt" w:line="12pt" w:lineRule="auto"/>
      <w:jc w:val="both"/>
    </w:pPr>
    <w:rPr>
      <w:rFonts w:ascii="Times New Roman" w:eastAsia="Times New Roman" w:hAnsi="Times New Roman" w:cs="Times New Roman"/>
      <w:color w:val="000080"/>
      <w:sz w:val="20"/>
      <w:szCs w:val="20"/>
      <w:lang w:eastAsia="es-ES"/>
    </w:rPr>
    <w:tblPr>
      <w:tblBorders>
        <w:top w:val="single" w:sz="12" w:space="0" w:color="000000"/>
        <w:start w:val="single" w:sz="12" w:space="0" w:color="000000"/>
        <w:bottom w:val="single" w:sz="12" w:space="0" w:color="000000"/>
        <w:end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paragraph" w:customStyle="1" w:styleId="03TitPrin">
    <w:name w:val="03TitPrin"/>
    <w:basedOn w:val="Niv3C4"/>
    <w:next w:val="Niv3C4"/>
    <w:link w:val="03TitPrinCar"/>
    <w:qFormat/>
    <w:rsid w:val="00A140D8"/>
    <w:pPr>
      <w:tabs>
        <w:tab w:val="start" w:pos="49.60pt"/>
        <w:tab w:val="start" w:pos="63.80pt"/>
      </w:tabs>
      <w:spacing w:before="6pt"/>
      <w:ind w:start="32.40pt"/>
      <w:jc w:val="start"/>
    </w:pPr>
  </w:style>
  <w:style w:type="paragraph" w:customStyle="1" w:styleId="LosOdioAtodos">
    <w:name w:val="LosOdioAtodos"/>
    <w:basedOn w:val="Niv3C4"/>
    <w:link w:val="LosOdioAtodosCar"/>
    <w:qFormat/>
    <w:rsid w:val="00A140D8"/>
    <w:pPr>
      <w:tabs>
        <w:tab w:val="start" w:pos="42.55pt"/>
        <w:tab w:val="start" w:pos="63.80pt"/>
      </w:tabs>
      <w:outlineLvl w:val="2"/>
    </w:pPr>
  </w:style>
  <w:style w:type="character" w:customStyle="1" w:styleId="03TitPrinCar">
    <w:name w:val="03TitPrin Car"/>
    <w:basedOn w:val="Niv3C4Car"/>
    <w:link w:val="03TitPrin"/>
    <w:rsid w:val="00A140D8"/>
    <w:rPr>
      <w:rFonts w:ascii="ITC Avant Garde" w:eastAsia="Calibri" w:hAnsi="ITC Avant Garde" w:cs="Times New Roman"/>
      <w:b/>
    </w:rPr>
  </w:style>
  <w:style w:type="paragraph" w:styleId="TDC1">
    <w:name w:val="toc 1"/>
    <w:basedOn w:val="Normal"/>
    <w:next w:val="Normal"/>
    <w:autoRedefine/>
    <w:uiPriority w:val="39"/>
    <w:unhideWhenUsed/>
    <w:rsid w:val="002E3864"/>
    <w:pPr>
      <w:tabs>
        <w:tab w:val="end" w:leader="dot" w:pos="469.70pt"/>
      </w:tabs>
      <w:spacing w:after="5pt"/>
      <w:jc w:val="center"/>
    </w:pPr>
    <w:rPr>
      <w:rFonts w:ascii="Century Gothic" w:hAnsi="Century Gothic" w:cs="Arial"/>
      <w:b/>
    </w:rPr>
  </w:style>
  <w:style w:type="character" w:customStyle="1" w:styleId="Sangra3detindependienteCar">
    <w:name w:val="Sangría 3 de t. independiente Car"/>
    <w:basedOn w:val="Fuentedeprrafopredeter"/>
    <w:link w:val="Sangra3detindependiente"/>
    <w:uiPriority w:val="99"/>
    <w:rsid w:val="00277ED2"/>
    <w:rPr>
      <w:rFonts w:ascii="Calibri" w:eastAsia="Times New Roman" w:hAnsi="Calibri" w:cs="Times New Roman"/>
      <w:sz w:val="24"/>
      <w:szCs w:val="24"/>
      <w:lang w:val="es-ES_tradnl" w:eastAsia="es-ES"/>
    </w:rPr>
  </w:style>
  <w:style w:type="paragraph" w:styleId="TDC2">
    <w:name w:val="toc 2"/>
    <w:basedOn w:val="Normal"/>
    <w:next w:val="Normal"/>
    <w:autoRedefine/>
    <w:uiPriority w:val="39"/>
    <w:unhideWhenUsed/>
    <w:rsid w:val="00030CE9"/>
    <w:pPr>
      <w:tabs>
        <w:tab w:val="end" w:leader="dot" w:pos="469.70pt"/>
      </w:tabs>
      <w:spacing w:after="5pt"/>
      <w:ind w:start="11pt"/>
    </w:pPr>
    <w:rPr>
      <w:rFonts w:ascii="Century Gothic" w:eastAsia="Calibri" w:hAnsi="Century Gothic"/>
      <w:noProof/>
    </w:rPr>
  </w:style>
  <w:style w:type="paragraph" w:styleId="TDC3">
    <w:name w:val="toc 3"/>
    <w:basedOn w:val="Normal"/>
    <w:next w:val="Normal"/>
    <w:autoRedefine/>
    <w:uiPriority w:val="39"/>
    <w:unhideWhenUsed/>
    <w:rsid w:val="0098707A"/>
    <w:pPr>
      <w:tabs>
        <w:tab w:val="start" w:pos="77pt"/>
        <w:tab w:val="end" w:leader="dot" w:pos="441.40pt"/>
      </w:tabs>
      <w:spacing w:after="5pt"/>
      <w:ind w:start="22pt" w:end="2.40pt"/>
      <w:jc w:val="both"/>
    </w:pPr>
  </w:style>
  <w:style w:type="paragraph" w:customStyle="1" w:styleId="DIDCAP">
    <w:name w:val="DID CAP"/>
    <w:basedOn w:val="Normal"/>
    <w:link w:val="DIDCAPCar"/>
    <w:rsid w:val="00A140D8"/>
    <w:pPr>
      <w:spacing w:line="12pt" w:lineRule="auto"/>
      <w:jc w:val="both"/>
    </w:pPr>
    <w:rPr>
      <w:rFonts w:eastAsia="Times New Roman" w:cs="Times New Roman"/>
      <w:b/>
      <w:sz w:val="32"/>
      <w:szCs w:val="24"/>
      <w:lang w:val="es-ES_tradnl" w:eastAsia="es-ES"/>
    </w:rPr>
  </w:style>
  <w:style w:type="paragraph" w:customStyle="1" w:styleId="Titulo4PEETT">
    <w:name w:val="Titulo 4 PEETT"/>
    <w:basedOn w:val="Normal"/>
    <w:autoRedefine/>
    <w:uiPriority w:val="99"/>
    <w:rsid w:val="00277ED2"/>
    <w:pPr>
      <w:overflowPunct w:val="0"/>
      <w:autoSpaceDE w:val="0"/>
      <w:autoSpaceDN w:val="0"/>
      <w:adjustRightInd w:val="0"/>
      <w:spacing w:line="12pt" w:lineRule="auto"/>
      <w:jc w:val="both"/>
      <w:textAlignment w:val="baseline"/>
    </w:pPr>
    <w:rPr>
      <w:rFonts w:ascii="Calibri" w:eastAsia="Times New Roman" w:hAnsi="Calibri" w:cs="Arial"/>
      <w:sz w:val="24"/>
      <w:szCs w:val="24"/>
      <w:lang w:eastAsia="es-ES"/>
    </w:rPr>
  </w:style>
  <w:style w:type="table" w:customStyle="1" w:styleId="Listaclara-nfasis11">
    <w:name w:val="Lista clara - Énfasis 11"/>
    <w:basedOn w:val="Tablanormal"/>
    <w:uiPriority w:val="61"/>
    <w:rsid w:val="00277ED2"/>
    <w:pPr>
      <w:spacing w:after="0pt" w:line="12pt" w:lineRule="auto"/>
    </w:pPr>
    <w:rPr>
      <w:rFonts w:eastAsiaTheme="minorEastAsia"/>
      <w:lang w:eastAsia="es-MX"/>
    </w:rPr>
    <w:tblPr>
      <w:tblStyleRowBandSize w:val="1"/>
      <w:tblStyleColBandSize w:val="1"/>
      <w:tblBorders>
        <w:top w:val="single" w:sz="8" w:space="0" w:color="5B9BD5" w:themeColor="accent1"/>
        <w:start w:val="single" w:sz="8" w:space="0" w:color="5B9BD5" w:themeColor="accent1"/>
        <w:bottom w:val="single" w:sz="8" w:space="0" w:color="5B9BD5" w:themeColor="accent1"/>
        <w:end w:val="single" w:sz="8" w:space="0" w:color="5B9BD5" w:themeColor="accent1"/>
      </w:tblBorders>
    </w:tblPr>
    <w:tblStylePr w:type="firstRow">
      <w:pPr>
        <w:spacing w:before="0pt" w:after="0pt" w:line="12pt" w:lineRule="auto"/>
      </w:pPr>
      <w:rPr>
        <w:b/>
        <w:bCs/>
        <w:color w:val="FFFFFF" w:themeColor="background1"/>
      </w:rPr>
      <w:tblPr/>
      <w:tcPr>
        <w:shd w:val="clear" w:color="auto" w:fill="5B9BD5" w:themeFill="accent1"/>
      </w:tcPr>
    </w:tblStylePr>
    <w:tblStylePr w:type="lastRow">
      <w:pPr>
        <w:spacing w:before="0pt" w:after="0pt" w:line="12pt" w:lineRule="auto"/>
      </w:pPr>
      <w:rPr>
        <w:b/>
        <w:bCs/>
      </w:rPr>
      <w:tblPr/>
      <w:tcPr>
        <w:tcBorders>
          <w:top w:val="double" w:sz="6" w:space="0" w:color="5B9BD5" w:themeColor="accent1"/>
          <w:start w:val="single" w:sz="8" w:space="0" w:color="5B9BD5" w:themeColor="accent1"/>
          <w:bottom w:val="single" w:sz="8" w:space="0" w:color="5B9BD5" w:themeColor="accent1"/>
          <w:end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start w:val="single" w:sz="8" w:space="0" w:color="5B9BD5" w:themeColor="accent1"/>
          <w:bottom w:val="single" w:sz="8" w:space="0" w:color="5B9BD5" w:themeColor="accent1"/>
          <w:end w:val="single" w:sz="8" w:space="0" w:color="5B9BD5" w:themeColor="accent1"/>
        </w:tcBorders>
      </w:tcPr>
    </w:tblStylePr>
    <w:tblStylePr w:type="band1Horz">
      <w:tblPr/>
      <w:tcPr>
        <w:tcBorders>
          <w:top w:val="single" w:sz="8" w:space="0" w:color="5B9BD5" w:themeColor="accent1"/>
          <w:start w:val="single" w:sz="8" w:space="0" w:color="5B9BD5" w:themeColor="accent1"/>
          <w:bottom w:val="single" w:sz="8" w:space="0" w:color="5B9BD5" w:themeColor="accent1"/>
          <w:end w:val="single" w:sz="8" w:space="0" w:color="5B9BD5" w:themeColor="accent1"/>
        </w:tcBorders>
      </w:tcPr>
    </w:tblStylePr>
  </w:style>
  <w:style w:type="character" w:customStyle="1" w:styleId="TextonotapieCar1">
    <w:name w:val="Texto nota pie Car1"/>
    <w:aliases w:val="Footnote Text Char Char1 Car1,Footnote Text Char Char1 Char1 Char Char Car1,Footnote Text Char1 Car1,Footnote Text Char1 Char1 Char1 Char Car1,Footnote Text Char1 Char1 Char1 Char Char Char1 Car1,Footnote Text Char4 Char Char Car1"/>
    <w:basedOn w:val="Fuentedeprrafopredeter"/>
    <w:uiPriority w:val="99"/>
    <w:semiHidden/>
    <w:rsid w:val="00F85A8C"/>
    <w:rPr>
      <w:rFonts w:ascii="Calibri" w:eastAsia="Calibri" w:hAnsi="Calibri" w:cs="Times New Roman"/>
      <w:sz w:val="20"/>
      <w:szCs w:val="20"/>
    </w:rPr>
  </w:style>
  <w:style w:type="paragraph" w:customStyle="1" w:styleId="5TitCin">
    <w:name w:val="5TitCin"/>
    <w:basedOn w:val="4TitCuar"/>
    <w:link w:val="5TitCinCar"/>
    <w:qFormat/>
    <w:rsid w:val="00FC729C"/>
    <w:pPr>
      <w:ind w:start="85.05pt" w:hanging="85.05pt"/>
      <w:outlineLvl w:val="3"/>
    </w:pPr>
  </w:style>
  <w:style w:type="paragraph" w:customStyle="1" w:styleId="Texto2">
    <w:name w:val="Texto 2"/>
    <w:basedOn w:val="Normal"/>
    <w:uiPriority w:val="99"/>
    <w:rsid w:val="00277ED2"/>
    <w:pPr>
      <w:spacing w:line="12pt" w:lineRule="auto"/>
      <w:ind w:start="22.70pt"/>
      <w:jc w:val="both"/>
    </w:pPr>
    <w:rPr>
      <w:rFonts w:ascii="Calibri" w:eastAsia="Times New Roman" w:hAnsi="Calibri" w:cs="Times New Roman"/>
      <w:sz w:val="24"/>
      <w:szCs w:val="24"/>
      <w:lang w:eastAsia="es-ES"/>
    </w:rPr>
  </w:style>
  <w:style w:type="paragraph" w:customStyle="1" w:styleId="RIFT">
    <w:name w:val="R_IFT"/>
    <w:basedOn w:val="Ttulo2"/>
    <w:link w:val="RIFTCar"/>
    <w:qFormat/>
    <w:rsid w:val="00A140D8"/>
  </w:style>
  <w:style w:type="character" w:customStyle="1" w:styleId="RIFTCar">
    <w:name w:val="R_IFT Car"/>
    <w:basedOn w:val="Ttulo2Car"/>
    <w:link w:val="RIFT"/>
    <w:rsid w:val="00A140D8"/>
    <w:rPr>
      <w:rFonts w:ascii="ITC Avant Garde" w:eastAsia="Times New Roman" w:hAnsi="ITC Avant Garde" w:cs="Arial"/>
      <w:b/>
      <w:bCs/>
    </w:rPr>
  </w:style>
  <w:style w:type="paragraph" w:customStyle="1" w:styleId="aaa7333">
    <w:name w:val="aaa 7.3.3.3"/>
    <w:basedOn w:val="Normal"/>
    <w:autoRedefine/>
    <w:rsid w:val="007C2715"/>
    <w:pPr>
      <w:numPr>
        <w:ilvl w:val="3"/>
        <w:numId w:val="34"/>
      </w:numPr>
      <w:spacing w:before="12pt" w:after="12pt"/>
      <w:ind w:start="42.55pt" w:hanging="43.65pt"/>
      <w:jc w:val="both"/>
      <w:outlineLvl w:val="4"/>
    </w:pPr>
    <w:rPr>
      <w:rFonts w:eastAsia="Times New Roman" w:cs="Arial"/>
      <w:b/>
      <w:iCs/>
    </w:rPr>
  </w:style>
  <w:style w:type="paragraph" w:customStyle="1" w:styleId="R2N4C4">
    <w:name w:val="R2N4C4"/>
    <w:basedOn w:val="4TitCuar"/>
    <w:link w:val="R2N4C4Car"/>
    <w:rsid w:val="00A140D8"/>
    <w:pPr>
      <w:outlineLvl w:val="3"/>
    </w:pPr>
  </w:style>
  <w:style w:type="paragraph" w:customStyle="1" w:styleId="3TitTer">
    <w:name w:val="3TitTer"/>
    <w:basedOn w:val="Niv2C4"/>
    <w:link w:val="3TitTerCar"/>
    <w:qFormat/>
    <w:rsid w:val="005C4354"/>
    <w:pPr>
      <w:ind w:start="0pt" w:firstLine="0pt"/>
      <w:outlineLvl w:val="1"/>
    </w:pPr>
    <w:rPr>
      <w:rFonts w:ascii="Arial" w:hAnsi="Arial"/>
    </w:rPr>
  </w:style>
  <w:style w:type="paragraph" w:customStyle="1" w:styleId="01TitPrin">
    <w:name w:val="01TitPrin"/>
    <w:basedOn w:val="Ttulo1"/>
    <w:link w:val="01TitPrinCar"/>
    <w:qFormat/>
    <w:rsid w:val="00A140D8"/>
  </w:style>
  <w:style w:type="character" w:customStyle="1" w:styleId="Niv2C4Car">
    <w:name w:val="Niv2C4 Car"/>
    <w:basedOn w:val="SubttuloCar"/>
    <w:link w:val="Niv2C4"/>
    <w:rsid w:val="00A140D8"/>
    <w:rPr>
      <w:rFonts w:ascii="ITC Avant Garde" w:eastAsia="Calibri" w:hAnsi="ITC Avant Garde" w:cs="Times New Roman"/>
      <w:b/>
    </w:rPr>
  </w:style>
  <w:style w:type="character" w:customStyle="1" w:styleId="3TitTerCar">
    <w:name w:val="3TitTer Car"/>
    <w:basedOn w:val="Niv2C4Car"/>
    <w:link w:val="3TitTer"/>
    <w:rsid w:val="00A140D8"/>
    <w:rPr>
      <w:rFonts w:ascii="Arial" w:eastAsia="Calibri" w:hAnsi="Arial" w:cs="Times New Roman"/>
      <w:b/>
    </w:rPr>
  </w:style>
  <w:style w:type="character" w:customStyle="1" w:styleId="01TitPrinCar">
    <w:name w:val="01TitPrin Car"/>
    <w:link w:val="01TitPrin"/>
    <w:rsid w:val="00A140D8"/>
    <w:rPr>
      <w:rFonts w:ascii="ITC Avant Garde" w:eastAsia="Calibri" w:hAnsi="ITC Avant Garde" w:cs="Arial"/>
      <w:b/>
      <w:color w:val="000000"/>
      <w:lang w:val="es-ES" w:eastAsia="es-ES"/>
    </w:rPr>
  </w:style>
  <w:style w:type="paragraph" w:customStyle="1" w:styleId="CM21">
    <w:name w:val="CM21"/>
    <w:basedOn w:val="Default"/>
    <w:next w:val="Default"/>
    <w:uiPriority w:val="99"/>
    <w:rsid w:val="00277ED2"/>
    <w:pPr>
      <w:widowControl w:val="0"/>
      <w:spacing w:after="25.90pt"/>
    </w:pPr>
    <w:rPr>
      <w:rFonts w:ascii="Times New Roman" w:eastAsia="Times New Roman" w:hAnsi="Times New Roman" w:cs="Times New Roman"/>
      <w:color w:val="auto"/>
      <w:lang w:val="es-ES" w:eastAsia="es-ES"/>
    </w:rPr>
  </w:style>
  <w:style w:type="paragraph" w:styleId="TDC4">
    <w:name w:val="toc 4"/>
    <w:basedOn w:val="Normal"/>
    <w:next w:val="Normal"/>
    <w:autoRedefine/>
    <w:uiPriority w:val="39"/>
    <w:unhideWhenUsed/>
    <w:rsid w:val="00A140D8"/>
    <w:pPr>
      <w:spacing w:after="5pt"/>
      <w:ind w:start="33pt"/>
    </w:pPr>
  </w:style>
  <w:style w:type="paragraph" w:customStyle="1" w:styleId="N1IFT">
    <w:name w:val="N1 IFT"/>
    <w:basedOn w:val="Ttulo1"/>
    <w:link w:val="N1IFTCar"/>
    <w:qFormat/>
    <w:rsid w:val="00A140D8"/>
  </w:style>
  <w:style w:type="paragraph" w:customStyle="1" w:styleId="Titulo3--">
    <w:name w:val="Titulo 3 +--"/>
    <w:basedOn w:val="Normal"/>
    <w:next w:val="Normal"/>
    <w:uiPriority w:val="99"/>
    <w:rsid w:val="00A140D8"/>
    <w:pPr>
      <w:tabs>
        <w:tab w:val="num" w:pos="72pt"/>
      </w:tabs>
      <w:spacing w:line="12pt" w:lineRule="auto"/>
      <w:ind w:start="42.55pt" w:hanging="28.35pt"/>
      <w:outlineLvl w:val="2"/>
    </w:pPr>
    <w:rPr>
      <w:rFonts w:eastAsia="Times New Roman" w:cs="Arial"/>
      <w:lang w:eastAsia="es-ES"/>
    </w:rPr>
  </w:style>
  <w:style w:type="paragraph" w:customStyle="1" w:styleId="T2IFT">
    <w:name w:val="T2 IFT"/>
    <w:basedOn w:val="Niv2C4"/>
    <w:link w:val="T2IFTCar"/>
    <w:qFormat/>
    <w:rsid w:val="00A140D8"/>
    <w:pPr>
      <w:jc w:val="start"/>
      <w:outlineLvl w:val="1"/>
    </w:pPr>
  </w:style>
  <w:style w:type="paragraph" w:customStyle="1" w:styleId="ndice">
    <w:name w:val="Índice"/>
    <w:basedOn w:val="Normal"/>
    <w:uiPriority w:val="99"/>
    <w:rsid w:val="006306A8"/>
    <w:pPr>
      <w:suppressLineNumbers/>
      <w:suppressAutoHyphens/>
      <w:spacing w:line="12pt" w:lineRule="auto"/>
      <w:jc w:val="both"/>
    </w:pPr>
    <w:rPr>
      <w:rFonts w:eastAsia="Times New Roman" w:cs="Arial Unicode MS"/>
      <w:sz w:val="24"/>
      <w:szCs w:val="24"/>
      <w:lang w:eastAsia="ar-SA"/>
    </w:rPr>
  </w:style>
  <w:style w:type="character" w:customStyle="1" w:styleId="TablenumberChar">
    <w:name w:val="Table number Char"/>
    <w:basedOn w:val="TabletextChar"/>
    <w:link w:val="Tablenumber"/>
    <w:locked/>
    <w:rsid w:val="007C2715"/>
    <w:rPr>
      <w:rFonts w:ascii="Arial" w:eastAsia="PMingLiU" w:hAnsi="Arial" w:cs="Arial"/>
      <w:sz w:val="16"/>
      <w:szCs w:val="16"/>
      <w:lang w:val="en-GB" w:eastAsia="zh-TW"/>
    </w:rPr>
  </w:style>
  <w:style w:type="paragraph" w:styleId="TDC5">
    <w:name w:val="toc 5"/>
    <w:basedOn w:val="Normal"/>
    <w:next w:val="Normal"/>
    <w:autoRedefine/>
    <w:uiPriority w:val="39"/>
    <w:unhideWhenUsed/>
    <w:rsid w:val="00A140D8"/>
    <w:pPr>
      <w:spacing w:after="5pt"/>
      <w:ind w:start="44pt"/>
    </w:pPr>
    <w:rPr>
      <w:rFonts w:eastAsiaTheme="minorEastAsia"/>
      <w:lang w:val="en-US"/>
    </w:rPr>
  </w:style>
  <w:style w:type="paragraph" w:styleId="TDC7">
    <w:name w:val="toc 7"/>
    <w:basedOn w:val="Normal"/>
    <w:next w:val="Normal"/>
    <w:autoRedefine/>
    <w:uiPriority w:val="39"/>
    <w:unhideWhenUsed/>
    <w:rsid w:val="00A140D8"/>
    <w:pPr>
      <w:spacing w:after="5pt"/>
      <w:ind w:start="66pt"/>
    </w:pPr>
    <w:rPr>
      <w:rFonts w:eastAsiaTheme="minorEastAsia"/>
      <w:lang w:val="en-US"/>
    </w:rPr>
  </w:style>
  <w:style w:type="paragraph" w:styleId="TDC8">
    <w:name w:val="toc 8"/>
    <w:basedOn w:val="Normal"/>
    <w:next w:val="Normal"/>
    <w:autoRedefine/>
    <w:uiPriority w:val="39"/>
    <w:unhideWhenUsed/>
    <w:rsid w:val="00A140D8"/>
    <w:pPr>
      <w:spacing w:after="5pt"/>
      <w:ind w:start="77pt"/>
    </w:pPr>
    <w:rPr>
      <w:rFonts w:eastAsiaTheme="minorEastAsia"/>
      <w:lang w:val="en-US"/>
    </w:rPr>
  </w:style>
  <w:style w:type="character" w:customStyle="1" w:styleId="l15">
    <w:name w:val="l15"/>
    <w:basedOn w:val="Fuentedeprrafopredeter"/>
    <w:uiPriority w:val="99"/>
    <w:rsid w:val="009103E6"/>
    <w:rPr>
      <w:rFonts w:cs="Times New Roman"/>
      <w:bdr w:val="none" w:sz="0" w:space="0" w:color="auto" w:frame="1"/>
    </w:rPr>
  </w:style>
  <w:style w:type="paragraph" w:styleId="TDC9">
    <w:name w:val="toc 9"/>
    <w:basedOn w:val="Normal"/>
    <w:next w:val="Normal"/>
    <w:autoRedefine/>
    <w:uiPriority w:val="39"/>
    <w:unhideWhenUsed/>
    <w:rsid w:val="00A140D8"/>
    <w:pPr>
      <w:spacing w:after="5pt"/>
      <w:ind w:start="88pt"/>
    </w:pPr>
    <w:rPr>
      <w:rFonts w:eastAsiaTheme="minorEastAsia"/>
      <w:lang w:val="en-US"/>
    </w:rPr>
  </w:style>
  <w:style w:type="paragraph" w:customStyle="1" w:styleId="Titulo3-">
    <w:name w:val="Titulo 3 +-+"/>
    <w:basedOn w:val="Titulo3-0"/>
    <w:next w:val="Normal"/>
    <w:uiPriority w:val="99"/>
    <w:rsid w:val="00277ED2"/>
    <w:pPr>
      <w:numPr>
        <w:numId w:val="23"/>
      </w:numPr>
      <w:tabs>
        <w:tab w:val="num" w:pos="22.50pt"/>
      </w:tabs>
    </w:pPr>
    <w:rPr>
      <w:rFonts w:ascii="Calibri" w:hAnsi="Calibri"/>
      <w:b/>
    </w:rPr>
  </w:style>
  <w:style w:type="paragraph" w:customStyle="1" w:styleId="Titulo3-0">
    <w:name w:val="Titulo 3 +-"/>
    <w:basedOn w:val="Normal"/>
    <w:next w:val="Normal"/>
    <w:uiPriority w:val="99"/>
    <w:rsid w:val="00A140D8"/>
    <w:pPr>
      <w:numPr>
        <w:numId w:val="5"/>
      </w:numPr>
      <w:tabs>
        <w:tab w:val="num" w:pos="49.65pt"/>
      </w:tabs>
      <w:spacing w:line="12pt" w:lineRule="auto"/>
      <w:outlineLvl w:val="2"/>
    </w:pPr>
    <w:rPr>
      <w:rFonts w:eastAsia="Times New Roman" w:cs="Arial"/>
      <w:lang w:eastAsia="es-ES"/>
    </w:rPr>
  </w:style>
  <w:style w:type="table" w:styleId="Tabladecuadrcula1clara">
    <w:name w:val="Grid Table 1 Light"/>
    <w:basedOn w:val="Tablanormal"/>
    <w:uiPriority w:val="99"/>
    <w:rsid w:val="007C2715"/>
    <w:pPr>
      <w:spacing w:after="0pt" w:line="12pt" w:lineRule="auto"/>
    </w:pPr>
    <w:tblPr>
      <w:tblStyleRowBandSize w:val="1"/>
      <w:tblStyleColBandSize w:val="1"/>
      <w:tblBorders>
        <w:top w:val="single" w:sz="4" w:space="0" w:color="999999" w:themeColor="text1" w:themeTint="66"/>
        <w:start w:val="single" w:sz="4" w:space="0" w:color="999999" w:themeColor="text1" w:themeTint="66"/>
        <w:bottom w:val="single" w:sz="4" w:space="0" w:color="999999" w:themeColor="text1" w:themeTint="66"/>
        <w:end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mw-headline">
    <w:name w:val="mw-headline"/>
    <w:uiPriority w:val="99"/>
    <w:rsid w:val="00277ED2"/>
    <w:rPr>
      <w:rFonts w:cs="Times New Roman"/>
    </w:rPr>
  </w:style>
  <w:style w:type="character" w:styleId="nfasissutil">
    <w:name w:val="Subtle Emphasis"/>
    <w:basedOn w:val="Fuentedeprrafopredeter"/>
    <w:uiPriority w:val="19"/>
    <w:qFormat/>
    <w:rsid w:val="00A140D8"/>
    <w:rPr>
      <w:i/>
      <w:iCs/>
      <w:color w:val="404040" w:themeColor="text1" w:themeTint="BF"/>
    </w:rPr>
  </w:style>
  <w:style w:type="paragraph" w:customStyle="1" w:styleId="ListBullet2Compact">
    <w:name w:val="List Bullet 2 Compact"/>
    <w:basedOn w:val="Listaconvietas2"/>
    <w:uiPriority w:val="99"/>
    <w:qFormat/>
    <w:rsid w:val="00277ED2"/>
    <w:pPr>
      <w:keepLines/>
      <w:spacing w:after="0pt" w:line="16pt" w:lineRule="atLeast"/>
      <w:ind w:start="18pt"/>
      <w:contextualSpacing w:val="0"/>
      <w:jc w:val="both"/>
    </w:pPr>
    <w:rPr>
      <w:rFonts w:ascii="Arial" w:hAnsi="Arial"/>
      <w:lang w:val="en-GB"/>
    </w:rPr>
  </w:style>
  <w:style w:type="paragraph" w:customStyle="1" w:styleId="Ttulo1IFT">
    <w:name w:val="Título 1 IFT"/>
    <w:basedOn w:val="Ttulo5"/>
    <w:link w:val="Ttulo1IFTCar"/>
    <w:qFormat/>
    <w:rsid w:val="00A140D8"/>
    <w:pPr>
      <w:spacing w:before="10pt" w:after="10pt" w:line="18pt" w:lineRule="auto"/>
      <w:outlineLvl w:val="0"/>
    </w:pPr>
    <w:rPr>
      <w:rFonts w:ascii="ITC Avant Garde" w:hAnsi="ITC Avant Garde"/>
      <w:caps/>
    </w:rPr>
  </w:style>
  <w:style w:type="paragraph" w:customStyle="1" w:styleId="T3IFT">
    <w:name w:val="T3 IFT"/>
    <w:basedOn w:val="Normal"/>
    <w:link w:val="T3IFTCar"/>
    <w:autoRedefine/>
    <w:qFormat/>
    <w:rsid w:val="00A140D8"/>
    <w:pPr>
      <w:tabs>
        <w:tab w:val="start" w:leader="underscore" w:pos="28.35pt"/>
        <w:tab w:val="start" w:pos="42.55pt"/>
        <w:tab w:val="start" w:pos="63.80pt"/>
        <w:tab w:val="start" w:pos="78pt"/>
      </w:tabs>
      <w:spacing w:after="10pt"/>
      <w:jc w:val="both"/>
      <w:outlineLvl w:val="2"/>
    </w:pPr>
    <w:rPr>
      <w:rFonts w:ascii="ITC Avant Garde" w:eastAsia="Calibri" w:hAnsi="ITC Avant Garde" w:cs="Times New Roman"/>
      <w:sz w:val="20"/>
      <w:szCs w:val="20"/>
      <w:lang w:eastAsia="es-ES"/>
    </w:rPr>
  </w:style>
  <w:style w:type="paragraph" w:customStyle="1" w:styleId="aaa7222">
    <w:name w:val="aaa 7.2.2.2"/>
    <w:basedOn w:val="PuntosC4"/>
    <w:autoRedefine/>
    <w:rsid w:val="007C2715"/>
    <w:pPr>
      <w:spacing w:before="12pt" w:after="12pt"/>
      <w:ind w:start="42.55pt" w:firstLine="0pt"/>
      <w:outlineLvl w:val="2"/>
    </w:pPr>
    <w:rPr>
      <w:rFonts w:ascii="Arial" w:hAnsi="Arial"/>
    </w:rPr>
  </w:style>
  <w:style w:type="character" w:customStyle="1" w:styleId="andradCar">
    <w:name w:val="andrad Car"/>
    <w:aliases w:val="- TF Car,compact Car,paragraph 2 Car"/>
    <w:uiPriority w:val="99"/>
    <w:rsid w:val="00277ED2"/>
    <w:rPr>
      <w:rFonts w:ascii="Arial" w:hAnsi="Arial"/>
      <w:b/>
      <w:sz w:val="28"/>
    </w:rPr>
  </w:style>
  <w:style w:type="character" w:customStyle="1" w:styleId="Ttulo1IFTCar">
    <w:name w:val="Título 1 IFT Car"/>
    <w:basedOn w:val="Ttulo5Car"/>
    <w:link w:val="Ttulo1IFT"/>
    <w:rsid w:val="00A140D8"/>
    <w:rPr>
      <w:rFonts w:ascii="ITC Avant Garde" w:eastAsia="Times New Roman" w:hAnsi="ITC Avant Garde" w:cs="Times New Roman"/>
      <w:b/>
      <w:caps/>
      <w:sz w:val="20"/>
      <w:szCs w:val="20"/>
    </w:rPr>
  </w:style>
  <w:style w:type="character" w:customStyle="1" w:styleId="T3IFTCar">
    <w:name w:val="T3 IFT Car"/>
    <w:basedOn w:val="Fuentedeprrafopredeter"/>
    <w:link w:val="T3IFT"/>
    <w:rsid w:val="00A140D8"/>
    <w:rPr>
      <w:rFonts w:ascii="ITC Avant Garde" w:eastAsia="Calibri" w:hAnsi="ITC Avant Garde" w:cs="Times New Roman"/>
      <w:sz w:val="20"/>
      <w:szCs w:val="20"/>
      <w:lang w:eastAsia="es-ES"/>
    </w:rPr>
  </w:style>
  <w:style w:type="table" w:customStyle="1" w:styleId="Tabladelista3-nfasis121">
    <w:name w:val="Tabla de lista 3 - Énfasis 121"/>
    <w:basedOn w:val="Tablanormal"/>
    <w:uiPriority w:val="48"/>
    <w:rsid w:val="00F85A8C"/>
    <w:pPr>
      <w:spacing w:after="0pt" w:line="12pt" w:lineRule="auto"/>
    </w:pPr>
    <w:rPr>
      <w:rFonts w:ascii="Calibri" w:eastAsia="Calibri" w:hAnsi="Calibri" w:cs="Calibri"/>
      <w:sz w:val="20"/>
      <w:szCs w:val="20"/>
      <w:lang w:eastAsia="es-MX"/>
    </w:rPr>
    <w:tblPr/>
    <w:tblStylePr w:type="band1Horz">
      <w:tblPr/>
      <w:tcPr>
        <w:tcBorders>
          <w:top w:val="single" w:sz="4" w:space="0" w:color="5B9BD5"/>
          <w:bottom w:val="single" w:sz="4" w:space="0" w:color="5B9BD5"/>
          <w:insideH w:val="nil"/>
        </w:tcBorders>
      </w:tcPr>
    </w:tblStylePr>
  </w:style>
  <w:style w:type="paragraph" w:customStyle="1" w:styleId="CitaIFT0">
    <w:name w:val="Cita IFT"/>
    <w:basedOn w:val="Normal"/>
    <w:link w:val="CitaIFTCar0"/>
    <w:qFormat/>
    <w:rsid w:val="003D2344"/>
    <w:pPr>
      <w:adjustRightInd w:val="0"/>
      <w:ind w:start="42.55pt" w:end="38pt"/>
      <w:jc w:val="both"/>
    </w:pPr>
    <w:rPr>
      <w:rFonts w:eastAsia="Times New Roman" w:cs="Arial"/>
      <w:bCs/>
      <w:i/>
      <w:color w:val="000000"/>
      <w:sz w:val="18"/>
      <w:szCs w:val="18"/>
      <w:lang w:val="es-ES_tradnl" w:eastAsia="es-ES"/>
    </w:rPr>
  </w:style>
  <w:style w:type="paragraph" w:styleId="Textoindependiente2">
    <w:name w:val="Body Text 2"/>
    <w:basedOn w:val="Normal"/>
    <w:link w:val="Textoindependiente2Car"/>
    <w:uiPriority w:val="99"/>
    <w:unhideWhenUsed/>
    <w:rsid w:val="00A140D8"/>
    <w:pPr>
      <w:spacing w:after="6pt" w:line="24pt" w:lineRule="auto"/>
    </w:pPr>
  </w:style>
  <w:style w:type="character" w:customStyle="1" w:styleId="Textoindependiente2Car">
    <w:name w:val="Texto independiente 2 Car"/>
    <w:basedOn w:val="Fuentedeprrafopredeter"/>
    <w:link w:val="Textoindependiente2"/>
    <w:uiPriority w:val="99"/>
    <w:rsid w:val="00A140D8"/>
  </w:style>
  <w:style w:type="paragraph" w:customStyle="1" w:styleId="otros">
    <w:name w:val="otros"/>
    <w:basedOn w:val="Normal"/>
    <w:link w:val="otrosCar"/>
    <w:rsid w:val="00A140D8"/>
    <w:pPr>
      <w:adjustRightInd w:val="0"/>
      <w:spacing w:after="10pt"/>
      <w:ind w:start="42.55pt" w:end="38pt"/>
      <w:jc w:val="both"/>
    </w:pPr>
    <w:rPr>
      <w:rFonts w:ascii="ITC Avant Garde" w:eastAsia="Times New Roman" w:hAnsi="ITC Avant Garde" w:cs="Arial"/>
      <w:i/>
      <w:color w:val="000000"/>
      <w:sz w:val="18"/>
      <w:szCs w:val="18"/>
      <w:lang w:eastAsia="es-ES"/>
    </w:rPr>
  </w:style>
  <w:style w:type="paragraph" w:customStyle="1" w:styleId="enumlev1">
    <w:name w:val="enumlev1"/>
    <w:basedOn w:val="Normal"/>
    <w:uiPriority w:val="99"/>
    <w:rsid w:val="00277ED2"/>
    <w:pPr>
      <w:tabs>
        <w:tab w:val="start" w:pos="39.70pt"/>
        <w:tab w:val="start" w:pos="59.55pt"/>
        <w:tab w:val="start" w:pos="79.40pt"/>
        <w:tab w:val="start" w:pos="99.25pt"/>
      </w:tabs>
      <w:spacing w:before="4pt" w:line="12pt" w:lineRule="auto"/>
      <w:ind w:start="39.70pt" w:hanging="39.70pt"/>
    </w:pPr>
    <w:rPr>
      <w:rFonts w:ascii="Times New Roman" w:eastAsia="Times New Roman" w:hAnsi="Times New Roman" w:cs="Times New Roman"/>
      <w:sz w:val="24"/>
      <w:szCs w:val="24"/>
      <w:lang w:val="es-ES_tradnl" w:eastAsia="es-ES"/>
    </w:rPr>
  </w:style>
  <w:style w:type="character" w:customStyle="1" w:styleId="otrosCar">
    <w:name w:val="otros Car"/>
    <w:link w:val="otros"/>
    <w:rsid w:val="00A140D8"/>
    <w:rPr>
      <w:rFonts w:ascii="ITC Avant Garde" w:eastAsia="Times New Roman" w:hAnsi="ITC Avant Garde" w:cs="Arial"/>
      <w:i/>
      <w:color w:val="000000"/>
      <w:sz w:val="18"/>
      <w:szCs w:val="18"/>
      <w:lang w:eastAsia="es-ES"/>
    </w:rPr>
  </w:style>
  <w:style w:type="table" w:styleId="Tabladecuadrcula4-nfasis1">
    <w:name w:val="Grid Table 4 Accent 1"/>
    <w:basedOn w:val="Tablanormal"/>
    <w:uiPriority w:val="49"/>
    <w:rsid w:val="00277ED2"/>
    <w:pPr>
      <w:spacing w:after="0pt" w:line="12pt" w:lineRule="auto"/>
    </w:pPr>
    <w:tblPr>
      <w:tblStyleRowBandSize w:val="1"/>
      <w:tblStyleColBandSize w:val="1"/>
      <w:tblBorders>
        <w:top w:val="single" w:sz="4" w:space="0" w:color="9CC2E5" w:themeColor="accent1" w:themeTint="99"/>
        <w:start w:val="single" w:sz="4" w:space="0" w:color="9CC2E5" w:themeColor="accent1" w:themeTint="99"/>
        <w:bottom w:val="single" w:sz="4" w:space="0" w:color="9CC2E5" w:themeColor="accent1" w:themeTint="99"/>
        <w:end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start w:val="single" w:sz="4" w:space="0" w:color="5B9BD5" w:themeColor="accent1"/>
          <w:bottom w:val="single" w:sz="4" w:space="0" w:color="5B9BD5" w:themeColor="accent1"/>
          <w:end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customStyle="1" w:styleId="xxxNotaelpiemau">
    <w:name w:val="xxx Nota el pie mau"/>
    <w:basedOn w:val="Textonotapie"/>
    <w:link w:val="xxxNotaelpiemauCar"/>
    <w:qFormat/>
    <w:rsid w:val="008C28CD"/>
    <w:pPr>
      <w:tabs>
        <w:tab w:val="start" w:pos="14.20pt"/>
      </w:tabs>
      <w:spacing w:after="3pt" w:line="13.80pt" w:lineRule="auto"/>
      <w:ind w:start="14.20pt" w:hanging="14.20pt"/>
    </w:pPr>
    <w:rPr>
      <w:szCs w:val="14"/>
      <w:lang w:val="es-ES" w:eastAsia="es-ES"/>
    </w:rPr>
  </w:style>
  <w:style w:type="paragraph" w:customStyle="1" w:styleId="IFTTexto">
    <w:name w:val="IFT Texto"/>
    <w:link w:val="IFTTextoCar"/>
    <w:qFormat/>
    <w:rsid w:val="003D2344"/>
    <w:pPr>
      <w:spacing w:after="0pt" w:line="13.80pt" w:lineRule="auto"/>
      <w:jc w:val="both"/>
    </w:pPr>
    <w:rPr>
      <w:rFonts w:ascii="ITC Avant Garde" w:eastAsia="Calibri" w:hAnsi="ITC Avant Garde" w:cs="Arial"/>
      <w:color w:val="000000"/>
      <w:lang w:val="es-ES_tradnl" w:eastAsia="es-ES"/>
    </w:rPr>
  </w:style>
  <w:style w:type="table" w:customStyle="1" w:styleId="Tabladecuadrcula4-nfasis111">
    <w:name w:val="Tabla de cuadrícula 4 - Énfasis 111"/>
    <w:basedOn w:val="Tablanormal"/>
    <w:uiPriority w:val="49"/>
    <w:rsid w:val="00277ED2"/>
    <w:pPr>
      <w:spacing w:after="0pt" w:line="12pt" w:lineRule="auto"/>
    </w:pPr>
    <w:rPr>
      <w:rFonts w:ascii="Arial" w:eastAsia="Times New Roman" w:hAnsi="Arial" w:cs="Times New Roman"/>
      <w:sz w:val="24"/>
      <w:szCs w:val="24"/>
      <w:lang w:eastAsia="es-MX"/>
    </w:rPr>
    <w:tblPr>
      <w:tblStyleRowBandSize w:val="1"/>
      <w:tblStyleColBandSize w:val="1"/>
      <w:tblBorders>
        <w:top w:val="single" w:sz="4" w:space="0" w:color="9CC2E5"/>
        <w:start w:val="single" w:sz="4" w:space="0" w:color="9CC2E5"/>
        <w:bottom w:val="single" w:sz="4" w:space="0" w:color="9CC2E5"/>
        <w:end w:val="single" w:sz="4" w:space="0" w:color="9CC2E5"/>
        <w:insideH w:val="single" w:sz="4" w:space="0" w:color="9CC2E5"/>
        <w:insideV w:val="single" w:sz="4" w:space="0" w:color="9CC2E5"/>
      </w:tblBorders>
    </w:tblPr>
    <w:tblStylePr w:type="firstRow">
      <w:rPr>
        <w:b/>
        <w:bCs/>
        <w:color w:val="FFFFFF"/>
      </w:rPr>
      <w:tblPr/>
      <w:tcPr>
        <w:tcBorders>
          <w:top w:val="single" w:sz="4" w:space="0" w:color="5B9BD5"/>
          <w:start w:val="single" w:sz="4" w:space="0" w:color="5B9BD5"/>
          <w:bottom w:val="single" w:sz="4" w:space="0" w:color="5B9BD5"/>
          <w:end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character" w:customStyle="1" w:styleId="Numeracion2Car">
    <w:name w:val="Numeracion2 Car"/>
    <w:basedOn w:val="IFTnormalCar"/>
    <w:link w:val="Numeracion2"/>
    <w:rsid w:val="000B5AAD"/>
    <w:rPr>
      <w:rFonts w:ascii="ITC Avant Garde" w:eastAsia="Calibri" w:hAnsi="ITC Avant Garde" w:cs="Calibri"/>
      <w:bCs/>
      <w:color w:val="000000"/>
      <w:lang w:val="es-ES_tradnl" w:eastAsia="es-ES"/>
    </w:rPr>
  </w:style>
  <w:style w:type="character" w:customStyle="1" w:styleId="IFTTextoCar">
    <w:name w:val="IFT Texto Car"/>
    <w:basedOn w:val="Fuentedeprrafopredeter"/>
    <w:link w:val="IFTTexto"/>
    <w:rsid w:val="003D2344"/>
    <w:rPr>
      <w:rFonts w:ascii="ITC Avant Garde" w:eastAsia="Calibri" w:hAnsi="ITC Avant Garde" w:cs="Arial"/>
      <w:color w:val="000000"/>
      <w:lang w:val="es-ES_tradnl" w:eastAsia="es-ES"/>
    </w:rPr>
  </w:style>
  <w:style w:type="paragraph" w:customStyle="1" w:styleId="TableHeader">
    <w:name w:val="Table Header"/>
    <w:basedOn w:val="Normal"/>
    <w:autoRedefine/>
    <w:uiPriority w:val="99"/>
    <w:rsid w:val="00277ED2"/>
    <w:pPr>
      <w:keepNext/>
      <w:spacing w:before="2pt" w:after="4pt" w:line="12pt" w:lineRule="auto"/>
      <w:jc w:val="both"/>
    </w:pPr>
    <w:rPr>
      <w:rFonts w:ascii="Calibri" w:eastAsia="Times New Roman" w:hAnsi="Calibri" w:cs="Arial"/>
      <w:bCs/>
      <w:sz w:val="24"/>
      <w:szCs w:val="30"/>
    </w:rPr>
  </w:style>
  <w:style w:type="paragraph" w:customStyle="1" w:styleId="CondicionesFinales">
    <w:name w:val="CondicionesFinales"/>
    <w:basedOn w:val="CitaIFT0"/>
    <w:uiPriority w:val="99"/>
    <w:qFormat/>
    <w:rsid w:val="00A140D8"/>
    <w:rPr>
      <w:i w:val="0"/>
      <w:sz w:val="22"/>
      <w:szCs w:val="22"/>
    </w:rPr>
  </w:style>
  <w:style w:type="paragraph" w:customStyle="1" w:styleId="Texto1">
    <w:name w:val="Texto 1"/>
    <w:basedOn w:val="Normal"/>
    <w:uiPriority w:val="99"/>
    <w:rsid w:val="00A140D8"/>
    <w:pPr>
      <w:spacing w:line="12pt" w:lineRule="auto"/>
      <w:ind w:start="17.60pt"/>
      <w:jc w:val="both"/>
    </w:pPr>
    <w:rPr>
      <w:rFonts w:eastAsia="Times New Roman" w:cs="Times New Roman"/>
      <w:sz w:val="24"/>
      <w:szCs w:val="24"/>
      <w:lang w:val="es-ES_tradnl" w:eastAsia="es-ES"/>
    </w:rPr>
  </w:style>
  <w:style w:type="character" w:customStyle="1" w:styleId="DIDCAPCar">
    <w:name w:val="DID CAP Car"/>
    <w:basedOn w:val="Fuentedeprrafopredeter"/>
    <w:link w:val="DIDCAP"/>
    <w:locked/>
    <w:rsid w:val="00A140D8"/>
    <w:rPr>
      <w:rFonts w:eastAsia="Times New Roman" w:cs="Times New Roman"/>
      <w:b/>
      <w:sz w:val="32"/>
      <w:szCs w:val="24"/>
      <w:lang w:val="es-ES_tradnl" w:eastAsia="es-ES"/>
    </w:rPr>
  </w:style>
  <w:style w:type="character" w:customStyle="1" w:styleId="Mencinsinresolver3">
    <w:name w:val="Mención sin resolver3"/>
    <w:uiPriority w:val="99"/>
    <w:semiHidden/>
    <w:unhideWhenUsed/>
    <w:rsid w:val="00277ED2"/>
    <w:rPr>
      <w:color w:val="605E5C"/>
      <w:shd w:val="clear" w:color="auto" w:fill="E1DFDD"/>
    </w:rPr>
  </w:style>
  <w:style w:type="paragraph" w:styleId="Textoindependiente">
    <w:name w:val="Body Text"/>
    <w:aliases w:val="??2 Car,AvtalBrodtext Car,AvtalBrödtext Car,BO Car,Body Text level 1 Car,Body Text2 Car,Body3 Car,Bodytext Car,EHPT Car,ID Car,IFT cita calibri,Response Car,body text Car,bt,bt Car,à¹ Car,à¹×éÍàÃ×èÍ§ Car,ändrad Car"/>
    <w:basedOn w:val="Normal"/>
    <w:link w:val="TextoindependienteCar"/>
    <w:uiPriority w:val="99"/>
    <w:unhideWhenUsed/>
    <w:rsid w:val="00A140D8"/>
    <w:pPr>
      <w:spacing w:after="6pt"/>
    </w:pPr>
  </w:style>
  <w:style w:type="character" w:customStyle="1" w:styleId="TextoindependienteCar">
    <w:name w:val="Texto independiente Car"/>
    <w:aliases w:val="??2 Car Car2,AvtalBrodtext Car Car,AvtalBrödtext Car Car2,BO Car Car2,Body Text level 1 Car Car2,Body Text2 Car Car2,Body3 Car Car2,Bodytext Car Car2,EHPT Car Car2,ID Car Car2,IFT cita calibri Car,Response Car Car2,bt Car2"/>
    <w:basedOn w:val="Fuentedeprrafopredeter"/>
    <w:link w:val="Textoindependiente"/>
    <w:uiPriority w:val="99"/>
    <w:rsid w:val="00A140D8"/>
  </w:style>
  <w:style w:type="table" w:styleId="Cuadrculamedia2-nfasis1">
    <w:name w:val="Medium Grid 2 Accent 1"/>
    <w:basedOn w:val="Tablanormal"/>
    <w:uiPriority w:val="68"/>
    <w:rsid w:val="00A140D8"/>
    <w:pPr>
      <w:spacing w:after="0pt" w:line="12pt" w:lineRule="auto"/>
    </w:pPr>
    <w:rPr>
      <w:rFonts w:asciiTheme="majorHAnsi" w:eastAsiaTheme="majorEastAsia" w:hAnsiTheme="majorHAnsi" w:cstheme="majorBidi"/>
      <w:color w:val="000000" w:themeColor="text1"/>
      <w:lang w:eastAsia="es-MX"/>
    </w:rPr>
    <w:tblPr>
      <w:tblStyleRowBandSize w:val="1"/>
      <w:tblStyleColBandSize w:val="1"/>
      <w:tblBorders>
        <w:top w:val="single" w:sz="8" w:space="0" w:color="5B9BD5" w:themeColor="accent1"/>
        <w:start w:val="single" w:sz="8" w:space="0" w:color="5B9BD5" w:themeColor="accent1"/>
        <w:bottom w:val="single" w:sz="8" w:space="0" w:color="5B9BD5" w:themeColor="accent1"/>
        <w:end w:val="single" w:sz="8" w:space="0" w:color="5B9BD5" w:themeColor="accent1"/>
        <w:insideH w:val="single" w:sz="8" w:space="0" w:color="5B9BD5" w:themeColor="accent1"/>
        <w:insideV w:val="single" w:sz="8" w:space="0" w:color="5B9BD5" w:themeColor="accent1"/>
      </w:tblBorders>
    </w:tblPr>
    <w:tcPr>
      <w:shd w:val="clear" w:color="auto" w:fill="D6E6F4" w:themeFill="accent1" w:themeFillTint="3F"/>
    </w:tcPr>
    <w:tblStylePr w:type="firstRow">
      <w:rPr>
        <w:b/>
        <w:bCs/>
        <w:color w:val="000000" w:themeColor="text1"/>
      </w:rPr>
      <w:tblPr/>
      <w:tcPr>
        <w:shd w:val="clear" w:color="auto" w:fill="EEF5FB" w:themeFill="accent1" w:themeFillTint="19"/>
      </w:tcPr>
    </w:tblStylePr>
    <w:tblStylePr w:type="lastRow">
      <w:rPr>
        <w:b/>
        <w:bCs/>
        <w:color w:val="000000" w:themeColor="text1"/>
      </w:rPr>
      <w:tblPr/>
      <w:tcPr>
        <w:tcBorders>
          <w:top w:val="single" w:sz="12" w:space="0" w:color="000000" w:themeColor="text1"/>
          <w:start w:val="nil"/>
          <w:bottom w:val="nil"/>
          <w:end w:val="nil"/>
          <w:insideH w:val="nil"/>
          <w:insideV w:val="nil"/>
        </w:tcBorders>
        <w:shd w:val="clear" w:color="auto" w:fill="FFFFFF" w:themeFill="background1"/>
      </w:tcPr>
    </w:tblStylePr>
    <w:tblStylePr w:type="firstCol">
      <w:rPr>
        <w:b/>
        <w:bCs/>
        <w:color w:val="000000" w:themeColor="text1"/>
      </w:rPr>
      <w:tblPr/>
      <w:tcPr>
        <w:tcBorders>
          <w:top w:val="nil"/>
          <w:start w:val="nil"/>
          <w:bottom w:val="nil"/>
          <w:end w:val="nil"/>
          <w:insideH w:val="nil"/>
          <w:insideV w:val="nil"/>
        </w:tcBorders>
        <w:shd w:val="clear" w:color="auto" w:fill="FFFFFF" w:themeFill="background1"/>
      </w:tcPr>
    </w:tblStylePr>
    <w:tblStylePr w:type="lastCol">
      <w:rPr>
        <w:b w:val="0"/>
        <w:bCs w:val="0"/>
        <w:color w:val="000000" w:themeColor="text1"/>
      </w:rPr>
      <w:tblPr/>
      <w:tcPr>
        <w:tcBorders>
          <w:top w:val="nil"/>
          <w:start w:val="nil"/>
          <w:bottom w:val="nil"/>
          <w:end w:val="nil"/>
          <w:insideH w:val="nil"/>
          <w:insideV w:val="nil"/>
        </w:tcBorders>
        <w:shd w:val="clear" w:color="auto" w:fill="DEEAF6" w:themeFill="accent1" w:themeFillTint="33"/>
      </w:tcPr>
    </w:tblStylePr>
    <w:tblStylePr w:type="band1Vert">
      <w:tblPr/>
      <w:tcPr>
        <w:shd w:val="clear" w:color="auto" w:fill="ADCCEA" w:themeFill="accent1" w:themeFillTint="7F"/>
      </w:tcPr>
    </w:tblStylePr>
    <w:tblStylePr w:type="band1Horz">
      <w:tblPr/>
      <w:tcPr>
        <w:tcBorders>
          <w:insideH w:val="single" w:sz="6" w:space="0" w:color="5B9BD5" w:themeColor="accent1"/>
          <w:insideV w:val="single" w:sz="6" w:space="0" w:color="5B9BD5" w:themeColor="accent1"/>
        </w:tcBorders>
        <w:shd w:val="clear" w:color="auto" w:fill="ADCCEA" w:themeFill="accent1" w:themeFillTint="7F"/>
      </w:tcPr>
    </w:tblStylePr>
    <w:tblStylePr w:type="nwCell">
      <w:tblPr/>
      <w:tcPr>
        <w:shd w:val="clear" w:color="auto" w:fill="FFFFFF" w:themeFill="background1"/>
      </w:tcPr>
    </w:tblStylePr>
  </w:style>
  <w:style w:type="paragraph" w:customStyle="1" w:styleId="Titulo2">
    <w:name w:val="Titulo 2 +"/>
    <w:basedOn w:val="Ttulo2"/>
    <w:next w:val="Normal"/>
    <w:uiPriority w:val="99"/>
    <w:rsid w:val="00277ED2"/>
    <w:pPr>
      <w:keepNext w:val="0"/>
      <w:numPr>
        <w:numId w:val="22"/>
      </w:numPr>
      <w:tabs>
        <w:tab w:val="num" w:pos="42.65pt"/>
      </w:tabs>
      <w:spacing w:before="24pt" w:after="0pt"/>
      <w:ind w:start="35pt" w:hanging="17pt"/>
      <w:jc w:val="start"/>
    </w:pPr>
    <w:rPr>
      <w:rFonts w:ascii="Century Gothic" w:hAnsi="Century Gothic"/>
      <w:b w:val="0"/>
    </w:rPr>
  </w:style>
  <w:style w:type="character" w:customStyle="1" w:styleId="l122">
    <w:name w:val="l122"/>
    <w:uiPriority w:val="99"/>
    <w:rsid w:val="00277ED2"/>
    <w:rPr>
      <w:rFonts w:cs="Times New Roman"/>
      <w:bdr w:val="none" w:sz="0" w:space="0" w:color="auto" w:frame="1"/>
    </w:rPr>
  </w:style>
  <w:style w:type="paragraph" w:customStyle="1" w:styleId="Tender-Footer">
    <w:name w:val="Tender - Footer"/>
    <w:basedOn w:val="Tender-Header"/>
    <w:uiPriority w:val="99"/>
    <w:rsid w:val="00277ED2"/>
    <w:pPr>
      <w:pBdr>
        <w:top w:val="single" w:sz="6" w:space="1" w:color="auto"/>
        <w:bottom w:val="none" w:sz="0" w:space="0" w:color="auto"/>
      </w:pBdr>
      <w:tabs>
        <w:tab w:val="clear" w:pos="127.60pt"/>
      </w:tabs>
      <w:ind w:start="21.30pt"/>
    </w:pPr>
    <w:rPr>
      <w:sz w:val="16"/>
    </w:rPr>
  </w:style>
  <w:style w:type="paragraph" w:customStyle="1" w:styleId="-InBullet">
    <w:name w:val="-InBullet"/>
    <w:basedOn w:val="Text"/>
    <w:uiPriority w:val="99"/>
    <w:rsid w:val="00277ED2"/>
    <w:pPr>
      <w:widowControl/>
      <w:tabs>
        <w:tab w:val="start" w:pos="141.75pt"/>
        <w:tab w:val="start" w:pos="192.80pt"/>
        <w:tab w:val="start" w:pos="258pt"/>
        <w:tab w:val="start" w:pos="323.20pt"/>
        <w:tab w:val="start" w:pos="388.40pt"/>
        <w:tab w:val="start" w:pos="453.60pt"/>
      </w:tabs>
      <w:suppressAutoHyphens/>
      <w:spacing w:before="0pt" w:line="12pt" w:lineRule="auto"/>
      <w:ind w:start="141.80pt" w:hanging="14.20pt"/>
      <w:jc w:val="start"/>
    </w:pPr>
    <w:rPr>
      <w:rFonts w:ascii="Times" w:hAnsi="Times"/>
      <w:lang w:val="en-GB" w:eastAsia="en-US"/>
    </w:rPr>
  </w:style>
  <w:style w:type="paragraph" w:styleId="ndice2">
    <w:name w:val="index 2"/>
    <w:basedOn w:val="Normal"/>
    <w:next w:val="Normal"/>
    <w:autoRedefine/>
    <w:uiPriority w:val="99"/>
    <w:rsid w:val="00277ED2"/>
    <w:pPr>
      <w:spacing w:line="12pt" w:lineRule="auto"/>
      <w:ind w:start="24pt" w:hanging="12pt"/>
    </w:pPr>
    <w:rPr>
      <w:rFonts w:ascii="Calibri" w:eastAsia="Times New Roman" w:hAnsi="Calibri" w:cs="Times New Roman"/>
      <w:sz w:val="24"/>
      <w:szCs w:val="24"/>
      <w:lang w:eastAsia="es-ES"/>
    </w:rPr>
  </w:style>
  <w:style w:type="paragraph" w:customStyle="1" w:styleId="ITUparnumrot">
    <w:name w:val="ITU par. numéroté"/>
    <w:basedOn w:val="Normal"/>
    <w:uiPriority w:val="99"/>
    <w:rsid w:val="00277ED2"/>
    <w:pPr>
      <w:keepLines/>
      <w:tabs>
        <w:tab w:val="start" w:pos="31.20pt"/>
        <w:tab w:val="start" w:pos="48.20pt"/>
      </w:tabs>
      <w:spacing w:before="6pt" w:line="12pt" w:lineRule="auto"/>
      <w:jc w:val="both"/>
    </w:pPr>
    <w:rPr>
      <w:rFonts w:ascii="Times New Roman" w:eastAsia="Times New Roman" w:hAnsi="Times New Roman" w:cs="Times New Roman"/>
      <w:sz w:val="24"/>
      <w:szCs w:val="24"/>
      <w:lang w:val="es-ES_tradnl"/>
    </w:rPr>
  </w:style>
  <w:style w:type="character" w:customStyle="1" w:styleId="CitaiftCar">
    <w:name w:val="Cita ift Car"/>
    <w:link w:val="Citaift"/>
    <w:rsid w:val="003D2344"/>
    <w:rPr>
      <w:rFonts w:ascii="Arial" w:eastAsia="Times New Roman" w:hAnsi="Arial" w:cs="Arial"/>
      <w:i/>
      <w:color w:val="000000"/>
      <w:sz w:val="18"/>
      <w:szCs w:val="18"/>
      <w:lang w:eastAsia="es-ES"/>
    </w:rPr>
  </w:style>
  <w:style w:type="paragraph" w:customStyle="1" w:styleId="AAA">
    <w:name w:val="AAA"/>
    <w:basedOn w:val="IFTnormal"/>
    <w:link w:val="AAACar"/>
    <w:qFormat/>
    <w:rsid w:val="00A140D8"/>
    <w:pPr>
      <w:ind w:start="32.20pt" w:hanging="18pt"/>
    </w:pPr>
    <w:rPr>
      <w:rFonts w:cs="Calibri"/>
      <w:bCs/>
    </w:rPr>
  </w:style>
  <w:style w:type="character" w:customStyle="1" w:styleId="AAACar">
    <w:name w:val="AAA Car"/>
    <w:basedOn w:val="IFTnormalCar"/>
    <w:link w:val="AAA"/>
    <w:rsid w:val="00A140D8"/>
    <w:rPr>
      <w:rFonts w:ascii="ITC Avant Garde" w:eastAsia="Calibri" w:hAnsi="ITC Avant Garde" w:cs="Calibri"/>
      <w:bCs/>
      <w:color w:val="000000"/>
      <w:lang w:val="es-ES_tradnl" w:eastAsia="es-ES"/>
    </w:rPr>
  </w:style>
  <w:style w:type="paragraph" w:styleId="Cierre">
    <w:name w:val="Closing"/>
    <w:basedOn w:val="Normal"/>
    <w:link w:val="CierreCar"/>
    <w:uiPriority w:val="2"/>
    <w:unhideWhenUsed/>
    <w:qFormat/>
    <w:rsid w:val="00A140D8"/>
    <w:pPr>
      <w:spacing w:before="30pt" w:after="40pt" w:line="12pt" w:lineRule="auto"/>
      <w:jc w:val="both"/>
    </w:pPr>
    <w:rPr>
      <w:rFonts w:ascii="Calibri" w:hAnsi="Calibri" w:cs="Times New Roman"/>
      <w:sz w:val="24"/>
    </w:rPr>
  </w:style>
  <w:style w:type="character" w:customStyle="1" w:styleId="CierreCar">
    <w:name w:val="Cierre Car"/>
    <w:basedOn w:val="Fuentedeprrafopredeter"/>
    <w:link w:val="Cierre"/>
    <w:uiPriority w:val="2"/>
    <w:rsid w:val="00A140D8"/>
    <w:rPr>
      <w:rFonts w:ascii="Calibri" w:hAnsi="Calibri" w:cs="Times New Roman"/>
      <w:sz w:val="24"/>
    </w:rPr>
  </w:style>
  <w:style w:type="paragraph" w:customStyle="1" w:styleId="pienum">
    <w:name w:val="pie num."/>
    <w:basedOn w:val="Normal"/>
    <w:uiPriority w:val="99"/>
    <w:rsid w:val="00277ED2"/>
    <w:pPr>
      <w:tabs>
        <w:tab w:val="center" w:pos="212.60pt"/>
        <w:tab w:val="end" w:pos="425.20pt"/>
        <w:tab w:val="start" w:pos="474.90pt"/>
      </w:tabs>
      <w:spacing w:line="12pt" w:lineRule="auto"/>
      <w:ind w:start="212.60pt" w:end="0.25pt" w:hanging="212.60pt"/>
      <w:jc w:val="end"/>
    </w:pPr>
    <w:rPr>
      <w:rFonts w:ascii="Courier New" w:eastAsia="Times New Roman" w:hAnsi="Courier New" w:cs="Times New Roman"/>
      <w:sz w:val="24"/>
      <w:szCs w:val="24"/>
      <w:lang w:val="es-ES_tradnl" w:eastAsia="es-ES"/>
    </w:rPr>
  </w:style>
  <w:style w:type="paragraph" w:customStyle="1" w:styleId="actividadesg">
    <w:name w:val="actividades_g"/>
    <w:basedOn w:val="Normal"/>
    <w:rsid w:val="00A140D8"/>
    <w:pPr>
      <w:spacing w:before="24pt" w:after="24pt" w:line="21pt" w:lineRule="atLeast"/>
      <w:ind w:start="24pt" w:end="24pt" w:firstLine="30pt"/>
    </w:pPr>
    <w:rPr>
      <w:rFonts w:ascii="Times New Roman" w:eastAsia="Times New Roman" w:hAnsi="Times New Roman" w:cs="Times New Roman"/>
      <w:color w:val="000000"/>
      <w:spacing w:val="24"/>
      <w:sz w:val="24"/>
      <w:szCs w:val="24"/>
      <w:lang w:eastAsia="es-MX"/>
    </w:rPr>
  </w:style>
  <w:style w:type="paragraph" w:customStyle="1" w:styleId="Titulo2-">
    <w:name w:val="Titulo 2 -"/>
    <w:basedOn w:val="Normal"/>
    <w:next w:val="Normal"/>
    <w:uiPriority w:val="99"/>
    <w:rsid w:val="008D153B"/>
    <w:pPr>
      <w:tabs>
        <w:tab w:val="num" w:pos="72pt"/>
      </w:tabs>
      <w:ind w:start="36pt" w:hanging="18pt"/>
      <w:outlineLvl w:val="1"/>
    </w:pPr>
    <w:rPr>
      <w:rFonts w:ascii="ITC Avant Garde" w:eastAsia="Times New Roman" w:hAnsi="ITC Avant Garde" w:cs="Arial"/>
      <w:b/>
      <w:bCs/>
    </w:rPr>
  </w:style>
  <w:style w:type="character" w:styleId="Textoennegrita">
    <w:name w:val="Strong"/>
    <w:aliases w:val="Normal negrita,ZZZ Normal negrita"/>
    <w:basedOn w:val="Fuentedeprrafopredeter"/>
    <w:uiPriority w:val="99"/>
    <w:qFormat/>
    <w:rsid w:val="00A140D8"/>
    <w:rPr>
      <w:b/>
      <w:bCs/>
    </w:rPr>
  </w:style>
  <w:style w:type="paragraph" w:customStyle="1" w:styleId="SUBSUBCAP">
    <w:name w:val="SUBSUBCAP"/>
    <w:basedOn w:val="SUBCAP"/>
    <w:link w:val="SUBSUBCAPCar"/>
    <w:autoRedefine/>
    <w:uiPriority w:val="99"/>
    <w:rsid w:val="00277ED2"/>
    <w:pPr>
      <w:numPr>
        <w:ilvl w:val="2"/>
        <w:numId w:val="27"/>
      </w:numPr>
      <w:outlineLvl w:val="0"/>
    </w:pPr>
    <w:rPr>
      <w:sz w:val="20"/>
      <w:lang w:val="es-ES"/>
    </w:rPr>
  </w:style>
  <w:style w:type="character" w:customStyle="1" w:styleId="TextonotaalfinalCar">
    <w:name w:val="Texto nota al final Car"/>
    <w:basedOn w:val="Fuentedeprrafopredeter"/>
    <w:link w:val="Textonotaalfinal"/>
    <w:uiPriority w:val="99"/>
    <w:semiHidden/>
    <w:rsid w:val="00A140D8"/>
    <w:rPr>
      <w:sz w:val="20"/>
      <w:szCs w:val="20"/>
    </w:rPr>
  </w:style>
  <w:style w:type="paragraph" w:customStyle="1" w:styleId="N2">
    <w:name w:val="N2"/>
    <w:basedOn w:val="N1IFT"/>
    <w:link w:val="N2Car"/>
    <w:qFormat/>
    <w:rsid w:val="00A140D8"/>
    <w:pPr>
      <w:jc w:val="center"/>
    </w:pPr>
    <w:rPr>
      <w:snapToGrid w:val="0"/>
    </w:rPr>
  </w:style>
  <w:style w:type="character" w:styleId="Refdenotaalfinal">
    <w:name w:val="endnote reference"/>
    <w:basedOn w:val="Fuentedeprrafopredeter"/>
    <w:uiPriority w:val="99"/>
    <w:semiHidden/>
    <w:unhideWhenUsed/>
    <w:rsid w:val="00A140D8"/>
    <w:rPr>
      <w:vertAlign w:val="superscript"/>
    </w:rPr>
  </w:style>
  <w:style w:type="paragraph" w:customStyle="1" w:styleId="TH">
    <w:name w:val="TH"/>
    <w:basedOn w:val="Normal"/>
    <w:uiPriority w:val="99"/>
    <w:rsid w:val="00277ED2"/>
    <w:pPr>
      <w:keepNext/>
      <w:keepLines/>
      <w:overflowPunct w:val="0"/>
      <w:autoSpaceDE w:val="0"/>
      <w:autoSpaceDN w:val="0"/>
      <w:adjustRightInd w:val="0"/>
      <w:spacing w:before="3pt" w:after="9pt" w:line="12pt" w:lineRule="auto"/>
      <w:jc w:val="center"/>
      <w:textAlignment w:val="baseline"/>
    </w:pPr>
    <w:rPr>
      <w:rFonts w:ascii="Calibri" w:eastAsia="Times New Roman" w:hAnsi="Calibri" w:cs="Times New Roman"/>
      <w:b/>
      <w:sz w:val="24"/>
      <w:szCs w:val="24"/>
      <w:lang w:val="en-GB"/>
    </w:rPr>
  </w:style>
  <w:style w:type="paragraph" w:customStyle="1" w:styleId="Fig">
    <w:name w:val="Fig"/>
    <w:basedOn w:val="Normal"/>
    <w:next w:val="Normal"/>
    <w:uiPriority w:val="99"/>
    <w:rsid w:val="00277ED2"/>
    <w:pPr>
      <w:tabs>
        <w:tab w:val="start" w:pos="39.70pt"/>
        <w:tab w:val="start" w:pos="59.55pt"/>
        <w:tab w:val="start" w:pos="79.40pt"/>
        <w:tab w:val="start" w:pos="99.25pt"/>
      </w:tabs>
      <w:overflowPunct w:val="0"/>
      <w:autoSpaceDE w:val="0"/>
      <w:autoSpaceDN w:val="0"/>
      <w:adjustRightInd w:val="0"/>
      <w:spacing w:before="6.80pt" w:line="12pt" w:lineRule="auto"/>
      <w:jc w:val="center"/>
      <w:textAlignment w:val="baseline"/>
    </w:pPr>
    <w:rPr>
      <w:rFonts w:ascii="Times New Roman" w:eastAsia="Times New Roman" w:hAnsi="Times New Roman" w:cs="Times New Roman"/>
      <w:sz w:val="24"/>
      <w:szCs w:val="24"/>
      <w:lang w:val="en-US" w:eastAsia="es-ES"/>
    </w:rPr>
  </w:style>
  <w:style w:type="table" w:customStyle="1" w:styleId="Sombreadoclaro-nfasis11">
    <w:name w:val="Sombreado claro - Énfasis 11"/>
    <w:basedOn w:val="Tablanormal"/>
    <w:uiPriority w:val="60"/>
    <w:rsid w:val="00A140D8"/>
    <w:pPr>
      <w:spacing w:after="0pt" w:line="12pt" w:lineRule="auto"/>
    </w:pPr>
    <w:rPr>
      <w:rFonts w:eastAsiaTheme="minorEastAsia"/>
      <w:color w:val="2E74B5" w:themeColor="accent1" w:themeShade="BF"/>
      <w:lang w:eastAsia="es-MX"/>
    </w:rPr>
    <w:tblPr>
      <w:tblStyleRowBandSize w:val="1"/>
      <w:tblStyleColBandSize w:val="1"/>
      <w:tblBorders>
        <w:top w:val="single" w:sz="8" w:space="0" w:color="5B9BD5" w:themeColor="accent1"/>
        <w:bottom w:val="single" w:sz="8" w:space="0" w:color="5B9BD5" w:themeColor="accent1"/>
      </w:tblBorders>
    </w:tblPr>
    <w:tblStylePr w:type="firstRow">
      <w:pPr>
        <w:spacing w:before="0pt" w:after="0pt" w:line="12pt" w:lineRule="auto"/>
      </w:pPr>
      <w:rPr>
        <w:b/>
        <w:bCs/>
      </w:rPr>
      <w:tblPr/>
      <w:tcPr>
        <w:tcBorders>
          <w:top w:val="single" w:sz="8" w:space="0" w:color="5B9BD5" w:themeColor="accent1"/>
          <w:start w:val="nil"/>
          <w:bottom w:val="single" w:sz="8" w:space="0" w:color="5B9BD5" w:themeColor="accent1"/>
          <w:end w:val="nil"/>
          <w:insideH w:val="nil"/>
          <w:insideV w:val="nil"/>
        </w:tcBorders>
      </w:tcPr>
    </w:tblStylePr>
    <w:tblStylePr w:type="lastRow">
      <w:pPr>
        <w:spacing w:before="0pt" w:after="0pt" w:line="12pt" w:lineRule="auto"/>
      </w:pPr>
      <w:rPr>
        <w:b/>
        <w:bCs/>
      </w:rPr>
      <w:tblPr/>
      <w:tcPr>
        <w:tcBorders>
          <w:top w:val="single" w:sz="8" w:space="0" w:color="5B9BD5" w:themeColor="accent1"/>
          <w:start w:val="nil"/>
          <w:bottom w:val="single" w:sz="8" w:space="0" w:color="5B9BD5" w:themeColor="accent1"/>
          <w:end w:val="nil"/>
          <w:insideH w:val="nil"/>
          <w:insideV w:val="nil"/>
        </w:tcBorders>
      </w:tcPr>
    </w:tblStylePr>
    <w:tblStylePr w:type="firstCol">
      <w:rPr>
        <w:b/>
        <w:bCs/>
      </w:rPr>
    </w:tblStylePr>
    <w:tblStylePr w:type="lastCol">
      <w:rPr>
        <w:b/>
        <w:bCs/>
      </w:rPr>
    </w:tblStylePr>
    <w:tblStylePr w:type="band1Vert">
      <w:tblPr/>
      <w:tcPr>
        <w:tcBorders>
          <w:start w:val="nil"/>
          <w:end w:val="nil"/>
          <w:insideH w:val="nil"/>
          <w:insideV w:val="nil"/>
        </w:tcBorders>
        <w:shd w:val="clear" w:color="auto" w:fill="D6E6F4" w:themeFill="accent1" w:themeFillTint="3F"/>
      </w:tcPr>
    </w:tblStylePr>
    <w:tblStylePr w:type="band1Horz">
      <w:tblPr/>
      <w:tcPr>
        <w:tcBorders>
          <w:start w:val="nil"/>
          <w:end w:val="nil"/>
          <w:insideH w:val="nil"/>
          <w:insideV w:val="nil"/>
        </w:tcBorders>
        <w:shd w:val="clear" w:color="auto" w:fill="D6E6F4" w:themeFill="accent1" w:themeFillTint="3F"/>
      </w:tcPr>
    </w:tblStylePr>
  </w:style>
  <w:style w:type="numbering" w:customStyle="1" w:styleId="Estilo11">
    <w:name w:val="Estilo11"/>
    <w:rsid w:val="00F85A8C"/>
    <w:pPr>
      <w:numPr>
        <w:numId w:val="9"/>
      </w:numPr>
    </w:pPr>
  </w:style>
  <w:style w:type="character" w:customStyle="1" w:styleId="T1IFTCar">
    <w:name w:val="T1 IFT Car"/>
    <w:basedOn w:val="Fuentedeprrafopredeter"/>
    <w:link w:val="T1IFT"/>
    <w:rsid w:val="008C1F2D"/>
    <w:rPr>
      <w:rFonts w:ascii="Arial" w:eastAsia="Times New Roman" w:hAnsi="Arial" w:cs="Arial"/>
      <w:b/>
      <w:iCs/>
      <w:szCs w:val="20"/>
      <w:lang w:eastAsia="es-ES"/>
    </w:rPr>
  </w:style>
  <w:style w:type="character" w:customStyle="1" w:styleId="T2IFTCar">
    <w:name w:val="T2 IFT Car"/>
    <w:basedOn w:val="Fuentedeprrafopredeter"/>
    <w:link w:val="T2IFT"/>
    <w:rsid w:val="00A140D8"/>
    <w:rPr>
      <w:rFonts w:ascii="ITC Avant Garde" w:eastAsia="Calibri" w:hAnsi="ITC Avant Garde" w:cs="Times New Roman"/>
      <w:b/>
    </w:rPr>
  </w:style>
  <w:style w:type="table" w:styleId="Tablanormal1">
    <w:name w:val="Plain Table 1"/>
    <w:basedOn w:val="Tablanormal"/>
    <w:uiPriority w:val="41"/>
    <w:rsid w:val="00277ED2"/>
    <w:pPr>
      <w:spacing w:after="0pt" w:line="12pt" w:lineRule="auto"/>
    </w:pPr>
    <w:rPr>
      <w:rFonts w:eastAsiaTheme="minorEastAsia"/>
      <w:lang w:eastAsia="es-MX"/>
    </w:rPr>
    <w:tblPr>
      <w:tblStyleRowBandSize w:val="1"/>
      <w:tblStyleColBandSize w:val="1"/>
      <w:tbl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RequerimientoIFT">
    <w:name w:val="Requerimiento IFT"/>
    <w:basedOn w:val="Normal"/>
    <w:autoRedefine/>
    <w:qFormat/>
    <w:rsid w:val="00A140D8"/>
    <w:pPr>
      <w:tabs>
        <w:tab w:val="start" w:pos="21.25pt"/>
      </w:tabs>
      <w:adjustRightInd w:val="0"/>
      <w:spacing w:after="10pt"/>
      <w:ind w:start="36pt" w:end="38pt" w:hanging="18pt"/>
      <w:jc w:val="both"/>
    </w:pPr>
    <w:rPr>
      <w:rFonts w:ascii="ITC Avant Garde" w:eastAsia="Times New Roman" w:hAnsi="ITC Avant Garde" w:cs="Arial"/>
      <w:bCs/>
      <w:color w:val="000000"/>
      <w:sz w:val="20"/>
      <w:szCs w:val="20"/>
      <w:lang w:val="es-ES_tradnl" w:eastAsia="es-ES"/>
    </w:rPr>
  </w:style>
  <w:style w:type="paragraph" w:customStyle="1" w:styleId="TITULOTELMEXCar">
    <w:name w:val="TITULO TELMEX Car"/>
    <w:basedOn w:val="Normal"/>
    <w:link w:val="TITULOTELMEXCarCar"/>
    <w:uiPriority w:val="99"/>
    <w:rsid w:val="00277ED2"/>
    <w:pPr>
      <w:spacing w:line="12pt" w:lineRule="auto"/>
      <w:jc w:val="both"/>
    </w:pPr>
    <w:rPr>
      <w:rFonts w:ascii="Calibri" w:eastAsia="Times New Roman" w:hAnsi="Calibri" w:cs="Times New Roman"/>
      <w:b/>
      <w:sz w:val="32"/>
      <w:szCs w:val="24"/>
      <w:lang w:eastAsia="es-ES"/>
    </w:rPr>
  </w:style>
  <w:style w:type="paragraph" w:customStyle="1" w:styleId="Numtext1">
    <w:name w:val="Numtext 1"/>
    <w:basedOn w:val="Prrafodelista"/>
    <w:link w:val="Numtext1Char"/>
    <w:qFormat/>
    <w:rsid w:val="007C2715"/>
    <w:pPr>
      <w:suppressAutoHyphens/>
      <w:spacing w:after="10pt"/>
      <w:ind w:start="21.30pt" w:hanging="21.30pt"/>
      <w:contextualSpacing w:val="0"/>
      <w:jc w:val="both"/>
    </w:pPr>
    <w:rPr>
      <w:rFonts w:eastAsiaTheme="minorHAnsi" w:cs="Arial"/>
      <w:lang w:val="es-ES"/>
    </w:rPr>
  </w:style>
  <w:style w:type="character" w:customStyle="1" w:styleId="Mencinsinresolver2">
    <w:name w:val="Mención sin resolver2"/>
    <w:uiPriority w:val="99"/>
    <w:semiHidden/>
    <w:unhideWhenUsed/>
    <w:rsid w:val="00277ED2"/>
    <w:rPr>
      <w:color w:val="605E5C"/>
      <w:shd w:val="clear" w:color="auto" w:fill="E1DFDD"/>
    </w:rPr>
  </w:style>
  <w:style w:type="paragraph" w:customStyle="1" w:styleId="Formatolibre">
    <w:name w:val="Formato libre"/>
    <w:uiPriority w:val="99"/>
    <w:rsid w:val="00A140D8"/>
    <w:pPr>
      <w:spacing w:after="0pt" w:line="12pt" w:lineRule="auto"/>
    </w:pPr>
    <w:rPr>
      <w:rFonts w:ascii="Helvetica" w:eastAsia="Times New Roman" w:hAnsi="Helvetica" w:cs="Times New Roman"/>
      <w:color w:val="000000"/>
      <w:sz w:val="24"/>
      <w:szCs w:val="20"/>
      <w:lang w:val="es-ES_tradnl" w:eastAsia="es-MX"/>
    </w:rPr>
  </w:style>
  <w:style w:type="paragraph" w:customStyle="1" w:styleId="Ttulo4H44H4-Heading4h4aHeading44headingl4h41H4141H4-Heading41a1Heading41heading41l414heading1h42H4242H4-Heading42a2Heading42heading42l424heading2h411H411411H4-Heading411a11Heading411heading411">
    <w:name w:val="Título 4.H4.4.H4-Heading 4.h4.a..Heading4.4heading.l4.h41.H41.41.H4-Heading 41.a.1.Heading41.heading 41.l41.4heading1.h42.H42.42.H4-Heading 42.a.2.Heading42.heading 42.l42.4heading2.h411.H411.411.H4-Heading 411.a.11.Heading411.heading 411"/>
    <w:basedOn w:val="Normal"/>
    <w:next w:val="Normal"/>
    <w:rsid w:val="00A140D8"/>
    <w:pPr>
      <w:keepNext/>
      <w:tabs>
        <w:tab w:val="num" w:pos="43.20pt"/>
      </w:tabs>
      <w:spacing w:line="12pt" w:lineRule="auto"/>
      <w:ind w:start="43.20pt" w:hanging="43.20pt"/>
      <w:jc w:val="center"/>
      <w:outlineLvl w:val="3"/>
    </w:pPr>
    <w:rPr>
      <w:rFonts w:eastAsia="Times New Roman" w:cs="Times New Roman"/>
      <w:b/>
      <w:sz w:val="24"/>
      <w:szCs w:val="20"/>
      <w:lang w:val="en-US" w:eastAsia="es-ES"/>
    </w:rPr>
  </w:style>
  <w:style w:type="paragraph" w:customStyle="1" w:styleId="NormalBulletLevel2">
    <w:name w:val="Normal Bullet Level 2"/>
    <w:basedOn w:val="Normal"/>
    <w:next w:val="Normal"/>
    <w:uiPriority w:val="99"/>
    <w:rsid w:val="00277ED2"/>
    <w:pPr>
      <w:numPr>
        <w:numId w:val="12"/>
      </w:numPr>
      <w:tabs>
        <w:tab w:val="clear" w:pos="450pt"/>
      </w:tabs>
      <w:spacing w:before="3pt" w:after="3pt" w:line="12pt" w:lineRule="auto"/>
      <w:ind w:start="234pt"/>
    </w:pPr>
    <w:rPr>
      <w:rFonts w:ascii="Garamond" w:eastAsia="Times New Roman" w:hAnsi="Garamond" w:cs="Times New Roman"/>
      <w:lang w:val="en-US"/>
    </w:rPr>
  </w:style>
  <w:style w:type="paragraph" w:customStyle="1" w:styleId="Ttulo6H66h6H6161h61Requirement1H6262h62H611611h611Requirement11H6363h63Requirement3H6464h64Requirement4H6565h65Requirement5H621621h621Requirement21H631631h631Requirement31H641641h641H66H6766h66612">
    <w:name w:val="Título 6.H6.6.h6.H61.61.h61.Requirement1.H62.62.h62.H611.611.h611.Requirement11.H63.63.h63.Requirement3.H64.64.h64.Requirement4.H65.65.h65.Requirement5.H621.621.h621.Requirement21.H631.631.h631.Requirement31.H641.641.h641.H66.H67.66.h66.612"/>
    <w:basedOn w:val="Normal"/>
    <w:next w:val="Normal"/>
    <w:rsid w:val="00A140D8"/>
    <w:pPr>
      <w:tabs>
        <w:tab w:val="num" w:pos="57.60pt"/>
      </w:tabs>
      <w:spacing w:before="12pt" w:after="3pt" w:line="12pt" w:lineRule="auto"/>
      <w:ind w:start="57.60pt" w:hanging="57.60pt"/>
      <w:jc w:val="both"/>
      <w:outlineLvl w:val="5"/>
    </w:pPr>
    <w:rPr>
      <w:rFonts w:eastAsia="Times New Roman" w:cs="Times New Roman"/>
      <w:i/>
      <w:szCs w:val="20"/>
      <w:lang w:val="en-US" w:eastAsia="es-ES"/>
    </w:rPr>
  </w:style>
  <w:style w:type="paragraph" w:customStyle="1" w:styleId="Ttulo77ExhibitTitlestObjectiveheading7req371ExhibitTitle1st1Objective1heading71req3172ExhibitTitle2st2Objective2heading72req32711ExhibitTitle11st11Objective11heading711req31173ExhibitTitle3st3Objective3heading73req3374">
    <w:name w:val="Título 7.7.ExhibitTitle.st.Objective.heading7.req3.71.ExhibitTitle1.st1.Objective1.heading71.req31.72.ExhibitTitle2.st2.Objective2.heading72.req32.711.ExhibitTitle11.st11.Objective11.heading711.req311.73.ExhibitTitle3.st3.Objective3.heading73.req33.74"/>
    <w:basedOn w:val="Normal"/>
    <w:next w:val="Normal"/>
    <w:rsid w:val="00A140D8"/>
    <w:pPr>
      <w:tabs>
        <w:tab w:val="num" w:pos="64.80pt"/>
      </w:tabs>
      <w:spacing w:before="12pt" w:after="3pt" w:line="12pt" w:lineRule="auto"/>
      <w:ind w:start="64.80pt" w:hanging="64.80pt"/>
      <w:jc w:val="both"/>
      <w:outlineLvl w:val="6"/>
    </w:pPr>
    <w:rPr>
      <w:rFonts w:eastAsia="Times New Roman" w:cs="Times New Roman"/>
      <w:sz w:val="20"/>
      <w:szCs w:val="20"/>
      <w:lang w:val="en-US" w:eastAsia="es-ES"/>
    </w:rPr>
  </w:style>
  <w:style w:type="character" w:customStyle="1" w:styleId="Sangra2detindependienteCar">
    <w:name w:val="Sangría 2 de t. independiente Car"/>
    <w:basedOn w:val="Fuentedeprrafopredeter"/>
    <w:link w:val="Sangra2detindependiente"/>
    <w:uiPriority w:val="99"/>
    <w:rsid w:val="00277ED2"/>
    <w:rPr>
      <w:rFonts w:ascii="Calibri" w:eastAsia="Times New Roman" w:hAnsi="Calibri" w:cs="Times New Roman"/>
      <w:sz w:val="24"/>
      <w:szCs w:val="24"/>
      <w:lang w:val="es-ES_tradnl" w:eastAsia="es-ES"/>
    </w:rPr>
  </w:style>
  <w:style w:type="paragraph" w:customStyle="1" w:styleId="Ttulo88FigureTitleConditionrequirementreq2req81FigureTitle1Condition1requirement1req21req482FigureTitle2Condition2requirement2req22req5811FigureTitle11Condition11requirement11req211req4183FigureTitle3Condition3">
    <w:name w:val="Título 8.8.FigureTitle.Condition.requirement.req2.req.81.FigureTitle1.Condition1.requirement1.req21.req4.82.FigureTitle2.Condition2.requirement2.req22.req5.811.FigureTitle11.Condition11.requirement11.req211.req41.83.FigureTitle3.Condition3"/>
    <w:basedOn w:val="Normal"/>
    <w:next w:val="Normal"/>
    <w:rsid w:val="00A140D8"/>
    <w:pPr>
      <w:tabs>
        <w:tab w:val="num" w:pos="72pt"/>
      </w:tabs>
      <w:spacing w:before="12pt" w:after="3pt" w:line="12pt" w:lineRule="auto"/>
      <w:ind w:start="72pt" w:hanging="72pt"/>
      <w:jc w:val="both"/>
      <w:outlineLvl w:val="7"/>
    </w:pPr>
    <w:rPr>
      <w:rFonts w:eastAsia="Times New Roman" w:cs="Times New Roman"/>
      <w:i/>
      <w:sz w:val="20"/>
      <w:szCs w:val="20"/>
      <w:lang w:val="en-US" w:eastAsia="es-ES"/>
    </w:rPr>
  </w:style>
  <w:style w:type="paragraph" w:customStyle="1" w:styleId="aaaNOTAalpie">
    <w:name w:val="aaa NOTA al pie"/>
    <w:basedOn w:val="Textonotapie"/>
    <w:qFormat/>
    <w:rsid w:val="007C2715"/>
    <w:pPr>
      <w:tabs>
        <w:tab w:val="start" w:pos="14.20pt"/>
      </w:tabs>
      <w:spacing w:after="3pt"/>
      <w:ind w:start="14.20pt" w:hanging="14.20pt"/>
    </w:pPr>
    <w:rPr>
      <w:szCs w:val="18"/>
      <w:lang w:val="es-ES_tradnl" w:eastAsia="es-ES"/>
    </w:rPr>
  </w:style>
  <w:style w:type="paragraph" w:customStyle="1" w:styleId="Ttulo99TableTitleCondlReqtrbreqbulletreq191TableTitle1CondlReqt1rb1reqbullet1req1192TableTitle2CondlReqt2rb2reqbullet2req12911TableTitle11CondlReqt11rb11reqbullet11req11193TableTitle3CondlReqt3rb3req13">
    <w:name w:val="Título 9.9.TableTitle.Cond'l Reqt..rb.req bullet.req1.91.TableTitle1.Cond'l Reqt.1.rb1.req bullet1.req11.92.TableTitle2.Cond'l Reqt.2.rb2.req bullet2.req12.911.TableTitle11.Cond'l Reqt.11.rb11.req bullet11.req111.93.TableTitle3.Cond'l Reqt.3.rb3.req13"/>
    <w:basedOn w:val="Normal"/>
    <w:next w:val="Normal"/>
    <w:rsid w:val="00A140D8"/>
    <w:pPr>
      <w:tabs>
        <w:tab w:val="num" w:pos="79.20pt"/>
      </w:tabs>
      <w:spacing w:before="12pt" w:after="3pt" w:line="12pt" w:lineRule="auto"/>
      <w:ind w:start="79.20pt" w:hanging="79.20pt"/>
      <w:jc w:val="both"/>
      <w:outlineLvl w:val="8"/>
    </w:pPr>
    <w:rPr>
      <w:rFonts w:eastAsia="Times New Roman" w:cs="Times New Roman"/>
      <w:b/>
      <w:i/>
      <w:sz w:val="18"/>
      <w:szCs w:val="20"/>
      <w:lang w:val="en-US" w:eastAsia="es-ES"/>
    </w:rPr>
  </w:style>
  <w:style w:type="character" w:customStyle="1" w:styleId="NotaalpiedepaginaCar">
    <w:name w:val="Nota al pie de pagina Car"/>
    <w:link w:val="Notaalpiedepagina"/>
    <w:rsid w:val="00277ED2"/>
    <w:rPr>
      <w:rFonts w:ascii="Calibri" w:eastAsia="Times New Roman" w:hAnsi="Calibri" w:cs="Times New Roman"/>
      <w:sz w:val="18"/>
      <w:szCs w:val="18"/>
      <w:lang w:val="es-ES_tradnl" w:eastAsia="es-ES"/>
    </w:rPr>
  </w:style>
  <w:style w:type="table" w:customStyle="1" w:styleId="TableNormal1">
    <w:name w:val="Table Normal1"/>
    <w:uiPriority w:val="2"/>
    <w:semiHidden/>
    <w:unhideWhenUsed/>
    <w:qFormat/>
    <w:rsid w:val="00A140D8"/>
    <w:pPr>
      <w:widowControl w:val="0"/>
      <w:spacing w:after="0pt" w:line="12pt" w:lineRule="auto"/>
    </w:pPr>
    <w:rPr>
      <w:lang w:val="en-US"/>
    </w:rPr>
    <w:tblPr>
      <w:tblInd w:w="0pt" w:type="dxa"/>
      <w:tblCellMar>
        <w:top w:w="0pt" w:type="dxa"/>
        <w:start w:w="0pt" w:type="dxa"/>
        <w:bottom w:w="0pt" w:type="dxa"/>
        <w:end w:w="0pt" w:type="dxa"/>
      </w:tblCellMar>
    </w:tblPr>
  </w:style>
  <w:style w:type="character" w:customStyle="1" w:styleId="Heading6Char2">
    <w:name w:val="Heading 6 Char2"/>
    <w:aliases w:val="6 Char2,61 Char2,611 Char2,612 Ch,62 Char2,Bullet list Char2,Header 6 Char2,ITT t6 Char2,Level 6 Char2,PA Appendix Char2,Requirement Char2,Requirement1 Char2,Requirement11 Char2,Requirement2 Char2,h6 Char2,h61 Char2,h611 Char2,h62 Char2"/>
    <w:basedOn w:val="Fuentedeprrafopredeter"/>
    <w:uiPriority w:val="99"/>
    <w:semiHidden/>
    <w:locked/>
    <w:rsid w:val="00A140D8"/>
    <w:rPr>
      <w:rFonts w:ascii="Calibri" w:hAnsi="Calibri" w:cs="Times New Roman"/>
      <w:b/>
      <w:bCs/>
      <w:lang w:val="es-ES_tradnl" w:eastAsia="es-ES"/>
    </w:rPr>
  </w:style>
  <w:style w:type="paragraph" w:customStyle="1" w:styleId="Text">
    <w:name w:val="Text"/>
    <w:aliases w:val="t"/>
    <w:basedOn w:val="Normal"/>
    <w:uiPriority w:val="99"/>
    <w:rsid w:val="00277ED2"/>
    <w:pPr>
      <w:widowControl w:val="0"/>
      <w:spacing w:before="3pt" w:after="3pt" w:line="18pt" w:lineRule="auto"/>
      <w:jc w:val="both"/>
    </w:pPr>
    <w:rPr>
      <w:rFonts w:ascii="Calibri" w:eastAsia="Times New Roman" w:hAnsi="Calibri" w:cs="Times New Roman"/>
      <w:szCs w:val="24"/>
      <w:lang w:val="en-US" w:eastAsia="de-DE"/>
    </w:rPr>
  </w:style>
  <w:style w:type="character" w:customStyle="1" w:styleId="NotaalpieCar">
    <w:name w:val="Nota al pie Car"/>
    <w:basedOn w:val="TextonotapieCar"/>
    <w:link w:val="Notaalpie"/>
    <w:rsid w:val="007C2715"/>
    <w:rPr>
      <w:rFonts w:ascii="Arial" w:eastAsia="Calibri" w:hAnsi="Arial" w:cs="Times New Roman"/>
      <w:color w:val="595959" w:themeColor="text1" w:themeTint="A6"/>
      <w:sz w:val="16"/>
      <w:szCs w:val="14"/>
      <w:lang w:val="es-ES" w:eastAsia="es-ES"/>
    </w:rPr>
  </w:style>
  <w:style w:type="character" w:customStyle="1" w:styleId="FirmadecorreoelectrnicoCar">
    <w:name w:val="Firma de correo electrónico Car"/>
    <w:basedOn w:val="Fuentedeprrafopredeter"/>
    <w:link w:val="Firmadecorreoelectrnico"/>
    <w:uiPriority w:val="99"/>
    <w:rsid w:val="00277ED2"/>
    <w:rPr>
      <w:rFonts w:ascii="Calibri" w:eastAsia="Times New Roman" w:hAnsi="Calibri" w:cs="Times New Roman"/>
      <w:sz w:val="24"/>
      <w:szCs w:val="24"/>
      <w:lang w:eastAsia="es-ES"/>
    </w:rPr>
  </w:style>
  <w:style w:type="paragraph" w:customStyle="1" w:styleId="Prrafodelista2">
    <w:name w:val="Párrafo de lista2"/>
    <w:basedOn w:val="Normal"/>
    <w:uiPriority w:val="34"/>
    <w:rsid w:val="00A140D8"/>
    <w:pPr>
      <w:spacing w:line="12pt" w:lineRule="auto"/>
      <w:ind w:start="35.40pt"/>
    </w:pPr>
    <w:rPr>
      <w:rFonts w:ascii="Calibri" w:hAnsi="Calibri" w:cs="Times New Roman"/>
      <w:sz w:val="24"/>
      <w:szCs w:val="24"/>
      <w:lang w:eastAsia="es-MX"/>
    </w:rPr>
  </w:style>
  <w:style w:type="paragraph" w:customStyle="1" w:styleId="IFT1">
    <w:name w:val="IFT 1"/>
    <w:basedOn w:val="Normal"/>
    <w:link w:val="IFT1Car"/>
    <w:qFormat/>
    <w:rsid w:val="00A140D8"/>
    <w:pPr>
      <w:spacing w:after="10pt"/>
      <w:jc w:val="both"/>
    </w:pPr>
    <w:rPr>
      <w:rFonts w:ascii="ITC Avant Garde" w:eastAsia="Times New Roman" w:hAnsi="ITC Avant Garde" w:cs="Times New Roman"/>
      <w:iCs/>
    </w:rPr>
  </w:style>
  <w:style w:type="character" w:customStyle="1" w:styleId="IFT1Car">
    <w:name w:val="IFT 1 Car"/>
    <w:link w:val="IFT1"/>
    <w:rsid w:val="00A140D8"/>
    <w:rPr>
      <w:rFonts w:ascii="ITC Avant Garde" w:eastAsia="Times New Roman" w:hAnsi="ITC Avant Garde" w:cs="Times New Roman"/>
      <w:iCs/>
    </w:rPr>
  </w:style>
  <w:style w:type="paragraph" w:styleId="Textodebloque">
    <w:name w:val="Block Text"/>
    <w:basedOn w:val="Normal"/>
    <w:uiPriority w:val="99"/>
    <w:rsid w:val="00A140D8"/>
    <w:pPr>
      <w:spacing w:line="12pt" w:lineRule="auto"/>
      <w:ind w:start="28.35pt" w:end="0.05pt"/>
      <w:jc w:val="both"/>
    </w:pPr>
    <w:rPr>
      <w:rFonts w:eastAsia="Times New Roman" w:cs="Arial"/>
      <w:sz w:val="24"/>
      <w:szCs w:val="24"/>
      <w:lang w:val="es-ES_tradnl" w:eastAsia="es-ES"/>
    </w:rPr>
  </w:style>
  <w:style w:type="paragraph" w:customStyle="1" w:styleId="pieizq">
    <w:name w:val="pie izq"/>
    <w:basedOn w:val="Normal"/>
    <w:uiPriority w:val="99"/>
    <w:rsid w:val="00277ED2"/>
    <w:pPr>
      <w:tabs>
        <w:tab w:val="center" w:pos="212.60pt"/>
        <w:tab w:val="end" w:pos="425.20pt"/>
        <w:tab w:val="start" w:pos="474.90pt"/>
      </w:tabs>
      <w:spacing w:line="12pt" w:lineRule="auto"/>
      <w:ind w:start="212.60pt" w:end="0.25pt" w:hanging="212.60pt"/>
    </w:pPr>
    <w:rPr>
      <w:rFonts w:ascii="Calibri" w:eastAsia="Times New Roman" w:hAnsi="Calibri" w:cs="Times New Roman"/>
      <w:b/>
      <w:sz w:val="28"/>
      <w:szCs w:val="24"/>
      <w:lang w:val="es-ES_tradnl" w:eastAsia="es-ES"/>
    </w:rPr>
  </w:style>
  <w:style w:type="character" w:styleId="Textodelmarcadordeposicin">
    <w:name w:val="Placeholder Text"/>
    <w:basedOn w:val="Fuentedeprrafopredeter"/>
    <w:uiPriority w:val="99"/>
    <w:semiHidden/>
    <w:rsid w:val="00A140D8"/>
    <w:rPr>
      <w:color w:val="808080"/>
    </w:rPr>
  </w:style>
  <w:style w:type="paragraph" w:customStyle="1" w:styleId="Revisin2">
    <w:name w:val="Revisión2"/>
    <w:hidden/>
    <w:semiHidden/>
    <w:rsid w:val="001811E0"/>
    <w:pPr>
      <w:spacing w:after="0pt" w:line="12pt" w:lineRule="auto"/>
    </w:pPr>
    <w:rPr>
      <w:rFonts w:ascii="Times New Roman" w:eastAsia="Times New Roman" w:hAnsi="Times New Roman" w:cs="Times New Roman"/>
      <w:sz w:val="24"/>
      <w:szCs w:val="24"/>
      <w:lang w:val="es-ES" w:eastAsia="es-ES"/>
    </w:rPr>
  </w:style>
  <w:style w:type="paragraph" w:customStyle="1" w:styleId="TableParagraph">
    <w:name w:val="Table Paragraph"/>
    <w:basedOn w:val="Normal"/>
    <w:uiPriority w:val="1"/>
    <w:qFormat/>
    <w:rsid w:val="00A140D8"/>
    <w:pPr>
      <w:widowControl w:val="0"/>
      <w:spacing w:line="12pt" w:lineRule="auto"/>
    </w:pPr>
    <w:rPr>
      <w:lang w:val="en-US"/>
    </w:rPr>
  </w:style>
  <w:style w:type="paragraph" w:customStyle="1" w:styleId="Heading">
    <w:name w:val="Heading"/>
    <w:next w:val="Textoindependiente"/>
    <w:uiPriority w:val="99"/>
    <w:rsid w:val="00277ED2"/>
    <w:pPr>
      <w:spacing w:before="12pt" w:after="0pt" w:line="12pt" w:lineRule="auto"/>
      <w:ind w:start="127.60pt"/>
    </w:pPr>
    <w:rPr>
      <w:rFonts w:ascii="Arial" w:eastAsia="Times New Roman" w:hAnsi="Arial" w:cs="Times New Roman"/>
      <w:b/>
      <w:szCs w:val="24"/>
      <w:u w:val="single"/>
      <w:lang w:val="en-GB"/>
    </w:rPr>
  </w:style>
  <w:style w:type="character" w:customStyle="1" w:styleId="Bullet1ernivelCar">
    <w:name w:val="Bullet 1er nivel Car"/>
    <w:basedOn w:val="Fuentedeprrafopredeter"/>
    <w:link w:val="Bullet1ernivel"/>
    <w:rsid w:val="008D153B"/>
    <w:rPr>
      <w:rFonts w:ascii="ITC Avant Garde" w:eastAsia="Times New Roman" w:hAnsi="ITC Avant Garde" w:cs="Arial"/>
      <w:bCs/>
      <w:color w:val="000000"/>
      <w:lang w:val="en-GB" w:eastAsia="es-ES"/>
    </w:rPr>
  </w:style>
  <w:style w:type="table" w:customStyle="1" w:styleId="Tablaconcuadrcula2">
    <w:name w:val="Tabla con cuadrícula2"/>
    <w:basedOn w:val="Tablanormal"/>
    <w:next w:val="Tablaconcuadrcula"/>
    <w:uiPriority w:val="59"/>
    <w:rsid w:val="00A140D8"/>
    <w:pPr>
      <w:spacing w:after="0pt" w:line="12pt" w:lineRule="auto"/>
    </w:pPr>
    <w:rPr>
      <w:rFonts w:ascii="Arial" w:eastAsia="Times New Roman" w:hAnsi="Arial" w:cs="Times New Roman"/>
      <w:sz w:val="24"/>
      <w:szCs w:val="24"/>
      <w:lang w:eastAsia="es-MX"/>
    </w:rPr>
    <w:tblP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Pr>
  </w:style>
  <w:style w:type="character" w:customStyle="1" w:styleId="N2Car">
    <w:name w:val="N2 Car"/>
    <w:basedOn w:val="N1IFTCar"/>
    <w:link w:val="N2"/>
    <w:rsid w:val="00A140D8"/>
    <w:rPr>
      <w:rFonts w:ascii="ITC Avant Garde" w:eastAsia="Calibri" w:hAnsi="ITC Avant Garde" w:cs="Arial"/>
      <w:b/>
      <w:snapToGrid w:val="0"/>
      <w:color w:val="000000"/>
      <w:lang w:val="es-ES" w:eastAsia="es-ES"/>
    </w:rPr>
  </w:style>
  <w:style w:type="paragraph" w:customStyle="1" w:styleId="NombreConcesionario">
    <w:name w:val="NombreConcesionario"/>
    <w:basedOn w:val="Ttulo1"/>
    <w:link w:val="NombreConcesionarioCar"/>
    <w:qFormat/>
    <w:rsid w:val="00A140D8"/>
    <w:pPr>
      <w:spacing w:after="8pt" w:line="12.95pt" w:lineRule="auto"/>
    </w:pPr>
    <w:rPr>
      <w:rFonts w:eastAsiaTheme="minorHAnsi"/>
    </w:rPr>
  </w:style>
  <w:style w:type="paragraph" w:customStyle="1" w:styleId="TituloSeccion">
    <w:name w:val="TituloSeccion"/>
    <w:basedOn w:val="1TitPrin"/>
    <w:link w:val="TituloSeccionCar"/>
    <w:qFormat/>
    <w:rsid w:val="003502D7"/>
    <w:pPr>
      <w:ind w:start="72pt" w:hanging="18pt"/>
    </w:pPr>
    <w:rPr>
      <w:bCs/>
      <w:lang w:val="es-ES_tradnl"/>
    </w:rPr>
  </w:style>
  <w:style w:type="character" w:customStyle="1" w:styleId="EstiloRequeridoIzquierda063cmPrimeralnea0cmCar">
    <w:name w:val="Estilo Requerido + Izquierda:  0.63 cm Primera línea:  0 cm Car"/>
    <w:link w:val="EstiloRequeridoIzquierda063cmPrimeralnea0cm"/>
    <w:uiPriority w:val="99"/>
    <w:locked/>
    <w:rsid w:val="00277ED2"/>
    <w:rPr>
      <w:rFonts w:ascii="Calibri" w:eastAsia="Times New Roman" w:hAnsi="Calibri" w:cs="Times New Roman"/>
      <w:b/>
      <w:bCs/>
      <w:sz w:val="20"/>
      <w:szCs w:val="24"/>
      <w:lang w:val="es-ES_tradnl" w:eastAsia="es-ES"/>
    </w:rPr>
  </w:style>
  <w:style w:type="character" w:customStyle="1" w:styleId="TituloSeccionCar">
    <w:name w:val="TituloSeccion Car"/>
    <w:basedOn w:val="1TitPrinCar"/>
    <w:link w:val="TituloSeccion"/>
    <w:rsid w:val="003502D7"/>
    <w:rPr>
      <w:rFonts w:ascii="ITC Avant Garde" w:eastAsia="Calibri" w:hAnsi="ITC Avant Garde" w:cs="Arial"/>
      <w:b/>
      <w:bCs/>
      <w:color w:val="000000"/>
      <w:lang w:val="es-ES_tradnl" w:eastAsia="es-ES"/>
    </w:rPr>
  </w:style>
  <w:style w:type="paragraph" w:customStyle="1" w:styleId="Bullet1ernivel">
    <w:name w:val="Bullet 1er nivel"/>
    <w:basedOn w:val="Normal"/>
    <w:link w:val="Bullet1ernivelCar"/>
    <w:qFormat/>
    <w:rsid w:val="008D153B"/>
    <w:pPr>
      <w:numPr>
        <w:numId w:val="6"/>
      </w:numPr>
      <w:adjustRightInd w:val="0"/>
      <w:spacing w:before="6pt" w:after="6pt"/>
      <w:jc w:val="both"/>
    </w:pPr>
    <w:rPr>
      <w:rFonts w:ascii="ITC Avant Garde" w:eastAsia="Times New Roman" w:hAnsi="ITC Avant Garde" w:cs="Arial"/>
      <w:bCs/>
      <w:color w:val="000000"/>
      <w:lang w:val="en-GB" w:eastAsia="es-ES"/>
    </w:rPr>
  </w:style>
  <w:style w:type="character" w:customStyle="1" w:styleId="apple-converted-space">
    <w:name w:val="apple-converted-space"/>
    <w:rsid w:val="00B96E3E"/>
  </w:style>
  <w:style w:type="character" w:styleId="Referenciaintensa">
    <w:name w:val="Intense Reference"/>
    <w:basedOn w:val="Fuentedeprrafopredeter"/>
    <w:uiPriority w:val="32"/>
    <w:qFormat/>
    <w:rsid w:val="00657038"/>
    <w:rPr>
      <w:b/>
      <w:bCs/>
      <w:smallCaps/>
      <w:color w:val="5B9BD5" w:themeColor="accent1"/>
      <w:spacing w:val="5"/>
    </w:rPr>
  </w:style>
  <w:style w:type="paragraph" w:styleId="ndice3">
    <w:name w:val="index 3"/>
    <w:basedOn w:val="Normal"/>
    <w:next w:val="Normal"/>
    <w:autoRedefine/>
    <w:uiPriority w:val="99"/>
    <w:semiHidden/>
    <w:rsid w:val="00277ED2"/>
    <w:pPr>
      <w:spacing w:line="12pt" w:lineRule="auto"/>
      <w:ind w:start="36pt" w:hanging="12pt"/>
    </w:pPr>
    <w:rPr>
      <w:rFonts w:ascii="Calibri" w:eastAsia="Times New Roman" w:hAnsi="Calibri" w:cs="Times New Roman"/>
      <w:sz w:val="24"/>
      <w:szCs w:val="24"/>
      <w:lang w:eastAsia="es-ES"/>
    </w:rPr>
  </w:style>
  <w:style w:type="character" w:styleId="Referenciasutil">
    <w:name w:val="Subtle Reference"/>
    <w:basedOn w:val="Fuentedeprrafopredeter"/>
    <w:uiPriority w:val="31"/>
    <w:qFormat/>
    <w:rsid w:val="00657038"/>
    <w:rPr>
      <w:smallCaps/>
      <w:color w:val="5A5A5A" w:themeColor="text1" w:themeTint="A5"/>
    </w:rPr>
  </w:style>
  <w:style w:type="character" w:customStyle="1" w:styleId="1ernivelCar">
    <w:name w:val="#) 1er nivel Car"/>
    <w:basedOn w:val="PrrafodelistaCar"/>
    <w:link w:val="1ernivel"/>
    <w:uiPriority w:val="99"/>
    <w:rsid w:val="00A4359D"/>
    <w:rPr>
      <w:rFonts w:ascii="ITC Avant Garde" w:eastAsia="Calibri" w:hAnsi="ITC Avant Garde" w:cs="Arial"/>
      <w:lang w:val="en-GB" w:eastAsia="es-ES"/>
    </w:rPr>
  </w:style>
  <w:style w:type="paragraph" w:customStyle="1" w:styleId="IFTlet">
    <w:name w:val="IFT let"/>
    <w:basedOn w:val="Normal"/>
    <w:link w:val="IFTletCar"/>
    <w:qFormat/>
    <w:rsid w:val="00F541FC"/>
    <w:pPr>
      <w:jc w:val="both"/>
    </w:pPr>
    <w:rPr>
      <w:rFonts w:eastAsia="Times New Roman" w:cs="Arial"/>
    </w:rPr>
  </w:style>
  <w:style w:type="table" w:customStyle="1" w:styleId="TableNormal3">
    <w:name w:val="Table Normal3"/>
    <w:uiPriority w:val="2"/>
    <w:semiHidden/>
    <w:qFormat/>
    <w:rsid w:val="00F85A8C"/>
    <w:pPr>
      <w:widowControl w:val="0"/>
      <w:spacing w:after="0pt" w:line="12pt" w:lineRule="auto"/>
    </w:pPr>
    <w:rPr>
      <w:rFonts w:ascii="Calibri" w:eastAsia="Calibri" w:hAnsi="Calibri" w:cs="Times New Roman"/>
      <w:lang w:val="en-US"/>
    </w:rPr>
    <w:tblPr>
      <w:tblCellMar>
        <w:top w:w="0pt" w:type="dxa"/>
        <w:start w:w="0pt" w:type="dxa"/>
        <w:bottom w:w="0pt" w:type="dxa"/>
        <w:end w:w="0pt" w:type="dxa"/>
      </w:tblCellMar>
    </w:tblPr>
  </w:style>
  <w:style w:type="paragraph" w:styleId="Descripcin">
    <w:name w:val="caption"/>
    <w:aliases w:val="5 cm,Beschriftung Char,Beschriftung Char Char Char,Caption (ALL),Caption (all),Caption - Centre Graphic,Caption2,Epígrafe,First ...,ITT d,Inscription,Left:  2,Resp caption,TF,Table Title,cap,cp,cp + Justified,figura,figura1,figura2,~Caption"/>
    <w:basedOn w:val="Normal"/>
    <w:next w:val="Normal"/>
    <w:link w:val="DescripcinCar"/>
    <w:uiPriority w:val="99"/>
    <w:unhideWhenUsed/>
    <w:qFormat/>
    <w:rsid w:val="008D2B05"/>
    <w:pPr>
      <w:spacing w:after="10pt" w:line="12pt" w:lineRule="auto"/>
    </w:pPr>
    <w:rPr>
      <w:i/>
      <w:iCs/>
      <w:color w:val="44546A" w:themeColor="text2"/>
      <w:sz w:val="18"/>
      <w:szCs w:val="18"/>
    </w:rPr>
  </w:style>
  <w:style w:type="paragraph" w:customStyle="1" w:styleId="CitaTextual">
    <w:name w:val="* Cita Textual"/>
    <w:basedOn w:val="Normal"/>
    <w:link w:val="CitaTextualCar"/>
    <w:qFormat/>
    <w:rsid w:val="003D2344"/>
    <w:pPr>
      <w:ind w:start="28.35pt" w:end="28.35pt"/>
      <w:jc w:val="both"/>
    </w:pPr>
    <w:rPr>
      <w:rFonts w:eastAsia="Times New Roman" w:cs="Arial"/>
      <w:i/>
      <w:color w:val="000000"/>
      <w:sz w:val="18"/>
      <w:szCs w:val="18"/>
      <w:lang w:val="es-ES_tradnl" w:eastAsia="es-ES"/>
    </w:rPr>
  </w:style>
  <w:style w:type="paragraph" w:customStyle="1" w:styleId="Figure">
    <w:name w:val="Figure"/>
    <w:basedOn w:val="Normal"/>
    <w:autoRedefine/>
    <w:uiPriority w:val="99"/>
    <w:rsid w:val="00277ED2"/>
    <w:pPr>
      <w:numPr>
        <w:numId w:val="24"/>
      </w:numPr>
      <w:tabs>
        <w:tab w:val="clear" w:pos="46.80pt"/>
      </w:tabs>
      <w:spacing w:before="2pt" w:after="10pt" w:line="14.40pt" w:lineRule="auto"/>
      <w:ind w:start="0pt" w:firstLine="0pt"/>
      <w:jc w:val="center"/>
    </w:pPr>
    <w:rPr>
      <w:rFonts w:ascii="Calibri" w:eastAsia="Times New Roman" w:hAnsi="Calibri" w:cs="Arial"/>
      <w:b/>
      <w:bCs/>
      <w:sz w:val="24"/>
      <w:szCs w:val="30"/>
    </w:rPr>
  </w:style>
  <w:style w:type="character" w:customStyle="1" w:styleId="CitaTextualCar">
    <w:name w:val="* Cita Textual Car"/>
    <w:basedOn w:val="Fuentedeprrafopredeter"/>
    <w:link w:val="CitaTextual"/>
    <w:rsid w:val="003D2344"/>
    <w:rPr>
      <w:rFonts w:ascii="Arial" w:eastAsia="Times New Roman" w:hAnsi="Arial" w:cs="Arial"/>
      <w:i/>
      <w:color w:val="000000"/>
      <w:sz w:val="18"/>
      <w:szCs w:val="18"/>
      <w:lang w:val="es-ES_tradnl" w:eastAsia="es-ES"/>
    </w:rPr>
  </w:style>
  <w:style w:type="character" w:customStyle="1" w:styleId="WW-Refdecomentario">
    <w:name w:val="WW-Ref. de comentario"/>
    <w:uiPriority w:val="99"/>
    <w:rsid w:val="00596129"/>
    <w:rPr>
      <w:sz w:val="16"/>
    </w:rPr>
  </w:style>
  <w:style w:type="paragraph" w:customStyle="1" w:styleId="Romano1ernivel">
    <w:name w:val="Romano 1er nivel"/>
    <w:basedOn w:val="Normal"/>
    <w:link w:val="Romano1ernivelCar"/>
    <w:qFormat/>
    <w:rsid w:val="007C2715"/>
    <w:pPr>
      <w:adjustRightInd w:val="0"/>
      <w:spacing w:before="6pt" w:after="6pt"/>
      <w:ind w:start="39.40pt" w:hanging="18pt"/>
      <w:jc w:val="both"/>
    </w:pPr>
    <w:rPr>
      <w:rFonts w:ascii="ITC Avant Garde" w:eastAsia="Calibri" w:hAnsi="ITC Avant Garde" w:cs="Arial"/>
      <w:bCs/>
      <w:color w:val="000000"/>
      <w:lang w:val="es-ES" w:eastAsia="es-ES"/>
    </w:rPr>
  </w:style>
  <w:style w:type="paragraph" w:customStyle="1" w:styleId="IFTOFICIAL">
    <w:name w:val="IFT OFICIAL"/>
    <w:basedOn w:val="Normal"/>
    <w:link w:val="IFTOFICIALCar"/>
    <w:qFormat/>
    <w:rsid w:val="00780C18"/>
    <w:pPr>
      <w:spacing w:after="10pt"/>
      <w:jc w:val="both"/>
    </w:pPr>
    <w:rPr>
      <w:rFonts w:eastAsia="Calibri" w:cs="Arial"/>
      <w:lang w:val="es-ES_tradnl" w:eastAsia="es-ES"/>
    </w:rPr>
  </w:style>
  <w:style w:type="character" w:customStyle="1" w:styleId="IFTOFICIALCar">
    <w:name w:val="IFT OFICIAL Car"/>
    <w:basedOn w:val="Fuentedeprrafopredeter"/>
    <w:link w:val="IFTOFICIAL"/>
    <w:rsid w:val="00780C18"/>
    <w:rPr>
      <w:rFonts w:ascii="Arial" w:eastAsia="Calibri" w:hAnsi="Arial" w:cs="Arial"/>
      <w:lang w:val="es-ES_tradnl" w:eastAsia="es-ES"/>
    </w:rPr>
  </w:style>
  <w:style w:type="paragraph" w:styleId="HTMLconformatoprevio">
    <w:name w:val="HTML Preformatted"/>
    <w:basedOn w:val="Normal"/>
    <w:link w:val="HTMLconformatoprevioCar"/>
    <w:uiPriority w:val="99"/>
    <w:rsid w:val="00277ED2"/>
    <w:pPr>
      <w:tabs>
        <w:tab w:val="start" w:pos="45.80pt"/>
        <w:tab w:val="start" w:pos="91.60pt"/>
        <w:tab w:val="start" w:pos="137.40pt"/>
        <w:tab w:val="start" w:pos="183.20pt"/>
        <w:tab w:val="start" w:pos="229pt"/>
        <w:tab w:val="start" w:pos="274.80pt"/>
        <w:tab w:val="start" w:pos="320.60pt"/>
        <w:tab w:val="start" w:pos="366.40pt"/>
        <w:tab w:val="start" w:pos="412.20pt"/>
        <w:tab w:val="start" w:pos="458pt"/>
        <w:tab w:val="start" w:pos="503.80pt"/>
        <w:tab w:val="start" w:pos="549.60pt"/>
        <w:tab w:val="start" w:pos="595.40pt"/>
        <w:tab w:val="start" w:pos="641.20pt"/>
        <w:tab w:val="start" w:pos="687pt"/>
        <w:tab w:val="start" w:pos="732.80pt"/>
      </w:tabs>
      <w:spacing w:line="12pt" w:lineRule="auto"/>
    </w:pPr>
    <w:rPr>
      <w:rFonts w:ascii="Arial Unicode MS" w:eastAsia="Times New Roman" w:hAnsi="Arial Unicode MS" w:cs="Courier New"/>
      <w:sz w:val="24"/>
      <w:szCs w:val="24"/>
      <w:lang w:val="es-ES" w:eastAsia="es-ES"/>
    </w:rPr>
  </w:style>
  <w:style w:type="character" w:customStyle="1" w:styleId="HTMLconformatoprevioCar">
    <w:name w:val="HTML con formato previo Car"/>
    <w:basedOn w:val="Fuentedeprrafopredeter"/>
    <w:link w:val="HTMLconformatoprevio"/>
    <w:uiPriority w:val="99"/>
    <w:rsid w:val="00277ED2"/>
    <w:rPr>
      <w:rFonts w:ascii="Arial Unicode MS" w:eastAsia="Times New Roman" w:hAnsi="Arial Unicode MS" w:cs="Courier New"/>
      <w:sz w:val="24"/>
      <w:szCs w:val="24"/>
      <w:lang w:val="es-ES" w:eastAsia="es-ES"/>
    </w:rPr>
  </w:style>
  <w:style w:type="character" w:customStyle="1" w:styleId="Heading6Char3">
    <w:name w:val="Heading 6 Char3"/>
    <w:aliases w:val="6 Char3,61 Char3,611 Char3,612 Cha,62 Char3,Bullet list Char3,Header 6 Char3,ITT t6 Char3,Level 6 Char3,PA Appendix Char3,Requirement Char3,Requirement1 Char3,Requirement11 Char3,Requirement2 Char3,h6 Char3,h61 Char3,h611 Char3,h62 Char3"/>
    <w:uiPriority w:val="99"/>
    <w:semiHidden/>
    <w:locked/>
    <w:rsid w:val="00132ADD"/>
    <w:rPr>
      <w:rFonts w:ascii="Calibri" w:hAnsi="Calibri" w:cs="Times New Roman"/>
      <w:b/>
      <w:bCs/>
      <w:lang w:val="es-ES_tradnl" w:eastAsia="es-ES"/>
    </w:rPr>
  </w:style>
  <w:style w:type="character" w:customStyle="1" w:styleId="BodyTextChar">
    <w:name w:val="Body Text Char"/>
    <w:aliases w:val="??2 Car Char,AvtalBrödtext Car Char,BO Car Char,Body Text level 1 Car Char,Body Text2 Car Char,Body3 Car Char,Bodytext Car Char,EHPT Car Char,ID Car Char,Texto independiente Car Char,body text Car Char,bt Car Char,bt Char,ändrad Car Char"/>
    <w:uiPriority w:val="99"/>
    <w:semiHidden/>
    <w:locked/>
    <w:rsid w:val="00C374DD"/>
    <w:rPr>
      <w:rFonts w:cs="Times New Roman"/>
      <w:sz w:val="24"/>
      <w:szCs w:val="24"/>
      <w:lang w:val="es-MX"/>
    </w:rPr>
  </w:style>
  <w:style w:type="paragraph" w:customStyle="1" w:styleId="Revisin1">
    <w:name w:val="Revisión1"/>
    <w:hidden/>
    <w:semiHidden/>
    <w:rsid w:val="001811E0"/>
    <w:pPr>
      <w:spacing w:after="0pt" w:line="12pt" w:lineRule="auto"/>
    </w:pPr>
    <w:rPr>
      <w:rFonts w:ascii="Times New Roman" w:eastAsia="Times New Roman" w:hAnsi="Times New Roman" w:cs="Times New Roman"/>
      <w:sz w:val="24"/>
      <w:szCs w:val="24"/>
      <w:lang w:val="es-ES" w:eastAsia="es-ES"/>
    </w:rPr>
  </w:style>
  <w:style w:type="character" w:customStyle="1" w:styleId="UnresolvedMention1">
    <w:name w:val="Unresolved Mention1"/>
    <w:basedOn w:val="Fuentedeprrafopredeter"/>
    <w:uiPriority w:val="99"/>
    <w:semiHidden/>
    <w:unhideWhenUsed/>
    <w:rsid w:val="0072435A"/>
    <w:rPr>
      <w:color w:val="605E5C"/>
      <w:shd w:val="clear" w:color="auto" w:fill="E1DFDD"/>
    </w:rPr>
  </w:style>
  <w:style w:type="paragraph" w:customStyle="1" w:styleId="xxcitasifetelneue">
    <w:name w:val="xx citas ifetel neue"/>
    <w:basedOn w:val="Normal"/>
    <w:link w:val="xxcitasifetelneueCar"/>
    <w:qFormat/>
    <w:rsid w:val="00917F06"/>
    <w:pPr>
      <w:adjustRightInd w:val="0"/>
      <w:spacing w:after="10pt"/>
      <w:ind w:start="42.55pt" w:end="38pt"/>
      <w:jc w:val="both"/>
    </w:pPr>
    <w:rPr>
      <w:rFonts w:eastAsia="Times New Roman" w:cs="Arial"/>
      <w:bCs/>
      <w:i/>
      <w:color w:val="000000"/>
      <w:sz w:val="18"/>
      <w:szCs w:val="18"/>
      <w:lang w:val="es-ES_tradnl" w:eastAsia="es-ES"/>
    </w:rPr>
  </w:style>
  <w:style w:type="character" w:customStyle="1" w:styleId="xxcitasifetelneueCar">
    <w:name w:val="xx citas ifetel neue Car"/>
    <w:link w:val="xxcitasifetelneue"/>
    <w:qFormat/>
    <w:rsid w:val="00917F06"/>
    <w:rPr>
      <w:rFonts w:ascii="Arial" w:eastAsia="Times New Roman" w:hAnsi="Arial" w:cs="Arial"/>
      <w:bCs/>
      <w:i/>
      <w:color w:val="000000"/>
      <w:sz w:val="18"/>
      <w:szCs w:val="18"/>
      <w:lang w:val="es-ES_tradnl" w:eastAsia="es-ES"/>
    </w:rPr>
  </w:style>
  <w:style w:type="paragraph" w:customStyle="1" w:styleId="bbbCitadentrodecitaifTARIAL">
    <w:name w:val="bbb Cita dentro de cita ifT ARIAL"/>
    <w:basedOn w:val="aaaCitaarial"/>
    <w:rsid w:val="007C2715"/>
    <w:pPr>
      <w:ind w:start="56.70pt" w:end="48.20pt"/>
    </w:pPr>
  </w:style>
  <w:style w:type="paragraph" w:customStyle="1" w:styleId="EstiloRequeridoIzquierda063cmPrimeralnea0cm">
    <w:name w:val="Estilo Requerido + Izquierda:  0.63 cm Primera línea:  0 cm"/>
    <w:basedOn w:val="Normal"/>
    <w:link w:val="EstiloRequeridoIzquierda063cmPrimeralnea0cmCar"/>
    <w:uiPriority w:val="99"/>
    <w:rsid w:val="00277ED2"/>
    <w:pPr>
      <w:numPr>
        <w:numId w:val="14"/>
      </w:numPr>
      <w:spacing w:before="6pt" w:after="6pt" w:line="12pt" w:lineRule="auto"/>
      <w:jc w:val="both"/>
    </w:pPr>
    <w:rPr>
      <w:rFonts w:ascii="Calibri" w:eastAsia="Times New Roman" w:hAnsi="Calibri" w:cs="Times New Roman"/>
      <w:b/>
      <w:bCs/>
      <w:sz w:val="20"/>
      <w:szCs w:val="24"/>
      <w:lang w:val="es-ES_tradnl" w:eastAsia="es-ES"/>
    </w:rPr>
  </w:style>
  <w:style w:type="paragraph" w:customStyle="1" w:styleId="claveesp">
    <w:name w:val="clave esp"/>
    <w:basedOn w:val="Normal"/>
    <w:uiPriority w:val="99"/>
    <w:rsid w:val="00277ED2"/>
    <w:pPr>
      <w:tabs>
        <w:tab w:val="center" w:pos="212.60pt"/>
        <w:tab w:val="end" w:pos="425.20pt"/>
        <w:tab w:val="start" w:pos="474.90pt"/>
      </w:tabs>
      <w:spacing w:line="12pt" w:lineRule="auto"/>
      <w:ind w:end="3.35pt"/>
      <w:jc w:val="end"/>
    </w:pPr>
    <w:rPr>
      <w:rFonts w:ascii="Courier New" w:eastAsia="Times New Roman" w:hAnsi="Courier New" w:cs="Times New Roman"/>
      <w:sz w:val="24"/>
      <w:szCs w:val="24"/>
      <w:lang w:val="es-ES_tradnl" w:eastAsia="es-ES"/>
    </w:rPr>
  </w:style>
  <w:style w:type="character" w:customStyle="1" w:styleId="TextoindependienteCar1">
    <w:name w:val="Texto independiente Car1"/>
    <w:aliases w:val="??2 Car Car1,AvtalBrödtext Car Car1,BO Car Car1,Body Text level 1 Car Car1,Body Text2 Car Car1,Body3 Car Car1,Bodytext Car Car1,EHPT Car Car1,ID Car Car1,Response Car Car1,body text Car Car1,bt Car Car1,bt Car1,ändrad Car Car1"/>
    <w:uiPriority w:val="99"/>
    <w:locked/>
    <w:rsid w:val="00277ED2"/>
    <w:rPr>
      <w:rFonts w:eastAsia="Times New Roman" w:cs="Times New Roman"/>
      <w:b/>
      <w:bCs/>
      <w:sz w:val="40"/>
      <w:szCs w:val="24"/>
      <w:lang w:eastAsia="es-ES"/>
    </w:rPr>
  </w:style>
  <w:style w:type="paragraph" w:styleId="ndice7">
    <w:name w:val="index 7"/>
    <w:basedOn w:val="Normal"/>
    <w:next w:val="Normal"/>
    <w:autoRedefine/>
    <w:uiPriority w:val="99"/>
    <w:semiHidden/>
    <w:rsid w:val="00277ED2"/>
    <w:pPr>
      <w:spacing w:line="12pt" w:lineRule="auto"/>
      <w:ind w:start="84pt" w:hanging="12pt"/>
    </w:pPr>
    <w:rPr>
      <w:rFonts w:ascii="Calibri" w:eastAsia="Times New Roman" w:hAnsi="Calibri" w:cs="Times New Roman"/>
      <w:sz w:val="24"/>
      <w:szCs w:val="24"/>
      <w:lang w:eastAsia="es-ES"/>
    </w:rPr>
  </w:style>
  <w:style w:type="character" w:customStyle="1" w:styleId="Typewriter">
    <w:name w:val="Typewriter"/>
    <w:uiPriority w:val="99"/>
    <w:rsid w:val="00277ED2"/>
    <w:rPr>
      <w:rFonts w:ascii="Courier New" w:hAnsi="Courier New"/>
      <w:sz w:val="20"/>
    </w:rPr>
  </w:style>
  <w:style w:type="paragraph" w:styleId="Sangra2detindependiente">
    <w:name w:val="Body Text Indent 2"/>
    <w:basedOn w:val="Normal"/>
    <w:link w:val="Sangra2detindependienteCar"/>
    <w:uiPriority w:val="99"/>
    <w:rsid w:val="00277ED2"/>
    <w:pPr>
      <w:spacing w:line="12pt" w:lineRule="auto"/>
      <w:ind w:start="18pt"/>
      <w:jc w:val="both"/>
    </w:pPr>
    <w:rPr>
      <w:rFonts w:ascii="Calibri" w:eastAsia="Times New Roman" w:hAnsi="Calibri" w:cs="Times New Roman"/>
      <w:sz w:val="24"/>
      <w:szCs w:val="24"/>
      <w:lang w:val="es-ES_tradnl" w:eastAsia="es-ES"/>
    </w:rPr>
  </w:style>
  <w:style w:type="numbering" w:customStyle="1" w:styleId="Estilo3">
    <w:name w:val="Estilo3"/>
    <w:rsid w:val="00277ED2"/>
    <w:pPr>
      <w:numPr>
        <w:numId w:val="31"/>
      </w:numPr>
    </w:pPr>
  </w:style>
  <w:style w:type="paragraph" w:customStyle="1" w:styleId="TtulodeTDC1">
    <w:name w:val="Título de TDC1"/>
    <w:basedOn w:val="Ttulo1"/>
    <w:next w:val="Normal"/>
    <w:uiPriority w:val="99"/>
    <w:semiHidden/>
    <w:rsid w:val="00277ED2"/>
    <w:pPr>
      <w:keepNext/>
      <w:keepLines/>
      <w:tabs>
        <w:tab w:val="start" w:pos="14.20pt"/>
      </w:tabs>
      <w:spacing w:before="24pt" w:line="12pt" w:lineRule="auto"/>
      <w:jc w:val="center"/>
      <w:outlineLvl w:val="9"/>
    </w:pPr>
    <w:rPr>
      <w:rFonts w:ascii="Cambria" w:eastAsia="Times New Roman" w:hAnsi="Cambria"/>
      <w:bCs/>
      <w:color w:val="365F91"/>
      <w:szCs w:val="28"/>
      <w:lang w:val="es-MX"/>
    </w:rPr>
  </w:style>
  <w:style w:type="paragraph" w:customStyle="1" w:styleId="TableHead">
    <w:name w:val="Table_Head"/>
    <w:basedOn w:val="TableText"/>
    <w:uiPriority w:val="99"/>
    <w:rsid w:val="00277ED2"/>
    <w:pPr>
      <w:spacing w:before="5.65pt" w:after="5.65pt"/>
      <w:jc w:val="center"/>
    </w:pPr>
  </w:style>
  <w:style w:type="paragraph" w:customStyle="1" w:styleId="Bullet">
    <w:name w:val="Bullet"/>
    <w:basedOn w:val="Normal"/>
    <w:uiPriority w:val="99"/>
    <w:rsid w:val="00277ED2"/>
    <w:pPr>
      <w:tabs>
        <w:tab w:val="start" w:pos="76.55pt"/>
        <w:tab w:val="start" w:pos="127.60pt"/>
        <w:tab w:val="start" w:pos="192.80pt"/>
        <w:tab w:val="start" w:pos="258pt"/>
        <w:tab w:val="start" w:pos="323.20pt"/>
        <w:tab w:val="start" w:pos="388.40pt"/>
        <w:tab w:val="start" w:pos="453.60pt"/>
      </w:tabs>
      <w:suppressAutoHyphens/>
      <w:spacing w:after="3pt" w:line="12pt" w:lineRule="auto"/>
      <w:ind w:start="36pt" w:hanging="18pt"/>
    </w:pPr>
    <w:rPr>
      <w:rFonts w:ascii="Times" w:eastAsia="Times New Roman" w:hAnsi="Times" w:cs="Times New Roman"/>
      <w:szCs w:val="24"/>
      <w:lang w:val="en-GB"/>
    </w:rPr>
  </w:style>
  <w:style w:type="table" w:customStyle="1" w:styleId="TableNormal12">
    <w:name w:val="Table Normal12"/>
    <w:uiPriority w:val="2"/>
    <w:semiHidden/>
    <w:unhideWhenUsed/>
    <w:qFormat/>
    <w:rsid w:val="00277ED2"/>
    <w:pPr>
      <w:widowControl w:val="0"/>
      <w:spacing w:after="0pt" w:line="12pt" w:lineRule="auto"/>
    </w:pPr>
    <w:rPr>
      <w:rFonts w:ascii="Calibri" w:eastAsia="Calibri" w:hAnsi="Calibri" w:cs="Times New Roman"/>
      <w:lang w:val="en-US"/>
    </w:rPr>
    <w:tblPr>
      <w:tblInd w:w="0pt" w:type="dxa"/>
      <w:tblCellMar>
        <w:top w:w="0pt" w:type="dxa"/>
        <w:start w:w="0pt" w:type="dxa"/>
        <w:bottom w:w="0pt" w:type="dxa"/>
        <w:end w:w="0pt" w:type="dxa"/>
      </w:tblCellMar>
    </w:tblPr>
  </w:style>
  <w:style w:type="paragraph" w:styleId="Sangra3detindependiente">
    <w:name w:val="Body Text Indent 3"/>
    <w:basedOn w:val="Normal"/>
    <w:link w:val="Sangra3detindependienteCar"/>
    <w:uiPriority w:val="99"/>
    <w:rsid w:val="00277ED2"/>
    <w:pPr>
      <w:spacing w:line="12pt" w:lineRule="auto"/>
      <w:ind w:start="35.40pt"/>
      <w:jc w:val="both"/>
    </w:pPr>
    <w:rPr>
      <w:rFonts w:ascii="Calibri" w:eastAsia="Times New Roman" w:hAnsi="Calibri" w:cs="Times New Roman"/>
      <w:sz w:val="24"/>
      <w:szCs w:val="24"/>
      <w:lang w:val="es-ES_tradnl" w:eastAsia="es-ES"/>
    </w:rPr>
  </w:style>
  <w:style w:type="numbering" w:customStyle="1" w:styleId="Estilo2">
    <w:name w:val="Estilo2"/>
    <w:rsid w:val="00277ED2"/>
    <w:pPr>
      <w:numPr>
        <w:numId w:val="30"/>
      </w:numPr>
    </w:pPr>
  </w:style>
  <w:style w:type="character" w:styleId="AcrnimoHTML">
    <w:name w:val="HTML Acronym"/>
    <w:uiPriority w:val="99"/>
    <w:rsid w:val="00277ED2"/>
    <w:rPr>
      <w:rFonts w:cs="Times New Roman"/>
    </w:rPr>
  </w:style>
  <w:style w:type="paragraph" w:customStyle="1" w:styleId="p">
    <w:name w:val="p"/>
    <w:aliases w:val="paragraph"/>
    <w:uiPriority w:val="99"/>
    <w:rsid w:val="00277ED2"/>
    <w:pPr>
      <w:widowControl w:val="0"/>
      <w:tabs>
        <w:tab w:val="start" w:pos="23.95pt"/>
        <w:tab w:val="start" w:pos="48pt"/>
        <w:tab w:val="start" w:pos="72pt"/>
        <w:tab w:val="start" w:pos="95.95pt"/>
        <w:tab w:val="start" w:pos="120pt"/>
        <w:tab w:val="start" w:pos="144pt"/>
        <w:tab w:val="start" w:pos="167.95pt"/>
        <w:tab w:val="start" w:pos="192pt"/>
        <w:tab w:val="start" w:pos="216pt"/>
        <w:tab w:val="start" w:pos="239.95pt"/>
        <w:tab w:val="start" w:pos="264pt"/>
        <w:tab w:val="start" w:pos="288pt"/>
        <w:tab w:val="start" w:pos="311.95pt"/>
        <w:tab w:val="start" w:pos="336pt"/>
        <w:tab w:val="start" w:pos="360pt"/>
        <w:tab w:val="start" w:pos="383.95pt"/>
        <w:tab w:val="start" w:pos="408pt"/>
        <w:tab w:val="start" w:pos="432pt"/>
        <w:tab w:val="start" w:pos="455.95pt"/>
      </w:tabs>
      <w:spacing w:before="8pt" w:after="5pt" w:line="14pt" w:lineRule="exact"/>
    </w:pPr>
    <w:rPr>
      <w:rFonts w:ascii="Times" w:eastAsia="Times New Roman" w:hAnsi="Times" w:cs="Times New Roman"/>
      <w:sz w:val="24"/>
      <w:szCs w:val="24"/>
      <w:lang w:val="en-US" w:eastAsia="es-ES"/>
    </w:rPr>
  </w:style>
  <w:style w:type="character" w:customStyle="1" w:styleId="OPCIONES2Car">
    <w:name w:val="OPCIONES2 Car"/>
    <w:link w:val="OPCIONES2"/>
    <w:uiPriority w:val="99"/>
    <w:locked/>
    <w:rsid w:val="00277ED2"/>
    <w:rPr>
      <w:rFonts w:ascii="Calibri" w:eastAsia="Times New Roman" w:hAnsi="Calibri" w:cs="Times New Roman"/>
      <w:sz w:val="24"/>
      <w:szCs w:val="24"/>
      <w:lang w:val="es-ES_tradnl" w:eastAsia="es-ES"/>
    </w:rPr>
  </w:style>
  <w:style w:type="paragraph" w:customStyle="1" w:styleId="NormalBulletChar">
    <w:name w:val="Normal Bullet Char"/>
    <w:basedOn w:val="Normal"/>
    <w:uiPriority w:val="99"/>
    <w:rsid w:val="00277ED2"/>
    <w:pPr>
      <w:numPr>
        <w:numId w:val="13"/>
      </w:numPr>
      <w:spacing w:before="3pt" w:after="3pt" w:line="12pt" w:lineRule="auto"/>
    </w:pPr>
    <w:rPr>
      <w:rFonts w:ascii="Garamond" w:eastAsia="Times New Roman" w:hAnsi="Garamond" w:cs="Times New Roman"/>
      <w:lang w:val="en-US"/>
    </w:rPr>
  </w:style>
  <w:style w:type="table" w:customStyle="1" w:styleId="Tabladelista3-nfasis12">
    <w:name w:val="Tabla de lista 3 - Énfasis 12"/>
    <w:basedOn w:val="Tablanormal"/>
    <w:next w:val="Tabladelista3-nfasis1"/>
    <w:uiPriority w:val="48"/>
    <w:rsid w:val="00277ED2"/>
    <w:pPr>
      <w:spacing w:after="0pt" w:line="12pt" w:lineRule="auto"/>
    </w:pPr>
    <w:rPr>
      <w:rFonts w:ascii="Calibri" w:eastAsia="Calibri" w:hAnsi="Calibri" w:cs="Times New Roman"/>
    </w:rPr>
    <w:tblPr>
      <w:tblStyleRowBandSize w:val="1"/>
      <w:tblStyleColBandSize w:val="1"/>
      <w:tblBorders>
        <w:top w:val="single" w:sz="4" w:space="0" w:color="5B9BD5"/>
        <w:start w:val="single" w:sz="4" w:space="0" w:color="5B9BD5"/>
        <w:bottom w:val="single" w:sz="4" w:space="0" w:color="5B9BD5"/>
        <w:end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end w:val="nil"/>
        </w:tcBorders>
        <w:shd w:val="clear" w:color="auto" w:fill="FFFFFF"/>
      </w:tcPr>
    </w:tblStylePr>
    <w:tblStylePr w:type="lastCol">
      <w:rPr>
        <w:b/>
        <w:bCs/>
      </w:rPr>
      <w:tblPr/>
      <w:tcPr>
        <w:tcBorders>
          <w:start w:val="nil"/>
        </w:tcBorders>
        <w:shd w:val="clear" w:color="auto" w:fill="FFFFFF"/>
      </w:tcPr>
    </w:tblStylePr>
    <w:tblStylePr w:type="band1Vert">
      <w:tblPr/>
      <w:tcPr>
        <w:tcBorders>
          <w:start w:val="single" w:sz="4" w:space="0" w:color="5B9BD5"/>
          <w:end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start w:val="nil"/>
          <w:bottom w:val="nil"/>
        </w:tcBorders>
      </w:tcPr>
    </w:tblStylePr>
    <w:tblStylePr w:type="nwCell">
      <w:tblPr/>
      <w:tcPr>
        <w:tcBorders>
          <w:bottom w:val="nil"/>
          <w:end w:val="nil"/>
        </w:tcBorders>
      </w:tcPr>
    </w:tblStylePr>
    <w:tblStylePr w:type="seCell">
      <w:tblPr/>
      <w:tcPr>
        <w:tcBorders>
          <w:top w:val="double" w:sz="4" w:space="0" w:color="5B9BD5"/>
          <w:start w:val="nil"/>
        </w:tcBorders>
      </w:tcPr>
    </w:tblStylePr>
    <w:tblStylePr w:type="swCell">
      <w:tblPr/>
      <w:tcPr>
        <w:tcBorders>
          <w:top w:val="double" w:sz="4" w:space="0" w:color="5B9BD5"/>
          <w:end w:val="nil"/>
        </w:tcBorders>
      </w:tcPr>
    </w:tblStylePr>
  </w:style>
  <w:style w:type="paragraph" w:customStyle="1" w:styleId="AppendixHeading1">
    <w:name w:val="Appendix Heading 1"/>
    <w:basedOn w:val="Normal"/>
    <w:autoRedefine/>
    <w:uiPriority w:val="99"/>
    <w:rsid w:val="00277ED2"/>
    <w:pPr>
      <w:keepNext/>
      <w:tabs>
        <w:tab w:val="start" w:pos="0pt"/>
        <w:tab w:val="num" w:pos="32.40pt"/>
      </w:tabs>
      <w:spacing w:before="12pt" w:after="3pt" w:line="12pt" w:lineRule="auto"/>
      <w:ind w:start="32.40pt" w:hanging="64.80pt"/>
      <w:outlineLvl w:val="0"/>
    </w:pPr>
    <w:rPr>
      <w:rFonts w:ascii="Calibri" w:eastAsia="Times New Roman" w:hAnsi="Calibri" w:cs="Times New Roman"/>
      <w:b/>
      <w:sz w:val="28"/>
      <w:szCs w:val="24"/>
      <w:lang w:val="en-US"/>
    </w:rPr>
  </w:style>
  <w:style w:type="paragraph" w:customStyle="1" w:styleId="AppendixHeading2">
    <w:name w:val="Appendix Heading 2"/>
    <w:basedOn w:val="Ttulo2"/>
    <w:uiPriority w:val="99"/>
    <w:rsid w:val="00277ED2"/>
    <w:pPr>
      <w:tabs>
        <w:tab w:val="num" w:pos="0pt"/>
      </w:tabs>
      <w:spacing w:before="24pt" w:after="6pt"/>
      <w:ind w:start="42.50pt" w:hanging="39.60pt"/>
      <w:jc w:val="start"/>
    </w:pPr>
    <w:rPr>
      <w:rFonts w:ascii="Century Gothic" w:hAnsi="Century Gothic"/>
      <w:lang w:val="en-US"/>
    </w:rPr>
  </w:style>
  <w:style w:type="paragraph" w:customStyle="1" w:styleId="AppendixHeading3">
    <w:name w:val="Appendix Heading 3"/>
    <w:basedOn w:val="AppendixHeading2"/>
    <w:uiPriority w:val="99"/>
    <w:rsid w:val="00277ED2"/>
  </w:style>
  <w:style w:type="paragraph" w:customStyle="1" w:styleId="TITULOTELMEXSUBCAPITULOS">
    <w:name w:val="TITULO TELMEX SUBCAPITULOS"/>
    <w:basedOn w:val="Normal"/>
    <w:link w:val="TITULOTELMEXSUBCAPITULOSCar"/>
    <w:uiPriority w:val="99"/>
    <w:rsid w:val="00277ED2"/>
    <w:pPr>
      <w:spacing w:line="12pt" w:lineRule="auto"/>
      <w:jc w:val="both"/>
    </w:pPr>
    <w:rPr>
      <w:rFonts w:ascii="Calibri" w:eastAsia="Times New Roman" w:hAnsi="Calibri" w:cs="Times New Roman"/>
      <w:b/>
      <w:sz w:val="32"/>
      <w:szCs w:val="24"/>
      <w:lang w:val="es-ES_tradnl" w:eastAsia="es-ES"/>
    </w:rPr>
  </w:style>
  <w:style w:type="paragraph" w:customStyle="1" w:styleId="TableHeading">
    <w:name w:val="Table Heading"/>
    <w:basedOn w:val="Normal"/>
    <w:autoRedefine/>
    <w:uiPriority w:val="99"/>
    <w:rsid w:val="00277ED2"/>
    <w:pPr>
      <w:keepNext/>
      <w:spacing w:before="2pt" w:after="2pt" w:line="12pt" w:lineRule="auto"/>
    </w:pPr>
    <w:rPr>
      <w:rFonts w:ascii="Calibri" w:eastAsia="Times New Roman" w:hAnsi="Calibri" w:cs="Arial"/>
      <w:b/>
      <w:bCs/>
      <w:sz w:val="18"/>
      <w:szCs w:val="24"/>
      <w:lang w:val="en-US"/>
    </w:rPr>
  </w:style>
  <w:style w:type="paragraph" w:customStyle="1" w:styleId="Titulo32">
    <w:name w:val="Titulo 3 +"/>
    <w:basedOn w:val="Titulo30"/>
    <w:next w:val="Normal"/>
    <w:uiPriority w:val="99"/>
    <w:rsid w:val="00277ED2"/>
    <w:pPr>
      <w:numPr>
        <w:numId w:val="0"/>
      </w:numPr>
      <w:ind w:start="18pt" w:hanging="18pt"/>
    </w:pPr>
    <w:rPr>
      <w:b/>
    </w:rPr>
  </w:style>
  <w:style w:type="table" w:customStyle="1" w:styleId="Cuadrculadetablaclara1">
    <w:name w:val="Cuadrícula de tabla clara1"/>
    <w:basedOn w:val="Tablanormal"/>
    <w:uiPriority w:val="40"/>
    <w:rsid w:val="00277ED2"/>
    <w:pPr>
      <w:spacing w:after="0pt" w:line="12pt" w:lineRule="auto"/>
    </w:pPr>
    <w:rPr>
      <w:rFonts w:ascii="Calibri" w:eastAsia="MS Mincho" w:hAnsi="Calibri" w:cs="Times New Roman"/>
      <w:sz w:val="20"/>
      <w:szCs w:val="20"/>
      <w:lang w:eastAsia="es-MX"/>
    </w:rPr>
    <w:tblPr>
      <w:tblBorders>
        <w:top w:val="single" w:sz="4" w:space="0" w:color="BFBFBF"/>
        <w:start w:val="single" w:sz="4" w:space="0" w:color="BFBFBF"/>
        <w:bottom w:val="single" w:sz="4" w:space="0" w:color="BFBFBF"/>
        <w:end w:val="single" w:sz="4" w:space="0" w:color="BFBFBF"/>
        <w:insideH w:val="single" w:sz="4" w:space="0" w:color="BFBFBF"/>
        <w:insideV w:val="single" w:sz="4" w:space="0" w:color="BFBFBF"/>
      </w:tblBorders>
    </w:tblPr>
  </w:style>
  <w:style w:type="paragraph" w:customStyle="1" w:styleId="Titulo31">
    <w:name w:val="Titulo 3 +++"/>
    <w:basedOn w:val="Titulo3"/>
    <w:next w:val="Normal"/>
    <w:uiPriority w:val="99"/>
    <w:rsid w:val="00277ED2"/>
    <w:pPr>
      <w:numPr>
        <w:numId w:val="18"/>
      </w:numPr>
      <w:tabs>
        <w:tab w:val="clear" w:pos="72pt"/>
        <w:tab w:val="num" w:pos="49.65pt"/>
      </w:tabs>
      <w:ind w:start="18pt" w:hanging="18pt"/>
    </w:pPr>
    <w:rPr>
      <w:b w:val="0"/>
    </w:rPr>
  </w:style>
  <w:style w:type="paragraph" w:customStyle="1" w:styleId="headingi">
    <w:name w:val="heading_i"/>
    <w:basedOn w:val="Ttulo3"/>
    <w:next w:val="Normal"/>
    <w:uiPriority w:val="99"/>
    <w:rsid w:val="00277ED2"/>
    <w:pPr>
      <w:keepLines/>
      <w:tabs>
        <w:tab w:val="start" w:pos="39.70pt"/>
        <w:tab w:val="start" w:pos="106.35pt"/>
        <w:tab w:val="start" w:pos="120.50pt"/>
        <w:tab w:val="start" w:pos="146.05pt"/>
        <w:tab w:val="start" w:pos="163.05pt"/>
      </w:tabs>
      <w:overflowPunct w:val="0"/>
      <w:autoSpaceDE w:val="0"/>
      <w:autoSpaceDN w:val="0"/>
      <w:adjustRightInd w:val="0"/>
      <w:spacing w:before="8pt"/>
      <w:ind w:start="0pt"/>
      <w:jc w:val="start"/>
      <w:textAlignment w:val="baseline"/>
      <w:outlineLvl w:val="9"/>
    </w:pPr>
    <w:rPr>
      <w:rFonts w:ascii="Calibri" w:hAnsi="Calibri"/>
      <w:bCs w:val="0"/>
      <w:i/>
      <w:iCs/>
      <w:color w:val="000000"/>
      <w:sz w:val="24"/>
      <w:szCs w:val="24"/>
      <w:lang w:val="es-ES" w:eastAsia="es-ES"/>
    </w:rPr>
  </w:style>
  <w:style w:type="table" w:customStyle="1" w:styleId="Cuadrculamedia3-nfasis11">
    <w:name w:val="Cuadrícula media 3 - Énfasis 11"/>
    <w:basedOn w:val="Tablanormal"/>
    <w:next w:val="Cuadrculamedia3-nfasis1"/>
    <w:uiPriority w:val="64"/>
    <w:rsid w:val="007C2715"/>
    <w:pPr>
      <w:spacing w:after="0pt" w:line="12pt"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pt" w:after="0pt" w:line="12pt" w:lineRule="auto"/>
      </w:pPr>
      <w:rPr>
        <w:b/>
        <w:bCs/>
        <w:color w:val="FFFFFF"/>
      </w:rPr>
      <w:tblPr/>
      <w:tcPr>
        <w:tcBorders>
          <w:top w:val="single" w:sz="18" w:space="0" w:color="auto"/>
          <w:start w:val="nil"/>
          <w:bottom w:val="single" w:sz="18" w:space="0" w:color="auto"/>
          <w:end w:val="nil"/>
          <w:insideH w:val="nil"/>
          <w:insideV w:val="nil"/>
        </w:tcBorders>
        <w:shd w:val="clear" w:color="auto" w:fill="4F81BD"/>
      </w:tcPr>
    </w:tblStylePr>
    <w:tblStylePr w:type="lastRow">
      <w:pPr>
        <w:spacing w:before="0pt" w:after="0pt" w:line="12pt" w:lineRule="auto"/>
      </w:pPr>
      <w:rPr>
        <w:color w:val="auto"/>
      </w:rPr>
      <w:tblPr/>
      <w:tcPr>
        <w:tcBorders>
          <w:top w:val="double" w:sz="6" w:space="0" w:color="auto"/>
          <w:start w:val="nil"/>
          <w:bottom w:val="single" w:sz="18" w:space="0" w:color="auto"/>
          <w:end w:val="nil"/>
          <w:insideH w:val="nil"/>
          <w:insideV w:val="nil"/>
        </w:tcBorders>
        <w:shd w:val="clear" w:color="auto" w:fill="FFFFFF"/>
      </w:tcPr>
    </w:tblStylePr>
    <w:tblStylePr w:type="firstCol">
      <w:rPr>
        <w:b/>
        <w:bCs/>
        <w:color w:val="FFFFFF"/>
      </w:rPr>
      <w:tblPr/>
      <w:tcPr>
        <w:tcBorders>
          <w:top w:val="nil"/>
          <w:start w:val="nil"/>
          <w:bottom w:val="single" w:sz="18" w:space="0" w:color="auto"/>
          <w:end w:val="nil"/>
          <w:insideH w:val="nil"/>
          <w:insideV w:val="nil"/>
        </w:tcBorders>
        <w:shd w:val="clear" w:color="auto" w:fill="4F81BD"/>
      </w:tcPr>
    </w:tblStylePr>
    <w:tblStylePr w:type="lastCol">
      <w:rPr>
        <w:b/>
        <w:bCs/>
        <w:color w:val="FFFFFF"/>
      </w:rPr>
      <w:tblPr/>
      <w:tcPr>
        <w:tcBorders>
          <w:start w:val="nil"/>
          <w:end w:val="nil"/>
          <w:insideH w:val="nil"/>
          <w:insideV w:val="nil"/>
        </w:tcBorders>
        <w:shd w:val="clear" w:color="auto" w:fill="4F81BD"/>
      </w:tcPr>
    </w:tblStylePr>
    <w:tblStylePr w:type="band1Vert">
      <w:tblPr/>
      <w:tcPr>
        <w:tcBorders>
          <w:start w:val="nil"/>
          <w:end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start w:val="nil"/>
          <w:bottom w:val="single" w:sz="18" w:space="0" w:color="auto"/>
          <w:end w:val="nil"/>
          <w:insideH w:val="nil"/>
          <w:insideV w:val="nil"/>
        </w:tcBorders>
      </w:tcPr>
    </w:tblStylePr>
    <w:tblStylePr w:type="nwCell">
      <w:rPr>
        <w:color w:val="FFFFFF"/>
      </w:rPr>
      <w:tblPr/>
      <w:tcPr>
        <w:tcBorders>
          <w:top w:val="single" w:sz="18" w:space="0" w:color="auto"/>
          <w:start w:val="nil"/>
          <w:bottom w:val="single" w:sz="18" w:space="0" w:color="auto"/>
          <w:end w:val="nil"/>
          <w:insideH w:val="nil"/>
          <w:insideV w:val="nil"/>
        </w:tcBorders>
      </w:tcPr>
    </w:tblStylePr>
  </w:style>
  <w:style w:type="paragraph" w:customStyle="1" w:styleId="aOpcional">
    <w:name w:val="aOpcional"/>
    <w:basedOn w:val="Normal"/>
    <w:uiPriority w:val="99"/>
    <w:rsid w:val="00277ED2"/>
    <w:pPr>
      <w:numPr>
        <w:numId w:val="15"/>
      </w:numPr>
      <w:tabs>
        <w:tab w:val="start" w:pos="39.70pt"/>
        <w:tab w:val="start" w:pos="59.55pt"/>
        <w:tab w:val="start" w:pos="79.40pt"/>
        <w:tab w:val="start" w:pos="99.25pt"/>
      </w:tabs>
      <w:spacing w:before="6.80pt" w:line="12pt" w:lineRule="auto"/>
      <w:jc w:val="both"/>
    </w:pPr>
    <w:rPr>
      <w:rFonts w:ascii="Calibri" w:eastAsia="Times New Roman" w:hAnsi="Calibri" w:cs="Times New Roman"/>
      <w:sz w:val="24"/>
      <w:szCs w:val="24"/>
    </w:rPr>
  </w:style>
  <w:style w:type="character" w:customStyle="1" w:styleId="st1">
    <w:name w:val="st1"/>
    <w:uiPriority w:val="99"/>
    <w:rsid w:val="00277ED2"/>
    <w:rPr>
      <w:rFonts w:cs="Times New Roman"/>
    </w:rPr>
  </w:style>
  <w:style w:type="paragraph" w:customStyle="1" w:styleId="ARequeridoR">
    <w:name w:val="A Requerido (R)"/>
    <w:basedOn w:val="Normal"/>
    <w:next w:val="Normal"/>
    <w:uiPriority w:val="99"/>
    <w:rsid w:val="00277ED2"/>
    <w:pPr>
      <w:keepLines/>
      <w:numPr>
        <w:numId w:val="16"/>
      </w:numPr>
      <w:tabs>
        <w:tab w:val="start" w:pos="39.70pt"/>
        <w:tab w:val="start" w:pos="59.55pt"/>
        <w:tab w:val="start" w:pos="79.40pt"/>
        <w:tab w:val="start" w:pos="99.25pt"/>
      </w:tabs>
      <w:spacing w:before="6.80pt" w:line="12pt" w:lineRule="auto"/>
      <w:jc w:val="both"/>
    </w:pPr>
    <w:rPr>
      <w:rFonts w:ascii="Calibri" w:eastAsia="Times New Roman" w:hAnsi="Calibri" w:cs="Times New Roman"/>
      <w:sz w:val="24"/>
      <w:szCs w:val="24"/>
    </w:rPr>
  </w:style>
  <w:style w:type="paragraph" w:customStyle="1" w:styleId="TtuloIFT">
    <w:name w:val="Título IFT"/>
    <w:basedOn w:val="Ttulo1"/>
    <w:link w:val="TtuloIFTCar"/>
    <w:qFormat/>
    <w:rsid w:val="000B5AAD"/>
    <w:pPr>
      <w:spacing w:after="10pt"/>
    </w:pPr>
  </w:style>
  <w:style w:type="paragraph" w:customStyle="1" w:styleId="Note">
    <w:name w:val="Note"/>
    <w:basedOn w:val="Normal"/>
    <w:uiPriority w:val="99"/>
    <w:rsid w:val="00277ED2"/>
    <w:pPr>
      <w:tabs>
        <w:tab w:val="start" w:pos="59.55pt"/>
        <w:tab w:val="start" w:pos="79.40pt"/>
        <w:tab w:val="start" w:pos="99.25pt"/>
      </w:tabs>
      <w:spacing w:before="6.80pt" w:line="12pt" w:lineRule="auto"/>
      <w:ind w:firstLine="28.35pt"/>
      <w:jc w:val="both"/>
    </w:pPr>
    <w:rPr>
      <w:rFonts w:ascii="Calibri" w:eastAsia="Times New Roman" w:hAnsi="Calibri" w:cs="Times New Roman"/>
      <w:szCs w:val="24"/>
      <w:lang w:val="es-ES_tradnl" w:eastAsia="es-ES"/>
    </w:rPr>
  </w:style>
  <w:style w:type="paragraph" w:customStyle="1" w:styleId="TableTitle">
    <w:name w:val="Table_Title"/>
    <w:basedOn w:val="Normal"/>
    <w:next w:val="TableText"/>
    <w:uiPriority w:val="99"/>
    <w:rsid w:val="00277ED2"/>
    <w:pPr>
      <w:keepNext/>
      <w:tabs>
        <w:tab w:val="start" w:pos="39.70pt"/>
        <w:tab w:val="start" w:pos="59.55pt"/>
        <w:tab w:val="start" w:pos="79.40pt"/>
        <w:tab w:val="start" w:pos="99.25pt"/>
      </w:tabs>
      <w:spacing w:after="5.65pt" w:line="12pt" w:lineRule="auto"/>
      <w:jc w:val="center"/>
    </w:pPr>
    <w:rPr>
      <w:rFonts w:ascii="Calibri" w:eastAsia="Times New Roman" w:hAnsi="Calibri" w:cs="Times New Roman"/>
      <w:b/>
      <w:sz w:val="24"/>
      <w:szCs w:val="24"/>
      <w:lang w:val="es-ES_tradnl" w:eastAsia="es-ES"/>
    </w:rPr>
  </w:style>
  <w:style w:type="paragraph" w:customStyle="1" w:styleId="FigureNo">
    <w:name w:val="Figure_No"/>
    <w:basedOn w:val="Normal"/>
    <w:next w:val="Normal"/>
    <w:uiPriority w:val="99"/>
    <w:rsid w:val="00277ED2"/>
    <w:pPr>
      <w:keepNext/>
      <w:tabs>
        <w:tab w:val="start" w:pos="39.70pt"/>
        <w:tab w:val="start" w:pos="59.55pt"/>
        <w:tab w:val="start" w:pos="79.40pt"/>
        <w:tab w:val="start" w:pos="99.25pt"/>
      </w:tabs>
      <w:overflowPunct w:val="0"/>
      <w:autoSpaceDE w:val="0"/>
      <w:autoSpaceDN w:val="0"/>
      <w:adjustRightInd w:val="0"/>
      <w:spacing w:before="24pt" w:after="6pt" w:line="12pt" w:lineRule="auto"/>
      <w:jc w:val="center"/>
      <w:textAlignment w:val="baseline"/>
    </w:pPr>
    <w:rPr>
      <w:rFonts w:ascii="Times New Roman" w:eastAsia="Times New Roman" w:hAnsi="Times New Roman" w:cs="Times New Roman"/>
      <w:sz w:val="24"/>
      <w:szCs w:val="24"/>
      <w:lang w:val="es-ES" w:eastAsia="es-ES"/>
    </w:rPr>
  </w:style>
  <w:style w:type="character" w:customStyle="1" w:styleId="UnresolvedMention2">
    <w:name w:val="Unresolved Mention2"/>
    <w:basedOn w:val="Fuentedeprrafopredeter"/>
    <w:uiPriority w:val="99"/>
    <w:semiHidden/>
    <w:unhideWhenUsed/>
    <w:rsid w:val="00277ED2"/>
    <w:rPr>
      <w:color w:val="605E5C"/>
      <w:shd w:val="clear" w:color="auto" w:fill="E1DFDD"/>
    </w:rPr>
  </w:style>
  <w:style w:type="paragraph" w:customStyle="1" w:styleId="CouvRecTitle">
    <w:name w:val="Couv Rec Title"/>
    <w:basedOn w:val="Normal"/>
    <w:uiPriority w:val="99"/>
    <w:rsid w:val="00277ED2"/>
    <w:pPr>
      <w:keepNext/>
      <w:keepLines/>
      <w:spacing w:before="12pt" w:line="12pt" w:lineRule="auto"/>
      <w:ind w:start="70.90pt"/>
    </w:pPr>
    <w:rPr>
      <w:rFonts w:ascii="Calibri" w:eastAsia="Times New Roman" w:hAnsi="Calibri" w:cs="Times New Roman"/>
      <w:b/>
      <w:sz w:val="36"/>
      <w:szCs w:val="24"/>
      <w:lang w:val="en-US" w:eastAsia="es-ES"/>
    </w:rPr>
  </w:style>
  <w:style w:type="character" w:customStyle="1" w:styleId="Hyperlink1">
    <w:name w:val="Hyperlink_1"/>
    <w:uiPriority w:val="99"/>
    <w:unhideWhenUsed/>
    <w:rPr>
      <w:rFonts w:ascii="Arial" w:hAnsi="Arial"/>
      <w:color w:val="0563C1" w:themeColor="hyperlink"/>
      <w:u w:val="single"/>
    </w:rPr>
  </w:style>
  <w:style w:type="paragraph" w:customStyle="1" w:styleId="DefinitionList">
    <w:name w:val="Definition List"/>
    <w:basedOn w:val="Normal"/>
    <w:next w:val="Normal"/>
    <w:rsid w:val="00277ED2"/>
    <w:pPr>
      <w:spacing w:line="12pt" w:lineRule="auto"/>
      <w:ind w:start="18pt"/>
    </w:pPr>
    <w:rPr>
      <w:rFonts w:ascii="Times New Roman" w:eastAsia="Times New Roman" w:hAnsi="Times New Roman" w:cs="Times New Roman"/>
      <w:snapToGrid w:val="0"/>
      <w:sz w:val="24"/>
      <w:szCs w:val="20"/>
      <w:lang w:eastAsia="es-ES"/>
    </w:rPr>
  </w:style>
  <w:style w:type="character" w:customStyle="1" w:styleId="a1">
    <w:name w:val="a1"/>
    <w:uiPriority w:val="99"/>
    <w:rsid w:val="00277ED2"/>
    <w:rPr>
      <w:rFonts w:cs="Times New Roman"/>
      <w:bdr w:val="none" w:sz="0" w:space="0" w:color="auto" w:frame="1"/>
    </w:rPr>
  </w:style>
  <w:style w:type="character" w:customStyle="1" w:styleId="l82">
    <w:name w:val="l82"/>
    <w:uiPriority w:val="99"/>
    <w:rsid w:val="00277ED2"/>
    <w:rPr>
      <w:rFonts w:cs="Times New Roman"/>
      <w:bdr w:val="none" w:sz="0" w:space="0" w:color="auto" w:frame="1"/>
    </w:rPr>
  </w:style>
  <w:style w:type="paragraph" w:customStyle="1" w:styleId="Titulo20">
    <w:name w:val="Titulo 2"/>
    <w:basedOn w:val="Ttulo2"/>
    <w:next w:val="Normal"/>
    <w:uiPriority w:val="99"/>
    <w:rsid w:val="00277ED2"/>
    <w:pPr>
      <w:keepNext w:val="0"/>
      <w:numPr>
        <w:numId w:val="19"/>
      </w:numPr>
      <w:tabs>
        <w:tab w:val="clear" w:pos="36pt"/>
        <w:tab w:val="num" w:pos="28.35pt"/>
        <w:tab w:val="num" w:pos="42.65pt"/>
      </w:tabs>
      <w:spacing w:before="24pt" w:after="0pt"/>
      <w:ind w:start="28.35pt" w:hanging="28.35pt"/>
      <w:jc w:val="start"/>
    </w:pPr>
    <w:rPr>
      <w:rFonts w:ascii="Century Gothic" w:hAnsi="Century Gothic"/>
      <w:b w:val="0"/>
    </w:rPr>
  </w:style>
  <w:style w:type="character" w:customStyle="1" w:styleId="Heading5Char3">
    <w:name w:val="Heading 5 Char3"/>
    <w:aliases w:val="5 Char3,51 Char3,52 Char1,H5 Char3,H5-Heading 5 Char3,H5-Heading 51 Char3,H5-Heading 52 Char,H51 Char3,H52 Char,Heading5 Char3,Heading51 Char3,Heading52 Char,h5 Char3,h51 Char3,h52 Char,heading5 Char3,heading51 Char,l5 Char3,l51 Char1"/>
    <w:uiPriority w:val="99"/>
    <w:semiHidden/>
    <w:rsid w:val="00277ED2"/>
    <w:rPr>
      <w:rFonts w:ascii="Calibri" w:hAnsi="Calibri" w:cs="Times New Roman"/>
      <w:b/>
      <w:bCs/>
      <w:i/>
      <w:iCs/>
      <w:sz w:val="26"/>
      <w:szCs w:val="26"/>
      <w:lang w:val="es-MX"/>
    </w:rPr>
  </w:style>
  <w:style w:type="character" w:customStyle="1" w:styleId="ttCar">
    <w:name w:val="tt Car"/>
    <w:aliases w:val="9 Car1,App Heading Car1,Appendix2 Car,Appendix21 Car,Cond'l Reqt. Car1,ITT t9 Car1,TableTitle Car1,Titre 10 Car1,Título 9 Car1,h9 Car,progress Car1,rb Car1,req bullet Car1,req1 Car1,table title Car Car,table title Car1"/>
    <w:uiPriority w:val="99"/>
    <w:locked/>
    <w:rsid w:val="00277ED2"/>
    <w:rPr>
      <w:rFonts w:ascii="Arial" w:hAnsi="Arial" w:cs="Times New Roman"/>
      <w:b/>
      <w:i/>
      <w:sz w:val="20"/>
      <w:szCs w:val="20"/>
      <w:lang w:val="es-MX" w:eastAsia="es-ES"/>
    </w:rPr>
  </w:style>
  <w:style w:type="character" w:customStyle="1" w:styleId="Heading5Char2">
    <w:name w:val="Heading 5 Char2"/>
    <w:aliases w:val="5 Char2,51 Char2,52 Char2,H5 Char2,H5-Heading 5 Char2,H5-Heading 51 Char2,H5-Heading 52 Char2,H51 Char2,H52 Char2,Heading5 Char2,Heading51 Char2,h5 Char2,h51 Char2,h52 Char2,heading5 Char2,heading51 Char2,l5 Char2,l51 Char2,l52 Char2"/>
    <w:uiPriority w:val="99"/>
    <w:semiHidden/>
    <w:locked/>
    <w:rsid w:val="00277ED2"/>
    <w:rPr>
      <w:rFonts w:ascii="Calibri" w:hAnsi="Calibri" w:cs="Times New Roman"/>
      <w:b/>
      <w:bCs/>
      <w:i/>
      <w:iCs/>
      <w:sz w:val="26"/>
      <w:szCs w:val="26"/>
      <w:lang w:val="es-MX"/>
    </w:rPr>
  </w:style>
  <w:style w:type="paragraph" w:customStyle="1" w:styleId="Cabeceraypie">
    <w:name w:val="Cabecera y pie"/>
    <w:uiPriority w:val="99"/>
    <w:rsid w:val="00277ED2"/>
    <w:pPr>
      <w:tabs>
        <w:tab w:val="end" w:pos="481.60pt"/>
      </w:tabs>
      <w:spacing w:after="0pt" w:line="12pt" w:lineRule="auto"/>
    </w:pPr>
    <w:rPr>
      <w:rFonts w:ascii="Helvetica" w:eastAsia="Times New Roman" w:hAnsi="Helvetica" w:cs="Times New Roman"/>
      <w:color w:val="000000"/>
      <w:sz w:val="24"/>
      <w:szCs w:val="24"/>
      <w:lang w:val="es-ES_tradnl" w:eastAsia="es-MX"/>
    </w:rPr>
  </w:style>
  <w:style w:type="paragraph" w:customStyle="1" w:styleId="Encabezamiento2">
    <w:name w:val="Encabezamiento 2"/>
    <w:next w:val="Cuerpo"/>
    <w:uiPriority w:val="99"/>
    <w:rsid w:val="00277ED2"/>
    <w:pPr>
      <w:keepNext/>
      <w:spacing w:after="0pt" w:line="12pt" w:lineRule="auto"/>
      <w:outlineLvl w:val="1"/>
    </w:pPr>
    <w:rPr>
      <w:rFonts w:ascii="Helvetica" w:eastAsia="Times New Roman" w:hAnsi="Helvetica" w:cs="Times New Roman"/>
      <w:b/>
      <w:color w:val="000000"/>
      <w:sz w:val="24"/>
      <w:szCs w:val="24"/>
      <w:lang w:val="es-ES_tradnl" w:eastAsia="es-MX"/>
    </w:rPr>
  </w:style>
  <w:style w:type="paragraph" w:customStyle="1" w:styleId="Cuerpo">
    <w:name w:val="Cuerpo"/>
    <w:uiPriority w:val="99"/>
    <w:rsid w:val="00277ED2"/>
    <w:pPr>
      <w:spacing w:after="0pt" w:line="12pt" w:lineRule="auto"/>
    </w:pPr>
    <w:rPr>
      <w:rFonts w:ascii="Helvetica" w:eastAsia="Times New Roman" w:hAnsi="Helvetica" w:cs="Times New Roman"/>
      <w:color w:val="000000"/>
      <w:sz w:val="24"/>
      <w:szCs w:val="24"/>
      <w:lang w:val="es-ES_tradnl" w:eastAsia="es-MX"/>
    </w:rPr>
  </w:style>
  <w:style w:type="character" w:customStyle="1" w:styleId="TextoindependienteCarCar">
    <w:name w:val="Texto independiente Car Car"/>
    <w:aliases w:val="??2 Car Car,AvtalBrödtext Car Car,BO Car Car,Body Text level 1 Car Car,Body Text2 Car Car,Body3 Car Car,Bodytext Car Car,EHPT Car Car,ID Car Car,Response Car Car,body text Car Car,bt Car Car,à¹×éÍàÃ×èÍ§ Car Ca,ändrad Car Car"/>
    <w:uiPriority w:val="99"/>
    <w:locked/>
    <w:rsid w:val="00277ED2"/>
    <w:rPr>
      <w:rFonts w:ascii="Arial" w:hAnsi="Arial"/>
      <w:b/>
      <w:sz w:val="28"/>
    </w:rPr>
  </w:style>
  <w:style w:type="character" w:customStyle="1" w:styleId="EstiloCorreo115">
    <w:name w:val="EstiloCorreo115"/>
    <w:uiPriority w:val="99"/>
    <w:rsid w:val="00277ED2"/>
    <w:rPr>
      <w:rFonts w:ascii="Arial" w:hAnsi="Arial"/>
      <w:color w:val="000000"/>
      <w:sz w:val="20"/>
    </w:rPr>
  </w:style>
  <w:style w:type="paragraph" w:customStyle="1" w:styleId="Propos">
    <w:name w:val="Propos"/>
    <w:uiPriority w:val="99"/>
    <w:rsid w:val="00277ED2"/>
    <w:pPr>
      <w:spacing w:before="6pt" w:after="0pt" w:line="12pt" w:lineRule="auto"/>
      <w:jc w:val="both"/>
    </w:pPr>
    <w:rPr>
      <w:rFonts w:ascii="Arial" w:eastAsia="Times New Roman" w:hAnsi="Arial" w:cs="Times New Roman"/>
      <w:sz w:val="24"/>
      <w:szCs w:val="24"/>
      <w:lang w:val="fr-FR" w:eastAsia="es-ES"/>
    </w:rPr>
  </w:style>
  <w:style w:type="character" w:customStyle="1" w:styleId="LuisMiguelSalinasUrbina">
    <w:name w:val="Luis Miguel Salinas Urbina"/>
    <w:uiPriority w:val="99"/>
    <w:rsid w:val="00277ED2"/>
    <w:rPr>
      <w:rFonts w:ascii="Arial" w:hAnsi="Arial"/>
      <w:color w:val="000000"/>
      <w:sz w:val="20"/>
    </w:rPr>
  </w:style>
  <w:style w:type="paragraph" w:customStyle="1" w:styleId="Notaalpiedepagina">
    <w:name w:val="Nota al pie de pagina"/>
    <w:basedOn w:val="Textonotapie"/>
    <w:link w:val="NotaalpiedepaginaCar"/>
    <w:qFormat/>
    <w:rsid w:val="00277ED2"/>
    <w:rPr>
      <w:rFonts w:eastAsia="Times New Roman"/>
      <w:szCs w:val="18"/>
      <w:lang w:val="es-ES_tradnl" w:eastAsia="es-ES"/>
    </w:rPr>
  </w:style>
  <w:style w:type="paragraph" w:customStyle="1" w:styleId="Titulo30">
    <w:name w:val="Titulo 3"/>
    <w:basedOn w:val="Ttulo3"/>
    <w:next w:val="Normal"/>
    <w:uiPriority w:val="99"/>
    <w:rsid w:val="00277ED2"/>
    <w:pPr>
      <w:keepNext w:val="0"/>
      <w:numPr>
        <w:numId w:val="17"/>
      </w:numPr>
      <w:tabs>
        <w:tab w:val="clear" w:pos="42.65pt"/>
        <w:tab w:val="num" w:pos="49.65pt"/>
      </w:tabs>
      <w:ind w:start="42.55pt" w:hanging="28.35pt"/>
      <w:jc w:val="start"/>
    </w:pPr>
    <w:rPr>
      <w:rFonts w:ascii="Calibri" w:hAnsi="Calibri" w:cs="Arial"/>
      <w:b w:val="0"/>
      <w:bCs w:val="0"/>
      <w:szCs w:val="22"/>
      <w:lang w:eastAsia="es-ES"/>
    </w:rPr>
  </w:style>
  <w:style w:type="paragraph" w:customStyle="1" w:styleId="Titulo3">
    <w:name w:val="Titulo 3 ++"/>
    <w:basedOn w:val="Titulo30"/>
    <w:next w:val="Normal"/>
    <w:uiPriority w:val="99"/>
    <w:rsid w:val="00277ED2"/>
    <w:pPr>
      <w:numPr>
        <w:numId w:val="21"/>
      </w:numPr>
      <w:tabs>
        <w:tab w:val="clear" w:pos="72pt"/>
        <w:tab w:val="num" w:pos="18pt"/>
        <w:tab w:val="num" w:pos="49.65pt"/>
      </w:tabs>
      <w:ind w:start="35pt" w:hanging="17pt"/>
    </w:pPr>
    <w:rPr>
      <w:b/>
    </w:rPr>
  </w:style>
  <w:style w:type="paragraph" w:customStyle="1" w:styleId="FigureNoTitle">
    <w:name w:val="Figure_NoTitle"/>
    <w:basedOn w:val="Normal"/>
    <w:next w:val="Normalaftertitle0"/>
    <w:uiPriority w:val="99"/>
    <w:rsid w:val="00277ED2"/>
    <w:pPr>
      <w:keepLines/>
      <w:tabs>
        <w:tab w:val="start" w:pos="39.70pt"/>
        <w:tab w:val="start" w:pos="59.55pt"/>
        <w:tab w:val="start" w:pos="79.40pt"/>
        <w:tab w:val="start" w:pos="99.25pt"/>
      </w:tabs>
      <w:overflowPunct w:val="0"/>
      <w:autoSpaceDE w:val="0"/>
      <w:autoSpaceDN w:val="0"/>
      <w:adjustRightInd w:val="0"/>
      <w:spacing w:before="12pt" w:after="6pt" w:line="12pt" w:lineRule="auto"/>
      <w:jc w:val="center"/>
      <w:textAlignment w:val="baseline"/>
    </w:pPr>
    <w:rPr>
      <w:rFonts w:ascii="Times New Roman" w:eastAsia="Times New Roman" w:hAnsi="Times New Roman" w:cs="Times New Roman"/>
      <w:b/>
      <w:sz w:val="24"/>
      <w:szCs w:val="24"/>
      <w:lang w:val="es-ES_tradnl" w:eastAsia="es-ES"/>
    </w:rPr>
  </w:style>
  <w:style w:type="table" w:customStyle="1" w:styleId="Tabladecuadrcula4-nfasis131">
    <w:name w:val="Tabla de cuadrícula 4 - Énfasis 131"/>
    <w:basedOn w:val="Tablanormal"/>
    <w:uiPriority w:val="49"/>
    <w:rsid w:val="00F85A8C"/>
    <w:pPr>
      <w:spacing w:after="0pt" w:line="12pt" w:lineRule="auto"/>
    </w:pPr>
    <w:rPr>
      <w:rFonts w:ascii="Calibri" w:eastAsia="Calibri" w:hAnsi="Calibri" w:cs="Calibri"/>
      <w:sz w:val="20"/>
      <w:szCs w:val="20"/>
      <w:lang w:eastAsia="es-MX"/>
    </w:rPr>
    <w:tbl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style>
  <w:style w:type="paragraph" w:customStyle="1" w:styleId="Normalaftertitle0">
    <w:name w:val="Normal_after_title"/>
    <w:basedOn w:val="Normal"/>
    <w:next w:val="Normal"/>
    <w:uiPriority w:val="99"/>
    <w:rsid w:val="00277ED2"/>
    <w:pPr>
      <w:tabs>
        <w:tab w:val="start" w:pos="39.70pt"/>
        <w:tab w:val="start" w:pos="59.55pt"/>
        <w:tab w:val="start" w:pos="79.40pt"/>
        <w:tab w:val="start" w:pos="99.25pt"/>
      </w:tabs>
      <w:overflowPunct w:val="0"/>
      <w:autoSpaceDE w:val="0"/>
      <w:autoSpaceDN w:val="0"/>
      <w:adjustRightInd w:val="0"/>
      <w:spacing w:before="18pt" w:line="12pt" w:lineRule="auto"/>
      <w:jc w:val="both"/>
      <w:textAlignment w:val="baseline"/>
    </w:pPr>
    <w:rPr>
      <w:rFonts w:ascii="Times New Roman" w:eastAsia="Times New Roman" w:hAnsi="Times New Roman" w:cs="Times New Roman"/>
      <w:sz w:val="24"/>
      <w:szCs w:val="24"/>
      <w:lang w:val="es-ES_tradnl" w:eastAsia="es-ES"/>
    </w:rPr>
  </w:style>
  <w:style w:type="paragraph" w:customStyle="1" w:styleId="Listabcdoubleline">
    <w:name w:val="List abc double line"/>
    <w:uiPriority w:val="99"/>
    <w:rsid w:val="00277ED2"/>
    <w:pPr>
      <w:spacing w:before="11pt" w:after="0pt" w:line="12pt" w:lineRule="auto"/>
      <w:ind w:start="146.05pt" w:hanging="18.45pt"/>
    </w:pPr>
    <w:rPr>
      <w:rFonts w:ascii="Arial" w:eastAsia="Times New Roman" w:hAnsi="Arial" w:cs="Times New Roman"/>
      <w:szCs w:val="24"/>
      <w:lang w:val="en-US"/>
    </w:rPr>
  </w:style>
  <w:style w:type="paragraph" w:customStyle="1" w:styleId="SP249882">
    <w:name w:val="SP249882"/>
    <w:basedOn w:val="Default"/>
    <w:next w:val="Default"/>
    <w:uiPriority w:val="99"/>
    <w:rsid w:val="00277ED2"/>
    <w:pPr>
      <w:spacing w:before="48pt"/>
    </w:pPr>
    <w:rPr>
      <w:rFonts w:ascii="Arial" w:eastAsia="Times New Roman" w:hAnsi="Arial" w:cs="Times New Roman"/>
      <w:color w:val="auto"/>
      <w:sz w:val="20"/>
      <w:lang w:val="es-ES" w:eastAsia="es-ES"/>
    </w:rPr>
  </w:style>
  <w:style w:type="character" w:customStyle="1" w:styleId="CommentTextChar">
    <w:name w:val="Comment Text Char"/>
    <w:locked/>
    <w:rsid w:val="001811E0"/>
    <w:rPr>
      <w:rFonts w:ascii="Calibri" w:hAnsi="Calibri"/>
      <w:sz w:val="24"/>
      <w:lang w:val="es-ES_tradnl" w:eastAsia="es-ES"/>
    </w:rPr>
  </w:style>
  <w:style w:type="character" w:customStyle="1" w:styleId="SUBSUBCAPCar">
    <w:name w:val="SUBSUBCAP Car"/>
    <w:link w:val="SUBSUBCAP"/>
    <w:uiPriority w:val="99"/>
    <w:locked/>
    <w:rsid w:val="00277ED2"/>
    <w:rPr>
      <w:rFonts w:ascii="Calibri" w:eastAsia="Times New Roman" w:hAnsi="Calibri" w:cs="Times New Roman"/>
      <w:b/>
      <w:sz w:val="20"/>
      <w:szCs w:val="24"/>
      <w:lang w:val="es-ES" w:eastAsia="es-ES"/>
    </w:rPr>
  </w:style>
  <w:style w:type="paragraph" w:customStyle="1" w:styleId="SP249961">
    <w:name w:val="SP249961"/>
    <w:basedOn w:val="Default"/>
    <w:next w:val="Default"/>
    <w:uiPriority w:val="99"/>
    <w:rsid w:val="00277ED2"/>
    <w:pPr>
      <w:spacing w:before="10pt" w:after="4pt"/>
    </w:pPr>
    <w:rPr>
      <w:rFonts w:ascii="Arial" w:eastAsia="Times New Roman" w:hAnsi="Arial" w:cs="Times New Roman"/>
      <w:color w:val="auto"/>
      <w:sz w:val="20"/>
      <w:lang w:val="es-ES" w:eastAsia="es-ES"/>
    </w:rPr>
  </w:style>
  <w:style w:type="paragraph" w:styleId="ndice4">
    <w:name w:val="index 4"/>
    <w:basedOn w:val="Normal"/>
    <w:next w:val="Normal"/>
    <w:autoRedefine/>
    <w:uiPriority w:val="99"/>
    <w:semiHidden/>
    <w:rsid w:val="00277ED2"/>
    <w:pPr>
      <w:spacing w:line="12pt" w:lineRule="auto"/>
      <w:ind w:start="48pt" w:hanging="12pt"/>
    </w:pPr>
    <w:rPr>
      <w:rFonts w:ascii="Calibri" w:eastAsia="Times New Roman" w:hAnsi="Calibri" w:cs="Times New Roman"/>
      <w:sz w:val="24"/>
      <w:szCs w:val="24"/>
      <w:lang w:eastAsia="es-ES"/>
    </w:rPr>
  </w:style>
  <w:style w:type="paragraph" w:customStyle="1" w:styleId="SP249885">
    <w:name w:val="SP249885"/>
    <w:basedOn w:val="Default"/>
    <w:next w:val="Default"/>
    <w:uiPriority w:val="99"/>
    <w:rsid w:val="00277ED2"/>
    <w:pPr>
      <w:spacing w:before="24pt"/>
    </w:pPr>
    <w:rPr>
      <w:rFonts w:ascii="Arial" w:eastAsia="Times New Roman" w:hAnsi="Arial" w:cs="Times New Roman"/>
      <w:color w:val="auto"/>
      <w:sz w:val="20"/>
      <w:lang w:val="es-ES" w:eastAsia="es-ES"/>
    </w:rPr>
  </w:style>
  <w:style w:type="paragraph" w:customStyle="1" w:styleId="SP249876">
    <w:name w:val="SP249876"/>
    <w:basedOn w:val="Default"/>
    <w:next w:val="Default"/>
    <w:uiPriority w:val="99"/>
    <w:rsid w:val="00277ED2"/>
    <w:pPr>
      <w:spacing w:before="8pt"/>
    </w:pPr>
    <w:rPr>
      <w:rFonts w:ascii="Arial" w:eastAsia="Times New Roman" w:hAnsi="Arial" w:cs="Times New Roman"/>
      <w:color w:val="auto"/>
      <w:sz w:val="20"/>
      <w:lang w:val="es-ES" w:eastAsia="es-ES"/>
    </w:rPr>
  </w:style>
  <w:style w:type="character" w:customStyle="1" w:styleId="SC176133">
    <w:name w:val="SC176133"/>
    <w:uiPriority w:val="99"/>
    <w:rsid w:val="00277ED2"/>
    <w:rPr>
      <w:rFonts w:ascii="Times New Roman" w:hAnsi="Times New Roman"/>
      <w:color w:val="000000"/>
      <w:sz w:val="24"/>
    </w:rPr>
  </w:style>
  <w:style w:type="paragraph" w:customStyle="1" w:styleId="SP249877">
    <w:name w:val="SP249877"/>
    <w:basedOn w:val="Default"/>
    <w:next w:val="Default"/>
    <w:uiPriority w:val="99"/>
    <w:rsid w:val="00277ED2"/>
    <w:pPr>
      <w:spacing w:before="8pt"/>
    </w:pPr>
    <w:rPr>
      <w:rFonts w:ascii="Arial" w:eastAsia="Times New Roman" w:hAnsi="Arial" w:cs="Times New Roman"/>
      <w:color w:val="auto"/>
      <w:sz w:val="20"/>
      <w:lang w:val="es-ES" w:eastAsia="es-ES"/>
    </w:rPr>
  </w:style>
  <w:style w:type="paragraph" w:customStyle="1" w:styleId="Listabcsingleline">
    <w:name w:val="List abc single line"/>
    <w:uiPriority w:val="99"/>
    <w:rsid w:val="00277ED2"/>
    <w:pPr>
      <w:spacing w:after="0pt" w:line="12pt" w:lineRule="auto"/>
      <w:ind w:start="36pt" w:hanging="18pt"/>
    </w:pPr>
    <w:rPr>
      <w:rFonts w:ascii="Arial" w:eastAsia="Times New Roman" w:hAnsi="Arial" w:cs="Times New Roman"/>
      <w:szCs w:val="24"/>
      <w:lang w:val="en-US"/>
    </w:rPr>
  </w:style>
  <w:style w:type="paragraph" w:customStyle="1" w:styleId="Listabcsinglelinewide">
    <w:name w:val="List abc single line (wide)"/>
    <w:uiPriority w:val="99"/>
    <w:rsid w:val="00277ED2"/>
    <w:pPr>
      <w:spacing w:after="0pt" w:line="12pt" w:lineRule="auto"/>
      <w:ind w:start="36pt" w:hanging="18pt"/>
    </w:pPr>
    <w:rPr>
      <w:rFonts w:ascii="Arial" w:eastAsia="Times New Roman" w:hAnsi="Arial" w:cs="Times New Roman"/>
      <w:szCs w:val="24"/>
      <w:lang w:val="en-US" w:bidi="ar-DZ"/>
    </w:rPr>
  </w:style>
  <w:style w:type="character" w:customStyle="1" w:styleId="Numtext1Char">
    <w:name w:val="Numtext 1 Char"/>
    <w:basedOn w:val="Fuentedeprrafopredeter"/>
    <w:link w:val="Numtext1"/>
    <w:locked/>
    <w:rsid w:val="007C2715"/>
    <w:rPr>
      <w:rFonts w:ascii="Arial" w:hAnsi="Arial" w:cs="Arial"/>
      <w:lang w:val="es-ES"/>
    </w:rPr>
  </w:style>
  <w:style w:type="paragraph" w:customStyle="1" w:styleId="Listnumbersinglelinewide">
    <w:name w:val="List number single line (wide)"/>
    <w:uiPriority w:val="99"/>
    <w:rsid w:val="00277ED2"/>
    <w:pPr>
      <w:spacing w:after="0pt" w:line="12pt" w:lineRule="auto"/>
      <w:ind w:start="36pt" w:hanging="18pt"/>
    </w:pPr>
    <w:rPr>
      <w:rFonts w:ascii="Arial" w:eastAsia="Times New Roman" w:hAnsi="Arial" w:cs="Times New Roman"/>
      <w:szCs w:val="24"/>
      <w:lang w:val="en-US"/>
    </w:rPr>
  </w:style>
  <w:style w:type="paragraph" w:customStyle="1" w:styleId="ListBulletwide">
    <w:name w:val="List Bullet (wide)"/>
    <w:uiPriority w:val="99"/>
    <w:rsid w:val="00277ED2"/>
    <w:pPr>
      <w:spacing w:after="0pt" w:line="12pt" w:lineRule="auto"/>
      <w:ind w:start="18pt" w:hanging="18pt"/>
    </w:pPr>
    <w:rPr>
      <w:rFonts w:ascii="Arial" w:eastAsia="Times New Roman" w:hAnsi="Arial" w:cs="Times New Roman"/>
      <w:szCs w:val="24"/>
      <w:lang w:val="en-US"/>
    </w:rPr>
  </w:style>
  <w:style w:type="table" w:customStyle="1" w:styleId="Sombreadoclaro-nfasis111">
    <w:name w:val="Sombreado claro - Énfasis 111"/>
    <w:basedOn w:val="Tablanormal"/>
    <w:uiPriority w:val="60"/>
    <w:rsid w:val="007C2715"/>
    <w:pPr>
      <w:spacing w:after="0pt" w:line="12pt" w:lineRule="auto"/>
    </w:pPr>
    <w:rPr>
      <w:rFonts w:eastAsiaTheme="minorEastAsia"/>
      <w:color w:val="2E74B5" w:themeColor="accent1" w:themeShade="BF"/>
      <w:lang w:eastAsia="es-MX"/>
    </w:rPr>
    <w:tblPr>
      <w:tblStyleRowBandSize w:val="1"/>
      <w:tblStyleColBandSize w:val="1"/>
      <w:tblBorders>
        <w:top w:val="single" w:sz="8" w:space="0" w:color="5B9BD5" w:themeColor="accent1"/>
        <w:bottom w:val="single" w:sz="8" w:space="0" w:color="5B9BD5" w:themeColor="accent1"/>
      </w:tblBorders>
    </w:tblPr>
    <w:tblStylePr w:type="firstRow">
      <w:pPr>
        <w:spacing w:before="0pt" w:after="0pt" w:line="12pt" w:lineRule="auto"/>
      </w:pPr>
      <w:rPr>
        <w:b/>
        <w:bCs/>
      </w:rPr>
      <w:tblPr/>
      <w:tcPr>
        <w:tcBorders>
          <w:top w:val="single" w:sz="8" w:space="0" w:color="5B9BD5" w:themeColor="accent1"/>
          <w:start w:val="nil"/>
          <w:bottom w:val="single" w:sz="8" w:space="0" w:color="5B9BD5" w:themeColor="accent1"/>
          <w:end w:val="nil"/>
          <w:insideH w:val="nil"/>
          <w:insideV w:val="nil"/>
        </w:tcBorders>
      </w:tcPr>
    </w:tblStylePr>
    <w:tblStylePr w:type="lastRow">
      <w:pPr>
        <w:spacing w:before="0pt" w:after="0pt" w:line="12pt" w:lineRule="auto"/>
      </w:pPr>
      <w:rPr>
        <w:b/>
        <w:bCs/>
      </w:rPr>
      <w:tblPr/>
      <w:tcPr>
        <w:tcBorders>
          <w:top w:val="single" w:sz="8" w:space="0" w:color="5B9BD5" w:themeColor="accent1"/>
          <w:start w:val="nil"/>
          <w:bottom w:val="single" w:sz="8" w:space="0" w:color="5B9BD5" w:themeColor="accent1"/>
          <w:end w:val="nil"/>
          <w:insideH w:val="nil"/>
          <w:insideV w:val="nil"/>
        </w:tcBorders>
      </w:tcPr>
    </w:tblStylePr>
    <w:tblStylePr w:type="firstCol">
      <w:rPr>
        <w:b/>
        <w:bCs/>
      </w:rPr>
    </w:tblStylePr>
    <w:tblStylePr w:type="lastCol">
      <w:rPr>
        <w:b/>
        <w:bCs/>
      </w:rPr>
    </w:tblStylePr>
    <w:tblStylePr w:type="band1Vert">
      <w:tblPr/>
      <w:tcPr>
        <w:tcBorders>
          <w:start w:val="nil"/>
          <w:end w:val="nil"/>
          <w:insideH w:val="nil"/>
          <w:insideV w:val="nil"/>
        </w:tcBorders>
        <w:shd w:val="clear" w:color="auto" w:fill="D6E6F4" w:themeFill="accent1" w:themeFillTint="3F"/>
      </w:tcPr>
    </w:tblStylePr>
    <w:tblStylePr w:type="band1Horz">
      <w:tblPr/>
      <w:tcPr>
        <w:tcBorders>
          <w:start w:val="nil"/>
          <w:end w:val="nil"/>
          <w:insideH w:val="nil"/>
          <w:insideV w:val="nil"/>
        </w:tcBorders>
        <w:shd w:val="clear" w:color="auto" w:fill="D6E6F4" w:themeFill="accent1" w:themeFillTint="3F"/>
      </w:tcPr>
    </w:tblStylePr>
  </w:style>
  <w:style w:type="paragraph" w:customStyle="1" w:styleId="TableStyle">
    <w:name w:val="TableStyle"/>
    <w:uiPriority w:val="99"/>
    <w:rsid w:val="00277ED2"/>
    <w:pPr>
      <w:spacing w:after="0pt" w:line="12pt" w:lineRule="auto"/>
      <w:ind w:start="4.25pt"/>
    </w:pPr>
    <w:rPr>
      <w:rFonts w:ascii="Arial" w:eastAsia="Times New Roman" w:hAnsi="Arial" w:cs="Times New Roman"/>
      <w:noProof/>
      <w:szCs w:val="24"/>
      <w:lang w:val="en-US"/>
    </w:rPr>
  </w:style>
  <w:style w:type="paragraph" w:customStyle="1" w:styleId="Punkter">
    <w:name w:val="Punkter"/>
    <w:basedOn w:val="Normal"/>
    <w:next w:val="Brdutanindrag"/>
    <w:uiPriority w:val="99"/>
    <w:rsid w:val="00277ED2"/>
    <w:pPr>
      <w:spacing w:line="13pt" w:lineRule="exact"/>
      <w:ind w:start="36pt" w:hanging="18pt"/>
    </w:pPr>
    <w:rPr>
      <w:rFonts w:ascii="Courier New" w:eastAsia="Times New Roman" w:hAnsi="Courier New" w:cs="Times New Roman"/>
      <w:sz w:val="24"/>
      <w:szCs w:val="24"/>
      <w:lang w:val="sv-SE"/>
    </w:rPr>
  </w:style>
  <w:style w:type="paragraph" w:customStyle="1" w:styleId="Brdutanindrag">
    <w:name w:val="Bröd utan indrag"/>
    <w:basedOn w:val="Normal"/>
    <w:uiPriority w:val="99"/>
    <w:rsid w:val="00277ED2"/>
    <w:pPr>
      <w:spacing w:line="13pt" w:lineRule="exact"/>
    </w:pPr>
    <w:rPr>
      <w:rFonts w:ascii="Courier New" w:eastAsia="Times New Roman" w:hAnsi="Courier New" w:cs="Times New Roman"/>
      <w:kern w:val="18"/>
      <w:sz w:val="24"/>
      <w:szCs w:val="24"/>
      <w:lang w:val="en-US"/>
    </w:rPr>
  </w:style>
  <w:style w:type="paragraph" w:customStyle="1" w:styleId="Bullets1">
    <w:name w:val="Bullets 1"/>
    <w:basedOn w:val="Normal"/>
    <w:uiPriority w:val="99"/>
    <w:rsid w:val="00277ED2"/>
    <w:pPr>
      <w:tabs>
        <w:tab w:val="start" w:pos="51.05pt"/>
      </w:tabs>
      <w:spacing w:after="1pt" w:line="12pt" w:lineRule="auto"/>
      <w:ind w:start="54pt" w:hanging="18pt"/>
      <w:jc w:val="both"/>
    </w:pPr>
    <w:rPr>
      <w:rFonts w:ascii="Calibri" w:eastAsia="Times New Roman" w:hAnsi="Calibri" w:cs="Times New Roman"/>
      <w:sz w:val="24"/>
      <w:szCs w:val="24"/>
      <w:lang w:eastAsia="es-ES"/>
    </w:rPr>
  </w:style>
  <w:style w:type="paragraph" w:customStyle="1" w:styleId="Listavistosa-nfasis11">
    <w:name w:val="Lista vistosa - Énfasis 11"/>
    <w:basedOn w:val="Normal"/>
    <w:uiPriority w:val="99"/>
    <w:rsid w:val="00277ED2"/>
    <w:pPr>
      <w:spacing w:line="12pt" w:lineRule="auto"/>
      <w:ind w:start="35.40pt"/>
      <w:jc w:val="both"/>
    </w:pPr>
    <w:rPr>
      <w:rFonts w:ascii="Calibri" w:eastAsia="Times New Roman" w:hAnsi="Calibri" w:cs="Times New Roman"/>
      <w:sz w:val="24"/>
      <w:szCs w:val="24"/>
      <w:lang w:eastAsia="es-ES"/>
    </w:rPr>
  </w:style>
  <w:style w:type="paragraph" w:customStyle="1" w:styleId="FIGURAS">
    <w:name w:val="FIGURAS"/>
    <w:basedOn w:val="Normal"/>
    <w:link w:val="FIGURASCar"/>
    <w:uiPriority w:val="99"/>
    <w:rsid w:val="00277ED2"/>
    <w:pPr>
      <w:numPr>
        <w:numId w:val="25"/>
      </w:numPr>
      <w:spacing w:line="12pt" w:lineRule="auto"/>
      <w:ind w:start="0pt" w:firstLine="0pt"/>
      <w:jc w:val="center"/>
    </w:pPr>
    <w:rPr>
      <w:rFonts w:ascii="Calibri" w:eastAsia="Times New Roman" w:hAnsi="Calibri" w:cs="Times New Roman"/>
      <w:sz w:val="20"/>
      <w:szCs w:val="24"/>
      <w:lang w:val="es-ES" w:eastAsia="es-ES"/>
    </w:rPr>
  </w:style>
  <w:style w:type="character" w:customStyle="1" w:styleId="FIGURASCar">
    <w:name w:val="FIGURAS Car"/>
    <w:link w:val="FIGURAS"/>
    <w:uiPriority w:val="99"/>
    <w:locked/>
    <w:rsid w:val="00277ED2"/>
    <w:rPr>
      <w:rFonts w:ascii="Calibri" w:eastAsia="Times New Roman" w:hAnsi="Calibri" w:cs="Times New Roman"/>
      <w:sz w:val="20"/>
      <w:szCs w:val="24"/>
      <w:lang w:val="es-ES" w:eastAsia="es-ES"/>
    </w:rPr>
  </w:style>
  <w:style w:type="paragraph" w:customStyle="1" w:styleId="FIGURACarCarCar">
    <w:name w:val="FIGURA Car Car Car"/>
    <w:basedOn w:val="FIGURAS"/>
    <w:link w:val="FIGURACarCarCarCar"/>
    <w:uiPriority w:val="99"/>
    <w:rsid w:val="00277ED2"/>
  </w:style>
  <w:style w:type="character" w:customStyle="1" w:styleId="FIGURACarCarCarCar">
    <w:name w:val="FIGURA Car Car Car Car"/>
    <w:link w:val="FIGURACarCarCar"/>
    <w:uiPriority w:val="99"/>
    <w:locked/>
    <w:rsid w:val="00277ED2"/>
    <w:rPr>
      <w:rFonts w:ascii="Calibri" w:eastAsia="Times New Roman" w:hAnsi="Calibri" w:cs="Times New Roman"/>
      <w:sz w:val="20"/>
      <w:szCs w:val="24"/>
      <w:lang w:val="es-ES" w:eastAsia="es-ES"/>
    </w:rPr>
  </w:style>
  <w:style w:type="paragraph" w:styleId="ndice1">
    <w:name w:val="index 1"/>
    <w:basedOn w:val="Listaconnmeros"/>
    <w:next w:val="Normal"/>
    <w:autoRedefine/>
    <w:uiPriority w:val="99"/>
    <w:rsid w:val="00277ED2"/>
    <w:pPr>
      <w:tabs>
        <w:tab w:val="clear" w:pos="18pt"/>
      </w:tabs>
      <w:spacing w:after="0pt" w:line="12pt" w:lineRule="auto"/>
      <w:ind w:start="12pt" w:hanging="12pt"/>
      <w:contextualSpacing w:val="0"/>
      <w:jc w:val="start"/>
    </w:pPr>
    <w:rPr>
      <w:rFonts w:ascii="Calibri" w:eastAsia="Times New Roman" w:hAnsi="Calibri"/>
      <w:sz w:val="20"/>
      <w:szCs w:val="24"/>
      <w:lang w:val="es-MX" w:eastAsia="es-ES"/>
    </w:rPr>
  </w:style>
  <w:style w:type="paragraph" w:customStyle="1" w:styleId="FIGURA">
    <w:name w:val="FIGURA"/>
    <w:basedOn w:val="FIGURAS"/>
    <w:link w:val="FIGURACar"/>
    <w:uiPriority w:val="99"/>
    <w:rsid w:val="00277ED2"/>
  </w:style>
  <w:style w:type="paragraph" w:customStyle="1" w:styleId="Prrafodelista4">
    <w:name w:val="Párrafo de lista4"/>
    <w:basedOn w:val="Normal"/>
    <w:uiPriority w:val="99"/>
    <w:rsid w:val="00277ED2"/>
    <w:pPr>
      <w:spacing w:line="18pt" w:lineRule="auto"/>
      <w:ind w:start="35.40pt"/>
    </w:pPr>
    <w:rPr>
      <w:rFonts w:eastAsia="Times New Roman" w:cs="Times New Roman"/>
      <w:sz w:val="20"/>
      <w:szCs w:val="20"/>
      <w:lang w:val="es-ES_tradnl" w:eastAsia="es-ES"/>
    </w:rPr>
  </w:style>
  <w:style w:type="character" w:customStyle="1" w:styleId="FIGURACar">
    <w:name w:val="FIGURA Car"/>
    <w:link w:val="FIGURA"/>
    <w:uiPriority w:val="99"/>
    <w:locked/>
    <w:rsid w:val="00277ED2"/>
    <w:rPr>
      <w:rFonts w:ascii="Calibri" w:eastAsia="Times New Roman" w:hAnsi="Calibri" w:cs="Times New Roman"/>
      <w:sz w:val="20"/>
      <w:szCs w:val="24"/>
      <w:lang w:val="es-ES" w:eastAsia="es-ES"/>
    </w:rPr>
  </w:style>
  <w:style w:type="table" w:styleId="Sombreadoclaro-nfasis5">
    <w:name w:val="Light Shading Accent 5"/>
    <w:basedOn w:val="Tablanormal"/>
    <w:uiPriority w:val="60"/>
    <w:rsid w:val="00277ED2"/>
    <w:pPr>
      <w:spacing w:after="0pt" w:line="12pt" w:lineRule="auto"/>
    </w:pPr>
    <w:rPr>
      <w:rFonts w:eastAsiaTheme="minorEastAsia"/>
      <w:color w:val="2F5496" w:themeColor="accent5" w:themeShade="BF"/>
      <w:lang w:eastAsia="es-MX"/>
    </w:rPr>
    <w:tblPr>
      <w:tblStyleRowBandSize w:val="1"/>
      <w:tblStyleColBandSize w:val="1"/>
      <w:tblBorders>
        <w:top w:val="single" w:sz="8" w:space="0" w:color="4472C4" w:themeColor="accent5"/>
        <w:bottom w:val="single" w:sz="8" w:space="0" w:color="4472C4" w:themeColor="accent5"/>
      </w:tblBorders>
    </w:tblPr>
    <w:tblStylePr w:type="firstRow">
      <w:pPr>
        <w:spacing w:before="0pt" w:after="0pt" w:line="12pt" w:lineRule="auto"/>
      </w:pPr>
      <w:rPr>
        <w:b/>
        <w:bCs/>
      </w:rPr>
      <w:tblPr/>
      <w:tcPr>
        <w:tcBorders>
          <w:top w:val="single" w:sz="8" w:space="0" w:color="4472C4" w:themeColor="accent5"/>
          <w:start w:val="nil"/>
          <w:bottom w:val="single" w:sz="8" w:space="0" w:color="4472C4" w:themeColor="accent5"/>
          <w:end w:val="nil"/>
          <w:insideH w:val="nil"/>
          <w:insideV w:val="nil"/>
        </w:tcBorders>
      </w:tcPr>
    </w:tblStylePr>
    <w:tblStylePr w:type="lastRow">
      <w:pPr>
        <w:spacing w:before="0pt" w:after="0pt" w:line="12pt" w:lineRule="auto"/>
      </w:pPr>
      <w:rPr>
        <w:b/>
        <w:bCs/>
      </w:rPr>
      <w:tblPr/>
      <w:tcPr>
        <w:tcBorders>
          <w:top w:val="single" w:sz="8" w:space="0" w:color="4472C4" w:themeColor="accent5"/>
          <w:start w:val="nil"/>
          <w:bottom w:val="single" w:sz="8" w:space="0" w:color="4472C4" w:themeColor="accent5"/>
          <w:end w:val="nil"/>
          <w:insideH w:val="nil"/>
          <w:insideV w:val="nil"/>
        </w:tcBorders>
      </w:tcPr>
    </w:tblStylePr>
    <w:tblStylePr w:type="firstCol">
      <w:rPr>
        <w:b/>
        <w:bCs/>
      </w:rPr>
    </w:tblStylePr>
    <w:tblStylePr w:type="lastCol">
      <w:rPr>
        <w:b/>
        <w:bCs/>
      </w:rPr>
    </w:tblStylePr>
    <w:tblStylePr w:type="band1Vert">
      <w:tblPr/>
      <w:tcPr>
        <w:tcBorders>
          <w:start w:val="nil"/>
          <w:end w:val="nil"/>
          <w:insideH w:val="nil"/>
          <w:insideV w:val="nil"/>
        </w:tcBorders>
        <w:shd w:val="clear" w:color="auto" w:fill="D0DBF0" w:themeFill="accent5" w:themeFillTint="3F"/>
      </w:tcPr>
    </w:tblStylePr>
    <w:tblStylePr w:type="band1Horz">
      <w:tblPr/>
      <w:tcPr>
        <w:tcBorders>
          <w:start w:val="nil"/>
          <w:end w:val="nil"/>
          <w:insideH w:val="nil"/>
          <w:insideV w:val="nil"/>
        </w:tcBorders>
        <w:shd w:val="clear" w:color="auto" w:fill="D0DBF0" w:themeFill="accent5" w:themeFillTint="3F"/>
      </w:tcPr>
    </w:tblStylePr>
  </w:style>
  <w:style w:type="character" w:customStyle="1" w:styleId="FIGURACarCar">
    <w:name w:val="FIGURA Car Car"/>
    <w:uiPriority w:val="99"/>
    <w:rsid w:val="00277ED2"/>
    <w:rPr>
      <w:rFonts w:ascii="Arial" w:eastAsia="Times New Roman" w:hAnsi="Arial" w:cs="Times New Roman"/>
      <w:sz w:val="20"/>
      <w:szCs w:val="20"/>
      <w:lang w:val="es-ES" w:eastAsia="es-ES" w:bidi="ar-SA"/>
    </w:rPr>
  </w:style>
  <w:style w:type="paragraph" w:customStyle="1" w:styleId="SUBCAP">
    <w:name w:val="SUBCAP"/>
    <w:basedOn w:val="CAPITULOS"/>
    <w:link w:val="SUBCAPCar"/>
    <w:uiPriority w:val="99"/>
    <w:rsid w:val="00277ED2"/>
    <w:rPr>
      <w:sz w:val="24"/>
    </w:rPr>
  </w:style>
  <w:style w:type="paragraph" w:customStyle="1" w:styleId="TtulodeTDC2">
    <w:name w:val="Título de TDC2"/>
    <w:basedOn w:val="Ttulo1"/>
    <w:next w:val="Normal"/>
    <w:uiPriority w:val="99"/>
    <w:qFormat/>
    <w:rsid w:val="00277ED2"/>
    <w:pPr>
      <w:keepNext/>
      <w:keepLines/>
      <w:tabs>
        <w:tab w:val="start" w:pos="14.20pt"/>
      </w:tabs>
      <w:spacing w:before="24pt" w:line="12pt" w:lineRule="auto"/>
      <w:jc w:val="center"/>
      <w:outlineLvl w:val="9"/>
    </w:pPr>
    <w:rPr>
      <w:rFonts w:ascii="Cambria" w:eastAsia="Times New Roman" w:hAnsi="Cambria"/>
      <w:bCs/>
      <w:color w:val="365F91"/>
      <w:szCs w:val="28"/>
      <w:lang w:val="es-MX" w:eastAsia="en-US"/>
    </w:rPr>
  </w:style>
  <w:style w:type="paragraph" w:customStyle="1" w:styleId="SUBCAP4">
    <w:name w:val="SUBCAP4"/>
    <w:basedOn w:val="SUBSUBCAP"/>
    <w:link w:val="SUBCAP4Car"/>
    <w:autoRedefine/>
    <w:uiPriority w:val="99"/>
    <w:rsid w:val="00277ED2"/>
    <w:pPr>
      <w:numPr>
        <w:ilvl w:val="3"/>
        <w:numId w:val="26"/>
      </w:numPr>
    </w:pPr>
  </w:style>
  <w:style w:type="character" w:customStyle="1" w:styleId="TITULOTELMEXCarCar">
    <w:name w:val="TITULO TELMEX Car Car"/>
    <w:link w:val="TITULOTELMEXCar"/>
    <w:uiPriority w:val="99"/>
    <w:locked/>
    <w:rsid w:val="00277ED2"/>
    <w:rPr>
      <w:rFonts w:ascii="Calibri" w:eastAsia="Times New Roman" w:hAnsi="Calibri" w:cs="Times New Roman"/>
      <w:b/>
      <w:sz w:val="32"/>
      <w:szCs w:val="24"/>
      <w:lang w:eastAsia="es-ES"/>
    </w:rPr>
  </w:style>
  <w:style w:type="paragraph" w:customStyle="1" w:styleId="TITULOTELMEX">
    <w:name w:val="TITULO TELMEX"/>
    <w:basedOn w:val="Normal"/>
    <w:uiPriority w:val="99"/>
    <w:rsid w:val="00277ED2"/>
    <w:pPr>
      <w:spacing w:line="12pt" w:lineRule="auto"/>
      <w:ind w:start="21.30pt" w:hanging="21.30pt"/>
      <w:jc w:val="both"/>
    </w:pPr>
    <w:rPr>
      <w:rFonts w:ascii="Calibri" w:eastAsia="Times New Roman" w:hAnsi="Calibri" w:cs="Times New Roman"/>
      <w:b/>
      <w:sz w:val="32"/>
      <w:szCs w:val="24"/>
      <w:lang w:eastAsia="es-ES"/>
    </w:rPr>
  </w:style>
  <w:style w:type="character" w:customStyle="1" w:styleId="corchete-llamada1">
    <w:name w:val="corchete-llamada1"/>
    <w:uiPriority w:val="99"/>
    <w:rsid w:val="00277ED2"/>
    <w:rPr>
      <w:vanish/>
    </w:rPr>
  </w:style>
  <w:style w:type="paragraph" w:styleId="ndice5">
    <w:name w:val="index 5"/>
    <w:basedOn w:val="Normal"/>
    <w:next w:val="Normal"/>
    <w:autoRedefine/>
    <w:uiPriority w:val="99"/>
    <w:semiHidden/>
    <w:rsid w:val="00277ED2"/>
    <w:pPr>
      <w:spacing w:line="12pt" w:lineRule="auto"/>
      <w:ind w:start="60pt" w:hanging="12pt"/>
    </w:pPr>
    <w:rPr>
      <w:rFonts w:ascii="Calibri" w:eastAsia="Times New Roman" w:hAnsi="Calibri" w:cs="Times New Roman"/>
      <w:sz w:val="24"/>
      <w:szCs w:val="24"/>
      <w:lang w:eastAsia="es-ES"/>
    </w:rPr>
  </w:style>
  <w:style w:type="paragraph" w:customStyle="1" w:styleId="DIDTEXTO">
    <w:name w:val="DID TEXTO"/>
    <w:basedOn w:val="TITULOTELMEXCar"/>
    <w:link w:val="DIDTEXTOCar"/>
    <w:uiPriority w:val="99"/>
    <w:rsid w:val="00277ED2"/>
    <w:pPr>
      <w:outlineLvl w:val="0"/>
    </w:pPr>
    <w:rPr>
      <w:b w:val="0"/>
      <w:sz w:val="24"/>
    </w:rPr>
  </w:style>
  <w:style w:type="paragraph" w:customStyle="1" w:styleId="Texto01">
    <w:name w:val="Texto 01"/>
    <w:basedOn w:val="Normal"/>
    <w:rsid w:val="001811E0"/>
    <w:pPr>
      <w:spacing w:line="12pt" w:lineRule="auto"/>
      <w:ind w:start="17pt" w:end="32.90pt"/>
      <w:jc w:val="both"/>
    </w:pPr>
    <w:rPr>
      <w:rFonts w:eastAsia="Times New Roman" w:cs="Times New Roman"/>
      <w:sz w:val="20"/>
      <w:szCs w:val="20"/>
      <w:lang w:val="es-ES_tradnl" w:eastAsia="es-ES"/>
    </w:rPr>
  </w:style>
  <w:style w:type="paragraph" w:styleId="ndice6">
    <w:name w:val="index 6"/>
    <w:basedOn w:val="Normal"/>
    <w:next w:val="Normal"/>
    <w:autoRedefine/>
    <w:uiPriority w:val="99"/>
    <w:semiHidden/>
    <w:rsid w:val="00277ED2"/>
    <w:pPr>
      <w:spacing w:line="12pt" w:lineRule="auto"/>
      <w:ind w:start="72pt" w:hanging="12pt"/>
    </w:pPr>
    <w:rPr>
      <w:rFonts w:ascii="Calibri" w:eastAsia="Times New Roman" w:hAnsi="Calibri" w:cs="Times New Roman"/>
      <w:sz w:val="24"/>
      <w:szCs w:val="24"/>
      <w:lang w:eastAsia="es-ES"/>
    </w:rPr>
  </w:style>
  <w:style w:type="paragraph" w:styleId="TtulodeTDC">
    <w:name w:val="TOC Heading"/>
    <w:basedOn w:val="Ttulo1"/>
    <w:next w:val="Normal"/>
    <w:uiPriority w:val="39"/>
    <w:unhideWhenUsed/>
    <w:qFormat/>
    <w:rsid w:val="000B5AAD"/>
    <w:pPr>
      <w:keepNext/>
      <w:keepLines/>
      <w:spacing w:before="12pt" w:line="12.95pt" w:lineRule="auto"/>
      <w:jc w:val="start"/>
      <w:outlineLvl w:val="9"/>
    </w:pPr>
    <w:rPr>
      <w:rFonts w:ascii="Calibri Light" w:eastAsia="Times New Roman" w:hAnsi="Calibri Light" w:cs="Times New Roman"/>
      <w:b w:val="0"/>
      <w:color w:val="2E74B5"/>
      <w:sz w:val="32"/>
      <w:szCs w:val="32"/>
      <w:lang w:val="es-MX" w:eastAsia="en-US"/>
    </w:rPr>
  </w:style>
  <w:style w:type="paragraph" w:customStyle="1" w:styleId="aaaIFTNormalArial">
    <w:name w:val="aaa IFT Normal Arial"/>
    <w:basedOn w:val="IFTnormal"/>
    <w:rsid w:val="007C2715"/>
    <w:pPr>
      <w:spacing w:after="10pt"/>
    </w:pPr>
  </w:style>
  <w:style w:type="paragraph" w:styleId="ndice8">
    <w:name w:val="index 8"/>
    <w:basedOn w:val="Normal"/>
    <w:next w:val="Normal"/>
    <w:autoRedefine/>
    <w:uiPriority w:val="99"/>
    <w:semiHidden/>
    <w:rsid w:val="00277ED2"/>
    <w:pPr>
      <w:spacing w:line="12pt" w:lineRule="auto"/>
      <w:ind w:start="96pt" w:hanging="12pt"/>
    </w:pPr>
    <w:rPr>
      <w:rFonts w:ascii="Calibri" w:eastAsia="Times New Roman" w:hAnsi="Calibri" w:cs="Times New Roman"/>
      <w:sz w:val="24"/>
      <w:szCs w:val="24"/>
      <w:lang w:eastAsia="es-ES"/>
    </w:rPr>
  </w:style>
  <w:style w:type="table" w:customStyle="1" w:styleId="Tablaconcuadrcula23">
    <w:name w:val="Tabla con cuadrícula23"/>
    <w:basedOn w:val="Tablanormal"/>
    <w:next w:val="Tablaconcuadrcula"/>
    <w:uiPriority w:val="59"/>
    <w:rsid w:val="00497C7D"/>
    <w:pPr>
      <w:spacing w:before="3pt" w:after="0pt" w:line="12pt" w:lineRule="auto"/>
      <w:jc w:val="both"/>
    </w:pPr>
    <w:rPr>
      <w:rFonts w:ascii="Arial" w:eastAsia="Times New Roman" w:hAnsi="Arial" w:cs="Times New Roman"/>
      <w:sz w:val="24"/>
      <w:szCs w:val="24"/>
      <w:lang w:eastAsia="es-MX"/>
    </w:rPr>
    <w:tblP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Pr>
  </w:style>
  <w:style w:type="paragraph" w:customStyle="1" w:styleId="Prrafodelista1">
    <w:name w:val="Párrafo de lista1"/>
    <w:basedOn w:val="Normal"/>
    <w:link w:val="ListParagraphChar"/>
    <w:uiPriority w:val="99"/>
    <w:qFormat/>
    <w:rsid w:val="00277ED2"/>
    <w:pPr>
      <w:spacing w:line="12pt" w:lineRule="auto"/>
      <w:ind w:start="35.40pt"/>
      <w:jc w:val="both"/>
    </w:pPr>
    <w:rPr>
      <w:rFonts w:ascii="Calibri" w:eastAsia="Times New Roman" w:hAnsi="Calibri" w:cs="Times New Roman"/>
      <w:sz w:val="24"/>
      <w:szCs w:val="24"/>
      <w:lang w:eastAsia="es-ES"/>
    </w:rPr>
  </w:style>
  <w:style w:type="character" w:customStyle="1" w:styleId="DIDTEXTOCar">
    <w:name w:val="DID TEXTO Car"/>
    <w:link w:val="DIDTEXTO"/>
    <w:uiPriority w:val="99"/>
    <w:locked/>
    <w:rsid w:val="00277ED2"/>
    <w:rPr>
      <w:rFonts w:ascii="Calibri" w:eastAsia="Times New Roman" w:hAnsi="Calibri" w:cs="Times New Roman"/>
      <w:sz w:val="24"/>
      <w:szCs w:val="24"/>
      <w:lang w:eastAsia="es-ES"/>
    </w:rPr>
  </w:style>
  <w:style w:type="paragraph" w:customStyle="1" w:styleId="DIDSUBCAP">
    <w:name w:val="DID SUBCAP"/>
    <w:basedOn w:val="CAPITULOS"/>
    <w:link w:val="DIDSUBCAPCar"/>
    <w:uiPriority w:val="99"/>
    <w:rsid w:val="00277ED2"/>
    <w:pPr>
      <w:numPr>
        <w:ilvl w:val="1"/>
        <w:numId w:val="29"/>
      </w:numPr>
    </w:pPr>
    <w:rPr>
      <w:sz w:val="28"/>
      <w:lang w:val="es-ES"/>
    </w:rPr>
  </w:style>
  <w:style w:type="paragraph" w:customStyle="1" w:styleId="TableH1">
    <w:name w:val="TableH1"/>
    <w:basedOn w:val="Normal"/>
    <w:link w:val="TableH1Char"/>
    <w:qFormat/>
    <w:rsid w:val="007C2715"/>
    <w:pPr>
      <w:spacing w:before="2pt" w:after="2pt" w:line="14.40pt" w:lineRule="auto"/>
      <w:jc w:val="center"/>
    </w:pPr>
    <w:rPr>
      <w:rFonts w:eastAsia="PMingLiU" w:cs="Arial"/>
      <w:b/>
      <w:bCs/>
      <w:color w:val="FFFFFF" w:themeColor="background1"/>
      <w:sz w:val="16"/>
      <w:szCs w:val="16"/>
      <w:lang w:val="en-GB" w:eastAsia="zh-TW"/>
    </w:rPr>
  </w:style>
  <w:style w:type="character" w:customStyle="1" w:styleId="DIDSUBCAPCar">
    <w:name w:val="DID SUBCAP Car"/>
    <w:link w:val="DIDSUBCAP"/>
    <w:uiPriority w:val="99"/>
    <w:locked/>
    <w:rsid w:val="00277ED2"/>
    <w:rPr>
      <w:rFonts w:ascii="Calibri" w:eastAsia="Times New Roman" w:hAnsi="Calibri" w:cs="Times New Roman"/>
      <w:b/>
      <w:sz w:val="28"/>
      <w:szCs w:val="24"/>
      <w:lang w:val="es-ES" w:eastAsia="es-ES"/>
    </w:rPr>
  </w:style>
  <w:style w:type="character" w:customStyle="1" w:styleId="TITULOTELMEXSUBCAPITULOSCar">
    <w:name w:val="TITULO TELMEX SUBCAPITULOS Car"/>
    <w:link w:val="TITULOTELMEXSUBCAPITULOS"/>
    <w:uiPriority w:val="99"/>
    <w:locked/>
    <w:rsid w:val="00277ED2"/>
    <w:rPr>
      <w:rFonts w:ascii="Calibri" w:eastAsia="Times New Roman" w:hAnsi="Calibri" w:cs="Times New Roman"/>
      <w:b/>
      <w:sz w:val="32"/>
      <w:szCs w:val="24"/>
      <w:lang w:val="es-ES_tradnl" w:eastAsia="es-ES"/>
    </w:rPr>
  </w:style>
  <w:style w:type="paragraph" w:customStyle="1" w:styleId="CM2">
    <w:name w:val="CM2"/>
    <w:basedOn w:val="Default"/>
    <w:next w:val="Default"/>
    <w:uiPriority w:val="99"/>
    <w:rsid w:val="00277ED2"/>
    <w:pPr>
      <w:widowControl w:val="0"/>
      <w:spacing w:line="13.30pt" w:lineRule="atLeast"/>
    </w:pPr>
    <w:rPr>
      <w:rFonts w:ascii="Times New Roman" w:eastAsia="Times New Roman" w:hAnsi="Times New Roman" w:cs="Times New Roman"/>
      <w:color w:val="auto"/>
      <w:lang w:val="es-ES" w:eastAsia="es-ES"/>
    </w:rPr>
  </w:style>
  <w:style w:type="paragraph" w:customStyle="1" w:styleId="CM19">
    <w:name w:val="CM19"/>
    <w:basedOn w:val="Default"/>
    <w:next w:val="Default"/>
    <w:uiPriority w:val="99"/>
    <w:rsid w:val="00277ED2"/>
    <w:pPr>
      <w:widowControl w:val="0"/>
      <w:spacing w:after="30.75pt"/>
    </w:pPr>
    <w:rPr>
      <w:rFonts w:ascii="Times New Roman" w:eastAsia="Times New Roman" w:hAnsi="Times New Roman" w:cs="Times New Roman"/>
      <w:color w:val="auto"/>
      <w:lang w:val="es-ES" w:eastAsia="es-ES"/>
    </w:rPr>
  </w:style>
  <w:style w:type="paragraph" w:customStyle="1" w:styleId="CM17">
    <w:name w:val="CM17"/>
    <w:basedOn w:val="Default"/>
    <w:next w:val="Default"/>
    <w:uiPriority w:val="99"/>
    <w:rsid w:val="00277ED2"/>
    <w:pPr>
      <w:widowControl w:val="0"/>
      <w:spacing w:after="22.40pt"/>
    </w:pPr>
    <w:rPr>
      <w:rFonts w:ascii="Times New Roman" w:eastAsia="Times New Roman" w:hAnsi="Times New Roman" w:cs="Times New Roman"/>
      <w:color w:val="auto"/>
      <w:lang w:val="es-ES" w:eastAsia="es-ES"/>
    </w:rPr>
  </w:style>
  <w:style w:type="paragraph" w:customStyle="1" w:styleId="CM7">
    <w:name w:val="CM7"/>
    <w:basedOn w:val="Default"/>
    <w:next w:val="Default"/>
    <w:uiPriority w:val="99"/>
    <w:rsid w:val="00277ED2"/>
    <w:pPr>
      <w:widowControl w:val="0"/>
      <w:spacing w:line="13.30pt" w:lineRule="atLeast"/>
    </w:pPr>
    <w:rPr>
      <w:rFonts w:ascii="Times New Roman" w:eastAsia="Times New Roman" w:hAnsi="Times New Roman" w:cs="Times New Roman"/>
      <w:color w:val="auto"/>
      <w:lang w:val="es-ES" w:eastAsia="es-ES"/>
    </w:rPr>
  </w:style>
  <w:style w:type="paragraph" w:customStyle="1" w:styleId="CM9">
    <w:name w:val="CM9"/>
    <w:basedOn w:val="Default"/>
    <w:next w:val="Default"/>
    <w:uiPriority w:val="99"/>
    <w:rsid w:val="00277ED2"/>
    <w:pPr>
      <w:widowControl w:val="0"/>
      <w:spacing w:line="13.30pt" w:lineRule="atLeast"/>
    </w:pPr>
    <w:rPr>
      <w:rFonts w:ascii="Times New Roman" w:eastAsia="Times New Roman" w:hAnsi="Times New Roman" w:cs="Times New Roman"/>
      <w:color w:val="auto"/>
      <w:lang w:val="es-ES" w:eastAsia="es-ES"/>
    </w:rPr>
  </w:style>
  <w:style w:type="paragraph" w:customStyle="1" w:styleId="CM23">
    <w:name w:val="CM23"/>
    <w:basedOn w:val="Default"/>
    <w:next w:val="Default"/>
    <w:uiPriority w:val="99"/>
    <w:rsid w:val="00277ED2"/>
    <w:pPr>
      <w:widowControl w:val="0"/>
      <w:spacing w:after="18.60pt"/>
    </w:pPr>
    <w:rPr>
      <w:rFonts w:ascii="Times New Roman" w:eastAsia="Times New Roman" w:hAnsi="Times New Roman" w:cs="Times New Roman"/>
      <w:color w:val="auto"/>
      <w:lang w:val="es-ES" w:eastAsia="es-ES"/>
    </w:rPr>
  </w:style>
  <w:style w:type="character" w:customStyle="1" w:styleId="Cuerpodeltexto">
    <w:name w:val="Cuerpo del texto"/>
    <w:uiPriority w:val="99"/>
    <w:rsid w:val="00277ED2"/>
    <w:rPr>
      <w:rFonts w:ascii="Arial" w:eastAsia="Times New Roman" w:hAnsi="Arial" w:cs="Arial"/>
      <w:color w:val="000000"/>
      <w:spacing w:val="0"/>
      <w:w w:val="100%"/>
      <w:position w:val="0"/>
      <w:sz w:val="23"/>
      <w:szCs w:val="23"/>
      <w:u w:val="none"/>
      <w:lang w:val="es-ES"/>
    </w:rPr>
  </w:style>
  <w:style w:type="paragraph" w:customStyle="1" w:styleId="Numtext2">
    <w:name w:val="Numtext 2"/>
    <w:basedOn w:val="Numtext1"/>
    <w:qFormat/>
    <w:rsid w:val="007C2715"/>
    <w:pPr>
      <w:ind w:start="42.55pt" w:hanging="18pt"/>
    </w:pPr>
    <w:rPr>
      <w:rFonts w:eastAsia="Times New Roman"/>
    </w:rPr>
  </w:style>
  <w:style w:type="character" w:customStyle="1" w:styleId="Mencinsinresolver1">
    <w:name w:val="Mención sin resolver1"/>
    <w:uiPriority w:val="99"/>
    <w:semiHidden/>
    <w:unhideWhenUsed/>
    <w:rsid w:val="00277ED2"/>
    <w:rPr>
      <w:color w:val="605E5C"/>
      <w:shd w:val="clear" w:color="auto" w:fill="E1DFDD"/>
    </w:rPr>
  </w:style>
  <w:style w:type="table" w:customStyle="1" w:styleId="Tabladecuadrcula4-nfasis11">
    <w:name w:val="Tabla de cuadrícula 4 - Énfasis 11"/>
    <w:basedOn w:val="Tablanormal"/>
    <w:uiPriority w:val="49"/>
    <w:rsid w:val="00277ED2"/>
    <w:pPr>
      <w:spacing w:after="0pt" w:line="12pt" w:lineRule="auto"/>
    </w:pPr>
    <w:rPr>
      <w:rFonts w:ascii="Arial" w:eastAsia="Times New Roman" w:hAnsi="Arial" w:cs="Times New Roman"/>
      <w:sz w:val="24"/>
      <w:szCs w:val="24"/>
      <w:lang w:eastAsia="es-MX"/>
    </w:rPr>
    <w:tblPr>
      <w:tblStyleRowBandSize w:val="1"/>
      <w:tblStyleColBandSize w:val="1"/>
      <w:tblBorders>
        <w:top w:val="single" w:sz="4" w:space="0" w:color="9CC2E5"/>
        <w:start w:val="single" w:sz="4" w:space="0" w:color="9CC2E5"/>
        <w:bottom w:val="single" w:sz="4" w:space="0" w:color="9CC2E5"/>
        <w:end w:val="single" w:sz="4" w:space="0" w:color="9CC2E5"/>
        <w:insideH w:val="single" w:sz="4" w:space="0" w:color="9CC2E5"/>
        <w:insideV w:val="single" w:sz="4" w:space="0" w:color="9CC2E5"/>
      </w:tblBorders>
    </w:tblPr>
    <w:tblStylePr w:type="firstRow">
      <w:rPr>
        <w:b/>
        <w:bCs/>
        <w:color w:val="FFFFFF"/>
      </w:rPr>
      <w:tblPr/>
      <w:tcPr>
        <w:tcBorders>
          <w:top w:val="single" w:sz="4" w:space="0" w:color="5B9BD5"/>
          <w:start w:val="single" w:sz="4" w:space="0" w:color="5B9BD5"/>
          <w:bottom w:val="single" w:sz="4" w:space="0" w:color="5B9BD5"/>
          <w:end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adecuadrcula4-nfasis12">
    <w:name w:val="Tabla de cuadrícula 4 - Énfasis 12"/>
    <w:basedOn w:val="Tablanormal"/>
    <w:next w:val="Tablaconcuadrcula4-nfasis11"/>
    <w:uiPriority w:val="49"/>
    <w:rsid w:val="00277ED2"/>
    <w:pPr>
      <w:spacing w:after="0pt" w:line="12pt" w:lineRule="auto"/>
    </w:pPr>
    <w:rPr>
      <w:rFonts w:ascii="Calibri" w:eastAsia="Calibri" w:hAnsi="Calibri" w:cs="Times New Roman"/>
      <w:sz w:val="20"/>
      <w:szCs w:val="20"/>
      <w:lang w:eastAsia="es-MX"/>
    </w:rPr>
    <w:tblPr>
      <w:tblStyleRowBandSize w:val="1"/>
      <w:tblStyleColBandSize w:val="1"/>
      <w:tblBorders>
        <w:top w:val="single" w:sz="4" w:space="0" w:color="9CC2E5"/>
        <w:start w:val="single" w:sz="4" w:space="0" w:color="9CC2E5"/>
        <w:bottom w:val="single" w:sz="4" w:space="0" w:color="9CC2E5"/>
        <w:end w:val="single" w:sz="4" w:space="0" w:color="9CC2E5"/>
        <w:insideH w:val="single" w:sz="4" w:space="0" w:color="9CC2E5"/>
        <w:insideV w:val="single" w:sz="4" w:space="0" w:color="9CC2E5"/>
      </w:tblBorders>
    </w:tblPr>
    <w:tblStylePr w:type="firstRow">
      <w:rPr>
        <w:b/>
        <w:bCs/>
        <w:color w:val="FFFFFF"/>
      </w:rPr>
      <w:tblPr/>
      <w:tcPr>
        <w:tcBorders>
          <w:top w:val="single" w:sz="4" w:space="0" w:color="5B9BD5"/>
          <w:start w:val="single" w:sz="4" w:space="0" w:color="5B9BD5"/>
          <w:bottom w:val="single" w:sz="4" w:space="0" w:color="5B9BD5"/>
          <w:end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adelista3-nfasis11">
    <w:name w:val="Tabla de lista 3 - Énfasis 11"/>
    <w:basedOn w:val="Tablanormal"/>
    <w:uiPriority w:val="48"/>
    <w:rsid w:val="00277ED2"/>
    <w:pPr>
      <w:spacing w:after="0pt" w:line="12pt" w:lineRule="auto"/>
    </w:pPr>
    <w:rPr>
      <w:rFonts w:ascii="Calibri" w:eastAsia="Calibri" w:hAnsi="Calibri" w:cs="Times New Roman"/>
      <w:sz w:val="20"/>
      <w:szCs w:val="20"/>
      <w:lang w:eastAsia="es-MX"/>
    </w:rPr>
    <w:tblPr>
      <w:tblStyleRowBandSize w:val="1"/>
      <w:tblStyleColBandSize w:val="1"/>
      <w:tblBorders>
        <w:top w:val="single" w:sz="4" w:space="0" w:color="5B9BD5"/>
        <w:start w:val="single" w:sz="4" w:space="0" w:color="5B9BD5"/>
        <w:bottom w:val="single" w:sz="4" w:space="0" w:color="5B9BD5"/>
        <w:end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end w:val="nil"/>
        </w:tcBorders>
        <w:shd w:val="clear" w:color="auto" w:fill="FFFFFF"/>
      </w:tcPr>
    </w:tblStylePr>
    <w:tblStylePr w:type="lastCol">
      <w:rPr>
        <w:b/>
        <w:bCs/>
      </w:rPr>
      <w:tblPr/>
      <w:tcPr>
        <w:tcBorders>
          <w:start w:val="nil"/>
        </w:tcBorders>
        <w:shd w:val="clear" w:color="auto" w:fill="FFFFFF"/>
      </w:tcPr>
    </w:tblStylePr>
    <w:tblStylePr w:type="band1Vert">
      <w:tblPr/>
      <w:tcPr>
        <w:tcBorders>
          <w:start w:val="single" w:sz="4" w:space="0" w:color="5B9BD5"/>
          <w:end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start w:val="nil"/>
          <w:bottom w:val="nil"/>
        </w:tcBorders>
      </w:tcPr>
    </w:tblStylePr>
    <w:tblStylePr w:type="nwCell">
      <w:tblPr/>
      <w:tcPr>
        <w:tcBorders>
          <w:bottom w:val="nil"/>
          <w:end w:val="nil"/>
        </w:tcBorders>
      </w:tcPr>
    </w:tblStylePr>
    <w:tblStylePr w:type="seCell">
      <w:tblPr/>
      <w:tcPr>
        <w:tcBorders>
          <w:top w:val="double" w:sz="4" w:space="0" w:color="5B9BD5"/>
          <w:start w:val="nil"/>
        </w:tcBorders>
      </w:tcPr>
    </w:tblStylePr>
    <w:tblStylePr w:type="swCell">
      <w:tblPr/>
      <w:tcPr>
        <w:tcBorders>
          <w:top w:val="double" w:sz="4" w:space="0" w:color="5B9BD5"/>
          <w:end w:val="nil"/>
        </w:tcBorders>
      </w:tcPr>
    </w:tblStylePr>
  </w:style>
  <w:style w:type="character" w:customStyle="1" w:styleId="DescripcinCar">
    <w:name w:val="Descripción Car"/>
    <w:aliases w:val="5 cm Car,Beschriftung Char Car,Beschriftung Char Char Char Car,Caption (ALL) Car,Caption (all) Car,Caption - Centre Graphic Car,Caption2 Car,Epígrafe Car,First ... Car,ITT d Car,Inscription Car,Left:  2 Car,Resp caption Car,TF Car,cp Car"/>
    <w:link w:val="Descripcin"/>
    <w:rsid w:val="000B5AAD"/>
    <w:rPr>
      <w:rFonts w:ascii="Arial" w:hAnsi="Arial"/>
      <w:i/>
      <w:iCs/>
      <w:color w:val="44546A" w:themeColor="text2"/>
      <w:sz w:val="18"/>
      <w:szCs w:val="18"/>
    </w:rPr>
  </w:style>
  <w:style w:type="table" w:styleId="Tabladelista3-nfasis1">
    <w:name w:val="List Table 3 Accent 1"/>
    <w:basedOn w:val="Tablanormal"/>
    <w:uiPriority w:val="48"/>
    <w:rsid w:val="00277ED2"/>
    <w:pPr>
      <w:spacing w:after="0pt" w:line="12pt" w:lineRule="auto"/>
    </w:pPr>
    <w:tblPr>
      <w:tblStyleRowBandSize w:val="1"/>
      <w:tblStyleColBandSize w:val="1"/>
      <w:tblBorders>
        <w:top w:val="single" w:sz="4" w:space="0" w:color="5B9BD5" w:themeColor="accent1"/>
        <w:start w:val="single" w:sz="4" w:space="0" w:color="5B9BD5" w:themeColor="accent1"/>
        <w:bottom w:val="single" w:sz="4" w:space="0" w:color="5B9BD5" w:themeColor="accent1"/>
        <w:end w:val="single" w:sz="4" w:space="0" w:color="5B9BD5" w:themeColor="accent1"/>
      </w:tblBorders>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end w:val="nil"/>
        </w:tcBorders>
        <w:shd w:val="clear" w:color="auto" w:fill="FFFFFF" w:themeFill="background1"/>
      </w:tcPr>
    </w:tblStylePr>
    <w:tblStylePr w:type="lastCol">
      <w:rPr>
        <w:b/>
        <w:bCs/>
      </w:rPr>
      <w:tblPr/>
      <w:tcPr>
        <w:tcBorders>
          <w:start w:val="nil"/>
        </w:tcBorders>
        <w:shd w:val="clear" w:color="auto" w:fill="FFFFFF" w:themeFill="background1"/>
      </w:tcPr>
    </w:tblStylePr>
    <w:tblStylePr w:type="band1Vert">
      <w:tblPr/>
      <w:tcPr>
        <w:tcBorders>
          <w:start w:val="single" w:sz="4" w:space="0" w:color="5B9BD5" w:themeColor="accent1"/>
          <w:end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start w:val="nil"/>
          <w:bottom w:val="nil"/>
        </w:tcBorders>
      </w:tcPr>
    </w:tblStylePr>
    <w:tblStylePr w:type="nwCell">
      <w:tblPr/>
      <w:tcPr>
        <w:tcBorders>
          <w:bottom w:val="nil"/>
          <w:end w:val="nil"/>
        </w:tcBorders>
      </w:tcPr>
    </w:tblStylePr>
    <w:tblStylePr w:type="seCell">
      <w:tblPr/>
      <w:tcPr>
        <w:tcBorders>
          <w:top w:val="double" w:sz="4" w:space="0" w:color="5B9BD5" w:themeColor="accent1"/>
          <w:start w:val="nil"/>
        </w:tcBorders>
      </w:tcPr>
    </w:tblStylePr>
    <w:tblStylePr w:type="swCell">
      <w:tblPr/>
      <w:tcPr>
        <w:tcBorders>
          <w:top w:val="double" w:sz="4" w:space="0" w:color="5B9BD5" w:themeColor="accent1"/>
          <w:end w:val="nil"/>
        </w:tcBorders>
      </w:tcPr>
    </w:tblStylePr>
  </w:style>
  <w:style w:type="character" w:customStyle="1" w:styleId="UnresolvedMention11">
    <w:name w:val="Unresolved Mention11"/>
    <w:basedOn w:val="Fuentedeprrafopredeter"/>
    <w:uiPriority w:val="99"/>
    <w:semiHidden/>
    <w:unhideWhenUsed/>
    <w:rsid w:val="00277ED2"/>
    <w:rPr>
      <w:color w:val="605E5C"/>
      <w:shd w:val="clear" w:color="auto" w:fill="E1DFDD"/>
    </w:rPr>
  </w:style>
  <w:style w:type="table" w:styleId="Cuadrculamedia2-nfasis3">
    <w:name w:val="Medium Grid 2 Accent 3"/>
    <w:basedOn w:val="Tablanormal"/>
    <w:uiPriority w:val="68"/>
    <w:rsid w:val="00277ED2"/>
    <w:pPr>
      <w:spacing w:after="0pt" w:line="12pt" w:lineRule="auto"/>
    </w:pPr>
    <w:rPr>
      <w:rFonts w:asciiTheme="majorHAnsi" w:eastAsiaTheme="majorEastAsia" w:hAnsiTheme="majorHAnsi" w:cstheme="majorBidi"/>
      <w:color w:val="000000" w:themeColor="text1"/>
      <w:lang w:eastAsia="es-MX"/>
    </w:rPr>
    <w:tblPr>
      <w:tblStyleRowBandSize w:val="1"/>
      <w:tblStyleColBandSize w:val="1"/>
      <w:tblBorders>
        <w:top w:val="single" w:sz="8" w:space="0" w:color="A5A5A5" w:themeColor="accent3"/>
        <w:start w:val="single" w:sz="8" w:space="0" w:color="A5A5A5" w:themeColor="accent3"/>
        <w:bottom w:val="single" w:sz="8" w:space="0" w:color="A5A5A5" w:themeColor="accent3"/>
        <w:end w:val="single" w:sz="8" w:space="0" w:color="A5A5A5" w:themeColor="accent3"/>
        <w:insideH w:val="single" w:sz="8" w:space="0" w:color="A5A5A5" w:themeColor="accent3"/>
        <w:insideV w:val="single" w:sz="8" w:space="0" w:color="A5A5A5" w:themeColor="accent3"/>
      </w:tblBorders>
    </w:tblPr>
    <w:tcPr>
      <w:shd w:val="clear" w:color="auto" w:fill="E8E8E8" w:themeFill="accent3" w:themeFillTint="3F"/>
    </w:tcPr>
    <w:tblStylePr w:type="firstRow">
      <w:rPr>
        <w:b/>
        <w:bCs/>
        <w:color w:val="000000" w:themeColor="text1"/>
      </w:rPr>
      <w:tblPr/>
      <w:tcPr>
        <w:shd w:val="clear" w:color="auto" w:fill="F6F6F6" w:themeFill="accent3" w:themeFillTint="19"/>
      </w:tcPr>
    </w:tblStylePr>
    <w:tblStylePr w:type="lastRow">
      <w:rPr>
        <w:b/>
        <w:bCs/>
        <w:color w:val="000000" w:themeColor="text1"/>
      </w:rPr>
      <w:tblPr/>
      <w:tcPr>
        <w:tcBorders>
          <w:top w:val="single" w:sz="12" w:space="0" w:color="000000" w:themeColor="text1"/>
          <w:start w:val="nil"/>
          <w:bottom w:val="nil"/>
          <w:end w:val="nil"/>
          <w:insideH w:val="nil"/>
          <w:insideV w:val="nil"/>
        </w:tcBorders>
        <w:shd w:val="clear" w:color="auto" w:fill="FFFFFF" w:themeFill="background1"/>
      </w:tcPr>
    </w:tblStylePr>
    <w:tblStylePr w:type="firstCol">
      <w:rPr>
        <w:b/>
        <w:bCs/>
        <w:color w:val="000000" w:themeColor="text1"/>
      </w:rPr>
      <w:tblPr/>
      <w:tcPr>
        <w:tcBorders>
          <w:top w:val="nil"/>
          <w:start w:val="nil"/>
          <w:bottom w:val="nil"/>
          <w:end w:val="nil"/>
          <w:insideH w:val="nil"/>
          <w:insideV w:val="nil"/>
        </w:tcBorders>
        <w:shd w:val="clear" w:color="auto" w:fill="FFFFFF" w:themeFill="background1"/>
      </w:tcPr>
    </w:tblStylePr>
    <w:tblStylePr w:type="lastCol">
      <w:rPr>
        <w:b w:val="0"/>
        <w:bCs w:val="0"/>
        <w:color w:val="000000" w:themeColor="text1"/>
      </w:rPr>
      <w:tblPr/>
      <w:tcPr>
        <w:tcBorders>
          <w:top w:val="nil"/>
          <w:start w:val="nil"/>
          <w:bottom w:val="nil"/>
          <w:end w:val="nil"/>
          <w:insideH w:val="nil"/>
          <w:insideV w:val="nil"/>
        </w:tcBorders>
        <w:shd w:val="clear" w:color="auto" w:fill="EDEDED" w:themeFill="accent3" w:themeFillTint="33"/>
      </w:tcPr>
    </w:tblStylePr>
    <w:tblStylePr w:type="band1Vert">
      <w:tblPr/>
      <w:tcPr>
        <w:shd w:val="clear" w:color="auto" w:fill="D2D2D2" w:themeFill="accent3" w:themeFillTint="7F"/>
      </w:tcPr>
    </w:tblStylePr>
    <w:tblStylePr w:type="band1Horz">
      <w:tblPr/>
      <w:tcPr>
        <w:tcBorders>
          <w:insideH w:val="single" w:sz="6" w:space="0" w:color="A5A5A5" w:themeColor="accent3"/>
          <w:insideV w:val="single" w:sz="6" w:space="0" w:color="A5A5A5" w:themeColor="accent3"/>
        </w:tcBorders>
        <w:shd w:val="clear" w:color="auto" w:fill="D2D2D2" w:themeFill="accent3" w:themeFillTint="7F"/>
      </w:tcPr>
    </w:tblStylePr>
    <w:tblStylePr w:type="nwCell">
      <w:tblPr/>
      <w:tcPr>
        <w:shd w:val="clear" w:color="auto" w:fill="FFFFFF" w:themeFill="background1"/>
      </w:tcPr>
    </w:tblStylePr>
  </w:style>
  <w:style w:type="table" w:styleId="Cuadrculamedia1-nfasis1">
    <w:name w:val="Medium Grid 1 Accent 1"/>
    <w:basedOn w:val="Tablanormal"/>
    <w:uiPriority w:val="67"/>
    <w:rsid w:val="00277ED2"/>
    <w:pPr>
      <w:spacing w:after="0pt" w:line="12pt" w:lineRule="auto"/>
    </w:pPr>
    <w:rPr>
      <w:rFonts w:eastAsiaTheme="minorEastAsia"/>
      <w:lang w:eastAsia="es-MX"/>
    </w:rPr>
    <w:tblPr>
      <w:tblStyleRowBandSize w:val="1"/>
      <w:tblStyleColBandSize w:val="1"/>
      <w:tblBorders>
        <w:top w:val="single" w:sz="8" w:space="0" w:color="84B3DF" w:themeColor="accent1" w:themeTint="BF"/>
        <w:start w:val="single" w:sz="8" w:space="0" w:color="84B3DF" w:themeColor="accent1" w:themeTint="BF"/>
        <w:bottom w:val="single" w:sz="8" w:space="0" w:color="84B3DF" w:themeColor="accent1" w:themeTint="BF"/>
        <w:end w:val="single" w:sz="8" w:space="0" w:color="84B3DF" w:themeColor="accent1" w:themeTint="BF"/>
        <w:insideH w:val="single" w:sz="8" w:space="0" w:color="84B3DF" w:themeColor="accent1" w:themeTint="BF"/>
        <w:insideV w:val="single" w:sz="8" w:space="0" w:color="84B3DF" w:themeColor="accent1" w:themeTint="BF"/>
      </w:tblBorders>
    </w:tblPr>
    <w:tcPr>
      <w:shd w:val="clear" w:color="auto" w:fill="D6E6F4" w:themeFill="accent1" w:themeFillTint="3F"/>
    </w:tcPr>
    <w:tblStylePr w:type="firstRow">
      <w:rPr>
        <w:b/>
        <w:bCs/>
      </w:rPr>
    </w:tblStylePr>
    <w:tblStylePr w:type="lastRow">
      <w:rPr>
        <w:b/>
        <w:bCs/>
      </w:rPr>
      <w:tblPr/>
      <w:tcPr>
        <w:tcBorders>
          <w:top w:val="single" w:sz="18" w:space="0" w:color="84B3DF" w:themeColor="accent1" w:themeTint="BF"/>
        </w:tcBorders>
      </w:tcPr>
    </w:tblStylePr>
    <w:tblStylePr w:type="firstCol">
      <w:rPr>
        <w:b/>
        <w:bCs/>
      </w:rPr>
    </w:tblStylePr>
    <w:tblStylePr w:type="lastCol">
      <w:rPr>
        <w:b/>
        <w:bCs/>
      </w:r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 w:type="table" w:customStyle="1" w:styleId="Tabladecuadrcula7concolores-nfasis51">
    <w:name w:val="Tabla de cuadrícula 7 con colores - Énfasis 51"/>
    <w:basedOn w:val="Tablanormal"/>
    <w:uiPriority w:val="52"/>
    <w:rsid w:val="00277ED2"/>
    <w:pPr>
      <w:spacing w:after="0pt" w:line="12pt" w:lineRule="auto"/>
    </w:pPr>
    <w:rPr>
      <w:rFonts w:eastAsiaTheme="minorEastAsia"/>
      <w:color w:val="2F5496" w:themeColor="accent5" w:themeShade="BF"/>
      <w:lang w:eastAsia="es-MX"/>
    </w:rPr>
    <w:tblPr>
      <w:tblStyleRowBandSize w:val="1"/>
      <w:tblStyleColBandSize w:val="1"/>
      <w:tblBorders>
        <w:top w:val="single" w:sz="4" w:space="0" w:color="8EAADB" w:themeColor="accent5" w:themeTint="99"/>
        <w:start w:val="single" w:sz="4" w:space="0" w:color="8EAADB" w:themeColor="accent5" w:themeTint="99"/>
        <w:bottom w:val="single" w:sz="4" w:space="0" w:color="8EAADB" w:themeColor="accent5" w:themeTint="99"/>
        <w:end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top w:val="nil"/>
          <w:start w:val="nil"/>
          <w:end w:val="nil"/>
          <w:insideH w:val="nil"/>
          <w:insideV w:val="nil"/>
        </w:tcBorders>
        <w:shd w:val="clear" w:color="auto" w:fill="FFFFFF" w:themeFill="background1"/>
      </w:tcPr>
    </w:tblStylePr>
    <w:tblStylePr w:type="lastRow">
      <w:rPr>
        <w:b/>
        <w:bCs/>
      </w:rPr>
      <w:tblPr/>
      <w:tcPr>
        <w:tcBorders>
          <w:start w:val="nil"/>
          <w:bottom w:val="nil"/>
          <w:end w:val="nil"/>
          <w:insideH w:val="nil"/>
          <w:insideV w:val="nil"/>
        </w:tcBorders>
        <w:shd w:val="clear" w:color="auto" w:fill="FFFFFF" w:themeFill="background1"/>
      </w:tcPr>
    </w:tblStylePr>
    <w:tblStylePr w:type="firstCol">
      <w:pPr>
        <w:jc w:val="end"/>
      </w:pPr>
      <w:rPr>
        <w:i/>
        <w:iCs/>
      </w:rPr>
      <w:tblPr/>
      <w:tcPr>
        <w:tcBorders>
          <w:top w:val="nil"/>
          <w:start w:val="nil"/>
          <w:bottom w:val="nil"/>
          <w:insideH w:val="nil"/>
          <w:insideV w:val="nil"/>
        </w:tcBorders>
        <w:shd w:val="clear" w:color="auto" w:fill="FFFFFF" w:themeFill="background1"/>
      </w:tcPr>
    </w:tblStylePr>
    <w:tblStylePr w:type="lastCol">
      <w:rPr>
        <w:i/>
        <w:iCs/>
      </w:rPr>
      <w:tblPr/>
      <w:tcPr>
        <w:tcBorders>
          <w:top w:val="nil"/>
          <w:bottom w:val="nil"/>
          <w:end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customStyle="1" w:styleId="Tabladelista1clara-nfasis11">
    <w:name w:val="Tabla de lista 1 clara - Énfasis 11"/>
    <w:basedOn w:val="Tablanormal"/>
    <w:uiPriority w:val="46"/>
    <w:rsid w:val="00277ED2"/>
    <w:pPr>
      <w:spacing w:after="0pt" w:line="12pt" w:lineRule="auto"/>
    </w:pPr>
    <w:rPr>
      <w:rFonts w:eastAsiaTheme="minorEastAsia"/>
      <w:lang w:eastAsia="es-MX"/>
    </w:rPr>
    <w:tblPr>
      <w:tblStyleRowBandSize w:val="1"/>
      <w:tblStyleColBandSize w:val="1"/>
    </w:tblPr>
    <w:tblStylePr w:type="firstRow">
      <w:rPr>
        <w:b/>
        <w:bCs/>
      </w:rPr>
      <w:tblPr/>
      <w:tcPr>
        <w:tcBorders>
          <w:bottom w:val="single" w:sz="4" w:space="0" w:color="9CC2E5" w:themeColor="accent1" w:themeTint="99"/>
        </w:tcBorders>
      </w:tcPr>
    </w:tblStylePr>
    <w:tblStylePr w:type="lastRow">
      <w:rPr>
        <w:b/>
        <w:bCs/>
      </w:rPr>
      <w:tblPr/>
      <w:tcPr>
        <w:tcBorders>
          <w:top w:val="sing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customStyle="1" w:styleId="Tabla">
    <w:name w:val="Tabla"/>
    <w:basedOn w:val="Normal"/>
    <w:link w:val="TablaCar"/>
    <w:qFormat/>
    <w:rsid w:val="00277ED2"/>
    <w:pPr>
      <w:autoSpaceDE w:val="0"/>
      <w:autoSpaceDN w:val="0"/>
      <w:adjustRightInd w:val="0"/>
      <w:spacing w:line="12pt" w:lineRule="auto"/>
      <w:jc w:val="both"/>
    </w:pPr>
    <w:rPr>
      <w:rFonts w:ascii="Century Gothic" w:eastAsia="Times New Roman" w:hAnsi="Century Gothic" w:cs="Arial"/>
      <w:sz w:val="18"/>
      <w:szCs w:val="18"/>
    </w:rPr>
  </w:style>
  <w:style w:type="character" w:customStyle="1" w:styleId="TablaCar">
    <w:name w:val="Tabla Car"/>
    <w:basedOn w:val="Fuentedeprrafopredeter"/>
    <w:link w:val="Tabla"/>
    <w:rsid w:val="00277ED2"/>
    <w:rPr>
      <w:rFonts w:ascii="Century Gothic" w:eastAsia="Times New Roman" w:hAnsi="Century Gothic" w:cs="Arial"/>
      <w:sz w:val="18"/>
      <w:szCs w:val="18"/>
    </w:rPr>
  </w:style>
  <w:style w:type="table" w:customStyle="1" w:styleId="Tablanormal11">
    <w:name w:val="Tabla normal 11"/>
    <w:basedOn w:val="Tablanormal"/>
    <w:uiPriority w:val="41"/>
    <w:rsid w:val="00277ED2"/>
    <w:pPr>
      <w:spacing w:after="0pt" w:line="12pt" w:lineRule="auto"/>
    </w:pPr>
    <w:rPr>
      <w:rFonts w:eastAsiaTheme="minorEastAsia"/>
      <w:lang w:eastAsia="es-MX"/>
    </w:rPr>
    <w:tblPr>
      <w:tblStyleRowBandSize w:val="1"/>
      <w:tblStyleColBandSize w:val="1"/>
      <w:tbl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Ttulo6Car1">
    <w:name w:val="Título 6 Car1"/>
    <w:aliases w:val="6 Car1,61 Car1,611 Car1,612 Car1,62 Car1,63 Car1,Bullet list Car1,Header 6 Car1,ITT t6 Car1,Level 6 Car1,PA Appendix Car1,Requirement Car1,Requirement1 Car1,Requirement11 Car1,Requirement2 Car1,h6 Car1,h61 Car1,h611 Car1,h62 Car1,h63 Car1"/>
    <w:basedOn w:val="Fuentedeprrafopredeter"/>
    <w:uiPriority w:val="9"/>
    <w:semiHidden/>
    <w:rsid w:val="00F85A8C"/>
    <w:rPr>
      <w:rFonts w:ascii="Calibri Light" w:eastAsia="Times New Roman" w:hAnsi="Calibri Light" w:cs="Times New Roman"/>
      <w:color w:val="1F3763"/>
      <w:sz w:val="22"/>
      <w:szCs w:val="22"/>
      <w:lang w:eastAsia="en-US"/>
    </w:rPr>
  </w:style>
  <w:style w:type="paragraph" w:styleId="Lista3">
    <w:name w:val="List 3"/>
    <w:basedOn w:val="Normal"/>
    <w:rsid w:val="000B5AAD"/>
    <w:pPr>
      <w:spacing w:line="12pt" w:lineRule="auto"/>
      <w:ind w:start="42.45pt" w:hanging="14.15pt"/>
    </w:pPr>
    <w:rPr>
      <w:rFonts w:ascii="Times New Roman" w:eastAsia="Times New Roman" w:hAnsi="Times New Roman" w:cs="Times New Roman"/>
      <w:sz w:val="24"/>
      <w:szCs w:val="24"/>
      <w:lang w:val="es-ES" w:eastAsia="es-ES"/>
    </w:rPr>
  </w:style>
  <w:style w:type="character" w:customStyle="1" w:styleId="TextoindependienteprimerasangraCar">
    <w:name w:val="Texto independiente primera sangría Car"/>
    <w:basedOn w:val="TextoindependienteCar"/>
    <w:link w:val="Textoindependienteprimerasangra"/>
    <w:rsid w:val="000B5AAD"/>
    <w:rPr>
      <w:rFonts w:ascii="Times New Roman" w:eastAsia="Times New Roman" w:hAnsi="Times New Roman" w:cs="Arial"/>
      <w:iCs/>
      <w:color w:val="000000"/>
      <w:sz w:val="24"/>
      <w:szCs w:val="24"/>
      <w:lang w:val="es-ES" w:eastAsia="es-ES"/>
    </w:rPr>
  </w:style>
  <w:style w:type="character" w:customStyle="1" w:styleId="Ttulo7Car1">
    <w:name w:val="Título 7 Car1"/>
    <w:aliases w:val="7 Car1,Appendix3 Car1,ExhibitTitle Car1,Header 7 Car1,ITT t7 Car1,Objective Car1,PA Appendix Major Car1,h7 Car1,letter list Car1,lettered list Car1,req3 Car1,st Car1"/>
    <w:basedOn w:val="Fuentedeprrafopredeter"/>
    <w:uiPriority w:val="9"/>
    <w:semiHidden/>
    <w:rsid w:val="00F85A8C"/>
    <w:rPr>
      <w:rFonts w:ascii="Calibri Light" w:eastAsia="Times New Roman" w:hAnsi="Calibri Light" w:cs="Times New Roman"/>
      <w:i/>
      <w:iCs/>
      <w:color w:val="1F3763"/>
      <w:sz w:val="22"/>
      <w:szCs w:val="22"/>
      <w:lang w:eastAsia="en-US"/>
    </w:rPr>
  </w:style>
  <w:style w:type="table" w:customStyle="1" w:styleId="Tablaconcuadrcula211">
    <w:name w:val="Tabla con cuadrícula211"/>
    <w:basedOn w:val="Tablanormal"/>
    <w:next w:val="Tablaconcuadrcula"/>
    <w:uiPriority w:val="39"/>
    <w:rsid w:val="007C2715"/>
    <w:pPr>
      <w:spacing w:after="0pt" w:line="12pt" w:lineRule="auto"/>
    </w:pPr>
    <w:rPr>
      <w:rFonts w:ascii="Calibri" w:eastAsia="Calibri" w:hAnsi="Calibri" w:cs="Times New Roman"/>
      <w:sz w:val="20"/>
      <w:szCs w:val="20"/>
      <w:lang w:val="en-US" w:eastAsia="es-MX"/>
    </w:rPr>
    <w:tblP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Pr>
  </w:style>
  <w:style w:type="paragraph" w:customStyle="1" w:styleId="Numeracion2">
    <w:name w:val="Numeracion2"/>
    <w:basedOn w:val="IFTnormal"/>
    <w:link w:val="Numeracion2Car"/>
    <w:rsid w:val="000B5AAD"/>
    <w:pPr>
      <w:spacing w:after="10pt"/>
      <w:ind w:start="72pt" w:hanging="18pt"/>
    </w:pPr>
    <w:rPr>
      <w:rFonts w:cs="Calibri"/>
      <w:bCs/>
    </w:rPr>
  </w:style>
  <w:style w:type="character" w:customStyle="1" w:styleId="TtuloIFTCar">
    <w:name w:val="Título IFT Car"/>
    <w:link w:val="TtuloIFT"/>
    <w:rsid w:val="000B5AAD"/>
    <w:rPr>
      <w:rFonts w:ascii="ITC Avant Garde" w:eastAsia="Calibri" w:hAnsi="ITC Avant Garde" w:cs="Arial"/>
      <w:b/>
      <w:color w:val="000000"/>
      <w:lang w:val="es-ES" w:eastAsia="es-ES"/>
    </w:rPr>
  </w:style>
  <w:style w:type="paragraph" w:customStyle="1" w:styleId="Prrafodelista11">
    <w:name w:val="Párrafo de lista11"/>
    <w:basedOn w:val="Normal"/>
    <w:rsid w:val="001811E0"/>
    <w:pPr>
      <w:widowControl w:val="0"/>
      <w:adjustRightInd w:val="0"/>
      <w:spacing w:line="18pt" w:lineRule="atLeast"/>
      <w:ind w:start="36pt"/>
      <w:contextualSpacing/>
      <w:jc w:val="both"/>
      <w:textAlignment w:val="baseline"/>
    </w:pPr>
    <w:rPr>
      <w:rFonts w:ascii="Times New Roman" w:eastAsia="Times New Roman" w:hAnsi="Times New Roman" w:cs="Times New Roman"/>
      <w:sz w:val="24"/>
      <w:szCs w:val="24"/>
      <w:lang w:val="es-ES" w:eastAsia="es-ES"/>
    </w:rPr>
  </w:style>
  <w:style w:type="paragraph" w:customStyle="1" w:styleId="BBB">
    <w:name w:val="BBB"/>
    <w:basedOn w:val="IFTnormal"/>
    <w:link w:val="BBBCar"/>
    <w:qFormat/>
    <w:rsid w:val="000B5AAD"/>
    <w:pPr>
      <w:spacing w:after="10pt"/>
      <w:ind w:start="36pt"/>
    </w:pPr>
    <w:rPr>
      <w:rFonts w:cs="Calibri"/>
      <w:bCs/>
    </w:rPr>
  </w:style>
  <w:style w:type="character" w:customStyle="1" w:styleId="BBBCar">
    <w:name w:val="BBB Car"/>
    <w:basedOn w:val="IFTnormalCar"/>
    <w:link w:val="BBB"/>
    <w:rsid w:val="000B5AAD"/>
    <w:rPr>
      <w:rFonts w:ascii="ITC Avant Garde" w:eastAsia="Calibri" w:hAnsi="ITC Avant Garde" w:cs="Calibri"/>
      <w:bCs/>
      <w:color w:val="000000"/>
      <w:lang w:val="es-ES_tradnl" w:eastAsia="es-ES"/>
    </w:rPr>
  </w:style>
  <w:style w:type="character" w:customStyle="1" w:styleId="NprimeroCar">
    <w:name w:val="N. primero Car"/>
    <w:basedOn w:val="IFTnormalCar"/>
    <w:link w:val="Nprimero"/>
    <w:rsid w:val="000B5AAD"/>
    <w:rPr>
      <w:rFonts w:ascii="Arial" w:eastAsia="Calibri" w:hAnsi="Arial" w:cs="Calibri"/>
      <w:bCs/>
      <w:color w:val="000000"/>
      <w:lang w:val="es-ES_tradnl" w:eastAsia="es-ES"/>
    </w:rPr>
  </w:style>
  <w:style w:type="paragraph" w:customStyle="1" w:styleId="Texto10">
    <w:name w:val="Texto_1"/>
    <w:uiPriority w:val="99"/>
    <w:pPr>
      <w:spacing w:after="5.05pt" w:line="10.80pt" w:lineRule="exact"/>
      <w:ind w:firstLine="14.40pt"/>
      <w:jc w:val="both"/>
    </w:pPr>
    <w:rPr>
      <w:rFonts w:ascii="Arial" w:eastAsia="Times New Roman" w:hAnsi="Arial" w:cs="Arial"/>
      <w:sz w:val="18"/>
      <w:szCs w:val="20"/>
      <w:lang w:val="es-ES" w:eastAsia="es-ES"/>
    </w:rPr>
  </w:style>
  <w:style w:type="character" w:customStyle="1" w:styleId="LsegundaCar">
    <w:name w:val="L. segunda Car"/>
    <w:basedOn w:val="IFTnormalCar"/>
    <w:link w:val="Lsegunda"/>
    <w:rsid w:val="000B5AAD"/>
    <w:rPr>
      <w:rFonts w:ascii="Arial" w:eastAsia="Calibri" w:hAnsi="Arial" w:cs="Calibri"/>
      <w:bCs/>
      <w:color w:val="000000"/>
      <w:lang w:val="es-ES_tradnl" w:eastAsia="es-ES"/>
    </w:rPr>
  </w:style>
  <w:style w:type="paragraph" w:customStyle="1" w:styleId="Contenido">
    <w:name w:val="Contenido"/>
    <w:basedOn w:val="Normal"/>
    <w:rsid w:val="001811E0"/>
    <w:pPr>
      <w:spacing w:line="12pt" w:lineRule="auto"/>
      <w:jc w:val="center"/>
    </w:pPr>
    <w:rPr>
      <w:rFonts w:eastAsia="Times New Roman" w:cs="Times New Roman"/>
      <w:b/>
      <w:sz w:val="20"/>
      <w:szCs w:val="20"/>
      <w:lang w:val="es-ES" w:eastAsia="es-ES"/>
    </w:rPr>
  </w:style>
  <w:style w:type="paragraph" w:customStyle="1" w:styleId="Notaalpie">
    <w:name w:val="Nota al pie"/>
    <w:basedOn w:val="Textonotapie"/>
    <w:link w:val="NotaalpieCar"/>
    <w:qFormat/>
    <w:rsid w:val="007C2715"/>
    <w:pPr>
      <w:ind w:start="14.20pt" w:hanging="14.20pt"/>
    </w:pPr>
    <w:rPr>
      <w:color w:val="595959" w:themeColor="text1" w:themeTint="A6"/>
      <w:szCs w:val="14"/>
      <w:lang w:val="es-ES" w:eastAsia="es-ES"/>
    </w:rPr>
  </w:style>
  <w:style w:type="numbering" w:customStyle="1" w:styleId="Sinlista2">
    <w:name w:val="Sin lista2"/>
    <w:next w:val="Sinlista"/>
    <w:uiPriority w:val="99"/>
    <w:semiHidden/>
    <w:unhideWhenUsed/>
    <w:rsid w:val="00F85A8C"/>
  </w:style>
  <w:style w:type="character" w:customStyle="1" w:styleId="Ttulo2Car1">
    <w:name w:val="Título 2 Car1"/>
    <w:aliases w:val="2 Car1,21 Car1,Fab-2 Car1,H2 Car1,H21 Car1,Head2A Car1,Header 2 Car1,Level 2 Car1,Level2 Car1,Titre 2 ALD Car1,Titre 2 OD Car1,h2 Car1,h21 Car1,h:2 Car1,h:2app Car1,heading 2+ Indent: Left 0.25 in Car1,l2 Car1,orderpara1 Car1,título 2 Car1"/>
    <w:basedOn w:val="Fuentedeprrafopredeter"/>
    <w:uiPriority w:val="9"/>
    <w:semiHidden/>
    <w:rsid w:val="00F85A8C"/>
    <w:rPr>
      <w:rFonts w:ascii="Calibri Light" w:eastAsia="Times New Roman" w:hAnsi="Calibri Light" w:cs="Times New Roman"/>
      <w:color w:val="2F5496"/>
      <w:sz w:val="26"/>
      <w:szCs w:val="26"/>
      <w:lang w:eastAsia="en-US"/>
    </w:rPr>
  </w:style>
  <w:style w:type="character" w:customStyle="1" w:styleId="Ttulo5Car1">
    <w:name w:val="Título 5 Car1"/>
    <w:aliases w:val="5 Car1,51 Car1,H5 Car1,H5-Heading 5 Car1,H5-Heading 51 Car1,H51 Car1,H52 Car1,Header 5 Car1,Heading5 Car1,Heading51 Car1,ITT t5 Car1,Level 5 Car1,PA Pico Section Car1,Roman list Car1,h5 Car1,h51 Car1,heading5 Car1,l5 Car1,l51 Car1,le5 Car1"/>
    <w:basedOn w:val="Fuentedeprrafopredeter"/>
    <w:uiPriority w:val="9"/>
    <w:semiHidden/>
    <w:rsid w:val="00F85A8C"/>
    <w:rPr>
      <w:rFonts w:ascii="Calibri Light" w:eastAsia="Times New Roman" w:hAnsi="Calibri Light" w:cs="Times New Roman"/>
      <w:color w:val="2F5496"/>
      <w:sz w:val="22"/>
      <w:szCs w:val="22"/>
      <w:lang w:eastAsia="en-US"/>
    </w:rPr>
  </w:style>
  <w:style w:type="table" w:customStyle="1" w:styleId="Cuadrculamedia2-nfasis11">
    <w:name w:val="Cuadrícula media 2 - Énfasis 11"/>
    <w:basedOn w:val="Tablanormal"/>
    <w:next w:val="Cuadrculamedia2-nfasis1"/>
    <w:uiPriority w:val="68"/>
    <w:unhideWhenUsed/>
    <w:rsid w:val="00F85A8C"/>
    <w:pPr>
      <w:spacing w:after="0pt" w:line="12pt" w:lineRule="auto"/>
    </w:pPr>
    <w:rPr>
      <w:rFonts w:ascii="Calibri Light" w:eastAsia="Times New Roman" w:hAnsi="Calibri Light" w:cs="Times New Roman"/>
      <w:color w:val="000000"/>
      <w:sz w:val="20"/>
      <w:szCs w:val="20"/>
      <w:lang w:eastAsia="es-MX"/>
    </w:rPr>
    <w:tblPr>
      <w:tblStyleRowBandSize w:val="1"/>
      <w:tblStyleColBandSize w:val="1"/>
      <w:tblBorders>
        <w:top w:val="single" w:sz="8" w:space="0" w:color="5B9BD5"/>
        <w:start w:val="single" w:sz="8" w:space="0" w:color="5B9BD5"/>
        <w:bottom w:val="single" w:sz="8" w:space="0" w:color="5B9BD5"/>
        <w:end w:val="single" w:sz="8" w:space="0" w:color="5B9BD5"/>
        <w:insideH w:val="single" w:sz="8" w:space="0" w:color="5B9BD5"/>
        <w:insideV w:val="single" w:sz="8" w:space="0" w:color="5B9BD5"/>
      </w:tblBorders>
    </w:tblPr>
    <w:tcPr>
      <w:shd w:val="clear" w:color="auto" w:fill="D6E6F4"/>
    </w:tcPr>
    <w:tblStylePr w:type="firstRow">
      <w:rPr>
        <w:b/>
        <w:bCs/>
        <w:color w:val="000000"/>
      </w:rPr>
      <w:tblPr/>
      <w:tcPr>
        <w:shd w:val="clear" w:color="auto" w:fill="EEF5FB"/>
      </w:tcPr>
    </w:tblStylePr>
    <w:tblStylePr w:type="lastRow">
      <w:rPr>
        <w:b/>
        <w:bCs/>
        <w:color w:val="000000"/>
      </w:rPr>
      <w:tblPr/>
      <w:tcPr>
        <w:tcBorders>
          <w:top w:val="single" w:sz="12" w:space="0" w:color="000000"/>
          <w:start w:val="nil"/>
          <w:bottom w:val="nil"/>
          <w:end w:val="nil"/>
          <w:insideH w:val="nil"/>
          <w:insideV w:val="nil"/>
        </w:tcBorders>
        <w:shd w:val="clear" w:color="auto" w:fill="FFFFFF"/>
      </w:tcPr>
    </w:tblStylePr>
    <w:tblStylePr w:type="firstCol">
      <w:rPr>
        <w:b/>
        <w:bCs/>
        <w:color w:val="000000"/>
      </w:rPr>
      <w:tblPr/>
      <w:tcPr>
        <w:tcBorders>
          <w:top w:val="nil"/>
          <w:start w:val="nil"/>
          <w:bottom w:val="nil"/>
          <w:end w:val="nil"/>
          <w:insideH w:val="nil"/>
          <w:insideV w:val="nil"/>
        </w:tcBorders>
        <w:shd w:val="clear" w:color="auto" w:fill="FFFFFF"/>
      </w:tcPr>
    </w:tblStylePr>
    <w:tblStylePr w:type="lastCol">
      <w:rPr>
        <w:b w:val="0"/>
        <w:bCs w:val="0"/>
        <w:color w:val="000000"/>
      </w:rPr>
      <w:tblPr/>
      <w:tcPr>
        <w:tcBorders>
          <w:top w:val="nil"/>
          <w:start w:val="nil"/>
          <w:bottom w:val="nil"/>
          <w:end w:val="nil"/>
          <w:insideH w:val="nil"/>
          <w:insideV w:val="nil"/>
        </w:tcBorders>
        <w:shd w:val="clear" w:color="auto" w:fill="DEEAF6"/>
      </w:tcPr>
    </w:tblStylePr>
    <w:tblStylePr w:type="band1Vert">
      <w:tblPr/>
      <w:tcPr>
        <w:shd w:val="clear" w:color="auto" w:fill="ADCCEA"/>
      </w:tcPr>
    </w:tblStylePr>
    <w:tblStylePr w:type="band1Horz">
      <w:tblPr/>
      <w:tcPr>
        <w:tcBorders>
          <w:insideH w:val="single" w:sz="6" w:space="0" w:color="5B9BD5"/>
          <w:insideV w:val="single" w:sz="6" w:space="0" w:color="5B9BD5"/>
        </w:tcBorders>
        <w:shd w:val="clear" w:color="auto" w:fill="ADCCEA"/>
      </w:tcPr>
    </w:tblStylePr>
    <w:tblStylePr w:type="nwCell">
      <w:tblPr/>
      <w:tcPr>
        <w:shd w:val="clear" w:color="auto" w:fill="FFFFFF"/>
      </w:tcPr>
    </w:tblStylePr>
  </w:style>
  <w:style w:type="table" w:customStyle="1" w:styleId="Tablaconcuadrcula4-nfasis12">
    <w:name w:val="Tabla con cuadrícula 4 - Énfasis 12"/>
    <w:basedOn w:val="Tablanormal"/>
    <w:next w:val="Tabladecuadrcula4-nfasis1"/>
    <w:uiPriority w:val="49"/>
    <w:rsid w:val="00F85A8C"/>
    <w:pPr>
      <w:spacing w:after="0pt" w:line="12pt" w:lineRule="auto"/>
    </w:pPr>
    <w:rPr>
      <w:rFonts w:ascii="Calibri" w:eastAsia="Calibri" w:hAnsi="Calibri" w:cs="Times New Roman"/>
    </w:rPr>
    <w:tblPr>
      <w:tblStyleRowBandSize w:val="1"/>
      <w:tblStyleColBandSize w:val="1"/>
      <w:tblBorders>
        <w:top w:val="single" w:sz="4" w:space="0" w:color="8EAADB"/>
        <w:start w:val="single" w:sz="4" w:space="0" w:color="8EAADB"/>
        <w:bottom w:val="single" w:sz="4" w:space="0" w:color="8EAADB"/>
        <w:end w:val="single" w:sz="4" w:space="0" w:color="8EAADB"/>
        <w:insideH w:val="single" w:sz="4" w:space="0" w:color="8EAADB"/>
        <w:insideV w:val="single" w:sz="4" w:space="0" w:color="8EAADB"/>
      </w:tblBorders>
    </w:tblPr>
    <w:tblStylePr w:type="firstRow">
      <w:rPr>
        <w:b/>
        <w:bCs/>
        <w:color w:val="FFFFFF"/>
      </w:rPr>
      <w:tblPr/>
      <w:tcPr>
        <w:tcBorders>
          <w:top w:val="single" w:sz="4" w:space="0" w:color="4472C4"/>
          <w:start w:val="single" w:sz="4" w:space="0" w:color="4472C4"/>
          <w:bottom w:val="single" w:sz="4" w:space="0" w:color="4472C4"/>
          <w:end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adelista3-nfasis13">
    <w:name w:val="Tabla de lista 3 - Énfasis 13"/>
    <w:basedOn w:val="Tablanormal"/>
    <w:next w:val="Tabladelista3-nfasis1"/>
    <w:uiPriority w:val="48"/>
    <w:rsid w:val="00F85A8C"/>
    <w:pPr>
      <w:spacing w:after="0pt" w:line="12pt" w:lineRule="auto"/>
    </w:pPr>
    <w:rPr>
      <w:rFonts w:ascii="Calibri" w:eastAsia="Calibri" w:hAnsi="Calibri" w:cs="Times New Roman"/>
    </w:rPr>
    <w:tblPr>
      <w:tblStyleRowBandSize w:val="1"/>
      <w:tblStyleColBandSize w:val="1"/>
      <w:tblBorders>
        <w:top w:val="single" w:sz="4" w:space="0" w:color="4472C4"/>
        <w:start w:val="single" w:sz="4" w:space="0" w:color="4472C4"/>
        <w:bottom w:val="single" w:sz="4" w:space="0" w:color="4472C4"/>
        <w:end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end w:val="nil"/>
        </w:tcBorders>
        <w:shd w:val="clear" w:color="auto" w:fill="FFFFFF"/>
      </w:tcPr>
    </w:tblStylePr>
    <w:tblStylePr w:type="lastCol">
      <w:rPr>
        <w:b/>
        <w:bCs/>
      </w:rPr>
      <w:tblPr/>
      <w:tcPr>
        <w:tcBorders>
          <w:start w:val="nil"/>
        </w:tcBorders>
        <w:shd w:val="clear" w:color="auto" w:fill="FFFFFF"/>
      </w:tcPr>
    </w:tblStylePr>
    <w:tblStylePr w:type="band1Vert">
      <w:tblPr/>
      <w:tcPr>
        <w:tcBorders>
          <w:start w:val="single" w:sz="4" w:space="0" w:color="4472C4"/>
          <w:end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start w:val="nil"/>
          <w:bottom w:val="nil"/>
        </w:tcBorders>
      </w:tcPr>
    </w:tblStylePr>
    <w:tblStylePr w:type="nwCell">
      <w:tblPr/>
      <w:tcPr>
        <w:tcBorders>
          <w:bottom w:val="nil"/>
          <w:end w:val="nil"/>
        </w:tcBorders>
      </w:tcPr>
    </w:tblStylePr>
    <w:tblStylePr w:type="seCell">
      <w:tblPr/>
      <w:tcPr>
        <w:tcBorders>
          <w:top w:val="double" w:sz="4" w:space="0" w:color="4472C4"/>
          <w:start w:val="nil"/>
        </w:tcBorders>
      </w:tcPr>
    </w:tblStylePr>
    <w:tblStylePr w:type="swCell">
      <w:tblPr/>
      <w:tcPr>
        <w:tcBorders>
          <w:top w:val="double" w:sz="4" w:space="0" w:color="4472C4"/>
          <w:end w:val="nil"/>
        </w:tcBorders>
      </w:tcPr>
    </w:tblStylePr>
  </w:style>
  <w:style w:type="table" w:customStyle="1" w:styleId="Tablaconcuadrcula22">
    <w:name w:val="Tabla con cuadrícula22"/>
    <w:basedOn w:val="Tablanormal"/>
    <w:uiPriority w:val="39"/>
    <w:rsid w:val="00F85A8C"/>
    <w:pPr>
      <w:spacing w:after="0pt" w:line="12pt" w:lineRule="auto"/>
    </w:pPr>
    <w:rPr>
      <w:rFonts w:ascii="Calibri" w:eastAsia="Calibri" w:hAnsi="Calibri" w:cs="Times New Roman"/>
      <w:sz w:val="20"/>
      <w:szCs w:val="20"/>
      <w:lang w:val="en-US" w:eastAsia="es-MX"/>
    </w:rPr>
    <w:tblP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Pr>
  </w:style>
  <w:style w:type="table" w:customStyle="1" w:styleId="Tablaconcuadrcula4-nfasis111">
    <w:name w:val="Tabla con cuadrícula 4 - Énfasis 111"/>
    <w:basedOn w:val="Tablanormal"/>
    <w:uiPriority w:val="49"/>
    <w:rsid w:val="00F85A8C"/>
    <w:pPr>
      <w:spacing w:after="0pt" w:line="12pt" w:lineRule="auto"/>
    </w:pPr>
    <w:rPr>
      <w:rFonts w:ascii="Calibri" w:eastAsia="Calibri" w:hAnsi="Calibri" w:cs="Calibri"/>
      <w:sz w:val="20"/>
      <w:szCs w:val="20"/>
      <w:lang w:eastAsia="es-MX"/>
    </w:rPr>
    <w:tblPr/>
    <w:tblStylePr w:type="lastCol">
      <w:rPr>
        <w:b/>
        <w:bCs/>
      </w:rPr>
    </w:tblStylePr>
    <w:tblStylePr w:type="band1Vert">
      <w:tblPr/>
      <w:tcPr>
        <w:shd w:val="clear" w:color="auto" w:fill="DEEAF6"/>
      </w:tcPr>
    </w:tblStylePr>
  </w:style>
  <w:style w:type="table" w:customStyle="1" w:styleId="Tabladelista3-nfasis111">
    <w:name w:val="Tabla de lista 3 - Énfasis 111"/>
    <w:basedOn w:val="Tablanormal"/>
    <w:uiPriority w:val="48"/>
    <w:rsid w:val="00F85A8C"/>
    <w:pPr>
      <w:spacing w:after="0pt" w:line="12pt" w:lineRule="auto"/>
    </w:pPr>
    <w:rPr>
      <w:rFonts w:ascii="Calibri" w:eastAsia="Calibri" w:hAnsi="Calibri" w:cs="Times New Roman"/>
      <w:sz w:val="20"/>
      <w:szCs w:val="20"/>
      <w:lang w:eastAsia="es-MX"/>
    </w:rPr>
    <w:tblPr>
      <w:tblStyleRowBandSize w:val="1"/>
      <w:tblStyleColBandSize w:val="1"/>
      <w:tblBorders>
        <w:top w:val="single" w:sz="4" w:space="0" w:color="5B9BD5"/>
        <w:start w:val="single" w:sz="4" w:space="0" w:color="5B9BD5"/>
        <w:bottom w:val="single" w:sz="4" w:space="0" w:color="5B9BD5"/>
        <w:end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end w:val="nil"/>
        </w:tcBorders>
        <w:shd w:val="clear" w:color="auto" w:fill="FFFFFF"/>
      </w:tcPr>
    </w:tblStylePr>
    <w:tblStylePr w:type="lastCol">
      <w:rPr>
        <w:b/>
        <w:bCs/>
      </w:rPr>
      <w:tblPr/>
      <w:tcPr>
        <w:tcBorders>
          <w:start w:val="nil"/>
        </w:tcBorders>
        <w:shd w:val="clear" w:color="auto" w:fill="FFFFFF"/>
      </w:tcPr>
    </w:tblStylePr>
    <w:tblStylePr w:type="band1Vert">
      <w:tblPr/>
      <w:tcPr>
        <w:tcBorders>
          <w:start w:val="single" w:sz="4" w:space="0" w:color="5B9BD5"/>
          <w:end w:val="single" w:sz="4" w:space="0" w:color="5B9BD5"/>
        </w:tcBorders>
      </w:tcPr>
    </w:tblStylePr>
  </w:style>
  <w:style w:type="table" w:customStyle="1" w:styleId="Tablaconcuadrcula31">
    <w:name w:val="Tabla con cuadrícula31"/>
    <w:basedOn w:val="Tablanormal"/>
    <w:uiPriority w:val="39"/>
    <w:rsid w:val="00F85A8C"/>
    <w:pPr>
      <w:spacing w:after="0pt" w:line="12pt" w:lineRule="auto"/>
    </w:pPr>
    <w:rPr>
      <w:rFonts w:ascii="Arial" w:eastAsia="Times New Roman" w:hAnsi="Arial" w:cs="Times New Roman"/>
      <w:sz w:val="24"/>
      <w:szCs w:val="24"/>
      <w:lang w:eastAsia="es-MX"/>
    </w:rPr>
    <w:tblP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Pr>
  </w:style>
  <w:style w:type="numbering" w:customStyle="1" w:styleId="Estilo21">
    <w:name w:val="Estilo21"/>
    <w:rsid w:val="00F85A8C"/>
    <w:pPr>
      <w:numPr>
        <w:numId w:val="10"/>
      </w:numPr>
    </w:pPr>
  </w:style>
  <w:style w:type="numbering" w:customStyle="1" w:styleId="Estilo31">
    <w:name w:val="Estilo31"/>
    <w:rsid w:val="00F85A8C"/>
    <w:pPr>
      <w:numPr>
        <w:numId w:val="11"/>
      </w:numPr>
    </w:pPr>
  </w:style>
  <w:style w:type="paragraph" w:customStyle="1" w:styleId="aaaNumeralarabigoTitArial">
    <w:name w:val="aaa Numeral arabigo Tit Arial"/>
    <w:basedOn w:val="aaaIFTNormalArial"/>
    <w:rsid w:val="007C2715"/>
    <w:pPr>
      <w:spacing w:before="18pt" w:after="18pt"/>
      <w:ind w:start="42.55pt" w:hanging="42.55pt"/>
    </w:pPr>
    <w:rPr>
      <w:b/>
    </w:rPr>
  </w:style>
  <w:style w:type="table" w:styleId="Tabladecuadrcula4-nfasis6">
    <w:name w:val="Grid Table 4 Accent 6"/>
    <w:basedOn w:val="Tablanormal"/>
    <w:uiPriority w:val="49"/>
    <w:rsid w:val="007C2715"/>
    <w:pPr>
      <w:spacing w:after="0pt" w:line="12pt" w:lineRule="auto"/>
    </w:pPr>
    <w:tblPr>
      <w:tblStyleRowBandSize w:val="1"/>
      <w:tblStyleColBandSize w:val="1"/>
      <w:tblBorders>
        <w:top w:val="single" w:sz="4" w:space="0" w:color="A8D08D" w:themeColor="accent6" w:themeTint="99"/>
        <w:start w:val="single" w:sz="4" w:space="0" w:color="A8D08D" w:themeColor="accent6" w:themeTint="99"/>
        <w:bottom w:val="single" w:sz="4" w:space="0" w:color="A8D08D" w:themeColor="accent6" w:themeTint="99"/>
        <w:end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start w:val="single" w:sz="4" w:space="0" w:color="70AD47" w:themeColor="accent6"/>
          <w:bottom w:val="single" w:sz="4" w:space="0" w:color="70AD47" w:themeColor="accent6"/>
          <w:end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Heading6Char4">
    <w:name w:val="Heading 6 Char4"/>
    <w:aliases w:val="6 Char4,61 Char4,611 Char4,612 Ch3,62 Char4,Bullet list Char4,Header 6 Char4,ITT t6 Char4,Level 6 Char4,PA Appendix Char4,Requirement Char4,Requirement1 Char4,Requirement11 Char4,Requirement2 Char4,h6 Char4,h61 Char4,h611 Char4,h62 Char4"/>
    <w:uiPriority w:val="99"/>
    <w:semiHidden/>
    <w:rsid w:val="007C2715"/>
    <w:rPr>
      <w:rFonts w:ascii="Calibri" w:hAnsi="Calibri"/>
      <w:b/>
      <w:lang w:val="es-ES_tradnl" w:eastAsia="es-ES"/>
    </w:rPr>
  </w:style>
  <w:style w:type="paragraph" w:customStyle="1" w:styleId="Tablecells">
    <w:name w:val="Table: cells"/>
    <w:qFormat/>
    <w:rsid w:val="007C2715"/>
    <w:pPr>
      <w:spacing w:before="2pt" w:after="2pt" w:line="12pt" w:lineRule="exact"/>
      <w:ind w:end="5.65pt"/>
    </w:pPr>
    <w:rPr>
      <w:rFonts w:ascii="Arial" w:hAnsi="Arial"/>
      <w:sz w:val="18"/>
      <w:lang w:val="en-GB"/>
    </w:rPr>
  </w:style>
  <w:style w:type="paragraph" w:customStyle="1" w:styleId="Tableheading0">
    <w:name w:val="Table: heading"/>
    <w:basedOn w:val="Tablecells"/>
    <w:next w:val="Tablecells"/>
    <w:qFormat/>
    <w:rsid w:val="007C2715"/>
    <w:pPr>
      <w:keepNext/>
    </w:pPr>
    <w:rPr>
      <w:b/>
      <w:color w:val="FFFFFF"/>
    </w:rPr>
  </w:style>
  <w:style w:type="paragraph" w:customStyle="1" w:styleId="SFnormal">
    <w:name w:val="SF normal"/>
    <w:basedOn w:val="Normal"/>
    <w:link w:val="SFnormalCar"/>
    <w:qFormat/>
    <w:rsid w:val="007C2715"/>
    <w:pPr>
      <w:spacing w:after="10pt"/>
      <w:jc w:val="both"/>
    </w:pPr>
    <w:rPr>
      <w:rFonts w:ascii="ITC Avant Garde" w:eastAsia="Calibri" w:hAnsi="ITC Avant Garde" w:cs="Arial"/>
      <w:color w:val="000000"/>
      <w:lang w:val="es-ES_tradnl" w:eastAsia="es-ES"/>
    </w:rPr>
  </w:style>
  <w:style w:type="character" w:customStyle="1" w:styleId="SFnormalCar">
    <w:name w:val="SF normal Car"/>
    <w:basedOn w:val="Fuentedeprrafopredeter"/>
    <w:link w:val="SFnormal"/>
    <w:qFormat/>
    <w:rsid w:val="007C2715"/>
    <w:rPr>
      <w:rFonts w:ascii="ITC Avant Garde" w:eastAsia="Calibri" w:hAnsi="ITC Avant Garde" w:cs="Arial"/>
      <w:color w:val="000000"/>
      <w:lang w:val="es-ES_tradnl" w:eastAsia="es-ES"/>
    </w:rPr>
  </w:style>
  <w:style w:type="paragraph" w:customStyle="1" w:styleId="Citamedida">
    <w:name w:val="Cita medida"/>
    <w:basedOn w:val="Normal"/>
    <w:uiPriority w:val="3"/>
    <w:rsid w:val="007C2715"/>
    <w:pPr>
      <w:spacing w:before="6pt" w:after="3pt" w:line="13.20pt" w:lineRule="auto"/>
      <w:ind w:start="35.40pt" w:end="45pt"/>
      <w:jc w:val="both"/>
    </w:pPr>
    <w:rPr>
      <w:rFonts w:ascii="ITC Avant Garde" w:hAnsi="ITC Avant Garde" w:cs="Times New Roman"/>
      <w:i/>
      <w:iCs/>
      <w:sz w:val="16"/>
      <w:szCs w:val="16"/>
    </w:rPr>
  </w:style>
  <w:style w:type="table" w:customStyle="1" w:styleId="Tablaclsica21">
    <w:name w:val="Tabla clásica 21"/>
    <w:basedOn w:val="Tablanormal"/>
    <w:next w:val="Tablaclsica2"/>
    <w:rsid w:val="007C2715"/>
    <w:pPr>
      <w:spacing w:after="0pt" w:line="12pt" w:lineRule="auto"/>
      <w:jc w:val="both"/>
    </w:pPr>
    <w:rPr>
      <w:rFonts w:ascii="Times New Roman" w:eastAsia="Times New Roman" w:hAnsi="Times New Roman" w:cs="Times New Roman"/>
      <w:sz w:val="20"/>
      <w:szCs w:val="20"/>
      <w:lang w:eastAsia="es-E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Sombreadomedio2-nfasis12">
    <w:name w:val="Sombreado medio 2 - Énfasis 12"/>
    <w:basedOn w:val="Tablanormal"/>
    <w:next w:val="Sombreadomedio2-nfasis1"/>
    <w:uiPriority w:val="64"/>
    <w:rsid w:val="007C2715"/>
    <w:pPr>
      <w:spacing w:after="0pt" w:line="12pt"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pt" w:after="0pt" w:line="12pt" w:lineRule="auto"/>
      </w:pPr>
      <w:rPr>
        <w:b/>
        <w:bCs/>
        <w:color w:val="FFFFFF"/>
      </w:rPr>
      <w:tblPr/>
      <w:tcPr>
        <w:tcBorders>
          <w:top w:val="single" w:sz="18" w:space="0" w:color="auto"/>
          <w:start w:val="nil"/>
          <w:bottom w:val="single" w:sz="18" w:space="0" w:color="auto"/>
          <w:end w:val="nil"/>
          <w:insideH w:val="nil"/>
          <w:insideV w:val="nil"/>
        </w:tcBorders>
        <w:shd w:val="clear" w:color="auto" w:fill="4F81BD"/>
      </w:tcPr>
    </w:tblStylePr>
    <w:tblStylePr w:type="lastRow">
      <w:pPr>
        <w:spacing w:before="0pt" w:after="0pt" w:line="12pt" w:lineRule="auto"/>
      </w:pPr>
      <w:rPr>
        <w:color w:val="auto"/>
      </w:rPr>
      <w:tblPr/>
      <w:tcPr>
        <w:tcBorders>
          <w:top w:val="double" w:sz="6" w:space="0" w:color="auto"/>
          <w:start w:val="nil"/>
          <w:bottom w:val="single" w:sz="18" w:space="0" w:color="auto"/>
          <w:end w:val="nil"/>
          <w:insideH w:val="nil"/>
          <w:insideV w:val="nil"/>
        </w:tcBorders>
        <w:shd w:val="clear" w:color="auto" w:fill="FFFFFF"/>
      </w:tcPr>
    </w:tblStylePr>
    <w:tblStylePr w:type="firstCol">
      <w:rPr>
        <w:b/>
        <w:bCs/>
        <w:color w:val="FFFFFF"/>
      </w:rPr>
      <w:tblPr/>
      <w:tcPr>
        <w:tcBorders>
          <w:top w:val="nil"/>
          <w:start w:val="nil"/>
          <w:bottom w:val="single" w:sz="18" w:space="0" w:color="auto"/>
          <w:end w:val="nil"/>
          <w:insideH w:val="nil"/>
          <w:insideV w:val="nil"/>
        </w:tcBorders>
        <w:shd w:val="clear" w:color="auto" w:fill="4F81BD"/>
      </w:tcPr>
    </w:tblStylePr>
    <w:tblStylePr w:type="lastCol">
      <w:rPr>
        <w:b/>
        <w:bCs/>
        <w:color w:val="FFFFFF"/>
      </w:rPr>
      <w:tblPr/>
      <w:tcPr>
        <w:tcBorders>
          <w:start w:val="nil"/>
          <w:end w:val="nil"/>
          <w:insideH w:val="nil"/>
          <w:insideV w:val="nil"/>
        </w:tcBorders>
        <w:shd w:val="clear" w:color="auto" w:fill="4F81BD"/>
      </w:tcPr>
    </w:tblStylePr>
    <w:tblStylePr w:type="band1Vert">
      <w:tblPr/>
      <w:tcPr>
        <w:tcBorders>
          <w:start w:val="nil"/>
          <w:end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start w:val="nil"/>
          <w:bottom w:val="single" w:sz="18" w:space="0" w:color="auto"/>
          <w:end w:val="nil"/>
          <w:insideH w:val="nil"/>
          <w:insideV w:val="nil"/>
        </w:tcBorders>
      </w:tcPr>
    </w:tblStylePr>
    <w:tblStylePr w:type="nwCell">
      <w:rPr>
        <w:color w:val="FFFFFF"/>
      </w:rPr>
      <w:tblPr/>
      <w:tcPr>
        <w:tcBorders>
          <w:top w:val="single" w:sz="18" w:space="0" w:color="auto"/>
          <w:start w:val="nil"/>
          <w:bottom w:val="single" w:sz="18" w:space="0" w:color="auto"/>
          <w:end w:val="nil"/>
          <w:insideH w:val="nil"/>
          <w:insideV w:val="nil"/>
        </w:tcBorders>
      </w:tcPr>
    </w:tblStylePr>
  </w:style>
  <w:style w:type="table" w:customStyle="1" w:styleId="Sombreadomedio2-nfasis111">
    <w:name w:val="Sombreado medio 2 - Énfasis 111"/>
    <w:basedOn w:val="Tablanormal"/>
    <w:uiPriority w:val="64"/>
    <w:rsid w:val="007C2715"/>
    <w:pPr>
      <w:spacing w:after="0pt" w:line="12pt"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pt" w:after="0pt" w:line="12pt" w:lineRule="auto"/>
      </w:pPr>
      <w:rPr>
        <w:b/>
        <w:bCs/>
        <w:color w:val="FFFFFF"/>
      </w:rPr>
      <w:tblPr/>
      <w:tcPr>
        <w:tcBorders>
          <w:top w:val="single" w:sz="18" w:space="0" w:color="auto"/>
          <w:start w:val="nil"/>
          <w:bottom w:val="single" w:sz="18" w:space="0" w:color="auto"/>
          <w:end w:val="nil"/>
          <w:insideH w:val="nil"/>
          <w:insideV w:val="nil"/>
        </w:tcBorders>
        <w:shd w:val="clear" w:color="auto" w:fill="4F81BD"/>
      </w:tcPr>
    </w:tblStylePr>
    <w:tblStylePr w:type="lastRow">
      <w:pPr>
        <w:spacing w:before="0pt" w:after="0pt" w:line="12pt" w:lineRule="auto"/>
      </w:pPr>
      <w:rPr>
        <w:color w:val="auto"/>
      </w:rPr>
      <w:tblPr/>
      <w:tcPr>
        <w:tcBorders>
          <w:top w:val="double" w:sz="6" w:space="0" w:color="auto"/>
          <w:start w:val="nil"/>
          <w:bottom w:val="single" w:sz="18" w:space="0" w:color="auto"/>
          <w:end w:val="nil"/>
          <w:insideH w:val="nil"/>
          <w:insideV w:val="nil"/>
        </w:tcBorders>
        <w:shd w:val="clear" w:color="auto" w:fill="FFFFFF"/>
      </w:tcPr>
    </w:tblStylePr>
    <w:tblStylePr w:type="firstCol">
      <w:rPr>
        <w:b/>
        <w:bCs/>
        <w:color w:val="FFFFFF"/>
      </w:rPr>
      <w:tblPr/>
      <w:tcPr>
        <w:tcBorders>
          <w:top w:val="nil"/>
          <w:start w:val="nil"/>
          <w:bottom w:val="single" w:sz="18" w:space="0" w:color="auto"/>
          <w:end w:val="nil"/>
          <w:insideH w:val="nil"/>
          <w:insideV w:val="nil"/>
        </w:tcBorders>
        <w:shd w:val="clear" w:color="auto" w:fill="4F81BD"/>
      </w:tcPr>
    </w:tblStylePr>
    <w:tblStylePr w:type="lastCol">
      <w:rPr>
        <w:b/>
        <w:bCs/>
        <w:color w:val="FFFFFF"/>
      </w:rPr>
      <w:tblPr/>
      <w:tcPr>
        <w:tcBorders>
          <w:start w:val="nil"/>
          <w:end w:val="nil"/>
          <w:insideH w:val="nil"/>
          <w:insideV w:val="nil"/>
        </w:tcBorders>
        <w:shd w:val="clear" w:color="auto" w:fill="4F81BD"/>
      </w:tcPr>
    </w:tblStylePr>
    <w:tblStylePr w:type="band1Vert">
      <w:tblPr/>
      <w:tcPr>
        <w:tcBorders>
          <w:start w:val="nil"/>
          <w:end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start w:val="nil"/>
          <w:bottom w:val="single" w:sz="18" w:space="0" w:color="auto"/>
          <w:end w:val="nil"/>
          <w:insideH w:val="nil"/>
          <w:insideV w:val="nil"/>
        </w:tcBorders>
      </w:tcPr>
    </w:tblStylePr>
    <w:tblStylePr w:type="nwCell">
      <w:rPr>
        <w:color w:val="FFFFFF"/>
      </w:rPr>
      <w:tblPr/>
      <w:tcPr>
        <w:tcBorders>
          <w:top w:val="single" w:sz="18" w:space="0" w:color="auto"/>
          <w:start w:val="nil"/>
          <w:bottom w:val="single" w:sz="18" w:space="0" w:color="auto"/>
          <w:end w:val="nil"/>
          <w:insideH w:val="nil"/>
          <w:insideV w:val="nil"/>
        </w:tcBorders>
      </w:tcPr>
    </w:tblStylePr>
  </w:style>
  <w:style w:type="paragraph" w:customStyle="1" w:styleId="CitaPrueba">
    <w:name w:val="Cita Prueba"/>
    <w:basedOn w:val="Normal"/>
    <w:qFormat/>
    <w:rsid w:val="007C2715"/>
    <w:pPr>
      <w:spacing w:after="6pt" w:line="12.95pt" w:lineRule="auto"/>
      <w:ind w:start="28.35pt" w:end="16.60pt"/>
      <w:jc w:val="both"/>
    </w:pPr>
    <w:rPr>
      <w:rFonts w:ascii="Century Gothic" w:eastAsia="Calibri" w:hAnsi="Century Gothic" w:cs="Times New Roman"/>
      <w:i/>
      <w:iCs/>
      <w:sz w:val="18"/>
      <w:szCs w:val="18"/>
    </w:rPr>
  </w:style>
  <w:style w:type="paragraph" w:customStyle="1" w:styleId="aaaCitaarial">
    <w:name w:val="aaa Cita arial"/>
    <w:basedOn w:val="Citaift"/>
    <w:rsid w:val="007C2715"/>
    <w:pPr>
      <w:spacing w:after="10pt"/>
    </w:pPr>
    <w:rPr>
      <w:sz w:val="20"/>
    </w:rPr>
  </w:style>
  <w:style w:type="paragraph" w:customStyle="1" w:styleId="Citaencita">
    <w:name w:val="Cita en cita"/>
    <w:basedOn w:val="Normal"/>
    <w:link w:val="CitaencitaChar"/>
    <w:qFormat/>
    <w:rsid w:val="007C2715"/>
    <w:pPr>
      <w:adjustRightInd w:val="0"/>
      <w:spacing w:after="6pt" w:line="12.95pt" w:lineRule="auto"/>
      <w:ind w:start="42.55pt" w:end="38pt"/>
      <w:jc w:val="both"/>
    </w:pPr>
    <w:rPr>
      <w:rFonts w:ascii="Century Gothic" w:eastAsia="Times New Roman" w:hAnsi="Century Gothic" w:cs="Arial"/>
      <w:i/>
      <w:color w:val="000000"/>
      <w:sz w:val="18"/>
      <w:szCs w:val="18"/>
      <w:lang w:val="es-ES_tradnl" w:eastAsia="es-ES"/>
    </w:rPr>
  </w:style>
  <w:style w:type="character" w:customStyle="1" w:styleId="CitaencitaChar">
    <w:name w:val="Cita en cita Char"/>
    <w:link w:val="Citaencita"/>
    <w:rsid w:val="007C2715"/>
    <w:rPr>
      <w:rFonts w:ascii="Century Gothic" w:eastAsia="Times New Roman" w:hAnsi="Century Gothic" w:cs="Arial"/>
      <w:i/>
      <w:color w:val="000000"/>
      <w:sz w:val="18"/>
      <w:szCs w:val="18"/>
      <w:lang w:val="es-ES_tradnl" w:eastAsia="es-ES"/>
    </w:rPr>
  </w:style>
  <w:style w:type="paragraph" w:customStyle="1" w:styleId="SFPTtulo2">
    <w:name w:val="SFP Título 2"/>
    <w:basedOn w:val="Ttulo2"/>
    <w:next w:val="Normal"/>
    <w:link w:val="SFPTtulo2Car"/>
    <w:qFormat/>
    <w:rsid w:val="007C2715"/>
    <w:pPr>
      <w:keepLines/>
      <w:spacing w:before="8pt" w:after="8pt" w:line="12.95pt" w:lineRule="auto"/>
      <w:ind w:start="0pt" w:firstLine="0pt"/>
      <w:jc w:val="start"/>
    </w:pPr>
    <w:rPr>
      <w:rFonts w:cs="Times New Roman"/>
      <w:bCs w:val="0"/>
      <w:color w:val="000000"/>
      <w:szCs w:val="28"/>
      <w:lang w:val="es-ES_tradnl" w:eastAsia="es-ES"/>
    </w:rPr>
  </w:style>
  <w:style w:type="character" w:customStyle="1" w:styleId="SFPTtulo2Car">
    <w:name w:val="SFP Título 2 Car"/>
    <w:link w:val="SFPTtulo2"/>
    <w:rsid w:val="007C2715"/>
    <w:rPr>
      <w:rFonts w:ascii="ITC Avant Garde" w:eastAsia="Times New Roman" w:hAnsi="ITC Avant Garde" w:cs="Times New Roman"/>
      <w:b/>
      <w:color w:val="000000"/>
      <w:szCs w:val="28"/>
      <w:lang w:val="es-ES_tradnl" w:eastAsia="es-ES"/>
    </w:rPr>
  </w:style>
  <w:style w:type="character" w:customStyle="1" w:styleId="nacep">
    <w:name w:val="n_acep"/>
    <w:basedOn w:val="Fuentedeprrafopredeter"/>
    <w:rsid w:val="007C2715"/>
  </w:style>
  <w:style w:type="character" w:customStyle="1" w:styleId="SourceChar">
    <w:name w:val="Source Char"/>
    <w:basedOn w:val="Fuentedeprrafopredeter"/>
    <w:link w:val="Source"/>
    <w:locked/>
    <w:rsid w:val="007C2715"/>
    <w:rPr>
      <w:rFonts w:ascii="Arial" w:hAnsi="Arial" w:cs="Arial"/>
      <w:sz w:val="16"/>
      <w:szCs w:val="18"/>
      <w:lang w:val="en-GB" w:eastAsia="en-GB"/>
    </w:rPr>
  </w:style>
  <w:style w:type="paragraph" w:customStyle="1" w:styleId="Source">
    <w:name w:val="Source"/>
    <w:basedOn w:val="Normal"/>
    <w:next w:val="Textoindependiente"/>
    <w:link w:val="SourceChar"/>
    <w:qFormat/>
    <w:rsid w:val="007C2715"/>
    <w:pPr>
      <w:keepNext/>
      <w:spacing w:before="6pt" w:after="18pt" w:line="12pt" w:lineRule="auto"/>
    </w:pPr>
    <w:rPr>
      <w:rFonts w:cs="Arial"/>
      <w:sz w:val="16"/>
      <w:szCs w:val="18"/>
      <w:lang w:val="en-GB" w:eastAsia="en-GB"/>
    </w:rPr>
  </w:style>
  <w:style w:type="paragraph" w:customStyle="1" w:styleId="FootnoteReferenceNumber">
    <w:name w:val="Footnote Reference Number"/>
    <w:aliases w:val="Footnote Char Char,Footnote number Char Char,Footnote symbol Char Char,Ref Char Char,SUPERS Char Char,Voetnootverwijzing Char Char,de nota al pi... Char Char Char Char Char Char Char Char,de nota al pie Char Char"/>
    <w:basedOn w:val="Normal"/>
    <w:link w:val="Refdenotaalpie"/>
    <w:uiPriority w:val="99"/>
    <w:rsid w:val="007C2715"/>
    <w:pPr>
      <w:spacing w:after="8pt" w:line="12pt" w:lineRule="exact"/>
    </w:pPr>
    <w:rPr>
      <w:rFonts w:asciiTheme="minorHAnsi" w:hAnsiTheme="minorHAnsi"/>
      <w:vertAlign w:val="superscript"/>
    </w:rPr>
  </w:style>
  <w:style w:type="character" w:customStyle="1" w:styleId="TableH1Char">
    <w:name w:val="TableH1 Char"/>
    <w:basedOn w:val="Fuentedeprrafopredeter"/>
    <w:link w:val="TableH1"/>
    <w:locked/>
    <w:rsid w:val="007C2715"/>
    <w:rPr>
      <w:rFonts w:ascii="Arial" w:eastAsia="PMingLiU" w:hAnsi="Arial" w:cs="Arial"/>
      <w:b/>
      <w:bCs/>
      <w:color w:val="FFFFFF" w:themeColor="background1"/>
      <w:sz w:val="16"/>
      <w:szCs w:val="16"/>
      <w:lang w:val="en-GB" w:eastAsia="zh-TW"/>
    </w:rPr>
  </w:style>
  <w:style w:type="character" w:customStyle="1" w:styleId="TabletextChar">
    <w:name w:val="Table text Char"/>
    <w:basedOn w:val="Fuentedeprrafopredeter"/>
    <w:link w:val="Tabletext0"/>
    <w:locked/>
    <w:rsid w:val="007C2715"/>
    <w:rPr>
      <w:rFonts w:ascii="Arial" w:eastAsia="PMingLiU" w:hAnsi="Arial" w:cs="Arial"/>
      <w:sz w:val="16"/>
      <w:szCs w:val="16"/>
      <w:lang w:val="en-GB" w:eastAsia="zh-TW"/>
    </w:rPr>
  </w:style>
  <w:style w:type="paragraph" w:customStyle="1" w:styleId="Tabletext0">
    <w:name w:val="Table text"/>
    <w:basedOn w:val="Normal"/>
    <w:link w:val="TabletextChar"/>
    <w:qFormat/>
    <w:rsid w:val="007C2715"/>
    <w:pPr>
      <w:spacing w:before="2pt" w:after="2pt" w:line="14.40pt" w:lineRule="auto"/>
    </w:pPr>
    <w:rPr>
      <w:rFonts w:eastAsia="PMingLiU" w:cs="Arial"/>
      <w:sz w:val="16"/>
      <w:szCs w:val="16"/>
      <w:lang w:val="en-GB" w:eastAsia="zh-TW"/>
    </w:rPr>
  </w:style>
  <w:style w:type="paragraph" w:customStyle="1" w:styleId="Tablenumber">
    <w:name w:val="Table number"/>
    <w:basedOn w:val="Tabletext0"/>
    <w:link w:val="TablenumberChar"/>
    <w:qFormat/>
    <w:rsid w:val="007C2715"/>
  </w:style>
  <w:style w:type="character" w:customStyle="1" w:styleId="TableH2Char">
    <w:name w:val="TableH2 Char"/>
    <w:basedOn w:val="TableH1Char"/>
    <w:link w:val="TableH2"/>
    <w:locked/>
    <w:rsid w:val="007C2715"/>
    <w:rPr>
      <w:rFonts w:ascii="Arial" w:eastAsia="PMingLiU" w:hAnsi="Arial" w:cs="Arial"/>
      <w:b/>
      <w:bCs/>
      <w:color w:val="000000" w:themeColor="text1"/>
      <w:sz w:val="16"/>
      <w:szCs w:val="16"/>
      <w:lang w:val="en-GB" w:eastAsia="zh-TW"/>
    </w:rPr>
  </w:style>
  <w:style w:type="paragraph" w:customStyle="1" w:styleId="TableH2">
    <w:name w:val="TableH2"/>
    <w:basedOn w:val="TableH1"/>
    <w:link w:val="TableH2Char"/>
    <w:qFormat/>
    <w:rsid w:val="007C2715"/>
    <w:rPr>
      <w:color w:val="000000" w:themeColor="text1"/>
    </w:rPr>
  </w:style>
  <w:style w:type="paragraph" w:customStyle="1" w:styleId="aaa71de4dig">
    <w:name w:val="aaa 7.1 de 4 dig"/>
    <w:basedOn w:val="PuntosC4"/>
    <w:autoRedefine/>
    <w:rsid w:val="007C2715"/>
    <w:pPr>
      <w:spacing w:before="12pt" w:after="12pt" w:line="12pt" w:lineRule="auto"/>
      <w:ind w:start="28.40pt" w:firstLine="0pt"/>
      <w:jc w:val="start"/>
      <w:outlineLvl w:val="3"/>
    </w:pPr>
    <w:rPr>
      <w:rFonts w:ascii="Arial" w:hAnsi="Arial"/>
    </w:rPr>
  </w:style>
  <w:style w:type="paragraph" w:customStyle="1" w:styleId="aaaFiguras">
    <w:name w:val="aaa Figuras"/>
    <w:basedOn w:val="aaaCitaarial"/>
    <w:rsid w:val="007C2715"/>
    <w:pPr>
      <w:spacing w:line="12pt" w:lineRule="auto"/>
      <w:ind w:start="63.80pt" w:end="66.25pt"/>
    </w:pPr>
    <w:rPr>
      <w:i w:val="0"/>
      <w:sz w:val="18"/>
    </w:rPr>
  </w:style>
  <w:style w:type="paragraph" w:customStyle="1" w:styleId="aaadonde">
    <w:name w:val="aaa donde"/>
    <w:basedOn w:val="Normal"/>
    <w:rsid w:val="007C2715"/>
    <w:pPr>
      <w:spacing w:after="6pt" w:line="12.95pt" w:lineRule="auto"/>
      <w:ind w:start="35.45pt"/>
      <w:jc w:val="both"/>
    </w:pPr>
    <w:rPr>
      <w:rFonts w:cs="Arial"/>
    </w:rPr>
  </w:style>
  <w:style w:type="table" w:styleId="Tabladelista3">
    <w:name w:val="List Table 3"/>
    <w:basedOn w:val="Tablanormal"/>
    <w:uiPriority w:val="48"/>
    <w:rsid w:val="007C2715"/>
    <w:pPr>
      <w:spacing w:after="0pt" w:line="12pt" w:lineRule="auto"/>
    </w:pPr>
    <w:tblPr>
      <w:tblStyleRowBandSize w:val="1"/>
      <w:tblStyleColBandSize w:val="1"/>
      <w:tblBorders>
        <w:top w:val="single" w:sz="4" w:space="0" w:color="000000" w:themeColor="text1"/>
        <w:start w:val="single" w:sz="4" w:space="0" w:color="000000" w:themeColor="text1"/>
        <w:bottom w:val="single" w:sz="4" w:space="0" w:color="000000" w:themeColor="text1"/>
        <w:end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end w:val="nil"/>
        </w:tcBorders>
        <w:shd w:val="clear" w:color="auto" w:fill="FFFFFF" w:themeFill="background1"/>
      </w:tcPr>
    </w:tblStylePr>
    <w:tblStylePr w:type="lastCol">
      <w:rPr>
        <w:b/>
        <w:bCs/>
      </w:rPr>
      <w:tblPr/>
      <w:tcPr>
        <w:tcBorders>
          <w:start w:val="nil"/>
        </w:tcBorders>
        <w:shd w:val="clear" w:color="auto" w:fill="FFFFFF" w:themeFill="background1"/>
      </w:tcPr>
    </w:tblStylePr>
    <w:tblStylePr w:type="band1Vert">
      <w:tblPr/>
      <w:tcPr>
        <w:tcBorders>
          <w:start w:val="single" w:sz="4" w:space="0" w:color="000000" w:themeColor="text1"/>
          <w:end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start w:val="nil"/>
          <w:bottom w:val="nil"/>
        </w:tcBorders>
      </w:tcPr>
    </w:tblStylePr>
    <w:tblStylePr w:type="nwCell">
      <w:tblPr/>
      <w:tcPr>
        <w:tcBorders>
          <w:bottom w:val="nil"/>
          <w:end w:val="nil"/>
        </w:tcBorders>
      </w:tcPr>
    </w:tblStylePr>
    <w:tblStylePr w:type="seCell">
      <w:tblPr/>
      <w:tcPr>
        <w:tcBorders>
          <w:top w:val="double" w:sz="4" w:space="0" w:color="000000" w:themeColor="text1"/>
          <w:start w:val="nil"/>
        </w:tcBorders>
      </w:tcPr>
    </w:tblStylePr>
    <w:tblStylePr w:type="swCell">
      <w:tblPr/>
      <w:tcPr>
        <w:tcBorders>
          <w:top w:val="double" w:sz="4" w:space="0" w:color="000000" w:themeColor="text1"/>
          <w:end w:val="nil"/>
        </w:tcBorders>
      </w:tcPr>
    </w:tblStylePr>
  </w:style>
  <w:style w:type="paragraph" w:customStyle="1" w:styleId="aaaNegitanormalArial">
    <w:name w:val="aaa Negita normal Arial"/>
    <w:basedOn w:val="aaaIFTNormalArial"/>
    <w:rsid w:val="007C2715"/>
    <w:rPr>
      <w:b/>
    </w:rPr>
  </w:style>
  <w:style w:type="character" w:customStyle="1" w:styleId="CITAIFTOFICIALCar">
    <w:name w:val="CITA IFT OFICIAL Car"/>
    <w:basedOn w:val="CitaiftCar"/>
    <w:link w:val="CITAIFTOFICIAL"/>
    <w:rsid w:val="007C2715"/>
    <w:rPr>
      <w:rFonts w:ascii="Arial" w:eastAsia="Calibri" w:hAnsi="Arial" w:cs="Arial"/>
      <w:i/>
      <w:color w:val="000000"/>
      <w:sz w:val="20"/>
      <w:szCs w:val="18"/>
      <w:lang w:eastAsia="es-ES"/>
    </w:rPr>
  </w:style>
  <w:style w:type="table" w:customStyle="1" w:styleId="Tabladecuadrcula4-nfasis31">
    <w:name w:val="Tabla de cuadrícula 4 - Énfasis 31"/>
    <w:basedOn w:val="Tablanormal"/>
    <w:next w:val="Tabladecuadrcula4-nfasis3"/>
    <w:uiPriority w:val="49"/>
    <w:rsid w:val="002F0E45"/>
    <w:pPr>
      <w:spacing w:after="0pt" w:line="12pt" w:lineRule="auto"/>
    </w:pPr>
    <w:rPr>
      <w:rFonts w:ascii="Arial" w:eastAsia="Calibri" w:hAnsi="Arial" w:cs="Arial"/>
      <w:sz w:val="24"/>
      <w:szCs w:val="24"/>
    </w:rPr>
    <w:tblPr>
      <w:tblStyleRowBandSize w:val="1"/>
      <w:tblStyleColBandSize w:val="1"/>
      <w:tblBorders>
        <w:top w:val="single" w:sz="4" w:space="0" w:color="C2D69B"/>
        <w:start w:val="single" w:sz="4" w:space="0" w:color="C2D69B"/>
        <w:bottom w:val="single" w:sz="4" w:space="0" w:color="C2D69B"/>
        <w:end w:val="single" w:sz="4" w:space="0" w:color="C2D69B"/>
        <w:insideH w:val="single" w:sz="4" w:space="0" w:color="C2D69B"/>
        <w:insideV w:val="single" w:sz="4" w:space="0" w:color="C2D69B"/>
      </w:tblBorders>
    </w:tblPr>
    <w:tblStylePr w:type="firstRow">
      <w:rPr>
        <w:b/>
        <w:bCs/>
        <w:color w:val="FFFFFF"/>
      </w:rPr>
      <w:tblPr/>
      <w:tcPr>
        <w:tcBorders>
          <w:top w:val="single" w:sz="4" w:space="0" w:color="9BBB59"/>
          <w:start w:val="single" w:sz="4" w:space="0" w:color="9BBB59"/>
          <w:bottom w:val="single" w:sz="4" w:space="0" w:color="9BBB59"/>
          <w:end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Tablaconcuadrcula24">
    <w:name w:val="Tabla con cuadrícula24"/>
    <w:basedOn w:val="Tablanormal"/>
    <w:next w:val="Tablaconcuadrcula"/>
    <w:uiPriority w:val="59"/>
    <w:rsid w:val="00497C7D"/>
    <w:pPr>
      <w:spacing w:before="3pt" w:after="0pt" w:line="12pt" w:lineRule="auto"/>
      <w:jc w:val="both"/>
    </w:pPr>
    <w:rPr>
      <w:rFonts w:ascii="Arial" w:eastAsia="Times New Roman" w:hAnsi="Arial" w:cs="Times New Roman"/>
      <w:sz w:val="24"/>
      <w:szCs w:val="24"/>
      <w:lang w:eastAsia="es-MX"/>
    </w:rPr>
    <w:tblP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Pr>
  </w:style>
  <w:style w:type="paragraph" w:customStyle="1" w:styleId="0Tit111">
    <w:name w:val="0Tit 1.1.1"/>
    <w:basedOn w:val="Normal"/>
    <w:link w:val="0Tit111Char"/>
    <w:qFormat/>
    <w:rsid w:val="00C60563"/>
    <w:pPr>
      <w:tabs>
        <w:tab w:val="start" w:pos="28.35pt"/>
      </w:tabs>
      <w:spacing w:before="9pt" w:after="3pt" w:line="13.20pt" w:lineRule="auto"/>
      <w:contextualSpacing/>
      <w:jc w:val="both"/>
      <w:outlineLvl w:val="1"/>
    </w:pPr>
    <w:rPr>
      <w:rFonts w:ascii="Century Gothic" w:hAnsi="Century Gothic" w:cs="Arial"/>
      <w:b/>
    </w:rPr>
  </w:style>
  <w:style w:type="paragraph" w:customStyle="1" w:styleId="0Tit11">
    <w:name w:val="0Tit 1.1"/>
    <w:basedOn w:val="3TitTer"/>
    <w:rsid w:val="00C60563"/>
    <w:pPr>
      <w:spacing w:before="12pt" w:after="0pt" w:line="13.20pt" w:lineRule="auto"/>
    </w:pPr>
    <w:rPr>
      <w:rFonts w:ascii="Century Gothic" w:hAnsi="Century Gothic"/>
      <w:lang w:val="es-ES_tradnl"/>
    </w:rPr>
  </w:style>
  <w:style w:type="paragraph" w:customStyle="1" w:styleId="0Tit1">
    <w:name w:val="0Tit1"/>
    <w:basedOn w:val="Ttulo1"/>
    <w:rsid w:val="00294E2F"/>
    <w:pPr>
      <w:keepNext/>
      <w:tabs>
        <w:tab w:val="start" w:pos="21.30pt"/>
      </w:tabs>
      <w:spacing w:before="12pt" w:after="6pt" w:line="13.20pt" w:lineRule="auto"/>
      <w:jc w:val="start"/>
    </w:pPr>
    <w:rPr>
      <w:rFonts w:ascii="Century Gothic" w:hAnsi="Century Gothic"/>
    </w:rPr>
  </w:style>
  <w:style w:type="paragraph" w:customStyle="1" w:styleId="ListParagraph1">
    <w:name w:val="ListParagraph_1"/>
    <w:uiPriority w:val="34"/>
    <w:qFormat/>
    <w:pPr>
      <w:spacing w:after="0pt" w:line="13.80pt" w:lineRule="auto"/>
      <w:ind w:start="42.55pt"/>
      <w:contextualSpacing/>
    </w:pPr>
    <w:rPr>
      <w:rFonts w:ascii="Arial" w:eastAsia="Calibri" w:hAnsi="Arial" w:cs="Times New Roman"/>
    </w:rPr>
  </w:style>
  <w:style w:type="paragraph" w:customStyle="1" w:styleId="IFTnormal1">
    <w:name w:val="IFTnormal_1"/>
    <w:qFormat/>
    <w:pPr>
      <w:spacing w:after="0pt" w:line="13.80pt" w:lineRule="auto"/>
      <w:jc w:val="both"/>
    </w:pPr>
    <w:rPr>
      <w:rFonts w:ascii="Arial" w:eastAsia="Calibri" w:hAnsi="Arial" w:cs="Arial"/>
      <w:color w:val="000000"/>
      <w:lang w:val="es-ES_tradnl" w:eastAsia="es-ES"/>
    </w:rPr>
  </w:style>
  <w:style w:type="paragraph" w:customStyle="1" w:styleId="CondicionesFinales1">
    <w:name w:val="CondicionesFinales_1"/>
    <w:uiPriority w:val="99"/>
    <w:qFormat/>
    <w:pPr>
      <w:adjustRightInd w:val="0"/>
      <w:spacing w:after="0pt" w:line="13.80pt" w:lineRule="auto"/>
      <w:ind w:start="42.55pt" w:end="38pt"/>
      <w:jc w:val="both"/>
    </w:pPr>
    <w:rPr>
      <w:rFonts w:ascii="Arial" w:eastAsia="Times New Roman" w:hAnsi="Arial" w:cs="Arial"/>
      <w:bCs/>
      <w:color w:val="000000"/>
      <w:lang w:val="es-ES_tradnl" w:eastAsia="es-ES"/>
    </w:rPr>
  </w:style>
  <w:style w:type="table" w:customStyle="1" w:styleId="PlainTable11">
    <w:name w:val="PlainTable1_1"/>
    <w:uiPriority w:val="41"/>
    <w:pPr>
      <w:spacing w:after="0pt" w:line="12pt" w:lineRule="auto"/>
    </w:pPr>
    <w:rPr>
      <w:rFonts w:ascii="Arial" w:eastAsiaTheme="minorEastAsia" w:hAnsi="Arial"/>
      <w:sz w:val="20"/>
      <w:szCs w:val="20"/>
      <w:lang w:eastAsia="es-MX"/>
    </w:rPr>
    <w:tblPr>
      <w:tblStyleRowBandSize w:val="1"/>
      <w:tblStyleColBandSize w:val="1"/>
      <w:tblInd w:w="0pt" w:type="dxa"/>
      <w:tblBorders>
        <w:top w:val="single" w:sz="4" w:space="0" w:color="BFBFBF" w:themeColor="background1" w:themeShade="BF"/>
        <w:start w:val="single" w:sz="4" w:space="0" w:color="BFBFBF" w:themeColor="background1" w:themeShade="BF"/>
        <w:bottom w:val="single" w:sz="4" w:space="0" w:color="BFBFBF" w:themeColor="background1" w:themeShade="BF"/>
        <w:end w:val="single" w:sz="4" w:space="0" w:color="BFBFBF" w:themeColor="background1" w:themeShade="BF"/>
        <w:insideH w:val="single" w:sz="4" w:space="0" w:color="BFBFBF" w:themeColor="background1" w:themeShade="BF"/>
        <w:insideV w:val="single" w:sz="4" w:space="0" w:color="BFBFBF" w:themeColor="background1" w:themeShade="BF"/>
      </w:tblBorders>
      <w:tblCellMar>
        <w:top w:w="0pt" w:type="dxa"/>
        <w:start w:w="5.40pt" w:type="dxa"/>
        <w:bottom w:w="0pt" w:type="dxa"/>
        <w:end w:w="5.40pt"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anormal12">
    <w:name w:val="Tabla normal 12"/>
    <w:basedOn w:val="Tablanormal"/>
    <w:next w:val="Tablanormal1"/>
    <w:uiPriority w:val="41"/>
    <w:rsid w:val="00247F4A"/>
    <w:pPr>
      <w:spacing w:after="0pt" w:line="12pt" w:lineRule="auto"/>
    </w:pPr>
    <w:rPr>
      <w:rFonts w:ascii="Calibri" w:eastAsia="Times New Roman" w:hAnsi="Calibri" w:cs="Times New Roman"/>
    </w:rPr>
    <w:tblPr>
      <w:tblStyleRowBandSize w:val="1"/>
      <w:tblStyleColBandSize w:val="1"/>
      <w:tblBorders>
        <w:top w:val="single" w:sz="4" w:space="0" w:color="BFBFBF"/>
        <w:start w:val="single" w:sz="4" w:space="0" w:color="BFBFBF"/>
        <w:bottom w:val="single" w:sz="4" w:space="0" w:color="BFBFBF"/>
        <w:end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aconcuadrculaclara2">
    <w:name w:val="Tabla con cuadrícula clara2"/>
    <w:basedOn w:val="Tablanormal"/>
    <w:next w:val="Cuadrculadetablaclara"/>
    <w:uiPriority w:val="99"/>
    <w:rsid w:val="00247F4A"/>
    <w:pPr>
      <w:spacing w:after="0pt" w:line="12pt" w:lineRule="auto"/>
    </w:pPr>
    <w:rPr>
      <w:rFonts w:ascii="Calibri" w:eastAsia="Times New Roman" w:hAnsi="Calibri" w:cs="Times New Roman"/>
    </w:rPr>
    <w:tblPr>
      <w:tblBorders>
        <w:top w:val="single" w:sz="4" w:space="0" w:color="BFBFBF"/>
        <w:start w:val="single" w:sz="4" w:space="0" w:color="BFBFBF"/>
        <w:bottom w:val="single" w:sz="4" w:space="0" w:color="BFBFBF"/>
        <w:end w:val="single" w:sz="4" w:space="0" w:color="BFBFBF"/>
        <w:insideH w:val="single" w:sz="4" w:space="0" w:color="BFBFBF"/>
        <w:insideV w:val="single" w:sz="4" w:space="0" w:color="BFBFBF"/>
      </w:tblBorders>
    </w:tblPr>
  </w:style>
</w:styles>
</file>

<file path=word/webSettings.xml><?xml version="1.0" encoding="utf-8"?>
<w:webSettings xmlns:mc="http://schemas.openxmlformats.org/markup-compatibility/2006" xmlns:r="http://purl.oclc.org/ooxml/officeDocument/relationships" xmlns:w="http://purl.oclc.org/ooxml/wordprocessingml/main" xmlns:w14="http://schemas.microsoft.com/office/word/2010/wordml" xmlns:w15="http://schemas.microsoft.com/office/word/2012/wordml" mc:Ignorable="w14 w15">
  <w:divs>
    <w:div w:id="107089317">
      <w:bodyDiv w:val="1"/>
      <w:marLeft w:val="0pt"/>
      <w:marRight w:val="0pt"/>
      <w:marTop w:val="0pt"/>
      <w:marBottom w:val="0pt"/>
      <w:divBdr>
        <w:top w:val="none" w:sz="0" w:space="0" w:color="auto"/>
        <w:left w:val="none" w:sz="0" w:space="0" w:color="auto"/>
        <w:bottom w:val="none" w:sz="0" w:space="0" w:color="auto"/>
        <w:right w:val="none" w:sz="0" w:space="0" w:color="auto"/>
      </w:divBdr>
    </w:div>
    <w:div w:id="178200146">
      <w:bodyDiv w:val="1"/>
      <w:marLeft w:val="0pt"/>
      <w:marRight w:val="0pt"/>
      <w:marTop w:val="0pt"/>
      <w:marBottom w:val="0pt"/>
      <w:divBdr>
        <w:top w:val="none" w:sz="0" w:space="0" w:color="auto"/>
        <w:left w:val="none" w:sz="0" w:space="0" w:color="auto"/>
        <w:bottom w:val="none" w:sz="0" w:space="0" w:color="auto"/>
        <w:right w:val="none" w:sz="0" w:space="0" w:color="auto"/>
      </w:divBdr>
    </w:div>
    <w:div w:id="219438418">
      <w:bodyDiv w:val="1"/>
      <w:marLeft w:val="0pt"/>
      <w:marRight w:val="0pt"/>
      <w:marTop w:val="0pt"/>
      <w:marBottom w:val="0pt"/>
      <w:divBdr>
        <w:top w:val="none" w:sz="0" w:space="0" w:color="auto"/>
        <w:left w:val="none" w:sz="0" w:space="0" w:color="auto"/>
        <w:bottom w:val="none" w:sz="0" w:space="0" w:color="auto"/>
        <w:right w:val="none" w:sz="0" w:space="0" w:color="auto"/>
      </w:divBdr>
    </w:div>
    <w:div w:id="223375046">
      <w:bodyDiv w:val="1"/>
      <w:marLeft w:val="0pt"/>
      <w:marRight w:val="0pt"/>
      <w:marTop w:val="0pt"/>
      <w:marBottom w:val="0pt"/>
      <w:divBdr>
        <w:top w:val="none" w:sz="0" w:space="0" w:color="auto"/>
        <w:left w:val="none" w:sz="0" w:space="0" w:color="auto"/>
        <w:bottom w:val="none" w:sz="0" w:space="0" w:color="auto"/>
        <w:right w:val="none" w:sz="0" w:space="0" w:color="auto"/>
      </w:divBdr>
    </w:div>
    <w:div w:id="258998480">
      <w:bodyDiv w:val="1"/>
      <w:marLeft w:val="0pt"/>
      <w:marRight w:val="0pt"/>
      <w:marTop w:val="0pt"/>
      <w:marBottom w:val="0pt"/>
      <w:divBdr>
        <w:top w:val="none" w:sz="0" w:space="0" w:color="auto"/>
        <w:left w:val="none" w:sz="0" w:space="0" w:color="auto"/>
        <w:bottom w:val="none" w:sz="0" w:space="0" w:color="auto"/>
        <w:right w:val="none" w:sz="0" w:space="0" w:color="auto"/>
      </w:divBdr>
    </w:div>
    <w:div w:id="300964537">
      <w:bodyDiv w:val="1"/>
      <w:marLeft w:val="0pt"/>
      <w:marRight w:val="0pt"/>
      <w:marTop w:val="0pt"/>
      <w:marBottom w:val="0pt"/>
      <w:divBdr>
        <w:top w:val="none" w:sz="0" w:space="0" w:color="auto"/>
        <w:left w:val="none" w:sz="0" w:space="0" w:color="auto"/>
        <w:bottom w:val="none" w:sz="0" w:space="0" w:color="auto"/>
        <w:right w:val="none" w:sz="0" w:space="0" w:color="auto"/>
      </w:divBdr>
    </w:div>
    <w:div w:id="465316268">
      <w:bodyDiv w:val="1"/>
      <w:marLeft w:val="0pt"/>
      <w:marRight w:val="0pt"/>
      <w:marTop w:val="0pt"/>
      <w:marBottom w:val="0pt"/>
      <w:divBdr>
        <w:top w:val="none" w:sz="0" w:space="0" w:color="auto"/>
        <w:left w:val="none" w:sz="0" w:space="0" w:color="auto"/>
        <w:bottom w:val="none" w:sz="0" w:space="0" w:color="auto"/>
        <w:right w:val="none" w:sz="0" w:space="0" w:color="auto"/>
      </w:divBdr>
    </w:div>
    <w:div w:id="579750504">
      <w:bodyDiv w:val="1"/>
      <w:marLeft w:val="0pt"/>
      <w:marRight w:val="0pt"/>
      <w:marTop w:val="0pt"/>
      <w:marBottom w:val="0pt"/>
      <w:divBdr>
        <w:top w:val="none" w:sz="0" w:space="0" w:color="auto"/>
        <w:left w:val="none" w:sz="0" w:space="0" w:color="auto"/>
        <w:bottom w:val="none" w:sz="0" w:space="0" w:color="auto"/>
        <w:right w:val="none" w:sz="0" w:space="0" w:color="auto"/>
      </w:divBdr>
    </w:div>
    <w:div w:id="631448263">
      <w:bodyDiv w:val="1"/>
      <w:marLeft w:val="0pt"/>
      <w:marRight w:val="0pt"/>
      <w:marTop w:val="0pt"/>
      <w:marBottom w:val="0pt"/>
      <w:divBdr>
        <w:top w:val="none" w:sz="0" w:space="0" w:color="auto"/>
        <w:left w:val="none" w:sz="0" w:space="0" w:color="auto"/>
        <w:bottom w:val="none" w:sz="0" w:space="0" w:color="auto"/>
        <w:right w:val="none" w:sz="0" w:space="0" w:color="auto"/>
      </w:divBdr>
    </w:div>
    <w:div w:id="634410772">
      <w:bodyDiv w:val="1"/>
      <w:marLeft w:val="0pt"/>
      <w:marRight w:val="0pt"/>
      <w:marTop w:val="0pt"/>
      <w:marBottom w:val="0pt"/>
      <w:divBdr>
        <w:top w:val="none" w:sz="0" w:space="0" w:color="auto"/>
        <w:left w:val="none" w:sz="0" w:space="0" w:color="auto"/>
        <w:bottom w:val="none" w:sz="0" w:space="0" w:color="auto"/>
        <w:right w:val="none" w:sz="0" w:space="0" w:color="auto"/>
      </w:divBdr>
    </w:div>
    <w:div w:id="698512033">
      <w:bodyDiv w:val="1"/>
      <w:marLeft w:val="0pt"/>
      <w:marRight w:val="0pt"/>
      <w:marTop w:val="0pt"/>
      <w:marBottom w:val="0pt"/>
      <w:divBdr>
        <w:top w:val="none" w:sz="0" w:space="0" w:color="auto"/>
        <w:left w:val="none" w:sz="0" w:space="0" w:color="auto"/>
        <w:bottom w:val="none" w:sz="0" w:space="0" w:color="auto"/>
        <w:right w:val="none" w:sz="0" w:space="0" w:color="auto"/>
      </w:divBdr>
    </w:div>
    <w:div w:id="711923959">
      <w:bodyDiv w:val="1"/>
      <w:marLeft w:val="0pt"/>
      <w:marRight w:val="0pt"/>
      <w:marTop w:val="0pt"/>
      <w:marBottom w:val="0pt"/>
      <w:divBdr>
        <w:top w:val="none" w:sz="0" w:space="0" w:color="auto"/>
        <w:left w:val="none" w:sz="0" w:space="0" w:color="auto"/>
        <w:bottom w:val="none" w:sz="0" w:space="0" w:color="auto"/>
        <w:right w:val="none" w:sz="0" w:space="0" w:color="auto"/>
      </w:divBdr>
    </w:div>
    <w:div w:id="778795552">
      <w:bodyDiv w:val="1"/>
      <w:marLeft w:val="0pt"/>
      <w:marRight w:val="0pt"/>
      <w:marTop w:val="0pt"/>
      <w:marBottom w:val="0pt"/>
      <w:divBdr>
        <w:top w:val="none" w:sz="0" w:space="0" w:color="auto"/>
        <w:left w:val="none" w:sz="0" w:space="0" w:color="auto"/>
        <w:bottom w:val="none" w:sz="0" w:space="0" w:color="auto"/>
        <w:right w:val="none" w:sz="0" w:space="0" w:color="auto"/>
      </w:divBdr>
    </w:div>
    <w:div w:id="829295293">
      <w:bodyDiv w:val="1"/>
      <w:marLeft w:val="0pt"/>
      <w:marRight w:val="0pt"/>
      <w:marTop w:val="0pt"/>
      <w:marBottom w:val="0pt"/>
      <w:divBdr>
        <w:top w:val="none" w:sz="0" w:space="0" w:color="auto"/>
        <w:left w:val="none" w:sz="0" w:space="0" w:color="auto"/>
        <w:bottom w:val="none" w:sz="0" w:space="0" w:color="auto"/>
        <w:right w:val="none" w:sz="0" w:space="0" w:color="auto"/>
      </w:divBdr>
    </w:div>
    <w:div w:id="830485258">
      <w:bodyDiv w:val="1"/>
      <w:marLeft w:val="0pt"/>
      <w:marRight w:val="0pt"/>
      <w:marTop w:val="0pt"/>
      <w:marBottom w:val="0pt"/>
      <w:divBdr>
        <w:top w:val="none" w:sz="0" w:space="0" w:color="auto"/>
        <w:left w:val="none" w:sz="0" w:space="0" w:color="auto"/>
        <w:bottom w:val="none" w:sz="0" w:space="0" w:color="auto"/>
        <w:right w:val="none" w:sz="0" w:space="0" w:color="auto"/>
      </w:divBdr>
    </w:div>
    <w:div w:id="848720581">
      <w:bodyDiv w:val="1"/>
      <w:marLeft w:val="0pt"/>
      <w:marRight w:val="0pt"/>
      <w:marTop w:val="0pt"/>
      <w:marBottom w:val="0pt"/>
      <w:divBdr>
        <w:top w:val="none" w:sz="0" w:space="0" w:color="auto"/>
        <w:left w:val="none" w:sz="0" w:space="0" w:color="auto"/>
        <w:bottom w:val="none" w:sz="0" w:space="0" w:color="auto"/>
        <w:right w:val="none" w:sz="0" w:space="0" w:color="auto"/>
      </w:divBdr>
    </w:div>
    <w:div w:id="933561471">
      <w:bodyDiv w:val="1"/>
      <w:marLeft w:val="0pt"/>
      <w:marRight w:val="0pt"/>
      <w:marTop w:val="0pt"/>
      <w:marBottom w:val="0pt"/>
      <w:divBdr>
        <w:top w:val="none" w:sz="0" w:space="0" w:color="auto"/>
        <w:left w:val="none" w:sz="0" w:space="0" w:color="auto"/>
        <w:bottom w:val="none" w:sz="0" w:space="0" w:color="auto"/>
        <w:right w:val="none" w:sz="0" w:space="0" w:color="auto"/>
      </w:divBdr>
    </w:div>
    <w:div w:id="953294535">
      <w:bodyDiv w:val="1"/>
      <w:marLeft w:val="0pt"/>
      <w:marRight w:val="0pt"/>
      <w:marTop w:val="0pt"/>
      <w:marBottom w:val="0pt"/>
      <w:divBdr>
        <w:top w:val="none" w:sz="0" w:space="0" w:color="auto"/>
        <w:left w:val="none" w:sz="0" w:space="0" w:color="auto"/>
        <w:bottom w:val="none" w:sz="0" w:space="0" w:color="auto"/>
        <w:right w:val="none" w:sz="0" w:space="0" w:color="auto"/>
      </w:divBdr>
    </w:div>
    <w:div w:id="1042359862">
      <w:bodyDiv w:val="1"/>
      <w:marLeft w:val="0pt"/>
      <w:marRight w:val="0pt"/>
      <w:marTop w:val="0pt"/>
      <w:marBottom w:val="0pt"/>
      <w:divBdr>
        <w:top w:val="none" w:sz="0" w:space="0" w:color="auto"/>
        <w:left w:val="none" w:sz="0" w:space="0" w:color="auto"/>
        <w:bottom w:val="none" w:sz="0" w:space="0" w:color="auto"/>
        <w:right w:val="none" w:sz="0" w:space="0" w:color="auto"/>
      </w:divBdr>
    </w:div>
    <w:div w:id="1053508753">
      <w:bodyDiv w:val="1"/>
      <w:marLeft w:val="0pt"/>
      <w:marRight w:val="0pt"/>
      <w:marTop w:val="0pt"/>
      <w:marBottom w:val="0pt"/>
      <w:divBdr>
        <w:top w:val="none" w:sz="0" w:space="0" w:color="auto"/>
        <w:left w:val="none" w:sz="0" w:space="0" w:color="auto"/>
        <w:bottom w:val="none" w:sz="0" w:space="0" w:color="auto"/>
        <w:right w:val="none" w:sz="0" w:space="0" w:color="auto"/>
      </w:divBdr>
    </w:div>
    <w:div w:id="1066488057">
      <w:bodyDiv w:val="1"/>
      <w:marLeft w:val="0pt"/>
      <w:marRight w:val="0pt"/>
      <w:marTop w:val="0pt"/>
      <w:marBottom w:val="0pt"/>
      <w:divBdr>
        <w:top w:val="none" w:sz="0" w:space="0" w:color="auto"/>
        <w:left w:val="none" w:sz="0" w:space="0" w:color="auto"/>
        <w:bottom w:val="none" w:sz="0" w:space="0" w:color="auto"/>
        <w:right w:val="none" w:sz="0" w:space="0" w:color="auto"/>
      </w:divBdr>
    </w:div>
    <w:div w:id="1087196055">
      <w:bodyDiv w:val="1"/>
      <w:marLeft w:val="0pt"/>
      <w:marRight w:val="0pt"/>
      <w:marTop w:val="0pt"/>
      <w:marBottom w:val="0pt"/>
      <w:divBdr>
        <w:top w:val="none" w:sz="0" w:space="0" w:color="auto"/>
        <w:left w:val="none" w:sz="0" w:space="0" w:color="auto"/>
        <w:bottom w:val="none" w:sz="0" w:space="0" w:color="auto"/>
        <w:right w:val="none" w:sz="0" w:space="0" w:color="auto"/>
      </w:divBdr>
    </w:div>
    <w:div w:id="1140881946">
      <w:bodyDiv w:val="1"/>
      <w:marLeft w:val="0pt"/>
      <w:marRight w:val="0pt"/>
      <w:marTop w:val="0pt"/>
      <w:marBottom w:val="0pt"/>
      <w:divBdr>
        <w:top w:val="none" w:sz="0" w:space="0" w:color="auto"/>
        <w:left w:val="none" w:sz="0" w:space="0" w:color="auto"/>
        <w:bottom w:val="none" w:sz="0" w:space="0" w:color="auto"/>
        <w:right w:val="none" w:sz="0" w:space="0" w:color="auto"/>
      </w:divBdr>
    </w:div>
    <w:div w:id="1180437761">
      <w:bodyDiv w:val="1"/>
      <w:marLeft w:val="0pt"/>
      <w:marRight w:val="0pt"/>
      <w:marTop w:val="0pt"/>
      <w:marBottom w:val="0pt"/>
      <w:divBdr>
        <w:top w:val="none" w:sz="0" w:space="0" w:color="auto"/>
        <w:left w:val="none" w:sz="0" w:space="0" w:color="auto"/>
        <w:bottom w:val="none" w:sz="0" w:space="0" w:color="auto"/>
        <w:right w:val="none" w:sz="0" w:space="0" w:color="auto"/>
      </w:divBdr>
    </w:div>
    <w:div w:id="1224682073">
      <w:bodyDiv w:val="1"/>
      <w:marLeft w:val="0pt"/>
      <w:marRight w:val="0pt"/>
      <w:marTop w:val="0pt"/>
      <w:marBottom w:val="0pt"/>
      <w:divBdr>
        <w:top w:val="none" w:sz="0" w:space="0" w:color="auto"/>
        <w:left w:val="none" w:sz="0" w:space="0" w:color="auto"/>
        <w:bottom w:val="none" w:sz="0" w:space="0" w:color="auto"/>
        <w:right w:val="none" w:sz="0" w:space="0" w:color="auto"/>
      </w:divBdr>
    </w:div>
    <w:div w:id="1374387797">
      <w:bodyDiv w:val="1"/>
      <w:marLeft w:val="0pt"/>
      <w:marRight w:val="0pt"/>
      <w:marTop w:val="0pt"/>
      <w:marBottom w:val="0pt"/>
      <w:divBdr>
        <w:top w:val="none" w:sz="0" w:space="0" w:color="auto"/>
        <w:left w:val="none" w:sz="0" w:space="0" w:color="auto"/>
        <w:bottom w:val="none" w:sz="0" w:space="0" w:color="auto"/>
        <w:right w:val="none" w:sz="0" w:space="0" w:color="auto"/>
      </w:divBdr>
    </w:div>
    <w:div w:id="1392535394">
      <w:bodyDiv w:val="1"/>
      <w:marLeft w:val="0pt"/>
      <w:marRight w:val="0pt"/>
      <w:marTop w:val="0pt"/>
      <w:marBottom w:val="0pt"/>
      <w:divBdr>
        <w:top w:val="none" w:sz="0" w:space="0" w:color="auto"/>
        <w:left w:val="none" w:sz="0" w:space="0" w:color="auto"/>
        <w:bottom w:val="none" w:sz="0" w:space="0" w:color="auto"/>
        <w:right w:val="none" w:sz="0" w:space="0" w:color="auto"/>
      </w:divBdr>
    </w:div>
    <w:div w:id="1445225975">
      <w:bodyDiv w:val="1"/>
      <w:marLeft w:val="0pt"/>
      <w:marRight w:val="0pt"/>
      <w:marTop w:val="0pt"/>
      <w:marBottom w:val="0pt"/>
      <w:divBdr>
        <w:top w:val="none" w:sz="0" w:space="0" w:color="auto"/>
        <w:left w:val="none" w:sz="0" w:space="0" w:color="auto"/>
        <w:bottom w:val="none" w:sz="0" w:space="0" w:color="auto"/>
        <w:right w:val="none" w:sz="0" w:space="0" w:color="auto"/>
      </w:divBdr>
    </w:div>
    <w:div w:id="1493643848">
      <w:bodyDiv w:val="1"/>
      <w:marLeft w:val="0pt"/>
      <w:marRight w:val="0pt"/>
      <w:marTop w:val="0pt"/>
      <w:marBottom w:val="0pt"/>
      <w:divBdr>
        <w:top w:val="none" w:sz="0" w:space="0" w:color="auto"/>
        <w:left w:val="none" w:sz="0" w:space="0" w:color="auto"/>
        <w:bottom w:val="none" w:sz="0" w:space="0" w:color="auto"/>
        <w:right w:val="none" w:sz="0" w:space="0" w:color="auto"/>
      </w:divBdr>
    </w:div>
    <w:div w:id="1544558433">
      <w:bodyDiv w:val="1"/>
      <w:marLeft w:val="0pt"/>
      <w:marRight w:val="0pt"/>
      <w:marTop w:val="0pt"/>
      <w:marBottom w:val="0pt"/>
      <w:divBdr>
        <w:top w:val="none" w:sz="0" w:space="0" w:color="auto"/>
        <w:left w:val="none" w:sz="0" w:space="0" w:color="auto"/>
        <w:bottom w:val="none" w:sz="0" w:space="0" w:color="auto"/>
        <w:right w:val="none" w:sz="0" w:space="0" w:color="auto"/>
      </w:divBdr>
    </w:div>
    <w:div w:id="1562642179">
      <w:bodyDiv w:val="1"/>
      <w:marLeft w:val="0pt"/>
      <w:marRight w:val="0pt"/>
      <w:marTop w:val="0pt"/>
      <w:marBottom w:val="0pt"/>
      <w:divBdr>
        <w:top w:val="none" w:sz="0" w:space="0" w:color="auto"/>
        <w:left w:val="none" w:sz="0" w:space="0" w:color="auto"/>
        <w:bottom w:val="none" w:sz="0" w:space="0" w:color="auto"/>
        <w:right w:val="none" w:sz="0" w:space="0" w:color="auto"/>
      </w:divBdr>
    </w:div>
    <w:div w:id="1571453511">
      <w:bodyDiv w:val="1"/>
      <w:marLeft w:val="0pt"/>
      <w:marRight w:val="0pt"/>
      <w:marTop w:val="0pt"/>
      <w:marBottom w:val="0pt"/>
      <w:divBdr>
        <w:top w:val="none" w:sz="0" w:space="0" w:color="auto"/>
        <w:left w:val="none" w:sz="0" w:space="0" w:color="auto"/>
        <w:bottom w:val="none" w:sz="0" w:space="0" w:color="auto"/>
        <w:right w:val="none" w:sz="0" w:space="0" w:color="auto"/>
      </w:divBdr>
    </w:div>
    <w:div w:id="1779790446">
      <w:bodyDiv w:val="1"/>
      <w:marLeft w:val="0pt"/>
      <w:marRight w:val="0pt"/>
      <w:marTop w:val="0pt"/>
      <w:marBottom w:val="0pt"/>
      <w:divBdr>
        <w:top w:val="none" w:sz="0" w:space="0" w:color="auto"/>
        <w:left w:val="none" w:sz="0" w:space="0" w:color="auto"/>
        <w:bottom w:val="none" w:sz="0" w:space="0" w:color="auto"/>
        <w:right w:val="none" w:sz="0" w:space="0" w:color="auto"/>
      </w:divBdr>
    </w:div>
    <w:div w:id="1796631969">
      <w:bodyDiv w:val="1"/>
      <w:marLeft w:val="0pt"/>
      <w:marRight w:val="0pt"/>
      <w:marTop w:val="0pt"/>
      <w:marBottom w:val="0pt"/>
      <w:divBdr>
        <w:top w:val="none" w:sz="0" w:space="0" w:color="auto"/>
        <w:left w:val="none" w:sz="0" w:space="0" w:color="auto"/>
        <w:bottom w:val="none" w:sz="0" w:space="0" w:color="auto"/>
        <w:right w:val="none" w:sz="0" w:space="0" w:color="auto"/>
      </w:divBdr>
    </w:div>
    <w:div w:id="1886984100">
      <w:bodyDiv w:val="1"/>
      <w:marLeft w:val="0pt"/>
      <w:marRight w:val="0pt"/>
      <w:marTop w:val="0pt"/>
      <w:marBottom w:val="0pt"/>
      <w:divBdr>
        <w:top w:val="none" w:sz="0" w:space="0" w:color="auto"/>
        <w:left w:val="none" w:sz="0" w:space="0" w:color="auto"/>
        <w:bottom w:val="none" w:sz="0" w:space="0" w:color="auto"/>
        <w:right w:val="none" w:sz="0" w:space="0" w:color="auto"/>
      </w:divBdr>
    </w:div>
    <w:div w:id="2067483517">
      <w:bodyDiv w:val="1"/>
      <w:marLeft w:val="0pt"/>
      <w:marRight w:val="0pt"/>
      <w:marTop w:val="0pt"/>
      <w:marBottom w:val="0pt"/>
      <w:divBdr>
        <w:top w:val="none" w:sz="0" w:space="0" w:color="auto"/>
        <w:left w:val="none" w:sz="0" w:space="0" w:color="auto"/>
        <w:bottom w:val="none" w:sz="0" w:space="0" w:color="auto"/>
        <w:right w:val="none" w:sz="0" w:space="0" w:color="auto"/>
      </w:divBdr>
    </w:div>
    <w:div w:id="2091123544">
      <w:bodyDiv w:val="1"/>
      <w:marLeft w:val="0pt"/>
      <w:marRight w:val="0pt"/>
      <w:marTop w:val="0pt"/>
      <w:marBottom w:val="0pt"/>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purl.oclc.org/ooxml/officeDocument/relationships/image" Target="media/image4.png"/><Relationship Id="rId117" Type="http://purl.oclc.org/ooxml/officeDocument/relationships/fontTable" Target="fontTable.xml"/><Relationship Id="rId252" Type="http://purl.oclc.org/ooxml/officeDocument/relationships/people" Target="people1.xml"/><Relationship Id="rId21" Type="http://purl.oclc.org/ooxml/officeDocument/relationships/hyperlink" Target="mailto:OREDA@rednacional.com" TargetMode="External"/><Relationship Id="rId42" Type="http://purl.oclc.org/ooxml/officeDocument/relationships/header" Target="header8.xml"/><Relationship Id="rId47" Type="http://purl.oclc.org/ooxml/officeDocument/relationships/header" Target="header11.xml"/><Relationship Id="rId63" Type="http://purl.oclc.org/ooxml/officeDocument/relationships/image" Target="media/image27.emf"/><Relationship Id="rId68" Type="http://purl.oclc.org/ooxml/officeDocument/relationships/header" Target="header16.xml"/><Relationship Id="rId84" Type="http://purl.oclc.org/ooxml/officeDocument/relationships/image" Target="media/image36.wmf"/><Relationship Id="rId89" Type="http://purl.oclc.org/ooxml/officeDocument/relationships/image" Target="media/image41.wmf"/><Relationship Id="rId112" Type="http://purl.oclc.org/ooxml/officeDocument/relationships/header" Target="header34.xml"/><Relationship Id="rId16" Type="http://purl.oclc.org/ooxml/officeDocument/relationships/header" Target="header3.xml"/><Relationship Id="rId107" Type="http://purl.oclc.org/ooxml/officeDocument/relationships/header" Target="header29.xml"/><Relationship Id="rId11" Type="http://purl.oclc.org/ooxml/officeDocument/relationships/image" Target="media/image1.png"/><Relationship Id="rId32" Type="http://purl.oclc.org/ooxml/officeDocument/relationships/image" Target="media/image10.png"/><Relationship Id="rId37" Type="http://purl.oclc.org/ooxml/officeDocument/relationships/footer" Target="footer4.xml"/><Relationship Id="rId53" Type="http://purl.oclc.org/ooxml/officeDocument/relationships/image" Target="media/image17.emf"/><Relationship Id="rId58" Type="http://purl.oclc.org/ooxml/officeDocument/relationships/image" Target="media/image22.emf"/><Relationship Id="rId74" Type="http://purl.oclc.org/ooxml/officeDocument/relationships/header" Target="header21.xml"/><Relationship Id="rId79" Type="http://purl.oclc.org/ooxml/officeDocument/relationships/image" Target="media/image31.png"/><Relationship Id="rId102" Type="http://purl.oclc.org/ooxml/officeDocument/relationships/image" Target="media/image48.emf"/><Relationship Id="rId5" Type="http://purl.oclc.org/ooxml/officeDocument/relationships/numbering" Target="numbering.xml"/><Relationship Id="rId90" Type="http://purl.oclc.org/ooxml/officeDocument/relationships/image" Target="media/image42.wmf"/><Relationship Id="rId95" Type="http://purl.oclc.org/ooxml/officeDocument/relationships/image" Target="media/image47.wmf"/><Relationship Id="rId22" Type="http://purl.oclc.org/ooxml/officeDocument/relationships/hyperlink" Target="mailto:atencioncs@rednacional.com" TargetMode="External"/><Relationship Id="rId27" Type="http://purl.oclc.org/ooxml/officeDocument/relationships/image" Target="media/image5.png"/><Relationship Id="rId43" Type="http://purl.oclc.org/ooxml/officeDocument/relationships/header" Target="header9.xml"/><Relationship Id="rId48" Type="http://purl.oclc.org/ooxml/officeDocument/relationships/header" Target="header12.xml"/><Relationship Id="rId64" Type="http://purl.oclc.org/ooxml/officeDocument/relationships/image" Target="media/image28.emf"/><Relationship Id="rId69" Type="http://purl.oclc.org/ooxml/officeDocument/relationships/header" Target="header17.xml"/><Relationship Id="rId113" Type="http://purl.oclc.org/ooxml/officeDocument/relationships/header" Target="header35.xml"/><Relationship Id="rId118" Type="http://purl.oclc.org/ooxml/officeDocument/relationships/theme" Target="theme/theme1.xml"/><Relationship Id="rId80" Type="http://purl.oclc.org/ooxml/officeDocument/relationships/image" Target="media/image32.wmf"/><Relationship Id="rId85" Type="http://purl.oclc.org/ooxml/officeDocument/relationships/image" Target="media/image37.wmf"/><Relationship Id="rId12" Type="http://purl.oclc.org/ooxml/officeDocument/relationships/header" Target="header1.xml"/><Relationship Id="rId17" Type="http://purl.oclc.org/ooxml/officeDocument/relationships/footer" Target="footer3.xml"/><Relationship Id="rId33" Type="http://purl.oclc.org/ooxml/officeDocument/relationships/image" Target="media/image11.png"/><Relationship Id="rId38" Type="http://purl.oclc.org/ooxml/officeDocument/relationships/header" Target="header6.xml"/><Relationship Id="rId59" Type="http://purl.oclc.org/ooxml/officeDocument/relationships/image" Target="media/image23.emf"/><Relationship Id="rId103" Type="http://purl.oclc.org/ooxml/officeDocument/relationships/image" Target="media/image49.png"/><Relationship Id="rId108" Type="http://purl.oclc.org/ooxml/officeDocument/relationships/header" Target="header30.xml"/><Relationship Id="rId54" Type="http://purl.oclc.org/ooxml/officeDocument/relationships/image" Target="media/image18.emf"/><Relationship Id="rId70" Type="http://purl.oclc.org/ooxml/officeDocument/relationships/header" Target="header18.xml"/><Relationship Id="rId75" Type="http://purl.oclc.org/ooxml/officeDocument/relationships/header" Target="header22.xml"/><Relationship Id="rId91" Type="http://purl.oclc.org/ooxml/officeDocument/relationships/image" Target="media/image43.wmf"/><Relationship Id="rId96" Type="http://purl.oclc.org/ooxml/officeDocument/relationships/header" Target="header24.xml"/><Relationship Id="rId1" Type="http://purl.oclc.org/ooxml/officeDocument/relationships/customXml" Target="../customXml/item1.xml"/><Relationship Id="rId6" Type="http://purl.oclc.org/ooxml/officeDocument/relationships/styles" Target="styles.xml"/><Relationship Id="rId23" Type="http://purl.oclc.org/ooxml/officeDocument/relationships/hyperlink" Target="mailto:atencioncs@rednacional.com" TargetMode="External"/><Relationship Id="rId28" Type="http://purl.oclc.org/ooxml/officeDocument/relationships/image" Target="media/image6.emf"/><Relationship Id="rId49" Type="http://purl.oclc.org/ooxml/officeDocument/relationships/image" Target="media/image13.png"/><Relationship Id="rId114" Type="http://purl.oclc.org/ooxml/officeDocument/relationships/footer" Target="footer8.xml"/><Relationship Id="rId10" Type="http://purl.oclc.org/ooxml/officeDocument/relationships/endnotes" Target="endnotes.xml"/><Relationship Id="rId31" Type="http://purl.oclc.org/ooxml/officeDocument/relationships/image" Target="media/image9.png"/><Relationship Id="rId44" Type="http://purl.oclc.org/ooxml/officeDocument/relationships/image" Target="media/image12.emf"/><Relationship Id="rId52" Type="http://purl.oclc.org/ooxml/officeDocument/relationships/image" Target="media/image16.emf"/><Relationship Id="rId60" Type="http://purl.oclc.org/ooxml/officeDocument/relationships/image" Target="media/image24.emf"/><Relationship Id="rId65" Type="http://purl.oclc.org/ooxml/officeDocument/relationships/header" Target="header13.xml"/><Relationship Id="rId73" Type="http://purl.oclc.org/ooxml/officeDocument/relationships/hyperlink" Target="mailto:OREDA@rednacional.com" TargetMode="External"/><Relationship Id="rId78" Type="http://purl.oclc.org/ooxml/officeDocument/relationships/image" Target="media/image30.png"/><Relationship Id="rId81" Type="http://purl.oclc.org/ooxml/officeDocument/relationships/image" Target="media/image33.wmf"/><Relationship Id="rId86" Type="http://purl.oclc.org/ooxml/officeDocument/relationships/image" Target="media/image38.wmf"/><Relationship Id="rId94" Type="http://purl.oclc.org/ooxml/officeDocument/relationships/image" Target="media/image46.wmf"/><Relationship Id="rId99" Type="http://purl.oclc.org/ooxml/officeDocument/relationships/header" Target="header27.xml"/><Relationship Id="rId101" Type="http://purl.oclc.org/ooxml/officeDocument/relationships/header" Target="header28.xml"/><Relationship Id="rId4" Type="http://purl.oclc.org/ooxml/officeDocument/relationships/customXml" Target="../customXml/item4.xml"/><Relationship Id="rId9" Type="http://purl.oclc.org/ooxml/officeDocument/relationships/footnotes" Target="footnotes.xml"/><Relationship Id="rId13" Type="http://purl.oclc.org/ooxml/officeDocument/relationships/header" Target="header2.xml"/><Relationship Id="rId18" Type="http://purl.oclc.org/ooxml/officeDocument/relationships/hyperlink" Target="mailto:CONVENIOSREDNACIONAL@rednacional.com" TargetMode="External"/><Relationship Id="rId39" Type="http://purl.oclc.org/ooxml/officeDocument/relationships/footer" Target="footer5.xml"/><Relationship Id="rId109" Type="http://purl.oclc.org/ooxml/officeDocument/relationships/header" Target="header31.xml"/><Relationship Id="rId34" Type="http://purl.oclc.org/ooxml/officeDocument/relationships/image" Target="cid:image001.png@01D55431.CDF76190" TargetMode="External"/><Relationship Id="rId50" Type="http://purl.oclc.org/ooxml/officeDocument/relationships/image" Target="media/image14.png"/><Relationship Id="rId55" Type="http://purl.oclc.org/ooxml/officeDocument/relationships/image" Target="media/image19.emf"/><Relationship Id="rId76" Type="http://purl.oclc.org/ooxml/officeDocument/relationships/header" Target="header23.xml"/><Relationship Id="rId97" Type="http://purl.oclc.org/ooxml/officeDocument/relationships/header" Target="header25.xml"/><Relationship Id="rId104" Type="http://purl.oclc.org/ooxml/officeDocument/relationships/image" Target="media/image50.emf"/><Relationship Id="rId7" Type="http://purl.oclc.org/ooxml/officeDocument/relationships/settings" Target="settings.xml"/><Relationship Id="rId71" Type="http://purl.oclc.org/ooxml/officeDocument/relationships/header" Target="header19.xml"/><Relationship Id="rId92" Type="http://purl.oclc.org/ooxml/officeDocument/relationships/image" Target="media/image44.wmf"/><Relationship Id="rId2" Type="http://purl.oclc.org/ooxml/officeDocument/relationships/customXml" Target="../customXml/item2.xml"/><Relationship Id="rId29" Type="http://purl.oclc.org/ooxml/officeDocument/relationships/image" Target="media/image7.emf"/><Relationship Id="rId24" Type="http://purl.oclc.org/ooxml/officeDocument/relationships/hyperlink" Target="http://www.rednacional.com/" TargetMode="External"/><Relationship Id="rId40" Type="http://purl.oclc.org/ooxml/officeDocument/relationships/header" Target="header7.xml"/><Relationship Id="rId45" Type="http://purl.oclc.org/ooxml/officeDocument/relationships/header" Target="header10.xml"/><Relationship Id="rId66" Type="http://purl.oclc.org/ooxml/officeDocument/relationships/header" Target="header14.xml"/><Relationship Id="rId87" Type="http://purl.oclc.org/ooxml/officeDocument/relationships/image" Target="media/image39.wmf"/><Relationship Id="rId110" Type="http://purl.oclc.org/ooxml/officeDocument/relationships/header" Target="header32.xml"/><Relationship Id="rId115" Type="http://purl.oclc.org/ooxml/officeDocument/relationships/footer" Target="footer9.xml"/><Relationship Id="rId61" Type="http://purl.oclc.org/ooxml/officeDocument/relationships/image" Target="media/image25.emf"/><Relationship Id="rId82" Type="http://purl.oclc.org/ooxml/officeDocument/relationships/image" Target="media/image34.wmf"/><Relationship Id="rId19" Type="http://purl.oclc.org/ooxml/officeDocument/relationships/hyperlink" Target="mailto:OREDA@rednacional.com" TargetMode="External"/><Relationship Id="rId14" Type="http://purl.oclc.org/ooxml/officeDocument/relationships/footer" Target="footer1.xml"/><Relationship Id="rId30" Type="http://purl.oclc.org/ooxml/officeDocument/relationships/image" Target="media/image8.png"/><Relationship Id="rId35" Type="http://purl.oclc.org/ooxml/officeDocument/relationships/header" Target="header4.xml"/><Relationship Id="rId56" Type="http://purl.oclc.org/ooxml/officeDocument/relationships/image" Target="media/image20.emf"/><Relationship Id="rId77" Type="http://purl.oclc.org/ooxml/officeDocument/relationships/image" Target="media/image29.png"/><Relationship Id="rId100" Type="http://purl.oclc.org/ooxml/officeDocument/relationships/footer" Target="footer7.xml"/><Relationship Id="rId105" Type="http://purl.oclc.org/ooxml/officeDocument/relationships/image" Target="media/image51.emf"/><Relationship Id="rId8" Type="http://purl.oclc.org/ooxml/officeDocument/relationships/webSettings" Target="webSettings.xml"/><Relationship Id="rId51" Type="http://purl.oclc.org/ooxml/officeDocument/relationships/image" Target="media/image15.png"/><Relationship Id="rId72" Type="http://purl.oclc.org/ooxml/officeDocument/relationships/header" Target="header20.xml"/><Relationship Id="rId93" Type="http://purl.oclc.org/ooxml/officeDocument/relationships/image" Target="media/image45.wmf"/><Relationship Id="rId98" Type="http://purl.oclc.org/ooxml/officeDocument/relationships/header" Target="header26.xml"/><Relationship Id="rId3" Type="http://purl.oclc.org/ooxml/officeDocument/relationships/customXml" Target="../customXml/item3.xml"/><Relationship Id="rId25" Type="http://purl.oclc.org/ooxml/officeDocument/relationships/image" Target="media/image3.png"/><Relationship Id="rId46" Type="http://purl.oclc.org/ooxml/officeDocument/relationships/hyperlink" Target="mailto:OREDA@rednacional.com%20u%20OREDA@." TargetMode="External"/><Relationship Id="rId67" Type="http://purl.oclc.org/ooxml/officeDocument/relationships/header" Target="header15.xml"/><Relationship Id="rId116" Type="http://purl.oclc.org/ooxml/officeDocument/relationships/header" Target="header36.xml"/><Relationship Id="rId20" Type="http://purl.oclc.org/ooxml/officeDocument/relationships/hyperlink" Target="mailto:OREDA@rednacional.com" TargetMode="External"/><Relationship Id="rId41" Type="http://purl.oclc.org/ooxml/officeDocument/relationships/footer" Target="footer6.xml"/><Relationship Id="rId62" Type="http://purl.oclc.org/ooxml/officeDocument/relationships/image" Target="media/image26.emf"/><Relationship Id="rId83" Type="http://purl.oclc.org/ooxml/officeDocument/relationships/image" Target="media/image35.wmf"/><Relationship Id="rId88" Type="http://purl.oclc.org/ooxml/officeDocument/relationships/image" Target="media/image40.wmf"/><Relationship Id="rId111" Type="http://purl.oclc.org/ooxml/officeDocument/relationships/header" Target="header33.xml"/><Relationship Id="rId15" Type="http://purl.oclc.org/ooxml/officeDocument/relationships/footer" Target="footer2.xml"/><Relationship Id="rId36" Type="http://purl.oclc.org/ooxml/officeDocument/relationships/header" Target="header5.xml"/><Relationship Id="rId57" Type="http://purl.oclc.org/ooxml/officeDocument/relationships/image" Target="media/image21.emf"/><Relationship Id="rId106" Type="http://purl.oclc.org/ooxml/officeDocument/relationships/image" Target="media/image52.png"/></Relationships>
</file>

<file path=word/_rels/footer2.xml.rels><?xml version="1.0" encoding="UTF-8" standalone="yes"?>
<Relationships xmlns="http://schemas.openxmlformats.org/package/2006/relationships"><Relationship Id="rId1" Type="http://purl.oclc.org/ooxml/officeDocument/relationships/image" Target="media/image2.png"/></Relationships>
</file>

<file path=word/_rels/footer3.xml.rels><?xml version="1.0" encoding="UTF-8" standalone="yes"?>
<Relationships xmlns="http://schemas.openxmlformats.org/package/2006/relationships"><Relationship Id="rId1" Type="http://purl.oclc.org/ooxml/officeDocument/relationships/image" Target="media/image2.png"/></Relationships>
</file>

<file path=word/_rels/footer4.xml.rels><?xml version="1.0" encoding="UTF-8" standalone="yes"?>
<Relationships xmlns="http://schemas.openxmlformats.org/package/2006/relationships"><Relationship Id="rId1" Type="http://purl.oclc.org/ooxml/officeDocument/relationships/image" Target="media/image2.png"/></Relationships>
</file>

<file path=word/_rels/footer5.xml.rels><?xml version="1.0" encoding="UTF-8" standalone="yes"?>
<Relationships xmlns="http://schemas.openxmlformats.org/package/2006/relationships"><Relationship Id="rId1" Type="http://purl.oclc.org/ooxml/officeDocument/relationships/image" Target="media/image2.png"/></Relationships>
</file>

<file path=word/_rels/footer6.xml.rels><?xml version="1.0" encoding="UTF-8" standalone="yes"?>
<Relationships xmlns="http://schemas.openxmlformats.org/package/2006/relationships"><Relationship Id="rId1" Type="http://purl.oclc.org/ooxml/officeDocument/relationships/image" Target="media/image2.png"/></Relationships>
</file>

<file path=word/_rels/footer9.xml.rels><?xml version="1.0" encoding="UTF-8" standalone="yes"?>
<Relationships xmlns="http://schemas.openxmlformats.org/package/2006/relationships"><Relationship Id="rId1" Type="http://purl.oclc.org/ooxml/officeDocument/relationships/image" Target="media/image2.png"/></Relationships>
</file>

<file path=word/_rels/footnotes.xml.rels><?xml version="1.0" encoding="UTF-8" standalone="yes"?>
<Relationships xmlns="http://schemas.openxmlformats.org/package/2006/relationships"><Relationship Id="rId1" Type="http://purl.oclc.org/ooxml/officeDocument/relationships/hyperlink" Target="https://www.diputados.gob.mx/LeyesBiblio/pdf/LFPDPPP.pdf" TargetMode="External"/></Relationships>
</file>

<file path=word/theme/theme1.xml><?xml version="1.0" encoding="utf-8"?>
<a:theme xmlns:a="http://purl.oclc.org/ooxml/drawingml/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
                <a:satMod val="105%"/>
                <a:tint val="67%"/>
              </a:schemeClr>
            </a:gs>
            <a:gs pos="50%">
              <a:schemeClr val="phClr">
                <a:lumMod val="105%"/>
                <a:satMod val="103%"/>
                <a:tint val="73%"/>
              </a:schemeClr>
            </a:gs>
            <a:gs pos="100%">
              <a:schemeClr val="phClr">
                <a:lumMod val="105%"/>
                <a:satMod val="109%"/>
                <a:tint val="81%"/>
              </a:schemeClr>
            </a:gs>
          </a:gsLst>
          <a:lin ang="5400000" scaled="0"/>
        </a:gradFill>
        <a:gradFill rotWithShape="1">
          <a:gsLst>
            <a:gs pos="0%">
              <a:schemeClr val="phClr">
                <a:satMod val="103%"/>
                <a:lumMod val="102%"/>
                <a:tint val="94%"/>
              </a:schemeClr>
            </a:gs>
            <a:gs pos="50%">
              <a:schemeClr val="phClr">
                <a:satMod val="110%"/>
                <a:lumMod val="100%"/>
                <a:shade val="100%"/>
              </a:schemeClr>
            </a:gs>
            <a:gs pos="100%">
              <a:schemeClr val="phClr">
                <a:lumMod val="99%"/>
                <a:satMod val="120%"/>
                <a:shade val="78%"/>
              </a:schemeClr>
            </a:gs>
          </a:gsLst>
          <a:lin ang="5400000" scaled="0"/>
        </a:gradFill>
      </a:fillStyleLst>
      <a:lnStyleLst>
        <a:ln w="6350">
          <a:solidFill>
            <a:schemeClr val="phClr"/>
          </a:solidFill>
          <a:prstDash val="solid"/>
          <a:miter lim="800%"/>
        </a:ln>
        <a:ln w="12700">
          <a:solidFill>
            <a:schemeClr val="phClr"/>
          </a:solidFill>
          <a:prstDash val="solid"/>
          <a:miter lim="800%"/>
        </a:ln>
        <a:ln w="19050">
          <a:solidFill>
            <a:schemeClr val="phClr"/>
          </a:solidFill>
          <a:prstDash val="solid"/>
          <a:miter lim="800%"/>
        </a:ln>
      </a:lnStyleLst>
      <a:effectStyleLst>
        <a:effectStyle>
          <a:effectLst/>
        </a:effectStyle>
        <a:effectStyle>
          <a:effectLst/>
        </a:effectStyle>
        <a:effectStyle>
          <a:effectLst>
            <a:outerShdw blurRad="57150" dist="19050" dir="5400000" algn="ctr" rotWithShape="0">
              <a:srgbClr val="000000">
                <a:alpha val="63%"/>
              </a:srgbClr>
            </a:outerShdw>
          </a:effectLst>
        </a:effectStyle>
      </a:effectStyleLst>
      <a:bgFillStyleLst>
        <a:solidFill>
          <a:schemeClr val="phClr"/>
        </a:solidFill>
        <a:solidFill>
          <a:schemeClr val="phClr">
            <a:tint val="95%"/>
            <a:satMod val="170%"/>
          </a:schemeClr>
        </a:solidFill>
        <a:gradFill rotWithShape="1">
          <a:gsLst>
            <a:gs pos="0%">
              <a:schemeClr val="phClr">
                <a:tint val="93%"/>
                <a:satMod val="150%"/>
                <a:shade val="98%"/>
                <a:lumMod val="102%"/>
              </a:schemeClr>
            </a:gs>
            <a:gs pos="50%">
              <a:schemeClr val="phClr">
                <a:tint val="98%"/>
                <a:satMod val="130%"/>
                <a:shade val="90%"/>
                <a:lumMod val="103%"/>
              </a:schemeClr>
            </a:gs>
            <a:gs pos="100%">
              <a:schemeClr val="phClr">
                <a:shade val="63%"/>
                <a:satMod val="12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purl.oclc.org/ooxml/officeDocument/relationships/customXmlProps" Target="itemProps1.xml"/></Relationships>
</file>

<file path=customXml/_rels/item2.xml.rels><?xml version="1.0" encoding="UTF-8" standalone="yes"?>
<Relationships xmlns="http://schemas.openxmlformats.org/package/2006/relationships"><Relationship Id="rId1" Type="http://purl.oclc.org/ooxml/officeDocument/relationships/customXmlProps" Target="itemProps2.xml"/></Relationships>
</file>

<file path=customXml/_rels/item3.xml.rels><?xml version="1.0" encoding="UTF-8" standalone="yes"?>
<Relationships xmlns="http://schemas.openxmlformats.org/package/2006/relationships"><Relationship Id="rId1" Type="http://purl.oclc.org/ooxml/officeDocument/relationships/customXmlProps" Target="itemProps3.xml"/></Relationships>
</file>

<file path=customXml/_rels/item4.xml.rels><?xml version="1.0" encoding="UTF-8" standalone="yes"?>
<Relationships xmlns="http://schemas.openxmlformats.org/package/2006/relationships"><Relationship Id="rId1" Type="http://purl.oclc.org/ooxml/officeDocument/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245FEEA6140880489C516235AB038833" ma:contentTypeVersion="13" ma:contentTypeDescription="Crear nuevo documento." ma:contentTypeScope="" ma:versionID="170dd5ef1193758417ab7848b7557b8c">
  <xsd:schema xmlns:xsd="http://www.w3.org/2001/XMLSchema" xmlns:xs="http://www.w3.org/2001/XMLSchema" xmlns:p="http://schemas.microsoft.com/office/2006/metadata/properties" xmlns:ns3="6005e8bd-ecc5-43dc-a8d6-ed00affee109" xmlns:ns4="350082b0-46dd-413e-95b1-6af48a36f7aa" targetNamespace="http://schemas.microsoft.com/office/2006/metadata/properties" ma:root="true" ma:fieldsID="e8f79446aa159be83add894c886a6ea2" ns3:_="" ns4:_="">
    <xsd:import namespace="6005e8bd-ecc5-43dc-a8d6-ed00affee109"/>
    <xsd:import namespace="350082b0-46dd-413e-95b1-6af48a36f7aa"/>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DateTaken" minOccurs="0"/>
                <xsd:element ref="ns4:SharedWithUsers" minOccurs="0"/>
                <xsd:element ref="ns4:SharedWithDetails" minOccurs="0"/>
                <xsd:element ref="ns4:SharingHintHash"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05e8bd-ecc5-43dc-a8d6-ed00affee10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50082b0-46dd-413e-95b1-6af48a36f7aa"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SharingHintHash" ma:index="19" nillable="true" ma:displayName="Hash de la sugerencia para comparti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purl.oclc.org/ooxml/officeDocument/customXml" ds:itemID="{8E997EED-D24C-4BCC-8DE8-E5DF68EE6D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05e8bd-ecc5-43dc-a8d6-ed00affee109"/>
    <ds:schemaRef ds:uri="350082b0-46dd-413e-95b1-6af48a36f7a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purl.oclc.org/ooxml/officeDocument/customXml" ds:itemID="{1D00F140-345E-4263-A44C-E41435A875D0}">
  <ds:schemaRefs>
    <ds:schemaRef ds:uri="http://schemas.microsoft.com/office/2006/metadata/properties"/>
    <ds:schemaRef ds:uri="http://schemas.microsoft.com/office/infopath/2007/PartnerControls"/>
  </ds:schemaRefs>
</ds:datastoreItem>
</file>

<file path=customXml/itemProps3.xml><?xml version="1.0" encoding="utf-8"?>
<ds:datastoreItem xmlns:ds="http://purl.oclc.org/ooxml/officeDocument/customXml" ds:itemID="{67F2727A-A055-4E74-9AD6-33C4354A07D9}">
  <ds:schemaRefs>
    <ds:schemaRef ds:uri="http://schemas.microsoft.com/sharepoint/v3/contenttype/forms"/>
  </ds:schemaRefs>
</ds:datastoreItem>
</file>

<file path=customXml/itemProps4.xml><?xml version="1.0" encoding="utf-8"?>
<ds:datastoreItem xmlns:ds="http://purl.oclc.org/ooxml/officeDocument/customXml" ds:itemID="{23966EE9-AD27-454E-B9F6-EF2C8396957F}">
  <ds:schemaRefs>
    <ds:schemaRef ds:uri="http://schemas.openxmlformats.org/officeDocument/2006/bibliography"/>
  </ds:schemaRefs>
</ds:datastoreItem>
</file>

<file path=docProps/app.xml><?xml version="1.0" encoding="utf-8"?>
<Properties xmlns="http://purl.oclc.org/ooxml/officeDocument/extendedProperties" xmlns:vt="http://purl.oclc.org/ooxml/officeDocument/docPropsVTypes">
  <Template>Normal</Template>
  <TotalTime>0</TotalTime>
  <Pages>335</Pages>
  <Words>82069</Words>
  <Characters>451384</Characters>
  <Application>Microsoft Office Word</Application>
  <DocSecurity>0</DocSecurity>
  <Lines>3761</Lines>
  <Paragraphs>1064</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532389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2025-06-27T23:34:00Z</dcterms:created>
  <dcterms:modified xsi:type="dcterms:W3CDTF">2025-06-27T23:34:00Z</dcterms:modified>
</cp:coreProperties>
</file>

<file path=docProps/custom.xml><?xml version="1.0" encoding="utf-8"?>
<Properties xmlns="http://purl.oclc.org/ooxml/officeDocument/customProperties" xmlns:vt="http://purl.oclc.org/ooxml/officeDocument/docPropsVTypes">
  <property fmtid="{D5CDD505-2E9C-101B-9397-08002B2CF9AE}" pid="2" name="ContentTypeId">
    <vt:lpwstr>0x010100245FEEA6140880489C516235AB038833</vt:lpwstr>
  </property>
</Properties>
</file>