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BBBBE" w14:textId="79554D0B" w:rsidR="00682E20" w:rsidRPr="006B160F" w:rsidRDefault="00682E20" w:rsidP="00682E20">
      <w:pPr>
        <w:spacing w:before="79" w:line="276" w:lineRule="auto"/>
        <w:ind w:left="810" w:right="818"/>
        <w:jc w:val="both"/>
        <w:rPr>
          <w:b/>
          <w:lang w:val="es-MX"/>
        </w:rPr>
      </w:pPr>
      <w:r w:rsidRPr="006B160F">
        <w:rPr>
          <w:b/>
          <w:lang w:val="es-MX"/>
        </w:rPr>
        <w:t>RESPUESTAS</w:t>
      </w:r>
      <w:r w:rsidRPr="006B160F">
        <w:rPr>
          <w:b/>
          <w:spacing w:val="1"/>
          <w:lang w:val="es-MX"/>
        </w:rPr>
        <w:t xml:space="preserve"> </w:t>
      </w:r>
      <w:r w:rsidRPr="006B160F">
        <w:rPr>
          <w:b/>
          <w:lang w:val="es-MX"/>
        </w:rPr>
        <w:t>GENERALES</w:t>
      </w:r>
      <w:r w:rsidRPr="006B160F">
        <w:rPr>
          <w:b/>
          <w:spacing w:val="1"/>
          <w:lang w:val="es-MX"/>
        </w:rPr>
        <w:t xml:space="preserve"> </w:t>
      </w:r>
      <w:r w:rsidRPr="006B160F">
        <w:rPr>
          <w:b/>
          <w:lang w:val="es-MX"/>
        </w:rPr>
        <w:t>QUE</w:t>
      </w:r>
      <w:r w:rsidRPr="006B160F">
        <w:rPr>
          <w:b/>
          <w:spacing w:val="1"/>
          <w:lang w:val="es-MX"/>
        </w:rPr>
        <w:t xml:space="preserve"> </w:t>
      </w:r>
      <w:r w:rsidRPr="006B160F">
        <w:rPr>
          <w:b/>
          <w:lang w:val="es-MX"/>
        </w:rPr>
        <w:t>BRINDA</w:t>
      </w:r>
      <w:r w:rsidRPr="006B160F">
        <w:rPr>
          <w:b/>
          <w:spacing w:val="1"/>
          <w:lang w:val="es-MX"/>
        </w:rPr>
        <w:t xml:space="preserve"> </w:t>
      </w:r>
      <w:r w:rsidRPr="006B160F">
        <w:rPr>
          <w:b/>
          <w:lang w:val="es-MX"/>
        </w:rPr>
        <w:t>EL</w:t>
      </w:r>
      <w:r w:rsidRPr="006B160F">
        <w:rPr>
          <w:b/>
          <w:spacing w:val="1"/>
          <w:lang w:val="es-MX"/>
        </w:rPr>
        <w:t xml:space="preserve"> </w:t>
      </w:r>
      <w:r w:rsidRPr="006B160F">
        <w:rPr>
          <w:b/>
          <w:lang w:val="es-MX"/>
        </w:rPr>
        <w:t>INSTITUTO</w:t>
      </w:r>
      <w:r w:rsidRPr="006B160F">
        <w:rPr>
          <w:b/>
          <w:spacing w:val="1"/>
          <w:lang w:val="es-MX"/>
        </w:rPr>
        <w:t xml:space="preserve"> </w:t>
      </w:r>
      <w:r w:rsidRPr="006B160F">
        <w:rPr>
          <w:b/>
          <w:lang w:val="es-MX"/>
        </w:rPr>
        <w:t>FEDERAL</w:t>
      </w:r>
      <w:r w:rsidRPr="006B160F">
        <w:rPr>
          <w:b/>
          <w:spacing w:val="1"/>
          <w:lang w:val="es-MX"/>
        </w:rPr>
        <w:t xml:space="preserve"> </w:t>
      </w:r>
      <w:r w:rsidRPr="006B160F">
        <w:rPr>
          <w:b/>
          <w:lang w:val="es-MX"/>
        </w:rPr>
        <w:t>DE</w:t>
      </w:r>
      <w:r w:rsidRPr="006B160F">
        <w:rPr>
          <w:b/>
          <w:spacing w:val="-59"/>
          <w:lang w:val="es-MX"/>
        </w:rPr>
        <w:t xml:space="preserve"> </w:t>
      </w:r>
      <w:r w:rsidRPr="006B160F">
        <w:rPr>
          <w:b/>
          <w:lang w:val="es-MX"/>
        </w:rPr>
        <w:t>TELECOMUNICACIONES A LAS MANIFESTACIONES, OPINIONES, COMENTARIOS</w:t>
      </w:r>
      <w:r w:rsidRPr="006B160F">
        <w:rPr>
          <w:b/>
          <w:spacing w:val="1"/>
          <w:lang w:val="es-MX"/>
        </w:rPr>
        <w:t xml:space="preserve"> </w:t>
      </w:r>
      <w:r w:rsidRPr="006B160F">
        <w:rPr>
          <w:b/>
          <w:lang w:val="es-MX"/>
        </w:rPr>
        <w:t>Y</w:t>
      </w:r>
      <w:r w:rsidRPr="006B160F">
        <w:rPr>
          <w:b/>
          <w:spacing w:val="-11"/>
          <w:lang w:val="es-MX"/>
        </w:rPr>
        <w:t xml:space="preserve"> </w:t>
      </w:r>
      <w:r w:rsidRPr="006B160F">
        <w:rPr>
          <w:b/>
          <w:lang w:val="es-MX"/>
        </w:rPr>
        <w:t>PROPUESTAS</w:t>
      </w:r>
      <w:r w:rsidRPr="006B160F">
        <w:rPr>
          <w:b/>
          <w:spacing w:val="-8"/>
          <w:lang w:val="es-MX"/>
        </w:rPr>
        <w:t xml:space="preserve"> </w:t>
      </w:r>
      <w:r w:rsidRPr="006B160F">
        <w:rPr>
          <w:b/>
          <w:lang w:val="es-MX"/>
        </w:rPr>
        <w:t>CONCRETAS,</w:t>
      </w:r>
      <w:r w:rsidRPr="006B160F">
        <w:rPr>
          <w:b/>
          <w:spacing w:val="-10"/>
          <w:lang w:val="es-MX"/>
        </w:rPr>
        <w:t xml:space="preserve"> </w:t>
      </w:r>
      <w:r w:rsidRPr="006B160F">
        <w:rPr>
          <w:b/>
          <w:lang w:val="es-MX"/>
        </w:rPr>
        <w:t>PRESENTADAS</w:t>
      </w:r>
      <w:r w:rsidRPr="006B160F">
        <w:rPr>
          <w:b/>
          <w:spacing w:val="-11"/>
          <w:lang w:val="es-MX"/>
        </w:rPr>
        <w:t xml:space="preserve"> </w:t>
      </w:r>
      <w:r w:rsidRPr="006B160F">
        <w:rPr>
          <w:b/>
          <w:lang w:val="es-MX"/>
        </w:rPr>
        <w:t>DURANTE</w:t>
      </w:r>
      <w:r w:rsidRPr="006B160F">
        <w:rPr>
          <w:b/>
          <w:spacing w:val="-10"/>
          <w:lang w:val="es-MX"/>
        </w:rPr>
        <w:t xml:space="preserve"> </w:t>
      </w:r>
      <w:r w:rsidRPr="006B160F">
        <w:rPr>
          <w:b/>
          <w:lang w:val="es-MX"/>
        </w:rPr>
        <w:t>LA</w:t>
      </w:r>
      <w:r w:rsidRPr="006B160F">
        <w:rPr>
          <w:b/>
          <w:spacing w:val="-12"/>
          <w:lang w:val="es-MX"/>
        </w:rPr>
        <w:t xml:space="preserve"> </w:t>
      </w:r>
      <w:r w:rsidRPr="006B160F">
        <w:rPr>
          <w:b/>
          <w:lang w:val="es-MX"/>
        </w:rPr>
        <w:t>CONSULTA</w:t>
      </w:r>
      <w:r w:rsidRPr="006B160F">
        <w:rPr>
          <w:b/>
          <w:spacing w:val="-8"/>
          <w:lang w:val="es-MX"/>
        </w:rPr>
        <w:t xml:space="preserve"> </w:t>
      </w:r>
      <w:r w:rsidRPr="006B160F">
        <w:rPr>
          <w:b/>
          <w:lang w:val="es-MX"/>
        </w:rPr>
        <w:t>PÚBLICA</w:t>
      </w:r>
    </w:p>
    <w:p w14:paraId="5A0E648E" w14:textId="77777777" w:rsidR="00682E20" w:rsidRPr="006B160F" w:rsidRDefault="00682E20" w:rsidP="00682E20">
      <w:pPr>
        <w:spacing w:line="276" w:lineRule="auto"/>
        <w:ind w:left="810" w:right="818"/>
        <w:jc w:val="both"/>
        <w:rPr>
          <w:b/>
          <w:lang w:val="es-MX"/>
        </w:rPr>
      </w:pPr>
      <w:r w:rsidRPr="006B160F">
        <w:rPr>
          <w:b/>
          <w:lang w:val="es-MX"/>
        </w:rPr>
        <w:t xml:space="preserve">SOBRE </w:t>
      </w:r>
      <w:r w:rsidR="008F5678">
        <w:rPr>
          <w:b/>
          <w:lang w:val="es-MX"/>
        </w:rPr>
        <w:t xml:space="preserve">EL </w:t>
      </w:r>
      <w:r w:rsidRPr="006B160F">
        <w:rPr>
          <w:b/>
          <w:lang w:val="es-MX"/>
        </w:rPr>
        <w:t>“</w:t>
      </w:r>
      <w:r w:rsidR="008F5678" w:rsidRPr="008F5678">
        <w:rPr>
          <w:b/>
          <w:lang w:val="es-MX"/>
        </w:rPr>
        <w:t>MODELO DE COSTOS EVITADOS PARA EL SERVICIO MAYORISTA DE REVENTA DEL SERVICIO DE TELEVISIÓN Y AUDIO RESTRINGIDOS PROVISTO POR MEGACABLE</w:t>
      </w:r>
      <w:r w:rsidRPr="006B160F">
        <w:rPr>
          <w:b/>
          <w:lang w:val="es-MX"/>
        </w:rPr>
        <w:t>”</w:t>
      </w:r>
    </w:p>
    <w:p w14:paraId="75347114" w14:textId="77777777" w:rsidR="00682E20" w:rsidRPr="006B160F" w:rsidRDefault="00682E20" w:rsidP="00682E20">
      <w:pPr>
        <w:spacing w:before="201"/>
        <w:ind w:left="810"/>
        <w:rPr>
          <w:b/>
          <w:lang w:val="es-MX"/>
        </w:rPr>
      </w:pPr>
      <w:r w:rsidRPr="006B160F">
        <w:rPr>
          <w:b/>
          <w:lang w:val="es-MX"/>
        </w:rPr>
        <w:t>Fecha de</w:t>
      </w:r>
      <w:r w:rsidRPr="006B160F">
        <w:rPr>
          <w:b/>
          <w:spacing w:val="-5"/>
          <w:lang w:val="es-MX"/>
        </w:rPr>
        <w:t xml:space="preserve"> </w:t>
      </w:r>
      <w:r w:rsidRPr="006B160F">
        <w:rPr>
          <w:b/>
          <w:lang w:val="es-MX"/>
        </w:rPr>
        <w:t>elaboración:</w:t>
      </w:r>
    </w:p>
    <w:p w14:paraId="77E2EFC4" w14:textId="77777777" w:rsidR="00682E20" w:rsidRPr="006B160F" w:rsidRDefault="00682E20" w:rsidP="00682E20">
      <w:pPr>
        <w:pStyle w:val="Textoindependiente"/>
        <w:spacing w:before="7"/>
        <w:rPr>
          <w:b/>
          <w:sz w:val="20"/>
          <w:lang w:val="es-MX"/>
        </w:rPr>
      </w:pPr>
    </w:p>
    <w:p w14:paraId="58153ACC" w14:textId="6E830583" w:rsidR="00682E20" w:rsidRPr="006B160F" w:rsidRDefault="00E56BC2" w:rsidP="00682E20">
      <w:pPr>
        <w:pStyle w:val="Textoindependiente"/>
        <w:ind w:left="810"/>
        <w:rPr>
          <w:lang w:val="es-MX"/>
        </w:rPr>
      </w:pPr>
      <w:r w:rsidRPr="00E56BC2">
        <w:rPr>
          <w:lang w:val="es-MX"/>
        </w:rPr>
        <w:t xml:space="preserve">07 </w:t>
      </w:r>
      <w:r w:rsidR="00682E20" w:rsidRPr="00E56BC2">
        <w:rPr>
          <w:lang w:val="es-MX"/>
        </w:rPr>
        <w:t xml:space="preserve">de </w:t>
      </w:r>
      <w:r w:rsidRPr="00E56BC2">
        <w:rPr>
          <w:lang w:val="es-MX"/>
        </w:rPr>
        <w:t xml:space="preserve">febrero </w:t>
      </w:r>
      <w:r w:rsidR="00682E20" w:rsidRPr="00E56BC2">
        <w:rPr>
          <w:lang w:val="es-MX"/>
        </w:rPr>
        <w:t>de 202</w:t>
      </w:r>
      <w:r w:rsidR="00761362" w:rsidRPr="00E56BC2">
        <w:rPr>
          <w:lang w:val="es-MX"/>
        </w:rPr>
        <w:t>5</w:t>
      </w:r>
    </w:p>
    <w:p w14:paraId="417D830B" w14:textId="77777777" w:rsidR="00682E20" w:rsidRPr="006B160F" w:rsidRDefault="00682E20" w:rsidP="00682E20">
      <w:pPr>
        <w:pStyle w:val="Textoindependiente"/>
        <w:spacing w:before="7"/>
        <w:rPr>
          <w:sz w:val="20"/>
          <w:lang w:val="es-MX"/>
        </w:rPr>
      </w:pPr>
    </w:p>
    <w:p w14:paraId="07191C29" w14:textId="77777777" w:rsidR="00682E20" w:rsidRPr="006B160F" w:rsidRDefault="00682E20" w:rsidP="00682E20">
      <w:pPr>
        <w:pStyle w:val="Ttulo1"/>
        <w:rPr>
          <w:lang w:val="es-MX"/>
        </w:rPr>
      </w:pPr>
      <w:r w:rsidRPr="006B160F">
        <w:rPr>
          <w:lang w:val="es-MX"/>
        </w:rPr>
        <w:t>Título</w:t>
      </w:r>
      <w:r w:rsidRPr="006B160F">
        <w:rPr>
          <w:spacing w:val="-4"/>
          <w:lang w:val="es-MX"/>
        </w:rPr>
        <w:t xml:space="preserve"> </w:t>
      </w:r>
      <w:r w:rsidRPr="006B160F">
        <w:rPr>
          <w:lang w:val="es-MX"/>
        </w:rPr>
        <w:t>o</w:t>
      </w:r>
      <w:r w:rsidRPr="006B160F">
        <w:rPr>
          <w:spacing w:val="-1"/>
          <w:lang w:val="es-MX"/>
        </w:rPr>
        <w:t xml:space="preserve"> </w:t>
      </w:r>
      <w:r w:rsidRPr="006B160F">
        <w:rPr>
          <w:lang w:val="es-MX"/>
        </w:rPr>
        <w:t>denominación</w:t>
      </w:r>
      <w:r w:rsidRPr="006B160F">
        <w:rPr>
          <w:spacing w:val="-2"/>
          <w:lang w:val="es-MX"/>
        </w:rPr>
        <w:t xml:space="preserve"> </w:t>
      </w:r>
      <w:r w:rsidRPr="006B160F">
        <w:rPr>
          <w:lang w:val="es-MX"/>
        </w:rPr>
        <w:t>de la</w:t>
      </w:r>
      <w:r w:rsidRPr="006B160F">
        <w:rPr>
          <w:spacing w:val="-5"/>
          <w:lang w:val="es-MX"/>
        </w:rPr>
        <w:t xml:space="preserve"> </w:t>
      </w:r>
      <w:r>
        <w:rPr>
          <w:lang w:val="es-MX"/>
        </w:rPr>
        <w:t>C</w:t>
      </w:r>
      <w:r w:rsidRPr="006B160F">
        <w:rPr>
          <w:lang w:val="es-MX"/>
        </w:rPr>
        <w:t xml:space="preserve">onsulta </w:t>
      </w:r>
      <w:r>
        <w:rPr>
          <w:lang w:val="es-MX"/>
        </w:rPr>
        <w:t>P</w:t>
      </w:r>
      <w:r w:rsidRPr="006B160F">
        <w:rPr>
          <w:lang w:val="es-MX"/>
        </w:rPr>
        <w:t>ública:</w:t>
      </w:r>
    </w:p>
    <w:p w14:paraId="6959F83B" w14:textId="77777777" w:rsidR="00682E20" w:rsidRPr="006B160F" w:rsidRDefault="00682E20" w:rsidP="00682E20">
      <w:pPr>
        <w:pStyle w:val="Textoindependiente"/>
        <w:spacing w:before="7"/>
        <w:rPr>
          <w:b/>
          <w:sz w:val="20"/>
          <w:lang w:val="es-MX"/>
        </w:rPr>
      </w:pPr>
    </w:p>
    <w:p w14:paraId="3B94D723" w14:textId="77777777" w:rsidR="00682E20" w:rsidRPr="006B160F" w:rsidRDefault="00A86927" w:rsidP="00682E20">
      <w:pPr>
        <w:pStyle w:val="Textoindependiente"/>
        <w:spacing w:line="276" w:lineRule="auto"/>
        <w:ind w:left="810" w:right="816"/>
        <w:jc w:val="both"/>
        <w:rPr>
          <w:lang w:val="es-MX"/>
        </w:rPr>
      </w:pPr>
      <w:r>
        <w:rPr>
          <w:lang w:val="es-MX"/>
        </w:rPr>
        <w:t>“</w:t>
      </w:r>
      <w:r w:rsidR="008F5678" w:rsidRPr="008F5678">
        <w:rPr>
          <w:lang w:val="es-MX"/>
        </w:rPr>
        <w:t>Consulta Pública sobre el Modelo de Costos Evitados para el Servicio Mayorista de Reventa del Servicio de Televisión y Audio Restringidos provisto por Megacable</w:t>
      </w:r>
      <w:r w:rsidR="00682E20" w:rsidRPr="006B160F">
        <w:rPr>
          <w:lang w:val="es-MX"/>
        </w:rPr>
        <w:t>”</w:t>
      </w:r>
      <w:r w:rsidR="00682E20" w:rsidRPr="006B160F">
        <w:rPr>
          <w:spacing w:val="-59"/>
          <w:lang w:val="es-MX"/>
        </w:rPr>
        <w:t xml:space="preserve"> </w:t>
      </w:r>
      <w:r w:rsidR="00682E20" w:rsidRPr="006B160F">
        <w:rPr>
          <w:lang w:val="es-MX"/>
        </w:rPr>
        <w:t>(en lo</w:t>
      </w:r>
      <w:r w:rsidR="00682E20" w:rsidRPr="006B160F">
        <w:rPr>
          <w:spacing w:val="1"/>
          <w:lang w:val="es-MX"/>
        </w:rPr>
        <w:t xml:space="preserve"> </w:t>
      </w:r>
      <w:r w:rsidR="00682E20" w:rsidRPr="006B160F">
        <w:rPr>
          <w:lang w:val="es-MX"/>
        </w:rPr>
        <w:t>sucesivo,</w:t>
      </w:r>
      <w:r w:rsidR="00682E20" w:rsidRPr="006B160F">
        <w:rPr>
          <w:spacing w:val="-3"/>
          <w:lang w:val="es-MX"/>
        </w:rPr>
        <w:t xml:space="preserve"> </w:t>
      </w:r>
      <w:r w:rsidR="00682E20" w:rsidRPr="006B160F">
        <w:rPr>
          <w:lang w:val="es-MX"/>
        </w:rPr>
        <w:t>la</w:t>
      </w:r>
      <w:r w:rsidR="00682E20" w:rsidRPr="006B160F">
        <w:rPr>
          <w:spacing w:val="1"/>
          <w:lang w:val="es-MX"/>
        </w:rPr>
        <w:t xml:space="preserve"> </w:t>
      </w:r>
      <w:r w:rsidR="00682E20" w:rsidRPr="006B160F">
        <w:rPr>
          <w:lang w:val="es-MX"/>
        </w:rPr>
        <w:t>“</w:t>
      </w:r>
      <w:r w:rsidR="00682E20">
        <w:rPr>
          <w:lang w:val="es-MX"/>
        </w:rPr>
        <w:t>Consulta Pública</w:t>
      </w:r>
      <w:r w:rsidR="00682E20" w:rsidRPr="006B160F">
        <w:rPr>
          <w:lang w:val="es-MX"/>
        </w:rPr>
        <w:t>”).</w:t>
      </w:r>
    </w:p>
    <w:p w14:paraId="580E1C2D" w14:textId="77777777" w:rsidR="00682E20" w:rsidRPr="006B160F" w:rsidRDefault="00682E20" w:rsidP="00682E20">
      <w:pPr>
        <w:pStyle w:val="Ttulo1"/>
        <w:spacing w:before="202"/>
        <w:rPr>
          <w:lang w:val="es-MX"/>
        </w:rPr>
      </w:pPr>
      <w:r w:rsidRPr="006B160F">
        <w:rPr>
          <w:lang w:val="es-MX"/>
        </w:rPr>
        <w:t>Descripción</w:t>
      </w:r>
      <w:r w:rsidRPr="006B160F">
        <w:rPr>
          <w:spacing w:val="-4"/>
          <w:lang w:val="es-MX"/>
        </w:rPr>
        <w:t xml:space="preserve"> </w:t>
      </w:r>
      <w:r w:rsidRPr="006B160F">
        <w:rPr>
          <w:lang w:val="es-MX"/>
        </w:rPr>
        <w:t>de</w:t>
      </w:r>
      <w:r w:rsidRPr="006B160F">
        <w:rPr>
          <w:spacing w:val="-2"/>
          <w:lang w:val="es-MX"/>
        </w:rPr>
        <w:t xml:space="preserve"> </w:t>
      </w:r>
      <w:r w:rsidRPr="006B160F">
        <w:rPr>
          <w:lang w:val="es-MX"/>
        </w:rPr>
        <w:t>la</w:t>
      </w:r>
      <w:r w:rsidRPr="006B160F">
        <w:rPr>
          <w:spacing w:val="-1"/>
          <w:lang w:val="es-MX"/>
        </w:rPr>
        <w:t xml:space="preserve"> </w:t>
      </w:r>
      <w:r>
        <w:rPr>
          <w:lang w:val="es-MX"/>
        </w:rPr>
        <w:t>C</w:t>
      </w:r>
      <w:r w:rsidRPr="006B160F">
        <w:rPr>
          <w:lang w:val="es-MX"/>
        </w:rPr>
        <w:t>onsulta</w:t>
      </w:r>
      <w:r w:rsidRPr="006B160F">
        <w:rPr>
          <w:spacing w:val="-2"/>
          <w:lang w:val="es-MX"/>
        </w:rPr>
        <w:t xml:space="preserve"> </w:t>
      </w:r>
      <w:r>
        <w:rPr>
          <w:lang w:val="es-MX"/>
        </w:rPr>
        <w:t>P</w:t>
      </w:r>
      <w:r w:rsidRPr="006B160F">
        <w:rPr>
          <w:lang w:val="es-MX"/>
        </w:rPr>
        <w:t>ública:</w:t>
      </w:r>
    </w:p>
    <w:p w14:paraId="305BC89C" w14:textId="77777777" w:rsidR="00682E20" w:rsidRPr="006B160F" w:rsidRDefault="00682E20" w:rsidP="00682E20">
      <w:pPr>
        <w:pStyle w:val="Textoindependiente"/>
        <w:spacing w:before="7"/>
        <w:rPr>
          <w:b/>
          <w:sz w:val="20"/>
          <w:lang w:val="es-MX"/>
        </w:rPr>
      </w:pPr>
    </w:p>
    <w:p w14:paraId="4C2BCF7B" w14:textId="7DED045B" w:rsidR="00682E20" w:rsidRPr="006B160F" w:rsidRDefault="00682E20" w:rsidP="00682E20">
      <w:pPr>
        <w:pStyle w:val="Textoindependiente"/>
        <w:spacing w:line="276" w:lineRule="auto"/>
        <w:ind w:left="810" w:right="812"/>
        <w:jc w:val="both"/>
        <w:rPr>
          <w:lang w:val="es-MX"/>
        </w:rPr>
      </w:pPr>
      <w:r w:rsidRPr="006B160F">
        <w:rPr>
          <w:lang w:val="es-MX"/>
        </w:rPr>
        <w:t xml:space="preserve">El Instituto Federal de Telecomunicaciones (en lo sucesivo, </w:t>
      </w:r>
      <w:r>
        <w:rPr>
          <w:lang w:val="es-MX"/>
        </w:rPr>
        <w:t xml:space="preserve">el </w:t>
      </w:r>
      <w:r w:rsidRPr="006B160F">
        <w:rPr>
          <w:lang w:val="es-MX"/>
        </w:rPr>
        <w:t>“Instituto” o “IFT”) recibió los</w:t>
      </w:r>
      <w:r w:rsidRPr="006B160F">
        <w:rPr>
          <w:spacing w:val="1"/>
          <w:lang w:val="es-MX"/>
        </w:rPr>
        <w:t xml:space="preserve"> </w:t>
      </w:r>
      <w:r w:rsidRPr="006B160F">
        <w:rPr>
          <w:lang w:val="es-MX"/>
        </w:rPr>
        <w:t>comentarios, opiniones y aportaciones con relación al contenido de</w:t>
      </w:r>
      <w:r w:rsidR="00FA751F">
        <w:rPr>
          <w:lang w:val="es-MX"/>
        </w:rPr>
        <w:t xml:space="preserve"> la Consulta Pública</w:t>
      </w:r>
      <w:r>
        <w:rPr>
          <w:lang w:val="es-MX"/>
        </w:rPr>
        <w:t>,</w:t>
      </w:r>
      <w:r w:rsidRPr="006B160F">
        <w:rPr>
          <w:spacing w:val="-5"/>
          <w:lang w:val="es-MX"/>
        </w:rPr>
        <w:t xml:space="preserve"> </w:t>
      </w:r>
      <w:r w:rsidRPr="006B160F">
        <w:rPr>
          <w:lang w:val="es-MX"/>
        </w:rPr>
        <w:t>del</w:t>
      </w:r>
      <w:r w:rsidRPr="006B160F">
        <w:rPr>
          <w:spacing w:val="-1"/>
          <w:lang w:val="es-MX"/>
        </w:rPr>
        <w:t xml:space="preserve"> </w:t>
      </w:r>
      <w:r w:rsidR="00E66FDE">
        <w:rPr>
          <w:spacing w:val="-1"/>
          <w:lang w:val="es-MX"/>
        </w:rPr>
        <w:t>0</w:t>
      </w:r>
      <w:r w:rsidR="00A15E68">
        <w:rPr>
          <w:spacing w:val="-1"/>
          <w:lang w:val="es-MX"/>
        </w:rPr>
        <w:t>5</w:t>
      </w:r>
      <w:r w:rsidR="00051AE6">
        <w:rPr>
          <w:spacing w:val="-1"/>
          <w:lang w:val="es-MX"/>
        </w:rPr>
        <w:t xml:space="preserve"> de </w:t>
      </w:r>
      <w:r w:rsidR="00A15E68">
        <w:rPr>
          <w:spacing w:val="-1"/>
          <w:lang w:val="es-MX"/>
        </w:rPr>
        <w:t xml:space="preserve">noviembre </w:t>
      </w:r>
      <w:r w:rsidRPr="006B160F">
        <w:rPr>
          <w:lang w:val="es-MX"/>
        </w:rPr>
        <w:t>al</w:t>
      </w:r>
      <w:r w:rsidRPr="006B160F">
        <w:rPr>
          <w:spacing w:val="-7"/>
          <w:lang w:val="es-MX"/>
        </w:rPr>
        <w:t xml:space="preserve"> </w:t>
      </w:r>
      <w:r w:rsidR="00E66FDE">
        <w:rPr>
          <w:spacing w:val="-7"/>
          <w:lang w:val="es-MX"/>
        </w:rPr>
        <w:t>0</w:t>
      </w:r>
      <w:r w:rsidR="00950E0E">
        <w:rPr>
          <w:spacing w:val="-7"/>
          <w:lang w:val="es-MX"/>
        </w:rPr>
        <w:t>3</w:t>
      </w:r>
      <w:r w:rsidRPr="006B160F">
        <w:rPr>
          <w:spacing w:val="-5"/>
          <w:lang w:val="es-MX"/>
        </w:rPr>
        <w:t xml:space="preserve"> </w:t>
      </w:r>
      <w:r w:rsidRPr="006B160F">
        <w:rPr>
          <w:lang w:val="es-MX"/>
        </w:rPr>
        <w:t>de</w:t>
      </w:r>
      <w:r w:rsidRPr="006B160F">
        <w:rPr>
          <w:spacing w:val="-2"/>
          <w:lang w:val="es-MX"/>
        </w:rPr>
        <w:t xml:space="preserve"> </w:t>
      </w:r>
      <w:r w:rsidR="00950E0E">
        <w:rPr>
          <w:lang w:val="es-MX"/>
        </w:rPr>
        <w:t xml:space="preserve">diciembre </w:t>
      </w:r>
      <w:r w:rsidRPr="006B160F">
        <w:rPr>
          <w:lang w:val="es-MX"/>
        </w:rPr>
        <w:t>de</w:t>
      </w:r>
      <w:r w:rsidRPr="006B160F">
        <w:rPr>
          <w:spacing w:val="-5"/>
          <w:lang w:val="es-MX"/>
        </w:rPr>
        <w:t xml:space="preserve"> </w:t>
      </w:r>
      <w:r w:rsidRPr="006B160F">
        <w:rPr>
          <w:lang w:val="es-MX"/>
        </w:rPr>
        <w:t>202</w:t>
      </w:r>
      <w:r w:rsidR="00950E0E">
        <w:rPr>
          <w:lang w:val="es-MX"/>
        </w:rPr>
        <w:t>4</w:t>
      </w:r>
      <w:r w:rsidRPr="006B160F">
        <w:rPr>
          <w:lang w:val="es-MX"/>
        </w:rPr>
        <w:t>,</w:t>
      </w:r>
      <w:r w:rsidRPr="006B160F">
        <w:rPr>
          <w:spacing w:val="-58"/>
          <w:lang w:val="es-MX"/>
        </w:rPr>
        <w:t xml:space="preserve"> </w:t>
      </w:r>
      <w:r w:rsidRPr="006B160F">
        <w:rPr>
          <w:lang w:val="es-MX"/>
        </w:rPr>
        <w:t xml:space="preserve">a través de la dirección de correo electrónico: </w:t>
      </w:r>
      <w:hyperlink r:id="rId11">
        <w:r w:rsidRPr="006B160F">
          <w:rPr>
            <w:color w:val="0462C1"/>
            <w:u w:val="single" w:color="0462C1"/>
            <w:lang w:val="es-MX"/>
          </w:rPr>
          <w:t>modelos.dgci@ift.org.mx</w:t>
        </w:r>
      </w:hyperlink>
      <w:r w:rsidRPr="006B160F">
        <w:rPr>
          <w:lang w:val="es-MX"/>
        </w:rPr>
        <w:t>, y/o mediante</w:t>
      </w:r>
      <w:r w:rsidRPr="006B160F">
        <w:rPr>
          <w:spacing w:val="1"/>
          <w:lang w:val="es-MX"/>
        </w:rPr>
        <w:t xml:space="preserve"> </w:t>
      </w:r>
      <w:r w:rsidRPr="006B160F">
        <w:rPr>
          <w:lang w:val="es-MX"/>
        </w:rPr>
        <w:t>escrito presentado en la Oficialía de Partes  del Instituto ubicada en Insurgentes</w:t>
      </w:r>
      <w:r w:rsidRPr="006B160F">
        <w:rPr>
          <w:spacing w:val="1"/>
          <w:lang w:val="es-MX"/>
        </w:rPr>
        <w:t xml:space="preserve"> </w:t>
      </w:r>
      <w:r w:rsidRPr="006B160F">
        <w:rPr>
          <w:lang w:val="es-MX"/>
        </w:rPr>
        <w:t>Sur 1143, colonia Nochebuena, Alcaldía Benito Juárez, C.P. 03720, Ciudad de México.</w:t>
      </w:r>
      <w:r w:rsidRPr="006B160F">
        <w:rPr>
          <w:spacing w:val="1"/>
          <w:lang w:val="es-MX"/>
        </w:rPr>
        <w:t xml:space="preserve"> </w:t>
      </w:r>
      <w:r w:rsidRPr="006B160F">
        <w:rPr>
          <w:lang w:val="es-MX"/>
        </w:rPr>
        <w:t>Para ello</w:t>
      </w:r>
      <w:r>
        <w:rPr>
          <w:lang w:val="es-MX"/>
        </w:rPr>
        <w:t>,</w:t>
      </w:r>
      <w:r w:rsidRPr="006B160F">
        <w:rPr>
          <w:lang w:val="es-MX"/>
        </w:rPr>
        <w:t xml:space="preserve"> el Instituto puso a disposición de todos los interesados el “</w:t>
      </w:r>
      <w:r w:rsidRPr="006B160F">
        <w:rPr>
          <w:i/>
          <w:lang w:val="es-MX"/>
        </w:rPr>
        <w:t>Formato</w:t>
      </w:r>
      <w:r w:rsidRPr="006B160F">
        <w:rPr>
          <w:i/>
          <w:spacing w:val="-59"/>
          <w:lang w:val="es-MX"/>
        </w:rPr>
        <w:t xml:space="preserve"> </w:t>
      </w:r>
      <w:r>
        <w:rPr>
          <w:i/>
          <w:spacing w:val="-59"/>
          <w:lang w:val="es-MX"/>
        </w:rPr>
        <w:t xml:space="preserve">        </w:t>
      </w:r>
      <w:r w:rsidRPr="006B160F">
        <w:rPr>
          <w:i/>
          <w:lang w:val="es-MX"/>
        </w:rPr>
        <w:t>para participar en</w:t>
      </w:r>
      <w:r w:rsidRPr="006B160F">
        <w:rPr>
          <w:i/>
          <w:spacing w:val="1"/>
          <w:lang w:val="es-MX"/>
        </w:rPr>
        <w:t xml:space="preserve"> </w:t>
      </w:r>
      <w:r w:rsidRPr="006B160F">
        <w:rPr>
          <w:i/>
          <w:lang w:val="es-MX"/>
        </w:rPr>
        <w:t>la</w:t>
      </w:r>
      <w:r w:rsidRPr="006B160F">
        <w:rPr>
          <w:i/>
          <w:spacing w:val="1"/>
          <w:lang w:val="es-MX"/>
        </w:rPr>
        <w:t xml:space="preserve"> </w:t>
      </w:r>
      <w:r w:rsidRPr="006B160F">
        <w:rPr>
          <w:i/>
          <w:lang w:val="es-MX"/>
        </w:rPr>
        <w:t>Consulta</w:t>
      </w:r>
      <w:r w:rsidRPr="006B160F">
        <w:rPr>
          <w:i/>
          <w:spacing w:val="1"/>
          <w:lang w:val="es-MX"/>
        </w:rPr>
        <w:t xml:space="preserve"> </w:t>
      </w:r>
      <w:r w:rsidRPr="006B160F">
        <w:rPr>
          <w:i/>
          <w:lang w:val="es-MX"/>
        </w:rPr>
        <w:t>Pública</w:t>
      </w:r>
      <w:r w:rsidRPr="006B160F">
        <w:rPr>
          <w:lang w:val="es-MX"/>
        </w:rPr>
        <w:t>”.</w:t>
      </w:r>
    </w:p>
    <w:p w14:paraId="47C36E1C" w14:textId="77777777" w:rsidR="00682E20" w:rsidRPr="006B160F" w:rsidRDefault="00682E20" w:rsidP="00682E20">
      <w:pPr>
        <w:pStyle w:val="Textoindependiente"/>
        <w:spacing w:before="203" w:line="276" w:lineRule="auto"/>
        <w:ind w:left="810" w:right="818"/>
        <w:jc w:val="both"/>
        <w:rPr>
          <w:lang w:val="es-MX"/>
        </w:rPr>
      </w:pPr>
      <w:r w:rsidRPr="006B160F">
        <w:rPr>
          <w:lang w:val="es-MX"/>
        </w:rPr>
        <w:t>La información que los interesados hicieron llegar al Instituto, de acuerdo con los plazos y</w:t>
      </w:r>
      <w:r w:rsidRPr="006B160F">
        <w:rPr>
          <w:spacing w:val="1"/>
          <w:lang w:val="es-MX"/>
        </w:rPr>
        <w:t xml:space="preserve"> </w:t>
      </w:r>
      <w:r w:rsidRPr="006B160F">
        <w:rPr>
          <w:lang w:val="es-MX"/>
        </w:rPr>
        <w:t>términos descritos en esta mecánica y con relación al presente proceso consultivo, no</w:t>
      </w:r>
      <w:r w:rsidRPr="006B160F">
        <w:rPr>
          <w:spacing w:val="1"/>
          <w:lang w:val="es-MX"/>
        </w:rPr>
        <w:t xml:space="preserve"> </w:t>
      </w:r>
      <w:r w:rsidRPr="006B160F">
        <w:rPr>
          <w:lang w:val="es-MX"/>
        </w:rPr>
        <w:t>tendrá</w:t>
      </w:r>
      <w:r w:rsidRPr="006B160F">
        <w:rPr>
          <w:spacing w:val="-8"/>
          <w:lang w:val="es-MX"/>
        </w:rPr>
        <w:t xml:space="preserve"> </w:t>
      </w:r>
      <w:r w:rsidRPr="006B160F">
        <w:rPr>
          <w:lang w:val="es-MX"/>
        </w:rPr>
        <w:t>carácter</w:t>
      </w:r>
      <w:r w:rsidRPr="006B160F">
        <w:rPr>
          <w:spacing w:val="-9"/>
          <w:lang w:val="es-MX"/>
        </w:rPr>
        <w:t xml:space="preserve"> </w:t>
      </w:r>
      <w:r w:rsidRPr="006B160F">
        <w:rPr>
          <w:lang w:val="es-MX"/>
        </w:rPr>
        <w:t>vinculante,</w:t>
      </w:r>
      <w:r w:rsidRPr="006B160F">
        <w:rPr>
          <w:spacing w:val="-11"/>
          <w:lang w:val="es-MX"/>
        </w:rPr>
        <w:t xml:space="preserve"> </w:t>
      </w:r>
      <w:r w:rsidRPr="006B160F">
        <w:rPr>
          <w:lang w:val="es-MX"/>
        </w:rPr>
        <w:t>sin</w:t>
      </w:r>
      <w:r w:rsidRPr="006B160F">
        <w:rPr>
          <w:spacing w:val="-7"/>
          <w:lang w:val="es-MX"/>
        </w:rPr>
        <w:t xml:space="preserve"> </w:t>
      </w:r>
      <w:r w:rsidRPr="006B160F">
        <w:rPr>
          <w:lang w:val="es-MX"/>
        </w:rPr>
        <w:t>perjuicio</w:t>
      </w:r>
      <w:r w:rsidRPr="006B160F">
        <w:rPr>
          <w:spacing w:val="-8"/>
          <w:lang w:val="es-MX"/>
        </w:rPr>
        <w:t xml:space="preserve"> </w:t>
      </w:r>
      <w:r w:rsidRPr="006B160F">
        <w:rPr>
          <w:lang w:val="es-MX"/>
        </w:rPr>
        <w:t>de</w:t>
      </w:r>
      <w:r w:rsidRPr="006B160F">
        <w:rPr>
          <w:spacing w:val="-8"/>
          <w:lang w:val="es-MX"/>
        </w:rPr>
        <w:t xml:space="preserve"> </w:t>
      </w:r>
      <w:r w:rsidRPr="006B160F">
        <w:rPr>
          <w:lang w:val="es-MX"/>
        </w:rPr>
        <w:t>que</w:t>
      </w:r>
      <w:r w:rsidRPr="006B160F">
        <w:rPr>
          <w:spacing w:val="-7"/>
          <w:lang w:val="es-MX"/>
        </w:rPr>
        <w:t xml:space="preserve"> </w:t>
      </w:r>
      <w:r w:rsidRPr="006B160F">
        <w:rPr>
          <w:lang w:val="es-MX"/>
        </w:rPr>
        <w:t>el</w:t>
      </w:r>
      <w:r w:rsidRPr="006B160F">
        <w:rPr>
          <w:spacing w:val="-10"/>
          <w:lang w:val="es-MX"/>
        </w:rPr>
        <w:t xml:space="preserve"> </w:t>
      </w:r>
      <w:r w:rsidRPr="006B160F">
        <w:rPr>
          <w:lang w:val="es-MX"/>
        </w:rPr>
        <w:t>Instituto</w:t>
      </w:r>
      <w:r w:rsidRPr="006B160F">
        <w:rPr>
          <w:spacing w:val="-7"/>
          <w:lang w:val="es-MX"/>
        </w:rPr>
        <w:t xml:space="preserve"> </w:t>
      </w:r>
      <w:r w:rsidRPr="006B160F">
        <w:rPr>
          <w:lang w:val="es-MX"/>
        </w:rPr>
        <w:t>pueda</w:t>
      </w:r>
      <w:r w:rsidRPr="006B160F">
        <w:rPr>
          <w:spacing w:val="-8"/>
          <w:lang w:val="es-MX"/>
        </w:rPr>
        <w:t xml:space="preserve"> </w:t>
      </w:r>
      <w:r w:rsidRPr="006B160F">
        <w:rPr>
          <w:lang w:val="es-MX"/>
        </w:rPr>
        <w:t>ponderarla</w:t>
      </w:r>
      <w:r w:rsidRPr="006B160F">
        <w:rPr>
          <w:spacing w:val="-7"/>
          <w:lang w:val="es-MX"/>
        </w:rPr>
        <w:t xml:space="preserve"> </w:t>
      </w:r>
      <w:r w:rsidRPr="006B160F">
        <w:rPr>
          <w:lang w:val="es-MX"/>
        </w:rPr>
        <w:t>conforme</w:t>
      </w:r>
      <w:r w:rsidRPr="006B160F">
        <w:rPr>
          <w:spacing w:val="-8"/>
          <w:lang w:val="es-MX"/>
        </w:rPr>
        <w:t xml:space="preserve"> </w:t>
      </w:r>
      <w:r w:rsidRPr="006B160F">
        <w:rPr>
          <w:lang w:val="es-MX"/>
        </w:rPr>
        <w:t>a</w:t>
      </w:r>
      <w:r w:rsidRPr="006B160F">
        <w:rPr>
          <w:spacing w:val="-7"/>
          <w:lang w:val="es-MX"/>
        </w:rPr>
        <w:t xml:space="preserve"> </w:t>
      </w:r>
      <w:r w:rsidRPr="006B160F">
        <w:rPr>
          <w:lang w:val="es-MX"/>
        </w:rPr>
        <w:t>lo</w:t>
      </w:r>
      <w:r w:rsidRPr="006B160F">
        <w:rPr>
          <w:spacing w:val="-59"/>
          <w:lang w:val="es-MX"/>
        </w:rPr>
        <w:t xml:space="preserve"> </w:t>
      </w:r>
      <w:r w:rsidRPr="006B160F">
        <w:rPr>
          <w:lang w:val="es-MX"/>
        </w:rPr>
        <w:t>establecido</w:t>
      </w:r>
      <w:r w:rsidRPr="006B160F">
        <w:rPr>
          <w:spacing w:val="-5"/>
          <w:lang w:val="es-MX"/>
        </w:rPr>
        <w:t xml:space="preserve"> </w:t>
      </w:r>
      <w:r w:rsidRPr="006B160F">
        <w:rPr>
          <w:lang w:val="es-MX"/>
        </w:rPr>
        <w:t>en</w:t>
      </w:r>
      <w:r w:rsidRPr="006B160F">
        <w:rPr>
          <w:spacing w:val="-4"/>
          <w:lang w:val="es-MX"/>
        </w:rPr>
        <w:t xml:space="preserve"> </w:t>
      </w:r>
      <w:r w:rsidRPr="006B160F">
        <w:rPr>
          <w:lang w:val="es-MX"/>
        </w:rPr>
        <w:t>el</w:t>
      </w:r>
      <w:r w:rsidRPr="006B160F">
        <w:rPr>
          <w:spacing w:val="-1"/>
          <w:lang w:val="es-MX"/>
        </w:rPr>
        <w:t xml:space="preserve"> </w:t>
      </w:r>
      <w:r w:rsidRPr="006B160F">
        <w:rPr>
          <w:lang w:val="es-MX"/>
        </w:rPr>
        <w:t>presente</w:t>
      </w:r>
      <w:r w:rsidRPr="006B160F">
        <w:rPr>
          <w:spacing w:val="1"/>
          <w:lang w:val="es-MX"/>
        </w:rPr>
        <w:t xml:space="preserve"> </w:t>
      </w:r>
      <w:r w:rsidRPr="006B160F">
        <w:rPr>
          <w:lang w:val="es-MX"/>
        </w:rPr>
        <w:t>informe.</w:t>
      </w:r>
    </w:p>
    <w:p w14:paraId="2F640C81" w14:textId="77777777" w:rsidR="00682E20" w:rsidRPr="006B160F" w:rsidRDefault="00682E20" w:rsidP="00682E20">
      <w:pPr>
        <w:pStyle w:val="Ttulo1"/>
        <w:spacing w:before="196"/>
        <w:rPr>
          <w:lang w:val="es-MX"/>
        </w:rPr>
      </w:pPr>
      <w:r w:rsidRPr="006B160F">
        <w:rPr>
          <w:lang w:val="es-MX"/>
        </w:rPr>
        <w:t>Objetivos</w:t>
      </w:r>
      <w:r w:rsidRPr="006B160F">
        <w:rPr>
          <w:spacing w:val="-3"/>
          <w:lang w:val="es-MX"/>
        </w:rPr>
        <w:t xml:space="preserve"> </w:t>
      </w:r>
      <w:r w:rsidRPr="006B160F">
        <w:rPr>
          <w:lang w:val="es-MX"/>
        </w:rPr>
        <w:t>de</w:t>
      </w:r>
      <w:r w:rsidRPr="006B160F">
        <w:rPr>
          <w:spacing w:val="-1"/>
          <w:lang w:val="es-MX"/>
        </w:rPr>
        <w:t xml:space="preserve"> </w:t>
      </w:r>
      <w:r w:rsidRPr="006B160F">
        <w:rPr>
          <w:lang w:val="es-MX"/>
        </w:rPr>
        <w:t>la</w:t>
      </w:r>
      <w:r w:rsidRPr="006B160F">
        <w:rPr>
          <w:spacing w:val="-3"/>
          <w:lang w:val="es-MX"/>
        </w:rPr>
        <w:t xml:space="preserve"> </w:t>
      </w:r>
      <w:r>
        <w:rPr>
          <w:lang w:val="es-MX"/>
        </w:rPr>
        <w:t>Consulta Pública</w:t>
      </w:r>
      <w:r w:rsidRPr="006B160F">
        <w:rPr>
          <w:lang w:val="es-MX"/>
        </w:rPr>
        <w:t>:</w:t>
      </w:r>
    </w:p>
    <w:p w14:paraId="2C406CA8" w14:textId="77777777" w:rsidR="00682E20" w:rsidRPr="006B160F" w:rsidRDefault="00682E20" w:rsidP="00682E20">
      <w:pPr>
        <w:pStyle w:val="Textoindependiente"/>
        <w:spacing w:before="1"/>
        <w:rPr>
          <w:b/>
          <w:sz w:val="21"/>
          <w:lang w:val="es-MX"/>
        </w:rPr>
      </w:pPr>
    </w:p>
    <w:p w14:paraId="3E9540EC" w14:textId="6A220602" w:rsidR="00FA751F" w:rsidRDefault="00682E20" w:rsidP="00682E20">
      <w:pPr>
        <w:pStyle w:val="Textoindependiente"/>
        <w:spacing w:after="240" w:line="276" w:lineRule="auto"/>
        <w:ind w:left="810" w:right="817"/>
        <w:jc w:val="both"/>
        <w:rPr>
          <w:spacing w:val="1"/>
          <w:lang w:val="es-MX"/>
        </w:rPr>
      </w:pPr>
      <w:r w:rsidRPr="006B160F">
        <w:rPr>
          <w:spacing w:val="1"/>
          <w:lang w:val="es-MX"/>
        </w:rPr>
        <w:t>Los objetivos principales de</w:t>
      </w:r>
      <w:r w:rsidR="00FA751F">
        <w:rPr>
          <w:spacing w:val="1"/>
          <w:lang w:val="es-MX"/>
        </w:rPr>
        <w:t xml:space="preserve"> la Consulta Pública son: </w:t>
      </w:r>
      <w:r w:rsidR="00E93955" w:rsidRPr="00E93955">
        <w:rPr>
          <w:spacing w:val="1"/>
          <w:lang w:val="es-MX"/>
        </w:rPr>
        <w:t>i) establecer las bases para la determinación de los niveles de descuento aplicables al Servicio Mayorista de Reventa del Servicio de Televisión y Audio Restringidos</w:t>
      </w:r>
      <w:r w:rsidR="00CE26D2">
        <w:rPr>
          <w:spacing w:val="1"/>
          <w:lang w:val="es-MX"/>
        </w:rPr>
        <w:t xml:space="preserve"> (STAR)</w:t>
      </w:r>
      <w:r w:rsidR="00E93955" w:rsidRPr="00E93955">
        <w:rPr>
          <w:spacing w:val="1"/>
          <w:lang w:val="es-MX"/>
        </w:rPr>
        <w:t>, mediante la metodología de costos evitados, y ii) evaluar y calibrar los niveles de costos evitados a partir del enfoque implementado</w:t>
      </w:r>
      <w:r w:rsidR="006A52AB">
        <w:rPr>
          <w:spacing w:val="1"/>
          <w:lang w:val="es-MX"/>
        </w:rPr>
        <w:t xml:space="preserve"> con la información y evidencia que aporten los interesados</w:t>
      </w:r>
      <w:r w:rsidR="00F33A6D">
        <w:rPr>
          <w:spacing w:val="1"/>
          <w:lang w:val="es-MX"/>
        </w:rPr>
        <w:t xml:space="preserve"> y que se considere procedente</w:t>
      </w:r>
      <w:r w:rsidR="00E93955" w:rsidRPr="00E93955">
        <w:rPr>
          <w:spacing w:val="1"/>
          <w:lang w:val="es-MX"/>
        </w:rPr>
        <w:t>.</w:t>
      </w:r>
    </w:p>
    <w:p w14:paraId="7EE87A0B" w14:textId="7F1062C0" w:rsidR="00682E20" w:rsidRDefault="00682E20" w:rsidP="00682E20">
      <w:pPr>
        <w:pStyle w:val="Textoindependiente"/>
        <w:spacing w:after="240" w:line="276" w:lineRule="auto"/>
        <w:ind w:left="810" w:right="817"/>
        <w:jc w:val="both"/>
        <w:rPr>
          <w:spacing w:val="1"/>
          <w:lang w:val="es-MX"/>
        </w:rPr>
      </w:pPr>
      <w:r w:rsidRPr="006B160F">
        <w:rPr>
          <w:spacing w:val="1"/>
          <w:lang w:val="es-MX"/>
        </w:rPr>
        <w:t xml:space="preserve">En virtud de lo anterior, la presente </w:t>
      </w:r>
      <w:r>
        <w:rPr>
          <w:spacing w:val="1"/>
          <w:lang w:val="es-MX"/>
        </w:rPr>
        <w:t>Consulta Pública</w:t>
      </w:r>
      <w:r w:rsidRPr="006B160F">
        <w:rPr>
          <w:spacing w:val="1"/>
          <w:lang w:val="es-MX"/>
        </w:rPr>
        <w:t xml:space="preserve"> tiene por objeto transparentar y dar a conocer la propuesta de </w:t>
      </w:r>
      <w:r w:rsidR="00D07E1C">
        <w:rPr>
          <w:spacing w:val="1"/>
          <w:lang w:val="es-MX"/>
        </w:rPr>
        <w:t>modelo de costo</w:t>
      </w:r>
      <w:r w:rsidR="0088299F">
        <w:rPr>
          <w:spacing w:val="1"/>
          <w:lang w:val="es-MX"/>
        </w:rPr>
        <w:t xml:space="preserve"> </w:t>
      </w:r>
      <w:r w:rsidRPr="006B160F">
        <w:rPr>
          <w:spacing w:val="1"/>
          <w:lang w:val="es-MX"/>
        </w:rPr>
        <w:t xml:space="preserve">a efecto de que las personas interesadas puedan tener un mayor entendimiento sobre </w:t>
      </w:r>
      <w:r w:rsidR="00D07E1C">
        <w:rPr>
          <w:spacing w:val="1"/>
          <w:lang w:val="es-MX"/>
        </w:rPr>
        <w:t>los elementos y</w:t>
      </w:r>
      <w:r w:rsidRPr="006B160F">
        <w:rPr>
          <w:spacing w:val="1"/>
          <w:lang w:val="es-MX"/>
        </w:rPr>
        <w:t xml:space="preserve"> términos propuestos por el Instituto y, a partir de ello, formular a este órgano regulador sus comentarios, opiniones o aportaciones que permitan fortalecer dicha </w:t>
      </w:r>
      <w:r w:rsidR="00D07E1C">
        <w:rPr>
          <w:spacing w:val="1"/>
          <w:lang w:val="es-MX"/>
        </w:rPr>
        <w:t>herramienta</w:t>
      </w:r>
      <w:r w:rsidRPr="006B160F">
        <w:rPr>
          <w:spacing w:val="1"/>
          <w:lang w:val="es-MX"/>
        </w:rPr>
        <w:t xml:space="preserve">, así como para afinar con mayor precisión los posibles impactos que se desprendan a razón de </w:t>
      </w:r>
      <w:r w:rsidR="00D07E1C">
        <w:rPr>
          <w:spacing w:val="1"/>
          <w:lang w:val="es-MX"/>
        </w:rPr>
        <w:t>implementación</w:t>
      </w:r>
      <w:r w:rsidRPr="006B160F">
        <w:rPr>
          <w:spacing w:val="1"/>
          <w:lang w:val="es-MX"/>
        </w:rPr>
        <w:t>.</w:t>
      </w:r>
    </w:p>
    <w:p w14:paraId="379EEFCF" w14:textId="77777777" w:rsidR="00ED799C" w:rsidRPr="006B160F" w:rsidRDefault="00ED799C" w:rsidP="00682E20">
      <w:pPr>
        <w:pStyle w:val="Textoindependiente"/>
        <w:spacing w:after="240" w:line="276" w:lineRule="auto"/>
        <w:ind w:left="810" w:right="817"/>
        <w:jc w:val="both"/>
        <w:rPr>
          <w:lang w:val="es-MX"/>
        </w:rPr>
      </w:pPr>
    </w:p>
    <w:p w14:paraId="67629CC2" w14:textId="77777777" w:rsidR="00682E20" w:rsidRPr="006B160F" w:rsidRDefault="00682E20" w:rsidP="00682E20">
      <w:pPr>
        <w:pStyle w:val="Ttulo1"/>
        <w:spacing w:before="195"/>
        <w:rPr>
          <w:lang w:val="es-MX"/>
        </w:rPr>
      </w:pPr>
      <w:r w:rsidRPr="006B160F">
        <w:rPr>
          <w:lang w:val="es-MX"/>
        </w:rPr>
        <w:t>Unidad</w:t>
      </w:r>
      <w:r>
        <w:rPr>
          <w:lang w:val="es-MX"/>
        </w:rPr>
        <w:t>es y/o Coordinaciones Generales</w:t>
      </w:r>
      <w:r w:rsidRPr="006B160F">
        <w:rPr>
          <w:spacing w:val="-3"/>
          <w:lang w:val="es-MX"/>
        </w:rPr>
        <w:t xml:space="preserve"> </w:t>
      </w:r>
      <w:r w:rsidRPr="006B160F">
        <w:rPr>
          <w:lang w:val="es-MX"/>
        </w:rPr>
        <w:t>responsable</w:t>
      </w:r>
      <w:r>
        <w:rPr>
          <w:lang w:val="es-MX"/>
        </w:rPr>
        <w:t>s</w:t>
      </w:r>
      <w:r w:rsidRPr="006B160F">
        <w:rPr>
          <w:spacing w:val="-3"/>
          <w:lang w:val="es-MX"/>
        </w:rPr>
        <w:t xml:space="preserve"> </w:t>
      </w:r>
      <w:r w:rsidRPr="006B160F">
        <w:rPr>
          <w:lang w:val="es-MX"/>
        </w:rPr>
        <w:t>de</w:t>
      </w:r>
      <w:r w:rsidRPr="006B160F">
        <w:rPr>
          <w:spacing w:val="-1"/>
          <w:lang w:val="es-MX"/>
        </w:rPr>
        <w:t xml:space="preserve"> </w:t>
      </w:r>
      <w:r w:rsidRPr="006B160F">
        <w:rPr>
          <w:lang w:val="es-MX"/>
        </w:rPr>
        <w:t>la</w:t>
      </w:r>
      <w:r w:rsidRPr="006B160F">
        <w:rPr>
          <w:spacing w:val="-2"/>
          <w:lang w:val="es-MX"/>
        </w:rPr>
        <w:t xml:space="preserve"> </w:t>
      </w:r>
      <w:r>
        <w:rPr>
          <w:lang w:val="es-MX"/>
        </w:rPr>
        <w:t>Consulta Pública</w:t>
      </w:r>
      <w:r w:rsidRPr="006B160F">
        <w:rPr>
          <w:lang w:val="es-MX"/>
        </w:rPr>
        <w:t>:</w:t>
      </w:r>
    </w:p>
    <w:p w14:paraId="4D24A008" w14:textId="77777777" w:rsidR="00682E20" w:rsidRPr="006B160F" w:rsidRDefault="00682E20" w:rsidP="00682E20">
      <w:pPr>
        <w:pStyle w:val="Textoindependiente"/>
        <w:spacing w:before="6"/>
        <w:rPr>
          <w:b/>
          <w:sz w:val="20"/>
          <w:lang w:val="es-MX"/>
        </w:rPr>
      </w:pPr>
    </w:p>
    <w:p w14:paraId="111C3FC8" w14:textId="77777777" w:rsidR="00682E20" w:rsidRDefault="00682E20" w:rsidP="00682E20">
      <w:pPr>
        <w:pStyle w:val="Textoindependiente"/>
        <w:spacing w:before="1"/>
        <w:ind w:left="810"/>
        <w:jc w:val="both"/>
        <w:rPr>
          <w:lang w:val="es-MX"/>
        </w:rPr>
      </w:pPr>
      <w:r w:rsidRPr="006B160F">
        <w:rPr>
          <w:lang w:val="es-MX"/>
        </w:rPr>
        <w:t>Unidad</w:t>
      </w:r>
      <w:r w:rsidRPr="006B160F">
        <w:rPr>
          <w:spacing w:val="-2"/>
          <w:lang w:val="es-MX"/>
        </w:rPr>
        <w:t xml:space="preserve"> </w:t>
      </w:r>
      <w:r w:rsidRPr="006B160F">
        <w:rPr>
          <w:lang w:val="es-MX"/>
        </w:rPr>
        <w:t>de</w:t>
      </w:r>
      <w:r w:rsidRPr="006B160F">
        <w:rPr>
          <w:spacing w:val="-2"/>
          <w:lang w:val="es-MX"/>
        </w:rPr>
        <w:t xml:space="preserve"> </w:t>
      </w:r>
      <w:r w:rsidRPr="006B160F">
        <w:rPr>
          <w:lang w:val="es-MX"/>
        </w:rPr>
        <w:t>Política</w:t>
      </w:r>
      <w:r w:rsidRPr="006B160F">
        <w:rPr>
          <w:spacing w:val="-3"/>
          <w:lang w:val="es-MX"/>
        </w:rPr>
        <w:t xml:space="preserve"> </w:t>
      </w:r>
      <w:r w:rsidRPr="006B160F">
        <w:rPr>
          <w:lang w:val="es-MX"/>
        </w:rPr>
        <w:t>Regulatoria</w:t>
      </w:r>
      <w:r>
        <w:rPr>
          <w:lang w:val="es-MX"/>
        </w:rPr>
        <w:t xml:space="preserve"> (en lo sucesivo, la “UPR”)</w:t>
      </w:r>
      <w:r w:rsidRPr="006B160F">
        <w:rPr>
          <w:lang w:val="es-MX"/>
        </w:rPr>
        <w:t>.</w:t>
      </w:r>
    </w:p>
    <w:p w14:paraId="03C78C37" w14:textId="77777777" w:rsidR="00682E20" w:rsidRPr="006B160F" w:rsidRDefault="00682E20" w:rsidP="00682E20">
      <w:pPr>
        <w:pStyle w:val="Textoindependiente"/>
        <w:spacing w:before="1"/>
        <w:ind w:left="810"/>
        <w:jc w:val="both"/>
        <w:rPr>
          <w:lang w:val="es-MX"/>
        </w:rPr>
      </w:pPr>
    </w:p>
    <w:p w14:paraId="195AC212" w14:textId="77777777" w:rsidR="00682E20" w:rsidRPr="006B160F" w:rsidRDefault="00682E20" w:rsidP="00682E20">
      <w:pPr>
        <w:pStyle w:val="Ttulo1"/>
        <w:spacing w:before="79"/>
        <w:rPr>
          <w:lang w:val="es-MX"/>
        </w:rPr>
      </w:pPr>
      <w:r w:rsidRPr="006B160F">
        <w:rPr>
          <w:lang w:val="es-MX"/>
        </w:rPr>
        <w:t>Descripción</w:t>
      </w:r>
      <w:r w:rsidRPr="006B160F">
        <w:rPr>
          <w:spacing w:val="-5"/>
          <w:lang w:val="es-MX"/>
        </w:rPr>
        <w:t xml:space="preserve"> </w:t>
      </w:r>
      <w:r w:rsidRPr="006B160F">
        <w:rPr>
          <w:lang w:val="es-MX"/>
        </w:rPr>
        <w:t>de</w:t>
      </w:r>
      <w:r w:rsidRPr="006B160F">
        <w:rPr>
          <w:spacing w:val="-2"/>
          <w:lang w:val="es-MX"/>
        </w:rPr>
        <w:t xml:space="preserve"> </w:t>
      </w:r>
      <w:r w:rsidRPr="006B160F">
        <w:rPr>
          <w:lang w:val="es-MX"/>
        </w:rPr>
        <w:t>los</w:t>
      </w:r>
      <w:r w:rsidRPr="006B160F">
        <w:rPr>
          <w:spacing w:val="-1"/>
          <w:lang w:val="es-MX"/>
        </w:rPr>
        <w:t xml:space="preserve"> </w:t>
      </w:r>
      <w:r w:rsidRPr="006B160F">
        <w:rPr>
          <w:lang w:val="es-MX"/>
        </w:rPr>
        <w:t>participantes</w:t>
      </w:r>
      <w:r w:rsidRPr="006B160F">
        <w:rPr>
          <w:spacing w:val="-2"/>
          <w:lang w:val="es-MX"/>
        </w:rPr>
        <w:t xml:space="preserve"> </w:t>
      </w:r>
      <w:r w:rsidRPr="006B160F">
        <w:rPr>
          <w:lang w:val="es-MX"/>
        </w:rPr>
        <w:t>en</w:t>
      </w:r>
      <w:r w:rsidRPr="006B160F">
        <w:rPr>
          <w:spacing w:val="-3"/>
          <w:lang w:val="es-MX"/>
        </w:rPr>
        <w:t xml:space="preserve"> </w:t>
      </w:r>
      <w:r w:rsidRPr="006B160F">
        <w:rPr>
          <w:lang w:val="es-MX"/>
        </w:rPr>
        <w:t>la</w:t>
      </w:r>
      <w:r w:rsidRPr="006B160F">
        <w:rPr>
          <w:spacing w:val="-2"/>
          <w:lang w:val="es-MX"/>
        </w:rPr>
        <w:t xml:space="preserve"> </w:t>
      </w:r>
      <w:r>
        <w:rPr>
          <w:lang w:val="es-MX"/>
        </w:rPr>
        <w:t>Consulta Pública</w:t>
      </w:r>
      <w:r w:rsidRPr="006B160F">
        <w:rPr>
          <w:lang w:val="es-MX"/>
        </w:rPr>
        <w:t>:</w:t>
      </w:r>
    </w:p>
    <w:p w14:paraId="49D3E6D5" w14:textId="77777777" w:rsidR="00682E20" w:rsidRPr="006B160F" w:rsidRDefault="00682E20" w:rsidP="00682E20">
      <w:pPr>
        <w:pStyle w:val="Textoindependiente"/>
        <w:spacing w:before="8"/>
        <w:rPr>
          <w:b/>
          <w:sz w:val="26"/>
          <w:lang w:val="es-MX"/>
        </w:rPr>
      </w:pPr>
    </w:p>
    <w:p w14:paraId="614B5F5B" w14:textId="77777777" w:rsidR="00035189" w:rsidRPr="006B160F" w:rsidRDefault="00682E20" w:rsidP="004065CF">
      <w:pPr>
        <w:pStyle w:val="Textoindependiente"/>
        <w:spacing w:line="302" w:lineRule="auto"/>
        <w:ind w:left="810" w:right="823"/>
        <w:jc w:val="both"/>
        <w:rPr>
          <w:lang w:val="es-MX"/>
        </w:rPr>
      </w:pPr>
      <w:r>
        <w:rPr>
          <w:lang w:val="es-MX"/>
        </w:rPr>
        <w:t xml:space="preserve">Durante el periodo de la Consulta Pública de mérito </w:t>
      </w:r>
      <w:r w:rsidR="00826565">
        <w:rPr>
          <w:lang w:val="es-MX"/>
        </w:rPr>
        <w:t>s</w:t>
      </w:r>
      <w:r w:rsidR="00B12CA4">
        <w:rPr>
          <w:lang w:val="es-MX"/>
        </w:rPr>
        <w:t>o</w:t>
      </w:r>
      <w:r w:rsidR="00826565">
        <w:rPr>
          <w:lang w:val="es-MX"/>
        </w:rPr>
        <w:t xml:space="preserve">lo </w:t>
      </w:r>
      <w:r>
        <w:rPr>
          <w:lang w:val="es-MX"/>
        </w:rPr>
        <w:t>se recibi</w:t>
      </w:r>
      <w:r w:rsidR="004065CF">
        <w:rPr>
          <w:lang w:val="es-MX"/>
        </w:rPr>
        <w:t xml:space="preserve">ó </w:t>
      </w:r>
      <w:r w:rsidR="00826565">
        <w:rPr>
          <w:lang w:val="es-MX"/>
        </w:rPr>
        <w:t>la</w:t>
      </w:r>
      <w:r w:rsidR="004065CF">
        <w:rPr>
          <w:lang w:val="es-MX"/>
        </w:rPr>
        <w:t xml:space="preserve"> participación </w:t>
      </w:r>
      <w:r>
        <w:rPr>
          <w:lang w:val="es-MX"/>
        </w:rPr>
        <w:t>de</w:t>
      </w:r>
      <w:r w:rsidR="00A71E52">
        <w:rPr>
          <w:lang w:val="es-MX"/>
        </w:rPr>
        <w:t xml:space="preserve"> </w:t>
      </w:r>
      <w:r w:rsidR="00A71E52">
        <w:rPr>
          <w:bCs/>
          <w:lang w:val="es-MX"/>
        </w:rPr>
        <w:t>TELEFONÍA POR CABLE, S.A. DE C.V.</w:t>
      </w:r>
      <w:r w:rsidR="00A8219D">
        <w:rPr>
          <w:bCs/>
          <w:lang w:val="es-MX"/>
        </w:rPr>
        <w:t xml:space="preserve"> (en lo sucesivo, “Megacable”)</w:t>
      </w:r>
      <w:r w:rsidR="00795D82">
        <w:rPr>
          <w:bCs/>
          <w:lang w:val="es-MX"/>
        </w:rPr>
        <w:t>, la cual se encuentra</w:t>
      </w:r>
      <w:r w:rsidRPr="006B160F">
        <w:rPr>
          <w:spacing w:val="8"/>
          <w:lang w:val="es-MX"/>
        </w:rPr>
        <w:t xml:space="preserve"> </w:t>
      </w:r>
      <w:r w:rsidRPr="006B160F">
        <w:rPr>
          <w:lang w:val="es-MX"/>
        </w:rPr>
        <w:t>disponible</w:t>
      </w:r>
      <w:r w:rsidRPr="006B160F">
        <w:rPr>
          <w:spacing w:val="6"/>
          <w:lang w:val="es-MX"/>
        </w:rPr>
        <w:t xml:space="preserve"> </w:t>
      </w:r>
      <w:r w:rsidRPr="006B160F">
        <w:rPr>
          <w:lang w:val="es-MX"/>
        </w:rPr>
        <w:t>para</w:t>
      </w:r>
      <w:r w:rsidRPr="006B160F">
        <w:rPr>
          <w:spacing w:val="4"/>
          <w:lang w:val="es-MX"/>
        </w:rPr>
        <w:t xml:space="preserve"> </w:t>
      </w:r>
      <w:r w:rsidRPr="006B160F">
        <w:rPr>
          <w:lang w:val="es-MX"/>
        </w:rPr>
        <w:t>su</w:t>
      </w:r>
      <w:r w:rsidRPr="006B160F">
        <w:rPr>
          <w:spacing w:val="9"/>
          <w:lang w:val="es-MX"/>
        </w:rPr>
        <w:t xml:space="preserve"> </w:t>
      </w:r>
      <w:r w:rsidRPr="006B160F">
        <w:rPr>
          <w:lang w:val="es-MX"/>
        </w:rPr>
        <w:t>consulta</w:t>
      </w:r>
      <w:r w:rsidRPr="006B160F">
        <w:rPr>
          <w:spacing w:val="9"/>
          <w:lang w:val="es-MX"/>
        </w:rPr>
        <w:t xml:space="preserve"> </w:t>
      </w:r>
      <w:r w:rsidRPr="006B160F">
        <w:rPr>
          <w:lang w:val="es-MX"/>
        </w:rPr>
        <w:t>en</w:t>
      </w:r>
      <w:r w:rsidRPr="006B160F">
        <w:rPr>
          <w:spacing w:val="8"/>
          <w:lang w:val="es-MX"/>
        </w:rPr>
        <w:t xml:space="preserve"> </w:t>
      </w:r>
      <w:r w:rsidRPr="006B160F">
        <w:rPr>
          <w:lang w:val="es-MX"/>
        </w:rPr>
        <w:t>la</w:t>
      </w:r>
      <w:r w:rsidRPr="006B160F">
        <w:rPr>
          <w:spacing w:val="9"/>
          <w:lang w:val="es-MX"/>
        </w:rPr>
        <w:t xml:space="preserve"> </w:t>
      </w:r>
      <w:r w:rsidRPr="006B160F">
        <w:rPr>
          <w:lang w:val="es-MX"/>
        </w:rPr>
        <w:t>página</w:t>
      </w:r>
      <w:r w:rsidRPr="006B160F">
        <w:rPr>
          <w:spacing w:val="9"/>
          <w:lang w:val="es-MX"/>
        </w:rPr>
        <w:t xml:space="preserve"> </w:t>
      </w:r>
      <w:r w:rsidRPr="006B160F">
        <w:rPr>
          <w:lang w:val="es-MX"/>
        </w:rPr>
        <w:t>de</w:t>
      </w:r>
      <w:r w:rsidRPr="006B160F">
        <w:rPr>
          <w:spacing w:val="8"/>
          <w:lang w:val="es-MX"/>
        </w:rPr>
        <w:t xml:space="preserve"> </w:t>
      </w:r>
      <w:r w:rsidRPr="006B160F">
        <w:rPr>
          <w:lang w:val="es-MX"/>
        </w:rPr>
        <w:t>Internet</w:t>
      </w:r>
      <w:r>
        <w:rPr>
          <w:lang w:val="es-MX"/>
        </w:rPr>
        <w:t xml:space="preserve">: </w:t>
      </w:r>
      <w:r w:rsidRPr="006B160F">
        <w:rPr>
          <w:spacing w:val="-58"/>
          <w:lang w:val="es-MX"/>
        </w:rPr>
        <w:t xml:space="preserve"> </w:t>
      </w:r>
      <w:hyperlink r:id="rId12" w:history="1">
        <w:r w:rsidR="00035189" w:rsidRPr="004C0190">
          <w:rPr>
            <w:rStyle w:val="Hipervnculo"/>
            <w:lang w:val="es-MX"/>
          </w:rPr>
          <w:t>https://www.ift.org.mx/industria/consultas-publicas/consulta-publica-sobre-el-modelo-de-costos-evitados-para-el-servicio-mayorista-de-reventa-del-0</w:t>
        </w:r>
      </w:hyperlink>
      <w:r w:rsidR="00035189">
        <w:rPr>
          <w:lang w:val="es-MX"/>
        </w:rPr>
        <w:t xml:space="preserve"> </w:t>
      </w:r>
    </w:p>
    <w:p w14:paraId="23960811" w14:textId="77777777" w:rsidR="00682E20" w:rsidRPr="006B160F" w:rsidRDefault="00682E20" w:rsidP="00A4210C">
      <w:pPr>
        <w:pStyle w:val="Textoindependiente"/>
        <w:spacing w:before="69"/>
        <w:ind w:left="811" w:right="833"/>
        <w:rPr>
          <w:lang w:val="es-MX"/>
        </w:rPr>
      </w:pPr>
    </w:p>
    <w:p w14:paraId="4DC03E21" w14:textId="77777777" w:rsidR="00682E20" w:rsidRPr="006B160F" w:rsidRDefault="00682E20" w:rsidP="00682E20">
      <w:pPr>
        <w:pStyle w:val="Ttulo1"/>
        <w:spacing w:before="174"/>
        <w:rPr>
          <w:lang w:val="es-MX"/>
        </w:rPr>
      </w:pPr>
      <w:r w:rsidRPr="006B160F">
        <w:rPr>
          <w:lang w:val="es-MX"/>
        </w:rPr>
        <w:t>Respuestas</w:t>
      </w:r>
      <w:r w:rsidRPr="006B160F">
        <w:rPr>
          <w:spacing w:val="-2"/>
          <w:lang w:val="es-MX"/>
        </w:rPr>
        <w:t xml:space="preserve"> </w:t>
      </w:r>
      <w:r w:rsidRPr="006B160F">
        <w:rPr>
          <w:lang w:val="es-MX"/>
        </w:rPr>
        <w:t>o</w:t>
      </w:r>
      <w:r w:rsidRPr="006B160F">
        <w:rPr>
          <w:spacing w:val="-3"/>
          <w:lang w:val="es-MX"/>
        </w:rPr>
        <w:t xml:space="preserve"> </w:t>
      </w:r>
      <w:r w:rsidRPr="006B160F">
        <w:rPr>
          <w:lang w:val="es-MX"/>
        </w:rPr>
        <w:t>posicionamientos</w:t>
      </w:r>
      <w:r w:rsidRPr="006B160F">
        <w:rPr>
          <w:spacing w:val="-1"/>
          <w:lang w:val="es-MX"/>
        </w:rPr>
        <w:t xml:space="preserve"> </w:t>
      </w:r>
      <w:r w:rsidRPr="006B160F">
        <w:rPr>
          <w:lang w:val="es-MX"/>
        </w:rPr>
        <w:t>por</w:t>
      </w:r>
      <w:r w:rsidRPr="006B160F">
        <w:rPr>
          <w:spacing w:val="-5"/>
          <w:lang w:val="es-MX"/>
        </w:rPr>
        <w:t xml:space="preserve"> </w:t>
      </w:r>
      <w:r w:rsidRPr="006B160F">
        <w:rPr>
          <w:lang w:val="es-MX"/>
        </w:rPr>
        <w:t>parte</w:t>
      </w:r>
      <w:r w:rsidRPr="006B160F">
        <w:rPr>
          <w:spacing w:val="-2"/>
          <w:lang w:val="es-MX"/>
        </w:rPr>
        <w:t xml:space="preserve"> </w:t>
      </w:r>
      <w:r w:rsidR="008528CE">
        <w:rPr>
          <w:lang w:val="es-MX"/>
        </w:rPr>
        <w:t>de la UPR</w:t>
      </w:r>
    </w:p>
    <w:p w14:paraId="631C5C8A" w14:textId="77777777" w:rsidR="00682E20" w:rsidRPr="006B160F" w:rsidRDefault="00682E20" w:rsidP="00682E20">
      <w:pPr>
        <w:pStyle w:val="Textoindependiente"/>
        <w:spacing w:before="7"/>
        <w:rPr>
          <w:b/>
          <w:sz w:val="20"/>
          <w:lang w:val="es-MX"/>
        </w:rPr>
      </w:pPr>
    </w:p>
    <w:p w14:paraId="52171131" w14:textId="230AFAFF" w:rsidR="00682E20" w:rsidRPr="00904CDD" w:rsidRDefault="00682E20" w:rsidP="00904CDD">
      <w:pPr>
        <w:pStyle w:val="Textoindependiente"/>
        <w:spacing w:line="276" w:lineRule="auto"/>
        <w:ind w:left="810" w:right="812"/>
        <w:jc w:val="both"/>
        <w:rPr>
          <w:lang w:val="es-MX"/>
        </w:rPr>
      </w:pPr>
      <w:r w:rsidRPr="00904CDD">
        <w:rPr>
          <w:lang w:val="es-MX"/>
        </w:rPr>
        <w:t>Las respuestas brindadas a los comentarios de la Consulta Pública atienden únicamente</w:t>
      </w:r>
      <w:r w:rsidRPr="00904CDD">
        <w:rPr>
          <w:spacing w:val="1"/>
          <w:lang w:val="es-MX"/>
        </w:rPr>
        <w:t xml:space="preserve"> </w:t>
      </w:r>
      <w:r w:rsidRPr="00904CDD">
        <w:rPr>
          <w:lang w:val="es-MX"/>
        </w:rPr>
        <w:t>lo</w:t>
      </w:r>
      <w:r w:rsidRPr="00904CDD">
        <w:rPr>
          <w:spacing w:val="1"/>
          <w:lang w:val="es-MX"/>
        </w:rPr>
        <w:t xml:space="preserve"> </w:t>
      </w:r>
      <w:r w:rsidRPr="00904CDD">
        <w:rPr>
          <w:lang w:val="es-MX"/>
        </w:rPr>
        <w:t>relacionado</w:t>
      </w:r>
      <w:r w:rsidRPr="00904CDD">
        <w:rPr>
          <w:spacing w:val="1"/>
          <w:lang w:val="es-MX"/>
        </w:rPr>
        <w:t xml:space="preserve"> </w:t>
      </w:r>
      <w:r w:rsidRPr="00904CDD">
        <w:rPr>
          <w:lang w:val="es-MX"/>
        </w:rPr>
        <w:t>con</w:t>
      </w:r>
      <w:r w:rsidRPr="00904CDD">
        <w:rPr>
          <w:spacing w:val="1"/>
          <w:lang w:val="es-MX"/>
        </w:rPr>
        <w:t xml:space="preserve"> </w:t>
      </w:r>
      <w:r w:rsidRPr="00904CDD">
        <w:rPr>
          <w:lang w:val="es-MX"/>
        </w:rPr>
        <w:t>las</w:t>
      </w:r>
      <w:r w:rsidRPr="00904CDD">
        <w:rPr>
          <w:spacing w:val="1"/>
          <w:lang w:val="es-MX"/>
        </w:rPr>
        <w:t xml:space="preserve"> </w:t>
      </w:r>
      <w:r w:rsidRPr="00904CDD">
        <w:rPr>
          <w:lang w:val="es-MX"/>
        </w:rPr>
        <w:t>observaciones</w:t>
      </w:r>
      <w:r w:rsidRPr="00904CDD">
        <w:rPr>
          <w:spacing w:val="1"/>
          <w:lang w:val="es-MX"/>
        </w:rPr>
        <w:t xml:space="preserve"> </w:t>
      </w:r>
      <w:r w:rsidRPr="00904CDD">
        <w:rPr>
          <w:lang w:val="es-MX"/>
        </w:rPr>
        <w:t>realizadas</w:t>
      </w:r>
      <w:r w:rsidRPr="00904CDD">
        <w:rPr>
          <w:spacing w:val="1"/>
          <w:lang w:val="es-MX"/>
        </w:rPr>
        <w:t xml:space="preserve"> </w:t>
      </w:r>
      <w:r w:rsidRPr="00904CDD">
        <w:rPr>
          <w:lang w:val="es-MX"/>
        </w:rPr>
        <w:t>por</w:t>
      </w:r>
      <w:r w:rsidRPr="00904CDD">
        <w:rPr>
          <w:spacing w:val="1"/>
          <w:lang w:val="es-MX"/>
        </w:rPr>
        <w:t xml:space="preserve"> </w:t>
      </w:r>
      <w:r w:rsidR="00D34064">
        <w:rPr>
          <w:lang w:val="es-MX"/>
        </w:rPr>
        <w:t xml:space="preserve">el </w:t>
      </w:r>
      <w:r w:rsidRPr="00904CDD">
        <w:rPr>
          <w:lang w:val="es-MX"/>
        </w:rPr>
        <w:t>participante</w:t>
      </w:r>
      <w:r w:rsidRPr="00904CDD">
        <w:rPr>
          <w:spacing w:val="1"/>
          <w:lang w:val="es-MX"/>
        </w:rPr>
        <w:t xml:space="preserve"> </w:t>
      </w:r>
      <w:r w:rsidRPr="00904CDD">
        <w:rPr>
          <w:lang w:val="es-MX"/>
        </w:rPr>
        <w:t>al</w:t>
      </w:r>
      <w:r w:rsidRPr="00904CDD">
        <w:rPr>
          <w:spacing w:val="1"/>
          <w:lang w:val="es-MX"/>
        </w:rPr>
        <w:t xml:space="preserve"> </w:t>
      </w:r>
      <w:r w:rsidR="00792E78" w:rsidRPr="00904CDD">
        <w:rPr>
          <w:lang w:val="es-MX"/>
        </w:rPr>
        <w:t>Modelo de Costos Evitados</w:t>
      </w:r>
      <w:r w:rsidR="00FE67FF">
        <w:rPr>
          <w:lang w:val="es-MX"/>
        </w:rPr>
        <w:t xml:space="preserve"> (en adelante, “MCE”)</w:t>
      </w:r>
      <w:r w:rsidR="00792E78" w:rsidRPr="00904CDD">
        <w:rPr>
          <w:lang w:val="es-MX"/>
        </w:rPr>
        <w:t xml:space="preserve"> </w:t>
      </w:r>
      <w:r w:rsidRPr="00904CDD">
        <w:rPr>
          <w:lang w:val="es-MX"/>
        </w:rPr>
        <w:t>o</w:t>
      </w:r>
      <w:r w:rsidRPr="00904CDD">
        <w:rPr>
          <w:spacing w:val="1"/>
          <w:lang w:val="es-MX"/>
        </w:rPr>
        <w:t xml:space="preserve"> </w:t>
      </w:r>
      <w:r w:rsidRPr="00904CDD">
        <w:rPr>
          <w:lang w:val="es-MX"/>
        </w:rPr>
        <w:t>comentarios generales que pueden aplicarse a</w:t>
      </w:r>
      <w:r w:rsidRPr="00904CDD">
        <w:rPr>
          <w:spacing w:val="1"/>
          <w:lang w:val="es-MX"/>
        </w:rPr>
        <w:t xml:space="preserve"> </w:t>
      </w:r>
      <w:r w:rsidRPr="00904CDD">
        <w:rPr>
          <w:lang w:val="es-MX"/>
        </w:rPr>
        <w:t>éste</w:t>
      </w:r>
      <w:r w:rsidR="00B12CA4">
        <w:rPr>
          <w:lang w:val="es-MX"/>
        </w:rPr>
        <w:t xml:space="preserve"> considerados en el Documento Metodológico</w:t>
      </w:r>
      <w:r w:rsidR="00B12CA4">
        <w:rPr>
          <w:rStyle w:val="Refdenotaalpie"/>
          <w:lang w:val="es-MX"/>
        </w:rPr>
        <w:footnoteReference w:id="2"/>
      </w:r>
      <w:r w:rsidRPr="00904CDD">
        <w:rPr>
          <w:lang w:val="es-MX"/>
        </w:rPr>
        <w:t>. Asimismo, se</w:t>
      </w:r>
      <w:r w:rsidRPr="00904CDD">
        <w:rPr>
          <w:spacing w:val="1"/>
          <w:lang w:val="es-MX"/>
        </w:rPr>
        <w:t xml:space="preserve"> </w:t>
      </w:r>
      <w:r w:rsidRPr="00904CDD">
        <w:rPr>
          <w:lang w:val="es-MX"/>
        </w:rPr>
        <w:t>atienden</w:t>
      </w:r>
      <w:r w:rsidRPr="00904CDD">
        <w:rPr>
          <w:spacing w:val="-6"/>
          <w:lang w:val="es-MX"/>
        </w:rPr>
        <w:t xml:space="preserve"> </w:t>
      </w:r>
      <w:r w:rsidRPr="00904CDD">
        <w:rPr>
          <w:lang w:val="es-MX"/>
        </w:rPr>
        <w:t>cada</w:t>
      </w:r>
      <w:r w:rsidRPr="00904CDD">
        <w:rPr>
          <w:spacing w:val="-11"/>
          <w:lang w:val="es-MX"/>
        </w:rPr>
        <w:t xml:space="preserve"> </w:t>
      </w:r>
      <w:r w:rsidRPr="00904CDD">
        <w:rPr>
          <w:lang w:val="es-MX"/>
        </w:rPr>
        <w:t>uno</w:t>
      </w:r>
      <w:r w:rsidRPr="00904CDD">
        <w:rPr>
          <w:spacing w:val="-12"/>
          <w:lang w:val="es-MX"/>
        </w:rPr>
        <w:t xml:space="preserve"> </w:t>
      </w:r>
      <w:r w:rsidRPr="00904CDD">
        <w:rPr>
          <w:lang w:val="es-MX"/>
        </w:rPr>
        <w:t>de</w:t>
      </w:r>
      <w:r w:rsidRPr="00904CDD">
        <w:rPr>
          <w:spacing w:val="-7"/>
          <w:lang w:val="es-MX"/>
        </w:rPr>
        <w:t xml:space="preserve"> </w:t>
      </w:r>
      <w:r w:rsidRPr="00904CDD">
        <w:rPr>
          <w:lang w:val="es-MX"/>
        </w:rPr>
        <w:t>los</w:t>
      </w:r>
      <w:r w:rsidRPr="00904CDD">
        <w:rPr>
          <w:spacing w:val="-10"/>
          <w:lang w:val="es-MX"/>
        </w:rPr>
        <w:t xml:space="preserve"> </w:t>
      </w:r>
      <w:r w:rsidRPr="00904CDD">
        <w:rPr>
          <w:lang w:val="es-MX"/>
        </w:rPr>
        <w:t>temas</w:t>
      </w:r>
      <w:r w:rsidRPr="00904CDD">
        <w:rPr>
          <w:spacing w:val="-11"/>
          <w:lang w:val="es-MX"/>
        </w:rPr>
        <w:t xml:space="preserve"> </w:t>
      </w:r>
      <w:r w:rsidRPr="00904CDD">
        <w:rPr>
          <w:spacing w:val="-5"/>
          <w:lang w:val="es-MX"/>
        </w:rPr>
        <w:t xml:space="preserve">en </w:t>
      </w:r>
      <w:r w:rsidRPr="00904CDD">
        <w:rPr>
          <w:lang w:val="es-MX"/>
        </w:rPr>
        <w:t>el</w:t>
      </w:r>
      <w:r w:rsidRPr="00904CDD">
        <w:rPr>
          <w:spacing w:val="-14"/>
          <w:lang w:val="es-MX"/>
        </w:rPr>
        <w:t xml:space="preserve"> </w:t>
      </w:r>
      <w:r w:rsidRPr="00904CDD">
        <w:rPr>
          <w:lang w:val="es-MX"/>
        </w:rPr>
        <w:t>orden</w:t>
      </w:r>
      <w:r w:rsidRPr="00904CDD">
        <w:rPr>
          <w:spacing w:val="-12"/>
          <w:lang w:val="es-MX"/>
        </w:rPr>
        <w:t xml:space="preserve"> </w:t>
      </w:r>
      <w:r w:rsidRPr="00904CDD">
        <w:rPr>
          <w:lang w:val="es-MX"/>
        </w:rPr>
        <w:t>en</w:t>
      </w:r>
      <w:r w:rsidRPr="00904CDD">
        <w:rPr>
          <w:spacing w:val="-7"/>
          <w:lang w:val="es-MX"/>
        </w:rPr>
        <w:t xml:space="preserve"> </w:t>
      </w:r>
      <w:r w:rsidRPr="00904CDD">
        <w:rPr>
          <w:lang w:val="es-MX"/>
        </w:rPr>
        <w:t>que</w:t>
      </w:r>
      <w:r w:rsidRPr="00904CDD">
        <w:rPr>
          <w:spacing w:val="-4"/>
          <w:lang w:val="es-MX"/>
        </w:rPr>
        <w:t xml:space="preserve"> </w:t>
      </w:r>
      <w:r w:rsidRPr="00904CDD">
        <w:rPr>
          <w:lang w:val="es-MX"/>
        </w:rPr>
        <w:t>fueron</w:t>
      </w:r>
      <w:r w:rsidRPr="00904CDD">
        <w:rPr>
          <w:spacing w:val="-12"/>
          <w:lang w:val="es-MX"/>
        </w:rPr>
        <w:t xml:space="preserve"> </w:t>
      </w:r>
      <w:r w:rsidRPr="00904CDD">
        <w:rPr>
          <w:lang w:val="es-MX"/>
        </w:rPr>
        <w:t>abordados</w:t>
      </w:r>
      <w:r w:rsidRPr="00904CDD">
        <w:rPr>
          <w:spacing w:val="-9"/>
          <w:lang w:val="es-MX"/>
        </w:rPr>
        <w:t xml:space="preserve"> </w:t>
      </w:r>
      <w:r w:rsidR="00792E78" w:rsidRPr="00904CDD">
        <w:rPr>
          <w:spacing w:val="-9"/>
          <w:lang w:val="es-MX"/>
        </w:rPr>
        <w:t xml:space="preserve">por </w:t>
      </w:r>
      <w:r w:rsidR="00D311FD">
        <w:rPr>
          <w:spacing w:val="-9"/>
          <w:lang w:val="es-MX"/>
        </w:rPr>
        <w:t>e</w:t>
      </w:r>
      <w:r w:rsidR="00792E78" w:rsidRPr="00904CDD">
        <w:rPr>
          <w:spacing w:val="-9"/>
          <w:lang w:val="es-MX"/>
        </w:rPr>
        <w:t>l</w:t>
      </w:r>
      <w:r w:rsidRPr="00904CDD">
        <w:rPr>
          <w:spacing w:val="1"/>
          <w:lang w:val="es-MX"/>
        </w:rPr>
        <w:t xml:space="preserve"> </w:t>
      </w:r>
      <w:r w:rsidRPr="00904CDD">
        <w:rPr>
          <w:lang w:val="es-MX"/>
        </w:rPr>
        <w:t>participante.</w:t>
      </w:r>
      <w:r w:rsidRPr="00904CDD">
        <w:rPr>
          <w:spacing w:val="1"/>
          <w:lang w:val="es-MX"/>
        </w:rPr>
        <w:t xml:space="preserve"> </w:t>
      </w:r>
      <w:r w:rsidRPr="00904CDD">
        <w:rPr>
          <w:lang w:val="es-MX"/>
        </w:rPr>
        <w:t>Primero,</w:t>
      </w:r>
      <w:r w:rsidRPr="00904CDD">
        <w:rPr>
          <w:spacing w:val="1"/>
          <w:lang w:val="es-MX"/>
        </w:rPr>
        <w:t xml:space="preserve"> </w:t>
      </w:r>
      <w:r w:rsidRPr="00904CDD">
        <w:rPr>
          <w:lang w:val="es-MX"/>
        </w:rPr>
        <w:t>se</w:t>
      </w:r>
      <w:r w:rsidRPr="00904CDD">
        <w:rPr>
          <w:spacing w:val="1"/>
          <w:lang w:val="es-MX"/>
        </w:rPr>
        <w:t xml:space="preserve"> </w:t>
      </w:r>
      <w:r w:rsidRPr="00904CDD">
        <w:rPr>
          <w:lang w:val="es-MX"/>
        </w:rPr>
        <w:t>presenta</w:t>
      </w:r>
      <w:r w:rsidRPr="00904CDD">
        <w:rPr>
          <w:spacing w:val="1"/>
          <w:lang w:val="es-MX"/>
        </w:rPr>
        <w:t xml:space="preserve"> </w:t>
      </w:r>
      <w:r w:rsidRPr="00904CDD">
        <w:rPr>
          <w:lang w:val="es-MX"/>
        </w:rPr>
        <w:t>un</w:t>
      </w:r>
      <w:r w:rsidRPr="00904CDD">
        <w:rPr>
          <w:spacing w:val="1"/>
          <w:lang w:val="es-MX"/>
        </w:rPr>
        <w:t xml:space="preserve"> </w:t>
      </w:r>
      <w:r w:rsidRPr="00904CDD">
        <w:rPr>
          <w:lang w:val="es-MX"/>
        </w:rPr>
        <w:t>resumen</w:t>
      </w:r>
      <w:r w:rsidRPr="00904CDD">
        <w:rPr>
          <w:spacing w:val="1"/>
          <w:lang w:val="es-MX"/>
        </w:rPr>
        <w:t xml:space="preserve"> </w:t>
      </w:r>
      <w:r w:rsidRPr="00904CDD">
        <w:rPr>
          <w:lang w:val="es-MX"/>
        </w:rPr>
        <w:t>de</w:t>
      </w:r>
      <w:r w:rsidRPr="00904CDD">
        <w:rPr>
          <w:spacing w:val="1"/>
          <w:lang w:val="es-MX"/>
        </w:rPr>
        <w:t xml:space="preserve"> </w:t>
      </w:r>
      <w:r w:rsidRPr="00904CDD">
        <w:rPr>
          <w:lang w:val="es-MX"/>
        </w:rPr>
        <w:t>los</w:t>
      </w:r>
      <w:r w:rsidRPr="00904CDD">
        <w:rPr>
          <w:spacing w:val="1"/>
          <w:lang w:val="es-MX"/>
        </w:rPr>
        <w:t xml:space="preserve"> </w:t>
      </w:r>
      <w:r w:rsidRPr="00904CDD">
        <w:rPr>
          <w:lang w:val="es-MX"/>
        </w:rPr>
        <w:t>comentarios</w:t>
      </w:r>
      <w:r w:rsidRPr="00904CDD">
        <w:rPr>
          <w:spacing w:val="1"/>
          <w:lang w:val="es-MX"/>
        </w:rPr>
        <w:t xml:space="preserve"> </w:t>
      </w:r>
      <w:r w:rsidR="00D311FD">
        <w:rPr>
          <w:spacing w:val="1"/>
          <w:lang w:val="es-MX"/>
        </w:rPr>
        <w:t xml:space="preserve">realizados </w:t>
      </w:r>
      <w:r w:rsidRPr="00904CDD">
        <w:rPr>
          <w:spacing w:val="-1"/>
          <w:lang w:val="es-MX"/>
        </w:rPr>
        <w:t>y</w:t>
      </w:r>
      <w:r w:rsidRPr="00904CDD">
        <w:rPr>
          <w:spacing w:val="-17"/>
          <w:lang w:val="es-MX"/>
        </w:rPr>
        <w:t xml:space="preserve"> </w:t>
      </w:r>
      <w:r w:rsidRPr="00904CDD">
        <w:rPr>
          <w:spacing w:val="-1"/>
          <w:lang w:val="es-MX"/>
        </w:rPr>
        <w:t>enseguida</w:t>
      </w:r>
      <w:r w:rsidRPr="00904CDD">
        <w:rPr>
          <w:spacing w:val="-12"/>
          <w:lang w:val="es-MX"/>
        </w:rPr>
        <w:t xml:space="preserve"> </w:t>
      </w:r>
      <w:r w:rsidRPr="00904CDD">
        <w:rPr>
          <w:spacing w:val="-1"/>
          <w:lang w:val="es-MX"/>
        </w:rPr>
        <w:t>la</w:t>
      </w:r>
      <w:r w:rsidRPr="00904CDD">
        <w:rPr>
          <w:spacing w:val="-14"/>
          <w:lang w:val="es-MX"/>
        </w:rPr>
        <w:t xml:space="preserve"> </w:t>
      </w:r>
      <w:r w:rsidRPr="00904CDD">
        <w:rPr>
          <w:spacing w:val="-1"/>
          <w:lang w:val="es-MX"/>
        </w:rPr>
        <w:t>respuesta</w:t>
      </w:r>
      <w:r w:rsidRPr="00904CDD">
        <w:rPr>
          <w:spacing w:val="-13"/>
          <w:lang w:val="es-MX"/>
        </w:rPr>
        <w:t xml:space="preserve"> </w:t>
      </w:r>
      <w:r w:rsidRPr="00904CDD">
        <w:rPr>
          <w:lang w:val="es-MX"/>
        </w:rPr>
        <w:t>que</w:t>
      </w:r>
      <w:r w:rsidRPr="00904CDD">
        <w:rPr>
          <w:spacing w:val="-11"/>
          <w:lang w:val="es-MX"/>
        </w:rPr>
        <w:t xml:space="preserve"> </w:t>
      </w:r>
      <w:r w:rsidR="006B4B9A">
        <w:rPr>
          <w:lang w:val="es-MX"/>
        </w:rPr>
        <w:t>la UPR</w:t>
      </w:r>
      <w:r w:rsidRPr="00904CDD">
        <w:rPr>
          <w:spacing w:val="-13"/>
          <w:lang w:val="es-MX"/>
        </w:rPr>
        <w:t xml:space="preserve"> </w:t>
      </w:r>
      <w:r w:rsidR="00D8371A">
        <w:rPr>
          <w:lang w:val="es-MX"/>
        </w:rPr>
        <w:t>otorga</w:t>
      </w:r>
      <w:r w:rsidR="00D8371A" w:rsidRPr="00904CDD">
        <w:rPr>
          <w:spacing w:val="-13"/>
          <w:lang w:val="es-MX"/>
        </w:rPr>
        <w:t xml:space="preserve"> </w:t>
      </w:r>
      <w:r w:rsidRPr="00904CDD">
        <w:rPr>
          <w:lang w:val="es-MX"/>
        </w:rPr>
        <w:t>a</w:t>
      </w:r>
      <w:r w:rsidRPr="00904CDD">
        <w:rPr>
          <w:spacing w:val="-14"/>
          <w:lang w:val="es-MX"/>
        </w:rPr>
        <w:t xml:space="preserve"> </w:t>
      </w:r>
      <w:r w:rsidRPr="00904CDD">
        <w:rPr>
          <w:lang w:val="es-MX"/>
        </w:rPr>
        <w:t>cada</w:t>
      </w:r>
      <w:r w:rsidRPr="00904CDD">
        <w:rPr>
          <w:spacing w:val="-13"/>
          <w:lang w:val="es-MX"/>
        </w:rPr>
        <w:t xml:space="preserve"> </w:t>
      </w:r>
      <w:r w:rsidRPr="00904CDD">
        <w:rPr>
          <w:lang w:val="es-MX"/>
        </w:rPr>
        <w:t>uno</w:t>
      </w:r>
      <w:r w:rsidRPr="00904CDD">
        <w:rPr>
          <w:spacing w:val="-19"/>
          <w:lang w:val="es-MX"/>
        </w:rPr>
        <w:t xml:space="preserve"> </w:t>
      </w:r>
      <w:r w:rsidRPr="00904CDD">
        <w:rPr>
          <w:lang w:val="es-MX"/>
        </w:rPr>
        <w:t>de</w:t>
      </w:r>
      <w:r w:rsidRPr="00904CDD">
        <w:rPr>
          <w:spacing w:val="-17"/>
          <w:lang w:val="es-MX"/>
        </w:rPr>
        <w:t xml:space="preserve"> </w:t>
      </w:r>
      <w:r w:rsidRPr="00904CDD">
        <w:rPr>
          <w:lang w:val="es-MX"/>
        </w:rPr>
        <w:t>éstos.</w:t>
      </w:r>
    </w:p>
    <w:p w14:paraId="59FB76B1" w14:textId="77777777" w:rsidR="00682E20" w:rsidRPr="006B160F" w:rsidRDefault="00682E20" w:rsidP="00682E20">
      <w:pPr>
        <w:pStyle w:val="Textoindependiente"/>
        <w:spacing w:before="200" w:line="276" w:lineRule="auto"/>
        <w:ind w:left="810" w:right="832"/>
        <w:jc w:val="both"/>
        <w:rPr>
          <w:lang w:val="es-MX"/>
        </w:rPr>
      </w:pPr>
      <w:r w:rsidRPr="006B160F">
        <w:rPr>
          <w:lang w:val="es-MX"/>
        </w:rPr>
        <w:t xml:space="preserve">Por lo anterior, </w:t>
      </w:r>
      <w:r>
        <w:rPr>
          <w:lang w:val="es-MX"/>
        </w:rPr>
        <w:t>la UPR</w:t>
      </w:r>
      <w:r w:rsidRPr="006B160F">
        <w:rPr>
          <w:lang w:val="es-MX"/>
        </w:rPr>
        <w:t xml:space="preserve"> emite las siguientes respuestas y consideraciones para cada</w:t>
      </w:r>
      <w:r w:rsidRPr="006B160F">
        <w:rPr>
          <w:spacing w:val="1"/>
          <w:lang w:val="es-MX"/>
        </w:rPr>
        <w:t xml:space="preserve"> </w:t>
      </w:r>
      <w:r w:rsidRPr="006B160F">
        <w:rPr>
          <w:lang w:val="es-MX"/>
        </w:rPr>
        <w:t>una de</w:t>
      </w:r>
      <w:r w:rsidRPr="006B160F">
        <w:rPr>
          <w:spacing w:val="2"/>
          <w:lang w:val="es-MX"/>
        </w:rPr>
        <w:t xml:space="preserve"> </w:t>
      </w:r>
      <w:r w:rsidRPr="006B160F">
        <w:rPr>
          <w:lang w:val="es-MX"/>
        </w:rPr>
        <w:t>las</w:t>
      </w:r>
      <w:r w:rsidRPr="006B160F">
        <w:rPr>
          <w:spacing w:val="-2"/>
          <w:lang w:val="es-MX"/>
        </w:rPr>
        <w:t xml:space="preserve"> </w:t>
      </w:r>
      <w:r w:rsidRPr="006B160F">
        <w:rPr>
          <w:lang w:val="es-MX"/>
        </w:rPr>
        <w:t>participaciones</w:t>
      </w:r>
      <w:r w:rsidRPr="006B160F">
        <w:rPr>
          <w:spacing w:val="-2"/>
          <w:lang w:val="es-MX"/>
        </w:rPr>
        <w:t xml:space="preserve"> </w:t>
      </w:r>
      <w:r w:rsidRPr="006B160F">
        <w:rPr>
          <w:lang w:val="es-MX"/>
        </w:rPr>
        <w:t>recibidas</w:t>
      </w:r>
      <w:r>
        <w:rPr>
          <w:lang w:val="es-MX"/>
        </w:rPr>
        <w:t>.</w:t>
      </w:r>
    </w:p>
    <w:p w14:paraId="1F0541BD" w14:textId="77777777" w:rsidR="00682E20" w:rsidRPr="006B160F" w:rsidRDefault="00682E20" w:rsidP="00682E20">
      <w:pPr>
        <w:pStyle w:val="Textoindependiente"/>
        <w:rPr>
          <w:sz w:val="24"/>
          <w:lang w:val="es-MX"/>
        </w:rPr>
      </w:pPr>
    </w:p>
    <w:p w14:paraId="27B7B68B" w14:textId="77777777" w:rsidR="00682E20" w:rsidRPr="006B160F" w:rsidRDefault="0031100C" w:rsidP="00682E20">
      <w:pPr>
        <w:pStyle w:val="Ttulo1"/>
        <w:numPr>
          <w:ilvl w:val="0"/>
          <w:numId w:val="1"/>
        </w:numPr>
        <w:tabs>
          <w:tab w:val="left" w:pos="1530"/>
          <w:tab w:val="left" w:pos="1531"/>
        </w:tabs>
        <w:spacing w:before="158"/>
        <w:jc w:val="left"/>
        <w:rPr>
          <w:lang w:val="es-MX"/>
        </w:rPr>
      </w:pPr>
      <w:bookmarkStart w:id="0" w:name="I._COMENTARIOS_GENERALES"/>
      <w:bookmarkEnd w:id="0"/>
      <w:r>
        <w:rPr>
          <w:spacing w:val="-1"/>
          <w:lang w:val="es-MX"/>
        </w:rPr>
        <w:t>Contexto regulatorio</w:t>
      </w:r>
    </w:p>
    <w:p w14:paraId="4DE2C5E4" w14:textId="77777777" w:rsidR="00682E20" w:rsidRPr="006B160F" w:rsidRDefault="00682E20" w:rsidP="00682E20">
      <w:pPr>
        <w:pStyle w:val="Textoindependiente"/>
        <w:spacing w:before="7"/>
        <w:rPr>
          <w:b/>
          <w:sz w:val="20"/>
          <w:lang w:val="es-MX"/>
        </w:rPr>
      </w:pPr>
    </w:p>
    <w:p w14:paraId="0FCE9C0A" w14:textId="77777777" w:rsidR="00682E20" w:rsidRPr="006B160F" w:rsidRDefault="00682E20" w:rsidP="00682E20">
      <w:pPr>
        <w:ind w:left="810"/>
        <w:rPr>
          <w:i/>
          <w:lang w:val="es-MX"/>
        </w:rPr>
      </w:pPr>
      <w:bookmarkStart w:id="1" w:name="Resumen_de_comentarios_generales_a_la_Co"/>
      <w:bookmarkEnd w:id="1"/>
      <w:r w:rsidRPr="006B160F">
        <w:rPr>
          <w:i/>
          <w:u w:val="single"/>
          <w:lang w:val="es-MX"/>
        </w:rPr>
        <w:t>Resumen</w:t>
      </w:r>
      <w:r w:rsidRPr="006B160F">
        <w:rPr>
          <w:i/>
          <w:spacing w:val="-4"/>
          <w:u w:val="single"/>
          <w:lang w:val="es-MX"/>
        </w:rPr>
        <w:t xml:space="preserve"> </w:t>
      </w:r>
      <w:r w:rsidRPr="006B160F">
        <w:rPr>
          <w:i/>
          <w:u w:val="single"/>
          <w:lang w:val="es-MX"/>
        </w:rPr>
        <w:t>de</w:t>
      </w:r>
      <w:r w:rsidRPr="006B160F">
        <w:rPr>
          <w:i/>
          <w:spacing w:val="-3"/>
          <w:u w:val="single"/>
          <w:lang w:val="es-MX"/>
        </w:rPr>
        <w:t xml:space="preserve"> </w:t>
      </w:r>
      <w:r w:rsidRPr="006B160F">
        <w:rPr>
          <w:i/>
          <w:u w:val="single"/>
          <w:lang w:val="es-MX"/>
        </w:rPr>
        <w:t>comentarios</w:t>
      </w:r>
      <w:r w:rsidRPr="006B160F">
        <w:rPr>
          <w:i/>
          <w:spacing w:val="-1"/>
          <w:u w:val="single"/>
          <w:lang w:val="es-MX"/>
        </w:rPr>
        <w:t xml:space="preserve"> </w:t>
      </w:r>
      <w:r w:rsidRPr="006B160F">
        <w:rPr>
          <w:i/>
          <w:u w:val="single"/>
          <w:lang w:val="es-MX"/>
        </w:rPr>
        <w:t>a</w:t>
      </w:r>
      <w:r w:rsidRPr="006B160F">
        <w:rPr>
          <w:i/>
          <w:spacing w:val="-2"/>
          <w:u w:val="single"/>
          <w:lang w:val="es-MX"/>
        </w:rPr>
        <w:t xml:space="preserve"> </w:t>
      </w:r>
      <w:r w:rsidRPr="006B160F">
        <w:rPr>
          <w:i/>
          <w:u w:val="single"/>
          <w:lang w:val="es-MX"/>
        </w:rPr>
        <w:t>la</w:t>
      </w:r>
      <w:r w:rsidRPr="006B160F">
        <w:rPr>
          <w:i/>
          <w:spacing w:val="-3"/>
          <w:u w:val="single"/>
          <w:lang w:val="es-MX"/>
        </w:rPr>
        <w:t xml:space="preserve"> </w:t>
      </w:r>
      <w:r>
        <w:rPr>
          <w:i/>
          <w:u w:val="single"/>
          <w:lang w:val="es-MX"/>
        </w:rPr>
        <w:t>Consulta Pública</w:t>
      </w:r>
    </w:p>
    <w:p w14:paraId="0444E7CE" w14:textId="77777777" w:rsidR="00682E20" w:rsidRPr="006B160F" w:rsidRDefault="00682E20" w:rsidP="00682E20">
      <w:pPr>
        <w:pStyle w:val="Textoindependiente"/>
        <w:spacing w:before="7"/>
        <w:rPr>
          <w:i/>
          <w:sz w:val="18"/>
          <w:lang w:val="es-MX"/>
        </w:rPr>
      </w:pPr>
    </w:p>
    <w:p w14:paraId="627D77D7" w14:textId="77777777" w:rsidR="00682E20" w:rsidRDefault="001C34A1" w:rsidP="00E07175">
      <w:pPr>
        <w:pStyle w:val="Textoindependiente"/>
        <w:spacing w:before="93" w:line="302" w:lineRule="auto"/>
        <w:ind w:left="810" w:right="817"/>
        <w:jc w:val="both"/>
        <w:rPr>
          <w:lang w:val="es-MX"/>
        </w:rPr>
      </w:pPr>
      <w:r>
        <w:rPr>
          <w:lang w:val="es-MX"/>
        </w:rPr>
        <w:t xml:space="preserve">Megacable </w:t>
      </w:r>
      <w:r w:rsidR="003901FC">
        <w:rPr>
          <w:lang w:val="es-MX"/>
        </w:rPr>
        <w:t xml:space="preserve">considera </w:t>
      </w:r>
      <w:r w:rsidR="003901FC" w:rsidRPr="003901FC">
        <w:rPr>
          <w:lang w:val="es-MX"/>
        </w:rPr>
        <w:t>que</w:t>
      </w:r>
      <w:r w:rsidR="00F6137B">
        <w:rPr>
          <w:lang w:val="es-MX"/>
        </w:rPr>
        <w:t>:</w:t>
      </w:r>
    </w:p>
    <w:p w14:paraId="026B612E" w14:textId="77777777" w:rsidR="003B2498" w:rsidRDefault="003B2498" w:rsidP="00E67FD6">
      <w:pPr>
        <w:pStyle w:val="Cita"/>
        <w:ind w:left="1560" w:right="2006"/>
        <w:jc w:val="both"/>
        <w:rPr>
          <w:sz w:val="18"/>
          <w:szCs w:val="18"/>
          <w:lang w:val="es-MX"/>
        </w:rPr>
      </w:pPr>
      <w:r w:rsidRPr="00C56E1D">
        <w:rPr>
          <w:sz w:val="18"/>
          <w:szCs w:val="18"/>
          <w:lang w:val="es-MX"/>
        </w:rPr>
        <w:t>“El Modelo de Costos Evitados</w:t>
      </w:r>
      <w:r w:rsidR="00C56E1D" w:rsidRPr="00C56E1D">
        <w:rPr>
          <w:sz w:val="18"/>
          <w:szCs w:val="18"/>
          <w:lang w:val="es-MX"/>
        </w:rPr>
        <w:t xml:space="preserve"> objeto de la Consulta Pública, no se apega a la realidad del Contexto Regulatorio, y ni siquiera es consistente con la Propuesta de Oferta de Referencia del Servicio Mayorista de Reventa del Servicio de TV y Audio Restringidos 2025 que recientemente fue objeto de consulta pública por parte del Instituto</w:t>
      </w:r>
      <w:r w:rsidR="00102F29" w:rsidRPr="00102F29">
        <w:rPr>
          <w:sz w:val="18"/>
          <w:szCs w:val="18"/>
          <w:vertAlign w:val="superscript"/>
          <w:lang w:val="es-MX"/>
        </w:rPr>
        <w:t>2</w:t>
      </w:r>
      <w:r w:rsidR="00E67FD6">
        <w:rPr>
          <w:sz w:val="18"/>
          <w:szCs w:val="18"/>
          <w:lang w:val="es-MX"/>
        </w:rPr>
        <w:t>.</w:t>
      </w:r>
    </w:p>
    <w:p w14:paraId="6C7BCEAA" w14:textId="67AE3505" w:rsidR="00E67FD6" w:rsidRDefault="00E67FD6" w:rsidP="00E67FD6">
      <w:pPr>
        <w:pStyle w:val="Cita"/>
        <w:ind w:left="1560" w:right="2006"/>
        <w:jc w:val="both"/>
        <w:rPr>
          <w:sz w:val="18"/>
          <w:szCs w:val="18"/>
          <w:lang w:val="es-MX"/>
        </w:rPr>
      </w:pPr>
      <w:r w:rsidRPr="00E67FD6">
        <w:rPr>
          <w:sz w:val="18"/>
          <w:szCs w:val="18"/>
          <w:lang w:val="es-MX"/>
        </w:rPr>
        <w:t xml:space="preserve">La realidad del </w:t>
      </w:r>
      <w:r w:rsidRPr="00E56BC2">
        <w:rPr>
          <w:sz w:val="18"/>
          <w:szCs w:val="18"/>
          <w:lang w:val="es-MX"/>
        </w:rPr>
        <w:t>Contexto Regulatorio, aspecto que se reconoce en dicha Propuesta, es el hecho de que el Grupo de Interés, declarado por esta Autoridad (GIE)</w:t>
      </w:r>
      <w:r w:rsidRPr="00E56BC2">
        <w:rPr>
          <w:sz w:val="18"/>
          <w:szCs w:val="18"/>
          <w:vertAlign w:val="superscript"/>
          <w:lang w:val="es-MX"/>
        </w:rPr>
        <w:t>3</w:t>
      </w:r>
      <w:r w:rsidRPr="00E56BC2">
        <w:rPr>
          <w:sz w:val="18"/>
          <w:szCs w:val="18"/>
          <w:lang w:val="es-MX"/>
        </w:rPr>
        <w:t>, no cuenta con los derechos de reventa de gran parte de los canales y señales que ofrece como parte de sus paquetes que contienen el STAR he incluso, cualesquier</w:t>
      </w:r>
      <w:r w:rsidR="00E56BC2" w:rsidRPr="00E56BC2">
        <w:rPr>
          <w:sz w:val="18"/>
          <w:szCs w:val="18"/>
          <w:lang w:val="es-MX"/>
        </w:rPr>
        <w:t xml:space="preserve"> [sic]</w:t>
      </w:r>
      <w:r w:rsidRPr="00E56BC2">
        <w:rPr>
          <w:sz w:val="18"/>
          <w:szCs w:val="18"/>
          <w:lang w:val="es-MX"/>
        </w:rPr>
        <w:t xml:space="preserve"> los operadores</w:t>
      </w:r>
      <w:r w:rsidR="00E56BC2" w:rsidRPr="00E56BC2">
        <w:rPr>
          <w:sz w:val="18"/>
          <w:szCs w:val="18"/>
          <w:lang w:val="es-MX"/>
        </w:rPr>
        <w:t xml:space="preserve"> [sic]</w:t>
      </w:r>
      <w:r w:rsidRPr="00E56BC2">
        <w:rPr>
          <w:sz w:val="18"/>
          <w:szCs w:val="18"/>
          <w:lang w:val="es-MX"/>
        </w:rPr>
        <w:t xml:space="preserve"> que prestar </w:t>
      </w:r>
      <w:r w:rsidR="003C73C8" w:rsidRPr="00E56BC2">
        <w:rPr>
          <w:sz w:val="18"/>
          <w:szCs w:val="18"/>
          <w:lang w:val="es-MX"/>
        </w:rPr>
        <w:t xml:space="preserve">[sic] </w:t>
      </w:r>
      <w:r w:rsidRPr="00E56BC2">
        <w:rPr>
          <w:sz w:val="18"/>
          <w:szCs w:val="18"/>
          <w:lang w:val="es-MX"/>
        </w:rPr>
        <w:t>el servicio STAR</w:t>
      </w:r>
      <w:r w:rsidRPr="00E56BC2">
        <w:rPr>
          <w:sz w:val="18"/>
          <w:szCs w:val="18"/>
          <w:lang w:val="es-MX"/>
        </w:rPr>
        <w:t xml:space="preserve"> </w:t>
      </w:r>
      <w:r w:rsidR="00ED05F1">
        <w:rPr>
          <w:sz w:val="18"/>
          <w:szCs w:val="18"/>
          <w:lang w:val="es-MX"/>
        </w:rPr>
        <w:t>[sic]</w:t>
      </w:r>
      <w:r w:rsidRPr="00E67FD6">
        <w:rPr>
          <w:sz w:val="18"/>
          <w:szCs w:val="18"/>
          <w:lang w:val="es-MX"/>
        </w:rPr>
        <w:t xml:space="preserve"> </w:t>
      </w:r>
      <w:r w:rsidRPr="00E56BC2">
        <w:rPr>
          <w:sz w:val="18"/>
          <w:szCs w:val="18"/>
          <w:lang w:val="es-MX"/>
        </w:rPr>
        <w:t>no son titulares de los derechos de gran parte de los canales, señales y/o contenidos audiovisuales que se transmiten en sus sistema de televisión restringida. Bajo ese orden de ideas, el GIE se encuentra legalmente imposibilitado para la reventa de señales</w:t>
      </w:r>
      <w:r w:rsidRPr="00E67FD6">
        <w:rPr>
          <w:sz w:val="18"/>
          <w:szCs w:val="18"/>
          <w:lang w:val="es-MX"/>
        </w:rPr>
        <w:t xml:space="preserve"> de las que no es titular, o de las que no cuenta con derechos, licenciamiento y/o tenga restricciones contractuales para su reventa, por lo tanto solamente podría ofrecer cinco canales de los cuales podría obtener los licenciamientos correspondientes: Mega Noticias MX, TVC Deportes, </w:t>
      </w:r>
      <w:r w:rsidRPr="00E67FD6">
        <w:rPr>
          <w:sz w:val="18"/>
          <w:szCs w:val="18"/>
          <w:lang w:val="es-MX"/>
        </w:rPr>
        <w:lastRenderedPageBreak/>
        <w:t>Pánico, Platino, Cine Mexicano, los cuales, por cierto, ya tienen un precio mayorista, lo cual hace innecesario aplicar un Modelo de Costos Evitados en los términos propuestos por el Instituto en la consulta que nos ocupa.</w:t>
      </w:r>
    </w:p>
    <w:p w14:paraId="64B44F5C" w14:textId="77777777" w:rsidR="009469F6" w:rsidRPr="009469F6" w:rsidRDefault="009469F6" w:rsidP="009469F6">
      <w:pPr>
        <w:pStyle w:val="Cita"/>
        <w:ind w:left="1560" w:right="2006"/>
        <w:jc w:val="both"/>
        <w:rPr>
          <w:sz w:val="18"/>
          <w:szCs w:val="18"/>
          <w:lang w:val="es-MX"/>
        </w:rPr>
      </w:pPr>
      <w:r w:rsidRPr="009469F6">
        <w:rPr>
          <w:sz w:val="18"/>
          <w:szCs w:val="18"/>
          <w:lang w:val="es-MX"/>
        </w:rPr>
        <w:t xml:space="preserve">En contraste, el Modelo de Costos Evitados de la Consulta Pública puesta a disposición por esta H. Autoridad, considera la oferta total de canales en los paquetes que contienen el STAR lo cual plantea una imposibilidad para el GIE que dicho Modelo ignora las limitaciones jurídicas para revender canales respecto a los cuales el GIE carece de los derechos para hacerlo. </w:t>
      </w:r>
    </w:p>
    <w:p w14:paraId="74557A13" w14:textId="69E1E6F3" w:rsidR="009469F6" w:rsidRDefault="009469F6" w:rsidP="009469F6">
      <w:pPr>
        <w:pStyle w:val="Cita"/>
        <w:ind w:left="1560" w:right="2006"/>
        <w:jc w:val="both"/>
        <w:rPr>
          <w:sz w:val="18"/>
          <w:szCs w:val="18"/>
          <w:lang w:val="es-MX"/>
        </w:rPr>
      </w:pPr>
      <w:r w:rsidRPr="009469F6">
        <w:rPr>
          <w:sz w:val="18"/>
          <w:szCs w:val="18"/>
          <w:lang w:val="es-MX"/>
        </w:rPr>
        <w:t xml:space="preserve">En consecuencia, se considera que el Modelo de Costos Evitados de la Consulta Pública no se apega a la realidad del Contexto Regulatorio y ni siquiera es consistente con la Propuesta de Oferta de Referencia del Servicio Mayorista de Reventa del STAR. </w:t>
      </w:r>
    </w:p>
    <w:p w14:paraId="0E391C33" w14:textId="77777777" w:rsidR="008A4143" w:rsidRDefault="008A4143" w:rsidP="008A4143">
      <w:pPr>
        <w:pBdr>
          <w:bottom w:val="single" w:sz="12" w:space="1" w:color="auto"/>
          <w:between w:val="single" w:sz="12" w:space="1" w:color="auto"/>
        </w:pBdr>
        <w:ind w:left="1560" w:right="2006"/>
        <w:rPr>
          <w:lang w:val="es-MX"/>
        </w:rPr>
      </w:pPr>
    </w:p>
    <w:p w14:paraId="3FFB7637" w14:textId="77777777" w:rsidR="00EB1BF9" w:rsidRPr="009B5EBA" w:rsidRDefault="008A4143" w:rsidP="009B5EBA">
      <w:pPr>
        <w:pStyle w:val="Cita"/>
        <w:ind w:left="1560" w:right="2006"/>
        <w:jc w:val="both"/>
        <w:rPr>
          <w:sz w:val="14"/>
          <w:szCs w:val="14"/>
          <w:lang w:val="es-MX"/>
        </w:rPr>
      </w:pPr>
      <w:r>
        <w:rPr>
          <w:sz w:val="14"/>
          <w:szCs w:val="14"/>
          <w:lang w:val="es-MX"/>
        </w:rPr>
        <w:t xml:space="preserve">2 </w:t>
      </w:r>
      <w:r w:rsidR="00EB1BF9" w:rsidRPr="009B5EBA">
        <w:rPr>
          <w:sz w:val="14"/>
          <w:szCs w:val="14"/>
          <w:lang w:val="es-MX"/>
        </w:rPr>
        <w:t>https://www.ift.org.mx/industria/consultas-publicas/consulta-publica-sobre-la-propuesta-de-oferta-de-referencia-del-servicio-mayorista-de-reventa-del</w:t>
      </w:r>
      <w:r w:rsidR="009B5EBA" w:rsidRPr="009B5EBA">
        <w:rPr>
          <w:sz w:val="14"/>
          <w:szCs w:val="14"/>
          <w:lang w:val="es-MX"/>
        </w:rPr>
        <w:t xml:space="preserve"> </w:t>
      </w:r>
      <w:r w:rsidR="00EB1BF9" w:rsidRPr="009B5EBA">
        <w:rPr>
          <w:sz w:val="14"/>
          <w:szCs w:val="14"/>
          <w:lang w:val="es-MX"/>
        </w:rPr>
        <w:t xml:space="preserve">  </w:t>
      </w:r>
    </w:p>
    <w:p w14:paraId="2CF303D5" w14:textId="488BFF98" w:rsidR="009B5EBA" w:rsidRPr="009B5EBA" w:rsidRDefault="009B5EBA" w:rsidP="009B5EBA">
      <w:pPr>
        <w:pStyle w:val="Cita"/>
        <w:ind w:left="1560" w:right="2006"/>
        <w:jc w:val="both"/>
        <w:rPr>
          <w:sz w:val="14"/>
          <w:szCs w:val="14"/>
          <w:lang w:val="es-MX"/>
        </w:rPr>
      </w:pPr>
      <w:r w:rsidRPr="009B5EBA">
        <w:rPr>
          <w:sz w:val="14"/>
          <w:szCs w:val="14"/>
          <w:lang w:val="es-MX"/>
        </w:rPr>
        <w:t>3 Megacable Holdings, S.A.B. de C.V., Telefonía por Cable, S.A. de C.V., Entretenimiento Satelital, S.A. de C.V., Productora y Comercializadora de Televisión, S.A. de C.V. y Proveedora de Servicios de Televisión, S.A. de C.V., que integran un mismo grupo de interés económico (“GIE”) en términos de la resolución de fecha 29 de noviembre de 2021, mediante la cual se resuelve la existencia de una grupo de interés económico con poder sustancial en 9 mercados relevante correspondientes a la provisión del servicio de televisión y audio restringido</w:t>
      </w:r>
      <w:r w:rsidR="00631336">
        <w:rPr>
          <w:sz w:val="14"/>
          <w:szCs w:val="14"/>
          <w:lang w:val="es-MX"/>
        </w:rPr>
        <w:t>”</w:t>
      </w:r>
    </w:p>
    <w:p w14:paraId="01E6D2C8" w14:textId="77777777" w:rsidR="00EB1BF9" w:rsidRPr="00EB1BF9" w:rsidRDefault="00EB1BF9" w:rsidP="00EB1BF9">
      <w:pPr>
        <w:rPr>
          <w:lang w:val="es-MX"/>
        </w:rPr>
      </w:pPr>
    </w:p>
    <w:p w14:paraId="3E53E626" w14:textId="77777777" w:rsidR="00682E20" w:rsidRPr="00E23F6F" w:rsidRDefault="00682E20" w:rsidP="00682E20">
      <w:pPr>
        <w:pStyle w:val="Textoindependiente"/>
        <w:spacing w:before="93" w:line="302" w:lineRule="auto"/>
        <w:ind w:left="810" w:right="817"/>
        <w:jc w:val="both"/>
        <w:rPr>
          <w:i/>
          <w:u w:val="single"/>
          <w:lang w:val="es-MX"/>
        </w:rPr>
      </w:pPr>
      <w:r w:rsidRPr="00E23F6F">
        <w:rPr>
          <w:i/>
          <w:u w:val="single"/>
          <w:lang w:val="es-MX"/>
        </w:rPr>
        <w:t>Respuesta</w:t>
      </w:r>
      <w:r w:rsidRPr="00E23F6F">
        <w:rPr>
          <w:i/>
          <w:spacing w:val="-4"/>
          <w:u w:val="single"/>
          <w:lang w:val="es-MX"/>
        </w:rPr>
        <w:t xml:space="preserve"> </w:t>
      </w:r>
      <w:r w:rsidRPr="00E23F6F">
        <w:rPr>
          <w:i/>
          <w:u w:val="single"/>
          <w:lang w:val="es-MX"/>
        </w:rPr>
        <w:t>de</w:t>
      </w:r>
      <w:r>
        <w:rPr>
          <w:i/>
          <w:u w:val="single"/>
          <w:lang w:val="es-MX"/>
        </w:rPr>
        <w:t xml:space="preserve"> la UPR</w:t>
      </w:r>
    </w:p>
    <w:p w14:paraId="33B11839" w14:textId="510E404B" w:rsidR="00B548F2" w:rsidRDefault="001E1959" w:rsidP="00682E20">
      <w:pPr>
        <w:pStyle w:val="Textoindependiente"/>
        <w:spacing w:before="93" w:line="302" w:lineRule="auto"/>
        <w:ind w:left="810" w:right="817"/>
        <w:jc w:val="both"/>
        <w:rPr>
          <w:lang w:val="es-MX"/>
        </w:rPr>
      </w:pPr>
      <w:r>
        <w:rPr>
          <w:lang w:val="es-MX"/>
        </w:rPr>
        <w:t xml:space="preserve">Con relación a las manifestaciones sobre que el MCE no se apega a la realidad del Contexto Regulatorio se </w:t>
      </w:r>
      <w:r w:rsidR="00767E07">
        <w:rPr>
          <w:lang w:val="es-MX"/>
        </w:rPr>
        <w:t xml:space="preserve">resalta </w:t>
      </w:r>
      <w:r>
        <w:rPr>
          <w:lang w:val="es-MX"/>
        </w:rPr>
        <w:t xml:space="preserve">que </w:t>
      </w:r>
      <w:r w:rsidR="00767E07">
        <w:rPr>
          <w:lang w:val="es-MX"/>
        </w:rPr>
        <w:t>el MCE</w:t>
      </w:r>
      <w:r>
        <w:rPr>
          <w:lang w:val="es-MX"/>
        </w:rPr>
        <w:t xml:space="preserve"> da atención a lo </w:t>
      </w:r>
      <w:r w:rsidR="002D26C7">
        <w:rPr>
          <w:lang w:val="es-MX"/>
        </w:rPr>
        <w:t>dispuesto</w:t>
      </w:r>
      <w:r>
        <w:rPr>
          <w:lang w:val="es-MX"/>
        </w:rPr>
        <w:t xml:space="preserve"> en la Obligación QUINTA de la </w:t>
      </w:r>
      <w:r>
        <w:t>Resolución P/IFT/200324/101, denominada “</w:t>
      </w:r>
      <w:r w:rsidRPr="00767E07">
        <w:rPr>
          <w:i/>
        </w:rPr>
        <w:t>Resolución mediante la cual el Pleno del Instituto Federal de Telecomunicaciones establece las obligaciones específicas al agente económico con poder sustancial en nueve mercados correspondientes a la provisión del servicio de televisión y audio restringidos declarado mediante resolución P/IFT/EXT/291121/36</w:t>
      </w:r>
      <w:r>
        <w:t>” (en lo sucesivo, “Resolución de Obligaciones”)</w:t>
      </w:r>
      <w:r w:rsidR="00F10F75">
        <w:rPr>
          <w:lang w:val="es-MX"/>
        </w:rPr>
        <w:t>.</w:t>
      </w:r>
    </w:p>
    <w:p w14:paraId="2BFB0312" w14:textId="77777777" w:rsidR="002D26C7" w:rsidRPr="002D26C7" w:rsidRDefault="00767E07" w:rsidP="002D26C7">
      <w:pPr>
        <w:pStyle w:val="Textoindependiente"/>
        <w:spacing w:before="93" w:line="302" w:lineRule="auto"/>
        <w:ind w:left="810" w:right="817"/>
        <w:jc w:val="both"/>
        <w:rPr>
          <w:lang w:val="es-MX"/>
        </w:rPr>
      </w:pPr>
      <w:r>
        <w:rPr>
          <w:lang w:val="es-MX"/>
        </w:rPr>
        <w:t>Dicha Resolución de Obligaciones emana de lo establecido en la</w:t>
      </w:r>
      <w:r w:rsidR="002D26C7">
        <w:rPr>
          <w:lang w:val="es-MX"/>
        </w:rPr>
        <w:t xml:space="preserve"> </w:t>
      </w:r>
      <w:r w:rsidR="002D26C7" w:rsidRPr="002D26C7">
        <w:rPr>
          <w:lang w:val="es-MX"/>
        </w:rPr>
        <w:t>Resolución P/IFT/EXT/291121/36</w:t>
      </w:r>
      <w:r w:rsidR="002D26C7">
        <w:rPr>
          <w:lang w:val="es-MX"/>
        </w:rPr>
        <w:t>, por medio de la cual el Pleno del Instituto</w:t>
      </w:r>
      <w:r w:rsidR="002D26C7" w:rsidRPr="002D26C7">
        <w:rPr>
          <w:lang w:val="es-MX"/>
        </w:rPr>
        <w:t xml:space="preserve"> aprobó la </w:t>
      </w:r>
      <w:r w:rsidR="002D26C7">
        <w:rPr>
          <w:lang w:val="es-MX"/>
        </w:rPr>
        <w:t xml:space="preserve">denominada </w:t>
      </w:r>
      <w:r w:rsidR="002D26C7" w:rsidRPr="002D26C7">
        <w:rPr>
          <w:lang w:val="es-MX"/>
        </w:rPr>
        <w:t>“</w:t>
      </w:r>
      <w:r w:rsidR="002D26C7" w:rsidRPr="00767E07">
        <w:rPr>
          <w:i/>
          <w:lang w:val="es-MX"/>
        </w:rPr>
        <w:t>Resolución mediante la cual el Pleno del Instituto Federal de Telecomunicaciones resuelve sobre la existencia de un grupo de interés económico con poder sustancial en mercados relevantes correspondientes a la provisión del servicio de televisión y audio restringidos, en el Expediente AI/DC-003-2019</w:t>
      </w:r>
      <w:r w:rsidR="002D26C7" w:rsidRPr="002D26C7">
        <w:rPr>
          <w:lang w:val="es-MX"/>
        </w:rPr>
        <w:t>” (en lo sucesivo, la “Resolución APSM”).</w:t>
      </w:r>
    </w:p>
    <w:p w14:paraId="57B1A480" w14:textId="068CD905" w:rsidR="002D26C7" w:rsidRDefault="002D26C7" w:rsidP="002D26C7">
      <w:pPr>
        <w:pStyle w:val="Textoindependiente"/>
        <w:spacing w:before="93" w:line="302" w:lineRule="auto"/>
        <w:ind w:left="810" w:right="817"/>
        <w:jc w:val="both"/>
        <w:rPr>
          <w:lang w:val="es-MX"/>
        </w:rPr>
      </w:pPr>
      <w:r>
        <w:rPr>
          <w:lang w:val="es-MX"/>
        </w:rPr>
        <w:t>En este caso, l</w:t>
      </w:r>
      <w:r w:rsidRPr="002D26C7">
        <w:rPr>
          <w:lang w:val="es-MX"/>
        </w:rPr>
        <w:t xml:space="preserve">a Resolución APSM </w:t>
      </w:r>
      <w:r w:rsidR="00767E07">
        <w:rPr>
          <w:lang w:val="es-MX"/>
        </w:rPr>
        <w:t>determinó</w:t>
      </w:r>
      <w:r w:rsidRPr="002D26C7">
        <w:rPr>
          <w:lang w:val="es-MX"/>
        </w:rPr>
        <w:t xml:space="preserve"> la existencia de poder sustancial de mercado</w:t>
      </w:r>
      <w:r w:rsidRPr="002D26C7">
        <w:rPr>
          <w:lang w:val="es-MX"/>
        </w:rPr>
        <w:t xml:space="preserve"> </w:t>
      </w:r>
      <w:r w:rsidR="00172287">
        <w:rPr>
          <w:lang w:val="es-MX"/>
        </w:rPr>
        <w:t>(en lo sucesivo, “PSM”)</w:t>
      </w:r>
      <w:r w:rsidRPr="002D26C7">
        <w:rPr>
          <w:lang w:val="es-MX"/>
        </w:rPr>
        <w:t xml:space="preserve"> a las empresas Megacable Holdings, S.A.B. de C.V., Telefonía por Cable, S.A. de C.V., Entretenimiento Satelital, S.A. de C.V., Productora y Comercializadora de Televisión, S.A. de C.V. y Proveedora de Servicios de Televisión, S.A. de C.V. (en lo sucesivo, de manera conjunta, el “APSM”) en nueve (9) mercados relevantes que corresponden con los siguientes municipios: (1) San Mateo Atenco, Estado de México; (2) Zinacantepec, Estado de México; (3) León, Guanajuato; (4) Guadalajara, Jalisco; (5) Tonalá, Jalisco; (6) Cuautlancingo, Puebla; (7) San Pedro Cholula, Puebla; (8) Corregidora, Querétaro y (9) El Marqués, Querétaro (en lo sucesivo, </w:t>
      </w:r>
      <w:r w:rsidR="00767E07">
        <w:rPr>
          <w:lang w:val="es-MX"/>
        </w:rPr>
        <w:t xml:space="preserve">los </w:t>
      </w:r>
      <w:r w:rsidRPr="002D26C7">
        <w:rPr>
          <w:lang w:val="es-MX"/>
        </w:rPr>
        <w:t>“9 mercados con PSM”).</w:t>
      </w:r>
    </w:p>
    <w:p w14:paraId="5500AFF8" w14:textId="77777777" w:rsidR="001E1959" w:rsidRDefault="00767E07" w:rsidP="00682E20">
      <w:pPr>
        <w:pStyle w:val="Textoindependiente"/>
        <w:spacing w:before="93" w:line="302" w:lineRule="auto"/>
        <w:ind w:left="810" w:right="817"/>
        <w:jc w:val="both"/>
        <w:rPr>
          <w:lang w:val="es-MX"/>
        </w:rPr>
      </w:pPr>
      <w:r>
        <w:rPr>
          <w:lang w:val="es-MX"/>
        </w:rPr>
        <w:lastRenderedPageBreak/>
        <w:t>A partir de lo anterior</w:t>
      </w:r>
      <w:r w:rsidR="001E1959">
        <w:rPr>
          <w:lang w:val="es-MX"/>
        </w:rPr>
        <w:t xml:space="preserve"> </w:t>
      </w:r>
      <w:r w:rsidR="002D26C7">
        <w:rPr>
          <w:lang w:val="es-MX"/>
        </w:rPr>
        <w:t xml:space="preserve">y en consistencia con </w:t>
      </w:r>
      <w:r>
        <w:rPr>
          <w:lang w:val="es-MX"/>
        </w:rPr>
        <w:t>la Obligación QUINTA de la</w:t>
      </w:r>
      <w:r w:rsidR="002D26C7">
        <w:rPr>
          <w:lang w:val="es-MX"/>
        </w:rPr>
        <w:t xml:space="preserve"> Resolución de Obligaciones, </w:t>
      </w:r>
      <w:r w:rsidR="001E1959">
        <w:rPr>
          <w:lang w:val="es-MX"/>
        </w:rPr>
        <w:t xml:space="preserve">el MCE determina el porcentaje de descuento aplicable para el Servicio Mayorista de Reventa (en lo sucesivo, “SMR”) siguiendo estrictamente </w:t>
      </w:r>
      <w:r>
        <w:rPr>
          <w:lang w:val="es-MX"/>
        </w:rPr>
        <w:t>el alance del servicio definido</w:t>
      </w:r>
      <w:r w:rsidR="001E1959">
        <w:rPr>
          <w:lang w:val="es-MX"/>
        </w:rPr>
        <w:t xml:space="preserve"> en la </w:t>
      </w:r>
      <w:r w:rsidR="005576B6">
        <w:rPr>
          <w:lang w:val="es-MX"/>
        </w:rPr>
        <w:t>Obligación</w:t>
      </w:r>
      <w:r w:rsidR="001E1959">
        <w:rPr>
          <w:lang w:val="es-MX"/>
        </w:rPr>
        <w:t xml:space="preserve"> TERCERA, fracciones XI y XII de la Resolución de Obligaciones</w:t>
      </w:r>
      <w:r>
        <w:rPr>
          <w:lang w:val="es-MX"/>
        </w:rPr>
        <w:t xml:space="preserve"> </w:t>
      </w:r>
      <w:r w:rsidR="001E1959">
        <w:rPr>
          <w:lang w:val="es-MX"/>
        </w:rPr>
        <w:t xml:space="preserve">para la provisión del Servicio de Televisión y Audio Restringidos (en lo sucesivo, “STAR”). </w:t>
      </w:r>
    </w:p>
    <w:p w14:paraId="166BA566" w14:textId="6172ECEC" w:rsidR="001E1959" w:rsidRDefault="00767E07" w:rsidP="00682E20">
      <w:pPr>
        <w:pStyle w:val="Textoindependiente"/>
        <w:spacing w:before="93" w:line="302" w:lineRule="auto"/>
        <w:ind w:left="810" w:right="817"/>
        <w:jc w:val="both"/>
        <w:rPr>
          <w:lang w:val="es-MX"/>
        </w:rPr>
      </w:pPr>
      <w:r>
        <w:rPr>
          <w:lang w:val="es-MX"/>
        </w:rPr>
        <w:t xml:space="preserve">Bajo este contexto, </w:t>
      </w:r>
      <w:r w:rsidR="00C9631A">
        <w:rPr>
          <w:lang w:val="es-MX"/>
        </w:rPr>
        <w:t xml:space="preserve">de la lectura de dichas Obligaciones </w:t>
      </w:r>
      <w:r w:rsidR="001E1959">
        <w:rPr>
          <w:lang w:val="es-MX"/>
        </w:rPr>
        <w:t xml:space="preserve">no </w:t>
      </w:r>
      <w:r>
        <w:rPr>
          <w:lang w:val="es-MX"/>
        </w:rPr>
        <w:t>puede desprenderse una</w:t>
      </w:r>
      <w:r w:rsidR="001E1959">
        <w:rPr>
          <w:lang w:val="es-MX"/>
        </w:rPr>
        <w:t xml:space="preserve"> distinción o particularidad </w:t>
      </w:r>
      <w:r>
        <w:rPr>
          <w:lang w:val="es-MX"/>
        </w:rPr>
        <w:t>para</w:t>
      </w:r>
      <w:r w:rsidR="001E1959">
        <w:rPr>
          <w:lang w:val="es-MX"/>
        </w:rPr>
        <w:t xml:space="preserve"> la provisión</w:t>
      </w:r>
      <w:r>
        <w:rPr>
          <w:lang w:val="es-MX"/>
        </w:rPr>
        <w:t xml:space="preserve"> del SMR</w:t>
      </w:r>
      <w:r w:rsidR="001E1959">
        <w:rPr>
          <w:lang w:val="es-MX"/>
        </w:rPr>
        <w:t xml:space="preserve"> del STAR, </w:t>
      </w:r>
      <w:r>
        <w:rPr>
          <w:lang w:val="es-MX"/>
        </w:rPr>
        <w:t xml:space="preserve">en el que </w:t>
      </w:r>
      <w:r w:rsidR="00C9631A">
        <w:rPr>
          <w:lang w:val="es-MX"/>
        </w:rPr>
        <w:t xml:space="preserve">se delimite el número de </w:t>
      </w:r>
      <w:r>
        <w:rPr>
          <w:lang w:val="es-MX"/>
        </w:rPr>
        <w:t>canales y</w:t>
      </w:r>
      <w:r w:rsidR="00C9631A">
        <w:rPr>
          <w:lang w:val="es-MX"/>
        </w:rPr>
        <w:t>/o</w:t>
      </w:r>
      <w:r>
        <w:rPr>
          <w:lang w:val="es-MX"/>
        </w:rPr>
        <w:t xml:space="preserve"> señales </w:t>
      </w:r>
      <w:r w:rsidR="00C9631A">
        <w:rPr>
          <w:lang w:val="es-MX"/>
        </w:rPr>
        <w:t>que provee el APSM para revender el servicio regulado</w:t>
      </w:r>
      <w:r w:rsidR="001E1959">
        <w:rPr>
          <w:lang w:val="es-MX"/>
        </w:rPr>
        <w:t xml:space="preserve">. Por ello, el MCE </w:t>
      </w:r>
      <w:r w:rsidR="005816F9">
        <w:rPr>
          <w:lang w:val="es-MX"/>
        </w:rPr>
        <w:t>consider</w:t>
      </w:r>
      <w:r w:rsidR="00C9631A">
        <w:rPr>
          <w:lang w:val="es-MX"/>
        </w:rPr>
        <w:t>a</w:t>
      </w:r>
      <w:r w:rsidR="005816F9">
        <w:rPr>
          <w:lang w:val="es-MX"/>
        </w:rPr>
        <w:t xml:space="preserve"> las tarifas minoristas por las que </w:t>
      </w:r>
      <w:r w:rsidR="002D26C7">
        <w:rPr>
          <w:lang w:val="es-MX"/>
        </w:rPr>
        <w:t>el APSM</w:t>
      </w:r>
      <w:r w:rsidR="005816F9">
        <w:rPr>
          <w:lang w:val="es-MX"/>
        </w:rPr>
        <w:t xml:space="preserve"> ofrece el STAR a los usuarios finales permitiendo determinar los ingresos respecto de los cuales se eliminarán los costos que no sean necesarios para la comercialización de los servicios a los usuarios finales.</w:t>
      </w:r>
    </w:p>
    <w:p w14:paraId="3AB4E789" w14:textId="1AE5035D" w:rsidR="00765197" w:rsidRDefault="00765197" w:rsidP="00682E20">
      <w:pPr>
        <w:pStyle w:val="Textoindependiente"/>
        <w:spacing w:before="93" w:line="302" w:lineRule="auto"/>
        <w:ind w:left="810" w:right="817"/>
        <w:jc w:val="both"/>
        <w:rPr>
          <w:lang w:val="es-MX"/>
        </w:rPr>
      </w:pPr>
      <w:r>
        <w:rPr>
          <w:lang w:val="es-MX"/>
        </w:rPr>
        <w:t>Por su parte</w:t>
      </w:r>
      <w:r w:rsidR="00C9631A">
        <w:rPr>
          <w:lang w:val="es-MX"/>
        </w:rPr>
        <w:t xml:space="preserve">, </w:t>
      </w:r>
      <w:r>
        <w:rPr>
          <w:lang w:val="es-MX"/>
        </w:rPr>
        <w:t xml:space="preserve">sobre el comentario que el MCE no guarda consistencia con la </w:t>
      </w:r>
      <w:r w:rsidR="00466FDA">
        <w:rPr>
          <w:lang w:val="es-MX"/>
        </w:rPr>
        <w:t xml:space="preserve">propuesta de </w:t>
      </w:r>
      <w:r>
        <w:rPr>
          <w:lang w:val="es-MX"/>
        </w:rPr>
        <w:t xml:space="preserve">oferta de referencia que fue sometida a consulta pública, la UPR aclara </w:t>
      </w:r>
      <w:r w:rsidR="00C9631A">
        <w:rPr>
          <w:lang w:val="es-MX"/>
        </w:rPr>
        <w:t xml:space="preserve">que </w:t>
      </w:r>
      <w:r>
        <w:rPr>
          <w:lang w:val="es-MX"/>
        </w:rPr>
        <w:t xml:space="preserve">dicho documento corresponde a </w:t>
      </w:r>
      <w:r w:rsidR="00C9631A">
        <w:rPr>
          <w:lang w:val="es-MX"/>
        </w:rPr>
        <w:t>la propuesta de oferta de referencia presentada por el APSM</w:t>
      </w:r>
      <w:r w:rsidR="00F82DF7">
        <w:rPr>
          <w:lang w:val="es-MX"/>
        </w:rPr>
        <w:t>.</w:t>
      </w:r>
      <w:r w:rsidR="00B33E99">
        <w:rPr>
          <w:lang w:val="es-MX"/>
        </w:rPr>
        <w:t xml:space="preserve"> </w:t>
      </w:r>
    </w:p>
    <w:p w14:paraId="4923566D" w14:textId="1490937D" w:rsidR="00765197" w:rsidRDefault="00466FDA" w:rsidP="00682E20">
      <w:pPr>
        <w:pStyle w:val="Textoindependiente"/>
        <w:spacing w:before="93" w:line="302" w:lineRule="auto"/>
        <w:ind w:left="810" w:right="817"/>
        <w:jc w:val="both"/>
        <w:rPr>
          <w:lang w:val="es-MX"/>
        </w:rPr>
      </w:pPr>
      <w:r>
        <w:rPr>
          <w:lang w:val="es-MX"/>
        </w:rPr>
        <w:t>Sin embargo, mediante el Acuerdo P/IFT/</w:t>
      </w:r>
      <w:r>
        <w:rPr>
          <w:lang w:val="es-MX"/>
        </w:rPr>
        <w:t>150125/5</w:t>
      </w:r>
      <w:r w:rsidR="00F82DF7">
        <w:rPr>
          <w:rStyle w:val="Refdenotaalpie"/>
          <w:lang w:val="es-MX"/>
        </w:rPr>
        <w:footnoteReference w:id="3"/>
      </w:r>
      <w:r w:rsidR="005F224E">
        <w:rPr>
          <w:lang w:val="es-MX"/>
        </w:rPr>
        <w:t>,</w:t>
      </w:r>
      <w:r>
        <w:rPr>
          <w:lang w:val="es-MX"/>
        </w:rPr>
        <w:t xml:space="preserve"> el Pleno del Instituto determinó que </w:t>
      </w:r>
      <w:r w:rsidR="00F82DF7">
        <w:rPr>
          <w:lang w:val="es-MX"/>
        </w:rPr>
        <w:t xml:space="preserve">la propuesta de servicio mayorista presentada por Megacable no </w:t>
      </w:r>
      <w:r w:rsidR="00F82DF7">
        <w:rPr>
          <w:lang w:val="es-MX"/>
        </w:rPr>
        <w:t xml:space="preserve">se apega </w:t>
      </w:r>
      <w:r w:rsidR="00F33A6D">
        <w:rPr>
          <w:lang w:val="es-MX"/>
        </w:rPr>
        <w:t>a</w:t>
      </w:r>
      <w:r w:rsidR="00F82DF7">
        <w:rPr>
          <w:lang w:val="es-MX"/>
        </w:rPr>
        <w:t>l alcance previsto en la Resolución de Obligaciones,</w:t>
      </w:r>
      <w:r w:rsidR="00F82DF7">
        <w:rPr>
          <w:lang w:val="es-MX"/>
        </w:rPr>
        <w:t xml:space="preserve"> p</w:t>
      </w:r>
      <w:r w:rsidR="00F82DF7">
        <w:rPr>
          <w:lang w:val="es-MX"/>
        </w:rPr>
        <w:t xml:space="preserve">or lo que </w:t>
      </w:r>
      <w:r w:rsidR="0022223A">
        <w:rPr>
          <w:lang w:val="es-MX"/>
        </w:rPr>
        <w:t xml:space="preserve">el MCE </w:t>
      </w:r>
      <w:r>
        <w:rPr>
          <w:lang w:val="es-MX"/>
        </w:rPr>
        <w:t xml:space="preserve">resulta consistente con las observaciones realizadas por el Pleno del Instituto a </w:t>
      </w:r>
      <w:r w:rsidR="00F33A6D">
        <w:rPr>
          <w:lang w:val="es-MX"/>
        </w:rPr>
        <w:t>l</w:t>
      </w:r>
      <w:r>
        <w:rPr>
          <w:lang w:val="es-MX"/>
        </w:rPr>
        <w:t xml:space="preserve">a propuesta </w:t>
      </w:r>
      <w:r w:rsidR="00F33A6D">
        <w:rPr>
          <w:lang w:val="es-MX"/>
        </w:rPr>
        <w:t xml:space="preserve">de oferta de referencia </w:t>
      </w:r>
      <w:r>
        <w:rPr>
          <w:lang w:val="es-MX"/>
        </w:rPr>
        <w:t>con el fi</w:t>
      </w:r>
      <w:r>
        <w:rPr>
          <w:lang w:val="es-MX"/>
        </w:rPr>
        <w:t>n de que el alcance del servicio mayorista</w:t>
      </w:r>
      <w:r>
        <w:rPr>
          <w:lang w:val="es-MX"/>
        </w:rPr>
        <w:t xml:space="preserve">, y en consecuencia </w:t>
      </w:r>
      <w:r w:rsidR="00F82DF7">
        <w:rPr>
          <w:lang w:val="es-MX"/>
        </w:rPr>
        <w:t>este modelo de costos</w:t>
      </w:r>
      <w:r>
        <w:rPr>
          <w:lang w:val="es-MX"/>
        </w:rPr>
        <w:t>,</w:t>
      </w:r>
      <w:r>
        <w:rPr>
          <w:lang w:val="es-MX"/>
        </w:rPr>
        <w:t xml:space="preserve"> sea congruente con lo establecido en la Resolución de Obligaciones</w:t>
      </w:r>
      <w:r w:rsidR="009401C6">
        <w:rPr>
          <w:lang w:val="es-MX"/>
        </w:rPr>
        <w:t>.</w:t>
      </w:r>
      <w:r w:rsidR="00765197">
        <w:rPr>
          <w:lang w:val="es-MX"/>
        </w:rPr>
        <w:t xml:space="preserve"> </w:t>
      </w:r>
    </w:p>
    <w:p w14:paraId="6BB75D66" w14:textId="77777777" w:rsidR="00172C57" w:rsidRDefault="00172C57" w:rsidP="00682E20">
      <w:pPr>
        <w:pStyle w:val="Textoindependiente"/>
        <w:spacing w:before="93" w:line="302" w:lineRule="auto"/>
        <w:ind w:left="810" w:right="817"/>
        <w:jc w:val="both"/>
        <w:rPr>
          <w:lang w:val="es-MX"/>
        </w:rPr>
      </w:pPr>
    </w:p>
    <w:p w14:paraId="74870F08" w14:textId="77777777" w:rsidR="00172C57" w:rsidRPr="00172C57" w:rsidRDefault="00C13ECA" w:rsidP="00172C57">
      <w:pPr>
        <w:pStyle w:val="Ttulo1"/>
        <w:numPr>
          <w:ilvl w:val="0"/>
          <w:numId w:val="1"/>
        </w:numPr>
        <w:tabs>
          <w:tab w:val="left" w:pos="1530"/>
          <w:tab w:val="left" w:pos="1531"/>
        </w:tabs>
        <w:spacing w:before="158"/>
        <w:jc w:val="left"/>
        <w:rPr>
          <w:spacing w:val="-1"/>
          <w:lang w:val="es-MX"/>
        </w:rPr>
      </w:pPr>
      <w:r>
        <w:rPr>
          <w:spacing w:val="-1"/>
          <w:lang w:val="es-MX"/>
        </w:rPr>
        <w:t>Contexto regulatorio (continúa)</w:t>
      </w:r>
    </w:p>
    <w:p w14:paraId="7C58A535" w14:textId="77777777" w:rsidR="00682E20" w:rsidRPr="006B160F" w:rsidRDefault="00682E20" w:rsidP="00682E20">
      <w:pPr>
        <w:spacing w:line="276" w:lineRule="auto"/>
        <w:jc w:val="both"/>
        <w:rPr>
          <w:lang w:val="es-MX"/>
        </w:rPr>
      </w:pPr>
    </w:p>
    <w:p w14:paraId="6FC6D378" w14:textId="77777777" w:rsidR="00682E20" w:rsidRPr="006B160F" w:rsidRDefault="00682E20" w:rsidP="00682E20">
      <w:pPr>
        <w:ind w:left="810"/>
        <w:rPr>
          <w:i/>
          <w:lang w:val="es-MX"/>
        </w:rPr>
      </w:pPr>
      <w:r w:rsidRPr="006B160F">
        <w:rPr>
          <w:i/>
          <w:u w:val="single"/>
          <w:lang w:val="es-MX"/>
        </w:rPr>
        <w:lastRenderedPageBreak/>
        <w:t>Resumen</w:t>
      </w:r>
      <w:r w:rsidRPr="006B160F">
        <w:rPr>
          <w:i/>
          <w:spacing w:val="-4"/>
          <w:u w:val="single"/>
          <w:lang w:val="es-MX"/>
        </w:rPr>
        <w:t xml:space="preserve"> </w:t>
      </w:r>
      <w:r w:rsidRPr="006B160F">
        <w:rPr>
          <w:i/>
          <w:u w:val="single"/>
          <w:lang w:val="es-MX"/>
        </w:rPr>
        <w:t>de</w:t>
      </w:r>
      <w:r w:rsidRPr="006B160F">
        <w:rPr>
          <w:i/>
          <w:spacing w:val="-3"/>
          <w:u w:val="single"/>
          <w:lang w:val="es-MX"/>
        </w:rPr>
        <w:t xml:space="preserve"> </w:t>
      </w:r>
      <w:r w:rsidRPr="006B160F">
        <w:rPr>
          <w:i/>
          <w:u w:val="single"/>
          <w:lang w:val="es-MX"/>
        </w:rPr>
        <w:t>comentarios</w:t>
      </w:r>
      <w:r w:rsidRPr="006B160F">
        <w:rPr>
          <w:i/>
          <w:spacing w:val="-1"/>
          <w:u w:val="single"/>
          <w:lang w:val="es-MX"/>
        </w:rPr>
        <w:t xml:space="preserve"> </w:t>
      </w:r>
      <w:r w:rsidRPr="006B160F">
        <w:rPr>
          <w:i/>
          <w:u w:val="single"/>
          <w:lang w:val="es-MX"/>
        </w:rPr>
        <w:t>a</w:t>
      </w:r>
      <w:r w:rsidRPr="006B160F">
        <w:rPr>
          <w:i/>
          <w:spacing w:val="-2"/>
          <w:u w:val="single"/>
          <w:lang w:val="es-MX"/>
        </w:rPr>
        <w:t xml:space="preserve"> </w:t>
      </w:r>
      <w:r w:rsidRPr="006B160F">
        <w:rPr>
          <w:i/>
          <w:u w:val="single"/>
          <w:lang w:val="es-MX"/>
        </w:rPr>
        <w:t>la</w:t>
      </w:r>
      <w:r w:rsidRPr="006B160F">
        <w:rPr>
          <w:i/>
          <w:spacing w:val="-3"/>
          <w:u w:val="single"/>
          <w:lang w:val="es-MX"/>
        </w:rPr>
        <w:t xml:space="preserve"> </w:t>
      </w:r>
      <w:r>
        <w:rPr>
          <w:i/>
          <w:u w:val="single"/>
          <w:lang w:val="es-MX"/>
        </w:rPr>
        <w:t>Consulta Pública</w:t>
      </w:r>
    </w:p>
    <w:p w14:paraId="39AB8E1E" w14:textId="77777777" w:rsidR="00682E20" w:rsidRPr="006B160F" w:rsidRDefault="00682E20" w:rsidP="00682E20">
      <w:pPr>
        <w:pStyle w:val="Textoindependiente"/>
        <w:spacing w:before="7"/>
        <w:rPr>
          <w:i/>
          <w:sz w:val="18"/>
          <w:lang w:val="es-MX"/>
        </w:rPr>
      </w:pPr>
    </w:p>
    <w:p w14:paraId="0577E18E" w14:textId="77777777" w:rsidR="00BA3F6F" w:rsidRDefault="001C34A1" w:rsidP="00682E20">
      <w:pPr>
        <w:pStyle w:val="Textoindependiente"/>
        <w:spacing w:before="93" w:line="302" w:lineRule="auto"/>
        <w:ind w:left="810" w:right="817"/>
        <w:jc w:val="both"/>
        <w:rPr>
          <w:lang w:val="es-MX"/>
        </w:rPr>
      </w:pPr>
      <w:r>
        <w:rPr>
          <w:lang w:val="es-MX"/>
        </w:rPr>
        <w:t>Megacable</w:t>
      </w:r>
      <w:r w:rsidR="00E953C0">
        <w:rPr>
          <w:lang w:val="es-MX"/>
        </w:rPr>
        <w:t xml:space="preserve"> </w:t>
      </w:r>
      <w:r w:rsidR="0059610C">
        <w:rPr>
          <w:lang w:val="es-MX"/>
        </w:rPr>
        <w:t>menciona que</w:t>
      </w:r>
      <w:r w:rsidR="00BA3F6F">
        <w:rPr>
          <w:lang w:val="es-MX"/>
        </w:rPr>
        <w:t>:</w:t>
      </w:r>
    </w:p>
    <w:p w14:paraId="6314B117" w14:textId="77777777" w:rsidR="00682E20" w:rsidRPr="003F1923" w:rsidRDefault="00BA3F6F" w:rsidP="003F1923">
      <w:pPr>
        <w:pStyle w:val="Cita"/>
        <w:ind w:left="1560" w:right="2006"/>
        <w:jc w:val="both"/>
        <w:rPr>
          <w:sz w:val="18"/>
          <w:szCs w:val="18"/>
          <w:lang w:val="es-MX"/>
        </w:rPr>
      </w:pPr>
      <w:r w:rsidRPr="003F1923">
        <w:rPr>
          <w:sz w:val="18"/>
          <w:szCs w:val="18"/>
          <w:lang w:val="es-MX"/>
        </w:rPr>
        <w:t>“En el documento metodológico de la Consulta Pública claramente se señala que en la Resolución APSM se determinó la existencia de poder sustancial en los siguientes municipios, a los cuales se les dio carácter de mercados relevantes distintos:</w:t>
      </w:r>
      <w:r w:rsidR="00543B79" w:rsidRPr="003F1923">
        <w:rPr>
          <w:sz w:val="18"/>
          <w:szCs w:val="18"/>
          <w:lang w:val="es-MX"/>
        </w:rPr>
        <w:t xml:space="preserve"> </w:t>
      </w:r>
      <w:r w:rsidR="003F1923" w:rsidRPr="003F1923">
        <w:rPr>
          <w:sz w:val="18"/>
          <w:szCs w:val="18"/>
          <w:lang w:val="es-MX"/>
        </w:rPr>
        <w:t>(1) San Mateo Atenco, Estado de México; (2) Zinacantepec, Estado de México; (3) León, Guanajuato; (4) Guadalajara, Jalisco; (5) Tonalá, Jalisco; (6) Cuautlancingo, Puebla; (7) San Pedro Cholula, Puebla; (8) Corregidora, Querétaro y (9) El Marqués, Querétaro.</w:t>
      </w:r>
    </w:p>
    <w:p w14:paraId="2BDABB83" w14:textId="77777777" w:rsidR="00BA3F6F" w:rsidRPr="003F1923" w:rsidRDefault="003F1923" w:rsidP="003F1923">
      <w:pPr>
        <w:pStyle w:val="Cita"/>
        <w:ind w:left="1560" w:right="2006"/>
        <w:jc w:val="both"/>
        <w:rPr>
          <w:sz w:val="18"/>
          <w:szCs w:val="18"/>
          <w:lang w:val="es-MX"/>
        </w:rPr>
      </w:pPr>
      <w:r w:rsidRPr="003F1923">
        <w:rPr>
          <w:sz w:val="18"/>
          <w:szCs w:val="18"/>
          <w:lang w:val="es-MX"/>
        </w:rPr>
        <w:t>Siendo así, no debió escapar a la atención del Instituto en la elaboración de este Modelo, objeto de la Consulta Pública, que los nueve mercados se encuentran en distintas entidades y presentan características muy distintas, razón por la cual es notoriamente improcedente utilizar un modelo de costos evitados genérico, el cual no considera las estructuras de costos y las particularidades de la demanda de cada localidad, sino que, de forma indebida se modela, en su propuesta, un caso “promedio” no solo para los nueve mercados, sino a nivel nacional donde Mega Cable tiene presencia.</w:t>
      </w:r>
    </w:p>
    <w:p w14:paraId="0158699C" w14:textId="77777777" w:rsidR="003F1923" w:rsidRPr="003F1923" w:rsidRDefault="003F1923" w:rsidP="003F1923">
      <w:pPr>
        <w:pStyle w:val="Cita"/>
        <w:ind w:left="1560" w:right="2006"/>
        <w:jc w:val="both"/>
        <w:rPr>
          <w:sz w:val="18"/>
          <w:szCs w:val="18"/>
          <w:lang w:val="es-MX"/>
        </w:rPr>
      </w:pPr>
      <w:r w:rsidRPr="003F1923">
        <w:rPr>
          <w:sz w:val="18"/>
          <w:szCs w:val="18"/>
          <w:lang w:val="es-MX"/>
        </w:rPr>
        <w:t>Lo anterior queda de manifiesto con la mayor parte de la información que utiliza el Instituto, en el Modelo de la consulta pública, quien, por ejemplo, para estimar los costos evitados, toma valores reportados por Mega Cable en sus estados financieros o en la información de Separación Contable requerida por el Instituto. Dicha información considera todas las localidades a nivel nacional donde Mega Cable tiene presencia y puede ser muy distinta a los valores de dichos costos para los municipios específicos donde determinó que había PSM.</w:t>
      </w:r>
      <w:r>
        <w:rPr>
          <w:sz w:val="18"/>
          <w:szCs w:val="18"/>
          <w:lang w:val="es-MX"/>
        </w:rPr>
        <w:t>”</w:t>
      </w:r>
    </w:p>
    <w:p w14:paraId="37D8310E" w14:textId="77777777" w:rsidR="00682E20" w:rsidRPr="005F4990" w:rsidRDefault="00682E20" w:rsidP="00682E20">
      <w:pPr>
        <w:spacing w:before="53"/>
        <w:ind w:left="810"/>
        <w:jc w:val="both"/>
        <w:rPr>
          <w:lang w:val="es-MX"/>
        </w:rPr>
      </w:pPr>
    </w:p>
    <w:p w14:paraId="7BDEC671" w14:textId="77777777" w:rsidR="00682E20" w:rsidRPr="00E23F6F" w:rsidRDefault="00682E20" w:rsidP="00682E20">
      <w:pPr>
        <w:spacing w:before="53"/>
        <w:ind w:left="810"/>
        <w:jc w:val="both"/>
        <w:rPr>
          <w:i/>
          <w:u w:val="single"/>
          <w:lang w:val="es-MX"/>
        </w:rPr>
      </w:pPr>
      <w:r w:rsidRPr="00E23F6F">
        <w:rPr>
          <w:i/>
          <w:u w:val="single"/>
          <w:lang w:val="es-MX"/>
        </w:rPr>
        <w:t>Respuesta</w:t>
      </w:r>
      <w:r w:rsidRPr="00E23F6F">
        <w:rPr>
          <w:i/>
          <w:spacing w:val="-4"/>
          <w:u w:val="single"/>
          <w:lang w:val="es-MX"/>
        </w:rPr>
        <w:t xml:space="preserve"> </w:t>
      </w:r>
      <w:r w:rsidRPr="00E23F6F">
        <w:rPr>
          <w:i/>
          <w:u w:val="single"/>
          <w:lang w:val="es-MX"/>
        </w:rPr>
        <w:t>de</w:t>
      </w:r>
      <w:r>
        <w:rPr>
          <w:i/>
          <w:u w:val="single"/>
          <w:lang w:val="es-MX"/>
        </w:rPr>
        <w:t xml:space="preserve"> la UPR</w:t>
      </w:r>
    </w:p>
    <w:p w14:paraId="2C6FD8FC" w14:textId="77777777" w:rsidR="00682E20" w:rsidRPr="006B160F" w:rsidRDefault="00682E20" w:rsidP="00682E20">
      <w:pPr>
        <w:spacing w:before="53"/>
        <w:ind w:left="810"/>
        <w:jc w:val="both"/>
        <w:rPr>
          <w:i/>
          <w:lang w:val="es-MX"/>
        </w:rPr>
      </w:pPr>
    </w:p>
    <w:p w14:paraId="59E3FFCE" w14:textId="62AAEDD2" w:rsidR="00B862BE" w:rsidRDefault="005816F9" w:rsidP="005816F9">
      <w:pPr>
        <w:pStyle w:val="Textoindependiente"/>
        <w:spacing w:before="93" w:line="302" w:lineRule="auto"/>
        <w:ind w:left="810" w:right="817"/>
        <w:jc w:val="both"/>
        <w:rPr>
          <w:lang w:val="es-MX"/>
        </w:rPr>
      </w:pPr>
      <w:r>
        <w:rPr>
          <w:lang w:val="es-MX"/>
        </w:rPr>
        <w:t xml:space="preserve">Con relación </w:t>
      </w:r>
      <w:r w:rsidR="009401C6">
        <w:rPr>
          <w:lang w:val="es-MX"/>
        </w:rPr>
        <w:t>al comentario</w:t>
      </w:r>
      <w:r>
        <w:rPr>
          <w:lang w:val="es-MX"/>
        </w:rPr>
        <w:t xml:space="preserve"> sobre que el MCE utilizado sigue un enfoque </w:t>
      </w:r>
      <w:r w:rsidR="00A816FE">
        <w:rPr>
          <w:lang w:val="es-MX"/>
        </w:rPr>
        <w:t>“</w:t>
      </w:r>
      <w:r w:rsidR="006303FE" w:rsidRPr="00B862BE">
        <w:rPr>
          <w:lang w:val="es-MX"/>
        </w:rPr>
        <w:t>genérico</w:t>
      </w:r>
      <w:r w:rsidR="00A816FE">
        <w:rPr>
          <w:lang w:val="es-MX"/>
        </w:rPr>
        <w:t>” y “promedio”</w:t>
      </w:r>
      <w:r w:rsidR="00FB2BED" w:rsidRPr="00B862BE">
        <w:rPr>
          <w:lang w:val="es-MX"/>
        </w:rPr>
        <w:t>, l</w:t>
      </w:r>
      <w:r w:rsidR="00E953C0" w:rsidRPr="00B862BE">
        <w:rPr>
          <w:lang w:val="es-MX"/>
        </w:rPr>
        <w:t>a UPR</w:t>
      </w:r>
      <w:r w:rsidR="00184388" w:rsidRPr="00B862BE">
        <w:rPr>
          <w:lang w:val="es-MX"/>
        </w:rPr>
        <w:t xml:space="preserve"> </w:t>
      </w:r>
      <w:r w:rsidR="009401C6">
        <w:rPr>
          <w:lang w:val="es-MX"/>
        </w:rPr>
        <w:t>destaca</w:t>
      </w:r>
      <w:r>
        <w:rPr>
          <w:lang w:val="es-MX"/>
        </w:rPr>
        <w:t xml:space="preserve"> que el MCE fue desarrollado</w:t>
      </w:r>
      <w:r w:rsidR="009401C6">
        <w:rPr>
          <w:lang w:val="es-MX"/>
        </w:rPr>
        <w:t xml:space="preserve"> a partir de fuentes de información relacionadas con:</w:t>
      </w:r>
      <w:r w:rsidR="002D26C7">
        <w:rPr>
          <w:lang w:val="es-MX"/>
        </w:rPr>
        <w:t xml:space="preserve"> l</w:t>
      </w:r>
      <w:r>
        <w:rPr>
          <w:lang w:val="es-MX"/>
        </w:rPr>
        <w:t>a oferta comercial minorista de</w:t>
      </w:r>
      <w:r w:rsidR="002D26C7">
        <w:rPr>
          <w:lang w:val="es-MX"/>
        </w:rPr>
        <w:t>l APSM</w:t>
      </w:r>
      <w:r>
        <w:rPr>
          <w:lang w:val="es-MX"/>
        </w:rPr>
        <w:t xml:space="preserve"> en los </w:t>
      </w:r>
      <w:r w:rsidR="009401C6">
        <w:rPr>
          <w:lang w:val="es-MX"/>
        </w:rPr>
        <w:t>9 mercados</w:t>
      </w:r>
      <w:r w:rsidR="009401C6">
        <w:rPr>
          <w:lang w:val="es-MX"/>
        </w:rPr>
        <w:t xml:space="preserve"> </w:t>
      </w:r>
      <w:r w:rsidR="0030744B">
        <w:rPr>
          <w:lang w:val="es-MX"/>
        </w:rPr>
        <w:t>con</w:t>
      </w:r>
      <w:r w:rsidR="009401C6">
        <w:rPr>
          <w:lang w:val="es-MX"/>
        </w:rPr>
        <w:t xml:space="preserve"> PSM</w:t>
      </w:r>
      <w:r w:rsidR="002D26C7">
        <w:rPr>
          <w:lang w:val="es-MX"/>
        </w:rPr>
        <w:t>, la información autorizada por el Instituto en la Separación Contable,</w:t>
      </w:r>
      <w:r w:rsidR="009401C6">
        <w:rPr>
          <w:lang w:val="es-MX"/>
        </w:rPr>
        <w:t xml:space="preserve"> la</w:t>
      </w:r>
      <w:r w:rsidR="002D26C7">
        <w:rPr>
          <w:lang w:val="es-MX"/>
        </w:rPr>
        <w:t xml:space="preserve"> información proporcionada por el APSM </w:t>
      </w:r>
      <w:r w:rsidR="00F33A6D">
        <w:rPr>
          <w:lang w:val="es-MX"/>
        </w:rPr>
        <w:t>p</w:t>
      </w:r>
      <w:r w:rsidR="002D26C7">
        <w:rPr>
          <w:lang w:val="es-MX"/>
        </w:rPr>
        <w:t>ara elaborar el MCE</w:t>
      </w:r>
      <w:r w:rsidR="00F33A6D">
        <w:rPr>
          <w:lang w:val="es-MX"/>
        </w:rPr>
        <w:t xml:space="preserve"> a partir del respectivo requerimiento</w:t>
      </w:r>
      <w:r w:rsidR="002D26C7">
        <w:rPr>
          <w:lang w:val="es-MX"/>
        </w:rPr>
        <w:t>, entre otra información relevante que el Instituto consideró para l</w:t>
      </w:r>
      <w:r w:rsidR="00F039EB">
        <w:rPr>
          <w:lang w:val="es-MX"/>
        </w:rPr>
        <w:t>a implementación de la metodología</w:t>
      </w:r>
      <w:r w:rsidR="009401C6">
        <w:rPr>
          <w:lang w:val="es-MX"/>
        </w:rPr>
        <w:t xml:space="preserve"> y que se describe en el Documento Metodológico</w:t>
      </w:r>
      <w:r w:rsidR="00B862BE" w:rsidRPr="00B862BE">
        <w:rPr>
          <w:lang w:val="es-MX"/>
        </w:rPr>
        <w:t>.</w:t>
      </w:r>
    </w:p>
    <w:p w14:paraId="1AD96DE3" w14:textId="1B996E6A" w:rsidR="008A5E41" w:rsidRDefault="009401C6" w:rsidP="003C21BC">
      <w:pPr>
        <w:pStyle w:val="Textoindependiente"/>
        <w:spacing w:before="93" w:line="302" w:lineRule="auto"/>
        <w:ind w:left="810" w:right="817"/>
        <w:jc w:val="both"/>
        <w:rPr>
          <w:lang w:val="es-MX"/>
        </w:rPr>
      </w:pPr>
      <w:r>
        <w:rPr>
          <w:lang w:val="es-MX"/>
        </w:rPr>
        <w:t>En este sentido, el análisis de la oferta comercial minorista del APSM en los 9 mercados</w:t>
      </w:r>
      <w:r>
        <w:rPr>
          <w:lang w:val="es-MX"/>
        </w:rPr>
        <w:t xml:space="preserve"> </w:t>
      </w:r>
      <w:r>
        <w:rPr>
          <w:lang w:val="es-MX"/>
        </w:rPr>
        <w:t xml:space="preserve">PSM permitió identificar planes y paquetes, cuya descripción se </w:t>
      </w:r>
      <w:r w:rsidR="00F33A6D">
        <w:rPr>
          <w:lang w:val="es-MX"/>
        </w:rPr>
        <w:t>encuen</w:t>
      </w:r>
      <w:r w:rsidR="00F33A6D">
        <w:rPr>
          <w:lang w:val="es-MX"/>
        </w:rPr>
        <w:t>tra</w:t>
      </w:r>
      <w:r w:rsidR="00F33A6D">
        <w:rPr>
          <w:lang w:val="es-MX"/>
        </w:rPr>
        <w:t xml:space="preserve"> </w:t>
      </w:r>
      <w:r>
        <w:rPr>
          <w:lang w:val="es-MX"/>
        </w:rPr>
        <w:t>en el numeral “</w:t>
      </w:r>
      <w:r w:rsidRPr="008A5E41">
        <w:rPr>
          <w:i/>
          <w:lang w:val="es-MX"/>
        </w:rPr>
        <w:t>3.4.1. Análisis de la información proporcionada por el APSM</w:t>
      </w:r>
      <w:r>
        <w:rPr>
          <w:lang w:val="es-MX"/>
        </w:rPr>
        <w:t>”</w:t>
      </w:r>
      <w:r w:rsidR="00A816FE">
        <w:rPr>
          <w:lang w:val="es-MX"/>
        </w:rPr>
        <w:t xml:space="preserve"> </w:t>
      </w:r>
      <w:r>
        <w:rPr>
          <w:lang w:val="es-MX"/>
        </w:rPr>
        <w:t xml:space="preserve">del Documento Metodológico, a partir de los cuales se pudieron identificar </w:t>
      </w:r>
      <w:r w:rsidR="008A5E41">
        <w:rPr>
          <w:lang w:val="es-MX"/>
        </w:rPr>
        <w:t xml:space="preserve">las características de los servicios ofrecidos que contribuyó a la determinación de </w:t>
      </w:r>
      <w:r>
        <w:rPr>
          <w:lang w:val="es-MX"/>
        </w:rPr>
        <w:t>precios de referencia</w:t>
      </w:r>
      <w:r w:rsidR="008A5E41">
        <w:rPr>
          <w:lang w:val="es-MX"/>
        </w:rPr>
        <w:t xml:space="preserve"> y usuarios</w:t>
      </w:r>
      <w:r>
        <w:rPr>
          <w:lang w:val="es-MX"/>
        </w:rPr>
        <w:t xml:space="preserve"> </w:t>
      </w:r>
      <w:r w:rsidR="008A5E41">
        <w:rPr>
          <w:lang w:val="es-MX"/>
        </w:rPr>
        <w:t>para</w:t>
      </w:r>
      <w:r>
        <w:rPr>
          <w:lang w:val="es-MX"/>
        </w:rPr>
        <w:t xml:space="preserve"> la estimación de </w:t>
      </w:r>
      <w:r w:rsidR="00A56AC4">
        <w:rPr>
          <w:lang w:val="es-MX"/>
        </w:rPr>
        <w:t xml:space="preserve">ingresos asociados por la provisión </w:t>
      </w:r>
      <w:r w:rsidR="002D26C7">
        <w:rPr>
          <w:lang w:val="es-MX"/>
        </w:rPr>
        <w:t>del STAR</w:t>
      </w:r>
      <w:r w:rsidR="008A5E41">
        <w:rPr>
          <w:lang w:val="es-MX"/>
        </w:rPr>
        <w:t xml:space="preserve"> y que se describe a lo largo de</w:t>
      </w:r>
      <w:r w:rsidR="0071004E">
        <w:rPr>
          <w:lang w:val="es-MX"/>
        </w:rPr>
        <w:t xml:space="preserve">l </w:t>
      </w:r>
      <w:r w:rsidR="008A5E41">
        <w:rPr>
          <w:lang w:val="es-MX"/>
        </w:rPr>
        <w:t>documento</w:t>
      </w:r>
      <w:r w:rsidR="0071004E">
        <w:rPr>
          <w:lang w:val="es-MX"/>
        </w:rPr>
        <w:t xml:space="preserve"> antes mencionado</w:t>
      </w:r>
      <w:r w:rsidR="00A56AC4">
        <w:rPr>
          <w:lang w:val="es-MX"/>
        </w:rPr>
        <w:t xml:space="preserve">. </w:t>
      </w:r>
    </w:p>
    <w:p w14:paraId="6994BF75" w14:textId="22F486B5" w:rsidR="008A4DD3" w:rsidRDefault="008A4DD3" w:rsidP="003C21BC">
      <w:pPr>
        <w:pStyle w:val="Textoindependiente"/>
        <w:spacing w:before="93" w:line="302" w:lineRule="auto"/>
        <w:ind w:left="810" w:right="817"/>
        <w:jc w:val="both"/>
        <w:rPr>
          <w:lang w:val="es-MX"/>
        </w:rPr>
      </w:pPr>
      <w:r>
        <w:rPr>
          <w:lang w:val="es-MX"/>
        </w:rPr>
        <w:t xml:space="preserve">Asimismo, </w:t>
      </w:r>
      <w:r w:rsidR="001E11A6">
        <w:rPr>
          <w:lang w:val="es-MX"/>
        </w:rPr>
        <w:t>el IFT</w:t>
      </w:r>
      <w:r w:rsidR="000A6B29">
        <w:rPr>
          <w:lang w:val="es-MX"/>
        </w:rPr>
        <w:t xml:space="preserve"> </w:t>
      </w:r>
      <w:r>
        <w:rPr>
          <w:lang w:val="es-MX"/>
        </w:rPr>
        <w:t>requir</w:t>
      </w:r>
      <w:r>
        <w:rPr>
          <w:lang w:val="es-MX"/>
        </w:rPr>
        <w:t xml:space="preserve">ió </w:t>
      </w:r>
      <w:r w:rsidR="001E11A6">
        <w:rPr>
          <w:lang w:val="es-MX"/>
        </w:rPr>
        <w:t>a</w:t>
      </w:r>
      <w:r w:rsidR="00D07E1C">
        <w:rPr>
          <w:lang w:val="es-MX"/>
        </w:rPr>
        <w:t>l APSM</w:t>
      </w:r>
      <w:r w:rsidR="001E11A6">
        <w:rPr>
          <w:lang w:val="es-MX"/>
        </w:rPr>
        <w:t xml:space="preserve"> </w:t>
      </w:r>
      <w:r>
        <w:rPr>
          <w:lang w:val="es-MX"/>
        </w:rPr>
        <w:t xml:space="preserve">información financiera asociada a los 9 mercados </w:t>
      </w:r>
      <w:r w:rsidR="00EE1468">
        <w:rPr>
          <w:lang w:val="es-MX"/>
        </w:rPr>
        <w:t xml:space="preserve">con </w:t>
      </w:r>
      <w:r>
        <w:rPr>
          <w:lang w:val="es-MX"/>
        </w:rPr>
        <w:t>PSM</w:t>
      </w:r>
      <w:r>
        <w:rPr>
          <w:lang w:val="es-MX"/>
        </w:rPr>
        <w:t>,</w:t>
      </w:r>
      <w:r>
        <w:rPr>
          <w:lang w:val="es-MX"/>
        </w:rPr>
        <w:t xml:space="preserve"> </w:t>
      </w:r>
      <w:r w:rsidR="00D07E1C">
        <w:rPr>
          <w:lang w:val="es-MX"/>
        </w:rPr>
        <w:t xml:space="preserve">para lo cual </w:t>
      </w:r>
      <w:r>
        <w:rPr>
          <w:lang w:val="es-MX"/>
        </w:rPr>
        <w:t>presentó de</w:t>
      </w:r>
      <w:r>
        <w:rPr>
          <w:lang w:val="es-MX"/>
        </w:rPr>
        <w:t xml:space="preserve"> manera agregada sin </w:t>
      </w:r>
      <w:r w:rsidR="001E11A6">
        <w:rPr>
          <w:lang w:val="es-MX"/>
        </w:rPr>
        <w:t>identificar</w:t>
      </w:r>
      <w:r>
        <w:rPr>
          <w:lang w:val="es-MX"/>
        </w:rPr>
        <w:t xml:space="preserve"> o señalar distinción particular sobre cada uno de estos mercados relevantes</w:t>
      </w:r>
      <w:r>
        <w:rPr>
          <w:lang w:val="es-MX"/>
        </w:rPr>
        <w:t xml:space="preserve"> en los </w:t>
      </w:r>
      <w:r w:rsidR="00F3464F">
        <w:rPr>
          <w:lang w:val="es-MX"/>
        </w:rPr>
        <w:t xml:space="preserve">que </w:t>
      </w:r>
      <w:r w:rsidR="00175719">
        <w:rPr>
          <w:lang w:val="es-MX"/>
        </w:rPr>
        <w:t>hiciera alusión a</w:t>
      </w:r>
      <w:r w:rsidR="00175719">
        <w:rPr>
          <w:lang w:val="es-MX"/>
        </w:rPr>
        <w:t xml:space="preserve"> </w:t>
      </w:r>
      <w:r>
        <w:rPr>
          <w:lang w:val="es-MX"/>
        </w:rPr>
        <w:t xml:space="preserve">estructuras de costos </w:t>
      </w:r>
      <w:r>
        <w:rPr>
          <w:lang w:val="es-MX"/>
        </w:rPr>
        <w:t>q</w:t>
      </w:r>
      <w:r>
        <w:rPr>
          <w:lang w:val="es-MX"/>
        </w:rPr>
        <w:t xml:space="preserve">ue ameriten un tratamiento </w:t>
      </w:r>
      <w:r>
        <w:rPr>
          <w:lang w:val="es-MX"/>
        </w:rPr>
        <w:lastRenderedPageBreak/>
        <w:t>diferenciado</w:t>
      </w:r>
      <w:r>
        <w:rPr>
          <w:lang w:val="es-MX"/>
        </w:rPr>
        <w:t>.</w:t>
      </w:r>
    </w:p>
    <w:p w14:paraId="22594E18" w14:textId="241F9CD9" w:rsidR="0071004E" w:rsidRPr="008A5E41" w:rsidRDefault="008A5E41" w:rsidP="0071004E">
      <w:pPr>
        <w:pStyle w:val="Textoindependiente"/>
        <w:spacing w:before="93" w:line="302" w:lineRule="auto"/>
        <w:ind w:left="810" w:right="817"/>
        <w:jc w:val="both"/>
        <w:rPr>
          <w:lang w:val="es-MX"/>
        </w:rPr>
      </w:pPr>
      <w:r>
        <w:rPr>
          <w:lang w:val="es-MX"/>
        </w:rPr>
        <w:t xml:space="preserve">A partir de </w:t>
      </w:r>
      <w:r w:rsidR="0071004E">
        <w:rPr>
          <w:lang w:val="es-MX"/>
        </w:rPr>
        <w:t>estas</w:t>
      </w:r>
      <w:r>
        <w:rPr>
          <w:lang w:val="es-MX"/>
        </w:rPr>
        <w:t xml:space="preserve"> estimaciones,</w:t>
      </w:r>
      <w:r w:rsidR="00F039EB">
        <w:rPr>
          <w:lang w:val="es-MX"/>
        </w:rPr>
        <w:t xml:space="preserve"> el MCE </w:t>
      </w:r>
      <w:r>
        <w:rPr>
          <w:lang w:val="es-MX"/>
        </w:rPr>
        <w:t>realiza la</w:t>
      </w:r>
      <w:r w:rsidR="00F039EB">
        <w:rPr>
          <w:lang w:val="es-MX"/>
        </w:rPr>
        <w:t xml:space="preserve"> estimación </w:t>
      </w:r>
      <w:r w:rsidR="0071004E">
        <w:rPr>
          <w:lang w:val="es-MX"/>
        </w:rPr>
        <w:t xml:space="preserve">proporcional </w:t>
      </w:r>
      <w:r w:rsidR="00F039EB">
        <w:rPr>
          <w:lang w:val="es-MX"/>
        </w:rPr>
        <w:t>de ingresos y costos evitados minoristas</w:t>
      </w:r>
      <w:r w:rsidR="00F039EB" w:rsidRPr="008A5E41">
        <w:rPr>
          <w:lang w:val="es-MX"/>
        </w:rPr>
        <w:t xml:space="preserve"> </w:t>
      </w:r>
      <w:r w:rsidRPr="008A5E41">
        <w:rPr>
          <w:lang w:val="es-MX"/>
        </w:rPr>
        <w:t xml:space="preserve">asociados al STAR </w:t>
      </w:r>
      <w:r w:rsidR="00F039EB" w:rsidRPr="008A5E41">
        <w:rPr>
          <w:lang w:val="es-MX"/>
        </w:rPr>
        <w:t>para que un operador pueda ofrecer, en el mercado minorista, servicios competitivos con la oferta comercial del APSM</w:t>
      </w:r>
      <w:r w:rsidR="0071004E">
        <w:rPr>
          <w:lang w:val="es-MX"/>
        </w:rPr>
        <w:t xml:space="preserve"> en los 9 mercados </w:t>
      </w:r>
      <w:r w:rsidR="0030744B">
        <w:rPr>
          <w:lang w:val="es-MX"/>
        </w:rPr>
        <w:t xml:space="preserve">con </w:t>
      </w:r>
      <w:r w:rsidR="0071004E">
        <w:rPr>
          <w:lang w:val="es-MX"/>
        </w:rPr>
        <w:t>PSM</w:t>
      </w:r>
      <w:r w:rsidR="00F039EB" w:rsidRPr="008A5E41">
        <w:rPr>
          <w:lang w:val="es-MX"/>
        </w:rPr>
        <w:t xml:space="preserve">. </w:t>
      </w:r>
    </w:p>
    <w:p w14:paraId="5715C423" w14:textId="4A97827F" w:rsidR="00A816FE" w:rsidRPr="00B862BE" w:rsidRDefault="008A5E41" w:rsidP="008A5E41">
      <w:pPr>
        <w:pStyle w:val="Textoindependiente"/>
        <w:spacing w:before="93" w:line="302" w:lineRule="auto"/>
        <w:ind w:left="810" w:right="817"/>
        <w:jc w:val="both"/>
        <w:rPr>
          <w:lang w:val="es-MX"/>
        </w:rPr>
      </w:pPr>
      <w:r>
        <w:rPr>
          <w:lang w:val="es-MX"/>
        </w:rPr>
        <w:t xml:space="preserve">De igual manera, con relación al comentario que el MCE estima costos evitados considerando estados financieros y la Separación Contable, se destaca que la evaluación de dichas fuentes </w:t>
      </w:r>
      <w:r w:rsidR="0071004E">
        <w:rPr>
          <w:lang w:val="es-MX"/>
        </w:rPr>
        <w:t>resultó relevante a efecto de evaluar la información presentada por el</w:t>
      </w:r>
      <w:r>
        <w:rPr>
          <w:lang w:val="es-MX"/>
        </w:rPr>
        <w:t xml:space="preserve"> APSM </w:t>
      </w:r>
      <w:r w:rsidR="0071004E">
        <w:rPr>
          <w:lang w:val="es-MX"/>
        </w:rPr>
        <w:t>para</w:t>
      </w:r>
      <w:r>
        <w:rPr>
          <w:lang w:val="es-MX"/>
        </w:rPr>
        <w:t xml:space="preserve"> los 9 mercados </w:t>
      </w:r>
      <w:r w:rsidR="0030744B">
        <w:rPr>
          <w:lang w:val="es-MX"/>
        </w:rPr>
        <w:t xml:space="preserve">con </w:t>
      </w:r>
      <w:r>
        <w:rPr>
          <w:lang w:val="es-MX"/>
        </w:rPr>
        <w:t>PSM</w:t>
      </w:r>
      <w:r w:rsidR="0071004E">
        <w:rPr>
          <w:lang w:val="es-MX"/>
        </w:rPr>
        <w:t>, identificando las características generales del APSM como proveedor del STAR,</w:t>
      </w:r>
      <w:r w:rsidR="00DA31A2">
        <w:rPr>
          <w:lang w:val="es-MX"/>
        </w:rPr>
        <w:t xml:space="preserve"> a partir de </w:t>
      </w:r>
      <w:r w:rsidR="0071004E">
        <w:rPr>
          <w:lang w:val="es-MX"/>
        </w:rPr>
        <w:t xml:space="preserve">la mejor información disponible en términos de los costos minoristas para la provisión de los servicios a sus usuarios finales en la provisión del STAR. </w:t>
      </w:r>
      <w:r w:rsidR="00DD693F" w:rsidRPr="008A5E41">
        <w:rPr>
          <w:lang w:val="es-MX"/>
        </w:rPr>
        <w:t xml:space="preserve"> </w:t>
      </w:r>
      <w:r w:rsidR="00A816FE">
        <w:rPr>
          <w:lang w:val="es-MX"/>
        </w:rPr>
        <w:t xml:space="preserve"> </w:t>
      </w:r>
    </w:p>
    <w:p w14:paraId="79124F40" w14:textId="77777777" w:rsidR="003A3DB6" w:rsidRDefault="003A3DB6" w:rsidP="00BC78B8">
      <w:pPr>
        <w:pStyle w:val="Textoindependiente"/>
        <w:spacing w:before="93" w:line="302" w:lineRule="auto"/>
        <w:ind w:left="708" w:right="817"/>
        <w:jc w:val="both"/>
        <w:rPr>
          <w:lang w:val="es-MX"/>
        </w:rPr>
      </w:pPr>
    </w:p>
    <w:p w14:paraId="4E77309A" w14:textId="77777777" w:rsidR="001C34A1" w:rsidRPr="001C34A1" w:rsidRDefault="003F1923" w:rsidP="001C34A1">
      <w:pPr>
        <w:pStyle w:val="Ttulo1"/>
        <w:numPr>
          <w:ilvl w:val="0"/>
          <w:numId w:val="1"/>
        </w:numPr>
        <w:tabs>
          <w:tab w:val="left" w:pos="1530"/>
          <w:tab w:val="left" w:pos="1531"/>
        </w:tabs>
        <w:spacing w:before="158"/>
        <w:jc w:val="left"/>
        <w:rPr>
          <w:spacing w:val="-1"/>
          <w:lang w:val="es-MX"/>
        </w:rPr>
      </w:pPr>
      <w:r>
        <w:rPr>
          <w:spacing w:val="-1"/>
          <w:lang w:val="es-MX"/>
        </w:rPr>
        <w:t>Servicios STAR</w:t>
      </w:r>
    </w:p>
    <w:p w14:paraId="4D906294" w14:textId="77777777" w:rsidR="001C34A1" w:rsidRDefault="001C34A1" w:rsidP="00682E20">
      <w:pPr>
        <w:pStyle w:val="Textoindependiente"/>
        <w:spacing w:before="93" w:line="302" w:lineRule="auto"/>
        <w:ind w:left="810" w:right="817"/>
        <w:jc w:val="both"/>
        <w:rPr>
          <w:lang w:val="es-MX"/>
        </w:rPr>
      </w:pPr>
    </w:p>
    <w:p w14:paraId="3722B16A" w14:textId="77777777" w:rsidR="00682E20" w:rsidRPr="006B160F" w:rsidRDefault="00682E20" w:rsidP="00682E20">
      <w:pPr>
        <w:ind w:left="810"/>
        <w:rPr>
          <w:i/>
          <w:lang w:val="es-MX"/>
        </w:rPr>
      </w:pPr>
      <w:r w:rsidRPr="006B160F">
        <w:rPr>
          <w:i/>
          <w:u w:val="single"/>
          <w:lang w:val="es-MX"/>
        </w:rPr>
        <w:t>Resumen</w:t>
      </w:r>
      <w:r w:rsidRPr="006B160F">
        <w:rPr>
          <w:i/>
          <w:spacing w:val="-4"/>
          <w:u w:val="single"/>
          <w:lang w:val="es-MX"/>
        </w:rPr>
        <w:t xml:space="preserve"> </w:t>
      </w:r>
      <w:r w:rsidRPr="006B160F">
        <w:rPr>
          <w:i/>
          <w:u w:val="single"/>
          <w:lang w:val="es-MX"/>
        </w:rPr>
        <w:t>de</w:t>
      </w:r>
      <w:r w:rsidRPr="006B160F">
        <w:rPr>
          <w:i/>
          <w:spacing w:val="-3"/>
          <w:u w:val="single"/>
          <w:lang w:val="es-MX"/>
        </w:rPr>
        <w:t xml:space="preserve"> </w:t>
      </w:r>
      <w:r w:rsidRPr="006B160F">
        <w:rPr>
          <w:i/>
          <w:u w:val="single"/>
          <w:lang w:val="es-MX"/>
        </w:rPr>
        <w:t>comentarios</w:t>
      </w:r>
      <w:r w:rsidRPr="006B160F">
        <w:rPr>
          <w:i/>
          <w:spacing w:val="-1"/>
          <w:u w:val="single"/>
          <w:lang w:val="es-MX"/>
        </w:rPr>
        <w:t xml:space="preserve"> </w:t>
      </w:r>
      <w:r w:rsidRPr="006B160F">
        <w:rPr>
          <w:i/>
          <w:u w:val="single"/>
          <w:lang w:val="es-MX"/>
        </w:rPr>
        <w:t>a</w:t>
      </w:r>
      <w:r w:rsidRPr="006B160F">
        <w:rPr>
          <w:i/>
          <w:spacing w:val="-2"/>
          <w:u w:val="single"/>
          <w:lang w:val="es-MX"/>
        </w:rPr>
        <w:t xml:space="preserve"> </w:t>
      </w:r>
      <w:r w:rsidRPr="006B160F">
        <w:rPr>
          <w:i/>
          <w:u w:val="single"/>
          <w:lang w:val="es-MX"/>
        </w:rPr>
        <w:t>la</w:t>
      </w:r>
      <w:r w:rsidRPr="006B160F">
        <w:rPr>
          <w:i/>
          <w:spacing w:val="-3"/>
          <w:u w:val="single"/>
          <w:lang w:val="es-MX"/>
        </w:rPr>
        <w:t xml:space="preserve"> </w:t>
      </w:r>
      <w:r>
        <w:rPr>
          <w:i/>
          <w:u w:val="single"/>
          <w:lang w:val="es-MX"/>
        </w:rPr>
        <w:t>Consulta Pública</w:t>
      </w:r>
    </w:p>
    <w:p w14:paraId="48FD0DB1" w14:textId="77777777" w:rsidR="00682E20" w:rsidRPr="006B160F" w:rsidRDefault="00682E20" w:rsidP="00682E20">
      <w:pPr>
        <w:pStyle w:val="Textoindependiente"/>
        <w:spacing w:before="7"/>
        <w:rPr>
          <w:i/>
          <w:sz w:val="18"/>
          <w:lang w:val="es-MX"/>
        </w:rPr>
      </w:pPr>
    </w:p>
    <w:p w14:paraId="2F032581" w14:textId="77777777" w:rsidR="00B645C0" w:rsidRDefault="00EB18D2" w:rsidP="00EB18D2">
      <w:pPr>
        <w:pStyle w:val="Textoindependiente"/>
        <w:spacing w:line="276" w:lineRule="auto"/>
        <w:ind w:left="810" w:right="812"/>
        <w:jc w:val="both"/>
        <w:rPr>
          <w:lang w:val="es-MX"/>
        </w:rPr>
      </w:pPr>
      <w:r>
        <w:rPr>
          <w:lang w:val="es-MX"/>
        </w:rPr>
        <w:t>Megacable</w:t>
      </w:r>
      <w:r w:rsidR="0036358C">
        <w:rPr>
          <w:lang w:val="es-MX"/>
        </w:rPr>
        <w:t xml:space="preserve"> </w:t>
      </w:r>
      <w:r w:rsidR="00243C9C">
        <w:rPr>
          <w:lang w:val="es-MX"/>
        </w:rPr>
        <w:t>re</w:t>
      </w:r>
      <w:r>
        <w:rPr>
          <w:lang w:val="es-MX"/>
        </w:rPr>
        <w:t>itera que:</w:t>
      </w:r>
    </w:p>
    <w:p w14:paraId="26C2966A" w14:textId="77777777" w:rsidR="00B07CD7" w:rsidRPr="00B07CD7" w:rsidRDefault="00257FCB" w:rsidP="00B07CD7">
      <w:pPr>
        <w:pStyle w:val="Cita"/>
        <w:ind w:left="1560" w:right="2006"/>
        <w:jc w:val="both"/>
        <w:rPr>
          <w:sz w:val="18"/>
          <w:szCs w:val="18"/>
          <w:lang w:val="es-MX"/>
        </w:rPr>
      </w:pPr>
      <w:r>
        <w:rPr>
          <w:sz w:val="18"/>
          <w:szCs w:val="18"/>
          <w:lang w:val="es-MX"/>
        </w:rPr>
        <w:t xml:space="preserve">“[…] </w:t>
      </w:r>
      <w:r w:rsidR="00B07CD7" w:rsidRPr="00B07CD7">
        <w:rPr>
          <w:sz w:val="18"/>
          <w:szCs w:val="18"/>
          <w:lang w:val="es-MX"/>
        </w:rPr>
        <w:t>el Modelo de Costos Evitados, objeto de la Consulta Pública, no resulta consistente con la Propuesta de Oferta de Referencia (objeto también de una Consulta Pública recientemente). Esto máxime cuando se reconoce en el propio Documento Metodológico que, como parte de la regulación impuesta por el Instituto, el APSM se encuentra obligado a presentar una oferta de referencia de servicios de reventa del STAR.</w:t>
      </w:r>
    </w:p>
    <w:p w14:paraId="12111E1A" w14:textId="307A009F" w:rsidR="00EB18D2" w:rsidRPr="00B07CD7" w:rsidRDefault="00B07CD7" w:rsidP="00B07CD7">
      <w:pPr>
        <w:pStyle w:val="Cita"/>
        <w:ind w:left="1560" w:right="2006"/>
        <w:jc w:val="both"/>
        <w:rPr>
          <w:sz w:val="18"/>
          <w:szCs w:val="18"/>
          <w:lang w:val="es-MX"/>
        </w:rPr>
      </w:pPr>
      <w:r w:rsidRPr="00B07CD7">
        <w:rPr>
          <w:sz w:val="18"/>
          <w:szCs w:val="18"/>
          <w:lang w:val="es-MX"/>
        </w:rPr>
        <w:t>Como se indica previamente, incluso esa Oferta de Referencia es innecesaria, ya que los canales respecto a los cuales el GIE podría contar con los derechos para revender</w:t>
      </w:r>
      <w:r w:rsidRPr="00B07CD7">
        <w:rPr>
          <w:sz w:val="18"/>
          <w:szCs w:val="18"/>
          <w:lang w:val="es-MX"/>
        </w:rPr>
        <w:t xml:space="preserve"> </w:t>
      </w:r>
      <w:r w:rsidR="00122BA2">
        <w:rPr>
          <w:sz w:val="18"/>
          <w:szCs w:val="18"/>
          <w:lang w:val="es-MX"/>
        </w:rPr>
        <w:t>[sic]</w:t>
      </w:r>
      <w:r w:rsidRPr="00B07CD7">
        <w:rPr>
          <w:sz w:val="18"/>
          <w:szCs w:val="18"/>
          <w:lang w:val="es-MX"/>
        </w:rPr>
        <w:t xml:space="preserve"> (el resto pertenece a otros agentes económicos cuyos intereses se verían afectados si GIE revendiera sus canales de STAR).</w:t>
      </w:r>
      <w:r w:rsidR="00257FCB">
        <w:rPr>
          <w:sz w:val="18"/>
          <w:szCs w:val="18"/>
          <w:lang w:val="es-MX"/>
        </w:rPr>
        <w:t>”</w:t>
      </w:r>
    </w:p>
    <w:p w14:paraId="35BC8AC3" w14:textId="77777777" w:rsidR="00682E20" w:rsidRPr="006B160F" w:rsidRDefault="00682E20" w:rsidP="00682E20">
      <w:pPr>
        <w:spacing w:line="276" w:lineRule="auto"/>
        <w:jc w:val="both"/>
        <w:rPr>
          <w:lang w:val="es-MX"/>
        </w:rPr>
      </w:pPr>
    </w:p>
    <w:p w14:paraId="1D2420FA" w14:textId="77777777" w:rsidR="00682E20" w:rsidRPr="006B160F" w:rsidRDefault="00682E20" w:rsidP="00682E20">
      <w:pPr>
        <w:spacing w:before="53"/>
        <w:ind w:left="810"/>
        <w:jc w:val="both"/>
        <w:rPr>
          <w:i/>
          <w:lang w:val="es-MX"/>
        </w:rPr>
      </w:pPr>
      <w:r w:rsidRPr="00614C1D">
        <w:rPr>
          <w:i/>
          <w:u w:val="single"/>
          <w:lang w:val="es-MX"/>
        </w:rPr>
        <w:t>Respuesta</w:t>
      </w:r>
      <w:r w:rsidRPr="00614C1D">
        <w:rPr>
          <w:i/>
          <w:spacing w:val="-4"/>
          <w:u w:val="single"/>
          <w:lang w:val="es-MX"/>
        </w:rPr>
        <w:t xml:space="preserve"> </w:t>
      </w:r>
      <w:r w:rsidRPr="00614C1D">
        <w:rPr>
          <w:i/>
          <w:u w:val="single"/>
          <w:lang w:val="es-MX"/>
        </w:rPr>
        <w:t>de</w:t>
      </w:r>
      <w:r>
        <w:rPr>
          <w:i/>
          <w:u w:val="single"/>
          <w:lang w:val="es-MX"/>
        </w:rPr>
        <w:t xml:space="preserve"> la UPR</w:t>
      </w:r>
    </w:p>
    <w:p w14:paraId="0E11CAE6" w14:textId="77777777" w:rsidR="00682E20" w:rsidRPr="006B160F" w:rsidRDefault="00682E20" w:rsidP="00682E20">
      <w:pPr>
        <w:spacing w:line="276" w:lineRule="auto"/>
        <w:jc w:val="both"/>
        <w:rPr>
          <w:lang w:val="es-MX"/>
        </w:rPr>
      </w:pPr>
    </w:p>
    <w:p w14:paraId="5BA1963F" w14:textId="77777777" w:rsidR="00682E20" w:rsidRDefault="00DA31A2" w:rsidP="00682E20">
      <w:pPr>
        <w:pStyle w:val="Textoindependiente"/>
        <w:spacing w:line="276" w:lineRule="auto"/>
        <w:ind w:left="810" w:right="812"/>
        <w:jc w:val="both"/>
        <w:rPr>
          <w:lang w:val="es-MX"/>
        </w:rPr>
      </w:pPr>
      <w:r>
        <w:rPr>
          <w:lang w:val="es-MX"/>
        </w:rPr>
        <w:t>Para dar atención a dichas manifestación, se solicita considerar la respuesta ofrecida por la UPR en el numeral “</w:t>
      </w:r>
      <w:r w:rsidRPr="00DA31A2">
        <w:rPr>
          <w:i/>
          <w:lang w:val="es-MX"/>
        </w:rPr>
        <w:t>I. Contexto regulatorio</w:t>
      </w:r>
      <w:r>
        <w:rPr>
          <w:lang w:val="es-MX"/>
        </w:rPr>
        <w:t>” del presente informe de consideraciones.</w:t>
      </w:r>
    </w:p>
    <w:p w14:paraId="495462A1" w14:textId="77777777" w:rsidR="002B45A1" w:rsidRPr="006B160F" w:rsidRDefault="002B45A1" w:rsidP="00682E20">
      <w:pPr>
        <w:pStyle w:val="Textoindependiente"/>
        <w:spacing w:line="276" w:lineRule="auto"/>
        <w:ind w:left="810" w:right="812"/>
        <w:jc w:val="both"/>
        <w:rPr>
          <w:lang w:val="es-MX"/>
        </w:rPr>
      </w:pPr>
    </w:p>
    <w:p w14:paraId="610DCDAB" w14:textId="77777777" w:rsidR="00682E20" w:rsidRPr="006B160F" w:rsidRDefault="008A2821" w:rsidP="00682E20">
      <w:pPr>
        <w:pStyle w:val="Ttulo1"/>
        <w:numPr>
          <w:ilvl w:val="0"/>
          <w:numId w:val="1"/>
        </w:numPr>
        <w:tabs>
          <w:tab w:val="left" w:pos="1530"/>
          <w:tab w:val="left" w:pos="1531"/>
        </w:tabs>
        <w:spacing w:before="201"/>
        <w:ind w:hanging="545"/>
        <w:jc w:val="left"/>
        <w:rPr>
          <w:lang w:val="es-MX"/>
        </w:rPr>
      </w:pPr>
      <w:r>
        <w:rPr>
          <w:lang w:val="es-MX"/>
        </w:rPr>
        <w:t>Sobre la metodología de costos evitados (</w:t>
      </w:r>
      <w:r w:rsidRPr="008B5FD2">
        <w:rPr>
          <w:i/>
          <w:lang w:val="es-MX"/>
        </w:rPr>
        <w:t>retail minus</w:t>
      </w:r>
      <w:r>
        <w:rPr>
          <w:lang w:val="es-MX"/>
        </w:rPr>
        <w:t>)</w:t>
      </w:r>
    </w:p>
    <w:p w14:paraId="699810B4" w14:textId="77777777" w:rsidR="00682E20" w:rsidRPr="006B160F" w:rsidRDefault="00682E20" w:rsidP="00682E20">
      <w:pPr>
        <w:pStyle w:val="Textoindependiente"/>
        <w:spacing w:before="7"/>
        <w:rPr>
          <w:b/>
          <w:sz w:val="20"/>
          <w:lang w:val="es-MX"/>
        </w:rPr>
      </w:pPr>
    </w:p>
    <w:p w14:paraId="09C5C5B3" w14:textId="77777777" w:rsidR="00682E20" w:rsidRDefault="00682E20" w:rsidP="00682E20">
      <w:pPr>
        <w:ind w:left="810"/>
        <w:jc w:val="both"/>
        <w:rPr>
          <w:i/>
          <w:u w:val="single"/>
          <w:lang w:val="es-MX"/>
        </w:rPr>
      </w:pPr>
      <w:r w:rsidRPr="006B160F">
        <w:rPr>
          <w:i/>
          <w:u w:val="single"/>
          <w:lang w:val="es-MX"/>
        </w:rPr>
        <w:t>Resumen</w:t>
      </w:r>
      <w:r w:rsidRPr="006B160F">
        <w:rPr>
          <w:i/>
          <w:spacing w:val="-4"/>
          <w:u w:val="single"/>
          <w:lang w:val="es-MX"/>
        </w:rPr>
        <w:t xml:space="preserve"> </w:t>
      </w:r>
      <w:r w:rsidRPr="006B160F">
        <w:rPr>
          <w:i/>
          <w:u w:val="single"/>
          <w:lang w:val="es-MX"/>
        </w:rPr>
        <w:t>de</w:t>
      </w:r>
      <w:r w:rsidRPr="006B160F">
        <w:rPr>
          <w:i/>
          <w:spacing w:val="-4"/>
          <w:u w:val="single"/>
          <w:lang w:val="es-MX"/>
        </w:rPr>
        <w:t xml:space="preserve"> </w:t>
      </w:r>
      <w:r w:rsidRPr="006B160F">
        <w:rPr>
          <w:i/>
          <w:u w:val="single"/>
          <w:lang w:val="es-MX"/>
        </w:rPr>
        <w:t>comentarios</w:t>
      </w:r>
      <w:r w:rsidRPr="006B160F">
        <w:rPr>
          <w:i/>
          <w:spacing w:val="-6"/>
          <w:u w:val="single"/>
          <w:lang w:val="es-MX"/>
        </w:rPr>
        <w:t xml:space="preserve"> </w:t>
      </w:r>
      <w:r w:rsidRPr="006B160F">
        <w:rPr>
          <w:i/>
          <w:u w:val="single"/>
          <w:lang w:val="es-MX"/>
        </w:rPr>
        <w:t>de</w:t>
      </w:r>
      <w:r w:rsidRPr="006B160F">
        <w:rPr>
          <w:i/>
          <w:spacing w:val="-4"/>
          <w:u w:val="single"/>
          <w:lang w:val="es-MX"/>
        </w:rPr>
        <w:t xml:space="preserve"> </w:t>
      </w:r>
      <w:r w:rsidRPr="006B160F">
        <w:rPr>
          <w:i/>
          <w:u w:val="single"/>
          <w:lang w:val="es-MX"/>
        </w:rPr>
        <w:t>la</w:t>
      </w:r>
      <w:r w:rsidRPr="006B160F">
        <w:rPr>
          <w:i/>
          <w:spacing w:val="-4"/>
          <w:u w:val="single"/>
          <w:lang w:val="es-MX"/>
        </w:rPr>
        <w:t xml:space="preserve"> </w:t>
      </w:r>
      <w:r>
        <w:rPr>
          <w:i/>
          <w:u w:val="single"/>
          <w:lang w:val="es-MX"/>
        </w:rPr>
        <w:t>Consulta Pública</w:t>
      </w:r>
    </w:p>
    <w:p w14:paraId="033E249F" w14:textId="77777777" w:rsidR="00B645C0" w:rsidRPr="006B160F" w:rsidRDefault="00B645C0" w:rsidP="00682E20">
      <w:pPr>
        <w:ind w:left="810"/>
        <w:jc w:val="both"/>
        <w:rPr>
          <w:i/>
          <w:lang w:val="es-MX"/>
        </w:rPr>
      </w:pPr>
    </w:p>
    <w:p w14:paraId="020F8AE8" w14:textId="77777777" w:rsidR="00AE0739" w:rsidRDefault="00EA1C8D" w:rsidP="00BD5FE1">
      <w:pPr>
        <w:pStyle w:val="Textoindependiente"/>
        <w:spacing w:before="93" w:line="302" w:lineRule="auto"/>
        <w:ind w:left="810" w:right="815"/>
        <w:jc w:val="both"/>
        <w:rPr>
          <w:lang w:val="es-MX"/>
        </w:rPr>
      </w:pPr>
      <w:r>
        <w:rPr>
          <w:lang w:val="es-MX"/>
        </w:rPr>
        <w:t>Megacable</w:t>
      </w:r>
      <w:r w:rsidR="00682E20">
        <w:rPr>
          <w:lang w:val="es-MX"/>
        </w:rPr>
        <w:t xml:space="preserve"> </w:t>
      </w:r>
      <w:r w:rsidR="00AE0739">
        <w:rPr>
          <w:lang w:val="es-MX"/>
        </w:rPr>
        <w:t>señala que:</w:t>
      </w:r>
    </w:p>
    <w:p w14:paraId="2950A107" w14:textId="77777777" w:rsidR="00682E20" w:rsidRDefault="00D462AD" w:rsidP="00551779">
      <w:pPr>
        <w:pStyle w:val="Cita"/>
        <w:ind w:left="1560" w:right="2006"/>
        <w:jc w:val="both"/>
        <w:rPr>
          <w:sz w:val="18"/>
          <w:szCs w:val="18"/>
          <w:lang w:val="es-MX"/>
        </w:rPr>
      </w:pPr>
      <w:r>
        <w:rPr>
          <w:sz w:val="18"/>
          <w:szCs w:val="18"/>
          <w:lang w:val="es-MX"/>
        </w:rPr>
        <w:t>“</w:t>
      </w:r>
      <w:r w:rsidR="00551779" w:rsidRPr="00551779">
        <w:rPr>
          <w:sz w:val="18"/>
          <w:szCs w:val="18"/>
          <w:lang w:val="es-MX"/>
        </w:rPr>
        <w:t>Sobre la metodología de costos evitados o retail minus que el Instituto afirma utilizar en el Modelo objeto de la Consulta Pública, se afirma en el Documento Metodológico que la base teórica de la metodología:</w:t>
      </w:r>
    </w:p>
    <w:p w14:paraId="153E639B" w14:textId="77777777" w:rsidR="00BA107E" w:rsidRPr="00F95BD7" w:rsidRDefault="00F95BD7" w:rsidP="00F95BD7">
      <w:pPr>
        <w:pStyle w:val="Cita"/>
        <w:ind w:left="1560" w:right="2006"/>
        <w:jc w:val="both"/>
        <w:rPr>
          <w:sz w:val="18"/>
          <w:szCs w:val="18"/>
          <w:lang w:val="es-MX"/>
        </w:rPr>
      </w:pPr>
      <w:r w:rsidRPr="00F95BD7">
        <w:rPr>
          <w:sz w:val="18"/>
          <w:szCs w:val="18"/>
          <w:lang w:val="es-MX"/>
        </w:rPr>
        <w:t xml:space="preserve">“(…) tiene como principio asegurar que exista un margen suficiente entre el nivel de tarifas mayoristas y los precios minoristas para que un “operador eficiente” pueda ofrecer, en el mercado minorista, servicios competitivos con la oferta comercial del </w:t>
      </w:r>
      <w:r w:rsidRPr="00F95BD7">
        <w:rPr>
          <w:sz w:val="18"/>
          <w:szCs w:val="18"/>
          <w:lang w:val="es-MX"/>
        </w:rPr>
        <w:lastRenderedPageBreak/>
        <w:t>APSM.”</w:t>
      </w:r>
    </w:p>
    <w:p w14:paraId="157FE9E2" w14:textId="77777777" w:rsidR="00F95BD7" w:rsidRPr="00F95BD7" w:rsidRDefault="00F95BD7" w:rsidP="00F95BD7">
      <w:pPr>
        <w:pStyle w:val="Cita"/>
        <w:ind w:left="1560" w:right="2006"/>
        <w:jc w:val="both"/>
        <w:rPr>
          <w:sz w:val="18"/>
          <w:szCs w:val="18"/>
          <w:lang w:val="es-MX"/>
        </w:rPr>
      </w:pPr>
      <w:r w:rsidRPr="00F95BD7">
        <w:rPr>
          <w:sz w:val="18"/>
          <w:szCs w:val="18"/>
          <w:lang w:val="es-MX"/>
        </w:rPr>
        <w:t>Con independencia de que se insiste que el Modelo de Costos Evitados de la Consulta Pública, es indebida, además no resulta pertinente dada la realidad del Contexto Regulatorio y se observa que en realidad no se modela con dicha metodología un margen suficiente para que un “operador eficiente” pueda ofrecer competitivamente la oferta comercial del APSM, ya que en ningún momento se considera algún estándar o parámetro de eficiencia para definir el margen o descuento respecto al “precio implícito” del STAR.</w:t>
      </w:r>
    </w:p>
    <w:p w14:paraId="673C3BE5" w14:textId="77777777" w:rsidR="00F95BD7" w:rsidRPr="00F95BD7" w:rsidRDefault="00F95BD7" w:rsidP="00F95BD7">
      <w:pPr>
        <w:pStyle w:val="Cita"/>
        <w:ind w:left="1560" w:right="2006"/>
        <w:jc w:val="both"/>
        <w:rPr>
          <w:sz w:val="18"/>
          <w:szCs w:val="18"/>
          <w:lang w:val="es-MX"/>
        </w:rPr>
      </w:pPr>
      <w:r w:rsidRPr="00F95BD7">
        <w:rPr>
          <w:sz w:val="18"/>
          <w:szCs w:val="18"/>
          <w:lang w:val="es-MX"/>
        </w:rPr>
        <w:t>En concordancia con lo anterior, de manera ambigua y arbitraria, se señala una serie de conceptos de costos que supuestamente evitaría el GIE al revender el STAR, sin realmente acreditar o demostrar que realmente sería así.</w:t>
      </w:r>
    </w:p>
    <w:p w14:paraId="0CD2B442" w14:textId="77777777" w:rsidR="00551779" w:rsidRPr="00F95BD7" w:rsidRDefault="00F95BD7" w:rsidP="00F95BD7">
      <w:pPr>
        <w:pStyle w:val="Cita"/>
        <w:ind w:left="1560" w:right="2006"/>
        <w:jc w:val="both"/>
        <w:rPr>
          <w:sz w:val="18"/>
          <w:szCs w:val="18"/>
          <w:lang w:val="es-MX"/>
        </w:rPr>
      </w:pPr>
      <w:r w:rsidRPr="00F95BD7">
        <w:rPr>
          <w:sz w:val="18"/>
          <w:szCs w:val="18"/>
          <w:lang w:val="es-MX"/>
        </w:rPr>
        <w:t>Por ejemplo, se incluyen como costos evitados los costos de atención al cliente, de mercadotecnia y publicidad o los gastos administrativos, todos los cuales serían en realidad fijos al ofrecer un servicio mayorista de algunos canales del STAR. Por ejemplo, el número de personal en servicios de atención al cliente o en áreas administrativas, no cambia al ofrecer servicios mayoristas, pues sin conceder un GIE mantendría sus actividades y costos minoristas.</w:t>
      </w:r>
      <w:r w:rsidR="00D462AD">
        <w:rPr>
          <w:sz w:val="18"/>
          <w:szCs w:val="18"/>
          <w:lang w:val="es-MX"/>
        </w:rPr>
        <w:t>”</w:t>
      </w:r>
    </w:p>
    <w:p w14:paraId="0A5A0951" w14:textId="77777777" w:rsidR="00F95BD7" w:rsidRPr="00551779" w:rsidRDefault="00F95BD7" w:rsidP="00F95BD7">
      <w:pPr>
        <w:rPr>
          <w:lang w:val="es-MX"/>
        </w:rPr>
      </w:pPr>
    </w:p>
    <w:p w14:paraId="3B242AE3" w14:textId="77777777" w:rsidR="00682E20" w:rsidRPr="006A1A80" w:rsidRDefault="00682E20" w:rsidP="00682E20">
      <w:pPr>
        <w:pStyle w:val="Textoindependiente"/>
        <w:spacing w:before="93" w:line="302" w:lineRule="auto"/>
        <w:ind w:left="810" w:right="815"/>
        <w:jc w:val="both"/>
        <w:rPr>
          <w:i/>
          <w:u w:val="single"/>
          <w:lang w:val="es-MX"/>
        </w:rPr>
      </w:pPr>
      <w:r w:rsidRPr="006A1A80">
        <w:rPr>
          <w:i/>
          <w:u w:val="single"/>
          <w:lang w:val="es-MX"/>
        </w:rPr>
        <w:t>Respuesta de la UPR</w:t>
      </w:r>
    </w:p>
    <w:p w14:paraId="758E24B9" w14:textId="68ABEC50" w:rsidR="0013379D" w:rsidRDefault="002E6E86" w:rsidP="0013379D">
      <w:pPr>
        <w:pStyle w:val="Textoindependiente"/>
        <w:spacing w:before="93" w:line="302" w:lineRule="auto"/>
        <w:ind w:left="810" w:right="815"/>
        <w:jc w:val="both"/>
      </w:pPr>
      <w:r>
        <w:rPr>
          <w:lang w:val="es-MX"/>
        </w:rPr>
        <w:t xml:space="preserve">Con relación </w:t>
      </w:r>
      <w:r w:rsidR="00BF1597">
        <w:rPr>
          <w:lang w:val="es-MX"/>
        </w:rPr>
        <w:t xml:space="preserve">al comentario </w:t>
      </w:r>
      <w:r w:rsidR="00E31B6A">
        <w:rPr>
          <w:lang w:val="es-MX"/>
        </w:rPr>
        <w:t>sobre</w:t>
      </w:r>
      <w:r w:rsidR="00BF1597">
        <w:rPr>
          <w:lang w:val="es-MX"/>
        </w:rPr>
        <w:t xml:space="preserve"> que </w:t>
      </w:r>
      <w:r w:rsidR="008544C0">
        <w:rPr>
          <w:lang w:val="es-MX"/>
        </w:rPr>
        <w:t xml:space="preserve">en </w:t>
      </w:r>
      <w:r w:rsidR="00BF1597">
        <w:rPr>
          <w:lang w:val="es-MX"/>
        </w:rPr>
        <w:t>el MCE</w:t>
      </w:r>
      <w:r w:rsidR="00BF1597" w:rsidRPr="00DA31A2">
        <w:rPr>
          <w:i/>
          <w:lang w:val="es-MX"/>
        </w:rPr>
        <w:t xml:space="preserve"> </w:t>
      </w:r>
      <w:r w:rsidR="00BF1597" w:rsidRPr="008544C0">
        <w:rPr>
          <w:lang w:val="es-MX"/>
        </w:rPr>
        <w:t xml:space="preserve">no se modela un margen suficiente </w:t>
      </w:r>
      <w:r w:rsidR="008544C0">
        <w:rPr>
          <w:lang w:val="es-MX"/>
        </w:rPr>
        <w:t xml:space="preserve">o estándar </w:t>
      </w:r>
      <w:r w:rsidR="00BF1597" w:rsidRPr="008544C0">
        <w:rPr>
          <w:lang w:val="es-MX"/>
        </w:rPr>
        <w:t xml:space="preserve">para que un “operador eficiente” pueda ofrecer competitivamente la oferta comercial del APSM, </w:t>
      </w:r>
      <w:r w:rsidR="008544C0">
        <w:rPr>
          <w:lang w:val="es-MX"/>
        </w:rPr>
        <w:t>l</w:t>
      </w:r>
      <w:r w:rsidR="00BF1597">
        <w:rPr>
          <w:lang w:val="es-MX"/>
        </w:rPr>
        <w:t xml:space="preserve">a UPR </w:t>
      </w:r>
      <w:r w:rsidR="0013379D">
        <w:rPr>
          <w:lang w:val="es-MX"/>
        </w:rPr>
        <w:t xml:space="preserve">resalta </w:t>
      </w:r>
      <w:r w:rsidR="00DA31A2">
        <w:rPr>
          <w:lang w:val="es-MX"/>
        </w:rPr>
        <w:t>lo referido</w:t>
      </w:r>
      <w:r w:rsidR="0013379D">
        <w:rPr>
          <w:lang w:val="es-MX"/>
        </w:rPr>
        <w:t xml:space="preserve"> en el Documento Metodológico </w:t>
      </w:r>
      <w:r w:rsidR="00DA31A2">
        <w:rPr>
          <w:lang w:val="es-MX"/>
        </w:rPr>
        <w:t>respecto a que</w:t>
      </w:r>
      <w:r w:rsidR="0013379D">
        <w:rPr>
          <w:lang w:val="es-MX"/>
        </w:rPr>
        <w:t xml:space="preserve"> </w:t>
      </w:r>
      <w:r w:rsidR="005F5245">
        <w:rPr>
          <w:lang w:val="es-MX"/>
        </w:rPr>
        <w:t>el MCE sigue la</w:t>
      </w:r>
      <w:r w:rsidR="0013379D">
        <w:rPr>
          <w:lang w:val="es-MX"/>
        </w:rPr>
        <w:t xml:space="preserve"> metodología de costos evitados</w:t>
      </w:r>
      <w:r w:rsidR="0013379D">
        <w:t xml:space="preserve"> </w:t>
      </w:r>
      <w:r w:rsidR="006F72BF">
        <w:t xml:space="preserve">prevista en la Obligación QUINTA </w:t>
      </w:r>
      <w:r w:rsidR="00DA31A2">
        <w:t>en consistencia</w:t>
      </w:r>
      <w:r w:rsidR="006F72BF">
        <w:t xml:space="preserve"> con el alcance del SMR del STAR </w:t>
      </w:r>
      <w:r w:rsidR="006F72BF">
        <w:rPr>
          <w:lang w:val="es-MX"/>
        </w:rPr>
        <w:t>previsto en la Obligación TERCERA, fracciones XI y XII</w:t>
      </w:r>
      <w:r w:rsidR="0013379D">
        <w:t>.</w:t>
      </w:r>
      <w:r w:rsidR="0039206A">
        <w:t xml:space="preserve"> A partir de ello es de esperarse que cualquier competidor de</w:t>
      </w:r>
      <w:r w:rsidR="00D07E1C">
        <w:t>l APSM</w:t>
      </w:r>
      <w:r w:rsidR="0039206A">
        <w:t xml:space="preserve"> </w:t>
      </w:r>
      <w:r w:rsidR="0039206A">
        <w:t xml:space="preserve">con una operación eficiente y </w:t>
      </w:r>
      <w:r w:rsidR="0039206A">
        <w:t xml:space="preserve">que haga uso del servicio mayorista provisto por éste pueda </w:t>
      </w:r>
      <w:r w:rsidR="0039206A">
        <w:t xml:space="preserve">alcanzar el margen en cuestión. </w:t>
      </w:r>
    </w:p>
    <w:p w14:paraId="74BCC80A" w14:textId="215DE54B" w:rsidR="00AC11FD" w:rsidRDefault="00895B04">
      <w:pPr>
        <w:pStyle w:val="Textoindependiente"/>
        <w:spacing w:before="93" w:line="302" w:lineRule="auto"/>
        <w:ind w:left="810" w:right="815"/>
        <w:jc w:val="both"/>
      </w:pPr>
      <w:r>
        <w:rPr>
          <w:lang w:val="es-MX"/>
        </w:rPr>
        <w:t>De esta forma</w:t>
      </w:r>
      <w:r w:rsidR="00DA31A2">
        <w:rPr>
          <w:lang w:val="es-MX"/>
        </w:rPr>
        <w:t xml:space="preserve"> </w:t>
      </w:r>
      <w:r w:rsidR="006F72BF">
        <w:rPr>
          <w:lang w:val="es-MX"/>
        </w:rPr>
        <w:t>se utilizan</w:t>
      </w:r>
      <w:r w:rsidR="0013379D">
        <w:rPr>
          <w:lang w:val="es-MX"/>
        </w:rPr>
        <w:t xml:space="preserve"> las categorías de costos evitados </w:t>
      </w:r>
      <w:r w:rsidR="002B45A1">
        <w:rPr>
          <w:lang w:val="es-MX"/>
        </w:rPr>
        <w:t xml:space="preserve">determinadas </w:t>
      </w:r>
      <w:r w:rsidR="0013379D">
        <w:rPr>
          <w:lang w:val="es-MX"/>
        </w:rPr>
        <w:t>por el Instituto</w:t>
      </w:r>
      <w:r w:rsidR="0013379D">
        <w:rPr>
          <w:rStyle w:val="Refdenotaalpie"/>
          <w:lang w:val="es-MX"/>
        </w:rPr>
        <w:footnoteReference w:id="4"/>
      </w:r>
      <w:r w:rsidR="0013379D">
        <w:rPr>
          <w:lang w:val="es-MX"/>
        </w:rPr>
        <w:t xml:space="preserve"> </w:t>
      </w:r>
      <w:r w:rsidR="0013379D">
        <w:t xml:space="preserve">las cuales permiten definir el </w:t>
      </w:r>
      <w:r w:rsidR="006F72BF">
        <w:t xml:space="preserve">margen </w:t>
      </w:r>
      <w:r w:rsidR="0013379D">
        <w:t>entre el nivel de tarifas mayoristas y los precios minoristas para que un “operador eficiente” pueda ofrecer, en el mercado minorista, servicios competitivos con la oferta comercial del APSM.</w:t>
      </w:r>
    </w:p>
    <w:p w14:paraId="1AB1E7BE" w14:textId="2E50072B" w:rsidR="002841EC" w:rsidRDefault="000A3478" w:rsidP="00895B04">
      <w:pPr>
        <w:pStyle w:val="Textoindependiente"/>
        <w:spacing w:before="93" w:line="302" w:lineRule="auto"/>
        <w:ind w:left="810" w:right="815"/>
        <w:jc w:val="both"/>
        <w:rPr>
          <w:lang w:val="es-MX"/>
        </w:rPr>
      </w:pPr>
      <w:r>
        <w:rPr>
          <w:lang w:val="es-MX"/>
        </w:rPr>
        <w:t xml:space="preserve">En este </w:t>
      </w:r>
      <w:r w:rsidR="0039206A">
        <w:rPr>
          <w:lang w:val="es-MX"/>
        </w:rPr>
        <w:t>sentido</w:t>
      </w:r>
      <w:r>
        <w:rPr>
          <w:lang w:val="es-MX"/>
        </w:rPr>
        <w:t>,</w:t>
      </w:r>
      <w:r w:rsidR="004921DB">
        <w:rPr>
          <w:lang w:val="es-MX"/>
        </w:rPr>
        <w:t xml:space="preserve"> </w:t>
      </w:r>
      <w:r w:rsidR="00DA31A2">
        <w:rPr>
          <w:lang w:val="es-MX"/>
        </w:rPr>
        <w:t>a partir de la información autorizada por el Instituto en la</w:t>
      </w:r>
      <w:r w:rsidR="00BF1597">
        <w:rPr>
          <w:lang w:val="es-MX"/>
        </w:rPr>
        <w:t xml:space="preserve"> Separación Contable</w:t>
      </w:r>
      <w:r w:rsidR="00DA31A2">
        <w:rPr>
          <w:lang w:val="es-MX"/>
        </w:rPr>
        <w:t>, la</w:t>
      </w:r>
      <w:r w:rsidR="00BF1597">
        <w:rPr>
          <w:lang w:val="es-MX"/>
        </w:rPr>
        <w:t xml:space="preserve"> información provista por </w:t>
      </w:r>
      <w:r w:rsidR="00DA31A2">
        <w:rPr>
          <w:lang w:val="es-MX"/>
        </w:rPr>
        <w:t xml:space="preserve">el APSM </w:t>
      </w:r>
      <w:r w:rsidR="00BF1597">
        <w:rPr>
          <w:lang w:val="es-MX"/>
        </w:rPr>
        <w:t xml:space="preserve">en los </w:t>
      </w:r>
      <w:r w:rsidR="00DA31A2">
        <w:rPr>
          <w:lang w:val="es-MX"/>
        </w:rPr>
        <w:t xml:space="preserve">9 </w:t>
      </w:r>
      <w:r w:rsidR="008C3888">
        <w:rPr>
          <w:lang w:val="es-MX"/>
        </w:rPr>
        <w:t xml:space="preserve">mercados </w:t>
      </w:r>
      <w:r w:rsidR="0039206A">
        <w:rPr>
          <w:lang w:val="es-MX"/>
        </w:rPr>
        <w:t xml:space="preserve">con </w:t>
      </w:r>
      <w:r w:rsidR="00DA31A2">
        <w:rPr>
          <w:lang w:val="es-MX"/>
        </w:rPr>
        <w:t>PSM</w:t>
      </w:r>
      <w:r w:rsidR="00BF1597">
        <w:rPr>
          <w:lang w:val="es-MX"/>
        </w:rPr>
        <w:t>,</w:t>
      </w:r>
      <w:r w:rsidR="008544C0">
        <w:rPr>
          <w:lang w:val="es-MX"/>
        </w:rPr>
        <w:t xml:space="preserve"> entre otras fuentes de información</w:t>
      </w:r>
      <w:r w:rsidR="00032802">
        <w:rPr>
          <w:lang w:val="es-MX"/>
        </w:rPr>
        <w:t>,</w:t>
      </w:r>
      <w:r w:rsidR="00DA31A2">
        <w:rPr>
          <w:lang w:val="es-MX"/>
        </w:rPr>
        <w:t xml:space="preserve"> fueron </w:t>
      </w:r>
      <w:r w:rsidR="002841EC">
        <w:rPr>
          <w:lang w:val="es-MX"/>
        </w:rPr>
        <w:t xml:space="preserve">evaluadas </w:t>
      </w:r>
      <w:r w:rsidR="00DA31A2">
        <w:rPr>
          <w:lang w:val="es-MX"/>
        </w:rPr>
        <w:t>para estimar los</w:t>
      </w:r>
      <w:r w:rsidR="006F72BF">
        <w:rPr>
          <w:lang w:val="es-MX"/>
        </w:rPr>
        <w:t xml:space="preserve"> niveles de</w:t>
      </w:r>
      <w:r w:rsidR="00BF1597">
        <w:rPr>
          <w:lang w:val="es-MX"/>
        </w:rPr>
        <w:t xml:space="preserve"> costos evitados </w:t>
      </w:r>
      <w:r w:rsidR="005F5245">
        <w:rPr>
          <w:lang w:val="es-MX"/>
        </w:rPr>
        <w:t>minoristas que conformaran el porcentaje de descuento</w:t>
      </w:r>
      <w:r w:rsidR="00DA31A2">
        <w:rPr>
          <w:lang w:val="es-MX"/>
        </w:rPr>
        <w:t xml:space="preserve"> que deberá ser considera para la determinación de la tarifa mayorista</w:t>
      </w:r>
      <w:r w:rsidR="002841EC">
        <w:rPr>
          <w:rStyle w:val="Refdenotaalpie"/>
          <w:lang w:val="es-MX"/>
        </w:rPr>
        <w:footnoteReference w:id="5"/>
      </w:r>
      <w:r w:rsidR="00BF1597">
        <w:rPr>
          <w:lang w:val="es-MX"/>
        </w:rPr>
        <w:t>.</w:t>
      </w:r>
      <w:r w:rsidR="00891CFF">
        <w:rPr>
          <w:lang w:val="es-MX"/>
        </w:rPr>
        <w:t xml:space="preserve"> </w:t>
      </w:r>
      <w:r w:rsidR="002841EC">
        <w:rPr>
          <w:lang w:val="es-MX"/>
        </w:rPr>
        <w:t>De esta manera, la estimación de costos evitados permite tener un parámetro objetivo que permita a un operador alternativo competir en la provisión de servicios minoristas.</w:t>
      </w:r>
    </w:p>
    <w:p w14:paraId="4284850D" w14:textId="529EAA72" w:rsidR="00895B04" w:rsidRDefault="00895B04" w:rsidP="00895B04">
      <w:pPr>
        <w:pStyle w:val="Textoindependiente"/>
        <w:spacing w:before="93" w:line="302" w:lineRule="auto"/>
        <w:ind w:left="810" w:right="815"/>
        <w:jc w:val="both"/>
        <w:rPr>
          <w:lang w:val="es-MX"/>
        </w:rPr>
      </w:pPr>
      <w:r>
        <w:rPr>
          <w:lang w:val="es-MX"/>
        </w:rPr>
        <w:t xml:space="preserve">Adicionalmente, se señala que como </w:t>
      </w:r>
      <w:r>
        <w:rPr>
          <w:lang w:val="es-MX"/>
        </w:rPr>
        <w:t>p</w:t>
      </w:r>
      <w:r>
        <w:rPr>
          <w:lang w:val="es-MX"/>
        </w:rPr>
        <w:t xml:space="preserve">arte del conjunto de costos evitados se considera </w:t>
      </w:r>
      <w:r>
        <w:rPr>
          <w:lang w:val="es-MX"/>
        </w:rPr>
        <w:lastRenderedPageBreak/>
        <w:t>un margen de beneficios sobre costos evitados que se describe en el numeral “</w:t>
      </w:r>
      <w:r w:rsidRPr="00895B04">
        <w:rPr>
          <w:i/>
          <w:lang w:val="es-MX"/>
        </w:rPr>
        <w:t>3.6.7 Margen sobre beneficios sobre cosos evitados</w:t>
      </w:r>
      <w:r>
        <w:rPr>
          <w:lang w:val="es-MX"/>
        </w:rPr>
        <w:t xml:space="preserve">” del Documento Metodológico. Este margen toma como referencia el valor del Costo de Capital Promedio Ponderado como un parámetro de referencia para considerar un retorno razonable que permita a un operador eficiente hacer uso del servicio mayorista. </w:t>
      </w:r>
    </w:p>
    <w:p w14:paraId="2BFDBE5E" w14:textId="2C17F028" w:rsidR="00F22B64" w:rsidRDefault="00266B4E" w:rsidP="00895B04">
      <w:pPr>
        <w:pStyle w:val="Textoindependiente"/>
        <w:spacing w:before="93" w:line="302" w:lineRule="auto"/>
        <w:ind w:left="810" w:right="815"/>
        <w:jc w:val="both"/>
        <w:rPr>
          <w:lang w:val="es-MX"/>
        </w:rPr>
      </w:pPr>
      <w:r>
        <w:rPr>
          <w:lang w:val="es-MX"/>
        </w:rPr>
        <w:t>Por su parte, con relación al</w:t>
      </w:r>
      <w:r>
        <w:rPr>
          <w:lang w:val="es-MX"/>
        </w:rPr>
        <w:t xml:space="preserve"> comentario </w:t>
      </w:r>
      <w:r>
        <w:rPr>
          <w:lang w:val="es-MX"/>
        </w:rPr>
        <w:t xml:space="preserve">para </w:t>
      </w:r>
      <w:r>
        <w:rPr>
          <w:lang w:val="es-MX"/>
        </w:rPr>
        <w:t>aludir</w:t>
      </w:r>
      <w:r>
        <w:rPr>
          <w:lang w:val="es-MX"/>
        </w:rPr>
        <w:t xml:space="preserve"> </w:t>
      </w:r>
      <w:r>
        <w:rPr>
          <w:lang w:val="es-MX"/>
        </w:rPr>
        <w:t xml:space="preserve">que </w:t>
      </w:r>
      <w:r>
        <w:rPr>
          <w:lang w:val="es-MX"/>
        </w:rPr>
        <w:t xml:space="preserve">no se modela un margen suficiente para que un operador eficiente pueda ofrecer </w:t>
      </w:r>
      <w:r>
        <w:rPr>
          <w:lang w:val="es-MX"/>
        </w:rPr>
        <w:t>la oferta del APSM, se destacan</w:t>
      </w:r>
      <w:r w:rsidR="00F22B64">
        <w:rPr>
          <w:lang w:val="es-MX"/>
        </w:rPr>
        <w:t xml:space="preserve"> que el APSM se ha manifestado respecto a considerar elementos adicionales asociados con los costos evitados</w:t>
      </w:r>
      <w:r w:rsidR="00031131">
        <w:rPr>
          <w:lang w:val="es-MX"/>
        </w:rPr>
        <w:t xml:space="preserve"> </w:t>
      </w:r>
      <w:r w:rsidR="00031131">
        <w:rPr>
          <w:lang w:val="es-MX"/>
        </w:rPr>
        <w:t>para que operadores alternativos puedan tener una operación rentable</w:t>
      </w:r>
      <w:r w:rsidR="00031131">
        <w:rPr>
          <w:lang w:val="es-MX"/>
        </w:rPr>
        <w:t>,</w:t>
      </w:r>
      <w:r w:rsidR="00F22B64">
        <w:rPr>
          <w:lang w:val="es-MX"/>
        </w:rPr>
        <w:t xml:space="preserve"> que no resultan congruentes con las manifestaciones realizadas en </w:t>
      </w:r>
      <w:r w:rsidR="00F22B64">
        <w:rPr>
          <w:lang w:val="es-MX"/>
        </w:rPr>
        <w:t xml:space="preserve">la presente </w:t>
      </w:r>
      <w:r w:rsidR="00F22B64">
        <w:rPr>
          <w:lang w:val="es-MX"/>
        </w:rPr>
        <w:t>Consulta Pública</w:t>
      </w:r>
      <w:r w:rsidR="00D2233C">
        <w:rPr>
          <w:lang w:val="es-MX"/>
        </w:rPr>
        <w:t xml:space="preserve"> </w:t>
      </w:r>
      <w:r w:rsidR="00F22B64">
        <w:rPr>
          <w:lang w:val="es-MX"/>
        </w:rPr>
        <w:t xml:space="preserve">donde </w:t>
      </w:r>
      <w:r w:rsidR="00D2233C">
        <w:rPr>
          <w:lang w:val="es-MX"/>
        </w:rPr>
        <w:t xml:space="preserve">éste </w:t>
      </w:r>
      <w:r w:rsidR="00F22B64">
        <w:rPr>
          <w:lang w:val="es-MX"/>
        </w:rPr>
        <w:t>ha argu</w:t>
      </w:r>
      <w:r w:rsidR="00F22B64">
        <w:rPr>
          <w:lang w:val="es-MX"/>
        </w:rPr>
        <w:t>mentado</w:t>
      </w:r>
      <w:r w:rsidR="00F22B64">
        <w:rPr>
          <w:lang w:val="es-MX"/>
        </w:rPr>
        <w:t xml:space="preserve"> que deberán considerarse </w:t>
      </w:r>
      <w:r w:rsidR="00F22B64">
        <w:rPr>
          <w:lang w:val="es-MX"/>
        </w:rPr>
        <w:t xml:space="preserve">en el parámetro de costos evitados </w:t>
      </w:r>
      <w:r w:rsidR="00F22B64">
        <w:rPr>
          <w:lang w:val="es-MX"/>
        </w:rPr>
        <w:t>la</w:t>
      </w:r>
      <w:r w:rsidR="00F22B64">
        <w:rPr>
          <w:lang w:val="es-MX"/>
        </w:rPr>
        <w:t xml:space="preserve">s desventajas de escala y costos de entrada </w:t>
      </w:r>
      <w:r w:rsidR="00F22B64">
        <w:rPr>
          <w:lang w:val="es-MX"/>
        </w:rPr>
        <w:t xml:space="preserve">adicionales </w:t>
      </w:r>
      <w:r w:rsidR="00F22B64">
        <w:rPr>
          <w:lang w:val="es-MX"/>
        </w:rPr>
        <w:t>de operadores alternativos</w:t>
      </w:r>
      <w:r w:rsidR="00F22B64">
        <w:rPr>
          <w:rStyle w:val="Refdenotaalpie"/>
          <w:lang w:val="es-MX"/>
        </w:rPr>
        <w:footnoteReference w:id="6"/>
      </w:r>
      <w:r w:rsidR="00F22B64">
        <w:rPr>
          <w:lang w:val="es-MX"/>
        </w:rPr>
        <w:t>.</w:t>
      </w:r>
    </w:p>
    <w:p w14:paraId="361428F5" w14:textId="13B9B55C" w:rsidR="009F3A33" w:rsidRDefault="00DA31A2" w:rsidP="008544C0">
      <w:pPr>
        <w:pStyle w:val="Textoindependiente"/>
        <w:spacing w:before="93" w:line="302" w:lineRule="auto"/>
        <w:ind w:left="810" w:right="817"/>
        <w:jc w:val="both"/>
        <w:rPr>
          <w:lang w:val="es-MX"/>
        </w:rPr>
      </w:pPr>
      <w:r>
        <w:rPr>
          <w:lang w:val="es-MX"/>
        </w:rPr>
        <w:t>Ahora bien, p</w:t>
      </w:r>
      <w:r w:rsidR="009F3A33">
        <w:rPr>
          <w:lang w:val="es-MX"/>
        </w:rPr>
        <w:t>or lo que hace al comentario respecto a considerar los costos de atención a</w:t>
      </w:r>
      <w:r w:rsidR="005612BD">
        <w:rPr>
          <w:lang w:val="es-MX"/>
        </w:rPr>
        <w:t>l</w:t>
      </w:r>
      <w:r w:rsidR="009F3A33">
        <w:rPr>
          <w:lang w:val="es-MX"/>
        </w:rPr>
        <w:t xml:space="preserve"> cliente, mercadotecnia y </w:t>
      </w:r>
      <w:r w:rsidR="0039206A">
        <w:rPr>
          <w:lang w:val="es-MX"/>
        </w:rPr>
        <w:t>publicidad,</w:t>
      </w:r>
      <w:r w:rsidR="009F3A33">
        <w:rPr>
          <w:lang w:val="es-MX"/>
        </w:rPr>
        <w:t xml:space="preserve"> o </w:t>
      </w:r>
      <w:r w:rsidR="0039206A">
        <w:rPr>
          <w:lang w:val="es-MX"/>
        </w:rPr>
        <w:t xml:space="preserve">los </w:t>
      </w:r>
      <w:r w:rsidR="009F3A33">
        <w:rPr>
          <w:lang w:val="es-MX"/>
        </w:rPr>
        <w:t>gastos administrativos como parte de la estimación de costos mayoristas</w:t>
      </w:r>
      <w:r>
        <w:rPr>
          <w:lang w:val="es-MX"/>
        </w:rPr>
        <w:t xml:space="preserve">, </w:t>
      </w:r>
      <w:r w:rsidR="002841EC">
        <w:rPr>
          <w:lang w:val="es-MX"/>
        </w:rPr>
        <w:t xml:space="preserve">y con el objeto de dar claridad sobre el enfoque seguido </w:t>
      </w:r>
      <w:r>
        <w:rPr>
          <w:lang w:val="es-MX"/>
        </w:rPr>
        <w:t xml:space="preserve">se solicita considerar </w:t>
      </w:r>
      <w:r w:rsidR="002841EC">
        <w:rPr>
          <w:lang w:val="es-MX"/>
        </w:rPr>
        <w:t>los argumentos realizados</w:t>
      </w:r>
      <w:r>
        <w:rPr>
          <w:lang w:val="es-MX"/>
        </w:rPr>
        <w:t xml:space="preserve"> en </w:t>
      </w:r>
      <w:r w:rsidR="009F3A33">
        <w:rPr>
          <w:lang w:val="es-MX"/>
        </w:rPr>
        <w:t>el numeral “</w:t>
      </w:r>
      <w:r w:rsidR="009F3A33" w:rsidRPr="00173FF9">
        <w:rPr>
          <w:i/>
          <w:lang w:val="es-MX"/>
        </w:rPr>
        <w:t>VII. Definición de conceptos de costos evitados en los Servicios de Reventa</w:t>
      </w:r>
      <w:r w:rsidR="009F3A33">
        <w:rPr>
          <w:lang w:val="es-MX"/>
        </w:rPr>
        <w:t>”</w:t>
      </w:r>
      <w:r>
        <w:rPr>
          <w:lang w:val="es-MX"/>
        </w:rPr>
        <w:t xml:space="preserve"> del presente Informe de consideraciones</w:t>
      </w:r>
      <w:r w:rsidR="009F3A33">
        <w:rPr>
          <w:lang w:val="es-MX"/>
        </w:rPr>
        <w:t>.</w:t>
      </w:r>
    </w:p>
    <w:p w14:paraId="3E741D0A" w14:textId="77777777" w:rsidR="008544C0" w:rsidRDefault="008544C0" w:rsidP="00B355CA">
      <w:pPr>
        <w:pStyle w:val="Textoindependiente"/>
        <w:spacing w:before="93" w:line="302" w:lineRule="auto"/>
        <w:ind w:left="810" w:right="817"/>
        <w:jc w:val="both"/>
        <w:rPr>
          <w:lang w:val="es-MX"/>
        </w:rPr>
      </w:pPr>
    </w:p>
    <w:p w14:paraId="078AE0E7" w14:textId="77777777" w:rsidR="00FC4B1A" w:rsidRDefault="006070D5" w:rsidP="003A52A7">
      <w:pPr>
        <w:pStyle w:val="Ttulo1"/>
        <w:numPr>
          <w:ilvl w:val="0"/>
          <w:numId w:val="1"/>
        </w:numPr>
        <w:tabs>
          <w:tab w:val="left" w:pos="1530"/>
          <w:tab w:val="left" w:pos="1531"/>
        </w:tabs>
        <w:spacing w:before="201"/>
        <w:ind w:hanging="545"/>
        <w:jc w:val="left"/>
        <w:rPr>
          <w:lang w:val="es-MX"/>
        </w:rPr>
      </w:pPr>
      <w:r>
        <w:rPr>
          <w:lang w:val="es-MX"/>
        </w:rPr>
        <w:t>Metodología para definir precios de referencia del STAR</w:t>
      </w:r>
    </w:p>
    <w:p w14:paraId="75E2B057" w14:textId="77777777" w:rsidR="003A52A7" w:rsidRDefault="003A52A7" w:rsidP="00682E20">
      <w:pPr>
        <w:pStyle w:val="Textoindependiente"/>
        <w:spacing w:before="93" w:line="302" w:lineRule="auto"/>
        <w:ind w:left="810" w:right="815"/>
        <w:jc w:val="both"/>
        <w:rPr>
          <w:lang w:val="es-MX"/>
        </w:rPr>
      </w:pPr>
    </w:p>
    <w:p w14:paraId="1494032D" w14:textId="77777777" w:rsidR="00682E20" w:rsidRPr="006B160F" w:rsidRDefault="00682E20" w:rsidP="00682E20">
      <w:pPr>
        <w:ind w:left="810"/>
        <w:jc w:val="both"/>
        <w:rPr>
          <w:i/>
          <w:lang w:val="es-MX"/>
        </w:rPr>
      </w:pPr>
      <w:r w:rsidRPr="006B160F">
        <w:rPr>
          <w:i/>
          <w:u w:val="single"/>
          <w:lang w:val="es-MX"/>
        </w:rPr>
        <w:t>Resumen</w:t>
      </w:r>
      <w:r w:rsidRPr="006B160F">
        <w:rPr>
          <w:i/>
          <w:spacing w:val="-4"/>
          <w:u w:val="single"/>
          <w:lang w:val="es-MX"/>
        </w:rPr>
        <w:t xml:space="preserve"> </w:t>
      </w:r>
      <w:r w:rsidRPr="006B160F">
        <w:rPr>
          <w:i/>
          <w:u w:val="single"/>
          <w:lang w:val="es-MX"/>
        </w:rPr>
        <w:t>de</w:t>
      </w:r>
      <w:r w:rsidRPr="006B160F">
        <w:rPr>
          <w:i/>
          <w:spacing w:val="-4"/>
          <w:u w:val="single"/>
          <w:lang w:val="es-MX"/>
        </w:rPr>
        <w:t xml:space="preserve"> </w:t>
      </w:r>
      <w:r w:rsidRPr="006B160F">
        <w:rPr>
          <w:i/>
          <w:u w:val="single"/>
          <w:lang w:val="es-MX"/>
        </w:rPr>
        <w:t>comentarios</w:t>
      </w:r>
      <w:r w:rsidRPr="006B160F">
        <w:rPr>
          <w:i/>
          <w:spacing w:val="-6"/>
          <w:u w:val="single"/>
          <w:lang w:val="es-MX"/>
        </w:rPr>
        <w:t xml:space="preserve"> </w:t>
      </w:r>
      <w:r w:rsidRPr="006B160F">
        <w:rPr>
          <w:i/>
          <w:u w:val="single"/>
          <w:lang w:val="es-MX"/>
        </w:rPr>
        <w:t>de</w:t>
      </w:r>
      <w:r w:rsidRPr="006B160F">
        <w:rPr>
          <w:i/>
          <w:spacing w:val="-4"/>
          <w:u w:val="single"/>
          <w:lang w:val="es-MX"/>
        </w:rPr>
        <w:t xml:space="preserve"> </w:t>
      </w:r>
      <w:r w:rsidRPr="006B160F">
        <w:rPr>
          <w:i/>
          <w:u w:val="single"/>
          <w:lang w:val="es-MX"/>
        </w:rPr>
        <w:t>la</w:t>
      </w:r>
      <w:r w:rsidRPr="006B160F">
        <w:rPr>
          <w:i/>
          <w:spacing w:val="-4"/>
          <w:u w:val="single"/>
          <w:lang w:val="es-MX"/>
        </w:rPr>
        <w:t xml:space="preserve"> </w:t>
      </w:r>
      <w:r>
        <w:rPr>
          <w:i/>
          <w:u w:val="single"/>
          <w:lang w:val="es-MX"/>
        </w:rPr>
        <w:t>Consulta Pública</w:t>
      </w:r>
    </w:p>
    <w:p w14:paraId="0D4A9BB5" w14:textId="77777777" w:rsidR="005E7821" w:rsidRDefault="003A52A7" w:rsidP="00682E20">
      <w:pPr>
        <w:pStyle w:val="Textoindependiente"/>
        <w:spacing w:before="93" w:line="302" w:lineRule="auto"/>
        <w:ind w:left="810" w:right="815"/>
        <w:jc w:val="both"/>
        <w:rPr>
          <w:lang w:val="es-MX"/>
        </w:rPr>
      </w:pPr>
      <w:r>
        <w:rPr>
          <w:lang w:val="es-MX"/>
        </w:rPr>
        <w:t xml:space="preserve">Megacable </w:t>
      </w:r>
      <w:r w:rsidR="009B2660">
        <w:rPr>
          <w:lang w:val="es-MX"/>
        </w:rPr>
        <w:t>manifiesta</w:t>
      </w:r>
      <w:r w:rsidR="00F5129B">
        <w:rPr>
          <w:lang w:val="es-MX"/>
        </w:rPr>
        <w:t xml:space="preserve"> lo siguiente:</w:t>
      </w:r>
      <w:r w:rsidR="009B2660">
        <w:rPr>
          <w:lang w:val="es-MX"/>
        </w:rPr>
        <w:t xml:space="preserve"> </w:t>
      </w:r>
    </w:p>
    <w:p w14:paraId="024437BD" w14:textId="77777777" w:rsidR="00A13EA1" w:rsidRDefault="00D462AD" w:rsidP="00A13EA1">
      <w:pPr>
        <w:pStyle w:val="Cita"/>
        <w:ind w:left="1560" w:right="2006"/>
        <w:jc w:val="both"/>
        <w:rPr>
          <w:sz w:val="18"/>
          <w:szCs w:val="18"/>
          <w:lang w:val="es-MX"/>
        </w:rPr>
      </w:pPr>
      <w:r>
        <w:rPr>
          <w:sz w:val="18"/>
          <w:szCs w:val="18"/>
          <w:lang w:val="es-MX"/>
        </w:rPr>
        <w:t>“</w:t>
      </w:r>
      <w:r w:rsidR="00A13EA1" w:rsidRPr="00A13EA1">
        <w:rPr>
          <w:sz w:val="18"/>
          <w:szCs w:val="18"/>
          <w:lang w:val="es-MX"/>
        </w:rPr>
        <w:t>En la descripción de la metodología se afirma como elemento central la determinación de un “precio implícito” del STAR (dado que el STAR se ofrece mayoritariamente junto con otros servicios de telecomunicaciones). Se agrega que éste se trata de un precio efectivo que un cliente paga por una unidad de servicio, de entre todos aquellos elementos o servicios que se ofrecen en los planes o paquetes a la que el cliente puede acceder mediante un precio asociado a dicho plan o paquete.</w:t>
      </w:r>
    </w:p>
    <w:p w14:paraId="0E1AFDFE" w14:textId="77777777" w:rsidR="00A13EA1" w:rsidRPr="00CA5125" w:rsidRDefault="001633CE" w:rsidP="00CA5125">
      <w:pPr>
        <w:pStyle w:val="Cita"/>
        <w:ind w:left="1560" w:right="2006"/>
        <w:jc w:val="both"/>
        <w:rPr>
          <w:sz w:val="18"/>
          <w:szCs w:val="18"/>
          <w:lang w:val="es-MX"/>
        </w:rPr>
      </w:pPr>
      <w:r w:rsidRPr="00CA5125">
        <w:rPr>
          <w:sz w:val="18"/>
          <w:szCs w:val="18"/>
          <w:lang w:val="es-MX"/>
        </w:rPr>
        <w:t>El precio implícito es una manera sencilla de separar el valor de un servicio en particular; sin embargo, además de ser una abstracción, en realidad se trata de un promedio que puede distorsionar el precio mayorista del servicio, subsidiando este a terceros.</w:t>
      </w:r>
    </w:p>
    <w:p w14:paraId="3C8EB2D2" w14:textId="77777777" w:rsidR="001633CE" w:rsidRPr="00CA5125" w:rsidRDefault="001633CE" w:rsidP="00CA5125">
      <w:pPr>
        <w:pStyle w:val="Cita"/>
        <w:ind w:left="1560" w:right="2006"/>
        <w:jc w:val="both"/>
        <w:rPr>
          <w:sz w:val="18"/>
          <w:szCs w:val="18"/>
          <w:lang w:val="es-MX"/>
        </w:rPr>
      </w:pPr>
      <w:r w:rsidRPr="00CA5125">
        <w:rPr>
          <w:sz w:val="18"/>
          <w:szCs w:val="18"/>
          <w:lang w:val="es-MX"/>
        </w:rPr>
        <w:t>Esto es particularmente relevante si se toma en cuenta que, la metodología utilizada, de manera incorrecta le da un mismo precio</w:t>
      </w:r>
      <w:r w:rsidR="00CA5125" w:rsidRPr="00CA5125">
        <w:rPr>
          <w:sz w:val="18"/>
          <w:szCs w:val="18"/>
          <w:lang w:val="es-MX"/>
        </w:rPr>
        <w:t xml:space="preserve"> a cada canal, desconociendo el hecho de que el costo de cada uno de estos varía en función de su rating o nivel de audiencia.</w:t>
      </w:r>
      <w:r w:rsidR="00D462AD">
        <w:rPr>
          <w:sz w:val="18"/>
          <w:szCs w:val="18"/>
          <w:lang w:val="es-MX"/>
        </w:rPr>
        <w:t>”</w:t>
      </w:r>
    </w:p>
    <w:p w14:paraId="496EFFF3" w14:textId="77777777" w:rsidR="002D5A8D" w:rsidRDefault="002D5A8D" w:rsidP="00682E20">
      <w:pPr>
        <w:pStyle w:val="Textoindependiente"/>
        <w:spacing w:before="93" w:line="302" w:lineRule="auto"/>
        <w:ind w:left="810" w:right="815"/>
        <w:jc w:val="both"/>
        <w:rPr>
          <w:lang w:val="es-MX"/>
        </w:rPr>
      </w:pPr>
    </w:p>
    <w:p w14:paraId="425DE911" w14:textId="77777777" w:rsidR="00682E20" w:rsidRPr="006A1A80" w:rsidRDefault="00682E20" w:rsidP="00682E20">
      <w:pPr>
        <w:pStyle w:val="Textoindependiente"/>
        <w:spacing w:before="93" w:line="302" w:lineRule="auto"/>
        <w:ind w:left="810" w:right="815"/>
        <w:jc w:val="both"/>
        <w:rPr>
          <w:i/>
          <w:u w:val="single"/>
          <w:lang w:val="es-MX"/>
        </w:rPr>
      </w:pPr>
      <w:r w:rsidRPr="006A1A80">
        <w:rPr>
          <w:i/>
          <w:u w:val="single"/>
          <w:lang w:val="es-MX"/>
        </w:rPr>
        <w:t>Respuesta de la UPR</w:t>
      </w:r>
    </w:p>
    <w:p w14:paraId="27C2F836" w14:textId="1697A65A" w:rsidR="000B5BFE" w:rsidRDefault="00032802" w:rsidP="00293F74">
      <w:pPr>
        <w:pStyle w:val="Textoindependiente"/>
        <w:spacing w:before="93" w:line="302" w:lineRule="auto"/>
        <w:ind w:left="810" w:right="815"/>
        <w:jc w:val="both"/>
        <w:rPr>
          <w:lang w:val="es-MX"/>
        </w:rPr>
      </w:pPr>
      <w:r>
        <w:rPr>
          <w:lang w:val="es-MX"/>
        </w:rPr>
        <w:lastRenderedPageBreak/>
        <w:t>En consistencia con el marco de provisión del SMR del STAR previsto en</w:t>
      </w:r>
      <w:r w:rsidR="000B5BFE">
        <w:rPr>
          <w:lang w:val="es-MX"/>
        </w:rPr>
        <w:t xml:space="preserve"> la Obligación TERCERA, fracciones XI y XII </w:t>
      </w:r>
      <w:r>
        <w:rPr>
          <w:lang w:val="es-MX"/>
        </w:rPr>
        <w:t>la Resolución de Obligaciones</w:t>
      </w:r>
      <w:r w:rsidR="00D2233C">
        <w:rPr>
          <w:lang w:val="es-MX"/>
        </w:rPr>
        <w:t>,</w:t>
      </w:r>
      <w:r>
        <w:rPr>
          <w:lang w:val="es-MX"/>
        </w:rPr>
        <w:t xml:space="preserve"> </w:t>
      </w:r>
      <w:r w:rsidR="000B5BFE">
        <w:rPr>
          <w:lang w:val="es-MX"/>
        </w:rPr>
        <w:t xml:space="preserve">se </w:t>
      </w:r>
      <w:r>
        <w:rPr>
          <w:lang w:val="es-MX"/>
        </w:rPr>
        <w:t xml:space="preserve">sigue el principio por el cual se estima </w:t>
      </w:r>
      <w:r w:rsidR="000B5BFE">
        <w:rPr>
          <w:lang w:val="es-MX"/>
        </w:rPr>
        <w:t>el</w:t>
      </w:r>
      <w:r>
        <w:rPr>
          <w:lang w:val="es-MX"/>
        </w:rPr>
        <w:t xml:space="preserve"> precio por unidad </w:t>
      </w:r>
      <w:r w:rsidR="000B5BFE">
        <w:rPr>
          <w:lang w:val="es-MX"/>
        </w:rPr>
        <w:t xml:space="preserve">del STAR con base en la estructura comercial minorista en los </w:t>
      </w:r>
      <w:r w:rsidR="00891CFF">
        <w:rPr>
          <w:lang w:val="es-MX"/>
        </w:rPr>
        <w:t xml:space="preserve">9 </w:t>
      </w:r>
      <w:r w:rsidR="002743F8">
        <w:rPr>
          <w:lang w:val="es-MX"/>
        </w:rPr>
        <w:t xml:space="preserve">mercados </w:t>
      </w:r>
      <w:r w:rsidR="005C4A1A">
        <w:rPr>
          <w:lang w:val="es-MX"/>
        </w:rPr>
        <w:t>con</w:t>
      </w:r>
      <w:r w:rsidR="00891CFF">
        <w:rPr>
          <w:lang w:val="es-MX"/>
        </w:rPr>
        <w:t xml:space="preserve"> PSM</w:t>
      </w:r>
      <w:r w:rsidR="006837B1">
        <w:rPr>
          <w:lang w:val="es-MX"/>
        </w:rPr>
        <w:t>.</w:t>
      </w:r>
      <w:r w:rsidR="000B5BFE">
        <w:rPr>
          <w:lang w:val="es-MX"/>
        </w:rPr>
        <w:t xml:space="preserve"> </w:t>
      </w:r>
    </w:p>
    <w:p w14:paraId="7DB8EA95" w14:textId="020F6D21" w:rsidR="002A1435" w:rsidRDefault="006837B1" w:rsidP="002A1435">
      <w:pPr>
        <w:pStyle w:val="Textoindependiente"/>
        <w:spacing w:before="93" w:line="302" w:lineRule="auto"/>
        <w:ind w:left="810" w:right="815"/>
        <w:jc w:val="both"/>
        <w:rPr>
          <w:lang w:val="es-MX"/>
        </w:rPr>
      </w:pPr>
      <w:r>
        <w:rPr>
          <w:lang w:val="es-MX"/>
        </w:rPr>
        <w:t>En el caso del precio de referencia del STAR,</w:t>
      </w:r>
      <w:r w:rsidR="00233157">
        <w:rPr>
          <w:lang w:val="es-MX"/>
        </w:rPr>
        <w:t xml:space="preserve"> como se describe en el Documento Metodológico </w:t>
      </w:r>
      <w:r w:rsidR="00233157">
        <w:rPr>
          <w:lang w:val="es-MX"/>
        </w:rPr>
        <w:t>(numeral “</w:t>
      </w:r>
      <w:r w:rsidR="00233157" w:rsidRPr="00233157">
        <w:rPr>
          <w:i/>
          <w:lang w:val="es-MX"/>
        </w:rPr>
        <w:t>3.5   Precio de Referencia asociado al SMR</w:t>
      </w:r>
      <w:r w:rsidR="00233157">
        <w:rPr>
          <w:lang w:val="es-MX"/>
        </w:rPr>
        <w:t>”) que</w:t>
      </w:r>
      <w:r w:rsidR="00233157">
        <w:rPr>
          <w:lang w:val="es-MX"/>
        </w:rPr>
        <w:t xml:space="preserve"> se implementa en el MCE,</w:t>
      </w:r>
      <w:r>
        <w:rPr>
          <w:lang w:val="es-MX"/>
        </w:rPr>
        <w:t xml:space="preserve"> se </w:t>
      </w:r>
      <w:r w:rsidR="002A1435">
        <w:rPr>
          <w:lang w:val="es-MX"/>
        </w:rPr>
        <w:t>toma como base el</w:t>
      </w:r>
      <w:r>
        <w:rPr>
          <w:lang w:val="es-MX"/>
        </w:rPr>
        <w:t xml:space="preserve"> precio minorista </w:t>
      </w:r>
      <w:r w:rsidR="002A1435">
        <w:rPr>
          <w:lang w:val="es-MX"/>
        </w:rPr>
        <w:t>del servicio ofrecido de manera individual permitiendo reconocer</w:t>
      </w:r>
      <w:r>
        <w:rPr>
          <w:lang w:val="es-MX"/>
        </w:rPr>
        <w:t xml:space="preserve"> </w:t>
      </w:r>
      <w:r w:rsidR="002A1435">
        <w:rPr>
          <w:lang w:val="es-MX"/>
        </w:rPr>
        <w:t xml:space="preserve">a partir del precio minorista </w:t>
      </w:r>
      <w:r w:rsidR="00C41DCB">
        <w:rPr>
          <w:lang w:val="es-MX"/>
        </w:rPr>
        <w:t xml:space="preserve">del propio APSM </w:t>
      </w:r>
      <w:r>
        <w:rPr>
          <w:lang w:val="es-MX"/>
        </w:rPr>
        <w:t xml:space="preserve">el valor intrínseco </w:t>
      </w:r>
      <w:r w:rsidR="002A1435">
        <w:rPr>
          <w:lang w:val="es-MX"/>
        </w:rPr>
        <w:t>asociado a la instalación del acceso al servicio</w:t>
      </w:r>
      <w:r w:rsidR="000A3478">
        <w:rPr>
          <w:lang w:val="es-MX"/>
        </w:rPr>
        <w:t>, además de</w:t>
      </w:r>
      <w:r>
        <w:rPr>
          <w:lang w:val="es-MX"/>
        </w:rPr>
        <w:t xml:space="preserve"> los canales que se proveen a través del mismo.</w:t>
      </w:r>
      <w:r w:rsidR="002A1435">
        <w:rPr>
          <w:lang w:val="es-MX"/>
        </w:rPr>
        <w:t xml:space="preserve"> </w:t>
      </w:r>
    </w:p>
    <w:p w14:paraId="3A0C5475" w14:textId="77777777" w:rsidR="002A1435" w:rsidRDefault="002A1435" w:rsidP="002A1435">
      <w:pPr>
        <w:pStyle w:val="Textoindependiente"/>
        <w:spacing w:before="93" w:line="302" w:lineRule="auto"/>
        <w:ind w:left="810" w:right="815"/>
        <w:jc w:val="both"/>
        <w:rPr>
          <w:lang w:val="es-MX"/>
        </w:rPr>
      </w:pPr>
      <w:r>
        <w:rPr>
          <w:lang w:val="es-MX"/>
        </w:rPr>
        <w:t xml:space="preserve">A partir de dicha referencia, cuando el STAR se encuentra empaquetado se extrapoló el valor de los canales adicionales a efecto de considerar el valor incremental </w:t>
      </w:r>
      <w:r w:rsidR="00C41DCB">
        <w:rPr>
          <w:lang w:val="es-MX"/>
        </w:rPr>
        <w:t xml:space="preserve">estrictamente relacionado con dicho </w:t>
      </w:r>
      <w:r w:rsidR="000C6DE3">
        <w:rPr>
          <w:lang w:val="es-MX"/>
        </w:rPr>
        <w:t>servicio</w:t>
      </w:r>
      <w:r w:rsidR="00C41DCB">
        <w:rPr>
          <w:lang w:val="es-MX"/>
        </w:rPr>
        <w:t xml:space="preserve"> </w:t>
      </w:r>
      <w:r>
        <w:rPr>
          <w:lang w:val="es-MX"/>
        </w:rPr>
        <w:t>que permite ofrecer el STAR bajo dicha modalidad de comercialización.</w:t>
      </w:r>
    </w:p>
    <w:p w14:paraId="0610EFF0" w14:textId="24DA3CAB" w:rsidR="006837B1" w:rsidRDefault="00C41DCB">
      <w:pPr>
        <w:pStyle w:val="Textoindependiente"/>
        <w:spacing w:before="93" w:line="302" w:lineRule="auto"/>
        <w:ind w:left="810" w:right="815"/>
        <w:jc w:val="both"/>
        <w:rPr>
          <w:lang w:val="es-MX"/>
        </w:rPr>
      </w:pPr>
      <w:r>
        <w:rPr>
          <w:lang w:val="es-MX"/>
        </w:rPr>
        <w:t>Por lo tanto, el enfoque implementado reconoce la oferta de servicios STAR de manera individual y empaquetada a efecto de determinar, con base en dichos precios de referencia y los usuarios que acceden a cada uno de sus paquetes, el nivel de ingresos ponderado del STAR que serán considerados para atribuir los costos evitados respectivos estimando el porcentaje de descuento acorde con el alcance del servicio.</w:t>
      </w:r>
    </w:p>
    <w:p w14:paraId="52D17F16" w14:textId="77777777" w:rsidR="00032802" w:rsidRPr="00891CFF" w:rsidRDefault="00032802" w:rsidP="00891CFF">
      <w:pPr>
        <w:pStyle w:val="Textoindependiente"/>
        <w:spacing w:before="93" w:line="302" w:lineRule="auto"/>
        <w:ind w:right="815"/>
        <w:jc w:val="both"/>
        <w:rPr>
          <w:lang w:val="es-MX"/>
        </w:rPr>
      </w:pPr>
    </w:p>
    <w:p w14:paraId="4A0551F9" w14:textId="77777777" w:rsidR="00682E20" w:rsidRPr="000E58E2" w:rsidRDefault="002B0C26" w:rsidP="00A85E17">
      <w:pPr>
        <w:pStyle w:val="Ttulo1"/>
        <w:numPr>
          <w:ilvl w:val="0"/>
          <w:numId w:val="1"/>
        </w:numPr>
        <w:tabs>
          <w:tab w:val="left" w:pos="1530"/>
          <w:tab w:val="left" w:pos="1531"/>
        </w:tabs>
        <w:spacing w:before="201"/>
        <w:ind w:right="731" w:hanging="545"/>
        <w:jc w:val="left"/>
        <w:rPr>
          <w:lang w:val="es-MX"/>
        </w:rPr>
      </w:pPr>
      <w:r w:rsidRPr="002B0C26">
        <w:rPr>
          <w:lang w:val="es-MX"/>
        </w:rPr>
        <w:t>Enfoque de estimación del precio implícito de los elementos que integran la canasta de servicios de los planes y paquetes de APSM</w:t>
      </w:r>
    </w:p>
    <w:p w14:paraId="49269546" w14:textId="77777777" w:rsidR="00682E20" w:rsidRDefault="00682E20" w:rsidP="00682E20">
      <w:pPr>
        <w:ind w:left="810"/>
        <w:jc w:val="both"/>
        <w:rPr>
          <w:i/>
          <w:u w:val="single"/>
          <w:lang w:val="es-MX"/>
        </w:rPr>
      </w:pPr>
    </w:p>
    <w:p w14:paraId="683973C5" w14:textId="77777777" w:rsidR="00682E20" w:rsidRPr="006B160F" w:rsidRDefault="00682E20" w:rsidP="00682E20">
      <w:pPr>
        <w:ind w:left="810"/>
        <w:jc w:val="both"/>
        <w:rPr>
          <w:i/>
          <w:lang w:val="es-MX"/>
        </w:rPr>
      </w:pPr>
      <w:r w:rsidRPr="006B160F">
        <w:rPr>
          <w:i/>
          <w:u w:val="single"/>
          <w:lang w:val="es-MX"/>
        </w:rPr>
        <w:t>Resumen</w:t>
      </w:r>
      <w:r w:rsidRPr="006B160F">
        <w:rPr>
          <w:i/>
          <w:spacing w:val="-4"/>
          <w:u w:val="single"/>
          <w:lang w:val="es-MX"/>
        </w:rPr>
        <w:t xml:space="preserve"> </w:t>
      </w:r>
      <w:r w:rsidRPr="006B160F">
        <w:rPr>
          <w:i/>
          <w:u w:val="single"/>
          <w:lang w:val="es-MX"/>
        </w:rPr>
        <w:t>de</w:t>
      </w:r>
      <w:r w:rsidRPr="006B160F">
        <w:rPr>
          <w:i/>
          <w:spacing w:val="-4"/>
          <w:u w:val="single"/>
          <w:lang w:val="es-MX"/>
        </w:rPr>
        <w:t xml:space="preserve"> </w:t>
      </w:r>
      <w:r w:rsidRPr="006B160F">
        <w:rPr>
          <w:i/>
          <w:u w:val="single"/>
          <w:lang w:val="es-MX"/>
        </w:rPr>
        <w:t>comentarios</w:t>
      </w:r>
      <w:r w:rsidRPr="006B160F">
        <w:rPr>
          <w:i/>
          <w:spacing w:val="-6"/>
          <w:u w:val="single"/>
          <w:lang w:val="es-MX"/>
        </w:rPr>
        <w:t xml:space="preserve"> </w:t>
      </w:r>
      <w:r w:rsidRPr="006B160F">
        <w:rPr>
          <w:i/>
          <w:u w:val="single"/>
          <w:lang w:val="es-MX"/>
        </w:rPr>
        <w:t>de</w:t>
      </w:r>
      <w:r w:rsidRPr="006B160F">
        <w:rPr>
          <w:i/>
          <w:spacing w:val="-4"/>
          <w:u w:val="single"/>
          <w:lang w:val="es-MX"/>
        </w:rPr>
        <w:t xml:space="preserve"> </w:t>
      </w:r>
      <w:r w:rsidRPr="006B160F">
        <w:rPr>
          <w:i/>
          <w:u w:val="single"/>
          <w:lang w:val="es-MX"/>
        </w:rPr>
        <w:t>la</w:t>
      </w:r>
      <w:r w:rsidRPr="006B160F">
        <w:rPr>
          <w:i/>
          <w:spacing w:val="-4"/>
          <w:u w:val="single"/>
          <w:lang w:val="es-MX"/>
        </w:rPr>
        <w:t xml:space="preserve"> </w:t>
      </w:r>
      <w:r>
        <w:rPr>
          <w:i/>
          <w:u w:val="single"/>
          <w:lang w:val="es-MX"/>
        </w:rPr>
        <w:t>Consulta Pública</w:t>
      </w:r>
    </w:p>
    <w:p w14:paraId="7F1B487F" w14:textId="21D25094" w:rsidR="00CC6567" w:rsidRDefault="00C16B9B" w:rsidP="00682E20">
      <w:pPr>
        <w:pStyle w:val="Textoindependiente"/>
        <w:spacing w:before="93" w:line="302" w:lineRule="auto"/>
        <w:ind w:left="810" w:right="815"/>
        <w:jc w:val="both"/>
        <w:rPr>
          <w:lang w:val="es-MX"/>
        </w:rPr>
      </w:pPr>
      <w:r>
        <w:rPr>
          <w:lang w:val="es-MX"/>
        </w:rPr>
        <w:t>Megacable</w:t>
      </w:r>
      <w:r>
        <w:rPr>
          <w:lang w:val="es-MX"/>
        </w:rPr>
        <w:t xml:space="preserve"> </w:t>
      </w:r>
      <w:r w:rsidR="006E50BF">
        <w:rPr>
          <w:lang w:val="es-MX"/>
        </w:rPr>
        <w:t>comenta que:</w:t>
      </w:r>
      <w:r>
        <w:rPr>
          <w:lang w:val="es-MX"/>
        </w:rPr>
        <w:t xml:space="preserve"> </w:t>
      </w:r>
    </w:p>
    <w:p w14:paraId="54B91A9C" w14:textId="77777777" w:rsidR="00CC6567" w:rsidRPr="00CC6567" w:rsidRDefault="00D462AD" w:rsidP="00CC6567">
      <w:pPr>
        <w:pStyle w:val="Cita"/>
        <w:ind w:left="1560" w:right="2006"/>
        <w:jc w:val="both"/>
        <w:rPr>
          <w:sz w:val="18"/>
          <w:szCs w:val="18"/>
          <w:lang w:val="es-MX"/>
        </w:rPr>
      </w:pPr>
      <w:r>
        <w:rPr>
          <w:sz w:val="18"/>
          <w:szCs w:val="18"/>
          <w:lang w:val="es-MX"/>
        </w:rPr>
        <w:t>“</w:t>
      </w:r>
      <w:r w:rsidR="00CC6567" w:rsidRPr="00CC6567">
        <w:rPr>
          <w:sz w:val="18"/>
          <w:szCs w:val="18"/>
          <w:lang w:val="es-MX"/>
        </w:rPr>
        <w:t xml:space="preserve">En el Documento Metodológico se afirma que, dado que el APSM no entregó información sobre precios implícitos, el Instituto tuvo que realizar la estimación de estos precios a partir de los observados en la modalidad STAR single play para estimar el precio por canal, para posteriormente estimar el precio implícito acorde con la cantidad total de canales (“SD” y “HD”). </w:t>
      </w:r>
    </w:p>
    <w:p w14:paraId="5C3EB0DB" w14:textId="56B28556" w:rsidR="00777F62" w:rsidRPr="00CC6567" w:rsidRDefault="00CC6567" w:rsidP="00CC6567">
      <w:pPr>
        <w:pStyle w:val="Cita"/>
        <w:ind w:left="1560" w:right="2006"/>
        <w:jc w:val="both"/>
        <w:rPr>
          <w:sz w:val="18"/>
          <w:szCs w:val="18"/>
          <w:lang w:val="es-MX"/>
        </w:rPr>
      </w:pPr>
      <w:r w:rsidRPr="00CC6567">
        <w:rPr>
          <w:sz w:val="18"/>
          <w:szCs w:val="18"/>
          <w:lang w:val="es-MX"/>
        </w:rPr>
        <w:t>Se insiste que es incorrecto e indebido estimar un precio implícito promedio por cada canal, pues estos, en todo caso, no tienen el mismo valor para las audiencias y, por lo tanto, tienen precios distintos.</w:t>
      </w:r>
    </w:p>
    <w:p w14:paraId="743CB5E2" w14:textId="77410C90" w:rsidR="00243400" w:rsidRPr="00243400" w:rsidRDefault="00243400" w:rsidP="00243400">
      <w:pPr>
        <w:pStyle w:val="Cita"/>
        <w:ind w:left="1560" w:right="2006"/>
        <w:jc w:val="both"/>
        <w:rPr>
          <w:sz w:val="18"/>
          <w:szCs w:val="18"/>
          <w:lang w:val="es-MX"/>
        </w:rPr>
      </w:pPr>
      <w:r w:rsidRPr="00243400">
        <w:rPr>
          <w:sz w:val="18"/>
          <w:szCs w:val="18"/>
          <w:lang w:val="es-MX"/>
        </w:rPr>
        <w:t>Por otro lado, resulta injusto que el Instituto afirme que no se aportó información de precios implícitos, cuando tal información no refleja la manera en que los agentes económicos determinan los precios de los paquetes de servicios en la realidad. GIE y presuntamente otros operadores no determinan un “precio implícito” de cada unidad de servicio (v.g., cada canal SD y HD, así como otros servicios incluidos), ya que precisamente tal interpretación va en contra del empaquetamiento de los servicios. Si se ofrecieran los servicios de manera individual estos tendrían un precio más elevado como fácilmente se puede determinar al comparar el precio de los paquetes que solo contienen el STAR frente a paquetes del STAR con otros servicios. Por lo tanto, cualquier valor que se hubiese aportado como “precio implícito” carecería de cualquier relevancia comercial o económica.</w:t>
      </w:r>
      <w:r w:rsidR="00631336">
        <w:rPr>
          <w:sz w:val="18"/>
          <w:szCs w:val="18"/>
          <w:lang w:val="es-MX"/>
        </w:rPr>
        <w:t>”</w:t>
      </w:r>
    </w:p>
    <w:p w14:paraId="6C13A7C2" w14:textId="77777777" w:rsidR="00CC6567" w:rsidRDefault="00CC6567" w:rsidP="00682E20">
      <w:pPr>
        <w:pStyle w:val="Textoindependiente"/>
        <w:spacing w:before="93" w:line="302" w:lineRule="auto"/>
        <w:ind w:left="810" w:right="815"/>
        <w:jc w:val="both"/>
        <w:rPr>
          <w:lang w:val="es-MX"/>
        </w:rPr>
      </w:pPr>
    </w:p>
    <w:p w14:paraId="4917B463" w14:textId="77777777" w:rsidR="00682E20" w:rsidRPr="006A1A80" w:rsidRDefault="00682E20" w:rsidP="00682E20">
      <w:pPr>
        <w:pStyle w:val="Textoindependiente"/>
        <w:spacing w:before="93" w:line="302" w:lineRule="auto"/>
        <w:ind w:left="810" w:right="815"/>
        <w:jc w:val="both"/>
        <w:rPr>
          <w:i/>
          <w:u w:val="single"/>
          <w:lang w:val="es-MX"/>
        </w:rPr>
      </w:pPr>
      <w:r w:rsidRPr="006A1A80">
        <w:rPr>
          <w:i/>
          <w:u w:val="single"/>
          <w:lang w:val="es-MX"/>
        </w:rPr>
        <w:t>Respuesta de la UPR</w:t>
      </w:r>
    </w:p>
    <w:p w14:paraId="2D701DFF" w14:textId="77777777" w:rsidR="004F18BA" w:rsidRDefault="00C41DCB" w:rsidP="004F18BA">
      <w:pPr>
        <w:pStyle w:val="Textoindependiente"/>
        <w:spacing w:before="93" w:line="302" w:lineRule="auto"/>
        <w:ind w:left="810" w:right="815"/>
        <w:jc w:val="both"/>
        <w:rPr>
          <w:lang w:val="es-MX"/>
        </w:rPr>
      </w:pPr>
      <w:r>
        <w:rPr>
          <w:lang w:val="es-MX"/>
        </w:rPr>
        <w:t>Para dar atención a dicho comentario, se considera pertinente retomar los argumentos realizados en el numeral “</w:t>
      </w:r>
      <w:r w:rsidRPr="00891CFF">
        <w:rPr>
          <w:i/>
          <w:lang w:val="es-MX"/>
        </w:rPr>
        <w:t>V. Metodología para definir precios de referencia del STAR</w:t>
      </w:r>
      <w:r>
        <w:rPr>
          <w:lang w:val="es-MX"/>
        </w:rPr>
        <w:t>” del presente informe de consideraciones</w:t>
      </w:r>
      <w:r w:rsidR="004F18BA">
        <w:rPr>
          <w:lang w:val="es-MX"/>
        </w:rPr>
        <w:t>, respecto a que el MCE sigue la metodología prevista en la Obligación QUINTA, en consistencia con la definición del servicio previsto en la Obligación TERCERA, fracciones XI y XII la Resolución de Obligaciones</w:t>
      </w:r>
      <w:r>
        <w:rPr>
          <w:lang w:val="es-MX"/>
        </w:rPr>
        <w:t>.</w:t>
      </w:r>
      <w:r w:rsidR="004F18BA">
        <w:rPr>
          <w:lang w:val="es-MX"/>
        </w:rPr>
        <w:t xml:space="preserve"> Por lo que no pueden considerarse elementos asociados con el valor del canal o audiencias en la metodología prevista de costos evitados.</w:t>
      </w:r>
    </w:p>
    <w:p w14:paraId="30073929" w14:textId="77777777" w:rsidR="00D2233C" w:rsidRDefault="0081654D" w:rsidP="00BC1CB9">
      <w:pPr>
        <w:pStyle w:val="Textoindependiente"/>
        <w:spacing w:before="93" w:line="302" w:lineRule="auto"/>
        <w:ind w:left="810" w:right="815"/>
        <w:jc w:val="both"/>
        <w:rPr>
          <w:lang w:val="es-MX"/>
        </w:rPr>
      </w:pPr>
      <w:r>
        <w:rPr>
          <w:lang w:val="es-MX"/>
        </w:rPr>
        <w:t xml:space="preserve">Asimismo, </w:t>
      </w:r>
      <w:r w:rsidR="00BC1CB9">
        <w:rPr>
          <w:lang w:val="es-MX"/>
        </w:rPr>
        <w:t>respecto a que</w:t>
      </w:r>
      <w:r w:rsidR="00D2233C">
        <w:rPr>
          <w:lang w:val="es-MX"/>
        </w:rPr>
        <w:t xml:space="preserve"> Megacable</w:t>
      </w:r>
      <w:r w:rsidR="00BC1CB9">
        <w:rPr>
          <w:lang w:val="es-MX"/>
        </w:rPr>
        <w:t xml:space="preserve"> no se aportó información sobre preci</w:t>
      </w:r>
      <w:r w:rsidR="00BC1CB9">
        <w:rPr>
          <w:lang w:val="es-MX"/>
        </w:rPr>
        <w:t xml:space="preserve">os implícitos, </w:t>
      </w:r>
      <w:r>
        <w:rPr>
          <w:lang w:val="es-MX"/>
        </w:rPr>
        <w:t xml:space="preserve">se </w:t>
      </w:r>
      <w:r w:rsidR="00BC1CB9">
        <w:rPr>
          <w:lang w:val="es-MX"/>
        </w:rPr>
        <w:t>reitera</w:t>
      </w:r>
      <w:r>
        <w:rPr>
          <w:lang w:val="es-MX"/>
        </w:rPr>
        <w:t xml:space="preserve"> que</w:t>
      </w:r>
      <w:r>
        <w:rPr>
          <w:lang w:val="es-MX"/>
        </w:rPr>
        <w:t xml:space="preserve"> </w:t>
      </w:r>
      <w:r w:rsidR="00BC1CB9">
        <w:rPr>
          <w:lang w:val="es-MX"/>
        </w:rPr>
        <w:t>el Instituto</w:t>
      </w:r>
      <w:r>
        <w:rPr>
          <w:lang w:val="es-MX"/>
        </w:rPr>
        <w:t xml:space="preserve"> sigue una metodología que permite asignar </w:t>
      </w:r>
      <w:r>
        <w:rPr>
          <w:lang w:val="es-MX"/>
        </w:rPr>
        <w:t>proporcionalmente</w:t>
      </w:r>
      <w:r>
        <w:rPr>
          <w:lang w:val="es-MX"/>
        </w:rPr>
        <w:t xml:space="preserve"> </w:t>
      </w:r>
      <w:r>
        <w:rPr>
          <w:lang w:val="es-MX"/>
        </w:rPr>
        <w:t>el valor asociado al STAR provisto por Megacable</w:t>
      </w:r>
      <w:r w:rsidR="00BC1CB9">
        <w:rPr>
          <w:lang w:val="es-MX"/>
        </w:rPr>
        <w:t xml:space="preserve"> a partir del enfoque e información </w:t>
      </w:r>
      <w:r w:rsidR="00BC1CB9">
        <w:rPr>
          <w:lang w:val="es-MX"/>
        </w:rPr>
        <w:t>proporcionada</w:t>
      </w:r>
      <w:r w:rsidR="00BC1CB9">
        <w:rPr>
          <w:lang w:val="es-MX"/>
        </w:rPr>
        <w:t>.</w:t>
      </w:r>
      <w:r>
        <w:rPr>
          <w:lang w:val="es-MX"/>
        </w:rPr>
        <w:t xml:space="preserve"> </w:t>
      </w:r>
    </w:p>
    <w:p w14:paraId="62BCD496" w14:textId="353DB551" w:rsidR="0081654D" w:rsidRDefault="00D2233C" w:rsidP="00BC1CB9">
      <w:pPr>
        <w:pStyle w:val="Textoindependiente"/>
        <w:spacing w:before="93" w:line="302" w:lineRule="auto"/>
        <w:ind w:left="810" w:right="815"/>
        <w:jc w:val="both"/>
        <w:rPr>
          <w:lang w:val="es-MX"/>
        </w:rPr>
      </w:pPr>
      <w:r>
        <w:rPr>
          <w:lang w:val="es-MX"/>
        </w:rPr>
        <w:t xml:space="preserve">En este sentido, se observan inconsistencias con relación al comentario recibido </w:t>
      </w:r>
      <w:r w:rsidR="00865314">
        <w:rPr>
          <w:lang w:val="es-MX"/>
        </w:rPr>
        <w:t>con lo señalado por el propio</w:t>
      </w:r>
      <w:r w:rsidR="00BC1CB9">
        <w:rPr>
          <w:lang w:val="es-MX"/>
        </w:rPr>
        <w:t xml:space="preserve"> APSM</w:t>
      </w:r>
      <w:r>
        <w:rPr>
          <w:lang w:val="es-MX"/>
        </w:rPr>
        <w:t xml:space="preserve"> en otros ejercicios de consulta pública,</w:t>
      </w:r>
      <w:r w:rsidR="00865314">
        <w:rPr>
          <w:lang w:val="es-MX"/>
        </w:rPr>
        <w:t xml:space="preserve"> donde</w:t>
      </w:r>
      <w:r w:rsidR="00BC1CB9">
        <w:rPr>
          <w:lang w:val="es-MX"/>
        </w:rPr>
        <w:t xml:space="preserve"> </w:t>
      </w:r>
      <w:r w:rsidR="00CA674A">
        <w:rPr>
          <w:lang w:val="es-MX"/>
        </w:rPr>
        <w:t xml:space="preserve">el APSM </w:t>
      </w:r>
      <w:bookmarkStart w:id="2" w:name="_GoBack"/>
      <w:bookmarkEnd w:id="2"/>
      <w:r w:rsidR="00BC1CB9">
        <w:rPr>
          <w:lang w:val="es-MX"/>
        </w:rPr>
        <w:t xml:space="preserve">se </w:t>
      </w:r>
      <w:r w:rsidR="00BC1CB9">
        <w:rPr>
          <w:lang w:val="es-MX"/>
        </w:rPr>
        <w:t xml:space="preserve">ha manifestado con relación a la </w:t>
      </w:r>
      <w:r w:rsidR="00BC1CB9">
        <w:rPr>
          <w:lang w:val="es-MX"/>
        </w:rPr>
        <w:t>estimación de precios implí</w:t>
      </w:r>
      <w:r w:rsidR="00BC1CB9">
        <w:rPr>
          <w:lang w:val="es-MX"/>
        </w:rPr>
        <w:t>citos para los que</w:t>
      </w:r>
      <w:r w:rsidR="00BC1CB9">
        <w:rPr>
          <w:lang w:val="es-MX"/>
        </w:rPr>
        <w:t xml:space="preserve"> </w:t>
      </w:r>
      <w:r w:rsidR="00BC1CB9">
        <w:rPr>
          <w:lang w:val="es-MX"/>
        </w:rPr>
        <w:t>no alude o refiere impedimento para la estimación de dichos precios</w:t>
      </w:r>
      <w:r w:rsidR="00BC1CB9">
        <w:rPr>
          <w:lang w:val="es-MX"/>
        </w:rPr>
        <w:t xml:space="preserve"> implícitos y para los cuales no </w:t>
      </w:r>
      <w:r w:rsidR="00865314">
        <w:rPr>
          <w:lang w:val="es-MX"/>
        </w:rPr>
        <w:t>presentó propuesta de precios implícitos</w:t>
      </w:r>
      <w:r w:rsidR="00865314">
        <w:rPr>
          <w:rStyle w:val="Refdenotaalpie"/>
          <w:lang w:val="es-MX"/>
        </w:rPr>
        <w:footnoteReference w:id="7"/>
      </w:r>
      <w:r w:rsidR="00BC1CB9">
        <w:rPr>
          <w:lang w:val="es-MX"/>
        </w:rPr>
        <w:t>.</w:t>
      </w:r>
      <w:r w:rsidR="00BC1CB9">
        <w:rPr>
          <w:lang w:val="es-MX"/>
        </w:rPr>
        <w:t xml:space="preserve"> </w:t>
      </w:r>
    </w:p>
    <w:p w14:paraId="413B85EB" w14:textId="77777777" w:rsidR="000B5BFE" w:rsidRDefault="000B5BFE" w:rsidP="00554DCF">
      <w:pPr>
        <w:pStyle w:val="Textoindependiente"/>
        <w:spacing w:before="93" w:line="302" w:lineRule="auto"/>
        <w:ind w:left="810" w:right="815"/>
        <w:jc w:val="both"/>
        <w:rPr>
          <w:color w:val="FF0000"/>
          <w:lang w:val="es-MX"/>
        </w:rPr>
      </w:pPr>
    </w:p>
    <w:p w14:paraId="238D70C0" w14:textId="77777777" w:rsidR="0046367D" w:rsidRPr="0046367D" w:rsidRDefault="00895D35" w:rsidP="0046367D">
      <w:pPr>
        <w:pStyle w:val="Ttulo1"/>
        <w:numPr>
          <w:ilvl w:val="0"/>
          <w:numId w:val="1"/>
        </w:numPr>
        <w:tabs>
          <w:tab w:val="left" w:pos="1530"/>
          <w:tab w:val="left" w:pos="1531"/>
        </w:tabs>
        <w:spacing w:before="201"/>
        <w:ind w:hanging="545"/>
        <w:jc w:val="left"/>
        <w:rPr>
          <w:lang w:val="es-MX"/>
        </w:rPr>
      </w:pPr>
      <w:r>
        <w:rPr>
          <w:lang w:val="es-MX"/>
        </w:rPr>
        <w:t>Análisis de la información proporcionada por el APSM</w:t>
      </w:r>
    </w:p>
    <w:p w14:paraId="042B2A34" w14:textId="77777777" w:rsidR="005D0AC9" w:rsidRDefault="005D0AC9" w:rsidP="00682E20">
      <w:pPr>
        <w:pStyle w:val="Textoindependiente"/>
        <w:spacing w:before="93" w:line="302" w:lineRule="auto"/>
        <w:ind w:left="810" w:right="815"/>
        <w:jc w:val="both"/>
        <w:rPr>
          <w:i/>
          <w:u w:val="single"/>
          <w:lang w:val="es-MX"/>
        </w:rPr>
      </w:pPr>
    </w:p>
    <w:p w14:paraId="06FEC611" w14:textId="77777777" w:rsidR="00682E20" w:rsidRDefault="00682E20" w:rsidP="00682E20">
      <w:pPr>
        <w:pStyle w:val="Textoindependiente"/>
        <w:spacing w:before="93" w:line="302" w:lineRule="auto"/>
        <w:ind w:left="810" w:right="815"/>
        <w:jc w:val="both"/>
        <w:rPr>
          <w:lang w:val="es-MX"/>
        </w:rPr>
      </w:pPr>
      <w:r w:rsidRPr="006B160F">
        <w:rPr>
          <w:i/>
          <w:u w:val="single"/>
          <w:lang w:val="es-MX"/>
        </w:rPr>
        <w:t>Resumen</w:t>
      </w:r>
      <w:r w:rsidRPr="006B160F">
        <w:rPr>
          <w:i/>
          <w:spacing w:val="-4"/>
          <w:u w:val="single"/>
          <w:lang w:val="es-MX"/>
        </w:rPr>
        <w:t xml:space="preserve"> </w:t>
      </w:r>
      <w:r w:rsidRPr="006B160F">
        <w:rPr>
          <w:i/>
          <w:u w:val="single"/>
          <w:lang w:val="es-MX"/>
        </w:rPr>
        <w:t>de</w:t>
      </w:r>
      <w:r w:rsidRPr="006B160F">
        <w:rPr>
          <w:i/>
          <w:spacing w:val="-4"/>
          <w:u w:val="single"/>
          <w:lang w:val="es-MX"/>
        </w:rPr>
        <w:t xml:space="preserve"> </w:t>
      </w:r>
      <w:r w:rsidRPr="006B160F">
        <w:rPr>
          <w:i/>
          <w:u w:val="single"/>
          <w:lang w:val="es-MX"/>
        </w:rPr>
        <w:t>comentarios</w:t>
      </w:r>
      <w:r w:rsidRPr="006B160F">
        <w:rPr>
          <w:i/>
          <w:spacing w:val="-6"/>
          <w:u w:val="single"/>
          <w:lang w:val="es-MX"/>
        </w:rPr>
        <w:t xml:space="preserve"> </w:t>
      </w:r>
      <w:r w:rsidRPr="006B160F">
        <w:rPr>
          <w:i/>
          <w:u w:val="single"/>
          <w:lang w:val="es-MX"/>
        </w:rPr>
        <w:t>de</w:t>
      </w:r>
      <w:r w:rsidRPr="006B160F">
        <w:rPr>
          <w:i/>
          <w:spacing w:val="-4"/>
          <w:u w:val="single"/>
          <w:lang w:val="es-MX"/>
        </w:rPr>
        <w:t xml:space="preserve"> </w:t>
      </w:r>
      <w:r w:rsidRPr="006B160F">
        <w:rPr>
          <w:i/>
          <w:u w:val="single"/>
          <w:lang w:val="es-MX"/>
        </w:rPr>
        <w:t>la</w:t>
      </w:r>
      <w:r w:rsidRPr="006B160F">
        <w:rPr>
          <w:i/>
          <w:spacing w:val="-4"/>
          <w:u w:val="single"/>
          <w:lang w:val="es-MX"/>
        </w:rPr>
        <w:t xml:space="preserve"> </w:t>
      </w:r>
      <w:r>
        <w:rPr>
          <w:i/>
          <w:u w:val="single"/>
          <w:lang w:val="es-MX"/>
        </w:rPr>
        <w:t>Consulta Pública</w:t>
      </w:r>
    </w:p>
    <w:p w14:paraId="77011DFD" w14:textId="3FCA3347" w:rsidR="00DE1BE0" w:rsidRDefault="00895D35" w:rsidP="00682E20">
      <w:pPr>
        <w:pStyle w:val="Textoindependiente"/>
        <w:spacing w:before="93" w:line="302" w:lineRule="auto"/>
        <w:ind w:left="810" w:right="815"/>
        <w:jc w:val="both"/>
        <w:rPr>
          <w:lang w:val="es-MX"/>
        </w:rPr>
      </w:pPr>
      <w:r>
        <w:rPr>
          <w:lang w:val="es-MX"/>
        </w:rPr>
        <w:t>Megac</w:t>
      </w:r>
      <w:r w:rsidR="00DE1BE0">
        <w:rPr>
          <w:lang w:val="es-MX"/>
        </w:rPr>
        <w:t>able menciona que</w:t>
      </w:r>
      <w:r w:rsidR="006E50BF">
        <w:rPr>
          <w:lang w:val="es-MX"/>
        </w:rPr>
        <w:t>:</w:t>
      </w:r>
    </w:p>
    <w:p w14:paraId="00E86C60" w14:textId="77777777" w:rsidR="00DE1BE0" w:rsidRPr="00DE1BE0" w:rsidRDefault="00D462AD" w:rsidP="00DE1BE0">
      <w:pPr>
        <w:pStyle w:val="Cita"/>
        <w:ind w:left="1560" w:right="2006"/>
        <w:jc w:val="both"/>
        <w:rPr>
          <w:sz w:val="18"/>
          <w:szCs w:val="18"/>
          <w:lang w:val="es-MX"/>
        </w:rPr>
      </w:pPr>
      <w:r>
        <w:rPr>
          <w:sz w:val="18"/>
          <w:szCs w:val="18"/>
          <w:u w:val="single"/>
          <w:lang w:val="es-MX"/>
        </w:rPr>
        <w:t>“</w:t>
      </w:r>
      <w:r w:rsidR="00DE1BE0" w:rsidRPr="005709D5">
        <w:rPr>
          <w:sz w:val="18"/>
          <w:szCs w:val="18"/>
          <w:u w:val="single"/>
          <w:lang w:val="es-MX"/>
        </w:rPr>
        <w:t>Precio del STAR</w:t>
      </w:r>
      <w:r w:rsidR="00DE1BE0" w:rsidRPr="00DE1BE0">
        <w:rPr>
          <w:sz w:val="18"/>
          <w:szCs w:val="18"/>
          <w:lang w:val="es-MX"/>
        </w:rPr>
        <w:t xml:space="preserve">. A partir del precio de los planes TV Conecta y TV Básico Plus se estimó el precio por canal, el cual fue extrapolado a partir del número total de canales (“SD” y “HD”) en los que se ofrece el STAR single play y STAR empaquetado. Sin embargo, el Instituto no justifica, ni fundamenta el por qué utilizó única y precisamente esos dos planes, para extrapolar el precio por canal. </w:t>
      </w:r>
    </w:p>
    <w:p w14:paraId="6F923CEB" w14:textId="77777777" w:rsidR="00682E20" w:rsidRPr="00DE1BE0" w:rsidRDefault="00DE1BE0" w:rsidP="00DE1BE0">
      <w:pPr>
        <w:pStyle w:val="Cita"/>
        <w:ind w:left="1560" w:right="2006"/>
        <w:jc w:val="both"/>
        <w:rPr>
          <w:sz w:val="18"/>
          <w:szCs w:val="18"/>
          <w:lang w:val="es-MX"/>
        </w:rPr>
      </w:pPr>
      <w:r w:rsidRPr="00DE1BE0">
        <w:rPr>
          <w:sz w:val="18"/>
          <w:szCs w:val="18"/>
          <w:lang w:val="es-MX"/>
        </w:rPr>
        <w:t>Asimismo, no queda claro que esos dos paquetes sean representativos, sobre todo, al no ser paquetes con un número importante de usuarios y que carecen de diversos canales, ya que consisten en planes básicos que solo ofrecen el STAR. Por lo tanto, de manera inadecuada, la propuesta de la Autoridad no refleja un supuesto “precio implícito” del STAR en el caso de paquetes con otros servicios de telecomunicaciones.</w:t>
      </w:r>
      <w:r w:rsidR="00D462AD">
        <w:rPr>
          <w:sz w:val="18"/>
          <w:szCs w:val="18"/>
          <w:lang w:val="es-MX"/>
        </w:rPr>
        <w:t>”</w:t>
      </w:r>
      <w:r w:rsidRPr="00DE1BE0">
        <w:rPr>
          <w:sz w:val="18"/>
          <w:szCs w:val="18"/>
          <w:lang w:val="es-MX"/>
        </w:rPr>
        <w:t xml:space="preserve"> </w:t>
      </w:r>
    </w:p>
    <w:p w14:paraId="5837FD5B" w14:textId="77777777" w:rsidR="00DE1BE0" w:rsidRDefault="00DE1BE0" w:rsidP="00682E20">
      <w:pPr>
        <w:spacing w:before="53"/>
        <w:ind w:left="810"/>
        <w:jc w:val="both"/>
        <w:rPr>
          <w:lang w:val="es-MX"/>
        </w:rPr>
      </w:pPr>
    </w:p>
    <w:p w14:paraId="76FF6658" w14:textId="77777777" w:rsidR="00682E20" w:rsidRDefault="00682E20" w:rsidP="00682E20">
      <w:pPr>
        <w:ind w:left="810"/>
        <w:jc w:val="both"/>
        <w:rPr>
          <w:i/>
          <w:u w:val="single"/>
          <w:lang w:val="es-MX"/>
        </w:rPr>
      </w:pPr>
      <w:r w:rsidRPr="00706DCD">
        <w:rPr>
          <w:i/>
          <w:u w:val="single"/>
          <w:lang w:val="es-MX"/>
        </w:rPr>
        <w:t>Respuesta</w:t>
      </w:r>
      <w:r w:rsidRPr="00770F9E">
        <w:rPr>
          <w:i/>
          <w:u w:val="single"/>
          <w:lang w:val="es-MX"/>
        </w:rPr>
        <w:t xml:space="preserve"> </w:t>
      </w:r>
      <w:r w:rsidRPr="00706DCD">
        <w:rPr>
          <w:i/>
          <w:u w:val="single"/>
          <w:lang w:val="es-MX"/>
        </w:rPr>
        <w:t>de</w:t>
      </w:r>
      <w:r>
        <w:rPr>
          <w:i/>
          <w:u w:val="single"/>
          <w:lang w:val="es-MX"/>
        </w:rPr>
        <w:t xml:space="preserve"> la UPR</w:t>
      </w:r>
    </w:p>
    <w:p w14:paraId="3F063973" w14:textId="77777777" w:rsidR="00682E20" w:rsidRDefault="00682E20" w:rsidP="00682E20">
      <w:pPr>
        <w:ind w:left="810"/>
        <w:jc w:val="both"/>
        <w:rPr>
          <w:i/>
          <w:u w:val="single"/>
          <w:lang w:val="es-MX"/>
        </w:rPr>
      </w:pPr>
    </w:p>
    <w:p w14:paraId="6CD6D7CD" w14:textId="77777777" w:rsidR="000463A9" w:rsidRDefault="00C41DCB" w:rsidP="00805096">
      <w:pPr>
        <w:pStyle w:val="Textoindependiente"/>
        <w:spacing w:before="93" w:line="302" w:lineRule="auto"/>
        <w:ind w:left="810" w:right="815"/>
        <w:jc w:val="both"/>
        <w:rPr>
          <w:lang w:val="es-MX"/>
        </w:rPr>
      </w:pPr>
      <w:r>
        <w:rPr>
          <w:lang w:val="es-MX"/>
        </w:rPr>
        <w:t>Para atender dicho comentario, se solicita retomar los argumentos realizados en el numeral “</w:t>
      </w:r>
      <w:r w:rsidRPr="00EC4AB9">
        <w:rPr>
          <w:i/>
          <w:lang w:val="es-MX"/>
        </w:rPr>
        <w:t>V. Metodología para definir precios de referencia del STAR</w:t>
      </w:r>
      <w:r>
        <w:rPr>
          <w:lang w:val="es-MX"/>
        </w:rPr>
        <w:t>” del presente informe de consideraciones.</w:t>
      </w:r>
      <w:r w:rsidR="00891CFF">
        <w:rPr>
          <w:lang w:val="es-MX"/>
        </w:rPr>
        <w:t xml:space="preserve"> </w:t>
      </w:r>
      <w:r w:rsidR="000463A9">
        <w:rPr>
          <w:lang w:val="es-MX"/>
        </w:rPr>
        <w:t xml:space="preserve">También </w:t>
      </w:r>
      <w:r w:rsidR="00891CFF">
        <w:rPr>
          <w:lang w:val="es-MX"/>
        </w:rPr>
        <w:t>se resalta que</w:t>
      </w:r>
      <w:r w:rsidR="000463A9">
        <w:rPr>
          <w:lang w:val="es-MX"/>
        </w:rPr>
        <w:t xml:space="preserve"> el objetivo de utilizar dichas modalidades se describe con detalle en el numeral “</w:t>
      </w:r>
      <w:r w:rsidR="000463A9" w:rsidRPr="007D0982">
        <w:rPr>
          <w:i/>
          <w:lang w:val="es-MX"/>
        </w:rPr>
        <w:t>3. Metodología del Modelo de Costos Evitados</w:t>
      </w:r>
      <w:r w:rsidR="000463A9">
        <w:rPr>
          <w:lang w:val="es-MX"/>
        </w:rPr>
        <w:t>” del Documento Metodológico.</w:t>
      </w:r>
    </w:p>
    <w:p w14:paraId="0921CA50" w14:textId="76621695" w:rsidR="00891CFF" w:rsidRDefault="000463A9" w:rsidP="00805096">
      <w:pPr>
        <w:pStyle w:val="Textoindependiente"/>
        <w:spacing w:before="93" w:line="302" w:lineRule="auto"/>
        <w:ind w:left="810" w:right="815"/>
        <w:jc w:val="both"/>
        <w:rPr>
          <w:lang w:val="es-MX"/>
        </w:rPr>
      </w:pPr>
      <w:r>
        <w:rPr>
          <w:lang w:val="es-MX"/>
        </w:rPr>
        <w:t xml:space="preserve">En términos generales, se destaca de dicha referencia que </w:t>
      </w:r>
      <w:r w:rsidR="00891CFF">
        <w:rPr>
          <w:lang w:val="es-MX"/>
        </w:rPr>
        <w:t>las modalidades “</w:t>
      </w:r>
      <w:r w:rsidR="00891CFF" w:rsidRPr="00717688">
        <w:rPr>
          <w:i/>
          <w:lang w:val="es-MX"/>
        </w:rPr>
        <w:t>TV Conecta</w:t>
      </w:r>
      <w:r w:rsidR="00891CFF">
        <w:rPr>
          <w:lang w:val="es-MX"/>
        </w:rPr>
        <w:t>” y “</w:t>
      </w:r>
      <w:r w:rsidR="00891CFF" w:rsidRPr="00717688">
        <w:rPr>
          <w:i/>
          <w:lang w:val="es-MX"/>
        </w:rPr>
        <w:t>TV Básico Plus</w:t>
      </w:r>
      <w:r w:rsidR="00891CFF">
        <w:rPr>
          <w:lang w:val="es-MX"/>
        </w:rPr>
        <w:t>” refieren a los servicios STAR que comercializa</w:t>
      </w:r>
      <w:r>
        <w:rPr>
          <w:lang w:val="es-MX"/>
        </w:rPr>
        <w:t xml:space="preserve"> el APSM</w:t>
      </w:r>
      <w:r w:rsidR="00891CFF">
        <w:rPr>
          <w:lang w:val="es-MX"/>
        </w:rPr>
        <w:t xml:space="preserve"> a sus usuarios finales en los 9 mercados</w:t>
      </w:r>
      <w:r w:rsidR="00891CFF">
        <w:rPr>
          <w:lang w:val="es-MX"/>
        </w:rPr>
        <w:t xml:space="preserve"> </w:t>
      </w:r>
      <w:r w:rsidR="00F37E9A">
        <w:rPr>
          <w:lang w:val="es-MX"/>
        </w:rPr>
        <w:t>con</w:t>
      </w:r>
      <w:r w:rsidR="00891CFF">
        <w:rPr>
          <w:lang w:val="es-MX"/>
        </w:rPr>
        <w:t xml:space="preserve"> PSM, en su modalidad individual y empaquetad</w:t>
      </w:r>
      <w:r w:rsidR="008E5F72">
        <w:rPr>
          <w:lang w:val="es-MX"/>
        </w:rPr>
        <w:t>a</w:t>
      </w:r>
      <w:r w:rsidR="00891CFF">
        <w:rPr>
          <w:lang w:val="es-MX"/>
        </w:rPr>
        <w:t xml:space="preserve">, </w:t>
      </w:r>
      <w:r w:rsidR="006E50BF">
        <w:rPr>
          <w:lang w:val="es-MX"/>
        </w:rPr>
        <w:t xml:space="preserve">con </w:t>
      </w:r>
      <w:r w:rsidR="00891CFF">
        <w:rPr>
          <w:lang w:val="es-MX"/>
        </w:rPr>
        <w:t>características adicionales en términos de</w:t>
      </w:r>
      <w:r w:rsidR="006E50BF">
        <w:rPr>
          <w:lang w:val="es-MX"/>
        </w:rPr>
        <w:t>l</w:t>
      </w:r>
      <w:r w:rsidR="00891CFF">
        <w:rPr>
          <w:lang w:val="es-MX"/>
        </w:rPr>
        <w:t xml:space="preserve"> número de canales denominados “SD” y “HD”.</w:t>
      </w:r>
      <w:r>
        <w:rPr>
          <w:lang w:val="es-MX"/>
        </w:rPr>
        <w:t xml:space="preserve"> </w:t>
      </w:r>
    </w:p>
    <w:p w14:paraId="705B15D5" w14:textId="36ED7E55" w:rsidR="00C41DCB" w:rsidRPr="00891CFF" w:rsidRDefault="000463A9" w:rsidP="00805096">
      <w:pPr>
        <w:pStyle w:val="Textoindependiente"/>
        <w:spacing w:before="93" w:line="302" w:lineRule="auto"/>
        <w:ind w:left="810" w:right="815"/>
        <w:jc w:val="both"/>
        <w:rPr>
          <w:lang w:val="es-MX"/>
        </w:rPr>
      </w:pPr>
      <w:r>
        <w:rPr>
          <w:lang w:val="es-MX"/>
        </w:rPr>
        <w:t>Por lo cual, i</w:t>
      </w:r>
      <w:r w:rsidR="00891CFF">
        <w:rPr>
          <w:lang w:val="es-MX"/>
        </w:rPr>
        <w:t>dentificar en la oferta comercial minorista las modalidades STAR que deber</w:t>
      </w:r>
      <w:r>
        <w:rPr>
          <w:lang w:val="es-MX"/>
        </w:rPr>
        <w:t>án ser revendidas a través del SMR (modalidades “</w:t>
      </w:r>
      <w:r w:rsidRPr="00277E0A">
        <w:rPr>
          <w:i/>
          <w:lang w:val="es-MX"/>
        </w:rPr>
        <w:t>TV Conecta</w:t>
      </w:r>
      <w:r>
        <w:rPr>
          <w:lang w:val="es-MX"/>
        </w:rPr>
        <w:t>” y “</w:t>
      </w:r>
      <w:r w:rsidRPr="00277E0A">
        <w:rPr>
          <w:i/>
          <w:lang w:val="es-MX"/>
        </w:rPr>
        <w:t>TV Básico Plus</w:t>
      </w:r>
      <w:r>
        <w:rPr>
          <w:lang w:val="es-MX"/>
        </w:rPr>
        <w:t>”) en cada uno de los planes y paquetes que se ofrecen a sus usuarios finales resulta relevante</w:t>
      </w:r>
      <w:r w:rsidR="004F18BA">
        <w:rPr>
          <w:lang w:val="es-MX"/>
        </w:rPr>
        <w:t xml:space="preserve"> para la estimación de ingresos y atribución los </w:t>
      </w:r>
      <w:r>
        <w:rPr>
          <w:lang w:val="es-MX"/>
        </w:rPr>
        <w:t>costos ev</w:t>
      </w:r>
      <w:r w:rsidR="004F18BA">
        <w:rPr>
          <w:lang w:val="es-MX"/>
        </w:rPr>
        <w:t>itados asociados para la provisión del STAR previsto en la Resolución de Obligaciones.</w:t>
      </w:r>
      <w:r>
        <w:rPr>
          <w:lang w:val="es-MX"/>
        </w:rPr>
        <w:t xml:space="preserve">  </w:t>
      </w:r>
    </w:p>
    <w:p w14:paraId="7161841D" w14:textId="77777777" w:rsidR="00682E20" w:rsidRDefault="00682E20" w:rsidP="00682E20">
      <w:pPr>
        <w:ind w:left="810"/>
        <w:jc w:val="both"/>
        <w:rPr>
          <w:i/>
          <w:u w:val="single"/>
          <w:lang w:val="es-MX"/>
        </w:rPr>
      </w:pPr>
    </w:p>
    <w:p w14:paraId="45163090" w14:textId="77777777" w:rsidR="00682E20" w:rsidRPr="006B160F" w:rsidRDefault="005545A7" w:rsidP="00682E20">
      <w:pPr>
        <w:pStyle w:val="Ttulo1"/>
        <w:numPr>
          <w:ilvl w:val="0"/>
          <w:numId w:val="1"/>
        </w:numPr>
        <w:tabs>
          <w:tab w:val="left" w:pos="1530"/>
          <w:tab w:val="left" w:pos="1531"/>
        </w:tabs>
        <w:spacing w:before="201"/>
        <w:ind w:hanging="545"/>
        <w:jc w:val="left"/>
        <w:rPr>
          <w:lang w:val="es-MX"/>
        </w:rPr>
      </w:pPr>
      <w:r>
        <w:rPr>
          <w:lang w:val="es-MX"/>
        </w:rPr>
        <w:t xml:space="preserve">Definición de </w:t>
      </w:r>
      <w:r w:rsidR="00B62D1B">
        <w:rPr>
          <w:lang w:val="es-MX"/>
        </w:rPr>
        <w:t>conceptos de costos evitados en los Servicios de Reventa</w:t>
      </w:r>
    </w:p>
    <w:p w14:paraId="7F51F108" w14:textId="77777777" w:rsidR="00682E20" w:rsidRPr="006B160F" w:rsidRDefault="00682E20" w:rsidP="00682E20">
      <w:pPr>
        <w:pStyle w:val="Textoindependiente"/>
        <w:spacing w:before="7"/>
        <w:rPr>
          <w:b/>
          <w:sz w:val="20"/>
          <w:lang w:val="es-MX"/>
        </w:rPr>
      </w:pPr>
    </w:p>
    <w:p w14:paraId="0598AF41" w14:textId="77777777" w:rsidR="00682E20" w:rsidRPr="006B160F" w:rsidRDefault="00682E20" w:rsidP="00682E20">
      <w:pPr>
        <w:ind w:left="810"/>
        <w:jc w:val="both"/>
        <w:rPr>
          <w:i/>
          <w:lang w:val="es-MX"/>
        </w:rPr>
      </w:pPr>
      <w:r w:rsidRPr="006B160F">
        <w:rPr>
          <w:i/>
          <w:u w:val="single"/>
          <w:lang w:val="es-MX"/>
        </w:rPr>
        <w:t>Resumen</w:t>
      </w:r>
      <w:r w:rsidRPr="006B160F">
        <w:rPr>
          <w:i/>
          <w:spacing w:val="-4"/>
          <w:u w:val="single"/>
          <w:lang w:val="es-MX"/>
        </w:rPr>
        <w:t xml:space="preserve"> </w:t>
      </w:r>
      <w:r w:rsidRPr="006B160F">
        <w:rPr>
          <w:i/>
          <w:u w:val="single"/>
          <w:lang w:val="es-MX"/>
        </w:rPr>
        <w:t>de</w:t>
      </w:r>
      <w:r w:rsidRPr="006B160F">
        <w:rPr>
          <w:i/>
          <w:spacing w:val="-4"/>
          <w:u w:val="single"/>
          <w:lang w:val="es-MX"/>
        </w:rPr>
        <w:t xml:space="preserve"> </w:t>
      </w:r>
      <w:r w:rsidRPr="006B160F">
        <w:rPr>
          <w:i/>
          <w:u w:val="single"/>
          <w:lang w:val="es-MX"/>
        </w:rPr>
        <w:t>comentarios</w:t>
      </w:r>
      <w:r w:rsidRPr="006B160F">
        <w:rPr>
          <w:i/>
          <w:spacing w:val="-6"/>
          <w:u w:val="single"/>
          <w:lang w:val="es-MX"/>
        </w:rPr>
        <w:t xml:space="preserve"> </w:t>
      </w:r>
      <w:r w:rsidRPr="006B160F">
        <w:rPr>
          <w:i/>
          <w:u w:val="single"/>
          <w:lang w:val="es-MX"/>
        </w:rPr>
        <w:t>de</w:t>
      </w:r>
      <w:r w:rsidRPr="006B160F">
        <w:rPr>
          <w:i/>
          <w:spacing w:val="-4"/>
          <w:u w:val="single"/>
          <w:lang w:val="es-MX"/>
        </w:rPr>
        <w:t xml:space="preserve"> </w:t>
      </w:r>
      <w:r w:rsidRPr="006B160F">
        <w:rPr>
          <w:i/>
          <w:u w:val="single"/>
          <w:lang w:val="es-MX"/>
        </w:rPr>
        <w:t>la</w:t>
      </w:r>
      <w:r w:rsidRPr="006B160F">
        <w:rPr>
          <w:i/>
          <w:spacing w:val="-4"/>
          <w:u w:val="single"/>
          <w:lang w:val="es-MX"/>
        </w:rPr>
        <w:t xml:space="preserve"> </w:t>
      </w:r>
      <w:r>
        <w:rPr>
          <w:i/>
          <w:u w:val="single"/>
          <w:lang w:val="es-MX"/>
        </w:rPr>
        <w:t>Consulta Pública</w:t>
      </w:r>
    </w:p>
    <w:p w14:paraId="4D880117" w14:textId="5F1FBFD3" w:rsidR="00E17312" w:rsidRDefault="003C6658" w:rsidP="00682E20">
      <w:pPr>
        <w:pStyle w:val="Textoindependiente"/>
        <w:spacing w:before="93" w:after="240" w:line="302" w:lineRule="auto"/>
        <w:ind w:left="810" w:right="815"/>
        <w:jc w:val="both"/>
        <w:rPr>
          <w:lang w:val="es-MX"/>
        </w:rPr>
      </w:pPr>
      <w:r>
        <w:rPr>
          <w:lang w:val="es-MX"/>
        </w:rPr>
        <w:t xml:space="preserve">Megacable </w:t>
      </w:r>
      <w:r w:rsidR="00E17312">
        <w:rPr>
          <w:lang w:val="es-MX"/>
        </w:rPr>
        <w:t>menciona que</w:t>
      </w:r>
      <w:r w:rsidR="00DB5B07">
        <w:rPr>
          <w:lang w:val="es-MX"/>
        </w:rPr>
        <w:t>:</w:t>
      </w:r>
    </w:p>
    <w:p w14:paraId="759EBD33" w14:textId="77777777" w:rsidR="00E17312" w:rsidRPr="00D462AD" w:rsidRDefault="00D462AD" w:rsidP="00E17312">
      <w:pPr>
        <w:pStyle w:val="Cita"/>
        <w:ind w:left="1560" w:right="2006"/>
        <w:jc w:val="both"/>
        <w:rPr>
          <w:sz w:val="18"/>
          <w:szCs w:val="18"/>
          <w:lang w:val="es-MX"/>
        </w:rPr>
      </w:pPr>
      <w:r>
        <w:rPr>
          <w:sz w:val="18"/>
          <w:szCs w:val="18"/>
          <w:lang w:val="es-MX"/>
        </w:rPr>
        <w:t>“</w:t>
      </w:r>
      <w:r w:rsidR="00E17312" w:rsidRPr="00E17312">
        <w:rPr>
          <w:sz w:val="18"/>
          <w:szCs w:val="18"/>
          <w:lang w:val="es-MX"/>
        </w:rPr>
        <w:t>Para el desarrollo del Modelo de Costos Evitados el Instituto consideró sin una justificación metodológica o analítica las</w:t>
      </w:r>
      <w:r w:rsidR="005709D5">
        <w:rPr>
          <w:sz w:val="18"/>
          <w:szCs w:val="18"/>
          <w:lang w:val="es-MX"/>
        </w:rPr>
        <w:t xml:space="preserve"> </w:t>
      </w:r>
      <w:r w:rsidR="005709D5" w:rsidRPr="005709D5">
        <w:rPr>
          <w:sz w:val="18"/>
          <w:szCs w:val="18"/>
          <w:lang w:val="es-MX"/>
        </w:rPr>
        <w:t xml:space="preserve">siguientes categorías de costos en los que </w:t>
      </w:r>
      <w:r w:rsidR="005709D5" w:rsidRPr="00D462AD">
        <w:rPr>
          <w:sz w:val="18"/>
          <w:szCs w:val="18"/>
          <w:lang w:val="es-MX"/>
        </w:rPr>
        <w:t>supuestamente el APSM no incurriría en la provisión del servicio mayorista:</w:t>
      </w:r>
    </w:p>
    <w:p w14:paraId="65CD324E" w14:textId="77777777" w:rsidR="005709D5" w:rsidRPr="00D462AD" w:rsidRDefault="005709D5" w:rsidP="004A6255">
      <w:pPr>
        <w:pStyle w:val="Cita"/>
        <w:ind w:left="1560" w:right="2006"/>
        <w:jc w:val="both"/>
        <w:rPr>
          <w:sz w:val="18"/>
          <w:szCs w:val="18"/>
          <w:lang w:val="es-MX"/>
        </w:rPr>
      </w:pPr>
      <w:r w:rsidRPr="00D462AD">
        <w:rPr>
          <w:sz w:val="18"/>
          <w:szCs w:val="18"/>
          <w:u w:val="single"/>
          <w:lang w:val="es-MX"/>
        </w:rPr>
        <w:t>Mercadotecnia y publicidad:</w:t>
      </w:r>
      <w:r w:rsidRPr="00D462AD">
        <w:rPr>
          <w:sz w:val="18"/>
          <w:szCs w:val="18"/>
          <w:lang w:val="es-MX"/>
        </w:rPr>
        <w:t xml:space="preserve"> En este caso el Instituto incluye el supuesto que los </w:t>
      </w:r>
      <w:r w:rsidRPr="00D462AD">
        <w:rPr>
          <w:sz w:val="18"/>
          <w:szCs w:val="18"/>
          <w:lang w:val="es-MX"/>
        </w:rPr>
        <w:lastRenderedPageBreak/>
        <w:t>costos de ventas y mercadotecnia pueden atribuirse únicamente a los servicios STAR. Como se indica, este supuesto no es real, pues no existe un costo que evite al ofrecer un servicio mayorista en lugar de los servicios al usuario final. Así mismo, aun suponiendo sin conceder, si fuese válido hacerlo, indebidamente considera valores a nivel nacional y no específicamente para los nueve municipios donde supuestamente el GIE tiene PSM.</w:t>
      </w:r>
    </w:p>
    <w:p w14:paraId="0C0FC004" w14:textId="77777777" w:rsidR="004A6255" w:rsidRPr="00D462AD" w:rsidRDefault="004A6255" w:rsidP="004A6255">
      <w:pPr>
        <w:pStyle w:val="Cita"/>
        <w:ind w:left="1560" w:right="2006"/>
        <w:jc w:val="both"/>
        <w:rPr>
          <w:sz w:val="18"/>
          <w:szCs w:val="18"/>
          <w:lang w:val="es-MX"/>
        </w:rPr>
      </w:pPr>
      <w:r w:rsidRPr="00D462AD">
        <w:rPr>
          <w:sz w:val="18"/>
          <w:szCs w:val="18"/>
          <w:u w:val="single"/>
          <w:lang w:val="es-MX"/>
        </w:rPr>
        <w:t xml:space="preserve">Tasa de desconexión mensual promedio para servicios de cable 2021-2023. </w:t>
      </w:r>
      <w:r w:rsidRPr="00D462AD">
        <w:rPr>
          <w:sz w:val="18"/>
          <w:szCs w:val="18"/>
          <w:lang w:val="es-MX"/>
        </w:rPr>
        <w:t xml:space="preserve">Se obtuvo del informe anual 2023 de Mega Cable, S.A. de C.V.. Dicha tasa también corresponde a nivel nacional y no es aplicable necesariamente a los nueve mercados declarados, por lo cual también está indebidamente utilizada. </w:t>
      </w:r>
    </w:p>
    <w:p w14:paraId="53461F96" w14:textId="739C02A9" w:rsidR="004A6255" w:rsidRPr="00D462AD" w:rsidRDefault="004A6255" w:rsidP="004A6255">
      <w:pPr>
        <w:pStyle w:val="Cita"/>
        <w:ind w:left="1560" w:right="2006"/>
        <w:jc w:val="both"/>
        <w:rPr>
          <w:sz w:val="18"/>
          <w:szCs w:val="18"/>
          <w:lang w:val="es-MX"/>
        </w:rPr>
      </w:pPr>
      <w:r w:rsidRPr="00D462AD">
        <w:rPr>
          <w:sz w:val="18"/>
          <w:szCs w:val="18"/>
          <w:u w:val="single"/>
          <w:lang w:val="es-MX"/>
        </w:rPr>
        <w:t>Facturación:</w:t>
      </w:r>
      <w:r w:rsidRPr="00D462AD">
        <w:rPr>
          <w:sz w:val="18"/>
          <w:szCs w:val="18"/>
          <w:lang w:val="es-MX"/>
        </w:rPr>
        <w:t xml:space="preserve"> Para determinar este costo evitado, el Instituto tomó información de separación contable –a nivel nacional-, en particular los costos de facturación con respecto a ingresos operaciones</w:t>
      </w:r>
      <w:r w:rsidR="00DB5B07">
        <w:rPr>
          <w:sz w:val="18"/>
          <w:szCs w:val="18"/>
          <w:lang w:val="es-MX"/>
        </w:rPr>
        <w:t xml:space="preserve"> [sic]</w:t>
      </w:r>
      <w:r w:rsidRPr="00D462AD">
        <w:rPr>
          <w:sz w:val="18"/>
          <w:szCs w:val="18"/>
          <w:lang w:val="es-MX"/>
        </w:rPr>
        <w:t>. Este es un costo que no puede subdividirse por servicio, pues se incurre en el costo de facturación al usuario utilice éste</w:t>
      </w:r>
      <w:r w:rsidRPr="00D462AD">
        <w:rPr>
          <w:sz w:val="18"/>
          <w:szCs w:val="18"/>
          <w:lang w:val="es-MX"/>
        </w:rPr>
        <w:t xml:space="preserve"> </w:t>
      </w:r>
      <w:r w:rsidR="00A254C3">
        <w:rPr>
          <w:sz w:val="18"/>
          <w:szCs w:val="18"/>
          <w:lang w:val="es-MX"/>
        </w:rPr>
        <w:t>[sic]</w:t>
      </w:r>
      <w:r w:rsidRPr="00D462AD">
        <w:rPr>
          <w:sz w:val="18"/>
          <w:szCs w:val="18"/>
          <w:lang w:val="es-MX"/>
        </w:rPr>
        <w:t xml:space="preserve"> uno o varios servicios, por lo tanto, el criterio de utilizar un porcentaje sobre ingresos no es realista. Así mismo, ciertamente, en un servicio mayorista no se realizan actividades de facturación a usuarios finales (actividades minoristas), pero el Instituto pierde de vista que un agente.</w:t>
      </w:r>
      <w:r w:rsidR="00A254C3">
        <w:rPr>
          <w:sz w:val="18"/>
          <w:szCs w:val="18"/>
          <w:lang w:val="es-MX"/>
        </w:rPr>
        <w:t>[sic]</w:t>
      </w:r>
      <w:r w:rsidRPr="00D462AD">
        <w:rPr>
          <w:sz w:val="18"/>
          <w:szCs w:val="18"/>
          <w:lang w:val="es-MX"/>
        </w:rPr>
        <w:t xml:space="preserve">, tendría que implementar actividades de facturación mayorista, costos en que actualmente no incurre pues no se factura a sí mismo; por lo tanto, suponiendo sin conceder, fuese conducente considerar los costos de facturación minorista como costos evitados, entonces también se tendrían que añadir (v.g., como “costos añadidos”) los costos de facturación mayorista. A mayor abundamiento, se especificó al Instituto en el desahogo a la información requerida para la elaboración de este Modelo de Costos Evitados que el costo de facturación correspondía al costo de timbrado de facturación electrónica, costo que con el servicio mayorista de reventa STAR se tendría que incurrir al facturar a los concesionarios solicitantes del servicio mayorista, por lo cual no es realmente un costo evitado. </w:t>
      </w:r>
    </w:p>
    <w:p w14:paraId="443697EE" w14:textId="2F9A4F24" w:rsidR="00E755FB" w:rsidRPr="0010535A" w:rsidRDefault="00E755FB" w:rsidP="0010535A">
      <w:pPr>
        <w:pStyle w:val="Cita"/>
        <w:ind w:left="1560" w:right="2006"/>
        <w:jc w:val="both"/>
        <w:rPr>
          <w:sz w:val="18"/>
          <w:szCs w:val="18"/>
          <w:lang w:val="es-MX"/>
        </w:rPr>
      </w:pPr>
      <w:r w:rsidRPr="00D462AD">
        <w:rPr>
          <w:sz w:val="18"/>
          <w:szCs w:val="18"/>
          <w:u w:val="single"/>
          <w:lang w:val="es-MX"/>
        </w:rPr>
        <w:t>Deuda incobrable:</w:t>
      </w:r>
      <w:r w:rsidRPr="00D462AD">
        <w:rPr>
          <w:sz w:val="18"/>
          <w:szCs w:val="18"/>
          <w:lang w:val="es-MX"/>
        </w:rPr>
        <w:t xml:space="preserve"> El modelo objeto de la Consulta Pública considera el valor de incobrabilidad para los servicios minoristas En este caso el Instituto, se extralimito</w:t>
      </w:r>
      <w:r w:rsidRPr="00D462AD">
        <w:rPr>
          <w:sz w:val="18"/>
          <w:szCs w:val="18"/>
          <w:lang w:val="es-MX"/>
        </w:rPr>
        <w:t xml:space="preserve"> </w:t>
      </w:r>
      <w:r w:rsidR="00A254C3">
        <w:rPr>
          <w:sz w:val="18"/>
          <w:szCs w:val="18"/>
          <w:lang w:val="es-MX"/>
        </w:rPr>
        <w:t>[sic]</w:t>
      </w:r>
      <w:r w:rsidRPr="00D462AD">
        <w:rPr>
          <w:sz w:val="18"/>
          <w:szCs w:val="18"/>
          <w:lang w:val="es-MX"/>
        </w:rPr>
        <w:t xml:space="preserve"> en sus facultades y también utilizó información de separación contable – a nivel nacional- en particular del porcentaje de deuda incobrable como porcentaje de ingresos operacionales. Así mismo, al igual que en el caso de los costos de facturación, si el Instituto decidió excluir este concepto por relacionarlo con actividades minoristas, entonces, tendría que haber añadido un concepto equivalente de deuda incobrable, pero resultante de las actividades mayoristas (ya que el precio mayorista resultante de excluir costos evitados por deuda incobrable minorista no reflejaría dicho costo pues no tendría deuda incobrable consigo mismo). A mayor abundamiento, no existe razón alguna para pensar que los servicios mayoristas no resultarán en una deuda incobrable, sobre todo de potenciales nuevos entrantes que corren un alto riesgo de no posicionarse en el mercado e incumplir sus pagos en su intento por incursionar en un mercado maduro y con varios competidores bien posicionados, particularmente en los nueve mercados.</w:t>
      </w:r>
      <w:r w:rsidRPr="0010535A">
        <w:rPr>
          <w:sz w:val="18"/>
          <w:szCs w:val="18"/>
          <w:lang w:val="es-MX"/>
        </w:rPr>
        <w:t xml:space="preserve"> </w:t>
      </w:r>
    </w:p>
    <w:p w14:paraId="7D6F6883" w14:textId="77777777" w:rsidR="00E755FB" w:rsidRPr="0010535A" w:rsidRDefault="00E755FB" w:rsidP="0010535A">
      <w:pPr>
        <w:pStyle w:val="Cita"/>
        <w:ind w:left="1560" w:right="2006"/>
        <w:jc w:val="both"/>
        <w:rPr>
          <w:sz w:val="18"/>
          <w:szCs w:val="18"/>
          <w:lang w:val="es-MX"/>
        </w:rPr>
      </w:pPr>
      <w:r w:rsidRPr="00D462AD">
        <w:rPr>
          <w:sz w:val="18"/>
          <w:szCs w:val="18"/>
          <w:u w:val="single"/>
          <w:lang w:val="es-MX"/>
        </w:rPr>
        <w:t>Costos de atención al cliente minorista.</w:t>
      </w:r>
      <w:r w:rsidRPr="0010535A">
        <w:rPr>
          <w:sz w:val="18"/>
          <w:szCs w:val="18"/>
          <w:lang w:val="es-MX"/>
        </w:rPr>
        <w:t xml:space="preserve"> El Instituto afirma haber considerado valores promedio 2020-2023 proporcionados por el APSM, aplicables a los 9 municipios donde se determinó el PSM. Esto resulta, exorbitante y extraño, pues dicha información no está limitada a los 9 municipios, sino que se trata también de valores totales. Ahora bien, suponiendo sin conceder, fuese adecuado considerar dichos costos que rebasan el ámbito de los 9 mercados, al igual que otros costos minoristas, el costo de atención al cliente no es divisible entre el STAR y otros servicios. Por otro lado, en afán de un criterio de proporcionalidad y equidad, suponiendo sin conceder, fuera conducente considerar como costo evitado el costo de atención al cliente minorista, entonces se tendría que haber incluido un costo de atención al cliente mayorista, costo que actualmente no se incurre (pues el agente no se presta a sí mismo ese servicio) y en el que tendría que incurrir al tener que prestar un servicio mayorista del STAR. En el modelo objeto de la Consulta Pública, este concepto es bastante significativo y su indebida inclusión como evitado, además de no considerar, como un “costo incluido” el costo de atención al cliente mayorista, es un factor que explica el excesivo e irracional descuento que resulta de dicho modelo. </w:t>
      </w:r>
    </w:p>
    <w:p w14:paraId="36096EBD" w14:textId="387D7349" w:rsidR="00FE7D72" w:rsidRPr="0010535A" w:rsidRDefault="00E755FB" w:rsidP="0010535A">
      <w:pPr>
        <w:pStyle w:val="Cita"/>
        <w:ind w:left="1560" w:right="2006"/>
        <w:jc w:val="both"/>
        <w:rPr>
          <w:sz w:val="18"/>
          <w:szCs w:val="18"/>
          <w:lang w:val="es-MX"/>
        </w:rPr>
      </w:pPr>
      <w:r w:rsidRPr="00D462AD">
        <w:rPr>
          <w:sz w:val="18"/>
          <w:szCs w:val="18"/>
          <w:u w:val="single"/>
          <w:lang w:val="es-MX"/>
        </w:rPr>
        <w:t>• Gastos generales y administrativos:</w:t>
      </w:r>
      <w:r w:rsidRPr="0010535A">
        <w:rPr>
          <w:sz w:val="18"/>
          <w:szCs w:val="18"/>
          <w:lang w:val="es-MX"/>
        </w:rPr>
        <w:t xml:space="preserve"> El Instituto, considera los gastos de personal (salarios y participación en las utilidades) y los asociados al uso de espacio para oficina, así como los costos administrativos sobre el total de ingresos (incluye personal </w:t>
      </w:r>
      <w:r w:rsidRPr="0010535A">
        <w:rPr>
          <w:sz w:val="18"/>
          <w:szCs w:val="18"/>
          <w:lang w:val="es-MX"/>
        </w:rPr>
        <w:lastRenderedPageBreak/>
        <w:t>de soporte IT</w:t>
      </w:r>
      <w:r w:rsidR="00A254C3">
        <w:rPr>
          <w:sz w:val="18"/>
          <w:szCs w:val="18"/>
          <w:lang w:val="es-MX"/>
        </w:rPr>
        <w:t xml:space="preserve"> [sic]</w:t>
      </w:r>
      <w:r w:rsidRPr="0010535A">
        <w:rPr>
          <w:sz w:val="18"/>
          <w:szCs w:val="18"/>
          <w:lang w:val="es-MX"/>
        </w:rPr>
        <w:t xml:space="preserve">, recursos humanos, estrategia, finanzas, etc.). Resulta nuevamente ilegitimo e inadecuado aplicar un porcentaje sobre el total de ingresos, pues gran parte de estos gastos no son divisibles por el STAR, es decir, se incurren en ellos con independencia de </w:t>
      </w:r>
      <w:r w:rsidR="00FE7D72" w:rsidRPr="0010535A">
        <w:rPr>
          <w:sz w:val="18"/>
          <w:szCs w:val="18"/>
          <w:lang w:val="es-MX"/>
        </w:rPr>
        <w:t xml:space="preserve">que se preste un servicio mayorista de reventa de STAR. Así mismo, el Instituto incurre en un error notorio ya que el monto de gastos generales y administrativos con el que se saca el porcentaje sobre ingresos no se refiere ni atribuye únicamente a servicios minoristas, sino a toda la operación por lo tanto, los costos evitados consideran indebidamente una proporción de gastos generales y administrativos que deberían, de ser el caso, atribuirse proporcionalmente también a actividades mayoristas y, por lo tanto, no considerarse en su totalidad como costos evitados del STAR mayorista y utilizarse íntegramente en la determinación del descuento para llegar al “precio mayorista”. Siguiendo también un principio de proporcionalidad y equidad, suponiendo sin conceder, fuera conducente considerar como costos evitados costos y gastos generales administrativos de índole minorista, entonces también se tendrían que añadir costos y gastos generales y administrativos mayoristas (“costos añadidos”) resultantes de desarrollar el servicio mayorista de reventa STAR, actividad que no realiza el GIE en la actualidad. Como consecuencia de que el Instituto omite diferenciar una proporción de gastos generales y administrativos que no son costos evitados, se sobreestima el descuento sobre el precio implícito y, más aún, se subestima el precio mayorista. Lo anterior resulta evidente pues el porcentaje de supuestos costos evitados por este concepto es el mayor de los incluidos en el Modelo (23% en la versión “anonimizada”). </w:t>
      </w:r>
    </w:p>
    <w:p w14:paraId="22EA19F6" w14:textId="77777777" w:rsidR="00FE7D72" w:rsidRPr="0010535A" w:rsidRDefault="00FE7D72" w:rsidP="0010535A">
      <w:pPr>
        <w:pStyle w:val="Cita"/>
        <w:ind w:left="1560" w:right="2006"/>
        <w:jc w:val="both"/>
        <w:rPr>
          <w:sz w:val="18"/>
          <w:szCs w:val="18"/>
          <w:lang w:val="es-MX"/>
        </w:rPr>
      </w:pPr>
      <w:r w:rsidRPr="0010535A">
        <w:rPr>
          <w:sz w:val="18"/>
          <w:szCs w:val="18"/>
          <w:lang w:val="es-MX"/>
        </w:rPr>
        <w:t xml:space="preserve">• </w:t>
      </w:r>
      <w:r w:rsidRPr="00D462AD">
        <w:rPr>
          <w:sz w:val="18"/>
          <w:szCs w:val="18"/>
          <w:u w:val="single"/>
          <w:lang w:val="es-MX"/>
        </w:rPr>
        <w:t>Margen de beneficios sobre costos evitados.</w:t>
      </w:r>
      <w:r w:rsidRPr="0010535A">
        <w:rPr>
          <w:sz w:val="18"/>
          <w:szCs w:val="18"/>
          <w:lang w:val="es-MX"/>
        </w:rPr>
        <w:t xml:space="preserve"> Este margen representa, según el Documento Metodológico, la proporción de los beneficios que dicho operador puede razonablemente esperar al ofrecer sus servicios minoristas aplicados al conjunto de costos evitados. Lo anterior, se obtuvo de aplicar la metodología del WACC utilizada por el Instituto para Modelos de Costos del Agente Económico Preponderante y para los modelos de costos de interconexión. Lo que considera indebido e irregular, ya que no refleja las características específicas (recuérdese que el enfoque del modelo de costos evitados no modela un operador eficiente, como sí lo hacen los modelos CILP. Además, Mega Cable, S.A. de C.V. publica en su reporte anual su propio WACC). Por lo tanto, el valor propuesto del margen de beneficios además de ser inadecuado, sobreestima el supuesto rendimiento que obtendría el GIE sobre los costos evitados y, por lo tanto, se sobreestima el descuento estimado respecto al precio implícito. </w:t>
      </w:r>
    </w:p>
    <w:p w14:paraId="09F2A8EB" w14:textId="77777777" w:rsidR="0010535A" w:rsidRPr="0010535A" w:rsidRDefault="00FE7D72" w:rsidP="0010535A">
      <w:pPr>
        <w:pStyle w:val="Cita"/>
        <w:ind w:left="1560" w:right="2006"/>
        <w:jc w:val="both"/>
        <w:rPr>
          <w:sz w:val="18"/>
          <w:szCs w:val="18"/>
          <w:lang w:val="es-MX"/>
        </w:rPr>
      </w:pPr>
      <w:r w:rsidRPr="0010535A">
        <w:rPr>
          <w:sz w:val="18"/>
          <w:szCs w:val="18"/>
          <w:lang w:val="es-MX"/>
        </w:rPr>
        <w:t xml:space="preserve">Como resultado de los elementos anteriores, el Instituto arriba a un descuento de 58% para determinar el precio mayorista del STAR en el modelo “anonimizado” y de 53% en el modelo de costos evitados “sin anonimizar” mismos que resultan excesivos y contrarios a cualquier proporcionalidad y razonabilidad </w:t>
      </w:r>
      <w:r w:rsidR="0010535A" w:rsidRPr="0010535A">
        <w:rPr>
          <w:sz w:val="18"/>
          <w:szCs w:val="18"/>
          <w:lang w:val="es-MX"/>
        </w:rPr>
        <w:t xml:space="preserve">económica, habida cuenta que en la realidad ni Mega Cable, S.A. de C.V, ni ningún operador del STAR cuentan con una estructura de costos donde los costos de los contenidos audiovisuales y de operación de la red (costos que en el modelo objeto de esta consulta pública se consideran como actividades “mayoristas”) representen menos del 50% de los costos totales de prestar un servicio o, bien de manera recíproca, que los costos relacionados con actividades “minoristas” (según se interpretan en el modelo objeto de esta consulta pública) representen más del 50%. </w:t>
      </w:r>
    </w:p>
    <w:p w14:paraId="3D46FBD7" w14:textId="77777777" w:rsidR="0010535A" w:rsidRPr="0010535A" w:rsidRDefault="0010535A" w:rsidP="0010535A">
      <w:pPr>
        <w:pStyle w:val="Cita"/>
        <w:ind w:left="1560" w:right="2006"/>
        <w:jc w:val="both"/>
        <w:rPr>
          <w:sz w:val="18"/>
          <w:szCs w:val="18"/>
          <w:lang w:val="es-MX"/>
        </w:rPr>
      </w:pPr>
      <w:r w:rsidRPr="0010535A">
        <w:rPr>
          <w:sz w:val="18"/>
          <w:szCs w:val="18"/>
          <w:lang w:val="es-MX"/>
        </w:rPr>
        <w:t>Así mismo, se insiste, como se señaló en un inicio, en este escrito, que no queda claro cómo aplicaría tal descuento estimado por el Instituto con el Modelo de Costos Evitados dado que el Contexto Regulatorio real en el que opera el GIE le impide revender la totalidad de los canales de STAR con excepción de aquellos de los cuales podría obtener derechos, es decir, los cinco canales ya mencionados.</w:t>
      </w:r>
      <w:r w:rsidR="00D462AD">
        <w:rPr>
          <w:sz w:val="18"/>
          <w:szCs w:val="18"/>
          <w:lang w:val="es-MX"/>
        </w:rPr>
        <w:t>”</w:t>
      </w:r>
      <w:r w:rsidRPr="0010535A">
        <w:rPr>
          <w:sz w:val="18"/>
          <w:szCs w:val="18"/>
          <w:lang w:val="es-MX"/>
        </w:rPr>
        <w:t xml:space="preserve"> </w:t>
      </w:r>
    </w:p>
    <w:p w14:paraId="673830FC" w14:textId="77777777" w:rsidR="00FE7D72" w:rsidRDefault="00FE7D72" w:rsidP="00FE7D72">
      <w:pPr>
        <w:pStyle w:val="Default"/>
        <w:rPr>
          <w:sz w:val="22"/>
          <w:szCs w:val="22"/>
        </w:rPr>
      </w:pPr>
    </w:p>
    <w:p w14:paraId="71BC1121" w14:textId="77777777" w:rsidR="00682E20" w:rsidRPr="009E73BF" w:rsidRDefault="00682E20" w:rsidP="00682E20">
      <w:pPr>
        <w:pStyle w:val="Textoindependiente"/>
        <w:spacing w:before="93" w:after="240" w:line="302" w:lineRule="auto"/>
        <w:ind w:left="810" w:right="815"/>
        <w:jc w:val="both"/>
        <w:rPr>
          <w:i/>
          <w:u w:val="single"/>
          <w:lang w:val="es-MX"/>
        </w:rPr>
      </w:pPr>
      <w:r w:rsidRPr="009E73BF">
        <w:rPr>
          <w:i/>
          <w:u w:val="single"/>
          <w:lang w:val="es-MX"/>
        </w:rPr>
        <w:t>Respuesta de la UPR</w:t>
      </w:r>
    </w:p>
    <w:p w14:paraId="56EA1A2B" w14:textId="77777777" w:rsidR="00A46B0C" w:rsidRDefault="00C72964" w:rsidP="00C72964">
      <w:pPr>
        <w:pStyle w:val="Textoindependiente"/>
        <w:spacing w:before="93" w:line="302" w:lineRule="auto"/>
        <w:ind w:left="810" w:right="815"/>
        <w:jc w:val="both"/>
        <w:rPr>
          <w:lang w:val="es-MX"/>
        </w:rPr>
      </w:pPr>
      <w:r>
        <w:rPr>
          <w:lang w:val="es-MX"/>
        </w:rPr>
        <w:t xml:space="preserve">Con relación al comentario respecto a que </w:t>
      </w:r>
      <w:r w:rsidR="003250BF">
        <w:rPr>
          <w:lang w:val="es-MX"/>
        </w:rPr>
        <w:t xml:space="preserve">las categorías de costos del MCE refieren a aquellas en los que el APSM no incurriría en la provisión del servicio mayorista se </w:t>
      </w:r>
      <w:r w:rsidR="00A46B0C">
        <w:rPr>
          <w:lang w:val="es-MX"/>
        </w:rPr>
        <w:t>resalta</w:t>
      </w:r>
      <w:r w:rsidR="003250BF">
        <w:rPr>
          <w:lang w:val="es-MX"/>
        </w:rPr>
        <w:t xml:space="preserve"> que</w:t>
      </w:r>
      <w:r w:rsidR="0082107F">
        <w:rPr>
          <w:lang w:val="es-MX"/>
        </w:rPr>
        <w:t>, en</w:t>
      </w:r>
      <w:r w:rsidR="003250BF">
        <w:rPr>
          <w:lang w:val="es-MX"/>
        </w:rPr>
        <w:t xml:space="preserve"> el enfoque de costos evitados</w:t>
      </w:r>
      <w:r w:rsidR="00216D7C">
        <w:rPr>
          <w:lang w:val="es-MX"/>
        </w:rPr>
        <w:t xml:space="preserve"> previsto en la Obligación QUINTA de la Resolución de Obligaciones, </w:t>
      </w:r>
      <w:r>
        <w:rPr>
          <w:lang w:val="es-MX"/>
        </w:rPr>
        <w:t xml:space="preserve">el porcentaje de costos evitados estimado no considera los costos de comercialización </w:t>
      </w:r>
      <w:r w:rsidR="00A46B0C">
        <w:rPr>
          <w:lang w:val="es-MX"/>
        </w:rPr>
        <w:t>mayorista.</w:t>
      </w:r>
    </w:p>
    <w:p w14:paraId="6DFAD523" w14:textId="77777777" w:rsidR="00C72964" w:rsidRDefault="00C72964" w:rsidP="00C72964">
      <w:pPr>
        <w:pStyle w:val="Textoindependiente"/>
        <w:spacing w:before="93" w:line="302" w:lineRule="auto"/>
        <w:ind w:left="810" w:right="815"/>
        <w:jc w:val="both"/>
        <w:rPr>
          <w:lang w:val="es-MX"/>
        </w:rPr>
      </w:pPr>
      <w:r>
        <w:rPr>
          <w:lang w:val="es-MX"/>
        </w:rPr>
        <w:lastRenderedPageBreak/>
        <w:t>Para ello resulta relevante citar la Obligación correspondiente:</w:t>
      </w:r>
    </w:p>
    <w:p w14:paraId="4ACF80AC" w14:textId="77777777" w:rsidR="00C72964" w:rsidRPr="008B5FD2" w:rsidRDefault="00C72964" w:rsidP="004F18BA">
      <w:pPr>
        <w:pStyle w:val="Cita"/>
        <w:ind w:left="1560" w:right="2006"/>
        <w:jc w:val="both"/>
        <w:rPr>
          <w:color w:val="auto"/>
          <w:sz w:val="18"/>
          <w:szCs w:val="18"/>
          <w:lang w:val="es-MX"/>
        </w:rPr>
      </w:pPr>
      <w:r w:rsidRPr="008B5FD2">
        <w:rPr>
          <w:color w:val="auto"/>
          <w:sz w:val="18"/>
          <w:szCs w:val="18"/>
          <w:lang w:val="es-MX"/>
        </w:rPr>
        <w:t>“</w:t>
      </w:r>
      <w:r w:rsidRPr="008B5FD2">
        <w:rPr>
          <w:b/>
          <w:color w:val="auto"/>
          <w:sz w:val="18"/>
          <w:szCs w:val="18"/>
          <w:lang w:val="es-MX"/>
        </w:rPr>
        <w:t>QUINTA.-</w:t>
      </w:r>
      <w:r w:rsidRPr="008B5FD2">
        <w:rPr>
          <w:color w:val="auto"/>
          <w:sz w:val="18"/>
          <w:szCs w:val="18"/>
          <w:lang w:val="es-MX"/>
        </w:rPr>
        <w:t xml:space="preserve"> </w:t>
      </w:r>
      <w:r w:rsidRPr="008B5FD2">
        <w:rPr>
          <w:b/>
          <w:color w:val="auto"/>
          <w:sz w:val="18"/>
          <w:szCs w:val="18"/>
          <w:u w:val="single"/>
          <w:lang w:val="es-MX"/>
        </w:rPr>
        <w:t>Las tarifas aplicables para el Servicio Mayorista de Reventa se determinarán para cada uno de los servicios minoristas que el Agente Económico con Poder Sustancial de Mercado provea a los usuarios finales con una metodología de costos evitados (retail minus), con base en los ingresos o tarifas minoristas eliminando aquellos costos que no sean necesarios para la comercialización de los servicios a los usuarios finales.</w:t>
      </w:r>
      <w:r w:rsidRPr="008B5FD2">
        <w:rPr>
          <w:color w:val="auto"/>
          <w:sz w:val="18"/>
          <w:szCs w:val="18"/>
          <w:lang w:val="es-MX"/>
        </w:rPr>
        <w:t xml:space="preserve"> </w:t>
      </w:r>
    </w:p>
    <w:p w14:paraId="15882220" w14:textId="77777777" w:rsidR="00C72964" w:rsidRPr="008B5FD2" w:rsidRDefault="00C72964" w:rsidP="00C72964">
      <w:pPr>
        <w:pStyle w:val="Cita"/>
        <w:ind w:left="1560" w:right="2006"/>
        <w:jc w:val="both"/>
        <w:rPr>
          <w:color w:val="auto"/>
          <w:sz w:val="18"/>
          <w:szCs w:val="18"/>
          <w:lang w:val="es-MX"/>
        </w:rPr>
      </w:pPr>
      <w:r w:rsidRPr="008B5FD2">
        <w:rPr>
          <w:color w:val="auto"/>
          <w:sz w:val="18"/>
          <w:szCs w:val="18"/>
          <w:lang w:val="es-MX"/>
        </w:rPr>
        <w:t>Las tarifas de los elementos auxiliares del Servicio Mayorista de Reventa las determinará el Instituto con una metodología que le permita al Agente Económico con Poder Sustancial de Mercado recuperar los costos por proveer el servicio.”</w:t>
      </w:r>
    </w:p>
    <w:p w14:paraId="2291DEB9" w14:textId="77777777" w:rsidR="00A46B0C" w:rsidRPr="008B5FD2" w:rsidRDefault="00C72964" w:rsidP="004F18BA">
      <w:pPr>
        <w:pStyle w:val="Cita"/>
        <w:ind w:left="1560" w:right="2006"/>
        <w:jc w:val="right"/>
        <w:rPr>
          <w:color w:val="auto"/>
          <w:sz w:val="18"/>
          <w:szCs w:val="18"/>
          <w:lang w:val="es-MX"/>
        </w:rPr>
      </w:pPr>
      <w:r w:rsidRPr="008B5FD2">
        <w:rPr>
          <w:color w:val="auto"/>
          <w:sz w:val="18"/>
          <w:szCs w:val="18"/>
          <w:lang w:val="es-MX"/>
        </w:rPr>
        <w:t>[Énfasis añadido]</w:t>
      </w:r>
    </w:p>
    <w:p w14:paraId="511A226B" w14:textId="77777777" w:rsidR="00C72964" w:rsidRPr="004F18BA" w:rsidRDefault="00C72964" w:rsidP="004F18BA">
      <w:pPr>
        <w:jc w:val="right"/>
        <w:rPr>
          <w:lang w:val="es-MX"/>
        </w:rPr>
      </w:pPr>
    </w:p>
    <w:p w14:paraId="72A73A16" w14:textId="77777777" w:rsidR="00C72964" w:rsidRPr="00E024BF" w:rsidRDefault="00C72964" w:rsidP="00C72964">
      <w:pPr>
        <w:pStyle w:val="Textoindependiente"/>
        <w:spacing w:before="93" w:line="302" w:lineRule="auto"/>
        <w:ind w:left="810" w:right="815"/>
        <w:jc w:val="both"/>
        <w:rPr>
          <w:lang w:val="es-MX"/>
        </w:rPr>
      </w:pPr>
      <w:r>
        <w:rPr>
          <w:lang w:val="es-MX"/>
        </w:rPr>
        <w:t>A partir de la cita anterior</w:t>
      </w:r>
      <w:r w:rsidR="004F18BA">
        <w:rPr>
          <w:lang w:val="es-MX"/>
        </w:rPr>
        <w:t>,</w:t>
      </w:r>
      <w:r>
        <w:rPr>
          <w:lang w:val="es-MX"/>
        </w:rPr>
        <w:t xml:space="preserve"> se destaca lo señalado respecto a que las tarifas aplicables al SMR se determinan para cada uno de los </w:t>
      </w:r>
      <w:r w:rsidRPr="0017085C">
        <w:rPr>
          <w:lang w:val="es-MX"/>
        </w:rPr>
        <w:t>servicios minoristas que el APSM provea a los usuarios finales con una metodología de costos evitados (</w:t>
      </w:r>
      <w:r w:rsidRPr="0017085C">
        <w:rPr>
          <w:i/>
          <w:lang w:val="es-MX"/>
        </w:rPr>
        <w:t>retail minus</w:t>
      </w:r>
      <w:r w:rsidRPr="0017085C">
        <w:rPr>
          <w:lang w:val="es-MX"/>
        </w:rPr>
        <w:t>) eliminando aquellos costos que no sean necesarios para la comercialización de los servicios a los usuarios finales, dentro de lo cual no se señala o dispone que en dicho porcentaje de costos evitados deberá considerarse los costos del servicio mayorista.</w:t>
      </w:r>
    </w:p>
    <w:p w14:paraId="146C4852" w14:textId="43B25AFA" w:rsidR="00552D17" w:rsidRDefault="00D56878" w:rsidP="00552D17">
      <w:pPr>
        <w:pStyle w:val="Textoindependiente"/>
        <w:spacing w:before="93" w:line="302" w:lineRule="auto"/>
        <w:ind w:left="810" w:right="815"/>
        <w:jc w:val="both"/>
      </w:pPr>
      <w:r w:rsidRPr="0017085C">
        <w:rPr>
          <w:lang w:val="es-MX"/>
        </w:rPr>
        <w:t>Bajo este contexto, las categorías de costos evitados o de comercialización minorista</w:t>
      </w:r>
      <w:r w:rsidR="004F18BA" w:rsidRPr="0017085C">
        <w:rPr>
          <w:lang w:val="es-MX"/>
        </w:rPr>
        <w:t xml:space="preserve"> </w:t>
      </w:r>
      <w:r w:rsidRPr="0017085C">
        <w:rPr>
          <w:lang w:val="es-MX"/>
        </w:rPr>
        <w:t>guardan consistencia con las autorizadas por el Instituto</w:t>
      </w:r>
      <w:r w:rsidRPr="0017085C">
        <w:rPr>
          <w:rStyle w:val="Refdenotaalpie"/>
          <w:lang w:val="es-MX"/>
        </w:rPr>
        <w:footnoteReference w:id="8"/>
      </w:r>
      <w:r w:rsidRPr="0017085C">
        <w:rPr>
          <w:lang w:val="es-MX"/>
        </w:rPr>
        <w:t xml:space="preserve"> </w:t>
      </w:r>
      <w:r w:rsidRPr="0017085C">
        <w:t>las cuales permiten definir el margen entre el nivel de tarifas mayoristas y los precios</w:t>
      </w:r>
      <w:r>
        <w:t xml:space="preserve"> minoristas para que un operador pueda ofrecer, en el mercado minorista, servicios competitivos con la oferta comercial del APSM.</w:t>
      </w:r>
      <w:r w:rsidR="004F18BA">
        <w:t xml:space="preserve"> </w:t>
      </w:r>
    </w:p>
    <w:p w14:paraId="327C9465" w14:textId="5EEA24DB" w:rsidR="00CC4C1F" w:rsidRDefault="00CC4C1F" w:rsidP="00CC4C1F">
      <w:pPr>
        <w:pStyle w:val="Textoindependiente"/>
        <w:spacing w:before="93" w:line="302" w:lineRule="auto"/>
        <w:ind w:left="810" w:right="815"/>
        <w:jc w:val="both"/>
        <w:rPr>
          <w:lang w:val="es-MX"/>
        </w:rPr>
      </w:pPr>
      <w:r>
        <w:rPr>
          <w:lang w:val="es-MX"/>
        </w:rPr>
        <w:t>Cabe señalar también algunas inconsistencias en sus manifestaciones para la consideración de costos minoristas, donde incluso el APSM se ha manifestado para considerar elementos de costos minoristas adicionales a los autorizados por el Instituto, a efecto de tener un margen que permita generar condiciones de competencia en la provisión de servicios y en los que tampoco aborda elementos de costos mayoristas</w:t>
      </w:r>
      <w:r>
        <w:rPr>
          <w:rStyle w:val="Refdenotaalpie"/>
          <w:lang w:val="es-MX"/>
        </w:rPr>
        <w:footnoteReference w:id="9"/>
      </w:r>
      <w:r>
        <w:rPr>
          <w:lang w:val="es-MX"/>
        </w:rPr>
        <w:t xml:space="preserve">. </w:t>
      </w:r>
    </w:p>
    <w:p w14:paraId="5794C1F2" w14:textId="25890725" w:rsidR="00CC4C1F" w:rsidRDefault="004D3129" w:rsidP="00CC4C1F">
      <w:pPr>
        <w:pStyle w:val="Textoindependiente"/>
        <w:spacing w:before="93" w:line="302" w:lineRule="auto"/>
        <w:ind w:left="810" w:right="815"/>
        <w:jc w:val="both"/>
        <w:rPr>
          <w:lang w:val="es-MX"/>
        </w:rPr>
      </w:pPr>
      <w:r>
        <w:rPr>
          <w:lang w:val="es-MX"/>
        </w:rPr>
        <w:t>De cualquier forma, para efectos de la evaluación de los comentarios recibidos, se considerarán aquellos elementos que permitan la provisión del servicio mayorista</w:t>
      </w:r>
      <w:r>
        <w:rPr>
          <w:lang w:val="es-MX"/>
        </w:rPr>
        <w:t xml:space="preserve"> hacia los operadores alternativos en condiciones favorables de competencia.</w:t>
      </w:r>
    </w:p>
    <w:p w14:paraId="191F1BAD" w14:textId="017C8CBA" w:rsidR="00D56878" w:rsidRDefault="00717688" w:rsidP="00D56878">
      <w:pPr>
        <w:pStyle w:val="Textoindependiente"/>
        <w:spacing w:before="93" w:line="302" w:lineRule="auto"/>
        <w:ind w:left="810" w:right="815"/>
        <w:jc w:val="both"/>
        <w:rPr>
          <w:lang w:val="es-MX"/>
        </w:rPr>
      </w:pPr>
      <w:r>
        <w:rPr>
          <w:lang w:val="es-MX"/>
        </w:rPr>
        <w:t>Por lo cual,</w:t>
      </w:r>
      <w:r w:rsidR="00D56878">
        <w:rPr>
          <w:lang w:val="es-MX"/>
        </w:rPr>
        <w:t xml:space="preserve"> a partir de la información con que cuenta el Instituto </w:t>
      </w:r>
      <w:r w:rsidR="004F18BA">
        <w:rPr>
          <w:lang w:val="es-MX"/>
        </w:rPr>
        <w:t>del APSM</w:t>
      </w:r>
      <w:r w:rsidR="00D56878">
        <w:rPr>
          <w:lang w:val="es-MX"/>
        </w:rPr>
        <w:t xml:space="preserve"> a través de su Separación Contable y de la información proporcionada </w:t>
      </w:r>
      <w:r w:rsidR="00D56878">
        <w:rPr>
          <w:lang w:val="es-MX"/>
        </w:rPr>
        <w:lastRenderedPageBreak/>
        <w:t>para la elaboración del MCE, entre otras fuentes de información, se estim</w:t>
      </w:r>
      <w:r>
        <w:rPr>
          <w:lang w:val="es-MX"/>
        </w:rPr>
        <w:t>ó</w:t>
      </w:r>
      <w:r w:rsidR="00D56878">
        <w:rPr>
          <w:lang w:val="es-MX"/>
        </w:rPr>
        <w:t xml:space="preserve"> el valor de dichos costos de comercialización a los usuarios finales los cuales se aplican proporcionalmente a los ingresos estimados de STAR para determinar el porcentaje o costo evitado que será aplicado sobre las tarifas minoristas del STAR para obtener el valor del SMR.</w:t>
      </w:r>
    </w:p>
    <w:p w14:paraId="597583ED" w14:textId="77777777" w:rsidR="00D56878" w:rsidRDefault="00D56878" w:rsidP="00C72964">
      <w:pPr>
        <w:pStyle w:val="Textoindependiente"/>
        <w:spacing w:before="93" w:line="302" w:lineRule="auto"/>
        <w:ind w:left="810" w:right="815"/>
        <w:jc w:val="both"/>
        <w:rPr>
          <w:lang w:val="es-MX"/>
        </w:rPr>
      </w:pPr>
      <w:r>
        <w:rPr>
          <w:lang w:val="es-MX"/>
        </w:rPr>
        <w:t>Dichas categorías, como fue señalado en el Documento Metodológico corresponden con los siguientes conceptos:</w:t>
      </w:r>
    </w:p>
    <w:p w14:paraId="0C531143" w14:textId="77777777" w:rsidR="00D56878" w:rsidRPr="005576B6" w:rsidRDefault="00D56878" w:rsidP="004F18BA">
      <w:pPr>
        <w:pStyle w:val="Textoindependiente"/>
        <w:numPr>
          <w:ilvl w:val="0"/>
          <w:numId w:val="16"/>
        </w:numPr>
        <w:spacing w:before="93" w:line="302" w:lineRule="auto"/>
        <w:ind w:right="815"/>
        <w:jc w:val="both"/>
        <w:rPr>
          <w:lang w:val="es-MX"/>
        </w:rPr>
      </w:pPr>
      <w:r w:rsidRPr="005576B6">
        <w:rPr>
          <w:lang w:val="es-MX"/>
        </w:rPr>
        <w:t>Facturación: se considera el sistema de facturación a usuarios finales minoristas.</w:t>
      </w:r>
    </w:p>
    <w:p w14:paraId="69C9FBF9" w14:textId="77777777" w:rsidR="00D56878" w:rsidRPr="005576B6" w:rsidRDefault="00D56878" w:rsidP="004F18BA">
      <w:pPr>
        <w:pStyle w:val="Textoindependiente"/>
        <w:numPr>
          <w:ilvl w:val="0"/>
          <w:numId w:val="16"/>
        </w:numPr>
        <w:spacing w:before="93" w:line="302" w:lineRule="auto"/>
        <w:ind w:right="815"/>
        <w:jc w:val="both"/>
        <w:rPr>
          <w:lang w:val="es-MX"/>
        </w:rPr>
      </w:pPr>
      <w:r w:rsidRPr="005576B6">
        <w:rPr>
          <w:lang w:val="es-MX"/>
        </w:rPr>
        <w:t>Deuda incobrable: se considera el valor de incobrabilidad para los servicios minoristas.</w:t>
      </w:r>
    </w:p>
    <w:p w14:paraId="04D467FC" w14:textId="77777777" w:rsidR="00D56878" w:rsidRPr="005576B6" w:rsidRDefault="00D56878" w:rsidP="004F18BA">
      <w:pPr>
        <w:pStyle w:val="Textoindependiente"/>
        <w:numPr>
          <w:ilvl w:val="0"/>
          <w:numId w:val="16"/>
        </w:numPr>
        <w:spacing w:before="93" w:line="302" w:lineRule="auto"/>
        <w:ind w:right="815"/>
        <w:jc w:val="both"/>
        <w:rPr>
          <w:lang w:val="es-MX"/>
        </w:rPr>
      </w:pPr>
      <w:r w:rsidRPr="005576B6">
        <w:rPr>
          <w:lang w:val="es-MX"/>
        </w:rPr>
        <w:t>Mercadotecnia y publicidad: En este caso se asume que los costos de ventas y mercadotecnia son atribuibles únicamente a los servicios STAR.</w:t>
      </w:r>
    </w:p>
    <w:p w14:paraId="63A5F0EE" w14:textId="77777777" w:rsidR="00D56878" w:rsidRPr="005576B6" w:rsidRDefault="00D56878" w:rsidP="004F18BA">
      <w:pPr>
        <w:pStyle w:val="Textoindependiente"/>
        <w:numPr>
          <w:ilvl w:val="0"/>
          <w:numId w:val="16"/>
        </w:numPr>
        <w:spacing w:before="93" w:line="302" w:lineRule="auto"/>
        <w:ind w:right="815"/>
        <w:jc w:val="both"/>
        <w:rPr>
          <w:lang w:val="es-MX"/>
        </w:rPr>
      </w:pPr>
      <w:r w:rsidRPr="005576B6">
        <w:rPr>
          <w:lang w:val="es-MX"/>
        </w:rPr>
        <w:t>Servicio de atención al cliente: se considera la asistencia técnica de primera línea.</w:t>
      </w:r>
    </w:p>
    <w:p w14:paraId="7018D81D" w14:textId="77777777" w:rsidR="00D56878" w:rsidRPr="005576B6" w:rsidRDefault="00D56878" w:rsidP="004F18BA">
      <w:pPr>
        <w:pStyle w:val="Textoindependiente"/>
        <w:numPr>
          <w:ilvl w:val="0"/>
          <w:numId w:val="16"/>
        </w:numPr>
        <w:spacing w:before="93" w:line="302" w:lineRule="auto"/>
        <w:ind w:right="815"/>
        <w:jc w:val="both"/>
        <w:rPr>
          <w:lang w:val="es-MX"/>
        </w:rPr>
      </w:pPr>
      <w:r w:rsidRPr="005576B6">
        <w:rPr>
          <w:lang w:val="es-MX"/>
        </w:rPr>
        <w:t>Gastos generales y administrativos: considera los gastos de personal (salarios y participación en las utilidades) y los asociados al uso de espacio para oficina.</w:t>
      </w:r>
    </w:p>
    <w:p w14:paraId="0427C1D5" w14:textId="77777777" w:rsidR="00D56878" w:rsidRDefault="00D56878" w:rsidP="004F18BA">
      <w:pPr>
        <w:pStyle w:val="Textoindependiente"/>
        <w:numPr>
          <w:ilvl w:val="0"/>
          <w:numId w:val="16"/>
        </w:numPr>
        <w:spacing w:before="93" w:line="302" w:lineRule="auto"/>
        <w:ind w:right="815"/>
        <w:jc w:val="both"/>
        <w:rPr>
          <w:lang w:val="es-MX"/>
        </w:rPr>
      </w:pPr>
      <w:r w:rsidRPr="005576B6">
        <w:rPr>
          <w:lang w:val="es-MX"/>
        </w:rPr>
        <w:t>Margen de beneficios sobre costos evitados. Este</w:t>
      </w:r>
      <w:r w:rsidRPr="00D56878">
        <w:rPr>
          <w:lang w:val="es-MX"/>
        </w:rPr>
        <w:t xml:space="preserve"> margen representa la proporción de los beneficios que dicho operador puede razonablemente esperar al ofrecer sus servicios minoristas aplicados al conjunto de costos evitados.</w:t>
      </w:r>
    </w:p>
    <w:p w14:paraId="0443AE12" w14:textId="47C137B4" w:rsidR="00D56878" w:rsidRDefault="00AB22BB" w:rsidP="00C72964">
      <w:pPr>
        <w:pStyle w:val="Textoindependiente"/>
        <w:spacing w:before="93" w:line="302" w:lineRule="auto"/>
        <w:ind w:left="810" w:right="815"/>
        <w:jc w:val="both"/>
        <w:rPr>
          <w:lang w:val="es-MX"/>
        </w:rPr>
      </w:pPr>
      <w:r>
        <w:rPr>
          <w:lang w:val="es-MX"/>
        </w:rPr>
        <w:t>Ahora bien, con relación a los conceptos que alude el comentario sobre que los conceptos de  “</w:t>
      </w:r>
      <w:r w:rsidRPr="004F18BA">
        <w:rPr>
          <w:i/>
          <w:lang w:val="es-MX"/>
        </w:rPr>
        <w:t>Mercadotecnia y publicidad</w:t>
      </w:r>
      <w:r>
        <w:rPr>
          <w:lang w:val="es-MX"/>
        </w:rPr>
        <w:t>”, “</w:t>
      </w:r>
      <w:r w:rsidRPr="004F18BA">
        <w:rPr>
          <w:i/>
          <w:lang w:val="es-MX"/>
        </w:rPr>
        <w:t>Tasa de desconexión mensual promedio para servicios de cable 2021-2023</w:t>
      </w:r>
      <w:r>
        <w:rPr>
          <w:lang w:val="es-MX"/>
        </w:rPr>
        <w:t>”, “</w:t>
      </w:r>
      <w:r w:rsidRPr="004F18BA">
        <w:rPr>
          <w:i/>
          <w:lang w:val="es-MX"/>
        </w:rPr>
        <w:t>Facturación” y “Deuda incobrable</w:t>
      </w:r>
      <w:r>
        <w:rPr>
          <w:lang w:val="es-MX"/>
        </w:rPr>
        <w:t xml:space="preserve">” utilizan información nacional, se destaca que se utilizó la información de Separación Contable ya que ésta cuenta con la evaluación </w:t>
      </w:r>
      <w:r w:rsidR="00F42241">
        <w:rPr>
          <w:lang w:val="es-MX"/>
        </w:rPr>
        <w:t xml:space="preserve">de las cuentas financieras de la propia empresa, así como la evaluación y autorización del propio Instituto, reflejando de manera razonable </w:t>
      </w:r>
      <w:r w:rsidR="00231E23">
        <w:rPr>
          <w:lang w:val="es-MX"/>
        </w:rPr>
        <w:t xml:space="preserve">y consistente </w:t>
      </w:r>
      <w:r w:rsidR="00F42241">
        <w:rPr>
          <w:lang w:val="es-MX"/>
        </w:rPr>
        <w:t>la estructura de costos de</w:t>
      </w:r>
      <w:r>
        <w:rPr>
          <w:lang w:val="es-MX"/>
        </w:rPr>
        <w:t xml:space="preserve"> servicios minoristas </w:t>
      </w:r>
      <w:r w:rsidR="00F42241">
        <w:rPr>
          <w:lang w:val="es-MX"/>
        </w:rPr>
        <w:t>que enfrenta l</w:t>
      </w:r>
      <w:r>
        <w:rPr>
          <w:lang w:val="es-MX"/>
        </w:rPr>
        <w:t>a empresa</w:t>
      </w:r>
      <w:r w:rsidR="00F42241">
        <w:rPr>
          <w:lang w:val="es-MX"/>
        </w:rPr>
        <w:t xml:space="preserve"> para la provisión de servicios</w:t>
      </w:r>
      <w:r>
        <w:rPr>
          <w:lang w:val="es-MX"/>
        </w:rPr>
        <w:t>.</w:t>
      </w:r>
    </w:p>
    <w:p w14:paraId="3379AA07" w14:textId="51CAC110" w:rsidR="00F42241" w:rsidRDefault="00F42241" w:rsidP="00A25E77">
      <w:pPr>
        <w:pStyle w:val="Textoindependiente"/>
        <w:spacing w:before="93" w:line="302" w:lineRule="auto"/>
        <w:ind w:left="810" w:right="815"/>
        <w:jc w:val="both"/>
        <w:rPr>
          <w:lang w:val="es-MX"/>
        </w:rPr>
      </w:pPr>
      <w:r>
        <w:rPr>
          <w:lang w:val="es-MX"/>
        </w:rPr>
        <w:t>Adicionalmente, se destaca que la información relativa a la “</w:t>
      </w:r>
      <w:r w:rsidRPr="007014C7">
        <w:rPr>
          <w:i/>
          <w:lang w:val="es-MX"/>
        </w:rPr>
        <w:t>Tasa de desconexión mensual promedio para servicios de cable 2021-2023</w:t>
      </w:r>
      <w:r>
        <w:rPr>
          <w:lang w:val="es-MX"/>
        </w:rPr>
        <w:t xml:space="preserve">” </w:t>
      </w:r>
      <w:r w:rsidRPr="007014C7">
        <w:rPr>
          <w:i/>
          <w:lang w:val="es-MX"/>
        </w:rPr>
        <w:t>y “Deuda incobrable</w:t>
      </w:r>
      <w:r>
        <w:rPr>
          <w:lang w:val="es-MX"/>
        </w:rPr>
        <w:t xml:space="preserve">” no fueron proporcionados por Megacable al requerimiento de información del MCE, relativa a los </w:t>
      </w:r>
      <w:r w:rsidR="004F18BA">
        <w:rPr>
          <w:lang w:val="es-MX"/>
        </w:rPr>
        <w:t>9</w:t>
      </w:r>
      <w:r>
        <w:rPr>
          <w:lang w:val="es-MX"/>
        </w:rPr>
        <w:t xml:space="preserve"> </w:t>
      </w:r>
      <w:r w:rsidR="002743F8">
        <w:rPr>
          <w:lang w:val="es-MX"/>
        </w:rPr>
        <w:t>mercados con</w:t>
      </w:r>
      <w:r w:rsidR="004F18BA">
        <w:rPr>
          <w:lang w:val="es-MX"/>
        </w:rPr>
        <w:t xml:space="preserve"> PSM</w:t>
      </w:r>
      <w:r>
        <w:rPr>
          <w:lang w:val="es-MX"/>
        </w:rPr>
        <w:t xml:space="preserve">. Por lo que se consideró pertinente </w:t>
      </w:r>
      <w:r w:rsidR="00CC098C">
        <w:rPr>
          <w:lang w:val="es-MX"/>
        </w:rPr>
        <w:t xml:space="preserve">también </w:t>
      </w:r>
      <w:r>
        <w:rPr>
          <w:lang w:val="es-MX"/>
        </w:rPr>
        <w:t>considerar la información financiera publicada por el propio APSM.</w:t>
      </w:r>
    </w:p>
    <w:p w14:paraId="5D7C9EF1" w14:textId="2020414E" w:rsidR="00F42241" w:rsidRDefault="00F42241" w:rsidP="00F42241">
      <w:pPr>
        <w:pStyle w:val="Textoindependiente"/>
        <w:spacing w:before="93" w:line="302" w:lineRule="auto"/>
        <w:ind w:left="810" w:right="815"/>
        <w:jc w:val="both"/>
        <w:rPr>
          <w:lang w:val="es-MX"/>
        </w:rPr>
      </w:pPr>
      <w:r>
        <w:rPr>
          <w:lang w:val="es-MX"/>
        </w:rPr>
        <w:t>Por su parte, con relación a los conceptos de “</w:t>
      </w:r>
      <w:r w:rsidRPr="004F18BA">
        <w:rPr>
          <w:i/>
          <w:lang w:val="es-MX"/>
        </w:rPr>
        <w:t>Costos de atención al cliente minorista</w:t>
      </w:r>
      <w:r>
        <w:rPr>
          <w:lang w:val="es-MX"/>
        </w:rPr>
        <w:t>” y “</w:t>
      </w:r>
      <w:r w:rsidRPr="004F18BA">
        <w:rPr>
          <w:i/>
          <w:lang w:val="es-MX"/>
        </w:rPr>
        <w:t>Gastos generales y administrativos</w:t>
      </w:r>
      <w:r>
        <w:rPr>
          <w:lang w:val="es-MX"/>
        </w:rPr>
        <w:t xml:space="preserve">” y dadas las características de dichos conceptos, se consideró </w:t>
      </w:r>
      <w:r w:rsidR="00CC098C">
        <w:rPr>
          <w:lang w:val="es-MX"/>
        </w:rPr>
        <w:t>estrictamente</w:t>
      </w:r>
      <w:r>
        <w:rPr>
          <w:lang w:val="es-MX"/>
        </w:rPr>
        <w:t xml:space="preserve"> la estructura de costos en los </w:t>
      </w:r>
      <w:r w:rsidR="004F18BA">
        <w:rPr>
          <w:lang w:val="es-MX"/>
        </w:rPr>
        <w:t xml:space="preserve">9 </w:t>
      </w:r>
      <w:r w:rsidR="00AA1D0E">
        <w:rPr>
          <w:lang w:val="es-MX"/>
        </w:rPr>
        <w:t xml:space="preserve">mercados con </w:t>
      </w:r>
      <w:r w:rsidR="004F18BA">
        <w:rPr>
          <w:lang w:val="es-MX"/>
        </w:rPr>
        <w:t>PSM</w:t>
      </w:r>
      <w:r w:rsidR="00CC098C">
        <w:rPr>
          <w:lang w:val="es-MX"/>
        </w:rPr>
        <w:t xml:space="preserve"> a partir de la información proporcionada por </w:t>
      </w:r>
      <w:r w:rsidR="004F18BA">
        <w:rPr>
          <w:lang w:val="es-MX"/>
        </w:rPr>
        <w:t>el APSM</w:t>
      </w:r>
      <w:r w:rsidR="00CC098C">
        <w:rPr>
          <w:lang w:val="es-MX"/>
        </w:rPr>
        <w:t xml:space="preserve"> y en la que</w:t>
      </w:r>
      <w:r>
        <w:rPr>
          <w:lang w:val="es-MX"/>
        </w:rPr>
        <w:t xml:space="preserve"> </w:t>
      </w:r>
      <w:r w:rsidR="00CC098C">
        <w:rPr>
          <w:lang w:val="es-MX"/>
        </w:rPr>
        <w:t>refleja específicamente los</w:t>
      </w:r>
      <w:r>
        <w:rPr>
          <w:lang w:val="es-MX"/>
        </w:rPr>
        <w:t xml:space="preserve"> </w:t>
      </w:r>
      <w:r w:rsidR="00CC098C">
        <w:rPr>
          <w:lang w:val="es-MX"/>
        </w:rPr>
        <w:t>costos asociados para la</w:t>
      </w:r>
      <w:r>
        <w:rPr>
          <w:lang w:val="es-MX"/>
        </w:rPr>
        <w:t xml:space="preserve"> atención minorista de clientes. </w:t>
      </w:r>
    </w:p>
    <w:p w14:paraId="10EA5992" w14:textId="703E8467" w:rsidR="00F42241" w:rsidRDefault="00CC098C" w:rsidP="00F42241">
      <w:pPr>
        <w:pStyle w:val="Textoindependiente"/>
        <w:spacing w:before="93" w:line="302" w:lineRule="auto"/>
        <w:ind w:left="810" w:right="815"/>
        <w:jc w:val="both"/>
        <w:rPr>
          <w:lang w:val="es-MX"/>
        </w:rPr>
      </w:pPr>
      <w:r>
        <w:rPr>
          <w:lang w:val="es-MX"/>
        </w:rPr>
        <w:t>Respecto a los comentarios sobre el</w:t>
      </w:r>
      <w:r w:rsidR="00F42241">
        <w:rPr>
          <w:lang w:val="es-MX"/>
        </w:rPr>
        <w:t xml:space="preserve"> “margen de beneficios sobre costos evitados”</w:t>
      </w:r>
      <w:r>
        <w:rPr>
          <w:lang w:val="es-MX"/>
        </w:rPr>
        <w:t xml:space="preserve">, se evaluará la pertinencia </w:t>
      </w:r>
      <w:r w:rsidR="00092E58">
        <w:rPr>
          <w:lang w:val="es-MX"/>
        </w:rPr>
        <w:t>de este</w:t>
      </w:r>
      <w:r>
        <w:rPr>
          <w:lang w:val="es-MX"/>
        </w:rPr>
        <w:t xml:space="preserve"> a efecto de considerar la referencia adecuada para la provisión de servicios mayoristas del STAR.</w:t>
      </w:r>
    </w:p>
    <w:p w14:paraId="097AFD99" w14:textId="06C082B9" w:rsidR="000A3478" w:rsidRDefault="00CC098C" w:rsidP="00A25E77">
      <w:pPr>
        <w:pStyle w:val="Textoindependiente"/>
        <w:spacing w:before="93" w:line="302" w:lineRule="auto"/>
        <w:ind w:left="810" w:right="815"/>
        <w:jc w:val="both"/>
        <w:rPr>
          <w:lang w:val="es-MX"/>
        </w:rPr>
      </w:pPr>
      <w:r>
        <w:rPr>
          <w:lang w:val="es-MX"/>
        </w:rPr>
        <w:t xml:space="preserve">Finalmente, con relación al comentario sobre la aplicación del descuento estimado por el </w:t>
      </w:r>
      <w:r>
        <w:rPr>
          <w:lang w:val="es-MX"/>
        </w:rPr>
        <w:lastRenderedPageBreak/>
        <w:t>Instituto, la UPR señala que la aplicación de dicho descuento será aplicable a la referencia de precios minoristas y la estructura de cobro que resuelva el Instituto en la oferta de referencia correspondiente.</w:t>
      </w:r>
      <w:r w:rsidR="00E049C8">
        <w:rPr>
          <w:lang w:val="es-MX"/>
        </w:rPr>
        <w:t xml:space="preserve"> En consistencia con la Obligación </w:t>
      </w:r>
      <w:r w:rsidR="005576B6">
        <w:rPr>
          <w:lang w:val="es-MX"/>
        </w:rPr>
        <w:t>TERCERA TRANSITORIA</w:t>
      </w:r>
      <w:r w:rsidR="00E049C8">
        <w:rPr>
          <w:lang w:val="es-MX"/>
        </w:rPr>
        <w:t xml:space="preserve"> de la Resolución de Obligaciones.</w:t>
      </w:r>
    </w:p>
    <w:p w14:paraId="2263AFD3" w14:textId="77777777" w:rsidR="007D2A94" w:rsidRPr="004F18BA" w:rsidRDefault="007D2A94" w:rsidP="00A25E77">
      <w:pPr>
        <w:pStyle w:val="Textoindependiente"/>
        <w:spacing w:before="93" w:line="302" w:lineRule="auto"/>
        <w:ind w:left="810" w:right="815"/>
        <w:jc w:val="both"/>
        <w:rPr>
          <w:lang w:val="es-MX"/>
        </w:rPr>
      </w:pPr>
    </w:p>
    <w:p w14:paraId="4E5F9BF7" w14:textId="77777777" w:rsidR="00F167D7" w:rsidRDefault="00017D36" w:rsidP="00F167D7">
      <w:pPr>
        <w:pStyle w:val="Ttulo1"/>
        <w:numPr>
          <w:ilvl w:val="0"/>
          <w:numId w:val="1"/>
        </w:numPr>
        <w:tabs>
          <w:tab w:val="left" w:pos="1530"/>
          <w:tab w:val="left" w:pos="1531"/>
        </w:tabs>
        <w:spacing w:before="201"/>
        <w:ind w:hanging="545"/>
        <w:jc w:val="left"/>
        <w:rPr>
          <w:lang w:val="es-MX"/>
        </w:rPr>
      </w:pPr>
      <w:r>
        <w:rPr>
          <w:lang w:val="es-MX"/>
        </w:rPr>
        <w:t>Modelo de Costos Evitados- Hoja “Modelo”</w:t>
      </w:r>
    </w:p>
    <w:p w14:paraId="44EF3436" w14:textId="77777777" w:rsidR="00F167D7" w:rsidRDefault="00F167D7" w:rsidP="00682E20">
      <w:pPr>
        <w:pStyle w:val="Textoindependiente"/>
        <w:spacing w:before="93" w:line="302" w:lineRule="auto"/>
        <w:ind w:left="810" w:right="815"/>
        <w:jc w:val="both"/>
        <w:rPr>
          <w:lang w:val="es-MX"/>
        </w:rPr>
      </w:pPr>
    </w:p>
    <w:p w14:paraId="27B2E185" w14:textId="77777777" w:rsidR="00682E20" w:rsidRPr="00CF6E4B" w:rsidRDefault="00682E20" w:rsidP="00682E20">
      <w:pPr>
        <w:ind w:left="810"/>
        <w:jc w:val="both"/>
        <w:rPr>
          <w:i/>
          <w:lang w:val="es-MX"/>
        </w:rPr>
      </w:pPr>
      <w:r w:rsidRPr="00CF6E4B">
        <w:rPr>
          <w:i/>
          <w:u w:val="single"/>
          <w:lang w:val="es-MX"/>
        </w:rPr>
        <w:t>Resumen</w:t>
      </w:r>
      <w:r w:rsidRPr="00CF6E4B">
        <w:rPr>
          <w:i/>
          <w:spacing w:val="-4"/>
          <w:u w:val="single"/>
          <w:lang w:val="es-MX"/>
        </w:rPr>
        <w:t xml:space="preserve"> </w:t>
      </w:r>
      <w:r w:rsidRPr="00CF6E4B">
        <w:rPr>
          <w:i/>
          <w:u w:val="single"/>
          <w:lang w:val="es-MX"/>
        </w:rPr>
        <w:t>de</w:t>
      </w:r>
      <w:r w:rsidRPr="00CF6E4B">
        <w:rPr>
          <w:i/>
          <w:spacing w:val="-4"/>
          <w:u w:val="single"/>
          <w:lang w:val="es-MX"/>
        </w:rPr>
        <w:t xml:space="preserve"> </w:t>
      </w:r>
      <w:r w:rsidRPr="00CF6E4B">
        <w:rPr>
          <w:i/>
          <w:u w:val="single"/>
          <w:lang w:val="es-MX"/>
        </w:rPr>
        <w:t>comentarios</w:t>
      </w:r>
      <w:r w:rsidRPr="00CF6E4B">
        <w:rPr>
          <w:i/>
          <w:spacing w:val="-6"/>
          <w:u w:val="single"/>
          <w:lang w:val="es-MX"/>
        </w:rPr>
        <w:t xml:space="preserve"> </w:t>
      </w:r>
      <w:r w:rsidRPr="00CF6E4B">
        <w:rPr>
          <w:i/>
          <w:u w:val="single"/>
          <w:lang w:val="es-MX"/>
        </w:rPr>
        <w:t>de</w:t>
      </w:r>
      <w:r w:rsidRPr="00CF6E4B">
        <w:rPr>
          <w:i/>
          <w:spacing w:val="-4"/>
          <w:u w:val="single"/>
          <w:lang w:val="es-MX"/>
        </w:rPr>
        <w:t xml:space="preserve"> </w:t>
      </w:r>
      <w:r w:rsidRPr="00CF6E4B">
        <w:rPr>
          <w:i/>
          <w:u w:val="single"/>
          <w:lang w:val="es-MX"/>
        </w:rPr>
        <w:t>la</w:t>
      </w:r>
      <w:r w:rsidRPr="00CF6E4B">
        <w:rPr>
          <w:i/>
          <w:spacing w:val="-4"/>
          <w:u w:val="single"/>
          <w:lang w:val="es-MX"/>
        </w:rPr>
        <w:t xml:space="preserve"> </w:t>
      </w:r>
      <w:r w:rsidRPr="00CF6E4B">
        <w:rPr>
          <w:i/>
          <w:u w:val="single"/>
          <w:lang w:val="es-MX"/>
        </w:rPr>
        <w:t>Consulta</w:t>
      </w:r>
      <w:r w:rsidRPr="00CF6E4B">
        <w:rPr>
          <w:i/>
          <w:spacing w:val="-3"/>
          <w:u w:val="single"/>
          <w:lang w:val="es-MX"/>
        </w:rPr>
        <w:t xml:space="preserve"> </w:t>
      </w:r>
      <w:r w:rsidRPr="00CF6E4B">
        <w:rPr>
          <w:i/>
          <w:u w:val="single"/>
          <w:lang w:val="es-MX"/>
        </w:rPr>
        <w:t>Pública</w:t>
      </w:r>
    </w:p>
    <w:p w14:paraId="1482865B" w14:textId="77777777" w:rsidR="00017D36" w:rsidRDefault="00017D36" w:rsidP="00682E20">
      <w:pPr>
        <w:pStyle w:val="Textoindependiente"/>
        <w:spacing w:before="93" w:line="302" w:lineRule="auto"/>
        <w:ind w:left="810" w:right="815"/>
        <w:jc w:val="both"/>
        <w:rPr>
          <w:lang w:val="es-MX"/>
        </w:rPr>
      </w:pPr>
      <w:r>
        <w:rPr>
          <w:lang w:val="es-MX"/>
        </w:rPr>
        <w:t>Megacable señala que</w:t>
      </w:r>
      <w:r w:rsidR="00B326FD">
        <w:rPr>
          <w:lang w:val="es-MX"/>
        </w:rPr>
        <w:t>:</w:t>
      </w:r>
    </w:p>
    <w:p w14:paraId="6E691F22" w14:textId="77777777" w:rsidR="0092666B" w:rsidRPr="0092666B" w:rsidRDefault="00D462AD" w:rsidP="0092666B">
      <w:pPr>
        <w:pStyle w:val="Cita"/>
        <w:ind w:left="1560" w:right="2006"/>
        <w:jc w:val="both"/>
        <w:rPr>
          <w:sz w:val="18"/>
          <w:szCs w:val="18"/>
          <w:lang w:val="es-MX"/>
        </w:rPr>
      </w:pPr>
      <w:r>
        <w:rPr>
          <w:sz w:val="18"/>
          <w:szCs w:val="18"/>
          <w:lang w:val="es-MX"/>
        </w:rPr>
        <w:t>“</w:t>
      </w:r>
      <w:r w:rsidR="0092666B" w:rsidRPr="0092666B">
        <w:rPr>
          <w:sz w:val="18"/>
          <w:szCs w:val="18"/>
          <w:lang w:val="es-MX"/>
        </w:rPr>
        <w:t xml:space="preserve">En la hoja del archivo de Excel, denominada “Modelo” se señala que para determinar la participación de mercado de Mega Cable en los nueve mercados se utilizó información del BIT del IFT para 2022 y 2023. Sin embargo, esta información no se desglosa por mercado, y se debe observar que el uso de dicha información distorsiona los resultados por las siguientes razones: </w:t>
      </w:r>
    </w:p>
    <w:p w14:paraId="51DC3F88" w14:textId="77777777" w:rsidR="0092666B" w:rsidRPr="0092666B" w:rsidRDefault="0092666B" w:rsidP="0092666B">
      <w:pPr>
        <w:pStyle w:val="Cita"/>
        <w:ind w:left="1560" w:right="2006"/>
        <w:jc w:val="both"/>
        <w:rPr>
          <w:sz w:val="18"/>
          <w:szCs w:val="18"/>
          <w:lang w:val="es-MX"/>
        </w:rPr>
      </w:pPr>
      <w:r w:rsidRPr="0092666B">
        <w:rPr>
          <w:sz w:val="18"/>
          <w:szCs w:val="18"/>
          <w:lang w:val="es-MX"/>
        </w:rPr>
        <w:t xml:space="preserve">• El BIT del IFT no contiene información de Mega Cable para San Pedro Cholula. </w:t>
      </w:r>
    </w:p>
    <w:p w14:paraId="097E18B4" w14:textId="77777777" w:rsidR="0092666B" w:rsidRPr="0092666B" w:rsidRDefault="0092666B" w:rsidP="0092666B">
      <w:pPr>
        <w:pStyle w:val="Cita"/>
        <w:ind w:left="1560" w:right="2006"/>
        <w:jc w:val="both"/>
        <w:rPr>
          <w:sz w:val="18"/>
          <w:szCs w:val="18"/>
          <w:lang w:val="es-MX"/>
        </w:rPr>
      </w:pPr>
      <w:r w:rsidRPr="0092666B">
        <w:rPr>
          <w:sz w:val="18"/>
          <w:szCs w:val="18"/>
          <w:lang w:val="es-MX"/>
        </w:rPr>
        <w:t xml:space="preserve">• Los datos de Mega Cable para el último trimestre de 2023 están indebidamente duplicados, esto es, registran el doble de usuarios que realmente tiene. </w:t>
      </w:r>
    </w:p>
    <w:p w14:paraId="45867221" w14:textId="77777777" w:rsidR="0092666B" w:rsidRPr="0092666B" w:rsidRDefault="0092666B" w:rsidP="0092666B">
      <w:pPr>
        <w:pStyle w:val="Cita"/>
        <w:ind w:left="1560" w:right="2006"/>
        <w:jc w:val="both"/>
        <w:rPr>
          <w:sz w:val="18"/>
          <w:szCs w:val="18"/>
          <w:lang w:val="es-MX"/>
        </w:rPr>
      </w:pPr>
      <w:r w:rsidRPr="0092666B">
        <w:rPr>
          <w:sz w:val="18"/>
          <w:szCs w:val="18"/>
          <w:lang w:val="es-MX"/>
        </w:rPr>
        <w:t xml:space="preserve">• Los datos de otros operadores como Total Play en algunos municipios tampoco están incluidos en 2022 y algunos meses de 2023. </w:t>
      </w:r>
    </w:p>
    <w:p w14:paraId="51D5336E" w14:textId="77777777" w:rsidR="0092666B" w:rsidRPr="0092666B" w:rsidRDefault="0092666B" w:rsidP="0092666B">
      <w:pPr>
        <w:pStyle w:val="Cita"/>
        <w:ind w:left="1560" w:right="2006"/>
        <w:jc w:val="both"/>
        <w:rPr>
          <w:sz w:val="18"/>
          <w:szCs w:val="18"/>
          <w:lang w:val="es-MX"/>
        </w:rPr>
      </w:pPr>
      <w:r w:rsidRPr="0092666B">
        <w:rPr>
          <w:sz w:val="18"/>
          <w:szCs w:val="18"/>
          <w:lang w:val="es-MX"/>
        </w:rPr>
        <w:t xml:space="preserve">• No se incluyen los datos de concesionarios de menor tamaño que no tienen la obligación de desagregar el número de usuarios por municipio. </w:t>
      </w:r>
    </w:p>
    <w:p w14:paraId="7B22DBD3" w14:textId="77777777" w:rsidR="00682E20" w:rsidRDefault="0092666B" w:rsidP="0092666B">
      <w:pPr>
        <w:pStyle w:val="Cita"/>
        <w:ind w:left="1560" w:right="2006"/>
        <w:jc w:val="both"/>
        <w:rPr>
          <w:sz w:val="18"/>
          <w:szCs w:val="18"/>
          <w:lang w:val="es-MX"/>
        </w:rPr>
      </w:pPr>
      <w:r w:rsidRPr="0092666B">
        <w:rPr>
          <w:sz w:val="18"/>
          <w:szCs w:val="18"/>
          <w:lang w:val="es-MX"/>
        </w:rPr>
        <w:t>Por lo tanto, aunque se pueda considerar la mejor información disponible, no resulta adecuado utilizarla pues distorsiona la participación real de Mega Cable, en dichos municipios.</w:t>
      </w:r>
      <w:r w:rsidR="00D462AD">
        <w:rPr>
          <w:sz w:val="18"/>
          <w:szCs w:val="18"/>
          <w:lang w:val="es-MX"/>
        </w:rPr>
        <w:t>”</w:t>
      </w:r>
    </w:p>
    <w:p w14:paraId="035817D4" w14:textId="77777777" w:rsidR="0092666B" w:rsidRPr="0092666B" w:rsidRDefault="0092666B" w:rsidP="0092666B">
      <w:pPr>
        <w:rPr>
          <w:lang w:val="es-MX"/>
        </w:rPr>
      </w:pPr>
    </w:p>
    <w:p w14:paraId="6596E253" w14:textId="77777777" w:rsidR="00682E20" w:rsidRPr="00CF6E4B" w:rsidRDefault="00682E20" w:rsidP="00682E20">
      <w:pPr>
        <w:ind w:left="810"/>
        <w:jc w:val="both"/>
        <w:rPr>
          <w:i/>
          <w:lang w:val="es-MX"/>
        </w:rPr>
      </w:pPr>
      <w:r w:rsidRPr="00CF6E4B">
        <w:rPr>
          <w:i/>
          <w:u w:val="single"/>
          <w:lang w:val="es-MX"/>
        </w:rPr>
        <w:t>Respuesta de la UPR</w:t>
      </w:r>
    </w:p>
    <w:p w14:paraId="687580D6" w14:textId="4468B835" w:rsidR="009A36A7" w:rsidRDefault="009A36A7" w:rsidP="009A36A7">
      <w:pPr>
        <w:pStyle w:val="Textoindependiente"/>
        <w:spacing w:before="93" w:after="240" w:line="302" w:lineRule="auto"/>
        <w:ind w:left="810" w:right="815"/>
        <w:jc w:val="both"/>
        <w:rPr>
          <w:lang w:val="es-MX"/>
        </w:rPr>
      </w:pPr>
      <w:r>
        <w:rPr>
          <w:lang w:val="es-MX"/>
        </w:rPr>
        <w:t xml:space="preserve">Con relación al comentario sobre </w:t>
      </w:r>
      <w:r w:rsidRPr="009A36A7">
        <w:rPr>
          <w:lang w:val="es-MX"/>
        </w:rPr>
        <w:t>que la información publicada en el Banco de Información de Telecomunicaciones (BIT)</w:t>
      </w:r>
      <w:r>
        <w:rPr>
          <w:lang w:val="es-MX"/>
        </w:rPr>
        <w:t xml:space="preserve">, </w:t>
      </w:r>
      <w:r w:rsidR="003A3EE5">
        <w:rPr>
          <w:lang w:val="es-MX"/>
        </w:rPr>
        <w:t xml:space="preserve">la UPR </w:t>
      </w:r>
      <w:r>
        <w:rPr>
          <w:lang w:val="es-MX"/>
        </w:rPr>
        <w:t xml:space="preserve">resalta que dicha información corresponde con la entregada por el propio </w:t>
      </w:r>
      <w:r w:rsidR="003B4CF9">
        <w:rPr>
          <w:lang w:val="es-MX"/>
        </w:rPr>
        <w:t>APSM</w:t>
      </w:r>
      <w:r w:rsidRPr="009A36A7">
        <w:rPr>
          <w:lang w:val="es-MX"/>
        </w:rPr>
        <w:t xml:space="preserve"> en cumplimiento de los </w:t>
      </w:r>
      <w:r w:rsidRPr="00E049C8">
        <w:rPr>
          <w:i/>
          <w:lang w:val="es-MX"/>
        </w:rPr>
        <w:t>“Lineamientos que establecen la metodología, la periodicidad, el catálogo de claves de información y los formatos electrónicos con los que los operadores del sector de telecomunicaciones entregarán información para integrar el acervo estadístico del Instituto Federal de Telecomunicaciones</w:t>
      </w:r>
      <w:r w:rsidRPr="009A36A7">
        <w:rPr>
          <w:lang w:val="es-MX"/>
        </w:rPr>
        <w:t xml:space="preserve"> (</w:t>
      </w:r>
      <w:r>
        <w:rPr>
          <w:lang w:val="es-MX"/>
        </w:rPr>
        <w:t>en lo sucesivo, los “</w:t>
      </w:r>
      <w:r w:rsidRPr="009A36A7">
        <w:rPr>
          <w:lang w:val="es-MX"/>
        </w:rPr>
        <w:t>Lineamientos</w:t>
      </w:r>
      <w:r>
        <w:rPr>
          <w:lang w:val="es-MX"/>
        </w:rPr>
        <w:t xml:space="preserve"> de entrega de información”</w:t>
      </w:r>
      <w:r w:rsidRPr="009A36A7">
        <w:rPr>
          <w:lang w:val="es-MX"/>
        </w:rPr>
        <w:t>)</w:t>
      </w:r>
      <w:r w:rsidR="003B4CF9">
        <w:rPr>
          <w:rStyle w:val="Refdenotaalpie"/>
          <w:lang w:val="es-MX"/>
        </w:rPr>
        <w:footnoteReference w:id="10"/>
      </w:r>
      <w:r w:rsidRPr="009A36A7">
        <w:rPr>
          <w:lang w:val="es-MX"/>
        </w:rPr>
        <w:t xml:space="preserve">. </w:t>
      </w:r>
    </w:p>
    <w:p w14:paraId="7EDC8727" w14:textId="222F6430" w:rsidR="009A36A7" w:rsidRDefault="009A36A7" w:rsidP="009A36A7">
      <w:pPr>
        <w:pStyle w:val="Textoindependiente"/>
        <w:spacing w:before="93" w:after="240" w:line="302" w:lineRule="auto"/>
        <w:ind w:left="810" w:right="815"/>
        <w:jc w:val="both"/>
        <w:rPr>
          <w:lang w:val="es-MX"/>
        </w:rPr>
      </w:pPr>
      <w:r>
        <w:rPr>
          <w:lang w:val="es-MX"/>
        </w:rPr>
        <w:t>Dichos</w:t>
      </w:r>
      <w:r w:rsidRPr="009A36A7">
        <w:rPr>
          <w:lang w:val="es-MX"/>
        </w:rPr>
        <w:t xml:space="preserve"> Lineamientos </w:t>
      </w:r>
      <w:r>
        <w:rPr>
          <w:lang w:val="es-MX"/>
        </w:rPr>
        <w:t>de entrega de información, como lo señala el propio documento</w:t>
      </w:r>
      <w:r w:rsidR="003B4CF9">
        <w:rPr>
          <w:rStyle w:val="Refdenotaalpie"/>
          <w:lang w:val="es-MX"/>
        </w:rPr>
        <w:footnoteReference w:id="11"/>
      </w:r>
      <w:r>
        <w:rPr>
          <w:lang w:val="es-MX"/>
        </w:rPr>
        <w:t xml:space="preserve">, </w:t>
      </w:r>
      <w:r w:rsidRPr="009A36A7">
        <w:rPr>
          <w:lang w:val="es-MX"/>
        </w:rPr>
        <w:t xml:space="preserve">tienen por objeto establecer la metodología, periodicidad, </w:t>
      </w:r>
      <w:r>
        <w:rPr>
          <w:lang w:val="es-MX"/>
        </w:rPr>
        <w:t>formatos</w:t>
      </w:r>
      <w:r w:rsidRPr="009A36A7">
        <w:rPr>
          <w:lang w:val="es-MX"/>
        </w:rPr>
        <w:t xml:space="preserve"> y el Catálogo de Claves de Información, con respecto a la entrega de información de los operadores de telecomunicaciones para integrar el acervo estadístico </w:t>
      </w:r>
      <w:r>
        <w:rPr>
          <w:lang w:val="es-MX"/>
        </w:rPr>
        <w:t>del Instituto</w:t>
      </w:r>
      <w:r w:rsidR="003B4CF9">
        <w:rPr>
          <w:lang w:val="es-MX"/>
        </w:rPr>
        <w:t xml:space="preserve"> en el que se destaca la entrega de información de servicios STAR</w:t>
      </w:r>
      <w:r w:rsidRPr="009A36A7">
        <w:rPr>
          <w:lang w:val="es-MX"/>
        </w:rPr>
        <w:t xml:space="preserve">. </w:t>
      </w:r>
    </w:p>
    <w:p w14:paraId="6D39D535" w14:textId="655D0977" w:rsidR="003B4CF9" w:rsidRDefault="003B4CF9" w:rsidP="009A36A7">
      <w:pPr>
        <w:pStyle w:val="Textoindependiente"/>
        <w:spacing w:before="93" w:after="240" w:line="302" w:lineRule="auto"/>
        <w:ind w:left="810" w:right="815"/>
        <w:jc w:val="both"/>
        <w:rPr>
          <w:lang w:val="es-MX"/>
        </w:rPr>
      </w:pPr>
      <w:r>
        <w:rPr>
          <w:lang w:val="es-MX"/>
        </w:rPr>
        <w:t>Bajo este precepto,</w:t>
      </w:r>
      <w:r w:rsidR="009A36A7">
        <w:rPr>
          <w:lang w:val="es-MX"/>
        </w:rPr>
        <w:t xml:space="preserve"> la información </w:t>
      </w:r>
      <w:r>
        <w:rPr>
          <w:lang w:val="es-MX"/>
        </w:rPr>
        <w:t xml:space="preserve">identificada corresponde a aquella </w:t>
      </w:r>
      <w:r w:rsidR="009A36A7">
        <w:rPr>
          <w:lang w:val="es-MX"/>
        </w:rPr>
        <w:t xml:space="preserve">que el propio APSM </w:t>
      </w:r>
      <w:r w:rsidR="009A36A7">
        <w:rPr>
          <w:lang w:val="es-MX"/>
        </w:rPr>
        <w:lastRenderedPageBreak/>
        <w:t>proporcion</w:t>
      </w:r>
      <w:r>
        <w:rPr>
          <w:lang w:val="es-MX"/>
        </w:rPr>
        <w:t>ó</w:t>
      </w:r>
      <w:r w:rsidR="009A36A7">
        <w:rPr>
          <w:lang w:val="es-MX"/>
        </w:rPr>
        <w:t xml:space="preserve"> al Instituto</w:t>
      </w:r>
      <w:r>
        <w:rPr>
          <w:lang w:val="es-MX"/>
        </w:rPr>
        <w:t xml:space="preserve"> para la conformación del acervo estadístico</w:t>
      </w:r>
      <w:r w:rsidR="009A36A7">
        <w:rPr>
          <w:lang w:val="es-MX"/>
        </w:rPr>
        <w:t xml:space="preserve">. </w:t>
      </w:r>
      <w:r>
        <w:rPr>
          <w:lang w:val="es-MX"/>
        </w:rPr>
        <w:t>Por lo cual se</w:t>
      </w:r>
      <w:r w:rsidR="009A36A7">
        <w:rPr>
          <w:lang w:val="es-MX"/>
        </w:rPr>
        <w:t xml:space="preserve"> considera </w:t>
      </w:r>
      <w:r>
        <w:rPr>
          <w:lang w:val="es-MX"/>
        </w:rPr>
        <w:t xml:space="preserve">pertinente a efecto de </w:t>
      </w:r>
      <w:r w:rsidR="009A36A7">
        <w:rPr>
          <w:lang w:val="es-MX"/>
        </w:rPr>
        <w:t xml:space="preserve">dimensionar las características </w:t>
      </w:r>
      <w:r>
        <w:rPr>
          <w:lang w:val="es-MX"/>
        </w:rPr>
        <w:t xml:space="preserve">del mercado, particularmente en los </w:t>
      </w:r>
      <w:r w:rsidR="002743F8">
        <w:rPr>
          <w:lang w:val="es-MX"/>
        </w:rPr>
        <w:t xml:space="preserve">9 mercados con PSM </w:t>
      </w:r>
      <w:r>
        <w:rPr>
          <w:lang w:val="es-MX"/>
        </w:rPr>
        <w:t>en la provisión de los servicios STAR.</w:t>
      </w:r>
    </w:p>
    <w:p w14:paraId="3D4115F0" w14:textId="04F36DC2" w:rsidR="007D2A94" w:rsidRDefault="007D2A94" w:rsidP="009A36A7">
      <w:pPr>
        <w:pStyle w:val="Textoindependiente"/>
        <w:spacing w:before="93" w:after="240" w:line="302" w:lineRule="auto"/>
        <w:ind w:left="810" w:right="815"/>
        <w:jc w:val="both"/>
        <w:rPr>
          <w:lang w:val="es-MX"/>
        </w:rPr>
      </w:pPr>
    </w:p>
    <w:p w14:paraId="09C66F97" w14:textId="77777777" w:rsidR="007D2A94" w:rsidRDefault="007D2A94" w:rsidP="009A36A7">
      <w:pPr>
        <w:pStyle w:val="Textoindependiente"/>
        <w:spacing w:before="93" w:after="240" w:line="302" w:lineRule="auto"/>
        <w:ind w:left="810" w:right="815"/>
        <w:jc w:val="both"/>
        <w:rPr>
          <w:lang w:val="es-MX"/>
        </w:rPr>
      </w:pPr>
    </w:p>
    <w:p w14:paraId="5EB53DC6" w14:textId="77777777" w:rsidR="0092666B" w:rsidRDefault="00437FF3" w:rsidP="0092666B">
      <w:pPr>
        <w:pStyle w:val="Ttulo1"/>
        <w:numPr>
          <w:ilvl w:val="0"/>
          <w:numId w:val="1"/>
        </w:numPr>
        <w:tabs>
          <w:tab w:val="left" w:pos="1530"/>
          <w:tab w:val="left" w:pos="1531"/>
        </w:tabs>
        <w:spacing w:before="201"/>
        <w:ind w:hanging="545"/>
        <w:jc w:val="left"/>
        <w:rPr>
          <w:lang w:val="es-MX"/>
        </w:rPr>
      </w:pPr>
      <w:r>
        <w:rPr>
          <w:lang w:val="es-MX"/>
        </w:rPr>
        <w:t>Comentarios, opiniones y aportaciones generales de la persona participante sobre el asunto en consulta pública</w:t>
      </w:r>
    </w:p>
    <w:p w14:paraId="1A946499" w14:textId="77777777" w:rsidR="00EA1693" w:rsidRDefault="00D462AD" w:rsidP="00B326FD">
      <w:pPr>
        <w:pStyle w:val="Cita"/>
        <w:ind w:left="1560" w:right="2006"/>
        <w:jc w:val="both"/>
        <w:rPr>
          <w:sz w:val="18"/>
          <w:szCs w:val="18"/>
          <w:lang w:val="es-MX"/>
        </w:rPr>
      </w:pPr>
      <w:r>
        <w:rPr>
          <w:sz w:val="18"/>
          <w:szCs w:val="18"/>
          <w:lang w:val="es-MX"/>
        </w:rPr>
        <w:t>“</w:t>
      </w:r>
      <w:r w:rsidR="00EA1693" w:rsidRPr="00EA1693">
        <w:rPr>
          <w:sz w:val="18"/>
          <w:szCs w:val="18"/>
          <w:lang w:val="es-MX"/>
        </w:rPr>
        <w:t>Se reitera que TELEFONÍA POR CABLE, S.A. de C.V., no es titular de concesión alguna que lo faculte para la provisión de servicios de telecomunicaciones en el territorio nacional; si bien es cierto que TELEFONÍA POR CABLE fue autorizada por este Instituto para comercializar los servicios de telecomunicaciones concesionados a Mega Cable, S.A. de C.V.; esta última no forma parte del Grupo de Interés Económico declarado con Poder Sustancial de Mercado, por lo que la actuación de TELEFONÍA POR CABLE está limitada a la comercialización de los servicios concesionados en los términos previstos por las disposiciones legales y las autorizaciones regulatorias.</w:t>
      </w:r>
    </w:p>
    <w:p w14:paraId="0B077D07" w14:textId="235B0744" w:rsidR="00EA1693" w:rsidRDefault="00EA1693" w:rsidP="00B326FD">
      <w:pPr>
        <w:pStyle w:val="Cita"/>
        <w:ind w:left="1560" w:right="2006"/>
        <w:jc w:val="both"/>
        <w:rPr>
          <w:sz w:val="18"/>
          <w:szCs w:val="18"/>
          <w:lang w:val="es-MX"/>
        </w:rPr>
      </w:pPr>
      <w:r w:rsidRPr="00EA1693">
        <w:rPr>
          <w:sz w:val="18"/>
          <w:szCs w:val="18"/>
          <w:lang w:val="es-MX"/>
        </w:rPr>
        <w:t>Dicho lo anterior, el Modelo de Costos Evitados objeto de la Consulta Pública, carece de validez y no se apega a la realidad del Contexto Regulatorio, y ni siquiera es consistente con la Propuesta de Oferta de Referencia del Servicio Mayorista de Reventa del Servicio de TV y Audio Restringidos 2025 que presentada por el GIE y recientemente fue objeto de consulta pública por parte del Instituto.</w:t>
      </w:r>
    </w:p>
    <w:p w14:paraId="6D855BBC" w14:textId="77777777" w:rsidR="00EA1693" w:rsidRDefault="00EA1693" w:rsidP="00B326FD">
      <w:pPr>
        <w:pStyle w:val="Cita"/>
        <w:ind w:left="1560" w:right="2006"/>
        <w:jc w:val="both"/>
        <w:rPr>
          <w:sz w:val="18"/>
          <w:szCs w:val="18"/>
          <w:lang w:val="es-MX"/>
        </w:rPr>
      </w:pPr>
      <w:r w:rsidRPr="00EA1693">
        <w:rPr>
          <w:sz w:val="18"/>
          <w:szCs w:val="18"/>
          <w:lang w:val="es-MX"/>
        </w:rPr>
        <w:t>Así mismo, la realidad del Contexto Regulatorio, aspecto que se reconoce en dicha Propuesta es el hecho de que el GIE no cuenta con los derechos de reventa de gran parte de los canales y señales que ofrece como parte de sus paquetes que contienen el STAR.,</w:t>
      </w:r>
    </w:p>
    <w:p w14:paraId="0B0889A3" w14:textId="4124C479" w:rsidR="00EA1693" w:rsidRDefault="00EA1693" w:rsidP="00B326FD">
      <w:pPr>
        <w:pStyle w:val="Cita"/>
        <w:ind w:left="1560" w:right="2006"/>
        <w:jc w:val="both"/>
        <w:rPr>
          <w:sz w:val="18"/>
          <w:szCs w:val="18"/>
          <w:lang w:val="es-MX"/>
        </w:rPr>
      </w:pPr>
      <w:r w:rsidRPr="00EA1693">
        <w:rPr>
          <w:sz w:val="18"/>
          <w:szCs w:val="18"/>
          <w:lang w:val="es-MX"/>
        </w:rPr>
        <w:t>En consecuencia, se considera que el Modelo de Costos Evitados de la Consulta Pública no se apega a la realidad del Contexto Regulatorio y ni siquiera es consistente con la Propuesta de Oferta de Referencia del Servicio Mayorista de Reventa del STAR.</w:t>
      </w:r>
    </w:p>
    <w:p w14:paraId="6A0FC7F1" w14:textId="2E8A4F14" w:rsidR="00B326FD" w:rsidRPr="00B326FD" w:rsidRDefault="00B326FD" w:rsidP="00B326FD">
      <w:pPr>
        <w:pStyle w:val="Cita"/>
        <w:ind w:left="1560" w:right="2006"/>
        <w:jc w:val="both"/>
        <w:rPr>
          <w:sz w:val="18"/>
          <w:szCs w:val="18"/>
          <w:lang w:val="es-MX"/>
        </w:rPr>
      </w:pPr>
      <w:r w:rsidRPr="00B326FD">
        <w:rPr>
          <w:sz w:val="18"/>
          <w:szCs w:val="18"/>
          <w:lang w:val="es-MX"/>
        </w:rPr>
        <w:t xml:space="preserve">En términos de lo anterior, se solicita a esta Autoridad, considerar el modelo de costos presentado por el GIE en la Oferta de Referencia y aprobar las tarifas propuestas por APSM, mismas que también fueron puestas a consulta pública por este Instituto en la Consulta Pública sobre la Propuesta de Oferta de Referencia del Servicio Mayorista de Reventa del Servicio de TV y Audio Restringidos 2025 presentada por el Grupo de Interés Económico con Poder Sustancial en el Mercado Relevante de TV y Audio Restringidos </w:t>
      </w:r>
      <w:r w:rsidRPr="0017085C">
        <w:rPr>
          <w:sz w:val="18"/>
          <w:szCs w:val="18"/>
          <w:vertAlign w:val="superscript"/>
          <w:lang w:val="es-MX"/>
        </w:rPr>
        <w:t xml:space="preserve">4 </w:t>
      </w:r>
    </w:p>
    <w:p w14:paraId="7A7661C8" w14:textId="77777777" w:rsidR="00437FF3" w:rsidRDefault="00B326FD" w:rsidP="00B326FD">
      <w:pPr>
        <w:pStyle w:val="Cita"/>
        <w:ind w:left="1560" w:right="2006"/>
        <w:jc w:val="both"/>
        <w:rPr>
          <w:sz w:val="18"/>
          <w:szCs w:val="18"/>
          <w:lang w:val="es-MX"/>
        </w:rPr>
      </w:pPr>
      <w:r w:rsidRPr="00B326FD">
        <w:rPr>
          <w:sz w:val="18"/>
          <w:szCs w:val="18"/>
          <w:lang w:val="es-MX"/>
        </w:rPr>
        <w:t>Finalmente, se subrayan los errores y omisiones metodológicas en el Modelo de Costos Evitados de la Consulta que resulta en un descuento sobre el precio implícito de más de 53%, que resulta contrario a los principios de proporcionalidad y razonabilidad económica, además de estar fuera de cualquier proporción respecto a la rentabilidad que obtiene los operadores del STAR, en la prestación de planes y paquetes que incluyen dicho servicio.</w:t>
      </w:r>
      <w:r w:rsidR="00D462AD">
        <w:rPr>
          <w:sz w:val="18"/>
          <w:szCs w:val="18"/>
          <w:lang w:val="es-MX"/>
        </w:rPr>
        <w:t>”</w:t>
      </w:r>
      <w:r w:rsidRPr="00B326FD">
        <w:rPr>
          <w:sz w:val="18"/>
          <w:szCs w:val="18"/>
          <w:lang w:val="es-MX"/>
        </w:rPr>
        <w:t xml:space="preserve"> </w:t>
      </w:r>
    </w:p>
    <w:p w14:paraId="13E24CC2" w14:textId="77777777" w:rsidR="0088299F" w:rsidRDefault="0088299F" w:rsidP="0088299F">
      <w:pPr>
        <w:pBdr>
          <w:bottom w:val="single" w:sz="12" w:space="1" w:color="auto"/>
          <w:between w:val="single" w:sz="12" w:space="1" w:color="auto"/>
        </w:pBdr>
        <w:ind w:left="1560" w:right="2006"/>
        <w:rPr>
          <w:lang w:val="es-MX"/>
        </w:rPr>
      </w:pPr>
    </w:p>
    <w:p w14:paraId="26479075" w14:textId="3E78B4A1" w:rsidR="003A3EE5" w:rsidRPr="003A3EE5" w:rsidRDefault="0088299F" w:rsidP="0088299F">
      <w:pPr>
        <w:pStyle w:val="Cita"/>
        <w:ind w:left="1560" w:right="2006"/>
        <w:jc w:val="both"/>
        <w:rPr>
          <w:sz w:val="18"/>
          <w:szCs w:val="18"/>
          <w:lang w:val="es-MX"/>
        </w:rPr>
      </w:pPr>
      <w:r>
        <w:rPr>
          <w:sz w:val="14"/>
          <w:szCs w:val="14"/>
          <w:lang w:val="es-MX"/>
        </w:rPr>
        <w:t>4</w:t>
      </w:r>
      <w:r w:rsidR="003A3EE5">
        <w:rPr>
          <w:sz w:val="18"/>
          <w:szCs w:val="18"/>
          <w:lang w:val="es-MX"/>
        </w:rPr>
        <w:t xml:space="preserve"> </w:t>
      </w:r>
      <w:r w:rsidR="003A3EE5" w:rsidRPr="0017085C">
        <w:rPr>
          <w:sz w:val="18"/>
          <w:szCs w:val="18"/>
          <w:lang w:val="es-MX"/>
        </w:rPr>
        <w:t xml:space="preserve">https://www.ift.org.mx/sites/default/files/industria/temasrelevantes/26313/documentos/ofertadereferenciaserviciomayoristadereventastarmegacable.pdf  </w:t>
      </w:r>
    </w:p>
    <w:p w14:paraId="2A9231D0" w14:textId="77777777" w:rsidR="00574E6A" w:rsidRDefault="00574E6A" w:rsidP="00574E6A">
      <w:pPr>
        <w:rPr>
          <w:lang w:val="es-MX"/>
        </w:rPr>
      </w:pPr>
    </w:p>
    <w:p w14:paraId="458DD1A7" w14:textId="77777777" w:rsidR="00574E6A" w:rsidRPr="00CF6E4B" w:rsidRDefault="00574E6A" w:rsidP="00574E6A">
      <w:pPr>
        <w:ind w:left="810"/>
        <w:jc w:val="both"/>
        <w:rPr>
          <w:i/>
          <w:lang w:val="es-MX"/>
        </w:rPr>
      </w:pPr>
      <w:r w:rsidRPr="00CF6E4B">
        <w:rPr>
          <w:i/>
          <w:u w:val="single"/>
          <w:lang w:val="es-MX"/>
        </w:rPr>
        <w:t>Respuesta de la UPR</w:t>
      </w:r>
    </w:p>
    <w:p w14:paraId="6CB0CC61" w14:textId="3FC0E3AD" w:rsidR="00CF60B6" w:rsidRDefault="00A01957" w:rsidP="00CF60B6">
      <w:pPr>
        <w:pStyle w:val="Textoindependiente"/>
        <w:spacing w:before="93" w:after="240" w:line="302" w:lineRule="auto"/>
        <w:ind w:left="810" w:right="815"/>
        <w:jc w:val="both"/>
        <w:rPr>
          <w:lang w:val="es-MX"/>
        </w:rPr>
      </w:pPr>
      <w:r>
        <w:rPr>
          <w:lang w:val="es-MX"/>
        </w:rPr>
        <w:t>Por lo que hace al comentario para considerar el modelo de costos presentado por el APSM</w:t>
      </w:r>
      <w:r w:rsidR="00551A7E">
        <w:rPr>
          <w:lang w:val="es-MX"/>
        </w:rPr>
        <w:t xml:space="preserve">, la UPR señala </w:t>
      </w:r>
      <w:r w:rsidR="005576B6">
        <w:rPr>
          <w:lang w:val="es-MX"/>
        </w:rPr>
        <w:t>los argumentos realizados en el numeral “</w:t>
      </w:r>
      <w:r w:rsidR="005576B6" w:rsidRPr="005576B6">
        <w:rPr>
          <w:i/>
          <w:lang w:val="es-MX"/>
        </w:rPr>
        <w:t>I. Contexto regulatorio</w:t>
      </w:r>
      <w:r w:rsidR="005576B6">
        <w:rPr>
          <w:lang w:val="es-MX"/>
        </w:rPr>
        <w:t xml:space="preserve">” del presente informe de consideraciones para no </w:t>
      </w:r>
      <w:r w:rsidR="00484A73">
        <w:rPr>
          <w:lang w:val="es-MX"/>
        </w:rPr>
        <w:t xml:space="preserve">tomar en cuenta </w:t>
      </w:r>
      <w:r w:rsidR="005576B6">
        <w:rPr>
          <w:lang w:val="es-MX"/>
        </w:rPr>
        <w:t>la</w:t>
      </w:r>
      <w:r w:rsidR="00551A7E">
        <w:rPr>
          <w:lang w:val="es-MX"/>
        </w:rPr>
        <w:t xml:space="preserve"> propuesta </w:t>
      </w:r>
      <w:r w:rsidR="00484A73">
        <w:rPr>
          <w:lang w:val="es-MX"/>
        </w:rPr>
        <w:t xml:space="preserve">tarifaria </w:t>
      </w:r>
      <w:r w:rsidR="00551A7E">
        <w:rPr>
          <w:lang w:val="es-MX"/>
        </w:rPr>
        <w:t xml:space="preserve">de oferta de referencia </w:t>
      </w:r>
      <w:r w:rsidR="00484A73">
        <w:rPr>
          <w:lang w:val="es-MX"/>
        </w:rPr>
        <w:t xml:space="preserve">en función de lo observado por el Instituto en el </w:t>
      </w:r>
      <w:r w:rsidR="00484A73">
        <w:rPr>
          <w:lang w:val="es-MX"/>
        </w:rPr>
        <w:t xml:space="preserve">Acuerdo </w:t>
      </w:r>
      <w:r w:rsidR="00484A73">
        <w:rPr>
          <w:lang w:val="es-MX"/>
        </w:rPr>
        <w:lastRenderedPageBreak/>
        <w:t xml:space="preserve">P/IFT/150125/5, </w:t>
      </w:r>
      <w:r w:rsidR="00484A73">
        <w:rPr>
          <w:lang w:val="es-MX"/>
        </w:rPr>
        <w:t xml:space="preserve">que en términos generales indica que dicha propuesta no es consistente con el alcance previsto para el servicio </w:t>
      </w:r>
      <w:r w:rsidR="00484A73">
        <w:rPr>
          <w:lang w:val="es-MX"/>
        </w:rPr>
        <w:t xml:space="preserve">mayorista </w:t>
      </w:r>
      <w:r w:rsidR="00484A73">
        <w:rPr>
          <w:lang w:val="es-MX"/>
        </w:rPr>
        <w:t xml:space="preserve">de conformidad con </w:t>
      </w:r>
      <w:r w:rsidR="005576B6">
        <w:rPr>
          <w:lang w:val="es-MX"/>
        </w:rPr>
        <w:t>la Resolución de Obligaciones</w:t>
      </w:r>
      <w:r w:rsidR="00CF60B6">
        <w:rPr>
          <w:lang w:val="es-MX"/>
        </w:rPr>
        <w:t>.</w:t>
      </w:r>
    </w:p>
    <w:p w14:paraId="6AFF199C" w14:textId="0F233AC9" w:rsidR="00E62BBF" w:rsidRDefault="00E62BBF" w:rsidP="00CF60B6">
      <w:pPr>
        <w:pStyle w:val="Textoindependiente"/>
        <w:spacing w:before="93" w:after="240" w:line="302" w:lineRule="auto"/>
        <w:ind w:left="810" w:right="815"/>
        <w:jc w:val="both"/>
        <w:rPr>
          <w:lang w:val="es-MX"/>
        </w:rPr>
      </w:pPr>
      <w:r>
        <w:rPr>
          <w:lang w:val="es-MX"/>
        </w:rPr>
        <w:t xml:space="preserve">Asimismo, se destaca que el APSM no presentó </w:t>
      </w:r>
      <w:r w:rsidR="00CC3A38">
        <w:rPr>
          <w:lang w:val="es-MX"/>
        </w:rPr>
        <w:t xml:space="preserve">algún </w:t>
      </w:r>
      <w:r>
        <w:rPr>
          <w:lang w:val="es-MX"/>
        </w:rPr>
        <w:t>modelo de costos asociado con su propuesta de oferta de referencia</w:t>
      </w:r>
      <w:r w:rsidR="00CC3A38">
        <w:rPr>
          <w:rStyle w:val="Refdenotaalpie"/>
          <w:lang w:val="es-MX"/>
        </w:rPr>
        <w:footnoteReference w:id="12"/>
      </w:r>
      <w:r w:rsidR="00CC3A38">
        <w:rPr>
          <w:lang w:val="es-MX"/>
        </w:rPr>
        <w:t xml:space="preserve"> y</w:t>
      </w:r>
      <w:r w:rsidR="00CC3A38">
        <w:rPr>
          <w:lang w:val="es-MX"/>
        </w:rPr>
        <w:t xml:space="preserve"> que </w:t>
      </w:r>
      <w:r w:rsidR="00CC3A38">
        <w:rPr>
          <w:lang w:val="es-MX"/>
        </w:rPr>
        <w:t>solo presentó</w:t>
      </w:r>
      <w:r w:rsidR="00CC3A38">
        <w:rPr>
          <w:lang w:val="es-MX"/>
        </w:rPr>
        <w:t xml:space="preserve"> </w:t>
      </w:r>
      <w:r w:rsidR="00CC3A38">
        <w:rPr>
          <w:lang w:val="es-MX"/>
        </w:rPr>
        <w:t>una descripción metodológica</w:t>
      </w:r>
      <w:r w:rsidR="00CC3A38">
        <w:rPr>
          <w:rStyle w:val="Refdenotaalpie"/>
          <w:lang w:val="es-MX"/>
        </w:rPr>
        <w:footnoteReference w:id="13"/>
      </w:r>
      <w:r>
        <w:rPr>
          <w:lang w:val="es-MX"/>
        </w:rPr>
        <w:t>. Sin embargo, como fue señalado previamente</w:t>
      </w:r>
      <w:r>
        <w:rPr>
          <w:lang w:val="es-MX"/>
        </w:rPr>
        <w:t>, del análisis realizado por el Instituto</w:t>
      </w:r>
      <w:r>
        <w:rPr>
          <w:lang w:val="es-MX"/>
        </w:rPr>
        <w:t xml:space="preserve"> no se identificó </w:t>
      </w:r>
      <w:r>
        <w:rPr>
          <w:lang w:val="es-MX"/>
        </w:rPr>
        <w:t xml:space="preserve">que </w:t>
      </w:r>
      <w:r w:rsidR="0081599C">
        <w:rPr>
          <w:lang w:val="es-MX"/>
        </w:rPr>
        <w:t xml:space="preserve">dicha propuesta </w:t>
      </w:r>
      <w:r w:rsidR="00CC3A38">
        <w:rPr>
          <w:lang w:val="es-MX"/>
        </w:rPr>
        <w:t>fuera</w:t>
      </w:r>
      <w:r>
        <w:rPr>
          <w:lang w:val="es-MX"/>
        </w:rPr>
        <w:t xml:space="preserve"> consistente con el SMR</w:t>
      </w:r>
      <w:r w:rsidR="001E11A6">
        <w:rPr>
          <w:lang w:val="es-MX"/>
        </w:rPr>
        <w:t xml:space="preserve"> ni con una metodología de costos evitados</w:t>
      </w:r>
      <w:r>
        <w:rPr>
          <w:lang w:val="es-MX"/>
        </w:rPr>
        <w:t>.</w:t>
      </w:r>
    </w:p>
    <w:p w14:paraId="40F61810" w14:textId="77777777" w:rsidR="00D2233C" w:rsidRDefault="00552D17" w:rsidP="00CF60B6">
      <w:pPr>
        <w:pStyle w:val="Textoindependiente"/>
        <w:spacing w:before="93" w:after="240" w:line="302" w:lineRule="auto"/>
        <w:ind w:left="810" w:right="815"/>
        <w:jc w:val="both"/>
        <w:rPr>
          <w:lang w:val="es-MX"/>
        </w:rPr>
      </w:pPr>
      <w:r>
        <w:rPr>
          <w:lang w:val="es-MX"/>
        </w:rPr>
        <w:t xml:space="preserve">Se resalta también </w:t>
      </w:r>
      <w:r w:rsidR="00D2233C">
        <w:rPr>
          <w:lang w:val="es-MX"/>
        </w:rPr>
        <w:t xml:space="preserve">las inconsistencias observadas entre las manifestaciones de Megacable y lo que </w:t>
      </w:r>
      <w:r>
        <w:rPr>
          <w:lang w:val="es-MX"/>
        </w:rPr>
        <w:t xml:space="preserve">el APSM ha </w:t>
      </w:r>
      <w:r w:rsidR="009F718C">
        <w:rPr>
          <w:lang w:val="es-MX"/>
        </w:rPr>
        <w:t xml:space="preserve">manifestado </w:t>
      </w:r>
      <w:r w:rsidR="00D2233C">
        <w:rPr>
          <w:lang w:val="es-MX"/>
        </w:rPr>
        <w:t>para considerar</w:t>
      </w:r>
      <w:r w:rsidR="00C77A5C">
        <w:rPr>
          <w:lang w:val="es-MX"/>
        </w:rPr>
        <w:t xml:space="preserve"> elementos de </w:t>
      </w:r>
      <w:r w:rsidR="009F718C">
        <w:rPr>
          <w:lang w:val="es-MX"/>
        </w:rPr>
        <w:t>costos evitados</w:t>
      </w:r>
      <w:r w:rsidR="00A813B2">
        <w:rPr>
          <w:lang w:val="es-MX"/>
        </w:rPr>
        <w:t xml:space="preserve"> </w:t>
      </w:r>
      <w:r w:rsidR="00C77A5C">
        <w:rPr>
          <w:lang w:val="es-MX"/>
        </w:rPr>
        <w:t xml:space="preserve">adicionales a los </w:t>
      </w:r>
      <w:r w:rsidR="00C77A5C">
        <w:rPr>
          <w:lang w:val="es-MX"/>
        </w:rPr>
        <w:t>autorizados por el Instituto, asegurando que operadores alternativos puedan replicar las ta</w:t>
      </w:r>
      <w:r w:rsidR="00C77A5C">
        <w:rPr>
          <w:lang w:val="es-MX"/>
        </w:rPr>
        <w:t>rifas de las ofertas y paquetes</w:t>
      </w:r>
      <w:r w:rsidR="00C77A5C">
        <w:rPr>
          <w:rStyle w:val="Refdenotaalpie"/>
          <w:lang w:val="es-MX"/>
        </w:rPr>
        <w:footnoteReference w:id="14"/>
      </w:r>
      <w:r w:rsidR="00C77A5C">
        <w:rPr>
          <w:lang w:val="es-MX"/>
        </w:rPr>
        <w:t>.</w:t>
      </w:r>
      <w:r w:rsidR="00C77A5C">
        <w:rPr>
          <w:lang w:val="es-MX"/>
        </w:rPr>
        <w:t xml:space="preserve"> </w:t>
      </w:r>
    </w:p>
    <w:p w14:paraId="4E0A96F0" w14:textId="39104A10" w:rsidR="000A6B29" w:rsidRDefault="00C77A5C" w:rsidP="00CF60B6">
      <w:pPr>
        <w:pStyle w:val="Textoindependiente"/>
        <w:spacing w:before="93" w:after="240" w:line="302" w:lineRule="auto"/>
        <w:ind w:left="810" w:right="815"/>
        <w:jc w:val="both"/>
        <w:rPr>
          <w:lang w:val="es-MX"/>
        </w:rPr>
      </w:pPr>
      <w:r>
        <w:rPr>
          <w:lang w:val="es-MX"/>
        </w:rPr>
        <w:t>De esta manera, con base en la metodología presentada</w:t>
      </w:r>
      <w:r>
        <w:rPr>
          <w:lang w:val="es-MX"/>
        </w:rPr>
        <w:t xml:space="preserve"> y los elementos observados en la Separación Contable, </w:t>
      </w:r>
      <w:r w:rsidR="00572BD6">
        <w:rPr>
          <w:lang w:val="es-MX"/>
        </w:rPr>
        <w:t xml:space="preserve">la </w:t>
      </w:r>
      <w:r>
        <w:rPr>
          <w:lang w:val="es-MX"/>
        </w:rPr>
        <w:t>información financiera</w:t>
      </w:r>
      <w:r w:rsidR="00A83D6A">
        <w:rPr>
          <w:lang w:val="es-MX"/>
        </w:rPr>
        <w:t>,</w:t>
      </w:r>
      <w:r>
        <w:rPr>
          <w:lang w:val="es-MX"/>
        </w:rPr>
        <w:t xml:space="preserve"> aquella presentada por el propio APSM</w:t>
      </w:r>
      <w:r>
        <w:rPr>
          <w:lang w:val="es-MX"/>
        </w:rPr>
        <w:t xml:space="preserve"> </w:t>
      </w:r>
      <w:r w:rsidR="00A83D6A">
        <w:rPr>
          <w:lang w:val="es-MX"/>
        </w:rPr>
        <w:t>y otras fuentes de información descritas</w:t>
      </w:r>
      <w:r w:rsidR="00A8189E">
        <w:rPr>
          <w:lang w:val="es-MX"/>
        </w:rPr>
        <w:t>,</w:t>
      </w:r>
      <w:r w:rsidR="00A83D6A">
        <w:rPr>
          <w:lang w:val="es-MX"/>
        </w:rPr>
        <w:t xml:space="preserve"> </w:t>
      </w:r>
      <w:r>
        <w:rPr>
          <w:lang w:val="es-MX"/>
        </w:rPr>
        <w:t xml:space="preserve">se </w:t>
      </w:r>
      <w:r w:rsidR="00A83D6A">
        <w:rPr>
          <w:lang w:val="es-MX"/>
        </w:rPr>
        <w:t>determina</w:t>
      </w:r>
      <w:r w:rsidR="00A83D6A">
        <w:rPr>
          <w:lang w:val="es-MX"/>
        </w:rPr>
        <w:t xml:space="preserve"> </w:t>
      </w:r>
      <w:r>
        <w:rPr>
          <w:lang w:val="es-MX"/>
        </w:rPr>
        <w:t>el margen que los operadores alternativos tendrán que considerar para replicar el STAR provisto por Megacable.</w:t>
      </w:r>
      <w:r>
        <w:rPr>
          <w:lang w:val="es-MX"/>
        </w:rPr>
        <w:t xml:space="preserve"> </w:t>
      </w:r>
      <w:r>
        <w:rPr>
          <w:lang w:val="es-MX"/>
        </w:rPr>
        <w:t xml:space="preserve"> </w:t>
      </w:r>
    </w:p>
    <w:p w14:paraId="559DA7D6" w14:textId="77777777" w:rsidR="00E0673E" w:rsidRDefault="00E049C8" w:rsidP="00E049C8">
      <w:pPr>
        <w:pStyle w:val="Textoindependiente"/>
        <w:spacing w:before="93" w:after="240" w:line="302" w:lineRule="auto"/>
        <w:ind w:left="810" w:right="815"/>
        <w:jc w:val="both"/>
        <w:rPr>
          <w:lang w:val="es-MX"/>
        </w:rPr>
      </w:pPr>
      <w:r>
        <w:rPr>
          <w:lang w:val="es-MX"/>
        </w:rPr>
        <w:t>Finalmente, por lo que hace a las manifestaciones sobre los errores y omisiones metodológicas de costos evitados y su resultado se solicita considerar los argumentos realizados por la UPR en los numerales “</w:t>
      </w:r>
      <w:r w:rsidRPr="00E049C8">
        <w:rPr>
          <w:i/>
          <w:lang w:val="es-MX"/>
        </w:rPr>
        <w:t>I. Contexto regulatorio</w:t>
      </w:r>
      <w:r>
        <w:rPr>
          <w:lang w:val="es-MX"/>
        </w:rPr>
        <w:t>”, “</w:t>
      </w:r>
      <w:r w:rsidRPr="00E049C8">
        <w:rPr>
          <w:i/>
          <w:lang w:val="es-MX"/>
        </w:rPr>
        <w:t>IV. Sobre la metodología de costos evitados (retail minus)</w:t>
      </w:r>
      <w:r>
        <w:rPr>
          <w:lang w:val="es-MX"/>
        </w:rPr>
        <w:t>” y “</w:t>
      </w:r>
      <w:r w:rsidRPr="00E049C8">
        <w:rPr>
          <w:i/>
          <w:lang w:val="es-MX"/>
        </w:rPr>
        <w:t>VIII. Definición de conceptos de costos evitados en los Servicios de Reventa</w:t>
      </w:r>
      <w:r>
        <w:rPr>
          <w:lang w:val="es-MX"/>
        </w:rPr>
        <w:t xml:space="preserve">”. </w:t>
      </w:r>
    </w:p>
    <w:p w14:paraId="1C3CADA9" w14:textId="680707B4" w:rsidR="00265D0C" w:rsidRDefault="008B5FD2" w:rsidP="00E049C8">
      <w:pPr>
        <w:pStyle w:val="Textoindependiente"/>
        <w:spacing w:before="93" w:after="240" w:line="302" w:lineRule="auto"/>
        <w:ind w:left="810" w:right="815"/>
        <w:jc w:val="both"/>
        <w:rPr>
          <w:lang w:val="es-MX"/>
        </w:rPr>
      </w:pPr>
      <w:r>
        <w:rPr>
          <w:lang w:val="es-MX"/>
        </w:rPr>
        <w:t>En concreto,</w:t>
      </w:r>
      <w:r w:rsidR="00E049C8">
        <w:rPr>
          <w:lang w:val="es-MX"/>
        </w:rPr>
        <w:t xml:space="preserve"> los valores considerados parten del análisis de la información del APSM</w:t>
      </w:r>
      <w:r w:rsidR="00E049C8">
        <w:rPr>
          <w:lang w:val="es-MX"/>
        </w:rPr>
        <w:t xml:space="preserve"> </w:t>
      </w:r>
      <w:r w:rsidR="00AD0EFC">
        <w:rPr>
          <w:lang w:val="es-MX"/>
        </w:rPr>
        <w:t>los cuales</w:t>
      </w:r>
      <w:r w:rsidR="00E049C8">
        <w:rPr>
          <w:lang w:val="es-MX"/>
        </w:rPr>
        <w:t xml:space="preserve"> permiten estimar un margen para que un operador alternativo pueda </w:t>
      </w:r>
      <w:r w:rsidR="00E0673E">
        <w:rPr>
          <w:lang w:val="es-MX"/>
        </w:rPr>
        <w:t>elaborar una oferta comercial minorista en los 9 mercados</w:t>
      </w:r>
      <w:r w:rsidR="00E0673E">
        <w:rPr>
          <w:lang w:val="es-MX"/>
        </w:rPr>
        <w:t xml:space="preserve"> </w:t>
      </w:r>
      <w:r w:rsidR="006A4E9D">
        <w:rPr>
          <w:lang w:val="es-MX"/>
        </w:rPr>
        <w:t>con</w:t>
      </w:r>
      <w:r w:rsidR="00E0673E">
        <w:rPr>
          <w:lang w:val="es-MX"/>
        </w:rPr>
        <w:t xml:space="preserve"> PSM</w:t>
      </w:r>
      <w:r w:rsidR="00E049C8">
        <w:rPr>
          <w:lang w:val="es-MX"/>
        </w:rPr>
        <w:t xml:space="preserve"> </w:t>
      </w:r>
      <w:r w:rsidR="00E0673E">
        <w:rPr>
          <w:lang w:val="es-MX"/>
        </w:rPr>
        <w:t>y atender la regulación prevista en la Resolución de Obligaciones para la provisión del SMR del STAR</w:t>
      </w:r>
      <w:r w:rsidR="00265D0C">
        <w:rPr>
          <w:lang w:val="es-MX"/>
        </w:rPr>
        <w:t xml:space="preserve">. </w:t>
      </w:r>
    </w:p>
    <w:p w14:paraId="5EDEFBF8" w14:textId="77777777" w:rsidR="00574E6A" w:rsidRPr="00E049C8" w:rsidRDefault="00574E6A" w:rsidP="00E049C8">
      <w:pPr>
        <w:rPr>
          <w:lang w:val="es-MX"/>
        </w:rPr>
      </w:pPr>
    </w:p>
    <w:sectPr w:rsidR="00574E6A" w:rsidRPr="00E049C8">
      <w:footerReference w:type="default" r:id="rId13"/>
      <w:pgSz w:w="11910" w:h="16840"/>
      <w:pgMar w:top="1340" w:right="760" w:bottom="1780" w:left="780" w:header="0" w:footer="152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FE3941" w16cex:dateUtc="2025-02-06T00:00:00Z"/>
  <w16cex:commentExtensible w16cex:durableId="0F144B94" w16cex:dateUtc="2025-02-06T18:57:00Z"/>
  <w16cex:commentExtensible w16cex:durableId="25540BB4" w16cex:dateUtc="2025-02-07T00:57:00Z"/>
  <w16cex:commentExtensible w16cex:durableId="07C73E03" w16cex:dateUtc="2025-02-06T22:03:00Z"/>
  <w16cex:commentExtensible w16cex:durableId="4DA8D559" w16cex:dateUtc="2025-02-06T22:10:00Z"/>
  <w16cex:commentExtensible w16cex:durableId="680BBEC3" w16cex:dateUtc="2025-02-07T00:42:00Z"/>
  <w16cex:commentExtensible w16cex:durableId="57786D22" w16cex:dateUtc="2025-02-06T22:17:00Z"/>
  <w16cex:commentExtensible w16cex:durableId="35822FD2" w16cex:dateUtc="2025-02-06T22:24:00Z"/>
  <w16cex:commentExtensible w16cex:durableId="7E9CC2B4" w16cex:dateUtc="2025-02-07T01:01:00Z"/>
  <w16cex:commentExtensible w16cex:durableId="362A1114" w16cex:dateUtc="2025-02-06T22:32:00Z"/>
  <w16cex:commentExtensible w16cex:durableId="0C2DDBFF" w16cex:dateUtc="2025-02-06T22: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5D627" w14:textId="77777777" w:rsidR="00865314" w:rsidRDefault="00865314" w:rsidP="00682E20">
      <w:r>
        <w:separator/>
      </w:r>
    </w:p>
  </w:endnote>
  <w:endnote w:type="continuationSeparator" w:id="0">
    <w:p w14:paraId="1A3E6F1B" w14:textId="77777777" w:rsidR="00865314" w:rsidRDefault="00865314" w:rsidP="00682E20">
      <w:r>
        <w:continuationSeparator/>
      </w:r>
    </w:p>
  </w:endnote>
  <w:endnote w:type="continuationNotice" w:id="1">
    <w:p w14:paraId="7073CCB5" w14:textId="77777777" w:rsidR="00865314" w:rsidRDefault="008653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ITC Avant Garde">
    <w:altName w:val="Avant Garde"/>
    <w:panose1 w:val="020B0402020203020304"/>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D8D42" w14:textId="77777777" w:rsidR="00865314" w:rsidRDefault="00865314">
    <w:pPr>
      <w:pStyle w:val="Textoindependiente"/>
      <w:spacing w:line="14" w:lineRule="auto"/>
      <w:rPr>
        <w:sz w:val="17"/>
      </w:rPr>
    </w:pPr>
    <w:r>
      <w:rPr>
        <w:noProof/>
      </w:rPr>
      <mc:AlternateContent>
        <mc:Choice Requires="wps">
          <w:drawing>
            <wp:anchor distT="0" distB="0" distL="114300" distR="114300" simplePos="0" relativeHeight="251658240" behindDoc="1" locked="0" layoutInCell="1" allowOverlap="1" wp14:anchorId="2EE1998B" wp14:editId="1FCC4164">
              <wp:simplePos x="0" y="0"/>
              <wp:positionH relativeFrom="page">
                <wp:posOffset>6362700</wp:posOffset>
              </wp:positionH>
              <wp:positionV relativeFrom="page">
                <wp:posOffset>9537700</wp:posOffset>
              </wp:positionV>
              <wp:extent cx="247650" cy="18161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E2DE0" w14:textId="77777777" w:rsidR="00865314" w:rsidRDefault="00865314">
                          <w:pPr>
                            <w:pStyle w:val="Textoindependiente"/>
                            <w:spacing w:before="13"/>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1998B" id="_x0000_t202" coordsize="21600,21600" o:spt="202" path="m,l,21600r21600,l21600,xe">
              <v:stroke joinstyle="miter"/>
              <v:path gradientshapeok="t" o:connecttype="rect"/>
            </v:shapetype>
            <v:shape id="Cuadro de texto 1" o:spid="_x0000_s1026" type="#_x0000_t202" style="position:absolute;margin-left:501pt;margin-top:751pt;width:19.5pt;height:14.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" filled="f" stroked="f">
              <v:textbox inset="0,0,0,0">
                <w:txbxContent>
                  <w:p w14:paraId="103E2DE0" w14:textId="77777777" w:rsidR="00865314" w:rsidRDefault="00865314">
                    <w:pPr>
                      <w:pStyle w:val="Textoindependiente"/>
                      <w:spacing w:before="13"/>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BAB65" w14:textId="77777777" w:rsidR="00865314" w:rsidRDefault="00865314" w:rsidP="00682E20">
      <w:r>
        <w:separator/>
      </w:r>
    </w:p>
  </w:footnote>
  <w:footnote w:type="continuationSeparator" w:id="0">
    <w:p w14:paraId="775757F3" w14:textId="77777777" w:rsidR="00865314" w:rsidRDefault="00865314" w:rsidP="00682E20">
      <w:r>
        <w:continuationSeparator/>
      </w:r>
    </w:p>
  </w:footnote>
  <w:footnote w:type="continuationNotice" w:id="1">
    <w:p w14:paraId="692176EA" w14:textId="77777777" w:rsidR="00865314" w:rsidRDefault="00865314"/>
  </w:footnote>
  <w:footnote w:id="2">
    <w:p w14:paraId="79F54F46" w14:textId="77777777" w:rsidR="00865314" w:rsidRPr="00B12CA4" w:rsidRDefault="00865314">
      <w:pPr>
        <w:pStyle w:val="Textonotapie"/>
        <w:rPr>
          <w:lang w:val="es-MX"/>
        </w:rPr>
      </w:pPr>
      <w:r w:rsidRPr="007D2A94">
        <w:rPr>
          <w:rStyle w:val="Refdenotaalpie"/>
          <w:sz w:val="18"/>
        </w:rPr>
        <w:footnoteRef/>
      </w:r>
      <w:r w:rsidRPr="007D2A94">
        <w:rPr>
          <w:sz w:val="18"/>
        </w:rPr>
        <w:t xml:space="preserve"> </w:t>
      </w:r>
      <w:r w:rsidRPr="007D2A94">
        <w:rPr>
          <w:sz w:val="18"/>
          <w:lang w:val="es-MX"/>
        </w:rPr>
        <w:t xml:space="preserve">Disponible en la siguiente liga electrónica: </w:t>
      </w:r>
      <w:hyperlink r:id="rId1" w:history="1">
        <w:r w:rsidRPr="007D2A94">
          <w:rPr>
            <w:rStyle w:val="Hipervnculo"/>
            <w:sz w:val="18"/>
            <w:lang w:val="es-MX"/>
          </w:rPr>
          <w:t>https://www.ift.org.mx/sites/default/files/filefield_paths/documento_metodologico_mce_megacable.pdf</w:t>
        </w:r>
      </w:hyperlink>
      <w:r w:rsidRPr="007D2A94">
        <w:rPr>
          <w:sz w:val="18"/>
          <w:lang w:val="es-MX"/>
        </w:rPr>
        <w:t xml:space="preserve"> </w:t>
      </w:r>
    </w:p>
  </w:footnote>
  <w:footnote w:id="3">
    <w:p w14:paraId="658A533A" w14:textId="554BCB5E" w:rsidR="00865314" w:rsidRPr="009401C6" w:rsidRDefault="00865314" w:rsidP="00F82DF7">
      <w:pPr>
        <w:pStyle w:val="Textonotapie"/>
        <w:jc w:val="both"/>
        <w:rPr>
          <w:lang w:val="es-MX"/>
        </w:rPr>
      </w:pPr>
      <w:r w:rsidRPr="007D2A94">
        <w:rPr>
          <w:rStyle w:val="Refdenotaalpie"/>
          <w:sz w:val="18"/>
        </w:rPr>
        <w:footnoteRef/>
      </w:r>
      <w:r w:rsidRPr="007D2A94">
        <w:rPr>
          <w:sz w:val="18"/>
        </w:rPr>
        <w:t xml:space="preserve"> </w:t>
      </w:r>
      <w:r w:rsidRPr="007D2A94">
        <w:rPr>
          <w:sz w:val="18"/>
          <w:lang w:val="es-MX"/>
        </w:rPr>
        <w:t>Acuerdo denominado “</w:t>
      </w:r>
      <w:r w:rsidRPr="007D2A94">
        <w:rPr>
          <w:i/>
          <w:sz w:val="18"/>
          <w:lang w:val="es-MX"/>
        </w:rPr>
        <w:t>Acuerdo mediante el cual el Pleno del Instituto Federal de Telecomunicaciones modifica los términos y condiciones de la Oferta de Referencia del Servicio Mayorista de Reventa del Servicio de Televisión y Audio Restringidos presentada por las empresas Megacable Holdings, S.A.B. de C.V., Telefonía por Cable, S.A. de C.V., Entretenimiento Satelital, S.A. de C.V., Productora y Comercializadora de Televisión, S.A. de C.V. y Proveedora de Servicios de Televisión, S.A. de C.V., aplicable para 2025.</w:t>
      </w:r>
      <w:r w:rsidRPr="007D2A94">
        <w:rPr>
          <w:sz w:val="18"/>
          <w:lang w:val="es-MX"/>
        </w:rPr>
        <w:t>”</w:t>
      </w:r>
    </w:p>
  </w:footnote>
  <w:footnote w:id="4">
    <w:p w14:paraId="3E9BE230" w14:textId="77777777" w:rsidR="00865314" w:rsidRPr="007D2A94" w:rsidRDefault="00865314" w:rsidP="00F22B64">
      <w:pPr>
        <w:pStyle w:val="Textonotapie"/>
        <w:jc w:val="both"/>
        <w:rPr>
          <w:sz w:val="18"/>
          <w:lang w:val="es-MX"/>
        </w:rPr>
      </w:pPr>
      <w:r w:rsidRPr="007D2A94">
        <w:rPr>
          <w:rStyle w:val="Refdenotaalpie"/>
          <w:sz w:val="18"/>
        </w:rPr>
        <w:footnoteRef/>
      </w:r>
      <w:r w:rsidRPr="007D2A94">
        <w:rPr>
          <w:sz w:val="18"/>
        </w:rPr>
        <w:t xml:space="preserve"> Autorizado por el Instituto mediante Acuerdo P/IFT/EXT/111218/24, en los cuales se definen un conjunto de costos para la atención de clientes minoristas de</w:t>
      </w:r>
      <w:r w:rsidRPr="007D2A94">
        <w:rPr>
          <w:sz w:val="18"/>
          <w:lang w:val="es-MX"/>
        </w:rPr>
        <w:t xml:space="preserve"> primera línea, mercadotecnia y publicidad, deuda incobrable, facturación a usuarios finales, asistencia técnica de primera línea, margen de beneficio, entre otros para ofrecer el servicio minorista</w:t>
      </w:r>
      <w:r w:rsidRPr="007D2A94">
        <w:rPr>
          <w:sz w:val="18"/>
        </w:rPr>
        <w:t>.</w:t>
      </w:r>
    </w:p>
  </w:footnote>
  <w:footnote w:id="5">
    <w:p w14:paraId="7D4111F1" w14:textId="77777777" w:rsidR="00865314" w:rsidRPr="007D2A94" w:rsidRDefault="00865314" w:rsidP="00F22B64">
      <w:pPr>
        <w:pStyle w:val="Textonotapie"/>
        <w:jc w:val="both"/>
        <w:rPr>
          <w:sz w:val="18"/>
          <w:lang w:val="es-MX"/>
        </w:rPr>
      </w:pPr>
      <w:r w:rsidRPr="007D2A94">
        <w:rPr>
          <w:rStyle w:val="Refdenotaalpie"/>
          <w:sz w:val="18"/>
        </w:rPr>
        <w:footnoteRef/>
      </w:r>
      <w:r w:rsidRPr="007D2A94">
        <w:rPr>
          <w:sz w:val="18"/>
        </w:rPr>
        <w:t xml:space="preserve"> </w:t>
      </w:r>
      <w:r w:rsidRPr="007D2A94">
        <w:rPr>
          <w:sz w:val="18"/>
          <w:lang w:val="es-MX"/>
        </w:rPr>
        <w:t xml:space="preserve">A partir de un enfoque </w:t>
      </w:r>
      <w:r w:rsidRPr="007D2A94">
        <w:rPr>
          <w:sz w:val="18"/>
        </w:rPr>
        <w:t xml:space="preserve">que sigue la siguiente expresión </w:t>
      </w:r>
      <m:oMath>
        <m:sSup>
          <m:sSupPr>
            <m:ctrlPr>
              <w:rPr>
                <w:rFonts w:ascii="Cambria Math" w:hAnsi="Cambria Math"/>
                <w:b/>
                <w:sz w:val="18"/>
              </w:rPr>
            </m:ctrlPr>
          </m:sSupPr>
          <m:e>
            <m:r>
              <m:rPr>
                <m:nor/>
              </m:rPr>
              <w:rPr>
                <w:b/>
                <w:sz w:val="18"/>
              </w:rPr>
              <m:t>P</m:t>
            </m:r>
          </m:e>
          <m:sup>
            <m:r>
              <m:rPr>
                <m:nor/>
              </m:rPr>
              <w:rPr>
                <w:b/>
                <w:sz w:val="18"/>
              </w:rPr>
              <m:t>m</m:t>
            </m:r>
          </m:sup>
        </m:sSup>
        <m:r>
          <m:rPr>
            <m:nor/>
          </m:rPr>
          <w:rPr>
            <w:sz w:val="18"/>
          </w:rPr>
          <m:t>=</m:t>
        </m:r>
        <m:sSup>
          <m:sSupPr>
            <m:ctrlPr>
              <w:rPr>
                <w:rFonts w:ascii="Cambria Math" w:hAnsi="Cambria Math"/>
                <w:b/>
                <w:sz w:val="18"/>
              </w:rPr>
            </m:ctrlPr>
          </m:sSupPr>
          <m:e>
            <m:r>
              <m:rPr>
                <m:nor/>
              </m:rPr>
              <w:rPr>
                <w:b/>
                <w:sz w:val="18"/>
              </w:rPr>
              <m:t xml:space="preserve"> P</m:t>
            </m:r>
          </m:e>
          <m:sup>
            <m:r>
              <m:rPr>
                <m:nor/>
              </m:rPr>
              <w:rPr>
                <w:b/>
                <w:sz w:val="18"/>
              </w:rPr>
              <m:t>r</m:t>
            </m:r>
          </m:sup>
        </m:sSup>
        <m:r>
          <m:rPr>
            <m:nor/>
          </m:rPr>
          <w:rPr>
            <w:b/>
            <w:sz w:val="18"/>
          </w:rPr>
          <m:t xml:space="preserve"> × (1</m:t>
        </m:r>
        <m:r>
          <m:rPr>
            <m:sty m:val="bi"/>
          </m:rPr>
          <w:rPr>
            <w:rFonts w:ascii="Cambria Math" w:hAnsi="Cambria Math"/>
            <w:sz w:val="18"/>
          </w:rPr>
          <m:t xml:space="preserve"> </m:t>
        </m:r>
        <m:r>
          <m:rPr>
            <m:nor/>
          </m:rPr>
          <w:rPr>
            <w:sz w:val="18"/>
          </w:rPr>
          <m:t xml:space="preserve">- </m:t>
        </m:r>
        <m:r>
          <m:rPr>
            <m:nor/>
          </m:rPr>
          <w:rPr>
            <w:b/>
            <w:sz w:val="18"/>
          </w:rPr>
          <m:t>%c</m:t>
        </m:r>
      </m:oMath>
      <w:r w:rsidRPr="007D2A94">
        <w:rPr>
          <w:b/>
          <w:sz w:val="18"/>
        </w:rPr>
        <w:t xml:space="preserve">), </w:t>
      </w:r>
      <w:r w:rsidRPr="007D2A94">
        <w:rPr>
          <w:sz w:val="18"/>
        </w:rPr>
        <w:t xml:space="preserve">donde </w:t>
      </w:r>
      <w:r w:rsidRPr="007D2A94">
        <w:rPr>
          <w:b/>
          <w:sz w:val="18"/>
        </w:rPr>
        <w:t xml:space="preserve">%c </w:t>
      </w:r>
      <w:r w:rsidRPr="007D2A94">
        <w:rPr>
          <w:sz w:val="18"/>
        </w:rPr>
        <w:t>correspondería al valor porcentual del precio de referencia que representaría el nivel de costos evitados asociados al servicio mayorista.</w:t>
      </w:r>
    </w:p>
  </w:footnote>
  <w:footnote w:id="6">
    <w:p w14:paraId="5D24A958" w14:textId="51D23E77" w:rsidR="00865314" w:rsidRPr="00F22B64" w:rsidRDefault="00865314" w:rsidP="00F22B64">
      <w:pPr>
        <w:pStyle w:val="Textonotapie"/>
        <w:jc w:val="both"/>
        <w:rPr>
          <w:lang w:val="es-MX"/>
        </w:rPr>
      </w:pPr>
      <w:r w:rsidRPr="007D2A94">
        <w:rPr>
          <w:rStyle w:val="Refdenotaalpie"/>
          <w:sz w:val="18"/>
        </w:rPr>
        <w:footnoteRef/>
      </w:r>
      <w:r w:rsidRPr="007D2A94">
        <w:rPr>
          <w:sz w:val="18"/>
        </w:rPr>
        <w:t xml:space="preserve"> </w:t>
      </w:r>
      <w:r w:rsidRPr="007D2A94">
        <w:rPr>
          <w:sz w:val="18"/>
          <w:lang w:val="es-MX"/>
        </w:rPr>
        <w:t>Comentario que realizó el APSM con relación al numeral “</w:t>
      </w:r>
      <w:r w:rsidRPr="007D2A94">
        <w:rPr>
          <w:i/>
          <w:sz w:val="18"/>
          <w:lang w:val="es-MX"/>
        </w:rPr>
        <w:t>3. Metodología de Costos Evitados</w:t>
      </w:r>
      <w:r w:rsidRPr="007D2A94">
        <w:rPr>
          <w:sz w:val="18"/>
          <w:lang w:val="es-MX"/>
        </w:rPr>
        <w:t>” en la “</w:t>
      </w:r>
      <w:r w:rsidRPr="007D2A94">
        <w:rPr>
          <w:i/>
          <w:sz w:val="18"/>
          <w:lang w:val="es-MX"/>
        </w:rPr>
        <w:t>Consulta Pública sobre el “Modelo de Costos Evitados para los servicios de reventa provistos por el Agente Económico Preponderante en el marco de la Oferta de Referencia de Desagregación</w:t>
      </w:r>
      <w:r w:rsidRPr="007D2A94">
        <w:rPr>
          <w:sz w:val="18"/>
          <w:lang w:val="es-MX"/>
        </w:rPr>
        <w:t xml:space="preserve">”. Disponible en la siguiente liga electrónica: </w:t>
      </w:r>
      <w:hyperlink r:id="rId2" w:history="1">
        <w:r w:rsidRPr="007D2A94">
          <w:rPr>
            <w:rStyle w:val="Hipervnculo"/>
            <w:sz w:val="18"/>
            <w:lang w:val="es-MX"/>
          </w:rPr>
          <w:t>https://www.ift.org.mx/sites/default/files/industria/temasrelevantes/consultaspublicas/documentos/02-comentarios-megacable-consulta-publica-modelo-de-costos-evitados.pdf</w:t>
        </w:r>
      </w:hyperlink>
      <w:r w:rsidRPr="007D2A94">
        <w:rPr>
          <w:sz w:val="18"/>
          <w:lang w:val="es-MX"/>
        </w:rPr>
        <w:t xml:space="preserve"> </w:t>
      </w:r>
    </w:p>
  </w:footnote>
  <w:footnote w:id="7">
    <w:p w14:paraId="26E603C9" w14:textId="00C1F9D1" w:rsidR="00865314" w:rsidRPr="00865314" w:rsidRDefault="00865314" w:rsidP="00865314">
      <w:pPr>
        <w:pStyle w:val="Textonotapie"/>
        <w:jc w:val="both"/>
        <w:rPr>
          <w:lang w:val="es-MX"/>
        </w:rPr>
      </w:pPr>
      <w:r w:rsidRPr="007D2A94">
        <w:rPr>
          <w:rStyle w:val="Refdenotaalpie"/>
          <w:sz w:val="18"/>
        </w:rPr>
        <w:footnoteRef/>
      </w:r>
      <w:r w:rsidRPr="007D2A94">
        <w:rPr>
          <w:sz w:val="18"/>
        </w:rPr>
        <w:t xml:space="preserve"> </w:t>
      </w:r>
      <w:r w:rsidRPr="007D2A94">
        <w:rPr>
          <w:sz w:val="18"/>
          <w:lang w:val="es-MX"/>
        </w:rPr>
        <w:t>Comentario que realizó el APSM con relación a</w:t>
      </w:r>
      <w:r w:rsidRPr="007D2A94">
        <w:rPr>
          <w:sz w:val="18"/>
          <w:lang w:val="es-MX"/>
        </w:rPr>
        <w:t xml:space="preserve"> los</w:t>
      </w:r>
      <w:r w:rsidRPr="007D2A94">
        <w:rPr>
          <w:sz w:val="18"/>
          <w:lang w:val="es-MX"/>
        </w:rPr>
        <w:t xml:space="preserve"> numeral</w:t>
      </w:r>
      <w:r w:rsidRPr="007D2A94">
        <w:rPr>
          <w:sz w:val="18"/>
          <w:lang w:val="es-MX"/>
        </w:rPr>
        <w:t>es</w:t>
      </w:r>
      <w:r w:rsidRPr="007D2A94">
        <w:rPr>
          <w:sz w:val="18"/>
          <w:lang w:val="es-MX"/>
        </w:rPr>
        <w:t xml:space="preserve"> “</w:t>
      </w:r>
      <w:r w:rsidRPr="007D2A94">
        <w:rPr>
          <w:i/>
          <w:sz w:val="18"/>
        </w:rPr>
        <w:t>3.4 Metodología para definir precios de referencia</w:t>
      </w:r>
      <w:r w:rsidRPr="007D2A94">
        <w:rPr>
          <w:sz w:val="18"/>
          <w:lang w:val="es-MX"/>
        </w:rPr>
        <w:t xml:space="preserve">” </w:t>
      </w:r>
      <w:r w:rsidRPr="007D2A94">
        <w:rPr>
          <w:sz w:val="18"/>
          <w:lang w:val="es-MX"/>
        </w:rPr>
        <w:t>y “</w:t>
      </w:r>
      <w:r w:rsidRPr="007D2A94">
        <w:rPr>
          <w:i/>
          <w:sz w:val="18"/>
        </w:rPr>
        <w:t>3.6 Precio de referencia</w:t>
      </w:r>
      <w:r w:rsidRPr="007D2A94">
        <w:rPr>
          <w:sz w:val="18"/>
        </w:rPr>
        <w:t xml:space="preserve">” </w:t>
      </w:r>
      <w:r w:rsidRPr="007D2A94">
        <w:rPr>
          <w:sz w:val="18"/>
          <w:lang w:val="es-MX"/>
        </w:rPr>
        <w:t>en la “</w:t>
      </w:r>
      <w:r w:rsidRPr="007D2A94">
        <w:rPr>
          <w:i/>
          <w:sz w:val="18"/>
          <w:lang w:val="es-MX"/>
        </w:rPr>
        <w:t>Consulta Pública sobre el “Modelo de Costos Evitados para los servicios de reventa provistos por el Agente Económico Preponderante en el marco de la Oferta de Referencia de Desagregación</w:t>
      </w:r>
      <w:r w:rsidRPr="007D2A94">
        <w:rPr>
          <w:sz w:val="18"/>
          <w:lang w:val="es-MX"/>
        </w:rPr>
        <w:t xml:space="preserve">”. Disponible en la siguiente liga electrónica: </w:t>
      </w:r>
      <w:hyperlink r:id="rId3" w:history="1">
        <w:r w:rsidRPr="007D2A94">
          <w:rPr>
            <w:rStyle w:val="Hipervnculo"/>
            <w:sz w:val="18"/>
            <w:lang w:val="es-MX"/>
          </w:rPr>
          <w:t>https://www.ift.org.mx/sites/default/files/industria/temasrelevantes/consultaspublicas/documentos/02-comentarios-megacable-consulta-publica-modelo-de-costos-evitados.pdf</w:t>
        </w:r>
      </w:hyperlink>
      <w:r w:rsidRPr="007D2A94">
        <w:rPr>
          <w:sz w:val="18"/>
          <w:lang w:val="es-MX"/>
        </w:rPr>
        <w:t xml:space="preserve"> </w:t>
      </w:r>
    </w:p>
  </w:footnote>
  <w:footnote w:id="8">
    <w:p w14:paraId="445A47D5" w14:textId="77777777" w:rsidR="00865314" w:rsidRPr="0017085C" w:rsidRDefault="00865314" w:rsidP="0017085C">
      <w:pPr>
        <w:pStyle w:val="Textonotapie"/>
        <w:jc w:val="both"/>
        <w:rPr>
          <w:sz w:val="18"/>
          <w:lang w:val="es-MX"/>
        </w:rPr>
      </w:pPr>
      <w:r w:rsidRPr="0017085C">
        <w:rPr>
          <w:rStyle w:val="Refdenotaalpie"/>
          <w:sz w:val="18"/>
        </w:rPr>
        <w:footnoteRef/>
      </w:r>
      <w:r w:rsidRPr="0017085C">
        <w:rPr>
          <w:sz w:val="18"/>
        </w:rPr>
        <w:t xml:space="preserve"> Autorizado por el Instituto mediante Acuerdo P/IFT/EXT/111218/24, en los cuales se definen un conjunto de costos para la atención de clientes minoristas de</w:t>
      </w:r>
      <w:r w:rsidRPr="0017085C">
        <w:rPr>
          <w:sz w:val="18"/>
          <w:lang w:val="es-MX"/>
        </w:rPr>
        <w:t xml:space="preserve"> primera línea, mercadotecnia y publicidad, deuda incobrable, facturación a usuarios finales, asistencia técnica de primera línea, margen de beneficio, entre otros para ofrecer el servicio minorista</w:t>
      </w:r>
      <w:r w:rsidRPr="0017085C">
        <w:rPr>
          <w:sz w:val="18"/>
        </w:rPr>
        <w:t>.</w:t>
      </w:r>
    </w:p>
  </w:footnote>
  <w:footnote w:id="9">
    <w:p w14:paraId="7055B8E3" w14:textId="2FCE3E8E" w:rsidR="00865314" w:rsidRPr="00552D17" w:rsidRDefault="00865314" w:rsidP="0017085C">
      <w:pPr>
        <w:pStyle w:val="Textonotapie"/>
        <w:jc w:val="both"/>
        <w:rPr>
          <w:lang w:val="es-MX"/>
        </w:rPr>
      </w:pPr>
      <w:r w:rsidRPr="0017085C">
        <w:rPr>
          <w:rStyle w:val="Refdenotaalpie"/>
          <w:sz w:val="18"/>
        </w:rPr>
        <w:footnoteRef/>
      </w:r>
      <w:r w:rsidRPr="0017085C">
        <w:rPr>
          <w:sz w:val="18"/>
        </w:rPr>
        <w:t xml:space="preserve"> </w:t>
      </w:r>
      <w:r w:rsidRPr="0017085C">
        <w:rPr>
          <w:sz w:val="18"/>
          <w:lang w:val="es-MX"/>
        </w:rPr>
        <w:t>Comentario que realizó el APSM con relación al numeral “</w:t>
      </w:r>
      <w:r w:rsidRPr="0017085C">
        <w:rPr>
          <w:i/>
          <w:sz w:val="18"/>
          <w:lang w:val="es-MX"/>
        </w:rPr>
        <w:t>3.7 Definición de conceptos de costos evitados</w:t>
      </w:r>
      <w:r w:rsidRPr="0017085C">
        <w:rPr>
          <w:sz w:val="18"/>
          <w:lang w:val="es-MX"/>
        </w:rPr>
        <w:t>” en la “</w:t>
      </w:r>
      <w:r w:rsidRPr="0017085C">
        <w:rPr>
          <w:i/>
          <w:sz w:val="18"/>
          <w:lang w:val="es-MX"/>
        </w:rPr>
        <w:t>Consulta Pública sobre el “Modelo de Costos Evitados para los servicios de reventa provistos por el Agente Económico Preponderante en el marco de la Oferta de Referencia de Desagregación</w:t>
      </w:r>
      <w:r w:rsidRPr="0017085C">
        <w:rPr>
          <w:sz w:val="18"/>
          <w:lang w:val="es-MX"/>
        </w:rPr>
        <w:t xml:space="preserve">”. Disponible en la siguiente liga electrónica: </w:t>
      </w:r>
      <w:hyperlink r:id="rId4" w:history="1">
        <w:r w:rsidRPr="0017085C">
          <w:rPr>
            <w:rStyle w:val="Hipervnculo"/>
            <w:sz w:val="18"/>
            <w:lang w:val="es-MX"/>
          </w:rPr>
          <w:t>https://www.ift.org.mx/sites/default/files/industria/temasrelevantes/consultaspublicas/documentos/02-comentarios-megacable-consulta-publica-modelo-de-costos-evitados.pdf</w:t>
        </w:r>
      </w:hyperlink>
      <w:r w:rsidRPr="0017085C">
        <w:rPr>
          <w:sz w:val="18"/>
          <w:lang w:val="es-MX"/>
        </w:rPr>
        <w:t xml:space="preserve"> </w:t>
      </w:r>
    </w:p>
  </w:footnote>
  <w:footnote w:id="10">
    <w:p w14:paraId="568284D4" w14:textId="77777777" w:rsidR="00865314" w:rsidRPr="0017085C" w:rsidRDefault="00865314" w:rsidP="0017085C">
      <w:pPr>
        <w:pStyle w:val="Textonotapie"/>
        <w:jc w:val="both"/>
        <w:rPr>
          <w:sz w:val="18"/>
          <w:szCs w:val="18"/>
          <w:lang w:val="es-MX"/>
        </w:rPr>
      </w:pPr>
      <w:r w:rsidRPr="0017085C">
        <w:rPr>
          <w:rStyle w:val="Refdenotaalpie"/>
          <w:sz w:val="18"/>
          <w:szCs w:val="18"/>
        </w:rPr>
        <w:footnoteRef/>
      </w:r>
      <w:r w:rsidRPr="0017085C">
        <w:rPr>
          <w:sz w:val="18"/>
          <w:szCs w:val="18"/>
        </w:rPr>
        <w:t xml:space="preserve"> </w:t>
      </w:r>
      <w:r w:rsidRPr="0017085C">
        <w:rPr>
          <w:sz w:val="18"/>
          <w:szCs w:val="18"/>
          <w:lang w:val="es-MX"/>
        </w:rPr>
        <w:t xml:space="preserve">Disponibles en la siguiente liga electrónica: </w:t>
      </w:r>
      <w:hyperlink r:id="rId5" w:anchor="gsc.tab=0" w:history="1">
        <w:r w:rsidRPr="0017085C">
          <w:rPr>
            <w:rStyle w:val="Hipervnculo"/>
            <w:sz w:val="18"/>
            <w:szCs w:val="18"/>
            <w:lang w:val="es-MX"/>
          </w:rPr>
          <w:t>https://dof.gob.mx/nota_detalle.php?codigo=5584775&amp;fecha=24/01/2020#gsc.tab=0</w:t>
        </w:r>
      </w:hyperlink>
      <w:r w:rsidRPr="0017085C">
        <w:rPr>
          <w:sz w:val="18"/>
          <w:szCs w:val="18"/>
          <w:lang w:val="es-MX"/>
        </w:rPr>
        <w:t xml:space="preserve"> </w:t>
      </w:r>
    </w:p>
  </w:footnote>
  <w:footnote w:id="11">
    <w:p w14:paraId="682E99AC" w14:textId="77777777" w:rsidR="00865314" w:rsidRPr="00E049C8" w:rsidRDefault="00865314" w:rsidP="0017085C">
      <w:pPr>
        <w:pStyle w:val="Textonotapie"/>
        <w:jc w:val="both"/>
        <w:rPr>
          <w:lang w:val="es-MX"/>
        </w:rPr>
      </w:pPr>
      <w:r w:rsidRPr="0017085C">
        <w:rPr>
          <w:rStyle w:val="Refdenotaalpie"/>
          <w:sz w:val="18"/>
          <w:szCs w:val="18"/>
        </w:rPr>
        <w:footnoteRef/>
      </w:r>
      <w:r w:rsidRPr="0017085C">
        <w:rPr>
          <w:sz w:val="18"/>
          <w:szCs w:val="18"/>
        </w:rPr>
        <w:t xml:space="preserve"> </w:t>
      </w:r>
      <w:r w:rsidRPr="0017085C">
        <w:rPr>
          <w:sz w:val="18"/>
          <w:szCs w:val="18"/>
          <w:lang w:val="es-MX"/>
        </w:rPr>
        <w:t>Capítulo III de los Lineamientos de entrega de información.</w:t>
      </w:r>
    </w:p>
  </w:footnote>
  <w:footnote w:id="12">
    <w:p w14:paraId="756C4214" w14:textId="6C9A17EE" w:rsidR="00865314" w:rsidRPr="0017085C" w:rsidRDefault="00865314" w:rsidP="00865314">
      <w:pPr>
        <w:pStyle w:val="Textonotapie"/>
        <w:jc w:val="both"/>
        <w:rPr>
          <w:sz w:val="18"/>
          <w:szCs w:val="18"/>
          <w:lang w:val="es-MX"/>
        </w:rPr>
      </w:pPr>
      <w:r w:rsidRPr="0017085C">
        <w:rPr>
          <w:rStyle w:val="Refdenotaalpie"/>
          <w:sz w:val="18"/>
          <w:szCs w:val="18"/>
        </w:rPr>
        <w:footnoteRef/>
      </w:r>
      <w:r w:rsidRPr="0017085C">
        <w:rPr>
          <w:sz w:val="18"/>
          <w:szCs w:val="18"/>
        </w:rPr>
        <w:t xml:space="preserve"> </w:t>
      </w:r>
      <w:r w:rsidRPr="0017085C">
        <w:rPr>
          <w:sz w:val="18"/>
          <w:szCs w:val="18"/>
          <w:lang w:val="es-MX"/>
        </w:rPr>
        <w:t xml:space="preserve">Disponible en la siguiente liga electrónica: </w:t>
      </w:r>
      <w:hyperlink r:id="rId6" w:history="1">
        <w:r w:rsidRPr="0017085C">
          <w:rPr>
            <w:rStyle w:val="Hipervnculo"/>
            <w:sz w:val="18"/>
            <w:szCs w:val="18"/>
            <w:lang w:val="es-MX"/>
          </w:rPr>
          <w:t>https://www.ift.org.mx/industria/consultas-publicas/consulta-publica-sobre-la-propuesta-de-oferta-de-referencia-del-servicio-mayorista-de-reventa-del</w:t>
        </w:r>
      </w:hyperlink>
      <w:r w:rsidRPr="0017085C">
        <w:rPr>
          <w:sz w:val="18"/>
          <w:szCs w:val="18"/>
          <w:lang w:val="es-MX"/>
        </w:rPr>
        <w:t xml:space="preserve"> </w:t>
      </w:r>
    </w:p>
  </w:footnote>
  <w:footnote w:id="13">
    <w:p w14:paraId="6F60AA68" w14:textId="7F873069" w:rsidR="00865314" w:rsidRPr="0017085C" w:rsidRDefault="00865314" w:rsidP="00865314">
      <w:pPr>
        <w:pStyle w:val="Textonotapie"/>
        <w:jc w:val="both"/>
        <w:rPr>
          <w:sz w:val="18"/>
          <w:szCs w:val="18"/>
          <w:lang w:val="es-MX"/>
        </w:rPr>
      </w:pPr>
      <w:r w:rsidRPr="0017085C">
        <w:rPr>
          <w:rStyle w:val="Refdenotaalpie"/>
          <w:sz w:val="18"/>
          <w:szCs w:val="18"/>
        </w:rPr>
        <w:footnoteRef/>
      </w:r>
      <w:r w:rsidRPr="0017085C">
        <w:rPr>
          <w:sz w:val="18"/>
          <w:szCs w:val="18"/>
        </w:rPr>
        <w:t xml:space="preserve"> </w:t>
      </w:r>
      <w:r w:rsidRPr="0017085C">
        <w:rPr>
          <w:sz w:val="18"/>
          <w:szCs w:val="18"/>
          <w:lang w:val="es-MX"/>
        </w:rPr>
        <w:t>Denominada como “</w:t>
      </w:r>
      <w:r w:rsidRPr="0017085C">
        <w:rPr>
          <w:sz w:val="18"/>
          <w:szCs w:val="18"/>
        </w:rPr>
        <w:t>Elementos de la metodología de Costos Evitados para la determinación del servicio mayorista de reventa que se propone al IFT”</w:t>
      </w:r>
    </w:p>
  </w:footnote>
  <w:footnote w:id="14">
    <w:p w14:paraId="7925A073" w14:textId="558539B0" w:rsidR="00865314" w:rsidRPr="00865314" w:rsidRDefault="00865314" w:rsidP="00865314">
      <w:pPr>
        <w:pStyle w:val="Textonotapie"/>
        <w:jc w:val="both"/>
        <w:rPr>
          <w:lang w:val="es-MX"/>
        </w:rPr>
      </w:pPr>
      <w:r w:rsidRPr="0017085C">
        <w:rPr>
          <w:rStyle w:val="Refdenotaalpie"/>
          <w:sz w:val="18"/>
          <w:szCs w:val="18"/>
        </w:rPr>
        <w:footnoteRef/>
      </w:r>
      <w:r w:rsidRPr="0017085C">
        <w:rPr>
          <w:sz w:val="18"/>
          <w:szCs w:val="18"/>
        </w:rPr>
        <w:t xml:space="preserve"> </w:t>
      </w:r>
      <w:r w:rsidRPr="0017085C">
        <w:rPr>
          <w:sz w:val="18"/>
          <w:szCs w:val="18"/>
          <w:lang w:val="es-MX"/>
        </w:rPr>
        <w:t>Comentario que realizó el APSM en la “</w:t>
      </w:r>
      <w:r w:rsidRPr="0017085C">
        <w:rPr>
          <w:i/>
          <w:sz w:val="18"/>
          <w:szCs w:val="18"/>
          <w:lang w:val="es-MX"/>
        </w:rPr>
        <w:t>Consulta Pública sobre el “Modelo de Costos Evitados para los servicios de reventa provistos por el Agente Económico Preponderante en el marco de la Oferta de Referencia de Desagregación</w:t>
      </w:r>
      <w:r w:rsidRPr="0017085C">
        <w:rPr>
          <w:sz w:val="18"/>
          <w:szCs w:val="18"/>
          <w:lang w:val="es-MX"/>
        </w:rPr>
        <w:t xml:space="preserve">”. Disponible en la siguiente liga electrónica: </w:t>
      </w:r>
      <w:hyperlink r:id="rId7" w:history="1">
        <w:r w:rsidRPr="0017085C">
          <w:rPr>
            <w:rStyle w:val="Hipervnculo"/>
            <w:sz w:val="18"/>
            <w:szCs w:val="18"/>
            <w:lang w:val="es-MX"/>
          </w:rPr>
          <w:t>https://www.ift.org.mx/sites/default/files/industria/temasrelevantes/consultaspublicas/documentos/02-comentarios-megacable-consulta-publica-modelo-de-costos-evitados.pdf</w:t>
        </w:r>
      </w:hyperlink>
      <w:r>
        <w:rPr>
          <w:lang w:val="es-MX"/>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76F31"/>
    <w:multiLevelType w:val="hybridMultilevel"/>
    <w:tmpl w:val="7ECE19A8"/>
    <w:lvl w:ilvl="0" w:tplc="CA7A2AD6">
      <w:start w:val="1"/>
      <w:numFmt w:val="bullet"/>
      <w:lvlText w:val=""/>
      <w:lvlJc w:val="left"/>
      <w:pPr>
        <w:ind w:left="1530" w:hanging="360"/>
      </w:pPr>
      <w:rPr>
        <w:rFonts w:ascii="Symbol" w:hAnsi="Symbol" w:hint="default"/>
      </w:rPr>
    </w:lvl>
    <w:lvl w:ilvl="1" w:tplc="080A0003" w:tentative="1">
      <w:start w:val="1"/>
      <w:numFmt w:val="bullet"/>
      <w:lvlText w:val="o"/>
      <w:lvlJc w:val="left"/>
      <w:pPr>
        <w:ind w:left="2250" w:hanging="360"/>
      </w:pPr>
      <w:rPr>
        <w:rFonts w:ascii="Courier New" w:hAnsi="Courier New" w:cs="Courier New" w:hint="default"/>
      </w:rPr>
    </w:lvl>
    <w:lvl w:ilvl="2" w:tplc="080A0005" w:tentative="1">
      <w:start w:val="1"/>
      <w:numFmt w:val="bullet"/>
      <w:lvlText w:val=""/>
      <w:lvlJc w:val="left"/>
      <w:pPr>
        <w:ind w:left="2970" w:hanging="360"/>
      </w:pPr>
      <w:rPr>
        <w:rFonts w:ascii="Wingdings" w:hAnsi="Wingdings" w:hint="default"/>
      </w:rPr>
    </w:lvl>
    <w:lvl w:ilvl="3" w:tplc="080A0001" w:tentative="1">
      <w:start w:val="1"/>
      <w:numFmt w:val="bullet"/>
      <w:lvlText w:val=""/>
      <w:lvlJc w:val="left"/>
      <w:pPr>
        <w:ind w:left="3690" w:hanging="360"/>
      </w:pPr>
      <w:rPr>
        <w:rFonts w:ascii="Symbol" w:hAnsi="Symbol" w:hint="default"/>
      </w:rPr>
    </w:lvl>
    <w:lvl w:ilvl="4" w:tplc="080A0003" w:tentative="1">
      <w:start w:val="1"/>
      <w:numFmt w:val="bullet"/>
      <w:lvlText w:val="o"/>
      <w:lvlJc w:val="left"/>
      <w:pPr>
        <w:ind w:left="4410" w:hanging="360"/>
      </w:pPr>
      <w:rPr>
        <w:rFonts w:ascii="Courier New" w:hAnsi="Courier New" w:cs="Courier New" w:hint="default"/>
      </w:rPr>
    </w:lvl>
    <w:lvl w:ilvl="5" w:tplc="080A0005" w:tentative="1">
      <w:start w:val="1"/>
      <w:numFmt w:val="bullet"/>
      <w:lvlText w:val=""/>
      <w:lvlJc w:val="left"/>
      <w:pPr>
        <w:ind w:left="5130" w:hanging="360"/>
      </w:pPr>
      <w:rPr>
        <w:rFonts w:ascii="Wingdings" w:hAnsi="Wingdings" w:hint="default"/>
      </w:rPr>
    </w:lvl>
    <w:lvl w:ilvl="6" w:tplc="080A0001" w:tentative="1">
      <w:start w:val="1"/>
      <w:numFmt w:val="bullet"/>
      <w:lvlText w:val=""/>
      <w:lvlJc w:val="left"/>
      <w:pPr>
        <w:ind w:left="5850" w:hanging="360"/>
      </w:pPr>
      <w:rPr>
        <w:rFonts w:ascii="Symbol" w:hAnsi="Symbol" w:hint="default"/>
      </w:rPr>
    </w:lvl>
    <w:lvl w:ilvl="7" w:tplc="080A0003" w:tentative="1">
      <w:start w:val="1"/>
      <w:numFmt w:val="bullet"/>
      <w:lvlText w:val="o"/>
      <w:lvlJc w:val="left"/>
      <w:pPr>
        <w:ind w:left="6570" w:hanging="360"/>
      </w:pPr>
      <w:rPr>
        <w:rFonts w:ascii="Courier New" w:hAnsi="Courier New" w:cs="Courier New" w:hint="default"/>
      </w:rPr>
    </w:lvl>
    <w:lvl w:ilvl="8" w:tplc="080A0005" w:tentative="1">
      <w:start w:val="1"/>
      <w:numFmt w:val="bullet"/>
      <w:lvlText w:val=""/>
      <w:lvlJc w:val="left"/>
      <w:pPr>
        <w:ind w:left="7290" w:hanging="360"/>
      </w:pPr>
      <w:rPr>
        <w:rFonts w:ascii="Wingdings" w:hAnsi="Wingdings" w:hint="default"/>
      </w:rPr>
    </w:lvl>
  </w:abstractNum>
  <w:abstractNum w:abstractNumId="1" w15:restartNumberingAfterBreak="0">
    <w:nsid w:val="100E2AE0"/>
    <w:multiLevelType w:val="hybridMultilevel"/>
    <w:tmpl w:val="06008E9C"/>
    <w:lvl w:ilvl="0" w:tplc="080A0017">
      <w:start w:val="1"/>
      <w:numFmt w:val="lowerLetter"/>
      <w:lvlText w:val="%1)"/>
      <w:lvlJc w:val="left"/>
      <w:pPr>
        <w:ind w:left="2308" w:hanging="360"/>
      </w:pPr>
    </w:lvl>
    <w:lvl w:ilvl="1" w:tplc="080A0019" w:tentative="1">
      <w:start w:val="1"/>
      <w:numFmt w:val="lowerLetter"/>
      <w:lvlText w:val="%2."/>
      <w:lvlJc w:val="left"/>
      <w:pPr>
        <w:ind w:left="3028" w:hanging="360"/>
      </w:pPr>
    </w:lvl>
    <w:lvl w:ilvl="2" w:tplc="080A001B" w:tentative="1">
      <w:start w:val="1"/>
      <w:numFmt w:val="lowerRoman"/>
      <w:lvlText w:val="%3."/>
      <w:lvlJc w:val="right"/>
      <w:pPr>
        <w:ind w:left="3748" w:hanging="180"/>
      </w:pPr>
    </w:lvl>
    <w:lvl w:ilvl="3" w:tplc="080A000F" w:tentative="1">
      <w:start w:val="1"/>
      <w:numFmt w:val="decimal"/>
      <w:lvlText w:val="%4."/>
      <w:lvlJc w:val="left"/>
      <w:pPr>
        <w:ind w:left="4468" w:hanging="360"/>
      </w:pPr>
    </w:lvl>
    <w:lvl w:ilvl="4" w:tplc="080A0019" w:tentative="1">
      <w:start w:val="1"/>
      <w:numFmt w:val="lowerLetter"/>
      <w:lvlText w:val="%5."/>
      <w:lvlJc w:val="left"/>
      <w:pPr>
        <w:ind w:left="5188" w:hanging="360"/>
      </w:pPr>
    </w:lvl>
    <w:lvl w:ilvl="5" w:tplc="080A001B" w:tentative="1">
      <w:start w:val="1"/>
      <w:numFmt w:val="lowerRoman"/>
      <w:lvlText w:val="%6."/>
      <w:lvlJc w:val="right"/>
      <w:pPr>
        <w:ind w:left="5908" w:hanging="180"/>
      </w:pPr>
    </w:lvl>
    <w:lvl w:ilvl="6" w:tplc="080A000F" w:tentative="1">
      <w:start w:val="1"/>
      <w:numFmt w:val="decimal"/>
      <w:lvlText w:val="%7."/>
      <w:lvlJc w:val="left"/>
      <w:pPr>
        <w:ind w:left="6628" w:hanging="360"/>
      </w:pPr>
    </w:lvl>
    <w:lvl w:ilvl="7" w:tplc="080A0019" w:tentative="1">
      <w:start w:val="1"/>
      <w:numFmt w:val="lowerLetter"/>
      <w:lvlText w:val="%8."/>
      <w:lvlJc w:val="left"/>
      <w:pPr>
        <w:ind w:left="7348" w:hanging="360"/>
      </w:pPr>
    </w:lvl>
    <w:lvl w:ilvl="8" w:tplc="080A001B" w:tentative="1">
      <w:start w:val="1"/>
      <w:numFmt w:val="lowerRoman"/>
      <w:lvlText w:val="%9."/>
      <w:lvlJc w:val="right"/>
      <w:pPr>
        <w:ind w:left="8068" w:hanging="180"/>
      </w:pPr>
    </w:lvl>
  </w:abstractNum>
  <w:abstractNum w:abstractNumId="2" w15:restartNumberingAfterBreak="0">
    <w:nsid w:val="1C5A5AD6"/>
    <w:multiLevelType w:val="hybridMultilevel"/>
    <w:tmpl w:val="4BB60DC8"/>
    <w:lvl w:ilvl="0" w:tplc="080A0001">
      <w:start w:val="1"/>
      <w:numFmt w:val="bullet"/>
      <w:lvlText w:val=""/>
      <w:lvlJc w:val="left"/>
      <w:pPr>
        <w:ind w:left="1068" w:hanging="360"/>
      </w:pPr>
      <w:rPr>
        <w:rFonts w:ascii="Symbol" w:hAnsi="Symbol"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2C0C114F"/>
    <w:multiLevelType w:val="hybridMultilevel"/>
    <w:tmpl w:val="12EC6E70"/>
    <w:lvl w:ilvl="0" w:tplc="E278C12A">
      <w:start w:val="1"/>
      <w:numFmt w:val="decimal"/>
      <w:lvlText w:val="%1."/>
      <w:lvlJc w:val="left"/>
      <w:pPr>
        <w:ind w:left="1170" w:hanging="360"/>
      </w:pPr>
      <w:rPr>
        <w:rFonts w:hint="default"/>
      </w:rPr>
    </w:lvl>
    <w:lvl w:ilvl="1" w:tplc="080A0019" w:tentative="1">
      <w:start w:val="1"/>
      <w:numFmt w:val="lowerLetter"/>
      <w:lvlText w:val="%2."/>
      <w:lvlJc w:val="left"/>
      <w:pPr>
        <w:ind w:left="1890" w:hanging="360"/>
      </w:pPr>
    </w:lvl>
    <w:lvl w:ilvl="2" w:tplc="080A001B" w:tentative="1">
      <w:start w:val="1"/>
      <w:numFmt w:val="lowerRoman"/>
      <w:lvlText w:val="%3."/>
      <w:lvlJc w:val="right"/>
      <w:pPr>
        <w:ind w:left="2610" w:hanging="180"/>
      </w:pPr>
    </w:lvl>
    <w:lvl w:ilvl="3" w:tplc="080A000F" w:tentative="1">
      <w:start w:val="1"/>
      <w:numFmt w:val="decimal"/>
      <w:lvlText w:val="%4."/>
      <w:lvlJc w:val="left"/>
      <w:pPr>
        <w:ind w:left="3330" w:hanging="360"/>
      </w:pPr>
    </w:lvl>
    <w:lvl w:ilvl="4" w:tplc="080A0019" w:tentative="1">
      <w:start w:val="1"/>
      <w:numFmt w:val="lowerLetter"/>
      <w:lvlText w:val="%5."/>
      <w:lvlJc w:val="left"/>
      <w:pPr>
        <w:ind w:left="4050" w:hanging="360"/>
      </w:pPr>
    </w:lvl>
    <w:lvl w:ilvl="5" w:tplc="080A001B" w:tentative="1">
      <w:start w:val="1"/>
      <w:numFmt w:val="lowerRoman"/>
      <w:lvlText w:val="%6."/>
      <w:lvlJc w:val="right"/>
      <w:pPr>
        <w:ind w:left="4770" w:hanging="180"/>
      </w:pPr>
    </w:lvl>
    <w:lvl w:ilvl="6" w:tplc="080A000F" w:tentative="1">
      <w:start w:val="1"/>
      <w:numFmt w:val="decimal"/>
      <w:lvlText w:val="%7."/>
      <w:lvlJc w:val="left"/>
      <w:pPr>
        <w:ind w:left="5490" w:hanging="360"/>
      </w:pPr>
    </w:lvl>
    <w:lvl w:ilvl="7" w:tplc="080A0019" w:tentative="1">
      <w:start w:val="1"/>
      <w:numFmt w:val="lowerLetter"/>
      <w:lvlText w:val="%8."/>
      <w:lvlJc w:val="left"/>
      <w:pPr>
        <w:ind w:left="6210" w:hanging="360"/>
      </w:pPr>
    </w:lvl>
    <w:lvl w:ilvl="8" w:tplc="080A001B" w:tentative="1">
      <w:start w:val="1"/>
      <w:numFmt w:val="lowerRoman"/>
      <w:lvlText w:val="%9."/>
      <w:lvlJc w:val="right"/>
      <w:pPr>
        <w:ind w:left="6930" w:hanging="180"/>
      </w:pPr>
    </w:lvl>
  </w:abstractNum>
  <w:abstractNum w:abstractNumId="4" w15:restartNumberingAfterBreak="0">
    <w:nsid w:val="2E4A19AF"/>
    <w:multiLevelType w:val="hybridMultilevel"/>
    <w:tmpl w:val="C39E14F6"/>
    <w:lvl w:ilvl="0" w:tplc="6B24A72C">
      <w:numFmt w:val="bullet"/>
      <w:lvlText w:val="-"/>
      <w:lvlJc w:val="left"/>
      <w:pPr>
        <w:ind w:left="1440" w:hanging="630"/>
      </w:pPr>
      <w:rPr>
        <w:rFonts w:ascii="Arial" w:eastAsia="Arial" w:hAnsi="Arial" w:cs="Arial" w:hint="default"/>
      </w:rPr>
    </w:lvl>
    <w:lvl w:ilvl="1" w:tplc="080A0003" w:tentative="1">
      <w:start w:val="1"/>
      <w:numFmt w:val="bullet"/>
      <w:lvlText w:val="o"/>
      <w:lvlJc w:val="left"/>
      <w:pPr>
        <w:ind w:left="1890" w:hanging="360"/>
      </w:pPr>
      <w:rPr>
        <w:rFonts w:ascii="Courier New" w:hAnsi="Courier New" w:cs="Courier New" w:hint="default"/>
      </w:rPr>
    </w:lvl>
    <w:lvl w:ilvl="2" w:tplc="080A0005" w:tentative="1">
      <w:start w:val="1"/>
      <w:numFmt w:val="bullet"/>
      <w:lvlText w:val=""/>
      <w:lvlJc w:val="left"/>
      <w:pPr>
        <w:ind w:left="2610" w:hanging="360"/>
      </w:pPr>
      <w:rPr>
        <w:rFonts w:ascii="Wingdings" w:hAnsi="Wingdings" w:hint="default"/>
      </w:rPr>
    </w:lvl>
    <w:lvl w:ilvl="3" w:tplc="080A0001" w:tentative="1">
      <w:start w:val="1"/>
      <w:numFmt w:val="bullet"/>
      <w:lvlText w:val=""/>
      <w:lvlJc w:val="left"/>
      <w:pPr>
        <w:ind w:left="3330" w:hanging="360"/>
      </w:pPr>
      <w:rPr>
        <w:rFonts w:ascii="Symbol" w:hAnsi="Symbol" w:hint="default"/>
      </w:rPr>
    </w:lvl>
    <w:lvl w:ilvl="4" w:tplc="080A0003" w:tentative="1">
      <w:start w:val="1"/>
      <w:numFmt w:val="bullet"/>
      <w:lvlText w:val="o"/>
      <w:lvlJc w:val="left"/>
      <w:pPr>
        <w:ind w:left="4050" w:hanging="360"/>
      </w:pPr>
      <w:rPr>
        <w:rFonts w:ascii="Courier New" w:hAnsi="Courier New" w:cs="Courier New" w:hint="default"/>
      </w:rPr>
    </w:lvl>
    <w:lvl w:ilvl="5" w:tplc="080A0005" w:tentative="1">
      <w:start w:val="1"/>
      <w:numFmt w:val="bullet"/>
      <w:lvlText w:val=""/>
      <w:lvlJc w:val="left"/>
      <w:pPr>
        <w:ind w:left="4770" w:hanging="360"/>
      </w:pPr>
      <w:rPr>
        <w:rFonts w:ascii="Wingdings" w:hAnsi="Wingdings" w:hint="default"/>
      </w:rPr>
    </w:lvl>
    <w:lvl w:ilvl="6" w:tplc="080A0001" w:tentative="1">
      <w:start w:val="1"/>
      <w:numFmt w:val="bullet"/>
      <w:lvlText w:val=""/>
      <w:lvlJc w:val="left"/>
      <w:pPr>
        <w:ind w:left="5490" w:hanging="360"/>
      </w:pPr>
      <w:rPr>
        <w:rFonts w:ascii="Symbol" w:hAnsi="Symbol" w:hint="default"/>
      </w:rPr>
    </w:lvl>
    <w:lvl w:ilvl="7" w:tplc="080A0003" w:tentative="1">
      <w:start w:val="1"/>
      <w:numFmt w:val="bullet"/>
      <w:lvlText w:val="o"/>
      <w:lvlJc w:val="left"/>
      <w:pPr>
        <w:ind w:left="6210" w:hanging="360"/>
      </w:pPr>
      <w:rPr>
        <w:rFonts w:ascii="Courier New" w:hAnsi="Courier New" w:cs="Courier New" w:hint="default"/>
      </w:rPr>
    </w:lvl>
    <w:lvl w:ilvl="8" w:tplc="080A0005" w:tentative="1">
      <w:start w:val="1"/>
      <w:numFmt w:val="bullet"/>
      <w:lvlText w:val=""/>
      <w:lvlJc w:val="left"/>
      <w:pPr>
        <w:ind w:left="6930" w:hanging="360"/>
      </w:pPr>
      <w:rPr>
        <w:rFonts w:ascii="Wingdings" w:hAnsi="Wingdings" w:hint="default"/>
      </w:rPr>
    </w:lvl>
  </w:abstractNum>
  <w:abstractNum w:abstractNumId="5" w15:restartNumberingAfterBreak="0">
    <w:nsid w:val="31263F31"/>
    <w:multiLevelType w:val="hybridMultilevel"/>
    <w:tmpl w:val="EB8638C4"/>
    <w:lvl w:ilvl="0" w:tplc="080A0015">
      <w:start w:val="1"/>
      <w:numFmt w:val="upperLetter"/>
      <w:lvlText w:val="%1."/>
      <w:lvlJc w:val="left"/>
      <w:pPr>
        <w:ind w:left="1530" w:hanging="360"/>
      </w:pPr>
    </w:lvl>
    <w:lvl w:ilvl="1" w:tplc="080A0019" w:tentative="1">
      <w:start w:val="1"/>
      <w:numFmt w:val="lowerLetter"/>
      <w:lvlText w:val="%2."/>
      <w:lvlJc w:val="left"/>
      <w:pPr>
        <w:ind w:left="2250" w:hanging="360"/>
      </w:pPr>
    </w:lvl>
    <w:lvl w:ilvl="2" w:tplc="080A001B" w:tentative="1">
      <w:start w:val="1"/>
      <w:numFmt w:val="lowerRoman"/>
      <w:lvlText w:val="%3."/>
      <w:lvlJc w:val="right"/>
      <w:pPr>
        <w:ind w:left="2970" w:hanging="180"/>
      </w:pPr>
    </w:lvl>
    <w:lvl w:ilvl="3" w:tplc="080A000F" w:tentative="1">
      <w:start w:val="1"/>
      <w:numFmt w:val="decimal"/>
      <w:lvlText w:val="%4."/>
      <w:lvlJc w:val="left"/>
      <w:pPr>
        <w:ind w:left="3690" w:hanging="360"/>
      </w:pPr>
    </w:lvl>
    <w:lvl w:ilvl="4" w:tplc="080A0019" w:tentative="1">
      <w:start w:val="1"/>
      <w:numFmt w:val="lowerLetter"/>
      <w:lvlText w:val="%5."/>
      <w:lvlJc w:val="left"/>
      <w:pPr>
        <w:ind w:left="4410" w:hanging="360"/>
      </w:pPr>
    </w:lvl>
    <w:lvl w:ilvl="5" w:tplc="080A001B" w:tentative="1">
      <w:start w:val="1"/>
      <w:numFmt w:val="lowerRoman"/>
      <w:lvlText w:val="%6."/>
      <w:lvlJc w:val="right"/>
      <w:pPr>
        <w:ind w:left="5130" w:hanging="180"/>
      </w:pPr>
    </w:lvl>
    <w:lvl w:ilvl="6" w:tplc="080A000F" w:tentative="1">
      <w:start w:val="1"/>
      <w:numFmt w:val="decimal"/>
      <w:lvlText w:val="%7."/>
      <w:lvlJc w:val="left"/>
      <w:pPr>
        <w:ind w:left="5850" w:hanging="360"/>
      </w:pPr>
    </w:lvl>
    <w:lvl w:ilvl="7" w:tplc="080A0019" w:tentative="1">
      <w:start w:val="1"/>
      <w:numFmt w:val="lowerLetter"/>
      <w:lvlText w:val="%8."/>
      <w:lvlJc w:val="left"/>
      <w:pPr>
        <w:ind w:left="6570" w:hanging="360"/>
      </w:pPr>
    </w:lvl>
    <w:lvl w:ilvl="8" w:tplc="080A001B" w:tentative="1">
      <w:start w:val="1"/>
      <w:numFmt w:val="lowerRoman"/>
      <w:lvlText w:val="%9."/>
      <w:lvlJc w:val="right"/>
      <w:pPr>
        <w:ind w:left="7290" w:hanging="180"/>
      </w:pPr>
    </w:lvl>
  </w:abstractNum>
  <w:abstractNum w:abstractNumId="6" w15:restartNumberingAfterBreak="0">
    <w:nsid w:val="32940594"/>
    <w:multiLevelType w:val="hybridMultilevel"/>
    <w:tmpl w:val="66623808"/>
    <w:lvl w:ilvl="0" w:tplc="080A0001">
      <w:start w:val="1"/>
      <w:numFmt w:val="bullet"/>
      <w:lvlText w:val=""/>
      <w:lvlJc w:val="left"/>
      <w:pPr>
        <w:ind w:left="1530" w:hanging="360"/>
      </w:pPr>
      <w:rPr>
        <w:rFonts w:ascii="Symbol" w:hAnsi="Symbol" w:hint="default"/>
      </w:rPr>
    </w:lvl>
    <w:lvl w:ilvl="1" w:tplc="080A0003" w:tentative="1">
      <w:start w:val="1"/>
      <w:numFmt w:val="bullet"/>
      <w:lvlText w:val="o"/>
      <w:lvlJc w:val="left"/>
      <w:pPr>
        <w:ind w:left="2250" w:hanging="360"/>
      </w:pPr>
      <w:rPr>
        <w:rFonts w:ascii="Courier New" w:hAnsi="Courier New" w:cs="Courier New" w:hint="default"/>
      </w:rPr>
    </w:lvl>
    <w:lvl w:ilvl="2" w:tplc="080A0005" w:tentative="1">
      <w:start w:val="1"/>
      <w:numFmt w:val="bullet"/>
      <w:lvlText w:val=""/>
      <w:lvlJc w:val="left"/>
      <w:pPr>
        <w:ind w:left="2970" w:hanging="360"/>
      </w:pPr>
      <w:rPr>
        <w:rFonts w:ascii="Wingdings" w:hAnsi="Wingdings" w:hint="default"/>
      </w:rPr>
    </w:lvl>
    <w:lvl w:ilvl="3" w:tplc="080A0001" w:tentative="1">
      <w:start w:val="1"/>
      <w:numFmt w:val="bullet"/>
      <w:lvlText w:val=""/>
      <w:lvlJc w:val="left"/>
      <w:pPr>
        <w:ind w:left="3690" w:hanging="360"/>
      </w:pPr>
      <w:rPr>
        <w:rFonts w:ascii="Symbol" w:hAnsi="Symbol" w:hint="default"/>
      </w:rPr>
    </w:lvl>
    <w:lvl w:ilvl="4" w:tplc="080A0003" w:tentative="1">
      <w:start w:val="1"/>
      <w:numFmt w:val="bullet"/>
      <w:lvlText w:val="o"/>
      <w:lvlJc w:val="left"/>
      <w:pPr>
        <w:ind w:left="4410" w:hanging="360"/>
      </w:pPr>
      <w:rPr>
        <w:rFonts w:ascii="Courier New" w:hAnsi="Courier New" w:cs="Courier New" w:hint="default"/>
      </w:rPr>
    </w:lvl>
    <w:lvl w:ilvl="5" w:tplc="080A0005" w:tentative="1">
      <w:start w:val="1"/>
      <w:numFmt w:val="bullet"/>
      <w:lvlText w:val=""/>
      <w:lvlJc w:val="left"/>
      <w:pPr>
        <w:ind w:left="5130" w:hanging="360"/>
      </w:pPr>
      <w:rPr>
        <w:rFonts w:ascii="Wingdings" w:hAnsi="Wingdings" w:hint="default"/>
      </w:rPr>
    </w:lvl>
    <w:lvl w:ilvl="6" w:tplc="080A0001" w:tentative="1">
      <w:start w:val="1"/>
      <w:numFmt w:val="bullet"/>
      <w:lvlText w:val=""/>
      <w:lvlJc w:val="left"/>
      <w:pPr>
        <w:ind w:left="5850" w:hanging="360"/>
      </w:pPr>
      <w:rPr>
        <w:rFonts w:ascii="Symbol" w:hAnsi="Symbol" w:hint="default"/>
      </w:rPr>
    </w:lvl>
    <w:lvl w:ilvl="7" w:tplc="080A0003" w:tentative="1">
      <w:start w:val="1"/>
      <w:numFmt w:val="bullet"/>
      <w:lvlText w:val="o"/>
      <w:lvlJc w:val="left"/>
      <w:pPr>
        <w:ind w:left="6570" w:hanging="360"/>
      </w:pPr>
      <w:rPr>
        <w:rFonts w:ascii="Courier New" w:hAnsi="Courier New" w:cs="Courier New" w:hint="default"/>
      </w:rPr>
    </w:lvl>
    <w:lvl w:ilvl="8" w:tplc="080A0005" w:tentative="1">
      <w:start w:val="1"/>
      <w:numFmt w:val="bullet"/>
      <w:lvlText w:val=""/>
      <w:lvlJc w:val="left"/>
      <w:pPr>
        <w:ind w:left="7290" w:hanging="360"/>
      </w:pPr>
      <w:rPr>
        <w:rFonts w:ascii="Wingdings" w:hAnsi="Wingdings" w:hint="default"/>
      </w:rPr>
    </w:lvl>
  </w:abstractNum>
  <w:abstractNum w:abstractNumId="7" w15:restartNumberingAfterBreak="0">
    <w:nsid w:val="3B9D3F1B"/>
    <w:multiLevelType w:val="hybridMultilevel"/>
    <w:tmpl w:val="33EAF930"/>
    <w:lvl w:ilvl="0" w:tplc="3EE89478">
      <w:start w:val="1"/>
      <w:numFmt w:val="upperRoman"/>
      <w:lvlText w:val="%1."/>
      <w:lvlJc w:val="left"/>
      <w:pPr>
        <w:ind w:left="1531" w:hanging="480"/>
        <w:jc w:val="right"/>
      </w:pPr>
      <w:rPr>
        <w:rFonts w:ascii="Arial" w:eastAsia="Arial" w:hAnsi="Arial" w:cs="Arial" w:hint="default"/>
        <w:b/>
        <w:bCs/>
        <w:i w:val="0"/>
        <w:iCs w:val="0"/>
        <w:spacing w:val="-2"/>
        <w:w w:val="100"/>
        <w:sz w:val="22"/>
        <w:szCs w:val="22"/>
        <w:lang w:val="es-ES" w:eastAsia="en-US" w:bidi="ar-SA"/>
      </w:rPr>
    </w:lvl>
    <w:lvl w:ilvl="1" w:tplc="31804384">
      <w:start w:val="1"/>
      <w:numFmt w:val="upperRoman"/>
      <w:lvlText w:val="%2)"/>
      <w:lvlJc w:val="left"/>
      <w:pPr>
        <w:ind w:left="2406" w:hanging="781"/>
        <w:jc w:val="right"/>
      </w:pPr>
      <w:rPr>
        <w:rFonts w:ascii="Arial" w:eastAsia="Arial" w:hAnsi="Arial" w:cs="Arial" w:hint="default"/>
        <w:b/>
        <w:bCs/>
        <w:i w:val="0"/>
        <w:iCs w:val="0"/>
        <w:spacing w:val="-2"/>
        <w:w w:val="100"/>
        <w:position w:val="4"/>
        <w:sz w:val="22"/>
        <w:szCs w:val="22"/>
        <w:lang w:val="es-ES" w:eastAsia="en-US" w:bidi="ar-SA"/>
      </w:rPr>
    </w:lvl>
    <w:lvl w:ilvl="2" w:tplc="958C8806">
      <w:numFmt w:val="bullet"/>
      <w:lvlText w:val="•"/>
      <w:lvlJc w:val="left"/>
      <w:pPr>
        <w:ind w:left="3285" w:hanging="781"/>
      </w:pPr>
      <w:rPr>
        <w:rFonts w:hint="default"/>
        <w:lang w:val="es-ES" w:eastAsia="en-US" w:bidi="ar-SA"/>
      </w:rPr>
    </w:lvl>
    <w:lvl w:ilvl="3" w:tplc="DED2D5EA">
      <w:numFmt w:val="bullet"/>
      <w:lvlText w:val="•"/>
      <w:lvlJc w:val="left"/>
      <w:pPr>
        <w:ind w:left="4170" w:hanging="781"/>
      </w:pPr>
      <w:rPr>
        <w:rFonts w:hint="default"/>
        <w:lang w:val="es-ES" w:eastAsia="en-US" w:bidi="ar-SA"/>
      </w:rPr>
    </w:lvl>
    <w:lvl w:ilvl="4" w:tplc="2F7647E6">
      <w:numFmt w:val="bullet"/>
      <w:lvlText w:val="•"/>
      <w:lvlJc w:val="left"/>
      <w:pPr>
        <w:ind w:left="5055" w:hanging="781"/>
      </w:pPr>
      <w:rPr>
        <w:rFonts w:hint="default"/>
        <w:lang w:val="es-ES" w:eastAsia="en-US" w:bidi="ar-SA"/>
      </w:rPr>
    </w:lvl>
    <w:lvl w:ilvl="5" w:tplc="D46A9A76">
      <w:numFmt w:val="bullet"/>
      <w:lvlText w:val="•"/>
      <w:lvlJc w:val="left"/>
      <w:pPr>
        <w:ind w:left="5940" w:hanging="781"/>
      </w:pPr>
      <w:rPr>
        <w:rFonts w:hint="default"/>
        <w:lang w:val="es-ES" w:eastAsia="en-US" w:bidi="ar-SA"/>
      </w:rPr>
    </w:lvl>
    <w:lvl w:ilvl="6" w:tplc="3DE60F56">
      <w:numFmt w:val="bullet"/>
      <w:lvlText w:val="•"/>
      <w:lvlJc w:val="left"/>
      <w:pPr>
        <w:ind w:left="6825" w:hanging="781"/>
      </w:pPr>
      <w:rPr>
        <w:rFonts w:hint="default"/>
        <w:lang w:val="es-ES" w:eastAsia="en-US" w:bidi="ar-SA"/>
      </w:rPr>
    </w:lvl>
    <w:lvl w:ilvl="7" w:tplc="B0BEE7D8">
      <w:numFmt w:val="bullet"/>
      <w:lvlText w:val="•"/>
      <w:lvlJc w:val="left"/>
      <w:pPr>
        <w:ind w:left="7710" w:hanging="781"/>
      </w:pPr>
      <w:rPr>
        <w:rFonts w:hint="default"/>
        <w:lang w:val="es-ES" w:eastAsia="en-US" w:bidi="ar-SA"/>
      </w:rPr>
    </w:lvl>
    <w:lvl w:ilvl="8" w:tplc="EE04BD86">
      <w:numFmt w:val="bullet"/>
      <w:lvlText w:val="•"/>
      <w:lvlJc w:val="left"/>
      <w:pPr>
        <w:ind w:left="8595" w:hanging="781"/>
      </w:pPr>
      <w:rPr>
        <w:rFonts w:hint="default"/>
        <w:lang w:val="es-ES" w:eastAsia="en-US" w:bidi="ar-SA"/>
      </w:rPr>
    </w:lvl>
  </w:abstractNum>
  <w:abstractNum w:abstractNumId="8" w15:restartNumberingAfterBreak="0">
    <w:nsid w:val="3DC57A74"/>
    <w:multiLevelType w:val="hybridMultilevel"/>
    <w:tmpl w:val="2E1A26CE"/>
    <w:lvl w:ilvl="0" w:tplc="080A0001">
      <w:start w:val="1"/>
      <w:numFmt w:val="bullet"/>
      <w:lvlText w:val=""/>
      <w:lvlJc w:val="left"/>
      <w:pPr>
        <w:ind w:left="1530" w:hanging="360"/>
      </w:pPr>
      <w:rPr>
        <w:rFonts w:ascii="Symbol" w:hAnsi="Symbol" w:hint="default"/>
      </w:rPr>
    </w:lvl>
    <w:lvl w:ilvl="1" w:tplc="080A0003" w:tentative="1">
      <w:start w:val="1"/>
      <w:numFmt w:val="bullet"/>
      <w:lvlText w:val="o"/>
      <w:lvlJc w:val="left"/>
      <w:pPr>
        <w:ind w:left="2250" w:hanging="360"/>
      </w:pPr>
      <w:rPr>
        <w:rFonts w:ascii="Courier New" w:hAnsi="Courier New" w:cs="Courier New" w:hint="default"/>
      </w:rPr>
    </w:lvl>
    <w:lvl w:ilvl="2" w:tplc="080A0005" w:tentative="1">
      <w:start w:val="1"/>
      <w:numFmt w:val="bullet"/>
      <w:lvlText w:val=""/>
      <w:lvlJc w:val="left"/>
      <w:pPr>
        <w:ind w:left="2970" w:hanging="360"/>
      </w:pPr>
      <w:rPr>
        <w:rFonts w:ascii="Wingdings" w:hAnsi="Wingdings" w:hint="default"/>
      </w:rPr>
    </w:lvl>
    <w:lvl w:ilvl="3" w:tplc="080A0001" w:tentative="1">
      <w:start w:val="1"/>
      <w:numFmt w:val="bullet"/>
      <w:lvlText w:val=""/>
      <w:lvlJc w:val="left"/>
      <w:pPr>
        <w:ind w:left="3690" w:hanging="360"/>
      </w:pPr>
      <w:rPr>
        <w:rFonts w:ascii="Symbol" w:hAnsi="Symbol" w:hint="default"/>
      </w:rPr>
    </w:lvl>
    <w:lvl w:ilvl="4" w:tplc="080A0003" w:tentative="1">
      <w:start w:val="1"/>
      <w:numFmt w:val="bullet"/>
      <w:lvlText w:val="o"/>
      <w:lvlJc w:val="left"/>
      <w:pPr>
        <w:ind w:left="4410" w:hanging="360"/>
      </w:pPr>
      <w:rPr>
        <w:rFonts w:ascii="Courier New" w:hAnsi="Courier New" w:cs="Courier New" w:hint="default"/>
      </w:rPr>
    </w:lvl>
    <w:lvl w:ilvl="5" w:tplc="080A0005" w:tentative="1">
      <w:start w:val="1"/>
      <w:numFmt w:val="bullet"/>
      <w:lvlText w:val=""/>
      <w:lvlJc w:val="left"/>
      <w:pPr>
        <w:ind w:left="5130" w:hanging="360"/>
      </w:pPr>
      <w:rPr>
        <w:rFonts w:ascii="Wingdings" w:hAnsi="Wingdings" w:hint="default"/>
      </w:rPr>
    </w:lvl>
    <w:lvl w:ilvl="6" w:tplc="080A0001" w:tentative="1">
      <w:start w:val="1"/>
      <w:numFmt w:val="bullet"/>
      <w:lvlText w:val=""/>
      <w:lvlJc w:val="left"/>
      <w:pPr>
        <w:ind w:left="5850" w:hanging="360"/>
      </w:pPr>
      <w:rPr>
        <w:rFonts w:ascii="Symbol" w:hAnsi="Symbol" w:hint="default"/>
      </w:rPr>
    </w:lvl>
    <w:lvl w:ilvl="7" w:tplc="080A0003" w:tentative="1">
      <w:start w:val="1"/>
      <w:numFmt w:val="bullet"/>
      <w:lvlText w:val="o"/>
      <w:lvlJc w:val="left"/>
      <w:pPr>
        <w:ind w:left="6570" w:hanging="360"/>
      </w:pPr>
      <w:rPr>
        <w:rFonts w:ascii="Courier New" w:hAnsi="Courier New" w:cs="Courier New" w:hint="default"/>
      </w:rPr>
    </w:lvl>
    <w:lvl w:ilvl="8" w:tplc="080A0005" w:tentative="1">
      <w:start w:val="1"/>
      <w:numFmt w:val="bullet"/>
      <w:lvlText w:val=""/>
      <w:lvlJc w:val="left"/>
      <w:pPr>
        <w:ind w:left="7290" w:hanging="360"/>
      </w:pPr>
      <w:rPr>
        <w:rFonts w:ascii="Wingdings" w:hAnsi="Wingdings" w:hint="default"/>
      </w:rPr>
    </w:lvl>
  </w:abstractNum>
  <w:abstractNum w:abstractNumId="9" w15:restartNumberingAfterBreak="0">
    <w:nsid w:val="3FEA3485"/>
    <w:multiLevelType w:val="hybridMultilevel"/>
    <w:tmpl w:val="33EAF930"/>
    <w:lvl w:ilvl="0" w:tplc="3EE89478">
      <w:start w:val="1"/>
      <w:numFmt w:val="upperRoman"/>
      <w:lvlText w:val="%1."/>
      <w:lvlJc w:val="left"/>
      <w:pPr>
        <w:ind w:left="1531" w:hanging="480"/>
        <w:jc w:val="right"/>
      </w:pPr>
      <w:rPr>
        <w:rFonts w:ascii="Arial" w:eastAsia="Arial" w:hAnsi="Arial" w:cs="Arial" w:hint="default"/>
        <w:b/>
        <w:bCs/>
        <w:i w:val="0"/>
        <w:iCs w:val="0"/>
        <w:spacing w:val="-2"/>
        <w:w w:val="100"/>
        <w:sz w:val="22"/>
        <w:szCs w:val="22"/>
        <w:lang w:val="es-ES" w:eastAsia="en-US" w:bidi="ar-SA"/>
      </w:rPr>
    </w:lvl>
    <w:lvl w:ilvl="1" w:tplc="31804384">
      <w:start w:val="1"/>
      <w:numFmt w:val="upperRoman"/>
      <w:lvlText w:val="%2)"/>
      <w:lvlJc w:val="left"/>
      <w:pPr>
        <w:ind w:left="2406" w:hanging="781"/>
        <w:jc w:val="right"/>
      </w:pPr>
      <w:rPr>
        <w:rFonts w:ascii="Arial" w:eastAsia="Arial" w:hAnsi="Arial" w:cs="Arial" w:hint="default"/>
        <w:b/>
        <w:bCs/>
        <w:i w:val="0"/>
        <w:iCs w:val="0"/>
        <w:spacing w:val="-2"/>
        <w:w w:val="100"/>
        <w:position w:val="4"/>
        <w:sz w:val="22"/>
        <w:szCs w:val="22"/>
        <w:lang w:val="es-ES" w:eastAsia="en-US" w:bidi="ar-SA"/>
      </w:rPr>
    </w:lvl>
    <w:lvl w:ilvl="2" w:tplc="958C8806">
      <w:numFmt w:val="bullet"/>
      <w:lvlText w:val="•"/>
      <w:lvlJc w:val="left"/>
      <w:pPr>
        <w:ind w:left="3285" w:hanging="781"/>
      </w:pPr>
      <w:rPr>
        <w:rFonts w:hint="default"/>
        <w:lang w:val="es-ES" w:eastAsia="en-US" w:bidi="ar-SA"/>
      </w:rPr>
    </w:lvl>
    <w:lvl w:ilvl="3" w:tplc="DED2D5EA">
      <w:numFmt w:val="bullet"/>
      <w:lvlText w:val="•"/>
      <w:lvlJc w:val="left"/>
      <w:pPr>
        <w:ind w:left="4170" w:hanging="781"/>
      </w:pPr>
      <w:rPr>
        <w:rFonts w:hint="default"/>
        <w:lang w:val="es-ES" w:eastAsia="en-US" w:bidi="ar-SA"/>
      </w:rPr>
    </w:lvl>
    <w:lvl w:ilvl="4" w:tplc="2F7647E6">
      <w:numFmt w:val="bullet"/>
      <w:lvlText w:val="•"/>
      <w:lvlJc w:val="left"/>
      <w:pPr>
        <w:ind w:left="5055" w:hanging="781"/>
      </w:pPr>
      <w:rPr>
        <w:rFonts w:hint="default"/>
        <w:lang w:val="es-ES" w:eastAsia="en-US" w:bidi="ar-SA"/>
      </w:rPr>
    </w:lvl>
    <w:lvl w:ilvl="5" w:tplc="D46A9A76">
      <w:numFmt w:val="bullet"/>
      <w:lvlText w:val="•"/>
      <w:lvlJc w:val="left"/>
      <w:pPr>
        <w:ind w:left="5940" w:hanging="781"/>
      </w:pPr>
      <w:rPr>
        <w:rFonts w:hint="default"/>
        <w:lang w:val="es-ES" w:eastAsia="en-US" w:bidi="ar-SA"/>
      </w:rPr>
    </w:lvl>
    <w:lvl w:ilvl="6" w:tplc="3DE60F56">
      <w:numFmt w:val="bullet"/>
      <w:lvlText w:val="•"/>
      <w:lvlJc w:val="left"/>
      <w:pPr>
        <w:ind w:left="6825" w:hanging="781"/>
      </w:pPr>
      <w:rPr>
        <w:rFonts w:hint="default"/>
        <w:lang w:val="es-ES" w:eastAsia="en-US" w:bidi="ar-SA"/>
      </w:rPr>
    </w:lvl>
    <w:lvl w:ilvl="7" w:tplc="B0BEE7D8">
      <w:numFmt w:val="bullet"/>
      <w:lvlText w:val="•"/>
      <w:lvlJc w:val="left"/>
      <w:pPr>
        <w:ind w:left="7710" w:hanging="781"/>
      </w:pPr>
      <w:rPr>
        <w:rFonts w:hint="default"/>
        <w:lang w:val="es-ES" w:eastAsia="en-US" w:bidi="ar-SA"/>
      </w:rPr>
    </w:lvl>
    <w:lvl w:ilvl="8" w:tplc="EE04BD86">
      <w:numFmt w:val="bullet"/>
      <w:lvlText w:val="•"/>
      <w:lvlJc w:val="left"/>
      <w:pPr>
        <w:ind w:left="8595" w:hanging="781"/>
      </w:pPr>
      <w:rPr>
        <w:rFonts w:hint="default"/>
        <w:lang w:val="es-ES" w:eastAsia="en-US" w:bidi="ar-SA"/>
      </w:rPr>
    </w:lvl>
  </w:abstractNum>
  <w:abstractNum w:abstractNumId="10" w15:restartNumberingAfterBreak="0">
    <w:nsid w:val="574821AD"/>
    <w:multiLevelType w:val="hybridMultilevel"/>
    <w:tmpl w:val="F8264F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8B06CB2"/>
    <w:multiLevelType w:val="multilevel"/>
    <w:tmpl w:val="77EC1D8A"/>
    <w:lvl w:ilvl="0">
      <w:start w:val="1"/>
      <w:numFmt w:val="bullet"/>
      <w:lvlText w:val="-"/>
      <w:lvlJc w:val="left"/>
      <w:pPr>
        <w:ind w:left="720" w:hanging="360"/>
      </w:pPr>
      <w:rPr>
        <w:rFonts w:ascii="Courier New" w:hAnsi="Courier New" w:hint="default"/>
        <w:color w:val="auto"/>
        <w:sz w:val="16"/>
      </w:rPr>
    </w:lvl>
    <w:lvl w:ilvl="1">
      <w:start w:val="1"/>
      <w:numFmt w:val="bullet"/>
      <w:lvlText w:val=""/>
      <w:lvlJc w:val="left"/>
      <w:pPr>
        <w:ind w:left="1080" w:hanging="360"/>
      </w:pPr>
      <w:rPr>
        <w:rFonts w:ascii="Wingdings 3" w:hAnsi="Wingdings 3" w:cs="Wingdings" w:hint="default"/>
        <w:color w:val="70AD47" w:themeColor="accent6"/>
        <w:sz w:val="16"/>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Wingdings" w:hAnsi="Wingdings" w:cs="Wingdings" w:hint="default"/>
      </w:rPr>
    </w:lvl>
    <w:lvl w:ilvl="6">
      <w:start w:val="1"/>
      <w:numFmt w:val="bullet"/>
      <w:lvlText w:val=""/>
      <w:lvlJc w:val="left"/>
      <w:pPr>
        <w:ind w:left="2880" w:hanging="360"/>
      </w:pPr>
      <w:rPr>
        <w:rFonts w:ascii="Wingdings" w:hAnsi="Wingdings" w:cs="Wingdings"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2" w15:restartNumberingAfterBreak="0">
    <w:nsid w:val="697E6475"/>
    <w:multiLevelType w:val="hybridMultilevel"/>
    <w:tmpl w:val="33EAF930"/>
    <w:lvl w:ilvl="0" w:tplc="FFFFFFFF">
      <w:start w:val="1"/>
      <w:numFmt w:val="upperRoman"/>
      <w:lvlText w:val="%1."/>
      <w:lvlJc w:val="left"/>
      <w:pPr>
        <w:ind w:left="1531" w:hanging="480"/>
        <w:jc w:val="right"/>
      </w:pPr>
      <w:rPr>
        <w:rFonts w:ascii="Arial" w:eastAsia="Arial" w:hAnsi="Arial" w:cs="Arial" w:hint="default"/>
        <w:b/>
        <w:bCs/>
        <w:i w:val="0"/>
        <w:iCs w:val="0"/>
        <w:spacing w:val="-2"/>
        <w:w w:val="100"/>
        <w:sz w:val="22"/>
        <w:szCs w:val="22"/>
        <w:lang w:val="es-ES" w:eastAsia="en-US" w:bidi="ar-SA"/>
      </w:rPr>
    </w:lvl>
    <w:lvl w:ilvl="1" w:tplc="FFFFFFFF">
      <w:start w:val="1"/>
      <w:numFmt w:val="upperRoman"/>
      <w:lvlText w:val="%2)"/>
      <w:lvlJc w:val="left"/>
      <w:pPr>
        <w:ind w:left="2406" w:hanging="781"/>
        <w:jc w:val="right"/>
      </w:pPr>
      <w:rPr>
        <w:rFonts w:ascii="Arial" w:eastAsia="Arial" w:hAnsi="Arial" w:cs="Arial" w:hint="default"/>
        <w:b/>
        <w:bCs/>
        <w:i w:val="0"/>
        <w:iCs w:val="0"/>
        <w:spacing w:val="-2"/>
        <w:w w:val="100"/>
        <w:position w:val="4"/>
        <w:sz w:val="22"/>
        <w:szCs w:val="22"/>
        <w:lang w:val="es-ES" w:eastAsia="en-US" w:bidi="ar-SA"/>
      </w:rPr>
    </w:lvl>
    <w:lvl w:ilvl="2" w:tplc="FFFFFFFF">
      <w:numFmt w:val="bullet"/>
      <w:lvlText w:val="•"/>
      <w:lvlJc w:val="left"/>
      <w:pPr>
        <w:ind w:left="3285" w:hanging="781"/>
      </w:pPr>
      <w:rPr>
        <w:rFonts w:hint="default"/>
        <w:lang w:val="es-ES" w:eastAsia="en-US" w:bidi="ar-SA"/>
      </w:rPr>
    </w:lvl>
    <w:lvl w:ilvl="3" w:tplc="FFFFFFFF">
      <w:numFmt w:val="bullet"/>
      <w:lvlText w:val="•"/>
      <w:lvlJc w:val="left"/>
      <w:pPr>
        <w:ind w:left="4170" w:hanging="781"/>
      </w:pPr>
      <w:rPr>
        <w:rFonts w:hint="default"/>
        <w:lang w:val="es-ES" w:eastAsia="en-US" w:bidi="ar-SA"/>
      </w:rPr>
    </w:lvl>
    <w:lvl w:ilvl="4" w:tplc="FFFFFFFF">
      <w:numFmt w:val="bullet"/>
      <w:lvlText w:val="•"/>
      <w:lvlJc w:val="left"/>
      <w:pPr>
        <w:ind w:left="5055" w:hanging="781"/>
      </w:pPr>
      <w:rPr>
        <w:rFonts w:hint="default"/>
        <w:lang w:val="es-ES" w:eastAsia="en-US" w:bidi="ar-SA"/>
      </w:rPr>
    </w:lvl>
    <w:lvl w:ilvl="5" w:tplc="FFFFFFFF">
      <w:numFmt w:val="bullet"/>
      <w:lvlText w:val="•"/>
      <w:lvlJc w:val="left"/>
      <w:pPr>
        <w:ind w:left="5940" w:hanging="781"/>
      </w:pPr>
      <w:rPr>
        <w:rFonts w:hint="default"/>
        <w:lang w:val="es-ES" w:eastAsia="en-US" w:bidi="ar-SA"/>
      </w:rPr>
    </w:lvl>
    <w:lvl w:ilvl="6" w:tplc="FFFFFFFF">
      <w:numFmt w:val="bullet"/>
      <w:lvlText w:val="•"/>
      <w:lvlJc w:val="left"/>
      <w:pPr>
        <w:ind w:left="6825" w:hanging="781"/>
      </w:pPr>
      <w:rPr>
        <w:rFonts w:hint="default"/>
        <w:lang w:val="es-ES" w:eastAsia="en-US" w:bidi="ar-SA"/>
      </w:rPr>
    </w:lvl>
    <w:lvl w:ilvl="7" w:tplc="FFFFFFFF">
      <w:numFmt w:val="bullet"/>
      <w:lvlText w:val="•"/>
      <w:lvlJc w:val="left"/>
      <w:pPr>
        <w:ind w:left="7710" w:hanging="781"/>
      </w:pPr>
      <w:rPr>
        <w:rFonts w:hint="default"/>
        <w:lang w:val="es-ES" w:eastAsia="en-US" w:bidi="ar-SA"/>
      </w:rPr>
    </w:lvl>
    <w:lvl w:ilvl="8" w:tplc="FFFFFFFF">
      <w:numFmt w:val="bullet"/>
      <w:lvlText w:val="•"/>
      <w:lvlJc w:val="left"/>
      <w:pPr>
        <w:ind w:left="8595" w:hanging="781"/>
      </w:pPr>
      <w:rPr>
        <w:rFonts w:hint="default"/>
        <w:lang w:val="es-ES" w:eastAsia="en-US" w:bidi="ar-SA"/>
      </w:rPr>
    </w:lvl>
  </w:abstractNum>
  <w:abstractNum w:abstractNumId="13" w15:restartNumberingAfterBreak="0">
    <w:nsid w:val="785D5131"/>
    <w:multiLevelType w:val="hybridMultilevel"/>
    <w:tmpl w:val="130AE064"/>
    <w:lvl w:ilvl="0" w:tplc="080A0017">
      <w:start w:val="1"/>
      <w:numFmt w:val="lowerLetter"/>
      <w:lvlText w:val="%1)"/>
      <w:lvlJc w:val="left"/>
      <w:pPr>
        <w:ind w:left="1080" w:hanging="360"/>
      </w:pPr>
      <w:rPr>
        <w:rFonts w:hint="default"/>
      </w:rPr>
    </w:lvl>
    <w:lvl w:ilvl="1" w:tplc="D68C4BDE">
      <w:start w:val="1"/>
      <w:numFmt w:val="decimal"/>
      <w:lvlText w:val="%2)"/>
      <w:lvlJc w:val="left"/>
      <w:pPr>
        <w:ind w:left="1800" w:hanging="360"/>
      </w:pPr>
      <w:rPr>
        <w:rFonts w:hint="default"/>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790C0B8C"/>
    <w:multiLevelType w:val="hybridMultilevel"/>
    <w:tmpl w:val="27C4E2E6"/>
    <w:lvl w:ilvl="0" w:tplc="8B84B2AC">
      <w:start w:val="1"/>
      <w:numFmt w:val="decimal"/>
      <w:lvlText w:val="%1)"/>
      <w:lvlJc w:val="left"/>
      <w:pPr>
        <w:ind w:left="1170" w:hanging="360"/>
      </w:pPr>
      <w:rPr>
        <w:rFonts w:hint="default"/>
      </w:rPr>
    </w:lvl>
    <w:lvl w:ilvl="1" w:tplc="080A0019" w:tentative="1">
      <w:start w:val="1"/>
      <w:numFmt w:val="lowerLetter"/>
      <w:lvlText w:val="%2."/>
      <w:lvlJc w:val="left"/>
      <w:pPr>
        <w:ind w:left="1890" w:hanging="360"/>
      </w:pPr>
    </w:lvl>
    <w:lvl w:ilvl="2" w:tplc="080A001B" w:tentative="1">
      <w:start w:val="1"/>
      <w:numFmt w:val="lowerRoman"/>
      <w:lvlText w:val="%3."/>
      <w:lvlJc w:val="right"/>
      <w:pPr>
        <w:ind w:left="2610" w:hanging="180"/>
      </w:pPr>
    </w:lvl>
    <w:lvl w:ilvl="3" w:tplc="080A000F" w:tentative="1">
      <w:start w:val="1"/>
      <w:numFmt w:val="decimal"/>
      <w:lvlText w:val="%4."/>
      <w:lvlJc w:val="left"/>
      <w:pPr>
        <w:ind w:left="3330" w:hanging="360"/>
      </w:pPr>
    </w:lvl>
    <w:lvl w:ilvl="4" w:tplc="080A0019" w:tentative="1">
      <w:start w:val="1"/>
      <w:numFmt w:val="lowerLetter"/>
      <w:lvlText w:val="%5."/>
      <w:lvlJc w:val="left"/>
      <w:pPr>
        <w:ind w:left="4050" w:hanging="360"/>
      </w:pPr>
    </w:lvl>
    <w:lvl w:ilvl="5" w:tplc="080A001B" w:tentative="1">
      <w:start w:val="1"/>
      <w:numFmt w:val="lowerRoman"/>
      <w:lvlText w:val="%6."/>
      <w:lvlJc w:val="right"/>
      <w:pPr>
        <w:ind w:left="4770" w:hanging="180"/>
      </w:pPr>
    </w:lvl>
    <w:lvl w:ilvl="6" w:tplc="080A000F" w:tentative="1">
      <w:start w:val="1"/>
      <w:numFmt w:val="decimal"/>
      <w:lvlText w:val="%7."/>
      <w:lvlJc w:val="left"/>
      <w:pPr>
        <w:ind w:left="5490" w:hanging="360"/>
      </w:pPr>
    </w:lvl>
    <w:lvl w:ilvl="7" w:tplc="080A0019" w:tentative="1">
      <w:start w:val="1"/>
      <w:numFmt w:val="lowerLetter"/>
      <w:lvlText w:val="%8."/>
      <w:lvlJc w:val="left"/>
      <w:pPr>
        <w:ind w:left="6210" w:hanging="360"/>
      </w:pPr>
    </w:lvl>
    <w:lvl w:ilvl="8" w:tplc="080A001B" w:tentative="1">
      <w:start w:val="1"/>
      <w:numFmt w:val="lowerRoman"/>
      <w:lvlText w:val="%9."/>
      <w:lvlJc w:val="right"/>
      <w:pPr>
        <w:ind w:left="6930" w:hanging="180"/>
      </w:pPr>
    </w:lvl>
  </w:abstractNum>
  <w:abstractNum w:abstractNumId="15" w15:restartNumberingAfterBreak="0">
    <w:nsid w:val="794C1B4F"/>
    <w:multiLevelType w:val="hybridMultilevel"/>
    <w:tmpl w:val="B4FCD894"/>
    <w:lvl w:ilvl="0" w:tplc="080A0001">
      <w:start w:val="1"/>
      <w:numFmt w:val="bullet"/>
      <w:lvlText w:val=""/>
      <w:lvlJc w:val="left"/>
      <w:pPr>
        <w:ind w:left="1530" w:hanging="360"/>
      </w:pPr>
      <w:rPr>
        <w:rFonts w:ascii="Symbol" w:hAnsi="Symbol" w:hint="default"/>
      </w:rPr>
    </w:lvl>
    <w:lvl w:ilvl="1" w:tplc="080A0003" w:tentative="1">
      <w:start w:val="1"/>
      <w:numFmt w:val="bullet"/>
      <w:lvlText w:val="o"/>
      <w:lvlJc w:val="left"/>
      <w:pPr>
        <w:ind w:left="2250" w:hanging="360"/>
      </w:pPr>
      <w:rPr>
        <w:rFonts w:ascii="Courier New" w:hAnsi="Courier New" w:cs="Courier New" w:hint="default"/>
      </w:rPr>
    </w:lvl>
    <w:lvl w:ilvl="2" w:tplc="080A0005" w:tentative="1">
      <w:start w:val="1"/>
      <w:numFmt w:val="bullet"/>
      <w:lvlText w:val=""/>
      <w:lvlJc w:val="left"/>
      <w:pPr>
        <w:ind w:left="2970" w:hanging="360"/>
      </w:pPr>
      <w:rPr>
        <w:rFonts w:ascii="Wingdings" w:hAnsi="Wingdings" w:hint="default"/>
      </w:rPr>
    </w:lvl>
    <w:lvl w:ilvl="3" w:tplc="080A0001" w:tentative="1">
      <w:start w:val="1"/>
      <w:numFmt w:val="bullet"/>
      <w:lvlText w:val=""/>
      <w:lvlJc w:val="left"/>
      <w:pPr>
        <w:ind w:left="3690" w:hanging="360"/>
      </w:pPr>
      <w:rPr>
        <w:rFonts w:ascii="Symbol" w:hAnsi="Symbol" w:hint="default"/>
      </w:rPr>
    </w:lvl>
    <w:lvl w:ilvl="4" w:tplc="080A0003" w:tentative="1">
      <w:start w:val="1"/>
      <w:numFmt w:val="bullet"/>
      <w:lvlText w:val="o"/>
      <w:lvlJc w:val="left"/>
      <w:pPr>
        <w:ind w:left="4410" w:hanging="360"/>
      </w:pPr>
      <w:rPr>
        <w:rFonts w:ascii="Courier New" w:hAnsi="Courier New" w:cs="Courier New" w:hint="default"/>
      </w:rPr>
    </w:lvl>
    <w:lvl w:ilvl="5" w:tplc="080A0005" w:tentative="1">
      <w:start w:val="1"/>
      <w:numFmt w:val="bullet"/>
      <w:lvlText w:val=""/>
      <w:lvlJc w:val="left"/>
      <w:pPr>
        <w:ind w:left="5130" w:hanging="360"/>
      </w:pPr>
      <w:rPr>
        <w:rFonts w:ascii="Wingdings" w:hAnsi="Wingdings" w:hint="default"/>
      </w:rPr>
    </w:lvl>
    <w:lvl w:ilvl="6" w:tplc="080A0001" w:tentative="1">
      <w:start w:val="1"/>
      <w:numFmt w:val="bullet"/>
      <w:lvlText w:val=""/>
      <w:lvlJc w:val="left"/>
      <w:pPr>
        <w:ind w:left="5850" w:hanging="360"/>
      </w:pPr>
      <w:rPr>
        <w:rFonts w:ascii="Symbol" w:hAnsi="Symbol" w:hint="default"/>
      </w:rPr>
    </w:lvl>
    <w:lvl w:ilvl="7" w:tplc="080A0003" w:tentative="1">
      <w:start w:val="1"/>
      <w:numFmt w:val="bullet"/>
      <w:lvlText w:val="o"/>
      <w:lvlJc w:val="left"/>
      <w:pPr>
        <w:ind w:left="6570" w:hanging="360"/>
      </w:pPr>
      <w:rPr>
        <w:rFonts w:ascii="Courier New" w:hAnsi="Courier New" w:cs="Courier New" w:hint="default"/>
      </w:rPr>
    </w:lvl>
    <w:lvl w:ilvl="8" w:tplc="080A0005" w:tentative="1">
      <w:start w:val="1"/>
      <w:numFmt w:val="bullet"/>
      <w:lvlText w:val=""/>
      <w:lvlJc w:val="left"/>
      <w:pPr>
        <w:ind w:left="7290" w:hanging="360"/>
      </w:pPr>
      <w:rPr>
        <w:rFonts w:ascii="Wingdings" w:hAnsi="Wingdings" w:hint="default"/>
      </w:rPr>
    </w:lvl>
  </w:abstractNum>
  <w:num w:numId="1">
    <w:abstractNumId w:val="9"/>
  </w:num>
  <w:num w:numId="2">
    <w:abstractNumId w:val="7"/>
  </w:num>
  <w:num w:numId="3">
    <w:abstractNumId w:val="15"/>
  </w:num>
  <w:num w:numId="4">
    <w:abstractNumId w:val="6"/>
  </w:num>
  <w:num w:numId="5">
    <w:abstractNumId w:val="11"/>
  </w:num>
  <w:num w:numId="6">
    <w:abstractNumId w:val="13"/>
  </w:num>
  <w:num w:numId="7">
    <w:abstractNumId w:val="5"/>
  </w:num>
  <w:num w:numId="8">
    <w:abstractNumId w:val="4"/>
  </w:num>
  <w:num w:numId="9">
    <w:abstractNumId w:val="10"/>
  </w:num>
  <w:num w:numId="10">
    <w:abstractNumId w:val="3"/>
  </w:num>
  <w:num w:numId="11">
    <w:abstractNumId w:val="0"/>
  </w:num>
  <w:num w:numId="12">
    <w:abstractNumId w:val="1"/>
  </w:num>
  <w:num w:numId="13">
    <w:abstractNumId w:val="12"/>
  </w:num>
  <w:num w:numId="14">
    <w:abstractNumId w:val="14"/>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VData" w:val="ew0KICAiZG9jSUQiOiAiYzhjYmU3MzItNzU4OS00NDgxLWE0MDUtYTI3MmJhZDcwOWY2Ig0KfQ=="/>
    <w:docVar w:name="GVData0" w:val="(end)"/>
  </w:docVars>
  <w:rsids>
    <w:rsidRoot w:val="00682E20"/>
    <w:rsid w:val="00003AA0"/>
    <w:rsid w:val="00012023"/>
    <w:rsid w:val="00016AEF"/>
    <w:rsid w:val="00017D36"/>
    <w:rsid w:val="00020ABC"/>
    <w:rsid w:val="00031131"/>
    <w:rsid w:val="00031864"/>
    <w:rsid w:val="00031F16"/>
    <w:rsid w:val="00032802"/>
    <w:rsid w:val="00033284"/>
    <w:rsid w:val="00035189"/>
    <w:rsid w:val="000463A9"/>
    <w:rsid w:val="00046C5B"/>
    <w:rsid w:val="00046CFC"/>
    <w:rsid w:val="00051AE6"/>
    <w:rsid w:val="0005444E"/>
    <w:rsid w:val="00063149"/>
    <w:rsid w:val="00071DC6"/>
    <w:rsid w:val="00072407"/>
    <w:rsid w:val="00073882"/>
    <w:rsid w:val="00076733"/>
    <w:rsid w:val="00077F0E"/>
    <w:rsid w:val="00083245"/>
    <w:rsid w:val="0008386B"/>
    <w:rsid w:val="00083BC7"/>
    <w:rsid w:val="00083F4D"/>
    <w:rsid w:val="000847E5"/>
    <w:rsid w:val="000877E1"/>
    <w:rsid w:val="00091C88"/>
    <w:rsid w:val="00092E58"/>
    <w:rsid w:val="000965AB"/>
    <w:rsid w:val="00097673"/>
    <w:rsid w:val="000A3176"/>
    <w:rsid w:val="000A3478"/>
    <w:rsid w:val="000A550D"/>
    <w:rsid w:val="000A56C1"/>
    <w:rsid w:val="000A6B29"/>
    <w:rsid w:val="000B19C7"/>
    <w:rsid w:val="000B3938"/>
    <w:rsid w:val="000B5BFE"/>
    <w:rsid w:val="000C2A55"/>
    <w:rsid w:val="000C535F"/>
    <w:rsid w:val="000C62BC"/>
    <w:rsid w:val="000C6DE3"/>
    <w:rsid w:val="000D7D76"/>
    <w:rsid w:val="000E006A"/>
    <w:rsid w:val="000E58E2"/>
    <w:rsid w:val="000E59FA"/>
    <w:rsid w:val="000F0298"/>
    <w:rsid w:val="000F4500"/>
    <w:rsid w:val="000F471C"/>
    <w:rsid w:val="00100934"/>
    <w:rsid w:val="001015D7"/>
    <w:rsid w:val="00102F29"/>
    <w:rsid w:val="0010535A"/>
    <w:rsid w:val="00113EFF"/>
    <w:rsid w:val="00115B8A"/>
    <w:rsid w:val="00115E56"/>
    <w:rsid w:val="00122BA2"/>
    <w:rsid w:val="00122D1D"/>
    <w:rsid w:val="0012412D"/>
    <w:rsid w:val="0012555B"/>
    <w:rsid w:val="00127212"/>
    <w:rsid w:val="001317FD"/>
    <w:rsid w:val="00132200"/>
    <w:rsid w:val="0013379D"/>
    <w:rsid w:val="0013486A"/>
    <w:rsid w:val="00134942"/>
    <w:rsid w:val="00140A08"/>
    <w:rsid w:val="00144CF7"/>
    <w:rsid w:val="00145F3B"/>
    <w:rsid w:val="00146458"/>
    <w:rsid w:val="00152AD0"/>
    <w:rsid w:val="00152C3D"/>
    <w:rsid w:val="00153FFC"/>
    <w:rsid w:val="00160FB2"/>
    <w:rsid w:val="001633CE"/>
    <w:rsid w:val="0016643E"/>
    <w:rsid w:val="00166F61"/>
    <w:rsid w:val="00167661"/>
    <w:rsid w:val="00167928"/>
    <w:rsid w:val="0017085C"/>
    <w:rsid w:val="00172287"/>
    <w:rsid w:val="00172C57"/>
    <w:rsid w:val="0017317C"/>
    <w:rsid w:val="00173FF9"/>
    <w:rsid w:val="00175719"/>
    <w:rsid w:val="00181E7F"/>
    <w:rsid w:val="00184388"/>
    <w:rsid w:val="001A1C1F"/>
    <w:rsid w:val="001A3D59"/>
    <w:rsid w:val="001A5719"/>
    <w:rsid w:val="001B234D"/>
    <w:rsid w:val="001B350B"/>
    <w:rsid w:val="001C0412"/>
    <w:rsid w:val="001C1DC2"/>
    <w:rsid w:val="001C297C"/>
    <w:rsid w:val="001C34A1"/>
    <w:rsid w:val="001C3EC2"/>
    <w:rsid w:val="001D49F6"/>
    <w:rsid w:val="001D552E"/>
    <w:rsid w:val="001E11A6"/>
    <w:rsid w:val="001E1959"/>
    <w:rsid w:val="001E23D6"/>
    <w:rsid w:val="001E26CA"/>
    <w:rsid w:val="001F197D"/>
    <w:rsid w:val="001F36FB"/>
    <w:rsid w:val="001F5947"/>
    <w:rsid w:val="001F5D57"/>
    <w:rsid w:val="00200425"/>
    <w:rsid w:val="002113EF"/>
    <w:rsid w:val="00211823"/>
    <w:rsid w:val="00211998"/>
    <w:rsid w:val="00213BCA"/>
    <w:rsid w:val="00216D7C"/>
    <w:rsid w:val="00221774"/>
    <w:rsid w:val="0022223A"/>
    <w:rsid w:val="0022438E"/>
    <w:rsid w:val="00231E23"/>
    <w:rsid w:val="00233157"/>
    <w:rsid w:val="00233A5C"/>
    <w:rsid w:val="0023714C"/>
    <w:rsid w:val="002422B8"/>
    <w:rsid w:val="00243400"/>
    <w:rsid w:val="0024381A"/>
    <w:rsid w:val="00243C9C"/>
    <w:rsid w:val="002463DA"/>
    <w:rsid w:val="002503A5"/>
    <w:rsid w:val="00252368"/>
    <w:rsid w:val="00255ACF"/>
    <w:rsid w:val="0025611B"/>
    <w:rsid w:val="00257FCB"/>
    <w:rsid w:val="00262594"/>
    <w:rsid w:val="0026564C"/>
    <w:rsid w:val="00265D0C"/>
    <w:rsid w:val="00266B4E"/>
    <w:rsid w:val="00272B4D"/>
    <w:rsid w:val="002743F8"/>
    <w:rsid w:val="00276CA8"/>
    <w:rsid w:val="00277E0A"/>
    <w:rsid w:val="002801BF"/>
    <w:rsid w:val="002841EC"/>
    <w:rsid w:val="002868EB"/>
    <w:rsid w:val="00290A25"/>
    <w:rsid w:val="00291360"/>
    <w:rsid w:val="00293807"/>
    <w:rsid w:val="00293F74"/>
    <w:rsid w:val="00297CFB"/>
    <w:rsid w:val="002A1187"/>
    <w:rsid w:val="002A1435"/>
    <w:rsid w:val="002A2545"/>
    <w:rsid w:val="002A4140"/>
    <w:rsid w:val="002A4761"/>
    <w:rsid w:val="002A71D9"/>
    <w:rsid w:val="002B0110"/>
    <w:rsid w:val="002B0C26"/>
    <w:rsid w:val="002B1E4E"/>
    <w:rsid w:val="002B38D8"/>
    <w:rsid w:val="002B45A1"/>
    <w:rsid w:val="002B7C75"/>
    <w:rsid w:val="002C230F"/>
    <w:rsid w:val="002C747B"/>
    <w:rsid w:val="002D26C7"/>
    <w:rsid w:val="002D2BD4"/>
    <w:rsid w:val="002D3332"/>
    <w:rsid w:val="002D419E"/>
    <w:rsid w:val="002D5A8D"/>
    <w:rsid w:val="002E1E4C"/>
    <w:rsid w:val="002E3C03"/>
    <w:rsid w:val="002E6E86"/>
    <w:rsid w:val="002E6F29"/>
    <w:rsid w:val="002F0AE5"/>
    <w:rsid w:val="002F240B"/>
    <w:rsid w:val="002F2D65"/>
    <w:rsid w:val="002F3B9F"/>
    <w:rsid w:val="002F5309"/>
    <w:rsid w:val="0030105A"/>
    <w:rsid w:val="00302107"/>
    <w:rsid w:val="003023D1"/>
    <w:rsid w:val="00302750"/>
    <w:rsid w:val="00303DD4"/>
    <w:rsid w:val="0030744B"/>
    <w:rsid w:val="0031100C"/>
    <w:rsid w:val="00316047"/>
    <w:rsid w:val="003203B4"/>
    <w:rsid w:val="00320723"/>
    <w:rsid w:val="00321762"/>
    <w:rsid w:val="003250BF"/>
    <w:rsid w:val="003257B0"/>
    <w:rsid w:val="00327852"/>
    <w:rsid w:val="00330170"/>
    <w:rsid w:val="00330782"/>
    <w:rsid w:val="00330B7E"/>
    <w:rsid w:val="00333C52"/>
    <w:rsid w:val="00333CE3"/>
    <w:rsid w:val="0033765D"/>
    <w:rsid w:val="0033789B"/>
    <w:rsid w:val="00341BE5"/>
    <w:rsid w:val="00343E14"/>
    <w:rsid w:val="00354532"/>
    <w:rsid w:val="00357E78"/>
    <w:rsid w:val="00360D3E"/>
    <w:rsid w:val="003624EB"/>
    <w:rsid w:val="00362C90"/>
    <w:rsid w:val="0036358C"/>
    <w:rsid w:val="003715B9"/>
    <w:rsid w:val="003732E0"/>
    <w:rsid w:val="003736BA"/>
    <w:rsid w:val="00386A58"/>
    <w:rsid w:val="00386F3F"/>
    <w:rsid w:val="003875BB"/>
    <w:rsid w:val="003901FC"/>
    <w:rsid w:val="0039206A"/>
    <w:rsid w:val="003A2C3B"/>
    <w:rsid w:val="003A2FE1"/>
    <w:rsid w:val="003A364B"/>
    <w:rsid w:val="003A3DB6"/>
    <w:rsid w:val="003A3EE5"/>
    <w:rsid w:val="003A52A7"/>
    <w:rsid w:val="003B08B3"/>
    <w:rsid w:val="003B2498"/>
    <w:rsid w:val="003B4CF9"/>
    <w:rsid w:val="003B6567"/>
    <w:rsid w:val="003B713C"/>
    <w:rsid w:val="003C147F"/>
    <w:rsid w:val="003C21BC"/>
    <w:rsid w:val="003C6658"/>
    <w:rsid w:val="003C73C8"/>
    <w:rsid w:val="003D0484"/>
    <w:rsid w:val="003D1C3A"/>
    <w:rsid w:val="003D5876"/>
    <w:rsid w:val="003D7625"/>
    <w:rsid w:val="003F0AAD"/>
    <w:rsid w:val="003F1923"/>
    <w:rsid w:val="003F747E"/>
    <w:rsid w:val="003F78A7"/>
    <w:rsid w:val="00401677"/>
    <w:rsid w:val="004051A7"/>
    <w:rsid w:val="004065CF"/>
    <w:rsid w:val="00406605"/>
    <w:rsid w:val="00407507"/>
    <w:rsid w:val="00416FD2"/>
    <w:rsid w:val="004202FE"/>
    <w:rsid w:val="004266F6"/>
    <w:rsid w:val="00431441"/>
    <w:rsid w:val="00432305"/>
    <w:rsid w:val="00437FF3"/>
    <w:rsid w:val="00441FF8"/>
    <w:rsid w:val="0044575D"/>
    <w:rsid w:val="004541A8"/>
    <w:rsid w:val="004579F5"/>
    <w:rsid w:val="00460AD7"/>
    <w:rsid w:val="0046367D"/>
    <w:rsid w:val="00466FDA"/>
    <w:rsid w:val="00484A73"/>
    <w:rsid w:val="00486498"/>
    <w:rsid w:val="004921DB"/>
    <w:rsid w:val="004949D7"/>
    <w:rsid w:val="00496918"/>
    <w:rsid w:val="004A6255"/>
    <w:rsid w:val="004A7230"/>
    <w:rsid w:val="004A7C52"/>
    <w:rsid w:val="004B6E05"/>
    <w:rsid w:val="004C0AC3"/>
    <w:rsid w:val="004C227E"/>
    <w:rsid w:val="004C2D8C"/>
    <w:rsid w:val="004C462F"/>
    <w:rsid w:val="004C5D16"/>
    <w:rsid w:val="004D0716"/>
    <w:rsid w:val="004D2948"/>
    <w:rsid w:val="004D3129"/>
    <w:rsid w:val="004D7CB9"/>
    <w:rsid w:val="004E0017"/>
    <w:rsid w:val="004F18BA"/>
    <w:rsid w:val="004F5533"/>
    <w:rsid w:val="00503D90"/>
    <w:rsid w:val="005050E6"/>
    <w:rsid w:val="0050640B"/>
    <w:rsid w:val="00514DBB"/>
    <w:rsid w:val="005246CD"/>
    <w:rsid w:val="00530E87"/>
    <w:rsid w:val="005379EF"/>
    <w:rsid w:val="00537B8B"/>
    <w:rsid w:val="00543B79"/>
    <w:rsid w:val="0055104D"/>
    <w:rsid w:val="00551779"/>
    <w:rsid w:val="00551A7E"/>
    <w:rsid w:val="00551DCB"/>
    <w:rsid w:val="00552779"/>
    <w:rsid w:val="00552D17"/>
    <w:rsid w:val="005545A7"/>
    <w:rsid w:val="005547F3"/>
    <w:rsid w:val="00554DCF"/>
    <w:rsid w:val="0055606E"/>
    <w:rsid w:val="005576B6"/>
    <w:rsid w:val="005612BD"/>
    <w:rsid w:val="00562145"/>
    <w:rsid w:val="005709D5"/>
    <w:rsid w:val="00572BD6"/>
    <w:rsid w:val="00574E6A"/>
    <w:rsid w:val="00576147"/>
    <w:rsid w:val="005816F9"/>
    <w:rsid w:val="00585AE1"/>
    <w:rsid w:val="005912BD"/>
    <w:rsid w:val="00595302"/>
    <w:rsid w:val="0059610C"/>
    <w:rsid w:val="0059616E"/>
    <w:rsid w:val="00597C7D"/>
    <w:rsid w:val="005A3214"/>
    <w:rsid w:val="005A6C13"/>
    <w:rsid w:val="005C0EAD"/>
    <w:rsid w:val="005C4A1A"/>
    <w:rsid w:val="005C56DF"/>
    <w:rsid w:val="005D0AC9"/>
    <w:rsid w:val="005D5A13"/>
    <w:rsid w:val="005E096B"/>
    <w:rsid w:val="005E0F2F"/>
    <w:rsid w:val="005E3732"/>
    <w:rsid w:val="005E7821"/>
    <w:rsid w:val="005F1C8C"/>
    <w:rsid w:val="005F224E"/>
    <w:rsid w:val="005F2B99"/>
    <w:rsid w:val="005F4990"/>
    <w:rsid w:val="005F5245"/>
    <w:rsid w:val="0060129D"/>
    <w:rsid w:val="00602ACC"/>
    <w:rsid w:val="006042B4"/>
    <w:rsid w:val="006070D5"/>
    <w:rsid w:val="006243F3"/>
    <w:rsid w:val="006303FE"/>
    <w:rsid w:val="00631336"/>
    <w:rsid w:val="0063547C"/>
    <w:rsid w:val="0064287A"/>
    <w:rsid w:val="00644DE1"/>
    <w:rsid w:val="00645203"/>
    <w:rsid w:val="00647DAD"/>
    <w:rsid w:val="00647F1C"/>
    <w:rsid w:val="00654DB1"/>
    <w:rsid w:val="00655F6D"/>
    <w:rsid w:val="00660900"/>
    <w:rsid w:val="006625EA"/>
    <w:rsid w:val="00663661"/>
    <w:rsid w:val="00665A97"/>
    <w:rsid w:val="00671981"/>
    <w:rsid w:val="00672F2C"/>
    <w:rsid w:val="00673735"/>
    <w:rsid w:val="006740B2"/>
    <w:rsid w:val="00680A28"/>
    <w:rsid w:val="00680ECA"/>
    <w:rsid w:val="00682E20"/>
    <w:rsid w:val="006837B1"/>
    <w:rsid w:val="006860A2"/>
    <w:rsid w:val="00687577"/>
    <w:rsid w:val="00690F8C"/>
    <w:rsid w:val="006934AD"/>
    <w:rsid w:val="00693FAF"/>
    <w:rsid w:val="00694CF7"/>
    <w:rsid w:val="00695C8B"/>
    <w:rsid w:val="00696C86"/>
    <w:rsid w:val="006A1ED3"/>
    <w:rsid w:val="006A2451"/>
    <w:rsid w:val="006A2A6F"/>
    <w:rsid w:val="006A33C2"/>
    <w:rsid w:val="006A4E9D"/>
    <w:rsid w:val="006A52AB"/>
    <w:rsid w:val="006A53F8"/>
    <w:rsid w:val="006B21C2"/>
    <w:rsid w:val="006B28D7"/>
    <w:rsid w:val="006B4B9A"/>
    <w:rsid w:val="006C4A38"/>
    <w:rsid w:val="006D201C"/>
    <w:rsid w:val="006D5639"/>
    <w:rsid w:val="006D5ADE"/>
    <w:rsid w:val="006E0495"/>
    <w:rsid w:val="006E1BE6"/>
    <w:rsid w:val="006E50BF"/>
    <w:rsid w:val="006E7239"/>
    <w:rsid w:val="006E7EE0"/>
    <w:rsid w:val="006F57D1"/>
    <w:rsid w:val="006F72BF"/>
    <w:rsid w:val="0071004E"/>
    <w:rsid w:val="00712696"/>
    <w:rsid w:val="00717688"/>
    <w:rsid w:val="0073648D"/>
    <w:rsid w:val="00737FD6"/>
    <w:rsid w:val="00740446"/>
    <w:rsid w:val="007422ED"/>
    <w:rsid w:val="00743082"/>
    <w:rsid w:val="00746AD2"/>
    <w:rsid w:val="00752B87"/>
    <w:rsid w:val="00756396"/>
    <w:rsid w:val="00761362"/>
    <w:rsid w:val="00762B14"/>
    <w:rsid w:val="00765197"/>
    <w:rsid w:val="007671FF"/>
    <w:rsid w:val="007672F7"/>
    <w:rsid w:val="0076782F"/>
    <w:rsid w:val="00767E07"/>
    <w:rsid w:val="00771B0E"/>
    <w:rsid w:val="00772053"/>
    <w:rsid w:val="0077544A"/>
    <w:rsid w:val="00775DD9"/>
    <w:rsid w:val="00777F62"/>
    <w:rsid w:val="00784005"/>
    <w:rsid w:val="00785FAE"/>
    <w:rsid w:val="007872FA"/>
    <w:rsid w:val="00790E1D"/>
    <w:rsid w:val="007923EF"/>
    <w:rsid w:val="00792E78"/>
    <w:rsid w:val="0079458F"/>
    <w:rsid w:val="00795D82"/>
    <w:rsid w:val="007B1268"/>
    <w:rsid w:val="007B455D"/>
    <w:rsid w:val="007B7A4D"/>
    <w:rsid w:val="007C0337"/>
    <w:rsid w:val="007C0EDD"/>
    <w:rsid w:val="007C34DC"/>
    <w:rsid w:val="007C6F83"/>
    <w:rsid w:val="007D03A7"/>
    <w:rsid w:val="007D0982"/>
    <w:rsid w:val="007D25F4"/>
    <w:rsid w:val="007D2A94"/>
    <w:rsid w:val="007E2DF8"/>
    <w:rsid w:val="007F7482"/>
    <w:rsid w:val="007F790F"/>
    <w:rsid w:val="00801880"/>
    <w:rsid w:val="00805096"/>
    <w:rsid w:val="00811255"/>
    <w:rsid w:val="008145E7"/>
    <w:rsid w:val="0081599C"/>
    <w:rsid w:val="00815DCC"/>
    <w:rsid w:val="0081654D"/>
    <w:rsid w:val="0081717D"/>
    <w:rsid w:val="0082107F"/>
    <w:rsid w:val="00824A16"/>
    <w:rsid w:val="00826565"/>
    <w:rsid w:val="00826719"/>
    <w:rsid w:val="00826D85"/>
    <w:rsid w:val="00827220"/>
    <w:rsid w:val="00832913"/>
    <w:rsid w:val="00833761"/>
    <w:rsid w:val="00847731"/>
    <w:rsid w:val="008510F4"/>
    <w:rsid w:val="00851798"/>
    <w:rsid w:val="008517DA"/>
    <w:rsid w:val="0085197F"/>
    <w:rsid w:val="008528CE"/>
    <w:rsid w:val="008544C0"/>
    <w:rsid w:val="00865314"/>
    <w:rsid w:val="00867B74"/>
    <w:rsid w:val="00873A5E"/>
    <w:rsid w:val="00876260"/>
    <w:rsid w:val="00880D8B"/>
    <w:rsid w:val="0088299F"/>
    <w:rsid w:val="00890523"/>
    <w:rsid w:val="0089078B"/>
    <w:rsid w:val="00891291"/>
    <w:rsid w:val="00891CFF"/>
    <w:rsid w:val="00892DA2"/>
    <w:rsid w:val="00895B04"/>
    <w:rsid w:val="00895D35"/>
    <w:rsid w:val="008A2821"/>
    <w:rsid w:val="008A379C"/>
    <w:rsid w:val="008A4143"/>
    <w:rsid w:val="008A4DD3"/>
    <w:rsid w:val="008A5E41"/>
    <w:rsid w:val="008A6A6B"/>
    <w:rsid w:val="008B2F9E"/>
    <w:rsid w:val="008B4031"/>
    <w:rsid w:val="008B5FD2"/>
    <w:rsid w:val="008C3888"/>
    <w:rsid w:val="008C40E4"/>
    <w:rsid w:val="008C5BE6"/>
    <w:rsid w:val="008C6EF1"/>
    <w:rsid w:val="008D05F3"/>
    <w:rsid w:val="008D2F66"/>
    <w:rsid w:val="008D62A3"/>
    <w:rsid w:val="008D70D3"/>
    <w:rsid w:val="008E2859"/>
    <w:rsid w:val="008E5F72"/>
    <w:rsid w:val="008E6586"/>
    <w:rsid w:val="008F4B1E"/>
    <w:rsid w:val="008F5678"/>
    <w:rsid w:val="008F7689"/>
    <w:rsid w:val="00902476"/>
    <w:rsid w:val="00902F56"/>
    <w:rsid w:val="00904CDD"/>
    <w:rsid w:val="00912DA4"/>
    <w:rsid w:val="00915234"/>
    <w:rsid w:val="00917061"/>
    <w:rsid w:val="00920A0F"/>
    <w:rsid w:val="00923ABD"/>
    <w:rsid w:val="0092666B"/>
    <w:rsid w:val="00931469"/>
    <w:rsid w:val="009343C9"/>
    <w:rsid w:val="009401C6"/>
    <w:rsid w:val="00942EAD"/>
    <w:rsid w:val="00944DB5"/>
    <w:rsid w:val="009469F6"/>
    <w:rsid w:val="00950E0E"/>
    <w:rsid w:val="00951286"/>
    <w:rsid w:val="009605CD"/>
    <w:rsid w:val="00961F2E"/>
    <w:rsid w:val="00962A7B"/>
    <w:rsid w:val="0096499D"/>
    <w:rsid w:val="00977848"/>
    <w:rsid w:val="00982165"/>
    <w:rsid w:val="009828E1"/>
    <w:rsid w:val="009923CA"/>
    <w:rsid w:val="009932C8"/>
    <w:rsid w:val="00997441"/>
    <w:rsid w:val="009A36A7"/>
    <w:rsid w:val="009A6586"/>
    <w:rsid w:val="009B1C65"/>
    <w:rsid w:val="009B2660"/>
    <w:rsid w:val="009B5EBA"/>
    <w:rsid w:val="009D344F"/>
    <w:rsid w:val="009D55E5"/>
    <w:rsid w:val="009E20A2"/>
    <w:rsid w:val="009E2459"/>
    <w:rsid w:val="009E6070"/>
    <w:rsid w:val="009F04D9"/>
    <w:rsid w:val="009F3A33"/>
    <w:rsid w:val="009F3B0F"/>
    <w:rsid w:val="009F718C"/>
    <w:rsid w:val="00A01957"/>
    <w:rsid w:val="00A0295F"/>
    <w:rsid w:val="00A06B33"/>
    <w:rsid w:val="00A07BB8"/>
    <w:rsid w:val="00A07CBE"/>
    <w:rsid w:val="00A10C21"/>
    <w:rsid w:val="00A11A21"/>
    <w:rsid w:val="00A13EA1"/>
    <w:rsid w:val="00A15794"/>
    <w:rsid w:val="00A15E0F"/>
    <w:rsid w:val="00A15E68"/>
    <w:rsid w:val="00A2070E"/>
    <w:rsid w:val="00A23085"/>
    <w:rsid w:val="00A23A50"/>
    <w:rsid w:val="00A254C3"/>
    <w:rsid w:val="00A25E77"/>
    <w:rsid w:val="00A3087E"/>
    <w:rsid w:val="00A331C1"/>
    <w:rsid w:val="00A3451E"/>
    <w:rsid w:val="00A37EBF"/>
    <w:rsid w:val="00A4210C"/>
    <w:rsid w:val="00A4323C"/>
    <w:rsid w:val="00A4460E"/>
    <w:rsid w:val="00A46B0C"/>
    <w:rsid w:val="00A47708"/>
    <w:rsid w:val="00A5037C"/>
    <w:rsid w:val="00A56944"/>
    <w:rsid w:val="00A56AC4"/>
    <w:rsid w:val="00A574CF"/>
    <w:rsid w:val="00A62139"/>
    <w:rsid w:val="00A66926"/>
    <w:rsid w:val="00A718C1"/>
    <w:rsid w:val="00A71E52"/>
    <w:rsid w:val="00A742B7"/>
    <w:rsid w:val="00A74358"/>
    <w:rsid w:val="00A813B2"/>
    <w:rsid w:val="00A816FE"/>
    <w:rsid w:val="00A8189E"/>
    <w:rsid w:val="00A8219D"/>
    <w:rsid w:val="00A83D6A"/>
    <w:rsid w:val="00A85E17"/>
    <w:rsid w:val="00A86034"/>
    <w:rsid w:val="00A86927"/>
    <w:rsid w:val="00A97F93"/>
    <w:rsid w:val="00AA1D0E"/>
    <w:rsid w:val="00AA2760"/>
    <w:rsid w:val="00AA3FBC"/>
    <w:rsid w:val="00AB0E29"/>
    <w:rsid w:val="00AB22BB"/>
    <w:rsid w:val="00AB23D1"/>
    <w:rsid w:val="00AB4E67"/>
    <w:rsid w:val="00AB4FE0"/>
    <w:rsid w:val="00AB79CD"/>
    <w:rsid w:val="00AC0534"/>
    <w:rsid w:val="00AC11FD"/>
    <w:rsid w:val="00AC444F"/>
    <w:rsid w:val="00AD0EFC"/>
    <w:rsid w:val="00AE0645"/>
    <w:rsid w:val="00AE0739"/>
    <w:rsid w:val="00AE0B09"/>
    <w:rsid w:val="00AE3FCC"/>
    <w:rsid w:val="00AE469D"/>
    <w:rsid w:val="00AE4E6F"/>
    <w:rsid w:val="00AE6430"/>
    <w:rsid w:val="00AF1862"/>
    <w:rsid w:val="00AF3EE7"/>
    <w:rsid w:val="00AF4A90"/>
    <w:rsid w:val="00AF7197"/>
    <w:rsid w:val="00B063C2"/>
    <w:rsid w:val="00B07CD7"/>
    <w:rsid w:val="00B1225D"/>
    <w:rsid w:val="00B1259B"/>
    <w:rsid w:val="00B12CA4"/>
    <w:rsid w:val="00B15091"/>
    <w:rsid w:val="00B16B0D"/>
    <w:rsid w:val="00B20B9F"/>
    <w:rsid w:val="00B22736"/>
    <w:rsid w:val="00B26B86"/>
    <w:rsid w:val="00B31D00"/>
    <w:rsid w:val="00B326FD"/>
    <w:rsid w:val="00B33E28"/>
    <w:rsid w:val="00B33E99"/>
    <w:rsid w:val="00B355CA"/>
    <w:rsid w:val="00B37B57"/>
    <w:rsid w:val="00B406DC"/>
    <w:rsid w:val="00B47548"/>
    <w:rsid w:val="00B479B5"/>
    <w:rsid w:val="00B52AE6"/>
    <w:rsid w:val="00B548F2"/>
    <w:rsid w:val="00B62D1B"/>
    <w:rsid w:val="00B634B4"/>
    <w:rsid w:val="00B645C0"/>
    <w:rsid w:val="00B64A0D"/>
    <w:rsid w:val="00B6523F"/>
    <w:rsid w:val="00B705C9"/>
    <w:rsid w:val="00B70C72"/>
    <w:rsid w:val="00B75B46"/>
    <w:rsid w:val="00B862BE"/>
    <w:rsid w:val="00BA107E"/>
    <w:rsid w:val="00BA1628"/>
    <w:rsid w:val="00BA3F6F"/>
    <w:rsid w:val="00BA744C"/>
    <w:rsid w:val="00BB0F34"/>
    <w:rsid w:val="00BB7822"/>
    <w:rsid w:val="00BB7DB2"/>
    <w:rsid w:val="00BC065C"/>
    <w:rsid w:val="00BC1CB9"/>
    <w:rsid w:val="00BC1EAF"/>
    <w:rsid w:val="00BC2021"/>
    <w:rsid w:val="00BC4521"/>
    <w:rsid w:val="00BC78B8"/>
    <w:rsid w:val="00BD07E8"/>
    <w:rsid w:val="00BD5FE1"/>
    <w:rsid w:val="00BE256D"/>
    <w:rsid w:val="00BE25A2"/>
    <w:rsid w:val="00BF1597"/>
    <w:rsid w:val="00BF644C"/>
    <w:rsid w:val="00BF7959"/>
    <w:rsid w:val="00BF7B89"/>
    <w:rsid w:val="00C00963"/>
    <w:rsid w:val="00C1054F"/>
    <w:rsid w:val="00C13ECA"/>
    <w:rsid w:val="00C16A9E"/>
    <w:rsid w:val="00C16B9B"/>
    <w:rsid w:val="00C215DB"/>
    <w:rsid w:val="00C31234"/>
    <w:rsid w:val="00C347EC"/>
    <w:rsid w:val="00C34A34"/>
    <w:rsid w:val="00C376DE"/>
    <w:rsid w:val="00C41DCB"/>
    <w:rsid w:val="00C42DE2"/>
    <w:rsid w:val="00C44421"/>
    <w:rsid w:val="00C4461B"/>
    <w:rsid w:val="00C475C1"/>
    <w:rsid w:val="00C50B86"/>
    <w:rsid w:val="00C51D0D"/>
    <w:rsid w:val="00C52A7B"/>
    <w:rsid w:val="00C56E1D"/>
    <w:rsid w:val="00C63D9B"/>
    <w:rsid w:val="00C6432C"/>
    <w:rsid w:val="00C64DBC"/>
    <w:rsid w:val="00C66E3B"/>
    <w:rsid w:val="00C72964"/>
    <w:rsid w:val="00C77A5C"/>
    <w:rsid w:val="00C84432"/>
    <w:rsid w:val="00C84B42"/>
    <w:rsid w:val="00C86930"/>
    <w:rsid w:val="00C9128A"/>
    <w:rsid w:val="00C92618"/>
    <w:rsid w:val="00C92B5C"/>
    <w:rsid w:val="00C95B23"/>
    <w:rsid w:val="00C9631A"/>
    <w:rsid w:val="00C96386"/>
    <w:rsid w:val="00CA092F"/>
    <w:rsid w:val="00CA1657"/>
    <w:rsid w:val="00CA5125"/>
    <w:rsid w:val="00CA674A"/>
    <w:rsid w:val="00CB040A"/>
    <w:rsid w:val="00CB1C7A"/>
    <w:rsid w:val="00CB335B"/>
    <w:rsid w:val="00CC098C"/>
    <w:rsid w:val="00CC1235"/>
    <w:rsid w:val="00CC3A38"/>
    <w:rsid w:val="00CC4C1F"/>
    <w:rsid w:val="00CC53F2"/>
    <w:rsid w:val="00CC62B5"/>
    <w:rsid w:val="00CC6567"/>
    <w:rsid w:val="00CD55DD"/>
    <w:rsid w:val="00CD7C94"/>
    <w:rsid w:val="00CE02BB"/>
    <w:rsid w:val="00CE26D2"/>
    <w:rsid w:val="00CE6FB1"/>
    <w:rsid w:val="00CE75A2"/>
    <w:rsid w:val="00CE7AB3"/>
    <w:rsid w:val="00CF06DC"/>
    <w:rsid w:val="00CF243E"/>
    <w:rsid w:val="00CF60B6"/>
    <w:rsid w:val="00CF6FC2"/>
    <w:rsid w:val="00D01FB7"/>
    <w:rsid w:val="00D03628"/>
    <w:rsid w:val="00D0543C"/>
    <w:rsid w:val="00D07E1C"/>
    <w:rsid w:val="00D21B60"/>
    <w:rsid w:val="00D2233C"/>
    <w:rsid w:val="00D26E41"/>
    <w:rsid w:val="00D2752B"/>
    <w:rsid w:val="00D311FD"/>
    <w:rsid w:val="00D34064"/>
    <w:rsid w:val="00D37B75"/>
    <w:rsid w:val="00D402E1"/>
    <w:rsid w:val="00D41A4D"/>
    <w:rsid w:val="00D44DBF"/>
    <w:rsid w:val="00D45506"/>
    <w:rsid w:val="00D462AD"/>
    <w:rsid w:val="00D515C6"/>
    <w:rsid w:val="00D5353E"/>
    <w:rsid w:val="00D5536B"/>
    <w:rsid w:val="00D56878"/>
    <w:rsid w:val="00D56B76"/>
    <w:rsid w:val="00D570CA"/>
    <w:rsid w:val="00D60DB7"/>
    <w:rsid w:val="00D63DEF"/>
    <w:rsid w:val="00D64EDD"/>
    <w:rsid w:val="00D71F30"/>
    <w:rsid w:val="00D75824"/>
    <w:rsid w:val="00D76281"/>
    <w:rsid w:val="00D80FCB"/>
    <w:rsid w:val="00D82CBF"/>
    <w:rsid w:val="00D8371A"/>
    <w:rsid w:val="00D9058D"/>
    <w:rsid w:val="00D90619"/>
    <w:rsid w:val="00D91631"/>
    <w:rsid w:val="00DA31A2"/>
    <w:rsid w:val="00DA3E86"/>
    <w:rsid w:val="00DA58C2"/>
    <w:rsid w:val="00DB00F6"/>
    <w:rsid w:val="00DB5B07"/>
    <w:rsid w:val="00DC447E"/>
    <w:rsid w:val="00DD4DCC"/>
    <w:rsid w:val="00DD4F54"/>
    <w:rsid w:val="00DD693F"/>
    <w:rsid w:val="00DE17DE"/>
    <w:rsid w:val="00DE1BE0"/>
    <w:rsid w:val="00DE2D45"/>
    <w:rsid w:val="00DE3018"/>
    <w:rsid w:val="00DE5B47"/>
    <w:rsid w:val="00DE5E4B"/>
    <w:rsid w:val="00DF3BC7"/>
    <w:rsid w:val="00DF4E6A"/>
    <w:rsid w:val="00E034E9"/>
    <w:rsid w:val="00E049C8"/>
    <w:rsid w:val="00E05535"/>
    <w:rsid w:val="00E0673E"/>
    <w:rsid w:val="00E07175"/>
    <w:rsid w:val="00E12AA6"/>
    <w:rsid w:val="00E17312"/>
    <w:rsid w:val="00E17A57"/>
    <w:rsid w:val="00E3091E"/>
    <w:rsid w:val="00E31B6A"/>
    <w:rsid w:val="00E32292"/>
    <w:rsid w:val="00E35BBA"/>
    <w:rsid w:val="00E4140D"/>
    <w:rsid w:val="00E4381B"/>
    <w:rsid w:val="00E43E29"/>
    <w:rsid w:val="00E443CA"/>
    <w:rsid w:val="00E56BC2"/>
    <w:rsid w:val="00E56EDF"/>
    <w:rsid w:val="00E61E98"/>
    <w:rsid w:val="00E62BBF"/>
    <w:rsid w:val="00E66FDE"/>
    <w:rsid w:val="00E67FD6"/>
    <w:rsid w:val="00E71E2E"/>
    <w:rsid w:val="00E720BE"/>
    <w:rsid w:val="00E74716"/>
    <w:rsid w:val="00E755FB"/>
    <w:rsid w:val="00E92154"/>
    <w:rsid w:val="00E928C6"/>
    <w:rsid w:val="00E93844"/>
    <w:rsid w:val="00E93955"/>
    <w:rsid w:val="00E953C0"/>
    <w:rsid w:val="00EA1693"/>
    <w:rsid w:val="00EA1C8D"/>
    <w:rsid w:val="00EA2895"/>
    <w:rsid w:val="00EA3658"/>
    <w:rsid w:val="00EA518F"/>
    <w:rsid w:val="00EA5B1A"/>
    <w:rsid w:val="00EB18D2"/>
    <w:rsid w:val="00EB1BF9"/>
    <w:rsid w:val="00EB5AC5"/>
    <w:rsid w:val="00EC4F07"/>
    <w:rsid w:val="00EC72B5"/>
    <w:rsid w:val="00EC7D57"/>
    <w:rsid w:val="00ED05F1"/>
    <w:rsid w:val="00ED3204"/>
    <w:rsid w:val="00ED37F7"/>
    <w:rsid w:val="00ED799C"/>
    <w:rsid w:val="00EE1468"/>
    <w:rsid w:val="00EE3687"/>
    <w:rsid w:val="00EE67E2"/>
    <w:rsid w:val="00EF5854"/>
    <w:rsid w:val="00EF74E6"/>
    <w:rsid w:val="00F002B8"/>
    <w:rsid w:val="00F018B1"/>
    <w:rsid w:val="00F03181"/>
    <w:rsid w:val="00F039EB"/>
    <w:rsid w:val="00F03DDB"/>
    <w:rsid w:val="00F04211"/>
    <w:rsid w:val="00F10F75"/>
    <w:rsid w:val="00F1479F"/>
    <w:rsid w:val="00F167D7"/>
    <w:rsid w:val="00F16D5B"/>
    <w:rsid w:val="00F16F6F"/>
    <w:rsid w:val="00F17885"/>
    <w:rsid w:val="00F17D27"/>
    <w:rsid w:val="00F219F4"/>
    <w:rsid w:val="00F22B64"/>
    <w:rsid w:val="00F23560"/>
    <w:rsid w:val="00F33A6D"/>
    <w:rsid w:val="00F3464F"/>
    <w:rsid w:val="00F3647D"/>
    <w:rsid w:val="00F369CC"/>
    <w:rsid w:val="00F37E9A"/>
    <w:rsid w:val="00F4088E"/>
    <w:rsid w:val="00F42241"/>
    <w:rsid w:val="00F44F8C"/>
    <w:rsid w:val="00F5129B"/>
    <w:rsid w:val="00F6137B"/>
    <w:rsid w:val="00F64C39"/>
    <w:rsid w:val="00F67ECC"/>
    <w:rsid w:val="00F7322C"/>
    <w:rsid w:val="00F7578C"/>
    <w:rsid w:val="00F76682"/>
    <w:rsid w:val="00F80A30"/>
    <w:rsid w:val="00F82DF7"/>
    <w:rsid w:val="00F95BD7"/>
    <w:rsid w:val="00F96FA1"/>
    <w:rsid w:val="00FA0D91"/>
    <w:rsid w:val="00FA1400"/>
    <w:rsid w:val="00FA39A5"/>
    <w:rsid w:val="00FA4060"/>
    <w:rsid w:val="00FA486B"/>
    <w:rsid w:val="00FA5FDC"/>
    <w:rsid w:val="00FA6529"/>
    <w:rsid w:val="00FA673B"/>
    <w:rsid w:val="00FA751F"/>
    <w:rsid w:val="00FA7DCE"/>
    <w:rsid w:val="00FB2BED"/>
    <w:rsid w:val="00FB4248"/>
    <w:rsid w:val="00FC1601"/>
    <w:rsid w:val="00FC36B5"/>
    <w:rsid w:val="00FC4B1A"/>
    <w:rsid w:val="00FC5471"/>
    <w:rsid w:val="00FD4106"/>
    <w:rsid w:val="00FE470A"/>
    <w:rsid w:val="00FE636B"/>
    <w:rsid w:val="00FE67FF"/>
    <w:rsid w:val="00FE7D72"/>
    <w:rsid w:val="00FF50B3"/>
    <w:rsid w:val="00FF5A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6465F"/>
  <w15:docId w15:val="{1699F394-19DB-4BA2-A59F-D1826EB43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2E20"/>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9"/>
    <w:qFormat/>
    <w:rsid w:val="00682E20"/>
    <w:pPr>
      <w:ind w:left="810"/>
      <w:outlineLvl w:val="0"/>
    </w:pPr>
    <w:rPr>
      <w:b/>
      <w:bCs/>
    </w:rPr>
  </w:style>
  <w:style w:type="paragraph" w:styleId="Ttulo2">
    <w:name w:val="heading 2"/>
    <w:basedOn w:val="Normal"/>
    <w:next w:val="Normal"/>
    <w:link w:val="Ttulo2Car"/>
    <w:uiPriority w:val="9"/>
    <w:semiHidden/>
    <w:unhideWhenUsed/>
    <w:qFormat/>
    <w:rsid w:val="00682E2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2B1E4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2E20"/>
    <w:rPr>
      <w:rFonts w:ascii="Arial" w:eastAsia="Arial" w:hAnsi="Arial" w:cs="Arial"/>
      <w:b/>
      <w:bCs/>
      <w:lang w:val="es-ES"/>
    </w:rPr>
  </w:style>
  <w:style w:type="character" w:customStyle="1" w:styleId="Ttulo2Car">
    <w:name w:val="Título 2 Car"/>
    <w:basedOn w:val="Fuentedeprrafopredeter"/>
    <w:link w:val="Ttulo2"/>
    <w:uiPriority w:val="9"/>
    <w:semiHidden/>
    <w:rsid w:val="00682E20"/>
    <w:rPr>
      <w:rFonts w:asciiTheme="majorHAnsi" w:eastAsiaTheme="majorEastAsia" w:hAnsiTheme="majorHAnsi" w:cstheme="majorBidi"/>
      <w:color w:val="2F5496" w:themeColor="accent1" w:themeShade="BF"/>
      <w:sz w:val="26"/>
      <w:szCs w:val="26"/>
      <w:lang w:val="es-ES"/>
    </w:rPr>
  </w:style>
  <w:style w:type="table" w:customStyle="1" w:styleId="TableNormal">
    <w:name w:val="Table Normal"/>
    <w:uiPriority w:val="2"/>
    <w:semiHidden/>
    <w:unhideWhenUsed/>
    <w:qFormat/>
    <w:rsid w:val="00682E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2E20"/>
  </w:style>
  <w:style w:type="character" w:customStyle="1" w:styleId="TextoindependienteCar">
    <w:name w:val="Texto independiente Car"/>
    <w:basedOn w:val="Fuentedeprrafopredeter"/>
    <w:link w:val="Textoindependiente"/>
    <w:uiPriority w:val="1"/>
    <w:rsid w:val="00682E20"/>
    <w:rPr>
      <w:rFonts w:ascii="Arial" w:eastAsia="Arial" w:hAnsi="Arial" w:cs="Arial"/>
      <w:lang w:val="es-ES"/>
    </w:rPr>
  </w:style>
  <w:style w:type="paragraph" w:styleId="Prrafodelista">
    <w:name w:val="List Paragraph"/>
    <w:aliases w:val="Bullet List,FooterText,numbered,List Paragraph1,Paragraphe de liste1,Bulletr List Paragraph,列出段落,列出段落1,Cuadros,Lista general,Numeración 1,Cuadrícula media 1 - Énfasis 21,4 Viñ 1nivel,prueba1"/>
    <w:basedOn w:val="Normal"/>
    <w:link w:val="PrrafodelistaCar"/>
    <w:uiPriority w:val="1"/>
    <w:qFormat/>
    <w:rsid w:val="00682E20"/>
    <w:pPr>
      <w:ind w:left="1531" w:hanging="781"/>
    </w:pPr>
  </w:style>
  <w:style w:type="paragraph" w:customStyle="1" w:styleId="TableParagraph">
    <w:name w:val="Table Paragraph"/>
    <w:basedOn w:val="Normal"/>
    <w:uiPriority w:val="1"/>
    <w:qFormat/>
    <w:rsid w:val="00682E20"/>
    <w:pPr>
      <w:spacing w:before="26" w:line="146" w:lineRule="exact"/>
    </w:pPr>
  </w:style>
  <w:style w:type="character" w:styleId="Hipervnculo">
    <w:name w:val="Hyperlink"/>
    <w:basedOn w:val="Fuentedeprrafopredeter"/>
    <w:uiPriority w:val="99"/>
    <w:unhideWhenUsed/>
    <w:rsid w:val="00682E20"/>
    <w:rPr>
      <w:color w:val="0563C1" w:themeColor="hyperlink"/>
      <w:u w:val="single"/>
    </w:rPr>
  </w:style>
  <w:style w:type="character" w:styleId="Mencinsinresolver">
    <w:name w:val="Unresolved Mention"/>
    <w:basedOn w:val="Fuentedeprrafopredeter"/>
    <w:uiPriority w:val="99"/>
    <w:semiHidden/>
    <w:unhideWhenUsed/>
    <w:rsid w:val="00682E20"/>
    <w:rPr>
      <w:color w:val="605E5C"/>
      <w:shd w:val="clear" w:color="auto" w:fill="E1DFDD"/>
    </w:rPr>
  </w:style>
  <w:style w:type="paragraph" w:styleId="Textonotapie">
    <w:name w:val="footnote text"/>
    <w:aliases w:val="ALTS FOOTNOTE,Footnote text,Footnote Text Char Char Char,Footnote Text Char Char Char Char Char Char Char,Footnote Text Char Char Char Char Char Char Char Char Char,Footnote Text Char Char Char Char Char,Footnote Text2 Char Char,SF píe,fn"/>
    <w:basedOn w:val="Normal"/>
    <w:link w:val="TextonotapieCar"/>
    <w:uiPriority w:val="99"/>
    <w:unhideWhenUsed/>
    <w:qFormat/>
    <w:rsid w:val="00682E20"/>
    <w:rPr>
      <w:sz w:val="20"/>
      <w:szCs w:val="20"/>
    </w:rPr>
  </w:style>
  <w:style w:type="character" w:customStyle="1" w:styleId="TextonotapieCar">
    <w:name w:val="Texto nota pie Car"/>
    <w:aliases w:val="ALTS FOOTNOTE Car,Footnote text Car,Footnote Text Char Char Char Car,Footnote Text Char Char Char Char Char Char Char Car,Footnote Text Char Char Char Char Char Char Char Char Char Car,Footnote Text Char Char Char Char Char Car,fn Car"/>
    <w:basedOn w:val="Fuentedeprrafopredeter"/>
    <w:link w:val="Textonotapie"/>
    <w:uiPriority w:val="99"/>
    <w:rsid w:val="00682E20"/>
    <w:rPr>
      <w:rFonts w:ascii="Arial" w:eastAsia="Arial" w:hAnsi="Arial" w:cs="Arial"/>
      <w:sz w:val="20"/>
      <w:szCs w:val="20"/>
      <w:lang w:val="es-ES"/>
    </w:rPr>
  </w:style>
  <w:style w:type="character" w:styleId="Refdenotaalpie">
    <w:name w:val="footnote reference"/>
    <w:aliases w:val="ftref,Footnote number,ComReg Footnote Reference,Appel note de bas de p,fr,Footnote symbol,Footnote,Nota,ABA Footnote Reference,fr 2,(NECG) Footnote Reference,Style 6,Voetnootverwijzing,Style 12,Style 124,Footnotemark,FR,FR1,Ref,o"/>
    <w:basedOn w:val="Fuentedeprrafopredeter"/>
    <w:link w:val="FootnoteReferenceNumber"/>
    <w:uiPriority w:val="99"/>
    <w:unhideWhenUsed/>
    <w:qFormat/>
    <w:rsid w:val="00682E20"/>
    <w:rPr>
      <w:vertAlign w:val="superscript"/>
    </w:rPr>
  </w:style>
  <w:style w:type="paragraph" w:styleId="Encabezado">
    <w:name w:val="header"/>
    <w:basedOn w:val="Normal"/>
    <w:link w:val="EncabezadoCar"/>
    <w:uiPriority w:val="99"/>
    <w:unhideWhenUsed/>
    <w:rsid w:val="00682E20"/>
    <w:pPr>
      <w:tabs>
        <w:tab w:val="center" w:pos="4419"/>
        <w:tab w:val="right" w:pos="8838"/>
      </w:tabs>
    </w:pPr>
  </w:style>
  <w:style w:type="character" w:customStyle="1" w:styleId="EncabezadoCar">
    <w:name w:val="Encabezado Car"/>
    <w:basedOn w:val="Fuentedeprrafopredeter"/>
    <w:link w:val="Encabezado"/>
    <w:uiPriority w:val="99"/>
    <w:rsid w:val="00682E20"/>
    <w:rPr>
      <w:rFonts w:ascii="Arial" w:eastAsia="Arial" w:hAnsi="Arial" w:cs="Arial"/>
      <w:lang w:val="es-ES"/>
    </w:rPr>
  </w:style>
  <w:style w:type="paragraph" w:styleId="Piedepgina">
    <w:name w:val="footer"/>
    <w:basedOn w:val="Normal"/>
    <w:link w:val="PiedepginaCar"/>
    <w:uiPriority w:val="99"/>
    <w:unhideWhenUsed/>
    <w:rsid w:val="00682E20"/>
    <w:pPr>
      <w:tabs>
        <w:tab w:val="center" w:pos="4419"/>
        <w:tab w:val="right" w:pos="8838"/>
      </w:tabs>
    </w:pPr>
  </w:style>
  <w:style w:type="character" w:customStyle="1" w:styleId="PiedepginaCar">
    <w:name w:val="Pie de página Car"/>
    <w:basedOn w:val="Fuentedeprrafopredeter"/>
    <w:link w:val="Piedepgina"/>
    <w:uiPriority w:val="99"/>
    <w:rsid w:val="00682E20"/>
    <w:rPr>
      <w:rFonts w:ascii="Arial" w:eastAsia="Arial" w:hAnsi="Arial" w:cs="Arial"/>
      <w:lang w:val="es-ES"/>
    </w:rPr>
  </w:style>
  <w:style w:type="paragraph" w:customStyle="1" w:styleId="FootnoteReferenceNumber">
    <w:name w:val="Footnote Reference Number"/>
    <w:aliases w:val="SUPERS Char Char,Footnote number Char Char,Footnote Char Char,Footnote symbol Char Char,Ref Char Char,de nota al pie Char Char,de nota al pi... Char Char Char Char Char Char Char Char,Voetnootverwijzing Char Char"/>
    <w:basedOn w:val="Normal"/>
    <w:link w:val="Refdenotaalpie"/>
    <w:uiPriority w:val="99"/>
    <w:rsid w:val="00682E20"/>
    <w:pPr>
      <w:widowControl/>
      <w:autoSpaceDE/>
      <w:autoSpaceDN/>
      <w:spacing w:after="160" w:line="240" w:lineRule="exact"/>
    </w:pPr>
    <w:rPr>
      <w:rFonts w:asciiTheme="minorHAnsi" w:eastAsiaTheme="minorHAnsi" w:hAnsiTheme="minorHAnsi" w:cstheme="minorBidi"/>
      <w:vertAlign w:val="superscript"/>
      <w:lang w:val="es-MX"/>
    </w:r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Numeración 1 Car,Cuadrícula media 1 - Énfasis 21 Car,prueba1 Car"/>
    <w:link w:val="Prrafodelista"/>
    <w:uiPriority w:val="1"/>
    <w:qFormat/>
    <w:rsid w:val="00682E20"/>
    <w:rPr>
      <w:rFonts w:ascii="Arial" w:eastAsia="Arial" w:hAnsi="Arial" w:cs="Arial"/>
      <w:lang w:val="es-ES"/>
    </w:rPr>
  </w:style>
  <w:style w:type="paragraph" w:styleId="Cita">
    <w:name w:val="Quote"/>
    <w:basedOn w:val="Normal"/>
    <w:next w:val="Normal"/>
    <w:link w:val="CitaCar"/>
    <w:uiPriority w:val="29"/>
    <w:qFormat/>
    <w:rsid w:val="00682E20"/>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682E20"/>
    <w:rPr>
      <w:rFonts w:ascii="Arial" w:eastAsia="Arial" w:hAnsi="Arial" w:cs="Arial"/>
      <w:i/>
      <w:iCs/>
      <w:color w:val="404040" w:themeColor="text1" w:themeTint="BF"/>
      <w:lang w:val="es-ES"/>
    </w:rPr>
  </w:style>
  <w:style w:type="paragraph" w:styleId="Textodeglobo">
    <w:name w:val="Balloon Text"/>
    <w:basedOn w:val="Normal"/>
    <w:link w:val="TextodegloboCar"/>
    <w:uiPriority w:val="99"/>
    <w:semiHidden/>
    <w:unhideWhenUsed/>
    <w:rsid w:val="00682E2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2E20"/>
    <w:rPr>
      <w:rFonts w:ascii="Segoe UI" w:eastAsia="Arial" w:hAnsi="Segoe UI" w:cs="Segoe UI"/>
      <w:sz w:val="18"/>
      <w:szCs w:val="18"/>
      <w:lang w:val="es-ES"/>
    </w:rPr>
  </w:style>
  <w:style w:type="character" w:styleId="Refdecomentario">
    <w:name w:val="annotation reference"/>
    <w:basedOn w:val="Fuentedeprrafopredeter"/>
    <w:uiPriority w:val="99"/>
    <w:semiHidden/>
    <w:unhideWhenUsed/>
    <w:rsid w:val="00682E20"/>
    <w:rPr>
      <w:sz w:val="16"/>
      <w:szCs w:val="16"/>
    </w:rPr>
  </w:style>
  <w:style w:type="paragraph" w:styleId="Textocomentario">
    <w:name w:val="annotation text"/>
    <w:basedOn w:val="Normal"/>
    <w:link w:val="TextocomentarioCar"/>
    <w:uiPriority w:val="99"/>
    <w:unhideWhenUsed/>
    <w:rsid w:val="00682E20"/>
    <w:rPr>
      <w:sz w:val="20"/>
      <w:szCs w:val="20"/>
    </w:rPr>
  </w:style>
  <w:style w:type="character" w:customStyle="1" w:styleId="TextocomentarioCar">
    <w:name w:val="Texto comentario Car"/>
    <w:basedOn w:val="Fuentedeprrafopredeter"/>
    <w:link w:val="Textocomentario"/>
    <w:uiPriority w:val="99"/>
    <w:rsid w:val="00682E20"/>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682E20"/>
    <w:rPr>
      <w:b/>
      <w:bCs/>
    </w:rPr>
  </w:style>
  <w:style w:type="character" w:customStyle="1" w:styleId="AsuntodelcomentarioCar">
    <w:name w:val="Asunto del comentario Car"/>
    <w:basedOn w:val="TextocomentarioCar"/>
    <w:link w:val="Asuntodelcomentario"/>
    <w:uiPriority w:val="99"/>
    <w:semiHidden/>
    <w:rsid w:val="00682E20"/>
    <w:rPr>
      <w:rFonts w:ascii="Arial" w:eastAsia="Arial" w:hAnsi="Arial" w:cs="Arial"/>
      <w:b/>
      <w:bCs/>
      <w:sz w:val="20"/>
      <w:szCs w:val="20"/>
      <w:lang w:val="es-ES"/>
    </w:rPr>
  </w:style>
  <w:style w:type="character" w:styleId="Hipervnculovisitado">
    <w:name w:val="FollowedHyperlink"/>
    <w:basedOn w:val="Fuentedeprrafopredeter"/>
    <w:uiPriority w:val="99"/>
    <w:semiHidden/>
    <w:unhideWhenUsed/>
    <w:rsid w:val="00682E20"/>
    <w:rPr>
      <w:color w:val="954F72" w:themeColor="followedHyperlink"/>
      <w:u w:val="single"/>
    </w:rPr>
  </w:style>
  <w:style w:type="table" w:styleId="Tablaconcuadrcula">
    <w:name w:val="Table Grid"/>
    <w:basedOn w:val="Tablanormal"/>
    <w:uiPriority w:val="39"/>
    <w:rsid w:val="00682E2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A518F"/>
    <w:pPr>
      <w:spacing w:after="0" w:line="240" w:lineRule="auto"/>
    </w:pPr>
    <w:rPr>
      <w:rFonts w:ascii="Arial" w:eastAsia="Arial" w:hAnsi="Arial" w:cs="Arial"/>
      <w:lang w:val="es-ES"/>
    </w:rPr>
  </w:style>
  <w:style w:type="character" w:customStyle="1" w:styleId="Ttulo4Car">
    <w:name w:val="Título 4 Car"/>
    <w:basedOn w:val="Fuentedeprrafopredeter"/>
    <w:link w:val="Ttulo4"/>
    <w:uiPriority w:val="9"/>
    <w:semiHidden/>
    <w:rsid w:val="002B1E4E"/>
    <w:rPr>
      <w:rFonts w:asciiTheme="majorHAnsi" w:eastAsiaTheme="majorEastAsia" w:hAnsiTheme="majorHAnsi" w:cstheme="majorBidi"/>
      <w:i/>
      <w:iCs/>
      <w:color w:val="2F5496" w:themeColor="accent1" w:themeShade="BF"/>
      <w:lang w:val="es-ES"/>
    </w:rPr>
  </w:style>
  <w:style w:type="paragraph" w:customStyle="1" w:styleId="Default">
    <w:name w:val="Default"/>
    <w:rsid w:val="009469F6"/>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IFTnormal">
    <w:name w:val="IFT normal"/>
    <w:basedOn w:val="Normal"/>
    <w:link w:val="IFTnormalCar"/>
    <w:qFormat/>
    <w:rsid w:val="00A46B0C"/>
    <w:pPr>
      <w:widowControl/>
      <w:autoSpaceDE/>
      <w:autoSpaceDN/>
      <w:spacing w:after="200" w:line="276" w:lineRule="auto"/>
      <w:jc w:val="both"/>
    </w:pPr>
    <w:rPr>
      <w:rFonts w:ascii="ITC Avant Garde" w:eastAsia="MS Mincho" w:hAnsi="ITC Avant Garde" w:cs="Calibri"/>
      <w:bCs/>
      <w:lang w:val="es-MX"/>
    </w:rPr>
  </w:style>
  <w:style w:type="character" w:customStyle="1" w:styleId="IFTnormalCar">
    <w:name w:val="IFT normal Car"/>
    <w:basedOn w:val="Fuentedeprrafopredeter"/>
    <w:link w:val="IFTnormal"/>
    <w:qFormat/>
    <w:rsid w:val="00A46B0C"/>
    <w:rPr>
      <w:rFonts w:ascii="ITC Avant Garde" w:eastAsia="MS Mincho" w:hAnsi="ITC Avant Garde" w:cs="Calibr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559822">
      <w:bodyDiv w:val="1"/>
      <w:marLeft w:val="0"/>
      <w:marRight w:val="0"/>
      <w:marTop w:val="0"/>
      <w:marBottom w:val="0"/>
      <w:divBdr>
        <w:top w:val="none" w:sz="0" w:space="0" w:color="auto"/>
        <w:left w:val="none" w:sz="0" w:space="0" w:color="auto"/>
        <w:bottom w:val="none" w:sz="0" w:space="0" w:color="auto"/>
        <w:right w:val="none" w:sz="0" w:space="0" w:color="auto"/>
      </w:divBdr>
    </w:div>
    <w:div w:id="736168107">
      <w:bodyDiv w:val="1"/>
      <w:marLeft w:val="0"/>
      <w:marRight w:val="0"/>
      <w:marTop w:val="0"/>
      <w:marBottom w:val="0"/>
      <w:divBdr>
        <w:top w:val="none" w:sz="0" w:space="0" w:color="auto"/>
        <w:left w:val="none" w:sz="0" w:space="0" w:color="auto"/>
        <w:bottom w:val="none" w:sz="0" w:space="0" w:color="auto"/>
        <w:right w:val="none" w:sz="0" w:space="0" w:color="auto"/>
      </w:divBdr>
    </w:div>
    <w:div w:id="764230326">
      <w:bodyDiv w:val="1"/>
      <w:marLeft w:val="0"/>
      <w:marRight w:val="0"/>
      <w:marTop w:val="0"/>
      <w:marBottom w:val="0"/>
      <w:divBdr>
        <w:top w:val="none" w:sz="0" w:space="0" w:color="auto"/>
        <w:left w:val="none" w:sz="0" w:space="0" w:color="auto"/>
        <w:bottom w:val="none" w:sz="0" w:space="0" w:color="auto"/>
        <w:right w:val="none" w:sz="0" w:space="0" w:color="auto"/>
      </w:divBdr>
    </w:div>
    <w:div w:id="921329286">
      <w:bodyDiv w:val="1"/>
      <w:marLeft w:val="0"/>
      <w:marRight w:val="0"/>
      <w:marTop w:val="0"/>
      <w:marBottom w:val="0"/>
      <w:divBdr>
        <w:top w:val="none" w:sz="0" w:space="0" w:color="auto"/>
        <w:left w:val="none" w:sz="0" w:space="0" w:color="auto"/>
        <w:bottom w:val="none" w:sz="0" w:space="0" w:color="auto"/>
        <w:right w:val="none" w:sz="0" w:space="0" w:color="auto"/>
      </w:divBdr>
    </w:div>
    <w:div w:id="1152792331">
      <w:bodyDiv w:val="1"/>
      <w:marLeft w:val="0"/>
      <w:marRight w:val="0"/>
      <w:marTop w:val="0"/>
      <w:marBottom w:val="0"/>
      <w:divBdr>
        <w:top w:val="none" w:sz="0" w:space="0" w:color="auto"/>
        <w:left w:val="none" w:sz="0" w:space="0" w:color="auto"/>
        <w:bottom w:val="none" w:sz="0" w:space="0" w:color="auto"/>
        <w:right w:val="none" w:sz="0" w:space="0" w:color="auto"/>
      </w:divBdr>
    </w:div>
    <w:div w:id="1439255181">
      <w:bodyDiv w:val="1"/>
      <w:marLeft w:val="0"/>
      <w:marRight w:val="0"/>
      <w:marTop w:val="0"/>
      <w:marBottom w:val="0"/>
      <w:divBdr>
        <w:top w:val="none" w:sz="0" w:space="0" w:color="auto"/>
        <w:left w:val="none" w:sz="0" w:space="0" w:color="auto"/>
        <w:bottom w:val="none" w:sz="0" w:space="0" w:color="auto"/>
        <w:right w:val="none" w:sz="0" w:space="0" w:color="auto"/>
      </w:divBdr>
    </w:div>
    <w:div w:id="1540360002">
      <w:bodyDiv w:val="1"/>
      <w:marLeft w:val="0"/>
      <w:marRight w:val="0"/>
      <w:marTop w:val="0"/>
      <w:marBottom w:val="0"/>
      <w:divBdr>
        <w:top w:val="none" w:sz="0" w:space="0" w:color="auto"/>
        <w:left w:val="none" w:sz="0" w:space="0" w:color="auto"/>
        <w:bottom w:val="none" w:sz="0" w:space="0" w:color="auto"/>
        <w:right w:val="none" w:sz="0" w:space="0" w:color="auto"/>
      </w:divBdr>
    </w:div>
    <w:div w:id="1711146170">
      <w:bodyDiv w:val="1"/>
      <w:marLeft w:val="0"/>
      <w:marRight w:val="0"/>
      <w:marTop w:val="0"/>
      <w:marBottom w:val="0"/>
      <w:divBdr>
        <w:top w:val="none" w:sz="0" w:space="0" w:color="auto"/>
        <w:left w:val="none" w:sz="0" w:space="0" w:color="auto"/>
        <w:bottom w:val="none" w:sz="0" w:space="0" w:color="auto"/>
        <w:right w:val="none" w:sz="0" w:space="0" w:color="auto"/>
      </w:divBdr>
    </w:div>
    <w:div w:id="1740636676">
      <w:bodyDiv w:val="1"/>
      <w:marLeft w:val="0"/>
      <w:marRight w:val="0"/>
      <w:marTop w:val="0"/>
      <w:marBottom w:val="0"/>
      <w:divBdr>
        <w:top w:val="none" w:sz="0" w:space="0" w:color="auto"/>
        <w:left w:val="none" w:sz="0" w:space="0" w:color="auto"/>
        <w:bottom w:val="none" w:sz="0" w:space="0" w:color="auto"/>
        <w:right w:val="none" w:sz="0" w:space="0" w:color="auto"/>
      </w:divBdr>
    </w:div>
    <w:div w:id="1764180432">
      <w:bodyDiv w:val="1"/>
      <w:marLeft w:val="0"/>
      <w:marRight w:val="0"/>
      <w:marTop w:val="0"/>
      <w:marBottom w:val="0"/>
      <w:divBdr>
        <w:top w:val="none" w:sz="0" w:space="0" w:color="auto"/>
        <w:left w:val="none" w:sz="0" w:space="0" w:color="auto"/>
        <w:bottom w:val="none" w:sz="0" w:space="0" w:color="auto"/>
        <w:right w:val="none" w:sz="0" w:space="0" w:color="auto"/>
      </w:divBdr>
    </w:div>
    <w:div w:id="1867257819">
      <w:bodyDiv w:val="1"/>
      <w:marLeft w:val="0"/>
      <w:marRight w:val="0"/>
      <w:marTop w:val="0"/>
      <w:marBottom w:val="0"/>
      <w:divBdr>
        <w:top w:val="none" w:sz="0" w:space="0" w:color="auto"/>
        <w:left w:val="none" w:sz="0" w:space="0" w:color="auto"/>
        <w:bottom w:val="none" w:sz="0" w:space="0" w:color="auto"/>
        <w:right w:val="none" w:sz="0" w:space="0" w:color="auto"/>
      </w:divBdr>
      <w:divsChild>
        <w:div w:id="119345120">
          <w:marLeft w:val="0"/>
          <w:marRight w:val="0"/>
          <w:marTop w:val="0"/>
          <w:marBottom w:val="0"/>
          <w:divBdr>
            <w:top w:val="none" w:sz="0" w:space="0" w:color="auto"/>
            <w:left w:val="none" w:sz="0" w:space="0" w:color="auto"/>
            <w:bottom w:val="none" w:sz="0" w:space="0" w:color="auto"/>
            <w:right w:val="none" w:sz="0" w:space="0" w:color="auto"/>
          </w:divBdr>
        </w:div>
        <w:div w:id="2145418142">
          <w:marLeft w:val="0"/>
          <w:marRight w:val="0"/>
          <w:marTop w:val="0"/>
          <w:marBottom w:val="0"/>
          <w:divBdr>
            <w:top w:val="none" w:sz="0" w:space="0" w:color="auto"/>
            <w:left w:val="none" w:sz="0" w:space="0" w:color="auto"/>
            <w:bottom w:val="none" w:sz="0" w:space="0" w:color="auto"/>
            <w:right w:val="none" w:sz="0" w:space="0" w:color="auto"/>
          </w:divBdr>
        </w:div>
        <w:div w:id="1996762071">
          <w:marLeft w:val="0"/>
          <w:marRight w:val="0"/>
          <w:marTop w:val="0"/>
          <w:marBottom w:val="0"/>
          <w:divBdr>
            <w:top w:val="none" w:sz="0" w:space="0" w:color="auto"/>
            <w:left w:val="none" w:sz="0" w:space="0" w:color="auto"/>
            <w:bottom w:val="none" w:sz="0" w:space="0" w:color="auto"/>
            <w:right w:val="none" w:sz="0" w:space="0" w:color="auto"/>
          </w:divBdr>
        </w:div>
        <w:div w:id="1583178223">
          <w:marLeft w:val="0"/>
          <w:marRight w:val="0"/>
          <w:marTop w:val="0"/>
          <w:marBottom w:val="0"/>
          <w:divBdr>
            <w:top w:val="none" w:sz="0" w:space="0" w:color="auto"/>
            <w:left w:val="none" w:sz="0" w:space="0" w:color="auto"/>
            <w:bottom w:val="none" w:sz="0" w:space="0" w:color="auto"/>
            <w:right w:val="none" w:sz="0" w:space="0" w:color="auto"/>
          </w:divBdr>
        </w:div>
        <w:div w:id="700016110">
          <w:marLeft w:val="0"/>
          <w:marRight w:val="0"/>
          <w:marTop w:val="0"/>
          <w:marBottom w:val="0"/>
          <w:divBdr>
            <w:top w:val="none" w:sz="0" w:space="0" w:color="auto"/>
            <w:left w:val="none" w:sz="0" w:space="0" w:color="auto"/>
            <w:bottom w:val="none" w:sz="0" w:space="0" w:color="auto"/>
            <w:right w:val="none" w:sz="0" w:space="0" w:color="auto"/>
          </w:divBdr>
        </w:div>
      </w:divsChild>
    </w:div>
    <w:div w:id="2077312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ft.org.mx/industria/consultas-publicas/consulta-publica-sobre-el-modelo-de-costos-evitados-para-el-servicio-mayorista-de-reventa-del-0" TargetMode="Externa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delos.dgci@ift.org.m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ft.org.mx/sites/default/files/industria/temasrelevantes/consultaspublicas/documentos/02-comentarios-megacable-consulta-publica-modelo-de-costos-evitados.pdf" TargetMode="External"/><Relationship Id="rId7" Type="http://schemas.openxmlformats.org/officeDocument/2006/relationships/hyperlink" Target="https://www.ift.org.mx/sites/default/files/industria/temasrelevantes/consultaspublicas/documentos/02-comentarios-megacable-consulta-publica-modelo-de-costos-evitados.pdf" TargetMode="External"/><Relationship Id="rId2" Type="http://schemas.openxmlformats.org/officeDocument/2006/relationships/hyperlink" Target="https://www.ift.org.mx/sites/default/files/industria/temasrelevantes/consultaspublicas/documentos/02-comentarios-megacable-consulta-publica-modelo-de-costos-evitados.pdf" TargetMode="External"/><Relationship Id="rId1" Type="http://schemas.openxmlformats.org/officeDocument/2006/relationships/hyperlink" Target="https://www.ift.org.mx/sites/default/files/filefield_paths/documento_metodologico_mce_megacable.pdf" TargetMode="External"/><Relationship Id="rId6" Type="http://schemas.openxmlformats.org/officeDocument/2006/relationships/hyperlink" Target="https://www.ift.org.mx/industria/consultas-publicas/consulta-publica-sobre-la-propuesta-de-oferta-de-referencia-del-servicio-mayorista-de-reventa-del" TargetMode="External"/><Relationship Id="rId5" Type="http://schemas.openxmlformats.org/officeDocument/2006/relationships/hyperlink" Target="https://dof.gob.mx/nota_detalle.php?codigo=5584775&amp;fecha=24/01/2020" TargetMode="External"/><Relationship Id="rId4" Type="http://schemas.openxmlformats.org/officeDocument/2006/relationships/hyperlink" Target="https://www.ift.org.mx/sites/default/files/industria/temasrelevantes/consultaspublicas/documentos/02-comentarios-megacable-consulta-publica-modelo-de-costos-evitado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4027de5-4fa1-4b3b-b037-3c59b9ed5c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0373C310612454E87FA67A34FACAE27" ma:contentTypeVersion="18" ma:contentTypeDescription="Crear nuevo documento." ma:contentTypeScope="" ma:versionID="3992aeb53b2f939112f13068294e4ab0">
  <xsd:schema xmlns:xsd="http://www.w3.org/2001/XMLSchema" xmlns:xs="http://www.w3.org/2001/XMLSchema" xmlns:p="http://schemas.microsoft.com/office/2006/metadata/properties" xmlns:ns3="f4027de5-4fa1-4b3b-b037-3c59b9ed5c3d" xmlns:ns4="0f9bfead-820e-4107-aaaf-47e5e77485e7" targetNamespace="http://schemas.microsoft.com/office/2006/metadata/properties" ma:root="true" ma:fieldsID="28f8b3dca421e4bd0f1244b49d56a244" ns3:_="" ns4:_="">
    <xsd:import namespace="f4027de5-4fa1-4b3b-b037-3c59b9ed5c3d"/>
    <xsd:import namespace="0f9bfead-820e-4107-aaaf-47e5e77485e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27de5-4fa1-4b3b-b037-3c59b9ed5c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9bfead-820e-4107-aaaf-47e5e77485e7"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SharingHintHash" ma:index="2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CEF41-0D3A-4525-93B6-53B4780A0C2E}">
  <ds:schemaRefs>
    <ds:schemaRef ds:uri="http://schemas.microsoft.com/office/2006/metadata/properties"/>
    <ds:schemaRef ds:uri="http://www.w3.org/XML/1998/namespace"/>
    <ds:schemaRef ds:uri="http://purl.org/dc/terms/"/>
    <ds:schemaRef ds:uri="http://schemas.microsoft.com/office/infopath/2007/PartnerControls"/>
    <ds:schemaRef ds:uri="f4027de5-4fa1-4b3b-b037-3c59b9ed5c3d"/>
    <ds:schemaRef ds:uri="http://purl.org/dc/elements/1.1/"/>
    <ds:schemaRef ds:uri="http://schemas.microsoft.com/office/2006/documentManagement/types"/>
    <ds:schemaRef ds:uri="http://purl.org/dc/dcmitype/"/>
    <ds:schemaRef ds:uri="http://schemas.openxmlformats.org/package/2006/metadata/core-properties"/>
    <ds:schemaRef ds:uri="0f9bfead-820e-4107-aaaf-47e5e77485e7"/>
  </ds:schemaRefs>
</ds:datastoreItem>
</file>

<file path=customXml/itemProps2.xml><?xml version="1.0" encoding="utf-8"?>
<ds:datastoreItem xmlns:ds="http://schemas.openxmlformats.org/officeDocument/2006/customXml" ds:itemID="{21835F5C-AA0A-4F80-9CD0-CFCD075B0390}">
  <ds:schemaRefs>
    <ds:schemaRef ds:uri="http://schemas.microsoft.com/sharepoint/v3/contenttype/forms"/>
  </ds:schemaRefs>
</ds:datastoreItem>
</file>

<file path=customXml/itemProps3.xml><?xml version="1.0" encoding="utf-8"?>
<ds:datastoreItem xmlns:ds="http://schemas.openxmlformats.org/officeDocument/2006/customXml" ds:itemID="{5A13D04D-932F-4448-A3F8-10859D88A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27de5-4fa1-4b3b-b037-3c59b9ed5c3d"/>
    <ds:schemaRef ds:uri="0f9bfead-820e-4107-aaaf-47e5e7748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DA565-388E-432B-8C0A-DEAEF2A2EB1E}">
  <ds:schemaRefs>
    <ds:schemaRef ds:uri="http://schemas.openxmlformats.org/officeDocument/2006/bibliography"/>
  </ds:schemaRefs>
</ds:datastoreItem>
</file>

<file path=docMetadata/LabelInfo.xml><?xml version="1.0" encoding="utf-8"?>
<clbl:labelList xmlns:clbl="http://schemas.microsoft.com/office/2020/mipLabelMetadata">
  <clbl:label id="{7f4d25dc-0cb0-4908-89bf-16102a1937e6}" enabled="0" method="" siteId="{7f4d25dc-0cb0-4908-89bf-16102a1937e6}" removed="1"/>
</clbl:labelList>
</file>

<file path=docProps/app.xml><?xml version="1.0" encoding="utf-8"?>
<Properties xmlns="http://schemas.openxmlformats.org/officeDocument/2006/extended-properties" xmlns:vt="http://schemas.openxmlformats.org/officeDocument/2006/docPropsVTypes">
  <Template>Normal</Template>
  <TotalTime>27</TotalTime>
  <Pages>17</Pages>
  <Words>7936</Words>
  <Characters>43252</Characters>
  <Application>Microsoft Office Word</Application>
  <DocSecurity>0</DocSecurity>
  <Lines>758</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Raul Rey Jimenez</dc:creator>
  <cp:keywords/>
  <dc:description/>
  <cp:lastModifiedBy>Cesar Martinez Anell</cp:lastModifiedBy>
  <cp:revision>6</cp:revision>
  <dcterms:created xsi:type="dcterms:W3CDTF">2025-02-07T19:01:00Z</dcterms:created>
  <dcterms:modified xsi:type="dcterms:W3CDTF">2025-02-07T19:28:00Z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ata">
    <vt:lpwstr>ew0KICAiZG9jSUQiOiAiYzhjYmU3MzItNzU4OS00NDgxLWE0MDUtYTI3MmJhZDcwOWY2Ig0KfQ==</vt:lpwstr>
  </property>
  <property fmtid="{D5CDD505-2E9C-101B-9397-08002B2CF9AE}" pid="3" name="GVData0">
    <vt:lpwstr>(end)</vt:lpwstr>
  </property>
  <property fmtid="{D5CDD505-2E9C-101B-9397-08002B2CF9AE}" pid="4" name="ContentTypeId">
    <vt:lpwstr>0x01010050373C310612454E87FA67A34FACAE27</vt:lpwstr>
  </property>
</Properties>
</file>