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6830E" w14:textId="6F542ED8" w:rsidR="006A609E" w:rsidRPr="0026359E" w:rsidRDefault="00B77E55" w:rsidP="006A609E">
      <w:pPr>
        <w:spacing w:after="120"/>
        <w:rPr>
          <w:rFonts w:ascii="Arial" w:hAnsi="Arial" w:cs="Arial"/>
          <w:b/>
          <w:sz w:val="22"/>
          <w:lang w:eastAsia="es-MX"/>
        </w:rPr>
      </w:pPr>
      <w:bookmarkStart w:id="0" w:name="_GoBack"/>
      <w:bookmarkEnd w:id="0"/>
      <w:r>
        <w:rPr>
          <w:rFonts w:ascii="Arial" w:hAnsi="Arial" w:cs="Arial"/>
          <w:b/>
          <w:sz w:val="22"/>
          <w:lang w:eastAsia="es-MX"/>
        </w:rPr>
        <w:t xml:space="preserve">Anteproyecto de </w:t>
      </w:r>
      <w:r w:rsidR="003721B9" w:rsidRPr="0026359E">
        <w:rPr>
          <w:rFonts w:ascii="Arial" w:hAnsi="Arial" w:cs="Arial"/>
          <w:b/>
          <w:sz w:val="22"/>
          <w:lang w:eastAsia="es-MX"/>
        </w:rPr>
        <w:t>ACUERDO</w:t>
      </w:r>
      <w:r w:rsidR="00BF0C77" w:rsidRPr="0026359E">
        <w:rPr>
          <w:rFonts w:ascii="Arial" w:hAnsi="Arial" w:cs="Arial"/>
          <w:b/>
          <w:sz w:val="22"/>
          <w:lang w:eastAsia="es-MX"/>
        </w:rPr>
        <w:t xml:space="preserve"> </w:t>
      </w:r>
      <w:r w:rsidR="006A609E" w:rsidRPr="0026359E">
        <w:rPr>
          <w:rFonts w:ascii="Arial" w:hAnsi="Arial" w:cs="Arial"/>
          <w:b/>
          <w:sz w:val="22"/>
          <w:lang w:eastAsia="es-MX"/>
        </w:rPr>
        <w:t xml:space="preserve">mediante el cual el Pleno del Instituto Federal de Telecomunicaciones </w:t>
      </w:r>
      <w:bookmarkStart w:id="1" w:name="_Hlk170204298"/>
      <w:r w:rsidR="006A609E" w:rsidRPr="0026359E">
        <w:rPr>
          <w:rFonts w:ascii="Arial" w:hAnsi="Arial" w:cs="Arial"/>
          <w:b/>
          <w:sz w:val="22"/>
          <w:lang w:eastAsia="es-MX"/>
        </w:rPr>
        <w:t xml:space="preserve">modifica </w:t>
      </w:r>
      <w:r w:rsidR="0090778D">
        <w:rPr>
          <w:rFonts w:ascii="Arial" w:hAnsi="Arial" w:cs="Arial"/>
          <w:b/>
          <w:sz w:val="22"/>
          <w:lang w:eastAsia="es-MX"/>
        </w:rPr>
        <w:t>diversas disposiciones</w:t>
      </w:r>
      <w:r w:rsidR="00BF0C77" w:rsidRPr="0026359E">
        <w:rPr>
          <w:rFonts w:ascii="Arial" w:hAnsi="Arial" w:cs="Arial"/>
          <w:b/>
          <w:sz w:val="22"/>
          <w:lang w:eastAsia="es-MX"/>
        </w:rPr>
        <w:t xml:space="preserve"> de los Lineamientos para la </w:t>
      </w:r>
      <w:r w:rsidR="006A609E" w:rsidRPr="0026359E">
        <w:rPr>
          <w:rFonts w:ascii="Arial" w:hAnsi="Arial" w:cs="Arial"/>
          <w:b/>
          <w:sz w:val="22"/>
          <w:lang w:eastAsia="es-MX"/>
        </w:rPr>
        <w:t>entrega, inscripción y consulta de información para la conformación del Sistema Nacional de Información de Infraestructura.</w:t>
      </w:r>
      <w:bookmarkEnd w:id="1"/>
    </w:p>
    <w:p w14:paraId="6473D1DE" w14:textId="77777777" w:rsidR="00E11826" w:rsidRPr="001239D8" w:rsidRDefault="00E11826" w:rsidP="00E11826">
      <w:pPr>
        <w:spacing w:after="120"/>
        <w:jc w:val="center"/>
        <w:rPr>
          <w:b/>
          <w:lang w:eastAsia="es-MX"/>
        </w:rPr>
      </w:pPr>
    </w:p>
    <w:p w14:paraId="44E7B43A" w14:textId="77777777" w:rsidR="006A609E" w:rsidRPr="001239D8" w:rsidRDefault="006A609E" w:rsidP="006A609E">
      <w:pPr>
        <w:spacing w:after="120"/>
        <w:jc w:val="center"/>
        <w:rPr>
          <w:rFonts w:ascii="Arial" w:hAnsi="Arial" w:cs="Arial"/>
          <w:b/>
          <w:bCs/>
          <w:sz w:val="26"/>
          <w:szCs w:val="26"/>
          <w:lang w:eastAsia="es-MX"/>
        </w:rPr>
      </w:pPr>
      <w:r w:rsidRPr="001239D8">
        <w:rPr>
          <w:rFonts w:ascii="Arial" w:hAnsi="Arial" w:cs="Arial"/>
          <w:b/>
          <w:bCs/>
          <w:sz w:val="26"/>
          <w:szCs w:val="26"/>
          <w:lang w:eastAsia="es-MX"/>
        </w:rPr>
        <w:t>Antecedentes</w:t>
      </w:r>
    </w:p>
    <w:p w14:paraId="5D1F5710" w14:textId="77777777" w:rsidR="0044360B" w:rsidRPr="001239D8" w:rsidRDefault="0044360B" w:rsidP="006A609E">
      <w:pPr>
        <w:spacing w:after="120"/>
        <w:jc w:val="center"/>
        <w:rPr>
          <w:rFonts w:ascii="Arial" w:hAnsi="Arial" w:cs="Arial"/>
          <w:b/>
          <w:bCs/>
          <w:sz w:val="26"/>
          <w:szCs w:val="26"/>
          <w:lang w:eastAsia="es-MX"/>
        </w:rPr>
      </w:pPr>
    </w:p>
    <w:p w14:paraId="07F9DF54" w14:textId="5D8B55D7" w:rsidR="006A609E" w:rsidRPr="001239D8" w:rsidRDefault="006A609E" w:rsidP="00795998">
      <w:pPr>
        <w:spacing w:after="120"/>
        <w:rPr>
          <w:rFonts w:ascii="Arial" w:hAnsi="Arial" w:cs="Arial"/>
          <w:bCs/>
          <w:sz w:val="22"/>
          <w:lang w:eastAsia="es-MX"/>
        </w:rPr>
      </w:pPr>
      <w:r w:rsidRPr="001239D8">
        <w:rPr>
          <w:rFonts w:ascii="Arial" w:hAnsi="Arial" w:cs="Arial"/>
          <w:b/>
          <w:bCs/>
          <w:sz w:val="22"/>
          <w:lang w:eastAsia="es-MX"/>
        </w:rPr>
        <w:t>Primero.- Decreto de Reforma Constitucional</w:t>
      </w:r>
      <w:r w:rsidRPr="001239D8">
        <w:rPr>
          <w:rFonts w:ascii="Arial" w:hAnsi="Arial" w:cs="Arial"/>
          <w:bCs/>
          <w:sz w:val="22"/>
          <w:lang w:eastAsia="es-MX"/>
        </w:rPr>
        <w:t xml:space="preserve">: Con fecha 11 de junio de 2013, se publicó en el Diario Oficial de la Federación (el "DOF") el "Decreto por el que se reforman y adicionan diversas disposiciones de los artículos 60., lo.,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w:t>
      </w:r>
      <w:r w:rsidR="003D5D75" w:rsidRPr="001239D8">
        <w:rPr>
          <w:rFonts w:ascii="Arial" w:hAnsi="Arial" w:cs="Arial"/>
          <w:bCs/>
          <w:sz w:val="22"/>
          <w:lang w:eastAsia="es-MX"/>
        </w:rPr>
        <w:t>radiodifusión y</w:t>
      </w:r>
      <w:r w:rsidRPr="001239D8">
        <w:rPr>
          <w:rFonts w:ascii="Arial" w:hAnsi="Arial" w:cs="Arial"/>
          <w:bCs/>
          <w:sz w:val="22"/>
          <w:lang w:eastAsia="es-MX"/>
        </w:rPr>
        <w:t xml:space="preserve"> las telecomunicaciones.</w:t>
      </w:r>
    </w:p>
    <w:p w14:paraId="17F94D38" w14:textId="77777777" w:rsidR="006A609E" w:rsidRPr="001239D8" w:rsidRDefault="006A609E" w:rsidP="00795998">
      <w:pPr>
        <w:spacing w:after="120"/>
        <w:rPr>
          <w:rFonts w:ascii="Arial" w:hAnsi="Arial" w:cs="Arial"/>
          <w:bCs/>
          <w:sz w:val="22"/>
          <w:lang w:eastAsia="es-MX"/>
        </w:rPr>
      </w:pPr>
      <w:r w:rsidRPr="001239D8">
        <w:rPr>
          <w:rFonts w:ascii="Arial" w:hAnsi="Arial" w:cs="Arial"/>
          <w:b/>
          <w:bCs/>
          <w:sz w:val="22"/>
          <w:lang w:eastAsia="es-MX"/>
        </w:rPr>
        <w:t>Segundo.- Publicación de la Ley</w:t>
      </w:r>
      <w:r w:rsidRPr="001239D8">
        <w:rPr>
          <w:rFonts w:ascii="Arial" w:hAnsi="Arial" w:cs="Arial"/>
          <w:bCs/>
          <w:sz w:val="22"/>
          <w:lang w:eastAsia="es-MX"/>
        </w:rPr>
        <w:t>: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 entrando en vigor la Ley Federal de Telecomunicaciones y Radiodifusión (en lo sucesivo, "LFTR") el 13 de agosto del 2014 y cuya última reforma fue publicada en el DOF el 29 de agosto de 2022.</w:t>
      </w:r>
    </w:p>
    <w:p w14:paraId="68BEC3F9" w14:textId="60DFDD6E" w:rsidR="006A609E" w:rsidRPr="001239D8" w:rsidRDefault="006A609E" w:rsidP="00795998">
      <w:pPr>
        <w:spacing w:after="120"/>
        <w:rPr>
          <w:rFonts w:ascii="Arial" w:hAnsi="Arial" w:cs="Arial"/>
          <w:bCs/>
          <w:sz w:val="22"/>
          <w:lang w:eastAsia="es-MX"/>
        </w:rPr>
      </w:pPr>
      <w:r w:rsidRPr="001239D8">
        <w:rPr>
          <w:rFonts w:ascii="Arial" w:hAnsi="Arial" w:cs="Arial"/>
          <w:b/>
          <w:bCs/>
          <w:sz w:val="22"/>
          <w:lang w:eastAsia="es-MX"/>
        </w:rPr>
        <w:t xml:space="preserve">Tercero.- Lineamientos </w:t>
      </w:r>
      <w:bookmarkStart w:id="2" w:name="_Hlk170216167"/>
      <w:r w:rsidRPr="001239D8">
        <w:rPr>
          <w:rFonts w:ascii="Arial" w:hAnsi="Arial" w:cs="Arial"/>
          <w:b/>
          <w:bCs/>
          <w:sz w:val="22"/>
          <w:lang w:eastAsia="es-MX"/>
        </w:rPr>
        <w:t>del Sistema Nacional de Información de Infraestructura</w:t>
      </w:r>
      <w:r w:rsidRPr="001239D8">
        <w:rPr>
          <w:rFonts w:ascii="Arial" w:hAnsi="Arial" w:cs="Arial"/>
          <w:bCs/>
          <w:sz w:val="22"/>
          <w:lang w:eastAsia="es-MX"/>
        </w:rPr>
        <w:t xml:space="preserve">: </w:t>
      </w:r>
      <w:bookmarkEnd w:id="2"/>
      <w:r w:rsidRPr="001239D8">
        <w:rPr>
          <w:rFonts w:ascii="Arial" w:hAnsi="Arial" w:cs="Arial"/>
          <w:bCs/>
          <w:sz w:val="22"/>
          <w:lang w:eastAsia="es-MX"/>
        </w:rPr>
        <w:t>El 28 de octubre de 2019, se publicó en el DOF el "Acuerdo mediante el cual el Pleno del Instituto Federal de Telecomunicaciones aprueba y emite los Lineamientos para para la entrega, inscripción y consulta de información para la conformación del Sistema Nacional de Información de Infraestructura" (en lo sucesivo, los "Lineamientos del SNII), los cuales entraron en vigor el 29 de octubre de 2019.</w:t>
      </w:r>
    </w:p>
    <w:p w14:paraId="43D4B32A" w14:textId="1DCB738B" w:rsidR="0049794E" w:rsidRDefault="0044360B" w:rsidP="003F276C">
      <w:pPr>
        <w:spacing w:after="120"/>
        <w:rPr>
          <w:rFonts w:ascii="Arial" w:hAnsi="Arial" w:cs="Arial"/>
          <w:bCs/>
          <w:sz w:val="22"/>
          <w:lang w:eastAsia="es-MX"/>
        </w:rPr>
      </w:pPr>
      <w:r w:rsidRPr="001239D8">
        <w:rPr>
          <w:rFonts w:ascii="Arial" w:hAnsi="Arial" w:cs="Arial"/>
          <w:b/>
          <w:bCs/>
          <w:sz w:val="22"/>
          <w:lang w:eastAsia="es-MX"/>
        </w:rPr>
        <w:t>Cuarto</w:t>
      </w:r>
      <w:r w:rsidR="00A869A3" w:rsidRPr="001239D8">
        <w:rPr>
          <w:rFonts w:ascii="Arial" w:hAnsi="Arial" w:cs="Arial"/>
          <w:b/>
          <w:bCs/>
          <w:sz w:val="22"/>
          <w:lang w:eastAsia="es-MX"/>
        </w:rPr>
        <w:t xml:space="preserve">.- </w:t>
      </w:r>
      <w:r w:rsidR="001266A3" w:rsidRPr="001239D8">
        <w:rPr>
          <w:rFonts w:ascii="Arial" w:hAnsi="Arial" w:cs="Arial"/>
          <w:b/>
          <w:bCs/>
          <w:sz w:val="22"/>
          <w:lang w:eastAsia="es-MX"/>
        </w:rPr>
        <w:t xml:space="preserve">Modificación a los Lineamientos del Sistema Nacional de Información de Infraestructura: </w:t>
      </w:r>
      <w:r w:rsidR="001266A3" w:rsidRPr="001239D8">
        <w:rPr>
          <w:rFonts w:ascii="Arial" w:hAnsi="Arial" w:cs="Arial"/>
          <w:bCs/>
          <w:sz w:val="22"/>
          <w:lang w:eastAsia="es-MX"/>
        </w:rPr>
        <w:t>E</w:t>
      </w:r>
      <w:r w:rsidR="00A869A3" w:rsidRPr="001239D8">
        <w:rPr>
          <w:rFonts w:ascii="Arial" w:hAnsi="Arial" w:cs="Arial"/>
          <w:bCs/>
          <w:sz w:val="22"/>
          <w:lang w:eastAsia="es-MX"/>
        </w:rPr>
        <w:t xml:space="preserve">l 28 de febrero de 2024, se publicó en el </w:t>
      </w:r>
      <w:r w:rsidR="009D4A0D" w:rsidRPr="001239D8">
        <w:rPr>
          <w:rFonts w:ascii="Arial" w:hAnsi="Arial" w:cs="Arial"/>
          <w:bCs/>
          <w:sz w:val="22"/>
          <w:lang w:eastAsia="es-MX"/>
        </w:rPr>
        <w:t>DOF</w:t>
      </w:r>
      <w:r w:rsidR="00A869A3" w:rsidRPr="001239D8">
        <w:rPr>
          <w:rFonts w:ascii="Arial" w:hAnsi="Arial" w:cs="Arial"/>
          <w:bCs/>
          <w:sz w:val="22"/>
          <w:lang w:eastAsia="es-MX"/>
        </w:rPr>
        <w:t xml:space="preserve"> el “ACUERDO mediante el cual el Pleno del Instituto Federal de Telecomunicaciones modifica diversas disposiciones de los Lineamientos para la entrega, inscripción y consulta de información para la conformación del Sistema Nacional de Información de Infraestructura</w:t>
      </w:r>
      <w:r w:rsidR="001266A3" w:rsidRPr="001239D8">
        <w:rPr>
          <w:rFonts w:ascii="Arial" w:hAnsi="Arial" w:cs="Arial"/>
          <w:bCs/>
          <w:sz w:val="22"/>
          <w:lang w:eastAsia="es-MX"/>
        </w:rPr>
        <w:t>” los cuales entraron en vigor el 29 de febrero de 2024</w:t>
      </w:r>
      <w:r w:rsidR="003D5D75">
        <w:rPr>
          <w:rFonts w:ascii="Arial" w:hAnsi="Arial" w:cs="Arial"/>
          <w:bCs/>
          <w:sz w:val="22"/>
          <w:lang w:eastAsia="es-MX"/>
        </w:rPr>
        <w:t>.</w:t>
      </w:r>
    </w:p>
    <w:p w14:paraId="4771A6FE" w14:textId="56F16AC1" w:rsidR="003D5D75" w:rsidRPr="003D5D75" w:rsidRDefault="00B87A0F" w:rsidP="003F276C">
      <w:pPr>
        <w:spacing w:after="120"/>
        <w:rPr>
          <w:rFonts w:ascii="Arial" w:hAnsi="Arial" w:cs="Arial"/>
          <w:sz w:val="22"/>
          <w:lang w:eastAsia="es-MX"/>
        </w:rPr>
      </w:pPr>
      <w:r>
        <w:rPr>
          <w:rFonts w:ascii="Arial" w:hAnsi="Arial" w:cs="Arial"/>
          <w:b/>
          <w:bCs/>
          <w:sz w:val="22"/>
          <w:lang w:eastAsia="es-MX"/>
        </w:rPr>
        <w:t>Quinto</w:t>
      </w:r>
      <w:r w:rsidR="003F276C" w:rsidRPr="003F276C">
        <w:rPr>
          <w:rFonts w:ascii="Arial" w:hAnsi="Arial" w:cs="Arial"/>
          <w:b/>
          <w:bCs/>
          <w:sz w:val="22"/>
          <w:lang w:eastAsia="es-MX"/>
        </w:rPr>
        <w:t xml:space="preserve">.- </w:t>
      </w:r>
      <w:r w:rsidR="003D5D75">
        <w:rPr>
          <w:rFonts w:ascii="Arial" w:hAnsi="Arial" w:cs="Arial"/>
          <w:b/>
          <w:bCs/>
          <w:sz w:val="22"/>
          <w:lang w:eastAsia="es-MX"/>
        </w:rPr>
        <w:t xml:space="preserve">Solicitud de la CANIETI: </w:t>
      </w:r>
      <w:r w:rsidR="003D5D75">
        <w:rPr>
          <w:rFonts w:ascii="Arial" w:hAnsi="Arial" w:cs="Arial"/>
          <w:sz w:val="22"/>
          <w:lang w:eastAsia="es-MX"/>
        </w:rPr>
        <w:t>Mediante escrito presentado en la Oficialía de Partes del Instituto el 20 de junio del presente año, la Cámara Nacional de la Industria Electrónica, de Telecomunicaciones y Tecnologías de la Información</w:t>
      </w:r>
      <w:r w:rsidR="00A3332A">
        <w:rPr>
          <w:rFonts w:ascii="Arial" w:hAnsi="Arial" w:cs="Arial"/>
          <w:sz w:val="22"/>
          <w:lang w:eastAsia="es-MX"/>
        </w:rPr>
        <w:t xml:space="preserve"> (la “CANIETI”)</w:t>
      </w:r>
      <w:r w:rsidR="003D5D75">
        <w:rPr>
          <w:rFonts w:ascii="Arial" w:hAnsi="Arial" w:cs="Arial"/>
          <w:sz w:val="22"/>
          <w:lang w:eastAsia="es-MX"/>
        </w:rPr>
        <w:t>, solicitó modificar el calendario de carga inicial establecido en los Lineamientos del SNII</w:t>
      </w:r>
      <w:r w:rsidR="00AB1E37">
        <w:rPr>
          <w:rFonts w:ascii="Arial" w:hAnsi="Arial" w:cs="Arial"/>
          <w:sz w:val="22"/>
          <w:lang w:eastAsia="es-MX"/>
        </w:rPr>
        <w:t xml:space="preserve"> en atención a</w:t>
      </w:r>
      <w:r w:rsidR="003D5D75">
        <w:rPr>
          <w:rFonts w:ascii="Arial" w:hAnsi="Arial" w:cs="Arial"/>
          <w:sz w:val="22"/>
          <w:lang w:eastAsia="es-MX"/>
        </w:rPr>
        <w:t xml:space="preserve"> que los sujetos obligados que conforman ese organismo empresarial requieren de mayor tiempo y planeación de los previstos para atender la obligación de conformidad con </w:t>
      </w:r>
      <w:r w:rsidR="00A3332A">
        <w:rPr>
          <w:rFonts w:ascii="Arial" w:hAnsi="Arial" w:cs="Arial"/>
          <w:sz w:val="22"/>
          <w:lang w:eastAsia="es-MX"/>
        </w:rPr>
        <w:t xml:space="preserve">dicho </w:t>
      </w:r>
      <w:r w:rsidR="003D5D75">
        <w:rPr>
          <w:rFonts w:ascii="Arial" w:hAnsi="Arial" w:cs="Arial"/>
          <w:sz w:val="22"/>
          <w:lang w:eastAsia="es-MX"/>
        </w:rPr>
        <w:t xml:space="preserve">calendario establecido en </w:t>
      </w:r>
      <w:r w:rsidR="00A3332A">
        <w:rPr>
          <w:rFonts w:ascii="Arial" w:hAnsi="Arial" w:cs="Arial"/>
          <w:sz w:val="22"/>
          <w:lang w:eastAsia="es-MX"/>
        </w:rPr>
        <w:t>l</w:t>
      </w:r>
      <w:r w:rsidR="003D5D75">
        <w:rPr>
          <w:rFonts w:ascii="Arial" w:hAnsi="Arial" w:cs="Arial"/>
          <w:sz w:val="22"/>
          <w:lang w:eastAsia="es-MX"/>
        </w:rPr>
        <w:t>a</w:t>
      </w:r>
      <w:r w:rsidR="00A3332A">
        <w:rPr>
          <w:rFonts w:ascii="Arial" w:hAnsi="Arial" w:cs="Arial"/>
          <w:sz w:val="22"/>
          <w:lang w:eastAsia="es-MX"/>
        </w:rPr>
        <w:t xml:space="preserve"> mencionada</w:t>
      </w:r>
      <w:r w:rsidR="003D5D75">
        <w:rPr>
          <w:rFonts w:ascii="Arial" w:hAnsi="Arial" w:cs="Arial"/>
          <w:sz w:val="22"/>
          <w:lang w:eastAsia="es-MX"/>
        </w:rPr>
        <w:t xml:space="preserve"> normatividad.</w:t>
      </w:r>
    </w:p>
    <w:p w14:paraId="3D3A7F35" w14:textId="0AB4E9D1" w:rsidR="003F276C" w:rsidRPr="00A3332A" w:rsidRDefault="003D5D75" w:rsidP="003F276C">
      <w:pPr>
        <w:spacing w:after="120"/>
        <w:rPr>
          <w:rFonts w:ascii="Arial" w:hAnsi="Arial" w:cs="Arial"/>
          <w:bCs/>
          <w:sz w:val="22"/>
          <w:lang w:eastAsia="es-MX"/>
        </w:rPr>
      </w:pPr>
      <w:r>
        <w:rPr>
          <w:rFonts w:ascii="Arial" w:hAnsi="Arial" w:cs="Arial"/>
          <w:b/>
          <w:bCs/>
          <w:sz w:val="22"/>
          <w:lang w:eastAsia="es-MX"/>
        </w:rPr>
        <w:t xml:space="preserve">Sexto.- </w:t>
      </w:r>
      <w:r w:rsidR="003F276C" w:rsidRPr="003F276C">
        <w:rPr>
          <w:rFonts w:ascii="Arial" w:hAnsi="Arial" w:cs="Arial"/>
          <w:b/>
          <w:bCs/>
          <w:sz w:val="22"/>
          <w:lang w:eastAsia="es-MX"/>
        </w:rPr>
        <w:t xml:space="preserve">Consulta Pública: </w:t>
      </w:r>
      <w:r w:rsidR="003F276C" w:rsidRPr="003D5D75">
        <w:rPr>
          <w:rFonts w:ascii="Arial" w:hAnsi="Arial" w:cs="Arial"/>
          <w:bCs/>
          <w:sz w:val="22"/>
          <w:lang w:eastAsia="es-MX"/>
        </w:rPr>
        <w:t xml:space="preserve">El </w:t>
      </w:r>
      <w:r w:rsidR="00B87A0F" w:rsidRPr="003D5D75">
        <w:rPr>
          <w:rFonts w:ascii="Arial" w:hAnsi="Arial" w:cs="Arial"/>
          <w:bCs/>
          <w:sz w:val="22"/>
          <w:lang w:eastAsia="es-MX"/>
        </w:rPr>
        <w:t>10</w:t>
      </w:r>
      <w:r w:rsidR="003F276C" w:rsidRPr="003D5D75">
        <w:rPr>
          <w:rFonts w:ascii="Arial" w:hAnsi="Arial" w:cs="Arial"/>
          <w:bCs/>
          <w:sz w:val="22"/>
          <w:lang w:eastAsia="es-MX"/>
        </w:rPr>
        <w:t xml:space="preserve"> de </w:t>
      </w:r>
      <w:r w:rsidR="00B87A0F" w:rsidRPr="003D5D75">
        <w:rPr>
          <w:rFonts w:ascii="Arial" w:hAnsi="Arial" w:cs="Arial"/>
          <w:bCs/>
          <w:sz w:val="22"/>
          <w:lang w:eastAsia="es-MX"/>
        </w:rPr>
        <w:t>julio</w:t>
      </w:r>
      <w:r w:rsidR="003F276C" w:rsidRPr="003D5D75">
        <w:rPr>
          <w:rFonts w:ascii="Arial" w:hAnsi="Arial" w:cs="Arial"/>
          <w:bCs/>
          <w:sz w:val="22"/>
          <w:lang w:eastAsia="es-MX"/>
        </w:rPr>
        <w:t xml:space="preserve"> de 202</w:t>
      </w:r>
      <w:r w:rsidR="00B87A0F" w:rsidRPr="003D5D75">
        <w:rPr>
          <w:rFonts w:ascii="Arial" w:hAnsi="Arial" w:cs="Arial"/>
          <w:bCs/>
          <w:sz w:val="22"/>
          <w:lang w:eastAsia="es-MX"/>
        </w:rPr>
        <w:t>4</w:t>
      </w:r>
      <w:r w:rsidR="003F276C" w:rsidRPr="003D5D75">
        <w:rPr>
          <w:rFonts w:ascii="Arial" w:hAnsi="Arial" w:cs="Arial"/>
          <w:bCs/>
          <w:sz w:val="22"/>
          <w:lang w:eastAsia="es-MX"/>
        </w:rPr>
        <w:t>, el</w:t>
      </w:r>
      <w:r w:rsidR="003F276C" w:rsidRPr="00B87A0F">
        <w:rPr>
          <w:rFonts w:ascii="Arial" w:hAnsi="Arial" w:cs="Arial"/>
          <w:bCs/>
          <w:sz w:val="22"/>
          <w:lang w:eastAsia="es-MX"/>
        </w:rPr>
        <w:t xml:space="preserve"> Pleno del Instituto en su </w:t>
      </w:r>
      <w:r w:rsidR="003F276C" w:rsidRPr="00A3332A">
        <w:rPr>
          <w:rFonts w:ascii="Arial" w:hAnsi="Arial" w:cs="Arial"/>
          <w:bCs/>
          <w:sz w:val="22"/>
          <w:lang w:eastAsia="es-MX"/>
        </w:rPr>
        <w:t>XX</w:t>
      </w:r>
      <w:r w:rsidR="00B87A0F" w:rsidRPr="00A3332A">
        <w:rPr>
          <w:rFonts w:ascii="Arial" w:hAnsi="Arial" w:cs="Arial"/>
          <w:bCs/>
          <w:sz w:val="22"/>
          <w:lang w:eastAsia="es-MX"/>
        </w:rPr>
        <w:t>XX</w:t>
      </w:r>
      <w:r w:rsidR="003F276C" w:rsidRPr="00A3332A">
        <w:rPr>
          <w:rFonts w:ascii="Arial" w:hAnsi="Arial" w:cs="Arial"/>
          <w:bCs/>
          <w:sz w:val="22"/>
          <w:lang w:eastAsia="es-MX"/>
        </w:rPr>
        <w:t xml:space="preserve"> Sesión Ordinaria sometió a Consulta Pública el “</w:t>
      </w:r>
      <w:r w:rsidR="00B87A0F" w:rsidRPr="00A3332A">
        <w:rPr>
          <w:rFonts w:ascii="Arial" w:hAnsi="Arial" w:cs="Arial"/>
          <w:bCs/>
          <w:sz w:val="22"/>
          <w:lang w:eastAsia="es-MX"/>
        </w:rPr>
        <w:t>Acuerdo mediante el cual el Pleno del</w:t>
      </w:r>
      <w:r w:rsidR="00B87A0F" w:rsidRPr="00B87A0F">
        <w:rPr>
          <w:rFonts w:ascii="Arial" w:hAnsi="Arial" w:cs="Arial"/>
          <w:bCs/>
          <w:sz w:val="22"/>
          <w:lang w:eastAsia="es-MX"/>
        </w:rPr>
        <w:t xml:space="preserve"> Instituto Federal de Telecomunicaciones determina someter a Consulta Pública el Anteproyecto de Acuerdo mediante el cual el Pleno del Instituto Federal de Telecomunicaciones modifica </w:t>
      </w:r>
      <w:r w:rsidR="00CC4E94">
        <w:rPr>
          <w:rFonts w:ascii="Arial" w:hAnsi="Arial" w:cs="Arial"/>
          <w:bCs/>
          <w:sz w:val="22"/>
          <w:lang w:eastAsia="es-MX"/>
        </w:rPr>
        <w:t xml:space="preserve">diversas disposiciones </w:t>
      </w:r>
      <w:r w:rsidR="00B87A0F" w:rsidRPr="00B87A0F">
        <w:rPr>
          <w:rFonts w:ascii="Arial" w:hAnsi="Arial" w:cs="Arial"/>
          <w:bCs/>
          <w:sz w:val="22"/>
          <w:lang w:eastAsia="es-MX"/>
        </w:rPr>
        <w:t xml:space="preserve">de los Lineamientos para la entrega, inscripción y consulta de información para la </w:t>
      </w:r>
      <w:r w:rsidR="00B87A0F" w:rsidRPr="00B87A0F">
        <w:rPr>
          <w:rFonts w:ascii="Arial" w:hAnsi="Arial" w:cs="Arial"/>
          <w:bCs/>
          <w:sz w:val="22"/>
          <w:lang w:eastAsia="es-MX"/>
        </w:rPr>
        <w:lastRenderedPageBreak/>
        <w:t>conformación del Sistema Nacional de Información de Infraestructura.</w:t>
      </w:r>
      <w:r w:rsidR="003F276C" w:rsidRPr="00B87A0F">
        <w:rPr>
          <w:rFonts w:ascii="Arial" w:hAnsi="Arial" w:cs="Arial"/>
          <w:bCs/>
          <w:sz w:val="22"/>
          <w:lang w:eastAsia="es-MX"/>
        </w:rPr>
        <w:t xml:space="preserve">” (Anteproyecto). La Consulta Pública se llevó a cabo </w:t>
      </w:r>
      <w:r w:rsidR="003F276C" w:rsidRPr="00A3332A">
        <w:rPr>
          <w:rFonts w:ascii="Arial" w:hAnsi="Arial" w:cs="Arial"/>
          <w:bCs/>
          <w:sz w:val="22"/>
          <w:lang w:eastAsia="es-MX"/>
        </w:rPr>
        <w:t xml:space="preserve">del </w:t>
      </w:r>
      <w:r w:rsidR="00F744C2">
        <w:rPr>
          <w:rFonts w:ascii="Arial" w:hAnsi="Arial" w:cs="Arial"/>
          <w:bCs/>
          <w:sz w:val="22"/>
          <w:lang w:eastAsia="es-MX"/>
        </w:rPr>
        <w:t>11</w:t>
      </w:r>
      <w:r w:rsidR="003F276C" w:rsidRPr="00A3332A">
        <w:rPr>
          <w:rFonts w:ascii="Arial" w:hAnsi="Arial" w:cs="Arial"/>
          <w:bCs/>
          <w:sz w:val="22"/>
          <w:lang w:eastAsia="es-MX"/>
        </w:rPr>
        <w:t xml:space="preserve"> de </w:t>
      </w:r>
      <w:r w:rsidR="00B87A0F" w:rsidRPr="00A3332A">
        <w:rPr>
          <w:rFonts w:ascii="Arial" w:hAnsi="Arial" w:cs="Arial"/>
          <w:bCs/>
          <w:sz w:val="22"/>
          <w:lang w:eastAsia="es-MX"/>
        </w:rPr>
        <w:t>julio</w:t>
      </w:r>
      <w:r w:rsidR="003F276C" w:rsidRPr="00A3332A">
        <w:rPr>
          <w:rFonts w:ascii="Arial" w:hAnsi="Arial" w:cs="Arial"/>
          <w:bCs/>
          <w:sz w:val="22"/>
          <w:lang w:eastAsia="es-MX"/>
        </w:rPr>
        <w:t xml:space="preserve"> de 202</w:t>
      </w:r>
      <w:r w:rsidR="00B87A0F" w:rsidRPr="00A3332A">
        <w:rPr>
          <w:rFonts w:ascii="Arial" w:hAnsi="Arial" w:cs="Arial"/>
          <w:bCs/>
          <w:sz w:val="22"/>
          <w:lang w:eastAsia="es-MX"/>
        </w:rPr>
        <w:t>4</w:t>
      </w:r>
      <w:r w:rsidR="003F276C" w:rsidRPr="00A3332A">
        <w:rPr>
          <w:rFonts w:ascii="Arial" w:hAnsi="Arial" w:cs="Arial"/>
          <w:bCs/>
          <w:sz w:val="22"/>
          <w:lang w:eastAsia="es-MX"/>
        </w:rPr>
        <w:t xml:space="preserve"> al </w:t>
      </w:r>
      <w:r w:rsidR="00F744C2">
        <w:rPr>
          <w:rFonts w:ascii="Arial" w:hAnsi="Arial" w:cs="Arial"/>
          <w:bCs/>
          <w:sz w:val="22"/>
          <w:lang w:eastAsia="es-MX"/>
        </w:rPr>
        <w:t>07</w:t>
      </w:r>
      <w:r w:rsidR="003F276C" w:rsidRPr="00A3332A">
        <w:rPr>
          <w:rFonts w:ascii="Arial" w:hAnsi="Arial" w:cs="Arial"/>
          <w:bCs/>
          <w:sz w:val="22"/>
          <w:lang w:eastAsia="es-MX"/>
        </w:rPr>
        <w:t xml:space="preserve"> de </w:t>
      </w:r>
      <w:r w:rsidR="00B87A0F" w:rsidRPr="00A3332A">
        <w:rPr>
          <w:rFonts w:ascii="Arial" w:hAnsi="Arial" w:cs="Arial"/>
          <w:bCs/>
          <w:sz w:val="22"/>
          <w:lang w:eastAsia="es-MX"/>
        </w:rPr>
        <w:t>agosto</w:t>
      </w:r>
      <w:r w:rsidR="003F276C" w:rsidRPr="00A3332A">
        <w:rPr>
          <w:rFonts w:ascii="Arial" w:hAnsi="Arial" w:cs="Arial"/>
          <w:bCs/>
          <w:sz w:val="22"/>
          <w:lang w:eastAsia="es-MX"/>
        </w:rPr>
        <w:t xml:space="preserve"> del 202</w:t>
      </w:r>
      <w:r w:rsidR="00B87A0F" w:rsidRPr="00A3332A">
        <w:rPr>
          <w:rFonts w:ascii="Arial" w:hAnsi="Arial" w:cs="Arial"/>
          <w:bCs/>
          <w:sz w:val="22"/>
          <w:lang w:eastAsia="es-MX"/>
        </w:rPr>
        <w:t>4</w:t>
      </w:r>
      <w:r w:rsidR="003F276C" w:rsidRPr="00A3332A">
        <w:rPr>
          <w:rFonts w:ascii="Arial" w:hAnsi="Arial" w:cs="Arial"/>
          <w:bCs/>
          <w:sz w:val="22"/>
          <w:lang w:eastAsia="es-MX"/>
        </w:rPr>
        <w:t>.</w:t>
      </w:r>
    </w:p>
    <w:p w14:paraId="0B5FA12C" w14:textId="77777777" w:rsidR="003F276C" w:rsidRPr="00A3332A" w:rsidRDefault="003F276C" w:rsidP="003F276C">
      <w:pPr>
        <w:spacing w:after="120"/>
        <w:rPr>
          <w:rFonts w:ascii="Arial" w:hAnsi="Arial" w:cs="Arial"/>
          <w:bCs/>
          <w:sz w:val="22"/>
          <w:lang w:eastAsia="es-MX"/>
        </w:rPr>
      </w:pPr>
      <w:r w:rsidRPr="00A3332A">
        <w:rPr>
          <w:rFonts w:ascii="Arial" w:hAnsi="Arial" w:cs="Arial"/>
          <w:bCs/>
          <w:sz w:val="22"/>
          <w:lang w:eastAsia="es-MX"/>
        </w:rPr>
        <w:t>Una vez cerrada la Consulta Pública, se agruparon los comentarios, opiniones y manifestaciones que se encontraron relacionados entre sí,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7318C0D9" w14:textId="52DC5819" w:rsidR="003F276C" w:rsidRPr="00B87A0F" w:rsidRDefault="00044D6A" w:rsidP="003F276C">
      <w:pPr>
        <w:spacing w:after="120"/>
        <w:rPr>
          <w:rFonts w:ascii="Arial" w:hAnsi="Arial" w:cs="Arial"/>
          <w:bCs/>
          <w:sz w:val="22"/>
          <w:lang w:eastAsia="es-MX"/>
        </w:rPr>
      </w:pPr>
      <w:r w:rsidRPr="00A3332A">
        <w:rPr>
          <w:rFonts w:ascii="Arial" w:hAnsi="Arial" w:cs="Arial"/>
          <w:b/>
          <w:bCs/>
          <w:sz w:val="22"/>
          <w:lang w:eastAsia="es-MX"/>
        </w:rPr>
        <w:t>Sexto</w:t>
      </w:r>
      <w:r w:rsidR="003F276C" w:rsidRPr="00A3332A">
        <w:rPr>
          <w:rFonts w:ascii="Arial" w:hAnsi="Arial" w:cs="Arial"/>
          <w:b/>
          <w:bCs/>
          <w:sz w:val="22"/>
          <w:lang w:eastAsia="es-MX"/>
        </w:rPr>
        <w:t xml:space="preserve">.- Análisis de Impacto regulatorio: </w:t>
      </w:r>
      <w:r w:rsidR="003F276C" w:rsidRPr="00A3332A">
        <w:rPr>
          <w:rFonts w:ascii="Arial" w:hAnsi="Arial" w:cs="Arial"/>
          <w:bCs/>
          <w:sz w:val="22"/>
          <w:lang w:eastAsia="es-MX"/>
        </w:rPr>
        <w:t>De conformidad con el artículo Vigésimo Tercero de los Lineamientos de Consulta Pública y Análisis de Impacto Regulatorio, la Unidad de Concesiones y Servicios, mediante oficio IFT/223/UCS/</w:t>
      </w:r>
      <w:r w:rsidR="00F744C2">
        <w:rPr>
          <w:rFonts w:ascii="Arial" w:hAnsi="Arial" w:cs="Arial"/>
          <w:bCs/>
          <w:sz w:val="22"/>
          <w:lang w:eastAsia="es-MX"/>
        </w:rPr>
        <w:t>4711</w:t>
      </w:r>
      <w:r w:rsidR="003F276C" w:rsidRPr="00A3332A">
        <w:rPr>
          <w:rFonts w:ascii="Arial" w:hAnsi="Arial" w:cs="Arial"/>
          <w:bCs/>
          <w:sz w:val="22"/>
          <w:lang w:eastAsia="es-MX"/>
        </w:rPr>
        <w:t>/202</w:t>
      </w:r>
      <w:r w:rsidR="00B87A0F">
        <w:rPr>
          <w:rFonts w:ascii="Arial" w:hAnsi="Arial" w:cs="Arial"/>
          <w:bCs/>
          <w:sz w:val="22"/>
          <w:lang w:eastAsia="es-MX"/>
        </w:rPr>
        <w:t>4</w:t>
      </w:r>
      <w:r w:rsidR="003F276C" w:rsidRPr="00B87A0F">
        <w:rPr>
          <w:rFonts w:ascii="Arial" w:hAnsi="Arial" w:cs="Arial"/>
          <w:bCs/>
          <w:sz w:val="22"/>
          <w:lang w:eastAsia="es-MX"/>
        </w:rPr>
        <w:t xml:space="preserve"> remitió a la Coordinación General de Mejora Regulatoria de este Instituto, el Proyecto de “</w:t>
      </w:r>
      <w:r w:rsidR="00B87A0F" w:rsidRPr="00B87A0F">
        <w:rPr>
          <w:rFonts w:ascii="Arial" w:hAnsi="Arial" w:cs="Arial"/>
          <w:bCs/>
          <w:sz w:val="22"/>
          <w:lang w:eastAsia="es-MX"/>
        </w:rPr>
        <w:t xml:space="preserve">ACUERDO mediante el cual el Pleno del Instituto Federal de Telecomunicaciones modifica </w:t>
      </w:r>
      <w:r w:rsidR="0090778D">
        <w:rPr>
          <w:rFonts w:ascii="Arial" w:hAnsi="Arial" w:cs="Arial"/>
          <w:bCs/>
          <w:sz w:val="22"/>
          <w:lang w:eastAsia="es-MX"/>
        </w:rPr>
        <w:t xml:space="preserve">diversas disposiciones </w:t>
      </w:r>
      <w:r w:rsidR="00B87A0F" w:rsidRPr="00B87A0F">
        <w:rPr>
          <w:rFonts w:ascii="Arial" w:hAnsi="Arial" w:cs="Arial"/>
          <w:bCs/>
          <w:sz w:val="22"/>
          <w:lang w:eastAsia="es-MX"/>
        </w:rPr>
        <w:t>de los Lineamientos para la entrega, inscripción y consulta de información para la conformación del Sistema Nacional de Información de Infraestructura.</w:t>
      </w:r>
      <w:r w:rsidR="003F276C" w:rsidRPr="00B87A0F">
        <w:rPr>
          <w:rFonts w:ascii="Arial" w:hAnsi="Arial" w:cs="Arial"/>
          <w:bCs/>
          <w:sz w:val="22"/>
          <w:lang w:eastAsia="es-MX"/>
        </w:rPr>
        <w:t>”, así como el correspondiente Análisis de Nulo Impacto Regulatorio con el objeto de que dicha Coordinación emitiera la opinión no vinculante que correspondiera.</w:t>
      </w:r>
    </w:p>
    <w:p w14:paraId="02BD5370" w14:textId="53A48A9B" w:rsidR="0044360B" w:rsidRPr="00B87A0F" w:rsidRDefault="00B87A0F" w:rsidP="003F276C">
      <w:pPr>
        <w:spacing w:after="120"/>
        <w:rPr>
          <w:rFonts w:ascii="Arial" w:hAnsi="Arial" w:cs="Arial"/>
          <w:bCs/>
          <w:sz w:val="22"/>
          <w:lang w:eastAsia="es-MX"/>
        </w:rPr>
      </w:pPr>
      <w:r w:rsidRPr="003F276C">
        <w:rPr>
          <w:rFonts w:ascii="Arial" w:hAnsi="Arial" w:cs="Arial"/>
          <w:b/>
          <w:bCs/>
          <w:sz w:val="22"/>
          <w:lang w:eastAsia="es-MX"/>
        </w:rPr>
        <w:t>Séptimo</w:t>
      </w:r>
      <w:r w:rsidR="003F276C" w:rsidRPr="003F276C">
        <w:rPr>
          <w:rFonts w:ascii="Arial" w:hAnsi="Arial" w:cs="Arial"/>
          <w:b/>
          <w:bCs/>
          <w:sz w:val="22"/>
          <w:lang w:eastAsia="es-MX"/>
        </w:rPr>
        <w:t xml:space="preserve">.- </w:t>
      </w:r>
      <w:r w:rsidR="003F276C" w:rsidRPr="00B87A0F">
        <w:rPr>
          <w:rFonts w:ascii="Arial" w:hAnsi="Arial" w:cs="Arial"/>
          <w:bCs/>
          <w:sz w:val="22"/>
          <w:lang w:eastAsia="es-MX"/>
        </w:rPr>
        <w:t>Opinión n</w:t>
      </w:r>
      <w:r w:rsidR="003F276C" w:rsidRPr="00A3332A">
        <w:rPr>
          <w:rFonts w:ascii="Arial" w:hAnsi="Arial" w:cs="Arial"/>
          <w:bCs/>
          <w:sz w:val="22"/>
          <w:lang w:eastAsia="es-MX"/>
        </w:rPr>
        <w:t xml:space="preserve">o vinculante en Mejora Regulatoria: El </w:t>
      </w:r>
      <w:r w:rsidRPr="00A3332A">
        <w:rPr>
          <w:rFonts w:ascii="Arial" w:hAnsi="Arial" w:cs="Arial"/>
          <w:bCs/>
          <w:sz w:val="22"/>
          <w:lang w:eastAsia="es-MX"/>
        </w:rPr>
        <w:t>XX</w:t>
      </w:r>
      <w:r w:rsidR="003F276C" w:rsidRPr="00A3332A">
        <w:rPr>
          <w:rFonts w:ascii="Arial" w:hAnsi="Arial" w:cs="Arial"/>
          <w:bCs/>
          <w:sz w:val="22"/>
          <w:lang w:eastAsia="es-MX"/>
        </w:rPr>
        <w:t xml:space="preserve"> de </w:t>
      </w:r>
      <w:r w:rsidRPr="00A3332A">
        <w:rPr>
          <w:rFonts w:ascii="Arial" w:hAnsi="Arial" w:cs="Arial"/>
          <w:bCs/>
          <w:sz w:val="22"/>
          <w:lang w:eastAsia="es-MX"/>
        </w:rPr>
        <w:t>agosto</w:t>
      </w:r>
      <w:r w:rsidR="003F276C" w:rsidRPr="00A3332A">
        <w:rPr>
          <w:rFonts w:ascii="Arial" w:hAnsi="Arial" w:cs="Arial"/>
          <w:bCs/>
          <w:sz w:val="22"/>
          <w:lang w:eastAsia="es-MX"/>
        </w:rPr>
        <w:t xml:space="preserve"> de 2024, mediante oficio IFT/211/CGMR/</w:t>
      </w:r>
      <w:r w:rsidRPr="00A3332A">
        <w:rPr>
          <w:rFonts w:ascii="Arial" w:hAnsi="Arial" w:cs="Arial"/>
          <w:bCs/>
          <w:sz w:val="22"/>
          <w:lang w:eastAsia="es-MX"/>
        </w:rPr>
        <w:t>XXXX</w:t>
      </w:r>
      <w:r w:rsidR="003F276C" w:rsidRPr="00A3332A">
        <w:rPr>
          <w:rFonts w:ascii="Arial" w:hAnsi="Arial" w:cs="Arial"/>
          <w:bCs/>
          <w:sz w:val="22"/>
          <w:lang w:eastAsia="es-MX"/>
        </w:rPr>
        <w:t xml:space="preserve">/2024 de fecha </w:t>
      </w:r>
      <w:r w:rsidRPr="00A3332A">
        <w:rPr>
          <w:rFonts w:ascii="Arial" w:hAnsi="Arial" w:cs="Arial"/>
          <w:bCs/>
          <w:sz w:val="22"/>
          <w:lang w:eastAsia="es-MX"/>
        </w:rPr>
        <w:t>XX</w:t>
      </w:r>
      <w:r w:rsidR="003F276C" w:rsidRPr="00A3332A">
        <w:rPr>
          <w:rFonts w:ascii="Arial" w:hAnsi="Arial" w:cs="Arial"/>
          <w:bCs/>
          <w:sz w:val="22"/>
          <w:lang w:eastAsia="es-MX"/>
        </w:rPr>
        <w:t xml:space="preserve"> de </w:t>
      </w:r>
      <w:r w:rsidRPr="00A3332A">
        <w:rPr>
          <w:rFonts w:ascii="Arial" w:hAnsi="Arial" w:cs="Arial"/>
          <w:bCs/>
          <w:sz w:val="22"/>
          <w:lang w:eastAsia="es-MX"/>
        </w:rPr>
        <w:t>agosto</w:t>
      </w:r>
      <w:r w:rsidR="003F276C" w:rsidRPr="00A3332A">
        <w:rPr>
          <w:rFonts w:ascii="Arial" w:hAnsi="Arial" w:cs="Arial"/>
          <w:bCs/>
          <w:sz w:val="22"/>
          <w:lang w:eastAsia="es-MX"/>
        </w:rPr>
        <w:t xml:space="preserve"> de 2024, la Coordinación General de Mejora Regulatoria emitió la opinión no vinculante en relación con el Análisis de Nulo Impacto Regulatorio de la modificación a diversas disposiciones de los Lineamientos para la entrega inscripción y consulta de información para la conformación del Sistema Nacional de Información de Infraestructura.</w:t>
      </w:r>
      <w:r w:rsidR="003D60C8" w:rsidRPr="00A3332A">
        <w:rPr>
          <w:rFonts w:ascii="Arial" w:hAnsi="Arial" w:cs="Arial"/>
          <w:bCs/>
          <w:sz w:val="22"/>
          <w:lang w:eastAsia="es-MX"/>
        </w:rPr>
        <w:t xml:space="preserve"> </w:t>
      </w:r>
    </w:p>
    <w:p w14:paraId="7461E15B" w14:textId="19F4A17E" w:rsidR="003D60C8" w:rsidRPr="001239D8" w:rsidRDefault="003D60C8" w:rsidP="003D60C8">
      <w:pPr>
        <w:spacing w:after="120"/>
        <w:rPr>
          <w:rFonts w:ascii="Arial" w:hAnsi="Arial" w:cs="Arial"/>
          <w:bCs/>
          <w:sz w:val="22"/>
          <w:lang w:eastAsia="es-MX"/>
        </w:rPr>
      </w:pPr>
    </w:p>
    <w:p w14:paraId="144B13BC" w14:textId="77777777" w:rsidR="00A869A3" w:rsidRPr="001239D8" w:rsidRDefault="00A869A3" w:rsidP="00A869A3">
      <w:pPr>
        <w:spacing w:after="120"/>
        <w:jc w:val="center"/>
        <w:rPr>
          <w:rFonts w:ascii="Arial" w:hAnsi="Arial" w:cs="Arial"/>
          <w:b/>
          <w:bCs/>
          <w:sz w:val="22"/>
          <w:lang w:eastAsia="es-MX"/>
        </w:rPr>
      </w:pPr>
      <w:r w:rsidRPr="001239D8">
        <w:rPr>
          <w:rFonts w:ascii="Arial" w:hAnsi="Arial" w:cs="Arial"/>
          <w:b/>
          <w:bCs/>
          <w:sz w:val="22"/>
          <w:lang w:eastAsia="es-MX"/>
        </w:rPr>
        <w:t>Considerando</w:t>
      </w:r>
    </w:p>
    <w:p w14:paraId="3FF894BA" w14:textId="77777777" w:rsidR="00AB1E37" w:rsidRDefault="00AB1E37" w:rsidP="00AA37D5">
      <w:pPr>
        <w:spacing w:after="120"/>
        <w:rPr>
          <w:rFonts w:ascii="Arial" w:hAnsi="Arial" w:cs="Arial"/>
          <w:b/>
          <w:bCs/>
          <w:sz w:val="22"/>
          <w:lang w:eastAsia="es-MX"/>
        </w:rPr>
      </w:pPr>
    </w:p>
    <w:p w14:paraId="2B447F71" w14:textId="1838393D" w:rsidR="00AA37D5" w:rsidRPr="001239D8" w:rsidRDefault="00A869A3" w:rsidP="00AA37D5">
      <w:pPr>
        <w:spacing w:after="120"/>
        <w:rPr>
          <w:rFonts w:ascii="Arial" w:hAnsi="Arial" w:cs="Arial"/>
          <w:bCs/>
          <w:sz w:val="22"/>
          <w:lang w:eastAsia="es-MX"/>
        </w:rPr>
      </w:pPr>
      <w:proofErr w:type="gramStart"/>
      <w:r w:rsidRPr="001239D8">
        <w:rPr>
          <w:rFonts w:ascii="Arial" w:hAnsi="Arial" w:cs="Arial"/>
          <w:b/>
          <w:bCs/>
          <w:sz w:val="22"/>
          <w:lang w:eastAsia="es-MX"/>
        </w:rPr>
        <w:t>Primero.-</w:t>
      </w:r>
      <w:proofErr w:type="gramEnd"/>
      <w:r w:rsidRPr="001239D8">
        <w:rPr>
          <w:rFonts w:ascii="Arial" w:hAnsi="Arial" w:cs="Arial"/>
          <w:b/>
          <w:bCs/>
          <w:sz w:val="22"/>
          <w:lang w:eastAsia="es-MX"/>
        </w:rPr>
        <w:t xml:space="preserve"> </w:t>
      </w:r>
      <w:r w:rsidRPr="008D50B1">
        <w:rPr>
          <w:rFonts w:ascii="Arial" w:hAnsi="Arial" w:cs="Arial"/>
          <w:b/>
          <w:sz w:val="22"/>
          <w:lang w:eastAsia="es-MX"/>
        </w:rPr>
        <w:t>Competencia del Instituto.</w:t>
      </w:r>
      <w:r w:rsidRPr="001239D8">
        <w:rPr>
          <w:rFonts w:ascii="Arial" w:hAnsi="Arial" w:cs="Arial"/>
          <w:bCs/>
          <w:sz w:val="22"/>
          <w:lang w:eastAsia="es-MX"/>
        </w:rPr>
        <w:t xml:space="preserve"> De conformidad con el artículo 6º constitucional, párrafo tercero y apartado B, fracciones II y III y 28, párrafo décimo quinto y décimo sexto de la Constitución, establece que el Estado garantizará el derecho de acceso a las tecnologías de la información y comunicación, así como a los servicios de radiodifusión y telecomunicaciones, incluido el de banda ancha e internet. Para tales efectos, el Estado garantizará </w:t>
      </w:r>
      <w:r w:rsidR="00AA37D5" w:rsidRPr="001239D8">
        <w:rPr>
          <w:rFonts w:ascii="Arial" w:hAnsi="Arial" w:cs="Arial"/>
          <w:bCs/>
          <w:sz w:val="22"/>
          <w:lang w:eastAsia="es-MX"/>
        </w:rPr>
        <w:t xml:space="preserve">que los servicios públicos de telecomunicaciones </w:t>
      </w:r>
      <w:r w:rsidRPr="001239D8">
        <w:rPr>
          <w:rFonts w:ascii="Arial" w:hAnsi="Arial" w:cs="Arial"/>
          <w:bCs/>
          <w:sz w:val="22"/>
          <w:lang w:eastAsia="es-MX"/>
        </w:rPr>
        <w:t xml:space="preserve">sean prestados en condiciones de competencia, calidad, pluralidad, cobertura universal, interconexión, convergencia, continuidad, acceso libre y sin injerencias arbitrarias, </w:t>
      </w:r>
      <w:r w:rsidR="00AA37D5" w:rsidRPr="001239D8">
        <w:rPr>
          <w:rFonts w:ascii="Arial" w:hAnsi="Arial" w:cs="Arial"/>
          <w:bCs/>
          <w:sz w:val="22"/>
          <w:lang w:eastAsia="es-MX"/>
        </w:rPr>
        <w:t xml:space="preserve">por su parte, </w:t>
      </w:r>
      <w:r w:rsidR="00B87A0F" w:rsidRPr="001239D8">
        <w:rPr>
          <w:rFonts w:ascii="Arial" w:hAnsi="Arial" w:cs="Arial"/>
          <w:bCs/>
          <w:sz w:val="22"/>
          <w:lang w:eastAsia="es-MX"/>
        </w:rPr>
        <w:t>también</w:t>
      </w:r>
      <w:r w:rsidR="00AA37D5" w:rsidRPr="001239D8">
        <w:rPr>
          <w:rFonts w:ascii="Arial" w:hAnsi="Arial" w:cs="Arial"/>
          <w:bCs/>
          <w:sz w:val="22"/>
          <w:lang w:eastAsia="es-MX"/>
        </w:rPr>
        <w:t xml:space="preserve">, </w:t>
      </w:r>
      <w:r w:rsidRPr="001239D8">
        <w:rPr>
          <w:rFonts w:ascii="Arial" w:hAnsi="Arial" w:cs="Arial"/>
          <w:bCs/>
          <w:sz w:val="22"/>
          <w:lang w:eastAsia="es-MX"/>
        </w:rPr>
        <w:t xml:space="preserve">el Estado garantizará que </w:t>
      </w:r>
      <w:r w:rsidR="00AA37D5" w:rsidRPr="001239D8">
        <w:rPr>
          <w:rFonts w:ascii="Arial" w:hAnsi="Arial" w:cs="Arial"/>
          <w:bCs/>
          <w:sz w:val="22"/>
          <w:lang w:eastAsia="es-MX"/>
        </w:rPr>
        <w:t xml:space="preserve">los servicios de radiodifusión </w:t>
      </w:r>
      <w:r w:rsidRPr="001239D8">
        <w:rPr>
          <w:rFonts w:ascii="Arial" w:hAnsi="Arial" w:cs="Arial"/>
          <w:bCs/>
          <w:sz w:val="22"/>
          <w:lang w:eastAsia="es-MX"/>
        </w:rPr>
        <w:t>sea</w:t>
      </w:r>
      <w:r w:rsidR="00AA37D5" w:rsidRPr="001239D8">
        <w:rPr>
          <w:rFonts w:ascii="Arial" w:hAnsi="Arial" w:cs="Arial"/>
          <w:bCs/>
          <w:sz w:val="22"/>
          <w:lang w:eastAsia="es-MX"/>
        </w:rPr>
        <w:t>n</w:t>
      </w:r>
      <w:r w:rsidRPr="001239D8">
        <w:rPr>
          <w:rFonts w:ascii="Arial" w:hAnsi="Arial" w:cs="Arial"/>
          <w:bCs/>
          <w:sz w:val="22"/>
          <w:lang w:eastAsia="es-MX"/>
        </w:rPr>
        <w:t xml:space="preserve"> prestado</w:t>
      </w:r>
      <w:r w:rsidR="00AA37D5" w:rsidRPr="001239D8">
        <w:rPr>
          <w:rFonts w:ascii="Arial" w:hAnsi="Arial" w:cs="Arial"/>
          <w:bCs/>
          <w:sz w:val="22"/>
          <w:lang w:eastAsia="es-MX"/>
        </w:rPr>
        <w:t>s</w:t>
      </w:r>
      <w:r w:rsidRPr="001239D8">
        <w:rPr>
          <w:rFonts w:ascii="Arial" w:hAnsi="Arial" w:cs="Arial"/>
          <w:bCs/>
          <w:sz w:val="22"/>
          <w:lang w:eastAsia="es-MX"/>
        </w:rPr>
        <w:t xml:space="preserve">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Por su parte, la fracción IV del párrafo vigésimo del mismo ordenamiento señala que el Instituto podrá emitir disposiciones administrativas de carácter general exclusivamente para el cumplimiento de su función regulatoria en el sector de su competencia.</w:t>
      </w:r>
      <w:r w:rsidR="00AA37D5" w:rsidRPr="001239D8">
        <w:rPr>
          <w:rFonts w:ascii="Arial" w:hAnsi="Arial" w:cs="Arial"/>
          <w:bCs/>
          <w:sz w:val="22"/>
          <w:lang w:eastAsia="es-MX"/>
        </w:rPr>
        <w:t xml:space="preserve"> </w:t>
      </w:r>
    </w:p>
    <w:p w14:paraId="66B6BEA9" w14:textId="180D803C" w:rsidR="00AA37D5" w:rsidRDefault="00AA37D5" w:rsidP="00AA37D5">
      <w:pPr>
        <w:spacing w:after="120"/>
        <w:rPr>
          <w:rFonts w:ascii="Arial" w:hAnsi="Arial" w:cs="Arial"/>
          <w:bCs/>
          <w:sz w:val="22"/>
          <w:lang w:eastAsia="es-MX"/>
        </w:rPr>
      </w:pPr>
      <w:r w:rsidRPr="001239D8">
        <w:rPr>
          <w:rFonts w:ascii="Arial" w:hAnsi="Arial" w:cs="Arial"/>
          <w:bCs/>
          <w:sz w:val="22"/>
          <w:lang w:eastAsia="es-MX"/>
        </w:rPr>
        <w:t>En este sentido, el artículo 15, fracciones I y LVI de la LFTR, establece que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w:t>
      </w:r>
    </w:p>
    <w:p w14:paraId="3220FC0C" w14:textId="77777777" w:rsidR="00AB1E37" w:rsidRPr="001239D8" w:rsidRDefault="00AB1E37" w:rsidP="00AA37D5">
      <w:pPr>
        <w:spacing w:after="120"/>
        <w:rPr>
          <w:rFonts w:ascii="Arial" w:hAnsi="Arial" w:cs="Arial"/>
          <w:bCs/>
          <w:sz w:val="22"/>
          <w:lang w:eastAsia="es-MX"/>
        </w:rPr>
      </w:pPr>
    </w:p>
    <w:p w14:paraId="3357C2C9" w14:textId="77777777" w:rsidR="00A869A3" w:rsidRPr="001239D8" w:rsidRDefault="00A869A3" w:rsidP="00A869A3">
      <w:pPr>
        <w:spacing w:after="120"/>
        <w:rPr>
          <w:rFonts w:ascii="Arial" w:hAnsi="Arial" w:cs="Arial"/>
          <w:bCs/>
          <w:sz w:val="22"/>
          <w:lang w:eastAsia="es-MX"/>
        </w:rPr>
      </w:pPr>
      <w:r w:rsidRPr="001239D8">
        <w:rPr>
          <w:rFonts w:ascii="Arial" w:hAnsi="Arial" w:cs="Arial"/>
          <w:b/>
          <w:bCs/>
          <w:sz w:val="22"/>
          <w:lang w:eastAsia="es-MX"/>
        </w:rPr>
        <w:t xml:space="preserve">Segundo.- </w:t>
      </w:r>
      <w:r w:rsidRPr="001239D8">
        <w:rPr>
          <w:rFonts w:ascii="Arial" w:hAnsi="Arial" w:cs="Arial"/>
          <w:b/>
          <w:sz w:val="22"/>
          <w:lang w:eastAsia="es-MX"/>
        </w:rPr>
        <w:t>Del Sistema Nacional de Información de Infraestructura.</w:t>
      </w:r>
      <w:r w:rsidRPr="001239D8">
        <w:rPr>
          <w:rFonts w:ascii="Arial" w:hAnsi="Arial" w:cs="Arial"/>
          <w:bCs/>
          <w:sz w:val="22"/>
          <w:lang w:eastAsia="es-MX"/>
        </w:rPr>
        <w:t xml:space="preserve"> En la "Iniciativa de Decreto por el que se expiden la Ley Federal de Telecomunicaciones y Radiodifusión " se establece la necesidad de contar con un Sistema Nacional de Información de Infraestructura (en lo sucesivo, "SNII"), el cual estará a cargo del Instituto, con el objeto de contar con información sobre la ubicación, características, capacidad de la infraestructura en telecomunicaciones instalada en todo el país, para lo cual se deberá crear y mantener actualizada una base de datos nacional geo-referenciada que contenga los registros de infraestructura activa y medios de transmisión, de infraestructura pasiva y derechos de vía y sitios públicos.</w:t>
      </w:r>
    </w:p>
    <w:p w14:paraId="48D8793A" w14:textId="77777777" w:rsidR="00A869A3" w:rsidRPr="001239D8" w:rsidRDefault="00A869A3" w:rsidP="00A869A3">
      <w:pPr>
        <w:spacing w:after="120"/>
        <w:rPr>
          <w:rFonts w:ascii="Arial" w:hAnsi="Arial" w:cs="Arial"/>
          <w:bCs/>
          <w:sz w:val="22"/>
          <w:lang w:eastAsia="es-MX"/>
        </w:rPr>
      </w:pPr>
      <w:r w:rsidRPr="001239D8">
        <w:rPr>
          <w:rFonts w:ascii="Arial" w:hAnsi="Arial" w:cs="Arial"/>
          <w:bCs/>
          <w:sz w:val="22"/>
          <w:lang w:eastAsia="es-MX"/>
        </w:rPr>
        <w:t>En razón de ello, el Capítulo II del Título Séptimo de la LFTR, en sus artículos 181 a 188 dispone que el Instituto creará y mantendrá actualizada una base de datos nacional geo-referenciada que contenga la información de los registros de infraestructura activa y medios de transmisión, de infraestructura pasiva y derechos de vía y de sitios públicos.</w:t>
      </w:r>
    </w:p>
    <w:p w14:paraId="33AF889A" w14:textId="35459B2F" w:rsidR="00A869A3" w:rsidRPr="001239D8" w:rsidRDefault="009D4A0D" w:rsidP="00A869A3">
      <w:pPr>
        <w:spacing w:after="120"/>
        <w:rPr>
          <w:rFonts w:ascii="Arial" w:hAnsi="Arial" w:cs="Arial"/>
          <w:bCs/>
          <w:sz w:val="22"/>
          <w:lang w:eastAsia="es-MX"/>
        </w:rPr>
      </w:pPr>
      <w:r w:rsidRPr="001239D8">
        <w:rPr>
          <w:rFonts w:ascii="Arial" w:hAnsi="Arial" w:cs="Arial"/>
          <w:bCs/>
          <w:sz w:val="22"/>
          <w:lang w:eastAsia="es-MX"/>
        </w:rPr>
        <w:t>Asimismo</w:t>
      </w:r>
      <w:r w:rsidR="00A869A3" w:rsidRPr="001239D8">
        <w:rPr>
          <w:rFonts w:ascii="Arial" w:hAnsi="Arial" w:cs="Arial"/>
          <w:bCs/>
          <w:sz w:val="22"/>
          <w:lang w:eastAsia="es-MX"/>
        </w:rPr>
        <w:t>, establece que los concesionarios, autorizados, dependencias y entidades de la Administración Pública Federal, estatal y municipal y los órganos autónomos y en general, todos los organismos e instituciones públicas deberán entregar al Instituto la información correspondiente.</w:t>
      </w:r>
    </w:p>
    <w:p w14:paraId="70185050" w14:textId="311B3AAB" w:rsidR="00A869A3" w:rsidRPr="001239D8" w:rsidRDefault="00A869A3" w:rsidP="00A869A3">
      <w:pPr>
        <w:spacing w:after="120"/>
        <w:rPr>
          <w:rFonts w:ascii="Arial" w:hAnsi="Arial" w:cs="Arial"/>
          <w:bCs/>
          <w:sz w:val="22"/>
          <w:lang w:eastAsia="es-MX"/>
        </w:rPr>
      </w:pPr>
      <w:r w:rsidRPr="001239D8">
        <w:rPr>
          <w:rFonts w:ascii="Arial" w:hAnsi="Arial" w:cs="Arial"/>
          <w:bCs/>
          <w:sz w:val="22"/>
          <w:lang w:eastAsia="es-MX"/>
        </w:rPr>
        <w:t>Finalmente, también se señala que los particulares que deseen poner a disposición de los concesionarios bienes inmuebles para la instalación de infraestructura podrán solicitar al Instituto que su información sea inscrita en el SNII.</w:t>
      </w:r>
    </w:p>
    <w:p w14:paraId="3A60D5F8" w14:textId="2F67B658" w:rsidR="00E76B96" w:rsidRPr="001239D8" w:rsidRDefault="00E76B96" w:rsidP="00A869A3">
      <w:pPr>
        <w:spacing w:after="120"/>
        <w:rPr>
          <w:rFonts w:ascii="Arial" w:hAnsi="Arial" w:cs="Arial"/>
          <w:bCs/>
          <w:sz w:val="22"/>
          <w:lang w:eastAsia="es-MX"/>
        </w:rPr>
      </w:pPr>
      <w:r w:rsidRPr="001239D8">
        <w:rPr>
          <w:rFonts w:ascii="Arial" w:hAnsi="Arial" w:cs="Arial"/>
          <w:bCs/>
          <w:sz w:val="22"/>
          <w:lang w:eastAsia="es-MX"/>
        </w:rPr>
        <w:t>Derivado de lo anterior, el Pleno emitió los Lineamientos del SNII conforme a lo señalado en el Antecedente Tercero</w:t>
      </w:r>
      <w:r w:rsidR="00721A24" w:rsidRPr="001239D8">
        <w:rPr>
          <w:rFonts w:ascii="Arial" w:hAnsi="Arial" w:cs="Arial"/>
          <w:bCs/>
          <w:sz w:val="22"/>
          <w:lang w:eastAsia="es-MX"/>
        </w:rPr>
        <w:t xml:space="preserve"> del presente Acuerdo</w:t>
      </w:r>
      <w:r w:rsidRPr="001239D8">
        <w:rPr>
          <w:rFonts w:ascii="Arial" w:hAnsi="Arial" w:cs="Arial"/>
          <w:bCs/>
          <w:sz w:val="22"/>
          <w:lang w:eastAsia="es-MX"/>
        </w:rPr>
        <w:t>, para establecer los requisitos y procedimientos que deben sujetarse las personas que, conforme a la normatividad aplicable, deben entrar información al SNII</w:t>
      </w:r>
      <w:r w:rsidR="00721A24" w:rsidRPr="001239D8">
        <w:rPr>
          <w:rFonts w:ascii="Arial" w:hAnsi="Arial" w:cs="Arial"/>
          <w:bCs/>
          <w:sz w:val="22"/>
          <w:lang w:eastAsia="es-MX"/>
        </w:rPr>
        <w:t>.</w:t>
      </w:r>
    </w:p>
    <w:p w14:paraId="510CA504" w14:textId="0B90AFCB" w:rsidR="00721A24" w:rsidRPr="001239D8" w:rsidRDefault="00721A24" w:rsidP="00A869A3">
      <w:pPr>
        <w:spacing w:after="120"/>
        <w:rPr>
          <w:rFonts w:ascii="Arial" w:hAnsi="Arial" w:cs="Arial"/>
          <w:bCs/>
          <w:sz w:val="22"/>
          <w:lang w:eastAsia="es-MX"/>
        </w:rPr>
      </w:pPr>
      <w:r w:rsidRPr="001239D8">
        <w:rPr>
          <w:rFonts w:ascii="Arial" w:hAnsi="Arial" w:cs="Arial"/>
          <w:bCs/>
          <w:sz w:val="22"/>
          <w:lang w:eastAsia="es-MX"/>
        </w:rPr>
        <w:t xml:space="preserve">Posteriormente, conforme al Antecedente Cuarto del presente Acuerdo, se aprobó la modificación de los Lineamientos del SNII con el propósito de simplificar algunos procedimientos derivados de la implementación del sistema informático que </w:t>
      </w:r>
      <w:r w:rsidR="00044D6A" w:rsidRPr="001239D8">
        <w:rPr>
          <w:rFonts w:ascii="Arial" w:hAnsi="Arial" w:cs="Arial"/>
          <w:bCs/>
          <w:sz w:val="22"/>
          <w:lang w:eastAsia="es-MX"/>
        </w:rPr>
        <w:t>aloja</w:t>
      </w:r>
      <w:r w:rsidRPr="001239D8">
        <w:rPr>
          <w:rFonts w:ascii="Arial" w:hAnsi="Arial" w:cs="Arial"/>
          <w:bCs/>
          <w:sz w:val="22"/>
          <w:lang w:eastAsia="es-MX"/>
        </w:rPr>
        <w:t xml:space="preserve"> al SNII y brindar certeza jurídica respecto de las fechas específicas para el inicio de carga de la información por parte de los sujetos obligados conforme a la normatividad aplicable para dicho fin, </w:t>
      </w:r>
      <w:r w:rsidR="0049794E">
        <w:rPr>
          <w:rFonts w:ascii="Arial" w:hAnsi="Arial" w:cs="Arial"/>
          <w:bCs/>
          <w:sz w:val="22"/>
          <w:lang w:eastAsia="es-MX"/>
        </w:rPr>
        <w:t xml:space="preserve">en cual se </w:t>
      </w:r>
      <w:r w:rsidR="001239D8" w:rsidRPr="001239D8">
        <w:rPr>
          <w:rFonts w:ascii="Arial" w:hAnsi="Arial" w:cs="Arial"/>
          <w:bCs/>
          <w:sz w:val="22"/>
          <w:lang w:eastAsia="es-MX"/>
        </w:rPr>
        <w:t>estableci</w:t>
      </w:r>
      <w:r w:rsidR="0049794E">
        <w:rPr>
          <w:rFonts w:ascii="Arial" w:hAnsi="Arial" w:cs="Arial"/>
          <w:bCs/>
          <w:sz w:val="22"/>
          <w:lang w:eastAsia="es-MX"/>
        </w:rPr>
        <w:t xml:space="preserve">ó </w:t>
      </w:r>
      <w:r w:rsidR="008C394D" w:rsidRPr="001239D8">
        <w:rPr>
          <w:rFonts w:ascii="Arial" w:hAnsi="Arial" w:cs="Arial"/>
          <w:bCs/>
          <w:sz w:val="22"/>
          <w:lang w:eastAsia="es-MX"/>
        </w:rPr>
        <w:t>en el artículo Cuarto Transitorio lo siguiente:</w:t>
      </w:r>
    </w:p>
    <w:p w14:paraId="4E0FD95C" w14:textId="77777777" w:rsidR="008C394D" w:rsidRPr="001239D8" w:rsidRDefault="008C394D" w:rsidP="00A869A3">
      <w:pPr>
        <w:spacing w:after="120"/>
        <w:rPr>
          <w:rFonts w:ascii="Arial" w:hAnsi="Arial" w:cs="Arial"/>
          <w:bCs/>
          <w:sz w:val="22"/>
          <w:lang w:eastAsia="es-MX"/>
        </w:rPr>
      </w:pPr>
    </w:p>
    <w:p w14:paraId="62D259AB" w14:textId="77777777" w:rsidR="00A1760C" w:rsidRPr="001239D8" w:rsidRDefault="008C394D" w:rsidP="00A1760C">
      <w:pPr>
        <w:spacing w:before="23" w:afterLines="23" w:after="55"/>
        <w:ind w:left="567" w:right="48"/>
        <w:contextualSpacing/>
        <w:rPr>
          <w:rFonts w:ascii="Arial" w:hAnsi="Arial" w:cs="Arial"/>
          <w:bCs/>
          <w:bdr w:val="nil"/>
          <w:lang w:eastAsia="es-MX"/>
        </w:rPr>
      </w:pPr>
      <w:r w:rsidRPr="001239D8">
        <w:rPr>
          <w:rFonts w:ascii="Arial" w:hAnsi="Arial" w:cs="Arial"/>
          <w:b/>
          <w:bCs/>
          <w:bdr w:val="nil"/>
          <w:lang w:eastAsia="es-MX"/>
        </w:rPr>
        <w:t>“CUARTO.</w:t>
      </w:r>
      <w:r w:rsidRPr="001239D8">
        <w:rPr>
          <w:rFonts w:ascii="Arial" w:hAnsi="Arial" w:cs="Arial"/>
          <w:bCs/>
          <w:bdr w:val="nil"/>
          <w:lang w:eastAsia="es-MX"/>
        </w:rPr>
        <w:t xml:space="preserve"> </w:t>
      </w:r>
      <w:r w:rsidR="00A1760C" w:rsidRPr="001239D8">
        <w:rPr>
          <w:rFonts w:ascii="Arial" w:hAnsi="Arial" w:cs="Arial"/>
          <w:bCs/>
          <w:bdr w:val="nil"/>
          <w:lang w:eastAsia="es-MX"/>
        </w:rPr>
        <w:t>La carga inicial de la información se realizará conforme al siguiente calendario:</w:t>
      </w:r>
    </w:p>
    <w:p w14:paraId="3AC6EB95" w14:textId="77777777" w:rsidR="00A1760C" w:rsidRPr="001239D8" w:rsidRDefault="00A1760C" w:rsidP="00A1760C">
      <w:pPr>
        <w:spacing w:before="23" w:afterLines="23" w:after="55"/>
        <w:ind w:left="567" w:right="48"/>
        <w:contextualSpacing/>
        <w:rPr>
          <w:rFonts w:ascii="Arial" w:hAnsi="Arial" w:cs="Arial"/>
          <w:bCs/>
          <w:bdr w:val="nil"/>
          <w:lang w:eastAsia="es-MX"/>
        </w:rPr>
      </w:pPr>
    </w:p>
    <w:tbl>
      <w:tblPr>
        <w:tblStyle w:val="Tablaconcuadrcula"/>
        <w:tblW w:w="0" w:type="auto"/>
        <w:jc w:val="center"/>
        <w:tblLook w:val="04A0" w:firstRow="1" w:lastRow="0" w:firstColumn="1" w:lastColumn="0" w:noHBand="0" w:noVBand="1"/>
      </w:tblPr>
      <w:tblGrid>
        <w:gridCol w:w="3047"/>
        <w:gridCol w:w="2835"/>
      </w:tblGrid>
      <w:tr w:rsidR="00A1760C" w:rsidRPr="001239D8" w14:paraId="566123EF" w14:textId="77777777" w:rsidTr="00816B39">
        <w:trPr>
          <w:jc w:val="center"/>
        </w:trPr>
        <w:tc>
          <w:tcPr>
            <w:tcW w:w="3047" w:type="dxa"/>
          </w:tcPr>
          <w:p w14:paraId="7C4893A2" w14:textId="3ECD44D8" w:rsidR="00A1760C" w:rsidRPr="001239D8" w:rsidRDefault="00A1760C" w:rsidP="00816B39">
            <w:pPr>
              <w:pStyle w:val="Texto"/>
              <w:spacing w:after="0" w:line="276" w:lineRule="auto"/>
              <w:ind w:firstLine="0"/>
              <w:contextualSpacing/>
              <w:jc w:val="center"/>
              <w:rPr>
                <w:b/>
                <w:sz w:val="20"/>
                <w:lang w:val="es-ES_tradnl"/>
              </w:rPr>
            </w:pPr>
            <w:r w:rsidRPr="001239D8">
              <w:rPr>
                <w:b/>
                <w:sz w:val="20"/>
                <w:lang w:val="es-ES_tradnl"/>
              </w:rPr>
              <w:t>DÍGITO TERMINACI</w:t>
            </w:r>
            <w:r w:rsidR="00AB1E37">
              <w:rPr>
                <w:b/>
                <w:sz w:val="20"/>
                <w:lang w:val="es-ES_tradnl"/>
              </w:rPr>
              <w:t>Ó</w:t>
            </w:r>
            <w:r w:rsidRPr="001239D8">
              <w:rPr>
                <w:b/>
                <w:sz w:val="20"/>
                <w:lang w:val="es-ES_tradnl"/>
              </w:rPr>
              <w:t>N FOLIO ELECTRÓNICO</w:t>
            </w:r>
          </w:p>
        </w:tc>
        <w:tc>
          <w:tcPr>
            <w:tcW w:w="2835" w:type="dxa"/>
          </w:tcPr>
          <w:p w14:paraId="0754AC42" w14:textId="77777777" w:rsidR="00A1760C" w:rsidRPr="001239D8" w:rsidRDefault="00A1760C" w:rsidP="00816B39">
            <w:pPr>
              <w:pStyle w:val="Texto"/>
              <w:spacing w:after="0" w:line="276" w:lineRule="auto"/>
              <w:ind w:firstLine="0"/>
              <w:contextualSpacing/>
              <w:jc w:val="center"/>
              <w:rPr>
                <w:b/>
                <w:sz w:val="20"/>
                <w:lang w:val="es-ES_tradnl"/>
              </w:rPr>
            </w:pPr>
            <w:r w:rsidRPr="001239D8">
              <w:rPr>
                <w:b/>
                <w:sz w:val="20"/>
                <w:lang w:val="es-ES_tradnl"/>
              </w:rPr>
              <w:t>CARGA INICIAL</w:t>
            </w:r>
          </w:p>
        </w:tc>
      </w:tr>
      <w:tr w:rsidR="00A1760C" w:rsidRPr="001239D8" w14:paraId="2B76297A" w14:textId="77777777" w:rsidTr="00816B39">
        <w:trPr>
          <w:jc w:val="center"/>
        </w:trPr>
        <w:tc>
          <w:tcPr>
            <w:tcW w:w="3047" w:type="dxa"/>
          </w:tcPr>
          <w:p w14:paraId="67AC7E5C"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0 y 9</w:t>
            </w:r>
          </w:p>
        </w:tc>
        <w:tc>
          <w:tcPr>
            <w:tcW w:w="2835" w:type="dxa"/>
          </w:tcPr>
          <w:p w14:paraId="5F7876E5"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JULIO</w:t>
            </w:r>
          </w:p>
        </w:tc>
      </w:tr>
      <w:tr w:rsidR="00A1760C" w:rsidRPr="001239D8" w14:paraId="4C35508E" w14:textId="77777777" w:rsidTr="00816B39">
        <w:trPr>
          <w:jc w:val="center"/>
        </w:trPr>
        <w:tc>
          <w:tcPr>
            <w:tcW w:w="3047" w:type="dxa"/>
          </w:tcPr>
          <w:p w14:paraId="6F21F194"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1 y 8</w:t>
            </w:r>
          </w:p>
        </w:tc>
        <w:tc>
          <w:tcPr>
            <w:tcW w:w="2835" w:type="dxa"/>
          </w:tcPr>
          <w:p w14:paraId="043DA6D1"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AGOSTO</w:t>
            </w:r>
          </w:p>
        </w:tc>
      </w:tr>
      <w:tr w:rsidR="00A1760C" w:rsidRPr="001239D8" w14:paraId="10F16CE9" w14:textId="77777777" w:rsidTr="00816B39">
        <w:trPr>
          <w:jc w:val="center"/>
        </w:trPr>
        <w:tc>
          <w:tcPr>
            <w:tcW w:w="3047" w:type="dxa"/>
          </w:tcPr>
          <w:p w14:paraId="34602D01"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2 y 7</w:t>
            </w:r>
          </w:p>
        </w:tc>
        <w:tc>
          <w:tcPr>
            <w:tcW w:w="2835" w:type="dxa"/>
          </w:tcPr>
          <w:p w14:paraId="68AB5BE6"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SEPTIEMBRE</w:t>
            </w:r>
          </w:p>
        </w:tc>
      </w:tr>
      <w:tr w:rsidR="00A1760C" w:rsidRPr="001239D8" w14:paraId="143A5770" w14:textId="77777777" w:rsidTr="00816B39">
        <w:trPr>
          <w:jc w:val="center"/>
        </w:trPr>
        <w:tc>
          <w:tcPr>
            <w:tcW w:w="3047" w:type="dxa"/>
          </w:tcPr>
          <w:p w14:paraId="18EBDEC5"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3 y 6</w:t>
            </w:r>
          </w:p>
        </w:tc>
        <w:tc>
          <w:tcPr>
            <w:tcW w:w="2835" w:type="dxa"/>
          </w:tcPr>
          <w:p w14:paraId="2BCDE0EB"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OCTUBRE</w:t>
            </w:r>
          </w:p>
        </w:tc>
      </w:tr>
      <w:tr w:rsidR="00A1760C" w:rsidRPr="001239D8" w14:paraId="4CB9DBE7" w14:textId="77777777" w:rsidTr="00816B39">
        <w:trPr>
          <w:jc w:val="center"/>
        </w:trPr>
        <w:tc>
          <w:tcPr>
            <w:tcW w:w="3047" w:type="dxa"/>
          </w:tcPr>
          <w:p w14:paraId="1D3922C8"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4 y 5</w:t>
            </w:r>
          </w:p>
        </w:tc>
        <w:tc>
          <w:tcPr>
            <w:tcW w:w="2835" w:type="dxa"/>
          </w:tcPr>
          <w:p w14:paraId="33F803E3" w14:textId="77777777" w:rsidR="00A1760C" w:rsidRPr="001239D8" w:rsidRDefault="00A1760C" w:rsidP="00816B39">
            <w:pPr>
              <w:pStyle w:val="Texto"/>
              <w:spacing w:after="0" w:line="276" w:lineRule="auto"/>
              <w:ind w:left="26" w:firstLine="0"/>
              <w:contextualSpacing/>
              <w:jc w:val="center"/>
              <w:rPr>
                <w:sz w:val="20"/>
                <w:lang w:val="es-ES_tradnl"/>
              </w:rPr>
            </w:pPr>
            <w:r w:rsidRPr="001239D8">
              <w:rPr>
                <w:sz w:val="20"/>
                <w:lang w:val="es-ES_tradnl"/>
              </w:rPr>
              <w:t>NOVIEMBRE</w:t>
            </w:r>
          </w:p>
        </w:tc>
      </w:tr>
    </w:tbl>
    <w:p w14:paraId="73C54772" w14:textId="77777777" w:rsidR="00A3332A" w:rsidRPr="001239D8" w:rsidRDefault="00A3332A" w:rsidP="00A1760C">
      <w:pPr>
        <w:spacing w:before="23" w:afterLines="23" w:after="55"/>
        <w:ind w:left="567" w:right="48"/>
        <w:contextualSpacing/>
        <w:rPr>
          <w:rFonts w:ascii="Arial" w:hAnsi="Arial" w:cs="Arial"/>
          <w:bCs/>
          <w:bdr w:val="nil"/>
          <w:lang w:eastAsia="es-MX"/>
        </w:rPr>
      </w:pPr>
    </w:p>
    <w:p w14:paraId="721C1F33" w14:textId="77777777" w:rsidR="008C394D" w:rsidRPr="001239D8" w:rsidRDefault="008C394D" w:rsidP="008C394D">
      <w:pPr>
        <w:spacing w:before="23" w:afterLines="23" w:after="55"/>
        <w:ind w:left="567" w:right="48"/>
        <w:contextualSpacing/>
        <w:rPr>
          <w:rFonts w:ascii="Arial" w:hAnsi="Arial" w:cs="Arial"/>
          <w:bCs/>
          <w:bdr w:val="nil"/>
          <w:lang w:eastAsia="es-MX"/>
        </w:rPr>
      </w:pPr>
      <w:r w:rsidRPr="001239D8">
        <w:rPr>
          <w:rFonts w:ascii="Arial" w:hAnsi="Arial" w:cs="Arial"/>
          <w:bCs/>
          <w:bdr w:val="nil"/>
          <w:lang w:eastAsia="es-MX"/>
        </w:rPr>
        <w:t>Los Sujetos Obligados que realicen la carga inicial, deberán inscribir en el SNII la totalidad de los elementos de conformidad con el “Diccionario de Datos” y en los formatos definidos en los presentes Lineamientos y disponibles en la herramienta informática que albergará el SNII.</w:t>
      </w:r>
    </w:p>
    <w:p w14:paraId="3BE5D36D" w14:textId="77777777" w:rsidR="008C394D" w:rsidRPr="001239D8" w:rsidRDefault="008C394D" w:rsidP="008C394D">
      <w:pPr>
        <w:spacing w:before="23" w:afterLines="23" w:after="55"/>
        <w:ind w:left="567" w:right="48"/>
        <w:contextualSpacing/>
        <w:rPr>
          <w:rFonts w:ascii="Arial" w:hAnsi="Arial" w:cs="Arial"/>
          <w:bCs/>
          <w:bdr w:val="nil"/>
          <w:lang w:eastAsia="es-MX"/>
        </w:rPr>
      </w:pPr>
    </w:p>
    <w:p w14:paraId="7AECC5A6" w14:textId="77777777" w:rsidR="008C394D" w:rsidRPr="001239D8" w:rsidRDefault="008C394D" w:rsidP="008C394D">
      <w:pPr>
        <w:spacing w:before="23" w:afterLines="23" w:after="55"/>
        <w:ind w:left="567" w:right="48"/>
        <w:contextualSpacing/>
        <w:rPr>
          <w:rFonts w:ascii="Arial" w:hAnsi="Arial" w:cs="Arial"/>
          <w:bCs/>
          <w:bdr w:val="nil"/>
          <w:lang w:eastAsia="es-MX"/>
        </w:rPr>
      </w:pPr>
      <w:r w:rsidRPr="001239D8">
        <w:rPr>
          <w:rFonts w:ascii="Arial" w:hAnsi="Arial" w:cs="Arial"/>
          <w:bCs/>
          <w:bdr w:val="nil"/>
          <w:lang w:eastAsia="es-MX"/>
        </w:rPr>
        <w:lastRenderedPageBreak/>
        <w:t>Asimismo, los Sujetos Obligados que no cuenten con la asignación de un Folio Electrónico, deberán tramitarlo al menos 30 días naturales antes de la primera carga inicial de información, lo anterior, con el objetivo de que conozcan el dígito de terminación de dicho folio el cual les indicará el mes de cumplimiento de su obligación.</w:t>
      </w:r>
    </w:p>
    <w:p w14:paraId="68677554" w14:textId="77777777" w:rsidR="008C394D" w:rsidRPr="001239D8" w:rsidRDefault="008C394D" w:rsidP="008C394D">
      <w:pPr>
        <w:spacing w:before="23" w:afterLines="23" w:after="55"/>
        <w:ind w:left="567" w:right="48"/>
        <w:contextualSpacing/>
        <w:rPr>
          <w:rFonts w:ascii="Arial" w:hAnsi="Arial" w:cs="Arial"/>
          <w:bCs/>
          <w:bdr w:val="nil"/>
          <w:lang w:eastAsia="es-MX"/>
        </w:rPr>
      </w:pPr>
    </w:p>
    <w:p w14:paraId="640CF34D" w14:textId="39FB95A9" w:rsidR="008C394D" w:rsidRPr="001239D8" w:rsidRDefault="008C394D" w:rsidP="008C394D">
      <w:pPr>
        <w:spacing w:before="23" w:afterLines="23" w:after="55"/>
        <w:ind w:left="567" w:right="48"/>
        <w:contextualSpacing/>
        <w:rPr>
          <w:rFonts w:ascii="Arial" w:hAnsi="Arial" w:cs="Arial"/>
          <w:bCs/>
          <w:bdr w:val="nil"/>
          <w:lang w:eastAsia="es-MX"/>
        </w:rPr>
      </w:pPr>
      <w:r w:rsidRPr="001239D8">
        <w:rPr>
          <w:rFonts w:ascii="Arial" w:hAnsi="Arial" w:cs="Arial"/>
          <w:bCs/>
          <w:bdr w:val="nil"/>
          <w:lang w:eastAsia="es-MX"/>
        </w:rPr>
        <w:t>Previo a la carga inicial de información, el Instituto llevará a cabo talleres informativos con el objetivo de dar a conocer a los Sujetos Obligados o interesados, el proceso de carga y consulta de información.”</w:t>
      </w:r>
    </w:p>
    <w:p w14:paraId="4C7155F3" w14:textId="77777777" w:rsidR="008C394D" w:rsidRPr="001239D8" w:rsidRDefault="008C394D" w:rsidP="00A869A3">
      <w:pPr>
        <w:spacing w:after="120"/>
        <w:rPr>
          <w:rFonts w:ascii="Arial" w:hAnsi="Arial" w:cs="Arial"/>
          <w:bCs/>
          <w:sz w:val="22"/>
          <w:lang w:eastAsia="es-MX"/>
        </w:rPr>
      </w:pPr>
    </w:p>
    <w:p w14:paraId="12EE712B" w14:textId="6A2C8B73" w:rsidR="008C394D" w:rsidRDefault="008C394D" w:rsidP="002533B4">
      <w:pPr>
        <w:spacing w:after="120"/>
        <w:rPr>
          <w:rFonts w:ascii="Arial" w:hAnsi="Arial" w:cs="Arial"/>
          <w:bCs/>
          <w:sz w:val="22"/>
          <w:lang w:eastAsia="es-MX"/>
        </w:rPr>
      </w:pPr>
      <w:r w:rsidRPr="001239D8">
        <w:rPr>
          <w:rFonts w:ascii="Arial" w:hAnsi="Arial" w:cs="Arial"/>
          <w:bCs/>
          <w:sz w:val="22"/>
          <w:lang w:eastAsia="es-MX"/>
        </w:rPr>
        <w:t>No obstant</w:t>
      </w:r>
      <w:r w:rsidR="008D50B1">
        <w:rPr>
          <w:rFonts w:ascii="Arial" w:hAnsi="Arial" w:cs="Arial"/>
          <w:bCs/>
          <w:sz w:val="22"/>
          <w:lang w:eastAsia="es-MX"/>
        </w:rPr>
        <w:t>e</w:t>
      </w:r>
      <w:r w:rsidRPr="001239D8">
        <w:rPr>
          <w:rFonts w:ascii="Arial" w:hAnsi="Arial" w:cs="Arial"/>
          <w:bCs/>
          <w:sz w:val="22"/>
          <w:lang w:eastAsia="es-MX"/>
        </w:rPr>
        <w:t xml:space="preserve">, </w:t>
      </w:r>
      <w:r w:rsidR="00A3332A">
        <w:rPr>
          <w:rFonts w:ascii="Arial" w:hAnsi="Arial" w:cs="Arial"/>
          <w:bCs/>
          <w:sz w:val="22"/>
          <w:lang w:eastAsia="es-MX"/>
        </w:rPr>
        <w:t>derivado de la solicitud señalada en el Antecedente Quinto de la presente Acuerdo, de la CANIETI y de otro</w:t>
      </w:r>
      <w:r w:rsidRPr="001239D8">
        <w:rPr>
          <w:rFonts w:ascii="Arial" w:hAnsi="Arial" w:cs="Arial"/>
          <w:bCs/>
          <w:sz w:val="22"/>
          <w:lang w:eastAsia="es-MX"/>
        </w:rPr>
        <w:t xml:space="preserve">s </w:t>
      </w:r>
      <w:r w:rsidR="008D50B1">
        <w:rPr>
          <w:rFonts w:ascii="Arial" w:hAnsi="Arial" w:cs="Arial"/>
          <w:bCs/>
          <w:sz w:val="22"/>
          <w:lang w:eastAsia="es-MX"/>
        </w:rPr>
        <w:t>concesionaros</w:t>
      </w:r>
      <w:r w:rsidR="0026359E">
        <w:rPr>
          <w:rFonts w:ascii="Arial" w:hAnsi="Arial" w:cs="Arial"/>
          <w:bCs/>
          <w:sz w:val="22"/>
          <w:lang w:eastAsia="es-MX"/>
        </w:rPr>
        <w:t xml:space="preserve"> y autorizados en materia de telecomunicaciones y radiodifusión</w:t>
      </w:r>
      <w:r w:rsidR="00A3332A">
        <w:rPr>
          <w:rFonts w:ascii="Arial" w:hAnsi="Arial" w:cs="Arial"/>
          <w:bCs/>
          <w:sz w:val="22"/>
          <w:lang w:eastAsia="es-MX"/>
        </w:rPr>
        <w:t xml:space="preserve">, que por diversas vías </w:t>
      </w:r>
      <w:r w:rsidRPr="001239D8">
        <w:rPr>
          <w:rFonts w:ascii="Arial" w:hAnsi="Arial" w:cs="Arial"/>
          <w:bCs/>
          <w:sz w:val="22"/>
          <w:lang w:eastAsia="es-MX"/>
        </w:rPr>
        <w:t xml:space="preserve">han manifestado al Instituto la necesidad de contar con mayor tiempo para contar con la información correspondiente para integrarla y presentarla para inscripción ante el SNII, por lo que este Pleno, </w:t>
      </w:r>
      <w:r w:rsidR="0049198C">
        <w:rPr>
          <w:rFonts w:ascii="Arial" w:hAnsi="Arial" w:cs="Arial"/>
          <w:bCs/>
          <w:sz w:val="22"/>
          <w:lang w:eastAsia="es-MX"/>
        </w:rPr>
        <w:t xml:space="preserve">una vez analizado el contexto del cumplimiento de la obligación estimada que existen elementos para responder a la petición de brindar mayor oportunidad para la entrega de a información por parte de los sujetos obligados a fin de contar con esta </w:t>
      </w:r>
      <w:r w:rsidR="0049198C" w:rsidRPr="0049198C">
        <w:rPr>
          <w:rFonts w:ascii="Arial" w:hAnsi="Arial" w:cs="Arial"/>
          <w:bCs/>
          <w:sz w:val="22"/>
          <w:lang w:eastAsia="es-MX"/>
        </w:rPr>
        <w:t xml:space="preserve">base de datos nacional geo-referenciada </w:t>
      </w:r>
      <w:r w:rsidR="002533B4">
        <w:rPr>
          <w:rFonts w:ascii="Arial" w:hAnsi="Arial" w:cs="Arial"/>
          <w:bCs/>
          <w:sz w:val="22"/>
          <w:lang w:eastAsia="es-MX"/>
        </w:rPr>
        <w:t>sobre</w:t>
      </w:r>
      <w:r w:rsidR="0049198C" w:rsidRPr="0049198C">
        <w:rPr>
          <w:rFonts w:ascii="Arial" w:hAnsi="Arial" w:cs="Arial"/>
          <w:bCs/>
          <w:sz w:val="22"/>
          <w:lang w:eastAsia="es-MX"/>
        </w:rPr>
        <w:t xml:space="preserve"> infraestructura activa y medios de transmisión, de infraestructura pasiva y derechos de vía y sitios públicos</w:t>
      </w:r>
      <w:r w:rsidR="002533B4">
        <w:rPr>
          <w:rFonts w:ascii="Arial" w:hAnsi="Arial" w:cs="Arial"/>
          <w:bCs/>
          <w:sz w:val="22"/>
          <w:lang w:eastAsia="es-MX"/>
        </w:rPr>
        <w:t>, por lo que se</w:t>
      </w:r>
      <w:r w:rsidRPr="001239D8">
        <w:rPr>
          <w:rFonts w:ascii="Arial" w:hAnsi="Arial" w:cs="Arial"/>
          <w:bCs/>
          <w:sz w:val="22"/>
          <w:lang w:eastAsia="es-MX"/>
        </w:rPr>
        <w:t xml:space="preserve"> considera </w:t>
      </w:r>
      <w:r w:rsidR="002533B4">
        <w:rPr>
          <w:rFonts w:ascii="Arial" w:hAnsi="Arial" w:cs="Arial"/>
          <w:bCs/>
          <w:sz w:val="22"/>
          <w:lang w:eastAsia="es-MX"/>
        </w:rPr>
        <w:t xml:space="preserve">conveniente </w:t>
      </w:r>
      <w:r w:rsidRPr="001239D8">
        <w:rPr>
          <w:rFonts w:ascii="Arial" w:hAnsi="Arial" w:cs="Arial"/>
          <w:bCs/>
          <w:sz w:val="22"/>
          <w:lang w:eastAsia="es-MX"/>
        </w:rPr>
        <w:t xml:space="preserve">otorgar </w:t>
      </w:r>
      <w:r w:rsidR="002533B4">
        <w:rPr>
          <w:rFonts w:ascii="Arial" w:hAnsi="Arial" w:cs="Arial"/>
          <w:bCs/>
          <w:sz w:val="22"/>
          <w:lang w:eastAsia="es-MX"/>
        </w:rPr>
        <w:t xml:space="preserve">un </w:t>
      </w:r>
      <w:r w:rsidRPr="001239D8">
        <w:rPr>
          <w:rFonts w:ascii="Arial" w:hAnsi="Arial" w:cs="Arial"/>
          <w:bCs/>
          <w:sz w:val="22"/>
          <w:lang w:eastAsia="es-MX"/>
        </w:rPr>
        <w:t xml:space="preserve">mayor plazo </w:t>
      </w:r>
      <w:r w:rsidR="002533B4">
        <w:rPr>
          <w:rFonts w:ascii="Arial" w:hAnsi="Arial" w:cs="Arial"/>
          <w:bCs/>
          <w:sz w:val="22"/>
          <w:lang w:eastAsia="es-MX"/>
        </w:rPr>
        <w:t xml:space="preserve">para la entrega de información </w:t>
      </w:r>
      <w:r w:rsidRPr="001239D8">
        <w:rPr>
          <w:rFonts w:ascii="Arial" w:hAnsi="Arial" w:cs="Arial"/>
          <w:bCs/>
          <w:sz w:val="22"/>
          <w:lang w:eastAsia="es-MX"/>
        </w:rPr>
        <w:t>y realizar la modificación a</w:t>
      </w:r>
      <w:r w:rsidR="00CC4E94">
        <w:rPr>
          <w:rFonts w:ascii="Arial" w:hAnsi="Arial" w:cs="Arial"/>
          <w:bCs/>
          <w:sz w:val="22"/>
          <w:lang w:eastAsia="es-MX"/>
        </w:rPr>
        <w:t>l</w:t>
      </w:r>
      <w:r w:rsidRPr="001239D8">
        <w:rPr>
          <w:rFonts w:ascii="Arial" w:hAnsi="Arial" w:cs="Arial"/>
          <w:bCs/>
          <w:sz w:val="22"/>
          <w:lang w:eastAsia="es-MX"/>
        </w:rPr>
        <w:t xml:space="preserve"> </w:t>
      </w:r>
      <w:r w:rsidR="00CC4E94" w:rsidRPr="001239D8">
        <w:rPr>
          <w:rFonts w:ascii="Arial" w:hAnsi="Arial" w:cs="Arial"/>
          <w:bCs/>
          <w:sz w:val="22"/>
          <w:lang w:eastAsia="es-MX"/>
        </w:rPr>
        <w:t xml:space="preserve"> </w:t>
      </w:r>
      <w:r w:rsidR="006B08B2">
        <w:rPr>
          <w:rFonts w:ascii="Arial" w:hAnsi="Arial" w:cs="Arial"/>
          <w:bCs/>
          <w:sz w:val="22"/>
          <w:lang w:eastAsia="es-MX"/>
        </w:rPr>
        <w:t>A</w:t>
      </w:r>
      <w:r w:rsidRPr="001239D8">
        <w:rPr>
          <w:rFonts w:ascii="Arial" w:hAnsi="Arial" w:cs="Arial"/>
          <w:bCs/>
          <w:sz w:val="22"/>
          <w:lang w:eastAsia="es-MX"/>
        </w:rPr>
        <w:t xml:space="preserve">rtículo Transitorio </w:t>
      </w:r>
      <w:r w:rsidR="006B08B2" w:rsidRPr="001239D8">
        <w:rPr>
          <w:rFonts w:ascii="Arial" w:hAnsi="Arial" w:cs="Arial"/>
          <w:bCs/>
          <w:sz w:val="22"/>
          <w:lang w:eastAsia="es-MX"/>
        </w:rPr>
        <w:t>Cuarto</w:t>
      </w:r>
      <w:r w:rsidR="0090778D">
        <w:rPr>
          <w:rFonts w:ascii="Arial" w:hAnsi="Arial" w:cs="Arial"/>
          <w:bCs/>
          <w:sz w:val="22"/>
          <w:lang w:eastAsia="es-MX"/>
        </w:rPr>
        <w:t xml:space="preserve"> y por consistencia, </w:t>
      </w:r>
      <w:r w:rsidR="00CC4E94">
        <w:rPr>
          <w:rFonts w:ascii="Arial" w:hAnsi="Arial" w:cs="Arial"/>
          <w:bCs/>
          <w:sz w:val="22"/>
          <w:lang w:eastAsia="es-MX"/>
        </w:rPr>
        <w:t>a</w:t>
      </w:r>
      <w:r w:rsidR="0090778D">
        <w:rPr>
          <w:rFonts w:ascii="Arial" w:hAnsi="Arial" w:cs="Arial"/>
          <w:bCs/>
          <w:sz w:val="22"/>
          <w:lang w:eastAsia="es-MX"/>
        </w:rPr>
        <w:t>l artículo Décimo Octavo, que hace referencia al año 2024</w:t>
      </w:r>
      <w:r w:rsidR="00CC4E94">
        <w:rPr>
          <w:rFonts w:ascii="Arial" w:hAnsi="Arial" w:cs="Arial"/>
          <w:bCs/>
          <w:sz w:val="22"/>
          <w:lang w:eastAsia="es-MX"/>
        </w:rPr>
        <w:t>, ambos de los Lineamientos del SNII</w:t>
      </w:r>
      <w:r w:rsidR="002533B4">
        <w:rPr>
          <w:rFonts w:ascii="Arial" w:hAnsi="Arial" w:cs="Arial"/>
          <w:bCs/>
          <w:sz w:val="22"/>
          <w:lang w:eastAsia="es-MX"/>
        </w:rPr>
        <w:t xml:space="preserve">. </w:t>
      </w:r>
    </w:p>
    <w:p w14:paraId="15F47CB2" w14:textId="41AB7625" w:rsidR="006B08B2" w:rsidRPr="006B08B2" w:rsidRDefault="002533B4" w:rsidP="006B08B2">
      <w:pPr>
        <w:spacing w:after="120"/>
        <w:rPr>
          <w:rFonts w:ascii="Arial" w:hAnsi="Arial" w:cs="Arial"/>
          <w:bCs/>
          <w:sz w:val="22"/>
          <w:lang w:eastAsia="es-MX"/>
        </w:rPr>
      </w:pPr>
      <w:r>
        <w:rPr>
          <w:rFonts w:ascii="Arial" w:hAnsi="Arial" w:cs="Arial"/>
          <w:bCs/>
          <w:sz w:val="22"/>
          <w:lang w:eastAsia="es-MX"/>
        </w:rPr>
        <w:t>Al respecto,</w:t>
      </w:r>
      <w:r w:rsidR="006B08B2" w:rsidRPr="006B08B2">
        <w:rPr>
          <w:rFonts w:ascii="Arial" w:hAnsi="Arial" w:cs="Arial"/>
          <w:bCs/>
          <w:sz w:val="22"/>
          <w:lang w:eastAsia="es-MX"/>
        </w:rPr>
        <w:t xml:space="preserve"> </w:t>
      </w:r>
      <w:r>
        <w:rPr>
          <w:rFonts w:ascii="Arial" w:hAnsi="Arial" w:cs="Arial"/>
          <w:bCs/>
          <w:sz w:val="22"/>
          <w:lang w:eastAsia="es-MX"/>
        </w:rPr>
        <w:t xml:space="preserve">debe resaltarse que </w:t>
      </w:r>
      <w:r w:rsidR="006B08B2" w:rsidRPr="006B08B2">
        <w:rPr>
          <w:rFonts w:ascii="Arial" w:hAnsi="Arial" w:cs="Arial"/>
          <w:bCs/>
          <w:sz w:val="22"/>
          <w:lang w:eastAsia="es-MX"/>
        </w:rPr>
        <w:t xml:space="preserve">a pesar de los talleres impartidos durante los meses de mayo y junio por parte de este Instituto, </w:t>
      </w:r>
      <w:r w:rsidR="007B3195">
        <w:rPr>
          <w:rFonts w:ascii="Arial" w:hAnsi="Arial" w:cs="Arial"/>
          <w:bCs/>
          <w:sz w:val="22"/>
          <w:lang w:eastAsia="es-MX"/>
        </w:rPr>
        <w:t xml:space="preserve">siete presenciales y dos virtuales con un aforo entre todos de más de 900 participantes, </w:t>
      </w:r>
      <w:r w:rsidR="006B08B2" w:rsidRPr="006B08B2">
        <w:rPr>
          <w:rFonts w:ascii="Arial" w:hAnsi="Arial" w:cs="Arial"/>
          <w:bCs/>
          <w:sz w:val="22"/>
          <w:lang w:eastAsia="es-MX"/>
        </w:rPr>
        <w:t>diversos sujetos obligados continúan solicitando capacitación y presentan constantes consultas para el llenado de los archivos informáticos que deben adjuntar al sistema informático del SNII, tanto que, en las primeras semanas de operaciones del sistema, el porcentaje de carga exitosa es menor al 50%, esto debido</w:t>
      </w:r>
      <w:r>
        <w:rPr>
          <w:rFonts w:ascii="Arial" w:hAnsi="Arial" w:cs="Arial"/>
          <w:bCs/>
          <w:sz w:val="22"/>
          <w:lang w:eastAsia="es-MX"/>
        </w:rPr>
        <w:t>, por ejemplo</w:t>
      </w:r>
      <w:r w:rsidR="006B08B2" w:rsidRPr="006B08B2">
        <w:rPr>
          <w:rFonts w:ascii="Arial" w:hAnsi="Arial" w:cs="Arial"/>
          <w:bCs/>
          <w:sz w:val="22"/>
          <w:lang w:eastAsia="es-MX"/>
        </w:rPr>
        <w:t xml:space="preserve">, a que los archivos no se encuentran debidamente integrados por parte de las personas que los presentan, lo que permite vislumbrar a este Pleno, que aún existe la necesidad de </w:t>
      </w:r>
      <w:r>
        <w:rPr>
          <w:rFonts w:ascii="Arial" w:hAnsi="Arial" w:cs="Arial"/>
          <w:bCs/>
          <w:sz w:val="22"/>
          <w:lang w:eastAsia="es-MX"/>
        </w:rPr>
        <w:t xml:space="preserve">reforzar y </w:t>
      </w:r>
      <w:r w:rsidR="006B08B2" w:rsidRPr="006B08B2">
        <w:rPr>
          <w:rFonts w:ascii="Arial" w:hAnsi="Arial" w:cs="Arial"/>
          <w:bCs/>
          <w:sz w:val="22"/>
          <w:lang w:eastAsia="es-MX"/>
        </w:rPr>
        <w:t xml:space="preserve">ampliar la </w:t>
      </w:r>
      <w:r>
        <w:rPr>
          <w:rFonts w:ascii="Arial" w:hAnsi="Arial" w:cs="Arial"/>
          <w:bCs/>
          <w:sz w:val="22"/>
          <w:lang w:eastAsia="es-MX"/>
        </w:rPr>
        <w:t xml:space="preserve">tarea de </w:t>
      </w:r>
      <w:r w:rsidR="006B08B2" w:rsidRPr="006B08B2">
        <w:rPr>
          <w:rFonts w:ascii="Arial" w:hAnsi="Arial" w:cs="Arial"/>
          <w:bCs/>
          <w:sz w:val="22"/>
          <w:lang w:eastAsia="es-MX"/>
        </w:rPr>
        <w:t>capacitación respecto al uso de la herramienta</w:t>
      </w:r>
      <w:r>
        <w:rPr>
          <w:rFonts w:ascii="Arial" w:hAnsi="Arial" w:cs="Arial"/>
          <w:bCs/>
          <w:sz w:val="22"/>
          <w:lang w:eastAsia="es-MX"/>
        </w:rPr>
        <w:t xml:space="preserve"> que albergará al sistema informático</w:t>
      </w:r>
      <w:r w:rsidR="006B08B2" w:rsidRPr="006B08B2">
        <w:rPr>
          <w:rFonts w:ascii="Arial" w:hAnsi="Arial" w:cs="Arial"/>
          <w:bCs/>
          <w:sz w:val="22"/>
          <w:lang w:eastAsia="es-MX"/>
        </w:rPr>
        <w:t>.</w:t>
      </w:r>
    </w:p>
    <w:p w14:paraId="112FD21B" w14:textId="77777777" w:rsidR="006B08B2" w:rsidRPr="006B08B2" w:rsidRDefault="006B08B2" w:rsidP="006B08B2">
      <w:pPr>
        <w:spacing w:after="120"/>
        <w:rPr>
          <w:rFonts w:ascii="Arial" w:hAnsi="Arial" w:cs="Arial"/>
          <w:bCs/>
          <w:sz w:val="22"/>
          <w:lang w:eastAsia="es-MX"/>
        </w:rPr>
      </w:pPr>
      <w:r w:rsidRPr="006B08B2">
        <w:rPr>
          <w:rFonts w:ascii="Arial" w:hAnsi="Arial" w:cs="Arial"/>
          <w:bCs/>
          <w:sz w:val="22"/>
          <w:lang w:eastAsia="es-MX"/>
        </w:rPr>
        <w:t>En ese sentido, se considera esencial plantear un nuevo proceso de capacitación y alfabetización que permita a los sujetos obligados cargar con mayor tasa de éxito su información.</w:t>
      </w:r>
    </w:p>
    <w:p w14:paraId="562F42CA" w14:textId="779B373A" w:rsidR="006B08B2" w:rsidRDefault="006B08B2" w:rsidP="006B08B2">
      <w:pPr>
        <w:spacing w:after="120"/>
        <w:rPr>
          <w:rFonts w:ascii="Arial" w:hAnsi="Arial" w:cs="Arial"/>
          <w:bCs/>
          <w:sz w:val="22"/>
          <w:lang w:eastAsia="es-MX"/>
        </w:rPr>
      </w:pPr>
      <w:r w:rsidRPr="006B08B2">
        <w:rPr>
          <w:rFonts w:ascii="Arial" w:hAnsi="Arial" w:cs="Arial"/>
          <w:bCs/>
          <w:sz w:val="22"/>
          <w:lang w:eastAsia="es-MX"/>
        </w:rPr>
        <w:t xml:space="preserve">Por todo lo anterior, y con el afán de que los sujetos obligados cuenten con el tiempo suficiente para cumplir con la obligación establecida, se </w:t>
      </w:r>
      <w:r w:rsidR="002533B4">
        <w:rPr>
          <w:rFonts w:ascii="Arial" w:hAnsi="Arial" w:cs="Arial"/>
          <w:bCs/>
          <w:sz w:val="22"/>
          <w:lang w:eastAsia="es-MX"/>
        </w:rPr>
        <w:t xml:space="preserve">incorpora </w:t>
      </w:r>
      <w:r w:rsidRPr="006B08B2">
        <w:rPr>
          <w:rFonts w:ascii="Arial" w:hAnsi="Arial" w:cs="Arial"/>
          <w:bCs/>
          <w:sz w:val="22"/>
          <w:lang w:eastAsia="es-MX"/>
        </w:rPr>
        <w:t>un n</w:t>
      </w:r>
      <w:r w:rsidR="002533B4">
        <w:rPr>
          <w:rFonts w:ascii="Arial" w:hAnsi="Arial" w:cs="Arial"/>
          <w:bCs/>
          <w:sz w:val="22"/>
          <w:lang w:eastAsia="es-MX"/>
        </w:rPr>
        <w:t>u</w:t>
      </w:r>
      <w:r w:rsidRPr="006B08B2">
        <w:rPr>
          <w:rFonts w:ascii="Arial" w:hAnsi="Arial" w:cs="Arial"/>
          <w:bCs/>
          <w:sz w:val="22"/>
          <w:lang w:eastAsia="es-MX"/>
        </w:rPr>
        <w:t>evo calendario para la carga inicial de información</w:t>
      </w:r>
      <w:r w:rsidR="002533B4">
        <w:rPr>
          <w:rFonts w:ascii="Arial" w:hAnsi="Arial" w:cs="Arial"/>
          <w:bCs/>
          <w:sz w:val="22"/>
          <w:lang w:eastAsia="es-MX"/>
        </w:rPr>
        <w:t xml:space="preserve"> que iniciará </w:t>
      </w:r>
      <w:r w:rsidRPr="006B08B2">
        <w:rPr>
          <w:rFonts w:ascii="Arial" w:hAnsi="Arial" w:cs="Arial"/>
          <w:bCs/>
          <w:sz w:val="22"/>
          <w:lang w:eastAsia="es-MX"/>
        </w:rPr>
        <w:t>en enero del año 2025 próximo</w:t>
      </w:r>
      <w:r w:rsidR="002533B4">
        <w:rPr>
          <w:rFonts w:ascii="Arial" w:hAnsi="Arial" w:cs="Arial"/>
          <w:bCs/>
          <w:sz w:val="22"/>
          <w:lang w:eastAsia="es-MX"/>
        </w:rPr>
        <w:t xml:space="preserve"> conforme a los folios electrónicos de las concesiones y autorizaciones</w:t>
      </w:r>
      <w:r w:rsidRPr="006B08B2">
        <w:rPr>
          <w:rFonts w:ascii="Arial" w:hAnsi="Arial" w:cs="Arial"/>
          <w:bCs/>
          <w:sz w:val="22"/>
          <w:lang w:eastAsia="es-MX"/>
        </w:rPr>
        <w:t>.</w:t>
      </w:r>
    </w:p>
    <w:p w14:paraId="44C9C1A4" w14:textId="49EEA8D9" w:rsidR="00044D6A" w:rsidRPr="00044D6A" w:rsidRDefault="0044360B" w:rsidP="00044D6A">
      <w:pPr>
        <w:spacing w:after="120"/>
        <w:rPr>
          <w:rFonts w:ascii="Arial" w:hAnsi="Arial" w:cs="Arial"/>
          <w:bCs/>
          <w:sz w:val="22"/>
          <w:lang w:eastAsia="es-MX"/>
        </w:rPr>
      </w:pPr>
      <w:r w:rsidRPr="0044360B">
        <w:rPr>
          <w:rFonts w:ascii="Arial" w:hAnsi="Arial" w:cs="Arial"/>
          <w:b/>
          <w:bCs/>
          <w:sz w:val="22"/>
          <w:lang w:eastAsia="es-MX"/>
        </w:rPr>
        <w:t>Quinto</w:t>
      </w:r>
      <w:r w:rsidR="00044D6A" w:rsidRPr="00044D6A">
        <w:t xml:space="preserve"> </w:t>
      </w:r>
      <w:r w:rsidR="00044D6A" w:rsidRPr="00044D6A">
        <w:rPr>
          <w:rFonts w:ascii="Arial" w:hAnsi="Arial" w:cs="Arial"/>
          <w:bCs/>
          <w:sz w:val="22"/>
          <w:lang w:eastAsia="es-MX"/>
        </w:rPr>
        <w:t xml:space="preserve">Consulta Pública del </w:t>
      </w:r>
      <w:r w:rsidR="00044D6A">
        <w:rPr>
          <w:rFonts w:ascii="Arial" w:hAnsi="Arial" w:cs="Arial"/>
          <w:bCs/>
          <w:sz w:val="22"/>
          <w:lang w:eastAsia="es-MX"/>
        </w:rPr>
        <w:t xml:space="preserve">Anteproyecto de </w:t>
      </w:r>
      <w:r w:rsidR="00044D6A" w:rsidRPr="00044D6A">
        <w:rPr>
          <w:rFonts w:ascii="Arial" w:hAnsi="Arial" w:cs="Arial"/>
          <w:bCs/>
          <w:sz w:val="22"/>
          <w:lang w:eastAsia="es-MX"/>
        </w:rPr>
        <w:t xml:space="preserve">Acuerdo mediante el cual el Pleno del Instituto Federal de Telecomunicaciones modifica </w:t>
      </w:r>
      <w:r w:rsidR="00CC4E94">
        <w:rPr>
          <w:rFonts w:ascii="Arial" w:hAnsi="Arial" w:cs="Arial"/>
          <w:bCs/>
          <w:sz w:val="22"/>
          <w:lang w:eastAsia="es-MX"/>
        </w:rPr>
        <w:t>diversos artículos</w:t>
      </w:r>
      <w:r w:rsidR="00044D6A" w:rsidRPr="00044D6A">
        <w:rPr>
          <w:rFonts w:ascii="Arial" w:hAnsi="Arial" w:cs="Arial"/>
          <w:bCs/>
          <w:sz w:val="22"/>
          <w:lang w:eastAsia="es-MX"/>
        </w:rPr>
        <w:t xml:space="preserve"> de los Lineamientos para la entrega, inscripción y consulta de información para la conformación del Sistema Nacional de Información de Infraestructura. En cumplimiento al artículo 51 de la Ley y conforme se señala en el Antecedente </w:t>
      </w:r>
      <w:r w:rsidR="00044D6A">
        <w:rPr>
          <w:rFonts w:ascii="Arial" w:hAnsi="Arial" w:cs="Arial"/>
          <w:bCs/>
          <w:sz w:val="22"/>
          <w:lang w:eastAsia="es-MX"/>
        </w:rPr>
        <w:t>Quinto</w:t>
      </w:r>
      <w:r w:rsidR="00044D6A" w:rsidRPr="00044D6A">
        <w:rPr>
          <w:rFonts w:ascii="Arial" w:hAnsi="Arial" w:cs="Arial"/>
          <w:bCs/>
          <w:sz w:val="22"/>
          <w:lang w:eastAsia="es-MX"/>
        </w:rPr>
        <w:t xml:space="preserve"> del presente Acuerdo, se recibieron comentarios de </w:t>
      </w:r>
      <w:proofErr w:type="spellStart"/>
      <w:r w:rsidR="00044D6A" w:rsidRPr="00A1760C">
        <w:rPr>
          <w:rFonts w:ascii="Arial" w:hAnsi="Arial" w:cs="Arial"/>
          <w:bCs/>
          <w:sz w:val="22"/>
          <w:lang w:eastAsia="es-MX"/>
        </w:rPr>
        <w:t>xxxxxx</w:t>
      </w:r>
      <w:proofErr w:type="spellEnd"/>
      <w:r w:rsidR="00044D6A" w:rsidRPr="00044D6A">
        <w:rPr>
          <w:rFonts w:ascii="Arial" w:hAnsi="Arial" w:cs="Arial"/>
          <w:bCs/>
          <w:sz w:val="22"/>
          <w:lang w:eastAsia="es-MX"/>
        </w:rPr>
        <w:t xml:space="preserve"> concesionarios</w:t>
      </w:r>
      <w:r w:rsidR="00044D6A">
        <w:rPr>
          <w:rFonts w:ascii="Arial" w:hAnsi="Arial" w:cs="Arial"/>
          <w:bCs/>
          <w:sz w:val="22"/>
          <w:lang w:eastAsia="es-MX"/>
        </w:rPr>
        <w:t xml:space="preserve">. </w:t>
      </w:r>
      <w:r w:rsidR="00044D6A" w:rsidRPr="00044D6A">
        <w:rPr>
          <w:rFonts w:ascii="Arial" w:hAnsi="Arial" w:cs="Arial"/>
          <w:bCs/>
          <w:sz w:val="22"/>
          <w:lang w:eastAsia="es-MX"/>
        </w:rPr>
        <w:t>Aquellos comentarios que se consideraron procedentes sirvieron para modificar y robustecer el documento final que por medio del presente se aprueba.</w:t>
      </w:r>
    </w:p>
    <w:p w14:paraId="3AA415DB" w14:textId="05B1147A" w:rsidR="0044360B" w:rsidRDefault="00044D6A" w:rsidP="00044D6A">
      <w:pPr>
        <w:spacing w:after="120"/>
        <w:rPr>
          <w:rFonts w:ascii="Arial" w:hAnsi="Arial" w:cs="Arial"/>
          <w:bCs/>
          <w:sz w:val="22"/>
          <w:lang w:eastAsia="es-MX"/>
        </w:rPr>
      </w:pPr>
      <w:r w:rsidRPr="00044D6A">
        <w:rPr>
          <w:rFonts w:ascii="Arial" w:hAnsi="Arial" w:cs="Arial"/>
          <w:bCs/>
          <w:sz w:val="22"/>
          <w:lang w:eastAsia="es-MX"/>
        </w:rPr>
        <w:t xml:space="preserve">El documento que da respuesta a los comentarios, opiniones y manifestaciones vertidos derivado de la Consulta Pública a que se refiere el Antecedente </w:t>
      </w:r>
      <w:r>
        <w:rPr>
          <w:rFonts w:ascii="Arial" w:hAnsi="Arial" w:cs="Arial"/>
          <w:bCs/>
          <w:sz w:val="22"/>
          <w:lang w:eastAsia="es-MX"/>
        </w:rPr>
        <w:t>Quinto</w:t>
      </w:r>
      <w:r w:rsidRPr="00044D6A">
        <w:rPr>
          <w:rFonts w:ascii="Arial" w:hAnsi="Arial" w:cs="Arial"/>
          <w:bCs/>
          <w:sz w:val="22"/>
          <w:lang w:eastAsia="es-MX"/>
        </w:rPr>
        <w:t xml:space="preserve"> del presente Acuerdo, se encuentra disponible en el portal de Internet de este Instituto.</w:t>
      </w:r>
    </w:p>
    <w:p w14:paraId="468C8076" w14:textId="0CDDDCB6" w:rsidR="00A869A3" w:rsidRPr="001239D8" w:rsidRDefault="00A869A3" w:rsidP="00A869A3">
      <w:pPr>
        <w:spacing w:after="120"/>
        <w:rPr>
          <w:rFonts w:ascii="Arial" w:hAnsi="Arial" w:cs="Arial"/>
          <w:bCs/>
          <w:sz w:val="22"/>
          <w:lang w:eastAsia="es-MX"/>
        </w:rPr>
      </w:pPr>
      <w:r w:rsidRPr="001239D8">
        <w:rPr>
          <w:rFonts w:ascii="Arial" w:hAnsi="Arial" w:cs="Arial"/>
          <w:bCs/>
          <w:sz w:val="22"/>
          <w:lang w:eastAsia="es-MX"/>
        </w:rPr>
        <w:lastRenderedPageBreak/>
        <w:t>Por las razones antes expuestas, con fundamento en lo dispuesto por los artículos 6º y 28, párrafo décimo quinto de la Constitución Política de los Estados Unidos Mexicanos; Cuarto Transitorio del Decreto por el que se reforman y adicionan diversas disposiciones de los artículos 6o., 7o., 27, 28, 73, 78, 94 y 105 de la Constitución Política de los Estados Unidos Mexicanos, en materia de telecomunicaciones; 1, 2, 7, 15, fracciones I y LVI, 17 fracción I, 51, 177, 178 y 180 de la Ley Federal de Telecomunicaciones y Radiodifusión; 1, 4, fracción I y 6, fracciones I y XXXVII del Estatuto Orgánico del Instituto Federal de Telecomunicaciones, se expide el siguiente:</w:t>
      </w:r>
    </w:p>
    <w:p w14:paraId="4E0EBAC7" w14:textId="77777777" w:rsidR="003D60C8" w:rsidRPr="001239D8" w:rsidRDefault="003D60C8" w:rsidP="00A869A3">
      <w:pPr>
        <w:spacing w:after="120"/>
        <w:rPr>
          <w:rFonts w:cs="Times New Roman"/>
          <w:b/>
          <w:bCs/>
          <w:lang w:eastAsia="es-MX"/>
        </w:rPr>
      </w:pPr>
    </w:p>
    <w:p w14:paraId="46EA4332" w14:textId="1C8C39DC" w:rsidR="00B10DE5" w:rsidRDefault="003721B9" w:rsidP="00B10DE5">
      <w:pPr>
        <w:spacing w:after="120"/>
        <w:jc w:val="center"/>
        <w:rPr>
          <w:rFonts w:ascii="Arial" w:eastAsia="MS Mincho" w:hAnsi="Arial" w:cs="Arial"/>
          <w:b/>
          <w:bCs/>
          <w:sz w:val="26"/>
          <w:szCs w:val="26"/>
        </w:rPr>
      </w:pPr>
      <w:r w:rsidRPr="001239D8">
        <w:rPr>
          <w:rFonts w:ascii="Arial" w:eastAsia="MS Mincho" w:hAnsi="Arial" w:cs="Arial"/>
          <w:b/>
          <w:bCs/>
          <w:sz w:val="26"/>
          <w:szCs w:val="26"/>
        </w:rPr>
        <w:t>Acuerdo</w:t>
      </w:r>
    </w:p>
    <w:p w14:paraId="2BED911F" w14:textId="77777777" w:rsidR="0026359E" w:rsidRPr="001239D8" w:rsidRDefault="0026359E" w:rsidP="00B10DE5">
      <w:pPr>
        <w:spacing w:after="120"/>
        <w:jc w:val="center"/>
        <w:rPr>
          <w:rFonts w:cs="Times New Roman"/>
          <w:b/>
          <w:bCs/>
          <w:lang w:eastAsia="es-MX"/>
        </w:rPr>
      </w:pPr>
    </w:p>
    <w:p w14:paraId="3EAD87AF" w14:textId="63D06027" w:rsidR="001239D8" w:rsidRPr="001239D8" w:rsidRDefault="009D4A0D" w:rsidP="003721B9">
      <w:pPr>
        <w:spacing w:before="23" w:afterLines="23" w:after="55"/>
        <w:contextualSpacing/>
        <w:rPr>
          <w:rFonts w:ascii="Arial" w:hAnsi="Arial" w:cs="Arial"/>
          <w:bCs/>
          <w:sz w:val="22"/>
        </w:rPr>
      </w:pPr>
      <w:proofErr w:type="gramStart"/>
      <w:r w:rsidRPr="001239D8">
        <w:rPr>
          <w:rFonts w:ascii="Arial" w:hAnsi="Arial" w:cs="Arial"/>
          <w:b/>
          <w:sz w:val="22"/>
        </w:rPr>
        <w:t>Primero</w:t>
      </w:r>
      <w:r w:rsidR="00B10DE5" w:rsidRPr="001239D8">
        <w:rPr>
          <w:rFonts w:ascii="Arial" w:hAnsi="Arial" w:cs="Arial"/>
          <w:b/>
          <w:sz w:val="22"/>
        </w:rPr>
        <w:t>.-</w:t>
      </w:r>
      <w:proofErr w:type="gramEnd"/>
      <w:r w:rsidR="00B10DE5" w:rsidRPr="001239D8">
        <w:rPr>
          <w:rFonts w:ascii="Arial" w:hAnsi="Arial" w:cs="Arial"/>
          <w:sz w:val="22"/>
        </w:rPr>
        <w:t xml:space="preserve"> </w:t>
      </w:r>
      <w:r w:rsidR="003721B9" w:rsidRPr="001239D8">
        <w:rPr>
          <w:rFonts w:ascii="Arial" w:hAnsi="Arial" w:cs="Arial"/>
        </w:rPr>
        <w:t xml:space="preserve">Se </w:t>
      </w:r>
      <w:r w:rsidR="003721B9" w:rsidRPr="001239D8">
        <w:rPr>
          <w:rFonts w:ascii="Arial" w:hAnsi="Arial" w:cs="Arial"/>
          <w:b/>
          <w:bCs/>
        </w:rPr>
        <w:t>MODIFICA</w:t>
      </w:r>
      <w:r w:rsidR="0090778D">
        <w:rPr>
          <w:rFonts w:ascii="Arial" w:hAnsi="Arial" w:cs="Arial"/>
          <w:b/>
          <w:bCs/>
        </w:rPr>
        <w:t>N</w:t>
      </w:r>
      <w:r w:rsidR="003721B9" w:rsidRPr="001239D8">
        <w:rPr>
          <w:rFonts w:ascii="Arial" w:hAnsi="Arial" w:cs="Arial"/>
          <w:b/>
          <w:bCs/>
        </w:rPr>
        <w:t xml:space="preserve"> </w:t>
      </w:r>
      <w:r w:rsidR="0090778D">
        <w:rPr>
          <w:rFonts w:ascii="Arial" w:hAnsi="Arial" w:cs="Arial"/>
          <w:sz w:val="22"/>
        </w:rPr>
        <w:t>los</w:t>
      </w:r>
      <w:r w:rsidR="003721B9" w:rsidRPr="001239D8">
        <w:rPr>
          <w:rFonts w:ascii="Arial" w:hAnsi="Arial" w:cs="Arial"/>
          <w:sz w:val="22"/>
        </w:rPr>
        <w:t xml:space="preserve"> artículo</w:t>
      </w:r>
      <w:r w:rsidR="0090778D">
        <w:rPr>
          <w:rFonts w:ascii="Arial" w:hAnsi="Arial" w:cs="Arial"/>
          <w:sz w:val="22"/>
        </w:rPr>
        <w:t xml:space="preserve">s </w:t>
      </w:r>
      <w:r w:rsidR="00CC4E94">
        <w:rPr>
          <w:rFonts w:ascii="Arial" w:hAnsi="Arial" w:cs="Arial"/>
          <w:sz w:val="22"/>
        </w:rPr>
        <w:t>DÉCIMO OCTAVO</w:t>
      </w:r>
      <w:r w:rsidR="0090778D">
        <w:rPr>
          <w:rFonts w:ascii="Arial" w:hAnsi="Arial" w:cs="Arial"/>
          <w:sz w:val="22"/>
        </w:rPr>
        <w:t xml:space="preserve"> y</w:t>
      </w:r>
      <w:r w:rsidR="003721B9" w:rsidRPr="001239D8">
        <w:rPr>
          <w:rFonts w:ascii="Arial" w:hAnsi="Arial" w:cs="Arial"/>
          <w:sz w:val="22"/>
        </w:rPr>
        <w:t xml:space="preserve"> TRANSITORIO CUARTO </w:t>
      </w:r>
      <w:r w:rsidR="003721B9" w:rsidRPr="001239D8">
        <w:rPr>
          <w:rFonts w:ascii="Arial" w:hAnsi="Arial" w:cs="Arial"/>
          <w:bCs/>
          <w:sz w:val="22"/>
        </w:rPr>
        <w:t xml:space="preserve">de los Lineamientos </w:t>
      </w:r>
      <w:r w:rsidR="003721B9" w:rsidRPr="001239D8">
        <w:rPr>
          <w:rFonts w:ascii="Arial" w:hAnsi="Arial" w:cs="Arial"/>
          <w:sz w:val="22"/>
        </w:rPr>
        <w:t>para la entrega, inscripción y consulta de información para la conformación del Sistema Nacional de Información de Infraestructura</w:t>
      </w:r>
      <w:r w:rsidR="003721B9" w:rsidRPr="001239D8">
        <w:rPr>
          <w:rFonts w:ascii="Arial" w:hAnsi="Arial" w:cs="Arial"/>
          <w:bCs/>
          <w:sz w:val="22"/>
        </w:rPr>
        <w:t>, para quedar como sigue:</w:t>
      </w:r>
    </w:p>
    <w:p w14:paraId="45D72A73" w14:textId="6A8444A8" w:rsidR="0023703C" w:rsidRPr="001239D8" w:rsidRDefault="0023703C" w:rsidP="003721B9">
      <w:pPr>
        <w:spacing w:after="120"/>
        <w:rPr>
          <w:rFonts w:ascii="Arial" w:hAnsi="Arial" w:cs="Arial"/>
          <w:sz w:val="22"/>
        </w:rPr>
      </w:pPr>
    </w:p>
    <w:p w14:paraId="3F45AF52" w14:textId="0E6E857F" w:rsidR="0090778D" w:rsidRDefault="00A1760C" w:rsidP="00A1760C">
      <w:pPr>
        <w:spacing w:before="23" w:afterLines="23" w:after="55"/>
        <w:ind w:left="567" w:right="48"/>
        <w:contextualSpacing/>
        <w:rPr>
          <w:rFonts w:ascii="Arial" w:hAnsi="Arial" w:cs="Arial"/>
          <w:b/>
          <w:sz w:val="22"/>
          <w:bdr w:val="nil"/>
          <w:lang w:eastAsia="es-MX"/>
        </w:rPr>
      </w:pPr>
      <w:r>
        <w:rPr>
          <w:rFonts w:ascii="Arial" w:hAnsi="Arial" w:cs="Arial"/>
          <w:b/>
          <w:sz w:val="22"/>
          <w:bdr w:val="nil"/>
          <w:lang w:eastAsia="es-MX"/>
        </w:rPr>
        <w:t>“</w:t>
      </w:r>
      <w:r w:rsidR="0090778D" w:rsidRPr="0090778D">
        <w:rPr>
          <w:rFonts w:ascii="Arial" w:hAnsi="Arial" w:cs="Arial"/>
          <w:b/>
          <w:sz w:val="22"/>
          <w:bdr w:val="nil"/>
          <w:lang w:eastAsia="es-MX"/>
        </w:rPr>
        <w:t xml:space="preserve">DÉCIMO OCTAVO. </w:t>
      </w:r>
      <w:r w:rsidR="0090778D" w:rsidRPr="0090778D">
        <w:rPr>
          <w:rFonts w:ascii="Arial" w:hAnsi="Arial" w:cs="Arial"/>
          <w:sz w:val="22"/>
          <w:bdr w:val="nil"/>
          <w:lang w:eastAsia="es-MX"/>
        </w:rPr>
        <w:t>Es responsabilidad de los Sujetos Obligados mantener actualizada la información contenida en el SNII, conforme al siguiente calendario, determinado por el último dígito de la sección variable del Folio Electrónico asignado en el Registro Público de Concesiones:</w:t>
      </w:r>
    </w:p>
    <w:p w14:paraId="4699CE5E" w14:textId="5DF20B51" w:rsidR="0090778D" w:rsidRDefault="0090778D" w:rsidP="0090778D">
      <w:pPr>
        <w:spacing w:before="23" w:afterLines="23" w:after="55"/>
        <w:ind w:left="567" w:right="48"/>
        <w:contextualSpacing/>
        <w:rPr>
          <w:rFonts w:ascii="Arial" w:hAnsi="Arial" w:cs="Arial"/>
          <w:b/>
          <w:sz w:val="22"/>
          <w:bdr w:val="nil"/>
          <w:lang w:val="es-MX" w:eastAsia="es-MX"/>
        </w:rPr>
      </w:pPr>
    </w:p>
    <w:p w14:paraId="29A9075B" w14:textId="77777777" w:rsidR="0090778D" w:rsidRDefault="0090778D" w:rsidP="0090778D">
      <w:pPr>
        <w:spacing w:before="23" w:afterLines="23" w:after="55"/>
        <w:ind w:left="567" w:right="48"/>
        <w:contextualSpacing/>
        <w:rPr>
          <w:rFonts w:ascii="Arial" w:hAnsi="Arial" w:cs="Arial"/>
          <w:b/>
          <w:sz w:val="22"/>
          <w:bdr w:val="nil"/>
          <w:lang w:val="es-MX" w:eastAsia="es-MX"/>
        </w:rPr>
      </w:pPr>
    </w:p>
    <w:tbl>
      <w:tblPr>
        <w:tblpPr w:leftFromText="141" w:rightFromText="141" w:vertAnchor="text" w:horzAnchor="page" w:tblpX="2661" w:tblpYSpec="top"/>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37"/>
        <w:gridCol w:w="2528"/>
        <w:gridCol w:w="2528"/>
      </w:tblGrid>
      <w:tr w:rsidR="0090778D" w14:paraId="72DB302E" w14:textId="77777777" w:rsidTr="0090778D">
        <w:trPr>
          <w:trHeight w:val="714"/>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E6DA031" w14:textId="77777777" w:rsidR="0090778D" w:rsidRDefault="0090778D" w:rsidP="0090778D">
            <w:pPr>
              <w:jc w:val="center"/>
              <w:rPr>
                <w:rFonts w:ascii="Arial" w:hAnsi="Arial" w:cs="Arial"/>
                <w:color w:val="000000"/>
                <w:sz w:val="18"/>
                <w:szCs w:val="18"/>
                <w:lang w:val="es-MX"/>
              </w:rPr>
            </w:pPr>
            <w:r>
              <w:rPr>
                <w:rFonts w:ascii="Arial" w:hAnsi="Arial" w:cs="Arial"/>
                <w:b/>
                <w:bCs/>
                <w:color w:val="000000"/>
                <w:sz w:val="18"/>
                <w:szCs w:val="18"/>
              </w:rPr>
              <w:t>DÍGITO TERMINACIÓN</w:t>
            </w:r>
            <w:r>
              <w:rPr>
                <w:rFonts w:ascii="Arial" w:hAnsi="Arial" w:cs="Arial"/>
                <w:color w:val="000000"/>
                <w:sz w:val="18"/>
                <w:szCs w:val="18"/>
              </w:rPr>
              <w:br/>
            </w:r>
            <w:r>
              <w:rPr>
                <w:rFonts w:ascii="Arial" w:hAnsi="Arial" w:cs="Arial"/>
                <w:b/>
                <w:bCs/>
                <w:color w:val="000000"/>
                <w:sz w:val="18"/>
                <w:szCs w:val="18"/>
              </w:rPr>
              <w:t>FOLIO ELECTRÓNICO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EA74C78" w14:textId="77777777" w:rsidR="0090778D" w:rsidRDefault="0090778D" w:rsidP="0090778D">
            <w:pPr>
              <w:jc w:val="center"/>
              <w:rPr>
                <w:rFonts w:ascii="Arial" w:hAnsi="Arial" w:cs="Arial"/>
                <w:color w:val="000000"/>
                <w:sz w:val="18"/>
                <w:szCs w:val="18"/>
              </w:rPr>
            </w:pPr>
            <w:r>
              <w:rPr>
                <w:rFonts w:ascii="Arial" w:hAnsi="Arial" w:cs="Arial"/>
                <w:b/>
                <w:bCs/>
                <w:color w:val="000000"/>
                <w:sz w:val="18"/>
                <w:szCs w:val="18"/>
              </w:rPr>
              <w:t>PERIODO DE</w:t>
            </w:r>
            <w:r>
              <w:rPr>
                <w:rFonts w:ascii="Arial" w:hAnsi="Arial" w:cs="Arial"/>
                <w:color w:val="000000"/>
                <w:sz w:val="18"/>
                <w:szCs w:val="18"/>
              </w:rPr>
              <w:br/>
            </w:r>
            <w:r>
              <w:rPr>
                <w:rFonts w:ascii="Arial" w:hAnsi="Arial" w:cs="Arial"/>
                <w:b/>
                <w:bCs/>
                <w:color w:val="000000"/>
                <w:sz w:val="18"/>
                <w:szCs w:val="18"/>
              </w:rPr>
              <w:t>ACTUALIZACIÓN</w:t>
            </w:r>
            <w:r>
              <w:rPr>
                <w:rFonts w:ascii="Arial" w:hAnsi="Arial" w:cs="Arial"/>
                <w:color w:val="000000"/>
                <w:sz w:val="18"/>
                <w:szCs w:val="18"/>
              </w:rPr>
              <w:br/>
            </w:r>
            <w:r>
              <w:rPr>
                <w:rFonts w:ascii="Arial" w:hAnsi="Arial" w:cs="Arial"/>
                <w:b/>
                <w:bCs/>
                <w:color w:val="000000"/>
                <w:sz w:val="18"/>
                <w:szCs w:val="18"/>
              </w:rPr>
              <w:t>SEMESTRAL</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32D7B2D" w14:textId="77777777" w:rsidR="0090778D" w:rsidRDefault="0090778D" w:rsidP="0090778D">
            <w:pPr>
              <w:jc w:val="center"/>
              <w:rPr>
                <w:rFonts w:ascii="Arial" w:hAnsi="Arial" w:cs="Arial"/>
                <w:color w:val="000000"/>
                <w:sz w:val="18"/>
                <w:szCs w:val="18"/>
              </w:rPr>
            </w:pPr>
            <w:r>
              <w:rPr>
                <w:rFonts w:ascii="Arial" w:hAnsi="Arial" w:cs="Arial"/>
                <w:b/>
                <w:bCs/>
                <w:color w:val="000000"/>
                <w:sz w:val="18"/>
                <w:szCs w:val="18"/>
              </w:rPr>
              <w:t>PERIODO DE</w:t>
            </w:r>
            <w:r>
              <w:rPr>
                <w:rFonts w:ascii="Arial" w:hAnsi="Arial" w:cs="Arial"/>
                <w:color w:val="000000"/>
                <w:sz w:val="18"/>
                <w:szCs w:val="18"/>
              </w:rPr>
              <w:br/>
            </w:r>
            <w:r>
              <w:rPr>
                <w:rFonts w:ascii="Arial" w:hAnsi="Arial" w:cs="Arial"/>
                <w:b/>
                <w:bCs/>
                <w:color w:val="000000"/>
                <w:sz w:val="18"/>
                <w:szCs w:val="18"/>
              </w:rPr>
              <w:t>ACTUALIZACIÓN</w:t>
            </w:r>
            <w:r>
              <w:rPr>
                <w:rFonts w:ascii="Arial" w:hAnsi="Arial" w:cs="Arial"/>
                <w:color w:val="000000"/>
                <w:sz w:val="18"/>
                <w:szCs w:val="18"/>
              </w:rPr>
              <w:br/>
            </w:r>
            <w:r>
              <w:rPr>
                <w:rFonts w:ascii="Arial" w:hAnsi="Arial" w:cs="Arial"/>
                <w:b/>
                <w:bCs/>
                <w:color w:val="000000"/>
                <w:sz w:val="18"/>
                <w:szCs w:val="18"/>
              </w:rPr>
              <w:t>SEMESTRAL Y ANUAL</w:t>
            </w:r>
          </w:p>
        </w:tc>
      </w:tr>
      <w:tr w:rsidR="0090778D" w14:paraId="1861E07F"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D455D0"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0 y 9</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ECE534"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ENERO-FEBRERO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C21D128"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JULIO-AGOSTO</w:t>
            </w:r>
          </w:p>
        </w:tc>
      </w:tr>
      <w:tr w:rsidR="0090778D" w14:paraId="016315B5"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DEE305D"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1 y 8</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5C263E2"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FEBRERO-MARZO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D7EB7EE"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AGOSTO-SEPTIEMBRE</w:t>
            </w:r>
          </w:p>
        </w:tc>
      </w:tr>
      <w:tr w:rsidR="0090778D" w14:paraId="252AAF83"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1447820"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2 y 7</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AC14662"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MARZO-ABRIL</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3B5EBF9"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SEPTIEMBRE-OCTUBRE</w:t>
            </w:r>
          </w:p>
        </w:tc>
      </w:tr>
      <w:tr w:rsidR="0090778D" w14:paraId="3C855823" w14:textId="77777777" w:rsidTr="0090778D">
        <w:trPr>
          <w:trHeight w:val="276"/>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9BF866"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3 y 6</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9549A9"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ABRIL-MAYO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377B64"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OCTUBRE-NOVIEMBRE</w:t>
            </w:r>
          </w:p>
        </w:tc>
      </w:tr>
      <w:tr w:rsidR="0090778D" w14:paraId="7530B709" w14:textId="77777777" w:rsidTr="0090778D">
        <w:trPr>
          <w:trHeight w:val="291"/>
        </w:trPr>
        <w:tc>
          <w:tcPr>
            <w:tcW w:w="21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2930204"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4 y 5</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C14259"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MAYO-JUNIO</w:t>
            </w:r>
          </w:p>
        </w:tc>
        <w:tc>
          <w:tcPr>
            <w:tcW w:w="2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D1B2393" w14:textId="77777777" w:rsidR="0090778D" w:rsidRDefault="0090778D" w:rsidP="0090778D">
            <w:pPr>
              <w:jc w:val="center"/>
              <w:rPr>
                <w:rFonts w:ascii="Arial" w:hAnsi="Arial" w:cs="Arial"/>
                <w:color w:val="000000"/>
                <w:sz w:val="18"/>
                <w:szCs w:val="18"/>
              </w:rPr>
            </w:pPr>
            <w:r>
              <w:rPr>
                <w:rFonts w:ascii="Arial" w:hAnsi="Arial" w:cs="Arial"/>
                <w:color w:val="000000"/>
                <w:sz w:val="18"/>
                <w:szCs w:val="18"/>
              </w:rPr>
              <w:t>NOVIEMBRE-DICIEMBRE</w:t>
            </w:r>
          </w:p>
        </w:tc>
      </w:tr>
    </w:tbl>
    <w:p w14:paraId="32CCF5CB" w14:textId="29D6997C" w:rsidR="0090778D" w:rsidRDefault="0090778D" w:rsidP="0090778D">
      <w:pPr>
        <w:spacing w:before="23" w:afterLines="23" w:after="55"/>
        <w:ind w:left="567" w:right="48"/>
        <w:contextualSpacing/>
        <w:rPr>
          <w:rFonts w:ascii="Arial" w:hAnsi="Arial" w:cs="Arial"/>
          <w:b/>
          <w:sz w:val="22"/>
          <w:bdr w:val="nil"/>
          <w:lang w:val="es-MX" w:eastAsia="es-MX"/>
        </w:rPr>
      </w:pPr>
    </w:p>
    <w:p w14:paraId="28CAE791" w14:textId="0B225E07" w:rsidR="0090778D" w:rsidRDefault="0090778D" w:rsidP="0090778D">
      <w:pPr>
        <w:spacing w:before="23" w:afterLines="23" w:after="55"/>
        <w:ind w:left="567" w:right="48"/>
        <w:contextualSpacing/>
        <w:rPr>
          <w:rFonts w:ascii="Arial" w:hAnsi="Arial" w:cs="Arial"/>
          <w:b/>
          <w:sz w:val="22"/>
          <w:bdr w:val="nil"/>
          <w:lang w:val="es-MX" w:eastAsia="es-MX"/>
        </w:rPr>
      </w:pPr>
    </w:p>
    <w:p w14:paraId="407DD66F" w14:textId="36983A64" w:rsidR="0090778D" w:rsidRDefault="0090778D" w:rsidP="0090778D">
      <w:pPr>
        <w:spacing w:before="23" w:afterLines="23" w:after="55"/>
        <w:ind w:left="567" w:right="48"/>
        <w:contextualSpacing/>
        <w:rPr>
          <w:rFonts w:ascii="Arial" w:hAnsi="Arial" w:cs="Arial"/>
          <w:b/>
          <w:sz w:val="22"/>
          <w:bdr w:val="nil"/>
          <w:lang w:val="es-MX" w:eastAsia="es-MX"/>
        </w:rPr>
      </w:pPr>
    </w:p>
    <w:p w14:paraId="0904CE8C" w14:textId="18747786" w:rsidR="0090778D" w:rsidRDefault="0090778D" w:rsidP="0090778D">
      <w:pPr>
        <w:spacing w:before="23" w:afterLines="23" w:after="55"/>
        <w:ind w:left="567" w:right="48"/>
        <w:contextualSpacing/>
        <w:rPr>
          <w:rFonts w:ascii="Arial" w:hAnsi="Arial" w:cs="Arial"/>
          <w:b/>
          <w:sz w:val="22"/>
          <w:bdr w:val="nil"/>
          <w:lang w:val="es-MX" w:eastAsia="es-MX"/>
        </w:rPr>
      </w:pPr>
    </w:p>
    <w:p w14:paraId="471A1F07" w14:textId="50253718" w:rsidR="0090778D" w:rsidRDefault="0090778D" w:rsidP="0090778D">
      <w:pPr>
        <w:spacing w:before="23" w:afterLines="23" w:after="55"/>
        <w:ind w:left="567" w:right="48"/>
        <w:contextualSpacing/>
        <w:rPr>
          <w:rFonts w:ascii="Arial" w:hAnsi="Arial" w:cs="Arial"/>
          <w:b/>
          <w:sz w:val="22"/>
          <w:bdr w:val="nil"/>
          <w:lang w:val="es-MX" w:eastAsia="es-MX"/>
        </w:rPr>
      </w:pPr>
    </w:p>
    <w:p w14:paraId="3EBF6E9B" w14:textId="510316CF" w:rsidR="0090778D" w:rsidRDefault="0090778D" w:rsidP="0090778D">
      <w:pPr>
        <w:spacing w:before="23" w:afterLines="23" w:after="55"/>
        <w:ind w:left="567" w:right="48"/>
        <w:contextualSpacing/>
        <w:rPr>
          <w:rFonts w:ascii="Arial" w:hAnsi="Arial" w:cs="Arial"/>
          <w:b/>
          <w:sz w:val="22"/>
          <w:bdr w:val="nil"/>
          <w:lang w:val="es-MX" w:eastAsia="es-MX"/>
        </w:rPr>
      </w:pPr>
    </w:p>
    <w:p w14:paraId="7E8EEF9E" w14:textId="4C8B7A3B" w:rsidR="0090778D" w:rsidRDefault="0090778D" w:rsidP="0090778D">
      <w:pPr>
        <w:spacing w:before="23" w:afterLines="23" w:after="55"/>
        <w:ind w:left="567" w:right="48"/>
        <w:contextualSpacing/>
        <w:rPr>
          <w:rFonts w:ascii="Arial" w:hAnsi="Arial" w:cs="Arial"/>
          <w:b/>
          <w:sz w:val="22"/>
          <w:bdr w:val="nil"/>
          <w:lang w:val="es-MX" w:eastAsia="es-MX"/>
        </w:rPr>
      </w:pPr>
    </w:p>
    <w:p w14:paraId="1DDD10C3" w14:textId="44D8CED3" w:rsidR="0090778D" w:rsidRDefault="0090778D" w:rsidP="0090778D">
      <w:pPr>
        <w:spacing w:before="23" w:afterLines="23" w:after="55"/>
        <w:ind w:left="567" w:right="48"/>
        <w:contextualSpacing/>
        <w:rPr>
          <w:rFonts w:ascii="Arial" w:hAnsi="Arial" w:cs="Arial"/>
          <w:b/>
          <w:sz w:val="22"/>
          <w:bdr w:val="nil"/>
          <w:lang w:val="es-MX" w:eastAsia="es-MX"/>
        </w:rPr>
      </w:pPr>
    </w:p>
    <w:p w14:paraId="4C834127" w14:textId="62676077" w:rsidR="0090778D" w:rsidRDefault="0090778D" w:rsidP="0090778D">
      <w:pPr>
        <w:spacing w:before="23" w:afterLines="23" w:after="55"/>
        <w:ind w:left="567" w:right="48"/>
        <w:contextualSpacing/>
        <w:rPr>
          <w:rFonts w:ascii="Arial" w:hAnsi="Arial" w:cs="Arial"/>
          <w:b/>
          <w:sz w:val="22"/>
          <w:bdr w:val="nil"/>
          <w:lang w:val="es-MX" w:eastAsia="es-MX"/>
        </w:rPr>
      </w:pPr>
    </w:p>
    <w:p w14:paraId="32EC9344" w14:textId="38DA6FF8" w:rsidR="0090778D" w:rsidRDefault="0090778D" w:rsidP="0090778D">
      <w:pPr>
        <w:spacing w:before="23" w:afterLines="23" w:after="55"/>
        <w:ind w:left="567" w:right="48"/>
        <w:contextualSpacing/>
        <w:rPr>
          <w:rFonts w:ascii="Arial" w:hAnsi="Arial" w:cs="Arial"/>
          <w:b/>
          <w:sz w:val="22"/>
          <w:bdr w:val="nil"/>
          <w:lang w:val="es-MX" w:eastAsia="es-MX"/>
        </w:rPr>
      </w:pPr>
    </w:p>
    <w:p w14:paraId="7E4947F2" w14:textId="158EB55B" w:rsidR="0090778D" w:rsidRPr="0090778D" w:rsidRDefault="0090778D" w:rsidP="0090778D">
      <w:pPr>
        <w:spacing w:before="23" w:afterLines="23" w:after="55"/>
        <w:ind w:right="48"/>
        <w:contextualSpacing/>
        <w:rPr>
          <w:rFonts w:ascii="Arial" w:hAnsi="Arial" w:cs="Arial"/>
          <w:sz w:val="22"/>
          <w:bdr w:val="nil"/>
          <w:lang w:val="es-MX" w:eastAsia="es-MX"/>
        </w:rPr>
      </w:pPr>
    </w:p>
    <w:p w14:paraId="330E4A2C" w14:textId="5C5A169C" w:rsidR="0090778D" w:rsidRPr="0090778D" w:rsidRDefault="0090778D" w:rsidP="0090778D">
      <w:pPr>
        <w:spacing w:before="23" w:afterLines="23" w:after="55"/>
        <w:ind w:left="567" w:right="48"/>
        <w:contextualSpacing/>
        <w:rPr>
          <w:rFonts w:ascii="Arial" w:hAnsi="Arial" w:cs="Arial"/>
          <w:sz w:val="22"/>
          <w:bdr w:val="nil"/>
          <w:lang w:val="es-MX" w:eastAsia="es-MX"/>
        </w:rPr>
      </w:pPr>
      <w:r w:rsidRPr="0090778D">
        <w:rPr>
          <w:rFonts w:ascii="Arial" w:hAnsi="Arial" w:cs="Arial"/>
          <w:sz w:val="22"/>
          <w:bdr w:val="nil"/>
          <w:lang w:val="es-MX" w:eastAsia="es-MX"/>
        </w:rPr>
        <w:t>Para aquellos que adquieran el carácter de Sujeto Obligado, posterior a la entrada en vigor de los presentes Lineamientos, contarán con un plazo de 120 días hábiles contados a partir que surta efectos el acto jurídico por el que adquiere dicho carácter, para inscribir la información correspondiente en el SNII.</w:t>
      </w:r>
    </w:p>
    <w:p w14:paraId="6231F954" w14:textId="77777777" w:rsidR="0090778D" w:rsidRDefault="0090778D" w:rsidP="00A1760C">
      <w:pPr>
        <w:spacing w:before="23" w:afterLines="23" w:after="55"/>
        <w:ind w:left="567" w:right="48"/>
        <w:contextualSpacing/>
        <w:rPr>
          <w:rFonts w:ascii="Arial" w:hAnsi="Arial" w:cs="Arial"/>
          <w:b/>
          <w:sz w:val="22"/>
          <w:bdr w:val="nil"/>
          <w:lang w:eastAsia="es-MX"/>
        </w:rPr>
      </w:pPr>
    </w:p>
    <w:p w14:paraId="51A2C504" w14:textId="227ED3A3" w:rsidR="0090778D" w:rsidRDefault="0090778D" w:rsidP="00A1760C">
      <w:pPr>
        <w:spacing w:before="23" w:afterLines="23" w:after="55"/>
        <w:ind w:left="567" w:right="48"/>
        <w:contextualSpacing/>
        <w:rPr>
          <w:rFonts w:ascii="Arial" w:hAnsi="Arial" w:cs="Arial"/>
          <w:color w:val="2F2F2F"/>
          <w:sz w:val="18"/>
          <w:szCs w:val="18"/>
        </w:rPr>
      </w:pPr>
    </w:p>
    <w:p w14:paraId="7689D6E6" w14:textId="4B3B7C29" w:rsidR="008B0BF7" w:rsidRDefault="008B0BF7" w:rsidP="008B0BF7">
      <w:pPr>
        <w:spacing w:before="23" w:afterLines="23" w:after="55"/>
        <w:ind w:left="567" w:right="48"/>
        <w:contextualSpacing/>
        <w:jc w:val="center"/>
        <w:rPr>
          <w:rFonts w:ascii="Arial" w:hAnsi="Arial" w:cs="Arial"/>
          <w:b/>
          <w:sz w:val="22"/>
          <w:bdr w:val="nil"/>
          <w:lang w:eastAsia="es-MX"/>
        </w:rPr>
      </w:pPr>
      <w:r>
        <w:rPr>
          <w:rFonts w:ascii="Arial" w:hAnsi="Arial" w:cs="Arial"/>
          <w:b/>
          <w:sz w:val="22"/>
          <w:bdr w:val="nil"/>
          <w:lang w:eastAsia="es-MX"/>
        </w:rPr>
        <w:t>TRANSITORIOS</w:t>
      </w:r>
    </w:p>
    <w:p w14:paraId="47B1C9F1" w14:textId="77777777" w:rsidR="008B0BF7" w:rsidRDefault="008B0BF7" w:rsidP="00232BD7">
      <w:pPr>
        <w:spacing w:before="23" w:afterLines="23" w:after="55"/>
        <w:ind w:left="567" w:right="48"/>
        <w:contextualSpacing/>
        <w:jc w:val="center"/>
        <w:rPr>
          <w:rFonts w:ascii="Arial" w:hAnsi="Arial" w:cs="Arial"/>
          <w:b/>
          <w:sz w:val="22"/>
          <w:bdr w:val="nil"/>
          <w:lang w:eastAsia="es-MX"/>
        </w:rPr>
      </w:pPr>
    </w:p>
    <w:p w14:paraId="0454FBBB" w14:textId="0A9CFC3E" w:rsidR="008B0BF7" w:rsidRDefault="008B0BF7" w:rsidP="00A1760C">
      <w:pPr>
        <w:spacing w:before="23" w:afterLines="23" w:after="55"/>
        <w:ind w:left="567" w:right="48"/>
        <w:contextualSpacing/>
        <w:rPr>
          <w:rFonts w:ascii="Arial" w:hAnsi="Arial" w:cs="Arial"/>
          <w:b/>
          <w:sz w:val="22"/>
          <w:bdr w:val="nil"/>
          <w:lang w:eastAsia="es-MX"/>
        </w:rPr>
      </w:pPr>
    </w:p>
    <w:p w14:paraId="43859A42" w14:textId="39BC8A26" w:rsidR="008B0BF7" w:rsidRDefault="008B0BF7" w:rsidP="00A1760C">
      <w:pPr>
        <w:spacing w:before="23" w:afterLines="23" w:after="55"/>
        <w:ind w:left="567" w:right="48"/>
        <w:contextualSpacing/>
        <w:rPr>
          <w:rFonts w:ascii="Arial" w:hAnsi="Arial" w:cs="Arial"/>
          <w:b/>
          <w:sz w:val="22"/>
          <w:bdr w:val="nil"/>
          <w:lang w:eastAsia="es-MX"/>
        </w:rPr>
      </w:pPr>
      <w:r>
        <w:rPr>
          <w:rFonts w:ascii="Arial" w:hAnsi="Arial" w:cs="Arial"/>
          <w:b/>
          <w:sz w:val="22"/>
          <w:bdr w:val="nil"/>
          <w:lang w:eastAsia="es-MX"/>
        </w:rPr>
        <w:t>[…]</w:t>
      </w:r>
    </w:p>
    <w:p w14:paraId="603FA925" w14:textId="77777777" w:rsidR="008B0BF7" w:rsidRDefault="008B0BF7" w:rsidP="00A1760C">
      <w:pPr>
        <w:spacing w:before="23" w:afterLines="23" w:after="55"/>
        <w:ind w:left="567" w:right="48"/>
        <w:contextualSpacing/>
        <w:rPr>
          <w:rFonts w:ascii="Arial" w:hAnsi="Arial" w:cs="Arial"/>
          <w:b/>
          <w:sz w:val="22"/>
          <w:bdr w:val="nil"/>
          <w:lang w:eastAsia="es-MX"/>
        </w:rPr>
      </w:pPr>
    </w:p>
    <w:p w14:paraId="046B65F9" w14:textId="36C6560D" w:rsidR="0023703C" w:rsidRDefault="0023703C" w:rsidP="00A1760C">
      <w:pPr>
        <w:spacing w:before="23" w:afterLines="23" w:after="55"/>
        <w:ind w:left="567" w:right="48"/>
        <w:contextualSpacing/>
        <w:rPr>
          <w:rFonts w:ascii="Arial" w:hAnsi="Arial" w:cs="Arial"/>
          <w:bCs/>
          <w:sz w:val="22"/>
          <w:bdr w:val="nil"/>
          <w:lang w:eastAsia="es-MX"/>
        </w:rPr>
      </w:pPr>
      <w:proofErr w:type="gramStart"/>
      <w:r w:rsidRPr="00A1760C">
        <w:rPr>
          <w:rFonts w:ascii="Arial" w:hAnsi="Arial" w:cs="Arial"/>
          <w:b/>
          <w:sz w:val="22"/>
          <w:bdr w:val="nil"/>
          <w:lang w:eastAsia="es-MX"/>
        </w:rPr>
        <w:t>CUARTO.-</w:t>
      </w:r>
      <w:proofErr w:type="gramEnd"/>
      <w:r w:rsidRPr="001239D8">
        <w:rPr>
          <w:rFonts w:ascii="Arial" w:hAnsi="Arial" w:cs="Arial"/>
          <w:bCs/>
          <w:sz w:val="22"/>
          <w:bdr w:val="nil"/>
          <w:lang w:eastAsia="es-MX"/>
        </w:rPr>
        <w:t xml:space="preserve"> </w:t>
      </w:r>
      <w:r w:rsidR="007B3195" w:rsidRPr="007B3195">
        <w:rPr>
          <w:rFonts w:ascii="Arial" w:hAnsi="Arial" w:cs="Arial"/>
          <w:bCs/>
          <w:sz w:val="22"/>
          <w:bdr w:val="nil"/>
          <w:lang w:eastAsia="es-MX"/>
        </w:rPr>
        <w:t xml:space="preserve">La carga inicial de la información se realizará conforme a los meses y en el orden establecidos en el primer semestre </w:t>
      </w:r>
      <w:r w:rsidR="0090778D">
        <w:rPr>
          <w:rFonts w:ascii="Arial" w:hAnsi="Arial" w:cs="Arial"/>
          <w:bCs/>
          <w:sz w:val="22"/>
          <w:bdr w:val="nil"/>
          <w:lang w:eastAsia="es-MX"/>
        </w:rPr>
        <w:t xml:space="preserve">del año 2025 </w:t>
      </w:r>
      <w:r w:rsidR="007B3195" w:rsidRPr="007B3195">
        <w:rPr>
          <w:rFonts w:ascii="Arial" w:hAnsi="Arial" w:cs="Arial"/>
          <w:bCs/>
          <w:sz w:val="22"/>
          <w:bdr w:val="nil"/>
          <w:lang w:eastAsia="es-MX"/>
        </w:rPr>
        <w:t xml:space="preserve">a que hace referencia el calendario </w:t>
      </w:r>
      <w:r w:rsidR="00BC7E40">
        <w:rPr>
          <w:rFonts w:ascii="Arial" w:hAnsi="Arial" w:cs="Arial"/>
          <w:bCs/>
          <w:sz w:val="22"/>
          <w:bdr w:val="nil"/>
          <w:lang w:eastAsia="es-MX"/>
        </w:rPr>
        <w:t>d</w:t>
      </w:r>
      <w:r w:rsidR="007B3195" w:rsidRPr="007B3195">
        <w:rPr>
          <w:rFonts w:ascii="Arial" w:hAnsi="Arial" w:cs="Arial"/>
          <w:bCs/>
          <w:sz w:val="22"/>
          <w:bdr w:val="nil"/>
          <w:lang w:eastAsia="es-MX"/>
        </w:rPr>
        <w:t>el Artículo Décimo Octavo de los presentes Lineamientos.</w:t>
      </w:r>
    </w:p>
    <w:p w14:paraId="00BD4EC2" w14:textId="77777777" w:rsidR="00A1760C" w:rsidRPr="00A1760C" w:rsidRDefault="00A1760C" w:rsidP="00A1760C">
      <w:pPr>
        <w:spacing w:before="23" w:afterLines="23" w:after="55"/>
        <w:ind w:left="567" w:right="48"/>
        <w:contextualSpacing/>
        <w:rPr>
          <w:rFonts w:ascii="Arial" w:hAnsi="Arial" w:cs="Arial"/>
          <w:bCs/>
          <w:sz w:val="22"/>
          <w:bdr w:val="nil"/>
          <w:lang w:eastAsia="es-MX"/>
        </w:rPr>
      </w:pPr>
    </w:p>
    <w:p w14:paraId="2911718B" w14:textId="77777777" w:rsidR="009E17AE" w:rsidRDefault="009E17AE" w:rsidP="009E17AE">
      <w:pPr>
        <w:spacing w:before="23" w:afterLines="23" w:after="55"/>
        <w:ind w:left="567" w:right="48"/>
        <w:contextualSpacing/>
        <w:rPr>
          <w:rFonts w:ascii="Arial" w:hAnsi="Arial" w:cs="Arial"/>
          <w:bCs/>
          <w:sz w:val="22"/>
          <w:bdr w:val="nil"/>
          <w:lang w:eastAsia="es-MX"/>
        </w:rPr>
      </w:pPr>
      <w:r w:rsidRPr="009E17AE">
        <w:rPr>
          <w:rFonts w:ascii="Arial" w:hAnsi="Arial" w:cs="Arial"/>
          <w:bCs/>
          <w:sz w:val="22"/>
          <w:bdr w:val="nil"/>
          <w:lang w:eastAsia="es-MX"/>
        </w:rPr>
        <w:lastRenderedPageBreak/>
        <w:t>Los Sujetos Obligados que realicen la carga inicial, deberán inscribir en el SNII la totalidad de los elementos de conformidad con el “Diccionario de Datos” y en los formatos definidos en los presentes Lineamientos y disponibles en la herramienta informática que albergará el SNII.</w:t>
      </w:r>
    </w:p>
    <w:p w14:paraId="4D665C06" w14:textId="77777777" w:rsidR="009E17AE" w:rsidRPr="009E17AE" w:rsidRDefault="009E17AE" w:rsidP="009E17AE">
      <w:pPr>
        <w:spacing w:before="23" w:afterLines="23" w:after="55"/>
        <w:ind w:left="567" w:right="48"/>
        <w:contextualSpacing/>
        <w:rPr>
          <w:rFonts w:ascii="Arial" w:hAnsi="Arial" w:cs="Arial"/>
          <w:bCs/>
          <w:sz w:val="22"/>
          <w:bdr w:val="nil"/>
          <w:lang w:eastAsia="es-MX"/>
        </w:rPr>
      </w:pPr>
    </w:p>
    <w:p w14:paraId="1D3DB26C" w14:textId="77777777" w:rsidR="009E17AE" w:rsidRDefault="009E17AE" w:rsidP="009E17AE">
      <w:pPr>
        <w:spacing w:before="23" w:afterLines="23" w:after="55"/>
        <w:ind w:left="567" w:right="48"/>
        <w:contextualSpacing/>
        <w:rPr>
          <w:rFonts w:ascii="Arial" w:hAnsi="Arial" w:cs="Arial"/>
          <w:bCs/>
          <w:sz w:val="22"/>
          <w:bdr w:val="nil"/>
          <w:lang w:eastAsia="es-MX"/>
        </w:rPr>
      </w:pPr>
      <w:r w:rsidRPr="009E17AE">
        <w:rPr>
          <w:rFonts w:ascii="Arial" w:hAnsi="Arial" w:cs="Arial"/>
          <w:bCs/>
          <w:sz w:val="22"/>
          <w:bdr w:val="nil"/>
          <w:lang w:eastAsia="es-MX"/>
        </w:rPr>
        <w:t>Asimismo, los Sujetos Obligados que no cuenten con la asignación de un Folio Electrónico, deberán tramitarlo al menos 30 días naturales antes de la primera carga inicial de información, conforme al calendario señalado en el presente artículo y mediante el procedimiento establecido en el capítulo III de los presentes Lineamientos. Lo anterior, con el objetivo de que conozcan el dígito de terminación de dicho folio el cual les indicará el mes de cumplimiento de su obligación.</w:t>
      </w:r>
    </w:p>
    <w:p w14:paraId="5D059C29" w14:textId="77777777" w:rsidR="009E17AE" w:rsidRPr="009E17AE" w:rsidRDefault="009E17AE" w:rsidP="009E17AE">
      <w:pPr>
        <w:spacing w:before="23" w:afterLines="23" w:after="55"/>
        <w:ind w:left="567" w:right="48"/>
        <w:contextualSpacing/>
        <w:rPr>
          <w:rFonts w:ascii="Arial" w:hAnsi="Arial" w:cs="Arial"/>
          <w:bCs/>
          <w:sz w:val="22"/>
          <w:bdr w:val="nil"/>
          <w:lang w:eastAsia="es-MX"/>
        </w:rPr>
      </w:pPr>
    </w:p>
    <w:p w14:paraId="08D732E3" w14:textId="047412BF" w:rsidR="001239D8" w:rsidRPr="001239D8" w:rsidRDefault="009E17AE" w:rsidP="00A1760C">
      <w:pPr>
        <w:spacing w:before="23" w:afterLines="23" w:after="55"/>
        <w:ind w:left="567" w:right="48"/>
        <w:contextualSpacing/>
        <w:rPr>
          <w:rFonts w:ascii="Arial" w:hAnsi="Arial" w:cs="Arial"/>
          <w:bCs/>
          <w:sz w:val="22"/>
          <w:bdr w:val="nil"/>
          <w:lang w:eastAsia="es-MX"/>
        </w:rPr>
      </w:pPr>
      <w:r w:rsidRPr="009E17AE">
        <w:rPr>
          <w:rFonts w:ascii="Arial" w:hAnsi="Arial" w:cs="Arial"/>
          <w:bCs/>
          <w:sz w:val="22"/>
          <w:bdr w:val="nil"/>
          <w:lang w:eastAsia="es-MX"/>
        </w:rPr>
        <w:t>Previo a la carga inicial de información, el Instituto llevará a cabo talleres informativos con el objetivo de dar a conocer a los Sujetos Obligados o interesados, el proceso de carga y consulta de información.</w:t>
      </w:r>
      <w:r w:rsidR="00A1760C">
        <w:rPr>
          <w:rFonts w:ascii="Arial" w:hAnsi="Arial" w:cs="Arial"/>
          <w:bCs/>
          <w:sz w:val="22"/>
          <w:bdr w:val="nil"/>
          <w:lang w:eastAsia="es-MX"/>
        </w:rPr>
        <w:t>”</w:t>
      </w:r>
    </w:p>
    <w:p w14:paraId="6F4ADACA" w14:textId="04ED51A4" w:rsidR="0023703C" w:rsidRPr="001239D8" w:rsidRDefault="0023703C" w:rsidP="003721B9">
      <w:pPr>
        <w:spacing w:after="120"/>
        <w:rPr>
          <w:rFonts w:ascii="Arial" w:hAnsi="Arial" w:cs="Arial"/>
          <w:sz w:val="22"/>
        </w:rPr>
      </w:pPr>
    </w:p>
    <w:p w14:paraId="35636BDC" w14:textId="325C4D2C" w:rsidR="003D60C8" w:rsidRPr="001239D8" w:rsidRDefault="003D60C8" w:rsidP="003D60C8">
      <w:pPr>
        <w:spacing w:after="120"/>
        <w:rPr>
          <w:rFonts w:ascii="Arial" w:hAnsi="Arial" w:cs="Arial"/>
          <w:sz w:val="22"/>
        </w:rPr>
      </w:pPr>
      <w:r w:rsidRPr="001239D8">
        <w:rPr>
          <w:rFonts w:ascii="Arial" w:hAnsi="Arial" w:cs="Arial"/>
          <w:b/>
          <w:sz w:val="22"/>
        </w:rPr>
        <w:t>Segundo.-</w:t>
      </w:r>
      <w:r w:rsidRPr="001239D8">
        <w:rPr>
          <w:rFonts w:ascii="Arial" w:hAnsi="Arial" w:cs="Arial"/>
          <w:sz w:val="22"/>
        </w:rPr>
        <w:t xml:space="preserve"> El presente Acuerdo entrará en vigor al día siguiente hábil de su publicación en el Diario Oficial de la Federación.</w:t>
      </w:r>
    </w:p>
    <w:p w14:paraId="422D9497" w14:textId="77777777" w:rsidR="003D60C8" w:rsidRPr="001239D8" w:rsidRDefault="003D60C8" w:rsidP="003D60C8">
      <w:pPr>
        <w:spacing w:after="120"/>
        <w:rPr>
          <w:rFonts w:ascii="Arial" w:hAnsi="Arial" w:cs="Arial"/>
          <w:sz w:val="22"/>
        </w:rPr>
      </w:pPr>
    </w:p>
    <w:p w14:paraId="1F61BA33" w14:textId="0B6C19F8" w:rsidR="003D60C8" w:rsidRDefault="003D60C8" w:rsidP="003D60C8">
      <w:pPr>
        <w:spacing w:after="120"/>
        <w:rPr>
          <w:rFonts w:ascii="Arial" w:hAnsi="Arial" w:cs="Arial"/>
          <w:sz w:val="22"/>
        </w:rPr>
      </w:pPr>
      <w:r w:rsidRPr="001239D8">
        <w:rPr>
          <w:rFonts w:ascii="Arial" w:hAnsi="Arial" w:cs="Arial"/>
          <w:b/>
          <w:sz w:val="22"/>
        </w:rPr>
        <w:t xml:space="preserve">Tercero.- </w:t>
      </w:r>
      <w:r w:rsidRPr="001239D8">
        <w:rPr>
          <w:rFonts w:ascii="Arial" w:hAnsi="Arial" w:cs="Arial"/>
          <w:sz w:val="22"/>
        </w:rPr>
        <w:t>Publíquese el presente Acuerdo en la página de Internet del Instituto Federal de Telecomunicaciones y en el Diario Oficial de la Federación.</w:t>
      </w:r>
    </w:p>
    <w:p w14:paraId="46291411" w14:textId="77777777" w:rsidR="009E17AE" w:rsidRDefault="009E17AE" w:rsidP="003D60C8">
      <w:pPr>
        <w:spacing w:after="120"/>
        <w:rPr>
          <w:rFonts w:ascii="Arial" w:hAnsi="Arial" w:cs="Arial"/>
          <w:sz w:val="22"/>
        </w:rPr>
      </w:pPr>
    </w:p>
    <w:p w14:paraId="39AA8D21" w14:textId="6B703E9A" w:rsidR="0026359E" w:rsidRPr="0026359E" w:rsidRDefault="0026359E" w:rsidP="0026359E">
      <w:pPr>
        <w:spacing w:after="120"/>
        <w:rPr>
          <w:rFonts w:ascii="Arial" w:hAnsi="Arial" w:cs="Arial"/>
          <w:sz w:val="22"/>
        </w:rPr>
      </w:pPr>
    </w:p>
    <w:sectPr w:rsidR="0026359E" w:rsidRPr="0026359E" w:rsidSect="00AB1E37">
      <w:headerReference w:type="even" r:id="rId11"/>
      <w:headerReference w:type="default" r:id="rId12"/>
      <w:footerReference w:type="even" r:id="rId13"/>
      <w:footerReference w:type="default" r:id="rId14"/>
      <w:headerReference w:type="first" r:id="rId15"/>
      <w:footerReference w:type="first" r:id="rId16"/>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DAE20" w14:textId="77777777" w:rsidR="000D723D" w:rsidRDefault="000D723D" w:rsidP="00230B2A">
      <w:r>
        <w:separator/>
      </w:r>
    </w:p>
  </w:endnote>
  <w:endnote w:type="continuationSeparator" w:id="0">
    <w:p w14:paraId="64014281" w14:textId="77777777" w:rsidR="000D723D" w:rsidRDefault="000D723D" w:rsidP="0023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5EBA" w14:textId="77777777" w:rsidR="00AB5ADD" w:rsidRDefault="00AB5A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781865"/>
      <w:docPartObj>
        <w:docPartGallery w:val="Page Numbers (Bottom of Page)"/>
        <w:docPartUnique/>
      </w:docPartObj>
    </w:sdtPr>
    <w:sdtEndPr/>
    <w:sdtContent>
      <w:sdt>
        <w:sdtPr>
          <w:id w:val="-1769616900"/>
          <w:docPartObj>
            <w:docPartGallery w:val="Page Numbers (Top of Page)"/>
            <w:docPartUnique/>
          </w:docPartObj>
        </w:sdtPr>
        <w:sdtEndPr/>
        <w:sdtContent>
          <w:p w14:paraId="78DE2B44" w14:textId="62CB818B" w:rsidR="006A609E" w:rsidRDefault="006A609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F518ED5" w14:textId="77777777" w:rsidR="006A609E" w:rsidRDefault="006A60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ACF3" w14:textId="77777777" w:rsidR="00AB5ADD" w:rsidRDefault="00AB5A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07D0" w14:textId="77777777" w:rsidR="000D723D" w:rsidRDefault="000D723D" w:rsidP="00230B2A">
      <w:r>
        <w:separator/>
      </w:r>
    </w:p>
  </w:footnote>
  <w:footnote w:type="continuationSeparator" w:id="0">
    <w:p w14:paraId="08844BA9" w14:textId="77777777" w:rsidR="000D723D" w:rsidRDefault="000D723D" w:rsidP="0023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5BA9" w14:textId="6CBB4DC1" w:rsidR="00AB5ADD" w:rsidRDefault="00AB5ADD">
    <w:pPr>
      <w:pStyle w:val="Encabezado"/>
    </w:pPr>
    <w:r>
      <w:rPr>
        <w:noProof/>
      </w:rPr>
      <w:pict w14:anchorId="381DD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14407" o:spid="_x0000_s2050" type="#_x0000_t136" style="position:absolute;left:0;text-align:left;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4EDA" w14:textId="7B74A505" w:rsidR="00AB5ADD" w:rsidRDefault="00AB5ADD">
    <w:pPr>
      <w:pStyle w:val="Encabezado"/>
    </w:pPr>
    <w:r>
      <w:rPr>
        <w:noProof/>
      </w:rPr>
      <w:pict w14:anchorId="4B28E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14408" o:spid="_x0000_s2051"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F345" w14:textId="292A9B69" w:rsidR="00AB5ADD" w:rsidRDefault="00AB5ADD">
    <w:pPr>
      <w:pStyle w:val="Encabezado"/>
    </w:pPr>
    <w:r>
      <w:rPr>
        <w:noProof/>
      </w:rPr>
      <w:pict w14:anchorId="66BE2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14406" o:spid="_x0000_s2049" type="#_x0000_t136" style="position:absolute;left:0;text-align:left;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17FE1"/>
    <w:multiLevelType w:val="hybridMultilevel"/>
    <w:tmpl w:val="B0202CA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5"/>
    <w:rsid w:val="0001188E"/>
    <w:rsid w:val="00044D6A"/>
    <w:rsid w:val="00064539"/>
    <w:rsid w:val="00072830"/>
    <w:rsid w:val="000A699C"/>
    <w:rsid w:val="000D723D"/>
    <w:rsid w:val="000E4B0E"/>
    <w:rsid w:val="000F4714"/>
    <w:rsid w:val="001239D8"/>
    <w:rsid w:val="00124C74"/>
    <w:rsid w:val="001266A3"/>
    <w:rsid w:val="001444EB"/>
    <w:rsid w:val="00147D65"/>
    <w:rsid w:val="00150423"/>
    <w:rsid w:val="0020676C"/>
    <w:rsid w:val="00230B2A"/>
    <w:rsid w:val="00232BD7"/>
    <w:rsid w:val="0023703C"/>
    <w:rsid w:val="0024120D"/>
    <w:rsid w:val="00245253"/>
    <w:rsid w:val="002533B4"/>
    <w:rsid w:val="0026359E"/>
    <w:rsid w:val="00290C2E"/>
    <w:rsid w:val="002B706B"/>
    <w:rsid w:val="002F323D"/>
    <w:rsid w:val="00322736"/>
    <w:rsid w:val="0032472B"/>
    <w:rsid w:val="003721B9"/>
    <w:rsid w:val="003A3A05"/>
    <w:rsid w:val="003D5D75"/>
    <w:rsid w:val="003D60C8"/>
    <w:rsid w:val="003F276C"/>
    <w:rsid w:val="00412CE7"/>
    <w:rsid w:val="004216FD"/>
    <w:rsid w:val="0042204C"/>
    <w:rsid w:val="00422997"/>
    <w:rsid w:val="0044360B"/>
    <w:rsid w:val="004755D5"/>
    <w:rsid w:val="0049198C"/>
    <w:rsid w:val="0049794E"/>
    <w:rsid w:val="005522D7"/>
    <w:rsid w:val="005B4890"/>
    <w:rsid w:val="005C44A8"/>
    <w:rsid w:val="005F3395"/>
    <w:rsid w:val="00651814"/>
    <w:rsid w:val="006940D3"/>
    <w:rsid w:val="006A609E"/>
    <w:rsid w:val="006B08B2"/>
    <w:rsid w:val="006B3661"/>
    <w:rsid w:val="00721A24"/>
    <w:rsid w:val="00727B00"/>
    <w:rsid w:val="00757108"/>
    <w:rsid w:val="007931F1"/>
    <w:rsid w:val="00795998"/>
    <w:rsid w:val="00795BB4"/>
    <w:rsid w:val="007B3195"/>
    <w:rsid w:val="007C2FF0"/>
    <w:rsid w:val="007F66B6"/>
    <w:rsid w:val="00863A79"/>
    <w:rsid w:val="008871CF"/>
    <w:rsid w:val="008B0BF7"/>
    <w:rsid w:val="008B607E"/>
    <w:rsid w:val="008C394D"/>
    <w:rsid w:val="008D4A88"/>
    <w:rsid w:val="008D50B1"/>
    <w:rsid w:val="008F2A3F"/>
    <w:rsid w:val="0090778D"/>
    <w:rsid w:val="009200E6"/>
    <w:rsid w:val="00933EEB"/>
    <w:rsid w:val="009535BC"/>
    <w:rsid w:val="009D4A0D"/>
    <w:rsid w:val="009E17AE"/>
    <w:rsid w:val="009E615F"/>
    <w:rsid w:val="00A1760C"/>
    <w:rsid w:val="00A3332A"/>
    <w:rsid w:val="00A371C0"/>
    <w:rsid w:val="00A869A3"/>
    <w:rsid w:val="00AA0BCD"/>
    <w:rsid w:val="00AA37D5"/>
    <w:rsid w:val="00AA42B9"/>
    <w:rsid w:val="00AB1E37"/>
    <w:rsid w:val="00AB5ADD"/>
    <w:rsid w:val="00AD6D15"/>
    <w:rsid w:val="00B10DE5"/>
    <w:rsid w:val="00B77018"/>
    <w:rsid w:val="00B77E55"/>
    <w:rsid w:val="00B87A0F"/>
    <w:rsid w:val="00B9268E"/>
    <w:rsid w:val="00BC7E40"/>
    <w:rsid w:val="00BF0C77"/>
    <w:rsid w:val="00C127A4"/>
    <w:rsid w:val="00C1733B"/>
    <w:rsid w:val="00C34CDB"/>
    <w:rsid w:val="00C67D4E"/>
    <w:rsid w:val="00C75DB9"/>
    <w:rsid w:val="00CB645B"/>
    <w:rsid w:val="00CC4E94"/>
    <w:rsid w:val="00CF522F"/>
    <w:rsid w:val="00DB3C0E"/>
    <w:rsid w:val="00DB7EDE"/>
    <w:rsid w:val="00DC3705"/>
    <w:rsid w:val="00DD4B12"/>
    <w:rsid w:val="00E11826"/>
    <w:rsid w:val="00E373B3"/>
    <w:rsid w:val="00E76B96"/>
    <w:rsid w:val="00EB7F49"/>
    <w:rsid w:val="00EC2D5E"/>
    <w:rsid w:val="00EE7680"/>
    <w:rsid w:val="00F01ABD"/>
    <w:rsid w:val="00F250DE"/>
    <w:rsid w:val="00F744C2"/>
    <w:rsid w:val="00F96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5CBF3D"/>
  <w15:chartTrackingRefBased/>
  <w15:docId w15:val="{FBD84B91-5ED8-4A49-977E-7C05304D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B2A"/>
    <w:pPr>
      <w:spacing w:after="0" w:line="240" w:lineRule="auto"/>
      <w:jc w:val="both"/>
    </w:pPr>
    <w:rPr>
      <w:rFonts w:ascii="ITC Avant Garde Std Bk" w:hAnsi="ITC Avant Garde Std Bk"/>
      <w:sz w:val="20"/>
      <w:lang w:val="es-ES_tradnl"/>
    </w:rPr>
  </w:style>
  <w:style w:type="paragraph" w:styleId="Ttulo1">
    <w:name w:val="heading 1"/>
    <w:basedOn w:val="Normal"/>
    <w:next w:val="Normal"/>
    <w:link w:val="Ttulo1Car"/>
    <w:qFormat/>
    <w:rsid w:val="008B607E"/>
    <w:pPr>
      <w:keepNext/>
      <w:keepLines/>
      <w:outlineLvl w:val="0"/>
    </w:pPr>
    <w:rPr>
      <w:rFonts w:eastAsiaTheme="majorEastAsia" w:cstheme="majorBidi"/>
      <w:b/>
      <w:sz w:val="22"/>
      <w:szCs w:val="32"/>
    </w:rPr>
  </w:style>
  <w:style w:type="paragraph" w:styleId="Ttulo2">
    <w:name w:val="heading 2"/>
    <w:basedOn w:val="Normal"/>
    <w:next w:val="Normal"/>
    <w:link w:val="Ttulo2Car"/>
    <w:unhideWhenUsed/>
    <w:qFormat/>
    <w:rsid w:val="00290C2E"/>
    <w:pPr>
      <w:keepNext/>
      <w:keepLines/>
      <w:jc w:val="center"/>
      <w:outlineLvl w:val="1"/>
    </w:pPr>
    <w:rPr>
      <w:rFonts w:eastAsiaTheme="majorEastAsia" w:cstheme="majorBidi"/>
      <w:b/>
      <w:sz w:val="22"/>
      <w:szCs w:val="26"/>
    </w:rPr>
  </w:style>
  <w:style w:type="paragraph" w:styleId="Ttulo3">
    <w:name w:val="heading 3"/>
    <w:basedOn w:val="Normal"/>
    <w:next w:val="Normal"/>
    <w:link w:val="Ttulo3Car"/>
    <w:unhideWhenUsed/>
    <w:qFormat/>
    <w:rsid w:val="00290C2E"/>
    <w:pPr>
      <w:keepNext/>
      <w:keepLines/>
      <w:jc w:val="center"/>
      <w:outlineLvl w:val="2"/>
    </w:pPr>
    <w:rPr>
      <w:rFonts w:eastAsiaTheme="majorEastAsia" w:cstheme="majorBidi"/>
      <w:b/>
      <w:sz w:val="1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30B2A"/>
    <w:pPr>
      <w:tabs>
        <w:tab w:val="center" w:pos="4419"/>
        <w:tab w:val="right" w:pos="8838"/>
      </w:tabs>
    </w:pPr>
  </w:style>
  <w:style w:type="character" w:customStyle="1" w:styleId="EncabezadoCar">
    <w:name w:val="Encabezado Car"/>
    <w:basedOn w:val="Fuentedeprrafopredeter"/>
    <w:link w:val="Encabezado"/>
    <w:rsid w:val="00230B2A"/>
    <w:rPr>
      <w:rFonts w:ascii="ITC Avant Garde Std Bk" w:hAnsi="ITC Avant Garde Std Bk"/>
      <w:sz w:val="20"/>
    </w:rPr>
  </w:style>
  <w:style w:type="paragraph" w:styleId="Piedepgina">
    <w:name w:val="footer"/>
    <w:basedOn w:val="Normal"/>
    <w:link w:val="PiedepginaCar"/>
    <w:uiPriority w:val="99"/>
    <w:unhideWhenUsed/>
    <w:rsid w:val="00230B2A"/>
    <w:pPr>
      <w:tabs>
        <w:tab w:val="center" w:pos="4419"/>
        <w:tab w:val="right" w:pos="8838"/>
      </w:tabs>
    </w:pPr>
  </w:style>
  <w:style w:type="character" w:customStyle="1" w:styleId="PiedepginaCar">
    <w:name w:val="Pie de página Car"/>
    <w:basedOn w:val="Fuentedeprrafopredeter"/>
    <w:link w:val="Piedepgina"/>
    <w:uiPriority w:val="99"/>
    <w:rsid w:val="00230B2A"/>
    <w:rPr>
      <w:rFonts w:ascii="ITC Avant Garde Std Bk" w:hAnsi="ITC Avant Garde Std Bk"/>
      <w:sz w:val="20"/>
    </w:rPr>
  </w:style>
  <w:style w:type="paragraph" w:styleId="Textodeglobo">
    <w:name w:val="Balloon Text"/>
    <w:basedOn w:val="Normal"/>
    <w:link w:val="TextodegloboCar"/>
    <w:uiPriority w:val="99"/>
    <w:semiHidden/>
    <w:unhideWhenUsed/>
    <w:rsid w:val="008B607E"/>
    <w:pPr>
      <w:jc w:val="left"/>
    </w:pPr>
    <w:rPr>
      <w:rFonts w:ascii="Lucida Grande" w:eastAsia="MS Mincho"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8B607E"/>
    <w:rPr>
      <w:rFonts w:ascii="Lucida Grande" w:eastAsia="MS Mincho" w:hAnsi="Lucida Grande" w:cs="Lucida Grande"/>
      <w:sz w:val="18"/>
      <w:szCs w:val="18"/>
      <w:lang w:val="es-ES_tradnl" w:eastAsia="es-ES"/>
    </w:rPr>
  </w:style>
  <w:style w:type="character" w:styleId="Hipervnculo">
    <w:name w:val="Hyperlink"/>
    <w:uiPriority w:val="99"/>
    <w:unhideWhenUsed/>
    <w:rsid w:val="008B607E"/>
    <w:rPr>
      <w:color w:val="0563C1"/>
      <w:u w:val="single"/>
    </w:rPr>
  </w:style>
  <w:style w:type="character" w:styleId="Mencinsinresolver">
    <w:name w:val="Unresolved Mention"/>
    <w:uiPriority w:val="99"/>
    <w:semiHidden/>
    <w:unhideWhenUsed/>
    <w:rsid w:val="008B607E"/>
    <w:rPr>
      <w:color w:val="605E5C"/>
      <w:shd w:val="clear" w:color="auto" w:fill="E1DFDD"/>
    </w:rPr>
  </w:style>
  <w:style w:type="paragraph" w:customStyle="1" w:styleId="Texto">
    <w:name w:val="Texto"/>
    <w:basedOn w:val="Normal"/>
    <w:link w:val="TextoCar"/>
    <w:rsid w:val="008B607E"/>
    <w:pPr>
      <w:spacing w:after="101" w:line="216" w:lineRule="exact"/>
      <w:ind w:firstLine="288"/>
    </w:pPr>
    <w:rPr>
      <w:rFonts w:ascii="Arial" w:eastAsia="Times New Roman" w:hAnsi="Arial" w:cs="Arial"/>
      <w:sz w:val="18"/>
      <w:szCs w:val="20"/>
      <w:lang w:val="es-ES" w:eastAsia="es-ES"/>
    </w:rPr>
  </w:style>
  <w:style w:type="paragraph" w:customStyle="1" w:styleId="ROMANOS">
    <w:name w:val="ROMANOS"/>
    <w:basedOn w:val="Normal"/>
    <w:link w:val="ROMANOSCar"/>
    <w:rsid w:val="008B607E"/>
    <w:pPr>
      <w:tabs>
        <w:tab w:val="left" w:pos="720"/>
      </w:tabs>
      <w:spacing w:after="101" w:line="216" w:lineRule="exact"/>
      <w:ind w:left="720" w:hanging="432"/>
    </w:pPr>
    <w:rPr>
      <w:rFonts w:ascii="Arial" w:eastAsia="Times New Roman" w:hAnsi="Arial" w:cs="Arial"/>
      <w:sz w:val="18"/>
      <w:szCs w:val="18"/>
      <w:lang w:val="es-ES" w:eastAsia="es-ES"/>
    </w:rPr>
  </w:style>
  <w:style w:type="paragraph" w:customStyle="1" w:styleId="ANOTACION">
    <w:name w:val="ANOTACION"/>
    <w:basedOn w:val="Normal"/>
    <w:link w:val="ANOTACIONCar"/>
    <w:rsid w:val="008B607E"/>
    <w:pPr>
      <w:spacing w:before="101" w:after="101" w:line="216" w:lineRule="atLeast"/>
      <w:jc w:val="center"/>
    </w:pPr>
    <w:rPr>
      <w:rFonts w:ascii="Times New Roman" w:eastAsia="Times New Roman" w:hAnsi="Times New Roman" w:cs="Times New Roman"/>
      <w:b/>
      <w:sz w:val="18"/>
      <w:szCs w:val="20"/>
      <w:lang w:eastAsia="es-ES"/>
    </w:rPr>
  </w:style>
  <w:style w:type="character" w:customStyle="1" w:styleId="TextoCar">
    <w:name w:val="Texto Car"/>
    <w:link w:val="Texto"/>
    <w:locked/>
    <w:rsid w:val="008B607E"/>
    <w:rPr>
      <w:rFonts w:ascii="Arial" w:eastAsia="Times New Roman" w:hAnsi="Arial" w:cs="Arial"/>
      <w:sz w:val="18"/>
      <w:szCs w:val="20"/>
      <w:lang w:val="es-ES" w:eastAsia="es-ES"/>
    </w:rPr>
  </w:style>
  <w:style w:type="character" w:customStyle="1" w:styleId="ROMANOSCar">
    <w:name w:val="ROMANOS Car"/>
    <w:link w:val="ROMANOS"/>
    <w:locked/>
    <w:rsid w:val="008B607E"/>
    <w:rPr>
      <w:rFonts w:ascii="Arial" w:eastAsia="Times New Roman" w:hAnsi="Arial" w:cs="Arial"/>
      <w:sz w:val="18"/>
      <w:szCs w:val="18"/>
      <w:lang w:val="es-ES" w:eastAsia="es-ES"/>
    </w:rPr>
  </w:style>
  <w:style w:type="character" w:customStyle="1" w:styleId="ANOTACIONCar">
    <w:name w:val="ANOTACION Car"/>
    <w:link w:val="ANOTACION"/>
    <w:locked/>
    <w:rsid w:val="008B607E"/>
    <w:rPr>
      <w:rFonts w:ascii="Times New Roman" w:eastAsia="Times New Roman" w:hAnsi="Times New Roman" w:cs="Times New Roman"/>
      <w:b/>
      <w:sz w:val="18"/>
      <w:szCs w:val="20"/>
      <w:lang w:val="es-ES_tradnl" w:eastAsia="es-ES"/>
    </w:rPr>
  </w:style>
  <w:style w:type="paragraph" w:styleId="Textonotapie">
    <w:name w:val="footnote text"/>
    <w:basedOn w:val="Normal"/>
    <w:link w:val="TextonotapieCar"/>
    <w:rsid w:val="008B607E"/>
    <w:pPr>
      <w:jc w:val="left"/>
    </w:pPr>
    <w:rPr>
      <w:rFonts w:ascii="Arial" w:eastAsia="Times New Roman" w:hAnsi="Arial" w:cs="Arial"/>
      <w:szCs w:val="20"/>
      <w:lang w:eastAsia="es-MX"/>
    </w:rPr>
  </w:style>
  <w:style w:type="character" w:customStyle="1" w:styleId="TextonotapieCar">
    <w:name w:val="Texto nota pie Car"/>
    <w:basedOn w:val="Fuentedeprrafopredeter"/>
    <w:link w:val="Textonotapie"/>
    <w:rsid w:val="008B607E"/>
    <w:rPr>
      <w:rFonts w:ascii="Arial" w:eastAsia="Times New Roman" w:hAnsi="Arial" w:cs="Arial"/>
      <w:sz w:val="20"/>
      <w:szCs w:val="20"/>
      <w:lang w:val="es-ES_tradnl" w:eastAsia="es-MX"/>
    </w:rPr>
  </w:style>
  <w:style w:type="paragraph" w:customStyle="1" w:styleId="texto0">
    <w:name w:val="texto"/>
    <w:basedOn w:val="Normal"/>
    <w:rsid w:val="008B607E"/>
    <w:pPr>
      <w:snapToGrid w:val="0"/>
      <w:spacing w:after="101" w:line="216" w:lineRule="exact"/>
      <w:ind w:firstLine="288"/>
    </w:pPr>
    <w:rPr>
      <w:rFonts w:ascii="Arial" w:eastAsia="Times New Roman" w:hAnsi="Arial" w:cs="Arial"/>
      <w:sz w:val="18"/>
      <w:szCs w:val="18"/>
      <w:lang w:eastAsia="es-ES"/>
    </w:rPr>
  </w:style>
  <w:style w:type="character" w:customStyle="1" w:styleId="Ttulo1Car">
    <w:name w:val="Título 1 Car"/>
    <w:basedOn w:val="Fuentedeprrafopredeter"/>
    <w:link w:val="Ttulo1"/>
    <w:uiPriority w:val="9"/>
    <w:rsid w:val="008B607E"/>
    <w:rPr>
      <w:rFonts w:ascii="ITC Avant Garde Std Bk" w:eastAsiaTheme="majorEastAsia" w:hAnsi="ITC Avant Garde Std Bk" w:cstheme="majorBidi"/>
      <w:b/>
      <w:szCs w:val="32"/>
    </w:rPr>
  </w:style>
  <w:style w:type="table" w:styleId="Tablaconcuadrcula">
    <w:name w:val="Table Grid"/>
    <w:basedOn w:val="Tablanormal"/>
    <w:uiPriority w:val="59"/>
    <w:rsid w:val="0032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90C2E"/>
    <w:rPr>
      <w:rFonts w:ascii="ITC Avant Garde Std Bk" w:eastAsiaTheme="majorEastAsia" w:hAnsi="ITC Avant Garde Std Bk" w:cstheme="majorBidi"/>
      <w:b/>
      <w:szCs w:val="26"/>
    </w:rPr>
  </w:style>
  <w:style w:type="character" w:customStyle="1" w:styleId="Ttulo3Car">
    <w:name w:val="Título 3 Car"/>
    <w:basedOn w:val="Fuentedeprrafopredeter"/>
    <w:link w:val="Ttulo3"/>
    <w:uiPriority w:val="9"/>
    <w:rsid w:val="00290C2E"/>
    <w:rPr>
      <w:rFonts w:ascii="ITC Avant Garde Std Bk" w:eastAsiaTheme="majorEastAsia" w:hAnsi="ITC Avant Garde Std Bk" w:cstheme="majorBidi"/>
      <w:b/>
      <w:sz w:val="18"/>
      <w:szCs w:val="24"/>
    </w:rPr>
  </w:style>
  <w:style w:type="paragraph" w:customStyle="1" w:styleId="CABEZA">
    <w:name w:val="CABEZA"/>
    <w:basedOn w:val="Normal"/>
    <w:rsid w:val="00757108"/>
    <w:pPr>
      <w:spacing w:before="101" w:after="101"/>
      <w:jc w:val="center"/>
    </w:pPr>
    <w:rPr>
      <w:rFonts w:ascii="Times New Roman" w:eastAsia="Times New Roman" w:hAnsi="Times New Roman" w:cs="Arial"/>
      <w:b/>
      <w:sz w:val="28"/>
      <w:szCs w:val="28"/>
      <w:lang w:eastAsia="es-ES"/>
    </w:rPr>
  </w:style>
  <w:style w:type="paragraph" w:customStyle="1" w:styleId="INCISO">
    <w:name w:val="INCISO"/>
    <w:basedOn w:val="Normal"/>
    <w:rsid w:val="00757108"/>
    <w:pPr>
      <w:spacing w:after="101" w:line="216" w:lineRule="exact"/>
      <w:ind w:left="1296" w:hanging="576"/>
    </w:pPr>
    <w:rPr>
      <w:rFonts w:ascii="Arial" w:eastAsia="Times New Roman" w:hAnsi="Arial" w:cs="Arial"/>
      <w:sz w:val="18"/>
      <w:szCs w:val="18"/>
      <w:lang w:eastAsia="es-ES"/>
    </w:rPr>
  </w:style>
  <w:style w:type="paragraph" w:customStyle="1" w:styleId="Fechas">
    <w:name w:val="Fechas"/>
    <w:basedOn w:val="Texto"/>
    <w:rsid w:val="00757108"/>
    <w:pPr>
      <w:pBdr>
        <w:bottom w:val="double" w:sz="6" w:space="1" w:color="auto"/>
      </w:pBdr>
      <w:tabs>
        <w:tab w:val="center" w:pos="4464"/>
        <w:tab w:val="right" w:pos="8582"/>
      </w:tabs>
      <w:spacing w:line="240" w:lineRule="auto"/>
      <w:ind w:left="288" w:right="288" w:firstLine="0"/>
    </w:pPr>
    <w:rPr>
      <w:rFonts w:ascii="Times New Roman" w:hAnsi="Times New Roman"/>
      <w:szCs w:val="18"/>
      <w:lang w:val="es-MX" w:eastAsia="es-MX"/>
    </w:rPr>
  </w:style>
  <w:style w:type="paragraph" w:customStyle="1" w:styleId="SUBIN">
    <w:name w:val="SUBIN"/>
    <w:basedOn w:val="Texto"/>
    <w:rsid w:val="00757108"/>
    <w:pPr>
      <w:ind w:left="1987" w:hanging="720"/>
    </w:pPr>
    <w:rPr>
      <w:szCs w:val="18"/>
      <w:lang w:val="es-MX"/>
    </w:rPr>
  </w:style>
  <w:style w:type="paragraph" w:customStyle="1" w:styleId="Estilo1x">
    <w:name w:val="Estilo1x"/>
    <w:basedOn w:val="Texto"/>
    <w:rsid w:val="00757108"/>
    <w:pPr>
      <w:spacing w:before="20" w:after="20" w:line="240" w:lineRule="auto"/>
      <w:jc w:val="right"/>
    </w:pPr>
    <w:rPr>
      <w:b/>
      <w:sz w:val="16"/>
      <w:szCs w:val="16"/>
      <w:lang w:val="es-MX"/>
    </w:rPr>
  </w:style>
  <w:style w:type="paragraph" w:customStyle="1" w:styleId="Estilo1xx">
    <w:name w:val="Estilo1xx"/>
    <w:basedOn w:val="Texto"/>
    <w:rsid w:val="00757108"/>
    <w:pPr>
      <w:spacing w:before="20" w:after="20" w:line="240" w:lineRule="auto"/>
      <w:ind w:left="144" w:firstLine="0"/>
    </w:pPr>
    <w:rPr>
      <w:sz w:val="16"/>
      <w:szCs w:val="16"/>
      <w:lang w:val="es-MX"/>
    </w:rPr>
  </w:style>
  <w:style w:type="paragraph" w:customStyle="1" w:styleId="Titulo1">
    <w:name w:val="Titulo 1"/>
    <w:basedOn w:val="Texto"/>
    <w:rsid w:val="00757108"/>
    <w:pPr>
      <w:pBdr>
        <w:bottom w:val="single" w:sz="12" w:space="1" w:color="auto"/>
      </w:pBdr>
      <w:spacing w:after="0" w:line="240" w:lineRule="auto"/>
      <w:ind w:firstLine="0"/>
      <w:outlineLvl w:val="0"/>
    </w:pPr>
    <w:rPr>
      <w:rFonts w:ascii="Times New Roman" w:hAnsi="Times New Roman"/>
      <w:b/>
      <w:szCs w:val="18"/>
      <w:lang w:val="es-MX"/>
    </w:rPr>
  </w:style>
  <w:style w:type="paragraph" w:customStyle="1" w:styleId="Titulo2">
    <w:name w:val="Titulo 2"/>
    <w:basedOn w:val="Texto"/>
    <w:rsid w:val="00757108"/>
    <w:pPr>
      <w:pBdr>
        <w:top w:val="double" w:sz="6" w:space="1" w:color="auto"/>
      </w:pBdr>
      <w:spacing w:line="240" w:lineRule="auto"/>
      <w:ind w:firstLine="0"/>
      <w:outlineLvl w:val="1"/>
    </w:pPr>
    <w:rPr>
      <w:szCs w:val="18"/>
      <w:lang w:val="es-MX"/>
    </w:rPr>
  </w:style>
  <w:style w:type="paragraph" w:customStyle="1" w:styleId="Decreto">
    <w:name w:val="Decreto"/>
    <w:basedOn w:val="Normal"/>
    <w:rsid w:val="00757108"/>
    <w:rPr>
      <w:rFonts w:ascii="Courier" w:eastAsia="Times New Roman" w:hAnsi="Courier" w:cs="Courier"/>
      <w:sz w:val="24"/>
      <w:szCs w:val="20"/>
      <w:lang w:eastAsia="es-ES"/>
    </w:rPr>
  </w:style>
  <w:style w:type="paragraph" w:styleId="NormalWeb">
    <w:name w:val="Normal (Web)"/>
    <w:basedOn w:val="Normal"/>
    <w:rsid w:val="00757108"/>
    <w:pPr>
      <w:spacing w:before="100" w:after="100"/>
      <w:jc w:val="left"/>
    </w:pPr>
    <w:rPr>
      <w:rFonts w:ascii="Times New Roman" w:eastAsia="Times New Roman" w:hAnsi="Times New Roman" w:cs="Times New Roman"/>
      <w:color w:val="000000"/>
      <w:sz w:val="24"/>
      <w:szCs w:val="20"/>
      <w:lang w:eastAsia="es-ES"/>
    </w:rPr>
  </w:style>
  <w:style w:type="character" w:styleId="Nmerodepgina">
    <w:name w:val="page number"/>
    <w:basedOn w:val="Fuentedeprrafopredeter"/>
    <w:rsid w:val="00757108"/>
  </w:style>
  <w:style w:type="paragraph" w:styleId="Textosinformato">
    <w:name w:val="Plain Text"/>
    <w:basedOn w:val="Normal"/>
    <w:link w:val="TextosinformatoCar"/>
    <w:rsid w:val="00757108"/>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757108"/>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semiHidden/>
    <w:unhideWhenUsed/>
    <w:rsid w:val="00F250DE"/>
    <w:rPr>
      <w:color w:val="954F72" w:themeColor="followedHyperlink"/>
      <w:u w:val="single"/>
    </w:rPr>
  </w:style>
  <w:style w:type="paragraph" w:styleId="Revisin">
    <w:name w:val="Revision"/>
    <w:hidden/>
    <w:uiPriority w:val="99"/>
    <w:semiHidden/>
    <w:rsid w:val="0049794E"/>
    <w:pPr>
      <w:spacing w:after="0" w:line="240" w:lineRule="auto"/>
    </w:pPr>
    <w:rPr>
      <w:rFonts w:ascii="ITC Avant Garde Std Bk" w:hAnsi="ITC Avant Garde Std Bk"/>
      <w:sz w:val="20"/>
      <w:lang w:val="es-ES_tradnl"/>
    </w:rPr>
  </w:style>
  <w:style w:type="character" w:styleId="Refdecomentario">
    <w:name w:val="annotation reference"/>
    <w:basedOn w:val="Fuentedeprrafopredeter"/>
    <w:uiPriority w:val="99"/>
    <w:semiHidden/>
    <w:unhideWhenUsed/>
    <w:rsid w:val="00651814"/>
    <w:rPr>
      <w:sz w:val="16"/>
      <w:szCs w:val="16"/>
    </w:rPr>
  </w:style>
  <w:style w:type="paragraph" w:styleId="Textocomentario">
    <w:name w:val="annotation text"/>
    <w:basedOn w:val="Normal"/>
    <w:link w:val="TextocomentarioCar"/>
    <w:uiPriority w:val="99"/>
    <w:unhideWhenUsed/>
    <w:rsid w:val="00651814"/>
    <w:rPr>
      <w:szCs w:val="20"/>
    </w:rPr>
  </w:style>
  <w:style w:type="character" w:customStyle="1" w:styleId="TextocomentarioCar">
    <w:name w:val="Texto comentario Car"/>
    <w:basedOn w:val="Fuentedeprrafopredeter"/>
    <w:link w:val="Textocomentario"/>
    <w:uiPriority w:val="99"/>
    <w:rsid w:val="00651814"/>
    <w:rPr>
      <w:rFonts w:ascii="ITC Avant Garde Std Bk" w:hAnsi="ITC Avant Garde Std Bk"/>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51814"/>
    <w:rPr>
      <w:b/>
      <w:bCs/>
    </w:rPr>
  </w:style>
  <w:style w:type="character" w:customStyle="1" w:styleId="AsuntodelcomentarioCar">
    <w:name w:val="Asunto del comentario Car"/>
    <w:basedOn w:val="TextocomentarioCar"/>
    <w:link w:val="Asuntodelcomentario"/>
    <w:uiPriority w:val="99"/>
    <w:semiHidden/>
    <w:rsid w:val="00651814"/>
    <w:rPr>
      <w:rFonts w:ascii="ITC Avant Garde Std Bk" w:hAnsi="ITC Avant Garde Std Bk"/>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8240">
      <w:bodyDiv w:val="1"/>
      <w:marLeft w:val="0"/>
      <w:marRight w:val="0"/>
      <w:marTop w:val="0"/>
      <w:marBottom w:val="0"/>
      <w:divBdr>
        <w:top w:val="none" w:sz="0" w:space="0" w:color="auto"/>
        <w:left w:val="none" w:sz="0" w:space="0" w:color="auto"/>
        <w:bottom w:val="none" w:sz="0" w:space="0" w:color="auto"/>
        <w:right w:val="none" w:sz="0" w:space="0" w:color="auto"/>
      </w:divBdr>
      <w:divsChild>
        <w:div w:id="1765416364">
          <w:marLeft w:val="0"/>
          <w:marRight w:val="0"/>
          <w:marTop w:val="0"/>
          <w:marBottom w:val="65"/>
          <w:divBdr>
            <w:top w:val="none" w:sz="0" w:space="0" w:color="auto"/>
            <w:left w:val="none" w:sz="0" w:space="0" w:color="auto"/>
            <w:bottom w:val="none" w:sz="0" w:space="0" w:color="auto"/>
            <w:right w:val="none" w:sz="0" w:space="0" w:color="auto"/>
          </w:divBdr>
        </w:div>
        <w:div w:id="1431775915">
          <w:marLeft w:val="0"/>
          <w:marRight w:val="0"/>
          <w:marTop w:val="0"/>
          <w:marBottom w:val="65"/>
          <w:divBdr>
            <w:top w:val="none" w:sz="0" w:space="0" w:color="auto"/>
            <w:left w:val="none" w:sz="0" w:space="0" w:color="auto"/>
            <w:bottom w:val="none" w:sz="0" w:space="0" w:color="auto"/>
            <w:right w:val="none" w:sz="0" w:space="0" w:color="auto"/>
          </w:divBdr>
        </w:div>
        <w:div w:id="1905796866">
          <w:marLeft w:val="0"/>
          <w:marRight w:val="0"/>
          <w:marTop w:val="0"/>
          <w:marBottom w:val="65"/>
          <w:divBdr>
            <w:top w:val="none" w:sz="0" w:space="0" w:color="auto"/>
            <w:left w:val="none" w:sz="0" w:space="0" w:color="auto"/>
            <w:bottom w:val="none" w:sz="0" w:space="0" w:color="auto"/>
            <w:right w:val="none" w:sz="0" w:space="0" w:color="auto"/>
          </w:divBdr>
        </w:div>
        <w:div w:id="447090722">
          <w:marLeft w:val="0"/>
          <w:marRight w:val="0"/>
          <w:marTop w:val="0"/>
          <w:marBottom w:val="65"/>
          <w:divBdr>
            <w:top w:val="none" w:sz="0" w:space="0" w:color="auto"/>
            <w:left w:val="none" w:sz="0" w:space="0" w:color="auto"/>
            <w:bottom w:val="none" w:sz="0" w:space="0" w:color="auto"/>
            <w:right w:val="none" w:sz="0" w:space="0" w:color="auto"/>
          </w:divBdr>
        </w:div>
        <w:div w:id="1668898729">
          <w:marLeft w:val="0"/>
          <w:marRight w:val="0"/>
          <w:marTop w:val="0"/>
          <w:marBottom w:val="65"/>
          <w:divBdr>
            <w:top w:val="none" w:sz="0" w:space="0" w:color="auto"/>
            <w:left w:val="none" w:sz="0" w:space="0" w:color="auto"/>
            <w:bottom w:val="none" w:sz="0" w:space="0" w:color="auto"/>
            <w:right w:val="none" w:sz="0" w:space="0" w:color="auto"/>
          </w:divBdr>
        </w:div>
        <w:div w:id="196358776">
          <w:marLeft w:val="0"/>
          <w:marRight w:val="0"/>
          <w:marTop w:val="0"/>
          <w:marBottom w:val="65"/>
          <w:divBdr>
            <w:top w:val="none" w:sz="0" w:space="0" w:color="auto"/>
            <w:left w:val="none" w:sz="0" w:space="0" w:color="auto"/>
            <w:bottom w:val="none" w:sz="0" w:space="0" w:color="auto"/>
            <w:right w:val="none" w:sz="0" w:space="0" w:color="auto"/>
          </w:divBdr>
        </w:div>
        <w:div w:id="811945935">
          <w:marLeft w:val="0"/>
          <w:marRight w:val="0"/>
          <w:marTop w:val="0"/>
          <w:marBottom w:val="65"/>
          <w:divBdr>
            <w:top w:val="none" w:sz="0" w:space="0" w:color="auto"/>
            <w:left w:val="none" w:sz="0" w:space="0" w:color="auto"/>
            <w:bottom w:val="none" w:sz="0" w:space="0" w:color="auto"/>
            <w:right w:val="none" w:sz="0" w:space="0" w:color="auto"/>
          </w:divBdr>
        </w:div>
        <w:div w:id="1699546819">
          <w:marLeft w:val="0"/>
          <w:marRight w:val="0"/>
          <w:marTop w:val="0"/>
          <w:marBottom w:val="65"/>
          <w:divBdr>
            <w:top w:val="none" w:sz="0" w:space="0" w:color="auto"/>
            <w:left w:val="none" w:sz="0" w:space="0" w:color="auto"/>
            <w:bottom w:val="none" w:sz="0" w:space="0" w:color="auto"/>
            <w:right w:val="none" w:sz="0" w:space="0" w:color="auto"/>
          </w:divBdr>
        </w:div>
        <w:div w:id="1918979890">
          <w:marLeft w:val="0"/>
          <w:marRight w:val="0"/>
          <w:marTop w:val="0"/>
          <w:marBottom w:val="65"/>
          <w:divBdr>
            <w:top w:val="none" w:sz="0" w:space="0" w:color="auto"/>
            <w:left w:val="none" w:sz="0" w:space="0" w:color="auto"/>
            <w:bottom w:val="none" w:sz="0" w:space="0" w:color="auto"/>
            <w:right w:val="none" w:sz="0" w:space="0" w:color="auto"/>
          </w:divBdr>
        </w:div>
        <w:div w:id="1902673128">
          <w:marLeft w:val="0"/>
          <w:marRight w:val="0"/>
          <w:marTop w:val="0"/>
          <w:marBottom w:val="65"/>
          <w:divBdr>
            <w:top w:val="none" w:sz="0" w:space="0" w:color="auto"/>
            <w:left w:val="none" w:sz="0" w:space="0" w:color="auto"/>
            <w:bottom w:val="none" w:sz="0" w:space="0" w:color="auto"/>
            <w:right w:val="none" w:sz="0" w:space="0" w:color="auto"/>
          </w:divBdr>
        </w:div>
        <w:div w:id="163710120">
          <w:marLeft w:val="0"/>
          <w:marRight w:val="0"/>
          <w:marTop w:val="0"/>
          <w:marBottom w:val="65"/>
          <w:divBdr>
            <w:top w:val="none" w:sz="0" w:space="0" w:color="auto"/>
            <w:left w:val="none" w:sz="0" w:space="0" w:color="auto"/>
            <w:bottom w:val="none" w:sz="0" w:space="0" w:color="auto"/>
            <w:right w:val="none" w:sz="0" w:space="0" w:color="auto"/>
          </w:divBdr>
        </w:div>
        <w:div w:id="1020856332">
          <w:marLeft w:val="0"/>
          <w:marRight w:val="0"/>
          <w:marTop w:val="0"/>
          <w:marBottom w:val="65"/>
          <w:divBdr>
            <w:top w:val="none" w:sz="0" w:space="0" w:color="auto"/>
            <w:left w:val="none" w:sz="0" w:space="0" w:color="auto"/>
            <w:bottom w:val="none" w:sz="0" w:space="0" w:color="auto"/>
            <w:right w:val="none" w:sz="0" w:space="0" w:color="auto"/>
          </w:divBdr>
        </w:div>
        <w:div w:id="801772645">
          <w:marLeft w:val="0"/>
          <w:marRight w:val="0"/>
          <w:marTop w:val="0"/>
          <w:marBottom w:val="65"/>
          <w:divBdr>
            <w:top w:val="none" w:sz="0" w:space="0" w:color="auto"/>
            <w:left w:val="none" w:sz="0" w:space="0" w:color="auto"/>
            <w:bottom w:val="none" w:sz="0" w:space="0" w:color="auto"/>
            <w:right w:val="none" w:sz="0" w:space="0" w:color="auto"/>
          </w:divBdr>
        </w:div>
        <w:div w:id="2136099804">
          <w:marLeft w:val="0"/>
          <w:marRight w:val="0"/>
          <w:marTop w:val="0"/>
          <w:marBottom w:val="65"/>
          <w:divBdr>
            <w:top w:val="none" w:sz="0" w:space="0" w:color="auto"/>
            <w:left w:val="none" w:sz="0" w:space="0" w:color="auto"/>
            <w:bottom w:val="none" w:sz="0" w:space="0" w:color="auto"/>
            <w:right w:val="none" w:sz="0" w:space="0" w:color="auto"/>
          </w:divBdr>
        </w:div>
        <w:div w:id="1564871580">
          <w:marLeft w:val="0"/>
          <w:marRight w:val="0"/>
          <w:marTop w:val="0"/>
          <w:marBottom w:val="65"/>
          <w:divBdr>
            <w:top w:val="none" w:sz="0" w:space="0" w:color="auto"/>
            <w:left w:val="none" w:sz="0" w:space="0" w:color="auto"/>
            <w:bottom w:val="none" w:sz="0" w:space="0" w:color="auto"/>
            <w:right w:val="none" w:sz="0" w:space="0" w:color="auto"/>
          </w:divBdr>
        </w:div>
        <w:div w:id="1842040374">
          <w:marLeft w:val="0"/>
          <w:marRight w:val="0"/>
          <w:marTop w:val="0"/>
          <w:marBottom w:val="65"/>
          <w:divBdr>
            <w:top w:val="none" w:sz="0" w:space="0" w:color="auto"/>
            <w:left w:val="none" w:sz="0" w:space="0" w:color="auto"/>
            <w:bottom w:val="none" w:sz="0" w:space="0" w:color="auto"/>
            <w:right w:val="none" w:sz="0" w:space="0" w:color="auto"/>
          </w:divBdr>
        </w:div>
        <w:div w:id="511651528">
          <w:marLeft w:val="0"/>
          <w:marRight w:val="0"/>
          <w:marTop w:val="0"/>
          <w:marBottom w:val="65"/>
          <w:divBdr>
            <w:top w:val="none" w:sz="0" w:space="0" w:color="auto"/>
            <w:left w:val="none" w:sz="0" w:space="0" w:color="auto"/>
            <w:bottom w:val="none" w:sz="0" w:space="0" w:color="auto"/>
            <w:right w:val="none" w:sz="0" w:space="0" w:color="auto"/>
          </w:divBdr>
        </w:div>
        <w:div w:id="953243873">
          <w:marLeft w:val="0"/>
          <w:marRight w:val="0"/>
          <w:marTop w:val="0"/>
          <w:marBottom w:val="65"/>
          <w:divBdr>
            <w:top w:val="none" w:sz="0" w:space="0" w:color="auto"/>
            <w:left w:val="none" w:sz="0" w:space="0" w:color="auto"/>
            <w:bottom w:val="none" w:sz="0" w:space="0" w:color="auto"/>
            <w:right w:val="none" w:sz="0" w:space="0" w:color="auto"/>
          </w:divBdr>
        </w:div>
        <w:div w:id="1364866191">
          <w:marLeft w:val="0"/>
          <w:marRight w:val="0"/>
          <w:marTop w:val="0"/>
          <w:marBottom w:val="65"/>
          <w:divBdr>
            <w:top w:val="none" w:sz="0" w:space="0" w:color="auto"/>
            <w:left w:val="none" w:sz="0" w:space="0" w:color="auto"/>
            <w:bottom w:val="none" w:sz="0" w:space="0" w:color="auto"/>
            <w:right w:val="none" w:sz="0" w:space="0" w:color="auto"/>
          </w:divBdr>
        </w:div>
        <w:div w:id="1693264271">
          <w:marLeft w:val="0"/>
          <w:marRight w:val="0"/>
          <w:marTop w:val="0"/>
          <w:marBottom w:val="65"/>
          <w:divBdr>
            <w:top w:val="none" w:sz="0" w:space="0" w:color="auto"/>
            <w:left w:val="none" w:sz="0" w:space="0" w:color="auto"/>
            <w:bottom w:val="none" w:sz="0" w:space="0" w:color="auto"/>
            <w:right w:val="none" w:sz="0" w:space="0" w:color="auto"/>
          </w:divBdr>
        </w:div>
        <w:div w:id="1554078847">
          <w:marLeft w:val="0"/>
          <w:marRight w:val="0"/>
          <w:marTop w:val="0"/>
          <w:marBottom w:val="65"/>
          <w:divBdr>
            <w:top w:val="none" w:sz="0" w:space="0" w:color="auto"/>
            <w:left w:val="none" w:sz="0" w:space="0" w:color="auto"/>
            <w:bottom w:val="none" w:sz="0" w:space="0" w:color="auto"/>
            <w:right w:val="none" w:sz="0" w:space="0" w:color="auto"/>
          </w:divBdr>
        </w:div>
        <w:div w:id="285435267">
          <w:marLeft w:val="0"/>
          <w:marRight w:val="0"/>
          <w:marTop w:val="0"/>
          <w:marBottom w:val="65"/>
          <w:divBdr>
            <w:top w:val="none" w:sz="0" w:space="0" w:color="auto"/>
            <w:left w:val="none" w:sz="0" w:space="0" w:color="auto"/>
            <w:bottom w:val="none" w:sz="0" w:space="0" w:color="auto"/>
            <w:right w:val="none" w:sz="0" w:space="0" w:color="auto"/>
          </w:divBdr>
        </w:div>
        <w:div w:id="2106071866">
          <w:marLeft w:val="0"/>
          <w:marRight w:val="0"/>
          <w:marTop w:val="0"/>
          <w:marBottom w:val="65"/>
          <w:divBdr>
            <w:top w:val="none" w:sz="0" w:space="0" w:color="auto"/>
            <w:left w:val="none" w:sz="0" w:space="0" w:color="auto"/>
            <w:bottom w:val="none" w:sz="0" w:space="0" w:color="auto"/>
            <w:right w:val="none" w:sz="0" w:space="0" w:color="auto"/>
          </w:divBdr>
        </w:div>
      </w:divsChild>
    </w:div>
    <w:div w:id="374427333">
      <w:bodyDiv w:val="1"/>
      <w:marLeft w:val="0"/>
      <w:marRight w:val="0"/>
      <w:marTop w:val="0"/>
      <w:marBottom w:val="0"/>
      <w:divBdr>
        <w:top w:val="none" w:sz="0" w:space="0" w:color="auto"/>
        <w:left w:val="none" w:sz="0" w:space="0" w:color="auto"/>
        <w:bottom w:val="none" w:sz="0" w:space="0" w:color="auto"/>
        <w:right w:val="none" w:sz="0" w:space="0" w:color="auto"/>
      </w:divBdr>
      <w:divsChild>
        <w:div w:id="1204828381">
          <w:marLeft w:val="0"/>
          <w:marRight w:val="0"/>
          <w:marTop w:val="0"/>
          <w:marBottom w:val="101"/>
          <w:divBdr>
            <w:top w:val="none" w:sz="0" w:space="0" w:color="auto"/>
            <w:left w:val="none" w:sz="0" w:space="0" w:color="auto"/>
            <w:bottom w:val="none" w:sz="0" w:space="0" w:color="auto"/>
            <w:right w:val="none" w:sz="0" w:space="0" w:color="auto"/>
          </w:divBdr>
        </w:div>
        <w:div w:id="541282194">
          <w:marLeft w:val="0"/>
          <w:marRight w:val="0"/>
          <w:marTop w:val="0"/>
          <w:marBottom w:val="101"/>
          <w:divBdr>
            <w:top w:val="none" w:sz="0" w:space="0" w:color="auto"/>
            <w:left w:val="none" w:sz="0" w:space="0" w:color="auto"/>
            <w:bottom w:val="none" w:sz="0" w:space="0" w:color="auto"/>
            <w:right w:val="none" w:sz="0" w:space="0" w:color="auto"/>
          </w:divBdr>
        </w:div>
        <w:div w:id="1032459386">
          <w:marLeft w:val="0"/>
          <w:marRight w:val="0"/>
          <w:marTop w:val="0"/>
          <w:marBottom w:val="101"/>
          <w:divBdr>
            <w:top w:val="none" w:sz="0" w:space="0" w:color="auto"/>
            <w:left w:val="none" w:sz="0" w:space="0" w:color="auto"/>
            <w:bottom w:val="none" w:sz="0" w:space="0" w:color="auto"/>
            <w:right w:val="none" w:sz="0" w:space="0" w:color="auto"/>
          </w:divBdr>
        </w:div>
        <w:div w:id="411701308">
          <w:marLeft w:val="0"/>
          <w:marRight w:val="0"/>
          <w:marTop w:val="0"/>
          <w:marBottom w:val="101"/>
          <w:divBdr>
            <w:top w:val="none" w:sz="0" w:space="0" w:color="auto"/>
            <w:left w:val="none" w:sz="0" w:space="0" w:color="auto"/>
            <w:bottom w:val="none" w:sz="0" w:space="0" w:color="auto"/>
            <w:right w:val="none" w:sz="0" w:space="0" w:color="auto"/>
          </w:divBdr>
        </w:div>
        <w:div w:id="1302075723">
          <w:marLeft w:val="0"/>
          <w:marRight w:val="0"/>
          <w:marTop w:val="0"/>
          <w:marBottom w:val="101"/>
          <w:divBdr>
            <w:top w:val="none" w:sz="0" w:space="0" w:color="auto"/>
            <w:left w:val="none" w:sz="0" w:space="0" w:color="auto"/>
            <w:bottom w:val="none" w:sz="0" w:space="0" w:color="auto"/>
            <w:right w:val="none" w:sz="0" w:space="0" w:color="auto"/>
          </w:divBdr>
        </w:div>
        <w:div w:id="1726101355">
          <w:marLeft w:val="0"/>
          <w:marRight w:val="0"/>
          <w:marTop w:val="0"/>
          <w:marBottom w:val="101"/>
          <w:divBdr>
            <w:top w:val="none" w:sz="0" w:space="0" w:color="auto"/>
            <w:left w:val="none" w:sz="0" w:space="0" w:color="auto"/>
            <w:bottom w:val="none" w:sz="0" w:space="0" w:color="auto"/>
            <w:right w:val="none" w:sz="0" w:space="0" w:color="auto"/>
          </w:divBdr>
        </w:div>
      </w:divsChild>
    </w:div>
    <w:div w:id="891965151">
      <w:bodyDiv w:val="1"/>
      <w:marLeft w:val="0"/>
      <w:marRight w:val="0"/>
      <w:marTop w:val="0"/>
      <w:marBottom w:val="0"/>
      <w:divBdr>
        <w:top w:val="none" w:sz="0" w:space="0" w:color="auto"/>
        <w:left w:val="none" w:sz="0" w:space="0" w:color="auto"/>
        <w:bottom w:val="none" w:sz="0" w:space="0" w:color="auto"/>
        <w:right w:val="none" w:sz="0" w:space="0" w:color="auto"/>
      </w:divBdr>
      <w:divsChild>
        <w:div w:id="261113906">
          <w:marLeft w:val="0"/>
          <w:marRight w:val="0"/>
          <w:marTop w:val="0"/>
          <w:marBottom w:val="65"/>
          <w:divBdr>
            <w:top w:val="none" w:sz="0" w:space="0" w:color="auto"/>
            <w:left w:val="none" w:sz="0" w:space="0" w:color="auto"/>
            <w:bottom w:val="none" w:sz="0" w:space="0" w:color="auto"/>
            <w:right w:val="none" w:sz="0" w:space="0" w:color="auto"/>
          </w:divBdr>
        </w:div>
        <w:div w:id="1207911603">
          <w:marLeft w:val="0"/>
          <w:marRight w:val="0"/>
          <w:marTop w:val="0"/>
          <w:marBottom w:val="65"/>
          <w:divBdr>
            <w:top w:val="none" w:sz="0" w:space="0" w:color="auto"/>
            <w:left w:val="none" w:sz="0" w:space="0" w:color="auto"/>
            <w:bottom w:val="none" w:sz="0" w:space="0" w:color="auto"/>
            <w:right w:val="none" w:sz="0" w:space="0" w:color="auto"/>
          </w:divBdr>
        </w:div>
        <w:div w:id="642391744">
          <w:marLeft w:val="0"/>
          <w:marRight w:val="0"/>
          <w:marTop w:val="0"/>
          <w:marBottom w:val="65"/>
          <w:divBdr>
            <w:top w:val="none" w:sz="0" w:space="0" w:color="auto"/>
            <w:left w:val="none" w:sz="0" w:space="0" w:color="auto"/>
            <w:bottom w:val="none" w:sz="0" w:space="0" w:color="auto"/>
            <w:right w:val="none" w:sz="0" w:space="0" w:color="auto"/>
          </w:divBdr>
        </w:div>
        <w:div w:id="1173953066">
          <w:marLeft w:val="0"/>
          <w:marRight w:val="0"/>
          <w:marTop w:val="0"/>
          <w:marBottom w:val="65"/>
          <w:divBdr>
            <w:top w:val="none" w:sz="0" w:space="0" w:color="auto"/>
            <w:left w:val="none" w:sz="0" w:space="0" w:color="auto"/>
            <w:bottom w:val="none" w:sz="0" w:space="0" w:color="auto"/>
            <w:right w:val="none" w:sz="0" w:space="0" w:color="auto"/>
          </w:divBdr>
        </w:div>
        <w:div w:id="1040477174">
          <w:marLeft w:val="0"/>
          <w:marRight w:val="0"/>
          <w:marTop w:val="0"/>
          <w:marBottom w:val="65"/>
          <w:divBdr>
            <w:top w:val="none" w:sz="0" w:space="0" w:color="auto"/>
            <w:left w:val="none" w:sz="0" w:space="0" w:color="auto"/>
            <w:bottom w:val="none" w:sz="0" w:space="0" w:color="auto"/>
            <w:right w:val="none" w:sz="0" w:space="0" w:color="auto"/>
          </w:divBdr>
        </w:div>
        <w:div w:id="1426221847">
          <w:marLeft w:val="0"/>
          <w:marRight w:val="0"/>
          <w:marTop w:val="0"/>
          <w:marBottom w:val="65"/>
          <w:divBdr>
            <w:top w:val="none" w:sz="0" w:space="0" w:color="auto"/>
            <w:left w:val="none" w:sz="0" w:space="0" w:color="auto"/>
            <w:bottom w:val="none" w:sz="0" w:space="0" w:color="auto"/>
            <w:right w:val="none" w:sz="0" w:space="0" w:color="auto"/>
          </w:divBdr>
        </w:div>
        <w:div w:id="1026711848">
          <w:marLeft w:val="0"/>
          <w:marRight w:val="0"/>
          <w:marTop w:val="0"/>
          <w:marBottom w:val="65"/>
          <w:divBdr>
            <w:top w:val="none" w:sz="0" w:space="0" w:color="auto"/>
            <w:left w:val="none" w:sz="0" w:space="0" w:color="auto"/>
            <w:bottom w:val="none" w:sz="0" w:space="0" w:color="auto"/>
            <w:right w:val="none" w:sz="0" w:space="0" w:color="auto"/>
          </w:divBdr>
        </w:div>
        <w:div w:id="1487437767">
          <w:marLeft w:val="0"/>
          <w:marRight w:val="0"/>
          <w:marTop w:val="0"/>
          <w:marBottom w:val="65"/>
          <w:divBdr>
            <w:top w:val="none" w:sz="0" w:space="0" w:color="auto"/>
            <w:left w:val="none" w:sz="0" w:space="0" w:color="auto"/>
            <w:bottom w:val="none" w:sz="0" w:space="0" w:color="auto"/>
            <w:right w:val="none" w:sz="0" w:space="0" w:color="auto"/>
          </w:divBdr>
        </w:div>
        <w:div w:id="672299682">
          <w:marLeft w:val="0"/>
          <w:marRight w:val="0"/>
          <w:marTop w:val="0"/>
          <w:marBottom w:val="65"/>
          <w:divBdr>
            <w:top w:val="none" w:sz="0" w:space="0" w:color="auto"/>
            <w:left w:val="none" w:sz="0" w:space="0" w:color="auto"/>
            <w:bottom w:val="none" w:sz="0" w:space="0" w:color="auto"/>
            <w:right w:val="none" w:sz="0" w:space="0" w:color="auto"/>
          </w:divBdr>
        </w:div>
        <w:div w:id="1112868280">
          <w:marLeft w:val="0"/>
          <w:marRight w:val="0"/>
          <w:marTop w:val="0"/>
          <w:marBottom w:val="65"/>
          <w:divBdr>
            <w:top w:val="none" w:sz="0" w:space="0" w:color="auto"/>
            <w:left w:val="none" w:sz="0" w:space="0" w:color="auto"/>
            <w:bottom w:val="none" w:sz="0" w:space="0" w:color="auto"/>
            <w:right w:val="none" w:sz="0" w:space="0" w:color="auto"/>
          </w:divBdr>
        </w:div>
        <w:div w:id="1537933789">
          <w:marLeft w:val="0"/>
          <w:marRight w:val="0"/>
          <w:marTop w:val="0"/>
          <w:marBottom w:val="65"/>
          <w:divBdr>
            <w:top w:val="none" w:sz="0" w:space="0" w:color="auto"/>
            <w:left w:val="none" w:sz="0" w:space="0" w:color="auto"/>
            <w:bottom w:val="none" w:sz="0" w:space="0" w:color="auto"/>
            <w:right w:val="none" w:sz="0" w:space="0" w:color="auto"/>
          </w:divBdr>
        </w:div>
        <w:div w:id="2044672389">
          <w:marLeft w:val="0"/>
          <w:marRight w:val="0"/>
          <w:marTop w:val="0"/>
          <w:marBottom w:val="65"/>
          <w:divBdr>
            <w:top w:val="none" w:sz="0" w:space="0" w:color="auto"/>
            <w:left w:val="none" w:sz="0" w:space="0" w:color="auto"/>
            <w:bottom w:val="none" w:sz="0" w:space="0" w:color="auto"/>
            <w:right w:val="none" w:sz="0" w:space="0" w:color="auto"/>
          </w:divBdr>
        </w:div>
        <w:div w:id="1050032245">
          <w:marLeft w:val="0"/>
          <w:marRight w:val="0"/>
          <w:marTop w:val="0"/>
          <w:marBottom w:val="65"/>
          <w:divBdr>
            <w:top w:val="none" w:sz="0" w:space="0" w:color="auto"/>
            <w:left w:val="none" w:sz="0" w:space="0" w:color="auto"/>
            <w:bottom w:val="none" w:sz="0" w:space="0" w:color="auto"/>
            <w:right w:val="none" w:sz="0" w:space="0" w:color="auto"/>
          </w:divBdr>
        </w:div>
        <w:div w:id="2012491004">
          <w:marLeft w:val="0"/>
          <w:marRight w:val="0"/>
          <w:marTop w:val="0"/>
          <w:marBottom w:val="65"/>
          <w:divBdr>
            <w:top w:val="none" w:sz="0" w:space="0" w:color="auto"/>
            <w:left w:val="none" w:sz="0" w:space="0" w:color="auto"/>
            <w:bottom w:val="none" w:sz="0" w:space="0" w:color="auto"/>
            <w:right w:val="none" w:sz="0" w:space="0" w:color="auto"/>
          </w:divBdr>
        </w:div>
        <w:div w:id="1402829231">
          <w:marLeft w:val="0"/>
          <w:marRight w:val="0"/>
          <w:marTop w:val="0"/>
          <w:marBottom w:val="65"/>
          <w:divBdr>
            <w:top w:val="none" w:sz="0" w:space="0" w:color="auto"/>
            <w:left w:val="none" w:sz="0" w:space="0" w:color="auto"/>
            <w:bottom w:val="none" w:sz="0" w:space="0" w:color="auto"/>
            <w:right w:val="none" w:sz="0" w:space="0" w:color="auto"/>
          </w:divBdr>
        </w:div>
        <w:div w:id="1239091554">
          <w:marLeft w:val="0"/>
          <w:marRight w:val="0"/>
          <w:marTop w:val="0"/>
          <w:marBottom w:val="65"/>
          <w:divBdr>
            <w:top w:val="none" w:sz="0" w:space="0" w:color="auto"/>
            <w:left w:val="none" w:sz="0" w:space="0" w:color="auto"/>
            <w:bottom w:val="none" w:sz="0" w:space="0" w:color="auto"/>
            <w:right w:val="none" w:sz="0" w:space="0" w:color="auto"/>
          </w:divBdr>
        </w:div>
        <w:div w:id="236718728">
          <w:marLeft w:val="0"/>
          <w:marRight w:val="0"/>
          <w:marTop w:val="0"/>
          <w:marBottom w:val="65"/>
          <w:divBdr>
            <w:top w:val="none" w:sz="0" w:space="0" w:color="auto"/>
            <w:left w:val="none" w:sz="0" w:space="0" w:color="auto"/>
            <w:bottom w:val="none" w:sz="0" w:space="0" w:color="auto"/>
            <w:right w:val="none" w:sz="0" w:space="0" w:color="auto"/>
          </w:divBdr>
        </w:div>
        <w:div w:id="502934499">
          <w:marLeft w:val="0"/>
          <w:marRight w:val="0"/>
          <w:marTop w:val="0"/>
          <w:marBottom w:val="65"/>
          <w:divBdr>
            <w:top w:val="none" w:sz="0" w:space="0" w:color="auto"/>
            <w:left w:val="none" w:sz="0" w:space="0" w:color="auto"/>
            <w:bottom w:val="none" w:sz="0" w:space="0" w:color="auto"/>
            <w:right w:val="none" w:sz="0" w:space="0" w:color="auto"/>
          </w:divBdr>
        </w:div>
        <w:div w:id="2021472218">
          <w:marLeft w:val="0"/>
          <w:marRight w:val="0"/>
          <w:marTop w:val="0"/>
          <w:marBottom w:val="65"/>
          <w:divBdr>
            <w:top w:val="none" w:sz="0" w:space="0" w:color="auto"/>
            <w:left w:val="none" w:sz="0" w:space="0" w:color="auto"/>
            <w:bottom w:val="none" w:sz="0" w:space="0" w:color="auto"/>
            <w:right w:val="none" w:sz="0" w:space="0" w:color="auto"/>
          </w:divBdr>
        </w:div>
      </w:divsChild>
    </w:div>
    <w:div w:id="1178157018">
      <w:bodyDiv w:val="1"/>
      <w:marLeft w:val="0"/>
      <w:marRight w:val="0"/>
      <w:marTop w:val="0"/>
      <w:marBottom w:val="0"/>
      <w:divBdr>
        <w:top w:val="none" w:sz="0" w:space="0" w:color="auto"/>
        <w:left w:val="none" w:sz="0" w:space="0" w:color="auto"/>
        <w:bottom w:val="none" w:sz="0" w:space="0" w:color="auto"/>
        <w:right w:val="none" w:sz="0" w:space="0" w:color="auto"/>
      </w:divBdr>
      <w:divsChild>
        <w:div w:id="1566066916">
          <w:marLeft w:val="0"/>
          <w:marRight w:val="0"/>
          <w:marTop w:val="0"/>
          <w:marBottom w:val="101"/>
          <w:divBdr>
            <w:top w:val="none" w:sz="0" w:space="0" w:color="auto"/>
            <w:left w:val="none" w:sz="0" w:space="0" w:color="auto"/>
            <w:bottom w:val="none" w:sz="0" w:space="0" w:color="auto"/>
            <w:right w:val="none" w:sz="0" w:space="0" w:color="auto"/>
          </w:divBdr>
        </w:div>
        <w:div w:id="1878010427">
          <w:marLeft w:val="0"/>
          <w:marRight w:val="0"/>
          <w:marTop w:val="0"/>
          <w:marBottom w:val="101"/>
          <w:divBdr>
            <w:top w:val="none" w:sz="0" w:space="0" w:color="auto"/>
            <w:left w:val="none" w:sz="0" w:space="0" w:color="auto"/>
            <w:bottom w:val="none" w:sz="0" w:space="0" w:color="auto"/>
            <w:right w:val="none" w:sz="0" w:space="0" w:color="auto"/>
          </w:divBdr>
        </w:div>
        <w:div w:id="661278900">
          <w:marLeft w:val="0"/>
          <w:marRight w:val="0"/>
          <w:marTop w:val="0"/>
          <w:marBottom w:val="101"/>
          <w:divBdr>
            <w:top w:val="none" w:sz="0" w:space="0" w:color="auto"/>
            <w:left w:val="none" w:sz="0" w:space="0" w:color="auto"/>
            <w:bottom w:val="none" w:sz="0" w:space="0" w:color="auto"/>
            <w:right w:val="none" w:sz="0" w:space="0" w:color="auto"/>
          </w:divBdr>
        </w:div>
        <w:div w:id="924801963">
          <w:marLeft w:val="0"/>
          <w:marRight w:val="0"/>
          <w:marTop w:val="0"/>
          <w:marBottom w:val="101"/>
          <w:divBdr>
            <w:top w:val="none" w:sz="0" w:space="0" w:color="auto"/>
            <w:left w:val="none" w:sz="0" w:space="0" w:color="auto"/>
            <w:bottom w:val="none" w:sz="0" w:space="0" w:color="auto"/>
            <w:right w:val="none" w:sz="0" w:space="0" w:color="auto"/>
          </w:divBdr>
        </w:div>
        <w:div w:id="1693258836">
          <w:marLeft w:val="0"/>
          <w:marRight w:val="0"/>
          <w:marTop w:val="0"/>
          <w:marBottom w:val="101"/>
          <w:divBdr>
            <w:top w:val="none" w:sz="0" w:space="0" w:color="auto"/>
            <w:left w:val="none" w:sz="0" w:space="0" w:color="auto"/>
            <w:bottom w:val="none" w:sz="0" w:space="0" w:color="auto"/>
            <w:right w:val="none" w:sz="0" w:space="0" w:color="auto"/>
          </w:divBdr>
        </w:div>
        <w:div w:id="1829663777">
          <w:marLeft w:val="0"/>
          <w:marRight w:val="0"/>
          <w:marTop w:val="0"/>
          <w:marBottom w:val="101"/>
          <w:divBdr>
            <w:top w:val="none" w:sz="0" w:space="0" w:color="auto"/>
            <w:left w:val="none" w:sz="0" w:space="0" w:color="auto"/>
            <w:bottom w:val="none" w:sz="0" w:space="0" w:color="auto"/>
            <w:right w:val="none" w:sz="0" w:space="0" w:color="auto"/>
          </w:divBdr>
        </w:div>
      </w:divsChild>
    </w:div>
    <w:div w:id="2027321591">
      <w:bodyDiv w:val="1"/>
      <w:marLeft w:val="0"/>
      <w:marRight w:val="0"/>
      <w:marTop w:val="0"/>
      <w:marBottom w:val="0"/>
      <w:divBdr>
        <w:top w:val="none" w:sz="0" w:space="0" w:color="auto"/>
        <w:left w:val="none" w:sz="0" w:space="0" w:color="auto"/>
        <w:bottom w:val="none" w:sz="0" w:space="0" w:color="auto"/>
        <w:right w:val="none" w:sz="0" w:space="0" w:color="auto"/>
      </w:divBdr>
      <w:divsChild>
        <w:div w:id="132992661">
          <w:marLeft w:val="0"/>
          <w:marRight w:val="0"/>
          <w:marTop w:val="0"/>
          <w:marBottom w:val="65"/>
          <w:divBdr>
            <w:top w:val="none" w:sz="0" w:space="0" w:color="auto"/>
            <w:left w:val="none" w:sz="0" w:space="0" w:color="auto"/>
            <w:bottom w:val="none" w:sz="0" w:space="0" w:color="auto"/>
            <w:right w:val="none" w:sz="0" w:space="0" w:color="auto"/>
          </w:divBdr>
        </w:div>
        <w:div w:id="1023896888">
          <w:marLeft w:val="0"/>
          <w:marRight w:val="0"/>
          <w:marTop w:val="0"/>
          <w:marBottom w:val="65"/>
          <w:divBdr>
            <w:top w:val="none" w:sz="0" w:space="0" w:color="auto"/>
            <w:left w:val="none" w:sz="0" w:space="0" w:color="auto"/>
            <w:bottom w:val="none" w:sz="0" w:space="0" w:color="auto"/>
            <w:right w:val="none" w:sz="0" w:space="0" w:color="auto"/>
          </w:divBdr>
        </w:div>
        <w:div w:id="877206342">
          <w:marLeft w:val="0"/>
          <w:marRight w:val="0"/>
          <w:marTop w:val="0"/>
          <w:marBottom w:val="65"/>
          <w:divBdr>
            <w:top w:val="none" w:sz="0" w:space="0" w:color="auto"/>
            <w:left w:val="none" w:sz="0" w:space="0" w:color="auto"/>
            <w:bottom w:val="none" w:sz="0" w:space="0" w:color="auto"/>
            <w:right w:val="none" w:sz="0" w:space="0" w:color="auto"/>
          </w:divBdr>
        </w:div>
        <w:div w:id="1762026471">
          <w:marLeft w:val="0"/>
          <w:marRight w:val="0"/>
          <w:marTop w:val="0"/>
          <w:marBottom w:val="65"/>
          <w:divBdr>
            <w:top w:val="none" w:sz="0" w:space="0" w:color="auto"/>
            <w:left w:val="none" w:sz="0" w:space="0" w:color="auto"/>
            <w:bottom w:val="none" w:sz="0" w:space="0" w:color="auto"/>
            <w:right w:val="none" w:sz="0" w:space="0" w:color="auto"/>
          </w:divBdr>
        </w:div>
        <w:div w:id="930309498">
          <w:marLeft w:val="0"/>
          <w:marRight w:val="0"/>
          <w:marTop w:val="0"/>
          <w:marBottom w:val="65"/>
          <w:divBdr>
            <w:top w:val="none" w:sz="0" w:space="0" w:color="auto"/>
            <w:left w:val="none" w:sz="0" w:space="0" w:color="auto"/>
            <w:bottom w:val="none" w:sz="0" w:space="0" w:color="auto"/>
            <w:right w:val="none" w:sz="0" w:space="0" w:color="auto"/>
          </w:divBdr>
        </w:div>
        <w:div w:id="549532325">
          <w:marLeft w:val="0"/>
          <w:marRight w:val="0"/>
          <w:marTop w:val="0"/>
          <w:marBottom w:val="65"/>
          <w:divBdr>
            <w:top w:val="none" w:sz="0" w:space="0" w:color="auto"/>
            <w:left w:val="none" w:sz="0" w:space="0" w:color="auto"/>
            <w:bottom w:val="none" w:sz="0" w:space="0" w:color="auto"/>
            <w:right w:val="none" w:sz="0" w:space="0" w:color="auto"/>
          </w:divBdr>
        </w:div>
        <w:div w:id="437023668">
          <w:marLeft w:val="0"/>
          <w:marRight w:val="0"/>
          <w:marTop w:val="0"/>
          <w:marBottom w:val="65"/>
          <w:divBdr>
            <w:top w:val="none" w:sz="0" w:space="0" w:color="auto"/>
            <w:left w:val="none" w:sz="0" w:space="0" w:color="auto"/>
            <w:bottom w:val="none" w:sz="0" w:space="0" w:color="auto"/>
            <w:right w:val="none" w:sz="0" w:space="0" w:color="auto"/>
          </w:divBdr>
        </w:div>
        <w:div w:id="2050915511">
          <w:marLeft w:val="0"/>
          <w:marRight w:val="0"/>
          <w:marTop w:val="0"/>
          <w:marBottom w:val="65"/>
          <w:divBdr>
            <w:top w:val="none" w:sz="0" w:space="0" w:color="auto"/>
            <w:left w:val="none" w:sz="0" w:space="0" w:color="auto"/>
            <w:bottom w:val="none" w:sz="0" w:space="0" w:color="auto"/>
            <w:right w:val="none" w:sz="0" w:space="0" w:color="auto"/>
          </w:divBdr>
        </w:div>
        <w:div w:id="909463093">
          <w:marLeft w:val="0"/>
          <w:marRight w:val="0"/>
          <w:marTop w:val="0"/>
          <w:marBottom w:val="65"/>
          <w:divBdr>
            <w:top w:val="none" w:sz="0" w:space="0" w:color="auto"/>
            <w:left w:val="none" w:sz="0" w:space="0" w:color="auto"/>
            <w:bottom w:val="none" w:sz="0" w:space="0" w:color="auto"/>
            <w:right w:val="none" w:sz="0" w:space="0" w:color="auto"/>
          </w:divBdr>
        </w:div>
        <w:div w:id="1544635382">
          <w:marLeft w:val="0"/>
          <w:marRight w:val="0"/>
          <w:marTop w:val="0"/>
          <w:marBottom w:val="65"/>
          <w:divBdr>
            <w:top w:val="none" w:sz="0" w:space="0" w:color="auto"/>
            <w:left w:val="none" w:sz="0" w:space="0" w:color="auto"/>
            <w:bottom w:val="none" w:sz="0" w:space="0" w:color="auto"/>
            <w:right w:val="none" w:sz="0" w:space="0" w:color="auto"/>
          </w:divBdr>
        </w:div>
        <w:div w:id="1628271392">
          <w:marLeft w:val="0"/>
          <w:marRight w:val="0"/>
          <w:marTop w:val="0"/>
          <w:marBottom w:val="65"/>
          <w:divBdr>
            <w:top w:val="none" w:sz="0" w:space="0" w:color="auto"/>
            <w:left w:val="none" w:sz="0" w:space="0" w:color="auto"/>
            <w:bottom w:val="none" w:sz="0" w:space="0" w:color="auto"/>
            <w:right w:val="none" w:sz="0" w:space="0" w:color="auto"/>
          </w:divBdr>
        </w:div>
        <w:div w:id="785345175">
          <w:marLeft w:val="0"/>
          <w:marRight w:val="0"/>
          <w:marTop w:val="0"/>
          <w:marBottom w:val="65"/>
          <w:divBdr>
            <w:top w:val="none" w:sz="0" w:space="0" w:color="auto"/>
            <w:left w:val="none" w:sz="0" w:space="0" w:color="auto"/>
            <w:bottom w:val="none" w:sz="0" w:space="0" w:color="auto"/>
            <w:right w:val="none" w:sz="0" w:space="0" w:color="auto"/>
          </w:divBdr>
        </w:div>
        <w:div w:id="1221788377">
          <w:marLeft w:val="0"/>
          <w:marRight w:val="0"/>
          <w:marTop w:val="0"/>
          <w:marBottom w:val="65"/>
          <w:divBdr>
            <w:top w:val="none" w:sz="0" w:space="0" w:color="auto"/>
            <w:left w:val="none" w:sz="0" w:space="0" w:color="auto"/>
            <w:bottom w:val="none" w:sz="0" w:space="0" w:color="auto"/>
            <w:right w:val="none" w:sz="0" w:space="0" w:color="auto"/>
          </w:divBdr>
        </w:div>
        <w:div w:id="1243950816">
          <w:marLeft w:val="0"/>
          <w:marRight w:val="0"/>
          <w:marTop w:val="0"/>
          <w:marBottom w:val="65"/>
          <w:divBdr>
            <w:top w:val="none" w:sz="0" w:space="0" w:color="auto"/>
            <w:left w:val="none" w:sz="0" w:space="0" w:color="auto"/>
            <w:bottom w:val="none" w:sz="0" w:space="0" w:color="auto"/>
            <w:right w:val="none" w:sz="0" w:space="0" w:color="auto"/>
          </w:divBdr>
        </w:div>
        <w:div w:id="1841845616">
          <w:marLeft w:val="0"/>
          <w:marRight w:val="0"/>
          <w:marTop w:val="0"/>
          <w:marBottom w:val="65"/>
          <w:divBdr>
            <w:top w:val="none" w:sz="0" w:space="0" w:color="auto"/>
            <w:left w:val="none" w:sz="0" w:space="0" w:color="auto"/>
            <w:bottom w:val="none" w:sz="0" w:space="0" w:color="auto"/>
            <w:right w:val="none" w:sz="0" w:space="0" w:color="auto"/>
          </w:divBdr>
        </w:div>
        <w:div w:id="1193108013">
          <w:marLeft w:val="0"/>
          <w:marRight w:val="0"/>
          <w:marTop w:val="0"/>
          <w:marBottom w:val="65"/>
          <w:divBdr>
            <w:top w:val="none" w:sz="0" w:space="0" w:color="auto"/>
            <w:left w:val="none" w:sz="0" w:space="0" w:color="auto"/>
            <w:bottom w:val="none" w:sz="0" w:space="0" w:color="auto"/>
            <w:right w:val="none" w:sz="0" w:space="0" w:color="auto"/>
          </w:divBdr>
        </w:div>
        <w:div w:id="2004577154">
          <w:marLeft w:val="0"/>
          <w:marRight w:val="0"/>
          <w:marTop w:val="0"/>
          <w:marBottom w:val="65"/>
          <w:divBdr>
            <w:top w:val="none" w:sz="0" w:space="0" w:color="auto"/>
            <w:left w:val="none" w:sz="0" w:space="0" w:color="auto"/>
            <w:bottom w:val="none" w:sz="0" w:space="0" w:color="auto"/>
            <w:right w:val="none" w:sz="0" w:space="0" w:color="auto"/>
          </w:divBdr>
        </w:div>
        <w:div w:id="111826194">
          <w:marLeft w:val="0"/>
          <w:marRight w:val="0"/>
          <w:marTop w:val="0"/>
          <w:marBottom w:val="65"/>
          <w:divBdr>
            <w:top w:val="none" w:sz="0" w:space="0" w:color="auto"/>
            <w:left w:val="none" w:sz="0" w:space="0" w:color="auto"/>
            <w:bottom w:val="none" w:sz="0" w:space="0" w:color="auto"/>
            <w:right w:val="none" w:sz="0" w:space="0" w:color="auto"/>
          </w:divBdr>
        </w:div>
        <w:div w:id="684329034">
          <w:marLeft w:val="0"/>
          <w:marRight w:val="0"/>
          <w:marTop w:val="0"/>
          <w:marBottom w:val="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5" ma:contentTypeDescription="Crear nuevo documento." ma:contentTypeScope="" ma:versionID="4dda097ca11d302d4f08401a81b5e598">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2cde89d93cf4ebb3b18c11f93b571541"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5DFB-0146-42EE-88F2-8A3754E682DE}">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D6114651-AB4D-4319-815F-55A74FD7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67A31-9ECB-4316-95CE-8A12E290578C}">
  <ds:schemaRefs>
    <ds:schemaRef ds:uri="http://schemas.microsoft.com/sharepoint/v3/contenttype/forms"/>
  </ds:schemaRefs>
</ds:datastoreItem>
</file>

<file path=customXml/itemProps4.xml><?xml version="1.0" encoding="utf-8"?>
<ds:datastoreItem xmlns:ds="http://schemas.openxmlformats.org/officeDocument/2006/customXml" ds:itemID="{AA24C428-EE48-4A04-B157-CD1AB007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2644</Words>
  <Characters>14547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Israel Garcia Munoz</dc:creator>
  <cp:keywords/>
  <dc:description/>
  <cp:lastModifiedBy>CGMR</cp:lastModifiedBy>
  <cp:revision>4</cp:revision>
  <cp:lastPrinted>2024-07-11T00:31:00Z</cp:lastPrinted>
  <dcterms:created xsi:type="dcterms:W3CDTF">2024-07-10T21:05:00Z</dcterms:created>
  <dcterms:modified xsi:type="dcterms:W3CDTF">2024-07-11T00:31:00Z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