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DF660" w14:textId="1D2DAC87" w:rsidR="00894DBB" w:rsidRPr="00344C45" w:rsidRDefault="00894DBB" w:rsidP="00C83863">
      <w:pPr>
        <w:spacing w:after="0" w:line="276" w:lineRule="auto"/>
        <w:ind w:right="51"/>
        <w:jc w:val="both"/>
        <w:rPr>
          <w:rFonts w:ascii="Arial" w:eastAsia="Calibri" w:hAnsi="Arial" w:cs="Arial"/>
          <w:b/>
          <w:sz w:val="18"/>
          <w:szCs w:val="18"/>
          <w:lang w:val="es-ES"/>
        </w:rPr>
      </w:pPr>
      <w:r w:rsidRPr="00344C45">
        <w:rPr>
          <w:rFonts w:ascii="Arial" w:eastAsia="Calibri" w:hAnsi="Arial" w:cs="Arial"/>
          <w:b/>
          <w:sz w:val="18"/>
          <w:szCs w:val="18"/>
          <w:lang w:val="es-ES"/>
        </w:rPr>
        <w:t>Acuerdo mediante el cual el Pleno del Instituto Federal de T</w:t>
      </w:r>
      <w:bookmarkStart w:id="0" w:name="_GoBack"/>
      <w:bookmarkEnd w:id="0"/>
      <w:r w:rsidRPr="00344C45">
        <w:rPr>
          <w:rFonts w:ascii="Arial" w:eastAsia="Calibri" w:hAnsi="Arial" w:cs="Arial"/>
          <w:b/>
          <w:sz w:val="18"/>
          <w:szCs w:val="18"/>
          <w:lang w:val="es-ES"/>
        </w:rPr>
        <w:t xml:space="preserve">elecomunicaciones </w:t>
      </w:r>
      <w:bookmarkStart w:id="1" w:name="_Hlk166684158"/>
      <w:r w:rsidR="000D26E1" w:rsidRPr="00344C45">
        <w:rPr>
          <w:rFonts w:ascii="Arial" w:eastAsia="Calibri" w:hAnsi="Arial" w:cs="Arial"/>
          <w:b/>
          <w:sz w:val="18"/>
          <w:szCs w:val="18"/>
          <w:lang w:val="es-ES"/>
        </w:rPr>
        <w:t xml:space="preserve">modifica </w:t>
      </w:r>
      <w:bookmarkStart w:id="2" w:name="_Hlk166154998"/>
      <w:r w:rsidR="0092418F" w:rsidRPr="00344C45">
        <w:rPr>
          <w:rFonts w:ascii="Arial" w:eastAsia="Calibri" w:hAnsi="Arial" w:cs="Arial"/>
          <w:b/>
          <w:sz w:val="18"/>
          <w:szCs w:val="18"/>
          <w:lang w:val="es-ES"/>
        </w:rPr>
        <w:t xml:space="preserve">los </w:t>
      </w:r>
      <w:r w:rsidR="00372216" w:rsidRPr="00344C45">
        <w:rPr>
          <w:rFonts w:ascii="Arial" w:eastAsia="Calibri" w:hAnsi="Arial" w:cs="Arial"/>
          <w:b/>
          <w:sz w:val="18"/>
          <w:szCs w:val="18"/>
          <w:lang w:val="es-ES"/>
        </w:rPr>
        <w:t>“</w:t>
      </w:r>
      <w:r w:rsidR="001C72CA" w:rsidRPr="00344C45">
        <w:rPr>
          <w:rFonts w:ascii="Arial" w:eastAsia="Calibri" w:hAnsi="Arial" w:cs="Arial"/>
          <w:b/>
          <w:sz w:val="18"/>
          <w:szCs w:val="18"/>
          <w:lang w:val="es-ES"/>
        </w:rPr>
        <w:t>Lineamientos para la homologación de productos, equipos, dispositivos o aparatos destinados a telecomunicaciones o radiodifusión</w:t>
      </w:r>
      <w:bookmarkEnd w:id="1"/>
      <w:bookmarkEnd w:id="2"/>
      <w:r w:rsidR="000D26E1" w:rsidRPr="00344C45">
        <w:rPr>
          <w:rFonts w:ascii="Arial" w:eastAsia="Calibri" w:hAnsi="Arial" w:cs="Arial"/>
          <w:b/>
          <w:sz w:val="18"/>
          <w:szCs w:val="18"/>
          <w:lang w:val="es-ES"/>
        </w:rPr>
        <w:t>”.</w:t>
      </w:r>
    </w:p>
    <w:p w14:paraId="58F273E3" w14:textId="77777777" w:rsidR="00857012" w:rsidRPr="00344C45" w:rsidRDefault="00857012" w:rsidP="00E45FEE">
      <w:pPr>
        <w:spacing w:after="0" w:line="276" w:lineRule="auto"/>
        <w:jc w:val="both"/>
        <w:rPr>
          <w:rFonts w:ascii="Arial" w:eastAsia="Calibri" w:hAnsi="Arial" w:cs="Arial"/>
          <w:b/>
          <w:sz w:val="18"/>
          <w:szCs w:val="18"/>
          <w:lang w:val="es-ES"/>
        </w:rPr>
      </w:pPr>
    </w:p>
    <w:p w14:paraId="5ED1CF27" w14:textId="77777777" w:rsidR="00E45FEE" w:rsidRPr="00344C45" w:rsidRDefault="00E45FEE" w:rsidP="00225F4C">
      <w:pPr>
        <w:spacing w:after="0" w:line="276" w:lineRule="auto"/>
        <w:jc w:val="both"/>
        <w:rPr>
          <w:rFonts w:ascii="Arial" w:eastAsia="Calibri" w:hAnsi="Arial" w:cs="Arial"/>
          <w:b/>
          <w:sz w:val="18"/>
          <w:szCs w:val="18"/>
          <w:lang w:val="es-ES"/>
        </w:rPr>
      </w:pPr>
    </w:p>
    <w:p w14:paraId="7F71A0DB" w14:textId="77777777" w:rsidR="00894DBB" w:rsidRPr="00344C45" w:rsidRDefault="00894DBB" w:rsidP="00C83863">
      <w:pPr>
        <w:spacing w:after="0" w:line="276" w:lineRule="auto"/>
        <w:ind w:right="51"/>
        <w:jc w:val="center"/>
        <w:rPr>
          <w:rFonts w:ascii="Arial" w:eastAsia="Calibri" w:hAnsi="Arial" w:cs="Arial"/>
          <w:b/>
          <w:bCs/>
          <w:sz w:val="18"/>
          <w:szCs w:val="18"/>
          <w:lang w:val="es-ES_tradnl" w:eastAsia="es-MX"/>
        </w:rPr>
      </w:pPr>
      <w:r w:rsidRPr="00344C45">
        <w:rPr>
          <w:rFonts w:ascii="Arial" w:eastAsia="Calibri" w:hAnsi="Arial" w:cs="Arial"/>
          <w:b/>
          <w:bCs/>
          <w:sz w:val="18"/>
          <w:szCs w:val="18"/>
          <w:lang w:val="es-ES_tradnl" w:eastAsia="es-MX"/>
        </w:rPr>
        <w:t>Antecedentes</w:t>
      </w:r>
    </w:p>
    <w:p w14:paraId="2C2358DF" w14:textId="77777777" w:rsidR="00E45FEE" w:rsidRDefault="00E45FEE" w:rsidP="00225F4C">
      <w:pPr>
        <w:spacing w:after="0" w:line="276" w:lineRule="auto"/>
        <w:jc w:val="center"/>
        <w:rPr>
          <w:rFonts w:ascii="Arial" w:hAnsi="Arial" w:cs="Arial"/>
          <w:b/>
          <w:sz w:val="18"/>
          <w:szCs w:val="18"/>
        </w:rPr>
      </w:pPr>
    </w:p>
    <w:p w14:paraId="1DF51273" w14:textId="77777777" w:rsidR="00344C45" w:rsidRPr="00344C45" w:rsidRDefault="00344C45" w:rsidP="00225F4C">
      <w:pPr>
        <w:spacing w:after="0" w:line="276" w:lineRule="auto"/>
        <w:jc w:val="center"/>
        <w:rPr>
          <w:rFonts w:ascii="Arial" w:hAnsi="Arial" w:cs="Arial"/>
          <w:b/>
          <w:sz w:val="18"/>
          <w:szCs w:val="18"/>
        </w:rPr>
      </w:pPr>
    </w:p>
    <w:p w14:paraId="7C0784A3" w14:textId="0176362F" w:rsidR="00F51EB8" w:rsidRPr="00344C45" w:rsidRDefault="0052732E" w:rsidP="00225F4C">
      <w:pPr>
        <w:spacing w:after="0" w:line="276" w:lineRule="auto"/>
        <w:jc w:val="both"/>
        <w:rPr>
          <w:rFonts w:ascii="Arial" w:hAnsi="Arial" w:cs="Arial"/>
          <w:sz w:val="18"/>
          <w:szCs w:val="18"/>
        </w:rPr>
      </w:pPr>
      <w:r w:rsidRPr="00344C45">
        <w:rPr>
          <w:rFonts w:ascii="Arial" w:eastAsia="Calibri" w:hAnsi="Arial" w:cs="Arial"/>
          <w:b/>
          <w:bCs/>
          <w:sz w:val="18"/>
          <w:szCs w:val="18"/>
          <w:lang w:val="es-ES"/>
        </w:rPr>
        <w:t xml:space="preserve">Primero.- </w:t>
      </w:r>
      <w:r w:rsidR="002567FA" w:rsidRPr="00344C45">
        <w:rPr>
          <w:rFonts w:ascii="Arial" w:hAnsi="Arial" w:cs="Arial"/>
          <w:sz w:val="18"/>
          <w:szCs w:val="18"/>
        </w:rPr>
        <w:t>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"Instituto") como un órgano autónomo, con personalidad jurídica y patrimonio propio.</w:t>
      </w:r>
    </w:p>
    <w:p w14:paraId="25FCBE85" w14:textId="11246E01" w:rsidR="00E45FEE" w:rsidRPr="00344C45" w:rsidRDefault="00E45FEE" w:rsidP="00225F4C">
      <w:pPr>
        <w:spacing w:after="0"/>
        <w:jc w:val="both"/>
        <w:rPr>
          <w:rFonts w:ascii="Arial" w:hAnsi="Arial" w:cs="Arial"/>
          <w:sz w:val="18"/>
          <w:szCs w:val="18"/>
        </w:rPr>
      </w:pPr>
    </w:p>
    <w:p w14:paraId="477865FD" w14:textId="630F3240" w:rsidR="00F51EB8" w:rsidRPr="00344C45" w:rsidRDefault="00F51EB8" w:rsidP="00E45FEE">
      <w:pPr>
        <w:spacing w:after="0" w:line="276" w:lineRule="auto"/>
        <w:jc w:val="both"/>
        <w:rPr>
          <w:rFonts w:ascii="Arial" w:hAnsi="Arial" w:cs="Arial"/>
          <w:sz w:val="18"/>
          <w:szCs w:val="18"/>
        </w:rPr>
      </w:pPr>
      <w:r w:rsidRPr="00344C45">
        <w:rPr>
          <w:rFonts w:ascii="Arial" w:hAnsi="Arial" w:cs="Arial"/>
          <w:b/>
          <w:bCs/>
          <w:sz w:val="18"/>
          <w:szCs w:val="18"/>
        </w:rPr>
        <w:t>Segundo. -</w:t>
      </w:r>
      <w:r w:rsidRPr="00344C45">
        <w:rPr>
          <w:rFonts w:ascii="Arial" w:hAnsi="Arial" w:cs="Arial"/>
          <w:sz w:val="18"/>
          <w:szCs w:val="18"/>
        </w:rPr>
        <w:t xml:space="preserve"> </w:t>
      </w:r>
      <w:r w:rsidR="002567FA" w:rsidRPr="00344C45">
        <w:rPr>
          <w:rFonts w:ascii="Arial" w:hAnsi="Arial" w:cs="Arial"/>
          <w:sz w:val="18"/>
          <w:szCs w:val="18"/>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(en lo sucesivo, la "LFTR") el 13 de agosto de 2014</w:t>
      </w:r>
      <w:r w:rsidRPr="00344C45">
        <w:rPr>
          <w:rFonts w:ascii="Arial" w:hAnsi="Arial" w:cs="Arial"/>
          <w:sz w:val="18"/>
          <w:szCs w:val="18"/>
        </w:rPr>
        <w:t>.</w:t>
      </w:r>
    </w:p>
    <w:p w14:paraId="1E26745F" w14:textId="77777777" w:rsidR="00E45FEE" w:rsidRPr="00344C45" w:rsidRDefault="00E45FEE" w:rsidP="00225F4C">
      <w:pPr>
        <w:spacing w:after="0" w:line="276" w:lineRule="auto"/>
        <w:jc w:val="both"/>
        <w:rPr>
          <w:rFonts w:ascii="Arial" w:hAnsi="Arial" w:cs="Arial"/>
          <w:sz w:val="18"/>
          <w:szCs w:val="18"/>
        </w:rPr>
      </w:pPr>
    </w:p>
    <w:p w14:paraId="70ED6FA7" w14:textId="25A476F7" w:rsidR="00F51EB8" w:rsidRPr="00344C45" w:rsidRDefault="00F51EB8" w:rsidP="00E45FEE">
      <w:pPr>
        <w:spacing w:after="0" w:line="276" w:lineRule="auto"/>
        <w:jc w:val="both"/>
        <w:rPr>
          <w:rFonts w:ascii="Arial" w:hAnsi="Arial" w:cs="Arial"/>
          <w:sz w:val="18"/>
          <w:szCs w:val="18"/>
        </w:rPr>
      </w:pPr>
      <w:r w:rsidRPr="00344C45">
        <w:rPr>
          <w:rFonts w:ascii="Arial" w:hAnsi="Arial" w:cs="Arial"/>
          <w:b/>
          <w:bCs/>
          <w:sz w:val="18"/>
          <w:szCs w:val="18"/>
        </w:rPr>
        <w:t>Tercero.</w:t>
      </w:r>
      <w:r w:rsidRPr="00344C45">
        <w:rPr>
          <w:rFonts w:ascii="Arial" w:hAnsi="Arial" w:cs="Arial"/>
          <w:sz w:val="18"/>
          <w:szCs w:val="18"/>
        </w:rPr>
        <w:t xml:space="preserve"> </w:t>
      </w:r>
      <w:r w:rsidRPr="00344C45">
        <w:rPr>
          <w:rFonts w:ascii="Arial" w:hAnsi="Arial" w:cs="Arial"/>
          <w:b/>
          <w:bCs/>
          <w:sz w:val="18"/>
          <w:szCs w:val="18"/>
        </w:rPr>
        <w:t>-</w:t>
      </w:r>
      <w:r w:rsidRPr="00344C45">
        <w:rPr>
          <w:rFonts w:ascii="Arial" w:hAnsi="Arial" w:cs="Arial"/>
          <w:sz w:val="18"/>
          <w:szCs w:val="18"/>
        </w:rPr>
        <w:t xml:space="preserve"> </w:t>
      </w:r>
      <w:r w:rsidR="002567FA" w:rsidRPr="00344C45">
        <w:rPr>
          <w:rFonts w:ascii="Arial" w:hAnsi="Arial" w:cs="Arial"/>
          <w:sz w:val="18"/>
          <w:szCs w:val="18"/>
        </w:rPr>
        <w:t>El 04 de septiembre de 2014 se publicó en el DOF el Estatuto Orgánico del Instituto Federal de Telecomunicaciones, el cual entró en vigor el 26 de septiembre de 2014</w:t>
      </w:r>
      <w:r w:rsidRPr="00344C45">
        <w:rPr>
          <w:rFonts w:ascii="Arial" w:hAnsi="Arial" w:cs="Arial"/>
          <w:sz w:val="18"/>
          <w:szCs w:val="18"/>
        </w:rPr>
        <w:t>.</w:t>
      </w:r>
    </w:p>
    <w:p w14:paraId="28220875" w14:textId="77777777" w:rsidR="00E45FEE" w:rsidRPr="00344C45" w:rsidRDefault="00E45FEE" w:rsidP="00225F4C">
      <w:pPr>
        <w:spacing w:after="0" w:line="276" w:lineRule="auto"/>
        <w:jc w:val="both"/>
        <w:rPr>
          <w:rFonts w:ascii="Arial" w:hAnsi="Arial" w:cs="Arial"/>
          <w:sz w:val="18"/>
          <w:szCs w:val="18"/>
        </w:rPr>
      </w:pPr>
    </w:p>
    <w:p w14:paraId="209E7ACA" w14:textId="5F918462" w:rsidR="0052732E" w:rsidRPr="00344C45" w:rsidRDefault="005543D2" w:rsidP="00E45FEE">
      <w:pPr>
        <w:spacing w:after="0" w:line="276" w:lineRule="auto"/>
        <w:jc w:val="both"/>
        <w:rPr>
          <w:rFonts w:ascii="Arial" w:eastAsia="Calibri" w:hAnsi="Arial" w:cs="Arial"/>
          <w:sz w:val="18"/>
          <w:szCs w:val="18"/>
          <w:lang w:val="es-ES"/>
        </w:rPr>
      </w:pPr>
      <w:r w:rsidRPr="00344C45">
        <w:rPr>
          <w:rFonts w:ascii="Arial" w:hAnsi="Arial" w:cs="Arial"/>
          <w:b/>
          <w:bCs/>
          <w:sz w:val="18"/>
          <w:szCs w:val="18"/>
        </w:rPr>
        <w:t>Cuarto</w:t>
      </w:r>
      <w:r w:rsidR="00F51EB8" w:rsidRPr="00344C45">
        <w:rPr>
          <w:rFonts w:ascii="Arial" w:hAnsi="Arial" w:cs="Arial"/>
          <w:b/>
          <w:bCs/>
          <w:sz w:val="18"/>
          <w:szCs w:val="18"/>
        </w:rPr>
        <w:t xml:space="preserve">. - </w:t>
      </w:r>
      <w:r w:rsidR="002567FA" w:rsidRPr="00344C45">
        <w:rPr>
          <w:rFonts w:ascii="Arial" w:eastAsia="Calibri" w:hAnsi="Arial" w:cs="Arial"/>
          <w:sz w:val="18"/>
          <w:szCs w:val="18"/>
        </w:rPr>
        <w:t>El 25 de febrero de 2020, se publicó en el DOF el "Acuerdo mediante el cual el Pleno del Instituto Federal de Telecomunicaciones expide el Procedimiento de evaluación de la conformidad en materia de telecomunicaciones y radiodifusión"</w:t>
      </w:r>
      <w:r w:rsidR="002E4EA2" w:rsidRPr="00344C45">
        <w:rPr>
          <w:rFonts w:ascii="Arial" w:eastAsia="Calibri" w:hAnsi="Arial" w:cs="Arial"/>
          <w:sz w:val="18"/>
          <w:szCs w:val="18"/>
          <w:lang w:val="es-ES"/>
        </w:rPr>
        <w:t>.</w:t>
      </w:r>
    </w:p>
    <w:p w14:paraId="3CB5658C" w14:textId="77777777" w:rsidR="00E45FEE" w:rsidRPr="00344C45" w:rsidRDefault="00E45FEE" w:rsidP="00225F4C">
      <w:pPr>
        <w:spacing w:after="0" w:line="276" w:lineRule="auto"/>
        <w:jc w:val="both"/>
        <w:rPr>
          <w:rFonts w:ascii="Arial" w:eastAsia="Calibri" w:hAnsi="Arial" w:cs="Arial"/>
          <w:sz w:val="18"/>
          <w:szCs w:val="18"/>
          <w:lang w:val="es-ES"/>
        </w:rPr>
      </w:pPr>
    </w:p>
    <w:p w14:paraId="7AD96A2D" w14:textId="63336833" w:rsidR="0052732E" w:rsidRPr="00344C45" w:rsidRDefault="005543D2" w:rsidP="00E45FEE">
      <w:pPr>
        <w:spacing w:after="0" w:line="276" w:lineRule="auto"/>
        <w:jc w:val="both"/>
        <w:rPr>
          <w:rFonts w:ascii="Arial" w:eastAsia="Calibri" w:hAnsi="Arial" w:cs="Arial"/>
          <w:sz w:val="18"/>
          <w:szCs w:val="18"/>
          <w:lang w:val="es-ES"/>
        </w:rPr>
      </w:pPr>
      <w:r w:rsidRPr="00344C45">
        <w:rPr>
          <w:rFonts w:ascii="Arial" w:hAnsi="Arial" w:cs="Arial"/>
          <w:b/>
          <w:sz w:val="18"/>
          <w:szCs w:val="18"/>
        </w:rPr>
        <w:t>Quinto</w:t>
      </w:r>
      <w:r w:rsidR="0052732E" w:rsidRPr="00344C45">
        <w:rPr>
          <w:rFonts w:ascii="Arial" w:hAnsi="Arial" w:cs="Arial"/>
          <w:b/>
          <w:sz w:val="18"/>
          <w:szCs w:val="18"/>
        </w:rPr>
        <w:t>.</w:t>
      </w:r>
      <w:r w:rsidR="001C71B7" w:rsidRPr="00344C45">
        <w:rPr>
          <w:rFonts w:ascii="Arial" w:hAnsi="Arial" w:cs="Arial"/>
          <w:b/>
          <w:sz w:val="18"/>
          <w:szCs w:val="18"/>
        </w:rPr>
        <w:t xml:space="preserve"> </w:t>
      </w:r>
      <w:r w:rsidR="0052732E" w:rsidRPr="00344C45">
        <w:rPr>
          <w:rFonts w:ascii="Arial" w:hAnsi="Arial" w:cs="Arial"/>
          <w:b/>
          <w:sz w:val="18"/>
          <w:szCs w:val="18"/>
        </w:rPr>
        <w:t>-</w:t>
      </w:r>
      <w:r w:rsidR="0052732E" w:rsidRPr="00344C45">
        <w:rPr>
          <w:rFonts w:ascii="Arial" w:hAnsi="Arial" w:cs="Arial"/>
          <w:sz w:val="18"/>
          <w:szCs w:val="18"/>
        </w:rPr>
        <w:t xml:space="preserve"> </w:t>
      </w:r>
      <w:r w:rsidR="002567FA" w:rsidRPr="00344C45">
        <w:rPr>
          <w:rFonts w:ascii="Arial" w:eastAsia="Calibri" w:hAnsi="Arial" w:cs="Arial"/>
          <w:sz w:val="18"/>
          <w:szCs w:val="18"/>
          <w:lang w:val="es-ES"/>
        </w:rPr>
        <w:t>El 29 de diciembre de 2021 se publicó en el DOF el "Acuerdo mediante el cual el Pleno del Instituto Federal de Telecomunicaciones expide los Lineamientos para la homologación de productos, equipos, dispositivos o aparatos destinados a telecomunicaciones o radiodifusión" (en lo sucesivo, los "Lineamientos de Homologación").</w:t>
      </w:r>
    </w:p>
    <w:p w14:paraId="49E18DF5" w14:textId="77777777" w:rsidR="00E45FEE" w:rsidRPr="00344C45" w:rsidRDefault="00E45FEE" w:rsidP="00225F4C">
      <w:pPr>
        <w:spacing w:after="0" w:line="276" w:lineRule="auto"/>
        <w:jc w:val="both"/>
        <w:rPr>
          <w:rFonts w:ascii="Arial" w:eastAsia="Calibri" w:hAnsi="Arial" w:cs="Arial"/>
          <w:sz w:val="18"/>
          <w:szCs w:val="18"/>
          <w:lang w:val="es-ES"/>
        </w:rPr>
      </w:pPr>
    </w:p>
    <w:p w14:paraId="01CB358A" w14:textId="1701DB51" w:rsidR="0052732E" w:rsidRPr="00344C45" w:rsidRDefault="005543D2" w:rsidP="00E45FEE">
      <w:pPr>
        <w:spacing w:after="0" w:line="276" w:lineRule="auto"/>
        <w:jc w:val="both"/>
        <w:rPr>
          <w:rFonts w:ascii="Arial" w:eastAsia="Calibri" w:hAnsi="Arial" w:cs="Arial"/>
          <w:sz w:val="18"/>
          <w:szCs w:val="18"/>
          <w:lang w:val="es-ES"/>
        </w:rPr>
      </w:pPr>
      <w:r w:rsidRPr="00344C45">
        <w:rPr>
          <w:rFonts w:ascii="Arial" w:hAnsi="Arial" w:cs="Arial"/>
          <w:b/>
          <w:sz w:val="18"/>
          <w:szCs w:val="18"/>
        </w:rPr>
        <w:t>Sexto</w:t>
      </w:r>
      <w:r w:rsidR="0052732E" w:rsidRPr="00344C45">
        <w:rPr>
          <w:rFonts w:ascii="Arial" w:hAnsi="Arial" w:cs="Arial"/>
          <w:b/>
          <w:sz w:val="18"/>
          <w:szCs w:val="18"/>
        </w:rPr>
        <w:t>.</w:t>
      </w:r>
      <w:r w:rsidR="001C71B7" w:rsidRPr="00344C45">
        <w:rPr>
          <w:rFonts w:ascii="Arial" w:hAnsi="Arial" w:cs="Arial"/>
          <w:b/>
          <w:sz w:val="18"/>
          <w:szCs w:val="18"/>
        </w:rPr>
        <w:t xml:space="preserve"> </w:t>
      </w:r>
      <w:r w:rsidR="0052732E" w:rsidRPr="00344C45">
        <w:rPr>
          <w:rFonts w:ascii="Arial" w:hAnsi="Arial" w:cs="Arial"/>
          <w:b/>
          <w:sz w:val="18"/>
          <w:szCs w:val="18"/>
        </w:rPr>
        <w:t>-</w:t>
      </w:r>
      <w:r w:rsidR="0052732E" w:rsidRPr="00344C45">
        <w:rPr>
          <w:rFonts w:ascii="Arial" w:hAnsi="Arial" w:cs="Arial"/>
          <w:sz w:val="18"/>
          <w:szCs w:val="18"/>
        </w:rPr>
        <w:t xml:space="preserve"> </w:t>
      </w:r>
      <w:r w:rsidR="001753A5" w:rsidRPr="00344C45">
        <w:rPr>
          <w:rFonts w:ascii="Arial" w:eastAsia="Calibri" w:hAnsi="Arial" w:cs="Arial"/>
          <w:sz w:val="18"/>
          <w:szCs w:val="18"/>
          <w:lang w:val="es-ES"/>
        </w:rPr>
        <w:t xml:space="preserve">El 26 de diciembre de 2023, se publicó en el DOF el “Acuerdo mediante el cual el Pleno del Instituto Federal de Telecomunicaciones emite los Lineamientos para el uso del Sello IFT del Instituto Federal de Telecomunicaciones en productos, equipos, dispositivos o aparatos destinados a telecomunicaciones o radiodifusión homologados” (en lo sucesivo, los “Lineamientos </w:t>
      </w:r>
      <w:r w:rsidR="00C73811" w:rsidRPr="00344C45">
        <w:rPr>
          <w:rFonts w:ascii="Arial" w:eastAsia="Calibri" w:hAnsi="Arial" w:cs="Arial"/>
          <w:sz w:val="18"/>
          <w:szCs w:val="18"/>
          <w:lang w:val="es-ES"/>
        </w:rPr>
        <w:t xml:space="preserve">para el </w:t>
      </w:r>
      <w:r w:rsidR="001753A5" w:rsidRPr="00344C45">
        <w:rPr>
          <w:rFonts w:ascii="Arial" w:eastAsia="Calibri" w:hAnsi="Arial" w:cs="Arial"/>
          <w:sz w:val="18"/>
          <w:szCs w:val="18"/>
          <w:lang w:val="es-ES"/>
        </w:rPr>
        <w:t>uso del Sello IFT”).</w:t>
      </w:r>
    </w:p>
    <w:p w14:paraId="2459AA3C" w14:textId="77777777" w:rsidR="00E45FEE" w:rsidRPr="00344C45" w:rsidRDefault="00E45FEE" w:rsidP="00225F4C">
      <w:pPr>
        <w:spacing w:after="0" w:line="276" w:lineRule="auto"/>
        <w:jc w:val="both"/>
        <w:rPr>
          <w:rFonts w:ascii="Arial" w:eastAsia="Calibri" w:hAnsi="Arial" w:cs="Arial"/>
          <w:sz w:val="18"/>
          <w:szCs w:val="18"/>
          <w:lang w:val="es-ES"/>
        </w:rPr>
      </w:pPr>
    </w:p>
    <w:p w14:paraId="25C65F6D" w14:textId="4B44B3A7" w:rsidR="0065350D" w:rsidRPr="00344C45" w:rsidRDefault="005543D2" w:rsidP="00E45FEE">
      <w:pPr>
        <w:spacing w:after="0" w:line="276" w:lineRule="auto"/>
        <w:jc w:val="both"/>
        <w:rPr>
          <w:rFonts w:ascii="Arial" w:eastAsia="Calibri" w:hAnsi="Arial" w:cs="Arial"/>
          <w:sz w:val="18"/>
          <w:szCs w:val="18"/>
          <w:lang w:val="es-ES"/>
        </w:rPr>
      </w:pPr>
      <w:r w:rsidRPr="00344C45">
        <w:rPr>
          <w:rFonts w:ascii="Arial" w:hAnsi="Arial" w:cs="Arial"/>
          <w:b/>
          <w:sz w:val="18"/>
          <w:szCs w:val="18"/>
        </w:rPr>
        <w:t>Séptimo</w:t>
      </w:r>
      <w:r w:rsidR="0052732E" w:rsidRPr="00344C45">
        <w:rPr>
          <w:rFonts w:ascii="Arial" w:hAnsi="Arial" w:cs="Arial"/>
          <w:b/>
          <w:sz w:val="18"/>
          <w:szCs w:val="18"/>
        </w:rPr>
        <w:t>.</w:t>
      </w:r>
      <w:r w:rsidR="0059621A" w:rsidRPr="00344C45">
        <w:rPr>
          <w:rFonts w:ascii="Arial" w:hAnsi="Arial" w:cs="Arial"/>
          <w:b/>
          <w:sz w:val="18"/>
          <w:szCs w:val="18"/>
        </w:rPr>
        <w:t xml:space="preserve"> </w:t>
      </w:r>
      <w:r w:rsidR="0052732E" w:rsidRPr="00344C45">
        <w:rPr>
          <w:rFonts w:ascii="Arial" w:hAnsi="Arial" w:cs="Arial"/>
          <w:b/>
          <w:sz w:val="18"/>
          <w:szCs w:val="18"/>
        </w:rPr>
        <w:t>-</w:t>
      </w:r>
      <w:r w:rsidR="0052732E" w:rsidRPr="00344C45">
        <w:rPr>
          <w:rFonts w:ascii="Arial" w:hAnsi="Arial" w:cs="Arial"/>
          <w:sz w:val="18"/>
          <w:szCs w:val="18"/>
        </w:rPr>
        <w:t xml:space="preserve"> </w:t>
      </w:r>
      <w:r w:rsidR="00746E41" w:rsidRPr="00344C45">
        <w:rPr>
          <w:rFonts w:ascii="Arial" w:hAnsi="Arial" w:cs="Arial"/>
          <w:sz w:val="18"/>
          <w:szCs w:val="18"/>
        </w:rPr>
        <w:t xml:space="preserve"> </w:t>
      </w:r>
      <w:r w:rsidR="001753A5" w:rsidRPr="00344C45">
        <w:rPr>
          <w:rFonts w:ascii="Arial" w:eastAsia="Calibri" w:hAnsi="Arial" w:cs="Arial"/>
          <w:sz w:val="18"/>
          <w:szCs w:val="18"/>
          <w:lang w:val="es-ES"/>
        </w:rPr>
        <w:t xml:space="preserve">El 26 de enero de 2024, se recibió a través de la Oficialía de Partes Común del Instituto un escrito de la Cámara Nacional de la Industria Electrónica, de Telecomunicaciones y Tecnologías de la Información (en lo sucesivo, la </w:t>
      </w:r>
      <w:r w:rsidR="00C14D26" w:rsidRPr="00344C45">
        <w:rPr>
          <w:rFonts w:ascii="Arial" w:eastAsia="Calibri" w:hAnsi="Arial" w:cs="Arial"/>
          <w:sz w:val="18"/>
          <w:szCs w:val="18"/>
          <w:lang w:val="es-ES"/>
        </w:rPr>
        <w:t>“</w:t>
      </w:r>
      <w:r w:rsidR="001753A5" w:rsidRPr="00344C45">
        <w:rPr>
          <w:rFonts w:ascii="Arial" w:eastAsia="Calibri" w:hAnsi="Arial" w:cs="Arial"/>
          <w:sz w:val="18"/>
          <w:szCs w:val="18"/>
          <w:lang w:val="es-ES"/>
        </w:rPr>
        <w:t>CANIETI</w:t>
      </w:r>
      <w:r w:rsidR="00C14D26" w:rsidRPr="00344C45">
        <w:rPr>
          <w:rFonts w:ascii="Arial" w:eastAsia="Calibri" w:hAnsi="Arial" w:cs="Arial"/>
          <w:sz w:val="18"/>
          <w:szCs w:val="18"/>
          <w:lang w:val="es-ES"/>
        </w:rPr>
        <w:t>”</w:t>
      </w:r>
      <w:r w:rsidR="001753A5" w:rsidRPr="00344C45">
        <w:rPr>
          <w:rFonts w:ascii="Arial" w:eastAsia="Calibri" w:hAnsi="Arial" w:cs="Arial"/>
          <w:sz w:val="18"/>
          <w:szCs w:val="18"/>
          <w:lang w:val="es-ES"/>
        </w:rPr>
        <w:t xml:space="preserve">), </w:t>
      </w:r>
      <w:r w:rsidR="0065350D" w:rsidRPr="00344C45">
        <w:rPr>
          <w:rFonts w:ascii="Arial" w:hAnsi="Arial" w:cs="Arial"/>
          <w:sz w:val="18"/>
          <w:szCs w:val="18"/>
        </w:rPr>
        <w:t>en el que solicitó audiencia</w:t>
      </w:r>
      <w:r w:rsidR="00B84FB5" w:rsidRPr="00344C45">
        <w:rPr>
          <w:rFonts w:ascii="Arial" w:hAnsi="Arial" w:cs="Arial"/>
          <w:sz w:val="18"/>
          <w:szCs w:val="18"/>
        </w:rPr>
        <w:t xml:space="preserve"> </w:t>
      </w:r>
      <w:r w:rsidR="0065350D" w:rsidRPr="00344C45">
        <w:rPr>
          <w:rFonts w:ascii="Arial" w:hAnsi="Arial" w:cs="Arial"/>
          <w:sz w:val="18"/>
          <w:szCs w:val="18"/>
        </w:rPr>
        <w:t>con el Pleno del Instituto para abordar temas relacionados con los Lineamientos</w:t>
      </w:r>
      <w:r w:rsidR="00492542" w:rsidRPr="00344C45">
        <w:rPr>
          <w:rFonts w:ascii="Arial" w:hAnsi="Arial" w:cs="Arial"/>
          <w:sz w:val="18"/>
          <w:szCs w:val="18"/>
        </w:rPr>
        <w:t xml:space="preserve"> de Homologación y los Lineamientos</w:t>
      </w:r>
      <w:r w:rsidR="0065350D" w:rsidRPr="00344C45">
        <w:rPr>
          <w:rFonts w:ascii="Arial" w:hAnsi="Arial" w:cs="Arial"/>
          <w:sz w:val="18"/>
          <w:szCs w:val="18"/>
        </w:rPr>
        <w:t xml:space="preserve"> para el uso del Sello IFT. Dicha </w:t>
      </w:r>
      <w:r w:rsidR="00B84FB5" w:rsidRPr="00344C45">
        <w:rPr>
          <w:rFonts w:ascii="Arial" w:hAnsi="Arial" w:cs="Arial"/>
          <w:sz w:val="18"/>
          <w:szCs w:val="18"/>
        </w:rPr>
        <w:t>entrevista</w:t>
      </w:r>
      <w:r w:rsidR="0065350D" w:rsidRPr="00344C45">
        <w:rPr>
          <w:rFonts w:ascii="Arial" w:hAnsi="Arial" w:cs="Arial"/>
          <w:sz w:val="18"/>
          <w:szCs w:val="18"/>
        </w:rPr>
        <w:t xml:space="preserve"> se llevó a cabo el 06 de febrero de 2024</w:t>
      </w:r>
      <w:r w:rsidR="00CB0B80" w:rsidRPr="00344C45">
        <w:rPr>
          <w:rFonts w:ascii="Arial" w:eastAsia="Calibri" w:hAnsi="Arial" w:cs="Arial"/>
          <w:sz w:val="18"/>
          <w:szCs w:val="18"/>
          <w:lang w:val="es-ES"/>
        </w:rPr>
        <w:t>.</w:t>
      </w:r>
    </w:p>
    <w:p w14:paraId="22F1F3B1" w14:textId="77777777" w:rsidR="00E45FEE" w:rsidRPr="00344C45" w:rsidRDefault="00E45FEE" w:rsidP="00225F4C">
      <w:pPr>
        <w:spacing w:after="0" w:line="276" w:lineRule="auto"/>
        <w:jc w:val="both"/>
        <w:rPr>
          <w:rFonts w:ascii="Arial" w:eastAsia="Calibri" w:hAnsi="Arial" w:cs="Arial"/>
          <w:sz w:val="18"/>
          <w:szCs w:val="18"/>
          <w:lang w:val="es-ES"/>
        </w:rPr>
      </w:pPr>
    </w:p>
    <w:p w14:paraId="459C1A85" w14:textId="54AF2A4C" w:rsidR="002567FA" w:rsidRPr="00344C45" w:rsidRDefault="005543D2" w:rsidP="00E45FEE">
      <w:pPr>
        <w:spacing w:after="0" w:line="276" w:lineRule="auto"/>
        <w:jc w:val="both"/>
        <w:rPr>
          <w:rFonts w:ascii="Arial" w:hAnsi="Arial" w:cs="Arial"/>
          <w:sz w:val="18"/>
          <w:szCs w:val="18"/>
        </w:rPr>
      </w:pPr>
      <w:r w:rsidRPr="00344C45">
        <w:rPr>
          <w:rFonts w:ascii="Arial" w:hAnsi="Arial" w:cs="Arial"/>
          <w:b/>
          <w:sz w:val="18"/>
          <w:szCs w:val="18"/>
        </w:rPr>
        <w:t>Octavo</w:t>
      </w:r>
      <w:r w:rsidR="0024601F" w:rsidRPr="00344C45">
        <w:rPr>
          <w:rFonts w:ascii="Arial" w:hAnsi="Arial" w:cs="Arial"/>
          <w:b/>
          <w:sz w:val="18"/>
          <w:szCs w:val="18"/>
        </w:rPr>
        <w:t>. -</w:t>
      </w:r>
      <w:r w:rsidR="00CB0B80" w:rsidRPr="00344C45">
        <w:rPr>
          <w:rFonts w:ascii="Arial" w:eastAsia="Calibri" w:hAnsi="Arial" w:cs="Arial"/>
          <w:sz w:val="18"/>
          <w:szCs w:val="18"/>
          <w:lang w:val="es-ES"/>
        </w:rPr>
        <w:t xml:space="preserve"> El 07 de marzo de 2024, se recibió a través de la Oficialía de Partes del Instituto, un escrito con el que los representantes de la CANIETI, de la Asociación Nacional de Telecomunicaciones y de la Asociación Nacional de Fabricantes de Aparatos Domésticos, enviaron propuestas de modificación a los Lineamientos</w:t>
      </w:r>
      <w:r w:rsidR="00492542" w:rsidRPr="00344C45">
        <w:rPr>
          <w:rFonts w:ascii="Arial" w:hAnsi="Arial" w:cs="Arial"/>
          <w:sz w:val="18"/>
          <w:szCs w:val="18"/>
        </w:rPr>
        <w:t xml:space="preserve"> de Homologación y los Lineamientos</w:t>
      </w:r>
      <w:r w:rsidR="00CB0B80" w:rsidRPr="00344C45">
        <w:rPr>
          <w:rFonts w:ascii="Arial" w:eastAsia="Calibri" w:hAnsi="Arial" w:cs="Arial"/>
          <w:sz w:val="18"/>
          <w:szCs w:val="18"/>
          <w:lang w:val="es-ES"/>
        </w:rPr>
        <w:t xml:space="preserve"> </w:t>
      </w:r>
      <w:r w:rsidR="00C73811" w:rsidRPr="00344C45">
        <w:rPr>
          <w:rFonts w:ascii="Arial" w:eastAsia="Calibri" w:hAnsi="Arial" w:cs="Arial"/>
          <w:sz w:val="18"/>
          <w:szCs w:val="18"/>
          <w:lang w:val="es-ES"/>
        </w:rPr>
        <w:t xml:space="preserve">para </w:t>
      </w:r>
      <w:r w:rsidR="00CB0B80" w:rsidRPr="00344C45">
        <w:rPr>
          <w:rFonts w:ascii="Arial" w:eastAsia="Calibri" w:hAnsi="Arial" w:cs="Arial"/>
          <w:sz w:val="18"/>
          <w:szCs w:val="18"/>
          <w:lang w:val="es-ES"/>
        </w:rPr>
        <w:t>e</w:t>
      </w:r>
      <w:r w:rsidR="00C73811" w:rsidRPr="00344C45">
        <w:rPr>
          <w:rFonts w:ascii="Arial" w:eastAsia="Calibri" w:hAnsi="Arial" w:cs="Arial"/>
          <w:sz w:val="18"/>
          <w:szCs w:val="18"/>
          <w:lang w:val="es-ES"/>
        </w:rPr>
        <w:t>l</w:t>
      </w:r>
      <w:r w:rsidR="00CB0B80" w:rsidRPr="00344C45">
        <w:rPr>
          <w:rFonts w:ascii="Arial" w:eastAsia="Calibri" w:hAnsi="Arial" w:cs="Arial"/>
          <w:sz w:val="18"/>
          <w:szCs w:val="18"/>
          <w:lang w:val="es-ES"/>
        </w:rPr>
        <w:t xml:space="preserve"> uso del Sello IFT</w:t>
      </w:r>
      <w:r w:rsidR="009071AA" w:rsidRPr="00344C45">
        <w:rPr>
          <w:rFonts w:ascii="Arial" w:eastAsia="Calibri" w:hAnsi="Arial" w:cs="Arial"/>
          <w:sz w:val="18"/>
          <w:szCs w:val="18"/>
          <w:lang w:val="es-ES"/>
        </w:rPr>
        <w:t>, así como</w:t>
      </w:r>
      <w:r w:rsidR="009071AA" w:rsidRPr="00344C45">
        <w:rPr>
          <w:rFonts w:ascii="Arial" w:hAnsi="Arial" w:cs="Arial"/>
          <w:sz w:val="18"/>
          <w:szCs w:val="18"/>
        </w:rPr>
        <w:t xml:space="preserve"> </w:t>
      </w:r>
      <w:r w:rsidR="009071AA" w:rsidRPr="00344C45">
        <w:rPr>
          <w:rFonts w:ascii="Arial" w:eastAsia="Calibri" w:hAnsi="Arial" w:cs="Arial"/>
          <w:sz w:val="18"/>
          <w:szCs w:val="18"/>
          <w:lang w:val="es-ES"/>
        </w:rPr>
        <w:t>lo relativo al marcado o etiquetado físico y electrónico al que se refieren los Lineamientos de Homologación</w:t>
      </w:r>
      <w:r w:rsidR="00CB0B80" w:rsidRPr="00344C45">
        <w:rPr>
          <w:rFonts w:ascii="Arial" w:eastAsia="Calibri" w:hAnsi="Arial" w:cs="Arial"/>
          <w:sz w:val="18"/>
          <w:szCs w:val="18"/>
          <w:lang w:val="es-ES"/>
        </w:rPr>
        <w:t>.</w:t>
      </w:r>
      <w:r w:rsidR="00CB0B80" w:rsidRPr="00344C45">
        <w:rPr>
          <w:rFonts w:ascii="Arial" w:hAnsi="Arial" w:cs="Arial"/>
          <w:sz w:val="18"/>
          <w:szCs w:val="18"/>
        </w:rPr>
        <w:t xml:space="preserve"> </w:t>
      </w:r>
    </w:p>
    <w:p w14:paraId="2F1C803F" w14:textId="77777777" w:rsidR="00E45FEE" w:rsidRPr="00344C45" w:rsidRDefault="00E45FEE" w:rsidP="00225F4C">
      <w:pPr>
        <w:spacing w:after="0" w:line="276" w:lineRule="auto"/>
        <w:jc w:val="both"/>
        <w:rPr>
          <w:rFonts w:ascii="Arial" w:hAnsi="Arial" w:cs="Arial"/>
          <w:sz w:val="18"/>
          <w:szCs w:val="18"/>
        </w:rPr>
      </w:pPr>
    </w:p>
    <w:p w14:paraId="0AA77A51" w14:textId="4FADAB6B" w:rsidR="002567FA" w:rsidRPr="00344C45" w:rsidRDefault="005543D2" w:rsidP="00E45FEE">
      <w:pPr>
        <w:spacing w:after="0" w:line="276" w:lineRule="auto"/>
        <w:jc w:val="both"/>
        <w:rPr>
          <w:rFonts w:ascii="Arial" w:eastAsia="Calibri" w:hAnsi="Arial" w:cs="Arial"/>
          <w:sz w:val="18"/>
          <w:szCs w:val="18"/>
        </w:rPr>
      </w:pPr>
      <w:r w:rsidRPr="00344C45">
        <w:rPr>
          <w:rFonts w:ascii="Arial" w:eastAsia="Calibri" w:hAnsi="Arial" w:cs="Arial"/>
          <w:b/>
          <w:bCs/>
          <w:sz w:val="18"/>
          <w:szCs w:val="18"/>
        </w:rPr>
        <w:t>Noveno</w:t>
      </w:r>
      <w:r w:rsidR="002567FA" w:rsidRPr="00344C45">
        <w:rPr>
          <w:rFonts w:ascii="Arial" w:eastAsia="Calibri" w:hAnsi="Arial" w:cs="Arial"/>
          <w:b/>
          <w:bCs/>
          <w:sz w:val="18"/>
          <w:szCs w:val="18"/>
        </w:rPr>
        <w:t>. -</w:t>
      </w:r>
      <w:r w:rsidR="002567FA" w:rsidRPr="00344C45">
        <w:rPr>
          <w:rFonts w:ascii="Arial" w:eastAsia="Calibri" w:hAnsi="Arial" w:cs="Arial"/>
          <w:sz w:val="18"/>
          <w:szCs w:val="18"/>
        </w:rPr>
        <w:t xml:space="preserve"> El 12 de junio de 2024, el Pleno del Instituto mediante el Acuerdo P/IFT/120624/187 determinó someter a consulta pública el "Anteproyecto de Acuerdo mediante el cual el Pleno del Instituto Federal de Telecomunicaciones modifica los </w:t>
      </w:r>
      <w:r w:rsidR="00C14D26" w:rsidRPr="00344C45">
        <w:rPr>
          <w:rFonts w:ascii="Arial" w:eastAsia="Calibri" w:hAnsi="Arial" w:cs="Arial"/>
          <w:sz w:val="18"/>
          <w:szCs w:val="18"/>
        </w:rPr>
        <w:t>‘</w:t>
      </w:r>
      <w:r w:rsidR="002567FA" w:rsidRPr="00344C45">
        <w:rPr>
          <w:rFonts w:ascii="Arial" w:eastAsia="Calibri" w:hAnsi="Arial" w:cs="Arial"/>
          <w:sz w:val="18"/>
          <w:szCs w:val="18"/>
        </w:rPr>
        <w:t xml:space="preserve">Lineamientos para la homologación de productos, equipos, dispositivos o aparatos destinados a </w:t>
      </w:r>
      <w:r w:rsidR="002567FA" w:rsidRPr="00344C45">
        <w:rPr>
          <w:rFonts w:ascii="Arial" w:eastAsia="Calibri" w:hAnsi="Arial" w:cs="Arial"/>
          <w:sz w:val="18"/>
          <w:szCs w:val="18"/>
        </w:rPr>
        <w:lastRenderedPageBreak/>
        <w:t>telecomunicaciones o radiodifusión</w:t>
      </w:r>
      <w:r w:rsidR="00C14D26" w:rsidRPr="00344C45">
        <w:rPr>
          <w:rFonts w:ascii="Arial" w:eastAsia="Calibri" w:hAnsi="Arial" w:cs="Arial"/>
          <w:sz w:val="18"/>
          <w:szCs w:val="18"/>
        </w:rPr>
        <w:t>’</w:t>
      </w:r>
      <w:r w:rsidR="002567FA" w:rsidRPr="00344C45">
        <w:rPr>
          <w:rFonts w:ascii="Arial" w:eastAsia="Calibri" w:hAnsi="Arial" w:cs="Arial"/>
          <w:sz w:val="18"/>
          <w:szCs w:val="18"/>
        </w:rPr>
        <w:t xml:space="preserve">", por un periodo de 60 (sesenta) días naturales, comprendido del 14 de junio de 2024 al 12 de agosto de 2024. </w:t>
      </w:r>
    </w:p>
    <w:p w14:paraId="2FEC0058" w14:textId="77777777" w:rsidR="00E45FEE" w:rsidRPr="00344C45" w:rsidRDefault="00E45FEE" w:rsidP="00225F4C">
      <w:pPr>
        <w:spacing w:after="0" w:line="276" w:lineRule="auto"/>
        <w:jc w:val="both"/>
        <w:rPr>
          <w:rFonts w:ascii="Arial" w:eastAsia="Calibri" w:hAnsi="Arial" w:cs="Arial"/>
          <w:sz w:val="18"/>
          <w:szCs w:val="18"/>
        </w:rPr>
      </w:pPr>
    </w:p>
    <w:p w14:paraId="0B8930D5" w14:textId="3247F86B" w:rsidR="00CB0B80" w:rsidRPr="00344C45" w:rsidRDefault="002567FA" w:rsidP="00225F4C">
      <w:pPr>
        <w:spacing w:after="0" w:line="276" w:lineRule="auto"/>
        <w:jc w:val="both"/>
        <w:rPr>
          <w:rFonts w:ascii="Arial" w:eastAsia="Calibri" w:hAnsi="Arial" w:cs="Arial"/>
          <w:sz w:val="18"/>
          <w:szCs w:val="18"/>
        </w:rPr>
      </w:pPr>
      <w:r w:rsidRPr="00344C45">
        <w:rPr>
          <w:rFonts w:ascii="Arial" w:eastAsia="Calibri" w:hAnsi="Arial" w:cs="Arial"/>
          <w:b/>
          <w:bCs/>
          <w:sz w:val="18"/>
          <w:szCs w:val="18"/>
        </w:rPr>
        <w:t>D</w:t>
      </w:r>
      <w:r w:rsidR="005543D2" w:rsidRPr="00344C45">
        <w:rPr>
          <w:rFonts w:ascii="Arial" w:eastAsia="Calibri" w:hAnsi="Arial" w:cs="Arial"/>
          <w:b/>
          <w:bCs/>
          <w:sz w:val="18"/>
          <w:szCs w:val="18"/>
        </w:rPr>
        <w:t>é</w:t>
      </w:r>
      <w:r w:rsidRPr="00344C45">
        <w:rPr>
          <w:rFonts w:ascii="Arial" w:eastAsia="Calibri" w:hAnsi="Arial" w:cs="Arial"/>
          <w:b/>
          <w:bCs/>
          <w:sz w:val="18"/>
          <w:szCs w:val="18"/>
        </w:rPr>
        <w:t>cimo. -</w:t>
      </w:r>
      <w:r w:rsidRPr="00344C45">
        <w:rPr>
          <w:rFonts w:ascii="Arial" w:eastAsia="Calibri" w:hAnsi="Arial" w:cs="Arial"/>
          <w:sz w:val="18"/>
          <w:szCs w:val="18"/>
        </w:rPr>
        <w:t xml:space="preserve"> Con oficio IFT/211/CGMR/</w:t>
      </w:r>
      <w:r w:rsidR="00F30621" w:rsidRPr="00344C45">
        <w:rPr>
          <w:rFonts w:ascii="Arial" w:eastAsia="Calibri" w:hAnsi="Arial" w:cs="Arial"/>
          <w:sz w:val="18"/>
          <w:szCs w:val="18"/>
        </w:rPr>
        <w:t>147</w:t>
      </w:r>
      <w:r w:rsidRPr="00344C45">
        <w:rPr>
          <w:rFonts w:ascii="Arial" w:eastAsia="Calibri" w:hAnsi="Arial" w:cs="Arial"/>
          <w:sz w:val="18"/>
          <w:szCs w:val="18"/>
        </w:rPr>
        <w:t xml:space="preserve">/2024, de fecha </w:t>
      </w:r>
      <w:r w:rsidR="00F30621" w:rsidRPr="00344C45">
        <w:rPr>
          <w:rFonts w:ascii="Arial" w:eastAsia="Calibri" w:hAnsi="Arial" w:cs="Arial"/>
          <w:sz w:val="18"/>
          <w:szCs w:val="18"/>
        </w:rPr>
        <w:t>06</w:t>
      </w:r>
      <w:r w:rsidRPr="00344C45">
        <w:rPr>
          <w:rFonts w:ascii="Arial" w:eastAsia="Calibri" w:hAnsi="Arial" w:cs="Arial"/>
          <w:sz w:val="18"/>
          <w:szCs w:val="18"/>
        </w:rPr>
        <w:t xml:space="preserve"> de septiembre de 2024 la Coordinación General de Mejora Regulatoria del Instituto emitió la opinión no vinculante sobre el Análisis de Impacto Regulatorio del proyecto de "Acuerdo mediante el cual el Pleno del Instituto Federal de Telecomunicaciones modifica los </w:t>
      </w:r>
      <w:r w:rsidR="000827BE" w:rsidRPr="00344C45">
        <w:rPr>
          <w:rFonts w:ascii="Arial" w:eastAsia="Calibri" w:hAnsi="Arial" w:cs="Arial"/>
          <w:sz w:val="18"/>
          <w:szCs w:val="18"/>
        </w:rPr>
        <w:t>‘</w:t>
      </w:r>
      <w:r w:rsidRPr="00344C45">
        <w:rPr>
          <w:rFonts w:ascii="Arial" w:eastAsia="Calibri" w:hAnsi="Arial" w:cs="Arial"/>
          <w:sz w:val="18"/>
          <w:szCs w:val="18"/>
        </w:rPr>
        <w:t>Lineamientos para la homologación de productos, equipos, dispositivos o aparatos destinados a telecomunicaciones o radiodifusión</w:t>
      </w:r>
      <w:r w:rsidR="000827BE" w:rsidRPr="00344C45">
        <w:rPr>
          <w:rFonts w:ascii="Arial" w:eastAsia="Calibri" w:hAnsi="Arial" w:cs="Arial"/>
          <w:sz w:val="18"/>
          <w:szCs w:val="18"/>
        </w:rPr>
        <w:t>’</w:t>
      </w:r>
      <w:r w:rsidRPr="00344C45">
        <w:rPr>
          <w:rFonts w:ascii="Arial" w:eastAsia="Calibri" w:hAnsi="Arial" w:cs="Arial"/>
          <w:sz w:val="18"/>
          <w:szCs w:val="18"/>
        </w:rPr>
        <w:t xml:space="preserve">". </w:t>
      </w:r>
      <w:r w:rsidR="00CB0B80" w:rsidRPr="00344C45" w:rsidDel="006479BC">
        <w:rPr>
          <w:rFonts w:ascii="Arial" w:eastAsia="Calibri" w:hAnsi="Arial" w:cs="Arial"/>
          <w:sz w:val="18"/>
          <w:szCs w:val="18"/>
          <w:lang w:val="es-ES"/>
        </w:rPr>
        <w:t xml:space="preserve"> </w:t>
      </w:r>
    </w:p>
    <w:p w14:paraId="29231945" w14:textId="77777777" w:rsidR="00CB0B80" w:rsidRPr="00344C45" w:rsidRDefault="00CB0B80" w:rsidP="00CB0B80">
      <w:pPr>
        <w:pStyle w:val="Prrafodelista"/>
        <w:spacing w:line="276" w:lineRule="auto"/>
        <w:ind w:left="720"/>
        <w:jc w:val="both"/>
        <w:rPr>
          <w:rFonts w:cs="Arial"/>
          <w:sz w:val="18"/>
          <w:szCs w:val="18"/>
          <w:lang w:val="es-MX"/>
        </w:rPr>
      </w:pPr>
    </w:p>
    <w:p w14:paraId="428D4741" w14:textId="77777777" w:rsidR="00CB0B80" w:rsidRPr="00344C45" w:rsidRDefault="00CB0B80" w:rsidP="00225F4C">
      <w:pPr>
        <w:spacing w:after="0" w:line="276" w:lineRule="auto"/>
        <w:jc w:val="both"/>
        <w:rPr>
          <w:rFonts w:ascii="Arial" w:eastAsia="Calibri" w:hAnsi="Arial" w:cs="Arial"/>
          <w:sz w:val="18"/>
          <w:szCs w:val="18"/>
          <w:lang w:val="es-ES"/>
        </w:rPr>
      </w:pPr>
      <w:r w:rsidRPr="00344C45">
        <w:rPr>
          <w:rFonts w:ascii="Arial" w:eastAsia="Calibri" w:hAnsi="Arial" w:cs="Arial"/>
          <w:sz w:val="18"/>
          <w:szCs w:val="18"/>
          <w:lang w:val="es-ES"/>
        </w:rPr>
        <w:t>En virtud de los antecedentes señalados, y</w:t>
      </w:r>
    </w:p>
    <w:p w14:paraId="10C33E9F" w14:textId="3EF9FAD9" w:rsidR="0052732E" w:rsidRPr="00344C45" w:rsidRDefault="0052732E" w:rsidP="00E45FEE">
      <w:pPr>
        <w:spacing w:after="0" w:line="276" w:lineRule="auto"/>
        <w:jc w:val="both"/>
        <w:rPr>
          <w:rFonts w:ascii="Arial" w:hAnsi="Arial" w:cs="Arial"/>
          <w:sz w:val="18"/>
          <w:szCs w:val="18"/>
        </w:rPr>
      </w:pPr>
    </w:p>
    <w:p w14:paraId="324FAB9C" w14:textId="77777777" w:rsidR="00E45FEE" w:rsidRPr="00344C45" w:rsidRDefault="00E45FEE" w:rsidP="00225F4C">
      <w:pPr>
        <w:spacing w:after="0" w:line="276" w:lineRule="auto"/>
        <w:jc w:val="both"/>
        <w:rPr>
          <w:rFonts w:ascii="Arial" w:hAnsi="Arial" w:cs="Arial"/>
          <w:sz w:val="18"/>
          <w:szCs w:val="18"/>
        </w:rPr>
      </w:pPr>
    </w:p>
    <w:p w14:paraId="27E586AE" w14:textId="3BE5A6E9" w:rsidR="009F352E" w:rsidRPr="00344C45" w:rsidRDefault="00894DBB" w:rsidP="00EA6F0E">
      <w:pPr>
        <w:tabs>
          <w:tab w:val="left" w:pos="0"/>
        </w:tabs>
        <w:autoSpaceDE w:val="0"/>
        <w:autoSpaceDN w:val="0"/>
        <w:adjustRightInd w:val="0"/>
        <w:spacing w:after="0" w:line="276" w:lineRule="auto"/>
        <w:ind w:right="51"/>
        <w:jc w:val="center"/>
        <w:rPr>
          <w:rFonts w:ascii="Arial" w:eastAsia="MS Mincho" w:hAnsi="Arial" w:cs="Arial"/>
          <w:b/>
          <w:bCs/>
          <w:sz w:val="18"/>
          <w:szCs w:val="18"/>
          <w:lang w:val="es-ES_tradnl" w:eastAsia="es-MX"/>
        </w:rPr>
      </w:pPr>
      <w:r w:rsidRPr="00344C45">
        <w:rPr>
          <w:rFonts w:ascii="Arial" w:eastAsia="MS Mincho" w:hAnsi="Arial" w:cs="Arial"/>
          <w:b/>
          <w:bCs/>
          <w:sz w:val="18"/>
          <w:szCs w:val="18"/>
          <w:lang w:val="es-ES_tradnl" w:eastAsia="es-MX"/>
        </w:rPr>
        <w:t>Considerando</w:t>
      </w:r>
    </w:p>
    <w:p w14:paraId="3238D482" w14:textId="77777777" w:rsidR="00EA6F0E" w:rsidRPr="00344C45" w:rsidRDefault="00EA6F0E" w:rsidP="00C83863">
      <w:pPr>
        <w:tabs>
          <w:tab w:val="left" w:pos="0"/>
        </w:tabs>
        <w:autoSpaceDE w:val="0"/>
        <w:autoSpaceDN w:val="0"/>
        <w:adjustRightInd w:val="0"/>
        <w:spacing w:after="0" w:line="276" w:lineRule="auto"/>
        <w:ind w:right="51"/>
        <w:jc w:val="center"/>
        <w:rPr>
          <w:rFonts w:ascii="Arial" w:eastAsia="MS Mincho" w:hAnsi="Arial" w:cs="Arial"/>
          <w:b/>
          <w:bCs/>
          <w:sz w:val="18"/>
          <w:szCs w:val="18"/>
          <w:lang w:val="es-ES_tradnl" w:eastAsia="es-MX"/>
        </w:rPr>
      </w:pPr>
    </w:p>
    <w:p w14:paraId="137A4128" w14:textId="77777777" w:rsidR="00E45FEE" w:rsidRPr="00344C45" w:rsidRDefault="00E45FEE" w:rsidP="00C83863">
      <w:pPr>
        <w:tabs>
          <w:tab w:val="left" w:pos="0"/>
        </w:tabs>
        <w:autoSpaceDE w:val="0"/>
        <w:autoSpaceDN w:val="0"/>
        <w:adjustRightInd w:val="0"/>
        <w:spacing w:after="0" w:line="276" w:lineRule="auto"/>
        <w:ind w:right="51"/>
        <w:jc w:val="center"/>
        <w:rPr>
          <w:rFonts w:ascii="Arial" w:eastAsia="MS Mincho" w:hAnsi="Arial" w:cs="Arial"/>
          <w:b/>
          <w:bCs/>
          <w:sz w:val="18"/>
          <w:szCs w:val="18"/>
          <w:lang w:val="es-ES_tradnl" w:eastAsia="es-MX"/>
        </w:rPr>
      </w:pPr>
    </w:p>
    <w:p w14:paraId="099D12D6" w14:textId="022264CE" w:rsidR="004C6F3B" w:rsidRPr="00344C45" w:rsidRDefault="009F352E" w:rsidP="00E45FEE">
      <w:pPr>
        <w:spacing w:after="0" w:line="276" w:lineRule="auto"/>
        <w:jc w:val="both"/>
        <w:rPr>
          <w:rFonts w:ascii="Arial" w:hAnsi="Arial" w:cs="Arial"/>
          <w:sz w:val="18"/>
          <w:szCs w:val="18"/>
        </w:rPr>
      </w:pPr>
      <w:r w:rsidRPr="00344C45">
        <w:rPr>
          <w:rFonts w:ascii="Arial" w:eastAsia="Calibri" w:hAnsi="Arial" w:cs="Arial"/>
          <w:b/>
          <w:bCs/>
          <w:sz w:val="18"/>
          <w:szCs w:val="18"/>
          <w:lang w:val="es-ES_tradnl" w:eastAsia="es-MX"/>
        </w:rPr>
        <w:t>Primero.</w:t>
      </w:r>
      <w:r w:rsidR="00FB3246" w:rsidRPr="00344C45">
        <w:rPr>
          <w:rFonts w:ascii="Arial" w:eastAsia="Calibri" w:hAnsi="Arial" w:cs="Arial"/>
          <w:b/>
          <w:bCs/>
          <w:sz w:val="18"/>
          <w:szCs w:val="18"/>
          <w:lang w:val="es-ES_tradnl" w:eastAsia="es-MX"/>
        </w:rPr>
        <w:t xml:space="preserve"> </w:t>
      </w:r>
      <w:r w:rsidRPr="00344C45">
        <w:rPr>
          <w:rFonts w:ascii="Arial" w:eastAsia="Calibri" w:hAnsi="Arial" w:cs="Arial"/>
          <w:b/>
          <w:bCs/>
          <w:sz w:val="18"/>
          <w:szCs w:val="18"/>
          <w:lang w:val="es-ES_tradnl" w:eastAsia="es-MX"/>
        </w:rPr>
        <w:t>- Competencia del Instituto.</w:t>
      </w:r>
      <w:r w:rsidRPr="00344C45">
        <w:rPr>
          <w:rFonts w:ascii="Arial" w:hAnsi="Arial" w:cs="Arial"/>
          <w:sz w:val="18"/>
          <w:szCs w:val="18"/>
        </w:rPr>
        <w:t xml:space="preserve"> </w:t>
      </w:r>
      <w:r w:rsidR="004C6F3B" w:rsidRPr="00344C45">
        <w:rPr>
          <w:rFonts w:ascii="Arial" w:hAnsi="Arial" w:cs="Arial"/>
          <w:sz w:val="18"/>
          <w:szCs w:val="18"/>
        </w:rPr>
        <w:t>De conformidad con lo establecido el artículo 6, párrafo tercero y apartado B, fracciones II y III, así como en el artículo 28, párrafos décimo quinto y vigésimo, fracción IV, de la Constitución Política de los Estados Unidos Mexicanos; así como en los diversos 1, 2 y 7 de la LFTR, el Instituto es un órgano autónomo con personalidad jurídica y patrimonio propios que tiene por objeto el desarrollo eficiente de la radiodifusión y las telecomunicaciones, conforme a lo dispuesto en la propia Constitución y en los términos que fijen las leyes; además tiene la atribución de emitir disposiciones administrativas de carácter general exclusivamente para el cumplimiento de su función regulatoria en el sector de su competencia.</w:t>
      </w:r>
    </w:p>
    <w:p w14:paraId="3927AE9E" w14:textId="77777777" w:rsidR="00E45FEE" w:rsidRPr="00344C45" w:rsidRDefault="00E45FEE" w:rsidP="00225F4C">
      <w:pPr>
        <w:spacing w:after="0" w:line="276" w:lineRule="auto"/>
        <w:jc w:val="both"/>
        <w:rPr>
          <w:rFonts w:ascii="Arial" w:hAnsi="Arial" w:cs="Arial"/>
          <w:sz w:val="18"/>
          <w:szCs w:val="18"/>
        </w:rPr>
      </w:pPr>
    </w:p>
    <w:p w14:paraId="23EE732A" w14:textId="4122F799" w:rsidR="00F365C8" w:rsidRPr="00344C45" w:rsidRDefault="004C6F3B" w:rsidP="00E45FEE">
      <w:pPr>
        <w:spacing w:after="0" w:line="276" w:lineRule="auto"/>
        <w:jc w:val="both"/>
        <w:rPr>
          <w:rFonts w:ascii="Arial" w:eastAsia="Calibri" w:hAnsi="Arial" w:cs="Arial"/>
          <w:sz w:val="18"/>
          <w:szCs w:val="18"/>
          <w:lang w:val="es-ES_tradnl" w:eastAsia="es-MX"/>
        </w:rPr>
      </w:pPr>
      <w:r w:rsidRPr="00344C45">
        <w:rPr>
          <w:rFonts w:ascii="Arial" w:hAnsi="Arial" w:cs="Arial"/>
          <w:sz w:val="18"/>
          <w:szCs w:val="18"/>
        </w:rPr>
        <w:t>Asimismo, de conformidad con las fracciones I y LVI del artículo 15, de la LFTR,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w:t>
      </w:r>
      <w:r w:rsidR="00CB0B80" w:rsidRPr="00344C45">
        <w:rPr>
          <w:rFonts w:ascii="Arial" w:eastAsia="Calibri" w:hAnsi="Arial" w:cs="Arial"/>
          <w:sz w:val="18"/>
          <w:szCs w:val="18"/>
          <w:lang w:val="es-ES_tradnl" w:eastAsia="es-MX"/>
        </w:rPr>
        <w:t>.</w:t>
      </w:r>
    </w:p>
    <w:p w14:paraId="562AC13A" w14:textId="77777777" w:rsidR="00E45FEE" w:rsidRPr="00344C45" w:rsidRDefault="00E45FEE" w:rsidP="00225F4C">
      <w:pPr>
        <w:spacing w:after="0" w:line="276" w:lineRule="auto"/>
        <w:jc w:val="both"/>
        <w:rPr>
          <w:rFonts w:ascii="Arial" w:eastAsia="Calibri" w:hAnsi="Arial" w:cs="Arial"/>
          <w:sz w:val="18"/>
          <w:szCs w:val="18"/>
          <w:lang w:val="es-ES_tradnl" w:eastAsia="es-MX"/>
        </w:rPr>
      </w:pPr>
    </w:p>
    <w:p w14:paraId="2E0605F6" w14:textId="5A860765" w:rsidR="004C6F3B" w:rsidRPr="00344C45" w:rsidRDefault="004C6F3B" w:rsidP="00E45FEE">
      <w:pPr>
        <w:spacing w:after="0" w:line="276" w:lineRule="auto"/>
        <w:jc w:val="both"/>
        <w:rPr>
          <w:rFonts w:ascii="Arial" w:eastAsia="Calibri" w:hAnsi="Arial" w:cs="Arial"/>
          <w:sz w:val="18"/>
          <w:szCs w:val="18"/>
          <w:lang w:eastAsia="es-MX"/>
        </w:rPr>
      </w:pPr>
      <w:r w:rsidRPr="00344C45">
        <w:rPr>
          <w:rFonts w:ascii="Arial" w:eastAsia="Calibri" w:hAnsi="Arial" w:cs="Arial"/>
          <w:b/>
          <w:bCs/>
          <w:sz w:val="18"/>
          <w:szCs w:val="18"/>
          <w:lang w:val="es-ES_tradnl" w:eastAsia="es-MX"/>
        </w:rPr>
        <w:t xml:space="preserve">Segundo. - </w:t>
      </w:r>
      <w:r w:rsidRPr="00344C45">
        <w:rPr>
          <w:rFonts w:ascii="Arial" w:eastAsia="Calibri" w:hAnsi="Arial" w:cs="Arial"/>
          <w:b/>
          <w:bCs/>
          <w:sz w:val="18"/>
          <w:szCs w:val="18"/>
          <w:lang w:eastAsia="es-MX"/>
        </w:rPr>
        <w:t xml:space="preserve">Marco Técnico Regulatorio. </w:t>
      </w:r>
      <w:r w:rsidRPr="00344C45">
        <w:rPr>
          <w:rFonts w:ascii="Arial" w:eastAsia="Calibri" w:hAnsi="Arial" w:cs="Arial"/>
          <w:sz w:val="18"/>
          <w:szCs w:val="18"/>
          <w:lang w:eastAsia="es-MX"/>
        </w:rPr>
        <w:t>El artículo 289 de la LFTR, establece que los productos, equipos, dispositivos o aparatos destinados a telecomunicaciones o radiodifusión que puedan ser conectados a una red de telecomunicaciones o hacer uso del espectro radioeléctrico deberán homologarse conforme las normas o disposiciones técnicas aplicables.</w:t>
      </w:r>
    </w:p>
    <w:p w14:paraId="1AADE337" w14:textId="77777777" w:rsidR="00E45FEE" w:rsidRPr="00344C45" w:rsidRDefault="00E45FEE" w:rsidP="00225F4C">
      <w:pPr>
        <w:spacing w:after="0" w:line="276" w:lineRule="auto"/>
        <w:jc w:val="both"/>
        <w:rPr>
          <w:rFonts w:ascii="Arial" w:eastAsia="Calibri" w:hAnsi="Arial" w:cs="Arial"/>
          <w:sz w:val="18"/>
          <w:szCs w:val="18"/>
          <w:lang w:eastAsia="es-MX"/>
        </w:rPr>
      </w:pPr>
    </w:p>
    <w:p w14:paraId="44D7EC45" w14:textId="1C5721EC" w:rsidR="004C6F3B" w:rsidRPr="00344C45" w:rsidRDefault="004C6F3B" w:rsidP="00E45FEE">
      <w:pPr>
        <w:spacing w:after="0" w:line="276" w:lineRule="auto"/>
        <w:jc w:val="both"/>
        <w:rPr>
          <w:rFonts w:ascii="Arial" w:eastAsia="Calibri" w:hAnsi="Arial" w:cs="Arial"/>
          <w:sz w:val="18"/>
          <w:szCs w:val="18"/>
          <w:lang w:eastAsia="es-MX"/>
        </w:rPr>
      </w:pPr>
      <w:r w:rsidRPr="00344C45">
        <w:rPr>
          <w:rFonts w:ascii="Arial" w:eastAsia="Calibri" w:hAnsi="Arial" w:cs="Arial"/>
          <w:sz w:val="18"/>
          <w:szCs w:val="18"/>
          <w:lang w:eastAsia="es-MX"/>
        </w:rPr>
        <w:t xml:space="preserve">Acorde con lo anterior, los Lineamientos de Homologación tienen por objeto establecer los procedimientos y disposiciones para la </w:t>
      </w:r>
      <w:r w:rsidR="00671BF7" w:rsidRPr="00344C45">
        <w:rPr>
          <w:rFonts w:ascii="Arial" w:eastAsia="Calibri" w:hAnsi="Arial" w:cs="Arial"/>
          <w:sz w:val="18"/>
          <w:szCs w:val="18"/>
          <w:lang w:eastAsia="es-MX"/>
        </w:rPr>
        <w:t>h</w:t>
      </w:r>
      <w:r w:rsidRPr="00344C45">
        <w:rPr>
          <w:rFonts w:ascii="Arial" w:eastAsia="Calibri" w:hAnsi="Arial" w:cs="Arial"/>
          <w:sz w:val="18"/>
          <w:szCs w:val="18"/>
          <w:lang w:eastAsia="es-MX"/>
        </w:rPr>
        <w:t>omologación de productos, equipos, dispositivos o aparatos destinados a telecomunicaciones o radiodifusión que puedan ser conectados a una red de telecomunicaciones o hacer uso del espectro radioeléctrico.</w:t>
      </w:r>
    </w:p>
    <w:p w14:paraId="6A4DBA64" w14:textId="77777777" w:rsidR="00E45FEE" w:rsidRPr="00344C45" w:rsidRDefault="00E45FEE" w:rsidP="00225F4C">
      <w:pPr>
        <w:spacing w:after="0" w:line="276" w:lineRule="auto"/>
        <w:jc w:val="both"/>
        <w:rPr>
          <w:rFonts w:ascii="Arial" w:eastAsia="Calibri" w:hAnsi="Arial" w:cs="Arial"/>
          <w:sz w:val="18"/>
          <w:szCs w:val="18"/>
          <w:lang w:eastAsia="es-MX"/>
        </w:rPr>
      </w:pPr>
    </w:p>
    <w:p w14:paraId="70775B52" w14:textId="78BBB020" w:rsidR="004C6F3B" w:rsidRPr="00344C45" w:rsidRDefault="004C6F3B" w:rsidP="00E45FEE">
      <w:pPr>
        <w:spacing w:after="0" w:line="276" w:lineRule="auto"/>
        <w:jc w:val="both"/>
        <w:rPr>
          <w:rFonts w:ascii="Arial" w:eastAsia="Calibri" w:hAnsi="Arial" w:cs="Arial"/>
          <w:sz w:val="18"/>
          <w:szCs w:val="18"/>
          <w:lang w:eastAsia="es-MX"/>
        </w:rPr>
      </w:pPr>
      <w:r w:rsidRPr="00344C45">
        <w:rPr>
          <w:rFonts w:ascii="Arial" w:eastAsia="Calibri" w:hAnsi="Arial" w:cs="Arial"/>
          <w:sz w:val="18"/>
          <w:szCs w:val="18"/>
          <w:lang w:eastAsia="es-MX"/>
        </w:rPr>
        <w:t>Dichos Lineamientos de Homologación establecen en su lineamiento Trigésimo octavo, el cual forma parte del Capítulo IX "De la Contraseña IFT", lo siguiente:</w:t>
      </w:r>
    </w:p>
    <w:p w14:paraId="67E29DAA" w14:textId="77777777" w:rsidR="00E45FEE" w:rsidRPr="00344C45" w:rsidRDefault="00E45FEE" w:rsidP="00225F4C">
      <w:pPr>
        <w:spacing w:after="0" w:line="276" w:lineRule="auto"/>
        <w:jc w:val="both"/>
        <w:rPr>
          <w:rFonts w:ascii="Arial" w:eastAsia="Calibri" w:hAnsi="Arial" w:cs="Arial"/>
          <w:sz w:val="18"/>
          <w:szCs w:val="18"/>
          <w:lang w:eastAsia="es-MX"/>
        </w:rPr>
      </w:pPr>
    </w:p>
    <w:p w14:paraId="211949AE" w14:textId="2B8259C2" w:rsidR="004C6F3B" w:rsidRPr="00344C45" w:rsidRDefault="004C6F3B" w:rsidP="00E45FEE">
      <w:pPr>
        <w:spacing w:line="276" w:lineRule="auto"/>
        <w:ind w:left="708"/>
        <w:jc w:val="both"/>
        <w:rPr>
          <w:rFonts w:ascii="Arial" w:eastAsia="Calibri" w:hAnsi="Arial" w:cs="Arial"/>
          <w:sz w:val="18"/>
          <w:szCs w:val="18"/>
          <w:lang w:eastAsia="es-MX"/>
        </w:rPr>
      </w:pPr>
      <w:r w:rsidRPr="00344C45">
        <w:rPr>
          <w:rFonts w:ascii="Arial" w:eastAsia="Calibri" w:hAnsi="Arial" w:cs="Arial"/>
          <w:sz w:val="18"/>
          <w:szCs w:val="18"/>
          <w:lang w:eastAsia="es-MX"/>
        </w:rPr>
        <w:t>"</w:t>
      </w:r>
      <w:r w:rsidRPr="00344C45">
        <w:rPr>
          <w:rFonts w:ascii="Arial" w:eastAsia="Calibri" w:hAnsi="Arial" w:cs="Arial"/>
          <w:b/>
          <w:bCs/>
          <w:sz w:val="18"/>
          <w:szCs w:val="18"/>
          <w:lang w:eastAsia="es-MX"/>
        </w:rPr>
        <w:t>Trigésimo octavo.</w:t>
      </w:r>
      <w:r w:rsidRPr="00344C45">
        <w:rPr>
          <w:rFonts w:ascii="Arial" w:eastAsia="Calibri" w:hAnsi="Arial" w:cs="Arial"/>
          <w:sz w:val="18"/>
          <w:szCs w:val="18"/>
          <w:lang w:eastAsia="es-MX"/>
        </w:rPr>
        <w:t xml:space="preserve"> Para denotar que un Producto se encuentra homologado, el Titular de un Certificado de Homologación debe cumplir con los requisitos de marcado o etiqueta del Instituto y del número de Homologación que se establecen a continuación:</w:t>
      </w:r>
    </w:p>
    <w:p w14:paraId="01CD044D" w14:textId="7457EF74" w:rsidR="004C6F3B" w:rsidRPr="00344C45" w:rsidRDefault="004C6F3B" w:rsidP="00E45FEE">
      <w:pPr>
        <w:spacing w:line="276" w:lineRule="auto"/>
        <w:ind w:left="1416"/>
        <w:jc w:val="both"/>
        <w:rPr>
          <w:rFonts w:ascii="Arial" w:eastAsia="Calibri" w:hAnsi="Arial" w:cs="Arial"/>
          <w:sz w:val="18"/>
          <w:szCs w:val="18"/>
          <w:lang w:eastAsia="es-MX"/>
        </w:rPr>
      </w:pPr>
      <w:r w:rsidRPr="00344C45">
        <w:rPr>
          <w:rFonts w:ascii="Arial" w:eastAsia="Calibri" w:hAnsi="Arial" w:cs="Arial"/>
          <w:sz w:val="18"/>
          <w:szCs w:val="18"/>
          <w:lang w:eastAsia="es-MX"/>
        </w:rPr>
        <w:t xml:space="preserve">I. </w:t>
      </w:r>
      <w:r w:rsidRPr="00344C45">
        <w:rPr>
          <w:rFonts w:ascii="Arial" w:eastAsia="Calibri" w:hAnsi="Arial" w:cs="Arial"/>
          <w:b/>
          <w:bCs/>
          <w:sz w:val="18"/>
          <w:szCs w:val="18"/>
          <w:lang w:eastAsia="es-MX"/>
        </w:rPr>
        <w:t>Cada producto Homologado debe tener un marcado o etiquetado físico o electrónico</w:t>
      </w:r>
      <w:r w:rsidRPr="00344C45">
        <w:rPr>
          <w:rFonts w:ascii="Arial" w:eastAsia="Calibri" w:hAnsi="Arial" w:cs="Arial"/>
          <w:sz w:val="18"/>
          <w:szCs w:val="18"/>
          <w:lang w:eastAsia="es-MX"/>
        </w:rPr>
        <w:t>, el cual debe contener al menos lo siguiente:</w:t>
      </w:r>
    </w:p>
    <w:p w14:paraId="51A160F0" w14:textId="77777777" w:rsidR="004C6F3B" w:rsidRPr="00344C45" w:rsidRDefault="004C6F3B" w:rsidP="00E45FEE">
      <w:pPr>
        <w:spacing w:line="276" w:lineRule="auto"/>
        <w:ind w:left="1416"/>
        <w:jc w:val="both"/>
        <w:rPr>
          <w:rFonts w:ascii="Arial" w:eastAsia="Calibri" w:hAnsi="Arial" w:cs="Arial"/>
          <w:sz w:val="18"/>
          <w:szCs w:val="18"/>
          <w:lang w:eastAsia="es-MX"/>
        </w:rPr>
      </w:pPr>
      <w:r w:rsidRPr="00344C45">
        <w:rPr>
          <w:rFonts w:ascii="Arial" w:eastAsia="Calibri" w:hAnsi="Arial" w:cs="Arial"/>
          <w:sz w:val="18"/>
          <w:szCs w:val="18"/>
          <w:lang w:eastAsia="es-MX"/>
        </w:rPr>
        <w:t>1. El número del Certificado de Homologación vigente.</w:t>
      </w:r>
    </w:p>
    <w:p w14:paraId="16CE866F" w14:textId="606EF6F0" w:rsidR="004C6F3B" w:rsidRPr="00344C45" w:rsidRDefault="004C6F3B" w:rsidP="00E45FEE">
      <w:pPr>
        <w:spacing w:line="276" w:lineRule="auto"/>
        <w:ind w:left="1416"/>
        <w:jc w:val="both"/>
        <w:rPr>
          <w:rFonts w:ascii="Arial" w:eastAsia="Calibri" w:hAnsi="Arial" w:cs="Arial"/>
          <w:sz w:val="18"/>
          <w:szCs w:val="18"/>
          <w:lang w:eastAsia="es-MX"/>
        </w:rPr>
      </w:pPr>
      <w:r w:rsidRPr="00344C45">
        <w:rPr>
          <w:rFonts w:ascii="Arial" w:eastAsia="Calibri" w:hAnsi="Arial" w:cs="Arial"/>
          <w:sz w:val="18"/>
          <w:szCs w:val="18"/>
          <w:lang w:eastAsia="es-MX"/>
        </w:rPr>
        <w:t>2. El número de Certificado de Homologación debe ser precedido por el prefijo "IFT" en letras mayúsculas en una línea única y debe ser legible sin la ayuda de aumento o magnificación.</w:t>
      </w:r>
    </w:p>
    <w:p w14:paraId="11E3845E" w14:textId="77777777" w:rsidR="000827BE" w:rsidRPr="00344C45" w:rsidRDefault="004C6F3B" w:rsidP="00E45FEE">
      <w:pPr>
        <w:spacing w:line="276" w:lineRule="auto"/>
        <w:ind w:left="1416"/>
        <w:jc w:val="both"/>
        <w:rPr>
          <w:rFonts w:ascii="Arial" w:eastAsia="Calibri" w:hAnsi="Arial" w:cs="Arial"/>
          <w:sz w:val="18"/>
          <w:szCs w:val="18"/>
          <w:lang w:eastAsia="es-MX"/>
        </w:rPr>
      </w:pPr>
      <w:r w:rsidRPr="00344C45">
        <w:rPr>
          <w:rFonts w:ascii="Arial" w:eastAsia="Calibri" w:hAnsi="Arial" w:cs="Arial"/>
          <w:sz w:val="18"/>
          <w:szCs w:val="18"/>
          <w:lang w:eastAsia="es-MX"/>
        </w:rPr>
        <w:lastRenderedPageBreak/>
        <w:t xml:space="preserve">..." </w:t>
      </w:r>
    </w:p>
    <w:p w14:paraId="0C080454" w14:textId="1D5646B6" w:rsidR="004C6F3B" w:rsidRPr="00344C45" w:rsidRDefault="004C6F3B" w:rsidP="00E45FEE">
      <w:pPr>
        <w:spacing w:line="276" w:lineRule="auto"/>
        <w:ind w:left="1416"/>
        <w:jc w:val="both"/>
        <w:rPr>
          <w:rFonts w:ascii="Arial" w:eastAsia="Calibri" w:hAnsi="Arial" w:cs="Arial"/>
          <w:sz w:val="18"/>
          <w:szCs w:val="18"/>
          <w:lang w:eastAsia="es-MX"/>
        </w:rPr>
      </w:pPr>
      <w:r w:rsidRPr="00344C45">
        <w:rPr>
          <w:rFonts w:ascii="Arial" w:eastAsia="Calibri" w:hAnsi="Arial" w:cs="Arial"/>
          <w:sz w:val="18"/>
          <w:szCs w:val="18"/>
          <w:lang w:eastAsia="es-MX"/>
        </w:rPr>
        <w:t>(énfasis añadido)</w:t>
      </w:r>
    </w:p>
    <w:p w14:paraId="5F30E476" w14:textId="51971ADD" w:rsidR="004C6F3B" w:rsidRPr="00344C45" w:rsidRDefault="004C6F3B" w:rsidP="00E45FEE">
      <w:pPr>
        <w:spacing w:after="0" w:line="276" w:lineRule="auto"/>
        <w:jc w:val="both"/>
        <w:rPr>
          <w:rFonts w:ascii="Arial" w:eastAsia="Calibri" w:hAnsi="Arial" w:cs="Arial"/>
          <w:sz w:val="18"/>
          <w:szCs w:val="18"/>
          <w:lang w:eastAsia="es-MX"/>
        </w:rPr>
      </w:pPr>
      <w:r w:rsidRPr="00344C45">
        <w:rPr>
          <w:rFonts w:ascii="Arial" w:eastAsia="Calibri" w:hAnsi="Arial" w:cs="Arial"/>
          <w:sz w:val="18"/>
          <w:szCs w:val="18"/>
          <w:lang w:eastAsia="es-MX"/>
        </w:rPr>
        <w:t>Ordenamiento que no es en ningún momento limitativo en cuanto a los elementos que pueden ser parte del marcado o etiquetado físico o electrónico previsto en dichos Lineamientos.</w:t>
      </w:r>
    </w:p>
    <w:p w14:paraId="632DA897" w14:textId="77777777" w:rsidR="00E45FEE" w:rsidRPr="00344C45" w:rsidRDefault="00E45FEE" w:rsidP="00225F4C">
      <w:pPr>
        <w:spacing w:after="0" w:line="276" w:lineRule="auto"/>
        <w:jc w:val="both"/>
        <w:rPr>
          <w:rFonts w:ascii="Arial" w:eastAsia="Calibri" w:hAnsi="Arial" w:cs="Arial"/>
          <w:sz w:val="18"/>
          <w:szCs w:val="18"/>
          <w:lang w:eastAsia="es-MX"/>
        </w:rPr>
      </w:pPr>
    </w:p>
    <w:p w14:paraId="10460041" w14:textId="397610B3" w:rsidR="00036F72" w:rsidRPr="00344C45" w:rsidRDefault="00CF58D1" w:rsidP="00E45FEE">
      <w:pPr>
        <w:spacing w:after="0" w:line="276" w:lineRule="auto"/>
        <w:jc w:val="both"/>
        <w:rPr>
          <w:rFonts w:ascii="Arial" w:hAnsi="Arial" w:cs="Arial"/>
          <w:sz w:val="18"/>
          <w:szCs w:val="18"/>
        </w:rPr>
      </w:pPr>
      <w:r w:rsidRPr="00344C45">
        <w:rPr>
          <w:rFonts w:ascii="Arial" w:eastAsia="Calibri" w:hAnsi="Arial" w:cs="Arial"/>
          <w:b/>
          <w:bCs/>
          <w:sz w:val="18"/>
          <w:szCs w:val="18"/>
          <w:lang w:val="es-ES_tradnl" w:eastAsia="es-MX"/>
        </w:rPr>
        <w:t>Tercero</w:t>
      </w:r>
      <w:r w:rsidR="00C83863" w:rsidRPr="00344C45">
        <w:rPr>
          <w:rFonts w:ascii="Arial" w:eastAsia="Calibri" w:hAnsi="Arial" w:cs="Arial"/>
          <w:b/>
          <w:bCs/>
          <w:sz w:val="18"/>
          <w:szCs w:val="18"/>
          <w:lang w:val="es-ES_tradnl" w:eastAsia="es-MX"/>
        </w:rPr>
        <w:t>. -</w:t>
      </w:r>
      <w:r w:rsidR="00D72D30" w:rsidRPr="00344C45">
        <w:rPr>
          <w:rFonts w:ascii="Arial" w:eastAsia="Calibri" w:hAnsi="Arial" w:cs="Arial"/>
          <w:b/>
          <w:bCs/>
          <w:sz w:val="18"/>
          <w:szCs w:val="18"/>
          <w:lang w:val="es-ES_tradnl" w:eastAsia="es-MX"/>
        </w:rPr>
        <w:t xml:space="preserve"> </w:t>
      </w:r>
      <w:r w:rsidR="003E0A3C" w:rsidRPr="00344C45">
        <w:rPr>
          <w:rFonts w:ascii="Arial" w:eastAsia="Calibri" w:hAnsi="Arial" w:cs="Arial"/>
          <w:b/>
          <w:bCs/>
          <w:sz w:val="18"/>
          <w:szCs w:val="18"/>
          <w:lang w:val="es-ES_tradnl" w:eastAsia="es-MX"/>
        </w:rPr>
        <w:t xml:space="preserve">Necesidad de </w:t>
      </w:r>
      <w:r w:rsidR="009F352E" w:rsidRPr="00344C45">
        <w:rPr>
          <w:rFonts w:ascii="Arial" w:eastAsia="Calibri" w:hAnsi="Arial" w:cs="Arial"/>
          <w:b/>
          <w:bCs/>
          <w:sz w:val="18"/>
          <w:szCs w:val="18"/>
          <w:lang w:val="es-ES_tradnl" w:eastAsia="es-MX"/>
        </w:rPr>
        <w:t>modificar los</w:t>
      </w:r>
      <w:r w:rsidR="003E0A3C" w:rsidRPr="00344C45">
        <w:rPr>
          <w:rFonts w:ascii="Arial" w:eastAsia="Calibri" w:hAnsi="Arial" w:cs="Arial"/>
          <w:b/>
          <w:bCs/>
          <w:sz w:val="18"/>
          <w:szCs w:val="18"/>
          <w:lang w:val="es-ES_tradnl" w:eastAsia="es-MX"/>
        </w:rPr>
        <w:t xml:space="preserve"> </w:t>
      </w:r>
      <w:r w:rsidR="009F352E" w:rsidRPr="00344C45">
        <w:rPr>
          <w:rFonts w:ascii="Arial" w:eastAsia="Calibri" w:hAnsi="Arial" w:cs="Arial"/>
          <w:b/>
          <w:bCs/>
          <w:sz w:val="18"/>
          <w:szCs w:val="18"/>
          <w:lang w:val="es-ES_tradnl" w:eastAsia="es-MX"/>
        </w:rPr>
        <w:t xml:space="preserve">Lineamientos </w:t>
      </w:r>
      <w:r w:rsidR="00D37492" w:rsidRPr="00344C45">
        <w:rPr>
          <w:rFonts w:ascii="Arial" w:eastAsia="Calibri" w:hAnsi="Arial" w:cs="Arial"/>
          <w:b/>
          <w:bCs/>
          <w:sz w:val="18"/>
          <w:szCs w:val="18"/>
          <w:lang w:val="es-ES_tradnl" w:eastAsia="es-MX"/>
        </w:rPr>
        <w:t>de</w:t>
      </w:r>
      <w:r w:rsidR="009F352E" w:rsidRPr="00344C45">
        <w:rPr>
          <w:rFonts w:ascii="Arial" w:eastAsia="Calibri" w:hAnsi="Arial" w:cs="Arial"/>
          <w:b/>
          <w:bCs/>
          <w:sz w:val="18"/>
          <w:szCs w:val="18"/>
          <w:lang w:val="es-ES_tradnl" w:eastAsia="es-MX"/>
        </w:rPr>
        <w:t xml:space="preserve"> </w:t>
      </w:r>
      <w:r w:rsidR="00D37492" w:rsidRPr="00344C45">
        <w:rPr>
          <w:rFonts w:ascii="Arial" w:eastAsia="Calibri" w:hAnsi="Arial" w:cs="Arial"/>
          <w:b/>
          <w:bCs/>
          <w:sz w:val="18"/>
          <w:szCs w:val="18"/>
          <w:lang w:val="es-ES_tradnl" w:eastAsia="es-MX"/>
        </w:rPr>
        <w:t>H</w:t>
      </w:r>
      <w:r w:rsidR="009F352E" w:rsidRPr="00344C45">
        <w:rPr>
          <w:rFonts w:ascii="Arial" w:eastAsia="Calibri" w:hAnsi="Arial" w:cs="Arial"/>
          <w:b/>
          <w:bCs/>
          <w:sz w:val="18"/>
          <w:szCs w:val="18"/>
          <w:lang w:val="es-ES_tradnl" w:eastAsia="es-MX"/>
        </w:rPr>
        <w:t>omologación</w:t>
      </w:r>
      <w:r w:rsidR="00DF28C5" w:rsidRPr="00344C45">
        <w:rPr>
          <w:rFonts w:ascii="Arial" w:eastAsia="Calibri" w:hAnsi="Arial" w:cs="Arial"/>
          <w:b/>
          <w:bCs/>
          <w:sz w:val="18"/>
          <w:szCs w:val="18"/>
          <w:lang w:val="es-ES_tradnl" w:eastAsia="es-MX"/>
        </w:rPr>
        <w:t>.</w:t>
      </w:r>
      <w:r w:rsidR="005444D3" w:rsidRPr="00344C45">
        <w:rPr>
          <w:rFonts w:ascii="Arial" w:eastAsia="Calibri" w:hAnsi="Arial" w:cs="Arial"/>
          <w:b/>
          <w:bCs/>
          <w:sz w:val="18"/>
          <w:szCs w:val="18"/>
          <w:lang w:val="es-ES_tradnl" w:eastAsia="es-MX"/>
        </w:rPr>
        <w:t xml:space="preserve"> </w:t>
      </w:r>
      <w:r w:rsidR="008F4B8B" w:rsidRPr="00344C45">
        <w:rPr>
          <w:rFonts w:ascii="Arial" w:hAnsi="Arial" w:cs="Arial"/>
          <w:sz w:val="18"/>
          <w:szCs w:val="18"/>
        </w:rPr>
        <w:t>En la</w:t>
      </w:r>
      <w:r w:rsidR="005444D3" w:rsidRPr="00344C45">
        <w:rPr>
          <w:rFonts w:ascii="Arial" w:hAnsi="Arial" w:cs="Arial"/>
          <w:sz w:val="18"/>
          <w:szCs w:val="18"/>
        </w:rPr>
        <w:t xml:space="preserve"> </w:t>
      </w:r>
      <w:r w:rsidR="00B84FB5" w:rsidRPr="00344C45">
        <w:rPr>
          <w:rFonts w:ascii="Arial" w:hAnsi="Arial" w:cs="Arial"/>
          <w:sz w:val="18"/>
          <w:szCs w:val="18"/>
        </w:rPr>
        <w:t>entrevista</w:t>
      </w:r>
      <w:r w:rsidR="005444D3" w:rsidRPr="00344C45">
        <w:rPr>
          <w:rFonts w:ascii="Arial" w:hAnsi="Arial" w:cs="Arial"/>
          <w:sz w:val="18"/>
          <w:szCs w:val="18"/>
        </w:rPr>
        <w:t xml:space="preserve"> referida en el antecedente </w:t>
      </w:r>
      <w:r w:rsidR="00F5404D" w:rsidRPr="00344C45">
        <w:rPr>
          <w:rFonts w:ascii="Arial" w:hAnsi="Arial" w:cs="Arial"/>
          <w:sz w:val="18"/>
          <w:szCs w:val="18"/>
        </w:rPr>
        <w:t xml:space="preserve">Séptimo </w:t>
      </w:r>
      <w:r w:rsidR="005444D3" w:rsidRPr="00344C45">
        <w:rPr>
          <w:rFonts w:ascii="Arial" w:hAnsi="Arial" w:cs="Arial"/>
          <w:sz w:val="18"/>
          <w:szCs w:val="18"/>
        </w:rPr>
        <w:t>y el escrito</w:t>
      </w:r>
      <w:r w:rsidR="00C024EA" w:rsidRPr="00344C45">
        <w:rPr>
          <w:rFonts w:ascii="Arial" w:hAnsi="Arial" w:cs="Arial"/>
          <w:sz w:val="18"/>
          <w:szCs w:val="18"/>
        </w:rPr>
        <w:t xml:space="preserve"> al que se refiere</w:t>
      </w:r>
      <w:r w:rsidR="005444D3" w:rsidRPr="00344C45">
        <w:rPr>
          <w:rFonts w:ascii="Arial" w:hAnsi="Arial" w:cs="Arial"/>
          <w:sz w:val="18"/>
          <w:szCs w:val="18"/>
        </w:rPr>
        <w:t xml:space="preserve"> el antecedente </w:t>
      </w:r>
      <w:r w:rsidR="00F5404D" w:rsidRPr="00344C45">
        <w:rPr>
          <w:rFonts w:ascii="Arial" w:hAnsi="Arial" w:cs="Arial"/>
          <w:sz w:val="18"/>
          <w:szCs w:val="18"/>
        </w:rPr>
        <w:t>Oc</w:t>
      </w:r>
      <w:r w:rsidR="00BE174F" w:rsidRPr="00344C45">
        <w:rPr>
          <w:rFonts w:ascii="Arial" w:hAnsi="Arial" w:cs="Arial"/>
          <w:sz w:val="18"/>
          <w:szCs w:val="18"/>
        </w:rPr>
        <w:t>t</w:t>
      </w:r>
      <w:r w:rsidR="00F5404D" w:rsidRPr="00344C45">
        <w:rPr>
          <w:rFonts w:ascii="Arial" w:hAnsi="Arial" w:cs="Arial"/>
          <w:sz w:val="18"/>
          <w:szCs w:val="18"/>
        </w:rPr>
        <w:t xml:space="preserve">avo </w:t>
      </w:r>
      <w:r w:rsidR="005444D3" w:rsidRPr="00344C45">
        <w:rPr>
          <w:rFonts w:ascii="Arial" w:hAnsi="Arial" w:cs="Arial"/>
          <w:sz w:val="18"/>
          <w:szCs w:val="18"/>
        </w:rPr>
        <w:t>del presente</w:t>
      </w:r>
      <w:r w:rsidR="0066393C" w:rsidRPr="00344C45">
        <w:rPr>
          <w:rFonts w:ascii="Arial" w:hAnsi="Arial" w:cs="Arial"/>
          <w:sz w:val="18"/>
          <w:szCs w:val="18"/>
        </w:rPr>
        <w:t xml:space="preserve"> Acuerdo</w:t>
      </w:r>
      <w:r w:rsidR="00C024EA" w:rsidRPr="00344C45">
        <w:rPr>
          <w:rFonts w:ascii="Arial" w:hAnsi="Arial" w:cs="Arial"/>
          <w:sz w:val="18"/>
          <w:szCs w:val="18"/>
        </w:rPr>
        <w:t>,</w:t>
      </w:r>
      <w:r w:rsidR="005444D3" w:rsidRPr="00344C45">
        <w:rPr>
          <w:rFonts w:ascii="Arial" w:hAnsi="Arial" w:cs="Arial"/>
          <w:sz w:val="18"/>
          <w:szCs w:val="18"/>
        </w:rPr>
        <w:t xml:space="preserve"> se </w:t>
      </w:r>
      <w:r w:rsidR="008F4B8B" w:rsidRPr="00344C45">
        <w:rPr>
          <w:rFonts w:ascii="Arial" w:hAnsi="Arial" w:cs="Arial"/>
          <w:sz w:val="18"/>
          <w:szCs w:val="18"/>
        </w:rPr>
        <w:t xml:space="preserve">abordaron, entre </w:t>
      </w:r>
      <w:r w:rsidR="005444D3" w:rsidRPr="00344C45">
        <w:rPr>
          <w:rFonts w:ascii="Arial" w:hAnsi="Arial" w:cs="Arial"/>
          <w:sz w:val="18"/>
          <w:szCs w:val="18"/>
        </w:rPr>
        <w:t xml:space="preserve">otros temas, </w:t>
      </w:r>
      <w:r w:rsidR="00C024EA" w:rsidRPr="00344C45">
        <w:rPr>
          <w:rFonts w:ascii="Arial" w:hAnsi="Arial" w:cs="Arial"/>
          <w:sz w:val="18"/>
          <w:szCs w:val="18"/>
        </w:rPr>
        <w:t xml:space="preserve">las propuestas </w:t>
      </w:r>
      <w:r w:rsidR="005444D3" w:rsidRPr="00344C45">
        <w:rPr>
          <w:rFonts w:ascii="Arial" w:hAnsi="Arial" w:cs="Arial"/>
          <w:sz w:val="18"/>
          <w:szCs w:val="18"/>
        </w:rPr>
        <w:t xml:space="preserve">de modificación a los Lineamientos </w:t>
      </w:r>
      <w:r w:rsidR="00C024EA" w:rsidRPr="00344C45">
        <w:rPr>
          <w:rFonts w:ascii="Arial" w:hAnsi="Arial" w:cs="Arial"/>
          <w:sz w:val="18"/>
          <w:szCs w:val="18"/>
        </w:rPr>
        <w:t xml:space="preserve">de Homologación, relacionadas con las diversas para los Lineamientos </w:t>
      </w:r>
      <w:r w:rsidR="005444D3" w:rsidRPr="00344C45">
        <w:rPr>
          <w:rFonts w:ascii="Arial" w:hAnsi="Arial" w:cs="Arial"/>
          <w:sz w:val="18"/>
          <w:szCs w:val="18"/>
        </w:rPr>
        <w:t xml:space="preserve">para el uso del Sello IFT. </w:t>
      </w:r>
    </w:p>
    <w:p w14:paraId="0D5F4FDF" w14:textId="77777777" w:rsidR="00E45FEE" w:rsidRPr="00344C45" w:rsidRDefault="00E45FEE" w:rsidP="00225F4C">
      <w:pPr>
        <w:spacing w:after="0" w:line="276" w:lineRule="auto"/>
        <w:jc w:val="both"/>
        <w:rPr>
          <w:rFonts w:ascii="Arial" w:hAnsi="Arial" w:cs="Arial"/>
          <w:sz w:val="18"/>
          <w:szCs w:val="18"/>
        </w:rPr>
      </w:pPr>
    </w:p>
    <w:p w14:paraId="279F6E98" w14:textId="08EA5589" w:rsidR="00036F72" w:rsidRPr="00344C45" w:rsidRDefault="00036F72" w:rsidP="00E45FEE">
      <w:pPr>
        <w:spacing w:after="0" w:line="276" w:lineRule="auto"/>
        <w:jc w:val="both"/>
        <w:rPr>
          <w:rFonts w:ascii="Arial" w:hAnsi="Arial" w:cs="Arial"/>
          <w:sz w:val="18"/>
          <w:szCs w:val="18"/>
        </w:rPr>
      </w:pPr>
      <w:r w:rsidRPr="00344C45">
        <w:rPr>
          <w:rFonts w:ascii="Arial" w:hAnsi="Arial" w:cs="Arial"/>
          <w:sz w:val="18"/>
          <w:szCs w:val="18"/>
        </w:rPr>
        <w:t xml:space="preserve">Al respecto, los representantes firmantes de dicho </w:t>
      </w:r>
      <w:r w:rsidR="006739ED" w:rsidRPr="00344C45">
        <w:rPr>
          <w:rFonts w:ascii="Arial" w:hAnsi="Arial" w:cs="Arial"/>
          <w:sz w:val="18"/>
          <w:szCs w:val="18"/>
        </w:rPr>
        <w:t>escrito</w:t>
      </w:r>
      <w:r w:rsidRPr="00344C45">
        <w:rPr>
          <w:rFonts w:ascii="Arial" w:hAnsi="Arial" w:cs="Arial"/>
          <w:sz w:val="18"/>
          <w:szCs w:val="18"/>
        </w:rPr>
        <w:t xml:space="preserve"> solicitaron tomar en consideración sus propuestas de modificación</w:t>
      </w:r>
      <w:r w:rsidR="00F1135B" w:rsidRPr="00344C45">
        <w:rPr>
          <w:rFonts w:ascii="Arial" w:hAnsi="Arial" w:cs="Arial"/>
          <w:sz w:val="18"/>
          <w:szCs w:val="18"/>
        </w:rPr>
        <w:t>.</w:t>
      </w:r>
    </w:p>
    <w:p w14:paraId="080ACF8D" w14:textId="77777777" w:rsidR="00E45FEE" w:rsidRPr="00344C45" w:rsidRDefault="00E45FEE" w:rsidP="00225F4C">
      <w:pPr>
        <w:spacing w:after="0" w:line="276" w:lineRule="auto"/>
        <w:jc w:val="both"/>
        <w:rPr>
          <w:rFonts w:ascii="Arial" w:hAnsi="Arial" w:cs="Arial"/>
          <w:sz w:val="18"/>
          <w:szCs w:val="18"/>
        </w:rPr>
      </w:pPr>
    </w:p>
    <w:p w14:paraId="25065FFB" w14:textId="5315FC1E" w:rsidR="00BE5365" w:rsidRPr="00344C45" w:rsidRDefault="008F4B8B" w:rsidP="00E45FEE">
      <w:pPr>
        <w:spacing w:line="276" w:lineRule="auto"/>
        <w:ind w:left="708"/>
        <w:jc w:val="both"/>
        <w:rPr>
          <w:rFonts w:ascii="Arial" w:hAnsi="Arial" w:cs="Arial"/>
          <w:i/>
          <w:iCs/>
          <w:sz w:val="18"/>
          <w:szCs w:val="18"/>
        </w:rPr>
      </w:pPr>
      <w:r w:rsidRPr="00344C45">
        <w:rPr>
          <w:rFonts w:ascii="Arial" w:hAnsi="Arial" w:cs="Arial"/>
          <w:i/>
          <w:iCs/>
          <w:sz w:val="18"/>
          <w:szCs w:val="18"/>
        </w:rPr>
        <w:t>“</w:t>
      </w:r>
      <w:r w:rsidR="00BE5365" w:rsidRPr="00344C45">
        <w:rPr>
          <w:rFonts w:ascii="Arial" w:hAnsi="Arial" w:cs="Arial"/>
          <w:i/>
          <w:iCs/>
          <w:sz w:val="18"/>
          <w:szCs w:val="18"/>
        </w:rPr>
        <w:t>…</w:t>
      </w:r>
    </w:p>
    <w:p w14:paraId="009CD72F" w14:textId="7EBDF95D" w:rsidR="00BE5365" w:rsidRPr="00344C45" w:rsidRDefault="00BE5365" w:rsidP="00E45FEE">
      <w:pPr>
        <w:pStyle w:val="Prrafodelista"/>
        <w:numPr>
          <w:ilvl w:val="0"/>
          <w:numId w:val="9"/>
        </w:numPr>
        <w:spacing w:line="276" w:lineRule="auto"/>
        <w:jc w:val="both"/>
        <w:rPr>
          <w:rFonts w:cs="Arial"/>
          <w:i/>
          <w:iCs/>
          <w:sz w:val="18"/>
          <w:szCs w:val="18"/>
        </w:rPr>
      </w:pPr>
      <w:r w:rsidRPr="00344C45">
        <w:rPr>
          <w:rFonts w:cs="Arial"/>
          <w:i/>
          <w:iCs/>
          <w:sz w:val="18"/>
          <w:szCs w:val="18"/>
        </w:rPr>
        <w:t>Se aclara el uso de etiquetado electrónico para la exhibición del número del certificado de homologación.</w:t>
      </w:r>
    </w:p>
    <w:p w14:paraId="1BF7E5FE" w14:textId="7D92D9BE" w:rsidR="00BE5365" w:rsidRPr="00344C45" w:rsidRDefault="00152AB0" w:rsidP="00E45FEE">
      <w:pPr>
        <w:pStyle w:val="Prrafodelista"/>
        <w:numPr>
          <w:ilvl w:val="0"/>
          <w:numId w:val="9"/>
        </w:numPr>
        <w:spacing w:line="276" w:lineRule="auto"/>
        <w:jc w:val="both"/>
        <w:rPr>
          <w:rFonts w:cs="Arial"/>
          <w:i/>
          <w:iCs/>
          <w:sz w:val="18"/>
          <w:szCs w:val="18"/>
        </w:rPr>
      </w:pPr>
      <w:r w:rsidRPr="00344C45">
        <w:rPr>
          <w:rFonts w:cs="Arial"/>
          <w:i/>
          <w:iCs/>
          <w:sz w:val="18"/>
          <w:szCs w:val="18"/>
        </w:rPr>
        <w:t>Se incluyen diversas adaptaciones para permitir la implementación del Sello IFT de manera electrónica.</w:t>
      </w:r>
    </w:p>
    <w:p w14:paraId="103EF26E" w14:textId="0805D69F" w:rsidR="00BE5365" w:rsidRPr="00344C45" w:rsidRDefault="00BE5365" w:rsidP="00E45FEE">
      <w:pPr>
        <w:pStyle w:val="Prrafodelista"/>
        <w:numPr>
          <w:ilvl w:val="0"/>
          <w:numId w:val="9"/>
        </w:numPr>
        <w:spacing w:line="276" w:lineRule="auto"/>
        <w:jc w:val="both"/>
        <w:rPr>
          <w:rFonts w:cs="Arial"/>
          <w:i/>
          <w:iCs/>
          <w:sz w:val="18"/>
          <w:szCs w:val="18"/>
        </w:rPr>
      </w:pPr>
      <w:r w:rsidRPr="00344C45">
        <w:rPr>
          <w:rFonts w:cs="Arial"/>
          <w:i/>
          <w:iCs/>
          <w:sz w:val="18"/>
          <w:szCs w:val="18"/>
        </w:rPr>
        <w:t>...</w:t>
      </w:r>
    </w:p>
    <w:p w14:paraId="59E72AEE" w14:textId="27D5B3E5" w:rsidR="00BE5365" w:rsidRPr="00344C45" w:rsidRDefault="00BE5365" w:rsidP="00E45FEE">
      <w:pPr>
        <w:pStyle w:val="Prrafodelista"/>
        <w:numPr>
          <w:ilvl w:val="0"/>
          <w:numId w:val="9"/>
        </w:numPr>
        <w:spacing w:line="276" w:lineRule="auto"/>
        <w:jc w:val="both"/>
        <w:rPr>
          <w:rFonts w:cs="Arial"/>
          <w:i/>
          <w:iCs/>
          <w:sz w:val="18"/>
          <w:szCs w:val="18"/>
        </w:rPr>
      </w:pPr>
      <w:r w:rsidRPr="00344C45">
        <w:rPr>
          <w:rFonts w:cs="Arial"/>
          <w:i/>
          <w:iCs/>
          <w:sz w:val="18"/>
          <w:szCs w:val="18"/>
        </w:rPr>
        <w:t>Se permita el etiquetado físico en los empaques, envases, embalajes, instructivos, y manuales de operación, entre otros.</w:t>
      </w:r>
    </w:p>
    <w:p w14:paraId="1466E12A" w14:textId="13949951" w:rsidR="00BE5365" w:rsidRPr="00344C45" w:rsidRDefault="00BE5365" w:rsidP="00E45FEE">
      <w:pPr>
        <w:pStyle w:val="Prrafodelista"/>
        <w:numPr>
          <w:ilvl w:val="0"/>
          <w:numId w:val="9"/>
        </w:numPr>
        <w:spacing w:line="276" w:lineRule="auto"/>
        <w:jc w:val="both"/>
        <w:rPr>
          <w:rFonts w:cs="Arial"/>
          <w:i/>
          <w:iCs/>
          <w:sz w:val="18"/>
          <w:szCs w:val="18"/>
        </w:rPr>
      </w:pPr>
      <w:r w:rsidRPr="00344C45">
        <w:rPr>
          <w:rFonts w:cs="Arial"/>
          <w:i/>
          <w:iCs/>
          <w:sz w:val="18"/>
          <w:szCs w:val="18"/>
        </w:rPr>
        <w:t>...</w:t>
      </w:r>
    </w:p>
    <w:p w14:paraId="49D8CB3E" w14:textId="7E37752C" w:rsidR="00BE5365" w:rsidRPr="00344C45" w:rsidRDefault="00BE5365" w:rsidP="00E45FEE">
      <w:pPr>
        <w:spacing w:after="0" w:line="276" w:lineRule="auto"/>
        <w:ind w:firstLine="708"/>
        <w:jc w:val="both"/>
        <w:rPr>
          <w:rFonts w:ascii="Arial" w:eastAsia="Calibri" w:hAnsi="Arial" w:cs="Arial"/>
          <w:sz w:val="18"/>
          <w:szCs w:val="18"/>
          <w:lang w:val="es-ES"/>
        </w:rPr>
      </w:pPr>
      <w:r w:rsidRPr="00344C45">
        <w:rPr>
          <w:rFonts w:ascii="Arial" w:hAnsi="Arial" w:cs="Arial"/>
          <w:i/>
          <w:iCs/>
          <w:sz w:val="18"/>
          <w:szCs w:val="18"/>
        </w:rPr>
        <w:t>...“</w:t>
      </w:r>
      <w:r w:rsidRPr="00344C45">
        <w:rPr>
          <w:rFonts w:ascii="Arial" w:eastAsia="Calibri" w:hAnsi="Arial" w:cs="Arial"/>
          <w:sz w:val="18"/>
          <w:szCs w:val="18"/>
          <w:lang w:val="es-ES"/>
        </w:rPr>
        <w:t>.</w:t>
      </w:r>
    </w:p>
    <w:p w14:paraId="1A34FC29" w14:textId="77777777" w:rsidR="00E45FEE" w:rsidRPr="00344C45" w:rsidRDefault="00E45FEE" w:rsidP="00225F4C">
      <w:pPr>
        <w:spacing w:after="0" w:line="276" w:lineRule="auto"/>
        <w:ind w:firstLine="708"/>
        <w:jc w:val="both"/>
        <w:rPr>
          <w:rFonts w:ascii="Arial" w:hAnsi="Arial" w:cs="Arial"/>
          <w:sz w:val="18"/>
          <w:szCs w:val="18"/>
        </w:rPr>
      </w:pPr>
    </w:p>
    <w:p w14:paraId="40D8CD86" w14:textId="16C183C4" w:rsidR="005444D3" w:rsidRPr="00344C45" w:rsidRDefault="00621F4B" w:rsidP="00E45FEE">
      <w:pPr>
        <w:spacing w:after="0" w:line="276" w:lineRule="auto"/>
        <w:jc w:val="both"/>
        <w:rPr>
          <w:rFonts w:ascii="Arial" w:hAnsi="Arial" w:cs="Arial"/>
          <w:sz w:val="18"/>
          <w:szCs w:val="18"/>
        </w:rPr>
      </w:pPr>
      <w:r w:rsidRPr="00344C45">
        <w:rPr>
          <w:rFonts w:ascii="Arial" w:hAnsi="Arial" w:cs="Arial"/>
          <w:sz w:val="18"/>
          <w:szCs w:val="18"/>
        </w:rPr>
        <w:t xml:space="preserve">En este sentido, lo que se solicita es </w:t>
      </w:r>
      <w:r w:rsidR="005444D3" w:rsidRPr="00344C45">
        <w:rPr>
          <w:rFonts w:ascii="Arial" w:hAnsi="Arial" w:cs="Arial"/>
          <w:sz w:val="18"/>
          <w:szCs w:val="18"/>
        </w:rPr>
        <w:t>flexibilizar las obligaciones</w:t>
      </w:r>
      <w:r w:rsidR="00C024EA" w:rsidRPr="00344C45">
        <w:rPr>
          <w:rFonts w:ascii="Arial" w:hAnsi="Arial" w:cs="Arial"/>
          <w:sz w:val="18"/>
          <w:szCs w:val="18"/>
        </w:rPr>
        <w:t xml:space="preserve"> establecidas en los ordenamientos referidos</w:t>
      </w:r>
      <w:r w:rsidR="005444D3" w:rsidRPr="00344C45">
        <w:rPr>
          <w:rFonts w:ascii="Arial" w:hAnsi="Arial" w:cs="Arial"/>
          <w:sz w:val="18"/>
          <w:szCs w:val="18"/>
        </w:rPr>
        <w:t xml:space="preserve">, con el fin de tener opciones de cumplimiento que permitan reducir costos y optimizar tiempos de </w:t>
      </w:r>
      <w:r w:rsidR="008F4B8B" w:rsidRPr="00344C45">
        <w:rPr>
          <w:rFonts w:ascii="Arial" w:hAnsi="Arial" w:cs="Arial"/>
          <w:sz w:val="18"/>
          <w:szCs w:val="18"/>
        </w:rPr>
        <w:t xml:space="preserve">implementación, </w:t>
      </w:r>
      <w:r w:rsidR="008104E7" w:rsidRPr="00344C45">
        <w:rPr>
          <w:rFonts w:ascii="Arial" w:hAnsi="Arial" w:cs="Arial"/>
          <w:sz w:val="18"/>
          <w:szCs w:val="18"/>
        </w:rPr>
        <w:t>tomando en consideración</w:t>
      </w:r>
      <w:r w:rsidR="0047060B" w:rsidRPr="00344C45">
        <w:rPr>
          <w:rFonts w:ascii="Arial" w:hAnsi="Arial" w:cs="Arial"/>
          <w:sz w:val="18"/>
          <w:szCs w:val="18"/>
        </w:rPr>
        <w:t xml:space="preserve"> </w:t>
      </w:r>
      <w:r w:rsidR="008104E7" w:rsidRPr="00344C45">
        <w:rPr>
          <w:rFonts w:ascii="Arial" w:hAnsi="Arial" w:cs="Arial"/>
          <w:sz w:val="18"/>
          <w:szCs w:val="18"/>
        </w:rPr>
        <w:t xml:space="preserve">que algunos productos cuentan con una pantalla con la capacidad de reproducir el marcado o etiquetado de forma clara y así dar cumplimiento de manera electrónica a los citados Lineamientos; </w:t>
      </w:r>
      <w:r w:rsidR="00766506" w:rsidRPr="00344C45">
        <w:rPr>
          <w:rFonts w:ascii="Arial" w:hAnsi="Arial" w:cs="Arial"/>
          <w:sz w:val="18"/>
          <w:szCs w:val="18"/>
        </w:rPr>
        <w:t>así como</w:t>
      </w:r>
      <w:r w:rsidR="0047060B" w:rsidRPr="00344C45">
        <w:rPr>
          <w:rFonts w:ascii="Arial" w:hAnsi="Arial" w:cs="Arial"/>
          <w:sz w:val="18"/>
          <w:szCs w:val="18"/>
        </w:rPr>
        <w:t>,</w:t>
      </w:r>
      <w:r w:rsidR="00766506" w:rsidRPr="00344C45">
        <w:rPr>
          <w:rFonts w:ascii="Arial" w:hAnsi="Arial" w:cs="Arial"/>
          <w:sz w:val="18"/>
          <w:szCs w:val="18"/>
        </w:rPr>
        <w:t xml:space="preserve"> </w:t>
      </w:r>
      <w:r w:rsidR="005444D3" w:rsidRPr="00344C45">
        <w:rPr>
          <w:rFonts w:ascii="Arial" w:hAnsi="Arial" w:cs="Arial"/>
          <w:sz w:val="18"/>
          <w:szCs w:val="18"/>
        </w:rPr>
        <w:t xml:space="preserve">una extensión en el tiempo de entrada en vigor de los Lineamientos para el uso del </w:t>
      </w:r>
      <w:r w:rsidR="008F4B8B" w:rsidRPr="00344C45">
        <w:rPr>
          <w:rFonts w:ascii="Arial" w:hAnsi="Arial" w:cs="Arial"/>
          <w:sz w:val="18"/>
          <w:szCs w:val="18"/>
        </w:rPr>
        <w:t xml:space="preserve">Sello IFT para </w:t>
      </w:r>
      <w:r w:rsidR="005444D3" w:rsidRPr="00344C45">
        <w:rPr>
          <w:rFonts w:ascii="Arial" w:hAnsi="Arial" w:cs="Arial"/>
          <w:sz w:val="18"/>
          <w:szCs w:val="18"/>
        </w:rPr>
        <w:t xml:space="preserve">que no se vea afectada la operación de sus líneas de producción, sus procesos internos, la importación y </w:t>
      </w:r>
      <w:r w:rsidR="008D4BDB" w:rsidRPr="00344C45">
        <w:rPr>
          <w:rFonts w:ascii="Arial" w:hAnsi="Arial" w:cs="Arial"/>
          <w:sz w:val="18"/>
          <w:szCs w:val="18"/>
        </w:rPr>
        <w:t xml:space="preserve">la </w:t>
      </w:r>
      <w:r w:rsidR="005444D3" w:rsidRPr="00344C45">
        <w:rPr>
          <w:rFonts w:ascii="Arial" w:hAnsi="Arial" w:cs="Arial"/>
          <w:sz w:val="18"/>
          <w:szCs w:val="18"/>
        </w:rPr>
        <w:t xml:space="preserve">comercialización de los </w:t>
      </w:r>
      <w:r w:rsidR="00197F7C" w:rsidRPr="00344C45">
        <w:rPr>
          <w:rFonts w:ascii="Arial" w:hAnsi="Arial" w:cs="Arial"/>
          <w:sz w:val="18"/>
          <w:szCs w:val="18"/>
        </w:rPr>
        <w:t>p</w:t>
      </w:r>
      <w:r w:rsidR="005444D3" w:rsidRPr="00344C45">
        <w:rPr>
          <w:rFonts w:ascii="Arial" w:hAnsi="Arial" w:cs="Arial"/>
          <w:sz w:val="18"/>
          <w:szCs w:val="18"/>
        </w:rPr>
        <w:t xml:space="preserve">roductos </w:t>
      </w:r>
      <w:r w:rsidR="008F4B8B" w:rsidRPr="00344C45">
        <w:rPr>
          <w:rFonts w:ascii="Arial" w:hAnsi="Arial" w:cs="Arial"/>
          <w:sz w:val="18"/>
          <w:szCs w:val="18"/>
        </w:rPr>
        <w:t>homologados</w:t>
      </w:r>
      <w:r w:rsidR="008104E7" w:rsidRPr="00344C45">
        <w:rPr>
          <w:rFonts w:ascii="Arial" w:hAnsi="Arial" w:cs="Arial"/>
          <w:sz w:val="18"/>
          <w:szCs w:val="18"/>
        </w:rPr>
        <w:t>, ordenamiento que está estrechamente relacionado con los Lineamientos de Homologación</w:t>
      </w:r>
      <w:r w:rsidR="008F4B8B" w:rsidRPr="00344C45">
        <w:rPr>
          <w:rFonts w:ascii="Arial" w:hAnsi="Arial" w:cs="Arial"/>
          <w:sz w:val="18"/>
          <w:szCs w:val="18"/>
        </w:rPr>
        <w:t>.</w:t>
      </w:r>
      <w:r w:rsidR="00002ADF" w:rsidRPr="00344C45">
        <w:rPr>
          <w:rFonts w:ascii="Arial" w:hAnsi="Arial" w:cs="Arial"/>
          <w:sz w:val="18"/>
          <w:szCs w:val="18"/>
        </w:rPr>
        <w:t xml:space="preserve"> </w:t>
      </w:r>
    </w:p>
    <w:p w14:paraId="0AADF9FF" w14:textId="77777777" w:rsidR="00E45FEE" w:rsidRPr="00344C45" w:rsidRDefault="00E45FEE" w:rsidP="00225F4C">
      <w:pPr>
        <w:spacing w:after="0" w:line="276" w:lineRule="auto"/>
        <w:jc w:val="both"/>
        <w:rPr>
          <w:rFonts w:ascii="Arial" w:hAnsi="Arial" w:cs="Arial"/>
          <w:sz w:val="18"/>
          <w:szCs w:val="18"/>
        </w:rPr>
      </w:pPr>
    </w:p>
    <w:p w14:paraId="3B4C242A" w14:textId="0CEE0D6A" w:rsidR="007E0256" w:rsidRPr="00344C45" w:rsidRDefault="00EC4A16" w:rsidP="00E45FEE">
      <w:pPr>
        <w:spacing w:after="0" w:line="276" w:lineRule="auto"/>
        <w:jc w:val="both"/>
        <w:rPr>
          <w:rFonts w:ascii="Arial" w:eastAsia="Calibri" w:hAnsi="Arial" w:cs="Arial"/>
          <w:sz w:val="18"/>
          <w:szCs w:val="18"/>
          <w:lang w:val="es-ES_tradnl" w:eastAsia="es-MX"/>
        </w:rPr>
      </w:pPr>
      <w:r w:rsidRPr="00344C45">
        <w:rPr>
          <w:rFonts w:ascii="Arial" w:eastAsia="Calibri" w:hAnsi="Arial" w:cs="Arial"/>
          <w:sz w:val="18"/>
          <w:szCs w:val="18"/>
          <w:lang w:eastAsia="es-MX"/>
        </w:rPr>
        <w:t xml:space="preserve">Llevando a cabo el análisis correspondiente a la solicitud formulada por la Industria, se propone la modificación de los Lineamientos de </w:t>
      </w:r>
      <w:r w:rsidRPr="00344C45">
        <w:rPr>
          <w:rFonts w:ascii="Arial" w:hAnsi="Arial" w:cs="Arial"/>
          <w:sz w:val="18"/>
          <w:szCs w:val="18"/>
        </w:rPr>
        <w:t>Homologación</w:t>
      </w:r>
      <w:r w:rsidR="00356AF7" w:rsidRPr="00344C45">
        <w:rPr>
          <w:rFonts w:ascii="Arial" w:eastAsia="Calibri" w:hAnsi="Arial" w:cs="Arial"/>
          <w:sz w:val="18"/>
          <w:szCs w:val="18"/>
          <w:lang w:val="es-ES_tradnl" w:eastAsia="es-MX"/>
        </w:rPr>
        <w:t xml:space="preserve"> sobre</w:t>
      </w:r>
      <w:r w:rsidR="007E0256" w:rsidRPr="00344C45">
        <w:rPr>
          <w:rFonts w:ascii="Arial" w:eastAsia="Calibri" w:hAnsi="Arial" w:cs="Arial"/>
          <w:sz w:val="18"/>
          <w:szCs w:val="18"/>
          <w:lang w:val="es-ES_tradnl" w:eastAsia="es-MX"/>
        </w:rPr>
        <w:t xml:space="preserve"> los aspectos</w:t>
      </w:r>
      <w:r w:rsidR="00375E84" w:rsidRPr="00344C45">
        <w:rPr>
          <w:rFonts w:ascii="Arial" w:eastAsia="Calibri" w:hAnsi="Arial" w:cs="Arial"/>
          <w:sz w:val="18"/>
          <w:szCs w:val="18"/>
          <w:lang w:val="es-ES_tradnl" w:eastAsia="es-MX"/>
        </w:rPr>
        <w:t xml:space="preserve"> siguientes</w:t>
      </w:r>
      <w:r w:rsidR="007E0256" w:rsidRPr="00344C45">
        <w:rPr>
          <w:rFonts w:ascii="Arial" w:eastAsia="Calibri" w:hAnsi="Arial" w:cs="Arial"/>
          <w:sz w:val="18"/>
          <w:szCs w:val="18"/>
          <w:lang w:val="es-ES_tradnl" w:eastAsia="es-MX"/>
        </w:rPr>
        <w:t>:</w:t>
      </w:r>
    </w:p>
    <w:p w14:paraId="66AA03AF" w14:textId="77777777" w:rsidR="00E45FEE" w:rsidRPr="00344C45" w:rsidRDefault="00E45FEE" w:rsidP="00225F4C">
      <w:pPr>
        <w:spacing w:after="0" w:line="276" w:lineRule="auto"/>
        <w:jc w:val="both"/>
        <w:rPr>
          <w:rFonts w:ascii="Arial" w:eastAsia="Calibri" w:hAnsi="Arial" w:cs="Arial"/>
          <w:sz w:val="18"/>
          <w:szCs w:val="18"/>
          <w:lang w:val="es-ES_tradnl" w:eastAsia="es-MX"/>
        </w:rPr>
      </w:pPr>
    </w:p>
    <w:p w14:paraId="66DB96A3" w14:textId="1D744553" w:rsidR="0022638B" w:rsidRPr="00344C45" w:rsidRDefault="00550B8F" w:rsidP="00E45FEE">
      <w:pPr>
        <w:pStyle w:val="Prrafodelista"/>
        <w:numPr>
          <w:ilvl w:val="0"/>
          <w:numId w:val="7"/>
        </w:numPr>
        <w:spacing w:line="276" w:lineRule="auto"/>
        <w:jc w:val="both"/>
        <w:rPr>
          <w:rFonts w:eastAsia="Calibri" w:cs="Arial"/>
          <w:sz w:val="18"/>
          <w:szCs w:val="18"/>
          <w:lang w:val="es-ES_tradnl" w:eastAsia="es-MX"/>
        </w:rPr>
      </w:pPr>
      <w:r w:rsidRPr="00344C45">
        <w:rPr>
          <w:rFonts w:eastAsia="Calibri" w:cs="Arial"/>
          <w:sz w:val="18"/>
          <w:szCs w:val="18"/>
          <w:lang w:val="es-ES_tradnl" w:eastAsia="es-MX"/>
        </w:rPr>
        <w:t>H</w:t>
      </w:r>
      <w:r w:rsidR="001847D5" w:rsidRPr="00344C45">
        <w:rPr>
          <w:rFonts w:eastAsia="Calibri" w:cs="Arial"/>
          <w:sz w:val="18"/>
          <w:szCs w:val="18"/>
          <w:lang w:val="es-ES_tradnl" w:eastAsia="es-MX"/>
        </w:rPr>
        <w:t xml:space="preserve">acer referencia de manera expresa al requisito del Sello IFT como un elemento adicional en el marcado o etiquetado, de conformidad con lo previsto en los Lineamientos </w:t>
      </w:r>
      <w:r w:rsidR="00990534" w:rsidRPr="00344C45">
        <w:rPr>
          <w:rFonts w:eastAsia="Calibri" w:cs="Arial"/>
          <w:sz w:val="18"/>
          <w:szCs w:val="18"/>
          <w:lang w:val="es-ES_tradnl" w:eastAsia="es-MX"/>
        </w:rPr>
        <w:t>para el</w:t>
      </w:r>
      <w:r w:rsidR="001847D5" w:rsidRPr="00344C45">
        <w:rPr>
          <w:rFonts w:eastAsia="Calibri" w:cs="Arial"/>
          <w:sz w:val="18"/>
          <w:szCs w:val="18"/>
          <w:lang w:val="es-ES_tradnl" w:eastAsia="es-MX"/>
        </w:rPr>
        <w:t xml:space="preserve"> uso del Sello IFT, dada la estrecha relación que existe entre los Lineamientos de Homologación y los Lineamientos para el uso del Sello IFT</w:t>
      </w:r>
      <w:r w:rsidR="007C6EBB" w:rsidRPr="00344C45">
        <w:rPr>
          <w:rFonts w:eastAsia="Calibri" w:cs="Arial"/>
          <w:sz w:val="18"/>
          <w:szCs w:val="18"/>
          <w:lang w:val="es-ES_tradnl" w:eastAsia="es-MX"/>
        </w:rPr>
        <w:t>.</w:t>
      </w:r>
    </w:p>
    <w:p w14:paraId="228A2A47" w14:textId="05C85095" w:rsidR="001D2D64" w:rsidRPr="00344C45" w:rsidRDefault="0022638B" w:rsidP="00E45FEE">
      <w:pPr>
        <w:pStyle w:val="Prrafodelista"/>
        <w:numPr>
          <w:ilvl w:val="0"/>
          <w:numId w:val="7"/>
        </w:numPr>
        <w:spacing w:line="276" w:lineRule="auto"/>
        <w:jc w:val="both"/>
        <w:rPr>
          <w:rFonts w:eastAsia="Calibri" w:cs="Arial"/>
          <w:sz w:val="18"/>
          <w:szCs w:val="18"/>
          <w:lang w:val="es-ES_tradnl" w:eastAsia="es-MX"/>
        </w:rPr>
      </w:pPr>
      <w:r w:rsidRPr="00344C45">
        <w:rPr>
          <w:rFonts w:eastAsia="Calibri" w:cs="Arial"/>
          <w:sz w:val="18"/>
          <w:szCs w:val="18"/>
          <w:lang w:val="es-ES_tradnl" w:eastAsia="es-MX"/>
        </w:rPr>
        <w:t>A</w:t>
      </w:r>
      <w:r w:rsidR="001123F0" w:rsidRPr="00344C45">
        <w:rPr>
          <w:rFonts w:eastAsia="Calibri" w:cs="Arial"/>
          <w:sz w:val="18"/>
          <w:szCs w:val="18"/>
          <w:lang w:val="es-ES_tradnl" w:eastAsia="es-MX"/>
        </w:rPr>
        <w:t xml:space="preserve">mpliar la opción de impresión </w:t>
      </w:r>
      <w:r w:rsidR="00ED4B1B" w:rsidRPr="00344C45">
        <w:rPr>
          <w:rFonts w:eastAsia="Calibri" w:cs="Arial"/>
          <w:sz w:val="18"/>
          <w:szCs w:val="18"/>
          <w:lang w:val="es-ES_tradnl" w:eastAsia="es-MX"/>
        </w:rPr>
        <w:t xml:space="preserve">para que se incluyan la </w:t>
      </w:r>
      <w:r w:rsidR="001123F0" w:rsidRPr="00344C45">
        <w:rPr>
          <w:rFonts w:eastAsia="Calibri" w:cs="Arial"/>
          <w:sz w:val="18"/>
          <w:szCs w:val="18"/>
          <w:lang w:val="es-ES_tradnl" w:eastAsia="es-MX"/>
        </w:rPr>
        <w:t>digitalización y reproducción</w:t>
      </w:r>
      <w:r w:rsidRPr="00344C45">
        <w:rPr>
          <w:rFonts w:eastAsia="Calibri" w:cs="Arial"/>
          <w:sz w:val="18"/>
          <w:szCs w:val="18"/>
          <w:lang w:val="es-ES_tradnl" w:eastAsia="es-MX"/>
        </w:rPr>
        <w:t xml:space="preserve"> del marcado o </w:t>
      </w:r>
      <w:r w:rsidR="00F24F79" w:rsidRPr="00344C45">
        <w:rPr>
          <w:rFonts w:eastAsia="Calibri" w:cs="Arial"/>
          <w:sz w:val="18"/>
          <w:szCs w:val="18"/>
          <w:lang w:val="es-ES_tradnl" w:eastAsia="es-MX"/>
        </w:rPr>
        <w:t xml:space="preserve">etiquetado </w:t>
      </w:r>
      <w:r w:rsidR="004D3321" w:rsidRPr="00344C45">
        <w:rPr>
          <w:rFonts w:eastAsia="Calibri" w:cs="Arial"/>
          <w:sz w:val="18"/>
          <w:szCs w:val="18"/>
          <w:lang w:val="es-ES_tradnl" w:eastAsia="es-MX"/>
        </w:rPr>
        <w:t xml:space="preserve">para </w:t>
      </w:r>
      <w:r w:rsidR="00F24F79" w:rsidRPr="00344C45">
        <w:rPr>
          <w:rFonts w:eastAsia="Calibri" w:cs="Arial"/>
          <w:sz w:val="18"/>
          <w:szCs w:val="18"/>
          <w:lang w:val="es-ES_tradnl" w:eastAsia="es-MX"/>
        </w:rPr>
        <w:t xml:space="preserve">que éste se pueda </w:t>
      </w:r>
      <w:r w:rsidR="004D3321" w:rsidRPr="00344C45">
        <w:rPr>
          <w:rFonts w:eastAsia="Calibri" w:cs="Arial"/>
          <w:sz w:val="18"/>
          <w:szCs w:val="18"/>
          <w:lang w:val="es-ES_tradnl" w:eastAsia="es-MX"/>
        </w:rPr>
        <w:t xml:space="preserve">cumplir ya sea </w:t>
      </w:r>
      <w:r w:rsidR="00C94BF9" w:rsidRPr="00344C45">
        <w:rPr>
          <w:rFonts w:eastAsia="Calibri" w:cs="Arial"/>
          <w:sz w:val="18"/>
          <w:szCs w:val="18"/>
          <w:lang w:val="es-ES_tradnl" w:eastAsia="es-MX"/>
        </w:rPr>
        <w:t xml:space="preserve">de manera física o electrónica, con independencia del tamaño del </w:t>
      </w:r>
      <w:r w:rsidR="00F1135B" w:rsidRPr="00344C45">
        <w:rPr>
          <w:rFonts w:eastAsia="Calibri" w:cs="Arial"/>
          <w:sz w:val="18"/>
          <w:szCs w:val="18"/>
          <w:lang w:val="es-ES_tradnl" w:eastAsia="es-MX"/>
        </w:rPr>
        <w:t>p</w:t>
      </w:r>
      <w:r w:rsidR="00C94BF9" w:rsidRPr="00344C45">
        <w:rPr>
          <w:rFonts w:eastAsia="Calibri" w:cs="Arial"/>
          <w:sz w:val="18"/>
          <w:szCs w:val="18"/>
          <w:lang w:val="es-ES_tradnl" w:eastAsia="es-MX"/>
        </w:rPr>
        <w:t xml:space="preserve">roducto, además del marcado o etiquetado en la caja o </w:t>
      </w:r>
      <w:r w:rsidR="00BE174F" w:rsidRPr="00344C45">
        <w:rPr>
          <w:rFonts w:eastAsia="Calibri" w:cs="Arial"/>
          <w:sz w:val="18"/>
          <w:szCs w:val="18"/>
          <w:lang w:val="es-ES_tradnl" w:eastAsia="es-MX"/>
        </w:rPr>
        <w:t xml:space="preserve">en el empaque o </w:t>
      </w:r>
      <w:r w:rsidR="00F24F79" w:rsidRPr="00344C45">
        <w:rPr>
          <w:rFonts w:eastAsia="Calibri" w:cs="Arial"/>
          <w:sz w:val="18"/>
          <w:szCs w:val="18"/>
          <w:lang w:val="es-ES_tradnl" w:eastAsia="es-MX"/>
        </w:rPr>
        <w:t xml:space="preserve">manual. Con lo anterior se </w:t>
      </w:r>
      <w:r w:rsidR="00AF08BB" w:rsidRPr="00344C45">
        <w:rPr>
          <w:rFonts w:cs="Arial"/>
          <w:sz w:val="18"/>
          <w:szCs w:val="18"/>
        </w:rPr>
        <w:t>disminuirán</w:t>
      </w:r>
      <w:r w:rsidR="003160AC" w:rsidRPr="00344C45">
        <w:rPr>
          <w:rFonts w:cs="Arial"/>
          <w:sz w:val="18"/>
          <w:szCs w:val="18"/>
        </w:rPr>
        <w:t xml:space="preserve"> los tiempos de adecuación de los </w:t>
      </w:r>
      <w:r w:rsidR="00F1135B" w:rsidRPr="00344C45">
        <w:rPr>
          <w:rFonts w:cs="Arial"/>
          <w:sz w:val="18"/>
          <w:szCs w:val="18"/>
        </w:rPr>
        <w:t>p</w:t>
      </w:r>
      <w:r w:rsidR="003160AC" w:rsidRPr="00344C45">
        <w:rPr>
          <w:rFonts w:cs="Arial"/>
          <w:sz w:val="18"/>
          <w:szCs w:val="18"/>
        </w:rPr>
        <w:t xml:space="preserve">roductos para el cumplimiento de </w:t>
      </w:r>
      <w:r w:rsidR="007C6EBB" w:rsidRPr="00344C45">
        <w:rPr>
          <w:rFonts w:eastAsia="Calibri" w:cs="Arial"/>
          <w:sz w:val="18"/>
          <w:szCs w:val="18"/>
          <w:lang w:val="es-ES_tradnl" w:eastAsia="es-MX"/>
        </w:rPr>
        <w:t>lo previsto en los Lineamientos de Homologación</w:t>
      </w:r>
      <w:r w:rsidR="003160AC" w:rsidRPr="00344C45">
        <w:rPr>
          <w:rFonts w:cs="Arial"/>
          <w:sz w:val="18"/>
          <w:szCs w:val="18"/>
        </w:rPr>
        <w:t>.</w:t>
      </w:r>
    </w:p>
    <w:p w14:paraId="13903D2D" w14:textId="1C354AA5" w:rsidR="001D2D64" w:rsidRPr="00344C45" w:rsidRDefault="00F24F79" w:rsidP="00E45FEE">
      <w:pPr>
        <w:pStyle w:val="Prrafodelista"/>
        <w:numPr>
          <w:ilvl w:val="0"/>
          <w:numId w:val="7"/>
        </w:numPr>
        <w:spacing w:line="276" w:lineRule="auto"/>
        <w:jc w:val="both"/>
        <w:rPr>
          <w:rFonts w:eastAsia="Calibri" w:cs="Arial"/>
          <w:sz w:val="18"/>
          <w:szCs w:val="18"/>
          <w:lang w:val="es-ES_tradnl" w:eastAsia="es-MX"/>
        </w:rPr>
      </w:pPr>
      <w:r w:rsidRPr="00344C45">
        <w:rPr>
          <w:rFonts w:eastAsia="Calibri" w:cs="Arial"/>
          <w:sz w:val="18"/>
          <w:szCs w:val="18"/>
          <w:lang w:val="es-ES_tradnl" w:eastAsia="es-MX"/>
        </w:rPr>
        <w:t xml:space="preserve">Considerar la variedad de </w:t>
      </w:r>
      <w:r w:rsidR="00F1135B" w:rsidRPr="00344C45">
        <w:rPr>
          <w:rFonts w:eastAsia="Calibri" w:cs="Arial"/>
          <w:sz w:val="18"/>
          <w:szCs w:val="18"/>
          <w:lang w:val="es-ES_tradnl" w:eastAsia="es-MX"/>
        </w:rPr>
        <w:t>p</w:t>
      </w:r>
      <w:r w:rsidRPr="00344C45">
        <w:rPr>
          <w:rFonts w:eastAsia="Calibri" w:cs="Arial"/>
          <w:sz w:val="18"/>
          <w:szCs w:val="18"/>
          <w:lang w:val="es-ES_tradnl" w:eastAsia="es-MX"/>
        </w:rPr>
        <w:t xml:space="preserve">roductos a los que les </w:t>
      </w:r>
      <w:r w:rsidR="007C6EBB" w:rsidRPr="00344C45">
        <w:rPr>
          <w:rFonts w:eastAsia="Calibri" w:cs="Arial"/>
          <w:sz w:val="18"/>
          <w:szCs w:val="18"/>
          <w:lang w:val="es-ES_tradnl" w:eastAsia="es-MX"/>
        </w:rPr>
        <w:t xml:space="preserve">aplica </w:t>
      </w:r>
      <w:r w:rsidRPr="00344C45">
        <w:rPr>
          <w:rFonts w:eastAsia="Calibri" w:cs="Arial"/>
          <w:sz w:val="18"/>
          <w:szCs w:val="18"/>
          <w:lang w:val="es-ES_tradnl" w:eastAsia="es-MX"/>
        </w:rPr>
        <w:t xml:space="preserve">el marcado o etiquetado, físico o electrónico, ya sea en </w:t>
      </w:r>
      <w:r w:rsidR="00F1135B" w:rsidRPr="00344C45">
        <w:rPr>
          <w:rFonts w:eastAsia="Calibri" w:cs="Arial"/>
          <w:sz w:val="18"/>
          <w:szCs w:val="18"/>
          <w:lang w:val="es-ES_tradnl" w:eastAsia="es-MX"/>
        </w:rPr>
        <w:t>p</w:t>
      </w:r>
      <w:r w:rsidRPr="00344C45">
        <w:rPr>
          <w:rFonts w:eastAsia="Calibri" w:cs="Arial"/>
          <w:sz w:val="18"/>
          <w:szCs w:val="18"/>
          <w:lang w:val="es-ES_tradnl" w:eastAsia="es-MX"/>
        </w:rPr>
        <w:t>roductos pequeños</w:t>
      </w:r>
      <w:r w:rsidR="00543B99" w:rsidRPr="00344C45">
        <w:rPr>
          <w:rFonts w:eastAsia="Calibri" w:cs="Arial"/>
          <w:sz w:val="18"/>
          <w:szCs w:val="18"/>
          <w:lang w:val="es-ES_tradnl" w:eastAsia="es-MX"/>
        </w:rPr>
        <w:t>, así como aquellos que no estén a la vista del usuario final</w:t>
      </w:r>
      <w:r w:rsidRPr="00344C45">
        <w:rPr>
          <w:rFonts w:eastAsia="Calibri" w:cs="Arial"/>
          <w:sz w:val="18"/>
          <w:szCs w:val="18"/>
          <w:lang w:val="es-ES_tradnl" w:eastAsia="es-MX"/>
        </w:rPr>
        <w:t xml:space="preserve"> o con pantalla</w:t>
      </w:r>
      <w:r w:rsidR="00660283" w:rsidRPr="00344C45">
        <w:rPr>
          <w:rFonts w:eastAsia="Calibri" w:cs="Arial"/>
          <w:sz w:val="18"/>
          <w:szCs w:val="18"/>
          <w:lang w:val="es-ES_tradnl" w:eastAsia="es-MX"/>
        </w:rPr>
        <w:t>,</w:t>
      </w:r>
      <w:r w:rsidRPr="00344C45">
        <w:rPr>
          <w:rFonts w:eastAsia="Calibri" w:cs="Arial"/>
          <w:sz w:val="18"/>
          <w:szCs w:val="18"/>
          <w:lang w:val="es-ES_tradnl" w:eastAsia="es-MX"/>
        </w:rPr>
        <w:t xml:space="preserve"> a fin de que no exista duda en la aplicación de lo </w:t>
      </w:r>
      <w:r w:rsidR="007C6EBB" w:rsidRPr="00344C45">
        <w:rPr>
          <w:rFonts w:eastAsia="Calibri" w:cs="Arial"/>
          <w:sz w:val="18"/>
          <w:szCs w:val="18"/>
          <w:lang w:val="es-ES_tradnl" w:eastAsia="es-MX"/>
        </w:rPr>
        <w:t>dispuesto en los Lineamientos de Homologación</w:t>
      </w:r>
      <w:r w:rsidR="001D2D64" w:rsidRPr="00344C45">
        <w:rPr>
          <w:rFonts w:eastAsia="Calibri" w:cs="Arial"/>
          <w:sz w:val="18"/>
          <w:szCs w:val="18"/>
          <w:lang w:val="es-ES_tradnl" w:eastAsia="es-MX"/>
        </w:rPr>
        <w:t xml:space="preserve">. </w:t>
      </w:r>
    </w:p>
    <w:p w14:paraId="376AFCE1" w14:textId="77777777" w:rsidR="00AA132F" w:rsidRPr="00344C45" w:rsidRDefault="00AA132F" w:rsidP="00225F4C">
      <w:pPr>
        <w:spacing w:after="0" w:line="276" w:lineRule="auto"/>
        <w:jc w:val="both"/>
        <w:rPr>
          <w:rFonts w:ascii="Arial" w:eastAsia="Calibri" w:hAnsi="Arial" w:cs="Arial"/>
          <w:b/>
          <w:bCs/>
          <w:sz w:val="18"/>
          <w:szCs w:val="18"/>
          <w:lang w:val="es-ES_tradnl" w:eastAsia="es-MX"/>
        </w:rPr>
      </w:pPr>
    </w:p>
    <w:p w14:paraId="27EF9D00" w14:textId="6D3B4FD4" w:rsidR="003160AC" w:rsidRPr="00344C45" w:rsidRDefault="00F24F79" w:rsidP="00E45FEE">
      <w:pPr>
        <w:pStyle w:val="NormalWeb"/>
        <w:spacing w:before="0" w:beforeAutospacing="0" w:after="0" w:afterAutospacing="0" w:line="276" w:lineRule="auto"/>
        <w:jc w:val="both"/>
        <w:rPr>
          <w:rFonts w:ascii="Arial" w:eastAsiaTheme="minorHAnsi" w:hAnsi="Arial" w:cs="Arial"/>
          <w:sz w:val="18"/>
          <w:szCs w:val="18"/>
          <w:lang w:eastAsia="en-US"/>
        </w:rPr>
      </w:pPr>
      <w:r w:rsidRPr="00344C45">
        <w:rPr>
          <w:rFonts w:ascii="Arial" w:eastAsiaTheme="minorHAnsi" w:hAnsi="Arial" w:cs="Arial"/>
          <w:sz w:val="18"/>
          <w:szCs w:val="18"/>
          <w:lang w:eastAsia="en-US"/>
        </w:rPr>
        <w:t xml:space="preserve">Todo lo anterior, sin afectar el objetivo original de informar a los usuarios finales sobre el cumplimiento de la normatividad correspondiente del </w:t>
      </w:r>
      <w:r w:rsidR="00F1135B" w:rsidRPr="00344C45">
        <w:rPr>
          <w:rFonts w:ascii="Arial" w:eastAsiaTheme="minorHAnsi" w:hAnsi="Arial" w:cs="Arial"/>
          <w:sz w:val="18"/>
          <w:szCs w:val="18"/>
          <w:lang w:eastAsia="en-US"/>
        </w:rPr>
        <w:t>p</w:t>
      </w:r>
      <w:r w:rsidR="004112E5" w:rsidRPr="00344C45">
        <w:rPr>
          <w:rFonts w:ascii="Arial" w:eastAsiaTheme="minorHAnsi" w:hAnsi="Arial" w:cs="Arial"/>
          <w:sz w:val="18"/>
          <w:szCs w:val="18"/>
          <w:lang w:eastAsia="en-US"/>
        </w:rPr>
        <w:t>roducto</w:t>
      </w:r>
      <w:r w:rsidR="000E3BDD" w:rsidRPr="00344C45">
        <w:rPr>
          <w:rFonts w:ascii="Arial" w:eastAsiaTheme="minorHAnsi" w:hAnsi="Arial" w:cs="Arial"/>
          <w:sz w:val="18"/>
          <w:szCs w:val="18"/>
          <w:lang w:eastAsia="en-US"/>
        </w:rPr>
        <w:t xml:space="preserve"> de telecomunicaciones y/o radiodifusión</w:t>
      </w:r>
      <w:r w:rsidR="004112E5" w:rsidRPr="00344C45">
        <w:rPr>
          <w:rFonts w:ascii="Arial" w:eastAsiaTheme="minorHAnsi" w:hAnsi="Arial" w:cs="Arial"/>
          <w:sz w:val="18"/>
          <w:szCs w:val="18"/>
          <w:lang w:eastAsia="en-US"/>
        </w:rPr>
        <w:t xml:space="preserve"> </w:t>
      </w:r>
      <w:r w:rsidRPr="00344C45">
        <w:rPr>
          <w:rFonts w:ascii="Arial" w:eastAsiaTheme="minorHAnsi" w:hAnsi="Arial" w:cs="Arial"/>
          <w:sz w:val="18"/>
          <w:szCs w:val="18"/>
          <w:lang w:eastAsia="en-US"/>
        </w:rPr>
        <w:t>que están adquiriendo o utilizando</w:t>
      </w:r>
      <w:r w:rsidR="003160AC" w:rsidRPr="00344C45">
        <w:rPr>
          <w:rFonts w:ascii="Arial" w:eastAsiaTheme="minorHAnsi" w:hAnsi="Arial" w:cs="Arial"/>
          <w:sz w:val="18"/>
          <w:szCs w:val="18"/>
          <w:lang w:eastAsia="en-US"/>
        </w:rPr>
        <w:t>.</w:t>
      </w:r>
    </w:p>
    <w:p w14:paraId="314A6265" w14:textId="77777777" w:rsidR="00E45FEE" w:rsidRPr="00344C45" w:rsidRDefault="00E45FEE" w:rsidP="00225F4C">
      <w:pPr>
        <w:pStyle w:val="NormalWeb"/>
        <w:spacing w:before="0" w:beforeAutospacing="0" w:after="0" w:afterAutospacing="0" w:line="276" w:lineRule="auto"/>
        <w:jc w:val="both"/>
        <w:rPr>
          <w:rFonts w:ascii="Arial" w:eastAsiaTheme="minorHAnsi" w:hAnsi="Arial" w:cs="Arial"/>
          <w:sz w:val="18"/>
          <w:szCs w:val="18"/>
          <w:lang w:eastAsia="en-US"/>
        </w:rPr>
      </w:pPr>
    </w:p>
    <w:p w14:paraId="439C6AC4" w14:textId="1E955BBB" w:rsidR="0019380F" w:rsidRPr="00344C45" w:rsidRDefault="007B0C98" w:rsidP="00E45FEE">
      <w:pPr>
        <w:spacing w:after="0" w:line="276" w:lineRule="auto"/>
        <w:jc w:val="both"/>
        <w:rPr>
          <w:rFonts w:ascii="Arial" w:hAnsi="Arial" w:cs="Arial"/>
          <w:sz w:val="18"/>
          <w:szCs w:val="18"/>
        </w:rPr>
      </w:pPr>
      <w:r w:rsidRPr="00344C45">
        <w:rPr>
          <w:rFonts w:ascii="Arial" w:eastAsia="Calibri" w:hAnsi="Arial" w:cs="Arial"/>
          <w:b/>
          <w:bCs/>
          <w:sz w:val="18"/>
          <w:szCs w:val="18"/>
          <w:lang w:val="es-ES_tradnl" w:eastAsia="es-MX"/>
        </w:rPr>
        <w:t>Cuarto</w:t>
      </w:r>
      <w:r w:rsidR="00C83863" w:rsidRPr="00344C45">
        <w:rPr>
          <w:rFonts w:ascii="Arial" w:eastAsia="Calibri" w:hAnsi="Arial" w:cs="Arial"/>
          <w:b/>
          <w:bCs/>
          <w:sz w:val="18"/>
          <w:szCs w:val="18"/>
          <w:lang w:val="es-ES_tradnl" w:eastAsia="es-MX"/>
        </w:rPr>
        <w:t>. -</w:t>
      </w:r>
      <w:r w:rsidR="00894DBB" w:rsidRPr="00344C45">
        <w:rPr>
          <w:rFonts w:ascii="Arial" w:eastAsia="Calibri" w:hAnsi="Arial" w:cs="Arial"/>
          <w:b/>
          <w:bCs/>
          <w:sz w:val="18"/>
          <w:szCs w:val="18"/>
          <w:lang w:val="es-ES_tradnl" w:eastAsia="es-MX"/>
        </w:rPr>
        <w:t xml:space="preserve"> Consulta pública.</w:t>
      </w:r>
      <w:r w:rsidR="00322538" w:rsidRPr="00344C45">
        <w:rPr>
          <w:rFonts w:ascii="Arial" w:hAnsi="Arial" w:cs="Arial"/>
          <w:b/>
          <w:sz w:val="18"/>
          <w:szCs w:val="18"/>
        </w:rPr>
        <w:t xml:space="preserve"> </w:t>
      </w:r>
      <w:r w:rsidR="0019380F" w:rsidRPr="00344C45">
        <w:rPr>
          <w:rFonts w:ascii="Arial" w:hAnsi="Arial" w:cs="Arial"/>
          <w:sz w:val="18"/>
          <w:szCs w:val="18"/>
        </w:rPr>
        <w:t xml:space="preserve">Con fundamento en lo establecido en el artículo 51 de la LFTR, el Instituto sometió a Consulta Pública bajo los principios de transparencia y participación ciudadana, el "Anteproyecto de Acuerdo mediante el cual el Pleno del Instituto Federal de Telecomunicaciones modifica los Lineamientos para la homologación de productos, equipos, dispositivos o aparatos destinados a telecomunicaciones o radiodifusión", durante un periodo de 60 días naturales, comprendido del 14 de </w:t>
      </w:r>
      <w:r w:rsidR="00197F7C" w:rsidRPr="00344C45">
        <w:rPr>
          <w:rFonts w:ascii="Arial" w:hAnsi="Arial" w:cs="Arial"/>
          <w:sz w:val="18"/>
          <w:szCs w:val="18"/>
        </w:rPr>
        <w:t>j</w:t>
      </w:r>
      <w:r w:rsidR="0019380F" w:rsidRPr="00344C45">
        <w:rPr>
          <w:rFonts w:ascii="Arial" w:hAnsi="Arial" w:cs="Arial"/>
          <w:sz w:val="18"/>
          <w:szCs w:val="18"/>
        </w:rPr>
        <w:t xml:space="preserve">unio al 12 de </w:t>
      </w:r>
      <w:r w:rsidR="00197F7C" w:rsidRPr="00344C45">
        <w:rPr>
          <w:rFonts w:ascii="Arial" w:hAnsi="Arial" w:cs="Arial"/>
          <w:sz w:val="18"/>
          <w:szCs w:val="18"/>
        </w:rPr>
        <w:t>a</w:t>
      </w:r>
      <w:r w:rsidR="0019380F" w:rsidRPr="00344C45">
        <w:rPr>
          <w:rFonts w:ascii="Arial" w:hAnsi="Arial" w:cs="Arial"/>
          <w:sz w:val="18"/>
          <w:szCs w:val="18"/>
        </w:rPr>
        <w:t>gosto de 2024.</w:t>
      </w:r>
    </w:p>
    <w:p w14:paraId="7D896818" w14:textId="77777777" w:rsidR="00E45FEE" w:rsidRPr="00344C45" w:rsidRDefault="00E45FEE" w:rsidP="00225F4C">
      <w:pPr>
        <w:spacing w:after="0" w:line="276" w:lineRule="auto"/>
        <w:jc w:val="both"/>
        <w:rPr>
          <w:rFonts w:ascii="Arial" w:hAnsi="Arial" w:cs="Arial"/>
          <w:sz w:val="18"/>
          <w:szCs w:val="18"/>
        </w:rPr>
      </w:pPr>
    </w:p>
    <w:p w14:paraId="62B8C23C" w14:textId="314010EE" w:rsidR="0019380F" w:rsidRPr="00344C45" w:rsidRDefault="0019380F" w:rsidP="00E45FEE">
      <w:pPr>
        <w:spacing w:after="0" w:line="276" w:lineRule="auto"/>
        <w:jc w:val="both"/>
        <w:rPr>
          <w:rFonts w:ascii="Arial" w:hAnsi="Arial" w:cs="Arial"/>
          <w:sz w:val="18"/>
          <w:szCs w:val="18"/>
        </w:rPr>
      </w:pPr>
      <w:r w:rsidRPr="00344C45">
        <w:rPr>
          <w:rFonts w:ascii="Arial" w:hAnsi="Arial" w:cs="Arial"/>
          <w:sz w:val="18"/>
          <w:szCs w:val="18"/>
        </w:rPr>
        <w:t>Durante la Consulta Pública de mérito, se recibió una participación en total, de una persona moral</w:t>
      </w:r>
      <w:r w:rsidR="00956683" w:rsidRPr="00344C45">
        <w:rPr>
          <w:rFonts w:ascii="Arial" w:hAnsi="Arial" w:cs="Arial"/>
          <w:sz w:val="18"/>
          <w:szCs w:val="18"/>
        </w:rPr>
        <w:t>;</w:t>
      </w:r>
      <w:r w:rsidRPr="00344C45">
        <w:rPr>
          <w:rFonts w:ascii="Arial" w:hAnsi="Arial" w:cs="Arial"/>
          <w:sz w:val="18"/>
          <w:szCs w:val="18"/>
        </w:rPr>
        <w:t xml:space="preserve"> dicha participación se centró fundamentalmente en precisiones de</w:t>
      </w:r>
      <w:r w:rsidR="009F0D36" w:rsidRPr="00344C45">
        <w:rPr>
          <w:rFonts w:ascii="Arial" w:hAnsi="Arial" w:cs="Arial"/>
          <w:sz w:val="18"/>
          <w:szCs w:val="18"/>
        </w:rPr>
        <w:t xml:space="preserve"> </w:t>
      </w:r>
      <w:r w:rsidRPr="00344C45">
        <w:rPr>
          <w:rFonts w:ascii="Arial" w:hAnsi="Arial" w:cs="Arial"/>
          <w:sz w:val="18"/>
          <w:szCs w:val="18"/>
        </w:rPr>
        <w:t>l</w:t>
      </w:r>
      <w:r w:rsidR="009F0D36" w:rsidRPr="00344C45">
        <w:rPr>
          <w:rFonts w:ascii="Arial" w:hAnsi="Arial" w:cs="Arial"/>
          <w:sz w:val="18"/>
          <w:szCs w:val="18"/>
        </w:rPr>
        <w:t>as dimensiones del producto para ser considerado “pequeño”</w:t>
      </w:r>
      <w:r w:rsidRPr="00344C45">
        <w:rPr>
          <w:rFonts w:ascii="Arial" w:hAnsi="Arial" w:cs="Arial"/>
          <w:sz w:val="18"/>
          <w:szCs w:val="18"/>
        </w:rPr>
        <w:t xml:space="preserve">, </w:t>
      </w:r>
      <w:r w:rsidR="009F0D36" w:rsidRPr="00344C45">
        <w:rPr>
          <w:rFonts w:ascii="Arial" w:hAnsi="Arial" w:cs="Arial"/>
          <w:sz w:val="18"/>
          <w:szCs w:val="18"/>
        </w:rPr>
        <w:t>las precisiones para productos que están integrados en vehículo y que no son visibles al usuario final</w:t>
      </w:r>
      <w:r w:rsidRPr="00344C45">
        <w:rPr>
          <w:rFonts w:ascii="Arial" w:hAnsi="Arial" w:cs="Arial"/>
          <w:sz w:val="18"/>
          <w:szCs w:val="18"/>
        </w:rPr>
        <w:t>, entre otras. La participaci</w:t>
      </w:r>
      <w:r w:rsidR="009F0D36" w:rsidRPr="00344C45">
        <w:rPr>
          <w:rFonts w:ascii="Arial" w:hAnsi="Arial" w:cs="Arial"/>
          <w:sz w:val="18"/>
          <w:szCs w:val="18"/>
        </w:rPr>
        <w:t>ó</w:t>
      </w:r>
      <w:r w:rsidRPr="00344C45">
        <w:rPr>
          <w:rFonts w:ascii="Arial" w:hAnsi="Arial" w:cs="Arial"/>
          <w:sz w:val="18"/>
          <w:szCs w:val="18"/>
        </w:rPr>
        <w:t xml:space="preserve">n, así como las respuestas emitidas a </w:t>
      </w:r>
      <w:r w:rsidR="00956683" w:rsidRPr="00344C45">
        <w:rPr>
          <w:rFonts w:ascii="Arial" w:hAnsi="Arial" w:cs="Arial"/>
          <w:sz w:val="18"/>
          <w:szCs w:val="18"/>
        </w:rPr>
        <w:t>su</w:t>
      </w:r>
      <w:r w:rsidRPr="00344C45">
        <w:rPr>
          <w:rFonts w:ascii="Arial" w:hAnsi="Arial" w:cs="Arial"/>
          <w:sz w:val="18"/>
          <w:szCs w:val="18"/>
        </w:rPr>
        <w:t>s comentarios, se encuentran disponibles en el Informe de Consideraciones y publicados en el portal de Internet del Instituto.</w:t>
      </w:r>
    </w:p>
    <w:p w14:paraId="6D7D3D9A" w14:textId="77777777" w:rsidR="00E45FEE" w:rsidRPr="00344C45" w:rsidRDefault="00E45FEE" w:rsidP="00225F4C">
      <w:pPr>
        <w:spacing w:after="0" w:line="276" w:lineRule="auto"/>
        <w:jc w:val="both"/>
        <w:rPr>
          <w:rFonts w:ascii="Arial" w:hAnsi="Arial" w:cs="Arial"/>
          <w:sz w:val="18"/>
          <w:szCs w:val="18"/>
        </w:rPr>
      </w:pPr>
    </w:p>
    <w:p w14:paraId="308699C2" w14:textId="6D7328E0" w:rsidR="0019380F" w:rsidRPr="00344C45" w:rsidRDefault="007B0C98" w:rsidP="00E45FEE">
      <w:pPr>
        <w:spacing w:after="0" w:line="276" w:lineRule="auto"/>
        <w:jc w:val="both"/>
        <w:rPr>
          <w:rFonts w:ascii="Arial" w:hAnsi="Arial" w:cs="Arial"/>
          <w:sz w:val="18"/>
          <w:szCs w:val="18"/>
        </w:rPr>
      </w:pPr>
      <w:r w:rsidRPr="00344C45">
        <w:rPr>
          <w:rFonts w:ascii="Arial" w:hAnsi="Arial" w:cs="Arial"/>
          <w:b/>
          <w:bCs/>
          <w:sz w:val="18"/>
          <w:szCs w:val="18"/>
        </w:rPr>
        <w:t>Quinto</w:t>
      </w:r>
      <w:r w:rsidR="0019380F" w:rsidRPr="00344C45">
        <w:rPr>
          <w:rFonts w:ascii="Arial" w:hAnsi="Arial" w:cs="Arial"/>
          <w:b/>
          <w:bCs/>
          <w:sz w:val="18"/>
          <w:szCs w:val="18"/>
        </w:rPr>
        <w:t>.</w:t>
      </w:r>
      <w:r w:rsidRPr="00344C45">
        <w:rPr>
          <w:rFonts w:ascii="Arial" w:hAnsi="Arial" w:cs="Arial"/>
          <w:b/>
          <w:bCs/>
          <w:sz w:val="18"/>
          <w:szCs w:val="18"/>
        </w:rPr>
        <w:t xml:space="preserve"> </w:t>
      </w:r>
      <w:r w:rsidR="0019380F" w:rsidRPr="00344C45">
        <w:rPr>
          <w:rFonts w:ascii="Arial" w:hAnsi="Arial" w:cs="Arial"/>
          <w:b/>
          <w:bCs/>
          <w:sz w:val="18"/>
          <w:szCs w:val="18"/>
        </w:rPr>
        <w:t>-</w:t>
      </w:r>
      <w:r w:rsidR="0019380F" w:rsidRPr="00344C45">
        <w:rPr>
          <w:rFonts w:ascii="Arial" w:hAnsi="Arial" w:cs="Arial"/>
          <w:sz w:val="18"/>
          <w:szCs w:val="18"/>
        </w:rPr>
        <w:t> </w:t>
      </w:r>
      <w:r w:rsidR="0019380F" w:rsidRPr="00344C45">
        <w:rPr>
          <w:rFonts w:ascii="Arial" w:hAnsi="Arial" w:cs="Arial"/>
          <w:b/>
          <w:bCs/>
          <w:sz w:val="18"/>
          <w:szCs w:val="18"/>
        </w:rPr>
        <w:t>Análisis de Impacto Regulatorio.</w:t>
      </w:r>
      <w:r w:rsidR="0019380F" w:rsidRPr="00344C45">
        <w:rPr>
          <w:rFonts w:ascii="Arial" w:hAnsi="Arial" w:cs="Arial"/>
          <w:sz w:val="18"/>
          <w:szCs w:val="18"/>
        </w:rPr>
        <w:t> De conformidad con el segundo párrafo del artículo 51 de la LFTR, se establece que previo a la emisión de reglas, lineamientos o disposiciones administrativas de carácter general de que se trate, el Instituto deberá realizar y hacer público un análisis de impacto regulatorio. Al respecto, la Coordinación General de Mejora Regulatoria emitió, mediante oficio IFT/211/CGMR/</w:t>
      </w:r>
      <w:r w:rsidR="00A56494" w:rsidRPr="00344C45">
        <w:rPr>
          <w:rFonts w:ascii="Arial" w:hAnsi="Arial" w:cs="Arial"/>
          <w:sz w:val="18"/>
          <w:szCs w:val="18"/>
        </w:rPr>
        <w:t>147</w:t>
      </w:r>
      <w:r w:rsidR="0019380F" w:rsidRPr="00344C45">
        <w:rPr>
          <w:rFonts w:ascii="Arial" w:hAnsi="Arial" w:cs="Arial"/>
          <w:sz w:val="18"/>
          <w:szCs w:val="18"/>
        </w:rPr>
        <w:t>/202</w:t>
      </w:r>
      <w:r w:rsidR="00E535C5" w:rsidRPr="00344C45">
        <w:rPr>
          <w:rFonts w:ascii="Arial" w:hAnsi="Arial" w:cs="Arial"/>
          <w:sz w:val="18"/>
          <w:szCs w:val="18"/>
        </w:rPr>
        <w:t>4</w:t>
      </w:r>
      <w:r w:rsidR="0019380F" w:rsidRPr="00344C45">
        <w:rPr>
          <w:rFonts w:ascii="Arial" w:hAnsi="Arial" w:cs="Arial"/>
          <w:sz w:val="18"/>
          <w:szCs w:val="18"/>
        </w:rPr>
        <w:t xml:space="preserve"> de </w:t>
      </w:r>
      <w:r w:rsidR="00A56494" w:rsidRPr="00344C45">
        <w:rPr>
          <w:rFonts w:ascii="Arial" w:hAnsi="Arial" w:cs="Arial"/>
          <w:sz w:val="18"/>
          <w:szCs w:val="18"/>
        </w:rPr>
        <w:t>06</w:t>
      </w:r>
      <w:r w:rsidR="0019380F" w:rsidRPr="00344C45">
        <w:rPr>
          <w:rFonts w:ascii="Arial" w:hAnsi="Arial" w:cs="Arial"/>
          <w:sz w:val="18"/>
          <w:szCs w:val="18"/>
        </w:rPr>
        <w:t xml:space="preserve"> de </w:t>
      </w:r>
      <w:r w:rsidR="00E535C5" w:rsidRPr="00344C45">
        <w:rPr>
          <w:rFonts w:ascii="Arial" w:hAnsi="Arial" w:cs="Arial"/>
          <w:sz w:val="18"/>
          <w:szCs w:val="18"/>
        </w:rPr>
        <w:t>septiembre</w:t>
      </w:r>
      <w:r w:rsidR="0019380F" w:rsidRPr="00344C45">
        <w:rPr>
          <w:rFonts w:ascii="Arial" w:hAnsi="Arial" w:cs="Arial"/>
          <w:sz w:val="18"/>
          <w:szCs w:val="18"/>
        </w:rPr>
        <w:t xml:space="preserve"> de 202</w:t>
      </w:r>
      <w:r w:rsidR="00E535C5" w:rsidRPr="00344C45">
        <w:rPr>
          <w:rFonts w:ascii="Arial" w:hAnsi="Arial" w:cs="Arial"/>
          <w:sz w:val="18"/>
          <w:szCs w:val="18"/>
        </w:rPr>
        <w:t>4</w:t>
      </w:r>
      <w:r w:rsidR="0019380F" w:rsidRPr="00344C45">
        <w:rPr>
          <w:rFonts w:ascii="Arial" w:hAnsi="Arial" w:cs="Arial"/>
          <w:sz w:val="18"/>
          <w:szCs w:val="18"/>
        </w:rPr>
        <w:t>, la opinión no vinculante sobre el Análisis de Impacto Regulatorio del Proyecto de "</w:t>
      </w:r>
      <w:r w:rsidR="00E535C5" w:rsidRPr="00344C45">
        <w:rPr>
          <w:rFonts w:ascii="Arial" w:hAnsi="Arial" w:cs="Arial"/>
          <w:b/>
          <w:bCs/>
          <w:sz w:val="18"/>
          <w:szCs w:val="18"/>
        </w:rPr>
        <w:t>Acuerdo mediante el cual el Pleno del Instituto Federal de Telecomunicaciones modifica los Lineamientos para la homologación de productos, equipos, dispositivos o aparatos destinados a telecomunicaciones o radiodifusión</w:t>
      </w:r>
      <w:r w:rsidR="00E535C5" w:rsidRPr="00344C45">
        <w:rPr>
          <w:rFonts w:ascii="Arial" w:hAnsi="Arial" w:cs="Arial"/>
          <w:sz w:val="18"/>
          <w:szCs w:val="18"/>
        </w:rPr>
        <w:t>"</w:t>
      </w:r>
      <w:r w:rsidR="009F0D36" w:rsidRPr="00344C45">
        <w:rPr>
          <w:rFonts w:ascii="Arial" w:hAnsi="Arial" w:cs="Arial"/>
          <w:sz w:val="18"/>
          <w:szCs w:val="18"/>
        </w:rPr>
        <w:t>.</w:t>
      </w:r>
    </w:p>
    <w:p w14:paraId="680C3EF2" w14:textId="77777777" w:rsidR="00E45FEE" w:rsidRPr="00344C45" w:rsidRDefault="00E45FEE" w:rsidP="00225F4C">
      <w:pPr>
        <w:spacing w:after="0" w:line="276" w:lineRule="auto"/>
        <w:jc w:val="both"/>
        <w:rPr>
          <w:rFonts w:ascii="Arial" w:hAnsi="Arial" w:cs="Arial"/>
          <w:sz w:val="18"/>
          <w:szCs w:val="18"/>
        </w:rPr>
      </w:pPr>
    </w:p>
    <w:p w14:paraId="36C56A04" w14:textId="24D3EF44" w:rsidR="0019380F" w:rsidRPr="00344C45" w:rsidRDefault="0019380F" w:rsidP="00225F4C">
      <w:pPr>
        <w:spacing w:after="0" w:line="276" w:lineRule="auto"/>
        <w:jc w:val="both"/>
        <w:rPr>
          <w:rFonts w:ascii="Arial" w:hAnsi="Arial" w:cs="Arial"/>
          <w:sz w:val="18"/>
          <w:szCs w:val="18"/>
        </w:rPr>
      </w:pPr>
      <w:r w:rsidRPr="00344C45">
        <w:rPr>
          <w:rFonts w:ascii="Arial" w:hAnsi="Arial" w:cs="Arial"/>
          <w:sz w:val="18"/>
          <w:szCs w:val="18"/>
        </w:rPr>
        <w:t xml:space="preserve">Por lo anterior, con fundamento en lo dispuesto en los artículos 6o., apartado B, fracciones II y III y 28, párrafos décimo quinto y vigésimo, fracción IV, de la Constitución Política de los Estados Unidos Mexicanos; 1, 2, 7, 15 fracciones I y LVI, 289 y 290 de la </w:t>
      </w:r>
      <w:r w:rsidR="000D3912" w:rsidRPr="00344C45">
        <w:rPr>
          <w:rFonts w:ascii="Arial" w:hAnsi="Arial" w:cs="Arial"/>
          <w:sz w:val="18"/>
          <w:szCs w:val="18"/>
        </w:rPr>
        <w:t>Ley Federal de Telecomunicaciones y Radiodifusión</w:t>
      </w:r>
      <w:r w:rsidRPr="00344C45">
        <w:rPr>
          <w:rFonts w:ascii="Arial" w:hAnsi="Arial" w:cs="Arial"/>
          <w:sz w:val="18"/>
          <w:szCs w:val="18"/>
        </w:rPr>
        <w:t>, así como los artículos 1, 4, fracción I, y 6, fracciones I y XXV</w:t>
      </w:r>
      <w:r w:rsidR="005707AF" w:rsidRPr="00344C45">
        <w:rPr>
          <w:rFonts w:ascii="Arial" w:hAnsi="Arial" w:cs="Arial"/>
          <w:sz w:val="18"/>
          <w:szCs w:val="18"/>
        </w:rPr>
        <w:t>,</w:t>
      </w:r>
      <w:r w:rsidRPr="00344C45">
        <w:rPr>
          <w:rFonts w:ascii="Arial" w:hAnsi="Arial" w:cs="Arial"/>
          <w:sz w:val="18"/>
          <w:szCs w:val="18"/>
        </w:rPr>
        <w:t xml:space="preserve"> del Estatuto Orgánico del Instituto Federal de Telecomunicaciones, el Pleno del Instituto Federal de Telecomunicaciones expide el siguiente:</w:t>
      </w:r>
    </w:p>
    <w:p w14:paraId="146FE682" w14:textId="77777777" w:rsidR="00475456" w:rsidRPr="00344C45" w:rsidRDefault="00475456" w:rsidP="00E45FEE">
      <w:pPr>
        <w:suppressAutoHyphens/>
        <w:spacing w:after="0" w:line="276" w:lineRule="auto"/>
        <w:ind w:right="49"/>
        <w:jc w:val="center"/>
        <w:rPr>
          <w:rFonts w:ascii="Arial" w:eastAsia="Times New Roman" w:hAnsi="Arial" w:cs="Arial"/>
          <w:b/>
          <w:kern w:val="1"/>
          <w:sz w:val="18"/>
          <w:szCs w:val="18"/>
          <w:lang w:val="es-ES" w:eastAsia="ar-SA"/>
        </w:rPr>
      </w:pPr>
    </w:p>
    <w:p w14:paraId="156403AA" w14:textId="77777777" w:rsidR="00E45FEE" w:rsidRPr="00344C45" w:rsidRDefault="00E45FEE" w:rsidP="00E45FEE">
      <w:pPr>
        <w:suppressAutoHyphens/>
        <w:spacing w:after="0" w:line="276" w:lineRule="auto"/>
        <w:ind w:right="49"/>
        <w:jc w:val="center"/>
        <w:rPr>
          <w:rFonts w:ascii="Arial" w:eastAsia="Times New Roman" w:hAnsi="Arial" w:cs="Arial"/>
          <w:b/>
          <w:kern w:val="1"/>
          <w:sz w:val="18"/>
          <w:szCs w:val="18"/>
          <w:lang w:val="es-ES" w:eastAsia="ar-SA"/>
        </w:rPr>
      </w:pPr>
    </w:p>
    <w:p w14:paraId="776C3AD4" w14:textId="304CFC18" w:rsidR="00894DBB" w:rsidRPr="00344C45" w:rsidRDefault="00894DBB" w:rsidP="00E45FEE">
      <w:pPr>
        <w:suppressAutoHyphens/>
        <w:spacing w:after="0" w:line="276" w:lineRule="auto"/>
        <w:ind w:right="49"/>
        <w:jc w:val="center"/>
        <w:rPr>
          <w:rFonts w:ascii="Arial" w:eastAsia="Times New Roman" w:hAnsi="Arial" w:cs="Arial"/>
          <w:b/>
          <w:kern w:val="1"/>
          <w:sz w:val="18"/>
          <w:szCs w:val="18"/>
          <w:lang w:val="es-ES" w:eastAsia="ar-SA"/>
        </w:rPr>
      </w:pPr>
      <w:r w:rsidRPr="00344C45">
        <w:rPr>
          <w:rFonts w:ascii="Arial" w:eastAsia="Times New Roman" w:hAnsi="Arial" w:cs="Arial"/>
          <w:b/>
          <w:kern w:val="1"/>
          <w:sz w:val="18"/>
          <w:szCs w:val="18"/>
          <w:lang w:val="es-ES" w:eastAsia="ar-SA"/>
        </w:rPr>
        <w:t>Acuerdo</w:t>
      </w:r>
    </w:p>
    <w:p w14:paraId="314FECC7" w14:textId="77777777" w:rsidR="00EA6F0E" w:rsidRPr="00344C45" w:rsidRDefault="00EA6F0E" w:rsidP="00E45FEE">
      <w:pPr>
        <w:suppressAutoHyphens/>
        <w:spacing w:after="0" w:line="276" w:lineRule="auto"/>
        <w:ind w:right="49"/>
        <w:jc w:val="center"/>
        <w:rPr>
          <w:rFonts w:ascii="Arial" w:eastAsia="Times New Roman" w:hAnsi="Arial" w:cs="Arial"/>
          <w:b/>
          <w:kern w:val="1"/>
          <w:sz w:val="18"/>
          <w:szCs w:val="18"/>
          <w:lang w:val="es-ES" w:eastAsia="ar-SA"/>
        </w:rPr>
      </w:pPr>
    </w:p>
    <w:p w14:paraId="4E0B9B4E" w14:textId="77777777" w:rsidR="00E45FEE" w:rsidRPr="00344C45" w:rsidRDefault="00E45FEE" w:rsidP="00E45FEE">
      <w:pPr>
        <w:suppressAutoHyphens/>
        <w:spacing w:after="0" w:line="276" w:lineRule="auto"/>
        <w:ind w:right="49"/>
        <w:jc w:val="center"/>
        <w:rPr>
          <w:rFonts w:ascii="Arial" w:eastAsia="Times New Roman" w:hAnsi="Arial" w:cs="Arial"/>
          <w:b/>
          <w:kern w:val="1"/>
          <w:sz w:val="18"/>
          <w:szCs w:val="18"/>
          <w:lang w:val="es-ES" w:eastAsia="ar-SA"/>
        </w:rPr>
      </w:pPr>
    </w:p>
    <w:p w14:paraId="68C564CA" w14:textId="5DCC247D" w:rsidR="00AE1838" w:rsidRPr="00344C45" w:rsidRDefault="009F0D36" w:rsidP="00225F4C">
      <w:pPr>
        <w:spacing w:after="0" w:line="276" w:lineRule="auto"/>
        <w:jc w:val="both"/>
        <w:rPr>
          <w:rFonts w:ascii="Arial" w:hAnsi="Arial" w:cs="Arial"/>
          <w:bCs/>
          <w:sz w:val="18"/>
          <w:szCs w:val="18"/>
        </w:rPr>
      </w:pPr>
      <w:r w:rsidRPr="00344C45">
        <w:rPr>
          <w:rFonts w:ascii="Arial" w:hAnsi="Arial" w:cs="Arial"/>
          <w:b/>
          <w:bCs/>
          <w:sz w:val="18"/>
          <w:szCs w:val="18"/>
        </w:rPr>
        <w:t>Único</w:t>
      </w:r>
      <w:r w:rsidR="00AE1838" w:rsidRPr="00344C45">
        <w:rPr>
          <w:rFonts w:ascii="Arial" w:hAnsi="Arial" w:cs="Arial"/>
          <w:b/>
          <w:bCs/>
          <w:sz w:val="18"/>
          <w:szCs w:val="18"/>
        </w:rPr>
        <w:t>.</w:t>
      </w:r>
      <w:r w:rsidRPr="00344C45">
        <w:rPr>
          <w:rFonts w:ascii="Arial" w:hAnsi="Arial" w:cs="Arial"/>
          <w:b/>
          <w:bCs/>
          <w:sz w:val="18"/>
          <w:szCs w:val="18"/>
        </w:rPr>
        <w:t xml:space="preserve"> </w:t>
      </w:r>
      <w:r w:rsidR="00AE1838" w:rsidRPr="00344C45">
        <w:rPr>
          <w:rFonts w:ascii="Arial" w:hAnsi="Arial" w:cs="Arial"/>
          <w:b/>
          <w:bCs/>
          <w:sz w:val="18"/>
          <w:szCs w:val="18"/>
        </w:rPr>
        <w:t>-</w:t>
      </w:r>
      <w:r w:rsidR="00AE1838" w:rsidRPr="00344C45">
        <w:rPr>
          <w:rFonts w:ascii="Arial" w:hAnsi="Arial" w:cs="Arial"/>
          <w:sz w:val="18"/>
          <w:szCs w:val="18"/>
        </w:rPr>
        <w:t xml:space="preserve"> Se </w:t>
      </w:r>
      <w:r w:rsidR="00AE1838" w:rsidRPr="00344C45">
        <w:rPr>
          <w:rFonts w:ascii="Arial" w:hAnsi="Arial" w:cs="Arial"/>
          <w:b/>
          <w:sz w:val="18"/>
          <w:szCs w:val="18"/>
        </w:rPr>
        <w:t>MODIFICA</w:t>
      </w:r>
      <w:r w:rsidR="00AE1838" w:rsidRPr="00344C45">
        <w:rPr>
          <w:rFonts w:ascii="Arial" w:hAnsi="Arial" w:cs="Arial"/>
          <w:bCs/>
          <w:sz w:val="18"/>
          <w:szCs w:val="18"/>
        </w:rPr>
        <w:t xml:space="preserve"> </w:t>
      </w:r>
      <w:r w:rsidR="00577A6D" w:rsidRPr="00344C45">
        <w:rPr>
          <w:rFonts w:ascii="Arial" w:hAnsi="Arial" w:cs="Arial"/>
          <w:bCs/>
          <w:sz w:val="18"/>
          <w:szCs w:val="18"/>
        </w:rPr>
        <w:t xml:space="preserve">el primer párrafo del lineamiento Trigésimo octavo, </w:t>
      </w:r>
      <w:r w:rsidR="00AE1838" w:rsidRPr="00344C45">
        <w:rPr>
          <w:rFonts w:ascii="Arial" w:hAnsi="Arial" w:cs="Arial"/>
          <w:bCs/>
          <w:sz w:val="18"/>
          <w:szCs w:val="18"/>
        </w:rPr>
        <w:t>el primer párrafo de la fracción I, el numeral 1 de la fracción II y el primer párrafo de la fracción III, del lineamiento Trigésimo octavo;</w:t>
      </w:r>
      <w:r w:rsidR="00AE1838" w:rsidRPr="00344C45">
        <w:rPr>
          <w:rFonts w:ascii="Arial" w:hAnsi="Arial" w:cs="Arial"/>
          <w:sz w:val="18"/>
          <w:szCs w:val="18"/>
        </w:rPr>
        <w:t xml:space="preserve"> se</w:t>
      </w:r>
      <w:r w:rsidR="00AE1838" w:rsidRPr="00344C45">
        <w:rPr>
          <w:rFonts w:ascii="Arial" w:hAnsi="Arial" w:cs="Arial"/>
          <w:b/>
          <w:bCs/>
          <w:sz w:val="18"/>
          <w:szCs w:val="18"/>
        </w:rPr>
        <w:t xml:space="preserve"> ADICIONA </w:t>
      </w:r>
      <w:r w:rsidR="00AE1838" w:rsidRPr="00344C45">
        <w:rPr>
          <w:rFonts w:ascii="Arial" w:hAnsi="Arial" w:cs="Arial"/>
          <w:sz w:val="18"/>
          <w:szCs w:val="18"/>
        </w:rPr>
        <w:t>el numeral</w:t>
      </w:r>
      <w:r w:rsidR="00AE1838" w:rsidRPr="00344C45">
        <w:rPr>
          <w:rFonts w:ascii="Arial" w:eastAsia="Arial" w:hAnsi="Arial" w:cs="Arial"/>
          <w:sz w:val="18"/>
          <w:szCs w:val="18"/>
          <w:lang w:eastAsia="es-MX" w:bidi="es-MX"/>
        </w:rPr>
        <w:t xml:space="preserve"> 3 a la fracción I</w:t>
      </w:r>
      <w:r w:rsidR="00AE1838" w:rsidRPr="00344C45">
        <w:rPr>
          <w:rFonts w:ascii="Arial" w:hAnsi="Arial" w:cs="Arial"/>
          <w:sz w:val="18"/>
          <w:szCs w:val="18"/>
        </w:rPr>
        <w:t>, la fracción II Bis y la fracción IV, al lineamiento Trigésimo Octavo,</w:t>
      </w:r>
      <w:r w:rsidR="00AE1838" w:rsidRPr="00344C45">
        <w:rPr>
          <w:rFonts w:ascii="Arial" w:hAnsi="Arial" w:cs="Arial"/>
          <w:b/>
          <w:bCs/>
          <w:sz w:val="18"/>
          <w:szCs w:val="18"/>
        </w:rPr>
        <w:t xml:space="preserve"> </w:t>
      </w:r>
      <w:r w:rsidR="00AE1838" w:rsidRPr="00344C45">
        <w:rPr>
          <w:rFonts w:ascii="Arial" w:hAnsi="Arial" w:cs="Arial"/>
          <w:bCs/>
          <w:sz w:val="18"/>
          <w:szCs w:val="18"/>
        </w:rPr>
        <w:t xml:space="preserve">y se </w:t>
      </w:r>
      <w:r w:rsidR="00AE1838" w:rsidRPr="00344C45">
        <w:rPr>
          <w:rFonts w:ascii="Arial" w:hAnsi="Arial" w:cs="Arial"/>
          <w:b/>
          <w:sz w:val="18"/>
          <w:szCs w:val="18"/>
        </w:rPr>
        <w:t>DEROGA</w:t>
      </w:r>
      <w:r w:rsidR="00AE1838" w:rsidRPr="00344C45">
        <w:rPr>
          <w:rFonts w:ascii="Arial" w:hAnsi="Arial" w:cs="Arial"/>
          <w:sz w:val="18"/>
          <w:szCs w:val="18"/>
        </w:rPr>
        <w:t xml:space="preserve"> el </w:t>
      </w:r>
      <w:r w:rsidR="00577A6D" w:rsidRPr="00344C45">
        <w:rPr>
          <w:rFonts w:ascii="Arial" w:hAnsi="Arial" w:cs="Arial"/>
          <w:sz w:val="18"/>
          <w:szCs w:val="18"/>
        </w:rPr>
        <w:t xml:space="preserve">segundo </w:t>
      </w:r>
      <w:r w:rsidR="00AE1838" w:rsidRPr="00344C45">
        <w:rPr>
          <w:rFonts w:ascii="Arial" w:hAnsi="Arial" w:cs="Arial"/>
          <w:sz w:val="18"/>
          <w:szCs w:val="18"/>
        </w:rPr>
        <w:t>párrafo de la fracción I del lineamiento Trigésimo Octavo, de los Lineamientos para la homologación de productos, equipos, dispositivos o aparatos destinados a telecomunicaciones o radiodifusión</w:t>
      </w:r>
      <w:r w:rsidR="00AE1838" w:rsidRPr="00344C45">
        <w:rPr>
          <w:rFonts w:ascii="Arial" w:hAnsi="Arial" w:cs="Arial"/>
          <w:bCs/>
          <w:sz w:val="18"/>
          <w:szCs w:val="18"/>
        </w:rPr>
        <w:t>, para quedar como sigue:</w:t>
      </w:r>
    </w:p>
    <w:p w14:paraId="77B879BD" w14:textId="77777777" w:rsidR="00AE1838" w:rsidRPr="00344C45" w:rsidRDefault="00AE1838" w:rsidP="00225F4C">
      <w:pPr>
        <w:spacing w:after="0" w:line="276" w:lineRule="auto"/>
        <w:jc w:val="both"/>
        <w:rPr>
          <w:rFonts w:ascii="Arial" w:hAnsi="Arial" w:cs="Arial"/>
          <w:bCs/>
          <w:sz w:val="18"/>
          <w:szCs w:val="18"/>
        </w:rPr>
      </w:pPr>
    </w:p>
    <w:p w14:paraId="7B233820" w14:textId="723F587E" w:rsidR="00AE1838" w:rsidRPr="00344C45" w:rsidRDefault="00AE1838" w:rsidP="00225F4C">
      <w:pPr>
        <w:spacing w:after="0" w:line="276" w:lineRule="auto"/>
        <w:ind w:left="426"/>
        <w:jc w:val="both"/>
        <w:rPr>
          <w:rFonts w:ascii="Arial" w:hAnsi="Arial" w:cs="Arial"/>
          <w:bCs/>
          <w:sz w:val="18"/>
          <w:szCs w:val="18"/>
        </w:rPr>
      </w:pPr>
      <w:r w:rsidRPr="00344C45">
        <w:rPr>
          <w:rFonts w:ascii="Arial" w:hAnsi="Arial" w:cs="Arial"/>
          <w:b/>
          <w:sz w:val="18"/>
          <w:szCs w:val="18"/>
        </w:rPr>
        <w:t xml:space="preserve">Trigésimo octavo. </w:t>
      </w:r>
      <w:r w:rsidRPr="00344C45">
        <w:rPr>
          <w:rFonts w:ascii="Arial" w:hAnsi="Arial" w:cs="Arial"/>
          <w:bCs/>
          <w:sz w:val="18"/>
          <w:szCs w:val="18"/>
        </w:rPr>
        <w:t>Para denotar que un Producto se encuentra homologado, el Titular de un Certificado de Homologación, así como las filiales, subsidiarias e Importadores que utilicen el Certificado de Homologación, deben cumplir con los requisitos del marcado o etiquetado del Instituto y del número de Homologación que se establecen a continuación:</w:t>
      </w:r>
    </w:p>
    <w:p w14:paraId="112D1632" w14:textId="77777777" w:rsidR="00AE1838" w:rsidRPr="00344C45" w:rsidRDefault="00AE1838" w:rsidP="00225F4C">
      <w:pPr>
        <w:autoSpaceDE w:val="0"/>
        <w:autoSpaceDN w:val="0"/>
        <w:adjustRightInd w:val="0"/>
        <w:spacing w:after="0" w:line="276" w:lineRule="auto"/>
        <w:rPr>
          <w:rFonts w:ascii="Arial" w:hAnsi="Arial" w:cs="Arial"/>
          <w:color w:val="000000"/>
          <w:sz w:val="18"/>
          <w:szCs w:val="18"/>
        </w:rPr>
      </w:pPr>
    </w:p>
    <w:p w14:paraId="09B9254E" w14:textId="77C8E6F6" w:rsidR="00AE1838" w:rsidRPr="00344C45" w:rsidRDefault="00AE1838" w:rsidP="00225F4C">
      <w:pPr>
        <w:pStyle w:val="Prrafodelista"/>
        <w:numPr>
          <w:ilvl w:val="0"/>
          <w:numId w:val="10"/>
        </w:numPr>
        <w:tabs>
          <w:tab w:val="left" w:pos="426"/>
        </w:tabs>
        <w:spacing w:line="276" w:lineRule="auto"/>
        <w:ind w:left="851" w:hanging="425"/>
        <w:jc w:val="both"/>
        <w:rPr>
          <w:rFonts w:cs="Arial"/>
          <w:bCs/>
          <w:sz w:val="18"/>
          <w:szCs w:val="18"/>
        </w:rPr>
      </w:pPr>
      <w:r w:rsidRPr="00344C45">
        <w:rPr>
          <w:rFonts w:eastAsia="Calibri" w:cs="Arial"/>
          <w:bCs/>
          <w:sz w:val="18"/>
          <w:szCs w:val="18"/>
        </w:rPr>
        <w:t>Cada Producto Homologado debe tener un marcado o etiquetado físico o electrónico, el cual debe estar impreso, digitalizado o reproducido, y contener al menos lo</w:t>
      </w:r>
      <w:r w:rsidRPr="00344C45">
        <w:rPr>
          <w:rFonts w:cs="Arial"/>
          <w:bCs/>
          <w:sz w:val="18"/>
          <w:szCs w:val="18"/>
        </w:rPr>
        <w:t xml:space="preserve"> </w:t>
      </w:r>
      <w:r w:rsidRPr="00344C45">
        <w:rPr>
          <w:rFonts w:eastAsia="Calibri" w:cs="Arial"/>
          <w:bCs/>
          <w:sz w:val="18"/>
          <w:szCs w:val="18"/>
        </w:rPr>
        <w:t>siguiente:</w:t>
      </w:r>
    </w:p>
    <w:p w14:paraId="1ED8CA19" w14:textId="77777777" w:rsidR="00AE1838" w:rsidRPr="00344C45" w:rsidRDefault="00AE1838" w:rsidP="00225F4C">
      <w:pPr>
        <w:pStyle w:val="Prrafodelista"/>
        <w:tabs>
          <w:tab w:val="left" w:pos="426"/>
        </w:tabs>
        <w:spacing w:line="276" w:lineRule="auto"/>
        <w:ind w:left="851"/>
        <w:jc w:val="both"/>
        <w:rPr>
          <w:rFonts w:cs="Arial"/>
          <w:bCs/>
          <w:sz w:val="18"/>
          <w:szCs w:val="18"/>
        </w:rPr>
      </w:pPr>
    </w:p>
    <w:p w14:paraId="7DCDF3B9" w14:textId="77777777" w:rsidR="00AE1838" w:rsidRPr="00344C45" w:rsidRDefault="00AE1838" w:rsidP="00225F4C">
      <w:pPr>
        <w:pStyle w:val="Prrafodelista"/>
        <w:numPr>
          <w:ilvl w:val="1"/>
          <w:numId w:val="10"/>
        </w:numPr>
        <w:spacing w:line="276" w:lineRule="auto"/>
        <w:ind w:left="1276"/>
        <w:jc w:val="both"/>
        <w:rPr>
          <w:rFonts w:cs="Arial"/>
          <w:bCs/>
          <w:sz w:val="18"/>
          <w:szCs w:val="18"/>
        </w:rPr>
      </w:pPr>
      <w:r w:rsidRPr="00344C45">
        <w:rPr>
          <w:rFonts w:cs="Arial"/>
          <w:bCs/>
          <w:sz w:val="18"/>
          <w:szCs w:val="18"/>
        </w:rPr>
        <w:t>…</w:t>
      </w:r>
    </w:p>
    <w:p w14:paraId="610C0DD2" w14:textId="77777777" w:rsidR="00AE1838" w:rsidRPr="00344C45" w:rsidRDefault="00AE1838" w:rsidP="00225F4C">
      <w:pPr>
        <w:pStyle w:val="Prrafodelista"/>
        <w:numPr>
          <w:ilvl w:val="1"/>
          <w:numId w:val="10"/>
        </w:numPr>
        <w:spacing w:line="276" w:lineRule="auto"/>
        <w:ind w:left="1276"/>
        <w:jc w:val="both"/>
        <w:rPr>
          <w:rFonts w:cs="Arial"/>
          <w:bCs/>
          <w:sz w:val="18"/>
          <w:szCs w:val="18"/>
        </w:rPr>
      </w:pPr>
      <w:r w:rsidRPr="00344C45">
        <w:rPr>
          <w:rFonts w:cs="Arial"/>
          <w:bCs/>
          <w:sz w:val="18"/>
          <w:szCs w:val="18"/>
        </w:rPr>
        <w:t>…</w:t>
      </w:r>
    </w:p>
    <w:p w14:paraId="267B16D2" w14:textId="77777777" w:rsidR="00AE1838" w:rsidRPr="00344C45" w:rsidRDefault="00AE1838" w:rsidP="00225F4C">
      <w:pPr>
        <w:pStyle w:val="Prrafodelista"/>
        <w:numPr>
          <w:ilvl w:val="1"/>
          <w:numId w:val="10"/>
        </w:numPr>
        <w:spacing w:line="276" w:lineRule="auto"/>
        <w:ind w:left="1276"/>
        <w:jc w:val="both"/>
        <w:rPr>
          <w:rFonts w:cs="Arial"/>
          <w:bCs/>
          <w:sz w:val="18"/>
          <w:szCs w:val="18"/>
        </w:rPr>
      </w:pPr>
      <w:r w:rsidRPr="00344C45">
        <w:rPr>
          <w:rFonts w:eastAsia="Calibri" w:cs="Arial"/>
          <w:bCs/>
          <w:sz w:val="18"/>
          <w:szCs w:val="18"/>
        </w:rPr>
        <w:t>El Sello IFT, debiendo observar lo previsto en</w:t>
      </w:r>
      <w:r w:rsidRPr="00344C45">
        <w:rPr>
          <w:rFonts w:eastAsia="Calibri" w:cs="Arial"/>
          <w:bCs/>
          <w:sz w:val="18"/>
          <w:szCs w:val="18"/>
          <w:lang w:eastAsia="en-US"/>
        </w:rPr>
        <w:t xml:space="preserve"> los “Lineamientos para el uso del Sello IFT en productos, equipos, dispositivos o aparatos destinados a telecomunicaciones o radiodifusión homologados”, emitidos por el Instituto</w:t>
      </w:r>
      <w:r w:rsidRPr="00344C45">
        <w:rPr>
          <w:rFonts w:eastAsia="Calibri" w:cs="Arial"/>
          <w:bCs/>
          <w:sz w:val="18"/>
          <w:szCs w:val="18"/>
        </w:rPr>
        <w:t>, o aquellos que los modifiquen o sustituyan.</w:t>
      </w:r>
    </w:p>
    <w:p w14:paraId="5381DE3F" w14:textId="77777777" w:rsidR="002D6E28" w:rsidRPr="00344C45" w:rsidRDefault="002D6E28" w:rsidP="00225F4C">
      <w:pPr>
        <w:spacing w:after="0" w:line="276" w:lineRule="auto"/>
        <w:ind w:left="851"/>
        <w:jc w:val="both"/>
        <w:rPr>
          <w:rFonts w:ascii="Arial" w:hAnsi="Arial" w:cs="Arial"/>
          <w:bCs/>
          <w:sz w:val="18"/>
          <w:szCs w:val="18"/>
        </w:rPr>
      </w:pPr>
    </w:p>
    <w:p w14:paraId="5B272E7C" w14:textId="3EE9DD6A" w:rsidR="00AE1838" w:rsidRPr="00344C45" w:rsidRDefault="00AE1838" w:rsidP="00225F4C">
      <w:pPr>
        <w:spacing w:after="0" w:line="276" w:lineRule="auto"/>
        <w:ind w:left="851"/>
        <w:jc w:val="both"/>
        <w:rPr>
          <w:rFonts w:ascii="Arial" w:hAnsi="Arial" w:cs="Arial"/>
          <w:bCs/>
          <w:sz w:val="18"/>
          <w:szCs w:val="18"/>
        </w:rPr>
      </w:pPr>
      <w:r w:rsidRPr="00344C45">
        <w:rPr>
          <w:rFonts w:ascii="Arial" w:hAnsi="Arial" w:cs="Arial"/>
          <w:bCs/>
          <w:sz w:val="18"/>
          <w:szCs w:val="18"/>
        </w:rPr>
        <w:t>(Se deroga)</w:t>
      </w:r>
    </w:p>
    <w:p w14:paraId="092F2DBB" w14:textId="77777777" w:rsidR="00AE1838" w:rsidRPr="00344C45" w:rsidRDefault="00AE1838" w:rsidP="00225F4C">
      <w:pPr>
        <w:spacing w:after="0" w:line="276" w:lineRule="auto"/>
        <w:ind w:left="143" w:firstLine="708"/>
        <w:jc w:val="both"/>
        <w:rPr>
          <w:rFonts w:ascii="Arial" w:hAnsi="Arial" w:cs="Arial"/>
          <w:bCs/>
          <w:sz w:val="18"/>
          <w:szCs w:val="18"/>
          <w:lang w:eastAsia="es-ES"/>
        </w:rPr>
      </w:pPr>
      <w:r w:rsidRPr="00344C45">
        <w:rPr>
          <w:rFonts w:ascii="Arial" w:hAnsi="Arial" w:cs="Arial"/>
          <w:bCs/>
          <w:sz w:val="18"/>
          <w:szCs w:val="18"/>
          <w:lang w:eastAsia="es-ES"/>
        </w:rPr>
        <w:t>…</w:t>
      </w:r>
    </w:p>
    <w:p w14:paraId="71FA1AE0" w14:textId="77777777" w:rsidR="00AE1838" w:rsidRPr="00344C45" w:rsidRDefault="00AE1838" w:rsidP="00225F4C">
      <w:pPr>
        <w:spacing w:after="0" w:line="276" w:lineRule="auto"/>
        <w:ind w:left="143" w:firstLine="708"/>
        <w:jc w:val="both"/>
        <w:rPr>
          <w:rFonts w:ascii="Arial" w:hAnsi="Arial" w:cs="Arial"/>
          <w:bCs/>
          <w:sz w:val="18"/>
          <w:szCs w:val="18"/>
          <w:lang w:eastAsia="es-ES"/>
        </w:rPr>
      </w:pPr>
      <w:r w:rsidRPr="00344C45">
        <w:rPr>
          <w:rFonts w:ascii="Arial" w:hAnsi="Arial" w:cs="Arial"/>
          <w:bCs/>
          <w:sz w:val="18"/>
          <w:szCs w:val="18"/>
          <w:lang w:eastAsia="es-ES"/>
        </w:rPr>
        <w:t>…</w:t>
      </w:r>
    </w:p>
    <w:p w14:paraId="22E5E934" w14:textId="77777777" w:rsidR="00AE1838" w:rsidRPr="00344C45" w:rsidRDefault="00AE1838" w:rsidP="00225F4C">
      <w:pPr>
        <w:pStyle w:val="Prrafodelista"/>
        <w:tabs>
          <w:tab w:val="left" w:pos="426"/>
        </w:tabs>
        <w:spacing w:line="276" w:lineRule="auto"/>
        <w:ind w:left="851"/>
        <w:jc w:val="both"/>
        <w:rPr>
          <w:rFonts w:cs="Arial"/>
          <w:bCs/>
          <w:sz w:val="18"/>
          <w:szCs w:val="18"/>
        </w:rPr>
      </w:pPr>
    </w:p>
    <w:p w14:paraId="69304408" w14:textId="77777777" w:rsidR="00AE1838" w:rsidRPr="00344C45" w:rsidRDefault="00AE1838" w:rsidP="00225F4C">
      <w:pPr>
        <w:pStyle w:val="Prrafodelista"/>
        <w:numPr>
          <w:ilvl w:val="0"/>
          <w:numId w:val="10"/>
        </w:numPr>
        <w:tabs>
          <w:tab w:val="left" w:pos="426"/>
        </w:tabs>
        <w:spacing w:line="276" w:lineRule="auto"/>
        <w:ind w:left="851" w:hanging="425"/>
        <w:jc w:val="both"/>
        <w:rPr>
          <w:rFonts w:cs="Arial"/>
          <w:bCs/>
          <w:sz w:val="18"/>
          <w:szCs w:val="18"/>
        </w:rPr>
      </w:pPr>
      <w:r w:rsidRPr="00344C45">
        <w:rPr>
          <w:rFonts w:cs="Arial"/>
          <w:bCs/>
          <w:sz w:val="18"/>
          <w:szCs w:val="18"/>
        </w:rPr>
        <w:t>…</w:t>
      </w:r>
    </w:p>
    <w:p w14:paraId="7BAEE66E" w14:textId="77777777" w:rsidR="00AE1838" w:rsidRPr="00344C45" w:rsidRDefault="00AE1838" w:rsidP="00225F4C">
      <w:pPr>
        <w:pStyle w:val="Prrafodelista"/>
        <w:tabs>
          <w:tab w:val="left" w:pos="426"/>
        </w:tabs>
        <w:spacing w:line="276" w:lineRule="auto"/>
        <w:ind w:left="851"/>
        <w:jc w:val="both"/>
        <w:rPr>
          <w:rFonts w:cs="Arial"/>
          <w:bCs/>
          <w:sz w:val="18"/>
          <w:szCs w:val="18"/>
        </w:rPr>
      </w:pPr>
    </w:p>
    <w:p w14:paraId="7FCB1001" w14:textId="77777777" w:rsidR="00AE1838" w:rsidRPr="00344C45" w:rsidRDefault="00AE1838" w:rsidP="00225F4C">
      <w:pPr>
        <w:pStyle w:val="Prrafodelista"/>
        <w:tabs>
          <w:tab w:val="left" w:pos="426"/>
        </w:tabs>
        <w:spacing w:line="276" w:lineRule="auto"/>
        <w:ind w:left="851"/>
        <w:jc w:val="both"/>
        <w:rPr>
          <w:rFonts w:cs="Arial"/>
          <w:bCs/>
          <w:sz w:val="18"/>
          <w:szCs w:val="18"/>
        </w:rPr>
      </w:pPr>
    </w:p>
    <w:p w14:paraId="2C31F4EB" w14:textId="77777777" w:rsidR="00AE1838" w:rsidRPr="00344C45" w:rsidRDefault="00AE1838" w:rsidP="00225F4C">
      <w:pPr>
        <w:pStyle w:val="Prrafodelista"/>
        <w:tabs>
          <w:tab w:val="left" w:pos="426"/>
        </w:tabs>
        <w:spacing w:line="276" w:lineRule="auto"/>
        <w:ind w:left="851"/>
        <w:jc w:val="both"/>
        <w:rPr>
          <w:rFonts w:cs="Arial"/>
          <w:bCs/>
          <w:sz w:val="18"/>
          <w:szCs w:val="18"/>
        </w:rPr>
      </w:pPr>
    </w:p>
    <w:p w14:paraId="138DAD45" w14:textId="13F1A88C" w:rsidR="00AE1838" w:rsidRPr="00344C45" w:rsidRDefault="00AE1838" w:rsidP="00225F4C">
      <w:pPr>
        <w:pStyle w:val="Prrafodelista"/>
        <w:numPr>
          <w:ilvl w:val="1"/>
          <w:numId w:val="10"/>
        </w:numPr>
        <w:spacing w:line="276" w:lineRule="auto"/>
        <w:ind w:left="1276"/>
        <w:jc w:val="both"/>
        <w:rPr>
          <w:rFonts w:cs="Arial"/>
          <w:bCs/>
          <w:sz w:val="18"/>
          <w:szCs w:val="18"/>
        </w:rPr>
      </w:pPr>
      <w:r w:rsidRPr="00344C45">
        <w:rPr>
          <w:rFonts w:cs="Arial"/>
          <w:bCs/>
          <w:sz w:val="18"/>
          <w:szCs w:val="18"/>
        </w:rPr>
        <w:t>Fijado permanentemente. Los datos del marcado o etiqueta de identificación requeridos deben estar grabados</w:t>
      </w:r>
      <w:r w:rsidR="00D74F2E" w:rsidRPr="00344C45">
        <w:rPr>
          <w:rFonts w:cs="Arial"/>
          <w:bCs/>
          <w:sz w:val="18"/>
          <w:szCs w:val="18"/>
        </w:rPr>
        <w:t>,</w:t>
      </w:r>
      <w:r w:rsidRPr="00344C45">
        <w:rPr>
          <w:rFonts w:cs="Arial"/>
          <w:bCs/>
          <w:sz w:val="18"/>
          <w:szCs w:val="18"/>
        </w:rPr>
        <w:t xml:space="preserve"> estampados o impresos indeleblemente u otra forma de marcado permanente</w:t>
      </w:r>
      <w:r w:rsidR="00A15B36" w:rsidRPr="00344C45">
        <w:rPr>
          <w:rFonts w:cs="Arial"/>
          <w:bCs/>
          <w:sz w:val="18"/>
          <w:szCs w:val="18"/>
        </w:rPr>
        <w:t>,</w:t>
      </w:r>
      <w:r w:rsidRPr="00344C45">
        <w:rPr>
          <w:rFonts w:cs="Arial"/>
          <w:bCs/>
          <w:sz w:val="18"/>
          <w:szCs w:val="18"/>
        </w:rPr>
        <w:t xml:space="preserve"> en una placa o etiqueta de identificación de metal, plástico u otro material fijado al Producto, </w:t>
      </w:r>
      <w:r w:rsidR="00A15B36" w:rsidRPr="00344C45">
        <w:rPr>
          <w:rFonts w:cs="Arial"/>
          <w:bCs/>
          <w:sz w:val="18"/>
          <w:szCs w:val="18"/>
        </w:rPr>
        <w:t xml:space="preserve">en la </w:t>
      </w:r>
      <w:r w:rsidRPr="00344C45">
        <w:rPr>
          <w:rFonts w:cs="Arial"/>
          <w:bCs/>
          <w:sz w:val="18"/>
          <w:szCs w:val="18"/>
        </w:rPr>
        <w:t xml:space="preserve">caja </w:t>
      </w:r>
      <w:r w:rsidRPr="00344C45">
        <w:rPr>
          <w:rFonts w:eastAsia="Calibri" w:cs="Arial"/>
          <w:bCs/>
          <w:sz w:val="18"/>
          <w:szCs w:val="18"/>
        </w:rPr>
        <w:t xml:space="preserve">o en el </w:t>
      </w:r>
      <w:r w:rsidR="008E62E1" w:rsidRPr="00344C45">
        <w:rPr>
          <w:rFonts w:eastAsia="Calibri" w:cs="Arial"/>
          <w:bCs/>
          <w:sz w:val="18"/>
          <w:szCs w:val="18"/>
        </w:rPr>
        <w:t>empaque</w:t>
      </w:r>
      <w:r w:rsidR="008E62E1" w:rsidRPr="00344C45">
        <w:rPr>
          <w:rFonts w:cs="Arial"/>
          <w:bCs/>
          <w:sz w:val="18"/>
          <w:szCs w:val="18"/>
        </w:rPr>
        <w:t xml:space="preserve"> con</w:t>
      </w:r>
      <w:r w:rsidRPr="00344C45">
        <w:rPr>
          <w:rFonts w:cs="Arial"/>
          <w:bCs/>
          <w:sz w:val="18"/>
          <w:szCs w:val="18"/>
        </w:rPr>
        <w:t xml:space="preserve"> adhesivo permanente o por soldadura</w:t>
      </w:r>
      <w:r w:rsidR="00D74F2E" w:rsidRPr="00344C45">
        <w:rPr>
          <w:rFonts w:cs="Arial"/>
          <w:bCs/>
          <w:sz w:val="18"/>
          <w:szCs w:val="18"/>
        </w:rPr>
        <w:t>,</w:t>
      </w:r>
      <w:r w:rsidRPr="00344C45">
        <w:rPr>
          <w:rFonts w:cs="Arial"/>
          <w:bCs/>
          <w:sz w:val="18"/>
          <w:szCs w:val="18"/>
        </w:rPr>
        <w:t xml:space="preserve"> remache o similares.</w:t>
      </w:r>
      <w:r w:rsidR="00E44368">
        <w:rPr>
          <w:rFonts w:cs="Arial"/>
          <w:bCs/>
          <w:sz w:val="18"/>
          <w:szCs w:val="18"/>
        </w:rPr>
        <w:t xml:space="preserve"> </w:t>
      </w:r>
    </w:p>
    <w:p w14:paraId="3D3CF800" w14:textId="77777777" w:rsidR="00AE1838" w:rsidRPr="00344C45" w:rsidRDefault="00AE1838" w:rsidP="00225F4C">
      <w:pPr>
        <w:pStyle w:val="Prrafodelista"/>
        <w:spacing w:line="276" w:lineRule="auto"/>
        <w:ind w:left="1276"/>
        <w:jc w:val="both"/>
        <w:rPr>
          <w:rFonts w:cs="Arial"/>
          <w:bCs/>
          <w:sz w:val="18"/>
          <w:szCs w:val="18"/>
        </w:rPr>
      </w:pPr>
    </w:p>
    <w:p w14:paraId="6702D9DC" w14:textId="77777777" w:rsidR="00AE1838" w:rsidRPr="00344C45" w:rsidRDefault="00AE1838" w:rsidP="00225F4C">
      <w:pPr>
        <w:pStyle w:val="Prrafodelista"/>
        <w:numPr>
          <w:ilvl w:val="1"/>
          <w:numId w:val="10"/>
        </w:numPr>
        <w:spacing w:line="276" w:lineRule="auto"/>
        <w:ind w:left="1276"/>
        <w:jc w:val="both"/>
        <w:rPr>
          <w:rFonts w:cs="Arial"/>
          <w:bCs/>
          <w:sz w:val="18"/>
          <w:szCs w:val="18"/>
        </w:rPr>
      </w:pPr>
      <w:r w:rsidRPr="00344C45">
        <w:rPr>
          <w:rFonts w:cs="Arial"/>
          <w:bCs/>
          <w:sz w:val="18"/>
          <w:szCs w:val="18"/>
        </w:rPr>
        <w:t>…</w:t>
      </w:r>
    </w:p>
    <w:p w14:paraId="736CC029" w14:textId="77777777" w:rsidR="00AE1838" w:rsidRPr="00344C45" w:rsidRDefault="00AE1838" w:rsidP="00225F4C">
      <w:pPr>
        <w:pStyle w:val="Prrafodelista"/>
        <w:spacing w:line="276" w:lineRule="auto"/>
        <w:rPr>
          <w:rFonts w:cs="Arial"/>
          <w:bCs/>
          <w:sz w:val="18"/>
          <w:szCs w:val="18"/>
        </w:rPr>
      </w:pPr>
    </w:p>
    <w:p w14:paraId="2E14CCAC" w14:textId="5F7A1FAF" w:rsidR="00AE1838" w:rsidRPr="00344C45" w:rsidRDefault="00AE1838" w:rsidP="004A3042">
      <w:pPr>
        <w:tabs>
          <w:tab w:val="left" w:pos="709"/>
        </w:tabs>
        <w:spacing w:after="0" w:line="276" w:lineRule="auto"/>
        <w:ind w:left="851" w:hanging="284"/>
        <w:jc w:val="both"/>
        <w:rPr>
          <w:rFonts w:ascii="Arial" w:eastAsia="Times New Roman" w:hAnsi="Arial" w:cs="Arial"/>
          <w:bCs/>
          <w:sz w:val="18"/>
          <w:szCs w:val="18"/>
          <w:lang w:eastAsia="es-ES"/>
        </w:rPr>
      </w:pPr>
      <w:r w:rsidRPr="00344C45">
        <w:rPr>
          <w:rFonts w:ascii="Arial" w:eastAsia="Times New Roman" w:hAnsi="Arial" w:cs="Arial"/>
          <w:b/>
          <w:sz w:val="18"/>
          <w:szCs w:val="18"/>
          <w:lang w:eastAsia="es-ES"/>
        </w:rPr>
        <w:t>II Bis.</w:t>
      </w:r>
      <w:r w:rsidRPr="00344C45">
        <w:rPr>
          <w:rFonts w:ascii="Arial" w:eastAsia="Times New Roman" w:hAnsi="Arial" w:cs="Arial"/>
          <w:bCs/>
          <w:sz w:val="18"/>
          <w:szCs w:val="18"/>
          <w:lang w:eastAsia="es-ES"/>
        </w:rPr>
        <w:t xml:space="preserve"> Para el marcado o etiquetado electrónico, esta identificación puede utilizarse en aquellos Productos que cuenten con una pantalla integrada, </w:t>
      </w:r>
      <w:r w:rsidR="001918DE">
        <w:rPr>
          <w:rFonts w:ascii="Arial" w:eastAsia="Times New Roman" w:hAnsi="Arial" w:cs="Arial"/>
          <w:bCs/>
          <w:sz w:val="18"/>
          <w:szCs w:val="18"/>
          <w:lang w:eastAsia="es-ES"/>
        </w:rPr>
        <w:t>lo que</w:t>
      </w:r>
      <w:r w:rsidRPr="00344C45">
        <w:rPr>
          <w:rFonts w:ascii="Arial" w:eastAsia="Times New Roman" w:hAnsi="Arial" w:cs="Arial"/>
          <w:bCs/>
          <w:sz w:val="18"/>
          <w:szCs w:val="18"/>
          <w:lang w:eastAsia="es-ES"/>
        </w:rPr>
        <w:t xml:space="preserve"> permit</w:t>
      </w:r>
      <w:r w:rsidR="001918DE">
        <w:rPr>
          <w:rFonts w:ascii="Arial" w:eastAsia="Times New Roman" w:hAnsi="Arial" w:cs="Arial"/>
          <w:bCs/>
          <w:sz w:val="18"/>
          <w:szCs w:val="18"/>
          <w:lang w:eastAsia="es-ES"/>
        </w:rPr>
        <w:t>e</w:t>
      </w:r>
      <w:r w:rsidRPr="00344C45">
        <w:rPr>
          <w:rFonts w:ascii="Arial" w:eastAsia="Times New Roman" w:hAnsi="Arial" w:cs="Arial"/>
          <w:bCs/>
          <w:sz w:val="18"/>
          <w:szCs w:val="18"/>
          <w:lang w:eastAsia="es-ES"/>
        </w:rPr>
        <w:t xml:space="preserve"> al usuario visualizar dicho marcado o etiquetado de forma clara y accesible. </w:t>
      </w:r>
      <w:bookmarkStart w:id="3" w:name="_Hlk177122651"/>
      <w:r w:rsidR="001918DE">
        <w:rPr>
          <w:rFonts w:ascii="Arial" w:eastAsia="Times New Roman" w:hAnsi="Arial" w:cs="Arial"/>
          <w:bCs/>
          <w:sz w:val="18"/>
          <w:szCs w:val="18"/>
          <w:lang w:eastAsia="es-ES"/>
        </w:rPr>
        <w:t xml:space="preserve">En este caso, </w:t>
      </w:r>
      <w:r w:rsidR="00105B4E">
        <w:rPr>
          <w:rFonts w:ascii="Arial" w:eastAsia="Times New Roman" w:hAnsi="Arial" w:cs="Arial"/>
          <w:bCs/>
          <w:sz w:val="18"/>
          <w:szCs w:val="18"/>
          <w:lang w:eastAsia="es-ES"/>
        </w:rPr>
        <w:t>es</w:t>
      </w:r>
      <w:r w:rsidR="001918DE">
        <w:rPr>
          <w:rFonts w:ascii="Arial" w:eastAsia="Times New Roman" w:hAnsi="Arial" w:cs="Arial"/>
          <w:bCs/>
          <w:sz w:val="18"/>
          <w:szCs w:val="18"/>
          <w:lang w:eastAsia="es-ES"/>
        </w:rPr>
        <w:t xml:space="preserve"> optativo el fijado permanente al que se refiere </w:t>
      </w:r>
      <w:r w:rsidR="00BF1078">
        <w:rPr>
          <w:rFonts w:ascii="Arial" w:eastAsia="Times New Roman" w:hAnsi="Arial" w:cs="Arial"/>
          <w:bCs/>
          <w:sz w:val="18"/>
          <w:szCs w:val="18"/>
          <w:lang w:eastAsia="es-ES"/>
        </w:rPr>
        <w:t xml:space="preserve">el numeral 1 de </w:t>
      </w:r>
      <w:r w:rsidR="001918DE">
        <w:rPr>
          <w:rFonts w:ascii="Arial" w:eastAsia="Times New Roman" w:hAnsi="Arial" w:cs="Arial"/>
          <w:bCs/>
          <w:sz w:val="18"/>
          <w:szCs w:val="18"/>
          <w:lang w:eastAsia="es-ES"/>
        </w:rPr>
        <w:t>la fracción II</w:t>
      </w:r>
      <w:r w:rsidR="00105B4E">
        <w:rPr>
          <w:rFonts w:ascii="Arial" w:eastAsia="Times New Roman" w:hAnsi="Arial" w:cs="Arial"/>
          <w:bCs/>
          <w:sz w:val="18"/>
          <w:szCs w:val="18"/>
          <w:lang w:eastAsia="es-ES"/>
        </w:rPr>
        <w:t xml:space="preserve"> del presente lineamiento</w:t>
      </w:r>
      <w:r w:rsidR="001918DE">
        <w:rPr>
          <w:rFonts w:ascii="Arial" w:eastAsia="Times New Roman" w:hAnsi="Arial" w:cs="Arial"/>
          <w:bCs/>
          <w:sz w:val="18"/>
          <w:szCs w:val="18"/>
          <w:lang w:eastAsia="es-ES"/>
        </w:rPr>
        <w:t>.</w:t>
      </w:r>
      <w:bookmarkEnd w:id="3"/>
    </w:p>
    <w:p w14:paraId="35298562" w14:textId="77777777" w:rsidR="004A3042" w:rsidRPr="00344C45" w:rsidRDefault="004A3042" w:rsidP="00225F4C">
      <w:pPr>
        <w:tabs>
          <w:tab w:val="left" w:pos="709"/>
        </w:tabs>
        <w:spacing w:after="0" w:line="276" w:lineRule="auto"/>
        <w:ind w:left="851" w:hanging="284"/>
        <w:jc w:val="both"/>
        <w:rPr>
          <w:rFonts w:ascii="Arial" w:eastAsia="Times New Roman" w:hAnsi="Arial" w:cs="Arial"/>
          <w:bCs/>
          <w:sz w:val="18"/>
          <w:szCs w:val="18"/>
          <w:lang w:eastAsia="es-ES"/>
        </w:rPr>
      </w:pPr>
    </w:p>
    <w:p w14:paraId="6EFCABFD" w14:textId="77777777" w:rsidR="00AE1838" w:rsidRPr="00344C45" w:rsidRDefault="00AE1838" w:rsidP="004A3042">
      <w:pPr>
        <w:spacing w:after="0" w:line="276" w:lineRule="auto"/>
        <w:ind w:left="851"/>
        <w:jc w:val="both"/>
        <w:rPr>
          <w:rFonts w:ascii="Arial" w:eastAsia="Times New Roman" w:hAnsi="Arial" w:cs="Arial"/>
          <w:bCs/>
          <w:sz w:val="18"/>
          <w:szCs w:val="18"/>
          <w:lang w:eastAsia="es-ES"/>
        </w:rPr>
      </w:pPr>
      <w:r w:rsidRPr="00344C45">
        <w:rPr>
          <w:rFonts w:ascii="Arial" w:eastAsia="Times New Roman" w:hAnsi="Arial" w:cs="Arial"/>
          <w:bCs/>
          <w:sz w:val="18"/>
          <w:szCs w:val="18"/>
          <w:lang w:eastAsia="es-ES"/>
        </w:rPr>
        <w:t>Para el acceso al marcado o etiquetado electrónico referido en el párrafo anterior, debe considerarse lo siguiente:</w:t>
      </w:r>
    </w:p>
    <w:p w14:paraId="57243C7E" w14:textId="77777777" w:rsidR="004A3042" w:rsidRPr="00344C45" w:rsidRDefault="004A3042" w:rsidP="00225F4C">
      <w:pPr>
        <w:spacing w:after="0" w:line="276" w:lineRule="auto"/>
        <w:ind w:left="851"/>
        <w:jc w:val="both"/>
        <w:rPr>
          <w:rFonts w:ascii="Arial" w:eastAsia="Times New Roman" w:hAnsi="Arial" w:cs="Arial"/>
          <w:bCs/>
          <w:sz w:val="18"/>
          <w:szCs w:val="18"/>
          <w:lang w:eastAsia="es-ES"/>
        </w:rPr>
      </w:pPr>
    </w:p>
    <w:p w14:paraId="6E5EEA04" w14:textId="2C283958" w:rsidR="00AE1838" w:rsidRPr="00344C45" w:rsidRDefault="00AE1838" w:rsidP="00225F4C">
      <w:pPr>
        <w:pStyle w:val="Prrafodelista"/>
        <w:numPr>
          <w:ilvl w:val="0"/>
          <w:numId w:val="11"/>
        </w:numPr>
        <w:spacing w:line="276" w:lineRule="auto"/>
        <w:ind w:left="1276"/>
        <w:jc w:val="both"/>
        <w:rPr>
          <w:rFonts w:cs="Arial"/>
          <w:bCs/>
          <w:sz w:val="18"/>
          <w:szCs w:val="18"/>
        </w:rPr>
      </w:pPr>
      <w:r w:rsidRPr="00344C45">
        <w:rPr>
          <w:rFonts w:cs="Arial"/>
          <w:bCs/>
          <w:sz w:val="18"/>
          <w:szCs w:val="18"/>
        </w:rPr>
        <w:t xml:space="preserve">El Producto debe permitir el acceso al marcado o etiquetado electrónico sin necesidad de códigos, contraseñas, permisos específicos, complementos o accesorios especiales y suplementarios. </w:t>
      </w:r>
    </w:p>
    <w:p w14:paraId="4A4484E0" w14:textId="69D8CC12" w:rsidR="00AE1838" w:rsidRPr="00344C45" w:rsidRDefault="00AE1838" w:rsidP="00225F4C">
      <w:pPr>
        <w:pStyle w:val="Prrafodelista"/>
        <w:numPr>
          <w:ilvl w:val="0"/>
          <w:numId w:val="11"/>
        </w:numPr>
        <w:spacing w:line="276" w:lineRule="auto"/>
        <w:ind w:left="1276"/>
        <w:jc w:val="both"/>
        <w:rPr>
          <w:rFonts w:cs="Arial"/>
          <w:bCs/>
          <w:sz w:val="18"/>
          <w:szCs w:val="18"/>
        </w:rPr>
      </w:pPr>
      <w:r w:rsidRPr="00344C45">
        <w:rPr>
          <w:rFonts w:cs="Arial"/>
          <w:bCs/>
          <w:sz w:val="18"/>
          <w:szCs w:val="18"/>
        </w:rPr>
        <w:t>El marcado o etiquetado electrónico debe ser de fácil acceso para el usuario en hasta tres pasos desde el menú principal o inicial del Producto.</w:t>
      </w:r>
    </w:p>
    <w:p w14:paraId="41AA7518" w14:textId="77777777" w:rsidR="00AE1838" w:rsidRPr="00344C45" w:rsidRDefault="00AE1838" w:rsidP="00225F4C">
      <w:pPr>
        <w:pStyle w:val="Prrafodelista"/>
        <w:numPr>
          <w:ilvl w:val="0"/>
          <w:numId w:val="11"/>
        </w:numPr>
        <w:spacing w:line="276" w:lineRule="auto"/>
        <w:ind w:left="1276"/>
        <w:jc w:val="both"/>
        <w:rPr>
          <w:rFonts w:cs="Arial"/>
          <w:bCs/>
          <w:sz w:val="18"/>
          <w:szCs w:val="18"/>
        </w:rPr>
      </w:pPr>
      <w:r w:rsidRPr="00344C45">
        <w:rPr>
          <w:rFonts w:cs="Arial"/>
          <w:bCs/>
          <w:sz w:val="18"/>
          <w:szCs w:val="18"/>
        </w:rPr>
        <w:t xml:space="preserve">Las instrucciones para visualizar el marcado o etiquetado electrónico deben estar disponibles en el manual del usuario o en el folleto de guía rápida. </w:t>
      </w:r>
    </w:p>
    <w:p w14:paraId="435AECE4" w14:textId="77777777" w:rsidR="00AE1838" w:rsidRPr="00344C45" w:rsidRDefault="00AE1838" w:rsidP="00225F4C">
      <w:pPr>
        <w:pStyle w:val="Prrafodelista"/>
        <w:numPr>
          <w:ilvl w:val="0"/>
          <w:numId w:val="11"/>
        </w:numPr>
        <w:spacing w:line="276" w:lineRule="auto"/>
        <w:ind w:left="1276"/>
        <w:jc w:val="both"/>
        <w:rPr>
          <w:rFonts w:cs="Arial"/>
          <w:bCs/>
          <w:sz w:val="18"/>
          <w:szCs w:val="18"/>
        </w:rPr>
      </w:pPr>
      <w:r w:rsidRPr="00344C45">
        <w:rPr>
          <w:rFonts w:cs="Arial"/>
          <w:bCs/>
          <w:sz w:val="18"/>
          <w:szCs w:val="18"/>
        </w:rPr>
        <w:t>El marcado o etiquetado electrónico debe ser electrónicamente inviolable.</w:t>
      </w:r>
    </w:p>
    <w:p w14:paraId="123EB222" w14:textId="5631C217" w:rsidR="00AE1838" w:rsidRPr="00344C45" w:rsidRDefault="00AE1838" w:rsidP="00225F4C">
      <w:pPr>
        <w:pStyle w:val="Prrafodelista"/>
        <w:numPr>
          <w:ilvl w:val="0"/>
          <w:numId w:val="11"/>
        </w:numPr>
        <w:spacing w:line="276" w:lineRule="auto"/>
        <w:ind w:left="1276"/>
        <w:jc w:val="both"/>
        <w:rPr>
          <w:rFonts w:cs="Arial"/>
          <w:bCs/>
          <w:sz w:val="18"/>
          <w:szCs w:val="18"/>
        </w:rPr>
      </w:pPr>
      <w:r w:rsidRPr="00344C45">
        <w:rPr>
          <w:rFonts w:cs="Arial"/>
          <w:bCs/>
          <w:sz w:val="18"/>
          <w:szCs w:val="18"/>
        </w:rPr>
        <w:t>El marcado o etiquetado electrónico debe permanecer en la memoria del Producto</w:t>
      </w:r>
      <w:r w:rsidR="001D3F96" w:rsidRPr="00344C45">
        <w:rPr>
          <w:rFonts w:cs="Arial"/>
          <w:bCs/>
          <w:sz w:val="18"/>
          <w:szCs w:val="18"/>
        </w:rPr>
        <w:t>,</w:t>
      </w:r>
      <w:r w:rsidRPr="00344C45">
        <w:rPr>
          <w:rFonts w:cs="Arial"/>
          <w:bCs/>
          <w:sz w:val="18"/>
          <w:szCs w:val="18"/>
        </w:rPr>
        <w:t xml:space="preserve"> incluso cuando el sistema operativo restablezca sus valores originales de fábrica.</w:t>
      </w:r>
    </w:p>
    <w:p w14:paraId="0A448AE3" w14:textId="77777777" w:rsidR="00AE1838" w:rsidRPr="00344C45" w:rsidRDefault="00AE1838" w:rsidP="00225F4C">
      <w:pPr>
        <w:shd w:val="clear" w:color="auto" w:fill="FFFFFF"/>
        <w:spacing w:after="80" w:line="276" w:lineRule="auto"/>
        <w:ind w:left="567" w:hanging="283"/>
        <w:jc w:val="both"/>
        <w:rPr>
          <w:rFonts w:ascii="Arial" w:eastAsia="Times New Roman" w:hAnsi="Arial" w:cs="Arial"/>
          <w:bCs/>
          <w:color w:val="2F2F2F"/>
          <w:sz w:val="18"/>
          <w:szCs w:val="18"/>
          <w:lang w:eastAsia="es-MX"/>
        </w:rPr>
      </w:pPr>
    </w:p>
    <w:p w14:paraId="0290D35A" w14:textId="52735E6F" w:rsidR="00AE1838" w:rsidRPr="00344C45" w:rsidRDefault="00AE1838" w:rsidP="004A3042">
      <w:pPr>
        <w:spacing w:after="0" w:line="276" w:lineRule="auto"/>
        <w:ind w:left="851"/>
        <w:jc w:val="both"/>
        <w:rPr>
          <w:rFonts w:ascii="Arial" w:eastAsia="Times New Roman" w:hAnsi="Arial" w:cs="Arial"/>
          <w:bCs/>
          <w:sz w:val="18"/>
          <w:szCs w:val="18"/>
          <w:lang w:eastAsia="es-ES"/>
        </w:rPr>
      </w:pPr>
      <w:r w:rsidRPr="00344C45">
        <w:rPr>
          <w:rFonts w:ascii="Arial" w:eastAsia="Times New Roman" w:hAnsi="Arial" w:cs="Arial"/>
          <w:bCs/>
          <w:sz w:val="18"/>
          <w:szCs w:val="18"/>
          <w:lang w:eastAsia="es-ES"/>
        </w:rPr>
        <w:t xml:space="preserve">En caso de no emplear el marcado o etiquetado electrónico en aquellos Productos que cuenten con una pantalla integrada, se debe utilizar el marcado o etiquetado físico referido en la fracción II del presente lineamiento. </w:t>
      </w:r>
    </w:p>
    <w:p w14:paraId="6C838B6C" w14:textId="77777777" w:rsidR="004A3042" w:rsidRPr="00344C45" w:rsidRDefault="004A3042" w:rsidP="00225F4C">
      <w:pPr>
        <w:spacing w:after="0" w:line="276" w:lineRule="auto"/>
        <w:ind w:left="851"/>
        <w:jc w:val="both"/>
        <w:rPr>
          <w:rFonts w:ascii="Arial" w:eastAsia="Times New Roman" w:hAnsi="Arial" w:cs="Arial"/>
          <w:bCs/>
          <w:sz w:val="18"/>
          <w:szCs w:val="18"/>
          <w:lang w:eastAsia="es-ES"/>
        </w:rPr>
      </w:pPr>
    </w:p>
    <w:p w14:paraId="0908CF9B" w14:textId="07B525CD" w:rsidR="00AE1838" w:rsidRPr="00344C45" w:rsidRDefault="00AE1838" w:rsidP="004A3042">
      <w:pPr>
        <w:spacing w:after="0" w:line="276" w:lineRule="auto"/>
        <w:ind w:left="851"/>
        <w:jc w:val="both"/>
        <w:rPr>
          <w:rFonts w:ascii="Arial" w:eastAsia="Times New Roman" w:hAnsi="Arial" w:cs="Arial"/>
          <w:bCs/>
          <w:sz w:val="18"/>
          <w:szCs w:val="18"/>
          <w:lang w:eastAsia="es-ES"/>
        </w:rPr>
      </w:pPr>
      <w:r w:rsidRPr="00344C45">
        <w:rPr>
          <w:rFonts w:ascii="Arial" w:eastAsia="Times New Roman" w:hAnsi="Arial" w:cs="Arial"/>
          <w:bCs/>
          <w:sz w:val="18"/>
          <w:szCs w:val="18"/>
          <w:lang w:eastAsia="es-ES"/>
        </w:rPr>
        <w:t xml:space="preserve">Una vez que el marcado o etiquetado se apegue a lo establecido en las fracciones II y/o II Bis del presente lineamiento, dicho marcado o etiquetado además puede ser provisto en el manual </w:t>
      </w:r>
      <w:r w:rsidR="00BE174F" w:rsidRPr="00344C45">
        <w:rPr>
          <w:rFonts w:ascii="Arial" w:eastAsia="Times New Roman" w:hAnsi="Arial" w:cs="Arial"/>
          <w:bCs/>
          <w:sz w:val="18"/>
          <w:szCs w:val="18"/>
          <w:lang w:eastAsia="es-ES"/>
        </w:rPr>
        <w:t xml:space="preserve">físico o, en su caso, en el manual electrónico </w:t>
      </w:r>
      <w:r w:rsidRPr="00344C45">
        <w:rPr>
          <w:rFonts w:ascii="Arial" w:eastAsia="Times New Roman" w:hAnsi="Arial" w:cs="Arial"/>
          <w:bCs/>
          <w:sz w:val="18"/>
          <w:szCs w:val="18"/>
          <w:lang w:eastAsia="es-ES"/>
        </w:rPr>
        <w:t>del Producto.</w:t>
      </w:r>
    </w:p>
    <w:p w14:paraId="1D7AF942" w14:textId="77777777" w:rsidR="004A3042" w:rsidRPr="00344C45" w:rsidRDefault="004A3042" w:rsidP="00225F4C">
      <w:pPr>
        <w:spacing w:after="0" w:line="276" w:lineRule="auto"/>
        <w:ind w:left="851"/>
        <w:jc w:val="both"/>
        <w:rPr>
          <w:rFonts w:ascii="Arial" w:eastAsia="Times New Roman" w:hAnsi="Arial" w:cs="Arial"/>
          <w:bCs/>
          <w:sz w:val="18"/>
          <w:szCs w:val="18"/>
          <w:lang w:eastAsia="es-ES"/>
        </w:rPr>
      </w:pPr>
    </w:p>
    <w:p w14:paraId="321131B9" w14:textId="77777777" w:rsidR="00AE1838" w:rsidRPr="00344C45" w:rsidRDefault="00AE1838" w:rsidP="00225F4C">
      <w:pPr>
        <w:pStyle w:val="Prrafodelista"/>
        <w:numPr>
          <w:ilvl w:val="0"/>
          <w:numId w:val="10"/>
        </w:numPr>
        <w:tabs>
          <w:tab w:val="left" w:pos="426"/>
        </w:tabs>
        <w:spacing w:line="276" w:lineRule="auto"/>
        <w:ind w:left="851" w:hanging="425"/>
        <w:jc w:val="both"/>
        <w:rPr>
          <w:rFonts w:cs="Arial"/>
          <w:bCs/>
          <w:sz w:val="18"/>
          <w:szCs w:val="18"/>
        </w:rPr>
      </w:pPr>
      <w:r w:rsidRPr="00344C45">
        <w:rPr>
          <w:rFonts w:cs="Arial"/>
          <w:bCs/>
          <w:sz w:val="18"/>
          <w:szCs w:val="18"/>
        </w:rPr>
        <w:t>El prefijo "IFT", el número del Certificado de Homologación y el Sello IFT deben ser fácilmente legibles.</w:t>
      </w:r>
    </w:p>
    <w:p w14:paraId="58AD4A75" w14:textId="77777777" w:rsidR="00AE1838" w:rsidRPr="00344C45" w:rsidRDefault="00AE1838" w:rsidP="00225F4C">
      <w:pPr>
        <w:pStyle w:val="Prrafodelista"/>
        <w:tabs>
          <w:tab w:val="left" w:pos="426"/>
        </w:tabs>
        <w:spacing w:line="276" w:lineRule="auto"/>
        <w:ind w:left="851"/>
        <w:jc w:val="both"/>
        <w:rPr>
          <w:rFonts w:cs="Arial"/>
          <w:bCs/>
          <w:sz w:val="18"/>
          <w:szCs w:val="18"/>
        </w:rPr>
      </w:pPr>
      <w:r w:rsidRPr="00344C45">
        <w:rPr>
          <w:rFonts w:cs="Arial"/>
          <w:bCs/>
          <w:sz w:val="18"/>
          <w:szCs w:val="18"/>
        </w:rPr>
        <w:t>…</w:t>
      </w:r>
    </w:p>
    <w:p w14:paraId="0B0E474E" w14:textId="77777777" w:rsidR="00AE1838" w:rsidRPr="00344C45" w:rsidRDefault="00AE1838" w:rsidP="00225F4C">
      <w:pPr>
        <w:pStyle w:val="Prrafodelista"/>
        <w:tabs>
          <w:tab w:val="left" w:pos="426"/>
        </w:tabs>
        <w:spacing w:line="276" w:lineRule="auto"/>
        <w:ind w:left="851"/>
        <w:jc w:val="both"/>
        <w:rPr>
          <w:rFonts w:cs="Arial"/>
          <w:bCs/>
          <w:sz w:val="18"/>
          <w:szCs w:val="18"/>
        </w:rPr>
      </w:pPr>
    </w:p>
    <w:p w14:paraId="3DD24092" w14:textId="36D3115A" w:rsidR="00AE1838" w:rsidRPr="00344C45" w:rsidRDefault="00AE1838" w:rsidP="00225F4C">
      <w:pPr>
        <w:pStyle w:val="Prrafodelista"/>
        <w:numPr>
          <w:ilvl w:val="0"/>
          <w:numId w:val="10"/>
        </w:numPr>
        <w:tabs>
          <w:tab w:val="left" w:pos="426"/>
        </w:tabs>
        <w:spacing w:after="240" w:line="276" w:lineRule="auto"/>
        <w:ind w:left="851" w:hanging="425"/>
        <w:jc w:val="both"/>
        <w:rPr>
          <w:rFonts w:cs="Arial"/>
          <w:bCs/>
          <w:sz w:val="18"/>
          <w:szCs w:val="18"/>
        </w:rPr>
      </w:pPr>
      <w:r w:rsidRPr="00344C45">
        <w:rPr>
          <w:rFonts w:cs="Arial"/>
          <w:bCs/>
          <w:sz w:val="18"/>
          <w:szCs w:val="18"/>
        </w:rPr>
        <w:t>En caso de que el Producto sea tan pequeño</w:t>
      </w:r>
      <w:r w:rsidR="003B3203" w:rsidRPr="00344C45">
        <w:rPr>
          <w:rFonts w:cs="Arial"/>
          <w:bCs/>
          <w:sz w:val="18"/>
          <w:szCs w:val="18"/>
        </w:rPr>
        <w:t xml:space="preserve">; </w:t>
      </w:r>
      <w:r w:rsidRPr="00344C45">
        <w:rPr>
          <w:rFonts w:cs="Arial"/>
          <w:bCs/>
          <w:sz w:val="18"/>
          <w:szCs w:val="18"/>
        </w:rPr>
        <w:t xml:space="preserve">con una dimensión </w:t>
      </w:r>
      <w:r w:rsidRPr="00344C45">
        <w:rPr>
          <w:rFonts w:cs="Arial"/>
          <w:bCs/>
          <w:sz w:val="18"/>
          <w:szCs w:val="18"/>
          <w:lang w:val="es-MX"/>
        </w:rPr>
        <w:t>de 35 mm x 10</w:t>
      </w:r>
      <w:r w:rsidR="00A52B92" w:rsidRPr="00344C45">
        <w:rPr>
          <w:rFonts w:cs="Arial"/>
          <w:bCs/>
          <w:sz w:val="18"/>
          <w:szCs w:val="18"/>
          <w:lang w:val="es-MX"/>
        </w:rPr>
        <w:t> </w:t>
      </w:r>
      <w:r w:rsidRPr="00344C45">
        <w:rPr>
          <w:rFonts w:cs="Arial"/>
          <w:bCs/>
          <w:sz w:val="18"/>
          <w:szCs w:val="18"/>
          <w:lang w:val="es-MX"/>
        </w:rPr>
        <w:t>mm o menor</w:t>
      </w:r>
      <w:r w:rsidRPr="00344C45">
        <w:rPr>
          <w:rFonts w:cs="Arial"/>
          <w:bCs/>
          <w:sz w:val="18"/>
          <w:szCs w:val="18"/>
        </w:rPr>
        <w:t xml:space="preserve">, </w:t>
      </w:r>
      <w:r w:rsidR="00125DA3" w:rsidRPr="00344C45">
        <w:rPr>
          <w:rFonts w:cs="Arial"/>
          <w:bCs/>
          <w:sz w:val="18"/>
          <w:szCs w:val="18"/>
        </w:rPr>
        <w:t xml:space="preserve">de manera </w:t>
      </w:r>
      <w:r w:rsidRPr="00344C45">
        <w:rPr>
          <w:rFonts w:cs="Arial"/>
          <w:bCs/>
          <w:sz w:val="18"/>
          <w:szCs w:val="18"/>
        </w:rPr>
        <w:t>tal que no sea posible exhibir el marcado o etiquetado físicamente en el Producto o en su caja o empaque, ni pueda exhibirse de manera electrónica en el Producto, debe exhibirse de manera física en su manual</w:t>
      </w:r>
      <w:r w:rsidR="00BE174F" w:rsidRPr="00344C45">
        <w:rPr>
          <w:rFonts w:cs="Arial"/>
          <w:bCs/>
          <w:sz w:val="18"/>
          <w:szCs w:val="18"/>
        </w:rPr>
        <w:t xml:space="preserve"> o, en su caso, en el manual electrónico del Producto</w:t>
      </w:r>
      <w:r w:rsidRPr="00344C45">
        <w:rPr>
          <w:rFonts w:cs="Arial"/>
          <w:bCs/>
          <w:sz w:val="18"/>
          <w:szCs w:val="18"/>
        </w:rPr>
        <w:t>.</w:t>
      </w:r>
    </w:p>
    <w:p w14:paraId="22F0E5B8" w14:textId="26D2CEA1" w:rsidR="00AE1838" w:rsidRPr="00344C45" w:rsidRDefault="007555A2" w:rsidP="00225F4C">
      <w:pPr>
        <w:spacing w:after="0" w:line="276" w:lineRule="auto"/>
        <w:ind w:left="851"/>
        <w:jc w:val="both"/>
        <w:rPr>
          <w:rFonts w:ascii="Arial" w:hAnsi="Arial" w:cs="Arial"/>
          <w:bCs/>
          <w:sz w:val="18"/>
          <w:szCs w:val="18"/>
        </w:rPr>
      </w:pPr>
      <w:r w:rsidRPr="00344C45">
        <w:rPr>
          <w:rFonts w:ascii="Arial" w:hAnsi="Arial" w:cs="Arial"/>
          <w:bCs/>
          <w:sz w:val="18"/>
          <w:szCs w:val="18"/>
        </w:rPr>
        <w:lastRenderedPageBreak/>
        <w:t>Excepcionalmente</w:t>
      </w:r>
      <w:r w:rsidR="00AE1838" w:rsidRPr="00344C45">
        <w:rPr>
          <w:rFonts w:ascii="Arial" w:hAnsi="Arial" w:cs="Arial"/>
          <w:bCs/>
          <w:sz w:val="18"/>
          <w:szCs w:val="18"/>
        </w:rPr>
        <w:t xml:space="preserve">, si el </w:t>
      </w:r>
      <w:r w:rsidR="001743B5" w:rsidRPr="00344C45">
        <w:rPr>
          <w:rFonts w:ascii="Arial" w:hAnsi="Arial" w:cs="Arial"/>
          <w:bCs/>
          <w:sz w:val="18"/>
          <w:szCs w:val="18"/>
        </w:rPr>
        <w:t>P</w:t>
      </w:r>
      <w:r w:rsidR="00AE1838" w:rsidRPr="00344C45">
        <w:rPr>
          <w:rFonts w:ascii="Arial" w:hAnsi="Arial" w:cs="Arial"/>
          <w:bCs/>
          <w:sz w:val="18"/>
          <w:szCs w:val="18"/>
        </w:rPr>
        <w:t xml:space="preserve">roducto está </w:t>
      </w:r>
      <w:r w:rsidR="004D3321" w:rsidRPr="00344C45">
        <w:rPr>
          <w:rFonts w:ascii="Arial" w:hAnsi="Arial" w:cs="Arial"/>
          <w:bCs/>
          <w:sz w:val="18"/>
          <w:szCs w:val="18"/>
        </w:rPr>
        <w:t>instalado</w:t>
      </w:r>
      <w:r w:rsidR="00AE1838" w:rsidRPr="00344C45">
        <w:rPr>
          <w:rFonts w:ascii="Arial" w:hAnsi="Arial" w:cs="Arial"/>
          <w:bCs/>
          <w:sz w:val="18"/>
          <w:szCs w:val="18"/>
        </w:rPr>
        <w:t xml:space="preserve"> de f</w:t>
      </w:r>
      <w:r w:rsidR="00E75EAE" w:rsidRPr="00344C45">
        <w:rPr>
          <w:rFonts w:ascii="Arial" w:hAnsi="Arial" w:cs="Arial"/>
          <w:bCs/>
          <w:sz w:val="18"/>
          <w:szCs w:val="18"/>
        </w:rPr>
        <w:t>á</w:t>
      </w:r>
      <w:r w:rsidR="00AE1838" w:rsidRPr="00344C45">
        <w:rPr>
          <w:rFonts w:ascii="Arial" w:hAnsi="Arial" w:cs="Arial"/>
          <w:bCs/>
          <w:sz w:val="18"/>
          <w:szCs w:val="18"/>
        </w:rPr>
        <w:t>brica en un vehículo</w:t>
      </w:r>
      <w:r w:rsidRPr="00344C45">
        <w:rPr>
          <w:rFonts w:ascii="Arial" w:hAnsi="Arial" w:cs="Arial"/>
          <w:bCs/>
          <w:sz w:val="18"/>
          <w:szCs w:val="18"/>
        </w:rPr>
        <w:t xml:space="preserve"> </w:t>
      </w:r>
      <w:r w:rsidR="00AE1838" w:rsidRPr="00344C45">
        <w:rPr>
          <w:rFonts w:ascii="Arial" w:hAnsi="Arial" w:cs="Arial"/>
          <w:bCs/>
          <w:sz w:val="18"/>
          <w:szCs w:val="18"/>
        </w:rPr>
        <w:t xml:space="preserve">y no es visible para el usuario final, </w:t>
      </w:r>
      <w:bookmarkStart w:id="4" w:name="_Hlk175558061"/>
      <w:r w:rsidR="00567D6D" w:rsidRPr="00344C45">
        <w:rPr>
          <w:rFonts w:ascii="Arial" w:hAnsi="Arial" w:cs="Arial"/>
          <w:bCs/>
          <w:sz w:val="18"/>
          <w:szCs w:val="18"/>
        </w:rPr>
        <w:t>el marcado o etiquetado</w:t>
      </w:r>
      <w:bookmarkEnd w:id="4"/>
      <w:r w:rsidR="00AE1838" w:rsidRPr="00344C45">
        <w:rPr>
          <w:rFonts w:ascii="Arial" w:hAnsi="Arial" w:cs="Arial"/>
          <w:bCs/>
          <w:sz w:val="18"/>
          <w:szCs w:val="18"/>
        </w:rPr>
        <w:t xml:space="preserve"> debe exhibirse de manera física en el manual de usuario</w:t>
      </w:r>
      <w:r w:rsidR="00BE174F" w:rsidRPr="00344C45">
        <w:rPr>
          <w:rFonts w:ascii="Arial" w:hAnsi="Arial" w:cs="Arial"/>
          <w:bCs/>
          <w:sz w:val="18"/>
          <w:szCs w:val="18"/>
        </w:rPr>
        <w:t xml:space="preserve"> o en su caso, en el manual electrónico del usuario</w:t>
      </w:r>
      <w:r w:rsidR="00AE1838" w:rsidRPr="00344C45">
        <w:rPr>
          <w:rFonts w:ascii="Arial" w:hAnsi="Arial" w:cs="Arial"/>
          <w:bCs/>
          <w:sz w:val="18"/>
          <w:szCs w:val="18"/>
        </w:rPr>
        <w:t>.</w:t>
      </w:r>
    </w:p>
    <w:p w14:paraId="0EA998F7" w14:textId="77777777" w:rsidR="00AE1838" w:rsidRPr="00344C45" w:rsidRDefault="00AE1838" w:rsidP="00E45FEE">
      <w:pPr>
        <w:spacing w:after="0" w:line="276" w:lineRule="auto"/>
        <w:jc w:val="center"/>
        <w:rPr>
          <w:rFonts w:ascii="Arial" w:eastAsia="Arial" w:hAnsi="Arial" w:cs="Arial"/>
          <w:b/>
          <w:sz w:val="18"/>
          <w:szCs w:val="18"/>
          <w:lang w:eastAsia="es-MX" w:bidi="es-MX"/>
        </w:rPr>
      </w:pPr>
    </w:p>
    <w:p w14:paraId="5B9D236A" w14:textId="77777777" w:rsidR="004A3042" w:rsidRPr="00344C45" w:rsidRDefault="004A3042" w:rsidP="00225F4C">
      <w:pPr>
        <w:spacing w:after="0" w:line="276" w:lineRule="auto"/>
        <w:jc w:val="center"/>
        <w:rPr>
          <w:rFonts w:ascii="Arial" w:eastAsia="Arial" w:hAnsi="Arial" w:cs="Arial"/>
          <w:b/>
          <w:sz w:val="18"/>
          <w:szCs w:val="18"/>
          <w:lang w:eastAsia="es-MX" w:bidi="es-MX"/>
        </w:rPr>
      </w:pPr>
    </w:p>
    <w:p w14:paraId="1B5DFC65" w14:textId="77777777" w:rsidR="00AE1838" w:rsidRPr="00344C45" w:rsidRDefault="00AE1838" w:rsidP="00225F4C">
      <w:pPr>
        <w:spacing w:after="0" w:line="276" w:lineRule="auto"/>
        <w:jc w:val="center"/>
        <w:rPr>
          <w:rFonts w:ascii="Arial" w:eastAsia="Arial" w:hAnsi="Arial" w:cs="Arial"/>
          <w:b/>
          <w:sz w:val="18"/>
          <w:szCs w:val="18"/>
          <w:lang w:eastAsia="es-MX" w:bidi="es-MX"/>
        </w:rPr>
      </w:pPr>
      <w:r w:rsidRPr="00344C45">
        <w:rPr>
          <w:rFonts w:ascii="Arial" w:eastAsia="Arial" w:hAnsi="Arial" w:cs="Arial"/>
          <w:b/>
          <w:sz w:val="18"/>
          <w:szCs w:val="18"/>
          <w:lang w:eastAsia="es-MX" w:bidi="es-MX"/>
        </w:rPr>
        <w:t>Transitorios</w:t>
      </w:r>
    </w:p>
    <w:p w14:paraId="7FA87F29" w14:textId="77777777" w:rsidR="00AE1838" w:rsidRPr="00344C45" w:rsidRDefault="00AE1838" w:rsidP="00E45FEE">
      <w:pPr>
        <w:spacing w:after="0" w:line="276" w:lineRule="auto"/>
        <w:jc w:val="both"/>
        <w:rPr>
          <w:rFonts w:ascii="Arial" w:hAnsi="Arial" w:cs="Arial"/>
          <w:bCs/>
          <w:sz w:val="18"/>
          <w:szCs w:val="18"/>
        </w:rPr>
      </w:pPr>
    </w:p>
    <w:p w14:paraId="27AE2964" w14:textId="77777777" w:rsidR="004A3042" w:rsidRPr="00344C45" w:rsidRDefault="004A3042" w:rsidP="00225F4C">
      <w:pPr>
        <w:spacing w:after="0" w:line="276" w:lineRule="auto"/>
        <w:jc w:val="both"/>
        <w:rPr>
          <w:rFonts w:ascii="Arial" w:hAnsi="Arial" w:cs="Arial"/>
          <w:bCs/>
          <w:sz w:val="18"/>
          <w:szCs w:val="18"/>
        </w:rPr>
      </w:pPr>
    </w:p>
    <w:p w14:paraId="7E234B3E" w14:textId="77777777" w:rsidR="00AE1838" w:rsidRPr="00344C45" w:rsidRDefault="00AE1838" w:rsidP="00225F4C">
      <w:pPr>
        <w:spacing w:after="0" w:line="276" w:lineRule="auto"/>
        <w:jc w:val="both"/>
        <w:rPr>
          <w:rFonts w:ascii="Arial" w:hAnsi="Arial" w:cs="Arial"/>
          <w:bCs/>
          <w:sz w:val="18"/>
          <w:szCs w:val="18"/>
        </w:rPr>
      </w:pPr>
      <w:proofErr w:type="gramStart"/>
      <w:r w:rsidRPr="00344C45">
        <w:rPr>
          <w:rFonts w:ascii="Arial" w:hAnsi="Arial" w:cs="Arial"/>
          <w:b/>
          <w:sz w:val="18"/>
          <w:szCs w:val="18"/>
        </w:rPr>
        <w:t>Primero.-</w:t>
      </w:r>
      <w:proofErr w:type="gramEnd"/>
      <w:r w:rsidRPr="00344C45">
        <w:rPr>
          <w:rFonts w:ascii="Arial" w:hAnsi="Arial" w:cs="Arial"/>
          <w:color w:val="000000"/>
          <w:sz w:val="18"/>
          <w:szCs w:val="18"/>
          <w:shd w:val="clear" w:color="auto" w:fill="FFFFFF"/>
        </w:rPr>
        <w:t> </w:t>
      </w:r>
      <w:r w:rsidRPr="00344C45">
        <w:rPr>
          <w:rFonts w:ascii="Arial" w:hAnsi="Arial" w:cs="Arial"/>
          <w:bCs/>
          <w:sz w:val="18"/>
          <w:szCs w:val="18"/>
        </w:rPr>
        <w:t>Publíquese el presente Acuerdo en el Diario Oficial de la Federación, de conformidad con lo dispuesto en el artículo 46 de la Ley Federal de Telecomunicaciones y Radiodifusión, y en el Portal de Internet del Instituto Federal de Telecomunicaciones.</w:t>
      </w:r>
    </w:p>
    <w:p w14:paraId="2B0A7366" w14:textId="77777777" w:rsidR="00AE1838" w:rsidRPr="00344C45" w:rsidRDefault="00AE1838" w:rsidP="00225F4C">
      <w:pPr>
        <w:spacing w:after="0" w:line="276" w:lineRule="auto"/>
        <w:jc w:val="both"/>
        <w:rPr>
          <w:rFonts w:ascii="Arial" w:hAnsi="Arial" w:cs="Arial"/>
          <w:bCs/>
          <w:sz w:val="18"/>
          <w:szCs w:val="18"/>
        </w:rPr>
      </w:pPr>
    </w:p>
    <w:p w14:paraId="4AF9DCDB" w14:textId="4ECA5738" w:rsidR="00AE1838" w:rsidRPr="00344C45" w:rsidRDefault="00AE1838" w:rsidP="00225F4C">
      <w:pPr>
        <w:spacing w:after="0" w:line="276" w:lineRule="auto"/>
        <w:jc w:val="both"/>
        <w:rPr>
          <w:rFonts w:ascii="Arial" w:hAnsi="Arial" w:cs="Arial"/>
          <w:bCs/>
          <w:sz w:val="18"/>
          <w:szCs w:val="18"/>
        </w:rPr>
      </w:pPr>
      <w:proofErr w:type="gramStart"/>
      <w:r w:rsidRPr="00344C45">
        <w:rPr>
          <w:rFonts w:ascii="Arial" w:hAnsi="Arial" w:cs="Arial"/>
          <w:b/>
          <w:sz w:val="18"/>
          <w:szCs w:val="18"/>
        </w:rPr>
        <w:t>Segundo.-</w:t>
      </w:r>
      <w:proofErr w:type="gramEnd"/>
      <w:r w:rsidRPr="00344C45">
        <w:rPr>
          <w:rFonts w:ascii="Arial" w:hAnsi="Arial" w:cs="Arial"/>
          <w:b/>
          <w:sz w:val="18"/>
          <w:szCs w:val="18"/>
        </w:rPr>
        <w:t xml:space="preserve"> </w:t>
      </w:r>
      <w:r w:rsidRPr="00344C45">
        <w:rPr>
          <w:rFonts w:ascii="Arial" w:hAnsi="Arial" w:cs="Arial"/>
          <w:bCs/>
          <w:sz w:val="18"/>
          <w:szCs w:val="18"/>
        </w:rPr>
        <w:t xml:space="preserve">El presente Acuerdo entrará en vigor el día </w:t>
      </w:r>
      <w:r w:rsidR="005B7F2E">
        <w:rPr>
          <w:rFonts w:ascii="Arial" w:hAnsi="Arial" w:cs="Arial"/>
          <w:bCs/>
          <w:sz w:val="18"/>
          <w:szCs w:val="18"/>
        </w:rPr>
        <w:t>de su publicación en el Diario Oficial de la Federación.</w:t>
      </w:r>
    </w:p>
    <w:p w14:paraId="6E9A9E5D" w14:textId="77777777" w:rsidR="00AE1838" w:rsidRPr="00344C45" w:rsidRDefault="00AE1838" w:rsidP="00225F4C">
      <w:pPr>
        <w:spacing w:line="276" w:lineRule="auto"/>
        <w:rPr>
          <w:rFonts w:ascii="Arial" w:hAnsi="Arial" w:cs="Arial"/>
          <w:sz w:val="18"/>
          <w:szCs w:val="18"/>
        </w:rPr>
      </w:pPr>
    </w:p>
    <w:p w14:paraId="745B79C5" w14:textId="77777777" w:rsidR="00AE1838" w:rsidRDefault="00AE1838" w:rsidP="00E45FEE">
      <w:pPr>
        <w:spacing w:line="276" w:lineRule="auto"/>
        <w:jc w:val="both"/>
        <w:rPr>
          <w:rFonts w:ascii="Arial" w:eastAsia="Calibri" w:hAnsi="Arial" w:cs="Arial"/>
          <w:sz w:val="18"/>
          <w:szCs w:val="18"/>
          <w:lang w:eastAsia="es-MX"/>
        </w:rPr>
      </w:pPr>
    </w:p>
    <w:p w14:paraId="7CF75B95" w14:textId="77777777" w:rsidR="00D91A08" w:rsidRPr="00D91A08" w:rsidRDefault="00D91A08" w:rsidP="00D91A08">
      <w:pPr>
        <w:rPr>
          <w:rFonts w:ascii="Arial" w:eastAsia="Calibri" w:hAnsi="Arial" w:cs="Arial"/>
          <w:sz w:val="18"/>
          <w:szCs w:val="18"/>
          <w:lang w:eastAsia="es-MX"/>
        </w:rPr>
      </w:pPr>
    </w:p>
    <w:p w14:paraId="55065A0F" w14:textId="77777777" w:rsidR="00D91A08" w:rsidRPr="00D91A08" w:rsidRDefault="00D91A08" w:rsidP="00D91A08">
      <w:pPr>
        <w:rPr>
          <w:rFonts w:ascii="Arial" w:eastAsia="Calibri" w:hAnsi="Arial" w:cs="Arial"/>
          <w:sz w:val="18"/>
          <w:szCs w:val="18"/>
          <w:lang w:eastAsia="es-MX"/>
        </w:rPr>
      </w:pPr>
    </w:p>
    <w:p w14:paraId="468A7E1D" w14:textId="77777777" w:rsidR="00D91A08" w:rsidRPr="00D91A08" w:rsidRDefault="00D91A08" w:rsidP="00D91A08">
      <w:pPr>
        <w:rPr>
          <w:rFonts w:ascii="Arial" w:eastAsia="Calibri" w:hAnsi="Arial" w:cs="Arial"/>
          <w:sz w:val="18"/>
          <w:szCs w:val="18"/>
          <w:lang w:eastAsia="es-MX"/>
        </w:rPr>
      </w:pPr>
    </w:p>
    <w:p w14:paraId="2263C2B8" w14:textId="77777777" w:rsidR="00D91A08" w:rsidRPr="00D91A08" w:rsidRDefault="00D91A08" w:rsidP="00D91A08">
      <w:pPr>
        <w:rPr>
          <w:rFonts w:ascii="Arial" w:eastAsia="Calibri" w:hAnsi="Arial" w:cs="Arial"/>
          <w:sz w:val="18"/>
          <w:szCs w:val="18"/>
          <w:lang w:eastAsia="es-MX"/>
        </w:rPr>
      </w:pPr>
    </w:p>
    <w:p w14:paraId="5C68E4E2" w14:textId="77777777" w:rsidR="00D91A08" w:rsidRPr="00D91A08" w:rsidRDefault="00D91A08" w:rsidP="00D91A08">
      <w:pPr>
        <w:rPr>
          <w:rFonts w:ascii="Arial" w:eastAsia="Calibri" w:hAnsi="Arial" w:cs="Arial"/>
          <w:sz w:val="18"/>
          <w:szCs w:val="18"/>
          <w:lang w:eastAsia="es-MX"/>
        </w:rPr>
      </w:pPr>
    </w:p>
    <w:p w14:paraId="08C842C6" w14:textId="77777777" w:rsidR="00D91A08" w:rsidRPr="00D91A08" w:rsidRDefault="00D91A08" w:rsidP="00D91A08">
      <w:pPr>
        <w:rPr>
          <w:rFonts w:ascii="Arial" w:eastAsia="Calibri" w:hAnsi="Arial" w:cs="Arial"/>
          <w:sz w:val="18"/>
          <w:szCs w:val="18"/>
          <w:lang w:eastAsia="es-MX"/>
        </w:rPr>
      </w:pPr>
    </w:p>
    <w:p w14:paraId="3EF58370" w14:textId="77777777" w:rsidR="00D91A08" w:rsidRPr="00D91A08" w:rsidRDefault="00D91A08" w:rsidP="00D91A08">
      <w:pPr>
        <w:rPr>
          <w:rFonts w:ascii="Arial" w:eastAsia="Calibri" w:hAnsi="Arial" w:cs="Arial"/>
          <w:sz w:val="18"/>
          <w:szCs w:val="18"/>
          <w:lang w:eastAsia="es-MX"/>
        </w:rPr>
      </w:pPr>
    </w:p>
    <w:p w14:paraId="47354FAF" w14:textId="77777777" w:rsidR="00D91A08" w:rsidRPr="00D91A08" w:rsidRDefault="00D91A08" w:rsidP="00D91A08">
      <w:pPr>
        <w:rPr>
          <w:rFonts w:ascii="Arial" w:eastAsia="Calibri" w:hAnsi="Arial" w:cs="Arial"/>
          <w:sz w:val="18"/>
          <w:szCs w:val="18"/>
          <w:lang w:eastAsia="es-MX"/>
        </w:rPr>
      </w:pPr>
    </w:p>
    <w:p w14:paraId="77F8BD14" w14:textId="77777777" w:rsidR="00D91A08" w:rsidRPr="00D91A08" w:rsidRDefault="00D91A08" w:rsidP="00D91A08">
      <w:pPr>
        <w:rPr>
          <w:rFonts w:ascii="Arial" w:eastAsia="Calibri" w:hAnsi="Arial" w:cs="Arial"/>
          <w:sz w:val="18"/>
          <w:szCs w:val="18"/>
          <w:lang w:eastAsia="es-MX"/>
        </w:rPr>
      </w:pPr>
    </w:p>
    <w:p w14:paraId="24C6C192" w14:textId="77777777" w:rsidR="00D91A08" w:rsidRPr="00D91A08" w:rsidRDefault="00D91A08" w:rsidP="00D91A08">
      <w:pPr>
        <w:rPr>
          <w:rFonts w:ascii="Arial" w:eastAsia="Calibri" w:hAnsi="Arial" w:cs="Arial"/>
          <w:sz w:val="18"/>
          <w:szCs w:val="18"/>
          <w:lang w:eastAsia="es-MX"/>
        </w:rPr>
      </w:pPr>
    </w:p>
    <w:p w14:paraId="396B8A7D" w14:textId="77777777" w:rsidR="00D91A08" w:rsidRPr="00D91A08" w:rsidRDefault="00D91A08" w:rsidP="00D91A08">
      <w:pPr>
        <w:rPr>
          <w:rFonts w:ascii="Arial" w:eastAsia="Calibri" w:hAnsi="Arial" w:cs="Arial"/>
          <w:sz w:val="18"/>
          <w:szCs w:val="18"/>
          <w:lang w:eastAsia="es-MX"/>
        </w:rPr>
      </w:pPr>
    </w:p>
    <w:p w14:paraId="16386157" w14:textId="77777777" w:rsidR="00D91A08" w:rsidRPr="00D91A08" w:rsidRDefault="00D91A08" w:rsidP="00D91A08">
      <w:pPr>
        <w:rPr>
          <w:rFonts w:ascii="Arial" w:eastAsia="Calibri" w:hAnsi="Arial" w:cs="Arial"/>
          <w:sz w:val="18"/>
          <w:szCs w:val="18"/>
          <w:lang w:eastAsia="es-MX"/>
        </w:rPr>
      </w:pPr>
    </w:p>
    <w:p w14:paraId="3572D3A6" w14:textId="77777777" w:rsidR="00D91A08" w:rsidRPr="00D91A08" w:rsidRDefault="00D91A08" w:rsidP="00D91A08">
      <w:pPr>
        <w:rPr>
          <w:rFonts w:ascii="Arial" w:eastAsia="Calibri" w:hAnsi="Arial" w:cs="Arial"/>
          <w:sz w:val="18"/>
          <w:szCs w:val="18"/>
          <w:lang w:eastAsia="es-MX"/>
        </w:rPr>
      </w:pPr>
    </w:p>
    <w:p w14:paraId="38EA75CA" w14:textId="77777777" w:rsidR="00D91A08" w:rsidRPr="00D91A08" w:rsidRDefault="00D91A08" w:rsidP="00D91A08">
      <w:pPr>
        <w:rPr>
          <w:rFonts w:ascii="Arial" w:eastAsia="Calibri" w:hAnsi="Arial" w:cs="Arial"/>
          <w:sz w:val="18"/>
          <w:szCs w:val="18"/>
          <w:lang w:eastAsia="es-MX"/>
        </w:rPr>
      </w:pPr>
    </w:p>
    <w:p w14:paraId="73ADFDEE" w14:textId="77777777" w:rsidR="00D91A08" w:rsidRPr="00D91A08" w:rsidRDefault="00D91A08" w:rsidP="00D91A08">
      <w:pPr>
        <w:rPr>
          <w:rFonts w:ascii="Arial" w:eastAsia="Calibri" w:hAnsi="Arial" w:cs="Arial"/>
          <w:sz w:val="18"/>
          <w:szCs w:val="18"/>
          <w:lang w:eastAsia="es-MX"/>
        </w:rPr>
      </w:pPr>
    </w:p>
    <w:p w14:paraId="3B4D225B" w14:textId="77777777" w:rsidR="00D91A08" w:rsidRPr="00D91A08" w:rsidRDefault="00D91A08" w:rsidP="00D91A08">
      <w:pPr>
        <w:rPr>
          <w:rFonts w:ascii="Arial" w:eastAsia="Calibri" w:hAnsi="Arial" w:cs="Arial"/>
          <w:sz w:val="18"/>
          <w:szCs w:val="18"/>
          <w:lang w:eastAsia="es-MX"/>
        </w:rPr>
      </w:pPr>
    </w:p>
    <w:p w14:paraId="41674CA9" w14:textId="77777777" w:rsidR="00D91A08" w:rsidRPr="00D91A08" w:rsidRDefault="00D91A08" w:rsidP="00D91A08">
      <w:pPr>
        <w:rPr>
          <w:rFonts w:ascii="Arial" w:eastAsia="Calibri" w:hAnsi="Arial" w:cs="Arial"/>
          <w:sz w:val="18"/>
          <w:szCs w:val="18"/>
          <w:lang w:eastAsia="es-MX"/>
        </w:rPr>
      </w:pPr>
    </w:p>
    <w:p w14:paraId="70F8F593" w14:textId="77777777" w:rsidR="00D91A08" w:rsidRPr="00D91A08" w:rsidRDefault="00D91A08" w:rsidP="00D91A08">
      <w:pPr>
        <w:rPr>
          <w:rFonts w:ascii="Arial" w:eastAsia="Calibri" w:hAnsi="Arial" w:cs="Arial"/>
          <w:sz w:val="18"/>
          <w:szCs w:val="18"/>
          <w:lang w:eastAsia="es-MX"/>
        </w:rPr>
      </w:pPr>
    </w:p>
    <w:sectPr w:rsidR="00D91A08" w:rsidRPr="00D91A08" w:rsidSect="00452F0B">
      <w:headerReference w:type="even" r:id="rId11"/>
      <w:headerReference w:type="default" r:id="rId12"/>
      <w:footerReference w:type="default" r:id="rId13"/>
      <w:headerReference w:type="first" r:id="rId14"/>
      <w:pgSz w:w="12240" w:h="15840" w:code="1"/>
      <w:pgMar w:top="1985" w:right="1418" w:bottom="1134" w:left="1418" w:header="709" w:footer="82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60D85E" w16cex:dateUtc="2024-09-17T22: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E81D4" w14:textId="77777777" w:rsidR="002C31D6" w:rsidRDefault="002C31D6" w:rsidP="00F774B3">
      <w:pPr>
        <w:spacing w:after="0" w:line="240" w:lineRule="auto"/>
      </w:pPr>
      <w:r>
        <w:separator/>
      </w:r>
    </w:p>
  </w:endnote>
  <w:endnote w:type="continuationSeparator" w:id="0">
    <w:p w14:paraId="2784320C" w14:textId="77777777" w:rsidR="002C31D6" w:rsidRDefault="002C31D6" w:rsidP="00F77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451D48A6" w14:textId="3CDFF294" w:rsidR="00F774B3" w:rsidRPr="00BB6A0B" w:rsidRDefault="00F774B3" w:rsidP="00F774B3">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Pr>
                <w:rFonts w:ascii="Arial" w:hAnsi="Arial" w:cs="Arial"/>
                <w:bCs/>
                <w:sz w:val="18"/>
                <w:szCs w:val="18"/>
              </w:rPr>
              <w:t>6</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Pr>
                <w:rFonts w:ascii="Arial" w:hAnsi="Arial" w:cs="Arial"/>
                <w:bCs/>
                <w:sz w:val="18"/>
                <w:szCs w:val="18"/>
              </w:rPr>
              <w:t>8</w:t>
            </w:r>
            <w:r w:rsidRPr="00BB6A0B">
              <w:rPr>
                <w:rFonts w:ascii="Arial" w:hAnsi="Arial" w:cs="Arial"/>
                <w:bCs/>
                <w:sz w:val="18"/>
                <w:szCs w:val="18"/>
              </w:rPr>
              <w:fldChar w:fldCharType="end"/>
            </w:r>
          </w:p>
        </w:sdtContent>
      </w:sdt>
    </w:sdtContent>
  </w:sdt>
  <w:p w14:paraId="0F78E4FF" w14:textId="77777777" w:rsidR="00F774B3" w:rsidRDefault="00F774B3">
    <w:pPr>
      <w:pStyle w:val="Piedepgina"/>
    </w:pPr>
  </w:p>
  <w:p w14:paraId="2BF5B233" w14:textId="77777777" w:rsidR="00F774B3" w:rsidRPr="00F774B3" w:rsidRDefault="00F774B3" w:rsidP="00F774B3">
    <w:pPr>
      <w:pStyle w:val="Piedepgina"/>
      <w:tabs>
        <w:tab w:val="left" w:pos="8208"/>
        <w:tab w:val="right" w:pos="9404"/>
      </w:tabs>
      <w:rPr>
        <w:rFonts w:ascii="Arial" w:hAnsi="Arial" w:cs="Arial"/>
        <w:sz w:val="18"/>
        <w:szCs w:val="18"/>
      </w:rPr>
    </w:pPr>
  </w:p>
  <w:p w14:paraId="54A70971" w14:textId="77777777" w:rsidR="00573E28" w:rsidRDefault="00573E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55525" w14:textId="77777777" w:rsidR="002C31D6" w:rsidRDefault="002C31D6" w:rsidP="00F774B3">
      <w:pPr>
        <w:spacing w:after="0" w:line="240" w:lineRule="auto"/>
      </w:pPr>
      <w:r>
        <w:separator/>
      </w:r>
    </w:p>
  </w:footnote>
  <w:footnote w:type="continuationSeparator" w:id="0">
    <w:p w14:paraId="4C6A6E4C" w14:textId="77777777" w:rsidR="002C31D6" w:rsidRDefault="002C31D6" w:rsidP="00F77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6ABE8" w14:textId="678C42B0" w:rsidR="00FB2CBE" w:rsidRDefault="00FB2CBE">
    <w:pPr>
      <w:pStyle w:val="Encabezado"/>
    </w:pPr>
    <w:r>
      <w:rPr>
        <w:noProof/>
      </w:rPr>
      <w:pict w14:anchorId="6D36B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108907" o:spid="_x0000_s2051"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5400" w14:textId="7E7E0BE1" w:rsidR="00857012" w:rsidRDefault="00FB2CBE">
    <w:pPr>
      <w:pStyle w:val="Encabezado"/>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pt;margin-top:-117.6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69EFD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108908" o:spid="_x0000_s2052"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FAFA8" w14:textId="79F0E7C3" w:rsidR="00FB2CBE" w:rsidRDefault="00FB2CBE">
    <w:pPr>
      <w:pStyle w:val="Encabezado"/>
    </w:pPr>
    <w:r>
      <w:rPr>
        <w:noProof/>
      </w:rPr>
      <w:pict w14:anchorId="3EE1D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108906"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3C50"/>
    <w:multiLevelType w:val="hybridMultilevel"/>
    <w:tmpl w:val="0466F61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140F2F19"/>
    <w:multiLevelType w:val="hybridMultilevel"/>
    <w:tmpl w:val="09D21CBC"/>
    <w:lvl w:ilvl="0" w:tplc="D54C71AC">
      <w:start w:val="1"/>
      <w:numFmt w:val="decimal"/>
      <w:lvlText w:val="%1."/>
      <w:lvlJc w:val="left"/>
      <w:pPr>
        <w:ind w:left="720" w:hanging="360"/>
      </w:pPr>
    </w:lvl>
    <w:lvl w:ilvl="1" w:tplc="3BC69DFC">
      <w:start w:val="1"/>
      <w:numFmt w:val="decimal"/>
      <w:lvlText w:val="%2."/>
      <w:lvlJc w:val="left"/>
      <w:pPr>
        <w:ind w:left="720" w:hanging="360"/>
      </w:pPr>
    </w:lvl>
    <w:lvl w:ilvl="2" w:tplc="4C82922C">
      <w:start w:val="1"/>
      <w:numFmt w:val="decimal"/>
      <w:lvlText w:val="%3."/>
      <w:lvlJc w:val="left"/>
      <w:pPr>
        <w:ind w:left="720" w:hanging="360"/>
      </w:pPr>
    </w:lvl>
    <w:lvl w:ilvl="3" w:tplc="2EBA1404">
      <w:start w:val="1"/>
      <w:numFmt w:val="decimal"/>
      <w:lvlText w:val="%4."/>
      <w:lvlJc w:val="left"/>
      <w:pPr>
        <w:ind w:left="720" w:hanging="360"/>
      </w:pPr>
    </w:lvl>
    <w:lvl w:ilvl="4" w:tplc="65D2893E">
      <w:start w:val="1"/>
      <w:numFmt w:val="decimal"/>
      <w:lvlText w:val="%5."/>
      <w:lvlJc w:val="left"/>
      <w:pPr>
        <w:ind w:left="720" w:hanging="360"/>
      </w:pPr>
    </w:lvl>
    <w:lvl w:ilvl="5" w:tplc="9760B67A">
      <w:start w:val="1"/>
      <w:numFmt w:val="decimal"/>
      <w:lvlText w:val="%6."/>
      <w:lvlJc w:val="left"/>
      <w:pPr>
        <w:ind w:left="720" w:hanging="360"/>
      </w:pPr>
    </w:lvl>
    <w:lvl w:ilvl="6" w:tplc="F6B2D348">
      <w:start w:val="1"/>
      <w:numFmt w:val="decimal"/>
      <w:lvlText w:val="%7."/>
      <w:lvlJc w:val="left"/>
      <w:pPr>
        <w:ind w:left="720" w:hanging="360"/>
      </w:pPr>
    </w:lvl>
    <w:lvl w:ilvl="7" w:tplc="F9083AA2">
      <w:start w:val="1"/>
      <w:numFmt w:val="decimal"/>
      <w:lvlText w:val="%8."/>
      <w:lvlJc w:val="left"/>
      <w:pPr>
        <w:ind w:left="720" w:hanging="360"/>
      </w:pPr>
    </w:lvl>
    <w:lvl w:ilvl="8" w:tplc="CB425DDA">
      <w:start w:val="1"/>
      <w:numFmt w:val="decimal"/>
      <w:lvlText w:val="%9."/>
      <w:lvlJc w:val="left"/>
      <w:pPr>
        <w:ind w:left="720" w:hanging="360"/>
      </w:pPr>
    </w:lvl>
  </w:abstractNum>
  <w:abstractNum w:abstractNumId="2" w15:restartNumberingAfterBreak="0">
    <w:nsid w:val="1E9A4468"/>
    <w:multiLevelType w:val="hybridMultilevel"/>
    <w:tmpl w:val="01FC9E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946ABA"/>
    <w:multiLevelType w:val="hybridMultilevel"/>
    <w:tmpl w:val="559EE1DE"/>
    <w:lvl w:ilvl="0" w:tplc="9A36B348">
      <w:start w:val="1"/>
      <w:numFmt w:val="bullet"/>
      <w:lvlText w:val=""/>
      <w:lvlJc w:val="left"/>
      <w:pPr>
        <w:ind w:left="720" w:hanging="360"/>
      </w:pPr>
      <w:rPr>
        <w:rFonts w:ascii="Symbol" w:hAnsi="Symbol"/>
      </w:rPr>
    </w:lvl>
    <w:lvl w:ilvl="1" w:tplc="7DBE538E">
      <w:start w:val="1"/>
      <w:numFmt w:val="bullet"/>
      <w:lvlText w:val=""/>
      <w:lvlJc w:val="left"/>
      <w:pPr>
        <w:ind w:left="720" w:hanging="360"/>
      </w:pPr>
      <w:rPr>
        <w:rFonts w:ascii="Symbol" w:hAnsi="Symbol"/>
      </w:rPr>
    </w:lvl>
    <w:lvl w:ilvl="2" w:tplc="01347B8C">
      <w:start w:val="1"/>
      <w:numFmt w:val="bullet"/>
      <w:lvlText w:val=""/>
      <w:lvlJc w:val="left"/>
      <w:pPr>
        <w:ind w:left="720" w:hanging="360"/>
      </w:pPr>
      <w:rPr>
        <w:rFonts w:ascii="Symbol" w:hAnsi="Symbol"/>
      </w:rPr>
    </w:lvl>
    <w:lvl w:ilvl="3" w:tplc="2020ECD6">
      <w:start w:val="1"/>
      <w:numFmt w:val="bullet"/>
      <w:lvlText w:val=""/>
      <w:lvlJc w:val="left"/>
      <w:pPr>
        <w:ind w:left="720" w:hanging="360"/>
      </w:pPr>
      <w:rPr>
        <w:rFonts w:ascii="Symbol" w:hAnsi="Symbol"/>
      </w:rPr>
    </w:lvl>
    <w:lvl w:ilvl="4" w:tplc="633C5AB0">
      <w:start w:val="1"/>
      <w:numFmt w:val="bullet"/>
      <w:lvlText w:val=""/>
      <w:lvlJc w:val="left"/>
      <w:pPr>
        <w:ind w:left="720" w:hanging="360"/>
      </w:pPr>
      <w:rPr>
        <w:rFonts w:ascii="Symbol" w:hAnsi="Symbol"/>
      </w:rPr>
    </w:lvl>
    <w:lvl w:ilvl="5" w:tplc="9F2023E2">
      <w:start w:val="1"/>
      <w:numFmt w:val="bullet"/>
      <w:lvlText w:val=""/>
      <w:lvlJc w:val="left"/>
      <w:pPr>
        <w:ind w:left="720" w:hanging="360"/>
      </w:pPr>
      <w:rPr>
        <w:rFonts w:ascii="Symbol" w:hAnsi="Symbol"/>
      </w:rPr>
    </w:lvl>
    <w:lvl w:ilvl="6" w:tplc="125A6DD8">
      <w:start w:val="1"/>
      <w:numFmt w:val="bullet"/>
      <w:lvlText w:val=""/>
      <w:lvlJc w:val="left"/>
      <w:pPr>
        <w:ind w:left="720" w:hanging="360"/>
      </w:pPr>
      <w:rPr>
        <w:rFonts w:ascii="Symbol" w:hAnsi="Symbol"/>
      </w:rPr>
    </w:lvl>
    <w:lvl w:ilvl="7" w:tplc="66BC98EC">
      <w:start w:val="1"/>
      <w:numFmt w:val="bullet"/>
      <w:lvlText w:val=""/>
      <w:lvlJc w:val="left"/>
      <w:pPr>
        <w:ind w:left="720" w:hanging="360"/>
      </w:pPr>
      <w:rPr>
        <w:rFonts w:ascii="Symbol" w:hAnsi="Symbol"/>
      </w:rPr>
    </w:lvl>
    <w:lvl w:ilvl="8" w:tplc="2950403C">
      <w:start w:val="1"/>
      <w:numFmt w:val="bullet"/>
      <w:lvlText w:val=""/>
      <w:lvlJc w:val="left"/>
      <w:pPr>
        <w:ind w:left="720" w:hanging="360"/>
      </w:pPr>
      <w:rPr>
        <w:rFonts w:ascii="Symbol" w:hAnsi="Symbol"/>
      </w:rPr>
    </w:lvl>
  </w:abstractNum>
  <w:abstractNum w:abstractNumId="4" w15:restartNumberingAfterBreak="0">
    <w:nsid w:val="2C834751"/>
    <w:multiLevelType w:val="hybridMultilevel"/>
    <w:tmpl w:val="982E83E8"/>
    <w:lvl w:ilvl="0" w:tplc="A54AB28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C17539"/>
    <w:multiLevelType w:val="hybridMultilevel"/>
    <w:tmpl w:val="7804C1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103FD6"/>
    <w:multiLevelType w:val="hybridMultilevel"/>
    <w:tmpl w:val="A01A835A"/>
    <w:lvl w:ilvl="0" w:tplc="C42661D0">
      <w:start w:val="1"/>
      <w:numFmt w:val="upperRoman"/>
      <w:lvlText w:val="%1."/>
      <w:lvlJc w:val="left"/>
      <w:pPr>
        <w:ind w:left="1146" w:hanging="720"/>
      </w:pPr>
      <w:rPr>
        <w:rFonts w:eastAsiaTheme="minorHAnsi" w:hint="default"/>
        <w:b/>
        <w:bCs w:val="0"/>
        <w:color w:val="2E2E2E"/>
      </w:rPr>
    </w:lvl>
    <w:lvl w:ilvl="1" w:tplc="B6E27814">
      <w:start w:val="1"/>
      <w:numFmt w:val="decimal"/>
      <w:lvlText w:val="%2."/>
      <w:lvlJc w:val="left"/>
      <w:pPr>
        <w:ind w:left="1506" w:hanging="360"/>
      </w:pPr>
      <w:rPr>
        <w:b/>
        <w:bCs w:val="0"/>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481A6098"/>
    <w:multiLevelType w:val="hybridMultilevel"/>
    <w:tmpl w:val="7A860C08"/>
    <w:lvl w:ilvl="0" w:tplc="D6DA0AD4">
      <w:start w:val="1"/>
      <w:numFmt w:val="upperRoman"/>
      <w:lvlText w:val="%1."/>
      <w:lvlJc w:val="right"/>
      <w:pPr>
        <w:ind w:left="914" w:hanging="360"/>
      </w:pPr>
      <w:rPr>
        <w:b/>
        <w:bCs/>
      </w:rPr>
    </w:lvl>
    <w:lvl w:ilvl="1" w:tplc="486CA76E">
      <w:start w:val="1"/>
      <w:numFmt w:val="lowerLetter"/>
      <w:lvlText w:val="%2)"/>
      <w:lvlJc w:val="left"/>
      <w:pPr>
        <w:ind w:left="1634" w:hanging="360"/>
      </w:pPr>
      <w:rPr>
        <w:rFonts w:hint="default"/>
      </w:rPr>
    </w:lvl>
    <w:lvl w:ilvl="2" w:tplc="D7F2F5F0">
      <w:start w:val="1"/>
      <w:numFmt w:val="lowerLetter"/>
      <w:lvlText w:val="%3."/>
      <w:lvlJc w:val="left"/>
      <w:pPr>
        <w:ind w:left="2534" w:hanging="360"/>
      </w:pPr>
      <w:rPr>
        <w:rFonts w:hint="default"/>
      </w:rPr>
    </w:lvl>
    <w:lvl w:ilvl="3" w:tplc="080A000F" w:tentative="1">
      <w:start w:val="1"/>
      <w:numFmt w:val="decimal"/>
      <w:lvlText w:val="%4."/>
      <w:lvlJc w:val="left"/>
      <w:pPr>
        <w:ind w:left="3074" w:hanging="360"/>
      </w:pPr>
    </w:lvl>
    <w:lvl w:ilvl="4" w:tplc="080A0019" w:tentative="1">
      <w:start w:val="1"/>
      <w:numFmt w:val="lowerLetter"/>
      <w:lvlText w:val="%5."/>
      <w:lvlJc w:val="left"/>
      <w:pPr>
        <w:ind w:left="3794" w:hanging="360"/>
      </w:pPr>
    </w:lvl>
    <w:lvl w:ilvl="5" w:tplc="080A001B" w:tentative="1">
      <w:start w:val="1"/>
      <w:numFmt w:val="lowerRoman"/>
      <w:lvlText w:val="%6."/>
      <w:lvlJc w:val="right"/>
      <w:pPr>
        <w:ind w:left="4514" w:hanging="180"/>
      </w:pPr>
    </w:lvl>
    <w:lvl w:ilvl="6" w:tplc="080A000F" w:tentative="1">
      <w:start w:val="1"/>
      <w:numFmt w:val="decimal"/>
      <w:lvlText w:val="%7."/>
      <w:lvlJc w:val="left"/>
      <w:pPr>
        <w:ind w:left="5234" w:hanging="360"/>
      </w:pPr>
    </w:lvl>
    <w:lvl w:ilvl="7" w:tplc="080A0019" w:tentative="1">
      <w:start w:val="1"/>
      <w:numFmt w:val="lowerLetter"/>
      <w:lvlText w:val="%8."/>
      <w:lvlJc w:val="left"/>
      <w:pPr>
        <w:ind w:left="5954" w:hanging="360"/>
      </w:pPr>
    </w:lvl>
    <w:lvl w:ilvl="8" w:tplc="080A001B" w:tentative="1">
      <w:start w:val="1"/>
      <w:numFmt w:val="lowerRoman"/>
      <w:lvlText w:val="%9."/>
      <w:lvlJc w:val="right"/>
      <w:pPr>
        <w:ind w:left="6674" w:hanging="180"/>
      </w:pPr>
    </w:lvl>
  </w:abstractNum>
  <w:abstractNum w:abstractNumId="8" w15:restartNumberingAfterBreak="0">
    <w:nsid w:val="4A0D1CF9"/>
    <w:multiLevelType w:val="hybridMultilevel"/>
    <w:tmpl w:val="0BBA3DA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A8D1DD2"/>
    <w:multiLevelType w:val="hybridMultilevel"/>
    <w:tmpl w:val="49E414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C270BAB"/>
    <w:multiLevelType w:val="hybridMultilevel"/>
    <w:tmpl w:val="8768242C"/>
    <w:lvl w:ilvl="0" w:tplc="1716FD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99131D"/>
    <w:multiLevelType w:val="hybridMultilevel"/>
    <w:tmpl w:val="C67AEB8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75DD79C5"/>
    <w:multiLevelType w:val="hybridMultilevel"/>
    <w:tmpl w:val="7B027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9"/>
  </w:num>
  <w:num w:numId="5">
    <w:abstractNumId w:val="12"/>
  </w:num>
  <w:num w:numId="6">
    <w:abstractNumId w:val="5"/>
  </w:num>
  <w:num w:numId="7">
    <w:abstractNumId w:val="4"/>
  </w:num>
  <w:num w:numId="8">
    <w:abstractNumId w:val="11"/>
  </w:num>
  <w:num w:numId="9">
    <w:abstractNumId w:val="0"/>
  </w:num>
  <w:num w:numId="10">
    <w:abstractNumId w:val="6"/>
  </w:num>
  <w:num w:numId="11">
    <w:abstractNumId w:val="8"/>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BB"/>
    <w:rsid w:val="00002ADF"/>
    <w:rsid w:val="0000348A"/>
    <w:rsid w:val="000216AA"/>
    <w:rsid w:val="0002340B"/>
    <w:rsid w:val="00027676"/>
    <w:rsid w:val="00031415"/>
    <w:rsid w:val="00035BF7"/>
    <w:rsid w:val="00036F72"/>
    <w:rsid w:val="000370DE"/>
    <w:rsid w:val="00040626"/>
    <w:rsid w:val="00063008"/>
    <w:rsid w:val="00081BC4"/>
    <w:rsid w:val="000827BE"/>
    <w:rsid w:val="00082A23"/>
    <w:rsid w:val="000B7138"/>
    <w:rsid w:val="000C3D3D"/>
    <w:rsid w:val="000D0575"/>
    <w:rsid w:val="000D26E1"/>
    <w:rsid w:val="000D3912"/>
    <w:rsid w:val="000E3BDD"/>
    <w:rsid w:val="00105B4E"/>
    <w:rsid w:val="001123F0"/>
    <w:rsid w:val="00117C04"/>
    <w:rsid w:val="00120DD4"/>
    <w:rsid w:val="001225EE"/>
    <w:rsid w:val="00125DA3"/>
    <w:rsid w:val="00126628"/>
    <w:rsid w:val="00131CB7"/>
    <w:rsid w:val="001338F6"/>
    <w:rsid w:val="00134E3E"/>
    <w:rsid w:val="0014484E"/>
    <w:rsid w:val="00147611"/>
    <w:rsid w:val="00150AA8"/>
    <w:rsid w:val="00152AB0"/>
    <w:rsid w:val="001546F3"/>
    <w:rsid w:val="00161FD9"/>
    <w:rsid w:val="00170183"/>
    <w:rsid w:val="00172E75"/>
    <w:rsid w:val="001743B5"/>
    <w:rsid w:val="001753A5"/>
    <w:rsid w:val="00184348"/>
    <w:rsid w:val="001847D5"/>
    <w:rsid w:val="00185DD8"/>
    <w:rsid w:val="001917EB"/>
    <w:rsid w:val="001918DE"/>
    <w:rsid w:val="00192022"/>
    <w:rsid w:val="0019380F"/>
    <w:rsid w:val="00197F7C"/>
    <w:rsid w:val="001A2F8A"/>
    <w:rsid w:val="001B39FC"/>
    <w:rsid w:val="001B723A"/>
    <w:rsid w:val="001C034F"/>
    <w:rsid w:val="001C2373"/>
    <w:rsid w:val="001C6B1E"/>
    <w:rsid w:val="001C71B7"/>
    <w:rsid w:val="001C72CA"/>
    <w:rsid w:val="001D2D64"/>
    <w:rsid w:val="001D3F96"/>
    <w:rsid w:val="001D6DC7"/>
    <w:rsid w:val="001F0F3F"/>
    <w:rsid w:val="001F1FF2"/>
    <w:rsid w:val="0020260C"/>
    <w:rsid w:val="0020368E"/>
    <w:rsid w:val="002039FC"/>
    <w:rsid w:val="00211F35"/>
    <w:rsid w:val="00212D7B"/>
    <w:rsid w:val="002172C9"/>
    <w:rsid w:val="00220010"/>
    <w:rsid w:val="00225F4C"/>
    <w:rsid w:val="0022638B"/>
    <w:rsid w:val="00237EA3"/>
    <w:rsid w:val="002429CD"/>
    <w:rsid w:val="0024601F"/>
    <w:rsid w:val="002463CF"/>
    <w:rsid w:val="002567FA"/>
    <w:rsid w:val="00264B51"/>
    <w:rsid w:val="0026599C"/>
    <w:rsid w:val="00270DBF"/>
    <w:rsid w:val="00273BF5"/>
    <w:rsid w:val="00286FBA"/>
    <w:rsid w:val="00291B1F"/>
    <w:rsid w:val="0029285E"/>
    <w:rsid w:val="00292C13"/>
    <w:rsid w:val="00294EE2"/>
    <w:rsid w:val="002A20E9"/>
    <w:rsid w:val="002A3B03"/>
    <w:rsid w:val="002C31D6"/>
    <w:rsid w:val="002C65CF"/>
    <w:rsid w:val="002D18E5"/>
    <w:rsid w:val="002D6E28"/>
    <w:rsid w:val="002E3520"/>
    <w:rsid w:val="002E4EA2"/>
    <w:rsid w:val="002F1329"/>
    <w:rsid w:val="00300B08"/>
    <w:rsid w:val="00310914"/>
    <w:rsid w:val="00312524"/>
    <w:rsid w:val="00312B55"/>
    <w:rsid w:val="003160AC"/>
    <w:rsid w:val="00322538"/>
    <w:rsid w:val="00334505"/>
    <w:rsid w:val="0034316F"/>
    <w:rsid w:val="00344C45"/>
    <w:rsid w:val="00353697"/>
    <w:rsid w:val="00356AF7"/>
    <w:rsid w:val="00361789"/>
    <w:rsid w:val="003631C5"/>
    <w:rsid w:val="00363524"/>
    <w:rsid w:val="00372216"/>
    <w:rsid w:val="00375E84"/>
    <w:rsid w:val="003A000E"/>
    <w:rsid w:val="003A262D"/>
    <w:rsid w:val="003B067E"/>
    <w:rsid w:val="003B3203"/>
    <w:rsid w:val="003B75C1"/>
    <w:rsid w:val="003B7622"/>
    <w:rsid w:val="003C2308"/>
    <w:rsid w:val="003D4788"/>
    <w:rsid w:val="003E0A3C"/>
    <w:rsid w:val="003E72E3"/>
    <w:rsid w:val="003E7588"/>
    <w:rsid w:val="003F0309"/>
    <w:rsid w:val="003F5F42"/>
    <w:rsid w:val="003F6D3A"/>
    <w:rsid w:val="003F7497"/>
    <w:rsid w:val="00401629"/>
    <w:rsid w:val="004040B2"/>
    <w:rsid w:val="00410CA6"/>
    <w:rsid w:val="004112E5"/>
    <w:rsid w:val="004208DB"/>
    <w:rsid w:val="0042277F"/>
    <w:rsid w:val="00425B20"/>
    <w:rsid w:val="00433AE4"/>
    <w:rsid w:val="00441D98"/>
    <w:rsid w:val="00452F0B"/>
    <w:rsid w:val="00455716"/>
    <w:rsid w:val="00455DE3"/>
    <w:rsid w:val="004629C5"/>
    <w:rsid w:val="0047060B"/>
    <w:rsid w:val="00475456"/>
    <w:rsid w:val="0048419D"/>
    <w:rsid w:val="00486ED6"/>
    <w:rsid w:val="00492542"/>
    <w:rsid w:val="00495BFE"/>
    <w:rsid w:val="004A3042"/>
    <w:rsid w:val="004B59BC"/>
    <w:rsid w:val="004C39E2"/>
    <w:rsid w:val="004C539A"/>
    <w:rsid w:val="004C6F3B"/>
    <w:rsid w:val="004D3321"/>
    <w:rsid w:val="004D4372"/>
    <w:rsid w:val="004E492D"/>
    <w:rsid w:val="004F0AF7"/>
    <w:rsid w:val="0051020F"/>
    <w:rsid w:val="005114F4"/>
    <w:rsid w:val="00525A49"/>
    <w:rsid w:val="0052732E"/>
    <w:rsid w:val="00533072"/>
    <w:rsid w:val="00534502"/>
    <w:rsid w:val="005430C8"/>
    <w:rsid w:val="005439F8"/>
    <w:rsid w:val="00543B99"/>
    <w:rsid w:val="005444D3"/>
    <w:rsid w:val="005501F2"/>
    <w:rsid w:val="00550810"/>
    <w:rsid w:val="00550B8F"/>
    <w:rsid w:val="005543D2"/>
    <w:rsid w:val="00556300"/>
    <w:rsid w:val="00556D21"/>
    <w:rsid w:val="0056040B"/>
    <w:rsid w:val="0056365A"/>
    <w:rsid w:val="00567D6D"/>
    <w:rsid w:val="005707AF"/>
    <w:rsid w:val="00573E28"/>
    <w:rsid w:val="00575EFD"/>
    <w:rsid w:val="00577A6D"/>
    <w:rsid w:val="0058303B"/>
    <w:rsid w:val="00583621"/>
    <w:rsid w:val="00593295"/>
    <w:rsid w:val="0059621A"/>
    <w:rsid w:val="005A09E5"/>
    <w:rsid w:val="005A47F6"/>
    <w:rsid w:val="005A75A3"/>
    <w:rsid w:val="005B09A0"/>
    <w:rsid w:val="005B5ADE"/>
    <w:rsid w:val="005B7F2E"/>
    <w:rsid w:val="005D419F"/>
    <w:rsid w:val="005D4B2C"/>
    <w:rsid w:val="005E0589"/>
    <w:rsid w:val="005E373C"/>
    <w:rsid w:val="00600B6E"/>
    <w:rsid w:val="00602A3C"/>
    <w:rsid w:val="00620FAE"/>
    <w:rsid w:val="00621F4B"/>
    <w:rsid w:val="00627302"/>
    <w:rsid w:val="00635948"/>
    <w:rsid w:val="00637460"/>
    <w:rsid w:val="00643150"/>
    <w:rsid w:val="00644F12"/>
    <w:rsid w:val="0064556C"/>
    <w:rsid w:val="006522D5"/>
    <w:rsid w:val="0065350D"/>
    <w:rsid w:val="00653C3E"/>
    <w:rsid w:val="006540B7"/>
    <w:rsid w:val="00660283"/>
    <w:rsid w:val="0066393C"/>
    <w:rsid w:val="00664725"/>
    <w:rsid w:val="0066713C"/>
    <w:rsid w:val="00667412"/>
    <w:rsid w:val="00671210"/>
    <w:rsid w:val="00671BF7"/>
    <w:rsid w:val="006739ED"/>
    <w:rsid w:val="00676492"/>
    <w:rsid w:val="006816DC"/>
    <w:rsid w:val="00694581"/>
    <w:rsid w:val="006A1465"/>
    <w:rsid w:val="006A68DB"/>
    <w:rsid w:val="006B0CC7"/>
    <w:rsid w:val="006B216D"/>
    <w:rsid w:val="006B2BEE"/>
    <w:rsid w:val="006D2E90"/>
    <w:rsid w:val="006D2F04"/>
    <w:rsid w:val="006E6B55"/>
    <w:rsid w:val="00706444"/>
    <w:rsid w:val="00712E70"/>
    <w:rsid w:val="007170C4"/>
    <w:rsid w:val="00720680"/>
    <w:rsid w:val="00722927"/>
    <w:rsid w:val="0072328C"/>
    <w:rsid w:val="00731A50"/>
    <w:rsid w:val="00735498"/>
    <w:rsid w:val="00740F68"/>
    <w:rsid w:val="00746E41"/>
    <w:rsid w:val="00750110"/>
    <w:rsid w:val="007555A2"/>
    <w:rsid w:val="00766506"/>
    <w:rsid w:val="00776FDE"/>
    <w:rsid w:val="00781DB9"/>
    <w:rsid w:val="00787280"/>
    <w:rsid w:val="007A7BE8"/>
    <w:rsid w:val="007B0C98"/>
    <w:rsid w:val="007B2371"/>
    <w:rsid w:val="007B6430"/>
    <w:rsid w:val="007B70A9"/>
    <w:rsid w:val="007C6EBB"/>
    <w:rsid w:val="007E0256"/>
    <w:rsid w:val="007E1693"/>
    <w:rsid w:val="007E7722"/>
    <w:rsid w:val="00806069"/>
    <w:rsid w:val="00806FE7"/>
    <w:rsid w:val="008104E7"/>
    <w:rsid w:val="00811C24"/>
    <w:rsid w:val="00813CB8"/>
    <w:rsid w:val="00816F8B"/>
    <w:rsid w:val="00830592"/>
    <w:rsid w:val="00837BC5"/>
    <w:rsid w:val="008519E9"/>
    <w:rsid w:val="00857012"/>
    <w:rsid w:val="008570A3"/>
    <w:rsid w:val="00876531"/>
    <w:rsid w:val="00880FE9"/>
    <w:rsid w:val="00894DBB"/>
    <w:rsid w:val="008A6251"/>
    <w:rsid w:val="008A7716"/>
    <w:rsid w:val="008B0474"/>
    <w:rsid w:val="008B1CF1"/>
    <w:rsid w:val="008B7963"/>
    <w:rsid w:val="008B7D1D"/>
    <w:rsid w:val="008C28D3"/>
    <w:rsid w:val="008C2B55"/>
    <w:rsid w:val="008C4EB0"/>
    <w:rsid w:val="008D1A2C"/>
    <w:rsid w:val="008D2F6B"/>
    <w:rsid w:val="008D4BDB"/>
    <w:rsid w:val="008D692E"/>
    <w:rsid w:val="008E1C38"/>
    <w:rsid w:val="008E43AC"/>
    <w:rsid w:val="008E62E1"/>
    <w:rsid w:val="008F330A"/>
    <w:rsid w:val="008F4B8B"/>
    <w:rsid w:val="008F717B"/>
    <w:rsid w:val="0090489F"/>
    <w:rsid w:val="009071AA"/>
    <w:rsid w:val="0091373B"/>
    <w:rsid w:val="00915D87"/>
    <w:rsid w:val="0092301B"/>
    <w:rsid w:val="0092418F"/>
    <w:rsid w:val="00934107"/>
    <w:rsid w:val="00934BB7"/>
    <w:rsid w:val="0093564F"/>
    <w:rsid w:val="00943D93"/>
    <w:rsid w:val="009544A5"/>
    <w:rsid w:val="0095485E"/>
    <w:rsid w:val="009561D2"/>
    <w:rsid w:val="00956683"/>
    <w:rsid w:val="00960035"/>
    <w:rsid w:val="00971942"/>
    <w:rsid w:val="00990534"/>
    <w:rsid w:val="009B1BF8"/>
    <w:rsid w:val="009B5058"/>
    <w:rsid w:val="009B619B"/>
    <w:rsid w:val="009B7698"/>
    <w:rsid w:val="009C0600"/>
    <w:rsid w:val="009C1827"/>
    <w:rsid w:val="009D1263"/>
    <w:rsid w:val="009D4E4A"/>
    <w:rsid w:val="009D7284"/>
    <w:rsid w:val="009F0D36"/>
    <w:rsid w:val="009F352E"/>
    <w:rsid w:val="009F6A86"/>
    <w:rsid w:val="00A03DC8"/>
    <w:rsid w:val="00A05357"/>
    <w:rsid w:val="00A102CD"/>
    <w:rsid w:val="00A1117C"/>
    <w:rsid w:val="00A12894"/>
    <w:rsid w:val="00A15B36"/>
    <w:rsid w:val="00A1678C"/>
    <w:rsid w:val="00A266D0"/>
    <w:rsid w:val="00A27DC4"/>
    <w:rsid w:val="00A31126"/>
    <w:rsid w:val="00A3183D"/>
    <w:rsid w:val="00A3365E"/>
    <w:rsid w:val="00A50255"/>
    <w:rsid w:val="00A514B6"/>
    <w:rsid w:val="00A52B92"/>
    <w:rsid w:val="00A56494"/>
    <w:rsid w:val="00A62A0A"/>
    <w:rsid w:val="00A72939"/>
    <w:rsid w:val="00A761D1"/>
    <w:rsid w:val="00A960C9"/>
    <w:rsid w:val="00AA132F"/>
    <w:rsid w:val="00AA1899"/>
    <w:rsid w:val="00AB1525"/>
    <w:rsid w:val="00AB19FD"/>
    <w:rsid w:val="00AC3C3B"/>
    <w:rsid w:val="00AC45A6"/>
    <w:rsid w:val="00AC58BC"/>
    <w:rsid w:val="00AD07A7"/>
    <w:rsid w:val="00AD7373"/>
    <w:rsid w:val="00AE0783"/>
    <w:rsid w:val="00AE1838"/>
    <w:rsid w:val="00AF08BB"/>
    <w:rsid w:val="00AF63B6"/>
    <w:rsid w:val="00B07B82"/>
    <w:rsid w:val="00B07ED5"/>
    <w:rsid w:val="00B13E78"/>
    <w:rsid w:val="00B15A71"/>
    <w:rsid w:val="00B169D6"/>
    <w:rsid w:val="00B16E6F"/>
    <w:rsid w:val="00B22961"/>
    <w:rsid w:val="00B238A4"/>
    <w:rsid w:val="00B2781A"/>
    <w:rsid w:val="00B34D27"/>
    <w:rsid w:val="00B40FD0"/>
    <w:rsid w:val="00B44551"/>
    <w:rsid w:val="00B46A3B"/>
    <w:rsid w:val="00B54A70"/>
    <w:rsid w:val="00B56A25"/>
    <w:rsid w:val="00B56F33"/>
    <w:rsid w:val="00B8382E"/>
    <w:rsid w:val="00B84FB5"/>
    <w:rsid w:val="00B922E7"/>
    <w:rsid w:val="00B9457B"/>
    <w:rsid w:val="00BA0EC9"/>
    <w:rsid w:val="00BB6F0D"/>
    <w:rsid w:val="00BC3009"/>
    <w:rsid w:val="00BC4224"/>
    <w:rsid w:val="00BD58CC"/>
    <w:rsid w:val="00BE0D8B"/>
    <w:rsid w:val="00BE14C6"/>
    <w:rsid w:val="00BE174F"/>
    <w:rsid w:val="00BE5365"/>
    <w:rsid w:val="00BF1078"/>
    <w:rsid w:val="00BF36BB"/>
    <w:rsid w:val="00BF4BBD"/>
    <w:rsid w:val="00BF7F61"/>
    <w:rsid w:val="00C0108B"/>
    <w:rsid w:val="00C024EA"/>
    <w:rsid w:val="00C07B91"/>
    <w:rsid w:val="00C10167"/>
    <w:rsid w:val="00C14D26"/>
    <w:rsid w:val="00C15461"/>
    <w:rsid w:val="00C328A4"/>
    <w:rsid w:val="00C51A35"/>
    <w:rsid w:val="00C56982"/>
    <w:rsid w:val="00C60D33"/>
    <w:rsid w:val="00C62D88"/>
    <w:rsid w:val="00C73811"/>
    <w:rsid w:val="00C806DB"/>
    <w:rsid w:val="00C82DE8"/>
    <w:rsid w:val="00C83863"/>
    <w:rsid w:val="00C94BF9"/>
    <w:rsid w:val="00CA0047"/>
    <w:rsid w:val="00CB0B80"/>
    <w:rsid w:val="00CB57FC"/>
    <w:rsid w:val="00CC2AC7"/>
    <w:rsid w:val="00CC6F8D"/>
    <w:rsid w:val="00CD02D9"/>
    <w:rsid w:val="00CD3F8C"/>
    <w:rsid w:val="00CE675D"/>
    <w:rsid w:val="00CF1F40"/>
    <w:rsid w:val="00CF4524"/>
    <w:rsid w:val="00CF4D3F"/>
    <w:rsid w:val="00CF58D1"/>
    <w:rsid w:val="00CF70D1"/>
    <w:rsid w:val="00D0410C"/>
    <w:rsid w:val="00D06836"/>
    <w:rsid w:val="00D14136"/>
    <w:rsid w:val="00D17428"/>
    <w:rsid w:val="00D207FD"/>
    <w:rsid w:val="00D20E39"/>
    <w:rsid w:val="00D27469"/>
    <w:rsid w:val="00D3197C"/>
    <w:rsid w:val="00D37492"/>
    <w:rsid w:val="00D41D87"/>
    <w:rsid w:val="00D50D80"/>
    <w:rsid w:val="00D51C5F"/>
    <w:rsid w:val="00D5552F"/>
    <w:rsid w:val="00D64639"/>
    <w:rsid w:val="00D719D8"/>
    <w:rsid w:val="00D72D30"/>
    <w:rsid w:val="00D74F2E"/>
    <w:rsid w:val="00D7735A"/>
    <w:rsid w:val="00D80610"/>
    <w:rsid w:val="00D912F3"/>
    <w:rsid w:val="00D91A08"/>
    <w:rsid w:val="00D93274"/>
    <w:rsid w:val="00D93E10"/>
    <w:rsid w:val="00D9514B"/>
    <w:rsid w:val="00D96C04"/>
    <w:rsid w:val="00DA1A0C"/>
    <w:rsid w:val="00DB2581"/>
    <w:rsid w:val="00DB3BBA"/>
    <w:rsid w:val="00DB4E28"/>
    <w:rsid w:val="00DB53E3"/>
    <w:rsid w:val="00DB6678"/>
    <w:rsid w:val="00DB7C6B"/>
    <w:rsid w:val="00DC132F"/>
    <w:rsid w:val="00DC4B0F"/>
    <w:rsid w:val="00DD1DF1"/>
    <w:rsid w:val="00DD1E6C"/>
    <w:rsid w:val="00DD399E"/>
    <w:rsid w:val="00DE0324"/>
    <w:rsid w:val="00DE2852"/>
    <w:rsid w:val="00DF268B"/>
    <w:rsid w:val="00DF28C5"/>
    <w:rsid w:val="00E05497"/>
    <w:rsid w:val="00E2738C"/>
    <w:rsid w:val="00E32E04"/>
    <w:rsid w:val="00E44368"/>
    <w:rsid w:val="00E453A5"/>
    <w:rsid w:val="00E45FEE"/>
    <w:rsid w:val="00E50AF3"/>
    <w:rsid w:val="00E535C5"/>
    <w:rsid w:val="00E70355"/>
    <w:rsid w:val="00E72D3E"/>
    <w:rsid w:val="00E758B3"/>
    <w:rsid w:val="00E75EAE"/>
    <w:rsid w:val="00E77C6D"/>
    <w:rsid w:val="00E8494A"/>
    <w:rsid w:val="00E91166"/>
    <w:rsid w:val="00E92CA9"/>
    <w:rsid w:val="00E935AA"/>
    <w:rsid w:val="00E973D5"/>
    <w:rsid w:val="00E97F69"/>
    <w:rsid w:val="00EA2A58"/>
    <w:rsid w:val="00EA4091"/>
    <w:rsid w:val="00EA6F0E"/>
    <w:rsid w:val="00EA703D"/>
    <w:rsid w:val="00EB3426"/>
    <w:rsid w:val="00EB408F"/>
    <w:rsid w:val="00EC24A2"/>
    <w:rsid w:val="00EC34BB"/>
    <w:rsid w:val="00EC48C1"/>
    <w:rsid w:val="00EC4A16"/>
    <w:rsid w:val="00ED4B1B"/>
    <w:rsid w:val="00ED6018"/>
    <w:rsid w:val="00EE288E"/>
    <w:rsid w:val="00EF4C65"/>
    <w:rsid w:val="00F10CC4"/>
    <w:rsid w:val="00F1135B"/>
    <w:rsid w:val="00F16996"/>
    <w:rsid w:val="00F202D6"/>
    <w:rsid w:val="00F24263"/>
    <w:rsid w:val="00F24F79"/>
    <w:rsid w:val="00F26C2F"/>
    <w:rsid w:val="00F30621"/>
    <w:rsid w:val="00F33D8B"/>
    <w:rsid w:val="00F352C9"/>
    <w:rsid w:val="00F365C8"/>
    <w:rsid w:val="00F42A77"/>
    <w:rsid w:val="00F51EB8"/>
    <w:rsid w:val="00F5404D"/>
    <w:rsid w:val="00F549DC"/>
    <w:rsid w:val="00F6338E"/>
    <w:rsid w:val="00F65944"/>
    <w:rsid w:val="00F774B3"/>
    <w:rsid w:val="00F80174"/>
    <w:rsid w:val="00F813AF"/>
    <w:rsid w:val="00F97F5A"/>
    <w:rsid w:val="00FA627D"/>
    <w:rsid w:val="00FA7322"/>
    <w:rsid w:val="00FB2CBE"/>
    <w:rsid w:val="00FB3246"/>
    <w:rsid w:val="00FB58EA"/>
    <w:rsid w:val="00FC5497"/>
    <w:rsid w:val="00FC5D51"/>
    <w:rsid w:val="00FC5ED1"/>
    <w:rsid w:val="00FD06AD"/>
    <w:rsid w:val="00FD0DF9"/>
    <w:rsid w:val="00FD707E"/>
    <w:rsid w:val="00FE49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F73BF25"/>
  <w15:chartTrackingRefBased/>
  <w15:docId w15:val="{304B4989-934C-407D-9117-BB649189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CNBV Parrafo1,List Paragraph-Thesis,Dot pt"/>
    <w:basedOn w:val="Normal"/>
    <w:link w:val="PrrafodelistaCar"/>
    <w:qFormat/>
    <w:rsid w:val="00894DBB"/>
    <w:pPr>
      <w:spacing w:after="0" w:line="240" w:lineRule="auto"/>
      <w:ind w:left="708"/>
    </w:pPr>
    <w:rPr>
      <w:rFonts w:ascii="Arial" w:eastAsia="Times New Roman" w:hAnsi="Arial" w:cs="Times New Roman"/>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qFormat/>
    <w:rsid w:val="00894DBB"/>
    <w:rPr>
      <w:rFonts w:ascii="Arial" w:eastAsia="Times New Roman" w:hAnsi="Arial" w:cs="Times New Roman"/>
      <w:sz w:val="24"/>
      <w:szCs w:val="20"/>
      <w:lang w:val="es-ES" w:eastAsia="es-ES"/>
    </w:rPr>
  </w:style>
  <w:style w:type="paragraph" w:customStyle="1" w:styleId="Texto">
    <w:name w:val="Texto"/>
    <w:basedOn w:val="Normal"/>
    <w:link w:val="TextoCar"/>
    <w:rsid w:val="00894DB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94DBB"/>
    <w:rPr>
      <w:rFonts w:ascii="Arial" w:eastAsia="Times New Roman" w:hAnsi="Arial" w:cs="Arial"/>
      <w:sz w:val="18"/>
      <w:szCs w:val="20"/>
      <w:lang w:val="es-ES" w:eastAsia="es-ES"/>
    </w:rPr>
  </w:style>
  <w:style w:type="paragraph" w:customStyle="1" w:styleId="ANOTACION">
    <w:name w:val="ANOTACION"/>
    <w:basedOn w:val="Normal"/>
    <w:link w:val="ANOTACIONCar"/>
    <w:rsid w:val="00894DBB"/>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894DBB"/>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F774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74B3"/>
  </w:style>
  <w:style w:type="paragraph" w:styleId="Piedepgina">
    <w:name w:val="footer"/>
    <w:basedOn w:val="Normal"/>
    <w:link w:val="PiedepginaCar"/>
    <w:uiPriority w:val="99"/>
    <w:unhideWhenUsed/>
    <w:rsid w:val="00F774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74B3"/>
  </w:style>
  <w:style w:type="character" w:styleId="Refdecomentario">
    <w:name w:val="annotation reference"/>
    <w:basedOn w:val="Fuentedeprrafopredeter"/>
    <w:uiPriority w:val="99"/>
    <w:semiHidden/>
    <w:unhideWhenUsed/>
    <w:rsid w:val="00C07B91"/>
    <w:rPr>
      <w:sz w:val="16"/>
      <w:szCs w:val="16"/>
    </w:rPr>
  </w:style>
  <w:style w:type="paragraph" w:styleId="Textocomentario">
    <w:name w:val="annotation text"/>
    <w:basedOn w:val="Normal"/>
    <w:link w:val="TextocomentarioCar"/>
    <w:uiPriority w:val="99"/>
    <w:unhideWhenUsed/>
    <w:rsid w:val="00C07B91"/>
    <w:pPr>
      <w:spacing w:line="240" w:lineRule="auto"/>
    </w:pPr>
    <w:rPr>
      <w:sz w:val="20"/>
      <w:szCs w:val="20"/>
    </w:rPr>
  </w:style>
  <w:style w:type="character" w:customStyle="1" w:styleId="TextocomentarioCar">
    <w:name w:val="Texto comentario Car"/>
    <w:basedOn w:val="Fuentedeprrafopredeter"/>
    <w:link w:val="Textocomentario"/>
    <w:uiPriority w:val="99"/>
    <w:rsid w:val="00C07B91"/>
    <w:rPr>
      <w:sz w:val="20"/>
      <w:szCs w:val="20"/>
    </w:rPr>
  </w:style>
  <w:style w:type="paragraph" w:styleId="Asuntodelcomentario">
    <w:name w:val="annotation subject"/>
    <w:basedOn w:val="Textocomentario"/>
    <w:next w:val="Textocomentario"/>
    <w:link w:val="AsuntodelcomentarioCar"/>
    <w:uiPriority w:val="99"/>
    <w:semiHidden/>
    <w:unhideWhenUsed/>
    <w:rsid w:val="00C07B91"/>
    <w:rPr>
      <w:b/>
      <w:bCs/>
    </w:rPr>
  </w:style>
  <w:style w:type="character" w:customStyle="1" w:styleId="AsuntodelcomentarioCar">
    <w:name w:val="Asunto del comentario Car"/>
    <w:basedOn w:val="TextocomentarioCar"/>
    <w:link w:val="Asuntodelcomentario"/>
    <w:uiPriority w:val="99"/>
    <w:semiHidden/>
    <w:rsid w:val="00C07B91"/>
    <w:rPr>
      <w:b/>
      <w:bCs/>
      <w:sz w:val="20"/>
      <w:szCs w:val="20"/>
    </w:rPr>
  </w:style>
  <w:style w:type="paragraph" w:styleId="Textodeglobo">
    <w:name w:val="Balloon Text"/>
    <w:basedOn w:val="Normal"/>
    <w:link w:val="TextodegloboCar"/>
    <w:uiPriority w:val="99"/>
    <w:semiHidden/>
    <w:unhideWhenUsed/>
    <w:rsid w:val="00C07B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7B91"/>
    <w:rPr>
      <w:rFonts w:ascii="Segoe UI" w:hAnsi="Segoe UI" w:cs="Segoe UI"/>
      <w:sz w:val="18"/>
      <w:szCs w:val="18"/>
    </w:rPr>
  </w:style>
  <w:style w:type="paragraph" w:styleId="Revisin">
    <w:name w:val="Revision"/>
    <w:hidden/>
    <w:uiPriority w:val="99"/>
    <w:semiHidden/>
    <w:rsid w:val="00746E41"/>
    <w:pPr>
      <w:spacing w:after="0" w:line="240" w:lineRule="auto"/>
    </w:pPr>
  </w:style>
  <w:style w:type="paragraph" w:customStyle="1" w:styleId="Default">
    <w:name w:val="Default"/>
    <w:rsid w:val="00AA1899"/>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Fuentedeprrafopredeter"/>
    <w:rsid w:val="00F549DC"/>
    <w:rPr>
      <w:rFonts w:ascii="Segoe UI" w:hAnsi="Segoe UI" w:cs="Segoe UI" w:hint="default"/>
      <w:sz w:val="18"/>
      <w:szCs w:val="18"/>
    </w:rPr>
  </w:style>
  <w:style w:type="paragraph" w:styleId="NormalWeb">
    <w:name w:val="Normal (Web)"/>
    <w:basedOn w:val="Normal"/>
    <w:uiPriority w:val="99"/>
    <w:semiHidden/>
    <w:unhideWhenUsed/>
    <w:rsid w:val="0065350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64226">
      <w:bodyDiv w:val="1"/>
      <w:marLeft w:val="0"/>
      <w:marRight w:val="0"/>
      <w:marTop w:val="0"/>
      <w:marBottom w:val="0"/>
      <w:divBdr>
        <w:top w:val="none" w:sz="0" w:space="0" w:color="auto"/>
        <w:left w:val="none" w:sz="0" w:space="0" w:color="auto"/>
        <w:bottom w:val="none" w:sz="0" w:space="0" w:color="auto"/>
        <w:right w:val="none" w:sz="0" w:space="0" w:color="auto"/>
      </w:divBdr>
    </w:div>
    <w:div w:id="206376038">
      <w:bodyDiv w:val="1"/>
      <w:marLeft w:val="0"/>
      <w:marRight w:val="0"/>
      <w:marTop w:val="0"/>
      <w:marBottom w:val="0"/>
      <w:divBdr>
        <w:top w:val="none" w:sz="0" w:space="0" w:color="auto"/>
        <w:left w:val="none" w:sz="0" w:space="0" w:color="auto"/>
        <w:bottom w:val="none" w:sz="0" w:space="0" w:color="auto"/>
        <w:right w:val="none" w:sz="0" w:space="0" w:color="auto"/>
      </w:divBdr>
      <w:divsChild>
        <w:div w:id="69041654">
          <w:marLeft w:val="0"/>
          <w:marRight w:val="0"/>
          <w:marTop w:val="0"/>
          <w:marBottom w:val="20"/>
          <w:divBdr>
            <w:top w:val="none" w:sz="0" w:space="0" w:color="auto"/>
            <w:left w:val="none" w:sz="0" w:space="0" w:color="auto"/>
            <w:bottom w:val="none" w:sz="0" w:space="0" w:color="auto"/>
            <w:right w:val="none" w:sz="0" w:space="0" w:color="auto"/>
          </w:divBdr>
        </w:div>
        <w:div w:id="1956600485">
          <w:marLeft w:val="0"/>
          <w:marRight w:val="0"/>
          <w:marTop w:val="0"/>
          <w:marBottom w:val="101"/>
          <w:divBdr>
            <w:top w:val="none" w:sz="0" w:space="0" w:color="auto"/>
            <w:left w:val="none" w:sz="0" w:space="0" w:color="auto"/>
            <w:bottom w:val="none" w:sz="0" w:space="0" w:color="auto"/>
            <w:right w:val="none" w:sz="0" w:space="0" w:color="auto"/>
          </w:divBdr>
        </w:div>
      </w:divsChild>
    </w:div>
    <w:div w:id="486440077">
      <w:bodyDiv w:val="1"/>
      <w:marLeft w:val="0"/>
      <w:marRight w:val="0"/>
      <w:marTop w:val="0"/>
      <w:marBottom w:val="0"/>
      <w:divBdr>
        <w:top w:val="none" w:sz="0" w:space="0" w:color="auto"/>
        <w:left w:val="none" w:sz="0" w:space="0" w:color="auto"/>
        <w:bottom w:val="none" w:sz="0" w:space="0" w:color="auto"/>
        <w:right w:val="none" w:sz="0" w:space="0" w:color="auto"/>
      </w:divBdr>
    </w:div>
    <w:div w:id="663902534">
      <w:bodyDiv w:val="1"/>
      <w:marLeft w:val="0"/>
      <w:marRight w:val="0"/>
      <w:marTop w:val="0"/>
      <w:marBottom w:val="0"/>
      <w:divBdr>
        <w:top w:val="none" w:sz="0" w:space="0" w:color="auto"/>
        <w:left w:val="none" w:sz="0" w:space="0" w:color="auto"/>
        <w:bottom w:val="none" w:sz="0" w:space="0" w:color="auto"/>
        <w:right w:val="none" w:sz="0" w:space="0" w:color="auto"/>
      </w:divBdr>
      <w:divsChild>
        <w:div w:id="1607620522">
          <w:marLeft w:val="0"/>
          <w:marRight w:val="0"/>
          <w:marTop w:val="0"/>
          <w:marBottom w:val="20"/>
          <w:divBdr>
            <w:top w:val="none" w:sz="0" w:space="0" w:color="auto"/>
            <w:left w:val="none" w:sz="0" w:space="0" w:color="auto"/>
            <w:bottom w:val="none" w:sz="0" w:space="0" w:color="auto"/>
            <w:right w:val="none" w:sz="0" w:space="0" w:color="auto"/>
          </w:divBdr>
        </w:div>
        <w:div w:id="946736370">
          <w:marLeft w:val="0"/>
          <w:marRight w:val="0"/>
          <w:marTop w:val="0"/>
          <w:marBottom w:val="20"/>
          <w:divBdr>
            <w:top w:val="none" w:sz="0" w:space="0" w:color="auto"/>
            <w:left w:val="none" w:sz="0" w:space="0" w:color="auto"/>
            <w:bottom w:val="none" w:sz="0" w:space="0" w:color="auto"/>
            <w:right w:val="none" w:sz="0" w:space="0" w:color="auto"/>
          </w:divBdr>
        </w:div>
      </w:divsChild>
    </w:div>
    <w:div w:id="705253897">
      <w:bodyDiv w:val="1"/>
      <w:marLeft w:val="0"/>
      <w:marRight w:val="0"/>
      <w:marTop w:val="0"/>
      <w:marBottom w:val="0"/>
      <w:divBdr>
        <w:top w:val="none" w:sz="0" w:space="0" w:color="auto"/>
        <w:left w:val="none" w:sz="0" w:space="0" w:color="auto"/>
        <w:bottom w:val="none" w:sz="0" w:space="0" w:color="auto"/>
        <w:right w:val="none" w:sz="0" w:space="0" w:color="auto"/>
      </w:divBdr>
    </w:div>
    <w:div w:id="1034889683">
      <w:bodyDiv w:val="1"/>
      <w:marLeft w:val="0"/>
      <w:marRight w:val="0"/>
      <w:marTop w:val="0"/>
      <w:marBottom w:val="0"/>
      <w:divBdr>
        <w:top w:val="none" w:sz="0" w:space="0" w:color="auto"/>
        <w:left w:val="none" w:sz="0" w:space="0" w:color="auto"/>
        <w:bottom w:val="none" w:sz="0" w:space="0" w:color="auto"/>
        <w:right w:val="none" w:sz="0" w:space="0" w:color="auto"/>
      </w:divBdr>
    </w:div>
    <w:div w:id="1094399322">
      <w:bodyDiv w:val="1"/>
      <w:marLeft w:val="0"/>
      <w:marRight w:val="0"/>
      <w:marTop w:val="0"/>
      <w:marBottom w:val="0"/>
      <w:divBdr>
        <w:top w:val="none" w:sz="0" w:space="0" w:color="auto"/>
        <w:left w:val="none" w:sz="0" w:space="0" w:color="auto"/>
        <w:bottom w:val="none" w:sz="0" w:space="0" w:color="auto"/>
        <w:right w:val="none" w:sz="0" w:space="0" w:color="auto"/>
      </w:divBdr>
      <w:divsChild>
        <w:div w:id="1803620524">
          <w:marLeft w:val="0"/>
          <w:marRight w:val="0"/>
          <w:marTop w:val="0"/>
          <w:marBottom w:val="20"/>
          <w:divBdr>
            <w:top w:val="none" w:sz="0" w:space="0" w:color="auto"/>
            <w:left w:val="none" w:sz="0" w:space="0" w:color="auto"/>
            <w:bottom w:val="none" w:sz="0" w:space="0" w:color="auto"/>
            <w:right w:val="none" w:sz="0" w:space="0" w:color="auto"/>
          </w:divBdr>
        </w:div>
        <w:div w:id="279149632">
          <w:marLeft w:val="0"/>
          <w:marRight w:val="0"/>
          <w:marTop w:val="0"/>
          <w:marBottom w:val="20"/>
          <w:divBdr>
            <w:top w:val="none" w:sz="0" w:space="0" w:color="auto"/>
            <w:left w:val="none" w:sz="0" w:space="0" w:color="auto"/>
            <w:bottom w:val="none" w:sz="0" w:space="0" w:color="auto"/>
            <w:right w:val="none" w:sz="0" w:space="0" w:color="auto"/>
          </w:divBdr>
        </w:div>
      </w:divsChild>
    </w:div>
    <w:div w:id="1097287680">
      <w:bodyDiv w:val="1"/>
      <w:marLeft w:val="0"/>
      <w:marRight w:val="0"/>
      <w:marTop w:val="0"/>
      <w:marBottom w:val="0"/>
      <w:divBdr>
        <w:top w:val="none" w:sz="0" w:space="0" w:color="auto"/>
        <w:left w:val="none" w:sz="0" w:space="0" w:color="auto"/>
        <w:bottom w:val="none" w:sz="0" w:space="0" w:color="auto"/>
        <w:right w:val="none" w:sz="0" w:space="0" w:color="auto"/>
      </w:divBdr>
    </w:div>
    <w:div w:id="1222129503">
      <w:bodyDiv w:val="1"/>
      <w:marLeft w:val="0"/>
      <w:marRight w:val="0"/>
      <w:marTop w:val="0"/>
      <w:marBottom w:val="0"/>
      <w:divBdr>
        <w:top w:val="none" w:sz="0" w:space="0" w:color="auto"/>
        <w:left w:val="none" w:sz="0" w:space="0" w:color="auto"/>
        <w:bottom w:val="none" w:sz="0" w:space="0" w:color="auto"/>
        <w:right w:val="none" w:sz="0" w:space="0" w:color="auto"/>
      </w:divBdr>
    </w:div>
    <w:div w:id="1300064415">
      <w:bodyDiv w:val="1"/>
      <w:marLeft w:val="0"/>
      <w:marRight w:val="0"/>
      <w:marTop w:val="0"/>
      <w:marBottom w:val="0"/>
      <w:divBdr>
        <w:top w:val="none" w:sz="0" w:space="0" w:color="auto"/>
        <w:left w:val="none" w:sz="0" w:space="0" w:color="auto"/>
        <w:bottom w:val="none" w:sz="0" w:space="0" w:color="auto"/>
        <w:right w:val="none" w:sz="0" w:space="0" w:color="auto"/>
      </w:divBdr>
      <w:divsChild>
        <w:div w:id="381563002">
          <w:marLeft w:val="0"/>
          <w:marRight w:val="0"/>
          <w:marTop w:val="0"/>
          <w:marBottom w:val="20"/>
          <w:divBdr>
            <w:top w:val="none" w:sz="0" w:space="0" w:color="auto"/>
            <w:left w:val="none" w:sz="0" w:space="0" w:color="auto"/>
            <w:bottom w:val="none" w:sz="0" w:space="0" w:color="auto"/>
            <w:right w:val="none" w:sz="0" w:space="0" w:color="auto"/>
          </w:divBdr>
        </w:div>
        <w:div w:id="1273052680">
          <w:marLeft w:val="0"/>
          <w:marRight w:val="0"/>
          <w:marTop w:val="0"/>
          <w:marBottom w:val="101"/>
          <w:divBdr>
            <w:top w:val="none" w:sz="0" w:space="0" w:color="auto"/>
            <w:left w:val="none" w:sz="0" w:space="0" w:color="auto"/>
            <w:bottom w:val="none" w:sz="0" w:space="0" w:color="auto"/>
            <w:right w:val="none" w:sz="0" w:space="0" w:color="auto"/>
          </w:divBdr>
        </w:div>
      </w:divsChild>
    </w:div>
    <w:div w:id="1805613420">
      <w:bodyDiv w:val="1"/>
      <w:marLeft w:val="0"/>
      <w:marRight w:val="0"/>
      <w:marTop w:val="0"/>
      <w:marBottom w:val="0"/>
      <w:divBdr>
        <w:top w:val="none" w:sz="0" w:space="0" w:color="auto"/>
        <w:left w:val="none" w:sz="0" w:space="0" w:color="auto"/>
        <w:bottom w:val="none" w:sz="0" w:space="0" w:color="auto"/>
        <w:right w:val="none" w:sz="0" w:space="0" w:color="auto"/>
      </w:divBdr>
    </w:div>
    <w:div w:id="1806854093">
      <w:bodyDiv w:val="1"/>
      <w:marLeft w:val="0"/>
      <w:marRight w:val="0"/>
      <w:marTop w:val="0"/>
      <w:marBottom w:val="0"/>
      <w:divBdr>
        <w:top w:val="none" w:sz="0" w:space="0" w:color="auto"/>
        <w:left w:val="none" w:sz="0" w:space="0" w:color="auto"/>
        <w:bottom w:val="none" w:sz="0" w:space="0" w:color="auto"/>
        <w:right w:val="none" w:sz="0" w:space="0" w:color="auto"/>
      </w:divBdr>
    </w:div>
    <w:div w:id="1832524020">
      <w:bodyDiv w:val="1"/>
      <w:marLeft w:val="0"/>
      <w:marRight w:val="0"/>
      <w:marTop w:val="0"/>
      <w:marBottom w:val="0"/>
      <w:divBdr>
        <w:top w:val="none" w:sz="0" w:space="0" w:color="auto"/>
        <w:left w:val="none" w:sz="0" w:space="0" w:color="auto"/>
        <w:bottom w:val="none" w:sz="0" w:space="0" w:color="auto"/>
        <w:right w:val="none" w:sz="0" w:space="0" w:color="auto"/>
      </w:divBdr>
      <w:divsChild>
        <w:div w:id="1687438968">
          <w:marLeft w:val="0"/>
          <w:marRight w:val="0"/>
          <w:marTop w:val="0"/>
          <w:marBottom w:val="80"/>
          <w:divBdr>
            <w:top w:val="none" w:sz="0" w:space="0" w:color="auto"/>
            <w:left w:val="none" w:sz="0" w:space="0" w:color="auto"/>
            <w:bottom w:val="none" w:sz="0" w:space="0" w:color="auto"/>
            <w:right w:val="none" w:sz="0" w:space="0" w:color="auto"/>
          </w:divBdr>
        </w:div>
        <w:div w:id="209389116">
          <w:marLeft w:val="0"/>
          <w:marRight w:val="0"/>
          <w:marTop w:val="0"/>
          <w:marBottom w:val="80"/>
          <w:divBdr>
            <w:top w:val="none" w:sz="0" w:space="0" w:color="auto"/>
            <w:left w:val="none" w:sz="0" w:space="0" w:color="auto"/>
            <w:bottom w:val="none" w:sz="0" w:space="0" w:color="auto"/>
            <w:right w:val="none" w:sz="0" w:space="0" w:color="auto"/>
          </w:divBdr>
        </w:div>
        <w:div w:id="1062487615">
          <w:marLeft w:val="0"/>
          <w:marRight w:val="0"/>
          <w:marTop w:val="0"/>
          <w:marBottom w:val="80"/>
          <w:divBdr>
            <w:top w:val="none" w:sz="0" w:space="0" w:color="auto"/>
            <w:left w:val="none" w:sz="0" w:space="0" w:color="auto"/>
            <w:bottom w:val="none" w:sz="0" w:space="0" w:color="auto"/>
            <w:right w:val="none" w:sz="0" w:space="0" w:color="auto"/>
          </w:divBdr>
        </w:div>
      </w:divsChild>
    </w:div>
    <w:div w:id="1853448952">
      <w:bodyDiv w:val="1"/>
      <w:marLeft w:val="0"/>
      <w:marRight w:val="0"/>
      <w:marTop w:val="0"/>
      <w:marBottom w:val="0"/>
      <w:divBdr>
        <w:top w:val="none" w:sz="0" w:space="0" w:color="auto"/>
        <w:left w:val="none" w:sz="0" w:space="0" w:color="auto"/>
        <w:bottom w:val="none" w:sz="0" w:space="0" w:color="auto"/>
        <w:right w:val="none" w:sz="0" w:space="0" w:color="auto"/>
      </w:divBdr>
      <w:divsChild>
        <w:div w:id="36592980">
          <w:marLeft w:val="0"/>
          <w:marRight w:val="0"/>
          <w:marTop w:val="0"/>
          <w:marBottom w:val="80"/>
          <w:divBdr>
            <w:top w:val="none" w:sz="0" w:space="0" w:color="auto"/>
            <w:left w:val="none" w:sz="0" w:space="0" w:color="auto"/>
            <w:bottom w:val="none" w:sz="0" w:space="0" w:color="auto"/>
            <w:right w:val="none" w:sz="0" w:space="0" w:color="auto"/>
          </w:divBdr>
        </w:div>
        <w:div w:id="139885471">
          <w:marLeft w:val="0"/>
          <w:marRight w:val="0"/>
          <w:marTop w:val="0"/>
          <w:marBottom w:val="80"/>
          <w:divBdr>
            <w:top w:val="none" w:sz="0" w:space="0" w:color="auto"/>
            <w:left w:val="none" w:sz="0" w:space="0" w:color="auto"/>
            <w:bottom w:val="none" w:sz="0" w:space="0" w:color="auto"/>
            <w:right w:val="none" w:sz="0" w:space="0" w:color="auto"/>
          </w:divBdr>
        </w:div>
        <w:div w:id="490294936">
          <w:marLeft w:val="0"/>
          <w:marRight w:val="0"/>
          <w:marTop w:val="0"/>
          <w:marBottom w:val="80"/>
          <w:divBdr>
            <w:top w:val="none" w:sz="0" w:space="0" w:color="auto"/>
            <w:left w:val="none" w:sz="0" w:space="0" w:color="auto"/>
            <w:bottom w:val="none" w:sz="0" w:space="0" w:color="auto"/>
            <w:right w:val="none" w:sz="0" w:space="0" w:color="auto"/>
          </w:divBdr>
        </w:div>
        <w:div w:id="980118474">
          <w:marLeft w:val="720"/>
          <w:marRight w:val="0"/>
          <w:marTop w:val="0"/>
          <w:marBottom w:val="80"/>
          <w:divBdr>
            <w:top w:val="none" w:sz="0" w:space="0" w:color="auto"/>
            <w:left w:val="none" w:sz="0" w:space="0" w:color="auto"/>
            <w:bottom w:val="none" w:sz="0" w:space="0" w:color="auto"/>
            <w:right w:val="none" w:sz="0" w:space="0" w:color="auto"/>
          </w:divBdr>
        </w:div>
        <w:div w:id="1235971409">
          <w:marLeft w:val="720"/>
          <w:marRight w:val="0"/>
          <w:marTop w:val="0"/>
          <w:marBottom w:val="80"/>
          <w:divBdr>
            <w:top w:val="none" w:sz="0" w:space="0" w:color="auto"/>
            <w:left w:val="none" w:sz="0" w:space="0" w:color="auto"/>
            <w:bottom w:val="none" w:sz="0" w:space="0" w:color="auto"/>
            <w:right w:val="none" w:sz="0" w:space="0" w:color="auto"/>
          </w:divBdr>
        </w:div>
      </w:divsChild>
    </w:div>
    <w:div w:id="2029136128">
      <w:bodyDiv w:val="1"/>
      <w:marLeft w:val="0"/>
      <w:marRight w:val="0"/>
      <w:marTop w:val="0"/>
      <w:marBottom w:val="0"/>
      <w:divBdr>
        <w:top w:val="none" w:sz="0" w:space="0" w:color="auto"/>
        <w:left w:val="none" w:sz="0" w:space="0" w:color="auto"/>
        <w:bottom w:val="none" w:sz="0" w:space="0" w:color="auto"/>
        <w:right w:val="none" w:sz="0" w:space="0" w:color="auto"/>
      </w:divBdr>
    </w:div>
    <w:div w:id="2087996597">
      <w:bodyDiv w:val="1"/>
      <w:marLeft w:val="0"/>
      <w:marRight w:val="0"/>
      <w:marTop w:val="0"/>
      <w:marBottom w:val="0"/>
      <w:divBdr>
        <w:top w:val="none" w:sz="0" w:space="0" w:color="auto"/>
        <w:left w:val="none" w:sz="0" w:space="0" w:color="auto"/>
        <w:bottom w:val="none" w:sz="0" w:space="0" w:color="auto"/>
        <w:right w:val="none" w:sz="0" w:space="0" w:color="auto"/>
      </w:divBdr>
    </w:div>
    <w:div w:id="212376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2" ma:contentTypeDescription="Crear nuevo documento." ma:contentTypeScope="" ma:versionID="5d85b8029daab65df227ba94af0b5cec">
  <xsd:schema xmlns:xsd="http://www.w3.org/2001/XMLSchema" xmlns:xs="http://www.w3.org/2001/XMLSchema" xmlns:p="http://schemas.microsoft.com/office/2006/metadata/properties" xmlns:ns2="3c56577a-1e7a-41c2-8707-f6567acc357f" targetNamespace="http://schemas.microsoft.com/office/2006/metadata/properties" ma:root="true" ma:fieldsID="43c5b15e01f2d485e6c34ac846593651" ns2:_="">
    <xsd:import namespace="3c56577a-1e7a-41c2-8707-f6567acc357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6577a-1e7a-41c2-8707-f6567acc357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63BBB-45B2-4EA9-BDA4-6E51E9C80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6577a-1e7a-41c2-8707-f6567acc3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79481-6044-4CB7-9C17-CA11A7FEEF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4AC707-7C13-43DD-AD8C-DC3B12DD634F}">
  <ds:schemaRefs>
    <ds:schemaRef ds:uri="http://schemas.microsoft.com/sharepoint/v3/contenttype/forms"/>
  </ds:schemaRefs>
</ds:datastoreItem>
</file>

<file path=customXml/itemProps4.xml><?xml version="1.0" encoding="utf-8"?>
<ds:datastoreItem xmlns:ds="http://schemas.openxmlformats.org/officeDocument/2006/customXml" ds:itemID="{2980A0B7-8EB1-4F05-8898-713DB2DB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2661</Words>
  <Characters>14639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SCT</dc:creator>
  <cp:keywords/>
  <dc:description/>
  <cp:lastModifiedBy>Josue Teoyotl Calderon</cp:lastModifiedBy>
  <cp:revision>5</cp:revision>
  <cp:lastPrinted>2024-09-18T17:55:00Z</cp:lastPrinted>
  <dcterms:created xsi:type="dcterms:W3CDTF">2024-09-17T23:16:00Z</dcterms:created>
  <dcterms:modified xsi:type="dcterms:W3CDTF">2024-09-18T17:55:00Z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