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E4A37" w14:textId="77777777" w:rsidR="00147AD7" w:rsidRPr="00521AA9" w:rsidRDefault="00147AD7" w:rsidP="00CC3FE1">
      <w:pPr>
        <w:pStyle w:val="ANOTACION"/>
        <w:spacing w:line="276" w:lineRule="auto"/>
        <w:rPr>
          <w:rFonts w:ascii="Arial" w:hAnsi="Arial" w:cs="Arial"/>
          <w:sz w:val="26"/>
          <w:szCs w:val="26"/>
          <w:lang w:val="es-ES"/>
        </w:rPr>
      </w:pPr>
      <w:r w:rsidRPr="00521AA9">
        <w:rPr>
          <w:rFonts w:ascii="Arial" w:hAnsi="Arial" w:cs="Arial"/>
          <w:sz w:val="26"/>
          <w:szCs w:val="26"/>
          <w:lang w:val="es-ES"/>
        </w:rPr>
        <w:t>ANEXO ÚNICO</w:t>
      </w:r>
      <w:bookmarkStart w:id="0" w:name="_GoBack"/>
      <w:bookmarkEnd w:id="0"/>
    </w:p>
    <w:p w14:paraId="57022893" w14:textId="0FC0EF8E" w:rsidR="00147AD7" w:rsidRDefault="00147AD7" w:rsidP="00CC3FE1">
      <w:pPr>
        <w:pStyle w:val="Texto"/>
        <w:spacing w:line="276" w:lineRule="auto"/>
        <w:ind w:firstLine="0"/>
        <w:rPr>
          <w:b/>
          <w:sz w:val="26"/>
          <w:szCs w:val="26"/>
        </w:rPr>
      </w:pPr>
      <w:r w:rsidRPr="00521AA9">
        <w:rPr>
          <w:b/>
          <w:sz w:val="26"/>
          <w:szCs w:val="26"/>
        </w:rPr>
        <w:t>Anteproyecto de Acuerdo mediante el cual el Pleno del Instituto Federal de Telecomunicaciones modifica</w:t>
      </w:r>
      <w:r w:rsidR="00E96D12">
        <w:rPr>
          <w:b/>
          <w:sz w:val="26"/>
          <w:szCs w:val="26"/>
        </w:rPr>
        <w:t xml:space="preserve"> </w:t>
      </w:r>
      <w:r w:rsidR="0098636C" w:rsidRPr="00CD4B4B">
        <w:rPr>
          <w:b/>
          <w:sz w:val="26"/>
          <w:szCs w:val="26"/>
        </w:rPr>
        <w:t xml:space="preserve">el </w:t>
      </w:r>
      <w:r w:rsidR="0098636C">
        <w:rPr>
          <w:b/>
          <w:sz w:val="26"/>
          <w:szCs w:val="26"/>
        </w:rPr>
        <w:t>diverso por el que se</w:t>
      </w:r>
      <w:r w:rsidR="0098636C" w:rsidRPr="00CD4B4B">
        <w:rPr>
          <w:b/>
          <w:sz w:val="26"/>
          <w:szCs w:val="26"/>
        </w:rPr>
        <w:t xml:space="preserve"> </w:t>
      </w:r>
      <w:r w:rsidR="000A04C9" w:rsidRPr="00CD4B4B">
        <w:rPr>
          <w:b/>
          <w:sz w:val="26"/>
          <w:szCs w:val="26"/>
        </w:rPr>
        <w:t>emite</w:t>
      </w:r>
      <w:r w:rsidR="000A04C9">
        <w:rPr>
          <w:b/>
          <w:sz w:val="26"/>
          <w:szCs w:val="26"/>
        </w:rPr>
        <w:t xml:space="preserve">n </w:t>
      </w:r>
      <w:r w:rsidR="000A04C9" w:rsidRPr="00521AA9">
        <w:rPr>
          <w:b/>
          <w:sz w:val="26"/>
          <w:szCs w:val="26"/>
        </w:rPr>
        <w:t>los</w:t>
      </w:r>
      <w:r w:rsidRPr="00521AA9">
        <w:rPr>
          <w:b/>
          <w:sz w:val="26"/>
          <w:szCs w:val="26"/>
        </w:rPr>
        <w:t xml:space="preserve"> </w:t>
      </w:r>
      <w:r w:rsidR="002E3021">
        <w:rPr>
          <w:b/>
          <w:sz w:val="26"/>
          <w:szCs w:val="26"/>
        </w:rPr>
        <w:t>“</w:t>
      </w:r>
      <w:r w:rsidRPr="00521AA9">
        <w:rPr>
          <w:b/>
          <w:sz w:val="26"/>
          <w:szCs w:val="26"/>
        </w:rPr>
        <w:t>Lineamientos para uso del Sello IFT en productos, equipos, dispositivos o aparatos destinados a telecomunicaciones o radiodifusión homologados</w:t>
      </w:r>
      <w:r w:rsidR="002E3021">
        <w:rPr>
          <w:b/>
          <w:sz w:val="26"/>
          <w:szCs w:val="26"/>
        </w:rPr>
        <w:t>”</w:t>
      </w:r>
      <w:r w:rsidRPr="00521AA9">
        <w:rPr>
          <w:b/>
          <w:sz w:val="26"/>
          <w:szCs w:val="26"/>
        </w:rPr>
        <w:t xml:space="preserve">. </w:t>
      </w:r>
    </w:p>
    <w:p w14:paraId="0121329A" w14:textId="007C9E75" w:rsidR="002E3021" w:rsidRPr="00521AA9" w:rsidRDefault="002E3021" w:rsidP="00CC3FE1">
      <w:pPr>
        <w:pStyle w:val="Texto"/>
        <w:spacing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Acuerdo</w:t>
      </w:r>
    </w:p>
    <w:p w14:paraId="72FAD397" w14:textId="270BEBAC" w:rsidR="003140D9" w:rsidRDefault="003140D9" w:rsidP="00CC3FE1">
      <w:pPr>
        <w:pStyle w:val="NormalWeb"/>
        <w:spacing w:before="0" w:beforeAutospacing="0" w:after="0" w:afterAutospacing="0"/>
        <w:ind w:firstLine="708"/>
        <w:jc w:val="both"/>
        <w:rPr>
          <w:rFonts w:ascii="Arial" w:eastAsia="Arial" w:hAnsi="Arial" w:cs="Arial"/>
          <w:b/>
          <w:bCs/>
          <w:color w:val="2E2E2E"/>
          <w:sz w:val="22"/>
          <w:szCs w:val="22"/>
        </w:rPr>
      </w:pPr>
      <w:r>
        <w:rPr>
          <w:rFonts w:ascii="Arial" w:eastAsia="Arial" w:hAnsi="Arial" w:cs="Arial"/>
          <w:b/>
          <w:bCs/>
          <w:color w:val="2E2E2E"/>
          <w:sz w:val="22"/>
          <w:szCs w:val="22"/>
        </w:rPr>
        <w:t xml:space="preserve">Primero.- </w:t>
      </w:r>
      <w:r w:rsidRPr="003140D9">
        <w:rPr>
          <w:rFonts w:ascii="Arial" w:eastAsia="Arial" w:hAnsi="Arial" w:cs="Arial"/>
          <w:color w:val="2E2E2E"/>
          <w:sz w:val="22"/>
          <w:szCs w:val="22"/>
        </w:rPr>
        <w:t xml:space="preserve">Se </w:t>
      </w:r>
      <w:r>
        <w:rPr>
          <w:rFonts w:ascii="Arial" w:eastAsia="Arial" w:hAnsi="Arial" w:cs="Arial"/>
          <w:b/>
          <w:bCs/>
          <w:color w:val="2E2E2E"/>
          <w:sz w:val="22"/>
          <w:szCs w:val="22"/>
        </w:rPr>
        <w:t>MODIFICA</w:t>
      </w:r>
      <w:r w:rsidRPr="003140D9">
        <w:rPr>
          <w:rFonts w:ascii="Arial" w:eastAsia="Arial" w:hAnsi="Arial" w:cs="Arial"/>
          <w:color w:val="2E2E2E"/>
          <w:sz w:val="22"/>
          <w:szCs w:val="22"/>
        </w:rPr>
        <w:t xml:space="preserve"> el art</w:t>
      </w:r>
      <w:r>
        <w:rPr>
          <w:rFonts w:ascii="Arial" w:eastAsia="Arial" w:hAnsi="Arial" w:cs="Arial"/>
          <w:color w:val="2E2E2E"/>
          <w:sz w:val="22"/>
          <w:szCs w:val="22"/>
        </w:rPr>
        <w:t>ículo Segundo transitorio de</w:t>
      </w:r>
      <w:r w:rsidR="0098636C">
        <w:rPr>
          <w:rFonts w:ascii="Arial" w:eastAsia="Arial" w:hAnsi="Arial" w:cs="Arial"/>
          <w:color w:val="2E2E2E"/>
          <w:sz w:val="22"/>
          <w:szCs w:val="22"/>
        </w:rPr>
        <w:t>l “</w:t>
      </w:r>
      <w:r w:rsidR="0098636C" w:rsidRPr="0098636C">
        <w:rPr>
          <w:rFonts w:ascii="Arial" w:eastAsia="Arial" w:hAnsi="Arial" w:cs="Arial"/>
          <w:color w:val="2E2E2E"/>
          <w:sz w:val="22"/>
          <w:szCs w:val="22"/>
        </w:rPr>
        <w:t>A</w:t>
      </w:r>
      <w:r w:rsidR="0098636C">
        <w:rPr>
          <w:rFonts w:ascii="Arial" w:eastAsia="Arial" w:hAnsi="Arial" w:cs="Arial"/>
          <w:color w:val="2E2E2E"/>
          <w:sz w:val="22"/>
          <w:szCs w:val="22"/>
        </w:rPr>
        <w:t>cuerdo</w:t>
      </w:r>
      <w:r w:rsidR="0098636C" w:rsidRPr="0098636C">
        <w:rPr>
          <w:rFonts w:ascii="Arial" w:eastAsia="Arial" w:hAnsi="Arial" w:cs="Arial"/>
          <w:color w:val="2E2E2E"/>
          <w:sz w:val="22"/>
          <w:szCs w:val="22"/>
        </w:rPr>
        <w:t xml:space="preserve"> mediante el cual el Pleno del Instituto Federal de Telecomunicaciones emite los</w:t>
      </w:r>
      <w:r w:rsidR="00197E89">
        <w:rPr>
          <w:rFonts w:ascii="Arial" w:eastAsia="Arial" w:hAnsi="Arial" w:cs="Arial"/>
          <w:color w:val="2E2E2E"/>
          <w:sz w:val="22"/>
          <w:szCs w:val="22"/>
        </w:rPr>
        <w:t xml:space="preserve"> </w:t>
      </w:r>
      <w:r w:rsidR="00197E89" w:rsidRPr="0076749D">
        <w:rPr>
          <w:rFonts w:ascii="Arial" w:hAnsi="Arial" w:cs="Arial"/>
          <w:color w:val="2F2F2F"/>
          <w:sz w:val="22"/>
          <w:szCs w:val="22"/>
          <w:lang w:val="es-ES"/>
        </w:rPr>
        <w:t xml:space="preserve">Lineamientos para </w:t>
      </w:r>
      <w:r w:rsidR="007A2B14">
        <w:rPr>
          <w:rFonts w:ascii="Arial" w:hAnsi="Arial" w:cs="Arial"/>
          <w:color w:val="2F2F2F"/>
          <w:sz w:val="22"/>
          <w:szCs w:val="22"/>
          <w:lang w:val="es-ES"/>
        </w:rPr>
        <w:t xml:space="preserve">el </w:t>
      </w:r>
      <w:r w:rsidR="00197E89" w:rsidRPr="0076749D">
        <w:rPr>
          <w:rFonts w:ascii="Arial" w:hAnsi="Arial" w:cs="Arial"/>
          <w:color w:val="2F2F2F"/>
          <w:sz w:val="22"/>
          <w:szCs w:val="22"/>
          <w:lang w:val="es-ES"/>
        </w:rPr>
        <w:t>uso del Sello IFT en productos, equipos, dispositivos o aparatos destinados a telecomunicaciones o radiodifusión homologados</w:t>
      </w:r>
      <w:r w:rsidR="0098636C">
        <w:rPr>
          <w:rFonts w:ascii="Arial" w:hAnsi="Arial" w:cs="Arial"/>
          <w:color w:val="2F2F2F"/>
          <w:sz w:val="22"/>
          <w:szCs w:val="22"/>
          <w:lang w:val="es-ES"/>
        </w:rPr>
        <w:t>”</w:t>
      </w:r>
      <w:r>
        <w:rPr>
          <w:rFonts w:ascii="Arial" w:eastAsia="Arial" w:hAnsi="Arial" w:cs="Arial"/>
          <w:color w:val="2E2E2E"/>
          <w:sz w:val="22"/>
          <w:szCs w:val="22"/>
        </w:rPr>
        <w:t xml:space="preserve">, </w:t>
      </w:r>
      <w:r w:rsidR="00C47495">
        <w:rPr>
          <w:rFonts w:ascii="Arial" w:eastAsia="Arial" w:hAnsi="Arial" w:cs="Arial"/>
          <w:color w:val="2E2E2E"/>
          <w:sz w:val="22"/>
          <w:szCs w:val="22"/>
        </w:rPr>
        <w:t xml:space="preserve">publicado el 26 de diciembre de 2023, </w:t>
      </w:r>
      <w:r>
        <w:rPr>
          <w:rFonts w:ascii="Arial" w:eastAsia="Arial" w:hAnsi="Arial" w:cs="Arial"/>
          <w:color w:val="2E2E2E"/>
          <w:sz w:val="22"/>
          <w:szCs w:val="22"/>
        </w:rPr>
        <w:t>para quedar como sigue:</w:t>
      </w:r>
    </w:p>
    <w:p w14:paraId="2DF324BC" w14:textId="77777777" w:rsidR="003140D9" w:rsidRDefault="003140D9" w:rsidP="00CC3FE1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  <w:bCs/>
          <w:color w:val="2E2E2E"/>
          <w:sz w:val="22"/>
          <w:szCs w:val="22"/>
        </w:rPr>
      </w:pPr>
    </w:p>
    <w:p w14:paraId="2FD6E7B7" w14:textId="77777777" w:rsidR="003140D9" w:rsidRDefault="003140D9" w:rsidP="00CC3FE1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  <w:bCs/>
          <w:color w:val="2E2E2E"/>
          <w:sz w:val="22"/>
          <w:szCs w:val="22"/>
        </w:rPr>
      </w:pPr>
    </w:p>
    <w:p w14:paraId="5E0AB534" w14:textId="5A372066" w:rsidR="003140D9" w:rsidRPr="003140D9" w:rsidRDefault="003140D9" w:rsidP="00CC3FE1">
      <w:pPr>
        <w:pStyle w:val="NormalWeb"/>
        <w:spacing w:before="0" w:beforeAutospacing="0" w:after="0" w:afterAutospacing="0"/>
        <w:ind w:firstLine="708"/>
        <w:jc w:val="both"/>
        <w:rPr>
          <w:rFonts w:ascii="Arial" w:eastAsia="Arial" w:hAnsi="Arial" w:cs="Arial"/>
          <w:color w:val="2E2E2E"/>
          <w:sz w:val="22"/>
          <w:szCs w:val="22"/>
        </w:rPr>
      </w:pPr>
      <w:r>
        <w:rPr>
          <w:rFonts w:ascii="Arial" w:eastAsia="Arial" w:hAnsi="Arial" w:cs="Arial"/>
          <w:b/>
          <w:bCs/>
          <w:color w:val="2E2E2E"/>
          <w:sz w:val="22"/>
          <w:szCs w:val="22"/>
        </w:rPr>
        <w:t>“</w:t>
      </w:r>
      <w:proofErr w:type="gramStart"/>
      <w:r>
        <w:rPr>
          <w:rFonts w:ascii="Arial" w:eastAsia="Arial" w:hAnsi="Arial" w:cs="Arial"/>
          <w:b/>
          <w:bCs/>
          <w:color w:val="2E2E2E"/>
          <w:sz w:val="22"/>
          <w:szCs w:val="22"/>
        </w:rPr>
        <w:t>Segundo.-</w:t>
      </w:r>
      <w:proofErr w:type="gramEnd"/>
      <w:r>
        <w:rPr>
          <w:rFonts w:ascii="Arial" w:eastAsia="Arial" w:hAnsi="Arial" w:cs="Arial"/>
          <w:b/>
          <w:bCs/>
          <w:color w:val="2E2E2E"/>
          <w:sz w:val="22"/>
          <w:szCs w:val="22"/>
        </w:rPr>
        <w:t xml:space="preserve"> </w:t>
      </w:r>
      <w:r w:rsidRPr="003140D9">
        <w:rPr>
          <w:rFonts w:ascii="Arial" w:eastAsia="Arial" w:hAnsi="Arial" w:cs="Arial"/>
          <w:color w:val="2E2E2E"/>
          <w:sz w:val="22"/>
          <w:szCs w:val="22"/>
        </w:rPr>
        <w:t xml:space="preserve">Los presentes lineamientos entrarán en vigor </w:t>
      </w:r>
      <w:r>
        <w:rPr>
          <w:rFonts w:ascii="Arial" w:eastAsia="Arial" w:hAnsi="Arial" w:cs="Arial"/>
          <w:color w:val="2E2E2E"/>
          <w:sz w:val="22"/>
          <w:szCs w:val="22"/>
        </w:rPr>
        <w:t xml:space="preserve">el día </w:t>
      </w:r>
      <w:r w:rsidR="00AD639E">
        <w:rPr>
          <w:rFonts w:ascii="Arial" w:eastAsia="Arial" w:hAnsi="Arial" w:cs="Arial"/>
          <w:color w:val="2E2E2E"/>
          <w:sz w:val="22"/>
          <w:szCs w:val="22"/>
        </w:rPr>
        <w:t>3</w:t>
      </w:r>
      <w:r w:rsidR="00EC3E00">
        <w:rPr>
          <w:rFonts w:ascii="Arial" w:eastAsia="Arial" w:hAnsi="Arial" w:cs="Arial"/>
          <w:color w:val="2E2E2E"/>
          <w:sz w:val="22"/>
          <w:szCs w:val="22"/>
        </w:rPr>
        <w:t>1</w:t>
      </w:r>
      <w:r w:rsidR="00AD639E" w:rsidRPr="000A04C9">
        <w:rPr>
          <w:rFonts w:ascii="Arial" w:eastAsia="Arial" w:hAnsi="Arial" w:cs="Arial"/>
          <w:color w:val="2E2E2E"/>
          <w:sz w:val="22"/>
          <w:szCs w:val="22"/>
        </w:rPr>
        <w:t xml:space="preserve"> </w:t>
      </w:r>
      <w:r w:rsidR="00C47495" w:rsidRPr="000A04C9">
        <w:rPr>
          <w:rFonts w:ascii="Arial" w:eastAsia="Arial" w:hAnsi="Arial" w:cs="Arial"/>
          <w:color w:val="2E2E2E"/>
          <w:sz w:val="22"/>
          <w:szCs w:val="22"/>
        </w:rPr>
        <w:t>de</w:t>
      </w:r>
      <w:r w:rsidR="0052608A" w:rsidRPr="000A04C9">
        <w:rPr>
          <w:rFonts w:ascii="Arial" w:eastAsia="Arial" w:hAnsi="Arial" w:cs="Arial"/>
          <w:color w:val="2E2E2E"/>
          <w:sz w:val="22"/>
          <w:szCs w:val="22"/>
        </w:rPr>
        <w:t xml:space="preserve"> marzo de 2025</w:t>
      </w:r>
      <w:r w:rsidRPr="003140D9">
        <w:rPr>
          <w:rFonts w:ascii="Arial" w:eastAsia="Arial" w:hAnsi="Arial" w:cs="Arial"/>
          <w:color w:val="2E2E2E"/>
          <w:sz w:val="22"/>
          <w:szCs w:val="22"/>
        </w:rPr>
        <w:t>.</w:t>
      </w:r>
      <w:r>
        <w:rPr>
          <w:rFonts w:ascii="Arial" w:eastAsia="Arial" w:hAnsi="Arial" w:cs="Arial"/>
          <w:color w:val="2E2E2E"/>
          <w:sz w:val="22"/>
          <w:szCs w:val="22"/>
        </w:rPr>
        <w:t>”</w:t>
      </w:r>
    </w:p>
    <w:p w14:paraId="3321D5C7" w14:textId="77777777" w:rsidR="003140D9" w:rsidRDefault="003140D9" w:rsidP="00CC3FE1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  <w:bCs/>
          <w:color w:val="2E2E2E"/>
          <w:sz w:val="22"/>
          <w:szCs w:val="22"/>
        </w:rPr>
      </w:pPr>
    </w:p>
    <w:p w14:paraId="2FBD116E" w14:textId="77777777" w:rsidR="003140D9" w:rsidRDefault="003140D9" w:rsidP="00CC3FE1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  <w:bCs/>
          <w:color w:val="2E2E2E"/>
          <w:sz w:val="22"/>
          <w:szCs w:val="22"/>
        </w:rPr>
      </w:pPr>
    </w:p>
    <w:p w14:paraId="4F224731" w14:textId="0CBA27E1" w:rsidR="00A11CB1" w:rsidRDefault="003140D9" w:rsidP="00CC3F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F2F2F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2E2E2E"/>
          <w:sz w:val="22"/>
          <w:szCs w:val="22"/>
        </w:rPr>
        <w:t>Segundo</w:t>
      </w:r>
      <w:r w:rsidR="002E3021" w:rsidRPr="0076749D">
        <w:rPr>
          <w:rFonts w:ascii="Arial" w:eastAsia="Arial" w:hAnsi="Arial" w:cs="Arial"/>
          <w:color w:val="2E2E2E"/>
          <w:sz w:val="22"/>
          <w:szCs w:val="22"/>
        </w:rPr>
        <w:t xml:space="preserve">. - </w:t>
      </w:r>
      <w:r w:rsidR="00147AD7" w:rsidRPr="0076749D">
        <w:rPr>
          <w:rFonts w:ascii="Arial" w:eastAsia="Arial" w:hAnsi="Arial" w:cs="Arial"/>
          <w:color w:val="2E2E2E"/>
          <w:sz w:val="22"/>
          <w:szCs w:val="22"/>
        </w:rPr>
        <w:t xml:space="preserve">Se </w:t>
      </w:r>
      <w:r w:rsidR="00147AD7" w:rsidRPr="0076749D">
        <w:rPr>
          <w:rFonts w:ascii="Arial" w:eastAsia="Arial" w:hAnsi="Arial" w:cs="Arial"/>
          <w:b/>
          <w:color w:val="2E2E2E"/>
          <w:sz w:val="22"/>
          <w:szCs w:val="22"/>
        </w:rPr>
        <w:t>MODIFICAN</w:t>
      </w:r>
      <w:r w:rsidR="002E3021" w:rsidRPr="0076749D">
        <w:rPr>
          <w:rFonts w:ascii="Arial" w:eastAsia="Arial" w:hAnsi="Arial" w:cs="Arial"/>
          <w:b/>
          <w:color w:val="2E2E2E"/>
          <w:sz w:val="22"/>
          <w:szCs w:val="22"/>
        </w:rPr>
        <w:t>,</w:t>
      </w:r>
      <w:r w:rsidR="00147AD7" w:rsidRPr="0076749D">
        <w:rPr>
          <w:rFonts w:ascii="Arial" w:eastAsia="Arial" w:hAnsi="Arial" w:cs="Arial"/>
          <w:color w:val="2E2E2E"/>
          <w:sz w:val="22"/>
          <w:szCs w:val="22"/>
        </w:rPr>
        <w:t xml:space="preserve"> </w:t>
      </w:r>
      <w:r w:rsidR="00143D1C">
        <w:rPr>
          <w:rFonts w:ascii="Arial" w:eastAsia="Arial" w:hAnsi="Arial" w:cs="Arial"/>
          <w:color w:val="2E2E2E"/>
          <w:sz w:val="22"/>
          <w:szCs w:val="22"/>
        </w:rPr>
        <w:t xml:space="preserve">los </w:t>
      </w:r>
      <w:r w:rsidR="00143D1C" w:rsidRPr="0076749D">
        <w:rPr>
          <w:rFonts w:ascii="Arial" w:hAnsi="Arial" w:cs="Arial"/>
          <w:color w:val="2F2F2F"/>
          <w:sz w:val="22"/>
          <w:szCs w:val="22"/>
          <w:lang w:val="es-ES"/>
        </w:rPr>
        <w:t>párrafos segundo</w:t>
      </w:r>
      <w:r w:rsidR="00143D1C">
        <w:rPr>
          <w:rFonts w:ascii="Arial" w:hAnsi="Arial" w:cs="Arial"/>
          <w:color w:val="2F2F2F"/>
          <w:sz w:val="22"/>
          <w:szCs w:val="22"/>
          <w:lang w:val="es-ES"/>
        </w:rPr>
        <w:t xml:space="preserve"> y</w:t>
      </w:r>
      <w:r w:rsidR="00143D1C" w:rsidRPr="0076749D">
        <w:rPr>
          <w:rFonts w:ascii="Arial" w:hAnsi="Arial" w:cs="Arial"/>
          <w:color w:val="2F2F2F"/>
          <w:sz w:val="22"/>
          <w:szCs w:val="22"/>
          <w:lang w:val="es-ES"/>
        </w:rPr>
        <w:t xml:space="preserve"> tercero </w:t>
      </w:r>
      <w:r w:rsidR="00143D1C">
        <w:rPr>
          <w:rFonts w:ascii="Arial" w:hAnsi="Arial" w:cs="Arial"/>
          <w:color w:val="2F2F2F"/>
          <w:sz w:val="22"/>
          <w:szCs w:val="22"/>
          <w:lang w:val="es-ES"/>
        </w:rPr>
        <w:t>d</w:t>
      </w:r>
      <w:r w:rsidR="002E3021" w:rsidRPr="0076749D">
        <w:rPr>
          <w:rFonts w:ascii="Arial" w:hAnsi="Arial" w:cs="Arial"/>
          <w:color w:val="2F2F2F"/>
          <w:sz w:val="22"/>
          <w:szCs w:val="22"/>
          <w:lang w:val="es-ES"/>
        </w:rPr>
        <w:t>el</w:t>
      </w:r>
      <w:r w:rsidR="00147AD7" w:rsidRPr="0076749D">
        <w:rPr>
          <w:rFonts w:ascii="Arial" w:hAnsi="Arial" w:cs="Arial"/>
          <w:color w:val="2F2F2F"/>
          <w:sz w:val="22"/>
          <w:szCs w:val="22"/>
          <w:lang w:val="es-ES"/>
        </w:rPr>
        <w:t xml:space="preserve"> lineamiento Quinto, </w:t>
      </w:r>
      <w:r w:rsidR="002E3021" w:rsidRPr="0076749D">
        <w:rPr>
          <w:rFonts w:ascii="Arial" w:hAnsi="Arial" w:cs="Arial"/>
          <w:color w:val="2F2F2F"/>
          <w:sz w:val="22"/>
          <w:szCs w:val="22"/>
          <w:lang w:val="es-ES"/>
        </w:rPr>
        <w:t>y la Figura 1.</w:t>
      </w:r>
      <w:r w:rsidR="00143D1C">
        <w:rPr>
          <w:rFonts w:ascii="Arial" w:hAnsi="Arial" w:cs="Arial"/>
          <w:color w:val="2F2F2F"/>
          <w:sz w:val="22"/>
          <w:szCs w:val="22"/>
          <w:lang w:val="es-ES"/>
        </w:rPr>
        <w:t>;</w:t>
      </w:r>
      <w:r w:rsidR="002E3021" w:rsidRPr="0076749D">
        <w:rPr>
          <w:rFonts w:ascii="Arial" w:hAnsi="Arial" w:cs="Arial"/>
          <w:color w:val="2F2F2F"/>
          <w:sz w:val="22"/>
          <w:szCs w:val="22"/>
          <w:lang w:val="es-ES"/>
        </w:rPr>
        <w:t xml:space="preserve"> </w:t>
      </w:r>
      <w:r w:rsidR="00143D1C" w:rsidRPr="000A04C9">
        <w:rPr>
          <w:rFonts w:ascii="Arial" w:hAnsi="Arial" w:cs="Arial"/>
          <w:color w:val="2F2F2F"/>
          <w:sz w:val="22"/>
          <w:szCs w:val="22"/>
          <w:lang w:val="es-ES"/>
        </w:rPr>
        <w:t xml:space="preserve">los párrafos primero y segundo del lineamiento </w:t>
      </w:r>
      <w:r w:rsidR="00A11CB1" w:rsidRPr="000A04C9">
        <w:rPr>
          <w:rFonts w:ascii="Arial" w:hAnsi="Arial" w:cs="Arial"/>
          <w:color w:val="2F2F2F"/>
          <w:sz w:val="22"/>
          <w:szCs w:val="22"/>
          <w:lang w:val="es-ES"/>
        </w:rPr>
        <w:t>Sexto</w:t>
      </w:r>
      <w:r w:rsidR="002E3021" w:rsidRPr="0076749D">
        <w:rPr>
          <w:rFonts w:ascii="Arial" w:hAnsi="Arial" w:cs="Arial"/>
          <w:color w:val="2F2F2F"/>
          <w:sz w:val="22"/>
          <w:szCs w:val="22"/>
          <w:lang w:val="es-ES"/>
        </w:rPr>
        <w:t xml:space="preserve"> y el título de la Figura </w:t>
      </w:r>
      <w:r w:rsidR="000A04C9" w:rsidRPr="0076749D">
        <w:rPr>
          <w:rFonts w:ascii="Arial" w:hAnsi="Arial" w:cs="Arial"/>
          <w:color w:val="2F2F2F"/>
          <w:sz w:val="22"/>
          <w:szCs w:val="22"/>
          <w:lang w:val="es-ES"/>
        </w:rPr>
        <w:t>2</w:t>
      </w:r>
      <w:r w:rsidR="000A04C9">
        <w:rPr>
          <w:rFonts w:ascii="Arial" w:hAnsi="Arial" w:cs="Arial"/>
          <w:color w:val="2F2F2F"/>
          <w:sz w:val="22"/>
          <w:szCs w:val="22"/>
          <w:lang w:val="es-ES"/>
        </w:rPr>
        <w:t>;</w:t>
      </w:r>
      <w:r w:rsidR="00227D6A">
        <w:rPr>
          <w:rFonts w:ascii="Arial" w:hAnsi="Arial" w:cs="Arial"/>
          <w:color w:val="2F2F2F"/>
          <w:sz w:val="22"/>
          <w:szCs w:val="22"/>
          <w:lang w:val="es-ES"/>
        </w:rPr>
        <w:t xml:space="preserve"> </w:t>
      </w:r>
      <w:r w:rsidR="000407BF">
        <w:rPr>
          <w:rFonts w:ascii="Arial" w:hAnsi="Arial" w:cs="Arial"/>
          <w:color w:val="2F2F2F"/>
          <w:sz w:val="22"/>
          <w:szCs w:val="22"/>
          <w:lang w:val="es-ES"/>
        </w:rPr>
        <w:t xml:space="preserve">y el </w:t>
      </w:r>
      <w:r w:rsidR="00227D6A">
        <w:rPr>
          <w:rFonts w:ascii="Arial" w:hAnsi="Arial" w:cs="Arial"/>
          <w:color w:val="2F2F2F"/>
          <w:sz w:val="22"/>
          <w:szCs w:val="22"/>
          <w:lang w:val="es-ES"/>
        </w:rPr>
        <w:t>lineamiento Octavo</w:t>
      </w:r>
      <w:r w:rsidR="000407BF">
        <w:rPr>
          <w:rFonts w:ascii="Arial" w:hAnsi="Arial" w:cs="Arial"/>
          <w:color w:val="2F2F2F"/>
          <w:sz w:val="22"/>
          <w:szCs w:val="22"/>
          <w:lang w:val="es-ES"/>
        </w:rPr>
        <w:t>,</w:t>
      </w:r>
      <w:r w:rsidR="00716EE0">
        <w:rPr>
          <w:rFonts w:ascii="Arial" w:hAnsi="Arial" w:cs="Arial"/>
          <w:color w:val="2F2F2F"/>
          <w:sz w:val="22"/>
          <w:szCs w:val="22"/>
          <w:lang w:val="es-ES"/>
        </w:rPr>
        <w:t xml:space="preserve"> </w:t>
      </w:r>
      <w:r w:rsidR="00095EFB">
        <w:rPr>
          <w:rFonts w:ascii="Arial" w:hAnsi="Arial" w:cs="Arial"/>
          <w:color w:val="2F2F2F"/>
          <w:sz w:val="22"/>
          <w:szCs w:val="22"/>
          <w:lang w:val="es-ES"/>
        </w:rPr>
        <w:t xml:space="preserve">todos </w:t>
      </w:r>
      <w:r w:rsidR="005609F5" w:rsidRPr="0076749D">
        <w:rPr>
          <w:rFonts w:ascii="Arial" w:hAnsi="Arial" w:cs="Arial"/>
          <w:color w:val="2F2F2F"/>
          <w:sz w:val="22"/>
          <w:szCs w:val="22"/>
          <w:lang w:val="es-ES"/>
        </w:rPr>
        <w:t>de los Lineamientos para uso del Sello IFT en productos, equipos, dispositivos o aparatos destinados a telecomunicaciones o radiodifusión homologados</w:t>
      </w:r>
      <w:r w:rsidR="005609F5">
        <w:rPr>
          <w:rFonts w:ascii="Arial" w:hAnsi="Arial" w:cs="Arial"/>
          <w:color w:val="2F2F2F"/>
          <w:sz w:val="22"/>
          <w:szCs w:val="22"/>
          <w:lang w:val="es-ES"/>
        </w:rPr>
        <w:t>,</w:t>
      </w:r>
      <w:r w:rsidR="00716EE0">
        <w:rPr>
          <w:rFonts w:ascii="Arial" w:hAnsi="Arial" w:cs="Arial"/>
          <w:color w:val="2F2F2F"/>
          <w:sz w:val="22"/>
          <w:szCs w:val="22"/>
          <w:lang w:val="es-ES"/>
        </w:rPr>
        <w:t xml:space="preserve"> </w:t>
      </w:r>
      <w:r w:rsidR="002E3021" w:rsidRPr="00D83776">
        <w:rPr>
          <w:rFonts w:ascii="Arial" w:hAnsi="Arial" w:cs="Arial"/>
          <w:color w:val="2F2F2F"/>
          <w:sz w:val="22"/>
          <w:szCs w:val="22"/>
          <w:lang w:val="es-ES"/>
        </w:rPr>
        <w:t>para quedar como sigue:</w:t>
      </w:r>
    </w:p>
    <w:p w14:paraId="47703717" w14:textId="77777777" w:rsidR="000A78BE" w:rsidRDefault="000A78BE" w:rsidP="00CC3F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F2F2F"/>
          <w:sz w:val="22"/>
          <w:szCs w:val="22"/>
          <w:lang w:val="es-ES"/>
        </w:rPr>
      </w:pPr>
    </w:p>
    <w:p w14:paraId="50C1F6C3" w14:textId="77777777" w:rsidR="000A78BE" w:rsidRPr="00D83776" w:rsidRDefault="000A78BE" w:rsidP="00CC3F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F2F2F"/>
          <w:sz w:val="22"/>
          <w:szCs w:val="22"/>
          <w:lang w:val="es-ES"/>
        </w:rPr>
      </w:pPr>
    </w:p>
    <w:p w14:paraId="7613AEFD" w14:textId="77777777" w:rsidR="00147AD7" w:rsidRPr="00623196" w:rsidRDefault="00147AD7" w:rsidP="00CC3FE1">
      <w:pPr>
        <w:jc w:val="both"/>
        <w:rPr>
          <w:rFonts w:ascii="Arial" w:hAnsi="Arial" w:cs="Arial"/>
          <w:b/>
        </w:rPr>
      </w:pPr>
      <w:proofErr w:type="gramStart"/>
      <w:r w:rsidRPr="00623196">
        <w:rPr>
          <w:rFonts w:ascii="Arial" w:hAnsi="Arial" w:cs="Arial"/>
          <w:b/>
        </w:rPr>
        <w:t>Quinto.-</w:t>
      </w:r>
      <w:proofErr w:type="gramEnd"/>
      <w:r w:rsidRPr="00623196">
        <w:rPr>
          <w:rFonts w:ascii="Arial" w:hAnsi="Arial" w:cs="Arial"/>
          <w:b/>
        </w:rPr>
        <w:t xml:space="preserve"> </w:t>
      </w:r>
      <w:r w:rsidRPr="00972299">
        <w:rPr>
          <w:rFonts w:ascii="Arial" w:hAnsi="Arial" w:cs="Arial"/>
          <w:bCs/>
        </w:rPr>
        <w:t>…</w:t>
      </w:r>
    </w:p>
    <w:p w14:paraId="6C2D0536" w14:textId="02CD4789" w:rsidR="00147AD7" w:rsidRPr="00972299" w:rsidRDefault="00147AD7" w:rsidP="00CC3FE1">
      <w:pPr>
        <w:spacing w:after="101" w:line="240" w:lineRule="auto"/>
        <w:ind w:firstLine="288"/>
        <w:jc w:val="both"/>
        <w:rPr>
          <w:rFonts w:ascii="Arial" w:eastAsia="Times New Roman" w:hAnsi="Arial" w:cs="Arial"/>
          <w:lang w:eastAsia="es-MX"/>
        </w:rPr>
      </w:pPr>
      <w:r w:rsidRPr="00972299">
        <w:rPr>
          <w:rFonts w:ascii="Arial" w:eastAsia="Times New Roman" w:hAnsi="Arial" w:cs="Arial"/>
          <w:lang w:eastAsia="es-MX"/>
        </w:rPr>
        <w:t xml:space="preserve">El Sello IFT deberá estar impreso, digitalizado o reproducido, </w:t>
      </w:r>
      <w:r w:rsidR="00D11069" w:rsidRPr="00972299">
        <w:rPr>
          <w:rFonts w:ascii="Arial" w:eastAsia="Times New Roman" w:hAnsi="Arial" w:cs="Arial"/>
          <w:lang w:eastAsia="es-MX"/>
        </w:rPr>
        <w:t xml:space="preserve">en </w:t>
      </w:r>
      <w:r w:rsidR="00F16338" w:rsidRPr="00972299">
        <w:rPr>
          <w:rFonts w:ascii="Arial" w:eastAsia="Times New Roman" w:hAnsi="Arial" w:cs="Arial"/>
          <w:lang w:eastAsia="es-MX"/>
        </w:rPr>
        <w:t>color negro 100% positivo, negro 100% negativo</w:t>
      </w:r>
      <w:r w:rsidR="00AB0EF7">
        <w:rPr>
          <w:rFonts w:ascii="Arial" w:eastAsia="Times New Roman" w:hAnsi="Arial" w:cs="Arial"/>
          <w:lang w:eastAsia="es-MX"/>
        </w:rPr>
        <w:t>,</w:t>
      </w:r>
      <w:r w:rsidR="00F16338" w:rsidRPr="00972299">
        <w:rPr>
          <w:rFonts w:ascii="Arial" w:eastAsia="Times New Roman" w:hAnsi="Arial" w:cs="Arial"/>
          <w:lang w:eastAsia="es-MX"/>
        </w:rPr>
        <w:t xml:space="preserve"> color gris 100% positivo o gris 100% negativo</w:t>
      </w:r>
      <w:r w:rsidRPr="00972299">
        <w:rPr>
          <w:rFonts w:ascii="Arial" w:eastAsia="Times New Roman" w:hAnsi="Arial" w:cs="Arial"/>
          <w:lang w:eastAsia="es-MX"/>
        </w:rPr>
        <w:t>,</w:t>
      </w:r>
      <w:r w:rsidRPr="005D793D">
        <w:rPr>
          <w:rFonts w:ascii="Arial" w:hAnsi="Arial" w:cs="Arial"/>
        </w:rPr>
        <w:t xml:space="preserve"> asegurando el mayor contraste para hacerlo claramente visible</w:t>
      </w:r>
      <w:r w:rsidRPr="00972299">
        <w:rPr>
          <w:rFonts w:ascii="Arial" w:eastAsia="Times New Roman" w:hAnsi="Arial" w:cs="Arial"/>
          <w:lang w:eastAsia="es-MX"/>
        </w:rPr>
        <w:t>, respetando las áreas de protección y dimensiones mínimas de impresión, digitalización o reproducción como se definen en la Figura 1.</w:t>
      </w:r>
      <w:r w:rsidR="00D11069" w:rsidRPr="00972299">
        <w:rPr>
          <w:rFonts w:ascii="Arial" w:eastAsia="Times New Roman" w:hAnsi="Arial" w:cs="Arial"/>
          <w:lang w:eastAsia="es-MX"/>
        </w:rPr>
        <w:t xml:space="preserve"> </w:t>
      </w:r>
    </w:p>
    <w:p w14:paraId="162DD8A3" w14:textId="77777777" w:rsidR="00147AD7" w:rsidRPr="00972299" w:rsidRDefault="00147AD7" w:rsidP="00CC3FE1">
      <w:pPr>
        <w:spacing w:after="101" w:line="240" w:lineRule="auto"/>
        <w:ind w:firstLine="288"/>
        <w:jc w:val="both"/>
        <w:rPr>
          <w:rFonts w:ascii="Arial" w:eastAsia="Times New Roman" w:hAnsi="Arial" w:cs="Arial"/>
          <w:lang w:eastAsia="es-MX"/>
        </w:rPr>
      </w:pPr>
      <w:r w:rsidRPr="00972299">
        <w:rPr>
          <w:rFonts w:ascii="Arial" w:eastAsia="Times New Roman" w:hAnsi="Arial" w:cs="Arial"/>
          <w:lang w:eastAsia="es-MX"/>
        </w:rPr>
        <w:t>El Sello IFT deberá ser legible sin la ayuda de aumento o magnificación, y fácilmente visible por el usuario final, considerando las dimensiones mínimas de impresión, digitalización o reproducción.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7"/>
        <w:gridCol w:w="4425"/>
      </w:tblGrid>
      <w:tr w:rsidR="00147AD7" w:rsidRPr="00623196" w14:paraId="7A77EEC6" w14:textId="77777777" w:rsidTr="00A16A92">
        <w:trPr>
          <w:trHeight w:val="2240"/>
          <w:jc w:val="center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DCADF8" w14:textId="64097C99" w:rsidR="00147AD7" w:rsidRPr="00623196" w:rsidRDefault="00147AD7" w:rsidP="00CC3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2ED2">
              <w:rPr>
                <w:rFonts w:ascii="Arial" w:eastAsia="Times New Roman" w:hAnsi="Arial" w:cs="Arial"/>
                <w:lang w:eastAsia="es-MX"/>
              </w:rPr>
              <w:t xml:space="preserve">Negro o </w:t>
            </w:r>
            <w:r w:rsidR="006325BD">
              <w:rPr>
                <w:rFonts w:ascii="Arial" w:eastAsia="Times New Roman" w:hAnsi="Arial" w:cs="Arial"/>
                <w:lang w:eastAsia="es-MX"/>
              </w:rPr>
              <w:t>gris</w:t>
            </w:r>
            <w:r w:rsidRPr="00D02ED2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623196">
              <w:rPr>
                <w:rFonts w:ascii="Arial" w:eastAsia="Times New Roman" w:hAnsi="Arial" w:cs="Arial"/>
                <w:color w:val="000000"/>
                <w:lang w:eastAsia="es-MX"/>
              </w:rPr>
              <w:t>100% (Positivo)</w:t>
            </w:r>
          </w:p>
          <w:p w14:paraId="60D636AC" w14:textId="4CA4C427" w:rsidR="008F6998" w:rsidRPr="008F6998" w:rsidRDefault="00147AD7" w:rsidP="00CC3FE1">
            <w:pPr>
              <w:tabs>
                <w:tab w:val="right" w:pos="4253"/>
              </w:tabs>
              <w:rPr>
                <w:rFonts w:ascii="Arial" w:eastAsia="Times New Roman" w:hAnsi="Arial" w:cs="Arial"/>
                <w:lang w:eastAsia="es-MX"/>
              </w:rPr>
            </w:pPr>
            <w:r w:rsidRPr="00623196">
              <w:rPr>
                <w:rFonts w:ascii="Arial" w:eastAsia="Times New Roman" w:hAnsi="Arial" w:cs="Arial"/>
                <w:noProof/>
                <w:color w:val="000000"/>
                <w:lang w:val="en-US"/>
              </w:rPr>
              <w:drawing>
                <wp:inline distT="0" distB="0" distL="0" distR="0" wp14:anchorId="5C3C5FBD" wp14:editId="1331AA68">
                  <wp:extent cx="2037080" cy="1007745"/>
                  <wp:effectExtent l="0" t="0" r="1270" b="1905"/>
                  <wp:docPr id="1477814845" name="Imagen 8" descr="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8" descr="Dibujo en blanco y neg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8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608A">
              <w:rPr>
                <w:rFonts w:ascii="Arial" w:eastAsia="Times New Roman" w:hAnsi="Arial" w:cs="Arial"/>
                <w:lang w:eastAsia="es-MX"/>
              </w:rPr>
              <w:tab/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EF95F3" w14:textId="204838C7" w:rsidR="00147AD7" w:rsidRPr="00623196" w:rsidRDefault="00147AD7" w:rsidP="00CC3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196">
              <w:rPr>
                <w:rFonts w:ascii="Arial" w:eastAsia="Times New Roman" w:hAnsi="Arial" w:cs="Arial"/>
                <w:color w:val="000000"/>
                <w:lang w:eastAsia="es-MX"/>
              </w:rPr>
              <w:t xml:space="preserve">Negro </w:t>
            </w:r>
            <w:r w:rsidRPr="00D02ED2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o </w:t>
            </w:r>
            <w:r w:rsidR="006325BD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gris </w:t>
            </w:r>
            <w:r w:rsidRPr="00D02ED2">
              <w:rPr>
                <w:rFonts w:ascii="Arial" w:eastAsia="Times New Roman" w:hAnsi="Arial" w:cs="Arial"/>
                <w:color w:val="000000" w:themeColor="text1"/>
                <w:lang w:eastAsia="es-MX"/>
              </w:rPr>
              <w:t>100</w:t>
            </w:r>
            <w:r w:rsidRPr="00623196">
              <w:rPr>
                <w:rFonts w:ascii="Arial" w:eastAsia="Times New Roman" w:hAnsi="Arial" w:cs="Arial"/>
                <w:color w:val="000000"/>
                <w:lang w:eastAsia="es-MX"/>
              </w:rPr>
              <w:t>% (Negativo)</w:t>
            </w:r>
          </w:p>
          <w:p w14:paraId="4B9CCA1D" w14:textId="77777777" w:rsidR="00147AD7" w:rsidRDefault="00147AD7" w:rsidP="00CC3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196">
              <w:rPr>
                <w:rFonts w:ascii="Arial" w:eastAsia="Times New Roman" w:hAnsi="Arial" w:cs="Arial"/>
                <w:noProof/>
                <w:color w:val="000000"/>
                <w:lang w:val="en-US"/>
              </w:rPr>
              <w:drawing>
                <wp:inline distT="0" distB="0" distL="0" distR="0" wp14:anchorId="73631BF7" wp14:editId="3C34B7CF">
                  <wp:extent cx="2239645" cy="1122680"/>
                  <wp:effectExtent l="0" t="0" r="8255" b="1270"/>
                  <wp:docPr id="978816197" name="Imagen 7" descr="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7" descr="Dibujo en blanco y neg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64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F4D3D" w14:textId="376DF5D3" w:rsidR="008F6998" w:rsidRDefault="008F6998" w:rsidP="00CC3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53583862" w14:textId="1EFEBE5A" w:rsidR="008F6998" w:rsidRPr="00623196" w:rsidRDefault="008F6998" w:rsidP="00CC3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47AD7" w:rsidRPr="00623196" w14:paraId="7313C627" w14:textId="77777777" w:rsidTr="00A16A92">
        <w:trPr>
          <w:trHeight w:val="2514"/>
          <w:jc w:val="center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1026B3" w14:textId="77777777" w:rsidR="00147AD7" w:rsidRPr="00623196" w:rsidRDefault="00147AD7" w:rsidP="00CC3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14A99C23" w14:textId="77777777" w:rsidR="00147AD7" w:rsidRPr="00623196" w:rsidRDefault="00147AD7" w:rsidP="00CC3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49D7AEE6" w14:textId="77777777" w:rsidR="00147AD7" w:rsidRPr="00623196" w:rsidRDefault="00147AD7" w:rsidP="00CC3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25D92A1" w14:textId="77777777" w:rsidR="00147AD7" w:rsidRPr="00623196" w:rsidRDefault="00147AD7" w:rsidP="00CC3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0ACF2BF8" w14:textId="77777777" w:rsidR="00147AD7" w:rsidRPr="00623196" w:rsidRDefault="00147AD7" w:rsidP="00CC3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196">
              <w:rPr>
                <w:rFonts w:ascii="Arial" w:eastAsia="Times New Roman" w:hAnsi="Arial" w:cs="Arial"/>
                <w:color w:val="000000"/>
                <w:lang w:eastAsia="es-MX"/>
              </w:rPr>
              <w:t>…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BEF8A25" w14:textId="75EE987A" w:rsidR="00E74962" w:rsidRPr="000A04C9" w:rsidRDefault="00E74962" w:rsidP="00CC3FE1">
            <w:pPr>
              <w:spacing w:after="101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Dimensiones mínimas de impresión, </w:t>
            </w:r>
            <w:r w:rsidRPr="000A04C9">
              <w:rPr>
                <w:rFonts w:ascii="Arial" w:eastAsia="Times New Roman" w:hAnsi="Arial" w:cs="Arial"/>
                <w:lang w:eastAsia="es-MX"/>
              </w:rPr>
              <w:t>digitalización o reproducción.</w:t>
            </w:r>
          </w:p>
          <w:p w14:paraId="48D677C6" w14:textId="77777777" w:rsidR="00147AD7" w:rsidRPr="00623196" w:rsidRDefault="00147AD7" w:rsidP="00CC3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66BDC6FC" w14:textId="63A5ADB7" w:rsidR="00147AD7" w:rsidRPr="00623196" w:rsidRDefault="00E74962" w:rsidP="00CC3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66064408" wp14:editId="196CDF18">
                  <wp:extent cx="1987062" cy="124496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146" cy="128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7AC82" w14:textId="77777777" w:rsidR="00147AD7" w:rsidRPr="00623196" w:rsidRDefault="00147AD7" w:rsidP="00CC3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4698E847" w14:textId="3713621C" w:rsidR="00147AD7" w:rsidRPr="00623196" w:rsidRDefault="00147AD7" w:rsidP="00CC3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58A5C89E" w14:textId="77777777" w:rsidR="00147AD7" w:rsidRPr="00623196" w:rsidRDefault="00147AD7" w:rsidP="00CC3FE1">
      <w:pPr>
        <w:spacing w:after="101" w:line="240" w:lineRule="auto"/>
        <w:jc w:val="center"/>
        <w:rPr>
          <w:rFonts w:ascii="Arial" w:eastAsia="Times New Roman" w:hAnsi="Arial" w:cs="Arial"/>
          <w:color w:val="2F2F2F"/>
          <w:lang w:eastAsia="es-MX"/>
        </w:rPr>
      </w:pPr>
      <w:r w:rsidRPr="00623196">
        <w:rPr>
          <w:rFonts w:ascii="Arial" w:eastAsia="Times New Roman" w:hAnsi="Arial" w:cs="Arial"/>
          <w:b/>
          <w:bCs/>
          <w:color w:val="2F2F2F"/>
          <w:lang w:eastAsia="es-MX"/>
        </w:rPr>
        <w:t>…</w:t>
      </w:r>
    </w:p>
    <w:p w14:paraId="6B0E3860" w14:textId="77777777" w:rsidR="00147AD7" w:rsidRPr="00623196" w:rsidRDefault="00147AD7" w:rsidP="00CC3FE1">
      <w:pPr>
        <w:spacing w:after="0"/>
        <w:ind w:left="288"/>
        <w:rPr>
          <w:rFonts w:ascii="Arial" w:eastAsia="Times New Roman" w:hAnsi="Arial" w:cs="Arial"/>
          <w:color w:val="2F2F2F"/>
          <w:lang w:eastAsia="es-MX"/>
        </w:rPr>
      </w:pPr>
      <w:r w:rsidRPr="00623196">
        <w:rPr>
          <w:rFonts w:ascii="Arial" w:eastAsia="Times New Roman" w:hAnsi="Arial" w:cs="Arial"/>
          <w:color w:val="2F2F2F"/>
          <w:lang w:eastAsia="es-MX"/>
        </w:rPr>
        <w:t>…</w:t>
      </w:r>
    </w:p>
    <w:p w14:paraId="1B95B90F" w14:textId="77777777" w:rsidR="00147AD7" w:rsidRPr="00623196" w:rsidRDefault="00147AD7" w:rsidP="00CC3FE1">
      <w:pPr>
        <w:spacing w:after="0"/>
        <w:ind w:left="288"/>
        <w:rPr>
          <w:rFonts w:ascii="Arial" w:eastAsia="Times New Roman" w:hAnsi="Arial" w:cs="Arial"/>
          <w:color w:val="2F2F2F"/>
          <w:lang w:eastAsia="es-MX"/>
        </w:rPr>
      </w:pPr>
    </w:p>
    <w:p w14:paraId="60010887" w14:textId="07111622" w:rsidR="00147AD7" w:rsidRPr="00CA50B1" w:rsidRDefault="00147AD7" w:rsidP="00CC3FE1">
      <w:pPr>
        <w:spacing w:after="0"/>
        <w:ind w:left="288"/>
        <w:jc w:val="center"/>
        <w:rPr>
          <w:rFonts w:ascii="Arial" w:hAnsi="Arial" w:cs="Arial"/>
        </w:rPr>
      </w:pPr>
    </w:p>
    <w:p w14:paraId="22B10D85" w14:textId="4285DD0A" w:rsidR="00147AD7" w:rsidRPr="00972299" w:rsidRDefault="00147AD7" w:rsidP="00CC3FE1">
      <w:pPr>
        <w:spacing w:after="101" w:line="240" w:lineRule="auto"/>
        <w:ind w:firstLine="288"/>
        <w:jc w:val="both"/>
        <w:rPr>
          <w:rFonts w:ascii="Arial" w:eastAsia="Times New Roman" w:hAnsi="Arial" w:cs="Arial"/>
          <w:lang w:eastAsia="es-MX"/>
        </w:rPr>
      </w:pPr>
      <w:r w:rsidRPr="00972299">
        <w:rPr>
          <w:rFonts w:ascii="Arial" w:eastAsia="Times New Roman" w:hAnsi="Arial" w:cs="Arial"/>
          <w:b/>
          <w:bCs/>
          <w:lang w:eastAsia="es-MX"/>
        </w:rPr>
        <w:t>Sexto.- </w:t>
      </w:r>
      <w:r w:rsidRPr="00972299">
        <w:rPr>
          <w:rFonts w:ascii="Arial" w:eastAsia="Times New Roman" w:hAnsi="Arial" w:cs="Arial"/>
          <w:lang w:eastAsia="es-MX"/>
        </w:rPr>
        <w:t>En el marcado o etiquetado físico y/o electrónico de los Productos homologados, se deberá incluir el Sello IFT, además del prefijo "IFT" en mayúsculas y el número de Certificado de Homologación previstos en el lineamiento Trigésimo octavo de los Lineamientos de Homologación, tal como se muestra en la figura 2.</w:t>
      </w:r>
    </w:p>
    <w:p w14:paraId="7D605F0F" w14:textId="77777777" w:rsidR="00147AD7" w:rsidRPr="006F309C" w:rsidRDefault="00147AD7" w:rsidP="00CC3FE1">
      <w:pPr>
        <w:pStyle w:val="Prrafodelista"/>
        <w:spacing w:after="101" w:line="276" w:lineRule="auto"/>
        <w:ind w:left="0"/>
        <w:jc w:val="center"/>
        <w:rPr>
          <w:rFonts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147AD7" w:rsidRPr="006F309C" w14:paraId="038EB6B4" w14:textId="77777777" w:rsidTr="00A16A92">
        <w:tc>
          <w:tcPr>
            <w:tcW w:w="3256" w:type="dxa"/>
          </w:tcPr>
          <w:p w14:paraId="379D0784" w14:textId="77777777" w:rsidR="00E74962" w:rsidRDefault="00E74962" w:rsidP="00CC3FE1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</w:rPr>
            </w:pPr>
          </w:p>
          <w:p w14:paraId="1F6F12C8" w14:textId="77777777" w:rsidR="00E74962" w:rsidRDefault="00E74962" w:rsidP="00CC3FE1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</w:rPr>
            </w:pPr>
          </w:p>
          <w:p w14:paraId="752BC80B" w14:textId="5D83AC1F" w:rsidR="00147AD7" w:rsidRPr="006F309C" w:rsidRDefault="00147AD7" w:rsidP="00CC3FE1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6095" w:type="dxa"/>
          </w:tcPr>
          <w:p w14:paraId="2BA6491B" w14:textId="77777777" w:rsidR="00147AD7" w:rsidRPr="006F309C" w:rsidRDefault="00147AD7" w:rsidP="00CC3FE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54F5512" w14:textId="77777777" w:rsidR="00147AD7" w:rsidRPr="006F309C" w:rsidRDefault="00147AD7" w:rsidP="00CC3FE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…</w:t>
            </w:r>
          </w:p>
          <w:p w14:paraId="6F7F5938" w14:textId="77777777" w:rsidR="00147AD7" w:rsidRPr="006F309C" w:rsidRDefault="00147AD7" w:rsidP="00CC3F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1503C686" w14:textId="77777777" w:rsidR="00147AD7" w:rsidRPr="006F309C" w:rsidRDefault="00147AD7" w:rsidP="00CC3FE1">
      <w:pPr>
        <w:pStyle w:val="Prrafodelista"/>
        <w:spacing w:line="276" w:lineRule="auto"/>
        <w:ind w:left="0"/>
        <w:jc w:val="center"/>
        <w:rPr>
          <w:rFonts w:cs="Arial"/>
          <w:b/>
          <w:bCs/>
          <w:sz w:val="18"/>
          <w:szCs w:val="18"/>
          <w:lang w:eastAsia="es-MX"/>
        </w:rPr>
      </w:pPr>
    </w:p>
    <w:p w14:paraId="4CE3BFD2" w14:textId="058CCE8B" w:rsidR="00147AD7" w:rsidRPr="006F309C" w:rsidRDefault="00147AD7" w:rsidP="00CC3FE1">
      <w:pPr>
        <w:pStyle w:val="Prrafodelista"/>
        <w:spacing w:line="276" w:lineRule="auto"/>
        <w:ind w:left="0"/>
        <w:jc w:val="center"/>
        <w:rPr>
          <w:rFonts w:cs="Arial"/>
          <w:sz w:val="18"/>
          <w:szCs w:val="18"/>
        </w:rPr>
      </w:pPr>
      <w:r w:rsidRPr="006F309C">
        <w:rPr>
          <w:rFonts w:cs="Arial"/>
          <w:b/>
          <w:bCs/>
          <w:sz w:val="18"/>
          <w:szCs w:val="18"/>
          <w:lang w:eastAsia="es-MX"/>
        </w:rPr>
        <w:t xml:space="preserve">Figura 2.- </w:t>
      </w:r>
      <w:r w:rsidRPr="006F309C">
        <w:rPr>
          <w:rFonts w:cs="Arial"/>
          <w:bCs/>
          <w:sz w:val="18"/>
          <w:szCs w:val="18"/>
          <w:lang w:eastAsia="es-MX"/>
        </w:rPr>
        <w:t>Muestra gráfica de</w:t>
      </w:r>
      <w:r w:rsidRPr="006F309C">
        <w:rPr>
          <w:rFonts w:cs="Arial"/>
          <w:sz w:val="18"/>
          <w:szCs w:val="18"/>
        </w:rPr>
        <w:t xml:space="preserve"> uso del Sello IFT, las siglas “IFT” en mayúsculas y el número de Certificado de Homologación, en el marcado o etiquetado </w:t>
      </w:r>
      <w:r>
        <w:rPr>
          <w:rFonts w:cs="Arial"/>
          <w:sz w:val="18"/>
          <w:szCs w:val="18"/>
        </w:rPr>
        <w:t xml:space="preserve">físico y/o electrónico </w:t>
      </w:r>
      <w:r w:rsidRPr="006F309C">
        <w:rPr>
          <w:rFonts w:cs="Arial"/>
          <w:sz w:val="18"/>
          <w:szCs w:val="18"/>
        </w:rPr>
        <w:t>de Productos homologados.</w:t>
      </w:r>
    </w:p>
    <w:p w14:paraId="5842BD85" w14:textId="77777777" w:rsidR="00147AD7" w:rsidRPr="00892107" w:rsidRDefault="00147AD7" w:rsidP="00CC3FE1">
      <w:pPr>
        <w:spacing w:after="101" w:line="240" w:lineRule="auto"/>
        <w:rPr>
          <w:rFonts w:ascii="Arial" w:eastAsia="Times New Roman" w:hAnsi="Arial" w:cs="Arial"/>
          <w:color w:val="2F2F2F"/>
          <w:lang w:eastAsia="es-MX"/>
        </w:rPr>
      </w:pPr>
    </w:p>
    <w:p w14:paraId="136D762E" w14:textId="77777777" w:rsidR="00147AD7" w:rsidRPr="00B1044B" w:rsidRDefault="00147AD7" w:rsidP="00CC3FE1">
      <w:pPr>
        <w:jc w:val="both"/>
        <w:rPr>
          <w:rFonts w:ascii="Arial" w:hAnsi="Arial" w:cs="Arial"/>
          <w:b/>
        </w:rPr>
      </w:pPr>
      <w:r w:rsidRPr="00972299">
        <w:rPr>
          <w:rFonts w:ascii="Arial" w:eastAsia="Times New Roman" w:hAnsi="Arial" w:cs="Arial"/>
          <w:lang w:eastAsia="es-MX"/>
        </w:rPr>
        <w:t xml:space="preserve">El titular de un Certificado de Homologación y, en su caso, filiales, subsidiarias e importadores podrán utilizar la versión vertical u horizontal de los elementos del marcado o etiquetado (Sello IFT, prefijo IFT en mayúsculas y número de Certificado de Homologación) en los Productos homologados, respetando las dimensiones mínimas de impresión, </w:t>
      </w:r>
      <w:r w:rsidRPr="000A04C9">
        <w:rPr>
          <w:rFonts w:ascii="Arial" w:eastAsia="Times New Roman" w:hAnsi="Arial" w:cs="Arial"/>
          <w:lang w:eastAsia="es-MX"/>
        </w:rPr>
        <w:t>digitalización o reproducción</w:t>
      </w:r>
      <w:r w:rsidRPr="00972299">
        <w:rPr>
          <w:rFonts w:ascii="Arial" w:eastAsia="Times New Roman" w:hAnsi="Arial" w:cs="Arial"/>
          <w:lang w:eastAsia="es-MX"/>
        </w:rPr>
        <w:t xml:space="preserve"> del Sello IFT, de acuerdo con lo indicado en la figura 2.</w:t>
      </w:r>
    </w:p>
    <w:p w14:paraId="245057A8" w14:textId="0B274FCB" w:rsidR="00095EFB" w:rsidRDefault="00A31A91" w:rsidP="00CC3FE1">
      <w:pPr>
        <w:rPr>
          <w:rFonts w:ascii="Arial" w:eastAsia="Times New Roman" w:hAnsi="Arial" w:cs="Arial"/>
          <w:b/>
          <w:bCs/>
          <w:color w:val="2F2F2F"/>
          <w:lang w:val="es-MX" w:eastAsia="es-MX"/>
        </w:rPr>
      </w:pPr>
      <w:r>
        <w:rPr>
          <w:rFonts w:ascii="Arial" w:eastAsia="Times New Roman" w:hAnsi="Arial" w:cs="Arial"/>
          <w:b/>
          <w:bCs/>
          <w:color w:val="2F2F2F"/>
          <w:lang w:val="es-MX" w:eastAsia="es-MX"/>
        </w:rPr>
        <w:t>…</w:t>
      </w:r>
    </w:p>
    <w:p w14:paraId="2D91CE2E" w14:textId="627DD9AC" w:rsidR="004E2C40" w:rsidRPr="00972299" w:rsidRDefault="004E2C40" w:rsidP="00CC3FE1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lang w:val="es-MX" w:eastAsia="es-MX"/>
        </w:rPr>
      </w:pPr>
      <w:proofErr w:type="gramStart"/>
      <w:r w:rsidRPr="00972299">
        <w:rPr>
          <w:rFonts w:ascii="Arial" w:eastAsia="Times New Roman" w:hAnsi="Arial" w:cs="Arial"/>
          <w:b/>
          <w:bCs/>
          <w:color w:val="2F2F2F"/>
          <w:lang w:val="es-MX" w:eastAsia="es-MX"/>
        </w:rPr>
        <w:t>Octavo.-</w:t>
      </w:r>
      <w:proofErr w:type="gramEnd"/>
      <w:r w:rsidRPr="00972299">
        <w:rPr>
          <w:rFonts w:ascii="Arial" w:eastAsia="Times New Roman" w:hAnsi="Arial" w:cs="Arial"/>
          <w:b/>
          <w:bCs/>
          <w:color w:val="2F2F2F"/>
          <w:lang w:val="es-MX" w:eastAsia="es-MX"/>
        </w:rPr>
        <w:t> </w:t>
      </w:r>
      <w:r w:rsidR="00A16A92" w:rsidRPr="00972299" w:rsidDel="00A16A92">
        <w:rPr>
          <w:rFonts w:ascii="Arial" w:eastAsia="Times New Roman" w:hAnsi="Arial" w:cs="Arial"/>
          <w:color w:val="2F2F2F"/>
          <w:lang w:val="es-MX" w:eastAsia="es-MX"/>
        </w:rPr>
        <w:t xml:space="preserve"> </w:t>
      </w:r>
      <w:r w:rsidR="00BD4703" w:rsidRPr="00972299">
        <w:rPr>
          <w:rFonts w:ascii="Arial" w:eastAsia="Times New Roman" w:hAnsi="Arial" w:cs="Arial"/>
          <w:color w:val="2F2F2F"/>
          <w:lang w:val="es-MX" w:eastAsia="es-MX"/>
        </w:rPr>
        <w:t xml:space="preserve">En caso de que el Producto sea tan pequeño que no sea posible exhibir el marcado o etiquetado físicamente en el Producto o </w:t>
      </w:r>
      <w:r w:rsidR="0089676F">
        <w:rPr>
          <w:rFonts w:ascii="Arial" w:eastAsia="Times New Roman" w:hAnsi="Arial" w:cs="Arial"/>
          <w:color w:val="2F2F2F"/>
          <w:lang w:val="es-MX" w:eastAsia="es-MX"/>
        </w:rPr>
        <w:t>en su caja o empaque, ni pueda exhibirse de manera electrónica en el Producto, debe</w:t>
      </w:r>
      <w:r w:rsidR="00FA1045">
        <w:rPr>
          <w:rFonts w:ascii="Arial" w:eastAsia="Times New Roman" w:hAnsi="Arial" w:cs="Arial"/>
          <w:color w:val="2F2F2F"/>
          <w:lang w:val="es-MX" w:eastAsia="es-MX"/>
        </w:rPr>
        <w:t>rá</w:t>
      </w:r>
      <w:r w:rsidR="0089676F">
        <w:rPr>
          <w:rFonts w:ascii="Arial" w:eastAsia="Times New Roman" w:hAnsi="Arial" w:cs="Arial"/>
          <w:color w:val="2F2F2F"/>
          <w:lang w:val="es-MX" w:eastAsia="es-MX"/>
        </w:rPr>
        <w:t xml:space="preserve"> exhibirse de manera física en su manual como lo indica el lineamiento Trigésimo octavo de los Lineamientos de Homologación. </w:t>
      </w:r>
    </w:p>
    <w:p w14:paraId="723F394E" w14:textId="77777777" w:rsidR="004E2C40" w:rsidRPr="00972299" w:rsidRDefault="004E2C40" w:rsidP="00CC3FE1">
      <w:pPr>
        <w:jc w:val="center"/>
        <w:rPr>
          <w:rFonts w:ascii="Arial" w:hAnsi="Arial" w:cs="Arial"/>
          <w:b/>
          <w:lang w:val="es-MX"/>
        </w:rPr>
      </w:pPr>
    </w:p>
    <w:p w14:paraId="7492A3F4" w14:textId="7E8656C6" w:rsidR="00147AD7" w:rsidRPr="00A030A7" w:rsidRDefault="00147AD7" w:rsidP="00CC3FE1">
      <w:pPr>
        <w:jc w:val="center"/>
        <w:rPr>
          <w:rFonts w:ascii="Arial" w:hAnsi="Arial" w:cs="Arial"/>
          <w:b/>
        </w:rPr>
      </w:pPr>
      <w:r w:rsidRPr="00A030A7">
        <w:rPr>
          <w:rFonts w:ascii="Arial" w:hAnsi="Arial" w:cs="Arial"/>
          <w:b/>
        </w:rPr>
        <w:t>TRANSITORIO</w:t>
      </w:r>
      <w:r>
        <w:rPr>
          <w:rFonts w:ascii="Arial" w:hAnsi="Arial" w:cs="Arial"/>
          <w:b/>
        </w:rPr>
        <w:t>S</w:t>
      </w:r>
    </w:p>
    <w:p w14:paraId="38A8AEF8" w14:textId="38B613E4" w:rsidR="00147AD7" w:rsidRPr="00623196" w:rsidRDefault="00147AD7" w:rsidP="00CC3FE1">
      <w:pPr>
        <w:jc w:val="both"/>
        <w:rPr>
          <w:rFonts w:ascii="Arial" w:hAnsi="Arial" w:cs="Arial"/>
        </w:rPr>
      </w:pPr>
      <w:proofErr w:type="gramStart"/>
      <w:r w:rsidRPr="00623196">
        <w:rPr>
          <w:rFonts w:ascii="Arial" w:hAnsi="Arial" w:cs="Arial"/>
          <w:b/>
        </w:rPr>
        <w:lastRenderedPageBreak/>
        <w:t>Primero.-</w:t>
      </w:r>
      <w:proofErr w:type="gramEnd"/>
      <w:r w:rsidRPr="00623196">
        <w:rPr>
          <w:rFonts w:ascii="Arial" w:hAnsi="Arial" w:cs="Arial"/>
        </w:rPr>
        <w:t xml:space="preserve"> </w:t>
      </w:r>
      <w:r w:rsidR="000F6F9D">
        <w:rPr>
          <w:rFonts w:ascii="Arial" w:hAnsi="Arial" w:cs="Arial"/>
        </w:rPr>
        <w:t>El Acuerdo Primero</w:t>
      </w:r>
      <w:r w:rsidR="00716EE0">
        <w:rPr>
          <w:rFonts w:ascii="Arial" w:hAnsi="Arial" w:cs="Arial"/>
        </w:rPr>
        <w:t xml:space="preserve"> </w:t>
      </w:r>
      <w:r w:rsidR="00095EFB">
        <w:rPr>
          <w:rFonts w:ascii="Arial" w:hAnsi="Arial" w:cs="Arial"/>
        </w:rPr>
        <w:t>del presente</w:t>
      </w:r>
      <w:r w:rsidRPr="00623196">
        <w:rPr>
          <w:rFonts w:ascii="Arial" w:hAnsi="Arial" w:cs="Arial"/>
        </w:rPr>
        <w:t xml:space="preserve"> entrará en vigor a partir del día siguiente al de su publicación en el Diario Oficial de la Federación.</w:t>
      </w:r>
    </w:p>
    <w:p w14:paraId="45B64621" w14:textId="694AB208" w:rsidR="000F6F9D" w:rsidRPr="00BA56FB" w:rsidRDefault="000F6F9D" w:rsidP="00CC3FE1">
      <w:pPr>
        <w:jc w:val="both"/>
        <w:rPr>
          <w:rFonts w:ascii="Arial" w:hAnsi="Arial" w:cs="Arial"/>
        </w:rPr>
      </w:pPr>
      <w:r w:rsidRPr="00972299">
        <w:rPr>
          <w:rFonts w:ascii="Arial" w:hAnsi="Arial" w:cs="Arial"/>
          <w:b/>
        </w:rPr>
        <w:t>Segundo</w:t>
      </w:r>
      <w:r w:rsidRPr="00BA56FB">
        <w:rPr>
          <w:rFonts w:ascii="Arial" w:hAnsi="Arial" w:cs="Arial"/>
        </w:rPr>
        <w:t xml:space="preserve">.- Las modificaciones previstas en el Acuerdo Segundo </w:t>
      </w:r>
      <w:r w:rsidR="00016365">
        <w:rPr>
          <w:rFonts w:ascii="Arial" w:hAnsi="Arial" w:cs="Arial"/>
        </w:rPr>
        <w:t>del presente,</w:t>
      </w:r>
      <w:r w:rsidRPr="00BA56FB">
        <w:rPr>
          <w:rFonts w:ascii="Arial" w:hAnsi="Arial" w:cs="Arial"/>
        </w:rPr>
        <w:t xml:space="preserve"> surtirán efecto a la entrada en vigor de los Lineamientos para el uso del Sello IFT. </w:t>
      </w:r>
    </w:p>
    <w:p w14:paraId="3A4D2627" w14:textId="323AADCB" w:rsidR="00147AD7" w:rsidRPr="008D672B" w:rsidRDefault="000F6F9D" w:rsidP="00CC3FE1">
      <w:pPr>
        <w:jc w:val="both"/>
        <w:rPr>
          <w:rFonts w:ascii="Arial" w:hAnsi="Arial" w:cs="Arial"/>
          <w:highlight w:val="lightGray"/>
        </w:rPr>
      </w:pPr>
      <w:r>
        <w:rPr>
          <w:rFonts w:ascii="Arial" w:hAnsi="Arial" w:cs="Arial"/>
          <w:b/>
          <w:bCs/>
        </w:rPr>
        <w:t>Tercero</w:t>
      </w:r>
      <w:r w:rsidR="00147AD7" w:rsidRPr="00623196">
        <w:rPr>
          <w:rFonts w:ascii="Arial" w:hAnsi="Arial" w:cs="Arial"/>
          <w:b/>
          <w:bCs/>
        </w:rPr>
        <w:t>. -</w:t>
      </w:r>
      <w:r w:rsidR="00147AD7" w:rsidRPr="00623196">
        <w:rPr>
          <w:rFonts w:ascii="Arial" w:hAnsi="Arial" w:cs="Arial"/>
        </w:rPr>
        <w:t xml:space="preserve"> </w:t>
      </w:r>
      <w:r w:rsidR="00147AD7" w:rsidRPr="00972299">
        <w:rPr>
          <w:rFonts w:ascii="Arial" w:eastAsia="Times New Roman" w:hAnsi="Arial" w:cs="Arial"/>
          <w:lang w:eastAsia="es-MX"/>
        </w:rPr>
        <w:t xml:space="preserve">El archivo vectorial que contiene el Sello IFT estará disponible al día siguiente de la publicación </w:t>
      </w:r>
      <w:r w:rsidR="00CC5E37">
        <w:rPr>
          <w:rFonts w:ascii="Arial" w:eastAsia="Times New Roman" w:hAnsi="Arial" w:cs="Arial"/>
          <w:lang w:eastAsia="es-MX"/>
        </w:rPr>
        <w:t xml:space="preserve">en el Diario Oficial de la Federación </w:t>
      </w:r>
      <w:r w:rsidR="00147AD7" w:rsidRPr="00972299">
        <w:rPr>
          <w:rFonts w:ascii="Arial" w:eastAsia="Times New Roman" w:hAnsi="Arial" w:cs="Arial"/>
          <w:lang w:eastAsia="es-MX"/>
        </w:rPr>
        <w:t xml:space="preserve">de </w:t>
      </w:r>
      <w:r w:rsidR="00731BB8">
        <w:rPr>
          <w:rFonts w:ascii="Arial" w:eastAsia="Times New Roman" w:hAnsi="Arial" w:cs="Arial"/>
          <w:lang w:eastAsia="es-MX"/>
        </w:rPr>
        <w:t xml:space="preserve">la presente modificación a los Lineamientos </w:t>
      </w:r>
      <w:r w:rsidR="00CC5E37">
        <w:rPr>
          <w:rFonts w:ascii="Arial" w:eastAsia="Times New Roman" w:hAnsi="Arial" w:cs="Arial"/>
          <w:lang w:eastAsia="es-MX"/>
        </w:rPr>
        <w:t xml:space="preserve">de </w:t>
      </w:r>
      <w:r w:rsidR="000A04C9">
        <w:rPr>
          <w:rFonts w:ascii="Arial" w:eastAsia="Times New Roman" w:hAnsi="Arial" w:cs="Arial"/>
          <w:lang w:eastAsia="es-MX"/>
        </w:rPr>
        <w:t>mérito</w:t>
      </w:r>
      <w:r w:rsidR="00147AD7" w:rsidRPr="00972299">
        <w:rPr>
          <w:rFonts w:ascii="Arial" w:eastAsia="Times New Roman" w:hAnsi="Arial" w:cs="Arial"/>
          <w:lang w:eastAsia="es-MX"/>
        </w:rPr>
        <w:t xml:space="preserve"> por medio de la ventanilla electrónica para quienes cuenten con un acceso y contraseña vigentes</w:t>
      </w:r>
      <w:r w:rsidR="00731BB8">
        <w:rPr>
          <w:rFonts w:ascii="Arial" w:eastAsia="Times New Roman" w:hAnsi="Arial" w:cs="Arial"/>
          <w:lang w:eastAsia="es-MX"/>
        </w:rPr>
        <w:t>,</w:t>
      </w:r>
      <w:r w:rsidR="00147AD7" w:rsidRPr="00972299">
        <w:rPr>
          <w:rFonts w:ascii="Arial" w:eastAsia="Times New Roman" w:hAnsi="Arial" w:cs="Arial"/>
          <w:lang w:eastAsia="es-MX"/>
        </w:rPr>
        <w:t xml:space="preserve"> hasta en tanto entren en vigor los </w:t>
      </w:r>
      <w:r w:rsidR="00731BB8" w:rsidRPr="00BA56FB">
        <w:rPr>
          <w:rFonts w:ascii="Arial" w:hAnsi="Arial" w:cs="Arial"/>
        </w:rPr>
        <w:t>Lineamientos para el uso del Sello IFT</w:t>
      </w:r>
      <w:r w:rsidR="00731BB8">
        <w:rPr>
          <w:rFonts w:ascii="Arial" w:hAnsi="Arial" w:cs="Arial"/>
        </w:rPr>
        <w:t xml:space="preserve"> como se establece en el Acuerdo Primero y a partir de esa fecha se</w:t>
      </w:r>
      <w:r w:rsidR="00016365">
        <w:rPr>
          <w:rFonts w:ascii="Arial" w:hAnsi="Arial" w:cs="Arial"/>
        </w:rPr>
        <w:t>rá</w:t>
      </w:r>
      <w:r w:rsidR="00731BB8">
        <w:rPr>
          <w:rFonts w:ascii="Arial" w:hAnsi="Arial" w:cs="Arial"/>
        </w:rPr>
        <w:t xml:space="preserve"> apli</w:t>
      </w:r>
      <w:r w:rsidR="00016365">
        <w:rPr>
          <w:rFonts w:ascii="Arial" w:hAnsi="Arial" w:cs="Arial"/>
        </w:rPr>
        <w:t>cable</w:t>
      </w:r>
      <w:r w:rsidR="00731BB8">
        <w:rPr>
          <w:rFonts w:ascii="Arial" w:hAnsi="Arial" w:cs="Arial"/>
        </w:rPr>
        <w:t xml:space="preserve"> lo</w:t>
      </w:r>
      <w:r w:rsidR="00731BB8" w:rsidRPr="00BA56FB">
        <w:rPr>
          <w:rFonts w:ascii="Arial" w:hAnsi="Arial" w:cs="Arial"/>
        </w:rPr>
        <w:t xml:space="preserve"> </w:t>
      </w:r>
      <w:r w:rsidR="00147AD7" w:rsidRPr="00972299">
        <w:rPr>
          <w:rFonts w:ascii="Arial" w:eastAsia="Times New Roman" w:hAnsi="Arial" w:cs="Arial"/>
          <w:lang w:eastAsia="es-MX"/>
        </w:rPr>
        <w:t>establecido</w:t>
      </w:r>
      <w:r w:rsidR="0076749D" w:rsidRPr="00972299">
        <w:rPr>
          <w:rFonts w:ascii="Arial" w:eastAsia="Times New Roman" w:hAnsi="Arial" w:cs="Arial"/>
          <w:lang w:eastAsia="es-MX"/>
        </w:rPr>
        <w:t xml:space="preserve"> en </w:t>
      </w:r>
      <w:r w:rsidR="00147AD7" w:rsidRPr="00972299">
        <w:rPr>
          <w:rFonts w:ascii="Arial" w:eastAsia="Times New Roman" w:hAnsi="Arial" w:cs="Arial"/>
          <w:lang w:eastAsia="es-MX"/>
        </w:rPr>
        <w:t>el último párrafo del lineamiento Quinto.</w:t>
      </w:r>
    </w:p>
    <w:p w14:paraId="52D9C9FA" w14:textId="1FDDA221" w:rsidR="00BB6A0B" w:rsidRPr="00147AD7" w:rsidRDefault="00BB6A0B" w:rsidP="00CC3FE1"/>
    <w:sectPr w:rsidR="00BB6A0B" w:rsidRPr="00147AD7" w:rsidSect="0011347F">
      <w:headerReference w:type="even" r:id="rId15"/>
      <w:headerReference w:type="default" r:id="rId16"/>
      <w:footerReference w:type="default" r:id="rId17"/>
      <w:headerReference w:type="first" r:id="rId18"/>
      <w:footnotePr>
        <w:numStart w:val="12"/>
      </w:footnotePr>
      <w:pgSz w:w="12240" w:h="15840"/>
      <w:pgMar w:top="2098" w:right="1418" w:bottom="1134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D4EC0" w14:textId="77777777" w:rsidR="007631A8" w:rsidRDefault="007631A8" w:rsidP="000F1667">
      <w:pPr>
        <w:spacing w:after="0" w:line="240" w:lineRule="auto"/>
      </w:pPr>
      <w:r>
        <w:separator/>
      </w:r>
    </w:p>
  </w:endnote>
  <w:endnote w:type="continuationSeparator" w:id="0">
    <w:p w14:paraId="7454A970" w14:textId="77777777" w:rsidR="007631A8" w:rsidRDefault="007631A8" w:rsidP="000F1667">
      <w:pPr>
        <w:spacing w:after="0" w:line="240" w:lineRule="auto"/>
      </w:pPr>
      <w:r>
        <w:continuationSeparator/>
      </w:r>
    </w:p>
  </w:endnote>
  <w:endnote w:type="continuationNotice" w:id="1">
    <w:p w14:paraId="4CAF6F71" w14:textId="77777777" w:rsidR="007631A8" w:rsidRDefault="00763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366610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5F76B5" w14:textId="44F5093D" w:rsidR="00A16A92" w:rsidRPr="00BB6A0B" w:rsidRDefault="00A16A92" w:rsidP="00BB6A0B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6A0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A0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AE72D" w14:textId="77777777" w:rsidR="007631A8" w:rsidRDefault="007631A8" w:rsidP="000F1667">
      <w:pPr>
        <w:spacing w:after="0" w:line="240" w:lineRule="auto"/>
      </w:pPr>
      <w:r>
        <w:separator/>
      </w:r>
    </w:p>
  </w:footnote>
  <w:footnote w:type="continuationSeparator" w:id="0">
    <w:p w14:paraId="1028D20A" w14:textId="77777777" w:rsidR="007631A8" w:rsidRDefault="007631A8" w:rsidP="000F1667">
      <w:pPr>
        <w:spacing w:after="0" w:line="240" w:lineRule="auto"/>
      </w:pPr>
      <w:r>
        <w:continuationSeparator/>
      </w:r>
    </w:p>
  </w:footnote>
  <w:footnote w:type="continuationNotice" w:id="1">
    <w:p w14:paraId="0B165608" w14:textId="77777777" w:rsidR="007631A8" w:rsidRDefault="007631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3451" w14:textId="7579A646" w:rsidR="00CC3FE1" w:rsidRDefault="007631A8">
    <w:pPr>
      <w:pStyle w:val="Encabezado"/>
    </w:pPr>
    <w:r>
      <w:rPr>
        <w:noProof/>
      </w:rPr>
      <w:pict w14:anchorId="2C6F27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413313" o:spid="_x0000_s2051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0B478" w14:textId="698EED41" w:rsidR="00A16A92" w:rsidRDefault="007631A8">
    <w:pPr>
      <w:pStyle w:val="Encabezado"/>
    </w:pPr>
    <w:r>
      <w:rPr>
        <w:noProof/>
      </w:rPr>
      <w:pict w14:anchorId="44EDA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6.05pt;width:612pt;height:808pt;z-index:-251658241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2D6622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413314" o:spid="_x0000_s2052" type="#_x0000_t136" style="position:absolute;margin-left:0;margin-top:0;width:530.35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0B73" w14:textId="7C0B6CB8" w:rsidR="00CC3FE1" w:rsidRDefault="007631A8">
    <w:pPr>
      <w:pStyle w:val="Encabezado"/>
    </w:pPr>
    <w:r>
      <w:rPr>
        <w:noProof/>
      </w:rPr>
      <w:pict w14:anchorId="33C128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413312" o:spid="_x0000_s2050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6C82"/>
    <w:multiLevelType w:val="hybridMultilevel"/>
    <w:tmpl w:val="149C1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1B1"/>
    <w:multiLevelType w:val="hybridMultilevel"/>
    <w:tmpl w:val="D79C293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7D59"/>
    <w:multiLevelType w:val="hybridMultilevel"/>
    <w:tmpl w:val="BA222C48"/>
    <w:lvl w:ilvl="0" w:tplc="080A001B">
      <w:start w:val="1"/>
      <w:numFmt w:val="lowerRoman"/>
      <w:lvlText w:val="%1."/>
      <w:lvlJc w:val="righ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EA95FBC"/>
    <w:multiLevelType w:val="hybridMultilevel"/>
    <w:tmpl w:val="084A7944"/>
    <w:lvl w:ilvl="0" w:tplc="4EEE5C3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5F72AD6"/>
    <w:multiLevelType w:val="hybridMultilevel"/>
    <w:tmpl w:val="37BCB11E"/>
    <w:lvl w:ilvl="0" w:tplc="080A0013">
      <w:start w:val="1"/>
      <w:numFmt w:val="upperRoman"/>
      <w:lvlText w:val="%1."/>
      <w:lvlJc w:val="righ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30FA2"/>
    <w:multiLevelType w:val="hybridMultilevel"/>
    <w:tmpl w:val="E16C8014"/>
    <w:lvl w:ilvl="0" w:tplc="080A0001">
      <w:start w:val="1"/>
      <w:numFmt w:val="bullet"/>
      <w:lvlText w:val=""/>
      <w:lvlJc w:val="left"/>
      <w:pPr>
        <w:ind w:left="8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3C886503"/>
    <w:multiLevelType w:val="hybridMultilevel"/>
    <w:tmpl w:val="0A62B07C"/>
    <w:lvl w:ilvl="0" w:tplc="080A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7" w15:restartNumberingAfterBreak="0">
    <w:nsid w:val="45EE7362"/>
    <w:multiLevelType w:val="hybridMultilevel"/>
    <w:tmpl w:val="21CC11F4"/>
    <w:lvl w:ilvl="0" w:tplc="141CDD56">
      <w:start w:val="1"/>
      <w:numFmt w:val="upperRoman"/>
      <w:lvlText w:val="%1."/>
      <w:lvlJc w:val="left"/>
      <w:pPr>
        <w:ind w:left="72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F265B"/>
    <w:multiLevelType w:val="multilevel"/>
    <w:tmpl w:val="784A3626"/>
    <w:lvl w:ilvl="0">
      <w:start w:val="3"/>
      <w:numFmt w:val="upperRoman"/>
      <w:pStyle w:val="Ttulo2"/>
      <w:lvlText w:val="%1."/>
      <w:lvlJc w:val="right"/>
      <w:pPr>
        <w:ind w:left="720" w:hanging="360"/>
      </w:pPr>
      <w:rPr>
        <w:rFonts w:ascii="ITC Avant Garde" w:hAnsi="ITC Avant Garde" w:hint="default"/>
        <w:b/>
        <w:sz w:val="22"/>
      </w:rPr>
    </w:lvl>
    <w:lvl w:ilvl="1">
      <w:start w:val="1"/>
      <w:numFmt w:val="decimal"/>
      <w:suff w:val="space"/>
      <w:lvlText w:val="%1.%2. "/>
      <w:lvlJc w:val="left"/>
      <w:pPr>
        <w:ind w:left="5747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87611A5"/>
    <w:multiLevelType w:val="hybridMultilevel"/>
    <w:tmpl w:val="40289EBA"/>
    <w:lvl w:ilvl="0" w:tplc="CC36F0FC">
      <w:start w:val="1"/>
      <w:numFmt w:val="decimal"/>
      <w:lvlText w:val="%1."/>
      <w:lvlJc w:val="left"/>
      <w:pPr>
        <w:ind w:left="1020" w:hanging="360"/>
      </w:pPr>
    </w:lvl>
    <w:lvl w:ilvl="1" w:tplc="78FCF6EC">
      <w:start w:val="1"/>
      <w:numFmt w:val="decimal"/>
      <w:lvlText w:val="%2."/>
      <w:lvlJc w:val="left"/>
      <w:pPr>
        <w:ind w:left="1020" w:hanging="360"/>
      </w:pPr>
    </w:lvl>
    <w:lvl w:ilvl="2" w:tplc="599661C6">
      <w:start w:val="1"/>
      <w:numFmt w:val="decimal"/>
      <w:lvlText w:val="%3."/>
      <w:lvlJc w:val="left"/>
      <w:pPr>
        <w:ind w:left="1020" w:hanging="360"/>
      </w:pPr>
    </w:lvl>
    <w:lvl w:ilvl="3" w:tplc="67AED796">
      <w:start w:val="1"/>
      <w:numFmt w:val="decimal"/>
      <w:lvlText w:val="%4."/>
      <w:lvlJc w:val="left"/>
      <w:pPr>
        <w:ind w:left="1020" w:hanging="360"/>
      </w:pPr>
    </w:lvl>
    <w:lvl w:ilvl="4" w:tplc="11B47C78">
      <w:start w:val="1"/>
      <w:numFmt w:val="decimal"/>
      <w:lvlText w:val="%5."/>
      <w:lvlJc w:val="left"/>
      <w:pPr>
        <w:ind w:left="1020" w:hanging="360"/>
      </w:pPr>
    </w:lvl>
    <w:lvl w:ilvl="5" w:tplc="725CB0D0">
      <w:start w:val="1"/>
      <w:numFmt w:val="decimal"/>
      <w:lvlText w:val="%6."/>
      <w:lvlJc w:val="left"/>
      <w:pPr>
        <w:ind w:left="1020" w:hanging="360"/>
      </w:pPr>
    </w:lvl>
    <w:lvl w:ilvl="6" w:tplc="87569370">
      <w:start w:val="1"/>
      <w:numFmt w:val="decimal"/>
      <w:lvlText w:val="%7."/>
      <w:lvlJc w:val="left"/>
      <w:pPr>
        <w:ind w:left="1020" w:hanging="360"/>
      </w:pPr>
    </w:lvl>
    <w:lvl w:ilvl="7" w:tplc="AAE6B510">
      <w:start w:val="1"/>
      <w:numFmt w:val="decimal"/>
      <w:lvlText w:val="%8."/>
      <w:lvlJc w:val="left"/>
      <w:pPr>
        <w:ind w:left="1020" w:hanging="360"/>
      </w:pPr>
    </w:lvl>
    <w:lvl w:ilvl="8" w:tplc="AB4E6D8A">
      <w:start w:val="1"/>
      <w:numFmt w:val="decimal"/>
      <w:lvlText w:val="%9."/>
      <w:lvlJc w:val="left"/>
      <w:pPr>
        <w:ind w:left="102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numStart w:val="12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DD"/>
    <w:rsid w:val="00002151"/>
    <w:rsid w:val="00011227"/>
    <w:rsid w:val="00011E5C"/>
    <w:rsid w:val="00015C2E"/>
    <w:rsid w:val="00016365"/>
    <w:rsid w:val="00024EF0"/>
    <w:rsid w:val="000302C1"/>
    <w:rsid w:val="00036160"/>
    <w:rsid w:val="000407BF"/>
    <w:rsid w:val="000425BE"/>
    <w:rsid w:val="0004749E"/>
    <w:rsid w:val="00050A90"/>
    <w:rsid w:val="00053138"/>
    <w:rsid w:val="000577B5"/>
    <w:rsid w:val="00067644"/>
    <w:rsid w:val="000677CE"/>
    <w:rsid w:val="00073C3A"/>
    <w:rsid w:val="00081414"/>
    <w:rsid w:val="00086F4B"/>
    <w:rsid w:val="00087174"/>
    <w:rsid w:val="00095EFB"/>
    <w:rsid w:val="000A04C9"/>
    <w:rsid w:val="000A78BE"/>
    <w:rsid w:val="000B33AD"/>
    <w:rsid w:val="000B58EC"/>
    <w:rsid w:val="000C103F"/>
    <w:rsid w:val="000D7AD1"/>
    <w:rsid w:val="000E0CF6"/>
    <w:rsid w:val="000F1667"/>
    <w:rsid w:val="000F40CA"/>
    <w:rsid w:val="000F6F9D"/>
    <w:rsid w:val="0010495D"/>
    <w:rsid w:val="0011347F"/>
    <w:rsid w:val="00114F1F"/>
    <w:rsid w:val="0013590D"/>
    <w:rsid w:val="00142C05"/>
    <w:rsid w:val="00143D1C"/>
    <w:rsid w:val="001461F4"/>
    <w:rsid w:val="00147AD7"/>
    <w:rsid w:val="00162D7C"/>
    <w:rsid w:val="00172E27"/>
    <w:rsid w:val="00173F38"/>
    <w:rsid w:val="001849AC"/>
    <w:rsid w:val="00191F60"/>
    <w:rsid w:val="00197E89"/>
    <w:rsid w:val="001B163B"/>
    <w:rsid w:val="001C2AE9"/>
    <w:rsid w:val="001C70F3"/>
    <w:rsid w:val="001F31EE"/>
    <w:rsid w:val="00227D6A"/>
    <w:rsid w:val="002322A9"/>
    <w:rsid w:val="00234556"/>
    <w:rsid w:val="00235DAD"/>
    <w:rsid w:val="00243E19"/>
    <w:rsid w:val="00250926"/>
    <w:rsid w:val="00251C04"/>
    <w:rsid w:val="00262780"/>
    <w:rsid w:val="00267836"/>
    <w:rsid w:val="00283C1E"/>
    <w:rsid w:val="0028705D"/>
    <w:rsid w:val="00290BDC"/>
    <w:rsid w:val="00297A60"/>
    <w:rsid w:val="002A3C3A"/>
    <w:rsid w:val="002B036E"/>
    <w:rsid w:val="002D79C6"/>
    <w:rsid w:val="002D7AEA"/>
    <w:rsid w:val="002E3021"/>
    <w:rsid w:val="002F5245"/>
    <w:rsid w:val="00301196"/>
    <w:rsid w:val="00301288"/>
    <w:rsid w:val="003140D9"/>
    <w:rsid w:val="0031638B"/>
    <w:rsid w:val="00317527"/>
    <w:rsid w:val="003203CC"/>
    <w:rsid w:val="00321AE8"/>
    <w:rsid w:val="00327F6F"/>
    <w:rsid w:val="0033402E"/>
    <w:rsid w:val="00334409"/>
    <w:rsid w:val="003352AD"/>
    <w:rsid w:val="00336E41"/>
    <w:rsid w:val="003375D6"/>
    <w:rsid w:val="00340F7D"/>
    <w:rsid w:val="00352697"/>
    <w:rsid w:val="00355A02"/>
    <w:rsid w:val="0035790E"/>
    <w:rsid w:val="003629C9"/>
    <w:rsid w:val="00363040"/>
    <w:rsid w:val="00371960"/>
    <w:rsid w:val="00377CBA"/>
    <w:rsid w:val="00380B3E"/>
    <w:rsid w:val="003810FD"/>
    <w:rsid w:val="00383024"/>
    <w:rsid w:val="003953DA"/>
    <w:rsid w:val="003A35DA"/>
    <w:rsid w:val="003A3AF9"/>
    <w:rsid w:val="003A4138"/>
    <w:rsid w:val="003A50DE"/>
    <w:rsid w:val="003C2618"/>
    <w:rsid w:val="003C7FF3"/>
    <w:rsid w:val="003E6265"/>
    <w:rsid w:val="003F1F15"/>
    <w:rsid w:val="003F474A"/>
    <w:rsid w:val="003F5473"/>
    <w:rsid w:val="00400632"/>
    <w:rsid w:val="00401260"/>
    <w:rsid w:val="00404C0B"/>
    <w:rsid w:val="0040628E"/>
    <w:rsid w:val="0042664A"/>
    <w:rsid w:val="00450CBF"/>
    <w:rsid w:val="00457A8B"/>
    <w:rsid w:val="004652A2"/>
    <w:rsid w:val="0047381A"/>
    <w:rsid w:val="00474DEF"/>
    <w:rsid w:val="004908ED"/>
    <w:rsid w:val="00493105"/>
    <w:rsid w:val="00497131"/>
    <w:rsid w:val="004B18B2"/>
    <w:rsid w:val="004D12BD"/>
    <w:rsid w:val="004D1D0E"/>
    <w:rsid w:val="004D3BA7"/>
    <w:rsid w:val="004E0EF3"/>
    <w:rsid w:val="004E1748"/>
    <w:rsid w:val="004E2287"/>
    <w:rsid w:val="004E2C40"/>
    <w:rsid w:val="004E324D"/>
    <w:rsid w:val="004E343B"/>
    <w:rsid w:val="004E76E9"/>
    <w:rsid w:val="005002AA"/>
    <w:rsid w:val="005105C3"/>
    <w:rsid w:val="00511DA9"/>
    <w:rsid w:val="005220B1"/>
    <w:rsid w:val="00522D16"/>
    <w:rsid w:val="0052608A"/>
    <w:rsid w:val="0053155F"/>
    <w:rsid w:val="00542C18"/>
    <w:rsid w:val="005609F5"/>
    <w:rsid w:val="005642DD"/>
    <w:rsid w:val="00585690"/>
    <w:rsid w:val="00594F1F"/>
    <w:rsid w:val="00595151"/>
    <w:rsid w:val="005A3724"/>
    <w:rsid w:val="005B03CA"/>
    <w:rsid w:val="005B4425"/>
    <w:rsid w:val="005C765A"/>
    <w:rsid w:val="005D1983"/>
    <w:rsid w:val="005D793D"/>
    <w:rsid w:val="005E0896"/>
    <w:rsid w:val="005E7BBE"/>
    <w:rsid w:val="0060003E"/>
    <w:rsid w:val="00602DE3"/>
    <w:rsid w:val="006051DD"/>
    <w:rsid w:val="00607FE0"/>
    <w:rsid w:val="006227A2"/>
    <w:rsid w:val="00626B37"/>
    <w:rsid w:val="006314C5"/>
    <w:rsid w:val="006325BD"/>
    <w:rsid w:val="0063343A"/>
    <w:rsid w:val="0063527F"/>
    <w:rsid w:val="00635534"/>
    <w:rsid w:val="00646089"/>
    <w:rsid w:val="00660E15"/>
    <w:rsid w:val="00660E9F"/>
    <w:rsid w:val="00662837"/>
    <w:rsid w:val="006635DE"/>
    <w:rsid w:val="00663B54"/>
    <w:rsid w:val="00672D0A"/>
    <w:rsid w:val="00676ADD"/>
    <w:rsid w:val="0067713B"/>
    <w:rsid w:val="00681C66"/>
    <w:rsid w:val="006A2BF1"/>
    <w:rsid w:val="006A59C7"/>
    <w:rsid w:val="006C4DD2"/>
    <w:rsid w:val="006D25BD"/>
    <w:rsid w:val="006E01E3"/>
    <w:rsid w:val="006E2278"/>
    <w:rsid w:val="006E4D09"/>
    <w:rsid w:val="006F3645"/>
    <w:rsid w:val="007002C0"/>
    <w:rsid w:val="00704F51"/>
    <w:rsid w:val="00716EE0"/>
    <w:rsid w:val="00721257"/>
    <w:rsid w:val="007243B7"/>
    <w:rsid w:val="00731BB8"/>
    <w:rsid w:val="0073487D"/>
    <w:rsid w:val="007448D0"/>
    <w:rsid w:val="007575E5"/>
    <w:rsid w:val="007631A8"/>
    <w:rsid w:val="0076749D"/>
    <w:rsid w:val="0078795B"/>
    <w:rsid w:val="007A12D6"/>
    <w:rsid w:val="007A2B14"/>
    <w:rsid w:val="007C2A4F"/>
    <w:rsid w:val="007C3B04"/>
    <w:rsid w:val="007C453E"/>
    <w:rsid w:val="007D31FF"/>
    <w:rsid w:val="007D375A"/>
    <w:rsid w:val="007E199C"/>
    <w:rsid w:val="007E246F"/>
    <w:rsid w:val="008049A6"/>
    <w:rsid w:val="00812D26"/>
    <w:rsid w:val="00814FE3"/>
    <w:rsid w:val="00824A3E"/>
    <w:rsid w:val="008253F1"/>
    <w:rsid w:val="0082556D"/>
    <w:rsid w:val="0082755C"/>
    <w:rsid w:val="008420C6"/>
    <w:rsid w:val="00872FB9"/>
    <w:rsid w:val="008806D3"/>
    <w:rsid w:val="00884DDC"/>
    <w:rsid w:val="0089676F"/>
    <w:rsid w:val="008B556C"/>
    <w:rsid w:val="008C5D54"/>
    <w:rsid w:val="008D672B"/>
    <w:rsid w:val="008D6C7E"/>
    <w:rsid w:val="008E1FB7"/>
    <w:rsid w:val="008F6593"/>
    <w:rsid w:val="008F6998"/>
    <w:rsid w:val="008F7747"/>
    <w:rsid w:val="00903576"/>
    <w:rsid w:val="00911F04"/>
    <w:rsid w:val="00941C94"/>
    <w:rsid w:val="00945B73"/>
    <w:rsid w:val="0095152E"/>
    <w:rsid w:val="00956C73"/>
    <w:rsid w:val="00972299"/>
    <w:rsid w:val="00974281"/>
    <w:rsid w:val="0097529C"/>
    <w:rsid w:val="0098636C"/>
    <w:rsid w:val="009B1250"/>
    <w:rsid w:val="009C096A"/>
    <w:rsid w:val="009D28ED"/>
    <w:rsid w:val="009E04A2"/>
    <w:rsid w:val="00A11CB1"/>
    <w:rsid w:val="00A13A15"/>
    <w:rsid w:val="00A1421C"/>
    <w:rsid w:val="00A16A92"/>
    <w:rsid w:val="00A31A91"/>
    <w:rsid w:val="00A360D0"/>
    <w:rsid w:val="00A5112C"/>
    <w:rsid w:val="00A54135"/>
    <w:rsid w:val="00A66D15"/>
    <w:rsid w:val="00A7368E"/>
    <w:rsid w:val="00A81E11"/>
    <w:rsid w:val="00A93B99"/>
    <w:rsid w:val="00A97DB1"/>
    <w:rsid w:val="00AB0471"/>
    <w:rsid w:val="00AB0EF7"/>
    <w:rsid w:val="00AB4105"/>
    <w:rsid w:val="00AD1578"/>
    <w:rsid w:val="00AD387B"/>
    <w:rsid w:val="00AD639E"/>
    <w:rsid w:val="00AE0DEA"/>
    <w:rsid w:val="00AF42A4"/>
    <w:rsid w:val="00B025D1"/>
    <w:rsid w:val="00B031EB"/>
    <w:rsid w:val="00B1044B"/>
    <w:rsid w:val="00B117F3"/>
    <w:rsid w:val="00B15281"/>
    <w:rsid w:val="00B231CE"/>
    <w:rsid w:val="00B25979"/>
    <w:rsid w:val="00B30362"/>
    <w:rsid w:val="00B35095"/>
    <w:rsid w:val="00B4708D"/>
    <w:rsid w:val="00B51C97"/>
    <w:rsid w:val="00B550DB"/>
    <w:rsid w:val="00B6275E"/>
    <w:rsid w:val="00B70BD3"/>
    <w:rsid w:val="00B7567C"/>
    <w:rsid w:val="00B816C0"/>
    <w:rsid w:val="00BA56FB"/>
    <w:rsid w:val="00BB6A0B"/>
    <w:rsid w:val="00BC2262"/>
    <w:rsid w:val="00BC6AFA"/>
    <w:rsid w:val="00BD4703"/>
    <w:rsid w:val="00BD4B2D"/>
    <w:rsid w:val="00BD78D6"/>
    <w:rsid w:val="00BE54D2"/>
    <w:rsid w:val="00BE7794"/>
    <w:rsid w:val="00BF05B1"/>
    <w:rsid w:val="00BF5579"/>
    <w:rsid w:val="00C04F5B"/>
    <w:rsid w:val="00C11FE4"/>
    <w:rsid w:val="00C47495"/>
    <w:rsid w:val="00C639F5"/>
    <w:rsid w:val="00C73249"/>
    <w:rsid w:val="00C73676"/>
    <w:rsid w:val="00C8657F"/>
    <w:rsid w:val="00C9799C"/>
    <w:rsid w:val="00CA50B1"/>
    <w:rsid w:val="00CC3FE1"/>
    <w:rsid w:val="00CC5E37"/>
    <w:rsid w:val="00CD5F9E"/>
    <w:rsid w:val="00CE11DD"/>
    <w:rsid w:val="00CE3448"/>
    <w:rsid w:val="00CE7A10"/>
    <w:rsid w:val="00D024A4"/>
    <w:rsid w:val="00D03202"/>
    <w:rsid w:val="00D11069"/>
    <w:rsid w:val="00D2471F"/>
    <w:rsid w:val="00D269EB"/>
    <w:rsid w:val="00D403CE"/>
    <w:rsid w:val="00D51557"/>
    <w:rsid w:val="00D60CCE"/>
    <w:rsid w:val="00D77406"/>
    <w:rsid w:val="00D8017E"/>
    <w:rsid w:val="00D82951"/>
    <w:rsid w:val="00D83776"/>
    <w:rsid w:val="00D91FCA"/>
    <w:rsid w:val="00D92150"/>
    <w:rsid w:val="00DD14B9"/>
    <w:rsid w:val="00DD1FD7"/>
    <w:rsid w:val="00DD5A0B"/>
    <w:rsid w:val="00DD5E68"/>
    <w:rsid w:val="00DE7762"/>
    <w:rsid w:val="00E05A56"/>
    <w:rsid w:val="00E10B90"/>
    <w:rsid w:val="00E11369"/>
    <w:rsid w:val="00E1755F"/>
    <w:rsid w:val="00E27C72"/>
    <w:rsid w:val="00E3668D"/>
    <w:rsid w:val="00E433C8"/>
    <w:rsid w:val="00E4469C"/>
    <w:rsid w:val="00E44A4D"/>
    <w:rsid w:val="00E47AAE"/>
    <w:rsid w:val="00E47B82"/>
    <w:rsid w:val="00E5768B"/>
    <w:rsid w:val="00E612D5"/>
    <w:rsid w:val="00E621CB"/>
    <w:rsid w:val="00E64094"/>
    <w:rsid w:val="00E67E9D"/>
    <w:rsid w:val="00E7128A"/>
    <w:rsid w:val="00E74962"/>
    <w:rsid w:val="00E779DC"/>
    <w:rsid w:val="00E94D9D"/>
    <w:rsid w:val="00E96D12"/>
    <w:rsid w:val="00EA71C8"/>
    <w:rsid w:val="00EB2BA2"/>
    <w:rsid w:val="00EB35B6"/>
    <w:rsid w:val="00EB375D"/>
    <w:rsid w:val="00EB7A55"/>
    <w:rsid w:val="00EC3E00"/>
    <w:rsid w:val="00EE33AB"/>
    <w:rsid w:val="00EE3732"/>
    <w:rsid w:val="00F007D1"/>
    <w:rsid w:val="00F16338"/>
    <w:rsid w:val="00F20A3A"/>
    <w:rsid w:val="00F25421"/>
    <w:rsid w:val="00F304C7"/>
    <w:rsid w:val="00F33CBE"/>
    <w:rsid w:val="00F55C92"/>
    <w:rsid w:val="00F70036"/>
    <w:rsid w:val="00F73233"/>
    <w:rsid w:val="00F76D2C"/>
    <w:rsid w:val="00F86C6B"/>
    <w:rsid w:val="00F955BF"/>
    <w:rsid w:val="00FA1045"/>
    <w:rsid w:val="00FB1148"/>
    <w:rsid w:val="00FC1E66"/>
    <w:rsid w:val="00FC672E"/>
    <w:rsid w:val="00FD459D"/>
    <w:rsid w:val="00FF2C73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E588ABE"/>
  <w15:chartTrackingRefBased/>
  <w15:docId w15:val="{940A767E-8933-487C-844C-835A2EC6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67C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1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6B37"/>
    <w:pPr>
      <w:keepNext/>
      <w:numPr>
        <w:numId w:val="6"/>
      </w:numPr>
      <w:spacing w:before="240" w:after="120"/>
      <w:jc w:val="both"/>
      <w:outlineLvl w:val="1"/>
    </w:pPr>
    <w:rPr>
      <w:rFonts w:ascii="ITC Avant Garde" w:eastAsia="Times New Roman" w:hAnsi="ITC Avant Garde"/>
      <w:b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0">
    <w:name w:val="estilo30"/>
    <w:basedOn w:val="Normal"/>
    <w:rsid w:val="00CE1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Bullet List,FooterText,numbered,List Paragraph1,Paragraphe de liste1,Bulletr List Paragraph,列出段落,列出段落1,Cuadros,Lista general,Numeración 1,Cuadrícula media 1 - Énfasis 21,4 Viñ 1nivel,Listas,lp1,CNBV Parrafo1,List Paragraph-Thesis,Dot pt"/>
    <w:basedOn w:val="Normal"/>
    <w:link w:val="PrrafodelistaCar"/>
    <w:uiPriority w:val="34"/>
    <w:qFormat/>
    <w:rsid w:val="00CE11DD"/>
    <w:pPr>
      <w:spacing w:after="0" w:line="240" w:lineRule="auto"/>
      <w:ind w:left="708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CE11DD"/>
  </w:style>
  <w:style w:type="paragraph" w:styleId="Textoindependiente">
    <w:name w:val="Body Text"/>
    <w:basedOn w:val="Normal"/>
    <w:link w:val="TextoindependienteCar"/>
    <w:uiPriority w:val="99"/>
    <w:unhideWhenUsed/>
    <w:rsid w:val="00CE11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11DD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Cuadros Car,Lista general Car,Numeración 1 Car,Cuadrícula media 1 - Énfasis 21 Car,Listas Car"/>
    <w:link w:val="Prrafodelista"/>
    <w:uiPriority w:val="34"/>
    <w:qFormat/>
    <w:rsid w:val="00CE11D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6B3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6B37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626B37"/>
    <w:rPr>
      <w:rFonts w:ascii="ITC Avant Garde" w:eastAsia="Times New Roman" w:hAnsi="ITC Avant Garde" w:cs="Times New Roman"/>
      <w:b/>
      <w:color w:val="000000"/>
      <w:lang w:eastAsia="es-MX"/>
    </w:rPr>
  </w:style>
  <w:style w:type="table" w:styleId="Tablaconcuadrcula">
    <w:name w:val="Table Grid"/>
    <w:basedOn w:val="Tablanormal"/>
    <w:uiPriority w:val="39"/>
    <w:rsid w:val="00626B37"/>
    <w:pPr>
      <w:spacing w:after="0" w:line="240" w:lineRule="auto"/>
    </w:pPr>
    <w:rPr>
      <w:rFonts w:ascii="Calibri" w:eastAsia="Calibri" w:hAnsi="Calibri" w:cs="Times New Roman"/>
      <w:bCs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ente">
    <w:name w:val="Fuente"/>
    <w:basedOn w:val="Prrafodelista"/>
    <w:link w:val="FuenteChar"/>
    <w:qFormat/>
    <w:rsid w:val="00626B37"/>
    <w:pPr>
      <w:spacing w:after="200" w:line="276" w:lineRule="auto"/>
      <w:ind w:left="851"/>
      <w:contextualSpacing/>
      <w:jc w:val="both"/>
    </w:pPr>
    <w:rPr>
      <w:rFonts w:asciiTheme="minorHAnsi" w:eastAsiaTheme="minorEastAsia" w:hAnsiTheme="minorHAnsi" w:cstheme="minorBidi"/>
      <w:sz w:val="16"/>
      <w:szCs w:val="16"/>
      <w:lang w:val="es-MX" w:eastAsia="en-US" w:bidi="en-US"/>
    </w:rPr>
  </w:style>
  <w:style w:type="character" w:customStyle="1" w:styleId="FuenteChar">
    <w:name w:val="Fuente Char"/>
    <w:basedOn w:val="Fuentedeprrafopredeter"/>
    <w:link w:val="Fuente"/>
    <w:rsid w:val="00626B37"/>
    <w:rPr>
      <w:rFonts w:eastAsiaTheme="minorEastAsia"/>
      <w:sz w:val="16"/>
      <w:szCs w:val="16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0F1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0F1667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0F1667"/>
    <w:pPr>
      <w:ind w:left="566" w:hanging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0F166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F1667"/>
    <w:rPr>
      <w:rFonts w:ascii="Calibri" w:eastAsia="Calibri" w:hAnsi="Calibri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F166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F1667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16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166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166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4B2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25979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732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B6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A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B6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A0B"/>
    <w:rPr>
      <w:rFonts w:ascii="Calibri" w:eastAsia="Calibri" w:hAnsi="Calibri" w:cs="Times New Roman"/>
    </w:rPr>
  </w:style>
  <w:style w:type="character" w:customStyle="1" w:styleId="N1IFTCar">
    <w:name w:val="N1 IFT Car"/>
    <w:basedOn w:val="Fuentedeprrafopredeter"/>
    <w:link w:val="N1IFT"/>
    <w:locked/>
    <w:rsid w:val="00EB7A55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EB7A55"/>
    <w:pPr>
      <w:jc w:val="both"/>
    </w:pPr>
    <w:rPr>
      <w:rFonts w:ascii="ITC Avant Garde" w:eastAsiaTheme="minorHAnsi" w:hAnsi="ITC Avant Garde" w:cstheme="minorBidi"/>
      <w:b/>
      <w:bCs/>
      <w:color w:val="000000"/>
      <w:lang w:eastAsia="es-ES"/>
    </w:rPr>
  </w:style>
  <w:style w:type="paragraph" w:customStyle="1" w:styleId="Texto">
    <w:name w:val="Texto"/>
    <w:basedOn w:val="Normal"/>
    <w:link w:val="TextoCar"/>
    <w:rsid w:val="00147AD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147AD7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147AD7"/>
    <w:pPr>
      <w:spacing w:before="101" w:after="101" w:line="216" w:lineRule="atLeast"/>
      <w:jc w:val="center"/>
    </w:pPr>
    <w:rPr>
      <w:rFonts w:ascii="Times New Roman" w:eastAsia="Times New Roman" w:hAnsi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147AD7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F16338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83C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C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C1E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C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C1E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767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C11FE4"/>
    <w:rPr>
      <w:color w:val="605E5C"/>
      <w:shd w:val="clear" w:color="auto" w:fill="E1DFDD"/>
    </w:rPr>
  </w:style>
  <w:style w:type="paragraph" w:customStyle="1" w:styleId="pf0">
    <w:name w:val="pf0"/>
    <w:basedOn w:val="Normal"/>
    <w:rsid w:val="00BE5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cf01">
    <w:name w:val="cf01"/>
    <w:basedOn w:val="Fuentedeprrafopredeter"/>
    <w:rsid w:val="00BE54D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Fuentedeprrafopredeter"/>
    <w:rsid w:val="00BE54D2"/>
    <w:rPr>
      <w:rFonts w:ascii="Segoe UI" w:hAnsi="Segoe UI" w:cs="Segoe UI" w:hint="default"/>
      <w:i/>
      <w:iCs/>
      <w:sz w:val="18"/>
      <w:szCs w:val="18"/>
    </w:rPr>
  </w:style>
  <w:style w:type="character" w:customStyle="1" w:styleId="cf31">
    <w:name w:val="cf31"/>
    <w:basedOn w:val="Fuentedeprrafopredeter"/>
    <w:rsid w:val="00BE54D2"/>
    <w:rPr>
      <w:rFonts w:ascii="Segoe UI" w:hAnsi="Segoe UI" w:cs="Segoe UI" w:hint="default"/>
      <w:i/>
      <w:iCs/>
      <w:color w:val="2F2F2F"/>
      <w:sz w:val="18"/>
      <w:szCs w:val="18"/>
      <w:shd w:val="clear" w:color="auto" w:fill="FFFFFF"/>
    </w:rPr>
  </w:style>
  <w:style w:type="character" w:customStyle="1" w:styleId="cf41">
    <w:name w:val="cf41"/>
    <w:basedOn w:val="Fuentedeprrafopredeter"/>
    <w:rsid w:val="00BE54D2"/>
    <w:rPr>
      <w:rFonts w:ascii="Segoe UI" w:hAnsi="Segoe UI" w:cs="Segoe UI" w:hint="default"/>
      <w:color w:val="2F2F2F"/>
      <w:sz w:val="18"/>
      <w:szCs w:val="18"/>
      <w:shd w:val="clear" w:color="auto" w:fill="FFFFFF"/>
    </w:rPr>
  </w:style>
  <w:style w:type="character" w:styleId="Hipervnculovisitado">
    <w:name w:val="FollowedHyperlink"/>
    <w:basedOn w:val="Fuentedeprrafopredeter"/>
    <w:uiPriority w:val="99"/>
    <w:semiHidden/>
    <w:unhideWhenUsed/>
    <w:rsid w:val="00C47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16" ma:contentTypeDescription="Crear nuevo documento." ma:contentTypeScope="" ma:versionID="7c63857f48a8f5bfe22d23755074c414">
  <xsd:schema xmlns:xsd="http://www.w3.org/2001/XMLSchema" xmlns:xs="http://www.w3.org/2001/XMLSchema" xmlns:p="http://schemas.microsoft.com/office/2006/metadata/properties" xmlns:ns3="4be6e129-17bc-4f05-9def-a51dc5f03fa3" xmlns:ns4="8bdb61f3-1305-4a9b-97d4-47fb3fe9934c" targetNamespace="http://schemas.microsoft.com/office/2006/metadata/properties" ma:root="true" ma:fieldsID="467913ad22a265a80aee05a9bb3cac00" ns3:_="" ns4:_="">
    <xsd:import namespace="4be6e129-17bc-4f05-9def-a51dc5f03fa3"/>
    <xsd:import namespace="8bdb61f3-1305-4a9b-97d4-47fb3fe99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61f3-1305-4a9b-97d4-47fb3fe9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16" ma:contentTypeDescription="Crear nuevo documento." ma:contentTypeScope="" ma:versionID="7c63857f48a8f5bfe22d23755074c414">
  <xsd:schema xmlns:xsd="http://www.w3.org/2001/XMLSchema" xmlns:xs="http://www.w3.org/2001/XMLSchema" xmlns:p="http://schemas.microsoft.com/office/2006/metadata/properties" xmlns:ns3="4be6e129-17bc-4f05-9def-a51dc5f03fa3" xmlns:ns4="8bdb61f3-1305-4a9b-97d4-47fb3fe9934c" targetNamespace="http://schemas.microsoft.com/office/2006/metadata/properties" ma:root="true" ma:fieldsID="467913ad22a265a80aee05a9bb3cac00" ns3:_="" ns4:_="">
    <xsd:import namespace="4be6e129-17bc-4f05-9def-a51dc5f03fa3"/>
    <xsd:import namespace="8bdb61f3-1305-4a9b-97d4-47fb3fe99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61f3-1305-4a9b-97d4-47fb3fe9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e6e129-17bc-4f05-9def-a51dc5f03fa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61375-F634-42A0-95D3-B909BDDB3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8bdb61f3-1305-4a9b-97d4-47fb3fe9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1D15B-FA75-41B8-8D31-8B673405B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8bdb61f3-1305-4a9b-97d4-47fb3fe9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CA45A-C86B-4002-8C0D-930DDFE4E3FE}">
  <ds:schemaRefs>
    <ds:schemaRef ds:uri="http://schemas.microsoft.com/office/2006/metadata/properties"/>
    <ds:schemaRef ds:uri="http://schemas.microsoft.com/office/infopath/2007/PartnerControls"/>
    <ds:schemaRef ds:uri="4be6e129-17bc-4f05-9def-a51dc5f03fa3"/>
  </ds:schemaRefs>
</ds:datastoreItem>
</file>

<file path=customXml/itemProps4.xml><?xml version="1.0" encoding="utf-8"?>
<ds:datastoreItem xmlns:ds="http://schemas.openxmlformats.org/officeDocument/2006/customXml" ds:itemID="{3C54E0B4-6019-4A5D-8128-C7678A5F60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148C66-DBBD-45E1-AF08-C2EC18ED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Ignacio Reyes Sanchez</dc:creator>
  <cp:keywords/>
  <dc:description/>
  <cp:lastModifiedBy>Josue Teoyotl Calderón</cp:lastModifiedBy>
  <cp:revision>8</cp:revision>
  <cp:lastPrinted>2024-06-13T23:05:00Z</cp:lastPrinted>
  <dcterms:created xsi:type="dcterms:W3CDTF">2024-06-13T16:51:00Z</dcterms:created>
  <dcterms:modified xsi:type="dcterms:W3CDTF">2024-06-13T23:06:00Z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