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6BAE02E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CE3036" w:rsidRPr="005F2C93">
          <w:rPr>
            <w:rStyle w:val="Hipervnculo"/>
            <w:rFonts w:ascii="ITC Avant Garde" w:hAnsi="ITC Avant Garde"/>
            <w:sz w:val="14"/>
            <w:szCs w:val="14"/>
          </w:rPr>
          <w:t>cpunidadescobertura@ift.org.mx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4704BC9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sidRPr="00C10D5D">
        <w:rPr>
          <w:rFonts w:ascii="ITC Avant Garde" w:hAnsi="ITC Avant Garde"/>
          <w:sz w:val="14"/>
          <w:szCs w:val="14"/>
        </w:rPr>
        <w:t xml:space="preserve">Pública </w:t>
      </w:r>
      <w:r w:rsidRPr="00C10D5D">
        <w:rPr>
          <w:rFonts w:ascii="ITC Avant Garde" w:hAnsi="ITC Avant Garde"/>
          <w:sz w:val="14"/>
          <w:szCs w:val="14"/>
        </w:rPr>
        <w:t>será del</w:t>
      </w:r>
      <w:r w:rsidR="000D2838" w:rsidRPr="00C10D5D">
        <w:rPr>
          <w:rFonts w:ascii="ITC Avant Garde" w:hAnsi="ITC Avant Garde"/>
          <w:sz w:val="14"/>
          <w:szCs w:val="14"/>
        </w:rPr>
        <w:t xml:space="preserve"> </w:t>
      </w:r>
      <w:r w:rsidR="00CE3036" w:rsidRPr="00C10D5D">
        <w:rPr>
          <w:rFonts w:ascii="ITC Avant Garde" w:hAnsi="ITC Avant Garde"/>
          <w:sz w:val="14"/>
          <w:szCs w:val="14"/>
        </w:rPr>
        <w:t>4</w:t>
      </w:r>
      <w:r w:rsidR="008C679D" w:rsidRPr="00C10D5D">
        <w:rPr>
          <w:rFonts w:ascii="ITC Avant Garde" w:hAnsi="ITC Avant Garde"/>
          <w:sz w:val="14"/>
          <w:szCs w:val="14"/>
        </w:rPr>
        <w:t xml:space="preserve"> de </w:t>
      </w:r>
      <w:r w:rsidR="00CE3036" w:rsidRPr="00C10D5D">
        <w:rPr>
          <w:rFonts w:ascii="ITC Avant Garde" w:hAnsi="ITC Avant Garde"/>
          <w:sz w:val="14"/>
          <w:szCs w:val="14"/>
        </w:rPr>
        <w:t>octubre</w:t>
      </w:r>
      <w:r w:rsidR="000D2838" w:rsidRPr="00C10D5D">
        <w:rPr>
          <w:rFonts w:ascii="ITC Avant Garde" w:hAnsi="ITC Avant Garde"/>
          <w:sz w:val="14"/>
          <w:szCs w:val="14"/>
        </w:rPr>
        <w:t xml:space="preserve"> al </w:t>
      </w:r>
      <w:r w:rsidR="00CE3036" w:rsidRPr="00C10D5D">
        <w:rPr>
          <w:rFonts w:ascii="ITC Avant Garde" w:hAnsi="ITC Avant Garde"/>
          <w:sz w:val="14"/>
          <w:szCs w:val="14"/>
        </w:rPr>
        <w:t>31</w:t>
      </w:r>
      <w:r w:rsidR="000D2838" w:rsidRPr="00C10D5D">
        <w:rPr>
          <w:rFonts w:ascii="ITC Avant Garde" w:hAnsi="ITC Avant Garde"/>
          <w:sz w:val="14"/>
          <w:szCs w:val="14"/>
        </w:rPr>
        <w:t xml:space="preserve"> de </w:t>
      </w:r>
      <w:r w:rsidR="00CE3036" w:rsidRPr="00C10D5D">
        <w:rPr>
          <w:rFonts w:ascii="ITC Avant Garde" w:hAnsi="ITC Avant Garde"/>
          <w:sz w:val="14"/>
          <w:szCs w:val="14"/>
        </w:rPr>
        <w:t>octubre</w:t>
      </w:r>
      <w:r w:rsidR="000D2838" w:rsidRPr="00C10D5D">
        <w:rPr>
          <w:rFonts w:ascii="ITC Avant Garde" w:hAnsi="ITC Avant Garde"/>
          <w:sz w:val="14"/>
          <w:szCs w:val="14"/>
        </w:rPr>
        <w:t xml:space="preserve"> de 20</w:t>
      </w:r>
      <w:r w:rsidR="00CE3036" w:rsidRPr="00C10D5D">
        <w:rPr>
          <w:rFonts w:ascii="ITC Avant Garde" w:hAnsi="ITC Avant Garde"/>
          <w:sz w:val="14"/>
          <w:szCs w:val="14"/>
        </w:rPr>
        <w:t>24</w:t>
      </w:r>
      <w:r w:rsidR="002C0E40" w:rsidRPr="00C10D5D">
        <w:rPr>
          <w:rFonts w:ascii="ITC Avant Garde" w:hAnsi="ITC Avant Garde"/>
          <w:sz w:val="14"/>
          <w:szCs w:val="14"/>
        </w:rPr>
        <w:t xml:space="preserve"> </w:t>
      </w:r>
      <w:r w:rsidR="002C0E40" w:rsidRPr="00C10D5D">
        <w:rPr>
          <w:rFonts w:ascii="ITC Avant Garde" w:hAnsi="ITC Avant Garde" w:cs="Arial"/>
          <w:sz w:val="14"/>
          <w:szCs w:val="14"/>
        </w:rPr>
        <w:t xml:space="preserve">(i.e. </w:t>
      </w:r>
      <w:r w:rsidR="00CE3036" w:rsidRPr="00C10D5D">
        <w:rPr>
          <w:rFonts w:ascii="ITC Avant Garde" w:hAnsi="ITC Avant Garde" w:cs="Arial"/>
          <w:sz w:val="14"/>
          <w:szCs w:val="14"/>
        </w:rPr>
        <w:t>20</w:t>
      </w:r>
      <w:r w:rsidR="002C0E40" w:rsidRPr="00C10D5D">
        <w:rPr>
          <w:rFonts w:ascii="ITC Avant Garde" w:hAnsi="ITC Avant Garde" w:cs="Arial"/>
          <w:sz w:val="14"/>
          <w:szCs w:val="14"/>
        </w:rPr>
        <w:t xml:space="preserve"> días </w:t>
      </w:r>
      <w:r w:rsidR="00CE3036" w:rsidRPr="00C10D5D">
        <w:rPr>
          <w:rFonts w:ascii="ITC Avant Garde" w:hAnsi="ITC Avant Garde" w:cs="Arial"/>
          <w:sz w:val="14"/>
          <w:szCs w:val="14"/>
        </w:rPr>
        <w:t>hábiles</w:t>
      </w:r>
      <w:r w:rsidR="002C0E40" w:rsidRPr="00C10D5D">
        <w:rPr>
          <w:rFonts w:ascii="ITC Avant Garde" w:hAnsi="ITC Avant Garde" w:cs="Arial"/>
          <w:sz w:val="14"/>
          <w:szCs w:val="14"/>
        </w:rPr>
        <w:t>)</w:t>
      </w:r>
      <w:r w:rsidRPr="00C10D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46B9D381"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EE46D8" w:rsidRPr="00EE46D8">
        <w:rPr>
          <w:rFonts w:ascii="ITC Avant Garde" w:hAnsi="ITC Avant Garde"/>
          <w:sz w:val="14"/>
          <w:szCs w:val="14"/>
        </w:rPr>
        <w:t>Karla Vanessa García Huerta, Subdirectora de Regulación del Espectro y Gestión de Proyectos 3</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EE46D8" w:rsidRPr="00EA6071">
          <w:rPr>
            <w:rStyle w:val="Hipervnculo"/>
            <w:rFonts w:ascii="ITC Avant Garde" w:hAnsi="ITC Avant Garde"/>
            <w:sz w:val="14"/>
            <w:szCs w:val="14"/>
          </w:rPr>
          <w:t>karla.garcia@ift.org.mx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EE46D8">
        <w:rPr>
          <w:rFonts w:ascii="ITC Avant Garde" w:hAnsi="ITC Avant Garde"/>
          <w:sz w:val="14"/>
          <w:szCs w:val="14"/>
        </w:rPr>
        <w:t>4583</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234C44">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4CDCB643"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F36BA6" w:rsidRPr="00F36BA6">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1FDFD93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6594E">
              <w:rPr>
                <w:rFonts w:ascii="ITC Avant Garde" w:eastAsia="Times New Roman" w:hAnsi="ITC Avant Garde"/>
                <w:color w:val="000000"/>
                <w:sz w:val="14"/>
                <w:szCs w:val="16"/>
                <w:lang w:eastAsia="es-MX"/>
              </w:rPr>
              <w:t>Unidad de Espectro Radioeléctrico</w:t>
            </w:r>
            <w:r w:rsidR="00234C44">
              <w:rPr>
                <w:rFonts w:ascii="ITC Avant Garde" w:eastAsia="Times New Roman" w:hAnsi="ITC Avant Garde"/>
                <w:color w:val="000000"/>
                <w:sz w:val="14"/>
                <w:szCs w:val="16"/>
                <w:lang w:eastAsia="es-MX"/>
              </w:rPr>
              <w:t>,</w:t>
            </w:r>
            <w:bookmarkStart w:id="0" w:name="_GoBack"/>
            <w:bookmarkEnd w:id="0"/>
            <w:r w:rsidRPr="00F04B09">
              <w:rPr>
                <w:rFonts w:ascii="ITC Avant Garde" w:eastAsia="Times New Roman" w:hAnsi="ITC Avant Garde"/>
                <w:color w:val="000000"/>
                <w:sz w:val="14"/>
                <w:szCs w:val="16"/>
                <w:lang w:eastAsia="es-MX"/>
              </w:rPr>
              <w:t xml:space="preserve">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4C62AD5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6594E">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1D672B4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EA1EBE">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682F41E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EA1EBE">
              <w:rPr>
                <w:rFonts w:ascii="ITC Avant Garde" w:eastAsia="Times New Roman" w:hAnsi="ITC Avant Garde"/>
                <w:color w:val="000000"/>
                <w:sz w:val="14"/>
                <w:szCs w:val="16"/>
                <w:lang w:eastAsia="es-MX"/>
              </w:rPr>
              <w:t>Unidad de Espectro Radioeléctrico,</w:t>
            </w:r>
            <w:r w:rsidR="00EA1EBE" w:rsidRPr="00F04B09">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6B72A44D"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0C0E84">
              <w:rPr>
                <w:rFonts w:ascii="ITC Avant Garde" w:eastAsia="Times New Roman" w:hAnsi="ITC Avant Garde"/>
                <w:i/>
                <w:color w:val="000000"/>
                <w:sz w:val="14"/>
                <w:szCs w:val="16"/>
                <w:lang w:eastAsia="es-MX"/>
              </w:rPr>
              <w:t>18</w:t>
            </w:r>
            <w:r w:rsidRPr="00CA3934">
              <w:rPr>
                <w:rFonts w:ascii="ITC Avant Garde" w:eastAsia="Times New Roman" w:hAnsi="ITC Avant Garde"/>
                <w:i/>
                <w:color w:val="000000"/>
                <w:sz w:val="14"/>
                <w:szCs w:val="16"/>
                <w:lang w:eastAsia="es-MX"/>
              </w:rPr>
              <w:t>/</w:t>
            </w:r>
            <w:r w:rsidR="000C0E84">
              <w:rPr>
                <w:rFonts w:ascii="ITC Avant Garde" w:eastAsia="Times New Roman" w:hAnsi="ITC Avant Garde"/>
                <w:i/>
                <w:color w:val="000000"/>
                <w:sz w:val="14"/>
                <w:szCs w:val="16"/>
                <w:lang w:eastAsia="es-MX"/>
              </w:rPr>
              <w:t>10</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lastRenderedPageBreak/>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93E1" w14:textId="77777777" w:rsidR="006162BA" w:rsidRDefault="006162BA" w:rsidP="0038199D">
      <w:pPr>
        <w:spacing w:after="0" w:line="240" w:lineRule="auto"/>
      </w:pPr>
      <w:r>
        <w:separator/>
      </w:r>
    </w:p>
  </w:endnote>
  <w:endnote w:type="continuationSeparator" w:id="0">
    <w:p w14:paraId="4B0B63FF" w14:textId="77777777" w:rsidR="006162BA" w:rsidRDefault="006162B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A8C3" w14:textId="77777777" w:rsidR="006162BA" w:rsidRDefault="006162BA" w:rsidP="0038199D">
      <w:pPr>
        <w:spacing w:after="0" w:line="240" w:lineRule="auto"/>
      </w:pPr>
      <w:r>
        <w:separator/>
      </w:r>
    </w:p>
  </w:footnote>
  <w:footnote w:type="continuationSeparator" w:id="0">
    <w:p w14:paraId="5D20C0A3" w14:textId="77777777" w:rsidR="006162BA" w:rsidRDefault="006162BA"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124DBB0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698BA82C" w:rsidR="004D7960" w:rsidRPr="00F36A5D" w:rsidRDefault="00005DB7" w:rsidP="00CE3036">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CE3036" w:rsidRPr="00CE3036">
      <w:rPr>
        <w:rFonts w:ascii="ITC Avant Garde" w:hAnsi="ITC Avant Garde"/>
        <w:b/>
        <w:sz w:val="20"/>
      </w:rPr>
      <w:t>Anteproyecto de Acuerdo de determinación de las Unidades de Cobertura para la prestación de los servicios de telecomunicaciones</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39E7"/>
    <w:rsid w:val="000356DE"/>
    <w:rsid w:val="000658C7"/>
    <w:rsid w:val="00077254"/>
    <w:rsid w:val="00092755"/>
    <w:rsid w:val="000931D8"/>
    <w:rsid w:val="00097B00"/>
    <w:rsid w:val="000A0CEF"/>
    <w:rsid w:val="000A0F69"/>
    <w:rsid w:val="000A5CFB"/>
    <w:rsid w:val="000A6255"/>
    <w:rsid w:val="000C0E84"/>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34C44"/>
    <w:rsid w:val="0023622D"/>
    <w:rsid w:val="0026594E"/>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535A6"/>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33DC"/>
    <w:rsid w:val="00B72399"/>
    <w:rsid w:val="00B83F89"/>
    <w:rsid w:val="00B91D31"/>
    <w:rsid w:val="00B963F0"/>
    <w:rsid w:val="00B97BF9"/>
    <w:rsid w:val="00BB131F"/>
    <w:rsid w:val="00BB25F2"/>
    <w:rsid w:val="00BE3A25"/>
    <w:rsid w:val="00BF7F9F"/>
    <w:rsid w:val="00C10D5D"/>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CE3036"/>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D567A"/>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1EBE"/>
    <w:rsid w:val="00EA6ACC"/>
    <w:rsid w:val="00EB1D99"/>
    <w:rsid w:val="00EC144A"/>
    <w:rsid w:val="00EC32C5"/>
    <w:rsid w:val="00ED150C"/>
    <w:rsid w:val="00ED5C34"/>
    <w:rsid w:val="00EE46D8"/>
    <w:rsid w:val="00EF58E3"/>
    <w:rsid w:val="00F12126"/>
    <w:rsid w:val="00F212B2"/>
    <w:rsid w:val="00F362D7"/>
    <w:rsid w:val="00F36A5D"/>
    <w:rsid w:val="00F36BA6"/>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la.garcia@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unidadescobertura@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B43D3"/>
    <w:rsid w:val="00312628"/>
    <w:rsid w:val="00637844"/>
    <w:rsid w:val="006B7547"/>
    <w:rsid w:val="0085756F"/>
    <w:rsid w:val="008A2ED8"/>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6E26-94FA-4CF0-8D85-51BABAA7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b84ea7b-5334-4931-9489-1d79ae7d4671"/>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3405674-EB80-408A-9B89-3442AA0C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3243</Words>
  <Characters>17837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Miguel Angel Herrera Carrasco</cp:lastModifiedBy>
  <cp:revision>13</cp:revision>
  <dcterms:created xsi:type="dcterms:W3CDTF">2024-10-03T19:58:00Z</dcterms:created>
  <dcterms:modified xsi:type="dcterms:W3CDTF">2024-10-03T20:37:00Z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