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DCD18" w14:textId="330D9D62" w:rsidR="00DE1D1E" w:rsidRPr="00D933C8" w:rsidRDefault="006E449A" w:rsidP="00E81595">
      <w:pPr>
        <w:spacing w:after="0" w:line="240" w:lineRule="auto"/>
        <w:ind w:right="0"/>
        <w:rPr>
          <w:rFonts w:ascii="ITC Avant Garde" w:hAnsi="ITC Avant Garde"/>
        </w:rPr>
      </w:pPr>
      <w:bookmarkStart w:id="0" w:name="_GoBack"/>
      <w:bookmarkEnd w:id="0"/>
      <w:r w:rsidRPr="00D933C8">
        <w:rPr>
          <w:rFonts w:ascii="ITC Avant Garde" w:hAnsi="ITC Avant Garde"/>
          <w:b/>
          <w:sz w:val="24"/>
        </w:rPr>
        <w:t xml:space="preserve">INFORME DE </w:t>
      </w:r>
      <w:r w:rsidR="00107910" w:rsidRPr="00D933C8">
        <w:rPr>
          <w:rFonts w:ascii="ITC Avant Garde" w:hAnsi="ITC Avant Garde"/>
          <w:b/>
          <w:sz w:val="24"/>
        </w:rPr>
        <w:t>CONSIDERACIONES RESPECTO DE LA CONSULTA PÚBLICA DEL ACUERDO MEDIANTE EL CUAL EL PLENO DEL INSTITUTO FEDERAL DE TELECOMUNICACIONES DETERMINA SOMETER A CONSULTA PÚBLICA DE INTEGRACIÓN EL “CUESTIONARIO SOBRE PROSPECTIVA DE SOLICITUD Y ASIGNACIÓN DE RECURSOS ORBITALES EN MÉXICO”</w:t>
      </w:r>
    </w:p>
    <w:p w14:paraId="6631AB07" w14:textId="77777777" w:rsidR="00107910" w:rsidRPr="00D933C8" w:rsidRDefault="00107910" w:rsidP="00E81595">
      <w:pPr>
        <w:spacing w:after="0" w:line="240" w:lineRule="auto"/>
        <w:ind w:right="0"/>
        <w:rPr>
          <w:rFonts w:ascii="ITC Avant Garde" w:hAnsi="ITC Avant Garde" w:cs="ITC Avant Garde"/>
          <w:b/>
        </w:rPr>
      </w:pPr>
    </w:p>
    <w:p w14:paraId="77D1E9FB" w14:textId="2C0FF3A9" w:rsidR="00DE1D1E" w:rsidRDefault="00285D35" w:rsidP="00E81595">
      <w:pPr>
        <w:spacing w:after="0" w:line="240" w:lineRule="auto"/>
        <w:ind w:right="0"/>
        <w:rPr>
          <w:rFonts w:ascii="ITC Avant Garde" w:hAnsi="ITC Avant Garde" w:cs="ITC Avant Garde"/>
          <w:b/>
        </w:rPr>
      </w:pPr>
      <w:r w:rsidRPr="00D933C8">
        <w:rPr>
          <w:rFonts w:ascii="ITC Avant Garde" w:hAnsi="ITC Avant Garde" w:cs="ITC Avant Garde"/>
          <w:b/>
        </w:rPr>
        <w:t xml:space="preserve">I. </w:t>
      </w:r>
      <w:r w:rsidR="00DE1D1E" w:rsidRPr="00D933C8">
        <w:rPr>
          <w:rFonts w:ascii="ITC Avant Garde" w:hAnsi="ITC Avant Garde" w:cs="ITC Avant Garde"/>
          <w:b/>
        </w:rPr>
        <w:t>Fecha de elaboración del Informe de Consideraciones sobre los comentarios, opiniones y aportaciones recibidos con relación a la presente Consulta Pública</w:t>
      </w:r>
      <w:r w:rsidR="00CC6DAA">
        <w:rPr>
          <w:rFonts w:ascii="ITC Avant Garde" w:hAnsi="ITC Avant Garde" w:cs="ITC Avant Garde"/>
          <w:b/>
        </w:rPr>
        <w:t xml:space="preserve"> de Integración</w:t>
      </w:r>
      <w:r w:rsidR="00DE1D1E" w:rsidRPr="00D933C8">
        <w:rPr>
          <w:rFonts w:ascii="ITC Avant Garde" w:hAnsi="ITC Avant Garde" w:cs="ITC Avant Garde"/>
          <w:b/>
        </w:rPr>
        <w:t xml:space="preserve">: </w:t>
      </w:r>
    </w:p>
    <w:p w14:paraId="07DCEAED" w14:textId="77777777" w:rsidR="00B4058D" w:rsidRPr="00D933C8" w:rsidRDefault="00B4058D" w:rsidP="00E81595">
      <w:pPr>
        <w:spacing w:after="0" w:line="240" w:lineRule="auto"/>
        <w:ind w:right="0"/>
        <w:rPr>
          <w:rFonts w:ascii="ITC Avant Garde" w:hAnsi="ITC Avant Garde" w:cs="ITC Avant Garde"/>
        </w:rPr>
      </w:pPr>
    </w:p>
    <w:p w14:paraId="4B0A4156" w14:textId="04AD52C1" w:rsidR="00DE1D1E" w:rsidRPr="002A5A26" w:rsidRDefault="0024137A" w:rsidP="00E81595">
      <w:pPr>
        <w:tabs>
          <w:tab w:val="left" w:pos="284"/>
        </w:tabs>
        <w:spacing w:after="0" w:line="240" w:lineRule="auto"/>
        <w:ind w:right="0"/>
        <w:rPr>
          <w:rFonts w:ascii="ITC Avant Garde" w:hAnsi="ITC Avant Garde"/>
        </w:rPr>
      </w:pPr>
      <w:r w:rsidRPr="00F30615">
        <w:rPr>
          <w:rFonts w:ascii="ITC Avant Garde" w:hAnsi="ITC Avant Garde"/>
        </w:rPr>
        <w:t>7</w:t>
      </w:r>
      <w:r w:rsidR="002A5A26" w:rsidRPr="00F30615">
        <w:rPr>
          <w:rFonts w:ascii="ITC Avant Garde" w:hAnsi="ITC Avant Garde"/>
        </w:rPr>
        <w:t xml:space="preserve"> </w:t>
      </w:r>
      <w:r w:rsidR="00DE1D1E" w:rsidRPr="00F30615">
        <w:rPr>
          <w:rFonts w:ascii="ITC Avant Garde" w:hAnsi="ITC Avant Garde"/>
        </w:rPr>
        <w:t>de</w:t>
      </w:r>
      <w:r w:rsidR="00590134" w:rsidRPr="00F30615">
        <w:rPr>
          <w:rFonts w:ascii="ITC Avant Garde" w:hAnsi="ITC Avant Garde"/>
        </w:rPr>
        <w:t xml:space="preserve"> junio</w:t>
      </w:r>
      <w:r w:rsidR="005D77DC" w:rsidRPr="00F30615">
        <w:rPr>
          <w:rFonts w:ascii="ITC Avant Garde" w:hAnsi="ITC Avant Garde"/>
        </w:rPr>
        <w:t xml:space="preserve"> del 202</w:t>
      </w:r>
      <w:r w:rsidR="006E449A" w:rsidRPr="00F30615">
        <w:rPr>
          <w:rFonts w:ascii="ITC Avant Garde" w:hAnsi="ITC Avant Garde"/>
        </w:rPr>
        <w:t>4</w:t>
      </w:r>
    </w:p>
    <w:p w14:paraId="63796385" w14:textId="77777777" w:rsidR="00DE1D1E" w:rsidRPr="00D933C8" w:rsidRDefault="00DE1D1E" w:rsidP="00E81595">
      <w:pPr>
        <w:tabs>
          <w:tab w:val="left" w:pos="426"/>
        </w:tabs>
        <w:spacing w:after="0" w:line="240" w:lineRule="auto"/>
        <w:ind w:left="0" w:firstLine="0"/>
        <w:rPr>
          <w:rFonts w:ascii="ITC Avant Garde" w:hAnsi="ITC Avant Garde" w:cs="ITC Avant Garde"/>
        </w:rPr>
      </w:pPr>
    </w:p>
    <w:p w14:paraId="42EBD901" w14:textId="3F399C3D" w:rsidR="00DE1D1E" w:rsidRPr="00D933C8" w:rsidRDefault="00285D35" w:rsidP="00E81595">
      <w:pPr>
        <w:pStyle w:val="Prrafodelista"/>
        <w:tabs>
          <w:tab w:val="left" w:pos="426"/>
        </w:tabs>
        <w:spacing w:after="0" w:line="240" w:lineRule="auto"/>
        <w:ind w:left="0" w:firstLine="0"/>
        <w:rPr>
          <w:rFonts w:ascii="ITC Avant Garde" w:hAnsi="ITC Avant Garde" w:cs="ITC Avant Garde"/>
          <w:b/>
        </w:rPr>
      </w:pPr>
      <w:r w:rsidRPr="00D933C8">
        <w:rPr>
          <w:rFonts w:ascii="ITC Avant Garde" w:hAnsi="ITC Avant Garde" w:cs="ITC Avant Garde"/>
          <w:b/>
        </w:rPr>
        <w:t xml:space="preserve">II. </w:t>
      </w:r>
      <w:r w:rsidR="00DE1D1E" w:rsidRPr="00D933C8">
        <w:rPr>
          <w:rFonts w:ascii="ITC Avant Garde" w:hAnsi="ITC Avant Garde" w:cs="ITC Avant Garde"/>
          <w:b/>
        </w:rPr>
        <w:t>Descripción de la Consulta Pública</w:t>
      </w:r>
      <w:r w:rsidR="00CC6DAA">
        <w:rPr>
          <w:rFonts w:ascii="ITC Avant Garde" w:hAnsi="ITC Avant Garde" w:cs="ITC Avant Garde"/>
          <w:b/>
        </w:rPr>
        <w:t xml:space="preserve"> de Integración</w:t>
      </w:r>
      <w:r w:rsidR="00CC6DAA" w:rsidRPr="00D933C8">
        <w:rPr>
          <w:rFonts w:ascii="ITC Avant Garde" w:hAnsi="ITC Avant Garde" w:cs="ITC Avant Garde"/>
          <w:b/>
        </w:rPr>
        <w:t>:</w:t>
      </w:r>
    </w:p>
    <w:p w14:paraId="6CF0E695" w14:textId="77777777" w:rsidR="00DE1D1E" w:rsidRPr="00D933C8" w:rsidRDefault="00DE1D1E" w:rsidP="00E81595">
      <w:pPr>
        <w:tabs>
          <w:tab w:val="left" w:pos="426"/>
        </w:tabs>
        <w:spacing w:after="0" w:line="240" w:lineRule="auto"/>
        <w:ind w:left="0" w:right="0" w:firstLine="0"/>
        <w:rPr>
          <w:rFonts w:ascii="ITC Avant Garde" w:hAnsi="ITC Avant Garde"/>
        </w:rPr>
      </w:pPr>
    </w:p>
    <w:p w14:paraId="70CADF8E" w14:textId="36881492" w:rsidR="00DE1D1E" w:rsidRPr="00D933C8" w:rsidRDefault="00DE1D1E" w:rsidP="00E81595">
      <w:pPr>
        <w:tabs>
          <w:tab w:val="left" w:pos="426"/>
        </w:tabs>
        <w:spacing w:after="0" w:line="240" w:lineRule="auto"/>
        <w:ind w:left="0" w:right="0" w:firstLine="0"/>
        <w:rPr>
          <w:rFonts w:ascii="ITC Avant Garde" w:eastAsiaTheme="minorHAnsi" w:hAnsi="ITC Avant Garde" w:cs="ITC Avant Garde"/>
          <w:lang w:eastAsia="en-US"/>
        </w:rPr>
      </w:pPr>
      <w:r w:rsidRPr="00D933C8">
        <w:rPr>
          <w:rFonts w:ascii="ITC Avant Garde" w:hAnsi="ITC Avant Garde"/>
        </w:rPr>
        <w:t xml:space="preserve">El Instituto Federal de Telecomunicaciones (Instituto) </w:t>
      </w:r>
      <w:r w:rsidRPr="00D933C8">
        <w:rPr>
          <w:rFonts w:ascii="ITC Avant Garde" w:eastAsiaTheme="minorHAnsi" w:hAnsi="ITC Avant Garde" w:cs="ITC Avant Garde"/>
          <w:lang w:eastAsia="en-US"/>
        </w:rPr>
        <w:t>recibió comentarios, opiniones, aportaciones y otros elementos de análisis por parte de l</w:t>
      </w:r>
      <w:r w:rsidR="006134DE" w:rsidRPr="00D933C8">
        <w:rPr>
          <w:rFonts w:ascii="ITC Avant Garde" w:eastAsiaTheme="minorHAnsi" w:hAnsi="ITC Avant Garde" w:cs="ITC Avant Garde"/>
          <w:lang w:eastAsia="en-US"/>
        </w:rPr>
        <w:t>a</w:t>
      </w:r>
      <w:r w:rsidRPr="00D933C8">
        <w:rPr>
          <w:rFonts w:ascii="ITC Avant Garde" w:eastAsiaTheme="minorHAnsi" w:hAnsi="ITC Avant Garde" w:cs="ITC Avant Garde"/>
          <w:lang w:eastAsia="en-US"/>
        </w:rPr>
        <w:t xml:space="preserve">s </w:t>
      </w:r>
      <w:r w:rsidR="006134DE" w:rsidRPr="00D933C8">
        <w:rPr>
          <w:rFonts w:ascii="ITC Avant Garde" w:eastAsiaTheme="minorHAnsi" w:hAnsi="ITC Avant Garde" w:cs="ITC Avant Garde"/>
          <w:lang w:eastAsia="en-US"/>
        </w:rPr>
        <w:t xml:space="preserve">personas </w:t>
      </w:r>
      <w:r w:rsidRPr="00D933C8">
        <w:rPr>
          <w:rFonts w:ascii="ITC Avant Garde" w:eastAsiaTheme="minorHAnsi" w:hAnsi="ITC Avant Garde" w:cs="ITC Avant Garde"/>
          <w:lang w:eastAsia="en-US"/>
        </w:rPr>
        <w:t>interesad</w:t>
      </w:r>
      <w:r w:rsidR="006134DE" w:rsidRPr="00D933C8">
        <w:rPr>
          <w:rFonts w:ascii="ITC Avant Garde" w:eastAsiaTheme="minorHAnsi" w:hAnsi="ITC Avant Garde" w:cs="ITC Avant Garde"/>
          <w:lang w:eastAsia="en-US"/>
        </w:rPr>
        <w:t>a</w:t>
      </w:r>
      <w:r w:rsidRPr="00D933C8">
        <w:rPr>
          <w:rFonts w:ascii="ITC Avant Garde" w:eastAsiaTheme="minorHAnsi" w:hAnsi="ITC Avant Garde" w:cs="ITC Avant Garde"/>
          <w:lang w:eastAsia="en-US"/>
        </w:rPr>
        <w:t xml:space="preserve">s, con relación al contenido del </w:t>
      </w:r>
      <w:r w:rsidR="00AE2564" w:rsidRPr="00D933C8">
        <w:rPr>
          <w:rFonts w:ascii="ITC Avant Garde" w:hAnsi="ITC Avant Garde"/>
          <w:b/>
        </w:rPr>
        <w:t>Acuerdo mediante el cual el Pleno del Instituto Federal de Telecomunicaciones determina someter a Consulta Pública de Integración el “Cuestionario sobre prospectiva de solicitud y asignación de Recursos Orbitales en México”</w:t>
      </w:r>
      <w:r w:rsidR="00AE2564" w:rsidRPr="00D933C8">
        <w:rPr>
          <w:rFonts w:ascii="ITC Avant Garde" w:eastAsiaTheme="minorHAnsi" w:hAnsi="ITC Avant Garde" w:cs="ITC Avant Garde"/>
          <w:lang w:eastAsia="en-US"/>
        </w:rPr>
        <w:t xml:space="preserve"> </w:t>
      </w:r>
      <w:r w:rsidRPr="00D933C8">
        <w:rPr>
          <w:rFonts w:ascii="ITC Avant Garde" w:eastAsiaTheme="minorHAnsi" w:hAnsi="ITC Avant Garde" w:cs="ITC Avant Garde"/>
          <w:lang w:eastAsia="en-US"/>
        </w:rPr>
        <w:t>(</w:t>
      </w:r>
      <w:r w:rsidR="00AE2564" w:rsidRPr="00D933C8">
        <w:rPr>
          <w:rFonts w:ascii="ITC Avant Garde" w:eastAsiaTheme="minorHAnsi" w:hAnsi="ITC Avant Garde" w:cs="ITC Avant Garde"/>
          <w:lang w:eastAsia="en-US"/>
        </w:rPr>
        <w:t>Cuestionario</w:t>
      </w:r>
      <w:r w:rsidRPr="00D933C8">
        <w:rPr>
          <w:rFonts w:ascii="ITC Avant Garde" w:eastAsiaTheme="minorHAnsi" w:hAnsi="ITC Avant Garde" w:cs="ITC Avant Garde"/>
          <w:lang w:eastAsia="en-US"/>
        </w:rPr>
        <w:t>)</w:t>
      </w:r>
      <w:r w:rsidR="00300B66">
        <w:rPr>
          <w:rFonts w:ascii="ITC Avant Garde" w:eastAsiaTheme="minorHAnsi" w:hAnsi="ITC Avant Garde" w:cs="ITC Avant Garde"/>
          <w:lang w:eastAsia="en-US"/>
        </w:rPr>
        <w:t>,</w:t>
      </w:r>
      <w:r w:rsidRPr="00D933C8">
        <w:rPr>
          <w:rFonts w:ascii="ITC Avant Garde" w:eastAsiaTheme="minorHAnsi" w:hAnsi="ITC Avant Garde" w:cs="ITC Avant Garde"/>
          <w:lang w:eastAsia="en-US"/>
        </w:rPr>
        <w:t xml:space="preserve"> materia de la </w:t>
      </w:r>
      <w:r w:rsidR="00EA02D0" w:rsidRPr="00D933C8">
        <w:rPr>
          <w:rFonts w:ascii="ITC Avant Garde" w:eastAsiaTheme="minorHAnsi" w:hAnsi="ITC Avant Garde" w:cs="ITC Avant Garde"/>
          <w:lang w:eastAsia="en-US"/>
        </w:rPr>
        <w:t>Consulta Pública</w:t>
      </w:r>
      <w:r w:rsidR="00827078">
        <w:rPr>
          <w:rFonts w:ascii="ITC Avant Garde" w:eastAsiaTheme="minorHAnsi" w:hAnsi="ITC Avant Garde" w:cs="ITC Avant Garde"/>
          <w:lang w:eastAsia="en-US"/>
        </w:rPr>
        <w:t xml:space="preserve"> de Integración</w:t>
      </w:r>
      <w:r w:rsidRPr="00D933C8">
        <w:rPr>
          <w:rFonts w:ascii="ITC Avant Garde" w:eastAsiaTheme="minorHAnsi" w:hAnsi="ITC Avant Garde" w:cs="ITC Avant Garde"/>
          <w:lang w:eastAsia="en-US"/>
        </w:rPr>
        <w:t>. Las participaciones fueron recibid</w:t>
      </w:r>
      <w:r w:rsidR="00DB0D7C" w:rsidRPr="00D933C8">
        <w:rPr>
          <w:rFonts w:ascii="ITC Avant Garde" w:eastAsiaTheme="minorHAnsi" w:hAnsi="ITC Avant Garde" w:cs="ITC Avant Garde"/>
          <w:lang w:eastAsia="en-US"/>
        </w:rPr>
        <w:t>a</w:t>
      </w:r>
      <w:r w:rsidRPr="00D933C8">
        <w:rPr>
          <w:rFonts w:ascii="ITC Avant Garde" w:eastAsiaTheme="minorHAnsi" w:hAnsi="ITC Avant Garde" w:cs="ITC Avant Garde"/>
          <w:lang w:eastAsia="en-US"/>
        </w:rPr>
        <w:t>s durante el periodo comprendido del</w:t>
      </w:r>
      <w:r w:rsidR="00DB0D7C" w:rsidRPr="00D933C8">
        <w:rPr>
          <w:rFonts w:ascii="ITC Avant Garde" w:eastAsiaTheme="minorHAnsi" w:hAnsi="ITC Avant Garde" w:cs="ITC Avant Garde"/>
          <w:lang w:eastAsia="en-US"/>
        </w:rPr>
        <w:t xml:space="preserve"> </w:t>
      </w:r>
      <w:r w:rsidR="00AE2564" w:rsidRPr="00D933C8">
        <w:rPr>
          <w:rFonts w:ascii="ITC Avant Garde" w:eastAsiaTheme="minorHAnsi" w:hAnsi="ITC Avant Garde" w:cs="ITC Avant Garde"/>
          <w:lang w:eastAsia="en-US"/>
        </w:rPr>
        <w:t>28 de noviembre</w:t>
      </w:r>
      <w:r w:rsidR="00DB0D7C" w:rsidRPr="00D933C8">
        <w:rPr>
          <w:rFonts w:ascii="ITC Avant Garde" w:eastAsiaTheme="minorHAnsi" w:hAnsi="ITC Avant Garde" w:cs="ITC Avant Garde"/>
          <w:lang w:eastAsia="en-US"/>
        </w:rPr>
        <w:t xml:space="preserve"> </w:t>
      </w:r>
      <w:r w:rsidR="00DB0D7C" w:rsidRPr="00092FC7">
        <w:rPr>
          <w:rFonts w:ascii="ITC Avant Garde" w:eastAsiaTheme="minorHAnsi" w:hAnsi="ITC Avant Garde" w:cs="ITC Avant Garde"/>
          <w:color w:val="auto"/>
          <w:lang w:eastAsia="en-US"/>
        </w:rPr>
        <w:t>de 202</w:t>
      </w:r>
      <w:r w:rsidR="00B34C33" w:rsidRPr="00092FC7">
        <w:rPr>
          <w:rFonts w:ascii="ITC Avant Garde" w:eastAsiaTheme="minorHAnsi" w:hAnsi="ITC Avant Garde" w:cs="ITC Avant Garde"/>
          <w:color w:val="auto"/>
          <w:lang w:eastAsia="en-US"/>
        </w:rPr>
        <w:t>3</w:t>
      </w:r>
      <w:r w:rsidR="00DB0D7C" w:rsidRPr="00092FC7">
        <w:rPr>
          <w:rFonts w:ascii="ITC Avant Garde" w:eastAsiaTheme="minorHAnsi" w:hAnsi="ITC Avant Garde" w:cs="ITC Avant Garde"/>
          <w:color w:val="auto"/>
          <w:lang w:eastAsia="en-US"/>
        </w:rPr>
        <w:t xml:space="preserve"> al </w:t>
      </w:r>
      <w:r w:rsidR="00AE2564" w:rsidRPr="00092FC7">
        <w:rPr>
          <w:rFonts w:ascii="ITC Avant Garde" w:eastAsiaTheme="minorHAnsi" w:hAnsi="ITC Avant Garde" w:cs="ITC Avant Garde"/>
          <w:color w:val="auto"/>
          <w:lang w:eastAsia="en-US"/>
        </w:rPr>
        <w:t>7 de marzo</w:t>
      </w:r>
      <w:r w:rsidR="000C52C7" w:rsidRPr="00092FC7">
        <w:rPr>
          <w:rFonts w:ascii="ITC Avant Garde" w:eastAsiaTheme="minorHAnsi" w:hAnsi="ITC Avant Garde" w:cs="ITC Avant Garde"/>
          <w:color w:val="auto"/>
          <w:lang w:eastAsia="en-US"/>
        </w:rPr>
        <w:t xml:space="preserve"> </w:t>
      </w:r>
      <w:r w:rsidRPr="00092FC7">
        <w:rPr>
          <w:rFonts w:ascii="ITC Avant Garde" w:eastAsiaTheme="minorHAnsi" w:hAnsi="ITC Avant Garde" w:cs="ITC Avant Garde"/>
          <w:color w:val="auto"/>
          <w:lang w:eastAsia="en-US"/>
        </w:rPr>
        <w:t>de 202</w:t>
      </w:r>
      <w:r w:rsidR="00B34C33" w:rsidRPr="00092FC7">
        <w:rPr>
          <w:rFonts w:ascii="ITC Avant Garde" w:eastAsiaTheme="minorHAnsi" w:hAnsi="ITC Avant Garde" w:cs="ITC Avant Garde"/>
          <w:color w:val="auto"/>
          <w:lang w:eastAsia="en-US"/>
        </w:rPr>
        <w:t>4</w:t>
      </w:r>
      <w:r w:rsidRPr="00092FC7">
        <w:rPr>
          <w:rFonts w:ascii="ITC Avant Garde" w:eastAsiaTheme="minorHAnsi" w:hAnsi="ITC Avant Garde" w:cs="ITC Avant Garde"/>
          <w:color w:val="auto"/>
          <w:lang w:eastAsia="en-US"/>
        </w:rPr>
        <w:t xml:space="preserve"> a través de la dirección de correo electrónico</w:t>
      </w:r>
      <w:r w:rsidR="00790D16" w:rsidRPr="00092FC7">
        <w:rPr>
          <w:rFonts w:ascii="ITC Avant Garde" w:eastAsiaTheme="minorHAnsi" w:hAnsi="ITC Avant Garde" w:cs="ITC Avant Garde"/>
          <w:color w:val="auto"/>
          <w:lang w:eastAsia="en-US"/>
        </w:rPr>
        <w:t>:</w:t>
      </w:r>
      <w:r w:rsidRPr="00092FC7">
        <w:rPr>
          <w:rFonts w:ascii="ITC Avant Garde" w:eastAsiaTheme="minorHAnsi" w:hAnsi="ITC Avant Garde" w:cs="ITC Avant Garde"/>
          <w:color w:val="auto"/>
          <w:lang w:eastAsia="en-US"/>
        </w:rPr>
        <w:t xml:space="preserve"> </w:t>
      </w:r>
      <w:hyperlink r:id="rId11" w:tgtFrame="_blank" w:tooltip="Envío de correo" w:history="1">
        <w:r w:rsidR="00AE2564" w:rsidRPr="00092FC7">
          <w:rPr>
            <w:rStyle w:val="Hipervnculo"/>
            <w:rFonts w:ascii="ITC Avant Garde" w:hAnsi="ITC Avant Garde"/>
            <w:color w:val="auto"/>
            <w:shd w:val="clear" w:color="auto" w:fill="FFFFFF"/>
          </w:rPr>
          <w:t>cprecursosorbitales@ift.org.mx</w:t>
        </w:r>
      </w:hyperlink>
      <w:r w:rsidR="00AE2564" w:rsidRPr="00092FC7">
        <w:rPr>
          <w:rFonts w:ascii="ITC Avant Garde" w:hAnsi="ITC Avant Garde"/>
          <w:color w:val="auto"/>
          <w:shd w:val="clear" w:color="auto" w:fill="FFFFFF"/>
        </w:rPr>
        <w:t>.</w:t>
      </w:r>
    </w:p>
    <w:p w14:paraId="31EF4D7D" w14:textId="1C014C77" w:rsidR="00DE1D1E" w:rsidRPr="00D933C8" w:rsidRDefault="00DE1D1E" w:rsidP="00E81595">
      <w:pPr>
        <w:tabs>
          <w:tab w:val="left" w:pos="426"/>
        </w:tabs>
        <w:spacing w:after="0" w:line="240" w:lineRule="auto"/>
        <w:ind w:left="0" w:right="0" w:firstLine="0"/>
        <w:rPr>
          <w:rFonts w:ascii="ITC Avant Garde" w:eastAsiaTheme="minorHAnsi" w:hAnsi="ITC Avant Garde" w:cs="ITC Avant Garde"/>
          <w:lang w:eastAsia="en-US"/>
        </w:rPr>
      </w:pPr>
    </w:p>
    <w:p w14:paraId="447C7479" w14:textId="3009BFA6" w:rsidR="00DE1D1E" w:rsidRPr="00D933C8" w:rsidRDefault="00285D35" w:rsidP="00E81595">
      <w:pPr>
        <w:pStyle w:val="Prrafodelista"/>
        <w:tabs>
          <w:tab w:val="left" w:pos="426"/>
        </w:tabs>
        <w:spacing w:after="0" w:line="240" w:lineRule="auto"/>
        <w:ind w:left="0" w:firstLine="0"/>
        <w:rPr>
          <w:rFonts w:ascii="ITC Avant Garde" w:hAnsi="ITC Avant Garde" w:cs="ITC Avant Garde"/>
          <w:b/>
        </w:rPr>
      </w:pPr>
      <w:r w:rsidRPr="00D933C8">
        <w:rPr>
          <w:rFonts w:ascii="ITC Avant Garde" w:hAnsi="ITC Avant Garde" w:cs="ITC Avant Garde"/>
          <w:b/>
        </w:rPr>
        <w:t xml:space="preserve">III. </w:t>
      </w:r>
      <w:r w:rsidR="00DE1D1E" w:rsidRPr="00D933C8">
        <w:rPr>
          <w:rFonts w:ascii="ITC Avant Garde" w:hAnsi="ITC Avant Garde" w:cs="ITC Avant Garde"/>
          <w:b/>
        </w:rPr>
        <w:t>Objetivo de la Consulta Pública</w:t>
      </w:r>
      <w:r w:rsidR="00CC6DAA">
        <w:rPr>
          <w:rFonts w:ascii="ITC Avant Garde" w:hAnsi="ITC Avant Garde" w:cs="ITC Avant Garde"/>
          <w:b/>
        </w:rPr>
        <w:t xml:space="preserve"> de Integración</w:t>
      </w:r>
      <w:r w:rsidR="00DE1D1E" w:rsidRPr="00D933C8">
        <w:rPr>
          <w:rFonts w:ascii="ITC Avant Garde" w:hAnsi="ITC Avant Garde" w:cs="ITC Avant Garde"/>
          <w:b/>
        </w:rPr>
        <w:t>:</w:t>
      </w:r>
    </w:p>
    <w:p w14:paraId="758D2B68" w14:textId="77777777" w:rsidR="00DE1D1E" w:rsidRPr="00D933C8" w:rsidRDefault="00DE1D1E" w:rsidP="00E81595">
      <w:pPr>
        <w:tabs>
          <w:tab w:val="left" w:pos="426"/>
        </w:tabs>
        <w:spacing w:after="0" w:line="240" w:lineRule="auto"/>
        <w:ind w:left="0" w:right="0" w:firstLine="0"/>
        <w:rPr>
          <w:rFonts w:ascii="ITC Avant Garde" w:hAnsi="ITC Avant Garde"/>
        </w:rPr>
      </w:pPr>
    </w:p>
    <w:p w14:paraId="579CA3A0" w14:textId="4C4155F8" w:rsidR="005646F2" w:rsidRDefault="00DE1D1E" w:rsidP="00E81595">
      <w:pPr>
        <w:tabs>
          <w:tab w:val="left" w:pos="426"/>
        </w:tabs>
        <w:spacing w:after="0" w:line="240" w:lineRule="auto"/>
        <w:ind w:left="0" w:right="0" w:firstLine="0"/>
        <w:rPr>
          <w:rFonts w:ascii="ITC Avant Garde" w:hAnsi="ITC Avant Garde"/>
        </w:rPr>
      </w:pPr>
      <w:r w:rsidRPr="00D933C8">
        <w:rPr>
          <w:rFonts w:ascii="ITC Avant Garde" w:hAnsi="ITC Avant Garde"/>
        </w:rPr>
        <w:t>El Instituto</w:t>
      </w:r>
      <w:r w:rsidR="00AE2564" w:rsidRPr="00D933C8">
        <w:rPr>
          <w:rFonts w:ascii="ITC Avant Garde" w:hAnsi="ITC Avant Garde"/>
        </w:rPr>
        <w:t xml:space="preserve"> convencido de la importancia y relevancia de fomentar la transparencia y la participación ciudadana en los asuntos a su cargo, así como en la toma de decisiones que debe realizar sobre diversos asuntos de interés general</w:t>
      </w:r>
      <w:r w:rsidR="006134DE" w:rsidRPr="00D933C8">
        <w:rPr>
          <w:rFonts w:ascii="ITC Avant Garde" w:hAnsi="ITC Avant Garde"/>
        </w:rPr>
        <w:t xml:space="preserve">, </w:t>
      </w:r>
      <w:r w:rsidRPr="00D933C8">
        <w:rPr>
          <w:rFonts w:ascii="ITC Avant Garde" w:hAnsi="ITC Avant Garde"/>
        </w:rPr>
        <w:t>llev</w:t>
      </w:r>
      <w:r w:rsidR="006134DE" w:rsidRPr="00D933C8">
        <w:rPr>
          <w:rFonts w:ascii="ITC Avant Garde" w:hAnsi="ITC Avant Garde"/>
        </w:rPr>
        <w:t>ó</w:t>
      </w:r>
      <w:r w:rsidRPr="00D933C8">
        <w:rPr>
          <w:rFonts w:ascii="ITC Avant Garde" w:hAnsi="ITC Avant Garde"/>
        </w:rPr>
        <w:t xml:space="preserve"> a cabo un proceso de Consulta Pública</w:t>
      </w:r>
      <w:r w:rsidR="001D1398">
        <w:rPr>
          <w:rFonts w:ascii="ITC Avant Garde" w:hAnsi="ITC Avant Garde"/>
        </w:rPr>
        <w:t xml:space="preserve"> de Integración</w:t>
      </w:r>
      <w:r w:rsidRPr="00D933C8">
        <w:rPr>
          <w:rFonts w:ascii="ITC Avant Garde" w:hAnsi="ITC Avant Garde"/>
        </w:rPr>
        <w:t xml:space="preserve"> en el que recibió las participaciones de </w:t>
      </w:r>
      <w:r w:rsidR="00DB0D7C" w:rsidRPr="00D933C8">
        <w:rPr>
          <w:rFonts w:ascii="ITC Avant Garde" w:hAnsi="ITC Avant Garde"/>
          <w:b/>
        </w:rPr>
        <w:t>1</w:t>
      </w:r>
      <w:r w:rsidR="00DF3789" w:rsidRPr="00D933C8">
        <w:rPr>
          <w:rFonts w:ascii="ITC Avant Garde" w:hAnsi="ITC Avant Garde"/>
          <w:b/>
        </w:rPr>
        <w:t>1</w:t>
      </w:r>
      <w:r w:rsidRPr="00D933C8">
        <w:rPr>
          <w:rFonts w:ascii="ITC Avant Garde" w:hAnsi="ITC Avant Garde"/>
        </w:rPr>
        <w:t xml:space="preserve"> </w:t>
      </w:r>
      <w:r w:rsidR="00827078">
        <w:rPr>
          <w:rFonts w:ascii="ITC Avant Garde" w:hAnsi="ITC Avant Garde"/>
        </w:rPr>
        <w:t xml:space="preserve">personas </w:t>
      </w:r>
      <w:r w:rsidRPr="00D933C8">
        <w:rPr>
          <w:rFonts w:ascii="ITC Avant Garde" w:hAnsi="ITC Avant Garde"/>
        </w:rPr>
        <w:t>interesad</w:t>
      </w:r>
      <w:r w:rsidR="00827078">
        <w:rPr>
          <w:rFonts w:ascii="ITC Avant Garde" w:hAnsi="ITC Avant Garde"/>
        </w:rPr>
        <w:t>a</w:t>
      </w:r>
      <w:r w:rsidRPr="00D933C8">
        <w:rPr>
          <w:rFonts w:ascii="ITC Avant Garde" w:hAnsi="ITC Avant Garde"/>
        </w:rPr>
        <w:t xml:space="preserve">s con relación al </w:t>
      </w:r>
      <w:r w:rsidR="00E871EB" w:rsidRPr="00D933C8">
        <w:rPr>
          <w:rFonts w:ascii="ITC Avant Garde" w:hAnsi="ITC Avant Garde"/>
        </w:rPr>
        <w:t>Cuestionario</w:t>
      </w:r>
      <w:r w:rsidRPr="00D933C8">
        <w:rPr>
          <w:rFonts w:ascii="ITC Avant Garde" w:hAnsi="ITC Avant Garde"/>
        </w:rPr>
        <w:t xml:space="preserve">. </w:t>
      </w:r>
    </w:p>
    <w:p w14:paraId="7DEC0CB9" w14:textId="77777777" w:rsidR="005646F2" w:rsidRDefault="005646F2" w:rsidP="00E81595">
      <w:pPr>
        <w:tabs>
          <w:tab w:val="left" w:pos="426"/>
        </w:tabs>
        <w:spacing w:after="0" w:line="240" w:lineRule="auto"/>
        <w:ind w:left="0" w:right="0" w:firstLine="0"/>
        <w:rPr>
          <w:rFonts w:ascii="ITC Avant Garde" w:hAnsi="ITC Avant Garde"/>
        </w:rPr>
      </w:pPr>
    </w:p>
    <w:p w14:paraId="43C732BC" w14:textId="2F3E23B1" w:rsidR="00DE1D1E" w:rsidRPr="00D933C8" w:rsidRDefault="00DE1D1E" w:rsidP="00E81595">
      <w:pPr>
        <w:tabs>
          <w:tab w:val="left" w:pos="426"/>
        </w:tabs>
        <w:spacing w:after="0" w:line="240" w:lineRule="auto"/>
        <w:ind w:left="0" w:right="0" w:firstLine="0"/>
        <w:rPr>
          <w:rFonts w:ascii="ITC Avant Garde" w:hAnsi="ITC Avant Garde"/>
        </w:rPr>
      </w:pPr>
      <w:r w:rsidRPr="00D933C8">
        <w:rPr>
          <w:rFonts w:ascii="ITC Avant Garde" w:hAnsi="ITC Avant Garde"/>
        </w:rPr>
        <w:t>Lo anterior, con fundamento en los artículos 1, 2, 7, 15 fracci</w:t>
      </w:r>
      <w:r w:rsidR="00E871EB" w:rsidRPr="00D933C8">
        <w:rPr>
          <w:rFonts w:ascii="ITC Avant Garde" w:hAnsi="ITC Avant Garde"/>
        </w:rPr>
        <w:t>ón</w:t>
      </w:r>
      <w:r w:rsidRPr="00D933C8">
        <w:rPr>
          <w:rFonts w:ascii="ITC Avant Garde" w:hAnsi="ITC Avant Garde"/>
        </w:rPr>
        <w:t xml:space="preserve"> XL</w:t>
      </w:r>
      <w:r w:rsidR="00E871EB" w:rsidRPr="00D933C8">
        <w:rPr>
          <w:rFonts w:ascii="ITC Avant Garde" w:hAnsi="ITC Avant Garde"/>
        </w:rPr>
        <w:t xml:space="preserve"> y</w:t>
      </w:r>
      <w:r w:rsidR="006134DE" w:rsidRPr="00D933C8">
        <w:rPr>
          <w:rFonts w:ascii="ITC Avant Garde" w:hAnsi="ITC Avant Garde"/>
        </w:rPr>
        <w:t xml:space="preserve"> </w:t>
      </w:r>
      <w:r w:rsidRPr="00D933C8">
        <w:rPr>
          <w:rFonts w:ascii="ITC Avant Garde" w:hAnsi="ITC Avant Garde"/>
        </w:rPr>
        <w:t>51</w:t>
      </w:r>
      <w:r w:rsidR="00E871EB" w:rsidRPr="00D933C8">
        <w:rPr>
          <w:rFonts w:ascii="ITC Avant Garde" w:hAnsi="ITC Avant Garde"/>
        </w:rPr>
        <w:t xml:space="preserve"> </w:t>
      </w:r>
      <w:r w:rsidRPr="00D933C8">
        <w:rPr>
          <w:rFonts w:ascii="ITC Avant Garde" w:hAnsi="ITC Avant Garde"/>
        </w:rPr>
        <w:t>de la Ley Federal de Telecomunicaciones y Radiodifusión</w:t>
      </w:r>
      <w:r w:rsidR="00E146FD" w:rsidRPr="00D933C8">
        <w:rPr>
          <w:rFonts w:ascii="ITC Avant Garde" w:hAnsi="ITC Avant Garde"/>
        </w:rPr>
        <w:t xml:space="preserve">; </w:t>
      </w:r>
      <w:r w:rsidRPr="00D933C8">
        <w:rPr>
          <w:rFonts w:ascii="ITC Avant Garde" w:hAnsi="ITC Avant Garde"/>
        </w:rPr>
        <w:t>1, 4 fracción I, 6 fracciones I y XXXVIII, 27 y 28 fracci</w:t>
      </w:r>
      <w:r w:rsidR="00E871EB" w:rsidRPr="00D933C8">
        <w:rPr>
          <w:rFonts w:ascii="ITC Avant Garde" w:hAnsi="ITC Avant Garde"/>
        </w:rPr>
        <w:t>ones</w:t>
      </w:r>
      <w:r w:rsidRPr="00D933C8">
        <w:rPr>
          <w:rFonts w:ascii="ITC Avant Garde" w:hAnsi="ITC Avant Garde"/>
        </w:rPr>
        <w:t xml:space="preserve"> I</w:t>
      </w:r>
      <w:r w:rsidR="00E871EB" w:rsidRPr="00D933C8">
        <w:rPr>
          <w:rFonts w:ascii="ITC Avant Garde" w:hAnsi="ITC Avant Garde"/>
        </w:rPr>
        <w:t>V y XXI</w:t>
      </w:r>
      <w:r w:rsidRPr="00D933C8">
        <w:rPr>
          <w:rFonts w:ascii="ITC Avant Garde" w:hAnsi="ITC Avant Garde"/>
        </w:rPr>
        <w:t xml:space="preserve"> del Estatuto Orgánico del Instituto Federal de Telecomunicaciones; así como en los </w:t>
      </w:r>
      <w:r w:rsidR="00DB0D7C" w:rsidRPr="00D933C8">
        <w:rPr>
          <w:rFonts w:ascii="ITC Avant Garde" w:hAnsi="ITC Avant Garde"/>
        </w:rPr>
        <w:t>l</w:t>
      </w:r>
      <w:r w:rsidRPr="00D933C8">
        <w:rPr>
          <w:rFonts w:ascii="ITC Avant Garde" w:hAnsi="ITC Avant Garde"/>
        </w:rPr>
        <w:t>ineamientos Primero, Tercero fracción I,</w:t>
      </w:r>
      <w:r w:rsidR="00A12016" w:rsidRPr="00D933C8">
        <w:rPr>
          <w:rFonts w:ascii="ITC Avant Garde" w:hAnsi="ITC Avant Garde"/>
        </w:rPr>
        <w:t xml:space="preserve"> Séptimo, Octavo, </w:t>
      </w:r>
      <w:r w:rsidRPr="00D933C8">
        <w:rPr>
          <w:rFonts w:ascii="ITC Avant Garde" w:hAnsi="ITC Avant Garde"/>
        </w:rPr>
        <w:t>Noveno</w:t>
      </w:r>
      <w:r w:rsidR="00A12016" w:rsidRPr="00D933C8">
        <w:rPr>
          <w:rFonts w:ascii="ITC Avant Garde" w:hAnsi="ITC Avant Garde"/>
        </w:rPr>
        <w:t xml:space="preserve"> y</w:t>
      </w:r>
      <w:r w:rsidRPr="00D933C8">
        <w:rPr>
          <w:rFonts w:ascii="ITC Avant Garde" w:hAnsi="ITC Avant Garde"/>
        </w:rPr>
        <w:t xml:space="preserve"> Décimo </w:t>
      </w:r>
      <w:r w:rsidR="00A12016" w:rsidRPr="00D933C8">
        <w:rPr>
          <w:rFonts w:ascii="ITC Avant Garde" w:hAnsi="ITC Avant Garde"/>
        </w:rPr>
        <w:t>d</w:t>
      </w:r>
      <w:r w:rsidRPr="00D933C8">
        <w:rPr>
          <w:rFonts w:ascii="ITC Avant Garde" w:hAnsi="ITC Avant Garde"/>
        </w:rPr>
        <w:t>e los Lineamientos de Consulta Pública y Análisis de Impacto Regulatorio del Instituto Federal de Telecomunicaciones.</w:t>
      </w:r>
    </w:p>
    <w:p w14:paraId="4BF23D2C" w14:textId="77777777" w:rsidR="00DE1D1E" w:rsidRPr="00D933C8" w:rsidRDefault="00DE1D1E" w:rsidP="00E81595">
      <w:pPr>
        <w:tabs>
          <w:tab w:val="left" w:pos="426"/>
        </w:tabs>
        <w:spacing w:after="0" w:line="240" w:lineRule="auto"/>
        <w:ind w:left="0" w:right="0" w:firstLine="0"/>
        <w:rPr>
          <w:rFonts w:ascii="ITC Avant Garde" w:hAnsi="ITC Avant Garde"/>
        </w:rPr>
      </w:pPr>
    </w:p>
    <w:p w14:paraId="15F89353" w14:textId="10B74566" w:rsidR="00AE2564" w:rsidRPr="00D933C8" w:rsidRDefault="00DE1D1E" w:rsidP="00E81595">
      <w:pPr>
        <w:tabs>
          <w:tab w:val="left" w:pos="426"/>
        </w:tabs>
        <w:spacing w:after="0" w:line="240" w:lineRule="auto"/>
        <w:ind w:left="0" w:right="0" w:firstLine="0"/>
        <w:rPr>
          <w:rFonts w:ascii="ITC Avant Garde" w:eastAsia="Calibri" w:hAnsi="ITC Avant Garde" w:cs="Times New Roman"/>
          <w:color w:val="auto"/>
          <w:lang w:eastAsia="en-US"/>
        </w:rPr>
      </w:pPr>
      <w:r w:rsidRPr="00D933C8">
        <w:rPr>
          <w:rFonts w:ascii="ITC Avant Garde" w:hAnsi="ITC Avant Garde"/>
        </w:rPr>
        <w:t>En este sentido la Consulta Pública</w:t>
      </w:r>
      <w:r w:rsidR="00925EC0">
        <w:rPr>
          <w:rFonts w:ascii="ITC Avant Garde" w:hAnsi="ITC Avant Garde"/>
        </w:rPr>
        <w:t xml:space="preserve"> de Integración</w:t>
      </w:r>
      <w:r w:rsidRPr="00D933C8">
        <w:rPr>
          <w:rFonts w:ascii="ITC Avant Garde" w:hAnsi="ITC Avant Garde"/>
        </w:rPr>
        <w:t xml:space="preserve"> </w:t>
      </w:r>
      <w:r w:rsidRPr="00D933C8">
        <w:rPr>
          <w:rFonts w:ascii="ITC Avant Garde" w:eastAsia="Calibri" w:hAnsi="ITC Avant Garde" w:cs="Arial"/>
          <w:color w:val="auto"/>
          <w:lang w:val="es-ES" w:eastAsia="en-US"/>
        </w:rPr>
        <w:t>persiguió los objetivos</w:t>
      </w:r>
      <w:r w:rsidR="00AE2564" w:rsidRPr="00D933C8">
        <w:rPr>
          <w:rFonts w:ascii="ITC Avant Garde" w:eastAsia="Calibri" w:hAnsi="ITC Avant Garde" w:cs="Times New Roman"/>
          <w:color w:val="auto"/>
          <w:lang w:eastAsia="en-US"/>
        </w:rPr>
        <w:t xml:space="preserve"> siguientes:</w:t>
      </w:r>
    </w:p>
    <w:p w14:paraId="22FF7392" w14:textId="77777777" w:rsidR="00AE2564" w:rsidRPr="00D933C8" w:rsidRDefault="00AE2564" w:rsidP="00E81595">
      <w:pPr>
        <w:tabs>
          <w:tab w:val="left" w:pos="426"/>
        </w:tabs>
        <w:spacing w:after="0" w:line="240" w:lineRule="auto"/>
        <w:ind w:left="0" w:right="0" w:firstLine="0"/>
        <w:rPr>
          <w:rFonts w:ascii="ITC Avant Garde" w:eastAsia="Calibri" w:hAnsi="ITC Avant Garde" w:cs="Times New Roman"/>
        </w:rPr>
      </w:pPr>
    </w:p>
    <w:p w14:paraId="69C517E8" w14:textId="1240279C" w:rsidR="00AE2564" w:rsidRDefault="00A12016" w:rsidP="00E81595">
      <w:pPr>
        <w:pStyle w:val="Prrafodelista"/>
        <w:numPr>
          <w:ilvl w:val="0"/>
          <w:numId w:val="12"/>
        </w:numPr>
        <w:tabs>
          <w:tab w:val="left" w:pos="426"/>
        </w:tabs>
        <w:spacing w:after="0" w:line="240" w:lineRule="auto"/>
        <w:ind w:right="0"/>
        <w:rPr>
          <w:rFonts w:ascii="ITC Avant Garde" w:eastAsia="Calibri" w:hAnsi="ITC Avant Garde" w:cs="Times New Roman"/>
        </w:rPr>
      </w:pPr>
      <w:r w:rsidRPr="00D933C8">
        <w:rPr>
          <w:rFonts w:ascii="ITC Avant Garde" w:eastAsia="Calibri" w:hAnsi="ITC Avant Garde" w:cs="Times New Roman"/>
        </w:rPr>
        <w:t>L</w:t>
      </w:r>
      <w:r w:rsidR="00AE2564" w:rsidRPr="00D933C8">
        <w:rPr>
          <w:rFonts w:ascii="ITC Avant Garde" w:eastAsia="Calibri" w:hAnsi="ITC Avant Garde" w:cs="Times New Roman"/>
        </w:rPr>
        <w:t xml:space="preserve">levar a cabo una mejor planificación en materia de comunicación vía satélite sobre los </w:t>
      </w:r>
      <w:r w:rsidR="00DD6ED6">
        <w:rPr>
          <w:rFonts w:ascii="ITC Avant Garde" w:eastAsia="Calibri" w:hAnsi="ITC Avant Garde" w:cs="Times New Roman"/>
        </w:rPr>
        <w:t>r</w:t>
      </w:r>
      <w:r w:rsidR="00AE2564" w:rsidRPr="00D933C8">
        <w:rPr>
          <w:rFonts w:ascii="ITC Avant Garde" w:eastAsia="Calibri" w:hAnsi="ITC Avant Garde" w:cs="Times New Roman"/>
        </w:rPr>
        <w:t xml:space="preserve">ecursos orbitales respecto de los cuales el Estado Mexicano ya ha obtenido la prioridad de ocupación ante la Unión Internacional de Telecomunicaciones; </w:t>
      </w:r>
    </w:p>
    <w:p w14:paraId="050D84D9" w14:textId="77777777" w:rsidR="001774DF" w:rsidRPr="00D933C8" w:rsidRDefault="001774DF" w:rsidP="00E81595">
      <w:pPr>
        <w:pStyle w:val="Prrafodelista"/>
        <w:tabs>
          <w:tab w:val="left" w:pos="426"/>
        </w:tabs>
        <w:spacing w:after="0" w:line="240" w:lineRule="auto"/>
        <w:ind w:left="1080" w:right="0" w:firstLine="0"/>
        <w:rPr>
          <w:rFonts w:ascii="ITC Avant Garde" w:eastAsia="Calibri" w:hAnsi="ITC Avant Garde" w:cs="Times New Roman"/>
        </w:rPr>
      </w:pPr>
    </w:p>
    <w:p w14:paraId="544CF4BF" w14:textId="61EE2282" w:rsidR="00AE2564" w:rsidRPr="00D933C8" w:rsidRDefault="00A12016" w:rsidP="00E81595">
      <w:pPr>
        <w:pStyle w:val="Prrafodelista"/>
        <w:numPr>
          <w:ilvl w:val="0"/>
          <w:numId w:val="12"/>
        </w:numPr>
        <w:tabs>
          <w:tab w:val="left" w:pos="426"/>
        </w:tabs>
        <w:spacing w:after="0" w:line="240" w:lineRule="auto"/>
        <w:ind w:right="0"/>
        <w:rPr>
          <w:rFonts w:ascii="ITC Avant Garde" w:eastAsia="Calibri" w:hAnsi="ITC Avant Garde" w:cs="Times New Roman"/>
        </w:rPr>
      </w:pPr>
      <w:r w:rsidRPr="00D933C8">
        <w:rPr>
          <w:rFonts w:ascii="ITC Avant Garde" w:eastAsia="Calibri" w:hAnsi="ITC Avant Garde" w:cs="Times New Roman"/>
        </w:rPr>
        <w:t>E</w:t>
      </w:r>
      <w:r w:rsidR="00AE2564" w:rsidRPr="00D933C8">
        <w:rPr>
          <w:rFonts w:ascii="ITC Avant Garde" w:eastAsia="Calibri" w:hAnsi="ITC Avant Garde" w:cs="Times New Roman"/>
        </w:rPr>
        <w:t>laborar políticas y estrategias regulatorias para el sector satelital</w:t>
      </w:r>
      <w:r w:rsidR="00925EC0">
        <w:rPr>
          <w:rFonts w:ascii="ITC Avant Garde" w:eastAsia="Calibri" w:hAnsi="ITC Avant Garde" w:cs="Times New Roman"/>
        </w:rPr>
        <w:t>;</w:t>
      </w:r>
      <w:r w:rsidR="00AE2564" w:rsidRPr="00D933C8">
        <w:rPr>
          <w:rFonts w:ascii="ITC Avant Garde" w:eastAsia="Calibri" w:hAnsi="ITC Avant Garde" w:cs="Times New Roman"/>
        </w:rPr>
        <w:t xml:space="preserve"> y, </w:t>
      </w:r>
    </w:p>
    <w:p w14:paraId="2316F744" w14:textId="77777777" w:rsidR="00BB0559" w:rsidRDefault="00A12016" w:rsidP="00E81595">
      <w:pPr>
        <w:pStyle w:val="Prrafodelista"/>
        <w:numPr>
          <w:ilvl w:val="0"/>
          <w:numId w:val="12"/>
        </w:numPr>
        <w:tabs>
          <w:tab w:val="left" w:pos="426"/>
        </w:tabs>
        <w:spacing w:after="0" w:line="240" w:lineRule="auto"/>
        <w:ind w:right="0"/>
        <w:rPr>
          <w:rFonts w:ascii="ITC Avant Garde" w:eastAsia="Calibri" w:hAnsi="ITC Avant Garde" w:cs="Times New Roman"/>
        </w:rPr>
      </w:pPr>
      <w:r w:rsidRPr="00D933C8">
        <w:rPr>
          <w:rFonts w:ascii="ITC Avant Garde" w:eastAsia="Calibri" w:hAnsi="ITC Avant Garde" w:cs="Times New Roman"/>
        </w:rPr>
        <w:lastRenderedPageBreak/>
        <w:t>C</w:t>
      </w:r>
      <w:r w:rsidR="00AE2564" w:rsidRPr="00D933C8">
        <w:rPr>
          <w:rFonts w:ascii="ITC Avant Garde" w:eastAsia="Calibri" w:hAnsi="ITC Avant Garde" w:cs="Times New Roman"/>
        </w:rPr>
        <w:t xml:space="preserve">ontar con insumos para la emisión de instrumentos regulatorios sobre la comunicación vía satélite. </w:t>
      </w:r>
    </w:p>
    <w:p w14:paraId="6BDFC689" w14:textId="319A1640" w:rsidR="00DE1D1E" w:rsidRDefault="00DE1D1E" w:rsidP="00E81595">
      <w:pPr>
        <w:tabs>
          <w:tab w:val="left" w:pos="426"/>
        </w:tabs>
        <w:spacing w:after="0" w:line="240" w:lineRule="auto"/>
        <w:ind w:left="0" w:right="0" w:firstLine="0"/>
        <w:rPr>
          <w:rFonts w:ascii="ITC Avant Garde" w:hAnsi="ITC Avant Garde"/>
        </w:rPr>
      </w:pPr>
    </w:p>
    <w:p w14:paraId="02D075E7" w14:textId="14381595" w:rsidR="00DE1D1E" w:rsidRPr="00CC6DAA" w:rsidRDefault="00285D35" w:rsidP="00CC6DAA">
      <w:pPr>
        <w:tabs>
          <w:tab w:val="left" w:pos="426"/>
        </w:tabs>
        <w:spacing w:after="0" w:line="240" w:lineRule="auto"/>
        <w:ind w:left="0" w:right="0" w:firstLine="0"/>
        <w:rPr>
          <w:rFonts w:ascii="ITC Avant Garde" w:hAnsi="ITC Avant Garde"/>
          <w:b/>
        </w:rPr>
      </w:pPr>
      <w:r w:rsidRPr="00CC6DAA">
        <w:rPr>
          <w:rFonts w:ascii="ITC Avant Garde" w:hAnsi="ITC Avant Garde"/>
          <w:b/>
        </w:rPr>
        <w:t xml:space="preserve">IV. </w:t>
      </w:r>
      <w:r w:rsidR="00CC6DAA" w:rsidRPr="00CC6DAA">
        <w:rPr>
          <w:rFonts w:ascii="ITC Avant Garde" w:hAnsi="ITC Avant Garde"/>
          <w:b/>
        </w:rPr>
        <w:t xml:space="preserve">Área responsable de la Consulta Pública de Integración y de la elaboración del presente </w:t>
      </w:r>
      <w:r w:rsidR="00C67B16">
        <w:rPr>
          <w:rFonts w:ascii="ITC Avant Garde" w:hAnsi="ITC Avant Garde"/>
          <w:b/>
        </w:rPr>
        <w:t>I</w:t>
      </w:r>
      <w:r w:rsidR="00CC6DAA" w:rsidRPr="00CC6DAA">
        <w:rPr>
          <w:rFonts w:ascii="ITC Avant Garde" w:hAnsi="ITC Avant Garde"/>
          <w:b/>
        </w:rPr>
        <w:t>nforme</w:t>
      </w:r>
      <w:r w:rsidR="00DE1D1E" w:rsidRPr="00CC6DAA">
        <w:rPr>
          <w:rFonts w:ascii="ITC Avant Garde" w:hAnsi="ITC Avant Garde"/>
          <w:b/>
        </w:rPr>
        <w:t xml:space="preserve">: </w:t>
      </w:r>
    </w:p>
    <w:p w14:paraId="495C44AC" w14:textId="77777777" w:rsidR="00B4058D" w:rsidRPr="00D933C8" w:rsidRDefault="00B4058D" w:rsidP="00E81595">
      <w:pPr>
        <w:pStyle w:val="Prrafodelista"/>
        <w:tabs>
          <w:tab w:val="left" w:pos="426"/>
        </w:tabs>
        <w:spacing w:after="0" w:line="240" w:lineRule="auto"/>
        <w:ind w:left="0" w:firstLine="0"/>
        <w:rPr>
          <w:rFonts w:ascii="ITC Avant Garde" w:hAnsi="ITC Avant Garde" w:cs="ITC Avant Garde"/>
          <w:b/>
        </w:rPr>
      </w:pPr>
    </w:p>
    <w:p w14:paraId="47736EB7" w14:textId="274DC2EA" w:rsidR="00D7307F" w:rsidRPr="000C1B04" w:rsidRDefault="00CC6DAA" w:rsidP="00E81595">
      <w:pPr>
        <w:pStyle w:val="Prrafodelista"/>
        <w:tabs>
          <w:tab w:val="left" w:pos="426"/>
        </w:tabs>
        <w:spacing w:after="0" w:line="240" w:lineRule="auto"/>
        <w:ind w:left="0" w:firstLine="0"/>
        <w:rPr>
          <w:rFonts w:ascii="ITC Avant Garde" w:hAnsi="ITC Avant Garde" w:cs="ITC Avant Garde"/>
          <w:b/>
        </w:rPr>
      </w:pPr>
      <w:r>
        <w:rPr>
          <w:rFonts w:ascii="ITC Avant Garde" w:hAnsi="ITC Avant Garde" w:cs="ITC Avant Garde"/>
        </w:rPr>
        <w:t xml:space="preserve">Dirección General de Regulación del Espectro y Recursos Orbitales adscrita a la </w:t>
      </w:r>
      <w:r w:rsidR="00DE1D1E" w:rsidRPr="00D933C8">
        <w:rPr>
          <w:rFonts w:ascii="ITC Avant Garde" w:hAnsi="ITC Avant Garde" w:cs="ITC Avant Garde"/>
        </w:rPr>
        <w:t>Unidad de Espectro Radioeléctrico del Instituto.</w:t>
      </w:r>
    </w:p>
    <w:p w14:paraId="58771621" w14:textId="6B98E09A" w:rsidR="00D7307F" w:rsidRDefault="00D7307F" w:rsidP="00E81595">
      <w:pPr>
        <w:tabs>
          <w:tab w:val="left" w:pos="426"/>
        </w:tabs>
        <w:spacing w:after="0" w:line="240" w:lineRule="auto"/>
        <w:ind w:left="0" w:right="0" w:firstLine="0"/>
        <w:jc w:val="left"/>
        <w:rPr>
          <w:rFonts w:ascii="ITC Avant Garde" w:hAnsi="ITC Avant Garde"/>
        </w:rPr>
      </w:pPr>
    </w:p>
    <w:p w14:paraId="63060F51" w14:textId="47D196AB" w:rsidR="00DE1D1E" w:rsidRDefault="00285D35" w:rsidP="00E81595">
      <w:pPr>
        <w:pStyle w:val="Prrafodelista"/>
        <w:tabs>
          <w:tab w:val="left" w:pos="426"/>
        </w:tabs>
        <w:spacing w:after="0" w:line="240" w:lineRule="auto"/>
        <w:ind w:left="0" w:firstLine="0"/>
        <w:rPr>
          <w:rFonts w:ascii="ITC Avant Garde" w:hAnsi="ITC Avant Garde" w:cs="ITC Avant Garde"/>
          <w:b/>
        </w:rPr>
      </w:pPr>
      <w:r w:rsidRPr="00D933C8">
        <w:rPr>
          <w:rFonts w:ascii="ITC Avant Garde" w:hAnsi="ITC Avant Garde" w:cs="ITC Avant Garde"/>
          <w:b/>
        </w:rPr>
        <w:t xml:space="preserve">V. </w:t>
      </w:r>
      <w:r w:rsidR="00DE1D1E" w:rsidRPr="00D933C8">
        <w:rPr>
          <w:rFonts w:ascii="ITC Avant Garde" w:hAnsi="ITC Avant Garde" w:cs="ITC Avant Garde"/>
          <w:b/>
        </w:rPr>
        <w:t>Participantes de la Consulta Pública</w:t>
      </w:r>
      <w:r w:rsidR="00CC6DAA">
        <w:rPr>
          <w:rFonts w:ascii="ITC Avant Garde" w:hAnsi="ITC Avant Garde" w:cs="ITC Avant Garde"/>
          <w:b/>
        </w:rPr>
        <w:t xml:space="preserve"> de Integración</w:t>
      </w:r>
      <w:r w:rsidR="00DE1D1E" w:rsidRPr="00D933C8">
        <w:rPr>
          <w:rFonts w:ascii="ITC Avant Garde" w:hAnsi="ITC Avant Garde" w:cs="ITC Avant Garde"/>
          <w:b/>
        </w:rPr>
        <w:t>:</w:t>
      </w:r>
    </w:p>
    <w:p w14:paraId="2658F368" w14:textId="77777777" w:rsidR="00B4058D" w:rsidRPr="00D933C8" w:rsidRDefault="00B4058D" w:rsidP="00E81595">
      <w:pPr>
        <w:pStyle w:val="Prrafodelista"/>
        <w:tabs>
          <w:tab w:val="left" w:pos="426"/>
        </w:tabs>
        <w:spacing w:after="0" w:line="240" w:lineRule="auto"/>
        <w:ind w:left="0" w:firstLine="0"/>
        <w:rPr>
          <w:rFonts w:ascii="ITC Avant Garde" w:hAnsi="ITC Avant Garde" w:cs="ITC Avant Garde"/>
        </w:rPr>
      </w:pPr>
    </w:p>
    <w:p w14:paraId="12A1E87A" w14:textId="3D71E0DA" w:rsidR="00DE1D1E" w:rsidRDefault="00DE1D1E" w:rsidP="00E81595">
      <w:pPr>
        <w:tabs>
          <w:tab w:val="left" w:pos="426"/>
        </w:tabs>
        <w:spacing w:after="0" w:line="240" w:lineRule="auto"/>
        <w:ind w:left="0" w:firstLine="0"/>
        <w:rPr>
          <w:rFonts w:ascii="ITC Avant Garde" w:hAnsi="ITC Avant Garde" w:cs="ITC Avant Garde"/>
        </w:rPr>
      </w:pPr>
      <w:r w:rsidRPr="00D933C8">
        <w:rPr>
          <w:rFonts w:ascii="ITC Avant Garde" w:hAnsi="ITC Avant Garde" w:cs="ITC Avant Garde"/>
        </w:rPr>
        <w:t xml:space="preserve">Durante el período de la Consulta Pública se recibieron </w:t>
      </w:r>
      <w:r w:rsidR="00023617" w:rsidRPr="00D933C8">
        <w:rPr>
          <w:rFonts w:ascii="ITC Avant Garde" w:hAnsi="ITC Avant Garde" w:cs="ITC Avant Garde"/>
          <w:b/>
        </w:rPr>
        <w:t>1</w:t>
      </w:r>
      <w:r w:rsidR="00525800" w:rsidRPr="00D933C8">
        <w:rPr>
          <w:rFonts w:ascii="ITC Avant Garde" w:hAnsi="ITC Avant Garde" w:cs="ITC Avant Garde"/>
          <w:b/>
        </w:rPr>
        <w:t>1</w:t>
      </w:r>
      <w:r w:rsidRPr="00D933C8">
        <w:rPr>
          <w:rFonts w:ascii="ITC Avant Garde" w:hAnsi="ITC Avant Garde" w:cs="ITC Avant Garde"/>
        </w:rPr>
        <w:t xml:space="preserve"> participaciones de las personas físicas y morales siguientes:</w:t>
      </w:r>
    </w:p>
    <w:p w14:paraId="78745F44" w14:textId="77777777" w:rsidR="000C1B04" w:rsidRPr="00D933C8" w:rsidRDefault="000C1B04" w:rsidP="00E81595">
      <w:pPr>
        <w:tabs>
          <w:tab w:val="left" w:pos="426"/>
        </w:tabs>
        <w:spacing w:after="0" w:line="240" w:lineRule="auto"/>
        <w:ind w:left="0" w:firstLine="0"/>
        <w:rPr>
          <w:rFonts w:ascii="ITC Avant Garde" w:hAnsi="ITC Avant Garde" w:cs="ITC Avant Garde"/>
        </w:rPr>
      </w:pPr>
    </w:p>
    <w:tbl>
      <w:tblPr>
        <w:tblStyle w:val="Tablaconcuadrcula4-nfasis6"/>
        <w:tblW w:w="9946" w:type="dxa"/>
        <w:tblLook w:val="04A0" w:firstRow="1" w:lastRow="0" w:firstColumn="1" w:lastColumn="0" w:noHBand="0" w:noVBand="1"/>
      </w:tblPr>
      <w:tblGrid>
        <w:gridCol w:w="518"/>
        <w:gridCol w:w="1895"/>
        <w:gridCol w:w="2216"/>
        <w:gridCol w:w="1745"/>
        <w:gridCol w:w="1276"/>
        <w:gridCol w:w="1172"/>
        <w:gridCol w:w="1125"/>
      </w:tblGrid>
      <w:tr w:rsidR="00BB22E2" w:rsidRPr="00D933C8" w14:paraId="2E3A129A" w14:textId="77777777" w:rsidTr="00804BC9">
        <w:trPr>
          <w:cnfStyle w:val="100000000000" w:firstRow="1" w:lastRow="0" w:firstColumn="0" w:lastColumn="0" w:oddVBand="0" w:evenVBand="0" w:oddHBand="0"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518" w:type="dxa"/>
            <w:vAlign w:val="center"/>
            <w:hideMark/>
          </w:tcPr>
          <w:p w14:paraId="3E5F8715" w14:textId="7B3D14F6" w:rsidR="00BB22E2" w:rsidRPr="003A26D0" w:rsidRDefault="000C1B04" w:rsidP="00E81595">
            <w:pPr>
              <w:spacing w:after="0" w:line="240" w:lineRule="auto"/>
              <w:ind w:left="0" w:right="0" w:firstLine="0"/>
              <w:jc w:val="center"/>
              <w:rPr>
                <w:rFonts w:ascii="ITC Avant Garde" w:eastAsia="Times New Roman" w:hAnsi="ITC Avant Garde" w:cs="Calibri"/>
                <w:bCs w:val="0"/>
                <w:color w:val="FFFFFF"/>
                <w:sz w:val="18"/>
                <w:szCs w:val="18"/>
              </w:rPr>
            </w:pPr>
            <w:r>
              <w:rPr>
                <w:rFonts w:ascii="ITC Avant Garde" w:eastAsia="Times New Roman" w:hAnsi="ITC Avant Garde" w:cs="Calibri"/>
                <w:bCs w:val="0"/>
                <w:color w:val="FFFFFF"/>
                <w:sz w:val="18"/>
                <w:szCs w:val="18"/>
              </w:rPr>
              <w:t>No.</w:t>
            </w:r>
          </w:p>
        </w:tc>
        <w:tc>
          <w:tcPr>
            <w:tcW w:w="1895" w:type="dxa"/>
            <w:vAlign w:val="center"/>
            <w:hideMark/>
          </w:tcPr>
          <w:p w14:paraId="71CE0CB7"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Nombre de la persona física que remite el comentario</w:t>
            </w:r>
          </w:p>
        </w:tc>
        <w:tc>
          <w:tcPr>
            <w:tcW w:w="2216" w:type="dxa"/>
            <w:vAlign w:val="center"/>
            <w:hideMark/>
          </w:tcPr>
          <w:p w14:paraId="08CAAB64"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Nombre o denominación de la persona moral</w:t>
            </w:r>
          </w:p>
        </w:tc>
        <w:tc>
          <w:tcPr>
            <w:tcW w:w="1745" w:type="dxa"/>
            <w:vAlign w:val="center"/>
            <w:hideMark/>
          </w:tcPr>
          <w:p w14:paraId="621DC5D0"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Tipo de documento que se revisó para determinar la acreditación</w:t>
            </w:r>
          </w:p>
        </w:tc>
        <w:tc>
          <w:tcPr>
            <w:tcW w:w="1276" w:type="dxa"/>
            <w:vAlign w:val="center"/>
            <w:hideMark/>
          </w:tcPr>
          <w:p w14:paraId="2B3A9607"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Medio de recepción</w:t>
            </w:r>
          </w:p>
        </w:tc>
        <w:tc>
          <w:tcPr>
            <w:tcW w:w="1172" w:type="dxa"/>
            <w:vAlign w:val="center"/>
            <w:hideMark/>
          </w:tcPr>
          <w:p w14:paraId="019A5FBE"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Fecha de recepción</w:t>
            </w:r>
          </w:p>
        </w:tc>
        <w:tc>
          <w:tcPr>
            <w:tcW w:w="1124" w:type="dxa"/>
            <w:vAlign w:val="center"/>
            <w:hideMark/>
          </w:tcPr>
          <w:p w14:paraId="1A579D4B" w14:textId="77777777" w:rsidR="00BB22E2" w:rsidRPr="003A26D0" w:rsidRDefault="00BB22E2" w:rsidP="00E81595">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Calibri"/>
                <w:bCs w:val="0"/>
                <w:color w:val="FFFFFF"/>
                <w:sz w:val="18"/>
                <w:szCs w:val="18"/>
              </w:rPr>
            </w:pPr>
            <w:r w:rsidRPr="003A26D0">
              <w:rPr>
                <w:rFonts w:ascii="ITC Avant Garde" w:eastAsia="Times New Roman" w:hAnsi="ITC Avant Garde" w:cs="Calibri"/>
                <w:bCs w:val="0"/>
                <w:color w:val="FFFFFF"/>
                <w:sz w:val="18"/>
                <w:szCs w:val="18"/>
              </w:rPr>
              <w:t xml:space="preserve">Hora de recepción </w:t>
            </w:r>
          </w:p>
        </w:tc>
      </w:tr>
      <w:tr w:rsidR="00BB22E2" w:rsidRPr="00D933C8" w14:paraId="6F74BCF5" w14:textId="77777777" w:rsidTr="00804BC9">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04E86073" w14:textId="77777777" w:rsidR="00BB22E2" w:rsidRPr="00D933C8" w:rsidRDefault="00BB22E2"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1</w:t>
            </w:r>
          </w:p>
        </w:tc>
        <w:tc>
          <w:tcPr>
            <w:tcW w:w="1895" w:type="dxa"/>
            <w:shd w:val="clear" w:color="auto" w:fill="F2F2F2" w:themeFill="background1" w:themeFillShade="F2"/>
            <w:vAlign w:val="center"/>
          </w:tcPr>
          <w:p w14:paraId="61C8C3FA" w14:textId="320B9684" w:rsidR="00BB22E2" w:rsidRPr="00D933C8" w:rsidRDefault="00525800"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cs="Arial"/>
                <w:bCs/>
                <w:color w:val="212121"/>
                <w:sz w:val="18"/>
                <w:szCs w:val="18"/>
              </w:rPr>
              <w:t>Andrés Acedo Moreno</w:t>
            </w:r>
          </w:p>
        </w:tc>
        <w:tc>
          <w:tcPr>
            <w:tcW w:w="2216" w:type="dxa"/>
            <w:shd w:val="clear" w:color="auto" w:fill="F2F2F2" w:themeFill="background1" w:themeFillShade="F2"/>
            <w:vAlign w:val="center"/>
          </w:tcPr>
          <w:p w14:paraId="6E1325BF" w14:textId="26448ADD" w:rsidR="00BB22E2"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proofErr w:type="spellStart"/>
            <w:r w:rsidRPr="00D933C8">
              <w:rPr>
                <w:rFonts w:ascii="ITC Avant Garde" w:hAnsi="ITC Avant Garde" w:cs="Arial"/>
                <w:bCs/>
                <w:color w:val="212121"/>
                <w:sz w:val="18"/>
                <w:szCs w:val="18"/>
              </w:rPr>
              <w:t>Panamsat</w:t>
            </w:r>
            <w:proofErr w:type="spellEnd"/>
            <w:r w:rsidR="00525800" w:rsidRPr="00D933C8">
              <w:rPr>
                <w:rFonts w:ascii="ITC Avant Garde" w:hAnsi="ITC Avant Garde" w:cs="Arial"/>
                <w:bCs/>
                <w:color w:val="212121"/>
                <w:sz w:val="18"/>
                <w:szCs w:val="18"/>
              </w:rPr>
              <w:t xml:space="preserve"> de México, S. de R.L. de C.V</w:t>
            </w:r>
            <w:r w:rsidR="00525800" w:rsidRPr="00D933C8">
              <w:rPr>
                <w:rFonts w:ascii="ITC Avant Garde" w:hAnsi="ITC Avant Garde"/>
                <w:sz w:val="18"/>
                <w:szCs w:val="18"/>
              </w:rPr>
              <w:t>.</w:t>
            </w:r>
          </w:p>
        </w:tc>
        <w:tc>
          <w:tcPr>
            <w:tcW w:w="1745" w:type="dxa"/>
            <w:shd w:val="clear" w:color="auto" w:fill="F2F2F2" w:themeFill="background1" w:themeFillShade="F2"/>
            <w:vAlign w:val="center"/>
          </w:tcPr>
          <w:p w14:paraId="6F9C0353" w14:textId="04B8EE0B" w:rsidR="00BB22E2" w:rsidRPr="00D933C8" w:rsidRDefault="00525800"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Poder notarial</w:t>
            </w:r>
          </w:p>
        </w:tc>
        <w:tc>
          <w:tcPr>
            <w:tcW w:w="1276" w:type="dxa"/>
            <w:shd w:val="clear" w:color="auto" w:fill="F2F2F2" w:themeFill="background1" w:themeFillShade="F2"/>
            <w:noWrap/>
            <w:vAlign w:val="center"/>
          </w:tcPr>
          <w:p w14:paraId="4F387991" w14:textId="779430F2" w:rsidR="00BB22E2" w:rsidRPr="00D933C8" w:rsidRDefault="00525800"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Correo electrónico</w:t>
            </w:r>
          </w:p>
        </w:tc>
        <w:tc>
          <w:tcPr>
            <w:tcW w:w="1172" w:type="dxa"/>
            <w:shd w:val="clear" w:color="auto" w:fill="F2F2F2" w:themeFill="background1" w:themeFillShade="F2"/>
            <w:vAlign w:val="center"/>
          </w:tcPr>
          <w:p w14:paraId="449C979A" w14:textId="524E3B0C" w:rsidR="00BB22E2" w:rsidRPr="00D933C8" w:rsidRDefault="00525800"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29/02/2024</w:t>
            </w:r>
          </w:p>
        </w:tc>
        <w:tc>
          <w:tcPr>
            <w:tcW w:w="1124" w:type="dxa"/>
            <w:shd w:val="clear" w:color="auto" w:fill="F2F2F2" w:themeFill="background1" w:themeFillShade="F2"/>
            <w:noWrap/>
            <w:vAlign w:val="center"/>
          </w:tcPr>
          <w:p w14:paraId="4670C650" w14:textId="1D6B9A4C" w:rsidR="00BB22E2" w:rsidRPr="00D933C8" w:rsidRDefault="00525800"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8"/>
                <w:szCs w:val="18"/>
              </w:rPr>
            </w:pPr>
            <w:r w:rsidRPr="00D933C8">
              <w:rPr>
                <w:rFonts w:ascii="ITC Avant Garde" w:hAnsi="ITC Avant Garde"/>
                <w:color w:val="auto"/>
                <w:sz w:val="18"/>
                <w:szCs w:val="18"/>
              </w:rPr>
              <w:t>18:52</w:t>
            </w:r>
          </w:p>
        </w:tc>
      </w:tr>
      <w:tr w:rsidR="004C6736" w:rsidRPr="00D933C8" w14:paraId="32743E72" w14:textId="77777777" w:rsidTr="00804BC9">
        <w:trPr>
          <w:trHeight w:val="703"/>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6C81F14C"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2</w:t>
            </w:r>
          </w:p>
        </w:tc>
        <w:tc>
          <w:tcPr>
            <w:tcW w:w="1895" w:type="dxa"/>
            <w:shd w:val="clear" w:color="auto" w:fill="F2F2F2" w:themeFill="background1" w:themeFillShade="F2"/>
            <w:vAlign w:val="center"/>
          </w:tcPr>
          <w:p w14:paraId="5012D8D5" w14:textId="325EC03A"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cs="Times New Roman"/>
                <w:sz w:val="18"/>
                <w:szCs w:val="18"/>
              </w:rPr>
              <w:t>Carlos Arturo Bello Hernández</w:t>
            </w:r>
          </w:p>
        </w:tc>
        <w:tc>
          <w:tcPr>
            <w:tcW w:w="2216" w:type="dxa"/>
            <w:shd w:val="clear" w:color="auto" w:fill="F2F2F2" w:themeFill="background1" w:themeFillShade="F2"/>
            <w:noWrap/>
            <w:vAlign w:val="center"/>
          </w:tcPr>
          <w:p w14:paraId="7E1556B1" w14:textId="18B6546C"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cs="Times New Roman"/>
                <w:sz w:val="18"/>
                <w:szCs w:val="18"/>
              </w:rPr>
              <w:t>Hispasat México, S.A. de C.V.</w:t>
            </w:r>
          </w:p>
        </w:tc>
        <w:tc>
          <w:tcPr>
            <w:tcW w:w="1745" w:type="dxa"/>
            <w:shd w:val="clear" w:color="auto" w:fill="F2F2F2" w:themeFill="background1" w:themeFillShade="F2"/>
            <w:vAlign w:val="center"/>
          </w:tcPr>
          <w:p w14:paraId="13ABB30C" w14:textId="0545EA67"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Poder notarial</w:t>
            </w:r>
          </w:p>
        </w:tc>
        <w:tc>
          <w:tcPr>
            <w:tcW w:w="1276" w:type="dxa"/>
            <w:shd w:val="clear" w:color="auto" w:fill="F2F2F2" w:themeFill="background1" w:themeFillShade="F2"/>
            <w:vAlign w:val="center"/>
          </w:tcPr>
          <w:p w14:paraId="3D0098D2" w14:textId="78651F02"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Correo electrónico</w:t>
            </w:r>
          </w:p>
        </w:tc>
        <w:tc>
          <w:tcPr>
            <w:tcW w:w="1172" w:type="dxa"/>
            <w:shd w:val="clear" w:color="auto" w:fill="F2F2F2" w:themeFill="background1" w:themeFillShade="F2"/>
            <w:vAlign w:val="center"/>
          </w:tcPr>
          <w:p w14:paraId="5AF37260" w14:textId="5E8765CB"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06/03/2024</w:t>
            </w:r>
          </w:p>
        </w:tc>
        <w:tc>
          <w:tcPr>
            <w:tcW w:w="1124" w:type="dxa"/>
            <w:shd w:val="clear" w:color="auto" w:fill="F2F2F2" w:themeFill="background1" w:themeFillShade="F2"/>
            <w:noWrap/>
            <w:vAlign w:val="center"/>
          </w:tcPr>
          <w:p w14:paraId="4877AEA8" w14:textId="1627B5B1"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rPr>
            </w:pPr>
            <w:r w:rsidRPr="00D933C8">
              <w:rPr>
                <w:rFonts w:ascii="ITC Avant Garde" w:hAnsi="ITC Avant Garde"/>
                <w:color w:val="auto"/>
                <w:sz w:val="18"/>
                <w:szCs w:val="18"/>
              </w:rPr>
              <w:t>12:23</w:t>
            </w:r>
          </w:p>
        </w:tc>
      </w:tr>
      <w:tr w:rsidR="004C6736" w:rsidRPr="00D933C8" w14:paraId="66A70E7F" w14:textId="77777777" w:rsidTr="00804BC9">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308C65F8"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3</w:t>
            </w:r>
          </w:p>
        </w:tc>
        <w:tc>
          <w:tcPr>
            <w:tcW w:w="1895" w:type="dxa"/>
            <w:shd w:val="clear" w:color="auto" w:fill="F2F2F2" w:themeFill="background1" w:themeFillShade="F2"/>
            <w:vAlign w:val="center"/>
          </w:tcPr>
          <w:p w14:paraId="1530AAAC" w14:textId="1A70E53D"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María Fernanda Palacios Medina</w:t>
            </w:r>
          </w:p>
        </w:tc>
        <w:tc>
          <w:tcPr>
            <w:tcW w:w="2216" w:type="dxa"/>
            <w:shd w:val="clear" w:color="auto" w:fill="F2F2F2" w:themeFill="background1" w:themeFillShade="F2"/>
            <w:vAlign w:val="center"/>
          </w:tcPr>
          <w:p w14:paraId="07103838" w14:textId="6EA52C02"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 xml:space="preserve">SES, México, S. de R.L. de C.V. y </w:t>
            </w:r>
            <w:proofErr w:type="spellStart"/>
            <w:r w:rsidR="00B1141B" w:rsidRPr="00D933C8">
              <w:rPr>
                <w:rFonts w:ascii="ITC Avant Garde" w:hAnsi="ITC Avant Garde"/>
                <w:sz w:val="18"/>
                <w:szCs w:val="18"/>
              </w:rPr>
              <w:t>Quetzsat</w:t>
            </w:r>
            <w:proofErr w:type="spellEnd"/>
            <w:r w:rsidRPr="00D933C8">
              <w:rPr>
                <w:rFonts w:ascii="ITC Avant Garde" w:hAnsi="ITC Avant Garde"/>
                <w:sz w:val="18"/>
                <w:szCs w:val="18"/>
              </w:rPr>
              <w:t xml:space="preserve">, S. </w:t>
            </w:r>
            <w:r w:rsidR="00101036">
              <w:rPr>
                <w:rFonts w:ascii="ITC Avant Garde" w:hAnsi="ITC Avant Garde"/>
                <w:sz w:val="18"/>
                <w:szCs w:val="18"/>
              </w:rPr>
              <w:t>de</w:t>
            </w:r>
            <w:r w:rsidRPr="00D933C8">
              <w:rPr>
                <w:rFonts w:ascii="ITC Avant Garde" w:hAnsi="ITC Avant Garde"/>
                <w:sz w:val="18"/>
                <w:szCs w:val="18"/>
              </w:rPr>
              <w:t xml:space="preserve"> R.L. </w:t>
            </w:r>
            <w:r w:rsidR="00092FC7">
              <w:rPr>
                <w:rFonts w:ascii="ITC Avant Garde" w:hAnsi="ITC Avant Garde"/>
                <w:sz w:val="18"/>
                <w:szCs w:val="18"/>
              </w:rPr>
              <w:t xml:space="preserve">de </w:t>
            </w:r>
            <w:r w:rsidRPr="00D933C8">
              <w:rPr>
                <w:rFonts w:ascii="ITC Avant Garde" w:hAnsi="ITC Avant Garde"/>
                <w:sz w:val="18"/>
                <w:szCs w:val="18"/>
              </w:rPr>
              <w:t>C.V.</w:t>
            </w:r>
          </w:p>
        </w:tc>
        <w:tc>
          <w:tcPr>
            <w:tcW w:w="1745" w:type="dxa"/>
            <w:shd w:val="clear" w:color="auto" w:fill="F2F2F2" w:themeFill="background1" w:themeFillShade="F2"/>
            <w:vAlign w:val="center"/>
          </w:tcPr>
          <w:p w14:paraId="14496482" w14:textId="0955095D"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Poder notarial</w:t>
            </w:r>
          </w:p>
        </w:tc>
        <w:tc>
          <w:tcPr>
            <w:tcW w:w="1276" w:type="dxa"/>
            <w:shd w:val="clear" w:color="auto" w:fill="F2F2F2" w:themeFill="background1" w:themeFillShade="F2"/>
            <w:vAlign w:val="center"/>
          </w:tcPr>
          <w:p w14:paraId="5EA1907D" w14:textId="1E54DFB9"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Correo electrónico</w:t>
            </w:r>
          </w:p>
        </w:tc>
        <w:tc>
          <w:tcPr>
            <w:tcW w:w="1172" w:type="dxa"/>
            <w:shd w:val="clear" w:color="auto" w:fill="F2F2F2" w:themeFill="background1" w:themeFillShade="F2"/>
            <w:vAlign w:val="center"/>
          </w:tcPr>
          <w:p w14:paraId="7730ED43" w14:textId="0B58FA56"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06/03/2024</w:t>
            </w:r>
          </w:p>
        </w:tc>
        <w:tc>
          <w:tcPr>
            <w:tcW w:w="1124" w:type="dxa"/>
            <w:shd w:val="clear" w:color="auto" w:fill="F2F2F2" w:themeFill="background1" w:themeFillShade="F2"/>
            <w:vAlign w:val="center"/>
          </w:tcPr>
          <w:p w14:paraId="2B0B2C16" w14:textId="7A18E6BD"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18:21</w:t>
            </w:r>
          </w:p>
        </w:tc>
      </w:tr>
      <w:tr w:rsidR="004C6736" w:rsidRPr="00D933C8" w14:paraId="056C7BC0" w14:textId="77777777" w:rsidTr="00804BC9">
        <w:trPr>
          <w:trHeight w:val="559"/>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31E41B6B"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4</w:t>
            </w:r>
          </w:p>
        </w:tc>
        <w:tc>
          <w:tcPr>
            <w:tcW w:w="1895" w:type="dxa"/>
            <w:shd w:val="clear" w:color="auto" w:fill="F2F2F2" w:themeFill="background1" w:themeFillShade="F2"/>
            <w:noWrap/>
            <w:vAlign w:val="center"/>
          </w:tcPr>
          <w:p w14:paraId="16FCA653" w14:textId="412A9490"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bCs/>
                <w:sz w:val="18"/>
                <w:szCs w:val="18"/>
              </w:rPr>
              <w:t>Luis Manuel Brown Hernández</w:t>
            </w:r>
          </w:p>
        </w:tc>
        <w:tc>
          <w:tcPr>
            <w:tcW w:w="2216" w:type="dxa"/>
            <w:shd w:val="clear" w:color="auto" w:fill="F2F2F2" w:themeFill="background1" w:themeFillShade="F2"/>
            <w:vAlign w:val="center"/>
          </w:tcPr>
          <w:p w14:paraId="75857872" w14:textId="14FAD8FF"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745" w:type="dxa"/>
            <w:shd w:val="clear" w:color="auto" w:fill="F2F2F2" w:themeFill="background1" w:themeFillShade="F2"/>
            <w:noWrap/>
            <w:vAlign w:val="center"/>
          </w:tcPr>
          <w:p w14:paraId="1C6A9365" w14:textId="5DFA1721"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276" w:type="dxa"/>
            <w:shd w:val="clear" w:color="auto" w:fill="F2F2F2" w:themeFill="background1" w:themeFillShade="F2"/>
            <w:vAlign w:val="center"/>
          </w:tcPr>
          <w:p w14:paraId="3FA54569" w14:textId="5FBAFE5C"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42649E11" w14:textId="1955A811"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2910D29C" w14:textId="2C52A357"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7:36</w:t>
            </w:r>
          </w:p>
        </w:tc>
      </w:tr>
      <w:tr w:rsidR="004C6736" w:rsidRPr="00D933C8" w14:paraId="332E9C77" w14:textId="77777777" w:rsidTr="00804BC9">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2DD41665"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5</w:t>
            </w:r>
          </w:p>
        </w:tc>
        <w:tc>
          <w:tcPr>
            <w:tcW w:w="1895" w:type="dxa"/>
            <w:shd w:val="clear" w:color="auto" w:fill="F2F2F2" w:themeFill="background1" w:themeFillShade="F2"/>
            <w:vAlign w:val="center"/>
          </w:tcPr>
          <w:p w14:paraId="3C6BE986" w14:textId="566FFF09"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Isabelle Mauro</w:t>
            </w:r>
          </w:p>
        </w:tc>
        <w:tc>
          <w:tcPr>
            <w:tcW w:w="2216" w:type="dxa"/>
            <w:shd w:val="clear" w:color="auto" w:fill="F2F2F2" w:themeFill="background1" w:themeFillShade="F2"/>
            <w:vAlign w:val="center"/>
          </w:tcPr>
          <w:p w14:paraId="12EA8270" w14:textId="75F3971A"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bCs/>
                <w:sz w:val="18"/>
                <w:szCs w:val="18"/>
              </w:rPr>
              <w:t xml:space="preserve">Global </w:t>
            </w:r>
            <w:proofErr w:type="spellStart"/>
            <w:r w:rsidRPr="00D933C8">
              <w:rPr>
                <w:rFonts w:ascii="ITC Avant Garde" w:hAnsi="ITC Avant Garde"/>
                <w:bCs/>
                <w:sz w:val="18"/>
                <w:szCs w:val="18"/>
              </w:rPr>
              <w:t>Satellite</w:t>
            </w:r>
            <w:proofErr w:type="spellEnd"/>
            <w:r w:rsidRPr="00D933C8">
              <w:rPr>
                <w:rFonts w:ascii="ITC Avant Garde" w:hAnsi="ITC Avant Garde"/>
                <w:bCs/>
                <w:sz w:val="18"/>
                <w:szCs w:val="18"/>
              </w:rPr>
              <w:t xml:space="preserve"> </w:t>
            </w:r>
            <w:proofErr w:type="spellStart"/>
            <w:r w:rsidRPr="00D933C8">
              <w:rPr>
                <w:rFonts w:ascii="ITC Avant Garde" w:hAnsi="ITC Avant Garde"/>
                <w:bCs/>
                <w:sz w:val="18"/>
                <w:szCs w:val="18"/>
              </w:rPr>
              <w:t>Operators</w:t>
            </w:r>
            <w:proofErr w:type="spellEnd"/>
            <w:r w:rsidRPr="00D933C8">
              <w:rPr>
                <w:rFonts w:ascii="ITC Avant Garde" w:hAnsi="ITC Avant Garde"/>
                <w:bCs/>
                <w:sz w:val="18"/>
                <w:szCs w:val="18"/>
              </w:rPr>
              <w:t xml:space="preserve"> </w:t>
            </w:r>
            <w:proofErr w:type="spellStart"/>
            <w:r w:rsidRPr="00D933C8">
              <w:rPr>
                <w:rFonts w:ascii="ITC Avant Garde" w:hAnsi="ITC Avant Garde"/>
                <w:bCs/>
                <w:sz w:val="18"/>
                <w:szCs w:val="18"/>
              </w:rPr>
              <w:t>Association</w:t>
            </w:r>
            <w:proofErr w:type="spellEnd"/>
          </w:p>
        </w:tc>
        <w:tc>
          <w:tcPr>
            <w:tcW w:w="1745" w:type="dxa"/>
            <w:shd w:val="clear" w:color="auto" w:fill="F2F2F2" w:themeFill="background1" w:themeFillShade="F2"/>
            <w:vAlign w:val="center"/>
          </w:tcPr>
          <w:p w14:paraId="499AC479" w14:textId="15D41335"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Estatutos de la asociación</w:t>
            </w:r>
          </w:p>
        </w:tc>
        <w:tc>
          <w:tcPr>
            <w:tcW w:w="1276" w:type="dxa"/>
            <w:shd w:val="clear" w:color="auto" w:fill="F2F2F2" w:themeFill="background1" w:themeFillShade="F2"/>
            <w:vAlign w:val="center"/>
          </w:tcPr>
          <w:p w14:paraId="5170423A" w14:textId="7FF6BDA7"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5AA996F7" w14:textId="37D69AF7"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37117126" w14:textId="10DFDE79"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11:23</w:t>
            </w:r>
          </w:p>
        </w:tc>
      </w:tr>
      <w:tr w:rsidR="004C6736" w:rsidRPr="00D933C8" w14:paraId="4F3EEAD0" w14:textId="77777777" w:rsidTr="00804BC9">
        <w:trPr>
          <w:trHeight w:val="614"/>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1E355D05"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6</w:t>
            </w:r>
          </w:p>
        </w:tc>
        <w:tc>
          <w:tcPr>
            <w:tcW w:w="1895" w:type="dxa"/>
            <w:shd w:val="clear" w:color="auto" w:fill="F2F2F2" w:themeFill="background1" w:themeFillShade="F2"/>
            <w:noWrap/>
            <w:vAlign w:val="center"/>
          </w:tcPr>
          <w:p w14:paraId="003E4FDA" w14:textId="79639F8E"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Eurídice Palma Salas</w:t>
            </w:r>
          </w:p>
        </w:tc>
        <w:tc>
          <w:tcPr>
            <w:tcW w:w="2216" w:type="dxa"/>
            <w:shd w:val="clear" w:color="auto" w:fill="F2F2F2" w:themeFill="background1" w:themeFillShade="F2"/>
            <w:vAlign w:val="center"/>
          </w:tcPr>
          <w:p w14:paraId="718A1929" w14:textId="0AB0555A"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745" w:type="dxa"/>
            <w:shd w:val="clear" w:color="auto" w:fill="F2F2F2" w:themeFill="background1" w:themeFillShade="F2"/>
            <w:vAlign w:val="center"/>
          </w:tcPr>
          <w:p w14:paraId="59F43839" w14:textId="644A1FBC"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276" w:type="dxa"/>
            <w:shd w:val="clear" w:color="auto" w:fill="F2F2F2" w:themeFill="background1" w:themeFillShade="F2"/>
            <w:vAlign w:val="center"/>
          </w:tcPr>
          <w:p w14:paraId="091DD460" w14:textId="690D4ADC"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58692F68" w14:textId="3DFDBA0E"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564C7C07" w14:textId="6C5566CB" w:rsidR="004C6736" w:rsidRPr="00D933C8" w:rsidRDefault="004C6736"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13:21</w:t>
            </w:r>
          </w:p>
        </w:tc>
      </w:tr>
      <w:tr w:rsidR="004C6736" w:rsidRPr="00D933C8" w14:paraId="668F3A79" w14:textId="77777777" w:rsidTr="00804BC9">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3BC31856" w14:textId="77777777" w:rsidR="004C6736" w:rsidRPr="00D933C8" w:rsidRDefault="004C6736"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7</w:t>
            </w:r>
          </w:p>
        </w:tc>
        <w:tc>
          <w:tcPr>
            <w:tcW w:w="1895" w:type="dxa"/>
            <w:shd w:val="clear" w:color="auto" w:fill="F2F2F2" w:themeFill="background1" w:themeFillShade="F2"/>
            <w:vAlign w:val="center"/>
          </w:tcPr>
          <w:p w14:paraId="46896EDD" w14:textId="045688AD"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bCs/>
                <w:sz w:val="18"/>
                <w:szCs w:val="18"/>
              </w:rPr>
              <w:t>Héctor Manuel Fortis Sánchez</w:t>
            </w:r>
          </w:p>
        </w:tc>
        <w:tc>
          <w:tcPr>
            <w:tcW w:w="2216" w:type="dxa"/>
            <w:shd w:val="clear" w:color="auto" w:fill="F2F2F2" w:themeFill="background1" w:themeFillShade="F2"/>
            <w:vAlign w:val="center"/>
          </w:tcPr>
          <w:p w14:paraId="216EE309" w14:textId="148BC115"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Satélites Mexicanos S.A. de C.V.</w:t>
            </w:r>
          </w:p>
        </w:tc>
        <w:tc>
          <w:tcPr>
            <w:tcW w:w="1745" w:type="dxa"/>
            <w:shd w:val="clear" w:color="auto" w:fill="F2F2F2" w:themeFill="background1" w:themeFillShade="F2"/>
            <w:vAlign w:val="center"/>
          </w:tcPr>
          <w:p w14:paraId="3608A670" w14:textId="04D13014"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Poder notarial</w:t>
            </w:r>
          </w:p>
        </w:tc>
        <w:tc>
          <w:tcPr>
            <w:tcW w:w="1276" w:type="dxa"/>
            <w:shd w:val="clear" w:color="auto" w:fill="F2F2F2" w:themeFill="background1" w:themeFillShade="F2"/>
            <w:vAlign w:val="center"/>
          </w:tcPr>
          <w:p w14:paraId="04E5EC2F" w14:textId="689AE5E4"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03A28438" w14:textId="197242C8"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0CB71437" w14:textId="65D75200" w:rsidR="004C6736" w:rsidRPr="00D933C8" w:rsidRDefault="004C6736"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15:07</w:t>
            </w:r>
          </w:p>
        </w:tc>
      </w:tr>
      <w:tr w:rsidR="00B1141B" w:rsidRPr="00D933C8" w14:paraId="18D5C33C" w14:textId="77777777" w:rsidTr="00804BC9">
        <w:trPr>
          <w:trHeight w:val="710"/>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tcPr>
          <w:p w14:paraId="21FE6C7A" w14:textId="79518310" w:rsidR="00B1141B" w:rsidRPr="00D933C8" w:rsidRDefault="00B1141B"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8</w:t>
            </w:r>
          </w:p>
        </w:tc>
        <w:tc>
          <w:tcPr>
            <w:tcW w:w="1895" w:type="dxa"/>
            <w:shd w:val="clear" w:color="auto" w:fill="F2F2F2" w:themeFill="background1" w:themeFillShade="F2"/>
            <w:vAlign w:val="center"/>
          </w:tcPr>
          <w:p w14:paraId="38943626" w14:textId="34A24255"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Cs/>
                <w:sz w:val="18"/>
                <w:szCs w:val="18"/>
              </w:rPr>
            </w:pPr>
            <w:r w:rsidRPr="00D933C8">
              <w:rPr>
                <w:rFonts w:ascii="ITC Avant Garde" w:eastAsia="Times New Roman" w:hAnsi="ITC Avant Garde"/>
                <w:bCs/>
                <w:sz w:val="18"/>
                <w:szCs w:val="18"/>
              </w:rPr>
              <w:t>Ángel Aguilar Hernández</w:t>
            </w:r>
          </w:p>
        </w:tc>
        <w:tc>
          <w:tcPr>
            <w:tcW w:w="2216" w:type="dxa"/>
            <w:shd w:val="clear" w:color="auto" w:fill="F2F2F2" w:themeFill="background1" w:themeFillShade="F2"/>
            <w:vAlign w:val="center"/>
          </w:tcPr>
          <w:p w14:paraId="28EE21A1" w14:textId="77777777"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p>
        </w:tc>
        <w:tc>
          <w:tcPr>
            <w:tcW w:w="1745" w:type="dxa"/>
            <w:shd w:val="clear" w:color="auto" w:fill="F2F2F2" w:themeFill="background1" w:themeFillShade="F2"/>
            <w:vAlign w:val="center"/>
          </w:tcPr>
          <w:p w14:paraId="528CDE73" w14:textId="77777777"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276" w:type="dxa"/>
            <w:shd w:val="clear" w:color="auto" w:fill="F2F2F2" w:themeFill="background1" w:themeFillShade="F2"/>
            <w:vAlign w:val="center"/>
          </w:tcPr>
          <w:p w14:paraId="013ECE21" w14:textId="4FD7980F"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61766E20" w14:textId="1CF167D8"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176BACED" w14:textId="74298EA0"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18"/>
                <w:szCs w:val="18"/>
              </w:rPr>
            </w:pPr>
            <w:r w:rsidRPr="00D933C8">
              <w:rPr>
                <w:rFonts w:ascii="ITC Avant Garde" w:hAnsi="ITC Avant Garde"/>
                <w:sz w:val="18"/>
                <w:szCs w:val="18"/>
              </w:rPr>
              <w:t>16:58</w:t>
            </w:r>
          </w:p>
        </w:tc>
      </w:tr>
      <w:tr w:rsidR="00B1141B" w:rsidRPr="00D933C8" w14:paraId="1EB7BBBF" w14:textId="77777777" w:rsidTr="00804BC9">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1D166AA9" w14:textId="626F6BFE" w:rsidR="00B1141B" w:rsidRPr="00D933C8" w:rsidRDefault="00B1141B"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9</w:t>
            </w:r>
          </w:p>
        </w:tc>
        <w:tc>
          <w:tcPr>
            <w:tcW w:w="1895" w:type="dxa"/>
            <w:shd w:val="clear" w:color="auto" w:fill="F2F2F2" w:themeFill="background1" w:themeFillShade="F2"/>
            <w:vAlign w:val="center"/>
          </w:tcPr>
          <w:p w14:paraId="0006923E" w14:textId="4214BB3A"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Participante 9</w:t>
            </w:r>
          </w:p>
        </w:tc>
        <w:tc>
          <w:tcPr>
            <w:tcW w:w="2216" w:type="dxa"/>
            <w:shd w:val="clear" w:color="auto" w:fill="F2F2F2" w:themeFill="background1" w:themeFillShade="F2"/>
            <w:vAlign w:val="center"/>
          </w:tcPr>
          <w:p w14:paraId="1724F485" w14:textId="4A07555D"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p>
        </w:tc>
        <w:tc>
          <w:tcPr>
            <w:tcW w:w="1745" w:type="dxa"/>
            <w:shd w:val="clear" w:color="auto" w:fill="F2F2F2" w:themeFill="background1" w:themeFillShade="F2"/>
            <w:vAlign w:val="center"/>
          </w:tcPr>
          <w:p w14:paraId="7FC55B4B" w14:textId="63216352"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p>
        </w:tc>
        <w:tc>
          <w:tcPr>
            <w:tcW w:w="1276" w:type="dxa"/>
            <w:shd w:val="clear" w:color="auto" w:fill="F2F2F2" w:themeFill="background1" w:themeFillShade="F2"/>
            <w:vAlign w:val="center"/>
          </w:tcPr>
          <w:p w14:paraId="514C56F5" w14:textId="0FD2C730"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78B0CF70" w14:textId="24303144"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3213051B" w14:textId="65935FA1"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15:10</w:t>
            </w:r>
          </w:p>
        </w:tc>
      </w:tr>
      <w:tr w:rsidR="00B1141B" w:rsidRPr="00D933C8" w14:paraId="5413BD13" w14:textId="77777777" w:rsidTr="00804BC9">
        <w:trPr>
          <w:trHeight w:val="554"/>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hideMark/>
          </w:tcPr>
          <w:p w14:paraId="09AA4730" w14:textId="77777777" w:rsidR="00B1141B" w:rsidRPr="00D933C8" w:rsidRDefault="00B1141B"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10</w:t>
            </w:r>
          </w:p>
        </w:tc>
        <w:tc>
          <w:tcPr>
            <w:tcW w:w="1895" w:type="dxa"/>
            <w:shd w:val="clear" w:color="auto" w:fill="F2F2F2" w:themeFill="background1" w:themeFillShade="F2"/>
            <w:vAlign w:val="center"/>
          </w:tcPr>
          <w:p w14:paraId="6479A3C6" w14:textId="35046094"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Participante 10</w:t>
            </w:r>
          </w:p>
        </w:tc>
        <w:tc>
          <w:tcPr>
            <w:tcW w:w="2216" w:type="dxa"/>
            <w:shd w:val="clear" w:color="auto" w:fill="F2F2F2" w:themeFill="background1" w:themeFillShade="F2"/>
            <w:vAlign w:val="center"/>
          </w:tcPr>
          <w:p w14:paraId="298CCAA2" w14:textId="2F732FC1"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745" w:type="dxa"/>
            <w:shd w:val="clear" w:color="auto" w:fill="F2F2F2" w:themeFill="background1" w:themeFillShade="F2"/>
            <w:vAlign w:val="center"/>
          </w:tcPr>
          <w:p w14:paraId="19466B51" w14:textId="7CDFC41B"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p>
        </w:tc>
        <w:tc>
          <w:tcPr>
            <w:tcW w:w="1276" w:type="dxa"/>
            <w:shd w:val="clear" w:color="auto" w:fill="F2F2F2" w:themeFill="background1" w:themeFillShade="F2"/>
            <w:vAlign w:val="center"/>
          </w:tcPr>
          <w:p w14:paraId="3D8FBA53" w14:textId="78BAD8C8"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4DEBC8F6" w14:textId="331B7B0D"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698951CB" w14:textId="4E41B69C" w:rsidR="00B1141B" w:rsidRPr="00D933C8" w:rsidRDefault="00B1141B" w:rsidP="00E81595">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Calibri"/>
                <w:color w:val="auto"/>
                <w:sz w:val="18"/>
                <w:szCs w:val="18"/>
              </w:rPr>
            </w:pPr>
            <w:r w:rsidRPr="00D933C8">
              <w:rPr>
                <w:rFonts w:ascii="ITC Avant Garde" w:hAnsi="ITC Avant Garde"/>
                <w:color w:val="auto"/>
                <w:sz w:val="18"/>
                <w:szCs w:val="18"/>
              </w:rPr>
              <w:t>21:26</w:t>
            </w:r>
          </w:p>
        </w:tc>
      </w:tr>
      <w:tr w:rsidR="00B1141B" w:rsidRPr="00D933C8" w14:paraId="5E61E86F" w14:textId="77777777" w:rsidTr="00804BC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18" w:type="dxa"/>
            <w:shd w:val="clear" w:color="auto" w:fill="F2F2F2" w:themeFill="background1" w:themeFillShade="F2"/>
            <w:vAlign w:val="center"/>
          </w:tcPr>
          <w:p w14:paraId="5E461835" w14:textId="45FEAF92" w:rsidR="00B1141B" w:rsidRPr="00D933C8" w:rsidRDefault="00B1141B" w:rsidP="00E81595">
            <w:pPr>
              <w:spacing w:after="0" w:line="240" w:lineRule="auto"/>
              <w:ind w:left="0" w:right="0" w:firstLine="0"/>
              <w:jc w:val="center"/>
              <w:rPr>
                <w:rFonts w:ascii="ITC Avant Garde" w:eastAsia="Times New Roman" w:hAnsi="ITC Avant Garde" w:cs="Calibri"/>
                <w:b w:val="0"/>
                <w:bCs w:val="0"/>
                <w:sz w:val="18"/>
                <w:szCs w:val="18"/>
              </w:rPr>
            </w:pPr>
            <w:r w:rsidRPr="00D933C8">
              <w:rPr>
                <w:rFonts w:ascii="ITC Avant Garde" w:eastAsia="Times New Roman" w:hAnsi="ITC Avant Garde" w:cs="Calibri"/>
                <w:b w:val="0"/>
                <w:bCs w:val="0"/>
                <w:sz w:val="18"/>
                <w:szCs w:val="18"/>
              </w:rPr>
              <w:t>11</w:t>
            </w:r>
          </w:p>
        </w:tc>
        <w:tc>
          <w:tcPr>
            <w:tcW w:w="1895" w:type="dxa"/>
            <w:shd w:val="clear" w:color="auto" w:fill="F2F2F2" w:themeFill="background1" w:themeFillShade="F2"/>
            <w:vAlign w:val="center"/>
          </w:tcPr>
          <w:p w14:paraId="421B8C3C" w14:textId="566C2036"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Iván Ruíz Moreno</w:t>
            </w:r>
          </w:p>
        </w:tc>
        <w:tc>
          <w:tcPr>
            <w:tcW w:w="2216" w:type="dxa"/>
            <w:shd w:val="clear" w:color="auto" w:fill="F2F2F2" w:themeFill="background1" w:themeFillShade="F2"/>
            <w:vAlign w:val="center"/>
          </w:tcPr>
          <w:p w14:paraId="35DFB19D" w14:textId="52A5434D"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proofErr w:type="spellStart"/>
            <w:r w:rsidRPr="00D933C8">
              <w:rPr>
                <w:rFonts w:ascii="ITC Avant Garde" w:hAnsi="ITC Avant Garde"/>
                <w:sz w:val="18"/>
                <w:szCs w:val="18"/>
              </w:rPr>
              <w:t>Viasat</w:t>
            </w:r>
            <w:proofErr w:type="spellEnd"/>
            <w:r w:rsidRPr="00D933C8">
              <w:rPr>
                <w:rFonts w:ascii="ITC Avant Garde" w:hAnsi="ITC Avant Garde"/>
                <w:sz w:val="18"/>
                <w:szCs w:val="18"/>
              </w:rPr>
              <w:t xml:space="preserve"> Tecnología, S.A. de C.V.</w:t>
            </w:r>
          </w:p>
        </w:tc>
        <w:tc>
          <w:tcPr>
            <w:tcW w:w="1745" w:type="dxa"/>
            <w:shd w:val="clear" w:color="auto" w:fill="F2F2F2" w:themeFill="background1" w:themeFillShade="F2"/>
            <w:vAlign w:val="center"/>
          </w:tcPr>
          <w:p w14:paraId="61ADA960" w14:textId="640F7005"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eastAsia="Times New Roman" w:hAnsi="ITC Avant Garde" w:cs="Calibri"/>
                <w:sz w:val="18"/>
                <w:szCs w:val="18"/>
              </w:rPr>
              <w:t>Poder notarial</w:t>
            </w:r>
          </w:p>
        </w:tc>
        <w:tc>
          <w:tcPr>
            <w:tcW w:w="1276" w:type="dxa"/>
            <w:shd w:val="clear" w:color="auto" w:fill="F2F2F2" w:themeFill="background1" w:themeFillShade="F2"/>
            <w:vAlign w:val="center"/>
          </w:tcPr>
          <w:p w14:paraId="5E47C3CE" w14:textId="3F4962E8"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Correo electrónico</w:t>
            </w:r>
          </w:p>
        </w:tc>
        <w:tc>
          <w:tcPr>
            <w:tcW w:w="1172" w:type="dxa"/>
            <w:shd w:val="clear" w:color="auto" w:fill="F2F2F2" w:themeFill="background1" w:themeFillShade="F2"/>
            <w:vAlign w:val="center"/>
          </w:tcPr>
          <w:p w14:paraId="022FA050" w14:textId="7D64381E"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sz w:val="18"/>
                <w:szCs w:val="18"/>
              </w:rPr>
            </w:pPr>
            <w:r w:rsidRPr="00D933C8">
              <w:rPr>
                <w:rFonts w:ascii="ITC Avant Garde" w:hAnsi="ITC Avant Garde"/>
                <w:sz w:val="18"/>
                <w:szCs w:val="18"/>
              </w:rPr>
              <w:t>07/03/2024</w:t>
            </w:r>
          </w:p>
        </w:tc>
        <w:tc>
          <w:tcPr>
            <w:tcW w:w="1124" w:type="dxa"/>
            <w:shd w:val="clear" w:color="auto" w:fill="F2F2F2" w:themeFill="background1" w:themeFillShade="F2"/>
            <w:noWrap/>
            <w:vAlign w:val="center"/>
          </w:tcPr>
          <w:p w14:paraId="7825D4CE" w14:textId="4114805D" w:rsidR="00B1141B" w:rsidRPr="00D933C8" w:rsidRDefault="00B1141B" w:rsidP="00E81595">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Calibri"/>
                <w:color w:val="auto"/>
                <w:sz w:val="18"/>
                <w:szCs w:val="18"/>
              </w:rPr>
            </w:pPr>
            <w:r w:rsidRPr="00D933C8">
              <w:rPr>
                <w:rFonts w:ascii="ITC Avant Garde" w:hAnsi="ITC Avant Garde"/>
                <w:color w:val="auto"/>
                <w:sz w:val="18"/>
                <w:szCs w:val="18"/>
              </w:rPr>
              <w:t>23:52</w:t>
            </w:r>
          </w:p>
        </w:tc>
      </w:tr>
    </w:tbl>
    <w:p w14:paraId="686043CB" w14:textId="72AE2C01" w:rsidR="00DE1D1E" w:rsidRDefault="00DE1D1E" w:rsidP="00E81595">
      <w:pPr>
        <w:spacing w:after="0" w:line="240" w:lineRule="auto"/>
        <w:ind w:left="0" w:firstLine="0"/>
        <w:rPr>
          <w:rFonts w:ascii="ITC Avant Garde" w:eastAsia="Calibri" w:hAnsi="ITC Avant Garde" w:cs="Arial"/>
          <w:color w:val="auto"/>
          <w:lang w:eastAsia="en-US"/>
        </w:rPr>
      </w:pPr>
    </w:p>
    <w:p w14:paraId="1EDB24E4" w14:textId="5823027D" w:rsidR="001774DF" w:rsidRDefault="001774DF" w:rsidP="00E81595">
      <w:pPr>
        <w:spacing w:after="0" w:line="240" w:lineRule="auto"/>
        <w:ind w:left="0" w:firstLine="0"/>
        <w:rPr>
          <w:rFonts w:ascii="ITC Avant Garde" w:eastAsia="Calibri" w:hAnsi="ITC Avant Garde" w:cs="Arial"/>
          <w:color w:val="auto"/>
          <w:lang w:eastAsia="en-US"/>
        </w:rPr>
      </w:pPr>
    </w:p>
    <w:p w14:paraId="311CB6CA" w14:textId="212C3FFB" w:rsidR="00B4058D" w:rsidRDefault="00285D35" w:rsidP="00E81595">
      <w:pPr>
        <w:pStyle w:val="Prrafodelista"/>
        <w:spacing w:after="0" w:line="240" w:lineRule="auto"/>
        <w:ind w:left="0" w:right="0" w:firstLine="0"/>
        <w:rPr>
          <w:rFonts w:ascii="ITC Avant Garde" w:eastAsia="Calibri" w:hAnsi="ITC Avant Garde" w:cs="Arial"/>
          <w:b/>
          <w:color w:val="auto"/>
          <w:lang w:eastAsia="en-US"/>
        </w:rPr>
      </w:pPr>
      <w:r w:rsidRPr="00D933C8">
        <w:rPr>
          <w:rFonts w:ascii="ITC Avant Garde" w:eastAsia="Calibri" w:hAnsi="ITC Avant Garde" w:cs="Arial"/>
          <w:b/>
          <w:color w:val="auto"/>
          <w:lang w:eastAsia="en-US"/>
        </w:rPr>
        <w:lastRenderedPageBreak/>
        <w:t xml:space="preserve">VI. </w:t>
      </w:r>
      <w:r w:rsidR="00DE1D1E" w:rsidRPr="00D933C8">
        <w:rPr>
          <w:rFonts w:ascii="ITC Avant Garde" w:eastAsia="Calibri" w:hAnsi="ITC Avant Garde" w:cs="Arial"/>
          <w:b/>
          <w:color w:val="auto"/>
          <w:lang w:eastAsia="en-US"/>
        </w:rPr>
        <w:t>Posicionamiento del Instituto:</w:t>
      </w:r>
    </w:p>
    <w:p w14:paraId="399F3CCD" w14:textId="77777777" w:rsidR="00B4058D" w:rsidRDefault="00B4058D" w:rsidP="00E81595">
      <w:pPr>
        <w:pStyle w:val="Prrafodelista"/>
        <w:spacing w:after="0" w:line="240" w:lineRule="auto"/>
        <w:ind w:left="0" w:right="0" w:firstLine="0"/>
        <w:rPr>
          <w:rFonts w:ascii="ITC Avant Garde" w:eastAsia="Calibri" w:hAnsi="ITC Avant Garde" w:cs="Arial"/>
          <w:b/>
          <w:color w:val="auto"/>
          <w:lang w:eastAsia="en-US"/>
        </w:rPr>
      </w:pPr>
    </w:p>
    <w:p w14:paraId="63ED6E48" w14:textId="0DA9485B" w:rsidR="006F348E" w:rsidRDefault="00DE1D1E" w:rsidP="00E81595">
      <w:pPr>
        <w:pStyle w:val="Prrafodelista"/>
        <w:spacing w:after="0" w:line="240" w:lineRule="auto"/>
        <w:ind w:left="0" w:right="0" w:firstLine="0"/>
        <w:rPr>
          <w:rFonts w:ascii="ITC Avant Garde" w:hAnsi="ITC Avant Garde"/>
          <w:color w:val="auto"/>
          <w:szCs w:val="18"/>
        </w:rPr>
      </w:pPr>
      <w:r w:rsidRPr="00D933C8">
        <w:rPr>
          <w:rFonts w:ascii="ITC Avant Garde" w:eastAsia="Calibri" w:hAnsi="ITC Avant Garde" w:cs="Arial"/>
          <w:color w:val="auto"/>
          <w:lang w:eastAsia="en-US"/>
        </w:rPr>
        <w:t>El Instituto agradece la participación de tod</w:t>
      </w:r>
      <w:r w:rsidR="006F348E">
        <w:rPr>
          <w:rFonts w:ascii="ITC Avant Garde" w:eastAsia="Calibri" w:hAnsi="ITC Avant Garde" w:cs="Arial"/>
          <w:color w:val="auto"/>
          <w:lang w:eastAsia="en-US"/>
        </w:rPr>
        <w:t>a</w:t>
      </w:r>
      <w:r w:rsidRPr="00D933C8">
        <w:rPr>
          <w:rFonts w:ascii="ITC Avant Garde" w:eastAsia="Calibri" w:hAnsi="ITC Avant Garde" w:cs="Arial"/>
          <w:color w:val="auto"/>
          <w:lang w:eastAsia="en-US"/>
        </w:rPr>
        <w:t>s l</w:t>
      </w:r>
      <w:r w:rsidR="0024137A">
        <w:rPr>
          <w:rFonts w:ascii="ITC Avant Garde" w:eastAsia="Calibri" w:hAnsi="ITC Avant Garde" w:cs="Arial"/>
          <w:color w:val="auto"/>
          <w:lang w:eastAsia="en-US"/>
        </w:rPr>
        <w:t>as personas</w:t>
      </w:r>
      <w:r w:rsidRPr="00D933C8">
        <w:rPr>
          <w:rFonts w:ascii="ITC Avant Garde" w:eastAsia="Calibri" w:hAnsi="ITC Avant Garde" w:cs="Arial"/>
          <w:color w:val="auto"/>
          <w:lang w:eastAsia="en-US"/>
        </w:rPr>
        <w:t xml:space="preserve"> interesad</w:t>
      </w:r>
      <w:r w:rsidR="0024137A">
        <w:rPr>
          <w:rFonts w:ascii="ITC Avant Garde" w:eastAsia="Calibri" w:hAnsi="ITC Avant Garde" w:cs="Arial"/>
          <w:color w:val="auto"/>
          <w:lang w:eastAsia="en-US"/>
        </w:rPr>
        <w:t>a</w:t>
      </w:r>
      <w:r w:rsidRPr="00D933C8">
        <w:rPr>
          <w:rFonts w:ascii="ITC Avant Garde" w:eastAsia="Calibri" w:hAnsi="ITC Avant Garde" w:cs="Arial"/>
          <w:color w:val="auto"/>
          <w:lang w:eastAsia="en-US"/>
        </w:rPr>
        <w:t>s en la Consulta P</w:t>
      </w:r>
      <w:r w:rsidR="003B74A6" w:rsidRPr="00D933C8">
        <w:rPr>
          <w:rFonts w:ascii="ITC Avant Garde" w:eastAsia="Calibri" w:hAnsi="ITC Avant Garde" w:cs="Arial"/>
          <w:color w:val="auto"/>
          <w:lang w:eastAsia="en-US"/>
        </w:rPr>
        <w:t>ública</w:t>
      </w:r>
      <w:r w:rsidR="00F30615">
        <w:rPr>
          <w:rFonts w:ascii="ITC Avant Garde" w:eastAsia="Calibri" w:hAnsi="ITC Avant Garde" w:cs="Arial"/>
          <w:color w:val="auto"/>
          <w:lang w:eastAsia="en-US"/>
        </w:rPr>
        <w:t xml:space="preserve"> </w:t>
      </w:r>
      <w:r w:rsidR="00804BC9">
        <w:rPr>
          <w:rFonts w:ascii="ITC Avant Garde" w:eastAsia="Calibri" w:hAnsi="ITC Avant Garde" w:cs="Arial"/>
          <w:color w:val="auto"/>
          <w:lang w:eastAsia="en-US"/>
        </w:rPr>
        <w:t xml:space="preserve">de Integración </w:t>
      </w:r>
      <w:r w:rsidR="00F30615">
        <w:rPr>
          <w:rFonts w:ascii="ITC Avant Garde" w:eastAsia="Calibri" w:hAnsi="ITC Avant Garde" w:cs="Arial"/>
          <w:color w:val="auto"/>
          <w:lang w:eastAsia="en-US"/>
        </w:rPr>
        <w:t>del Cuestionario, y</w:t>
      </w:r>
      <w:r w:rsidR="00F30615" w:rsidRPr="00F30615">
        <w:rPr>
          <w:rFonts w:ascii="ITC Avant Garde" w:hAnsi="ITC Avant Garde"/>
          <w:color w:val="auto"/>
          <w:szCs w:val="18"/>
        </w:rPr>
        <w:t xml:space="preserve"> </w:t>
      </w:r>
      <w:r w:rsidR="00F30615">
        <w:rPr>
          <w:rFonts w:ascii="ITC Avant Garde" w:hAnsi="ITC Avant Garde"/>
          <w:color w:val="auto"/>
          <w:szCs w:val="18"/>
        </w:rPr>
        <w:t>toma en cuenta la valiosa información proporcionada con motivo de dicho proceso consultivo respecto de temas relevantes del sector satelital</w:t>
      </w:r>
      <w:r w:rsidR="006F348E">
        <w:rPr>
          <w:rFonts w:ascii="ITC Avant Garde" w:hAnsi="ITC Avant Garde"/>
          <w:color w:val="auto"/>
          <w:szCs w:val="18"/>
        </w:rPr>
        <w:t>.</w:t>
      </w:r>
    </w:p>
    <w:p w14:paraId="48A20608" w14:textId="77777777" w:rsidR="006F348E" w:rsidRDefault="006F348E" w:rsidP="00E81595">
      <w:pPr>
        <w:pStyle w:val="Prrafodelista"/>
        <w:spacing w:after="0" w:line="240" w:lineRule="auto"/>
        <w:ind w:left="0" w:right="0" w:firstLine="0"/>
        <w:rPr>
          <w:rFonts w:ascii="ITC Avant Garde" w:eastAsia="Calibri" w:hAnsi="ITC Avant Garde" w:cs="Arial"/>
          <w:color w:val="auto"/>
          <w:lang w:eastAsia="en-US"/>
        </w:rPr>
      </w:pPr>
    </w:p>
    <w:p w14:paraId="228A9AD2" w14:textId="64C81243" w:rsidR="006F348E" w:rsidRPr="00092FC7" w:rsidRDefault="006F348E" w:rsidP="00E81595">
      <w:pPr>
        <w:pStyle w:val="Prrafodelista"/>
        <w:spacing w:after="0" w:line="240" w:lineRule="auto"/>
        <w:ind w:left="0" w:right="0" w:firstLine="0"/>
        <w:rPr>
          <w:rFonts w:ascii="ITC Avant Garde" w:eastAsia="Calibri" w:hAnsi="ITC Avant Garde" w:cs="Arial"/>
          <w:color w:val="auto"/>
          <w:lang w:val="es-ES" w:eastAsia="en-US"/>
        </w:rPr>
      </w:pPr>
      <w:r>
        <w:rPr>
          <w:rFonts w:ascii="ITC Avant Garde" w:eastAsia="Calibri" w:hAnsi="ITC Avant Garde" w:cs="Arial"/>
          <w:color w:val="auto"/>
          <w:lang w:eastAsia="en-US"/>
        </w:rPr>
        <w:t>En tal sentido,</w:t>
      </w:r>
      <w:r w:rsidR="00DE1D1E" w:rsidRPr="00D933C8">
        <w:rPr>
          <w:rFonts w:ascii="ITC Avant Garde" w:eastAsia="Calibri" w:hAnsi="ITC Avant Garde" w:cs="Arial"/>
          <w:color w:val="auto"/>
          <w:lang w:eastAsia="en-US"/>
        </w:rPr>
        <w:t xml:space="preserve"> </w:t>
      </w:r>
      <w:r w:rsidR="001774DF">
        <w:rPr>
          <w:rFonts w:ascii="ITC Avant Garde" w:eastAsia="Calibri" w:hAnsi="ITC Avant Garde" w:cs="Arial"/>
          <w:color w:val="auto"/>
          <w:lang w:val="es-ES" w:eastAsia="en-US"/>
        </w:rPr>
        <w:t xml:space="preserve">las </w:t>
      </w:r>
      <w:r>
        <w:rPr>
          <w:rFonts w:ascii="ITC Avant Garde" w:eastAsia="Calibri" w:hAnsi="ITC Avant Garde" w:cs="Arial"/>
          <w:color w:val="auto"/>
          <w:lang w:val="es-ES" w:eastAsia="en-US"/>
        </w:rPr>
        <w:t xml:space="preserve">participaciones recibidas </w:t>
      </w:r>
      <w:r w:rsidR="001774DF">
        <w:rPr>
          <w:rFonts w:ascii="ITC Avant Garde" w:eastAsia="Calibri" w:hAnsi="ITC Avant Garde" w:cs="Arial"/>
          <w:color w:val="auto"/>
          <w:lang w:val="es-ES" w:eastAsia="en-US"/>
        </w:rPr>
        <w:t xml:space="preserve">pueden ser consultadas en el vínculo </w:t>
      </w:r>
      <w:r w:rsidR="001774DF" w:rsidRPr="00092FC7">
        <w:rPr>
          <w:rFonts w:ascii="ITC Avant Garde" w:eastAsia="Calibri" w:hAnsi="ITC Avant Garde" w:cs="Arial"/>
          <w:color w:val="auto"/>
          <w:lang w:val="es-ES" w:eastAsia="en-US"/>
        </w:rPr>
        <w:t xml:space="preserve">electrónico siguiente: </w:t>
      </w:r>
      <w:r w:rsidR="00DE1D1E" w:rsidRPr="00092FC7">
        <w:rPr>
          <w:rFonts w:ascii="ITC Avant Garde" w:eastAsia="Calibri" w:hAnsi="ITC Avant Garde" w:cs="Arial"/>
          <w:color w:val="auto"/>
          <w:lang w:val="es-ES" w:eastAsia="en-US"/>
        </w:rPr>
        <w:t xml:space="preserve"> </w:t>
      </w:r>
    </w:p>
    <w:p w14:paraId="6A7191C5" w14:textId="77777777" w:rsidR="00D0445F" w:rsidRPr="00092FC7" w:rsidRDefault="00D0445F" w:rsidP="00E81595">
      <w:pPr>
        <w:pStyle w:val="Prrafodelista"/>
        <w:spacing w:after="0" w:line="240" w:lineRule="auto"/>
        <w:ind w:left="0" w:right="0" w:firstLine="0"/>
        <w:rPr>
          <w:rFonts w:ascii="ITC Avant Garde" w:eastAsia="Calibri" w:hAnsi="ITC Avant Garde" w:cs="Arial"/>
          <w:color w:val="auto"/>
          <w:lang w:val="es-ES" w:eastAsia="en-US"/>
        </w:rPr>
      </w:pPr>
    </w:p>
    <w:p w14:paraId="250C7A4A" w14:textId="027BDC89" w:rsidR="001774DF" w:rsidRPr="00092FC7" w:rsidRDefault="00FC3FC8" w:rsidP="00E81595">
      <w:pPr>
        <w:pStyle w:val="Prrafodelista"/>
        <w:spacing w:after="0" w:line="240" w:lineRule="auto"/>
        <w:ind w:left="0" w:right="0" w:firstLine="0"/>
        <w:rPr>
          <w:rFonts w:ascii="ITC Avant Garde" w:eastAsia="Calibri" w:hAnsi="ITC Avant Garde" w:cs="Arial"/>
          <w:color w:val="auto"/>
          <w:lang w:val="es-ES" w:eastAsia="en-US"/>
        </w:rPr>
      </w:pPr>
      <w:hyperlink r:id="rId12" w:history="1">
        <w:r w:rsidR="00D0445F" w:rsidRPr="00092FC7">
          <w:rPr>
            <w:rStyle w:val="Hipervnculo"/>
            <w:rFonts w:ascii="ITC Avant Garde" w:eastAsia="Calibri" w:hAnsi="ITC Avant Garde" w:cs="Arial"/>
            <w:color w:val="auto"/>
            <w:lang w:val="es-ES" w:eastAsia="en-US"/>
          </w:rPr>
          <w:t>https://www.ift.org.mx/industria/consultas-publicas/consulta-publica-de-integracion-respecto-del-cuestionario-sobre-prospectiva-de-solicitud-y</w:t>
        </w:r>
      </w:hyperlink>
      <w:r w:rsidR="001774DF" w:rsidRPr="00092FC7">
        <w:rPr>
          <w:rFonts w:ascii="ITC Avant Garde" w:eastAsia="Calibri" w:hAnsi="ITC Avant Garde" w:cs="Arial"/>
          <w:color w:val="auto"/>
          <w:lang w:val="es-ES" w:eastAsia="en-US"/>
        </w:rPr>
        <w:t xml:space="preserve"> </w:t>
      </w:r>
    </w:p>
    <w:p w14:paraId="4DC9A4E5" w14:textId="77777777" w:rsidR="001774DF" w:rsidRDefault="001774DF" w:rsidP="00E81595">
      <w:pPr>
        <w:pStyle w:val="Prrafodelista"/>
        <w:spacing w:after="0" w:line="240" w:lineRule="auto"/>
        <w:ind w:left="0" w:right="0" w:firstLine="0"/>
        <w:rPr>
          <w:rFonts w:ascii="ITC Avant Garde" w:eastAsia="Calibri" w:hAnsi="ITC Avant Garde" w:cs="Arial"/>
          <w:color w:val="auto"/>
          <w:lang w:val="es-ES" w:eastAsia="en-US"/>
        </w:rPr>
      </w:pPr>
    </w:p>
    <w:p w14:paraId="39160BFD" w14:textId="5B13977B" w:rsidR="005746CF" w:rsidRDefault="005746CF" w:rsidP="006C4332">
      <w:pPr>
        <w:spacing w:after="0" w:line="240" w:lineRule="auto"/>
        <w:ind w:left="0" w:right="0" w:firstLine="0"/>
        <w:rPr>
          <w:rFonts w:ascii="ITC Avant Garde" w:hAnsi="ITC Avant Garde"/>
          <w:color w:val="auto"/>
          <w:szCs w:val="18"/>
        </w:rPr>
      </w:pPr>
      <w:r>
        <w:rPr>
          <w:rFonts w:ascii="ITC Avant Garde" w:hAnsi="ITC Avant Garde"/>
          <w:color w:val="auto"/>
          <w:szCs w:val="18"/>
        </w:rPr>
        <w:t>Así, las personas participantes realizaron comentarios y aportaciones</w:t>
      </w:r>
      <w:r w:rsidR="00F30615">
        <w:rPr>
          <w:rFonts w:ascii="ITC Avant Garde" w:hAnsi="ITC Avant Garde"/>
          <w:color w:val="auto"/>
          <w:szCs w:val="18"/>
        </w:rPr>
        <w:t>, entre otros,</w:t>
      </w:r>
      <w:r>
        <w:rPr>
          <w:rFonts w:ascii="ITC Avant Garde" w:hAnsi="ITC Avant Garde"/>
          <w:color w:val="auto"/>
          <w:szCs w:val="18"/>
        </w:rPr>
        <w:t xml:space="preserve"> respecto de los tópicos señalados a continuación:</w:t>
      </w:r>
    </w:p>
    <w:p w14:paraId="006A8107" w14:textId="77777777" w:rsidR="005746CF" w:rsidRDefault="005746CF" w:rsidP="006C4332">
      <w:pPr>
        <w:spacing w:after="0" w:line="240" w:lineRule="auto"/>
        <w:ind w:left="0" w:right="0" w:firstLine="0"/>
        <w:rPr>
          <w:rFonts w:ascii="ITC Avant Garde" w:hAnsi="ITC Avant Garde"/>
          <w:color w:val="auto"/>
          <w:szCs w:val="18"/>
        </w:rPr>
      </w:pPr>
    </w:p>
    <w:p w14:paraId="5D6C1F3F" w14:textId="3E83F576" w:rsidR="00D0445F" w:rsidRDefault="005746CF" w:rsidP="00F30615">
      <w:pPr>
        <w:pStyle w:val="Prrafodelista"/>
        <w:numPr>
          <w:ilvl w:val="0"/>
          <w:numId w:val="39"/>
        </w:numPr>
        <w:spacing w:after="0" w:line="240" w:lineRule="auto"/>
        <w:ind w:right="0"/>
        <w:rPr>
          <w:rFonts w:ascii="ITC Avant Garde" w:eastAsia="Times New Roman" w:hAnsi="ITC Avant Garde" w:cs="Calibri"/>
          <w:color w:val="auto"/>
        </w:rPr>
      </w:pPr>
      <w:r w:rsidRPr="00F30615">
        <w:rPr>
          <w:rFonts w:ascii="ITC Avant Garde" w:eastAsia="Times New Roman" w:hAnsi="ITC Avant Garde" w:cs="Calibri"/>
          <w:color w:val="auto"/>
        </w:rPr>
        <w:t xml:space="preserve">Si resulta de interés para la industria satelital </w:t>
      </w:r>
      <w:r w:rsidR="00A031FF" w:rsidRPr="00F30615">
        <w:rPr>
          <w:rFonts w:ascii="ITC Avant Garde" w:eastAsia="Times New Roman" w:hAnsi="ITC Avant Garde" w:cs="Calibri"/>
          <w:color w:val="auto"/>
        </w:rPr>
        <w:t xml:space="preserve">obtener una concesión de recursos orbitales </w:t>
      </w:r>
      <w:r w:rsidR="002A73F6" w:rsidRPr="00F30615">
        <w:rPr>
          <w:rFonts w:ascii="ITC Avant Garde" w:eastAsia="Times New Roman" w:hAnsi="ITC Avant Garde" w:cs="Calibri"/>
          <w:color w:val="auto"/>
        </w:rPr>
        <w:t xml:space="preserve">en relación a </w:t>
      </w:r>
      <w:r w:rsidR="00A031FF" w:rsidRPr="00F30615">
        <w:rPr>
          <w:rFonts w:ascii="ITC Avant Garde" w:eastAsia="Times New Roman" w:hAnsi="ITC Avant Garde" w:cs="Calibri"/>
          <w:color w:val="auto"/>
        </w:rPr>
        <w:t>las Posiciones</w:t>
      </w:r>
      <w:r w:rsidR="00A031FF" w:rsidRPr="00F30615">
        <w:rPr>
          <w:rFonts w:ascii="ITC Avant Garde" w:hAnsi="ITC Avant Garde"/>
          <w:b/>
          <w:color w:val="70AD47" w:themeColor="accent6"/>
        </w:rPr>
        <w:t xml:space="preserve"> </w:t>
      </w:r>
      <w:r w:rsidR="00A031FF" w:rsidRPr="00F30615">
        <w:rPr>
          <w:rFonts w:ascii="ITC Avant Garde" w:eastAsia="Times New Roman" w:hAnsi="ITC Avant Garde" w:cs="Calibri"/>
          <w:color w:val="auto"/>
        </w:rPr>
        <w:t>Orbitales Geoestacionarias (POG)</w:t>
      </w:r>
      <w:r w:rsidRPr="00F30615">
        <w:rPr>
          <w:rFonts w:ascii="ITC Avant Garde" w:eastAsia="Times New Roman" w:hAnsi="ITC Avant Garde" w:cs="Calibri"/>
          <w:color w:val="auto"/>
        </w:rPr>
        <w:t xml:space="preserve"> </w:t>
      </w:r>
      <w:r w:rsidR="00A031FF" w:rsidRPr="00F30615">
        <w:rPr>
          <w:rFonts w:ascii="ITC Avant Garde" w:hAnsi="ITC Avant Garde"/>
          <w:color w:val="auto"/>
        </w:rPr>
        <w:t>respecto de los cuales el Estado Mexicano ha obtenido la prioridad de ocupación ante la UIT</w:t>
      </w:r>
      <w:r w:rsidR="00B71680" w:rsidRPr="00F30615">
        <w:rPr>
          <w:rFonts w:ascii="ITC Avant Garde" w:hAnsi="ITC Avant Garde"/>
          <w:color w:val="auto"/>
        </w:rPr>
        <w:t>,</w:t>
      </w:r>
      <w:r w:rsidR="00A031FF" w:rsidRPr="00F30615">
        <w:rPr>
          <w:rFonts w:ascii="ITC Avant Garde" w:hAnsi="ITC Avant Garde"/>
          <w:b/>
          <w:color w:val="auto"/>
        </w:rPr>
        <w:t xml:space="preserve"> </w:t>
      </w:r>
      <w:r w:rsidRPr="00F30615">
        <w:rPr>
          <w:rFonts w:ascii="ITC Avant Garde" w:eastAsia="Times New Roman" w:hAnsi="ITC Avant Garde" w:cs="Calibri"/>
          <w:color w:val="auto"/>
        </w:rPr>
        <w:t>señalad</w:t>
      </w:r>
      <w:r w:rsidR="00A031FF" w:rsidRPr="00F30615">
        <w:rPr>
          <w:rFonts w:ascii="ITC Avant Garde" w:eastAsia="Times New Roman" w:hAnsi="ITC Avant Garde" w:cs="Calibri"/>
          <w:color w:val="auto"/>
        </w:rPr>
        <w:t>a</w:t>
      </w:r>
      <w:r w:rsidRPr="00F30615">
        <w:rPr>
          <w:rFonts w:ascii="ITC Avant Garde" w:eastAsia="Times New Roman" w:hAnsi="ITC Avant Garde" w:cs="Calibri"/>
          <w:color w:val="auto"/>
        </w:rPr>
        <w:t>s</w:t>
      </w:r>
      <w:r w:rsidR="00A031FF" w:rsidRPr="00F30615">
        <w:rPr>
          <w:rFonts w:ascii="ITC Avant Garde" w:eastAsia="Times New Roman" w:hAnsi="ITC Avant Garde" w:cs="Calibri"/>
          <w:color w:val="auto"/>
        </w:rPr>
        <w:t xml:space="preserve"> en el Anexo 1 del Cuestionario, en el supuesto de que el Instituto realizará un proceso de licitación pública</w:t>
      </w:r>
      <w:r w:rsidR="00D0445F">
        <w:rPr>
          <w:rFonts w:ascii="ITC Avant Garde" w:eastAsia="Times New Roman" w:hAnsi="ITC Avant Garde" w:cs="Calibri"/>
          <w:color w:val="auto"/>
        </w:rPr>
        <w:t>.</w:t>
      </w:r>
    </w:p>
    <w:p w14:paraId="0F2D286F" w14:textId="77777777" w:rsidR="00D0445F" w:rsidRDefault="00D0445F" w:rsidP="00D0445F">
      <w:pPr>
        <w:pStyle w:val="Prrafodelista"/>
        <w:spacing w:after="0" w:line="240" w:lineRule="auto"/>
        <w:ind w:right="0" w:firstLine="0"/>
        <w:rPr>
          <w:rFonts w:ascii="ITC Avant Garde" w:eastAsia="Times New Roman" w:hAnsi="ITC Avant Garde" w:cs="Calibri"/>
          <w:color w:val="auto"/>
        </w:rPr>
      </w:pPr>
    </w:p>
    <w:p w14:paraId="656DCBB3" w14:textId="77777777" w:rsidR="00D0445F" w:rsidRDefault="00D0445F"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M</w:t>
      </w:r>
      <w:r w:rsidR="002A73F6" w:rsidRPr="00F30615">
        <w:rPr>
          <w:rFonts w:ascii="ITC Avant Garde" w:eastAsia="Times New Roman" w:hAnsi="ITC Avant Garde" w:cs="Calibri"/>
          <w:color w:val="auto"/>
        </w:rPr>
        <w:t xml:space="preserve">odificaciones a las características de las POG </w:t>
      </w:r>
      <w:r>
        <w:rPr>
          <w:rFonts w:ascii="ITC Avant Garde" w:eastAsia="Times New Roman" w:hAnsi="ITC Avant Garde" w:cs="Calibri"/>
          <w:color w:val="auto"/>
        </w:rPr>
        <w:t xml:space="preserve">que </w:t>
      </w:r>
      <w:r w:rsidR="002A73F6" w:rsidRPr="00F30615">
        <w:rPr>
          <w:rFonts w:ascii="ITC Avant Garde" w:eastAsia="Times New Roman" w:hAnsi="ITC Avant Garde" w:cs="Calibri"/>
          <w:color w:val="auto"/>
        </w:rPr>
        <w:t xml:space="preserve">podrían realizarse para que fueran </w:t>
      </w:r>
      <w:r w:rsidR="00A031FF" w:rsidRPr="00F30615">
        <w:rPr>
          <w:rFonts w:ascii="ITC Avant Garde" w:eastAsia="Times New Roman" w:hAnsi="ITC Avant Garde" w:cs="Calibri"/>
          <w:color w:val="auto"/>
        </w:rPr>
        <w:t>más atractivas en el mercado de servicios satelitales</w:t>
      </w:r>
      <w:r>
        <w:rPr>
          <w:rFonts w:ascii="ITC Avant Garde" w:eastAsia="Times New Roman" w:hAnsi="ITC Avant Garde" w:cs="Calibri"/>
          <w:color w:val="auto"/>
        </w:rPr>
        <w:t>.</w:t>
      </w:r>
    </w:p>
    <w:p w14:paraId="402C7ADA" w14:textId="77777777" w:rsidR="00D0445F" w:rsidRPr="00D0445F" w:rsidRDefault="00D0445F" w:rsidP="00D0445F">
      <w:pPr>
        <w:pStyle w:val="Prrafodelista"/>
        <w:rPr>
          <w:rFonts w:ascii="ITC Avant Garde" w:eastAsia="Times New Roman" w:hAnsi="ITC Avant Garde" w:cs="Calibri"/>
          <w:color w:val="auto"/>
        </w:rPr>
      </w:pPr>
    </w:p>
    <w:p w14:paraId="658BCA95" w14:textId="21832D0B" w:rsidR="00A031FF" w:rsidRPr="00F30615" w:rsidRDefault="00D0445F"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Ser</w:t>
      </w:r>
      <w:r w:rsidR="00A031FF" w:rsidRPr="00F30615">
        <w:rPr>
          <w:rFonts w:ascii="ITC Avant Garde" w:eastAsia="Times New Roman" w:hAnsi="ITC Avant Garde" w:cs="Calibri"/>
          <w:color w:val="auto"/>
        </w:rPr>
        <w:t xml:space="preserve">vicios </w:t>
      </w:r>
      <w:r>
        <w:rPr>
          <w:rFonts w:ascii="ITC Avant Garde" w:eastAsia="Times New Roman" w:hAnsi="ITC Avant Garde" w:cs="Calibri"/>
          <w:color w:val="auto"/>
        </w:rPr>
        <w:t>qu</w:t>
      </w:r>
      <w:r w:rsidR="002A73F6" w:rsidRPr="00F30615">
        <w:rPr>
          <w:rFonts w:ascii="ITC Avant Garde" w:eastAsia="Times New Roman" w:hAnsi="ITC Avant Garde" w:cs="Calibri"/>
          <w:color w:val="auto"/>
        </w:rPr>
        <w:t>e</w:t>
      </w:r>
      <w:r>
        <w:rPr>
          <w:rFonts w:ascii="ITC Avant Garde" w:eastAsia="Times New Roman" w:hAnsi="ITC Avant Garde" w:cs="Calibri"/>
          <w:color w:val="auto"/>
        </w:rPr>
        <w:t xml:space="preserve"> se</w:t>
      </w:r>
      <w:r w:rsidR="002A73F6" w:rsidRPr="00F30615">
        <w:rPr>
          <w:rFonts w:ascii="ITC Avant Garde" w:eastAsia="Times New Roman" w:hAnsi="ITC Avant Garde" w:cs="Calibri"/>
          <w:color w:val="auto"/>
        </w:rPr>
        <w:t xml:space="preserve"> </w:t>
      </w:r>
      <w:r w:rsidR="00A031FF" w:rsidRPr="00F30615">
        <w:rPr>
          <w:rFonts w:ascii="ITC Avant Garde" w:eastAsia="Times New Roman" w:hAnsi="ITC Avant Garde" w:cs="Calibri"/>
          <w:color w:val="auto"/>
        </w:rPr>
        <w:t>considera</w:t>
      </w:r>
      <w:r>
        <w:rPr>
          <w:rFonts w:ascii="ITC Avant Garde" w:eastAsia="Times New Roman" w:hAnsi="ITC Avant Garde" w:cs="Calibri"/>
          <w:color w:val="auto"/>
        </w:rPr>
        <w:t>n</w:t>
      </w:r>
      <w:r w:rsidR="00A031FF" w:rsidRPr="00F30615">
        <w:rPr>
          <w:rFonts w:ascii="ITC Avant Garde" w:eastAsia="Times New Roman" w:hAnsi="ITC Avant Garde" w:cs="Calibri"/>
          <w:color w:val="auto"/>
        </w:rPr>
        <w:t xml:space="preserve"> podrían ofrecer</w:t>
      </w:r>
      <w:r>
        <w:rPr>
          <w:rFonts w:ascii="ITC Avant Garde" w:eastAsia="Times New Roman" w:hAnsi="ITC Avant Garde" w:cs="Calibri"/>
          <w:color w:val="auto"/>
        </w:rPr>
        <w:t>se</w:t>
      </w:r>
      <w:r w:rsidR="00A031FF" w:rsidRPr="00F30615">
        <w:rPr>
          <w:rFonts w:ascii="ITC Avant Garde" w:eastAsia="Times New Roman" w:hAnsi="ITC Avant Garde" w:cs="Calibri"/>
          <w:color w:val="auto"/>
        </w:rPr>
        <w:t xml:space="preserve"> mediante los </w:t>
      </w:r>
      <w:r w:rsidR="002A73F6" w:rsidRPr="00F30615">
        <w:rPr>
          <w:rFonts w:ascii="ITC Avant Garde" w:eastAsia="Times New Roman" w:hAnsi="ITC Avant Garde" w:cs="Calibri"/>
          <w:color w:val="auto"/>
        </w:rPr>
        <w:t xml:space="preserve">sistemas satelitales </w:t>
      </w:r>
      <w:r w:rsidR="00A031FF" w:rsidRPr="00F30615">
        <w:rPr>
          <w:rFonts w:ascii="ITC Avant Garde" w:eastAsia="Times New Roman" w:hAnsi="ITC Avant Garde" w:cs="Calibri"/>
          <w:color w:val="auto"/>
        </w:rPr>
        <w:t>que ocupen</w:t>
      </w:r>
      <w:r w:rsidR="00162265">
        <w:rPr>
          <w:rFonts w:ascii="ITC Avant Garde" w:eastAsia="Times New Roman" w:hAnsi="ITC Avant Garde" w:cs="Calibri"/>
          <w:color w:val="auto"/>
        </w:rPr>
        <w:t xml:space="preserve"> </w:t>
      </w:r>
      <w:r>
        <w:rPr>
          <w:rFonts w:ascii="ITC Avant Garde" w:eastAsia="Times New Roman" w:hAnsi="ITC Avant Garde" w:cs="Calibri"/>
          <w:color w:val="auto"/>
        </w:rPr>
        <w:t>las</w:t>
      </w:r>
      <w:r w:rsidR="00162265">
        <w:rPr>
          <w:rFonts w:ascii="ITC Avant Garde" w:eastAsia="Times New Roman" w:hAnsi="ITC Avant Garde" w:cs="Calibri"/>
          <w:color w:val="auto"/>
        </w:rPr>
        <w:t xml:space="preserve"> POG</w:t>
      </w:r>
      <w:r>
        <w:rPr>
          <w:rFonts w:ascii="ITC Avant Garde" w:eastAsia="Times New Roman" w:hAnsi="ITC Avant Garde" w:cs="Calibri"/>
          <w:color w:val="auto"/>
        </w:rPr>
        <w:t xml:space="preserve"> del</w:t>
      </w:r>
      <w:r w:rsidRPr="00F30615">
        <w:rPr>
          <w:rFonts w:ascii="ITC Avant Garde" w:eastAsia="Times New Roman" w:hAnsi="ITC Avant Garde" w:cs="Calibri"/>
          <w:color w:val="auto"/>
        </w:rPr>
        <w:t xml:space="preserve"> Anexo 1 del Cuestionario</w:t>
      </w:r>
      <w:r w:rsidR="002A73F6" w:rsidRPr="00F30615">
        <w:rPr>
          <w:rFonts w:ascii="ITC Avant Garde" w:eastAsia="Times New Roman" w:hAnsi="ITC Avant Garde" w:cs="Calibri"/>
          <w:color w:val="auto"/>
        </w:rPr>
        <w:t>.</w:t>
      </w:r>
    </w:p>
    <w:p w14:paraId="16CD1DD7" w14:textId="55FE788D" w:rsidR="00A031FF" w:rsidRPr="00F30615" w:rsidRDefault="00A031FF" w:rsidP="00E81595">
      <w:pPr>
        <w:spacing w:after="0" w:line="240" w:lineRule="auto"/>
        <w:ind w:left="0" w:right="0" w:firstLine="0"/>
        <w:rPr>
          <w:rFonts w:ascii="ITC Avant Garde" w:hAnsi="ITC Avant Garde"/>
          <w:color w:val="auto"/>
        </w:rPr>
      </w:pPr>
    </w:p>
    <w:p w14:paraId="33119F75" w14:textId="33919B52" w:rsidR="00A031FF" w:rsidRPr="00F30615" w:rsidRDefault="00756A85" w:rsidP="00F30615">
      <w:pPr>
        <w:pStyle w:val="Prrafodelista"/>
        <w:numPr>
          <w:ilvl w:val="0"/>
          <w:numId w:val="39"/>
        </w:numPr>
        <w:spacing w:after="0" w:line="240" w:lineRule="auto"/>
        <w:ind w:right="0"/>
        <w:rPr>
          <w:rFonts w:ascii="ITC Avant Garde" w:eastAsia="Times New Roman" w:hAnsi="ITC Avant Garde" w:cs="Calibri"/>
          <w:color w:val="auto"/>
        </w:rPr>
      </w:pPr>
      <w:r w:rsidRPr="00F30615">
        <w:rPr>
          <w:rFonts w:ascii="ITC Avant Garde" w:eastAsia="Times New Roman" w:hAnsi="ITC Avant Garde" w:cs="Calibri"/>
          <w:color w:val="auto"/>
        </w:rPr>
        <w:t>L</w:t>
      </w:r>
      <w:r w:rsidR="002A73F6" w:rsidRPr="00F30615">
        <w:rPr>
          <w:rFonts w:ascii="ITC Avant Garde" w:eastAsia="Times New Roman" w:hAnsi="ITC Avant Garde" w:cs="Calibri"/>
          <w:color w:val="auto"/>
        </w:rPr>
        <w:t xml:space="preserve">as </w:t>
      </w:r>
      <w:r w:rsidR="00A031FF" w:rsidRPr="00F30615">
        <w:rPr>
          <w:rFonts w:ascii="ITC Avant Garde" w:eastAsia="Times New Roman" w:hAnsi="ITC Avant Garde" w:cs="Calibri"/>
          <w:color w:val="auto"/>
        </w:rPr>
        <w:t>condiciones regulatorias, administrativas, económicas</w:t>
      </w:r>
      <w:r w:rsidR="002A73F6" w:rsidRPr="00F30615">
        <w:rPr>
          <w:rFonts w:ascii="ITC Avant Garde" w:eastAsia="Times New Roman" w:hAnsi="ITC Avant Garde" w:cs="Calibri"/>
          <w:color w:val="auto"/>
        </w:rPr>
        <w:t xml:space="preserve"> que</w:t>
      </w:r>
      <w:r w:rsidR="00A031FF" w:rsidRPr="00F30615">
        <w:rPr>
          <w:rFonts w:ascii="ITC Avant Garde" w:eastAsia="Times New Roman" w:hAnsi="ITC Avant Garde" w:cs="Calibri"/>
          <w:color w:val="auto"/>
        </w:rPr>
        <w:t xml:space="preserve"> ofrecen otros países para promover inversiones de la industria satelita</w:t>
      </w:r>
      <w:r w:rsidR="002A73F6" w:rsidRPr="00F30615">
        <w:rPr>
          <w:rFonts w:ascii="ITC Avant Garde" w:eastAsia="Times New Roman" w:hAnsi="ITC Avant Garde" w:cs="Calibri"/>
          <w:color w:val="auto"/>
        </w:rPr>
        <w:t>l, así como las</w:t>
      </w:r>
      <w:r w:rsidR="00A031FF" w:rsidRPr="00F30615">
        <w:rPr>
          <w:rFonts w:ascii="ITC Avant Garde" w:eastAsia="Times New Roman" w:hAnsi="ITC Avant Garde" w:cs="Calibri"/>
          <w:color w:val="auto"/>
        </w:rPr>
        <w:t xml:space="preserve"> barreras a la entrada (regulatorias, administrativas,</w:t>
      </w:r>
      <w:r w:rsidR="009E7C6D" w:rsidRPr="00F30615">
        <w:rPr>
          <w:rFonts w:ascii="ITC Avant Garde" w:eastAsia="Times New Roman" w:hAnsi="ITC Avant Garde" w:cs="Calibri"/>
          <w:color w:val="auto"/>
        </w:rPr>
        <w:t xml:space="preserve"> e</w:t>
      </w:r>
      <w:r w:rsidR="00A031FF" w:rsidRPr="00F30615">
        <w:rPr>
          <w:rFonts w:ascii="ITC Avant Garde" w:eastAsia="Times New Roman" w:hAnsi="ITC Avant Garde" w:cs="Calibri"/>
          <w:color w:val="auto"/>
        </w:rPr>
        <w:t xml:space="preserve">conómicas) para ser concesionario de </w:t>
      </w:r>
      <w:r w:rsidR="00162265" w:rsidRPr="00F30615">
        <w:rPr>
          <w:rFonts w:ascii="ITC Avant Garde" w:eastAsia="Times New Roman" w:hAnsi="ITC Avant Garde" w:cs="Calibri"/>
          <w:color w:val="auto"/>
        </w:rPr>
        <w:t>recursos orbitales en México</w:t>
      </w:r>
      <w:r w:rsidR="002A73F6" w:rsidRPr="00F30615">
        <w:rPr>
          <w:rFonts w:ascii="ITC Avant Garde" w:eastAsia="Times New Roman" w:hAnsi="ITC Avant Garde" w:cs="Calibri"/>
          <w:color w:val="auto"/>
        </w:rPr>
        <w:t>, y en su caso acciones para eliminarlas o reducirlas.</w:t>
      </w:r>
    </w:p>
    <w:p w14:paraId="363FE8BD" w14:textId="77777777" w:rsidR="00A031FF" w:rsidRPr="00F30615" w:rsidRDefault="00A031FF" w:rsidP="00A031FF">
      <w:pPr>
        <w:spacing w:after="0" w:line="240" w:lineRule="auto"/>
        <w:ind w:left="0" w:right="0" w:firstLine="0"/>
        <w:rPr>
          <w:rFonts w:ascii="ITC Avant Garde" w:eastAsia="Times New Roman" w:hAnsi="ITC Avant Garde" w:cs="Calibri"/>
          <w:b/>
          <w:color w:val="auto"/>
        </w:rPr>
      </w:pPr>
    </w:p>
    <w:p w14:paraId="0C7DD84D" w14:textId="3A9E5B1A" w:rsidR="00756A85" w:rsidRPr="00F30615" w:rsidRDefault="00756A85" w:rsidP="00F30615">
      <w:pPr>
        <w:pStyle w:val="Prrafodelista"/>
        <w:numPr>
          <w:ilvl w:val="0"/>
          <w:numId w:val="39"/>
        </w:numPr>
        <w:spacing w:after="0" w:line="240" w:lineRule="auto"/>
        <w:ind w:right="0"/>
        <w:rPr>
          <w:rFonts w:ascii="ITC Avant Garde" w:hAnsi="ITC Avant Garde"/>
          <w:color w:val="auto"/>
        </w:rPr>
      </w:pPr>
      <w:r w:rsidRPr="00F30615">
        <w:rPr>
          <w:rFonts w:ascii="ITC Avant Garde" w:hAnsi="ITC Avant Garde"/>
          <w:color w:val="auto"/>
        </w:rPr>
        <w:t>Los trámites relacionados con temas satelitales a cargo del Instituto.</w:t>
      </w:r>
    </w:p>
    <w:p w14:paraId="6819CD88" w14:textId="77777777" w:rsidR="00756A85" w:rsidRPr="00F30615" w:rsidRDefault="00756A85" w:rsidP="00E81595">
      <w:pPr>
        <w:spacing w:after="0" w:line="240" w:lineRule="auto"/>
        <w:ind w:left="0" w:right="0" w:firstLine="0"/>
        <w:rPr>
          <w:rFonts w:ascii="ITC Avant Garde" w:hAnsi="ITC Avant Garde"/>
          <w:color w:val="auto"/>
        </w:rPr>
      </w:pPr>
    </w:p>
    <w:p w14:paraId="05C71163" w14:textId="4FD04EF1" w:rsidR="00756A85" w:rsidRPr="00F30615" w:rsidRDefault="00756A85" w:rsidP="00F30615">
      <w:pPr>
        <w:pStyle w:val="Prrafodelista"/>
        <w:numPr>
          <w:ilvl w:val="0"/>
          <w:numId w:val="39"/>
        </w:numPr>
        <w:spacing w:after="0" w:line="240" w:lineRule="auto"/>
        <w:ind w:right="0"/>
        <w:rPr>
          <w:rFonts w:ascii="ITC Avant Garde" w:eastAsia="Times New Roman" w:hAnsi="ITC Avant Garde" w:cs="Calibri"/>
          <w:color w:val="auto"/>
        </w:rPr>
      </w:pPr>
      <w:r w:rsidRPr="00F30615">
        <w:rPr>
          <w:rFonts w:ascii="ITC Avant Garde" w:eastAsia="Times New Roman" w:hAnsi="ITC Avant Garde" w:cs="Calibri"/>
          <w:color w:val="auto"/>
        </w:rPr>
        <w:t xml:space="preserve">Si existe o no interés por parte de la industria satelital para que la </w:t>
      </w:r>
      <w:r w:rsidRPr="00F30615">
        <w:rPr>
          <w:rFonts w:ascii="ITC Avant Garde" w:eastAsia="Times New Roman" w:hAnsi="ITC Avant Garde" w:cs="Calibri"/>
          <w:color w:val="auto"/>
        </w:rPr>
        <w:br/>
        <w:t xml:space="preserve">Administración de México lleve a cabo la gestión de </w:t>
      </w:r>
      <w:r w:rsidR="00162265" w:rsidRPr="00F30615">
        <w:rPr>
          <w:rFonts w:ascii="ITC Avant Garde" w:eastAsia="Times New Roman" w:hAnsi="ITC Avant Garde" w:cs="Calibri"/>
          <w:color w:val="auto"/>
        </w:rPr>
        <w:t>nuevos recursos orbitales</w:t>
      </w:r>
      <w:r w:rsidR="00D0445F">
        <w:rPr>
          <w:rFonts w:ascii="ITC Avant Garde" w:eastAsia="Times New Roman" w:hAnsi="ITC Avant Garde" w:cs="Calibri"/>
          <w:color w:val="auto"/>
        </w:rPr>
        <w:t>,</w:t>
      </w:r>
      <w:r w:rsidR="00162265" w:rsidRPr="00F30615">
        <w:rPr>
          <w:rFonts w:ascii="ITC Avant Garde" w:eastAsia="Times New Roman" w:hAnsi="ITC Avant Garde" w:cs="Calibri"/>
          <w:color w:val="auto"/>
        </w:rPr>
        <w:t xml:space="preserve"> </w:t>
      </w:r>
      <w:r w:rsidRPr="00F30615">
        <w:rPr>
          <w:rFonts w:ascii="ITC Avant Garde" w:eastAsia="Times New Roman" w:hAnsi="ITC Avant Garde" w:cs="Calibri"/>
          <w:color w:val="auto"/>
        </w:rPr>
        <w:t>como órbitas satelitales no geoestacionarias para constelaciones satelitales.</w:t>
      </w:r>
    </w:p>
    <w:p w14:paraId="2FF70A6F" w14:textId="2463982A" w:rsidR="00756A85" w:rsidRPr="00F30615" w:rsidRDefault="00756A85" w:rsidP="00E81595">
      <w:pPr>
        <w:spacing w:after="0" w:line="240" w:lineRule="auto"/>
        <w:ind w:left="0" w:right="0" w:firstLine="0"/>
        <w:rPr>
          <w:rFonts w:ascii="ITC Avant Garde" w:hAnsi="ITC Avant Garde"/>
          <w:color w:val="auto"/>
        </w:rPr>
      </w:pPr>
    </w:p>
    <w:p w14:paraId="1BD159CD" w14:textId="0DA3C259" w:rsidR="00756A85" w:rsidRPr="00F30615" w:rsidRDefault="00756A85" w:rsidP="00F30615">
      <w:pPr>
        <w:pStyle w:val="Prrafodelista"/>
        <w:numPr>
          <w:ilvl w:val="0"/>
          <w:numId w:val="39"/>
        </w:numPr>
        <w:spacing w:after="0" w:line="240" w:lineRule="auto"/>
        <w:ind w:right="0"/>
        <w:rPr>
          <w:rFonts w:ascii="ITC Avant Garde" w:eastAsia="Times New Roman" w:hAnsi="ITC Avant Garde" w:cs="Calibri"/>
          <w:color w:val="auto"/>
        </w:rPr>
      </w:pPr>
      <w:r w:rsidRPr="00F30615">
        <w:rPr>
          <w:rFonts w:ascii="ITC Avant Garde" w:eastAsia="Times New Roman" w:hAnsi="ITC Avant Garde" w:cs="Calibri"/>
          <w:color w:val="auto"/>
        </w:rPr>
        <w:t xml:space="preserve">Sobre si se considera o no </w:t>
      </w:r>
      <w:r w:rsidR="00162265">
        <w:rPr>
          <w:rFonts w:ascii="ITC Avant Garde" w:eastAsia="Times New Roman" w:hAnsi="ITC Avant Garde" w:cs="Calibri"/>
          <w:color w:val="auto"/>
        </w:rPr>
        <w:t xml:space="preserve">necesario </w:t>
      </w:r>
      <w:r w:rsidRPr="00F30615">
        <w:rPr>
          <w:rFonts w:ascii="ITC Avant Garde" w:eastAsia="Times New Roman" w:hAnsi="ITC Avant Garde" w:cs="Calibri"/>
          <w:color w:val="auto"/>
        </w:rPr>
        <w:t xml:space="preserve">que se realicen modificaciones al marco jurídico mexicano que regula la ocupación y/o explotación </w:t>
      </w:r>
      <w:r w:rsidR="00162265" w:rsidRPr="00F30615">
        <w:rPr>
          <w:rFonts w:ascii="ITC Avant Garde" w:eastAsia="Times New Roman" w:hAnsi="ITC Avant Garde" w:cs="Calibri"/>
          <w:color w:val="auto"/>
        </w:rPr>
        <w:t>de recursos orbitales</w:t>
      </w:r>
      <w:r w:rsidRPr="00F30615">
        <w:rPr>
          <w:rFonts w:ascii="ITC Avant Garde" w:eastAsia="Times New Roman" w:hAnsi="ITC Avant Garde" w:cs="Calibri"/>
          <w:color w:val="auto"/>
        </w:rPr>
        <w:t>.</w:t>
      </w:r>
    </w:p>
    <w:p w14:paraId="71A123CE" w14:textId="4DE783AE" w:rsidR="00756A85" w:rsidRPr="00F30615" w:rsidRDefault="00756A85" w:rsidP="00E81595">
      <w:pPr>
        <w:spacing w:after="0" w:line="240" w:lineRule="auto"/>
        <w:ind w:left="0" w:right="0" w:firstLine="0"/>
        <w:rPr>
          <w:rFonts w:ascii="ITC Avant Garde" w:hAnsi="ITC Avant Garde"/>
          <w:color w:val="auto"/>
        </w:rPr>
      </w:pPr>
    </w:p>
    <w:p w14:paraId="21789317" w14:textId="77777777" w:rsidR="00162265" w:rsidRDefault="00756A85" w:rsidP="00162265">
      <w:pPr>
        <w:pStyle w:val="Prrafodelista"/>
        <w:numPr>
          <w:ilvl w:val="0"/>
          <w:numId w:val="39"/>
        </w:numPr>
        <w:spacing w:after="0" w:line="240" w:lineRule="auto"/>
        <w:ind w:right="0"/>
        <w:rPr>
          <w:rFonts w:ascii="ITC Avant Garde" w:eastAsia="Times New Roman" w:hAnsi="ITC Avant Garde" w:cs="Calibri"/>
          <w:color w:val="auto"/>
        </w:rPr>
      </w:pPr>
      <w:r w:rsidRPr="00F30615">
        <w:rPr>
          <w:rFonts w:ascii="ITC Avant Garde" w:eastAsia="Times New Roman" w:hAnsi="ITC Avant Garde" w:cs="Calibri"/>
          <w:color w:val="auto"/>
        </w:rPr>
        <w:t xml:space="preserve">Sobre el monto de las contraprestaciones por el otorgamiento de las </w:t>
      </w:r>
      <w:r w:rsidR="00162265" w:rsidRPr="00F30615">
        <w:rPr>
          <w:rFonts w:ascii="ITC Avant Garde" w:eastAsia="Times New Roman" w:hAnsi="ITC Avant Garde" w:cs="Calibri"/>
          <w:color w:val="auto"/>
        </w:rPr>
        <w:t>concesiones de recursos orbitales, así como de los derechos por el uso, goce y aprovechamiento de las bandas de frecuencias asociadas a concesiones de recursos orbitales o autorizaciones de aterrizaje de señales.</w:t>
      </w:r>
    </w:p>
    <w:p w14:paraId="6A358425" w14:textId="77777777" w:rsidR="00162265" w:rsidRDefault="00162265" w:rsidP="00162265">
      <w:pPr>
        <w:pStyle w:val="Prrafodelista"/>
        <w:numPr>
          <w:ilvl w:val="0"/>
          <w:numId w:val="39"/>
        </w:numPr>
        <w:spacing w:after="0" w:line="240" w:lineRule="auto"/>
        <w:ind w:right="0"/>
        <w:rPr>
          <w:rFonts w:ascii="ITC Avant Garde" w:eastAsia="Times New Roman" w:hAnsi="ITC Avant Garde" w:cs="Calibri"/>
          <w:color w:val="auto"/>
        </w:rPr>
      </w:pPr>
      <w:r w:rsidRPr="00162265">
        <w:rPr>
          <w:rFonts w:ascii="ITC Avant Garde" w:eastAsia="Times New Roman" w:hAnsi="ITC Avant Garde" w:cs="Calibri"/>
          <w:color w:val="auto"/>
        </w:rPr>
        <w:lastRenderedPageBreak/>
        <w:t xml:space="preserve">Sobre la obligación </w:t>
      </w:r>
      <w:r>
        <w:rPr>
          <w:rFonts w:ascii="ITC Avant Garde" w:eastAsia="Times New Roman" w:hAnsi="ITC Avant Garde" w:cs="Calibri"/>
          <w:color w:val="auto"/>
        </w:rPr>
        <w:t xml:space="preserve">de </w:t>
      </w:r>
      <w:r w:rsidRPr="00162265">
        <w:rPr>
          <w:rFonts w:ascii="ITC Avant Garde" w:eastAsia="Times New Roman" w:hAnsi="ITC Avant Garde" w:cs="Calibri"/>
          <w:color w:val="auto"/>
        </w:rPr>
        <w:t>la reserva de capacidad satelital a que se refiere el artículo 150 de la Ley</w:t>
      </w:r>
      <w:r>
        <w:rPr>
          <w:rFonts w:ascii="ITC Avant Garde" w:eastAsia="Times New Roman" w:hAnsi="ITC Avant Garde" w:cs="Calibri"/>
          <w:color w:val="auto"/>
        </w:rPr>
        <w:t xml:space="preserve"> Federal de Telecomunicaciones y Radiodifusión</w:t>
      </w:r>
      <w:r w:rsidRPr="00162265">
        <w:rPr>
          <w:rFonts w:ascii="ITC Avant Garde" w:eastAsia="Times New Roman" w:hAnsi="ITC Avant Garde" w:cs="Calibri"/>
          <w:color w:val="auto"/>
        </w:rPr>
        <w:t>.</w:t>
      </w:r>
    </w:p>
    <w:p w14:paraId="221B62F3" w14:textId="77777777" w:rsidR="00162265" w:rsidRPr="00162265" w:rsidRDefault="00162265" w:rsidP="00162265">
      <w:pPr>
        <w:pStyle w:val="Prrafodelista"/>
        <w:rPr>
          <w:rFonts w:ascii="ITC Avant Garde" w:eastAsia="Times New Roman" w:hAnsi="ITC Avant Garde" w:cs="Calibri"/>
          <w:color w:val="auto"/>
        </w:rPr>
      </w:pPr>
    </w:p>
    <w:p w14:paraId="168DD2A8" w14:textId="3D0B614D" w:rsidR="00F30615" w:rsidRPr="00162265" w:rsidRDefault="00162265" w:rsidP="00AF1905">
      <w:pPr>
        <w:pStyle w:val="Prrafodelista"/>
        <w:numPr>
          <w:ilvl w:val="0"/>
          <w:numId w:val="39"/>
        </w:numPr>
        <w:spacing w:after="0" w:line="240" w:lineRule="auto"/>
        <w:ind w:right="0"/>
        <w:rPr>
          <w:rFonts w:ascii="ITC Avant Garde" w:eastAsia="Times New Roman" w:hAnsi="ITC Avant Garde" w:cs="Calibri"/>
          <w:color w:val="auto"/>
        </w:rPr>
      </w:pPr>
      <w:r w:rsidRPr="00162265">
        <w:rPr>
          <w:rFonts w:ascii="ITC Avant Garde" w:eastAsia="Times New Roman" w:hAnsi="ITC Avant Garde" w:cs="Calibri"/>
          <w:color w:val="auto"/>
        </w:rPr>
        <w:t xml:space="preserve">Sobre áreas de oportunidad en el desarrollo de la industria satelital en México, así como </w:t>
      </w:r>
      <w:r w:rsidR="00F30615" w:rsidRPr="00162265">
        <w:rPr>
          <w:rFonts w:ascii="ITC Avant Garde" w:eastAsia="Times New Roman" w:hAnsi="ITC Avant Garde" w:cs="Calibri"/>
          <w:color w:val="auto"/>
        </w:rPr>
        <w:t>desafíos y oportunidades que enfrenta la industria satelital para contribuir y satisfacer las necesidades de cobertura social, así como para disminuir la brecha digital</w:t>
      </w:r>
      <w:r>
        <w:rPr>
          <w:rFonts w:ascii="ITC Avant Garde" w:eastAsia="Times New Roman" w:hAnsi="ITC Avant Garde" w:cs="Calibri"/>
          <w:color w:val="auto"/>
        </w:rPr>
        <w:t>.</w:t>
      </w:r>
    </w:p>
    <w:p w14:paraId="72314E13" w14:textId="688D121B" w:rsidR="00F30615" w:rsidRPr="00F30615" w:rsidRDefault="00F30615" w:rsidP="00E81595">
      <w:pPr>
        <w:spacing w:after="0" w:line="240" w:lineRule="auto"/>
        <w:ind w:left="0" w:right="0" w:firstLine="0"/>
        <w:rPr>
          <w:rFonts w:ascii="ITC Avant Garde" w:eastAsia="Times New Roman" w:hAnsi="ITC Avant Garde" w:cs="Calibri"/>
          <w:color w:val="auto"/>
        </w:rPr>
      </w:pPr>
    </w:p>
    <w:p w14:paraId="06FC8289" w14:textId="2EF37142" w:rsidR="00F30615" w:rsidRPr="00F30615" w:rsidRDefault="00162265"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 xml:space="preserve">Sobre </w:t>
      </w:r>
      <w:r w:rsidR="00F30615" w:rsidRPr="00F30615">
        <w:rPr>
          <w:rFonts w:ascii="ITC Avant Garde" w:eastAsia="Times New Roman" w:hAnsi="ITC Avant Garde" w:cs="Calibri"/>
          <w:color w:val="auto"/>
        </w:rPr>
        <w:t>inversiones público-privadas en materia satelital</w:t>
      </w:r>
      <w:r>
        <w:rPr>
          <w:rFonts w:ascii="ITC Avant Garde" w:eastAsia="Times New Roman" w:hAnsi="ITC Avant Garde" w:cs="Calibri"/>
          <w:color w:val="auto"/>
        </w:rPr>
        <w:t>.</w:t>
      </w:r>
    </w:p>
    <w:p w14:paraId="048B161D" w14:textId="66DBF661" w:rsidR="00F30615" w:rsidRPr="00F30615" w:rsidRDefault="00F30615" w:rsidP="00E81595">
      <w:pPr>
        <w:spacing w:after="0" w:line="240" w:lineRule="auto"/>
        <w:ind w:left="0" w:right="0" w:firstLine="0"/>
        <w:rPr>
          <w:rFonts w:ascii="ITC Avant Garde" w:eastAsia="Times New Roman" w:hAnsi="ITC Avant Garde" w:cs="Calibri"/>
          <w:color w:val="auto"/>
        </w:rPr>
      </w:pPr>
    </w:p>
    <w:p w14:paraId="2FD76948" w14:textId="7A4DAB50" w:rsidR="00F30615" w:rsidRPr="00162265" w:rsidRDefault="00162265" w:rsidP="00AF1905">
      <w:pPr>
        <w:pStyle w:val="Prrafodelista"/>
        <w:numPr>
          <w:ilvl w:val="0"/>
          <w:numId w:val="39"/>
        </w:numPr>
        <w:spacing w:after="0" w:line="240" w:lineRule="auto"/>
        <w:ind w:right="0"/>
        <w:rPr>
          <w:rFonts w:ascii="ITC Avant Garde" w:eastAsia="Times New Roman" w:hAnsi="ITC Avant Garde" w:cs="Calibri"/>
          <w:color w:val="auto"/>
        </w:rPr>
      </w:pPr>
      <w:r w:rsidRPr="00162265">
        <w:rPr>
          <w:rFonts w:ascii="ITC Avant Garde" w:eastAsia="Times New Roman" w:hAnsi="ITC Avant Garde" w:cs="Calibri"/>
          <w:color w:val="auto"/>
        </w:rPr>
        <w:t>Sobre el uso actual y futuro de la Banda C, como es su relación c</w:t>
      </w:r>
      <w:r w:rsidR="00F30615" w:rsidRPr="00162265">
        <w:rPr>
          <w:rFonts w:ascii="ITC Avant Garde" w:eastAsia="Times New Roman" w:hAnsi="ITC Avant Garde" w:cs="Calibri"/>
          <w:color w:val="auto"/>
        </w:rPr>
        <w:t>on la implementación de redes 5G y servicios móviles IMT</w:t>
      </w:r>
      <w:r w:rsidR="00B15CCB">
        <w:rPr>
          <w:rFonts w:ascii="ITC Avant Garde" w:eastAsia="Times New Roman" w:hAnsi="ITC Avant Garde" w:cs="Calibri"/>
          <w:color w:val="auto"/>
        </w:rPr>
        <w:t>, así como</w:t>
      </w:r>
      <w:r w:rsidRPr="00162265">
        <w:rPr>
          <w:rFonts w:ascii="ITC Avant Garde" w:eastAsia="Times New Roman" w:hAnsi="ITC Avant Garde" w:cs="Calibri"/>
          <w:color w:val="auto"/>
        </w:rPr>
        <w:t xml:space="preserve"> </w:t>
      </w:r>
      <w:r>
        <w:rPr>
          <w:rFonts w:ascii="ITC Avant Garde" w:eastAsia="Times New Roman" w:hAnsi="ITC Avant Garde" w:cs="Calibri"/>
          <w:color w:val="auto"/>
        </w:rPr>
        <w:t xml:space="preserve">su </w:t>
      </w:r>
      <w:r w:rsidR="00F30615" w:rsidRPr="00162265">
        <w:rPr>
          <w:rFonts w:ascii="ITC Avant Garde" w:eastAsia="Times New Roman" w:hAnsi="ITC Avant Garde" w:cs="Calibri"/>
          <w:color w:val="auto"/>
        </w:rPr>
        <w:t>perspectiva a corto mediano y largo plazo p</w:t>
      </w:r>
      <w:r w:rsidR="00B15CCB">
        <w:rPr>
          <w:rFonts w:ascii="ITC Avant Garde" w:eastAsia="Times New Roman" w:hAnsi="ITC Avant Garde" w:cs="Calibri"/>
          <w:color w:val="auto"/>
        </w:rPr>
        <w:t>ara uso por parte de</w:t>
      </w:r>
      <w:r w:rsidR="00F30615" w:rsidRPr="00162265">
        <w:rPr>
          <w:rFonts w:ascii="ITC Avant Garde" w:eastAsia="Times New Roman" w:hAnsi="ITC Avant Garde" w:cs="Calibri"/>
          <w:color w:val="auto"/>
        </w:rPr>
        <w:t xml:space="preserve"> sistemas satelitales para la provisión de servicios</w:t>
      </w:r>
      <w:r>
        <w:rPr>
          <w:rFonts w:ascii="ITC Avant Garde" w:eastAsia="Times New Roman" w:hAnsi="ITC Avant Garde" w:cs="Calibri"/>
          <w:color w:val="auto"/>
        </w:rPr>
        <w:t>.</w:t>
      </w:r>
    </w:p>
    <w:p w14:paraId="4E54D2B9" w14:textId="2724D508" w:rsidR="00F30615" w:rsidRPr="00F30615" w:rsidRDefault="00F30615" w:rsidP="00E81595">
      <w:pPr>
        <w:spacing w:after="0" w:line="240" w:lineRule="auto"/>
        <w:ind w:left="0" w:right="0" w:firstLine="0"/>
        <w:rPr>
          <w:rFonts w:ascii="ITC Avant Garde" w:eastAsia="Times New Roman" w:hAnsi="ITC Avant Garde" w:cs="Calibri"/>
          <w:color w:val="auto"/>
        </w:rPr>
      </w:pPr>
    </w:p>
    <w:p w14:paraId="4B0D6055" w14:textId="31335244" w:rsidR="00F30615" w:rsidRPr="00F30615" w:rsidRDefault="00162265"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 xml:space="preserve">Sobre </w:t>
      </w:r>
      <w:r w:rsidR="00F30615" w:rsidRPr="00F30615">
        <w:rPr>
          <w:rFonts w:ascii="ITC Avant Garde" w:eastAsia="Times New Roman" w:hAnsi="ITC Avant Garde" w:cs="Calibri"/>
          <w:color w:val="auto"/>
        </w:rPr>
        <w:t>homologación de los equipos que se utilizan para las comunicaciones vía satélite.</w:t>
      </w:r>
    </w:p>
    <w:p w14:paraId="2CB40A94" w14:textId="12069441" w:rsidR="00F30615" w:rsidRPr="00F30615" w:rsidRDefault="00F30615" w:rsidP="00E81595">
      <w:pPr>
        <w:spacing w:after="0" w:line="240" w:lineRule="auto"/>
        <w:ind w:left="0" w:right="0" w:firstLine="0"/>
        <w:rPr>
          <w:rFonts w:ascii="ITC Avant Garde" w:eastAsia="Times New Roman" w:hAnsi="ITC Avant Garde" w:cs="Calibri"/>
          <w:color w:val="auto"/>
        </w:rPr>
      </w:pPr>
    </w:p>
    <w:p w14:paraId="217235D7" w14:textId="0F4AE6DF" w:rsidR="00F30615" w:rsidRPr="00F30615" w:rsidRDefault="001B42C1"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Sobre</w:t>
      </w:r>
      <w:r w:rsidR="00F30615" w:rsidRPr="00F30615">
        <w:rPr>
          <w:rFonts w:ascii="ITC Avant Garde" w:eastAsia="Times New Roman" w:hAnsi="ITC Avant Garde" w:cs="Calibri"/>
          <w:color w:val="auto"/>
        </w:rPr>
        <w:t xml:space="preserve"> acciones</w:t>
      </w:r>
      <w:r>
        <w:rPr>
          <w:rFonts w:ascii="ITC Avant Garde" w:eastAsia="Times New Roman" w:hAnsi="ITC Avant Garde" w:cs="Calibri"/>
          <w:color w:val="auto"/>
        </w:rPr>
        <w:t xml:space="preserve"> </w:t>
      </w:r>
      <w:r w:rsidR="00F30615" w:rsidRPr="00F30615">
        <w:rPr>
          <w:rFonts w:ascii="ITC Avant Garde" w:eastAsia="Times New Roman" w:hAnsi="ITC Avant Garde" w:cs="Calibri"/>
          <w:color w:val="auto"/>
        </w:rPr>
        <w:t>que podría implementar el Instituto, en el ámbito de sus facultades y atribuciones, relacionadas con la gestión, el control y la mitigación de los desechos espaciales</w:t>
      </w:r>
      <w:r>
        <w:rPr>
          <w:rFonts w:ascii="ITC Avant Garde" w:eastAsia="Times New Roman" w:hAnsi="ITC Avant Garde" w:cs="Calibri"/>
          <w:color w:val="auto"/>
        </w:rPr>
        <w:t>.</w:t>
      </w:r>
    </w:p>
    <w:p w14:paraId="73B49C5C" w14:textId="72DF6909" w:rsidR="00F30615" w:rsidRPr="00F30615" w:rsidRDefault="00F30615" w:rsidP="00E81595">
      <w:pPr>
        <w:spacing w:after="0" w:line="240" w:lineRule="auto"/>
        <w:ind w:left="0" w:right="0" w:firstLine="0"/>
        <w:rPr>
          <w:rFonts w:ascii="ITC Avant Garde" w:eastAsia="Times New Roman" w:hAnsi="ITC Avant Garde" w:cs="Calibri"/>
          <w:color w:val="auto"/>
        </w:rPr>
      </w:pPr>
    </w:p>
    <w:p w14:paraId="7FCD6298" w14:textId="0F07CE2C" w:rsidR="00F30615" w:rsidRPr="00F30615" w:rsidRDefault="001B42C1" w:rsidP="00F30615">
      <w:pPr>
        <w:pStyle w:val="Prrafodelista"/>
        <w:numPr>
          <w:ilvl w:val="0"/>
          <w:numId w:val="39"/>
        </w:numPr>
        <w:spacing w:after="0" w:line="240" w:lineRule="auto"/>
        <w:ind w:right="0"/>
        <w:rPr>
          <w:rFonts w:ascii="ITC Avant Garde" w:eastAsia="Times New Roman" w:hAnsi="ITC Avant Garde" w:cs="Calibri"/>
          <w:color w:val="auto"/>
        </w:rPr>
      </w:pPr>
      <w:r>
        <w:rPr>
          <w:rFonts w:ascii="ITC Avant Garde" w:eastAsia="Times New Roman" w:hAnsi="ITC Avant Garde" w:cs="Calibri"/>
          <w:color w:val="auto"/>
        </w:rPr>
        <w:t xml:space="preserve">Sobre </w:t>
      </w:r>
      <w:r w:rsidR="00F30615" w:rsidRPr="00F30615">
        <w:rPr>
          <w:rFonts w:ascii="ITC Avant Garde" w:eastAsia="Times New Roman" w:hAnsi="ITC Avant Garde" w:cs="Calibri"/>
          <w:color w:val="auto"/>
        </w:rPr>
        <w:t>el lanzamiento de vehículos espaciales</w:t>
      </w:r>
      <w:r>
        <w:rPr>
          <w:rFonts w:ascii="ITC Avant Garde" w:eastAsia="Times New Roman" w:hAnsi="ITC Avant Garde" w:cs="Calibri"/>
          <w:color w:val="auto"/>
        </w:rPr>
        <w:t>.</w:t>
      </w:r>
    </w:p>
    <w:p w14:paraId="5BEE3B09" w14:textId="77777777" w:rsidR="00F30615" w:rsidRPr="00756A85" w:rsidRDefault="00F30615" w:rsidP="00E81595">
      <w:pPr>
        <w:spacing w:after="0" w:line="240" w:lineRule="auto"/>
        <w:ind w:left="0" w:right="0" w:firstLine="0"/>
        <w:rPr>
          <w:rFonts w:ascii="ITC Avant Garde" w:eastAsia="Times New Roman" w:hAnsi="ITC Avant Garde" w:cs="Calibri"/>
          <w:color w:val="auto"/>
          <w:sz w:val="18"/>
          <w:szCs w:val="18"/>
        </w:rPr>
      </w:pPr>
    </w:p>
    <w:p w14:paraId="336672C0" w14:textId="75EB5607" w:rsidR="00F30615" w:rsidRPr="00D9228E" w:rsidRDefault="00F30615" w:rsidP="00F30615">
      <w:pPr>
        <w:pStyle w:val="Prrafodelista"/>
        <w:spacing w:after="0" w:line="240" w:lineRule="auto"/>
        <w:ind w:left="0" w:right="0" w:firstLine="0"/>
        <w:rPr>
          <w:rFonts w:ascii="ITC Avant Garde" w:eastAsia="Calibri" w:hAnsi="ITC Avant Garde" w:cs="Arial"/>
          <w:color w:val="auto"/>
          <w:lang w:val="es-ES" w:eastAsia="en-US"/>
        </w:rPr>
      </w:pPr>
      <w:r>
        <w:rPr>
          <w:rFonts w:ascii="ITC Avant Garde" w:eastAsia="Calibri" w:hAnsi="ITC Avant Garde" w:cs="Arial"/>
          <w:color w:val="auto"/>
          <w:lang w:val="es-ES" w:eastAsia="en-US"/>
        </w:rPr>
        <w:t xml:space="preserve">Cabe señalar que </w:t>
      </w:r>
      <w:r w:rsidRPr="00D9228E">
        <w:rPr>
          <w:rFonts w:ascii="ITC Avant Garde" w:eastAsia="Calibri" w:hAnsi="ITC Avant Garde" w:cs="Arial"/>
          <w:color w:val="auto"/>
          <w:lang w:val="es-ES" w:eastAsia="en-US"/>
        </w:rPr>
        <w:t>l</w:t>
      </w:r>
      <w:r w:rsidRPr="00D9228E">
        <w:rPr>
          <w:rFonts w:ascii="ITC Avant Garde" w:hAnsi="ITC Avant Garde"/>
          <w:color w:val="auto"/>
          <w:szCs w:val="18"/>
        </w:rPr>
        <w:t>a información proporcionada</w:t>
      </w:r>
      <w:r>
        <w:rPr>
          <w:rFonts w:ascii="ITC Avant Garde" w:hAnsi="ITC Avant Garde"/>
          <w:color w:val="auto"/>
          <w:szCs w:val="18"/>
        </w:rPr>
        <w:t xml:space="preserve"> por las personas participantes </w:t>
      </w:r>
      <w:r w:rsidRPr="00D9228E">
        <w:rPr>
          <w:rFonts w:ascii="ITC Avant Garde" w:hAnsi="ITC Avant Garde"/>
          <w:color w:val="auto"/>
          <w:szCs w:val="18"/>
        </w:rPr>
        <w:t>se</w:t>
      </w:r>
      <w:r>
        <w:rPr>
          <w:rFonts w:ascii="ITC Avant Garde" w:hAnsi="ITC Avant Garde"/>
          <w:color w:val="auto"/>
          <w:szCs w:val="18"/>
        </w:rPr>
        <w:t xml:space="preserve"> ha</w:t>
      </w:r>
      <w:r w:rsidRPr="00D9228E">
        <w:rPr>
          <w:rFonts w:ascii="ITC Avant Garde" w:hAnsi="ITC Avant Garde"/>
          <w:color w:val="auto"/>
          <w:szCs w:val="18"/>
        </w:rPr>
        <w:t xml:space="preserve"> analizad</w:t>
      </w:r>
      <w:r>
        <w:rPr>
          <w:rFonts w:ascii="ITC Avant Garde" w:hAnsi="ITC Avant Garde"/>
          <w:color w:val="auto"/>
          <w:szCs w:val="18"/>
        </w:rPr>
        <w:t>o</w:t>
      </w:r>
      <w:r w:rsidRPr="00D9228E">
        <w:rPr>
          <w:rFonts w:ascii="ITC Avant Garde" w:hAnsi="ITC Avant Garde"/>
          <w:color w:val="auto"/>
          <w:szCs w:val="18"/>
        </w:rPr>
        <w:t xml:space="preserve"> por el Instituto y</w:t>
      </w:r>
      <w:r>
        <w:rPr>
          <w:rFonts w:ascii="ITC Avant Garde" w:hAnsi="ITC Avant Garde"/>
          <w:color w:val="auto"/>
          <w:szCs w:val="18"/>
        </w:rPr>
        <w:t>, aquella que no corresponde propiamente a su esfera competencial,</w:t>
      </w:r>
      <w:r w:rsidRPr="00D9228E">
        <w:rPr>
          <w:rFonts w:ascii="ITC Avant Garde" w:hAnsi="ITC Avant Garde"/>
          <w:color w:val="auto"/>
          <w:szCs w:val="18"/>
        </w:rPr>
        <w:t xml:space="preserve"> se remiti</w:t>
      </w:r>
      <w:r>
        <w:rPr>
          <w:rFonts w:ascii="ITC Avant Garde" w:hAnsi="ITC Avant Garde"/>
          <w:color w:val="auto"/>
          <w:szCs w:val="18"/>
        </w:rPr>
        <w:t>rá</w:t>
      </w:r>
      <w:r w:rsidRPr="00D9228E">
        <w:rPr>
          <w:rFonts w:ascii="ITC Avant Garde" w:hAnsi="ITC Avant Garde"/>
          <w:color w:val="auto"/>
          <w:szCs w:val="18"/>
        </w:rPr>
        <w:t xml:space="preserve"> a las autoridades correspondientes para las acciones que resulten pertinentes en el ámbito de sus atribuciones.</w:t>
      </w:r>
    </w:p>
    <w:p w14:paraId="1E63A2F3" w14:textId="1AE664A5" w:rsidR="00A031FF" w:rsidRDefault="00A031FF" w:rsidP="00E81595">
      <w:pPr>
        <w:spacing w:after="0" w:line="240" w:lineRule="auto"/>
        <w:ind w:left="0" w:right="0" w:firstLine="0"/>
        <w:rPr>
          <w:rFonts w:ascii="ITC Avant Garde" w:hAnsi="ITC Avant Garde"/>
          <w:color w:val="auto"/>
          <w:szCs w:val="18"/>
          <w:lang w:val="es-ES"/>
        </w:rPr>
      </w:pPr>
    </w:p>
    <w:p w14:paraId="593450B0" w14:textId="74768186" w:rsidR="00F30615" w:rsidRPr="00450B03" w:rsidRDefault="00F30615" w:rsidP="00F30615">
      <w:pPr>
        <w:spacing w:after="0" w:line="240" w:lineRule="auto"/>
        <w:ind w:right="0"/>
        <w:rPr>
          <w:rFonts w:ascii="ITC Avant Garde" w:hAnsi="ITC Avant Garde"/>
          <w:color w:val="auto"/>
        </w:rPr>
      </w:pPr>
      <w:r w:rsidRPr="00450B03">
        <w:rPr>
          <w:rFonts w:ascii="ITC Avant Garde" w:hAnsi="ITC Avant Garde"/>
          <w:color w:val="auto"/>
        </w:rPr>
        <w:t xml:space="preserve">Por otra parte, la información proporcionada, </w:t>
      </w:r>
      <w:r w:rsidR="00FD6C31">
        <w:rPr>
          <w:rFonts w:ascii="ITC Avant Garde" w:hAnsi="ITC Avant Garde"/>
          <w:color w:val="auto"/>
        </w:rPr>
        <w:t xml:space="preserve">podrá </w:t>
      </w:r>
      <w:r w:rsidRPr="00450B03">
        <w:rPr>
          <w:rFonts w:ascii="ITC Avant Garde" w:hAnsi="ITC Avant Garde"/>
          <w:color w:val="auto"/>
        </w:rPr>
        <w:t>ser considerada</w:t>
      </w:r>
      <w:r w:rsidR="00FD6C31">
        <w:rPr>
          <w:rFonts w:ascii="ITC Avant Garde" w:hAnsi="ITC Avant Garde"/>
          <w:color w:val="auto"/>
        </w:rPr>
        <w:t>,</w:t>
      </w:r>
      <w:r w:rsidRPr="00450B03">
        <w:rPr>
          <w:rFonts w:ascii="ITC Avant Garde" w:hAnsi="ITC Avant Garde"/>
          <w:color w:val="auto"/>
        </w:rPr>
        <w:t xml:space="preserve"> dentro del ámbito de las atribuciones del Instituto, </w:t>
      </w:r>
      <w:r w:rsidR="00FD6C31">
        <w:rPr>
          <w:rFonts w:ascii="ITC Avant Garde" w:hAnsi="ITC Avant Garde"/>
          <w:color w:val="auto"/>
        </w:rPr>
        <w:t>en la implementación de</w:t>
      </w:r>
      <w:r w:rsidRPr="00450B03">
        <w:rPr>
          <w:rFonts w:ascii="ITC Avant Garde" w:hAnsi="ITC Avant Garde"/>
          <w:color w:val="auto"/>
        </w:rPr>
        <w:t xml:space="preserve"> acciones en materia de planeación y administración de recursos orbitales, así como </w:t>
      </w:r>
      <w:r w:rsidR="00FD6C31">
        <w:rPr>
          <w:rFonts w:ascii="ITC Avant Garde" w:hAnsi="ITC Avant Garde"/>
          <w:color w:val="auto"/>
        </w:rPr>
        <w:t xml:space="preserve">en materia </w:t>
      </w:r>
      <w:r w:rsidRPr="00450B03">
        <w:rPr>
          <w:rFonts w:ascii="ITC Avant Garde" w:hAnsi="ITC Avant Garde"/>
          <w:color w:val="auto"/>
        </w:rPr>
        <w:t>de política regulatoria</w:t>
      </w:r>
      <w:r w:rsidR="00FD6C31">
        <w:rPr>
          <w:rFonts w:ascii="ITC Avant Garde" w:hAnsi="ITC Avant Garde"/>
          <w:color w:val="auto"/>
        </w:rPr>
        <w:t>, conforme a los diversos instrumentos emitidos por el Instituto</w:t>
      </w:r>
      <w:r>
        <w:rPr>
          <w:rFonts w:ascii="ITC Avant Garde" w:hAnsi="ITC Avant Garde"/>
          <w:color w:val="auto"/>
        </w:rPr>
        <w:t>.</w:t>
      </w:r>
    </w:p>
    <w:p w14:paraId="13AFC564" w14:textId="77777777" w:rsidR="00F30615" w:rsidRPr="00F30615" w:rsidRDefault="00F30615" w:rsidP="00E81595">
      <w:pPr>
        <w:spacing w:after="0" w:line="240" w:lineRule="auto"/>
        <w:ind w:left="0" w:right="0" w:firstLine="0"/>
        <w:rPr>
          <w:rFonts w:ascii="ITC Avant Garde" w:hAnsi="ITC Avant Garde"/>
          <w:color w:val="auto"/>
          <w:szCs w:val="18"/>
        </w:rPr>
      </w:pPr>
    </w:p>
    <w:sectPr w:rsidR="00F30615" w:rsidRPr="00F30615" w:rsidSect="00D0445F">
      <w:footerReference w:type="default" r:id="rId13"/>
      <w:pgSz w:w="12240" w:h="15840" w:code="1"/>
      <w:pgMar w:top="1560"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2289A" w14:textId="77777777" w:rsidR="00FC3FC8" w:rsidRDefault="00FC3FC8">
      <w:pPr>
        <w:spacing w:after="0" w:line="240" w:lineRule="auto"/>
      </w:pPr>
      <w:r>
        <w:separator/>
      </w:r>
    </w:p>
  </w:endnote>
  <w:endnote w:type="continuationSeparator" w:id="0">
    <w:p w14:paraId="34913372" w14:textId="77777777" w:rsidR="00FC3FC8" w:rsidRDefault="00FC3FC8">
      <w:pPr>
        <w:spacing w:after="0" w:line="240" w:lineRule="auto"/>
      </w:pPr>
      <w:r>
        <w:continuationSeparator/>
      </w:r>
    </w:p>
  </w:endnote>
  <w:endnote w:type="continuationNotice" w:id="1">
    <w:p w14:paraId="6C40AB79" w14:textId="77777777" w:rsidR="00FC3FC8" w:rsidRDefault="00FC3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52572"/>
      <w:docPartObj>
        <w:docPartGallery w:val="Page Numbers (Bottom of Page)"/>
        <w:docPartUnique/>
      </w:docPartObj>
    </w:sdtPr>
    <w:sdtEndPr/>
    <w:sdtContent>
      <w:p w14:paraId="0347A291" w14:textId="66705576" w:rsidR="00AF1905" w:rsidRDefault="00AF1905">
        <w:pPr>
          <w:pStyle w:val="Piedepgina"/>
          <w:jc w:val="right"/>
        </w:pPr>
        <w:r>
          <w:fldChar w:fldCharType="begin"/>
        </w:r>
        <w:r>
          <w:instrText>PAGE   \* MERGEFORMAT</w:instrText>
        </w:r>
        <w:r>
          <w:fldChar w:fldCharType="separate"/>
        </w:r>
        <w:r>
          <w:rPr>
            <w:lang w:val="es-ES"/>
          </w:rPr>
          <w:t>2</w:t>
        </w:r>
        <w:r>
          <w:fldChar w:fldCharType="end"/>
        </w:r>
      </w:p>
    </w:sdtContent>
  </w:sdt>
  <w:p w14:paraId="33777316" w14:textId="77777777" w:rsidR="00AF1905" w:rsidRDefault="00AF19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3A290" w14:textId="77777777" w:rsidR="00FC3FC8" w:rsidRDefault="00FC3FC8">
      <w:pPr>
        <w:spacing w:after="0" w:line="240" w:lineRule="auto"/>
      </w:pPr>
      <w:r>
        <w:separator/>
      </w:r>
    </w:p>
  </w:footnote>
  <w:footnote w:type="continuationSeparator" w:id="0">
    <w:p w14:paraId="15A74E2A" w14:textId="77777777" w:rsidR="00FC3FC8" w:rsidRDefault="00FC3FC8">
      <w:pPr>
        <w:spacing w:after="0" w:line="240" w:lineRule="auto"/>
      </w:pPr>
      <w:r>
        <w:continuationSeparator/>
      </w:r>
    </w:p>
  </w:footnote>
  <w:footnote w:type="continuationNotice" w:id="1">
    <w:p w14:paraId="7CA97FF4" w14:textId="77777777" w:rsidR="00FC3FC8" w:rsidRDefault="00FC3F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09B4"/>
    <w:multiLevelType w:val="hybridMultilevel"/>
    <w:tmpl w:val="D696BB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FF20F2"/>
    <w:multiLevelType w:val="hybridMultilevel"/>
    <w:tmpl w:val="24DEA0DC"/>
    <w:lvl w:ilvl="0" w:tplc="8316764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80A17"/>
    <w:multiLevelType w:val="hybridMultilevel"/>
    <w:tmpl w:val="A338470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5F0596A"/>
    <w:multiLevelType w:val="hybridMultilevel"/>
    <w:tmpl w:val="F6DE2C56"/>
    <w:lvl w:ilvl="0" w:tplc="524CAC1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1C473B"/>
    <w:multiLevelType w:val="hybridMultilevel"/>
    <w:tmpl w:val="A3C8979A"/>
    <w:lvl w:ilvl="0" w:tplc="97DC7A48">
      <w:start w:val="1"/>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8204210"/>
    <w:multiLevelType w:val="hybridMultilevel"/>
    <w:tmpl w:val="57360F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900869"/>
    <w:multiLevelType w:val="hybridMultilevel"/>
    <w:tmpl w:val="C9345A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D14C5B"/>
    <w:multiLevelType w:val="hybridMultilevel"/>
    <w:tmpl w:val="88F83B28"/>
    <w:lvl w:ilvl="0" w:tplc="60F6156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277BD7"/>
    <w:multiLevelType w:val="hybridMultilevel"/>
    <w:tmpl w:val="6F080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251D3A"/>
    <w:multiLevelType w:val="hybridMultilevel"/>
    <w:tmpl w:val="33D49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983953"/>
    <w:multiLevelType w:val="hybridMultilevel"/>
    <w:tmpl w:val="ED7C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870C1C"/>
    <w:multiLevelType w:val="hybridMultilevel"/>
    <w:tmpl w:val="85EAC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CD5A0F"/>
    <w:multiLevelType w:val="hybridMultilevel"/>
    <w:tmpl w:val="82B4D76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F551CE3"/>
    <w:multiLevelType w:val="hybridMultilevel"/>
    <w:tmpl w:val="AFAC106C"/>
    <w:lvl w:ilvl="0" w:tplc="822EB2E8">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66859"/>
    <w:multiLevelType w:val="hybridMultilevel"/>
    <w:tmpl w:val="D50CD45A"/>
    <w:lvl w:ilvl="0" w:tplc="080A0019">
      <w:start w:val="1"/>
      <w:numFmt w:val="lowerLetter"/>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5D367D"/>
    <w:multiLevelType w:val="hybridMultilevel"/>
    <w:tmpl w:val="BD7231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C3166B"/>
    <w:multiLevelType w:val="hybridMultilevel"/>
    <w:tmpl w:val="3C8AE994"/>
    <w:lvl w:ilvl="0" w:tplc="080A000F">
      <w:start w:val="1"/>
      <w:numFmt w:val="decimal"/>
      <w:lvlText w:val="%1."/>
      <w:lvlJc w:val="left"/>
      <w:pPr>
        <w:ind w:left="720" w:hanging="360"/>
      </w:pPr>
    </w:lvl>
    <w:lvl w:ilvl="1" w:tplc="684EF444">
      <w:numFmt w:val="bullet"/>
      <w:lvlText w:val="-"/>
      <w:lvlJc w:val="left"/>
      <w:pPr>
        <w:ind w:left="1440" w:hanging="360"/>
      </w:pPr>
      <w:rPr>
        <w:rFonts w:ascii="ITC Avant Garde" w:eastAsia="Times New Roman" w:hAnsi="ITC Avant Garde"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27D6D"/>
    <w:multiLevelType w:val="hybridMultilevel"/>
    <w:tmpl w:val="41FE29EA"/>
    <w:lvl w:ilvl="0" w:tplc="822EB2E8">
      <w:numFmt w:val="bullet"/>
      <w:lvlText w:val="-"/>
      <w:lvlJc w:val="left"/>
      <w:pPr>
        <w:ind w:left="720" w:hanging="360"/>
      </w:pPr>
      <w:rPr>
        <w:rFonts w:ascii="ITC Avant Garde" w:eastAsiaTheme="minorHAns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6A10F0"/>
    <w:multiLevelType w:val="hybridMultilevel"/>
    <w:tmpl w:val="10CE300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551795B"/>
    <w:multiLevelType w:val="hybridMultilevel"/>
    <w:tmpl w:val="ED0681B4"/>
    <w:lvl w:ilvl="0" w:tplc="080A0017">
      <w:start w:val="1"/>
      <w:numFmt w:val="lowerLetter"/>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DF5C0F"/>
    <w:multiLevelType w:val="hybridMultilevel"/>
    <w:tmpl w:val="EC6C8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633843"/>
    <w:multiLevelType w:val="hybridMultilevel"/>
    <w:tmpl w:val="A858CECE"/>
    <w:lvl w:ilvl="0" w:tplc="771036B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936DCB"/>
    <w:multiLevelType w:val="hybridMultilevel"/>
    <w:tmpl w:val="C17AD6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62685F"/>
    <w:multiLevelType w:val="hybridMultilevel"/>
    <w:tmpl w:val="6E624422"/>
    <w:lvl w:ilvl="0" w:tplc="2BD4D2E0">
      <w:start w:val="1"/>
      <w:numFmt w:val="decimal"/>
      <w:lvlText w:val="%1."/>
      <w:lvlJc w:val="left"/>
      <w:pPr>
        <w:ind w:left="1080"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2321E3F"/>
    <w:multiLevelType w:val="hybridMultilevel"/>
    <w:tmpl w:val="6BCCEFE8"/>
    <w:lvl w:ilvl="0" w:tplc="4BB4C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D918AD"/>
    <w:multiLevelType w:val="hybridMultilevel"/>
    <w:tmpl w:val="09EACF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5149CB"/>
    <w:multiLevelType w:val="hybridMultilevel"/>
    <w:tmpl w:val="8D20A5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AB4875"/>
    <w:multiLevelType w:val="hybridMultilevel"/>
    <w:tmpl w:val="FA96E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0479A3"/>
    <w:multiLevelType w:val="hybridMultilevel"/>
    <w:tmpl w:val="2AE6123C"/>
    <w:lvl w:ilvl="0" w:tplc="8C1EE55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4E00EE"/>
    <w:multiLevelType w:val="hybridMultilevel"/>
    <w:tmpl w:val="AAA611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5181206"/>
    <w:multiLevelType w:val="hybridMultilevel"/>
    <w:tmpl w:val="23A8266E"/>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65874743"/>
    <w:multiLevelType w:val="hybridMultilevel"/>
    <w:tmpl w:val="0EF41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DC0ABE"/>
    <w:multiLevelType w:val="hybridMultilevel"/>
    <w:tmpl w:val="2B72F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177804"/>
    <w:multiLevelType w:val="hybridMultilevel"/>
    <w:tmpl w:val="F9804044"/>
    <w:lvl w:ilvl="0" w:tplc="4BB4CF2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2F7E14"/>
    <w:multiLevelType w:val="hybridMultilevel"/>
    <w:tmpl w:val="28D27A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36" w15:restartNumberingAfterBreak="0">
    <w:nsid w:val="7202131F"/>
    <w:multiLevelType w:val="hybridMultilevel"/>
    <w:tmpl w:val="988A57D4"/>
    <w:lvl w:ilvl="0" w:tplc="CDA0108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352D3B"/>
    <w:multiLevelType w:val="hybridMultilevel"/>
    <w:tmpl w:val="D564EB30"/>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CB24A0"/>
    <w:multiLevelType w:val="hybridMultilevel"/>
    <w:tmpl w:val="A66AA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11"/>
  </w:num>
  <w:num w:numId="4">
    <w:abstractNumId w:val="17"/>
  </w:num>
  <w:num w:numId="5">
    <w:abstractNumId w:val="29"/>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37"/>
  </w:num>
  <w:num w:numId="11">
    <w:abstractNumId w:val="19"/>
  </w:num>
  <w:num w:numId="12">
    <w:abstractNumId w:val="14"/>
  </w:num>
  <w:num w:numId="13">
    <w:abstractNumId w:val="25"/>
  </w:num>
  <w:num w:numId="14">
    <w:abstractNumId w:val="16"/>
  </w:num>
  <w:num w:numId="15">
    <w:abstractNumId w:val="5"/>
  </w:num>
  <w:num w:numId="16">
    <w:abstractNumId w:val="15"/>
  </w:num>
  <w:num w:numId="17">
    <w:abstractNumId w:val="6"/>
  </w:num>
  <w:num w:numId="18">
    <w:abstractNumId w:val="32"/>
  </w:num>
  <w:num w:numId="19">
    <w:abstractNumId w:val="9"/>
  </w:num>
  <w:num w:numId="20">
    <w:abstractNumId w:val="38"/>
  </w:num>
  <w:num w:numId="21">
    <w:abstractNumId w:val="10"/>
  </w:num>
  <w:num w:numId="22">
    <w:abstractNumId w:val="28"/>
  </w:num>
  <w:num w:numId="23">
    <w:abstractNumId w:val="23"/>
  </w:num>
  <w:num w:numId="24">
    <w:abstractNumId w:val="20"/>
  </w:num>
  <w:num w:numId="25">
    <w:abstractNumId w:val="18"/>
  </w:num>
  <w:num w:numId="26">
    <w:abstractNumId w:val="12"/>
  </w:num>
  <w:num w:numId="27">
    <w:abstractNumId w:val="3"/>
  </w:num>
  <w:num w:numId="28">
    <w:abstractNumId w:val="2"/>
  </w:num>
  <w:num w:numId="29">
    <w:abstractNumId w:val="27"/>
  </w:num>
  <w:num w:numId="30">
    <w:abstractNumId w:val="0"/>
  </w:num>
  <w:num w:numId="31">
    <w:abstractNumId w:val="24"/>
  </w:num>
  <w:num w:numId="32">
    <w:abstractNumId w:val="33"/>
  </w:num>
  <w:num w:numId="33">
    <w:abstractNumId w:val="30"/>
  </w:num>
  <w:num w:numId="34">
    <w:abstractNumId w:val="31"/>
  </w:num>
  <w:num w:numId="35">
    <w:abstractNumId w:val="22"/>
  </w:num>
  <w:num w:numId="36">
    <w:abstractNumId w:val="26"/>
  </w:num>
  <w:num w:numId="37">
    <w:abstractNumId w:val="34"/>
  </w:num>
  <w:num w:numId="38">
    <w:abstractNumId w:val="13"/>
  </w:num>
  <w:num w:numId="3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1E"/>
    <w:rsid w:val="00005661"/>
    <w:rsid w:val="00006870"/>
    <w:rsid w:val="00006BA2"/>
    <w:rsid w:val="00012327"/>
    <w:rsid w:val="00020B08"/>
    <w:rsid w:val="00023617"/>
    <w:rsid w:val="00025DDC"/>
    <w:rsid w:val="000313C2"/>
    <w:rsid w:val="000313EA"/>
    <w:rsid w:val="000347C9"/>
    <w:rsid w:val="000425F1"/>
    <w:rsid w:val="000431C8"/>
    <w:rsid w:val="000442CB"/>
    <w:rsid w:val="0004488A"/>
    <w:rsid w:val="0004673B"/>
    <w:rsid w:val="0005233C"/>
    <w:rsid w:val="00053AF0"/>
    <w:rsid w:val="00054111"/>
    <w:rsid w:val="000573E0"/>
    <w:rsid w:val="00057599"/>
    <w:rsid w:val="00062FDA"/>
    <w:rsid w:val="000648ED"/>
    <w:rsid w:val="00072522"/>
    <w:rsid w:val="00072A27"/>
    <w:rsid w:val="00080CFE"/>
    <w:rsid w:val="000814A5"/>
    <w:rsid w:val="000827CA"/>
    <w:rsid w:val="0008428F"/>
    <w:rsid w:val="0009039A"/>
    <w:rsid w:val="00092FC7"/>
    <w:rsid w:val="00093E0A"/>
    <w:rsid w:val="00095881"/>
    <w:rsid w:val="00095A6D"/>
    <w:rsid w:val="000A07DB"/>
    <w:rsid w:val="000A0A91"/>
    <w:rsid w:val="000A167C"/>
    <w:rsid w:val="000B0182"/>
    <w:rsid w:val="000B1379"/>
    <w:rsid w:val="000B25A6"/>
    <w:rsid w:val="000B5830"/>
    <w:rsid w:val="000C1B04"/>
    <w:rsid w:val="000C52C7"/>
    <w:rsid w:val="000C5F98"/>
    <w:rsid w:val="000D1082"/>
    <w:rsid w:val="000D25F6"/>
    <w:rsid w:val="000D6C7F"/>
    <w:rsid w:val="000E4B09"/>
    <w:rsid w:val="000F5DED"/>
    <w:rsid w:val="00101036"/>
    <w:rsid w:val="001070EE"/>
    <w:rsid w:val="00107910"/>
    <w:rsid w:val="001110D7"/>
    <w:rsid w:val="00111E4F"/>
    <w:rsid w:val="00113097"/>
    <w:rsid w:val="001131EF"/>
    <w:rsid w:val="00113FF8"/>
    <w:rsid w:val="0012009A"/>
    <w:rsid w:val="001228D6"/>
    <w:rsid w:val="001240A9"/>
    <w:rsid w:val="00125332"/>
    <w:rsid w:val="0013084D"/>
    <w:rsid w:val="00135FF6"/>
    <w:rsid w:val="00137817"/>
    <w:rsid w:val="00143CEC"/>
    <w:rsid w:val="001444DA"/>
    <w:rsid w:val="00147061"/>
    <w:rsid w:val="00151AF7"/>
    <w:rsid w:val="00151DA2"/>
    <w:rsid w:val="00152154"/>
    <w:rsid w:val="001525E2"/>
    <w:rsid w:val="00155E31"/>
    <w:rsid w:val="001573E6"/>
    <w:rsid w:val="00162265"/>
    <w:rsid w:val="001636AF"/>
    <w:rsid w:val="00171A82"/>
    <w:rsid w:val="00172D69"/>
    <w:rsid w:val="00174FAE"/>
    <w:rsid w:val="00175B00"/>
    <w:rsid w:val="001774DF"/>
    <w:rsid w:val="00180003"/>
    <w:rsid w:val="00181AE8"/>
    <w:rsid w:val="00183820"/>
    <w:rsid w:val="0018472B"/>
    <w:rsid w:val="001920E5"/>
    <w:rsid w:val="001927CD"/>
    <w:rsid w:val="001931C4"/>
    <w:rsid w:val="001A00CC"/>
    <w:rsid w:val="001A1294"/>
    <w:rsid w:val="001A185F"/>
    <w:rsid w:val="001A3508"/>
    <w:rsid w:val="001A68AB"/>
    <w:rsid w:val="001B42C1"/>
    <w:rsid w:val="001B4419"/>
    <w:rsid w:val="001B6A2A"/>
    <w:rsid w:val="001D0311"/>
    <w:rsid w:val="001D1398"/>
    <w:rsid w:val="001D4A63"/>
    <w:rsid w:val="001E4486"/>
    <w:rsid w:val="001E48DE"/>
    <w:rsid w:val="001F0EF0"/>
    <w:rsid w:val="001F25F3"/>
    <w:rsid w:val="001F26E9"/>
    <w:rsid w:val="001F2E55"/>
    <w:rsid w:val="001F6C9A"/>
    <w:rsid w:val="00205DA8"/>
    <w:rsid w:val="00210F01"/>
    <w:rsid w:val="00214715"/>
    <w:rsid w:val="00214F24"/>
    <w:rsid w:val="00220157"/>
    <w:rsid w:val="00220E0F"/>
    <w:rsid w:val="002210C8"/>
    <w:rsid w:val="002224ED"/>
    <w:rsid w:val="002228A0"/>
    <w:rsid w:val="00223167"/>
    <w:rsid w:val="00223EBD"/>
    <w:rsid w:val="00235B48"/>
    <w:rsid w:val="002400EC"/>
    <w:rsid w:val="0024137A"/>
    <w:rsid w:val="00246B8A"/>
    <w:rsid w:val="002502F1"/>
    <w:rsid w:val="002553F9"/>
    <w:rsid w:val="00255B2C"/>
    <w:rsid w:val="00257ABA"/>
    <w:rsid w:val="00257DE7"/>
    <w:rsid w:val="0026393E"/>
    <w:rsid w:val="00265E7A"/>
    <w:rsid w:val="00272A68"/>
    <w:rsid w:val="00272B8E"/>
    <w:rsid w:val="0028217D"/>
    <w:rsid w:val="002830B2"/>
    <w:rsid w:val="00283260"/>
    <w:rsid w:val="002840DC"/>
    <w:rsid w:val="00284CE1"/>
    <w:rsid w:val="00285D35"/>
    <w:rsid w:val="002860EF"/>
    <w:rsid w:val="0029028A"/>
    <w:rsid w:val="0029276C"/>
    <w:rsid w:val="002954B2"/>
    <w:rsid w:val="002A052B"/>
    <w:rsid w:val="002A5A26"/>
    <w:rsid w:val="002A641B"/>
    <w:rsid w:val="002A73F6"/>
    <w:rsid w:val="002B5D68"/>
    <w:rsid w:val="002B649E"/>
    <w:rsid w:val="002B690A"/>
    <w:rsid w:val="002C0DE4"/>
    <w:rsid w:val="002C1622"/>
    <w:rsid w:val="002C211A"/>
    <w:rsid w:val="002C6B79"/>
    <w:rsid w:val="002E388D"/>
    <w:rsid w:val="002E6F4F"/>
    <w:rsid w:val="002F1538"/>
    <w:rsid w:val="002F1997"/>
    <w:rsid w:val="002F5EE7"/>
    <w:rsid w:val="002F6FD5"/>
    <w:rsid w:val="00300B66"/>
    <w:rsid w:val="00300F79"/>
    <w:rsid w:val="00301848"/>
    <w:rsid w:val="003053E5"/>
    <w:rsid w:val="00312EE1"/>
    <w:rsid w:val="00313796"/>
    <w:rsid w:val="00324524"/>
    <w:rsid w:val="00327A3A"/>
    <w:rsid w:val="00331F3F"/>
    <w:rsid w:val="00337332"/>
    <w:rsid w:val="00340635"/>
    <w:rsid w:val="00342A5A"/>
    <w:rsid w:val="0034391C"/>
    <w:rsid w:val="003469AB"/>
    <w:rsid w:val="00346EC5"/>
    <w:rsid w:val="003528F2"/>
    <w:rsid w:val="0035399C"/>
    <w:rsid w:val="00361389"/>
    <w:rsid w:val="00361586"/>
    <w:rsid w:val="00374EA9"/>
    <w:rsid w:val="00375EC6"/>
    <w:rsid w:val="00380189"/>
    <w:rsid w:val="00382FE8"/>
    <w:rsid w:val="00383ADC"/>
    <w:rsid w:val="00387411"/>
    <w:rsid w:val="00395D16"/>
    <w:rsid w:val="003960BC"/>
    <w:rsid w:val="00396E8B"/>
    <w:rsid w:val="003A26D0"/>
    <w:rsid w:val="003A7535"/>
    <w:rsid w:val="003B1957"/>
    <w:rsid w:val="003B74A6"/>
    <w:rsid w:val="003C0DCD"/>
    <w:rsid w:val="003C2F14"/>
    <w:rsid w:val="003C5E1E"/>
    <w:rsid w:val="003D0278"/>
    <w:rsid w:val="003D3063"/>
    <w:rsid w:val="003D7159"/>
    <w:rsid w:val="003F018B"/>
    <w:rsid w:val="003F4F40"/>
    <w:rsid w:val="003F5298"/>
    <w:rsid w:val="0040506D"/>
    <w:rsid w:val="00407E1C"/>
    <w:rsid w:val="00410E68"/>
    <w:rsid w:val="00411B0B"/>
    <w:rsid w:val="004154CC"/>
    <w:rsid w:val="0042160D"/>
    <w:rsid w:val="004269DD"/>
    <w:rsid w:val="00427AAF"/>
    <w:rsid w:val="004326D0"/>
    <w:rsid w:val="00441183"/>
    <w:rsid w:val="00450B03"/>
    <w:rsid w:val="004519AF"/>
    <w:rsid w:val="00456501"/>
    <w:rsid w:val="00464A20"/>
    <w:rsid w:val="00470C53"/>
    <w:rsid w:val="00473EF4"/>
    <w:rsid w:val="004805F4"/>
    <w:rsid w:val="004869E6"/>
    <w:rsid w:val="00487365"/>
    <w:rsid w:val="00497417"/>
    <w:rsid w:val="00497CCC"/>
    <w:rsid w:val="004A1729"/>
    <w:rsid w:val="004A428E"/>
    <w:rsid w:val="004B2813"/>
    <w:rsid w:val="004B50E6"/>
    <w:rsid w:val="004B5DB6"/>
    <w:rsid w:val="004C6736"/>
    <w:rsid w:val="004C7187"/>
    <w:rsid w:val="004D1BAC"/>
    <w:rsid w:val="004D297F"/>
    <w:rsid w:val="004D79D4"/>
    <w:rsid w:val="004E4A02"/>
    <w:rsid w:val="004E7FBB"/>
    <w:rsid w:val="004F0936"/>
    <w:rsid w:val="004F6511"/>
    <w:rsid w:val="00500708"/>
    <w:rsid w:val="00500A77"/>
    <w:rsid w:val="00505041"/>
    <w:rsid w:val="00507134"/>
    <w:rsid w:val="00510DC1"/>
    <w:rsid w:val="00511BD2"/>
    <w:rsid w:val="005136A0"/>
    <w:rsid w:val="00521EF0"/>
    <w:rsid w:val="005238F9"/>
    <w:rsid w:val="00525800"/>
    <w:rsid w:val="005346B0"/>
    <w:rsid w:val="00535731"/>
    <w:rsid w:val="005428A2"/>
    <w:rsid w:val="00545628"/>
    <w:rsid w:val="00550BAE"/>
    <w:rsid w:val="00552C55"/>
    <w:rsid w:val="00554C0A"/>
    <w:rsid w:val="00556593"/>
    <w:rsid w:val="00556613"/>
    <w:rsid w:val="005577D3"/>
    <w:rsid w:val="005611AD"/>
    <w:rsid w:val="00562DD1"/>
    <w:rsid w:val="005646F2"/>
    <w:rsid w:val="005648D6"/>
    <w:rsid w:val="00565D4D"/>
    <w:rsid w:val="00570B22"/>
    <w:rsid w:val="00572147"/>
    <w:rsid w:val="00572698"/>
    <w:rsid w:val="005746CF"/>
    <w:rsid w:val="00577A88"/>
    <w:rsid w:val="00583C7B"/>
    <w:rsid w:val="00586A6C"/>
    <w:rsid w:val="00590134"/>
    <w:rsid w:val="005909CA"/>
    <w:rsid w:val="00594334"/>
    <w:rsid w:val="0059468A"/>
    <w:rsid w:val="00595B40"/>
    <w:rsid w:val="005A0E07"/>
    <w:rsid w:val="005A2ABD"/>
    <w:rsid w:val="005A3A7B"/>
    <w:rsid w:val="005A757C"/>
    <w:rsid w:val="005A7FF6"/>
    <w:rsid w:val="005B019D"/>
    <w:rsid w:val="005B1A6C"/>
    <w:rsid w:val="005B2651"/>
    <w:rsid w:val="005B4002"/>
    <w:rsid w:val="005B67D2"/>
    <w:rsid w:val="005C64BE"/>
    <w:rsid w:val="005C67C8"/>
    <w:rsid w:val="005D0394"/>
    <w:rsid w:val="005D142A"/>
    <w:rsid w:val="005D2727"/>
    <w:rsid w:val="005D546B"/>
    <w:rsid w:val="005D77DC"/>
    <w:rsid w:val="005E0A69"/>
    <w:rsid w:val="005E0C97"/>
    <w:rsid w:val="005E1822"/>
    <w:rsid w:val="005E21BA"/>
    <w:rsid w:val="005E34D7"/>
    <w:rsid w:val="005E5778"/>
    <w:rsid w:val="005F2113"/>
    <w:rsid w:val="005F251C"/>
    <w:rsid w:val="005F2587"/>
    <w:rsid w:val="005F261C"/>
    <w:rsid w:val="005F26CC"/>
    <w:rsid w:val="005F3E7A"/>
    <w:rsid w:val="005F66BF"/>
    <w:rsid w:val="006134DE"/>
    <w:rsid w:val="00615B58"/>
    <w:rsid w:val="00616B6B"/>
    <w:rsid w:val="006173AB"/>
    <w:rsid w:val="00621A72"/>
    <w:rsid w:val="00624FCB"/>
    <w:rsid w:val="00625668"/>
    <w:rsid w:val="00627073"/>
    <w:rsid w:val="00633D52"/>
    <w:rsid w:val="0064163A"/>
    <w:rsid w:val="00641AA6"/>
    <w:rsid w:val="00650236"/>
    <w:rsid w:val="006523AA"/>
    <w:rsid w:val="006525A3"/>
    <w:rsid w:val="00653497"/>
    <w:rsid w:val="00655F13"/>
    <w:rsid w:val="00656E61"/>
    <w:rsid w:val="006603C9"/>
    <w:rsid w:val="006621DF"/>
    <w:rsid w:val="00662FF1"/>
    <w:rsid w:val="00663F0A"/>
    <w:rsid w:val="00672F4C"/>
    <w:rsid w:val="00673AC3"/>
    <w:rsid w:val="00677A83"/>
    <w:rsid w:val="00691BC3"/>
    <w:rsid w:val="006959D7"/>
    <w:rsid w:val="006A0FAE"/>
    <w:rsid w:val="006A44D2"/>
    <w:rsid w:val="006A4937"/>
    <w:rsid w:val="006B05F9"/>
    <w:rsid w:val="006B1A7C"/>
    <w:rsid w:val="006B25AE"/>
    <w:rsid w:val="006B5978"/>
    <w:rsid w:val="006B7048"/>
    <w:rsid w:val="006C1A5D"/>
    <w:rsid w:val="006C3378"/>
    <w:rsid w:val="006C3E60"/>
    <w:rsid w:val="006C4332"/>
    <w:rsid w:val="006D0475"/>
    <w:rsid w:val="006D14CB"/>
    <w:rsid w:val="006D4065"/>
    <w:rsid w:val="006D7839"/>
    <w:rsid w:val="006E19CD"/>
    <w:rsid w:val="006E2A75"/>
    <w:rsid w:val="006E449A"/>
    <w:rsid w:val="006E7BA3"/>
    <w:rsid w:val="006F348E"/>
    <w:rsid w:val="006F5A38"/>
    <w:rsid w:val="00700487"/>
    <w:rsid w:val="00700759"/>
    <w:rsid w:val="00701366"/>
    <w:rsid w:val="0070179D"/>
    <w:rsid w:val="0070201F"/>
    <w:rsid w:val="007033DE"/>
    <w:rsid w:val="007036EB"/>
    <w:rsid w:val="00706529"/>
    <w:rsid w:val="00711D86"/>
    <w:rsid w:val="00713934"/>
    <w:rsid w:val="00716F09"/>
    <w:rsid w:val="00723B2E"/>
    <w:rsid w:val="007247D1"/>
    <w:rsid w:val="007259C9"/>
    <w:rsid w:val="007336BD"/>
    <w:rsid w:val="007350B4"/>
    <w:rsid w:val="00741177"/>
    <w:rsid w:val="00741890"/>
    <w:rsid w:val="00743ACE"/>
    <w:rsid w:val="00745D55"/>
    <w:rsid w:val="007468E6"/>
    <w:rsid w:val="0075308C"/>
    <w:rsid w:val="0075653C"/>
    <w:rsid w:val="00756A85"/>
    <w:rsid w:val="007614D0"/>
    <w:rsid w:val="00762068"/>
    <w:rsid w:val="00763278"/>
    <w:rsid w:val="0076355A"/>
    <w:rsid w:val="00764FCE"/>
    <w:rsid w:val="007700AC"/>
    <w:rsid w:val="00775276"/>
    <w:rsid w:val="007778A6"/>
    <w:rsid w:val="00780E9B"/>
    <w:rsid w:val="007819F3"/>
    <w:rsid w:val="00790D16"/>
    <w:rsid w:val="007913C7"/>
    <w:rsid w:val="00792327"/>
    <w:rsid w:val="00795250"/>
    <w:rsid w:val="00797FFB"/>
    <w:rsid w:val="007A1E59"/>
    <w:rsid w:val="007B03BB"/>
    <w:rsid w:val="007B30B6"/>
    <w:rsid w:val="007B61BF"/>
    <w:rsid w:val="007B6E9D"/>
    <w:rsid w:val="007C5C76"/>
    <w:rsid w:val="007C7CE0"/>
    <w:rsid w:val="007D3CA7"/>
    <w:rsid w:val="007D54FC"/>
    <w:rsid w:val="007D6E92"/>
    <w:rsid w:val="007E0411"/>
    <w:rsid w:val="007E19D6"/>
    <w:rsid w:val="007E48D3"/>
    <w:rsid w:val="007E59D6"/>
    <w:rsid w:val="007E6224"/>
    <w:rsid w:val="007E6C79"/>
    <w:rsid w:val="007E758D"/>
    <w:rsid w:val="007E765D"/>
    <w:rsid w:val="007F66A6"/>
    <w:rsid w:val="00804BC9"/>
    <w:rsid w:val="00805766"/>
    <w:rsid w:val="008128EF"/>
    <w:rsid w:val="00814555"/>
    <w:rsid w:val="00814CDA"/>
    <w:rsid w:val="00815040"/>
    <w:rsid w:val="00815AAA"/>
    <w:rsid w:val="008160B5"/>
    <w:rsid w:val="0082209F"/>
    <w:rsid w:val="00827078"/>
    <w:rsid w:val="00834600"/>
    <w:rsid w:val="008357E0"/>
    <w:rsid w:val="00836753"/>
    <w:rsid w:val="00846689"/>
    <w:rsid w:val="00847BA0"/>
    <w:rsid w:val="00851BF3"/>
    <w:rsid w:val="00855154"/>
    <w:rsid w:val="00861EEB"/>
    <w:rsid w:val="00863A72"/>
    <w:rsid w:val="00863C36"/>
    <w:rsid w:val="008675A1"/>
    <w:rsid w:val="008706C1"/>
    <w:rsid w:val="00870852"/>
    <w:rsid w:val="0087427D"/>
    <w:rsid w:val="00880D7E"/>
    <w:rsid w:val="008858A9"/>
    <w:rsid w:val="0088730D"/>
    <w:rsid w:val="00891F83"/>
    <w:rsid w:val="008946A7"/>
    <w:rsid w:val="00894E64"/>
    <w:rsid w:val="0089509D"/>
    <w:rsid w:val="008954F8"/>
    <w:rsid w:val="00895E75"/>
    <w:rsid w:val="00895F72"/>
    <w:rsid w:val="008A0B47"/>
    <w:rsid w:val="008A5C23"/>
    <w:rsid w:val="008A65C4"/>
    <w:rsid w:val="008C23C0"/>
    <w:rsid w:val="008C32F5"/>
    <w:rsid w:val="008C4AAB"/>
    <w:rsid w:val="008C67B8"/>
    <w:rsid w:val="008D2C57"/>
    <w:rsid w:val="008D6C28"/>
    <w:rsid w:val="008E2310"/>
    <w:rsid w:val="008E3E8A"/>
    <w:rsid w:val="008E6788"/>
    <w:rsid w:val="008E7B92"/>
    <w:rsid w:val="008F0307"/>
    <w:rsid w:val="008F1F35"/>
    <w:rsid w:val="008F37CE"/>
    <w:rsid w:val="009001E0"/>
    <w:rsid w:val="0090139F"/>
    <w:rsid w:val="00916A6D"/>
    <w:rsid w:val="009206FA"/>
    <w:rsid w:val="00922B6D"/>
    <w:rsid w:val="00924687"/>
    <w:rsid w:val="00925244"/>
    <w:rsid w:val="00925EC0"/>
    <w:rsid w:val="0092612A"/>
    <w:rsid w:val="009329B2"/>
    <w:rsid w:val="00932BB5"/>
    <w:rsid w:val="009369AF"/>
    <w:rsid w:val="00940453"/>
    <w:rsid w:val="00940E02"/>
    <w:rsid w:val="0094352C"/>
    <w:rsid w:val="00945B4E"/>
    <w:rsid w:val="00950AF5"/>
    <w:rsid w:val="00971A3B"/>
    <w:rsid w:val="00974076"/>
    <w:rsid w:val="00975AFE"/>
    <w:rsid w:val="00977EBD"/>
    <w:rsid w:val="00984070"/>
    <w:rsid w:val="0098500D"/>
    <w:rsid w:val="00986C92"/>
    <w:rsid w:val="00987934"/>
    <w:rsid w:val="0099750B"/>
    <w:rsid w:val="009A1813"/>
    <w:rsid w:val="009A2689"/>
    <w:rsid w:val="009A4E9D"/>
    <w:rsid w:val="009B480E"/>
    <w:rsid w:val="009B4C9A"/>
    <w:rsid w:val="009B612B"/>
    <w:rsid w:val="009D2E6B"/>
    <w:rsid w:val="009E7C6D"/>
    <w:rsid w:val="009E7DB2"/>
    <w:rsid w:val="009F3706"/>
    <w:rsid w:val="009F51CB"/>
    <w:rsid w:val="00A02346"/>
    <w:rsid w:val="00A031FF"/>
    <w:rsid w:val="00A048F6"/>
    <w:rsid w:val="00A05BF5"/>
    <w:rsid w:val="00A05D5C"/>
    <w:rsid w:val="00A11086"/>
    <w:rsid w:val="00A12016"/>
    <w:rsid w:val="00A13168"/>
    <w:rsid w:val="00A1575D"/>
    <w:rsid w:val="00A173A4"/>
    <w:rsid w:val="00A23FDA"/>
    <w:rsid w:val="00A32E40"/>
    <w:rsid w:val="00A331AB"/>
    <w:rsid w:val="00A33280"/>
    <w:rsid w:val="00A36A5A"/>
    <w:rsid w:val="00A36B4D"/>
    <w:rsid w:val="00A36E24"/>
    <w:rsid w:val="00A375E8"/>
    <w:rsid w:val="00A40EE9"/>
    <w:rsid w:val="00A463D9"/>
    <w:rsid w:val="00A47587"/>
    <w:rsid w:val="00A5052C"/>
    <w:rsid w:val="00A5261B"/>
    <w:rsid w:val="00A547FB"/>
    <w:rsid w:val="00A563F9"/>
    <w:rsid w:val="00A576BD"/>
    <w:rsid w:val="00A57E83"/>
    <w:rsid w:val="00A60F19"/>
    <w:rsid w:val="00A6267D"/>
    <w:rsid w:val="00A62F2F"/>
    <w:rsid w:val="00A6495B"/>
    <w:rsid w:val="00A65A01"/>
    <w:rsid w:val="00A65BDB"/>
    <w:rsid w:val="00A70786"/>
    <w:rsid w:val="00A716A3"/>
    <w:rsid w:val="00A72D57"/>
    <w:rsid w:val="00A73950"/>
    <w:rsid w:val="00A75BF2"/>
    <w:rsid w:val="00A85583"/>
    <w:rsid w:val="00A85C68"/>
    <w:rsid w:val="00A916A5"/>
    <w:rsid w:val="00A92C39"/>
    <w:rsid w:val="00A9514E"/>
    <w:rsid w:val="00A97DB0"/>
    <w:rsid w:val="00AA0D3B"/>
    <w:rsid w:val="00AA11C4"/>
    <w:rsid w:val="00AA7888"/>
    <w:rsid w:val="00AB0CE0"/>
    <w:rsid w:val="00AB222F"/>
    <w:rsid w:val="00AB4F75"/>
    <w:rsid w:val="00AC2688"/>
    <w:rsid w:val="00AC27FD"/>
    <w:rsid w:val="00AC4694"/>
    <w:rsid w:val="00AD2CB4"/>
    <w:rsid w:val="00AD4DE8"/>
    <w:rsid w:val="00AE2564"/>
    <w:rsid w:val="00AE2624"/>
    <w:rsid w:val="00AE2A03"/>
    <w:rsid w:val="00AE72CE"/>
    <w:rsid w:val="00AF1905"/>
    <w:rsid w:val="00AF2373"/>
    <w:rsid w:val="00AF6499"/>
    <w:rsid w:val="00AF6C1A"/>
    <w:rsid w:val="00AF7252"/>
    <w:rsid w:val="00B01341"/>
    <w:rsid w:val="00B02145"/>
    <w:rsid w:val="00B05F76"/>
    <w:rsid w:val="00B06084"/>
    <w:rsid w:val="00B1141B"/>
    <w:rsid w:val="00B15993"/>
    <w:rsid w:val="00B15BE1"/>
    <w:rsid w:val="00B15CCB"/>
    <w:rsid w:val="00B2449E"/>
    <w:rsid w:val="00B24E3B"/>
    <w:rsid w:val="00B27F7C"/>
    <w:rsid w:val="00B34C33"/>
    <w:rsid w:val="00B36326"/>
    <w:rsid w:val="00B367E8"/>
    <w:rsid w:val="00B403FC"/>
    <w:rsid w:val="00B4058D"/>
    <w:rsid w:val="00B41BA3"/>
    <w:rsid w:val="00B43BD0"/>
    <w:rsid w:val="00B50FF5"/>
    <w:rsid w:val="00B52E36"/>
    <w:rsid w:val="00B5478D"/>
    <w:rsid w:val="00B55FFF"/>
    <w:rsid w:val="00B60028"/>
    <w:rsid w:val="00B6294A"/>
    <w:rsid w:val="00B6390F"/>
    <w:rsid w:val="00B63B4D"/>
    <w:rsid w:val="00B63EB0"/>
    <w:rsid w:val="00B64BF9"/>
    <w:rsid w:val="00B674D7"/>
    <w:rsid w:val="00B71680"/>
    <w:rsid w:val="00B807C2"/>
    <w:rsid w:val="00B830F0"/>
    <w:rsid w:val="00B8400D"/>
    <w:rsid w:val="00B87449"/>
    <w:rsid w:val="00B90066"/>
    <w:rsid w:val="00B90ED1"/>
    <w:rsid w:val="00B91753"/>
    <w:rsid w:val="00B91D92"/>
    <w:rsid w:val="00B927D7"/>
    <w:rsid w:val="00B960F9"/>
    <w:rsid w:val="00BA35AE"/>
    <w:rsid w:val="00BA4385"/>
    <w:rsid w:val="00BA5B7F"/>
    <w:rsid w:val="00BA709A"/>
    <w:rsid w:val="00BA7364"/>
    <w:rsid w:val="00BB0559"/>
    <w:rsid w:val="00BB05FE"/>
    <w:rsid w:val="00BB22E2"/>
    <w:rsid w:val="00BB315C"/>
    <w:rsid w:val="00BB59C9"/>
    <w:rsid w:val="00BB653A"/>
    <w:rsid w:val="00BB75B8"/>
    <w:rsid w:val="00BB7EE2"/>
    <w:rsid w:val="00BC3648"/>
    <w:rsid w:val="00BC3EDE"/>
    <w:rsid w:val="00BC43DD"/>
    <w:rsid w:val="00BC7ABB"/>
    <w:rsid w:val="00BE1354"/>
    <w:rsid w:val="00BE217E"/>
    <w:rsid w:val="00BE2BF5"/>
    <w:rsid w:val="00BE53C7"/>
    <w:rsid w:val="00BF0436"/>
    <w:rsid w:val="00BF10D8"/>
    <w:rsid w:val="00BF4664"/>
    <w:rsid w:val="00C03200"/>
    <w:rsid w:val="00C03FE0"/>
    <w:rsid w:val="00C06606"/>
    <w:rsid w:val="00C122CA"/>
    <w:rsid w:val="00C12A9E"/>
    <w:rsid w:val="00C24D56"/>
    <w:rsid w:val="00C2587B"/>
    <w:rsid w:val="00C25B34"/>
    <w:rsid w:val="00C26898"/>
    <w:rsid w:val="00C26A23"/>
    <w:rsid w:val="00C27110"/>
    <w:rsid w:val="00C31770"/>
    <w:rsid w:val="00C401BD"/>
    <w:rsid w:val="00C4130A"/>
    <w:rsid w:val="00C44716"/>
    <w:rsid w:val="00C45AD8"/>
    <w:rsid w:val="00C521C1"/>
    <w:rsid w:val="00C56BB5"/>
    <w:rsid w:val="00C56F95"/>
    <w:rsid w:val="00C57CFB"/>
    <w:rsid w:val="00C60DC0"/>
    <w:rsid w:val="00C6103D"/>
    <w:rsid w:val="00C635C9"/>
    <w:rsid w:val="00C63E3C"/>
    <w:rsid w:val="00C66E58"/>
    <w:rsid w:val="00C67B16"/>
    <w:rsid w:val="00C71763"/>
    <w:rsid w:val="00C71932"/>
    <w:rsid w:val="00C71F13"/>
    <w:rsid w:val="00C74613"/>
    <w:rsid w:val="00C75B1C"/>
    <w:rsid w:val="00C827B4"/>
    <w:rsid w:val="00C8794D"/>
    <w:rsid w:val="00C93163"/>
    <w:rsid w:val="00C9469F"/>
    <w:rsid w:val="00C9488E"/>
    <w:rsid w:val="00CA2287"/>
    <w:rsid w:val="00CA4A80"/>
    <w:rsid w:val="00CA5140"/>
    <w:rsid w:val="00CA7778"/>
    <w:rsid w:val="00CB08C4"/>
    <w:rsid w:val="00CB1AF8"/>
    <w:rsid w:val="00CB22B8"/>
    <w:rsid w:val="00CC23DF"/>
    <w:rsid w:val="00CC247B"/>
    <w:rsid w:val="00CC3364"/>
    <w:rsid w:val="00CC6DAA"/>
    <w:rsid w:val="00CC7BE0"/>
    <w:rsid w:val="00CE109D"/>
    <w:rsid w:val="00CF2F9C"/>
    <w:rsid w:val="00D02137"/>
    <w:rsid w:val="00D0445F"/>
    <w:rsid w:val="00D04DCD"/>
    <w:rsid w:val="00D10248"/>
    <w:rsid w:val="00D122F3"/>
    <w:rsid w:val="00D1470C"/>
    <w:rsid w:val="00D15569"/>
    <w:rsid w:val="00D24FE2"/>
    <w:rsid w:val="00D3583B"/>
    <w:rsid w:val="00D35F36"/>
    <w:rsid w:val="00D36429"/>
    <w:rsid w:val="00D420E0"/>
    <w:rsid w:val="00D45405"/>
    <w:rsid w:val="00D475DA"/>
    <w:rsid w:val="00D55FC3"/>
    <w:rsid w:val="00D63F9E"/>
    <w:rsid w:val="00D66610"/>
    <w:rsid w:val="00D66EEC"/>
    <w:rsid w:val="00D705FD"/>
    <w:rsid w:val="00D7268A"/>
    <w:rsid w:val="00D7307F"/>
    <w:rsid w:val="00D74D88"/>
    <w:rsid w:val="00D76528"/>
    <w:rsid w:val="00D8182F"/>
    <w:rsid w:val="00D8366B"/>
    <w:rsid w:val="00D83E24"/>
    <w:rsid w:val="00D91756"/>
    <w:rsid w:val="00D9228E"/>
    <w:rsid w:val="00D9300A"/>
    <w:rsid w:val="00D933C8"/>
    <w:rsid w:val="00D9390B"/>
    <w:rsid w:val="00D93FDD"/>
    <w:rsid w:val="00DA5EE7"/>
    <w:rsid w:val="00DB0D7C"/>
    <w:rsid w:val="00DB58C9"/>
    <w:rsid w:val="00DC3ADD"/>
    <w:rsid w:val="00DC53DE"/>
    <w:rsid w:val="00DC723B"/>
    <w:rsid w:val="00DD37BF"/>
    <w:rsid w:val="00DD3DD8"/>
    <w:rsid w:val="00DD6ED6"/>
    <w:rsid w:val="00DE17E7"/>
    <w:rsid w:val="00DE1D1E"/>
    <w:rsid w:val="00DE4FE3"/>
    <w:rsid w:val="00DF2B18"/>
    <w:rsid w:val="00DF2C7F"/>
    <w:rsid w:val="00DF3789"/>
    <w:rsid w:val="00DF3840"/>
    <w:rsid w:val="00DF50E2"/>
    <w:rsid w:val="00DF6CA5"/>
    <w:rsid w:val="00E0139A"/>
    <w:rsid w:val="00E146FD"/>
    <w:rsid w:val="00E17180"/>
    <w:rsid w:val="00E27FD4"/>
    <w:rsid w:val="00E313A6"/>
    <w:rsid w:val="00E33AC9"/>
    <w:rsid w:val="00E37559"/>
    <w:rsid w:val="00E42090"/>
    <w:rsid w:val="00E43D76"/>
    <w:rsid w:val="00E454D8"/>
    <w:rsid w:val="00E6281A"/>
    <w:rsid w:val="00E65C58"/>
    <w:rsid w:val="00E660BC"/>
    <w:rsid w:val="00E72795"/>
    <w:rsid w:val="00E72DCB"/>
    <w:rsid w:val="00E73B2C"/>
    <w:rsid w:val="00E7739C"/>
    <w:rsid w:val="00E801C4"/>
    <w:rsid w:val="00E81595"/>
    <w:rsid w:val="00E83A81"/>
    <w:rsid w:val="00E866FD"/>
    <w:rsid w:val="00E871EB"/>
    <w:rsid w:val="00E9123B"/>
    <w:rsid w:val="00E91BCF"/>
    <w:rsid w:val="00E94CC3"/>
    <w:rsid w:val="00E95B0C"/>
    <w:rsid w:val="00E963F5"/>
    <w:rsid w:val="00E96B5E"/>
    <w:rsid w:val="00EA02D0"/>
    <w:rsid w:val="00EA21CD"/>
    <w:rsid w:val="00EA3B96"/>
    <w:rsid w:val="00EA3F33"/>
    <w:rsid w:val="00EA5D39"/>
    <w:rsid w:val="00EB44A6"/>
    <w:rsid w:val="00EB762E"/>
    <w:rsid w:val="00EC31E0"/>
    <w:rsid w:val="00ED3E86"/>
    <w:rsid w:val="00ED49C7"/>
    <w:rsid w:val="00ED5E32"/>
    <w:rsid w:val="00EE0F3D"/>
    <w:rsid w:val="00EE6398"/>
    <w:rsid w:val="00EF085E"/>
    <w:rsid w:val="00EF16E2"/>
    <w:rsid w:val="00EF7DBE"/>
    <w:rsid w:val="00F00B3E"/>
    <w:rsid w:val="00F032F7"/>
    <w:rsid w:val="00F0346E"/>
    <w:rsid w:val="00F04753"/>
    <w:rsid w:val="00F10B0F"/>
    <w:rsid w:val="00F1664D"/>
    <w:rsid w:val="00F3041D"/>
    <w:rsid w:val="00F30615"/>
    <w:rsid w:val="00F35C9D"/>
    <w:rsid w:val="00F43ABE"/>
    <w:rsid w:val="00F4489C"/>
    <w:rsid w:val="00F461B5"/>
    <w:rsid w:val="00F52A90"/>
    <w:rsid w:val="00F60763"/>
    <w:rsid w:val="00F64917"/>
    <w:rsid w:val="00F7042C"/>
    <w:rsid w:val="00F723B9"/>
    <w:rsid w:val="00F726E4"/>
    <w:rsid w:val="00F72709"/>
    <w:rsid w:val="00F77EC2"/>
    <w:rsid w:val="00F80759"/>
    <w:rsid w:val="00F8455C"/>
    <w:rsid w:val="00F851C5"/>
    <w:rsid w:val="00F90134"/>
    <w:rsid w:val="00F91471"/>
    <w:rsid w:val="00F9413F"/>
    <w:rsid w:val="00F94459"/>
    <w:rsid w:val="00F94998"/>
    <w:rsid w:val="00F97BEF"/>
    <w:rsid w:val="00FA2439"/>
    <w:rsid w:val="00FA35C8"/>
    <w:rsid w:val="00FA70F9"/>
    <w:rsid w:val="00FC3A00"/>
    <w:rsid w:val="00FC3FC8"/>
    <w:rsid w:val="00FD0B6A"/>
    <w:rsid w:val="00FD6C31"/>
    <w:rsid w:val="00FE596D"/>
    <w:rsid w:val="00FE76E0"/>
    <w:rsid w:val="00FF4AAC"/>
    <w:rsid w:val="00FF6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E883"/>
  <w15:chartTrackingRefBased/>
  <w15:docId w15:val="{44F43350-5BF9-45E8-9917-3618D431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D1E"/>
    <w:pPr>
      <w:spacing w:after="3" w:line="219" w:lineRule="auto"/>
      <w:ind w:left="10" w:right="2" w:hanging="10"/>
      <w:jc w:val="both"/>
    </w:pPr>
    <w:rPr>
      <w:rFonts w:ascii="Avant Garde" w:eastAsia="Avant Garde" w:hAnsi="Avant Garde" w:cs="Avant Garde"/>
      <w:color w:val="000000"/>
      <w:lang w:eastAsia="es-MX"/>
    </w:rPr>
  </w:style>
  <w:style w:type="paragraph" w:styleId="Ttulo3">
    <w:name w:val="heading 3"/>
    <w:basedOn w:val="Normal"/>
    <w:next w:val="Normal"/>
    <w:link w:val="Ttulo3Car"/>
    <w:uiPriority w:val="9"/>
    <w:unhideWhenUsed/>
    <w:qFormat/>
    <w:rsid w:val="00DB0D7C"/>
    <w:pPr>
      <w:keepNext/>
      <w:keepLines/>
      <w:spacing w:before="40" w:after="0" w:line="276" w:lineRule="auto"/>
      <w:ind w:left="0" w:right="0" w:firstLine="0"/>
      <w:jc w:val="left"/>
      <w:outlineLvl w:val="2"/>
    </w:pPr>
    <w:rPr>
      <w:rFonts w:asciiTheme="majorHAnsi" w:eastAsiaTheme="majorEastAsia" w:hAnsiTheme="majorHAnsi" w:cstheme="majorBidi"/>
      <w:color w:val="1F4D78" w:themeColor="accent1" w:themeShade="7F"/>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Listas,lp1,CNBV Parrafo1"/>
    <w:basedOn w:val="Normal"/>
    <w:link w:val="PrrafodelistaCar"/>
    <w:uiPriority w:val="34"/>
    <w:qFormat/>
    <w:rsid w:val="00DE1D1E"/>
    <w:pPr>
      <w:ind w:left="720"/>
      <w:contextualSpacing/>
    </w:pPr>
  </w:style>
  <w:style w:type="character" w:styleId="Hipervnculo">
    <w:name w:val="Hyperlink"/>
    <w:basedOn w:val="Fuentedeprrafopredeter"/>
    <w:uiPriority w:val="99"/>
    <w:unhideWhenUsed/>
    <w:rsid w:val="00DE1D1E"/>
    <w:rPr>
      <w:color w:val="0563C1" w:themeColor="hyperlink"/>
      <w:u w:val="single"/>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qFormat/>
    <w:rsid w:val="00DE1D1E"/>
    <w:rPr>
      <w:rFonts w:ascii="Avant Garde" w:eastAsia="Avant Garde" w:hAnsi="Avant Garde" w:cs="Avant Garde"/>
      <w:color w:val="000000"/>
      <w:lang w:eastAsia="es-MX"/>
    </w:rPr>
  </w:style>
  <w:style w:type="character" w:styleId="Refdenotaalpie">
    <w:name w:val="footnote reference"/>
    <w:aliases w:val="(NECG) Footnote Reference,o,fr,Style 3,Appel note de bas de p,Style 12,Style 124,Ref,de nota al pie,Ref. de nota al pie 2,Footnotes refss,Texto de nota al pie,Appel note de bas de page,Footnote number,referencia nota al pie,BVI fnr,f"/>
    <w:uiPriority w:val="99"/>
    <w:qFormat/>
    <w:rsid w:val="00DE1D1E"/>
    <w:rPr>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DE1D1E"/>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DE1D1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DE1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D1E"/>
    <w:rPr>
      <w:rFonts w:ascii="Avant Garde" w:eastAsia="Avant Garde" w:hAnsi="Avant Garde" w:cs="Avant Garde"/>
      <w:color w:val="000000"/>
      <w:lang w:eastAsia="es-MX"/>
    </w:rPr>
  </w:style>
  <w:style w:type="table" w:styleId="Tablaconcuadrcula">
    <w:name w:val="Table Grid"/>
    <w:basedOn w:val="Tablanormal"/>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E1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D1E"/>
    <w:rPr>
      <w:rFonts w:ascii="Avant Garde" w:eastAsia="Avant Garde" w:hAnsi="Avant Garde" w:cs="Avant Garde"/>
      <w:color w:val="000000"/>
      <w:lang w:eastAsia="es-MX"/>
    </w:rPr>
  </w:style>
  <w:style w:type="table" w:customStyle="1" w:styleId="Tablaconcuadrcula1">
    <w:name w:val="Tabla con cuadrícula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DE1D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DE1D1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E1D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D1E"/>
    <w:rPr>
      <w:rFonts w:ascii="Segoe UI" w:eastAsia="Avant Garde" w:hAnsi="Segoe UI" w:cs="Segoe UI"/>
      <w:color w:val="000000"/>
      <w:sz w:val="18"/>
      <w:szCs w:val="18"/>
      <w:lang w:eastAsia="es-MX"/>
    </w:rPr>
  </w:style>
  <w:style w:type="table" w:customStyle="1" w:styleId="Tablaconcuadrcula2">
    <w:name w:val="Tabla con cuadrícula2"/>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E1D1E"/>
    <w:pPr>
      <w:spacing w:after="101" w:line="216" w:lineRule="exact"/>
      <w:ind w:left="0" w:right="0" w:firstLine="288"/>
    </w:pPr>
    <w:rPr>
      <w:rFonts w:ascii="Arial" w:eastAsia="Times New Roman" w:hAnsi="Arial" w:cs="Arial"/>
      <w:color w:val="auto"/>
      <w:sz w:val="18"/>
      <w:szCs w:val="20"/>
      <w:lang w:eastAsia="es-ES"/>
    </w:rPr>
  </w:style>
  <w:style w:type="character" w:customStyle="1" w:styleId="TextoCar">
    <w:name w:val="Texto Car"/>
    <w:link w:val="Texto"/>
    <w:locked/>
    <w:rsid w:val="00DE1D1E"/>
    <w:rPr>
      <w:rFonts w:ascii="Arial" w:eastAsia="Times New Roman" w:hAnsi="Arial" w:cs="Arial"/>
      <w:sz w:val="18"/>
      <w:szCs w:val="20"/>
      <w:lang w:eastAsia="es-ES"/>
    </w:rPr>
  </w:style>
  <w:style w:type="paragraph" w:styleId="Revisin">
    <w:name w:val="Revision"/>
    <w:hidden/>
    <w:uiPriority w:val="99"/>
    <w:semiHidden/>
    <w:rsid w:val="00DE1D1E"/>
    <w:pPr>
      <w:spacing w:after="0" w:line="240" w:lineRule="auto"/>
    </w:pPr>
  </w:style>
  <w:style w:type="character" w:styleId="Refdecomentario">
    <w:name w:val="annotation reference"/>
    <w:basedOn w:val="Fuentedeprrafopredeter"/>
    <w:uiPriority w:val="99"/>
    <w:semiHidden/>
    <w:unhideWhenUsed/>
    <w:rsid w:val="00DE1D1E"/>
    <w:rPr>
      <w:sz w:val="16"/>
      <w:szCs w:val="16"/>
    </w:rPr>
  </w:style>
  <w:style w:type="paragraph" w:styleId="Textocomentario">
    <w:name w:val="annotation text"/>
    <w:basedOn w:val="Normal"/>
    <w:link w:val="TextocomentarioCar"/>
    <w:uiPriority w:val="99"/>
    <w:unhideWhenUsed/>
    <w:rsid w:val="00DE1D1E"/>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DE1D1E"/>
    <w:rPr>
      <w:sz w:val="20"/>
      <w:szCs w:val="20"/>
    </w:rPr>
  </w:style>
  <w:style w:type="paragraph" w:styleId="Asuntodelcomentario">
    <w:name w:val="annotation subject"/>
    <w:basedOn w:val="Textocomentario"/>
    <w:next w:val="Textocomentario"/>
    <w:link w:val="AsuntodelcomentarioCar"/>
    <w:uiPriority w:val="99"/>
    <w:semiHidden/>
    <w:unhideWhenUsed/>
    <w:rsid w:val="00DE1D1E"/>
    <w:rPr>
      <w:b/>
      <w:bCs/>
    </w:rPr>
  </w:style>
  <w:style w:type="character" w:customStyle="1" w:styleId="AsuntodelcomentarioCar">
    <w:name w:val="Asunto del comentario Car"/>
    <w:basedOn w:val="TextocomentarioCar"/>
    <w:link w:val="Asuntodelcomentario"/>
    <w:uiPriority w:val="99"/>
    <w:semiHidden/>
    <w:rsid w:val="00DE1D1E"/>
    <w:rPr>
      <w:b/>
      <w:bCs/>
      <w:sz w:val="20"/>
      <w:szCs w:val="20"/>
    </w:rPr>
  </w:style>
  <w:style w:type="character" w:styleId="Hipervnculovisitado">
    <w:name w:val="FollowedHyperlink"/>
    <w:basedOn w:val="Fuentedeprrafopredeter"/>
    <w:uiPriority w:val="99"/>
    <w:semiHidden/>
    <w:unhideWhenUsed/>
    <w:rsid w:val="00DE1D1E"/>
    <w:rPr>
      <w:color w:val="954F72" w:themeColor="followedHyperlink"/>
      <w:u w:val="single"/>
    </w:rPr>
  </w:style>
  <w:style w:type="numbering" w:customStyle="1" w:styleId="Sinlista1">
    <w:name w:val="Sin lista1"/>
    <w:next w:val="Sinlista"/>
    <w:uiPriority w:val="99"/>
    <w:semiHidden/>
    <w:unhideWhenUsed/>
    <w:rsid w:val="00DE1D1E"/>
  </w:style>
  <w:style w:type="table" w:customStyle="1" w:styleId="Tablaconcuadrcula3">
    <w:name w:val="Tabla con cuadrícula3"/>
    <w:basedOn w:val="Tablanormal"/>
    <w:next w:val="Tablaconcuadrcula"/>
    <w:uiPriority w:val="39"/>
    <w:rsid w:val="00DE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2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B0D7C"/>
    <w:rPr>
      <w:color w:val="605E5C"/>
      <w:shd w:val="clear" w:color="auto" w:fill="E1DFDD"/>
    </w:rPr>
  </w:style>
  <w:style w:type="character" w:customStyle="1" w:styleId="Ttulo3Car">
    <w:name w:val="Título 3 Car"/>
    <w:basedOn w:val="Fuentedeprrafopredeter"/>
    <w:link w:val="Ttulo3"/>
    <w:uiPriority w:val="9"/>
    <w:rsid w:val="00DB0D7C"/>
    <w:rPr>
      <w:rFonts w:asciiTheme="majorHAnsi" w:eastAsiaTheme="majorEastAsia" w:hAnsiTheme="majorHAnsi" w:cstheme="majorBidi"/>
      <w:color w:val="1F4D78" w:themeColor="accent1" w:themeShade="7F"/>
      <w:sz w:val="24"/>
      <w:szCs w:val="24"/>
      <w:lang w:val="es-ES"/>
    </w:rPr>
  </w:style>
  <w:style w:type="paragraph" w:styleId="Textoindependiente">
    <w:name w:val="Body Text"/>
    <w:basedOn w:val="Normal"/>
    <w:link w:val="TextoindependienteCar"/>
    <w:uiPriority w:val="1"/>
    <w:qFormat/>
    <w:rsid w:val="00AE2564"/>
    <w:pPr>
      <w:widowControl w:val="0"/>
      <w:spacing w:after="0" w:line="240" w:lineRule="auto"/>
      <w:ind w:left="118" w:right="0" w:firstLine="0"/>
      <w:jc w:val="left"/>
    </w:pPr>
    <w:rPr>
      <w:rFonts w:ascii="ITC Avant Garde" w:eastAsia="ITC Avant Garde" w:hAnsi="ITC Avant Garde" w:cstheme="minorBidi"/>
      <w:color w:val="auto"/>
      <w:lang w:eastAsia="en-US"/>
    </w:rPr>
  </w:style>
  <w:style w:type="character" w:customStyle="1" w:styleId="TextoindependienteCar">
    <w:name w:val="Texto independiente Car"/>
    <w:basedOn w:val="Fuentedeprrafopredeter"/>
    <w:link w:val="Textoindependiente"/>
    <w:uiPriority w:val="1"/>
    <w:rsid w:val="00AE2564"/>
    <w:rPr>
      <w:rFonts w:ascii="ITC Avant Garde" w:eastAsia="ITC Avant Garde" w:hAnsi="ITC Avant Garde"/>
    </w:rPr>
  </w:style>
  <w:style w:type="character" w:styleId="Textoennegrita">
    <w:name w:val="Strong"/>
    <w:basedOn w:val="Fuentedeprrafopredeter"/>
    <w:uiPriority w:val="22"/>
    <w:qFormat/>
    <w:rsid w:val="00D705FD"/>
    <w:rPr>
      <w:b/>
      <w:bCs/>
    </w:rPr>
  </w:style>
  <w:style w:type="paragraph" w:styleId="NormalWeb">
    <w:name w:val="Normal (Web)"/>
    <w:basedOn w:val="Normal"/>
    <w:uiPriority w:val="99"/>
    <w:semiHidden/>
    <w:unhideWhenUsed/>
    <w:rsid w:val="001774D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HTMLconformatoprevio">
    <w:name w:val="HTML Preformatted"/>
    <w:basedOn w:val="Normal"/>
    <w:link w:val="HTMLconformatoprevioCar"/>
    <w:uiPriority w:val="99"/>
    <w:semiHidden/>
    <w:unhideWhenUsed/>
    <w:rsid w:val="00C4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C45AD8"/>
    <w:rPr>
      <w:rFonts w:ascii="Courier New" w:eastAsia="Times New Roman" w:hAnsi="Courier New" w:cs="Courier New"/>
      <w:sz w:val="20"/>
      <w:szCs w:val="20"/>
      <w:lang w:eastAsia="es-MX"/>
    </w:rPr>
  </w:style>
  <w:style w:type="character" w:customStyle="1" w:styleId="y2iqfc">
    <w:name w:val="y2iqfc"/>
    <w:basedOn w:val="Fuentedeprrafopredeter"/>
    <w:rsid w:val="00C4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5205">
      <w:bodyDiv w:val="1"/>
      <w:marLeft w:val="0"/>
      <w:marRight w:val="0"/>
      <w:marTop w:val="0"/>
      <w:marBottom w:val="0"/>
      <w:divBdr>
        <w:top w:val="none" w:sz="0" w:space="0" w:color="auto"/>
        <w:left w:val="none" w:sz="0" w:space="0" w:color="auto"/>
        <w:bottom w:val="none" w:sz="0" w:space="0" w:color="auto"/>
        <w:right w:val="none" w:sz="0" w:space="0" w:color="auto"/>
      </w:divBdr>
    </w:div>
    <w:div w:id="69886401">
      <w:bodyDiv w:val="1"/>
      <w:marLeft w:val="0"/>
      <w:marRight w:val="0"/>
      <w:marTop w:val="0"/>
      <w:marBottom w:val="0"/>
      <w:divBdr>
        <w:top w:val="none" w:sz="0" w:space="0" w:color="auto"/>
        <w:left w:val="none" w:sz="0" w:space="0" w:color="auto"/>
        <w:bottom w:val="none" w:sz="0" w:space="0" w:color="auto"/>
        <w:right w:val="none" w:sz="0" w:space="0" w:color="auto"/>
      </w:divBdr>
    </w:div>
    <w:div w:id="74282890">
      <w:bodyDiv w:val="1"/>
      <w:marLeft w:val="0"/>
      <w:marRight w:val="0"/>
      <w:marTop w:val="0"/>
      <w:marBottom w:val="0"/>
      <w:divBdr>
        <w:top w:val="none" w:sz="0" w:space="0" w:color="auto"/>
        <w:left w:val="none" w:sz="0" w:space="0" w:color="auto"/>
        <w:bottom w:val="none" w:sz="0" w:space="0" w:color="auto"/>
        <w:right w:val="none" w:sz="0" w:space="0" w:color="auto"/>
      </w:divBdr>
    </w:div>
    <w:div w:id="385300303">
      <w:bodyDiv w:val="1"/>
      <w:marLeft w:val="0"/>
      <w:marRight w:val="0"/>
      <w:marTop w:val="0"/>
      <w:marBottom w:val="0"/>
      <w:divBdr>
        <w:top w:val="none" w:sz="0" w:space="0" w:color="auto"/>
        <w:left w:val="none" w:sz="0" w:space="0" w:color="auto"/>
        <w:bottom w:val="none" w:sz="0" w:space="0" w:color="auto"/>
        <w:right w:val="none" w:sz="0" w:space="0" w:color="auto"/>
      </w:divBdr>
    </w:div>
    <w:div w:id="398133872">
      <w:bodyDiv w:val="1"/>
      <w:marLeft w:val="0"/>
      <w:marRight w:val="0"/>
      <w:marTop w:val="0"/>
      <w:marBottom w:val="0"/>
      <w:divBdr>
        <w:top w:val="none" w:sz="0" w:space="0" w:color="auto"/>
        <w:left w:val="none" w:sz="0" w:space="0" w:color="auto"/>
        <w:bottom w:val="none" w:sz="0" w:space="0" w:color="auto"/>
        <w:right w:val="none" w:sz="0" w:space="0" w:color="auto"/>
      </w:divBdr>
    </w:div>
    <w:div w:id="418869767">
      <w:bodyDiv w:val="1"/>
      <w:marLeft w:val="0"/>
      <w:marRight w:val="0"/>
      <w:marTop w:val="0"/>
      <w:marBottom w:val="0"/>
      <w:divBdr>
        <w:top w:val="none" w:sz="0" w:space="0" w:color="auto"/>
        <w:left w:val="none" w:sz="0" w:space="0" w:color="auto"/>
        <w:bottom w:val="none" w:sz="0" w:space="0" w:color="auto"/>
        <w:right w:val="none" w:sz="0" w:space="0" w:color="auto"/>
      </w:divBdr>
    </w:div>
    <w:div w:id="433400894">
      <w:bodyDiv w:val="1"/>
      <w:marLeft w:val="0"/>
      <w:marRight w:val="0"/>
      <w:marTop w:val="0"/>
      <w:marBottom w:val="0"/>
      <w:divBdr>
        <w:top w:val="none" w:sz="0" w:space="0" w:color="auto"/>
        <w:left w:val="none" w:sz="0" w:space="0" w:color="auto"/>
        <w:bottom w:val="none" w:sz="0" w:space="0" w:color="auto"/>
        <w:right w:val="none" w:sz="0" w:space="0" w:color="auto"/>
      </w:divBdr>
    </w:div>
    <w:div w:id="560604938">
      <w:bodyDiv w:val="1"/>
      <w:marLeft w:val="0"/>
      <w:marRight w:val="0"/>
      <w:marTop w:val="0"/>
      <w:marBottom w:val="0"/>
      <w:divBdr>
        <w:top w:val="none" w:sz="0" w:space="0" w:color="auto"/>
        <w:left w:val="none" w:sz="0" w:space="0" w:color="auto"/>
        <w:bottom w:val="none" w:sz="0" w:space="0" w:color="auto"/>
        <w:right w:val="none" w:sz="0" w:space="0" w:color="auto"/>
      </w:divBdr>
    </w:div>
    <w:div w:id="582222403">
      <w:bodyDiv w:val="1"/>
      <w:marLeft w:val="0"/>
      <w:marRight w:val="0"/>
      <w:marTop w:val="0"/>
      <w:marBottom w:val="0"/>
      <w:divBdr>
        <w:top w:val="none" w:sz="0" w:space="0" w:color="auto"/>
        <w:left w:val="none" w:sz="0" w:space="0" w:color="auto"/>
        <w:bottom w:val="none" w:sz="0" w:space="0" w:color="auto"/>
        <w:right w:val="none" w:sz="0" w:space="0" w:color="auto"/>
      </w:divBdr>
    </w:div>
    <w:div w:id="610091552">
      <w:bodyDiv w:val="1"/>
      <w:marLeft w:val="0"/>
      <w:marRight w:val="0"/>
      <w:marTop w:val="0"/>
      <w:marBottom w:val="0"/>
      <w:divBdr>
        <w:top w:val="none" w:sz="0" w:space="0" w:color="auto"/>
        <w:left w:val="none" w:sz="0" w:space="0" w:color="auto"/>
        <w:bottom w:val="none" w:sz="0" w:space="0" w:color="auto"/>
        <w:right w:val="none" w:sz="0" w:space="0" w:color="auto"/>
      </w:divBdr>
    </w:div>
    <w:div w:id="675306485">
      <w:bodyDiv w:val="1"/>
      <w:marLeft w:val="0"/>
      <w:marRight w:val="0"/>
      <w:marTop w:val="0"/>
      <w:marBottom w:val="0"/>
      <w:divBdr>
        <w:top w:val="none" w:sz="0" w:space="0" w:color="auto"/>
        <w:left w:val="none" w:sz="0" w:space="0" w:color="auto"/>
        <w:bottom w:val="none" w:sz="0" w:space="0" w:color="auto"/>
        <w:right w:val="none" w:sz="0" w:space="0" w:color="auto"/>
      </w:divBdr>
    </w:div>
    <w:div w:id="778530469">
      <w:bodyDiv w:val="1"/>
      <w:marLeft w:val="0"/>
      <w:marRight w:val="0"/>
      <w:marTop w:val="0"/>
      <w:marBottom w:val="0"/>
      <w:divBdr>
        <w:top w:val="none" w:sz="0" w:space="0" w:color="auto"/>
        <w:left w:val="none" w:sz="0" w:space="0" w:color="auto"/>
        <w:bottom w:val="none" w:sz="0" w:space="0" w:color="auto"/>
        <w:right w:val="none" w:sz="0" w:space="0" w:color="auto"/>
      </w:divBdr>
    </w:div>
    <w:div w:id="834493525">
      <w:bodyDiv w:val="1"/>
      <w:marLeft w:val="0"/>
      <w:marRight w:val="0"/>
      <w:marTop w:val="0"/>
      <w:marBottom w:val="0"/>
      <w:divBdr>
        <w:top w:val="none" w:sz="0" w:space="0" w:color="auto"/>
        <w:left w:val="none" w:sz="0" w:space="0" w:color="auto"/>
        <w:bottom w:val="none" w:sz="0" w:space="0" w:color="auto"/>
        <w:right w:val="none" w:sz="0" w:space="0" w:color="auto"/>
      </w:divBdr>
    </w:div>
    <w:div w:id="842091668">
      <w:bodyDiv w:val="1"/>
      <w:marLeft w:val="0"/>
      <w:marRight w:val="0"/>
      <w:marTop w:val="0"/>
      <w:marBottom w:val="0"/>
      <w:divBdr>
        <w:top w:val="none" w:sz="0" w:space="0" w:color="auto"/>
        <w:left w:val="none" w:sz="0" w:space="0" w:color="auto"/>
        <w:bottom w:val="none" w:sz="0" w:space="0" w:color="auto"/>
        <w:right w:val="none" w:sz="0" w:space="0" w:color="auto"/>
      </w:divBdr>
    </w:div>
    <w:div w:id="902909153">
      <w:bodyDiv w:val="1"/>
      <w:marLeft w:val="0"/>
      <w:marRight w:val="0"/>
      <w:marTop w:val="0"/>
      <w:marBottom w:val="0"/>
      <w:divBdr>
        <w:top w:val="none" w:sz="0" w:space="0" w:color="auto"/>
        <w:left w:val="none" w:sz="0" w:space="0" w:color="auto"/>
        <w:bottom w:val="none" w:sz="0" w:space="0" w:color="auto"/>
        <w:right w:val="none" w:sz="0" w:space="0" w:color="auto"/>
      </w:divBdr>
    </w:div>
    <w:div w:id="915165658">
      <w:bodyDiv w:val="1"/>
      <w:marLeft w:val="0"/>
      <w:marRight w:val="0"/>
      <w:marTop w:val="0"/>
      <w:marBottom w:val="0"/>
      <w:divBdr>
        <w:top w:val="none" w:sz="0" w:space="0" w:color="auto"/>
        <w:left w:val="none" w:sz="0" w:space="0" w:color="auto"/>
        <w:bottom w:val="none" w:sz="0" w:space="0" w:color="auto"/>
        <w:right w:val="none" w:sz="0" w:space="0" w:color="auto"/>
      </w:divBdr>
    </w:div>
    <w:div w:id="1123840847">
      <w:bodyDiv w:val="1"/>
      <w:marLeft w:val="0"/>
      <w:marRight w:val="0"/>
      <w:marTop w:val="0"/>
      <w:marBottom w:val="0"/>
      <w:divBdr>
        <w:top w:val="none" w:sz="0" w:space="0" w:color="auto"/>
        <w:left w:val="none" w:sz="0" w:space="0" w:color="auto"/>
        <w:bottom w:val="none" w:sz="0" w:space="0" w:color="auto"/>
        <w:right w:val="none" w:sz="0" w:space="0" w:color="auto"/>
      </w:divBdr>
    </w:div>
    <w:div w:id="1156724996">
      <w:bodyDiv w:val="1"/>
      <w:marLeft w:val="0"/>
      <w:marRight w:val="0"/>
      <w:marTop w:val="0"/>
      <w:marBottom w:val="0"/>
      <w:divBdr>
        <w:top w:val="none" w:sz="0" w:space="0" w:color="auto"/>
        <w:left w:val="none" w:sz="0" w:space="0" w:color="auto"/>
        <w:bottom w:val="none" w:sz="0" w:space="0" w:color="auto"/>
        <w:right w:val="none" w:sz="0" w:space="0" w:color="auto"/>
      </w:divBdr>
    </w:div>
    <w:div w:id="1159618532">
      <w:bodyDiv w:val="1"/>
      <w:marLeft w:val="0"/>
      <w:marRight w:val="0"/>
      <w:marTop w:val="0"/>
      <w:marBottom w:val="0"/>
      <w:divBdr>
        <w:top w:val="none" w:sz="0" w:space="0" w:color="auto"/>
        <w:left w:val="none" w:sz="0" w:space="0" w:color="auto"/>
        <w:bottom w:val="none" w:sz="0" w:space="0" w:color="auto"/>
        <w:right w:val="none" w:sz="0" w:space="0" w:color="auto"/>
      </w:divBdr>
    </w:div>
    <w:div w:id="1167282137">
      <w:bodyDiv w:val="1"/>
      <w:marLeft w:val="0"/>
      <w:marRight w:val="0"/>
      <w:marTop w:val="0"/>
      <w:marBottom w:val="0"/>
      <w:divBdr>
        <w:top w:val="none" w:sz="0" w:space="0" w:color="auto"/>
        <w:left w:val="none" w:sz="0" w:space="0" w:color="auto"/>
        <w:bottom w:val="none" w:sz="0" w:space="0" w:color="auto"/>
        <w:right w:val="none" w:sz="0" w:space="0" w:color="auto"/>
      </w:divBdr>
    </w:div>
    <w:div w:id="1249575708">
      <w:bodyDiv w:val="1"/>
      <w:marLeft w:val="0"/>
      <w:marRight w:val="0"/>
      <w:marTop w:val="0"/>
      <w:marBottom w:val="0"/>
      <w:divBdr>
        <w:top w:val="none" w:sz="0" w:space="0" w:color="auto"/>
        <w:left w:val="none" w:sz="0" w:space="0" w:color="auto"/>
        <w:bottom w:val="none" w:sz="0" w:space="0" w:color="auto"/>
        <w:right w:val="none" w:sz="0" w:space="0" w:color="auto"/>
      </w:divBdr>
    </w:div>
    <w:div w:id="1325812892">
      <w:bodyDiv w:val="1"/>
      <w:marLeft w:val="0"/>
      <w:marRight w:val="0"/>
      <w:marTop w:val="0"/>
      <w:marBottom w:val="0"/>
      <w:divBdr>
        <w:top w:val="none" w:sz="0" w:space="0" w:color="auto"/>
        <w:left w:val="none" w:sz="0" w:space="0" w:color="auto"/>
        <w:bottom w:val="none" w:sz="0" w:space="0" w:color="auto"/>
        <w:right w:val="none" w:sz="0" w:space="0" w:color="auto"/>
      </w:divBdr>
    </w:div>
    <w:div w:id="1337000438">
      <w:bodyDiv w:val="1"/>
      <w:marLeft w:val="0"/>
      <w:marRight w:val="0"/>
      <w:marTop w:val="0"/>
      <w:marBottom w:val="0"/>
      <w:divBdr>
        <w:top w:val="none" w:sz="0" w:space="0" w:color="auto"/>
        <w:left w:val="none" w:sz="0" w:space="0" w:color="auto"/>
        <w:bottom w:val="none" w:sz="0" w:space="0" w:color="auto"/>
        <w:right w:val="none" w:sz="0" w:space="0" w:color="auto"/>
      </w:divBdr>
    </w:div>
    <w:div w:id="1350109452">
      <w:bodyDiv w:val="1"/>
      <w:marLeft w:val="0"/>
      <w:marRight w:val="0"/>
      <w:marTop w:val="0"/>
      <w:marBottom w:val="0"/>
      <w:divBdr>
        <w:top w:val="none" w:sz="0" w:space="0" w:color="auto"/>
        <w:left w:val="none" w:sz="0" w:space="0" w:color="auto"/>
        <w:bottom w:val="none" w:sz="0" w:space="0" w:color="auto"/>
        <w:right w:val="none" w:sz="0" w:space="0" w:color="auto"/>
      </w:divBdr>
    </w:div>
    <w:div w:id="1502240024">
      <w:bodyDiv w:val="1"/>
      <w:marLeft w:val="0"/>
      <w:marRight w:val="0"/>
      <w:marTop w:val="0"/>
      <w:marBottom w:val="0"/>
      <w:divBdr>
        <w:top w:val="none" w:sz="0" w:space="0" w:color="auto"/>
        <w:left w:val="none" w:sz="0" w:space="0" w:color="auto"/>
        <w:bottom w:val="none" w:sz="0" w:space="0" w:color="auto"/>
        <w:right w:val="none" w:sz="0" w:space="0" w:color="auto"/>
      </w:divBdr>
    </w:div>
    <w:div w:id="1561595320">
      <w:bodyDiv w:val="1"/>
      <w:marLeft w:val="0"/>
      <w:marRight w:val="0"/>
      <w:marTop w:val="0"/>
      <w:marBottom w:val="0"/>
      <w:divBdr>
        <w:top w:val="none" w:sz="0" w:space="0" w:color="auto"/>
        <w:left w:val="none" w:sz="0" w:space="0" w:color="auto"/>
        <w:bottom w:val="none" w:sz="0" w:space="0" w:color="auto"/>
        <w:right w:val="none" w:sz="0" w:space="0" w:color="auto"/>
      </w:divBdr>
    </w:div>
    <w:div w:id="1636829660">
      <w:bodyDiv w:val="1"/>
      <w:marLeft w:val="0"/>
      <w:marRight w:val="0"/>
      <w:marTop w:val="0"/>
      <w:marBottom w:val="0"/>
      <w:divBdr>
        <w:top w:val="none" w:sz="0" w:space="0" w:color="auto"/>
        <w:left w:val="none" w:sz="0" w:space="0" w:color="auto"/>
        <w:bottom w:val="none" w:sz="0" w:space="0" w:color="auto"/>
        <w:right w:val="none" w:sz="0" w:space="0" w:color="auto"/>
      </w:divBdr>
    </w:div>
    <w:div w:id="1701198188">
      <w:bodyDiv w:val="1"/>
      <w:marLeft w:val="0"/>
      <w:marRight w:val="0"/>
      <w:marTop w:val="0"/>
      <w:marBottom w:val="0"/>
      <w:divBdr>
        <w:top w:val="none" w:sz="0" w:space="0" w:color="auto"/>
        <w:left w:val="none" w:sz="0" w:space="0" w:color="auto"/>
        <w:bottom w:val="none" w:sz="0" w:space="0" w:color="auto"/>
        <w:right w:val="none" w:sz="0" w:space="0" w:color="auto"/>
      </w:divBdr>
    </w:div>
    <w:div w:id="1876304273">
      <w:bodyDiv w:val="1"/>
      <w:marLeft w:val="0"/>
      <w:marRight w:val="0"/>
      <w:marTop w:val="0"/>
      <w:marBottom w:val="0"/>
      <w:divBdr>
        <w:top w:val="none" w:sz="0" w:space="0" w:color="auto"/>
        <w:left w:val="none" w:sz="0" w:space="0" w:color="auto"/>
        <w:bottom w:val="none" w:sz="0" w:space="0" w:color="auto"/>
        <w:right w:val="none" w:sz="0" w:space="0" w:color="auto"/>
      </w:divBdr>
    </w:div>
    <w:div w:id="1953395540">
      <w:bodyDiv w:val="1"/>
      <w:marLeft w:val="0"/>
      <w:marRight w:val="0"/>
      <w:marTop w:val="0"/>
      <w:marBottom w:val="0"/>
      <w:divBdr>
        <w:top w:val="none" w:sz="0" w:space="0" w:color="auto"/>
        <w:left w:val="none" w:sz="0" w:space="0" w:color="auto"/>
        <w:bottom w:val="none" w:sz="0" w:space="0" w:color="auto"/>
        <w:right w:val="none" w:sz="0" w:space="0" w:color="auto"/>
      </w:divBdr>
    </w:div>
    <w:div w:id="1995717946">
      <w:bodyDiv w:val="1"/>
      <w:marLeft w:val="0"/>
      <w:marRight w:val="0"/>
      <w:marTop w:val="0"/>
      <w:marBottom w:val="0"/>
      <w:divBdr>
        <w:top w:val="none" w:sz="0" w:space="0" w:color="auto"/>
        <w:left w:val="none" w:sz="0" w:space="0" w:color="auto"/>
        <w:bottom w:val="none" w:sz="0" w:space="0" w:color="auto"/>
        <w:right w:val="none" w:sz="0" w:space="0" w:color="auto"/>
      </w:divBdr>
    </w:div>
    <w:div w:id="2029863740">
      <w:bodyDiv w:val="1"/>
      <w:marLeft w:val="0"/>
      <w:marRight w:val="0"/>
      <w:marTop w:val="0"/>
      <w:marBottom w:val="0"/>
      <w:divBdr>
        <w:top w:val="none" w:sz="0" w:space="0" w:color="auto"/>
        <w:left w:val="none" w:sz="0" w:space="0" w:color="auto"/>
        <w:bottom w:val="none" w:sz="0" w:space="0" w:color="auto"/>
        <w:right w:val="none" w:sz="0" w:space="0" w:color="auto"/>
      </w:divBdr>
    </w:div>
    <w:div w:id="20848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industria/consultas-publicas/consulta-publica-de-integracion-respecto-del-cuestionario-sobre-prospectiva-de-solici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recursosorbitales@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C37C-86B2-4374-A79D-14E0609EC334}">
  <ds:schemaRefs>
    <ds:schemaRef ds:uri="http://schemas.microsoft.com/sharepoint/v3/contenttype/forms"/>
  </ds:schemaRefs>
</ds:datastoreItem>
</file>

<file path=customXml/itemProps2.xml><?xml version="1.0" encoding="utf-8"?>
<ds:datastoreItem xmlns:ds="http://schemas.openxmlformats.org/officeDocument/2006/customXml" ds:itemID="{7113B79B-6480-4ED0-8CA6-83A432AD6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5B9953-AE80-4C1E-8E27-9A55CAE7D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BE9F4-6107-461C-B2FD-0892352B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Cuevas Tavera</dc:creator>
  <cp:keywords/>
  <dc:description/>
  <cp:lastModifiedBy>Primitivo Ortiz Maldonado</cp:lastModifiedBy>
  <cp:revision>2</cp:revision>
  <dcterms:created xsi:type="dcterms:W3CDTF">2024-06-11T14:21:00Z</dcterms:created>
  <dcterms:modified xsi:type="dcterms:W3CDTF">2024-06-11T14:21:00Z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