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94"/>
        <w:gridCol w:w="3116"/>
        <w:gridCol w:w="3018"/>
      </w:tblGrid>
      <w:tr w:rsidR="00501ADF" w:rsidRPr="00451B7D" w14:paraId="1488B188" w14:textId="77777777" w:rsidTr="00D23BD5">
        <w:trPr>
          <w:trHeight w:val="816"/>
        </w:trPr>
        <w:tc>
          <w:tcPr>
            <w:tcW w:w="2689" w:type="dxa"/>
            <w:shd w:val="clear" w:color="auto" w:fill="DBDBDB" w:themeFill="accent3" w:themeFillTint="66"/>
          </w:tcPr>
          <w:p w14:paraId="4410292B" w14:textId="22853504" w:rsidR="00501ADF" w:rsidRPr="00451B7D"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3B08303C" w14:textId="77777777" w:rsidR="0068307E" w:rsidRPr="00451B7D" w:rsidRDefault="0068307E" w:rsidP="00501ADF">
            <w:pPr>
              <w:jc w:val="both"/>
              <w:rPr>
                <w:rFonts w:ascii="ITC Avant Garde" w:hAnsi="ITC Avant Garde"/>
                <w:sz w:val="18"/>
                <w:szCs w:val="18"/>
              </w:rPr>
            </w:pPr>
          </w:p>
          <w:p w14:paraId="442F50ED"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528F6D4C" w14:textId="77777777" w:rsidR="0068307E" w:rsidRPr="00451B7D" w:rsidRDefault="0068307E" w:rsidP="00501ADF">
            <w:pPr>
              <w:jc w:val="both"/>
              <w:rPr>
                <w:rFonts w:ascii="ITC Avant Garde" w:hAnsi="ITC Avant Garde"/>
                <w:b/>
                <w:sz w:val="18"/>
                <w:szCs w:val="18"/>
              </w:rPr>
            </w:pPr>
          </w:p>
          <w:p w14:paraId="6360D2ED" w14:textId="54C147E9" w:rsidR="0068307E" w:rsidRPr="00451B7D" w:rsidRDefault="000257E3" w:rsidP="00501ADF">
            <w:pPr>
              <w:jc w:val="both"/>
              <w:rPr>
                <w:rFonts w:ascii="ITC Avant Garde" w:hAnsi="ITC Avant Garde"/>
                <w:sz w:val="18"/>
                <w:szCs w:val="18"/>
              </w:rPr>
            </w:pPr>
            <w:r w:rsidRPr="000257E3">
              <w:rPr>
                <w:rFonts w:ascii="ITC Avant Garde" w:hAnsi="ITC Avant Garde"/>
                <w:sz w:val="18"/>
                <w:szCs w:val="18"/>
              </w:rPr>
              <w:t>Acuerdo mediante el cual el Pleno del Instituto Federal de Telecomunicaciones determina someter a Consulta Pública el “Anteproyecto de modificación al artículo Cuarto transitorio del Acuerdo mediante el cual el Pleno del Instituto Federal de Telecomunicaciones emite la Metodología para la definición y entrega de información relativa a los contadores de desempeño establecida en los Lineamientos que fijan los índices y parámetros de calidad a que deberán sujetarse los prestadores del servicio fijo, publicados en el Diario Oficial de la Federación el 25 de febrero de 2020”</w:t>
            </w: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51041D3E" w14:textId="152FE64E" w:rsidR="0068307E" w:rsidRPr="00451B7D" w:rsidRDefault="00F31821" w:rsidP="00501ADF">
            <w:pPr>
              <w:jc w:val="both"/>
              <w:rPr>
                <w:rFonts w:ascii="ITC Avant Garde" w:hAnsi="ITC Avant Garde"/>
                <w:sz w:val="18"/>
                <w:szCs w:val="18"/>
              </w:rPr>
            </w:pPr>
            <w:r w:rsidRPr="00451B7D">
              <w:rPr>
                <w:rFonts w:ascii="ITC Avant Garde" w:hAnsi="ITC Avant Garde"/>
                <w:sz w:val="18"/>
                <w:szCs w:val="18"/>
              </w:rPr>
              <w:t xml:space="preserve">Nombre: </w:t>
            </w:r>
            <w:r w:rsidR="00BD4EAA" w:rsidRPr="00BD4EAA">
              <w:rPr>
                <w:rFonts w:ascii="ITC Avant Garde" w:hAnsi="ITC Avant Garde"/>
                <w:sz w:val="18"/>
                <w:szCs w:val="18"/>
              </w:rPr>
              <w:t>Horacio Villalobos Tlatempa</w:t>
            </w:r>
          </w:p>
          <w:p w14:paraId="25E2A8DE" w14:textId="1C5D6047" w:rsidR="0068307E" w:rsidRPr="00451B7D" w:rsidRDefault="0068307E" w:rsidP="00501ADF">
            <w:pPr>
              <w:jc w:val="both"/>
              <w:rPr>
                <w:rFonts w:ascii="ITC Avant Garde" w:hAnsi="ITC Avant Garde"/>
                <w:sz w:val="18"/>
                <w:szCs w:val="18"/>
              </w:rPr>
            </w:pPr>
            <w:r w:rsidRPr="00451B7D">
              <w:rPr>
                <w:rFonts w:ascii="ITC Avant Garde" w:hAnsi="ITC Avant Garde"/>
                <w:sz w:val="18"/>
                <w:szCs w:val="18"/>
              </w:rPr>
              <w:t xml:space="preserve">Teléfono: </w:t>
            </w:r>
            <w:proofErr w:type="spellStart"/>
            <w:r w:rsidR="00BD4EAA">
              <w:rPr>
                <w:rFonts w:ascii="ITC Avant Garde" w:hAnsi="ITC Avant Garde"/>
                <w:sz w:val="18"/>
                <w:szCs w:val="18"/>
              </w:rPr>
              <w:t>ext</w:t>
            </w:r>
            <w:proofErr w:type="spellEnd"/>
            <w:r w:rsidR="00BD4EAA">
              <w:rPr>
                <w:rFonts w:ascii="ITC Avant Garde" w:hAnsi="ITC Avant Garde"/>
                <w:sz w:val="18"/>
                <w:szCs w:val="18"/>
              </w:rPr>
              <w:t xml:space="preserve"> </w:t>
            </w:r>
            <w:r w:rsidR="00BD4EAA" w:rsidRPr="00BD4EAA">
              <w:rPr>
                <w:rFonts w:ascii="ITC Avant Garde" w:hAnsi="ITC Avant Garde"/>
                <w:sz w:val="18"/>
                <w:szCs w:val="18"/>
              </w:rPr>
              <w:t>4042</w:t>
            </w:r>
          </w:p>
          <w:p w14:paraId="03752238" w14:textId="18201F8E" w:rsidR="0068307E" w:rsidRPr="00451B7D" w:rsidRDefault="0068307E" w:rsidP="00501ADF">
            <w:pPr>
              <w:jc w:val="both"/>
              <w:rPr>
                <w:rFonts w:ascii="ITC Avant Garde" w:hAnsi="ITC Avant Garde"/>
                <w:sz w:val="18"/>
                <w:szCs w:val="18"/>
              </w:rPr>
            </w:pPr>
            <w:r w:rsidRPr="00451B7D">
              <w:rPr>
                <w:rFonts w:ascii="ITC Avant Garde" w:hAnsi="ITC Avant Garde"/>
                <w:sz w:val="18"/>
                <w:szCs w:val="18"/>
              </w:rPr>
              <w:t>Correo electrónico:</w:t>
            </w:r>
            <w:r w:rsidR="00BD4EAA">
              <w:t xml:space="preserve"> </w:t>
            </w:r>
            <w:r w:rsidR="00BD4EAA" w:rsidRPr="00BD4EAA">
              <w:rPr>
                <w:rFonts w:ascii="ITC Avant Garde" w:hAnsi="ITC Avant Garde"/>
                <w:sz w:val="18"/>
                <w:szCs w:val="18"/>
              </w:rPr>
              <w:t>horacio.villalobos@ift.org.mx</w:t>
            </w:r>
          </w:p>
          <w:p w14:paraId="3FAE8274" w14:textId="77777777" w:rsidR="0068307E" w:rsidRPr="00451B7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77370AD3" w:rsidR="0068307E" w:rsidRPr="00451B7D" w:rsidRDefault="00BD4EAA" w:rsidP="0068307E">
            <w:pPr>
              <w:jc w:val="center"/>
              <w:rPr>
                <w:rFonts w:ascii="ITC Avant Garde" w:hAnsi="ITC Avant Garde"/>
                <w:sz w:val="18"/>
                <w:szCs w:val="18"/>
              </w:rPr>
            </w:pPr>
            <w:r>
              <w:rPr>
                <w:rFonts w:ascii="ITC Avant Garde" w:hAnsi="ITC Avant Garde"/>
                <w:sz w:val="18"/>
                <w:szCs w:val="18"/>
              </w:rPr>
              <w:t>03</w:t>
            </w:r>
            <w:r w:rsidR="0068307E" w:rsidRPr="00451B7D">
              <w:rPr>
                <w:rFonts w:ascii="ITC Avant Garde" w:hAnsi="ITC Avant Garde"/>
                <w:sz w:val="18"/>
                <w:szCs w:val="18"/>
              </w:rPr>
              <w:t>/</w:t>
            </w:r>
            <w:r>
              <w:rPr>
                <w:rFonts w:ascii="ITC Avant Garde" w:hAnsi="ITC Avant Garde"/>
                <w:sz w:val="18"/>
                <w:szCs w:val="18"/>
              </w:rPr>
              <w:t>11</w:t>
            </w:r>
            <w:r w:rsidR="0068307E" w:rsidRPr="00451B7D">
              <w:rPr>
                <w:rFonts w:ascii="ITC Avant Garde" w:hAnsi="ITC Avant Garde"/>
                <w:sz w:val="18"/>
                <w:szCs w:val="18"/>
              </w:rPr>
              <w:t>/</w:t>
            </w:r>
            <w:r>
              <w:rPr>
                <w:rFonts w:ascii="ITC Avant Garde" w:hAnsi="ITC Avant Garde"/>
                <w:sz w:val="18"/>
                <w:szCs w:val="18"/>
              </w:rPr>
              <w:t>2023</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1317FA6B" w:rsidR="0068307E" w:rsidRPr="00451B7D" w:rsidRDefault="00E44B07" w:rsidP="0068307E">
            <w:pPr>
              <w:jc w:val="center"/>
              <w:rPr>
                <w:rFonts w:ascii="ITC Avant Garde" w:hAnsi="ITC Avant Garde"/>
                <w:sz w:val="18"/>
                <w:szCs w:val="18"/>
              </w:rPr>
            </w:pPr>
            <w:r>
              <w:rPr>
                <w:rFonts w:ascii="ITC Avant Garde" w:hAnsi="ITC Avant Garde"/>
                <w:sz w:val="18"/>
                <w:szCs w:val="18"/>
              </w:rPr>
              <w:t>23</w:t>
            </w:r>
            <w:r w:rsidR="0068307E" w:rsidRPr="00451B7D">
              <w:rPr>
                <w:rFonts w:ascii="ITC Avant Garde" w:hAnsi="ITC Avant Garde"/>
                <w:sz w:val="18"/>
                <w:szCs w:val="18"/>
              </w:rPr>
              <w:t>/</w:t>
            </w:r>
            <w:r>
              <w:rPr>
                <w:rFonts w:ascii="ITC Avant Garde" w:hAnsi="ITC Avant Garde"/>
                <w:sz w:val="18"/>
                <w:szCs w:val="18"/>
              </w:rPr>
              <w:t>11</w:t>
            </w:r>
            <w:r w:rsidR="0068307E" w:rsidRPr="00451B7D">
              <w:rPr>
                <w:rFonts w:ascii="ITC Avant Garde" w:hAnsi="ITC Avant Garde"/>
                <w:sz w:val="18"/>
                <w:szCs w:val="18"/>
              </w:rPr>
              <w:t>/</w:t>
            </w:r>
            <w:r>
              <w:rPr>
                <w:rFonts w:ascii="ITC Avant Garde" w:hAnsi="ITC Avant Garde"/>
                <w:sz w:val="18"/>
                <w:szCs w:val="18"/>
              </w:rPr>
              <w:t>2023</w:t>
            </w:r>
            <w:r w:rsidR="00D23BD5" w:rsidRPr="00451B7D">
              <w:rPr>
                <w:rFonts w:ascii="ITC Avant Garde" w:hAnsi="ITC Avant Garde"/>
                <w:sz w:val="18"/>
                <w:szCs w:val="18"/>
              </w:rPr>
              <w:t xml:space="preserve"> a </w:t>
            </w:r>
            <w:r>
              <w:rPr>
                <w:rFonts w:ascii="ITC Avant Garde" w:hAnsi="ITC Avant Garde"/>
                <w:sz w:val="18"/>
                <w:szCs w:val="18"/>
              </w:rPr>
              <w:t>29</w:t>
            </w:r>
            <w:r w:rsidR="00D23BD5" w:rsidRPr="00451B7D">
              <w:rPr>
                <w:rFonts w:ascii="ITC Avant Garde" w:hAnsi="ITC Avant Garde"/>
                <w:sz w:val="18"/>
                <w:szCs w:val="18"/>
              </w:rPr>
              <w:t>/</w:t>
            </w:r>
            <w:r>
              <w:rPr>
                <w:rFonts w:ascii="ITC Avant Garde" w:hAnsi="ITC Avant Garde"/>
                <w:sz w:val="18"/>
                <w:szCs w:val="18"/>
              </w:rPr>
              <w:t>11</w:t>
            </w:r>
            <w:r w:rsidR="00D23BD5" w:rsidRPr="00451B7D">
              <w:rPr>
                <w:rFonts w:ascii="ITC Avant Garde" w:hAnsi="ITC Avant Garde"/>
                <w:sz w:val="18"/>
                <w:szCs w:val="18"/>
              </w:rPr>
              <w:t>/</w:t>
            </w:r>
            <w:r>
              <w:rPr>
                <w:rFonts w:ascii="ITC Avant Garde" w:hAnsi="ITC Avant Garde"/>
                <w:sz w:val="18"/>
                <w:szCs w:val="18"/>
              </w:rPr>
              <w:t>2023</w:t>
            </w:r>
            <w:bookmarkStart w:id="0" w:name="_GoBack"/>
            <w:bookmarkEnd w:id="0"/>
          </w:p>
        </w:tc>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46A9369" w14:textId="77777777" w:rsidTr="008A48B0">
        <w:tc>
          <w:tcPr>
            <w:tcW w:w="8828" w:type="dxa"/>
            <w:shd w:val="clear" w:color="auto" w:fill="FFFFFF" w:themeFill="background1"/>
          </w:tcPr>
          <w:p w14:paraId="42717F55" w14:textId="3B3F928D" w:rsidR="001932FC"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5A43078C" w14:textId="77777777" w:rsidR="00BD4EAA" w:rsidRPr="00451B7D" w:rsidRDefault="00BD4EAA" w:rsidP="008A48B0">
            <w:pPr>
              <w:shd w:val="clear" w:color="auto" w:fill="FFFFFF" w:themeFill="background1"/>
              <w:jc w:val="both"/>
              <w:rPr>
                <w:rFonts w:ascii="ITC Avant Garde" w:hAnsi="ITC Avant Garde"/>
                <w:b/>
                <w:sz w:val="18"/>
                <w:szCs w:val="18"/>
              </w:rPr>
            </w:pPr>
          </w:p>
          <w:p w14:paraId="733B036D" w14:textId="7FC0DD81" w:rsidR="00BD4EAA" w:rsidRPr="00BD4EAA" w:rsidRDefault="00FC6114" w:rsidP="00BD4EAA">
            <w:pPr>
              <w:shd w:val="clear" w:color="auto" w:fill="FFFFFF" w:themeFill="background1"/>
              <w:jc w:val="both"/>
              <w:rPr>
                <w:rFonts w:ascii="ITC Avant Garde" w:hAnsi="ITC Avant Garde"/>
                <w:sz w:val="18"/>
                <w:szCs w:val="18"/>
              </w:rPr>
            </w:pPr>
            <w:r>
              <w:rPr>
                <w:rFonts w:ascii="ITC Avant Garde" w:hAnsi="ITC Avant Garde"/>
                <w:sz w:val="18"/>
                <w:szCs w:val="18"/>
              </w:rPr>
              <w:t>L</w:t>
            </w:r>
            <w:r w:rsidR="00BD4EAA" w:rsidRPr="00BD4EAA">
              <w:rPr>
                <w:rFonts w:ascii="ITC Avant Garde" w:hAnsi="ITC Avant Garde"/>
                <w:sz w:val="18"/>
                <w:szCs w:val="18"/>
              </w:rPr>
              <w:t>a obligaci</w:t>
            </w:r>
            <w:r>
              <w:rPr>
                <w:rFonts w:ascii="ITC Avant Garde" w:hAnsi="ITC Avant Garde"/>
                <w:sz w:val="18"/>
                <w:szCs w:val="18"/>
              </w:rPr>
              <w:t>ó</w:t>
            </w:r>
            <w:r w:rsidR="00BD4EAA" w:rsidRPr="00BD4EAA">
              <w:rPr>
                <w:rFonts w:ascii="ITC Avant Garde" w:hAnsi="ITC Avant Garde"/>
                <w:sz w:val="18"/>
                <w:szCs w:val="18"/>
              </w:rPr>
              <w:t xml:space="preserve">n referente a la entrega </w:t>
            </w:r>
            <w:r>
              <w:rPr>
                <w:rFonts w:ascii="ITC Avant Garde" w:hAnsi="ITC Avant Garde"/>
                <w:sz w:val="18"/>
                <w:szCs w:val="18"/>
              </w:rPr>
              <w:t xml:space="preserve">por primera vez </w:t>
            </w:r>
            <w:r w:rsidR="00BD4EAA" w:rsidRPr="00BD4EAA">
              <w:rPr>
                <w:rFonts w:ascii="ITC Avant Garde" w:hAnsi="ITC Avant Garde"/>
                <w:sz w:val="18"/>
                <w:szCs w:val="18"/>
              </w:rPr>
              <w:t xml:space="preserve">del reporte auditado que se establece en el </w:t>
            </w:r>
            <w:r w:rsidR="00E368C8">
              <w:rPr>
                <w:rFonts w:ascii="ITC Avant Garde" w:hAnsi="ITC Avant Garde"/>
                <w:sz w:val="18"/>
                <w:szCs w:val="18"/>
              </w:rPr>
              <w:t xml:space="preserve">artículo </w:t>
            </w:r>
            <w:r w:rsidR="00BD4EAA" w:rsidRPr="00BD4EAA">
              <w:rPr>
                <w:rFonts w:ascii="ITC Avant Garde" w:hAnsi="ITC Avant Garde"/>
                <w:sz w:val="18"/>
                <w:szCs w:val="18"/>
              </w:rPr>
              <w:t>CUARTO Transitorio de la “Metodología para la definición y entrega de información relativa a los contadores de desempeño, establecida en los Lineamientos que fijan los índices y parámetros de calidad a que deberán sujetarse los prestadores del servicio fijo, publicados el 25 de febrero de 2020" (en lo sucesivo, la “Metodología")</w:t>
            </w:r>
            <w:r>
              <w:rPr>
                <w:rFonts w:ascii="ITC Avant Garde" w:hAnsi="ITC Avant Garde"/>
                <w:sz w:val="18"/>
                <w:szCs w:val="18"/>
              </w:rPr>
              <w:t xml:space="preserve"> es al </w:t>
            </w:r>
            <w:r w:rsidRPr="00FC6114">
              <w:rPr>
                <w:rFonts w:ascii="ITC Avant Garde" w:hAnsi="ITC Avant Garde"/>
                <w:b/>
                <w:bCs/>
                <w:sz w:val="18"/>
                <w:szCs w:val="18"/>
              </w:rPr>
              <w:t>finalizar el cuarto trimestre calendario de 2023.</w:t>
            </w:r>
          </w:p>
          <w:p w14:paraId="39FF5FB0" w14:textId="77777777" w:rsidR="00BD4EAA" w:rsidRPr="00BD4EAA" w:rsidRDefault="00BD4EAA" w:rsidP="00BD4EAA">
            <w:pPr>
              <w:shd w:val="clear" w:color="auto" w:fill="FFFFFF" w:themeFill="background1"/>
              <w:jc w:val="both"/>
              <w:rPr>
                <w:rFonts w:ascii="ITC Avant Garde" w:hAnsi="ITC Avant Garde"/>
                <w:sz w:val="18"/>
                <w:szCs w:val="18"/>
              </w:rPr>
            </w:pPr>
          </w:p>
          <w:p w14:paraId="1506BCC8" w14:textId="2BC44BD7" w:rsidR="00BD4EAA" w:rsidRPr="00BD4EAA" w:rsidRDefault="00FC6114" w:rsidP="00BD4EAA">
            <w:pPr>
              <w:shd w:val="clear" w:color="auto" w:fill="FFFFFF" w:themeFill="background1"/>
              <w:jc w:val="both"/>
              <w:rPr>
                <w:rFonts w:ascii="ITC Avant Garde" w:hAnsi="ITC Avant Garde"/>
                <w:sz w:val="18"/>
                <w:szCs w:val="18"/>
              </w:rPr>
            </w:pPr>
            <w:r>
              <w:rPr>
                <w:rFonts w:ascii="ITC Avant Garde" w:hAnsi="ITC Avant Garde"/>
                <w:sz w:val="18"/>
                <w:szCs w:val="18"/>
              </w:rPr>
              <w:t>Sin embargo, se recibieron</w:t>
            </w:r>
            <w:r w:rsidR="00BD4EAA" w:rsidRPr="00BD4EAA">
              <w:rPr>
                <w:rFonts w:ascii="ITC Avant Garde" w:hAnsi="ITC Avant Garde"/>
                <w:sz w:val="18"/>
                <w:szCs w:val="18"/>
              </w:rPr>
              <w:t xml:space="preserve"> solicit</w:t>
            </w:r>
            <w:r>
              <w:rPr>
                <w:rFonts w:ascii="ITC Avant Garde" w:hAnsi="ITC Avant Garde"/>
                <w:sz w:val="18"/>
                <w:szCs w:val="18"/>
              </w:rPr>
              <w:t>udes</w:t>
            </w:r>
            <w:r w:rsidR="00BD4EAA" w:rsidRPr="00BD4EAA">
              <w:rPr>
                <w:rFonts w:ascii="ITC Avant Garde" w:hAnsi="ITC Avant Garde"/>
                <w:sz w:val="18"/>
                <w:szCs w:val="18"/>
              </w:rPr>
              <w:t>, mediante escrito presentado ante la Oficialía de Partes del Instituto el 29 de septiembre de 2023, por la Cámara Nacional de la Industria Electrónica de Telecomunicaciones y Tecnologías de la Información (en lo sucesivo, “CANIETI”) y el 16 de octubre de 2023, por MEGACABLE.</w:t>
            </w:r>
          </w:p>
          <w:p w14:paraId="3E84EFF7" w14:textId="77777777" w:rsidR="00BD4EAA" w:rsidRPr="00BD4EAA" w:rsidRDefault="00BD4EAA" w:rsidP="00BD4EAA">
            <w:pPr>
              <w:shd w:val="clear" w:color="auto" w:fill="FFFFFF" w:themeFill="background1"/>
              <w:jc w:val="both"/>
              <w:rPr>
                <w:rFonts w:ascii="ITC Avant Garde" w:hAnsi="ITC Avant Garde"/>
                <w:sz w:val="18"/>
                <w:szCs w:val="18"/>
              </w:rPr>
            </w:pPr>
          </w:p>
          <w:p w14:paraId="0CF6B020" w14:textId="77777777" w:rsidR="00BD4EAA" w:rsidRPr="00BD4EAA" w:rsidRDefault="00BD4EAA" w:rsidP="00BD4EAA">
            <w:pPr>
              <w:shd w:val="clear" w:color="auto" w:fill="FFFFFF" w:themeFill="background1"/>
              <w:jc w:val="both"/>
              <w:rPr>
                <w:rFonts w:ascii="ITC Avant Garde" w:hAnsi="ITC Avant Garde"/>
                <w:sz w:val="18"/>
                <w:szCs w:val="18"/>
              </w:rPr>
            </w:pPr>
            <w:r w:rsidRPr="00BD4EAA">
              <w:rPr>
                <w:rFonts w:ascii="ITC Avant Garde" w:hAnsi="ITC Avant Garde"/>
                <w:sz w:val="18"/>
                <w:szCs w:val="18"/>
              </w:rPr>
              <w:t xml:space="preserve">Ambos manifestando que hoy en día los operadores de servicios de telecomunicaciones no han podido encontrar un organismo acreditado conforme a la norma ISO/IEC 17021, tal como se describe en la Metodología, que pueda fungir como auditor externo para cumplir con lo establecido en dicha Metodología a lo que refiere el reporte auditado y el informe del auditor que lo acompaña. </w:t>
            </w:r>
          </w:p>
          <w:p w14:paraId="6ECF637C" w14:textId="77777777" w:rsidR="00BD4EAA" w:rsidRPr="00BD4EAA" w:rsidRDefault="00BD4EAA" w:rsidP="00BD4EAA">
            <w:pPr>
              <w:shd w:val="clear" w:color="auto" w:fill="FFFFFF" w:themeFill="background1"/>
              <w:jc w:val="both"/>
              <w:rPr>
                <w:rFonts w:ascii="ITC Avant Garde" w:hAnsi="ITC Avant Garde"/>
                <w:sz w:val="18"/>
                <w:szCs w:val="18"/>
              </w:rPr>
            </w:pPr>
          </w:p>
          <w:p w14:paraId="172EC137" w14:textId="25287E2A" w:rsidR="001932FC" w:rsidRPr="00451B7D" w:rsidRDefault="00BD4EAA" w:rsidP="00BD4EAA">
            <w:pPr>
              <w:shd w:val="clear" w:color="auto" w:fill="FFFFFF" w:themeFill="background1"/>
              <w:jc w:val="both"/>
              <w:rPr>
                <w:rFonts w:ascii="ITC Avant Garde" w:hAnsi="ITC Avant Garde"/>
                <w:sz w:val="18"/>
                <w:szCs w:val="18"/>
              </w:rPr>
            </w:pPr>
            <w:r w:rsidRPr="00BD4EAA">
              <w:rPr>
                <w:rFonts w:ascii="ITC Avant Garde" w:hAnsi="ITC Avant Garde"/>
                <w:sz w:val="18"/>
                <w:szCs w:val="18"/>
              </w:rPr>
              <w:t>Por lo que tanto CANIETI como MEGACABLE expresan se explore otorgar una prórroga adicional de al menos 180 días para la entrada en vigor de las citadas obligaciones. Lo anterior, con la finalidad de estar en condiciones de que dentro del plazo ampliado se cuenten con organismos acreditados que puedan ofrecer sus servicios como auditores.</w:t>
            </w:r>
          </w:p>
          <w:p w14:paraId="65C865C9" w14:textId="77777777" w:rsidR="001932FC" w:rsidRDefault="001932FC" w:rsidP="001932FC">
            <w:pPr>
              <w:jc w:val="both"/>
              <w:rPr>
                <w:rFonts w:ascii="ITC Avant Garde" w:hAnsi="ITC Avant Garde"/>
                <w:sz w:val="18"/>
                <w:szCs w:val="18"/>
              </w:rPr>
            </w:pPr>
          </w:p>
          <w:p w14:paraId="77B70C94" w14:textId="6D720DE9" w:rsidR="00FC6114" w:rsidRPr="00451B7D" w:rsidRDefault="00FC6114" w:rsidP="00E76CAF">
            <w:pPr>
              <w:spacing w:after="160" w:line="259" w:lineRule="auto"/>
              <w:rPr>
                <w:rFonts w:ascii="ITC Avant Garde" w:hAnsi="ITC Avant Garde"/>
                <w:sz w:val="18"/>
                <w:szCs w:val="18"/>
              </w:rPr>
            </w:pPr>
            <w:r>
              <w:rPr>
                <w:rFonts w:ascii="ITC Avant Garde" w:hAnsi="ITC Avant Garde"/>
                <w:sz w:val="18"/>
                <w:szCs w:val="18"/>
              </w:rPr>
              <w:t>La propuesta de regulación es la p</w:t>
            </w:r>
            <w:r w:rsidRPr="00FC6114">
              <w:rPr>
                <w:rFonts w:ascii="ITC Avant Garde" w:hAnsi="ITC Avant Garde"/>
                <w:sz w:val="18"/>
                <w:szCs w:val="18"/>
              </w:rPr>
              <w:t xml:space="preserve">rórroga </w:t>
            </w:r>
            <w:r>
              <w:rPr>
                <w:rFonts w:ascii="ITC Avant Garde" w:hAnsi="ITC Avant Garde"/>
                <w:sz w:val="18"/>
                <w:szCs w:val="18"/>
              </w:rPr>
              <w:t>d</w:t>
            </w:r>
            <w:r w:rsidRPr="00FC6114">
              <w:rPr>
                <w:rFonts w:ascii="ITC Avant Garde" w:hAnsi="ITC Avant Garde"/>
                <w:sz w:val="18"/>
                <w:szCs w:val="18"/>
              </w:rPr>
              <w:t xml:space="preserve">el plazo de entrega del reporte auditado al que se refiere el transitorio Cuarto de la Metodología, para que sea al finalizar </w:t>
            </w:r>
            <w:r w:rsidR="00E76CAF" w:rsidRPr="00E76CAF">
              <w:rPr>
                <w:rFonts w:ascii="ITC Avant Garde" w:hAnsi="ITC Avant Garde"/>
                <w:sz w:val="18"/>
                <w:szCs w:val="18"/>
              </w:rPr>
              <w:t xml:space="preserve">el segundo trimestre calendario de 2024. Los PSFSG deberán entregar por única ocasión, el reporte del cuarto trimestre calendario de 2023 y del primer trimestre calendario de 2024 sin auditar y sin incluir el informe del </w:t>
            </w:r>
            <w:r w:rsidR="00E76CAF" w:rsidRPr="00E76CAF">
              <w:rPr>
                <w:rFonts w:ascii="ITC Avant Garde" w:hAnsi="ITC Avant Garde"/>
                <w:sz w:val="18"/>
                <w:szCs w:val="18"/>
              </w:rPr>
              <w:lastRenderedPageBreak/>
              <w:t>auditor a que se refiere el numeral 3, fracción II, los primeros 20 días hábiles posteriores al término de cada trimestre calendario.</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4CC01DA5" w14:textId="77777777" w:rsidTr="00B41497">
        <w:tc>
          <w:tcPr>
            <w:tcW w:w="8828" w:type="dxa"/>
          </w:tcPr>
          <w:p w14:paraId="47A5F08C" w14:textId="6B71FC6F"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2EAC79AA"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w:t>
                  </w:r>
                  <w:proofErr w:type="gramStart"/>
                  <w:r w:rsidRPr="00451B7D">
                    <w:rPr>
                      <w:rFonts w:ascii="ITC Avant Garde" w:hAnsi="ITC Avant Garde"/>
                      <w:sz w:val="18"/>
                      <w:szCs w:val="18"/>
                    </w:rPr>
                    <w:t>( )</w:t>
                  </w:r>
                  <w:proofErr w:type="gramEnd"/>
                  <w:r w:rsidRPr="00451B7D">
                    <w:rPr>
                      <w:rFonts w:ascii="ITC Avant Garde" w:hAnsi="ITC Avant Garde"/>
                      <w:sz w:val="18"/>
                      <w:szCs w:val="18"/>
                    </w:rPr>
                    <w:t xml:space="preserve"> No (</w:t>
                  </w:r>
                  <w:r w:rsidR="00BD4EAA">
                    <w:rPr>
                      <w:rFonts w:ascii="ITC Avant Garde" w:hAnsi="ITC Avant Garde"/>
                      <w:sz w:val="18"/>
                      <w:szCs w:val="18"/>
                    </w:rPr>
                    <w:t>x</w:t>
                  </w:r>
                  <w:r w:rsidRPr="00451B7D">
                    <w:rPr>
                      <w:rFonts w:ascii="ITC Avant Garde" w:hAnsi="ITC Avant Garde"/>
                      <w:sz w:val="18"/>
                      <w:szCs w:val="18"/>
                    </w:rPr>
                    <w:t>)</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2FB3A48C" w14:textId="6D39D626"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9BC5EF6"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0B6F64BD" w14:textId="77777777" w:rsidTr="00596FDE">
              <w:tc>
                <w:tcPr>
                  <w:tcW w:w="8602" w:type="dxa"/>
                </w:tcPr>
                <w:p w14:paraId="6A93BD82" w14:textId="77777777" w:rsidR="00596FDE" w:rsidRPr="00451B7D" w:rsidRDefault="00596FDE" w:rsidP="00E44B07">
                  <w:pPr>
                    <w:framePr w:hSpace="141" w:wrap="around" w:vAnchor="text" w:hAnchor="margin" w:y="356"/>
                    <w:jc w:val="both"/>
                    <w:rPr>
                      <w:rFonts w:ascii="ITC Avant Garde" w:hAnsi="ITC Avant Garde"/>
                      <w:sz w:val="18"/>
                      <w:szCs w:val="18"/>
                    </w:rPr>
                  </w:pPr>
                </w:p>
                <w:p w14:paraId="7CA4A6B4" w14:textId="77777777" w:rsidR="00596FDE" w:rsidRDefault="00596FDE" w:rsidP="00E44B07">
                  <w:pPr>
                    <w:framePr w:hSpace="141" w:wrap="around" w:vAnchor="text" w:hAnchor="margin" w:y="356"/>
                    <w:jc w:val="both"/>
                    <w:rPr>
                      <w:rFonts w:ascii="ITC Avant Garde" w:hAnsi="ITC Avant Garde"/>
                      <w:sz w:val="18"/>
                      <w:szCs w:val="18"/>
                    </w:rPr>
                  </w:pPr>
                </w:p>
                <w:p w14:paraId="40DA22A2" w14:textId="77777777" w:rsidR="000C16BC" w:rsidRPr="00451B7D" w:rsidRDefault="000C16BC" w:rsidP="00E44B07">
                  <w:pPr>
                    <w:framePr w:hSpace="141" w:wrap="around" w:vAnchor="text" w:hAnchor="margin" w:y="356"/>
                    <w:jc w:val="both"/>
                    <w:rPr>
                      <w:rFonts w:ascii="ITC Avant Garde" w:hAnsi="ITC Avant Garde"/>
                      <w:sz w:val="18"/>
                      <w:szCs w:val="18"/>
                    </w:rPr>
                  </w:pPr>
                </w:p>
              </w:tc>
            </w:tr>
          </w:tbl>
          <w:p w14:paraId="00767070" w14:textId="77777777" w:rsidR="00596FDE" w:rsidRPr="00451B7D" w:rsidRDefault="00596FDE" w:rsidP="00B41497">
            <w:pPr>
              <w:jc w:val="both"/>
              <w:rPr>
                <w:rFonts w:ascii="ITC Avant Garde" w:hAnsi="ITC Avant Garde"/>
                <w:sz w:val="18"/>
                <w:szCs w:val="18"/>
              </w:rPr>
            </w:pPr>
          </w:p>
          <w:p w14:paraId="66685CE1" w14:textId="77777777" w:rsidR="009656B1" w:rsidRPr="00451B7D" w:rsidRDefault="009656B1" w:rsidP="00B41497">
            <w:pPr>
              <w:jc w:val="both"/>
              <w:rPr>
                <w:rFonts w:ascii="ITC Avant Garde" w:hAnsi="ITC Avant Garde"/>
                <w:sz w:val="18"/>
                <w:szCs w:val="18"/>
              </w:rPr>
            </w:pPr>
          </w:p>
        </w:tc>
      </w:tr>
    </w:tbl>
    <w:p w14:paraId="013E3117" w14:textId="77777777" w:rsidR="001932FC" w:rsidRPr="00451B7D" w:rsidRDefault="001932FC" w:rsidP="001932FC">
      <w:pPr>
        <w:jc w:val="both"/>
        <w:rPr>
          <w:rFonts w:ascii="ITC Avant Garde" w:hAnsi="ITC Avant Garde"/>
          <w:sz w:val="18"/>
          <w:szCs w:val="18"/>
        </w:rPr>
      </w:pPr>
    </w:p>
    <w:p w14:paraId="49EDF348" w14:textId="77777777" w:rsidR="00B41497" w:rsidRPr="00451B7D" w:rsidRDefault="00B41497"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3F600A">
        <w:tc>
          <w:tcPr>
            <w:tcW w:w="8828" w:type="dxa"/>
          </w:tcPr>
          <w:p w14:paraId="695C7A4C" w14:textId="60C0AEAD"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451B7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17425FEB" w14:textId="77777777" w:rsidR="00BE7D1C" w:rsidRPr="00451B7D"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2593A0C9" w14:textId="77777777" w:rsidTr="003F600A">
              <w:tc>
                <w:tcPr>
                  <w:tcW w:w="1876" w:type="dxa"/>
                  <w:tcBorders>
                    <w:bottom w:val="single" w:sz="12" w:space="0" w:color="auto"/>
                  </w:tcBorders>
                  <w:shd w:val="clear" w:color="auto" w:fill="A8D08D" w:themeFill="accent6" w:themeFillTint="99"/>
                </w:tcPr>
                <w:p w14:paraId="68667C9B"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7A198942" w14:textId="77777777" w:rsidTr="003F600A">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3B7F59DC" w:rsidR="00BE7D1C" w:rsidRPr="00451B7D" w:rsidRDefault="0045297A" w:rsidP="003F600A">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360D5F57" w14:textId="552E9944" w:rsidR="00BE7D1C" w:rsidRPr="00451B7D" w:rsidRDefault="0045297A" w:rsidP="003F600A">
                  <w:pPr>
                    <w:jc w:val="center"/>
                    <w:rPr>
                      <w:rFonts w:ascii="ITC Avant Garde" w:hAnsi="ITC Avant Garde"/>
                      <w:sz w:val="18"/>
                      <w:szCs w:val="18"/>
                    </w:rPr>
                  </w:pPr>
                  <w:r>
                    <w:rPr>
                      <w:rFonts w:ascii="ITC Avant Garde" w:hAnsi="ITC Avant Garde"/>
                      <w:sz w:val="18"/>
                      <w:szCs w:val="18"/>
                    </w:rPr>
                    <w:t>Negar las solicites de prórroga para el cumplimiento del Cuarto Transitorio de la Metodología</w:t>
                  </w:r>
                </w:p>
              </w:tc>
              <w:tc>
                <w:tcPr>
                  <w:tcW w:w="3969" w:type="dxa"/>
                </w:tcPr>
                <w:p w14:paraId="3A0F5AC2" w14:textId="03A5B49A" w:rsidR="00BE7D1C" w:rsidRPr="00451B7D" w:rsidRDefault="00140DDA" w:rsidP="003F600A">
                  <w:pPr>
                    <w:jc w:val="center"/>
                    <w:rPr>
                      <w:rFonts w:ascii="ITC Avant Garde" w:hAnsi="ITC Avant Garde"/>
                      <w:sz w:val="18"/>
                      <w:szCs w:val="18"/>
                    </w:rPr>
                  </w:pPr>
                  <w:r>
                    <w:rPr>
                      <w:rFonts w:ascii="ITC Avant Garde" w:hAnsi="ITC Avant Garde"/>
                      <w:sz w:val="18"/>
                      <w:szCs w:val="18"/>
                    </w:rPr>
                    <w:t xml:space="preserve">Los concesionarios se verían imposibilitados a dar cumplimiento a la obligación del Cuarto Transitorio, debido a la </w:t>
                  </w:r>
                  <w:r w:rsidR="00E76CAF" w:rsidRPr="00E76CAF">
                    <w:rPr>
                      <w:rFonts w:ascii="ITC Avant Garde" w:hAnsi="ITC Avant Garde"/>
                      <w:sz w:val="18"/>
                      <w:szCs w:val="18"/>
                    </w:rPr>
                    <w:t xml:space="preserve">ausencia al día de hoy del auditor externo debidamente acreditado ante un organismo de acreditación bajo la figura de organismo de certificación de sistemas de gestión, conforme a la </w:t>
                  </w:r>
                  <w:proofErr w:type="gramStart"/>
                  <w:r w:rsidR="00E76CAF" w:rsidRPr="00E76CAF">
                    <w:rPr>
                      <w:rFonts w:ascii="ITC Avant Garde" w:hAnsi="ITC Avant Garde"/>
                      <w:sz w:val="18"/>
                      <w:szCs w:val="18"/>
                    </w:rPr>
                    <w:t>norma  ISO</w:t>
                  </w:r>
                  <w:proofErr w:type="gramEnd"/>
                  <w:r w:rsidR="00E76CAF" w:rsidRPr="00E76CAF">
                    <w:rPr>
                      <w:rFonts w:ascii="ITC Avant Garde" w:hAnsi="ITC Avant Garde"/>
                      <w:sz w:val="18"/>
                      <w:szCs w:val="18"/>
                    </w:rPr>
                    <w:t xml:space="preserve">/IEC 17021 </w:t>
                  </w:r>
                  <w:r>
                    <w:rPr>
                      <w:rFonts w:ascii="ITC Avant Garde" w:hAnsi="ITC Avant Garde"/>
                      <w:sz w:val="18"/>
                      <w:szCs w:val="18"/>
                    </w:rPr>
                    <w:t>para dar cumplimiento.</w:t>
                  </w:r>
                </w:p>
              </w:tc>
            </w:tr>
            <w:tr w:rsidR="00BE7D1C" w:rsidRPr="00451B7D" w14:paraId="504B2907" w14:textId="77777777" w:rsidTr="003F600A">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B39F70" w14:textId="48490393" w:rsidR="00BE7D1C" w:rsidRPr="00451B7D" w:rsidRDefault="00A3622D" w:rsidP="003F600A">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45F86C45" w14:textId="79673E66" w:rsidR="00BE7D1C" w:rsidRPr="00451B7D" w:rsidRDefault="00A3622D" w:rsidP="003F600A">
                  <w:pPr>
                    <w:jc w:val="center"/>
                    <w:rPr>
                      <w:rFonts w:ascii="ITC Avant Garde" w:hAnsi="ITC Avant Garde"/>
                      <w:sz w:val="18"/>
                      <w:szCs w:val="18"/>
                    </w:rPr>
                  </w:pPr>
                  <w:r>
                    <w:rPr>
                      <w:rFonts w:ascii="ITC Avant Garde" w:hAnsi="ITC Avant Garde"/>
                      <w:sz w:val="18"/>
                      <w:szCs w:val="18"/>
                    </w:rPr>
                    <w:t>Atender las solicitudes considerando el plazo de 180 días para dar cumplimiento</w:t>
                  </w:r>
                </w:p>
              </w:tc>
              <w:tc>
                <w:tcPr>
                  <w:tcW w:w="3969" w:type="dxa"/>
                </w:tcPr>
                <w:p w14:paraId="665E7213" w14:textId="7C15210E" w:rsidR="00BE7D1C" w:rsidRPr="00451B7D" w:rsidRDefault="00E76CAF" w:rsidP="003F600A">
                  <w:pPr>
                    <w:jc w:val="center"/>
                    <w:rPr>
                      <w:rFonts w:ascii="ITC Avant Garde" w:hAnsi="ITC Avant Garde"/>
                      <w:sz w:val="18"/>
                      <w:szCs w:val="18"/>
                    </w:rPr>
                  </w:pPr>
                  <w:r>
                    <w:rPr>
                      <w:rFonts w:ascii="ITC Avant Garde" w:hAnsi="ITC Avant Garde"/>
                      <w:sz w:val="18"/>
                      <w:szCs w:val="18"/>
                    </w:rPr>
                    <w:t>S</w:t>
                  </w:r>
                  <w:r w:rsidRPr="00E76CAF">
                    <w:rPr>
                      <w:rFonts w:ascii="ITC Avant Garde" w:hAnsi="ITC Avant Garde"/>
                      <w:sz w:val="18"/>
                      <w:szCs w:val="18"/>
                    </w:rPr>
                    <w:t xml:space="preserve">e da pauta a que los PSFSG presenten al Instituto información que contenga los KPI del servicio de acceso a Internet, calculados con base en los Contadores de Desempeño asociados al finalizar el cuarto trimestre calendario de 2023 y del primer trimestre calendario de 2024, consecuentemente al finalizar el segundo trimestre calendario de 2024 puedan entregar la información correspondiente a </w:t>
                  </w:r>
                  <w:r w:rsidRPr="00E76CAF">
                    <w:rPr>
                      <w:rFonts w:ascii="ITC Avant Garde" w:hAnsi="ITC Avant Garde"/>
                      <w:sz w:val="18"/>
                      <w:szCs w:val="18"/>
                    </w:rPr>
                    <w:lastRenderedPageBreak/>
                    <w:t>la que se refiere la fracción II del numeral 3</w:t>
                  </w:r>
                  <w:r>
                    <w:rPr>
                      <w:rFonts w:ascii="ITC Avant Garde" w:hAnsi="ITC Avant Garde"/>
                      <w:sz w:val="18"/>
                      <w:szCs w:val="18"/>
                    </w:rPr>
                    <w:t xml:space="preserve"> del mismo ordenamiento</w:t>
                  </w:r>
                  <w:r w:rsidRPr="00E76CAF">
                    <w:rPr>
                      <w:rFonts w:ascii="ITC Avant Garde" w:hAnsi="ITC Avant Garde"/>
                      <w:sz w:val="18"/>
                      <w:szCs w:val="18"/>
                    </w:rPr>
                    <w:t>.</w:t>
                  </w:r>
                </w:p>
              </w:tc>
            </w:tr>
            <w:tr w:rsidR="00BE7D1C" w:rsidRPr="00451B7D" w14:paraId="6C041033" w14:textId="77777777" w:rsidTr="003F600A">
              <w:sdt>
                <w:sdtPr>
                  <w:rPr>
                    <w:rFonts w:ascii="ITC Avant Garde" w:hAnsi="ITC Avant Garde"/>
                    <w:i/>
                    <w:sz w:val="18"/>
                    <w:szCs w:val="18"/>
                  </w:rPr>
                  <w:alias w:val="Alternativa evaluada"/>
                  <w:tag w:val="Alternativa evaluada"/>
                  <w:id w:val="-825826257"/>
                  <w:placeholder>
                    <w:docPart w:val="A27B1AB7C60549EAA5BCC32C46445E1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E71E17C" w14:textId="77777777" w:rsidR="00BE7D1C" w:rsidRPr="00451B7D" w:rsidRDefault="00BE7D1C" w:rsidP="003F600A">
                      <w:pPr>
                        <w:rPr>
                          <w:rFonts w:ascii="ITC Avant Garde" w:hAnsi="ITC Avant Garde"/>
                          <w:i/>
                          <w:sz w:val="18"/>
                          <w:szCs w:val="18"/>
                        </w:rPr>
                      </w:pPr>
                      <w:r w:rsidRPr="00451B7D">
                        <w:rPr>
                          <w:rStyle w:val="Textodelmarcadordeposicin"/>
                          <w:rFonts w:ascii="ITC Avant Garde" w:hAnsi="ITC Avant Garde"/>
                          <w:sz w:val="18"/>
                          <w:szCs w:val="18"/>
                        </w:rPr>
                        <w:t>Elija un elemento.</w:t>
                      </w:r>
                    </w:p>
                  </w:tc>
                </w:sdtContent>
              </w:sdt>
              <w:tc>
                <w:tcPr>
                  <w:tcW w:w="2684" w:type="dxa"/>
                  <w:tcBorders>
                    <w:left w:val="single" w:sz="12" w:space="0" w:color="auto"/>
                  </w:tcBorders>
                </w:tcPr>
                <w:p w14:paraId="21E43A20" w14:textId="77777777" w:rsidR="00BE7D1C" w:rsidRPr="00451B7D" w:rsidRDefault="00BE7D1C" w:rsidP="003F600A">
                  <w:pPr>
                    <w:jc w:val="center"/>
                    <w:rPr>
                      <w:rFonts w:ascii="ITC Avant Garde" w:hAnsi="ITC Avant Garde"/>
                      <w:sz w:val="18"/>
                      <w:szCs w:val="18"/>
                    </w:rPr>
                  </w:pPr>
                </w:p>
              </w:tc>
              <w:tc>
                <w:tcPr>
                  <w:tcW w:w="3969" w:type="dxa"/>
                </w:tcPr>
                <w:p w14:paraId="4B969CA4" w14:textId="77777777" w:rsidR="00BE7D1C" w:rsidRPr="00451B7D" w:rsidRDefault="00BE7D1C" w:rsidP="003F600A">
                  <w:pPr>
                    <w:jc w:val="center"/>
                    <w:rPr>
                      <w:rFonts w:ascii="ITC Avant Garde" w:hAnsi="ITC Avant Garde"/>
                      <w:sz w:val="18"/>
                      <w:szCs w:val="18"/>
                    </w:rPr>
                  </w:pPr>
                </w:p>
              </w:tc>
            </w:tr>
          </w:tbl>
          <w:p w14:paraId="3DD0A069" w14:textId="77777777" w:rsidR="00BE7D1C" w:rsidRPr="00451B7D" w:rsidRDefault="00BE7D1C" w:rsidP="003F600A">
            <w:pPr>
              <w:jc w:val="both"/>
              <w:rPr>
                <w:rFonts w:ascii="ITC Avant Garde" w:hAnsi="ITC Avant Garde"/>
                <w:sz w:val="18"/>
                <w:szCs w:val="18"/>
              </w:rPr>
            </w:pPr>
          </w:p>
        </w:tc>
      </w:tr>
    </w:tbl>
    <w:p w14:paraId="51FDB038"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3F600A">
        <w:tc>
          <w:tcPr>
            <w:tcW w:w="8828" w:type="dxa"/>
          </w:tcPr>
          <w:p w14:paraId="34F02CB1" w14:textId="324C7F87"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7CEF5AB6" w14:textId="77777777" w:rsidR="00BE7D1C" w:rsidRDefault="00BE7D1C" w:rsidP="003F600A">
            <w:pPr>
              <w:jc w:val="both"/>
              <w:rPr>
                <w:rFonts w:ascii="ITC Avant Garde" w:hAnsi="ITC Avant Garde"/>
                <w:sz w:val="18"/>
                <w:szCs w:val="18"/>
              </w:rPr>
            </w:pPr>
          </w:p>
          <w:p w14:paraId="238F711F" w14:textId="099B8922" w:rsidR="0045297A" w:rsidRPr="00451B7D" w:rsidRDefault="0045297A" w:rsidP="003F600A">
            <w:pPr>
              <w:jc w:val="both"/>
              <w:rPr>
                <w:rFonts w:ascii="ITC Avant Garde" w:hAnsi="ITC Avant Garde"/>
                <w:sz w:val="18"/>
                <w:szCs w:val="18"/>
              </w:rPr>
            </w:pPr>
            <w:r>
              <w:rPr>
                <w:rFonts w:ascii="ITC Avant Garde" w:hAnsi="ITC Avant Garde"/>
                <w:sz w:val="18"/>
                <w:szCs w:val="18"/>
              </w:rPr>
              <w:t xml:space="preserve">La propuesta de regulación al </w:t>
            </w:r>
            <w:r w:rsidR="009B01B0">
              <w:rPr>
                <w:rFonts w:ascii="ITC Avant Garde" w:hAnsi="ITC Avant Garde"/>
                <w:sz w:val="18"/>
                <w:szCs w:val="18"/>
              </w:rPr>
              <w:t>tratarse de</w:t>
            </w:r>
            <w:r>
              <w:rPr>
                <w:rFonts w:ascii="ITC Avant Garde" w:hAnsi="ITC Avant Garde"/>
                <w:sz w:val="18"/>
                <w:szCs w:val="18"/>
              </w:rPr>
              <w:t xml:space="preserve"> una prórroga de cumplimiento de obligaciones por un plazo de </w:t>
            </w:r>
            <w:r w:rsidR="009B01B0">
              <w:rPr>
                <w:rFonts w:ascii="ITC Avant Garde" w:hAnsi="ITC Avant Garde"/>
                <w:sz w:val="18"/>
                <w:szCs w:val="18"/>
              </w:rPr>
              <w:t>dos</w:t>
            </w:r>
            <w:r>
              <w:rPr>
                <w:rFonts w:ascii="ITC Avant Garde" w:hAnsi="ITC Avant Garde"/>
                <w:sz w:val="18"/>
                <w:szCs w:val="18"/>
              </w:rPr>
              <w:t xml:space="preserve"> trimestre</w:t>
            </w:r>
            <w:r w:rsidR="009B01B0">
              <w:rPr>
                <w:rFonts w:ascii="ITC Avant Garde" w:hAnsi="ITC Avant Garde"/>
                <w:sz w:val="18"/>
                <w:szCs w:val="18"/>
              </w:rPr>
              <w:t>s</w:t>
            </w:r>
            <w:r>
              <w:rPr>
                <w:rFonts w:ascii="ITC Avant Garde" w:hAnsi="ITC Avant Garde"/>
                <w:sz w:val="18"/>
                <w:szCs w:val="18"/>
              </w:rPr>
              <w:t xml:space="preserve"> posterior</w:t>
            </w:r>
            <w:r w:rsidR="009B01B0">
              <w:rPr>
                <w:rFonts w:ascii="ITC Avant Garde" w:hAnsi="ITC Avant Garde"/>
                <w:sz w:val="18"/>
                <w:szCs w:val="18"/>
              </w:rPr>
              <w:t>es</w:t>
            </w:r>
            <w:r>
              <w:rPr>
                <w:rFonts w:ascii="ITC Avant Garde" w:hAnsi="ITC Avant Garde"/>
                <w:sz w:val="18"/>
                <w:szCs w:val="18"/>
              </w:rPr>
              <w:t xml:space="preserve"> al definido en el propio Transitorio Cuarto de la Metodología, se considera que no genera costos de cumplimiento adicionales.</w:t>
            </w:r>
          </w:p>
          <w:p w14:paraId="05780536" w14:textId="77777777" w:rsidR="00BE7D1C" w:rsidRPr="00451B7D" w:rsidRDefault="00BE7D1C" w:rsidP="003F600A">
            <w:pPr>
              <w:jc w:val="both"/>
              <w:rPr>
                <w:rFonts w:ascii="ITC Avant Garde" w:hAnsi="ITC Avant Garde"/>
                <w:sz w:val="18"/>
                <w:szCs w:val="18"/>
              </w:rPr>
            </w:pPr>
          </w:p>
        </w:tc>
      </w:tr>
    </w:tbl>
    <w:p w14:paraId="1C286EAA"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38AC909E"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w:t>
            </w:r>
            <w:r w:rsidR="00D93614">
              <w:rPr>
                <w:rFonts w:ascii="ITC Avant Garde" w:hAnsi="ITC Avant Garde"/>
                <w:sz w:val="18"/>
                <w:szCs w:val="18"/>
              </w:rPr>
              <w:t>x</w:t>
            </w:r>
            <w:r w:rsidRPr="00451B7D">
              <w:rPr>
                <w:rFonts w:ascii="ITC Avant Garde" w:hAnsi="ITC Avant Garde"/>
                <w:sz w:val="18"/>
                <w:szCs w:val="18"/>
              </w:rPr>
              <w:t>)</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75D6CD4F"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1"/>
            </w:r>
            <w:r w:rsidRPr="007C425A">
              <w:rPr>
                <w:rFonts w:ascii="ITC Avant Garde" w:hAnsi="ITC Avant Garde"/>
                <w:sz w:val="18"/>
                <w:szCs w:val="18"/>
              </w:rPr>
              <w:t>.</w:t>
            </w:r>
          </w:p>
        </w:tc>
        <w:tc>
          <w:tcPr>
            <w:tcW w:w="1462" w:type="dxa"/>
          </w:tcPr>
          <w:p w14:paraId="2F1452FB" w14:textId="65B4EFF9"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w:t>
            </w:r>
            <w:r w:rsidR="00D93614">
              <w:rPr>
                <w:rFonts w:ascii="ITC Avant Garde" w:hAnsi="ITC Avant Garde"/>
                <w:sz w:val="18"/>
                <w:szCs w:val="18"/>
              </w:rPr>
              <w:t>x</w:t>
            </w:r>
            <w:r w:rsidRPr="00451B7D">
              <w:rPr>
                <w:rFonts w:ascii="ITC Avant Garde" w:hAnsi="ITC Avant Garde"/>
                <w:sz w:val="18"/>
                <w:szCs w:val="18"/>
              </w:rPr>
              <w:t>)</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25B6C5FF"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w:t>
            </w:r>
            <w:r w:rsidR="00D93614">
              <w:rPr>
                <w:rFonts w:ascii="ITC Avant Garde" w:hAnsi="ITC Avant Garde"/>
                <w:sz w:val="18"/>
                <w:szCs w:val="18"/>
              </w:rPr>
              <w:t>x</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40FD2722" w14:textId="2DEFD989"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D93614">
              <w:rPr>
                <w:rFonts w:ascii="ITC Avant Garde" w:hAnsi="ITC Avant Garde"/>
                <w:sz w:val="18"/>
                <w:szCs w:val="18"/>
              </w:rPr>
              <w:t>x</w:t>
            </w:r>
            <w:r w:rsidRPr="00451B7D">
              <w:rPr>
                <w:rFonts w:ascii="ITC Avant Garde" w:hAnsi="ITC Avant Garde"/>
                <w:sz w:val="18"/>
                <w:szCs w:val="18"/>
              </w:rPr>
              <w:t xml:space="preserve">) No </w:t>
            </w:r>
            <w:proofErr w:type="gramStart"/>
            <w:r w:rsidRPr="00451B7D">
              <w:rPr>
                <w:rFonts w:ascii="ITC Avant Garde" w:hAnsi="ITC Avant Garde"/>
                <w:sz w:val="18"/>
                <w:szCs w:val="18"/>
              </w:rPr>
              <w:t>(</w:t>
            </w:r>
            <w:r w:rsidR="00D93614">
              <w:rPr>
                <w:rFonts w:ascii="ITC Avant Garde" w:hAnsi="ITC Avant Garde"/>
                <w:sz w:val="18"/>
                <w:szCs w:val="18"/>
              </w:rPr>
              <w:t xml:space="preserve">  </w:t>
            </w:r>
            <w:r w:rsidRPr="00451B7D">
              <w:rPr>
                <w:rFonts w:ascii="ITC Avant Garde" w:hAnsi="ITC Avant Garde"/>
                <w:sz w:val="18"/>
                <w:szCs w:val="18"/>
              </w:rPr>
              <w:t>)</w:t>
            </w:r>
            <w:proofErr w:type="gramEnd"/>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00A73AD8">
        <w:tc>
          <w:tcPr>
            <w:tcW w:w="8828" w:type="dxa"/>
          </w:tcPr>
          <w:p w14:paraId="297C8634" w14:textId="5B2B4DF5"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29354D1D" w14:textId="77777777" w:rsidR="00A73AD8" w:rsidRPr="00451B7D" w:rsidRDefault="00A73AD8" w:rsidP="0086684A">
            <w:pPr>
              <w:jc w:val="both"/>
              <w:rPr>
                <w:rFonts w:ascii="ITC Avant Garde" w:hAnsi="ITC Avant Garde"/>
                <w:sz w:val="18"/>
                <w:szCs w:val="18"/>
              </w:rPr>
            </w:pPr>
          </w:p>
          <w:p w14:paraId="1AA4EE98" w14:textId="281A61CE" w:rsidR="00870931" w:rsidRDefault="00720F4E" w:rsidP="00870931">
            <w:pPr>
              <w:pStyle w:val="Prrafodelista"/>
              <w:numPr>
                <w:ilvl w:val="0"/>
                <w:numId w:val="3"/>
              </w:numPr>
              <w:jc w:val="both"/>
              <w:rPr>
                <w:rFonts w:ascii="ITC Avant Garde" w:hAnsi="ITC Avant Garde"/>
                <w:sz w:val="18"/>
                <w:szCs w:val="18"/>
              </w:rPr>
            </w:pPr>
            <w:hyperlink r:id="rId11" w:history="1">
              <w:r w:rsidR="00D93614" w:rsidRPr="00FD397B">
                <w:rPr>
                  <w:rStyle w:val="Hipervnculo"/>
                  <w:rFonts w:ascii="ITC Avant Garde" w:hAnsi="ITC Avant Garde"/>
                  <w:sz w:val="18"/>
                  <w:szCs w:val="18"/>
                </w:rPr>
                <w:t>https://www.dof.gob.mx/nota_detalle.php?codigo=5596252&amp;fecha=07/07/2020&amp;print=true</w:t>
              </w:r>
            </w:hyperlink>
          </w:p>
          <w:p w14:paraId="7CDC0B4D" w14:textId="4F2883B0" w:rsidR="00D93614" w:rsidRPr="00451B7D" w:rsidRDefault="00D93614" w:rsidP="00870931">
            <w:pPr>
              <w:pStyle w:val="Prrafodelista"/>
              <w:numPr>
                <w:ilvl w:val="0"/>
                <w:numId w:val="3"/>
              </w:numPr>
              <w:jc w:val="both"/>
              <w:rPr>
                <w:rFonts w:ascii="ITC Avant Garde" w:hAnsi="ITC Avant Garde"/>
                <w:sz w:val="18"/>
                <w:szCs w:val="18"/>
              </w:rPr>
            </w:pPr>
          </w:p>
        </w:tc>
      </w:tr>
    </w:tbl>
    <w:p w14:paraId="499F7232" w14:textId="77777777" w:rsidR="0086684A" w:rsidRPr="00451B7D" w:rsidRDefault="0086684A" w:rsidP="0086684A">
      <w:pPr>
        <w:jc w:val="both"/>
        <w:rPr>
          <w:rFonts w:ascii="ITC Avant Garde" w:hAnsi="ITC Avant Garde"/>
          <w:sz w:val="18"/>
          <w:szCs w:val="18"/>
        </w:rPr>
      </w:pPr>
    </w:p>
    <w:sectPr w:rsidR="0086684A" w:rsidRPr="00451B7D">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FB292" w14:textId="77777777" w:rsidR="00720F4E" w:rsidRDefault="00720F4E" w:rsidP="00501ADF">
      <w:pPr>
        <w:spacing w:after="0" w:line="240" w:lineRule="auto"/>
      </w:pPr>
      <w:r>
        <w:separator/>
      </w:r>
    </w:p>
  </w:endnote>
  <w:endnote w:type="continuationSeparator" w:id="0">
    <w:p w14:paraId="5181349E" w14:textId="77777777" w:rsidR="00720F4E" w:rsidRDefault="00720F4E"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87E92B" w14:textId="40999B1A"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7C425A">
              <w:rPr>
                <w:b/>
                <w:bCs/>
                <w:noProof/>
                <w:sz w:val="20"/>
              </w:rPr>
              <w:t>1</w:t>
            </w:r>
            <w:r w:rsidRPr="0006478F">
              <w:rPr>
                <w:b/>
                <w:bCs/>
                <w:szCs w:val="24"/>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26BA1" w14:textId="77777777" w:rsidR="00720F4E" w:rsidRDefault="00720F4E" w:rsidP="00501ADF">
      <w:pPr>
        <w:spacing w:after="0" w:line="240" w:lineRule="auto"/>
      </w:pPr>
      <w:r>
        <w:separator/>
      </w:r>
    </w:p>
  </w:footnote>
  <w:footnote w:type="continuationSeparator" w:id="0">
    <w:p w14:paraId="63C22DAB" w14:textId="77777777" w:rsidR="00720F4E" w:rsidRDefault="00720F4E" w:rsidP="00501ADF">
      <w:pPr>
        <w:spacing w:after="0" w:line="240" w:lineRule="auto"/>
      </w:pPr>
      <w:r>
        <w:continuationSeparator/>
      </w:r>
    </w:p>
  </w:footnote>
  <w:footnote w:id="1">
    <w:p w14:paraId="05EB7592" w14:textId="595FC95B" w:rsidR="008E1AD3" w:rsidRPr="007C425A"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E28D8F2" w14:textId="69931C01"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10DA" w14:textId="3228465B"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" strokecolor="white [3212]">
              <v:textbo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19BBBECD"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4C7A2C0"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21824"/>
    <w:rsid w:val="00021FB4"/>
    <w:rsid w:val="000257E3"/>
    <w:rsid w:val="00044D30"/>
    <w:rsid w:val="00056AE8"/>
    <w:rsid w:val="0006478F"/>
    <w:rsid w:val="00072749"/>
    <w:rsid w:val="000C16BC"/>
    <w:rsid w:val="000D401B"/>
    <w:rsid w:val="000E6A13"/>
    <w:rsid w:val="000F669B"/>
    <w:rsid w:val="00140DDA"/>
    <w:rsid w:val="00177F7B"/>
    <w:rsid w:val="00181A32"/>
    <w:rsid w:val="001932FC"/>
    <w:rsid w:val="001B4A51"/>
    <w:rsid w:val="001E26FE"/>
    <w:rsid w:val="00206C6C"/>
    <w:rsid w:val="00211C96"/>
    <w:rsid w:val="00247B33"/>
    <w:rsid w:val="00286496"/>
    <w:rsid w:val="00295E97"/>
    <w:rsid w:val="002D28C7"/>
    <w:rsid w:val="0030055F"/>
    <w:rsid w:val="003039BF"/>
    <w:rsid w:val="00314E7E"/>
    <w:rsid w:val="00323167"/>
    <w:rsid w:val="00333B41"/>
    <w:rsid w:val="00372BF7"/>
    <w:rsid w:val="0039169A"/>
    <w:rsid w:val="003949C0"/>
    <w:rsid w:val="003A72BC"/>
    <w:rsid w:val="003B48A5"/>
    <w:rsid w:val="003E1D84"/>
    <w:rsid w:val="003F05E7"/>
    <w:rsid w:val="004226AE"/>
    <w:rsid w:val="00451B7D"/>
    <w:rsid w:val="0045297A"/>
    <w:rsid w:val="004603F7"/>
    <w:rsid w:val="0049127C"/>
    <w:rsid w:val="004A7C30"/>
    <w:rsid w:val="004B6836"/>
    <w:rsid w:val="004E0AA9"/>
    <w:rsid w:val="004E0DA9"/>
    <w:rsid w:val="004F5CB0"/>
    <w:rsid w:val="00501ADF"/>
    <w:rsid w:val="00525271"/>
    <w:rsid w:val="005319D5"/>
    <w:rsid w:val="00596FDE"/>
    <w:rsid w:val="005A06B2"/>
    <w:rsid w:val="005A40FB"/>
    <w:rsid w:val="005B2C92"/>
    <w:rsid w:val="005C44A8"/>
    <w:rsid w:val="005E0AB9"/>
    <w:rsid w:val="006220C6"/>
    <w:rsid w:val="00623EB8"/>
    <w:rsid w:val="00634DE8"/>
    <w:rsid w:val="00641D09"/>
    <w:rsid w:val="00647FB6"/>
    <w:rsid w:val="006717D5"/>
    <w:rsid w:val="0068307E"/>
    <w:rsid w:val="006A3A0E"/>
    <w:rsid w:val="006D7556"/>
    <w:rsid w:val="006D7A08"/>
    <w:rsid w:val="007018A1"/>
    <w:rsid w:val="00712636"/>
    <w:rsid w:val="00714252"/>
    <w:rsid w:val="00720F4E"/>
    <w:rsid w:val="0074323F"/>
    <w:rsid w:val="0076488A"/>
    <w:rsid w:val="007906D0"/>
    <w:rsid w:val="007A37D6"/>
    <w:rsid w:val="007C425A"/>
    <w:rsid w:val="007D4E5B"/>
    <w:rsid w:val="007F37BF"/>
    <w:rsid w:val="00801FED"/>
    <w:rsid w:val="00804F49"/>
    <w:rsid w:val="008135FB"/>
    <w:rsid w:val="00814A48"/>
    <w:rsid w:val="00827470"/>
    <w:rsid w:val="0084331D"/>
    <w:rsid w:val="0084560D"/>
    <w:rsid w:val="0086684A"/>
    <w:rsid w:val="00870931"/>
    <w:rsid w:val="00876D05"/>
    <w:rsid w:val="008A1704"/>
    <w:rsid w:val="008A48B0"/>
    <w:rsid w:val="008C76AF"/>
    <w:rsid w:val="008E1AD3"/>
    <w:rsid w:val="008E3011"/>
    <w:rsid w:val="009058DB"/>
    <w:rsid w:val="00911216"/>
    <w:rsid w:val="00930D95"/>
    <w:rsid w:val="009442FD"/>
    <w:rsid w:val="009656B1"/>
    <w:rsid w:val="009806B7"/>
    <w:rsid w:val="00986E23"/>
    <w:rsid w:val="009B01B0"/>
    <w:rsid w:val="009D10E1"/>
    <w:rsid w:val="009D5C70"/>
    <w:rsid w:val="009D73E5"/>
    <w:rsid w:val="009E2F03"/>
    <w:rsid w:val="009F237F"/>
    <w:rsid w:val="00A1622C"/>
    <w:rsid w:val="00A3422E"/>
    <w:rsid w:val="00A3622D"/>
    <w:rsid w:val="00A7211D"/>
    <w:rsid w:val="00A73AD8"/>
    <w:rsid w:val="00A81C3A"/>
    <w:rsid w:val="00A855B0"/>
    <w:rsid w:val="00AA4CB3"/>
    <w:rsid w:val="00AC792F"/>
    <w:rsid w:val="00B2360F"/>
    <w:rsid w:val="00B24AB5"/>
    <w:rsid w:val="00B32137"/>
    <w:rsid w:val="00B32DDD"/>
    <w:rsid w:val="00B41497"/>
    <w:rsid w:val="00B43D57"/>
    <w:rsid w:val="00B6461E"/>
    <w:rsid w:val="00B74C55"/>
    <w:rsid w:val="00B74F10"/>
    <w:rsid w:val="00B77B4B"/>
    <w:rsid w:val="00B97185"/>
    <w:rsid w:val="00BA0F10"/>
    <w:rsid w:val="00BA4E93"/>
    <w:rsid w:val="00BB73BA"/>
    <w:rsid w:val="00BC2FF7"/>
    <w:rsid w:val="00BD4EAA"/>
    <w:rsid w:val="00BE7D1C"/>
    <w:rsid w:val="00C22D53"/>
    <w:rsid w:val="00C37872"/>
    <w:rsid w:val="00C53388"/>
    <w:rsid w:val="00C5470D"/>
    <w:rsid w:val="00C917FC"/>
    <w:rsid w:val="00CA54BA"/>
    <w:rsid w:val="00CE2EA1"/>
    <w:rsid w:val="00D02DA9"/>
    <w:rsid w:val="00D0386B"/>
    <w:rsid w:val="00D221B5"/>
    <w:rsid w:val="00D23BD5"/>
    <w:rsid w:val="00D31AE9"/>
    <w:rsid w:val="00D55CA7"/>
    <w:rsid w:val="00D93614"/>
    <w:rsid w:val="00DB01FA"/>
    <w:rsid w:val="00DE6F24"/>
    <w:rsid w:val="00E046F4"/>
    <w:rsid w:val="00E16506"/>
    <w:rsid w:val="00E21B49"/>
    <w:rsid w:val="00E27972"/>
    <w:rsid w:val="00E368C8"/>
    <w:rsid w:val="00E44B07"/>
    <w:rsid w:val="00E6080B"/>
    <w:rsid w:val="00E768BA"/>
    <w:rsid w:val="00E76CAF"/>
    <w:rsid w:val="00E8340B"/>
    <w:rsid w:val="00EE036D"/>
    <w:rsid w:val="00EE6FE8"/>
    <w:rsid w:val="00F03289"/>
    <w:rsid w:val="00F31821"/>
    <w:rsid w:val="00F342A4"/>
    <w:rsid w:val="00F75427"/>
    <w:rsid w:val="00F75C80"/>
    <w:rsid w:val="00F9299E"/>
    <w:rsid w:val="00F94A28"/>
    <w:rsid w:val="00FB158A"/>
    <w:rsid w:val="00FB4FEA"/>
    <w:rsid w:val="00FB58BA"/>
    <w:rsid w:val="00FC6114"/>
    <w:rsid w:val="00FD121A"/>
    <w:rsid w:val="00FE1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styleId="Mencinsinresolver">
    <w:name w:val="Unresolved Mention"/>
    <w:basedOn w:val="Fuentedeprrafopredeter"/>
    <w:uiPriority w:val="99"/>
    <w:semiHidden/>
    <w:unhideWhenUsed/>
    <w:rsid w:val="00D93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f.gob.mx/nota_detalle.php?codigo=5596252&amp;fecha=07/07/2020&amp;print=tru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
      <w:docPartPr>
        <w:name w:val="A27B1AB7C60549EAA5BCC32C46445E16"/>
        <w:category>
          <w:name w:val="General"/>
          <w:gallery w:val="placeholder"/>
        </w:category>
        <w:types>
          <w:type w:val="bbPlcHdr"/>
        </w:types>
        <w:behaviors>
          <w:behavior w:val="content"/>
        </w:behaviors>
        <w:guid w:val="{81348A81-D746-4CBE-825B-C5B06337E3D6}"/>
      </w:docPartPr>
      <w:docPartBody>
        <w:p w:rsidR="007118CA" w:rsidRDefault="00895355" w:rsidP="00895355">
          <w:pPr>
            <w:pStyle w:val="A27B1AB7C60549EAA5BCC32C46445E16"/>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55F24"/>
    <w:rsid w:val="000970D1"/>
    <w:rsid w:val="00156B10"/>
    <w:rsid w:val="00162398"/>
    <w:rsid w:val="002D1216"/>
    <w:rsid w:val="00350E8B"/>
    <w:rsid w:val="00361AF2"/>
    <w:rsid w:val="004E0D36"/>
    <w:rsid w:val="00504DE3"/>
    <w:rsid w:val="0051743B"/>
    <w:rsid w:val="00540EA6"/>
    <w:rsid w:val="0058081F"/>
    <w:rsid w:val="005E2E8F"/>
    <w:rsid w:val="006020B4"/>
    <w:rsid w:val="00622624"/>
    <w:rsid w:val="0067131A"/>
    <w:rsid w:val="007118CA"/>
    <w:rsid w:val="00760FAD"/>
    <w:rsid w:val="00895355"/>
    <w:rsid w:val="00963F51"/>
    <w:rsid w:val="00981D52"/>
    <w:rsid w:val="00A53C81"/>
    <w:rsid w:val="00A80CA9"/>
    <w:rsid w:val="00AB261F"/>
    <w:rsid w:val="00B05362"/>
    <w:rsid w:val="00B234BA"/>
    <w:rsid w:val="00B41AA5"/>
    <w:rsid w:val="00B53C30"/>
    <w:rsid w:val="00B748CE"/>
    <w:rsid w:val="00BD02AE"/>
    <w:rsid w:val="00BD59E5"/>
    <w:rsid w:val="00C00CB3"/>
    <w:rsid w:val="00CF1BA4"/>
    <w:rsid w:val="00DB3940"/>
    <w:rsid w:val="00E75A8C"/>
    <w:rsid w:val="00EA3C6B"/>
    <w:rsid w:val="00EB2284"/>
    <w:rsid w:val="00F04DDA"/>
    <w:rsid w:val="00F30AF3"/>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3.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425A5F-CB9B-43A8-8B09-14EB87756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1065</Words>
  <Characters>5859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10</cp:revision>
  <dcterms:created xsi:type="dcterms:W3CDTF">2023-11-10T23:07:00Z</dcterms:created>
  <dcterms:modified xsi:type="dcterms:W3CDTF">2023-11-23T02:50:00Z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GrammarlyDocumentId">
    <vt:lpwstr>29708a26d50f90f5841c76be61e0efdfb8614445615fe6945b711683b2c3129d</vt:lpwstr>
  </property>
</Properties>
</file>