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35B87D65" w:rsidR="0038199D" w:rsidRPr="00F011A2" w:rsidRDefault="0038199D" w:rsidP="00F011A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F011A2" w:rsidRPr="0004145F">
          <w:rPr>
            <w:rStyle w:val="Hipervnculo"/>
            <w:rFonts w:ascii="ITC Avant Garde" w:hAnsi="ITC Avant Garde"/>
            <w:sz w:val="14"/>
            <w:szCs w:val="14"/>
          </w:rPr>
          <w:t>optimizacionespectro@ift.org.mx</w:t>
        </w:r>
      </w:hyperlink>
      <w:r w:rsidRPr="00D10F55">
        <w:rPr>
          <w:rFonts w:ascii="ITC Avant Garde" w:hAnsi="ITC Avant Garde"/>
          <w:sz w:val="14"/>
          <w:szCs w:val="14"/>
        </w:rPr>
        <w:t>, en donde</w:t>
      </w:r>
      <w:r w:rsidR="00CC53F7" w:rsidRPr="00F011A2">
        <w:rPr>
          <w:rFonts w:ascii="ITC Avant Garde" w:hAnsi="ITC Avant Garde"/>
          <w:sz w:val="14"/>
          <w:szCs w:val="14"/>
        </w:rPr>
        <w:t xml:space="preserve"> se deberá </w:t>
      </w:r>
      <w:r w:rsidRPr="00F011A2">
        <w:rPr>
          <w:rFonts w:ascii="ITC Avant Garde" w:hAnsi="ITC Avant Garde"/>
          <w:sz w:val="14"/>
          <w:szCs w:val="14"/>
        </w:rPr>
        <w:t xml:space="preserve">considerar que la capacidad límite para la </w:t>
      </w:r>
      <w:r w:rsidR="00CC53F7" w:rsidRPr="00F011A2">
        <w:rPr>
          <w:rFonts w:ascii="ITC Avant Garde" w:hAnsi="ITC Avant Garde"/>
          <w:sz w:val="14"/>
          <w:szCs w:val="14"/>
        </w:rPr>
        <w:t xml:space="preserve">recepción </w:t>
      </w:r>
      <w:r w:rsidRPr="00F011A2">
        <w:rPr>
          <w:rFonts w:ascii="ITC Avant Garde" w:hAnsi="ITC Avant Garde"/>
          <w:sz w:val="14"/>
          <w:szCs w:val="14"/>
        </w:rPr>
        <w:t xml:space="preserve">de archivos es de </w:t>
      </w:r>
      <w:r w:rsidR="00B533DC" w:rsidRPr="00F011A2">
        <w:rPr>
          <w:rFonts w:ascii="ITC Avant Garde" w:hAnsi="ITC Avant Garde"/>
          <w:sz w:val="14"/>
          <w:szCs w:val="14"/>
        </w:rPr>
        <w:t>25 Mb</w:t>
      </w:r>
      <w:r w:rsidRPr="00F011A2">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39F823F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 xml:space="preserve">será </w:t>
      </w:r>
      <w:r w:rsidRPr="00D10F55">
        <w:rPr>
          <w:rFonts w:ascii="ITC Avant Garde" w:hAnsi="ITC Avant Garde"/>
          <w:sz w:val="14"/>
          <w:szCs w:val="14"/>
        </w:rPr>
        <w:t>del</w:t>
      </w:r>
      <w:r w:rsidR="000D2838" w:rsidRPr="00255588">
        <w:rPr>
          <w:rFonts w:ascii="ITC Avant Garde" w:hAnsi="ITC Avant Garde"/>
          <w:sz w:val="14"/>
          <w:szCs w:val="14"/>
        </w:rPr>
        <w:t xml:space="preserve"> </w:t>
      </w:r>
      <w:r w:rsidR="00D10F55">
        <w:rPr>
          <w:rFonts w:ascii="ITC Avant Garde" w:hAnsi="ITC Avant Garde"/>
          <w:sz w:val="14"/>
          <w:szCs w:val="14"/>
        </w:rPr>
        <w:t>10</w:t>
      </w:r>
      <w:r w:rsidR="008C679D" w:rsidRPr="00255588">
        <w:rPr>
          <w:rFonts w:ascii="ITC Avant Garde" w:hAnsi="ITC Avant Garde"/>
          <w:sz w:val="14"/>
          <w:szCs w:val="14"/>
        </w:rPr>
        <w:t xml:space="preserve"> de </w:t>
      </w:r>
      <w:r w:rsidR="00F011A2" w:rsidRPr="007A4949">
        <w:rPr>
          <w:rFonts w:ascii="ITC Avant Garde" w:hAnsi="ITC Avant Garde"/>
          <w:sz w:val="14"/>
          <w:szCs w:val="14"/>
        </w:rPr>
        <w:t xml:space="preserve">noviembre </w:t>
      </w:r>
      <w:r w:rsidR="000D2838" w:rsidRPr="00255588">
        <w:rPr>
          <w:rFonts w:ascii="ITC Avant Garde" w:hAnsi="ITC Avant Garde"/>
          <w:sz w:val="14"/>
          <w:szCs w:val="14"/>
        </w:rPr>
        <w:t xml:space="preserve">al </w:t>
      </w:r>
      <w:r w:rsidR="00F011A2" w:rsidRPr="007A4949">
        <w:rPr>
          <w:rFonts w:ascii="ITC Avant Garde" w:hAnsi="ITC Avant Garde"/>
          <w:sz w:val="14"/>
          <w:szCs w:val="14"/>
        </w:rPr>
        <w:t>0</w:t>
      </w:r>
      <w:r w:rsidR="004C3A69">
        <w:rPr>
          <w:rFonts w:ascii="ITC Avant Garde" w:hAnsi="ITC Avant Garde"/>
          <w:sz w:val="14"/>
          <w:szCs w:val="14"/>
        </w:rPr>
        <w:t>8</w:t>
      </w:r>
      <w:r w:rsidR="00C55D34">
        <w:rPr>
          <w:rFonts w:ascii="ITC Avant Garde" w:hAnsi="ITC Avant Garde"/>
          <w:sz w:val="14"/>
          <w:szCs w:val="14"/>
        </w:rPr>
        <w:t xml:space="preserve"> </w:t>
      </w:r>
      <w:r w:rsidR="000D2838" w:rsidRPr="00255588">
        <w:rPr>
          <w:rFonts w:ascii="ITC Avant Garde" w:hAnsi="ITC Avant Garde"/>
          <w:sz w:val="14"/>
          <w:szCs w:val="14"/>
        </w:rPr>
        <w:t xml:space="preserve">de </w:t>
      </w:r>
      <w:r w:rsidR="00F011A2" w:rsidRPr="00255588">
        <w:rPr>
          <w:rFonts w:ascii="ITC Avant Garde" w:hAnsi="ITC Avant Garde"/>
          <w:sz w:val="14"/>
          <w:szCs w:val="14"/>
        </w:rPr>
        <w:t>diciembre</w:t>
      </w:r>
      <w:r w:rsidR="000D2838" w:rsidRPr="00F36A5D">
        <w:rPr>
          <w:rFonts w:ascii="ITC Avant Garde" w:hAnsi="ITC Avant Garde"/>
          <w:sz w:val="14"/>
          <w:szCs w:val="14"/>
        </w:rPr>
        <w:t xml:space="preserve"> </w:t>
      </w:r>
      <w:r w:rsidR="000D2838" w:rsidRPr="00D10F55">
        <w:rPr>
          <w:rFonts w:ascii="ITC Avant Garde" w:hAnsi="ITC Avant Garde"/>
          <w:sz w:val="14"/>
          <w:szCs w:val="14"/>
        </w:rPr>
        <w:t>de 20</w:t>
      </w:r>
      <w:r w:rsidR="00F011A2" w:rsidRPr="007A4949">
        <w:rPr>
          <w:rFonts w:ascii="ITC Avant Garde" w:hAnsi="ITC Avant Garde"/>
          <w:sz w:val="14"/>
          <w:szCs w:val="14"/>
        </w:rPr>
        <w:t>23</w:t>
      </w:r>
      <w:r w:rsidR="002C0E40" w:rsidRPr="00D10F55">
        <w:rPr>
          <w:rFonts w:ascii="ITC Avant Garde" w:hAnsi="ITC Avant Garde"/>
          <w:sz w:val="14"/>
          <w:szCs w:val="14"/>
        </w:rPr>
        <w:t xml:space="preserve"> </w:t>
      </w:r>
      <w:r w:rsidR="002C0E40" w:rsidRPr="007A4949">
        <w:rPr>
          <w:rFonts w:ascii="ITC Avant Garde" w:hAnsi="ITC Avant Garde"/>
          <w:sz w:val="14"/>
          <w:szCs w:val="14"/>
        </w:rPr>
        <w:t xml:space="preserve">(i.e. </w:t>
      </w:r>
      <w:r w:rsidR="00F011A2" w:rsidRPr="007A4949">
        <w:rPr>
          <w:rFonts w:ascii="ITC Avant Garde" w:hAnsi="ITC Avant Garde"/>
          <w:sz w:val="14"/>
          <w:szCs w:val="14"/>
        </w:rPr>
        <w:t>20</w:t>
      </w:r>
      <w:r w:rsidR="002C0E40" w:rsidRPr="007A4949">
        <w:rPr>
          <w:rFonts w:ascii="ITC Avant Garde" w:hAnsi="ITC Avant Garde"/>
          <w:sz w:val="14"/>
          <w:szCs w:val="14"/>
        </w:rPr>
        <w:t xml:space="preserve"> días </w:t>
      </w:r>
      <w:r w:rsidR="00F011A2" w:rsidRPr="007A4949">
        <w:rPr>
          <w:rFonts w:ascii="ITC Avant Garde" w:hAnsi="ITC Avant Garde"/>
          <w:sz w:val="14"/>
          <w:szCs w:val="14"/>
        </w:rPr>
        <w:t>hábiles</w:t>
      </w:r>
      <w:r w:rsidR="002C0E40" w:rsidRPr="007A4949">
        <w:rPr>
          <w:rFonts w:ascii="ITC Avant Garde" w:hAnsi="ITC Avant Garde"/>
          <w:sz w:val="14"/>
          <w:szCs w:val="14"/>
        </w:rPr>
        <w:t>)</w:t>
      </w:r>
      <w:r w:rsidRPr="00D10F55">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0845CA13" w14:textId="2B44CE48" w:rsidR="00465BDA" w:rsidRPr="008F329C" w:rsidRDefault="000D2838" w:rsidP="008F329C">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387C5F">
        <w:rPr>
          <w:rFonts w:ascii="ITC Avant Garde" w:hAnsi="ITC Avant Garde"/>
          <w:sz w:val="14"/>
          <w:szCs w:val="14"/>
        </w:rPr>
        <w:t>los</w:t>
      </w:r>
      <w:r w:rsidRPr="00F36A5D">
        <w:rPr>
          <w:rFonts w:ascii="ITC Avant Garde" w:hAnsi="ITC Avant Garde"/>
          <w:sz w:val="14"/>
          <w:szCs w:val="14"/>
        </w:rPr>
        <w:t xml:space="preserve"> siguiente</w:t>
      </w:r>
      <w:r w:rsidR="00387C5F">
        <w:rPr>
          <w:rFonts w:ascii="ITC Avant Garde" w:hAnsi="ITC Avant Garde"/>
          <w:sz w:val="14"/>
          <w:szCs w:val="14"/>
        </w:rPr>
        <w:t>s</w:t>
      </w:r>
      <w:r w:rsidRPr="00F36A5D">
        <w:rPr>
          <w:rFonts w:ascii="ITC Avant Garde" w:hAnsi="ITC Avant Garde"/>
          <w:sz w:val="14"/>
          <w:szCs w:val="14"/>
        </w:rPr>
        <w:t xml:space="preserve"> punto</w:t>
      </w:r>
      <w:r w:rsidR="00387C5F">
        <w:rPr>
          <w:rFonts w:ascii="ITC Avant Garde" w:hAnsi="ITC Avant Garde"/>
          <w:sz w:val="14"/>
          <w:szCs w:val="14"/>
        </w:rPr>
        <w:t>s</w:t>
      </w:r>
      <w:r w:rsidRPr="00F36A5D">
        <w:rPr>
          <w:rFonts w:ascii="ITC Avant Garde" w:hAnsi="ITC Avant Garde"/>
          <w:sz w:val="14"/>
          <w:szCs w:val="14"/>
        </w:rPr>
        <w:t xml:space="preserve"> de contacto: </w:t>
      </w:r>
      <w:r w:rsidR="0023379A">
        <w:rPr>
          <w:rFonts w:ascii="ITC Avant Garde" w:hAnsi="ITC Avant Garde"/>
          <w:sz w:val="14"/>
          <w:szCs w:val="14"/>
        </w:rPr>
        <w:t>Amalia Nallely Castro Martínez</w:t>
      </w:r>
      <w:r w:rsidR="000E41F3" w:rsidRPr="00F36A5D">
        <w:rPr>
          <w:rFonts w:ascii="ITC Avant Garde" w:hAnsi="ITC Avant Garde"/>
          <w:sz w:val="14"/>
          <w:szCs w:val="14"/>
        </w:rPr>
        <w:t>, Director</w:t>
      </w:r>
      <w:r w:rsidR="00585B97">
        <w:rPr>
          <w:rFonts w:ascii="ITC Avant Garde" w:hAnsi="ITC Avant Garde"/>
          <w:sz w:val="14"/>
          <w:szCs w:val="14"/>
        </w:rPr>
        <w:t>a</w:t>
      </w:r>
      <w:r w:rsidR="000E41F3" w:rsidRPr="00F36A5D">
        <w:rPr>
          <w:rFonts w:ascii="ITC Avant Garde" w:hAnsi="ITC Avant Garde"/>
          <w:sz w:val="14"/>
          <w:szCs w:val="14"/>
        </w:rPr>
        <w:t xml:space="preserve"> de</w:t>
      </w:r>
      <w:r w:rsidR="0023379A">
        <w:rPr>
          <w:rFonts w:ascii="ITC Avant Garde" w:hAnsi="ITC Avant Garde"/>
          <w:sz w:val="14"/>
          <w:szCs w:val="14"/>
        </w:rPr>
        <w:t xml:space="preserve"> Optimización en Radiocomunicaciones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F73B43" w:rsidRPr="0004145F">
          <w:rPr>
            <w:rStyle w:val="Hipervnculo"/>
            <w:rFonts w:ascii="ITC Avant Garde" w:hAnsi="ITC Avant Garde"/>
            <w:sz w:val="14"/>
            <w:szCs w:val="14"/>
          </w:rPr>
          <w:t>amalia.castro@ift.org.mx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F73B43">
        <w:rPr>
          <w:rFonts w:ascii="ITC Avant Garde" w:hAnsi="ITC Avant Garde"/>
          <w:sz w:val="14"/>
          <w:szCs w:val="14"/>
        </w:rPr>
        <w:t>2233</w:t>
      </w:r>
      <w:r w:rsidR="002654BE">
        <w:rPr>
          <w:rFonts w:ascii="ITC Avant Garde" w:hAnsi="ITC Avant Garde"/>
          <w:sz w:val="14"/>
          <w:szCs w:val="14"/>
        </w:rPr>
        <w:t xml:space="preserve"> </w:t>
      </w:r>
      <w:r w:rsidR="00194B87">
        <w:rPr>
          <w:rFonts w:ascii="ITC Avant Garde" w:hAnsi="ITC Avant Garde"/>
          <w:sz w:val="14"/>
          <w:szCs w:val="14"/>
        </w:rPr>
        <w:t>y</w:t>
      </w:r>
      <w:r w:rsidR="002654BE">
        <w:rPr>
          <w:rFonts w:ascii="ITC Avant Garde" w:hAnsi="ITC Avant Garde"/>
          <w:sz w:val="14"/>
          <w:szCs w:val="14"/>
        </w:rPr>
        <w:t xml:space="preserve"> Edwin Andrés Montes de Oca Pérez, Subdirector de C</w:t>
      </w:r>
      <w:r w:rsidR="00465BDA">
        <w:rPr>
          <w:rFonts w:ascii="ITC Avant Garde" w:hAnsi="ITC Avant Garde"/>
          <w:sz w:val="14"/>
          <w:szCs w:val="14"/>
        </w:rPr>
        <w:t xml:space="preserve">oordinación Técnica en Radiocomunicación, correo electrónico: </w:t>
      </w:r>
      <w:hyperlink r:id="rId14" w:history="1">
        <w:r w:rsidR="00465BDA" w:rsidRPr="002122DC">
          <w:rPr>
            <w:rStyle w:val="Hipervnculo"/>
            <w:rFonts w:ascii="ITC Avant Garde" w:hAnsi="ITC Avant Garde"/>
            <w:sz w:val="14"/>
            <w:szCs w:val="14"/>
          </w:rPr>
          <w:t>edwin.montesdeoca@ift.org.mx</w:t>
        </w:r>
      </w:hyperlink>
      <w:r w:rsidR="00465BDA">
        <w:rPr>
          <w:rFonts w:ascii="ITC Avant Garde" w:hAnsi="ITC Avant Garde"/>
          <w:sz w:val="14"/>
          <w:szCs w:val="14"/>
        </w:rPr>
        <w:t xml:space="preserve"> o bien, a través del número telefónico 55 5015 4000, extensión 4411.</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1766F">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7AE4FE48"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E913E4" w:rsidRPr="00E913E4">
              <w:rPr>
                <w:rFonts w:ascii="ITC Avant Garde" w:hAnsi="ITC Avant Garde"/>
                <w:b/>
              </w:rPr>
              <w:t>UNIDAD DE ESPECTRO RADIOEL</w:t>
            </w:r>
            <w:r w:rsidR="00386129">
              <w:rPr>
                <w:rFonts w:ascii="ITC Avant Garde" w:hAnsi="ITC Avant Garde"/>
                <w:b/>
              </w:rPr>
              <w:t>É</w:t>
            </w:r>
            <w:r w:rsidR="00E913E4" w:rsidRPr="00E913E4">
              <w:rPr>
                <w:rFonts w:ascii="ITC Avant Garde" w:hAnsi="ITC Avant Garde"/>
                <w:b/>
              </w:rPr>
              <w:t>CTRICO</w:t>
            </w:r>
            <w:r w:rsidR="00E913E4" w:rsidRPr="00E913E4" w:rsidDel="00E913E4">
              <w:rPr>
                <w:rFonts w:ascii="ITC Avant Garde" w:hAnsi="ITC Avant Garde"/>
                <w:b/>
              </w:rPr>
              <w:t xml:space="preserve"> </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0B49D331"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Pr="00F04B09">
              <w:rPr>
                <w:rFonts w:ascii="ITC Avant Garde" w:eastAsia="Times New Roman" w:hAnsi="ITC Avant Garde"/>
                <w:i/>
                <w:color w:val="000000"/>
                <w:sz w:val="14"/>
                <w:szCs w:val="16"/>
                <w:lang w:eastAsia="es-MX"/>
              </w:rPr>
              <w:t>(</w:t>
            </w:r>
            <w:r w:rsidR="00386129">
              <w:rPr>
                <w:rFonts w:ascii="ITC Avant Garde" w:eastAsia="Times New Roman" w:hAnsi="ITC Avant Garde"/>
                <w:i/>
                <w:color w:val="000000"/>
                <w:sz w:val="14"/>
                <w:szCs w:val="16"/>
                <w:lang w:eastAsia="es-MX"/>
              </w:rPr>
              <w:t>U</w:t>
            </w:r>
            <w:r w:rsidR="00386129" w:rsidRPr="00386129">
              <w:rPr>
                <w:rFonts w:ascii="ITC Avant Garde" w:eastAsia="Times New Roman" w:hAnsi="ITC Avant Garde"/>
                <w:i/>
                <w:color w:val="000000"/>
                <w:sz w:val="14"/>
                <w:szCs w:val="16"/>
                <w:lang w:eastAsia="es-MX"/>
              </w:rPr>
              <w:t xml:space="preserve">nidad de </w:t>
            </w:r>
            <w:r w:rsidR="00386129">
              <w:rPr>
                <w:rFonts w:ascii="ITC Avant Garde" w:eastAsia="Times New Roman" w:hAnsi="ITC Avant Garde"/>
                <w:i/>
                <w:color w:val="000000"/>
                <w:sz w:val="14"/>
                <w:szCs w:val="16"/>
                <w:lang w:eastAsia="es-MX"/>
              </w:rPr>
              <w:t>E</w:t>
            </w:r>
            <w:r w:rsidR="00386129" w:rsidRPr="00386129">
              <w:rPr>
                <w:rFonts w:ascii="ITC Avant Garde" w:eastAsia="Times New Roman" w:hAnsi="ITC Avant Garde"/>
                <w:i/>
                <w:color w:val="000000"/>
                <w:sz w:val="14"/>
                <w:szCs w:val="16"/>
                <w:lang w:eastAsia="es-MX"/>
              </w:rPr>
              <w:t xml:space="preserve">spectro </w:t>
            </w:r>
            <w:r w:rsidR="00386129">
              <w:rPr>
                <w:rFonts w:ascii="ITC Avant Garde" w:eastAsia="Times New Roman" w:hAnsi="ITC Avant Garde"/>
                <w:i/>
                <w:color w:val="000000"/>
                <w:sz w:val="14"/>
                <w:szCs w:val="16"/>
                <w:lang w:eastAsia="es-MX"/>
              </w:rPr>
              <w:t>R</w:t>
            </w:r>
            <w:r w:rsidR="00386129" w:rsidRPr="00386129">
              <w:rPr>
                <w:rFonts w:ascii="ITC Avant Garde" w:eastAsia="Times New Roman" w:hAnsi="ITC Avant Garde"/>
                <w:i/>
                <w:color w:val="000000"/>
                <w:sz w:val="14"/>
                <w:szCs w:val="16"/>
                <w:lang w:eastAsia="es-MX"/>
              </w:rPr>
              <w:t>adioeléctrico</w:t>
            </w:r>
            <w:r w:rsidRPr="00F04B09">
              <w:rPr>
                <w:rFonts w:ascii="ITC Avant Garde" w:eastAsia="Times New Roman" w:hAnsi="ITC Avant Garde"/>
                <w:i/>
                <w:color w:val="000000"/>
                <w:sz w:val="14"/>
                <w:szCs w:val="16"/>
                <w:lang w:eastAsia="es-MX"/>
              </w:rPr>
              <w:t>)</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Pr="00F04B09">
              <w:rPr>
                <w:rFonts w:ascii="ITC Avant Garde" w:eastAsia="Times New Roman" w:hAnsi="ITC Avant Garde"/>
                <w:i/>
                <w:color w:val="000000"/>
                <w:sz w:val="14"/>
                <w:szCs w:val="16"/>
                <w:lang w:eastAsia="es-MX"/>
              </w:rPr>
              <w:t>(incluir el nombre de la Unidad Administrativa)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Pr="00F04B09">
              <w:rPr>
                <w:rFonts w:ascii="ITC Avant Garde" w:eastAsia="Times New Roman" w:hAnsi="ITC Avant Garde"/>
                <w:i/>
                <w:color w:val="000000"/>
                <w:sz w:val="14"/>
                <w:szCs w:val="16"/>
                <w:lang w:eastAsia="es-MX"/>
              </w:rPr>
              <w:t>(incluir el nombre de la Unidad Administrativa)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0B87DA1A"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Pr="00F04B09">
              <w:rPr>
                <w:rFonts w:ascii="ITC Avant Garde" w:eastAsia="Times New Roman" w:hAnsi="ITC Avant Garde"/>
                <w:i/>
                <w:color w:val="000000"/>
                <w:sz w:val="14"/>
                <w:szCs w:val="16"/>
                <w:lang w:eastAsia="es-MX"/>
              </w:rPr>
              <w:t>(</w:t>
            </w:r>
            <w:r w:rsidR="00386129">
              <w:rPr>
                <w:rFonts w:ascii="ITC Avant Garde" w:eastAsia="Times New Roman" w:hAnsi="ITC Avant Garde"/>
                <w:i/>
                <w:color w:val="000000"/>
                <w:sz w:val="14"/>
                <w:szCs w:val="16"/>
                <w:lang w:eastAsia="es-MX"/>
              </w:rPr>
              <w:t>U</w:t>
            </w:r>
            <w:r w:rsidR="00386129" w:rsidRPr="00386129">
              <w:rPr>
                <w:rFonts w:ascii="ITC Avant Garde" w:eastAsia="Times New Roman" w:hAnsi="ITC Avant Garde"/>
                <w:i/>
                <w:color w:val="000000"/>
                <w:sz w:val="14"/>
                <w:szCs w:val="16"/>
                <w:lang w:eastAsia="es-MX"/>
              </w:rPr>
              <w:t xml:space="preserve">nidad de </w:t>
            </w:r>
            <w:r w:rsidR="00386129">
              <w:rPr>
                <w:rFonts w:ascii="ITC Avant Garde" w:eastAsia="Times New Roman" w:hAnsi="ITC Avant Garde"/>
                <w:i/>
                <w:color w:val="000000"/>
                <w:sz w:val="14"/>
                <w:szCs w:val="16"/>
                <w:lang w:eastAsia="es-MX"/>
              </w:rPr>
              <w:t>E</w:t>
            </w:r>
            <w:r w:rsidR="00386129" w:rsidRPr="00386129">
              <w:rPr>
                <w:rFonts w:ascii="ITC Avant Garde" w:eastAsia="Times New Roman" w:hAnsi="ITC Avant Garde"/>
                <w:i/>
                <w:color w:val="000000"/>
                <w:sz w:val="14"/>
                <w:szCs w:val="16"/>
                <w:lang w:eastAsia="es-MX"/>
              </w:rPr>
              <w:t xml:space="preserve">spectro </w:t>
            </w:r>
            <w:r w:rsidR="00386129">
              <w:rPr>
                <w:rFonts w:ascii="ITC Avant Garde" w:eastAsia="Times New Roman" w:hAnsi="ITC Avant Garde"/>
                <w:i/>
                <w:color w:val="000000"/>
                <w:sz w:val="14"/>
                <w:szCs w:val="16"/>
                <w:lang w:eastAsia="es-MX"/>
              </w:rPr>
              <w:t>R</w:t>
            </w:r>
            <w:r w:rsidR="00386129" w:rsidRPr="00386129">
              <w:rPr>
                <w:rFonts w:ascii="ITC Avant Garde" w:eastAsia="Times New Roman" w:hAnsi="ITC Avant Garde"/>
                <w:i/>
                <w:color w:val="000000"/>
                <w:sz w:val="14"/>
                <w:szCs w:val="16"/>
                <w:lang w:eastAsia="es-MX"/>
              </w:rPr>
              <w:t>adioeléctrico</w:t>
            </w:r>
            <w:r w:rsidR="00386129" w:rsidRPr="00F04B09" w:rsidDel="00386129">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i/>
                <w:color w:val="000000"/>
                <w:sz w:val="14"/>
                <w:szCs w:val="16"/>
                <w:lang w:eastAsia="es-MX"/>
              </w:rPr>
              <w:t>)</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587F06D"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940634">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940634">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940634">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00C1F93A"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940634">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940634">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5F34" w14:textId="77777777" w:rsidR="0001766F" w:rsidRDefault="0001766F" w:rsidP="0038199D">
      <w:pPr>
        <w:spacing w:after="0" w:line="240" w:lineRule="auto"/>
      </w:pPr>
      <w:r>
        <w:separator/>
      </w:r>
    </w:p>
  </w:endnote>
  <w:endnote w:type="continuationSeparator" w:id="0">
    <w:p w14:paraId="0388D900" w14:textId="77777777" w:rsidR="0001766F" w:rsidRDefault="0001766F"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85548" w14:textId="77777777" w:rsidR="0001766F" w:rsidRDefault="0001766F" w:rsidP="0038199D">
      <w:pPr>
        <w:spacing w:after="0" w:line="240" w:lineRule="auto"/>
      </w:pPr>
      <w:r>
        <w:separator/>
      </w:r>
    </w:p>
  </w:footnote>
  <w:footnote w:type="continuationSeparator" w:id="0">
    <w:p w14:paraId="268944D9" w14:textId="77777777" w:rsidR="0001766F" w:rsidRDefault="0001766F"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748BC9FD"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F6043E">
      <w:rPr>
        <w:rFonts w:ascii="ITC Avant Garde" w:hAnsi="ITC Avant Garde"/>
        <w:b/>
        <w:sz w:val="20"/>
      </w:rPr>
      <w:t>“</w:t>
    </w:r>
    <w:r w:rsidR="00D672B1" w:rsidRPr="00D672B1">
      <w:rPr>
        <w:rFonts w:ascii="ITC Avant Garde" w:hAnsi="ITC Avant Garde"/>
        <w:b/>
        <w:sz w:val="20"/>
      </w:rPr>
      <w:t>A</w:t>
    </w:r>
    <w:r w:rsidR="00F73B43">
      <w:rPr>
        <w:rFonts w:ascii="ITC Avant Garde" w:hAnsi="ITC Avant Garde"/>
        <w:b/>
        <w:sz w:val="20"/>
      </w:rPr>
      <w:t>nteproyecto de</w:t>
    </w:r>
    <w:r w:rsidR="00F6043E">
      <w:rPr>
        <w:rFonts w:ascii="ITC Avant Garde" w:hAnsi="ITC Avant Garde"/>
        <w:b/>
        <w:sz w:val="20"/>
      </w:rPr>
      <w:t xml:space="preserve"> </w:t>
    </w:r>
    <w:r w:rsidR="00F73B43">
      <w:rPr>
        <w:rFonts w:ascii="ITC Avant Garde" w:hAnsi="ITC Avant Garde"/>
        <w:b/>
        <w:sz w:val="20"/>
      </w:rPr>
      <w:t>Acuerdo</w:t>
    </w:r>
    <w:r w:rsidR="00D672B1" w:rsidRPr="00D672B1">
      <w:rPr>
        <w:rFonts w:ascii="ITC Avant Garde" w:hAnsi="ITC Avant Garde"/>
        <w:b/>
        <w:sz w:val="20"/>
      </w:rPr>
      <w:t xml:space="preserve">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1766F"/>
    <w:rsid w:val="000253EE"/>
    <w:rsid w:val="00025623"/>
    <w:rsid w:val="00026723"/>
    <w:rsid w:val="00030E6E"/>
    <w:rsid w:val="00031941"/>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65D60"/>
    <w:rsid w:val="00170916"/>
    <w:rsid w:val="00174196"/>
    <w:rsid w:val="00194B87"/>
    <w:rsid w:val="001E0388"/>
    <w:rsid w:val="0023379A"/>
    <w:rsid w:val="002374F4"/>
    <w:rsid w:val="00255588"/>
    <w:rsid w:val="002654BE"/>
    <w:rsid w:val="00266BE0"/>
    <w:rsid w:val="002771ED"/>
    <w:rsid w:val="00297840"/>
    <w:rsid w:val="002A7355"/>
    <w:rsid w:val="002B4BB2"/>
    <w:rsid w:val="002C0E40"/>
    <w:rsid w:val="002D34FE"/>
    <w:rsid w:val="002D6887"/>
    <w:rsid w:val="00301F89"/>
    <w:rsid w:val="0030512F"/>
    <w:rsid w:val="00307092"/>
    <w:rsid w:val="00316DC1"/>
    <w:rsid w:val="00323F3A"/>
    <w:rsid w:val="003613DA"/>
    <w:rsid w:val="0038199D"/>
    <w:rsid w:val="00381D5B"/>
    <w:rsid w:val="00386129"/>
    <w:rsid w:val="00387C5F"/>
    <w:rsid w:val="003A7417"/>
    <w:rsid w:val="003B524B"/>
    <w:rsid w:val="003C038E"/>
    <w:rsid w:val="003D0DF8"/>
    <w:rsid w:val="003D1CAC"/>
    <w:rsid w:val="003D2703"/>
    <w:rsid w:val="003D38F8"/>
    <w:rsid w:val="0041087B"/>
    <w:rsid w:val="00410F8E"/>
    <w:rsid w:val="004141B1"/>
    <w:rsid w:val="004307F7"/>
    <w:rsid w:val="004317BC"/>
    <w:rsid w:val="00435168"/>
    <w:rsid w:val="00450FCD"/>
    <w:rsid w:val="00460AC2"/>
    <w:rsid w:val="00461A06"/>
    <w:rsid w:val="00464849"/>
    <w:rsid w:val="00464AE1"/>
    <w:rsid w:val="00465BDA"/>
    <w:rsid w:val="00466658"/>
    <w:rsid w:val="00483D36"/>
    <w:rsid w:val="004970C4"/>
    <w:rsid w:val="004A1FE1"/>
    <w:rsid w:val="004B053F"/>
    <w:rsid w:val="004B0CA6"/>
    <w:rsid w:val="004C3A69"/>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32C7"/>
    <w:rsid w:val="0058551F"/>
    <w:rsid w:val="00585B97"/>
    <w:rsid w:val="005A653C"/>
    <w:rsid w:val="005B3E9A"/>
    <w:rsid w:val="005C0435"/>
    <w:rsid w:val="005C06DB"/>
    <w:rsid w:val="005C072E"/>
    <w:rsid w:val="005C5B62"/>
    <w:rsid w:val="005D1DEE"/>
    <w:rsid w:val="005F0265"/>
    <w:rsid w:val="00600DB8"/>
    <w:rsid w:val="00603437"/>
    <w:rsid w:val="00603B41"/>
    <w:rsid w:val="00605BD9"/>
    <w:rsid w:val="00623761"/>
    <w:rsid w:val="006601AF"/>
    <w:rsid w:val="00670385"/>
    <w:rsid w:val="006961E3"/>
    <w:rsid w:val="006A6D93"/>
    <w:rsid w:val="006B0B12"/>
    <w:rsid w:val="006F5989"/>
    <w:rsid w:val="00703850"/>
    <w:rsid w:val="00735A5F"/>
    <w:rsid w:val="00735DEE"/>
    <w:rsid w:val="00746276"/>
    <w:rsid w:val="00753B21"/>
    <w:rsid w:val="007628D0"/>
    <w:rsid w:val="00762996"/>
    <w:rsid w:val="007644BA"/>
    <w:rsid w:val="0077357C"/>
    <w:rsid w:val="00775F83"/>
    <w:rsid w:val="007843CF"/>
    <w:rsid w:val="007844AE"/>
    <w:rsid w:val="007978CB"/>
    <w:rsid w:val="007A4949"/>
    <w:rsid w:val="007A6974"/>
    <w:rsid w:val="007A752F"/>
    <w:rsid w:val="007D4A23"/>
    <w:rsid w:val="007E04FB"/>
    <w:rsid w:val="00800852"/>
    <w:rsid w:val="00804BB7"/>
    <w:rsid w:val="008200BE"/>
    <w:rsid w:val="008279A4"/>
    <w:rsid w:val="00854FBE"/>
    <w:rsid w:val="0086154B"/>
    <w:rsid w:val="008658B5"/>
    <w:rsid w:val="00870A1B"/>
    <w:rsid w:val="008711D6"/>
    <w:rsid w:val="00873E7E"/>
    <w:rsid w:val="0087596E"/>
    <w:rsid w:val="008843FB"/>
    <w:rsid w:val="008A5565"/>
    <w:rsid w:val="008C679D"/>
    <w:rsid w:val="008D106B"/>
    <w:rsid w:val="008F2B1A"/>
    <w:rsid w:val="008F329C"/>
    <w:rsid w:val="008F40BD"/>
    <w:rsid w:val="008F60D8"/>
    <w:rsid w:val="00903C94"/>
    <w:rsid w:val="00915CEA"/>
    <w:rsid w:val="009160D3"/>
    <w:rsid w:val="00940634"/>
    <w:rsid w:val="00942344"/>
    <w:rsid w:val="009426CC"/>
    <w:rsid w:val="00975C25"/>
    <w:rsid w:val="0098284F"/>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0DC5"/>
    <w:rsid w:val="00AE778E"/>
    <w:rsid w:val="00B10B89"/>
    <w:rsid w:val="00B17D0B"/>
    <w:rsid w:val="00B20E15"/>
    <w:rsid w:val="00B533DC"/>
    <w:rsid w:val="00B72399"/>
    <w:rsid w:val="00B813C8"/>
    <w:rsid w:val="00B97BF9"/>
    <w:rsid w:val="00BB25F2"/>
    <w:rsid w:val="00BE3A25"/>
    <w:rsid w:val="00BF7F9F"/>
    <w:rsid w:val="00C35A85"/>
    <w:rsid w:val="00C41536"/>
    <w:rsid w:val="00C42DD1"/>
    <w:rsid w:val="00C474AE"/>
    <w:rsid w:val="00C53026"/>
    <w:rsid w:val="00C55D34"/>
    <w:rsid w:val="00C56B77"/>
    <w:rsid w:val="00C60ADB"/>
    <w:rsid w:val="00C63CEB"/>
    <w:rsid w:val="00C83664"/>
    <w:rsid w:val="00C84BB4"/>
    <w:rsid w:val="00C900FF"/>
    <w:rsid w:val="00CA32F5"/>
    <w:rsid w:val="00CB7035"/>
    <w:rsid w:val="00CB7780"/>
    <w:rsid w:val="00CC382A"/>
    <w:rsid w:val="00CC53F7"/>
    <w:rsid w:val="00D10F55"/>
    <w:rsid w:val="00D13998"/>
    <w:rsid w:val="00D13CA5"/>
    <w:rsid w:val="00D22B9D"/>
    <w:rsid w:val="00D334B0"/>
    <w:rsid w:val="00D472B6"/>
    <w:rsid w:val="00D47A99"/>
    <w:rsid w:val="00D50117"/>
    <w:rsid w:val="00D672B1"/>
    <w:rsid w:val="00D76089"/>
    <w:rsid w:val="00D84C43"/>
    <w:rsid w:val="00D94F82"/>
    <w:rsid w:val="00DB357E"/>
    <w:rsid w:val="00DB4EC6"/>
    <w:rsid w:val="00DC3C6C"/>
    <w:rsid w:val="00DD2558"/>
    <w:rsid w:val="00DF154A"/>
    <w:rsid w:val="00DF5B3F"/>
    <w:rsid w:val="00DF5CB5"/>
    <w:rsid w:val="00E0525B"/>
    <w:rsid w:val="00E17493"/>
    <w:rsid w:val="00E44666"/>
    <w:rsid w:val="00E53BFF"/>
    <w:rsid w:val="00E64007"/>
    <w:rsid w:val="00E71AFE"/>
    <w:rsid w:val="00E913E4"/>
    <w:rsid w:val="00E944B2"/>
    <w:rsid w:val="00EA6ACC"/>
    <w:rsid w:val="00EB1D99"/>
    <w:rsid w:val="00EC144A"/>
    <w:rsid w:val="00EC32C5"/>
    <w:rsid w:val="00ED150C"/>
    <w:rsid w:val="00F011A2"/>
    <w:rsid w:val="00F12126"/>
    <w:rsid w:val="00F212B2"/>
    <w:rsid w:val="00F362D7"/>
    <w:rsid w:val="00F36A5D"/>
    <w:rsid w:val="00F45EB4"/>
    <w:rsid w:val="00F6043E"/>
    <w:rsid w:val="00F73B43"/>
    <w:rsid w:val="00F812E3"/>
    <w:rsid w:val="00F87AEC"/>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DB4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lia.castro@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imizacionespectro@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win.montesdeoca@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203800"/>
    <w:rsid w:val="003D1F9B"/>
    <w:rsid w:val="00637844"/>
    <w:rsid w:val="006B7547"/>
    <w:rsid w:val="007F13C6"/>
    <w:rsid w:val="0085756F"/>
    <w:rsid w:val="008A2ED8"/>
    <w:rsid w:val="00F06B3C"/>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1c989bfd36a5871501715a02d92e4436">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4F3D7-20D9-4836-B245-938D89D3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6E26FF-6E86-4ED3-A15A-8F00FFD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2734</Words>
  <Characters>15039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17738</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7</cp:revision>
  <dcterms:created xsi:type="dcterms:W3CDTF">2023-11-08T18:51:00Z</dcterms:created>
  <dcterms:modified xsi:type="dcterms:W3CDTF">2023-11-08T20:45:00Z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ies>
</file>