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6605B" w14:textId="77777777" w:rsidR="002936C4" w:rsidRDefault="00737FCB" w:rsidP="002936C4">
      <w:pPr>
        <w:spacing w:before="240" w:after="120" w:line="276" w:lineRule="auto"/>
        <w:jc w:val="both"/>
        <w:rPr>
          <w:rFonts w:ascii="ITC Avant Garde" w:hAnsi="ITC Avant Garde"/>
          <w:b/>
        </w:rPr>
      </w:pPr>
      <w:bookmarkStart w:id="0" w:name="_GoBack"/>
      <w:bookmarkEnd w:id="0"/>
      <w:r w:rsidRPr="001A2D33">
        <w:rPr>
          <w:rFonts w:ascii="ITC Avant Garde" w:hAnsi="ITC Avant Garde"/>
          <w:b/>
        </w:rPr>
        <w:t xml:space="preserve">RESPUESTAS GENERALES </w:t>
      </w:r>
      <w:r w:rsidR="00C233C4">
        <w:rPr>
          <w:rFonts w:ascii="ITC Avant Garde" w:hAnsi="ITC Avant Garde"/>
          <w:b/>
        </w:rPr>
        <w:t xml:space="preserve">DEL INSTITUTO FEDERAL DE TELECOMUNICACIONES </w:t>
      </w:r>
      <w:r w:rsidRPr="001A2D33">
        <w:rPr>
          <w:rFonts w:ascii="ITC Avant Garde" w:hAnsi="ITC Avant Garde"/>
          <w:b/>
        </w:rPr>
        <w:t xml:space="preserve">A LOS COMENTARIOS, OPINIONES Y MANIFESTACIONES RECIBIDAS </w:t>
      </w:r>
      <w:r w:rsidR="002936C4">
        <w:rPr>
          <w:rFonts w:ascii="ITC Avant Garde" w:hAnsi="ITC Avant Garde"/>
          <w:b/>
        </w:rPr>
        <w:t>DURANTE LA CONSULTA PÚBLICA DEL:</w:t>
      </w:r>
    </w:p>
    <w:p w14:paraId="553B6CEE" w14:textId="1F9A138A" w:rsidR="002936C4" w:rsidRDefault="00800550" w:rsidP="002936C4">
      <w:pPr>
        <w:spacing w:before="240" w:after="120" w:line="276" w:lineRule="auto"/>
        <w:jc w:val="both"/>
        <w:rPr>
          <w:rFonts w:ascii="ITC Avant Garde" w:hAnsi="ITC Avant Garde"/>
        </w:rPr>
      </w:pPr>
      <w:r w:rsidRPr="00800550">
        <w:rPr>
          <w:rFonts w:ascii="ITC Avant Garde" w:hAnsi="ITC Avant Garde"/>
          <w:b/>
        </w:rPr>
        <w:t xml:space="preserve">Anteproyecto de modificación a los Lineamientos para la entrega, inscripción y consulta de información para la conformación del Sistema Nacional de Información de Infraestructura </w:t>
      </w:r>
      <w:r w:rsidR="008521EC" w:rsidRPr="008521EC">
        <w:rPr>
          <w:rFonts w:ascii="ITC Avant Garde" w:hAnsi="ITC Avant Garde"/>
        </w:rPr>
        <w:t xml:space="preserve">(en lo sucesivo, los </w:t>
      </w:r>
      <w:r w:rsidR="00F67DC9">
        <w:rPr>
          <w:rFonts w:ascii="ITC Avant Garde" w:hAnsi="ITC Avant Garde"/>
        </w:rPr>
        <w:t>“</w:t>
      </w:r>
      <w:r w:rsidR="008521EC" w:rsidRPr="008521EC">
        <w:rPr>
          <w:rFonts w:ascii="ITC Avant Garde" w:hAnsi="ITC Avant Garde"/>
        </w:rPr>
        <w:t>Lineamientos</w:t>
      </w:r>
      <w:r w:rsidR="00042704">
        <w:rPr>
          <w:rFonts w:ascii="ITC Avant Garde" w:hAnsi="ITC Avant Garde"/>
        </w:rPr>
        <w:t>”</w:t>
      </w:r>
      <w:r w:rsidR="008521EC" w:rsidRPr="008521EC">
        <w:rPr>
          <w:rFonts w:ascii="ITC Avant Garde" w:hAnsi="ITC Avant Garde"/>
        </w:rPr>
        <w:t>)</w:t>
      </w:r>
      <w:r w:rsidR="009A6575">
        <w:rPr>
          <w:rFonts w:ascii="ITC Avant Garde" w:hAnsi="ITC Avant Garde"/>
        </w:rPr>
        <w:t>.</w:t>
      </w:r>
    </w:p>
    <w:p w14:paraId="45F12E85" w14:textId="77777777" w:rsidR="00430AE1" w:rsidRDefault="00430AE1" w:rsidP="002936C4">
      <w:pPr>
        <w:spacing w:before="240" w:after="120" w:line="276" w:lineRule="auto"/>
        <w:jc w:val="both"/>
        <w:rPr>
          <w:rFonts w:ascii="ITC Avant Garde" w:hAnsi="ITC Avant Garde"/>
          <w:b/>
        </w:rPr>
      </w:pPr>
      <w:r w:rsidRPr="00430AE1">
        <w:rPr>
          <w:rFonts w:ascii="ITC Avant Garde" w:hAnsi="ITC Avant Garde"/>
          <w:b/>
        </w:rPr>
        <w:t>I.</w:t>
      </w:r>
      <w:r w:rsidRPr="00430AE1">
        <w:rPr>
          <w:rFonts w:ascii="ITC Avant Garde" w:hAnsi="ITC Avant Garde"/>
          <w:b/>
        </w:rPr>
        <w:tab/>
        <w:t>Fecha de elaboración</w:t>
      </w:r>
      <w:r>
        <w:rPr>
          <w:rFonts w:ascii="ITC Avant Garde" w:hAnsi="ITC Avant Garde"/>
          <w:b/>
        </w:rPr>
        <w:t>.</w:t>
      </w:r>
    </w:p>
    <w:p w14:paraId="74EC64C7" w14:textId="0FA3C3BE" w:rsidR="00430AE1" w:rsidRDefault="00B8257A" w:rsidP="002936C4">
      <w:pPr>
        <w:spacing w:before="240" w:after="120" w:line="276" w:lineRule="auto"/>
        <w:jc w:val="both"/>
        <w:rPr>
          <w:rFonts w:ascii="ITC Avant Garde" w:hAnsi="ITC Avant Garde"/>
        </w:rPr>
      </w:pPr>
      <w:r>
        <w:rPr>
          <w:rFonts w:ascii="ITC Avant Garde" w:hAnsi="ITC Avant Garde"/>
        </w:rPr>
        <w:t>06</w:t>
      </w:r>
      <w:r w:rsidR="00430AE1">
        <w:rPr>
          <w:rFonts w:ascii="ITC Avant Garde" w:hAnsi="ITC Avant Garde"/>
        </w:rPr>
        <w:t xml:space="preserve"> de </w:t>
      </w:r>
      <w:r>
        <w:rPr>
          <w:rFonts w:ascii="ITC Avant Garde" w:hAnsi="ITC Avant Garde"/>
        </w:rPr>
        <w:t>febrero</w:t>
      </w:r>
      <w:r w:rsidR="00430AE1">
        <w:rPr>
          <w:rFonts w:ascii="ITC Avant Garde" w:hAnsi="ITC Avant Garde"/>
        </w:rPr>
        <w:t xml:space="preserve"> de 2023.</w:t>
      </w:r>
    </w:p>
    <w:p w14:paraId="19747192" w14:textId="77777777" w:rsidR="00430AE1" w:rsidRDefault="00430AE1" w:rsidP="002936C4">
      <w:pPr>
        <w:spacing w:before="240" w:after="120" w:line="276" w:lineRule="auto"/>
        <w:jc w:val="both"/>
        <w:rPr>
          <w:rFonts w:ascii="ITC Avant Garde" w:hAnsi="ITC Avant Garde"/>
          <w:b/>
        </w:rPr>
      </w:pPr>
      <w:r w:rsidRPr="00430AE1">
        <w:rPr>
          <w:rFonts w:ascii="ITC Avant Garde" w:hAnsi="ITC Avant Garde"/>
          <w:b/>
        </w:rPr>
        <w:t xml:space="preserve">II. </w:t>
      </w:r>
      <w:r w:rsidRPr="00430AE1">
        <w:rPr>
          <w:rFonts w:ascii="ITC Avant Garde" w:hAnsi="ITC Avant Garde"/>
          <w:b/>
        </w:rPr>
        <w:tab/>
        <w:t>Unidad responsable de la Consulta Pública</w:t>
      </w:r>
      <w:r>
        <w:rPr>
          <w:rFonts w:ascii="ITC Avant Garde" w:hAnsi="ITC Avant Garde"/>
          <w:b/>
        </w:rPr>
        <w:t>.</w:t>
      </w:r>
    </w:p>
    <w:p w14:paraId="77CBEF7F" w14:textId="2335B17A" w:rsidR="00430AE1" w:rsidRDefault="00430AE1" w:rsidP="002936C4">
      <w:pPr>
        <w:spacing w:before="240" w:after="120" w:line="276" w:lineRule="auto"/>
        <w:jc w:val="both"/>
        <w:rPr>
          <w:rFonts w:ascii="ITC Avant Garde" w:hAnsi="ITC Avant Garde"/>
        </w:rPr>
      </w:pPr>
      <w:r>
        <w:rPr>
          <w:rFonts w:ascii="ITC Avant Garde" w:hAnsi="ITC Avant Garde"/>
        </w:rPr>
        <w:t>Unidad de Concesiones y Servicios.</w:t>
      </w:r>
    </w:p>
    <w:p w14:paraId="1311C5D9" w14:textId="6940EC39" w:rsidR="006825D5" w:rsidRPr="006825D5" w:rsidRDefault="006825D5" w:rsidP="006825D5">
      <w:pPr>
        <w:spacing w:before="240" w:after="120" w:line="276" w:lineRule="auto"/>
        <w:jc w:val="both"/>
        <w:rPr>
          <w:rFonts w:ascii="ITC Avant Garde" w:hAnsi="ITC Avant Garde"/>
          <w:b/>
        </w:rPr>
      </w:pPr>
      <w:r w:rsidRPr="006825D5">
        <w:rPr>
          <w:rFonts w:ascii="ITC Avant Garde" w:hAnsi="ITC Avant Garde"/>
          <w:b/>
        </w:rPr>
        <w:t>I</w:t>
      </w:r>
      <w:r w:rsidR="00430AE1">
        <w:rPr>
          <w:rFonts w:ascii="ITC Avant Garde" w:hAnsi="ITC Avant Garde"/>
          <w:b/>
        </w:rPr>
        <w:t>II</w:t>
      </w:r>
      <w:r w:rsidRPr="006825D5">
        <w:rPr>
          <w:rFonts w:ascii="ITC Avant Garde" w:hAnsi="ITC Avant Garde"/>
          <w:b/>
        </w:rPr>
        <w:t>.</w:t>
      </w:r>
      <w:r w:rsidRPr="006825D5">
        <w:rPr>
          <w:rFonts w:ascii="ITC Avant Garde" w:hAnsi="ITC Avant Garde"/>
          <w:b/>
        </w:rPr>
        <w:tab/>
        <w:t>Descripción y objetivos de la Consulta Pública</w:t>
      </w:r>
    </w:p>
    <w:p w14:paraId="7C7104BD" w14:textId="1DB2C507" w:rsidR="00534CCB" w:rsidRDefault="006825D5" w:rsidP="006825D5">
      <w:pPr>
        <w:spacing w:before="240" w:after="120" w:line="276" w:lineRule="auto"/>
        <w:jc w:val="both"/>
        <w:rPr>
          <w:rFonts w:ascii="ITC Avant Garde" w:hAnsi="ITC Avant Garde"/>
        </w:rPr>
      </w:pPr>
      <w:r w:rsidRPr="006825D5">
        <w:rPr>
          <w:rFonts w:ascii="ITC Avant Garde" w:hAnsi="ITC Avant Garde"/>
        </w:rPr>
        <w:t>El 21 de junio de 2023, el Pleno del Instituto Federal de Telecomunicaciones (en lo sucesivo, el “Instituto”) mediante acuerdo P/IFT/210623/267 determinó someter a Consulta Pública el Anteproyecto, por un plazo de 20 (veinte) días hábiles. Al respecto, el Pleno acordó:</w:t>
      </w:r>
    </w:p>
    <w:p w14:paraId="3EBEE786" w14:textId="3C94B762" w:rsidR="006825D5" w:rsidRDefault="006825D5" w:rsidP="00D078B0">
      <w:pPr>
        <w:spacing w:before="240" w:after="120" w:line="276" w:lineRule="auto"/>
        <w:ind w:left="708"/>
        <w:jc w:val="both"/>
        <w:rPr>
          <w:rFonts w:ascii="ITC Avant Garde" w:hAnsi="ITC Avant Garde"/>
        </w:rPr>
      </w:pPr>
      <w:r w:rsidRPr="006825D5">
        <w:rPr>
          <w:rFonts w:ascii="ITC Avant Garde" w:hAnsi="ITC Avant Garde"/>
        </w:rPr>
        <w:t xml:space="preserve">Primero. - </w:t>
      </w:r>
      <w:r w:rsidR="00D078B0" w:rsidRPr="00D078B0">
        <w:rPr>
          <w:rFonts w:ascii="ITC Avant Garde" w:hAnsi="ITC Avant Garde"/>
        </w:rPr>
        <w:t>Se determina someter a Consulta Pública, por un plazo de 20 (veinte) días hábiles</w:t>
      </w:r>
      <w:r w:rsidR="00FF61A6">
        <w:rPr>
          <w:rFonts w:ascii="ITC Avant Garde" w:hAnsi="ITC Avant Garde"/>
        </w:rPr>
        <w:t xml:space="preserve"> </w:t>
      </w:r>
      <w:r w:rsidR="00D078B0" w:rsidRPr="00D078B0">
        <w:rPr>
          <w:rFonts w:ascii="ITC Avant Garde" w:hAnsi="ITC Avant Garde"/>
        </w:rPr>
        <w:t>contados a partir del día hábil siguiente al de su publicación en el portal de Internet del Instituto Federal de Telecomunicaciones, el Anteproyecto de Acuerdo mediante el cual el Pleno del Instituto Federal de Telecomunicaciones modifica los Lineamientos para la entrega, inscripción y consulta de información para la conformación del Sistema Nacional de Información de Infraestructura.</w:t>
      </w:r>
      <w:bookmarkStart w:id="1" w:name="_Hlk153445696"/>
    </w:p>
    <w:bookmarkEnd w:id="1"/>
    <w:p w14:paraId="428CDD73" w14:textId="38D81F7E" w:rsidR="006825D5" w:rsidRPr="006825D5" w:rsidRDefault="006825D5" w:rsidP="00FF61A6">
      <w:pPr>
        <w:spacing w:before="240" w:after="120" w:line="276" w:lineRule="auto"/>
        <w:ind w:left="708"/>
        <w:jc w:val="both"/>
        <w:rPr>
          <w:rFonts w:ascii="ITC Avant Garde" w:hAnsi="ITC Avant Garde"/>
        </w:rPr>
      </w:pPr>
      <w:r w:rsidRPr="006825D5">
        <w:rPr>
          <w:rFonts w:ascii="ITC Avant Garde" w:hAnsi="ITC Avant Garde"/>
        </w:rPr>
        <w:t xml:space="preserve">Segundo. - </w:t>
      </w:r>
      <w:r w:rsidR="00FF61A6" w:rsidRPr="00FF61A6">
        <w:rPr>
          <w:rFonts w:ascii="ITC Avant Garde" w:hAnsi="ITC Avant Garde"/>
        </w:rPr>
        <w:t>Se instruye a la Unidad de Concesiones y Servicios, a través de la Dirección General Adjunta del Registro Público de Telecomunicaciones, a recibir y dar la atención que corresponda a las opiniones que sean vertidas en virtud de la Consulta Pública materia del presente Acuerdo.</w:t>
      </w:r>
    </w:p>
    <w:p w14:paraId="6E3D56C9" w14:textId="04C1FE9D" w:rsidR="006825D5" w:rsidRPr="006825D5" w:rsidRDefault="006825D5" w:rsidP="00FF61A6">
      <w:pPr>
        <w:spacing w:before="240" w:after="120" w:line="276" w:lineRule="auto"/>
        <w:ind w:left="708"/>
        <w:jc w:val="both"/>
        <w:rPr>
          <w:rFonts w:ascii="ITC Avant Garde" w:hAnsi="ITC Avant Garde"/>
        </w:rPr>
      </w:pPr>
      <w:r w:rsidRPr="006825D5">
        <w:rPr>
          <w:rFonts w:ascii="ITC Avant Garde" w:hAnsi="ITC Avant Garde"/>
        </w:rPr>
        <w:t xml:space="preserve">Tercero. - </w:t>
      </w:r>
      <w:r w:rsidR="00FF61A6" w:rsidRPr="00FF61A6">
        <w:rPr>
          <w:rFonts w:ascii="ITC Avant Garde" w:hAnsi="ITC Avant Garde"/>
        </w:rPr>
        <w:t xml:space="preserve">Publíquese el presente Acuerdo y el Anteproyecto de Acuerdo mediante el cual el Pleno del Instituto Federal de Telecomunicaciones modifica los Lineamientos para la entrega, inscripción y consulta de </w:t>
      </w:r>
      <w:r w:rsidR="00FF61A6" w:rsidRPr="00FF61A6">
        <w:rPr>
          <w:rFonts w:ascii="ITC Avant Garde" w:hAnsi="ITC Avant Garde"/>
        </w:rPr>
        <w:lastRenderedPageBreak/>
        <w:t>información para la conformación del Sistema Nacional de Información de Infraestructura en el portal de Internet del Instituto Federal de Telecomunicaciones</w:t>
      </w:r>
      <w:r w:rsidR="00FF61A6">
        <w:rPr>
          <w:rFonts w:ascii="ITC Avant Garde" w:hAnsi="ITC Avant Garde"/>
        </w:rPr>
        <w:t>.</w:t>
      </w:r>
    </w:p>
    <w:p w14:paraId="4DD5FD9B" w14:textId="1EAC23E9" w:rsidR="00FF61A6" w:rsidRDefault="00FF61A6" w:rsidP="00913D85">
      <w:pPr>
        <w:spacing w:before="240" w:after="120" w:line="276" w:lineRule="auto"/>
        <w:jc w:val="both"/>
        <w:rPr>
          <w:rFonts w:ascii="ITC Avant Garde" w:hAnsi="ITC Avant Garde"/>
        </w:rPr>
      </w:pPr>
      <w:r>
        <w:rPr>
          <w:rFonts w:ascii="ITC Avant Garde" w:hAnsi="ITC Avant Garde"/>
        </w:rPr>
        <w:t xml:space="preserve">El objetivo principal del Anteproyecto de mérito es </w:t>
      </w:r>
      <w:r w:rsidRPr="006825D5">
        <w:rPr>
          <w:rFonts w:ascii="ITC Avant Garde" w:hAnsi="ITC Avant Garde"/>
        </w:rPr>
        <w:t>simplificar la entrega de la información requerida a los Sujetos Obligados, brindar mayor certeza jurídica a los regulados estableciendo fechas específicas para la entrega de información, así como facilitar la entrega de la misma, brindando mayor apertura al tipo de archivos que se recibirán, esto atendido a los avances tecnológicos que hay en el sector.</w:t>
      </w:r>
    </w:p>
    <w:p w14:paraId="63CED98D" w14:textId="38951C60" w:rsidR="0085122F" w:rsidRDefault="0012476D" w:rsidP="00913D85">
      <w:pPr>
        <w:spacing w:before="240" w:after="120" w:line="276" w:lineRule="auto"/>
        <w:jc w:val="both"/>
        <w:rPr>
          <w:rFonts w:ascii="ITC Avant Garde" w:hAnsi="ITC Avant Garde"/>
        </w:rPr>
      </w:pPr>
      <w:r>
        <w:rPr>
          <w:rFonts w:ascii="ITC Avant Garde" w:hAnsi="ITC Avant Garde"/>
        </w:rPr>
        <w:t xml:space="preserve">Del </w:t>
      </w:r>
      <w:r w:rsidR="009A6575">
        <w:rPr>
          <w:rFonts w:ascii="ITC Avant Garde" w:hAnsi="ITC Avant Garde"/>
        </w:rPr>
        <w:t>27</w:t>
      </w:r>
      <w:r w:rsidR="0085122F">
        <w:rPr>
          <w:rFonts w:ascii="ITC Avant Garde" w:hAnsi="ITC Avant Garde"/>
        </w:rPr>
        <w:t xml:space="preserve"> de </w:t>
      </w:r>
      <w:r w:rsidR="009A6575">
        <w:rPr>
          <w:rFonts w:ascii="ITC Avant Garde" w:hAnsi="ITC Avant Garde"/>
        </w:rPr>
        <w:t>octubre</w:t>
      </w:r>
      <w:r w:rsidR="0085122F">
        <w:rPr>
          <w:rFonts w:ascii="ITC Avant Garde" w:hAnsi="ITC Avant Garde"/>
        </w:rPr>
        <w:t xml:space="preserve"> al </w:t>
      </w:r>
      <w:r w:rsidR="009A6575">
        <w:rPr>
          <w:rFonts w:ascii="ITC Avant Garde" w:hAnsi="ITC Avant Garde"/>
        </w:rPr>
        <w:t>24</w:t>
      </w:r>
      <w:r w:rsidR="0085122F">
        <w:rPr>
          <w:rFonts w:ascii="ITC Avant Garde" w:hAnsi="ITC Avant Garde"/>
        </w:rPr>
        <w:t xml:space="preserve"> de </w:t>
      </w:r>
      <w:r w:rsidR="009A6575">
        <w:rPr>
          <w:rFonts w:ascii="ITC Avant Garde" w:hAnsi="ITC Avant Garde"/>
        </w:rPr>
        <w:t>noviembre</w:t>
      </w:r>
      <w:r w:rsidR="0085122F">
        <w:rPr>
          <w:rFonts w:ascii="ITC Avant Garde" w:hAnsi="ITC Avant Garde"/>
        </w:rPr>
        <w:t xml:space="preserve"> de 20</w:t>
      </w:r>
      <w:r w:rsidR="009A6575">
        <w:rPr>
          <w:rFonts w:ascii="ITC Avant Garde" w:hAnsi="ITC Avant Garde"/>
        </w:rPr>
        <w:t>23</w:t>
      </w:r>
      <w:r w:rsidR="009D1991">
        <w:rPr>
          <w:rFonts w:ascii="ITC Avant Garde" w:hAnsi="ITC Avant Garde"/>
        </w:rPr>
        <w:t>,</w:t>
      </w:r>
      <w:r w:rsidR="0085122F">
        <w:rPr>
          <w:rFonts w:ascii="ITC Avant Garde" w:hAnsi="ITC Avant Garde"/>
        </w:rPr>
        <w:t xml:space="preserve"> se realizó la consulta pública del Anteproyecto antes señalado</w:t>
      </w:r>
      <w:r w:rsidR="00C04EF2">
        <w:rPr>
          <w:rFonts w:ascii="ITC Avant Garde" w:hAnsi="ITC Avant Garde"/>
        </w:rPr>
        <w:t xml:space="preserve"> a cargo de la </w:t>
      </w:r>
      <w:r w:rsidR="00C04EF2" w:rsidRPr="00C04EF2">
        <w:rPr>
          <w:rFonts w:ascii="ITC Avant Garde" w:hAnsi="ITC Avant Garde"/>
          <w:b/>
        </w:rPr>
        <w:t>Unidad de Concesiones y Servicios</w:t>
      </w:r>
      <w:r w:rsidR="0085122F">
        <w:rPr>
          <w:rFonts w:ascii="ITC Avant Garde" w:hAnsi="ITC Avant Garde"/>
        </w:rPr>
        <w:t>.</w:t>
      </w:r>
    </w:p>
    <w:p w14:paraId="117CD011" w14:textId="77777777" w:rsidR="00DC05AE" w:rsidRDefault="009702F1" w:rsidP="00913D85">
      <w:pPr>
        <w:spacing w:before="240" w:after="120" w:line="276" w:lineRule="auto"/>
        <w:jc w:val="both"/>
        <w:rPr>
          <w:rFonts w:ascii="ITC Avant Garde" w:hAnsi="ITC Avant Garde"/>
        </w:rPr>
      </w:pPr>
      <w:r>
        <w:rPr>
          <w:rFonts w:ascii="ITC Avant Garde" w:hAnsi="ITC Avant Garde"/>
        </w:rPr>
        <w:t>Una vez concluido el plazo de consulta respectivo, se publicaron en el portal de Internet del Instituto</w:t>
      </w:r>
      <w:r w:rsidR="0085122F">
        <w:rPr>
          <w:rFonts w:ascii="ITC Avant Garde" w:hAnsi="ITC Avant Garde"/>
        </w:rPr>
        <w:t xml:space="preserve"> Federal de Telecomunicaciones (en lo sucesivo, el “Instituto”)</w:t>
      </w:r>
      <w:r>
        <w:rPr>
          <w:rFonts w:ascii="ITC Avant Garde" w:hAnsi="ITC Avant Garde"/>
        </w:rPr>
        <w:t xml:space="preserve"> todos y cada uno de los comentarios, opiniones y propuestas concretas recibidas respecto del Anteproye</w:t>
      </w:r>
      <w:r w:rsidR="002936C4">
        <w:rPr>
          <w:rFonts w:ascii="ITC Avant Garde" w:hAnsi="ITC Avant Garde"/>
        </w:rPr>
        <w:t>cto materia de la C</w:t>
      </w:r>
      <w:r>
        <w:rPr>
          <w:rFonts w:ascii="ITC Avant Garde" w:hAnsi="ITC Avant Garde"/>
        </w:rPr>
        <w:t>onsulta</w:t>
      </w:r>
      <w:r w:rsidR="002936C4">
        <w:rPr>
          <w:rFonts w:ascii="ITC Avant Garde" w:hAnsi="ITC Avant Garde"/>
        </w:rPr>
        <w:t xml:space="preserve"> Pública</w:t>
      </w:r>
      <w:r>
        <w:rPr>
          <w:rFonts w:ascii="ITC Avant Garde" w:hAnsi="ITC Avant Garde"/>
        </w:rPr>
        <w:t>.</w:t>
      </w:r>
      <w:r w:rsidR="002936C4">
        <w:rPr>
          <w:rFonts w:ascii="ITC Avant Garde" w:hAnsi="ITC Avant Garde"/>
        </w:rPr>
        <w:t xml:space="preserve"> </w:t>
      </w:r>
    </w:p>
    <w:p w14:paraId="7C46C77B" w14:textId="7BEA7973" w:rsidR="002936C4" w:rsidRDefault="00DC05AE" w:rsidP="00913D85">
      <w:pPr>
        <w:spacing w:before="240" w:after="120" w:line="276" w:lineRule="auto"/>
        <w:jc w:val="both"/>
        <w:rPr>
          <w:rFonts w:ascii="ITC Avant Garde" w:hAnsi="ITC Avant Garde"/>
        </w:rPr>
      </w:pPr>
      <w:r>
        <w:rPr>
          <w:rFonts w:ascii="ITC Avant Garde" w:hAnsi="ITC Avant Garde"/>
        </w:rPr>
        <w:t>D</w:t>
      </w:r>
      <w:r w:rsidR="002936C4">
        <w:rPr>
          <w:rFonts w:ascii="ITC Avant Garde" w:hAnsi="ITC Avant Garde"/>
        </w:rPr>
        <w:t xml:space="preserve">urante el plazo de duración de la consulta pública de mérito se recibieron </w:t>
      </w:r>
      <w:r w:rsidR="00522FAA">
        <w:rPr>
          <w:rFonts w:ascii="ITC Avant Garde" w:hAnsi="ITC Avant Garde"/>
        </w:rPr>
        <w:t>comentarios</w:t>
      </w:r>
      <w:r w:rsidR="002936C4">
        <w:rPr>
          <w:rFonts w:ascii="ITC Avant Garde" w:hAnsi="ITC Avant Garde"/>
        </w:rPr>
        <w:t xml:space="preserve"> de</w:t>
      </w:r>
      <w:r>
        <w:rPr>
          <w:rFonts w:ascii="ITC Avant Garde" w:hAnsi="ITC Avant Garde"/>
        </w:rPr>
        <w:t xml:space="preserve"> </w:t>
      </w:r>
      <w:r w:rsidR="00EF336B">
        <w:rPr>
          <w:rFonts w:ascii="ITC Avant Garde" w:hAnsi="ITC Avant Garde"/>
        </w:rPr>
        <w:t>19</w:t>
      </w:r>
      <w:r w:rsidR="00522FAA">
        <w:rPr>
          <w:rFonts w:ascii="ITC Avant Garde" w:hAnsi="ITC Avant Garde"/>
        </w:rPr>
        <w:t xml:space="preserve"> </w:t>
      </w:r>
      <w:r>
        <w:rPr>
          <w:rFonts w:ascii="ITC Avant Garde" w:hAnsi="ITC Avant Garde"/>
        </w:rPr>
        <w:t>concesionarios</w:t>
      </w:r>
      <w:r w:rsidR="000E0FCD">
        <w:rPr>
          <w:rFonts w:ascii="ITC Avant Garde" w:hAnsi="ITC Avant Garde"/>
        </w:rPr>
        <w:t xml:space="preserve"> y</w:t>
      </w:r>
      <w:r w:rsidR="009D1991">
        <w:rPr>
          <w:rFonts w:ascii="ITC Avant Garde" w:hAnsi="ITC Avant Garde"/>
        </w:rPr>
        <w:t xml:space="preserve"> de la</w:t>
      </w:r>
      <w:r w:rsidR="000E0FCD">
        <w:rPr>
          <w:rFonts w:ascii="ITC Avant Garde" w:hAnsi="ITC Avant Garde"/>
        </w:rPr>
        <w:t xml:space="preserve"> </w:t>
      </w:r>
      <w:r w:rsidR="009D1991" w:rsidRPr="009D1991">
        <w:rPr>
          <w:rFonts w:ascii="ITC Avant Garde" w:hAnsi="ITC Avant Garde"/>
        </w:rPr>
        <w:t>Cámara Nacional de la Industria Electrónica de Telecomunicaciones y Tecnologías de la Información</w:t>
      </w:r>
      <w:r w:rsidR="009D1991">
        <w:rPr>
          <w:rFonts w:ascii="ITC Avant Garde" w:hAnsi="ITC Avant Garde"/>
        </w:rPr>
        <w:t xml:space="preserve"> (</w:t>
      </w:r>
      <w:r w:rsidR="000E0FCD">
        <w:rPr>
          <w:rFonts w:ascii="ITC Avant Garde" w:hAnsi="ITC Avant Garde"/>
        </w:rPr>
        <w:t>CANIETI</w:t>
      </w:r>
      <w:r w:rsidR="009D1991">
        <w:rPr>
          <w:rFonts w:ascii="ITC Avant Garde" w:hAnsi="ITC Avant Garde"/>
        </w:rPr>
        <w:t>)</w:t>
      </w:r>
      <w:r w:rsidR="002936C4">
        <w:rPr>
          <w:rFonts w:ascii="ITC Avant Garde" w:hAnsi="ITC Avant Garde"/>
        </w:rPr>
        <w:t xml:space="preserve">, en la forma de </w:t>
      </w:r>
      <w:r w:rsidR="000E0FCD">
        <w:rPr>
          <w:rFonts w:ascii="ITC Avant Garde" w:hAnsi="ITC Avant Garde"/>
        </w:rPr>
        <w:t>10</w:t>
      </w:r>
      <w:r w:rsidR="002936C4">
        <w:rPr>
          <w:rFonts w:ascii="ITC Avant Garde" w:hAnsi="ITC Avant Garde"/>
        </w:rPr>
        <w:t xml:space="preserve"> participaciones:</w:t>
      </w:r>
    </w:p>
    <w:tbl>
      <w:tblPr>
        <w:tblStyle w:val="Tablaconcuadrcula"/>
        <w:tblW w:w="0" w:type="auto"/>
        <w:tblLook w:val="04A0" w:firstRow="1" w:lastRow="0" w:firstColumn="1" w:lastColumn="0" w:noHBand="0" w:noVBand="1"/>
      </w:tblPr>
      <w:tblGrid>
        <w:gridCol w:w="3681"/>
        <w:gridCol w:w="5147"/>
      </w:tblGrid>
      <w:tr w:rsidR="00522FAA" w:rsidRPr="00522FAA" w14:paraId="28F37BA2" w14:textId="77777777" w:rsidTr="00DA3052">
        <w:trPr>
          <w:tblHeader/>
        </w:trPr>
        <w:tc>
          <w:tcPr>
            <w:tcW w:w="3681" w:type="dxa"/>
            <w:shd w:val="clear" w:color="auto" w:fill="A8D08D" w:themeFill="accent6" w:themeFillTint="99"/>
          </w:tcPr>
          <w:p w14:paraId="425FB970" w14:textId="77777777" w:rsidR="00522FAA" w:rsidRPr="00522FAA" w:rsidRDefault="00522FAA" w:rsidP="00134406">
            <w:pPr>
              <w:spacing w:before="240" w:after="120" w:line="276" w:lineRule="auto"/>
              <w:ind w:left="454" w:hanging="454"/>
              <w:jc w:val="center"/>
              <w:rPr>
                <w:rFonts w:ascii="ITC Avant Garde" w:hAnsi="ITC Avant Garde"/>
                <w:b/>
                <w:sz w:val="20"/>
              </w:rPr>
            </w:pPr>
            <w:r w:rsidRPr="00522FAA">
              <w:rPr>
                <w:rFonts w:ascii="ITC Avant Garde" w:hAnsi="ITC Avant Garde"/>
                <w:b/>
                <w:sz w:val="20"/>
              </w:rPr>
              <w:t>PARTICIPACIÓN</w:t>
            </w:r>
          </w:p>
        </w:tc>
        <w:tc>
          <w:tcPr>
            <w:tcW w:w="5147" w:type="dxa"/>
            <w:shd w:val="clear" w:color="auto" w:fill="A8D08D" w:themeFill="accent6" w:themeFillTint="99"/>
          </w:tcPr>
          <w:p w14:paraId="6D59CBFC" w14:textId="77777777" w:rsidR="00522FAA" w:rsidRPr="00522FAA" w:rsidRDefault="00522FAA" w:rsidP="00522FAA">
            <w:pPr>
              <w:spacing w:before="240" w:after="120" w:line="276" w:lineRule="auto"/>
              <w:ind w:left="459" w:hanging="425"/>
              <w:jc w:val="center"/>
              <w:rPr>
                <w:rFonts w:ascii="ITC Avant Garde" w:hAnsi="ITC Avant Garde"/>
                <w:b/>
                <w:sz w:val="20"/>
              </w:rPr>
            </w:pPr>
            <w:r w:rsidRPr="00522FAA">
              <w:rPr>
                <w:rFonts w:ascii="ITC Avant Garde" w:hAnsi="ITC Avant Garde"/>
                <w:b/>
                <w:sz w:val="20"/>
              </w:rPr>
              <w:t>CONCESIONARIO</w:t>
            </w:r>
          </w:p>
        </w:tc>
      </w:tr>
      <w:tr w:rsidR="00522FAA" w:rsidRPr="00522FAA" w14:paraId="6C030616" w14:textId="77777777" w:rsidTr="00DA3052">
        <w:tc>
          <w:tcPr>
            <w:tcW w:w="3681" w:type="dxa"/>
          </w:tcPr>
          <w:p w14:paraId="1FDABDB6" w14:textId="0D46C09F" w:rsidR="00522FAA" w:rsidRPr="00DA3052" w:rsidRDefault="009A6575" w:rsidP="00DA3052">
            <w:pPr>
              <w:spacing w:after="120" w:line="276" w:lineRule="auto"/>
              <w:rPr>
                <w:rFonts w:ascii="ITC Avant Garde" w:hAnsi="ITC Avant Garde"/>
                <w:sz w:val="20"/>
                <w:szCs w:val="20"/>
              </w:rPr>
            </w:pPr>
            <w:r w:rsidRPr="009A6575">
              <w:rPr>
                <w:rFonts w:ascii="ITC Avant Garde" w:hAnsi="ITC Avant Garde"/>
                <w:sz w:val="20"/>
                <w:szCs w:val="20"/>
              </w:rPr>
              <w:t>TELECOMIUNICACIONES JÚPITER, S.A. DE C.V. </w:t>
            </w:r>
          </w:p>
        </w:tc>
        <w:tc>
          <w:tcPr>
            <w:tcW w:w="5147" w:type="dxa"/>
          </w:tcPr>
          <w:p w14:paraId="25ACAA03" w14:textId="77777777" w:rsidR="00522FAA" w:rsidRPr="00EF336B" w:rsidRDefault="00E31F9F" w:rsidP="0085122F">
            <w:pPr>
              <w:pStyle w:val="Prrafodelista"/>
              <w:numPr>
                <w:ilvl w:val="0"/>
                <w:numId w:val="39"/>
              </w:numPr>
              <w:ind w:left="459" w:hanging="283"/>
              <w:rPr>
                <w:rFonts w:ascii="ITC Avant Garde" w:hAnsi="ITC Avant Garde"/>
                <w:sz w:val="20"/>
                <w:szCs w:val="20"/>
              </w:rPr>
            </w:pPr>
            <w:r w:rsidRPr="00EF336B">
              <w:rPr>
                <w:rFonts w:ascii="ITC Avant Garde" w:hAnsi="ITC Avant Garde"/>
                <w:sz w:val="20"/>
                <w:szCs w:val="20"/>
              </w:rPr>
              <w:t>El mismo</w:t>
            </w:r>
          </w:p>
        </w:tc>
      </w:tr>
      <w:tr w:rsidR="0012476D" w:rsidRPr="00522FAA" w14:paraId="23922401" w14:textId="77777777" w:rsidTr="00DA3052">
        <w:tc>
          <w:tcPr>
            <w:tcW w:w="3681" w:type="dxa"/>
          </w:tcPr>
          <w:p w14:paraId="4B0D6165" w14:textId="77777777" w:rsidR="0012476D" w:rsidRPr="00DA3052" w:rsidRDefault="0012476D" w:rsidP="00DA3052">
            <w:pPr>
              <w:spacing w:after="120" w:line="276" w:lineRule="auto"/>
              <w:rPr>
                <w:rFonts w:ascii="ITC Avant Garde" w:hAnsi="ITC Avant Garde"/>
                <w:sz w:val="20"/>
                <w:szCs w:val="20"/>
              </w:rPr>
            </w:pPr>
            <w:r w:rsidRPr="00DA3052">
              <w:rPr>
                <w:rFonts w:ascii="ITC Avant Garde" w:hAnsi="ITC Avant Garde"/>
                <w:sz w:val="20"/>
                <w:szCs w:val="20"/>
              </w:rPr>
              <w:t>Grupo AT&amp;T</w:t>
            </w:r>
          </w:p>
        </w:tc>
        <w:tc>
          <w:tcPr>
            <w:tcW w:w="5147" w:type="dxa"/>
          </w:tcPr>
          <w:p w14:paraId="5B5E2CA4" w14:textId="77777777" w:rsidR="00EF336B" w:rsidRPr="00EF336B" w:rsidRDefault="00EF336B" w:rsidP="00EF336B">
            <w:pPr>
              <w:pStyle w:val="Prrafodelista"/>
              <w:numPr>
                <w:ilvl w:val="0"/>
                <w:numId w:val="39"/>
              </w:numPr>
              <w:spacing w:after="160" w:line="259" w:lineRule="auto"/>
              <w:ind w:left="459" w:hanging="283"/>
              <w:rPr>
                <w:rFonts w:ascii="ITC Avant Garde" w:hAnsi="ITC Avant Garde"/>
                <w:sz w:val="20"/>
                <w:szCs w:val="20"/>
              </w:rPr>
            </w:pPr>
            <w:r w:rsidRPr="00EF336B">
              <w:rPr>
                <w:rFonts w:ascii="ITC Avant Garde" w:hAnsi="ITC Avant Garde"/>
                <w:sz w:val="20"/>
                <w:szCs w:val="20"/>
              </w:rPr>
              <w:t>AT&amp;T Comunicaciones Digitales, S. de R.L. de C.V.</w:t>
            </w:r>
          </w:p>
          <w:p w14:paraId="46E37E52" w14:textId="77777777" w:rsidR="00EF336B" w:rsidRPr="00EF336B" w:rsidRDefault="00EF336B" w:rsidP="00EF336B">
            <w:pPr>
              <w:pStyle w:val="Prrafodelista"/>
              <w:numPr>
                <w:ilvl w:val="0"/>
                <w:numId w:val="39"/>
              </w:numPr>
              <w:ind w:left="459" w:hanging="283"/>
              <w:rPr>
                <w:rFonts w:ascii="ITC Avant Garde" w:hAnsi="ITC Avant Garde"/>
                <w:sz w:val="20"/>
                <w:szCs w:val="20"/>
              </w:rPr>
            </w:pPr>
            <w:r w:rsidRPr="00EF336B">
              <w:rPr>
                <w:rFonts w:ascii="ITC Avant Garde" w:hAnsi="ITC Avant Garde"/>
                <w:sz w:val="20"/>
                <w:szCs w:val="20"/>
              </w:rPr>
              <w:t>AT&amp;T Comercialización Móvil, S. de R.L. de C.V.</w:t>
            </w:r>
          </w:p>
          <w:p w14:paraId="62564B43" w14:textId="77777777" w:rsidR="0012476D" w:rsidRPr="00EF336B" w:rsidRDefault="0012476D" w:rsidP="0012476D">
            <w:pPr>
              <w:pStyle w:val="Prrafodelista"/>
              <w:numPr>
                <w:ilvl w:val="0"/>
                <w:numId w:val="39"/>
              </w:numPr>
              <w:ind w:left="459" w:hanging="283"/>
              <w:rPr>
                <w:rFonts w:ascii="ITC Avant Garde" w:hAnsi="ITC Avant Garde"/>
                <w:sz w:val="20"/>
                <w:szCs w:val="20"/>
              </w:rPr>
            </w:pPr>
            <w:r w:rsidRPr="00EF336B">
              <w:rPr>
                <w:rFonts w:ascii="ITC Avant Garde" w:hAnsi="ITC Avant Garde"/>
                <w:sz w:val="20"/>
                <w:szCs w:val="20"/>
              </w:rPr>
              <w:t>Grupo AT&amp;T Cellular, S. de R.L. de C.V.</w:t>
            </w:r>
          </w:p>
        </w:tc>
      </w:tr>
      <w:tr w:rsidR="0012476D" w:rsidRPr="00522FAA" w14:paraId="7EB54DBA" w14:textId="77777777" w:rsidTr="00DA3052">
        <w:trPr>
          <w:trHeight w:val="288"/>
        </w:trPr>
        <w:tc>
          <w:tcPr>
            <w:tcW w:w="3681" w:type="dxa"/>
          </w:tcPr>
          <w:p w14:paraId="387C0BF6" w14:textId="5193ACE4" w:rsidR="0012476D" w:rsidRPr="00DA3052" w:rsidRDefault="002D499C" w:rsidP="00DA3052">
            <w:pPr>
              <w:rPr>
                <w:rFonts w:ascii="ITC Avant Garde" w:hAnsi="ITC Avant Garde"/>
                <w:sz w:val="20"/>
                <w:szCs w:val="20"/>
              </w:rPr>
            </w:pPr>
            <w:r w:rsidRPr="002D499C">
              <w:rPr>
                <w:rFonts w:ascii="ITC Avant Garde" w:hAnsi="ITC Avant Garde"/>
                <w:sz w:val="20"/>
                <w:szCs w:val="20"/>
              </w:rPr>
              <w:t>PEGASO PCS, S.A. de C.V.</w:t>
            </w:r>
          </w:p>
        </w:tc>
        <w:tc>
          <w:tcPr>
            <w:tcW w:w="5147" w:type="dxa"/>
          </w:tcPr>
          <w:p w14:paraId="09E3AECB" w14:textId="77777777" w:rsidR="0012476D" w:rsidRPr="00EF336B" w:rsidRDefault="0012476D" w:rsidP="0012476D">
            <w:pPr>
              <w:pStyle w:val="Prrafodelista"/>
              <w:numPr>
                <w:ilvl w:val="0"/>
                <w:numId w:val="39"/>
              </w:numPr>
              <w:ind w:left="459" w:hanging="283"/>
              <w:rPr>
                <w:rFonts w:ascii="ITC Avant Garde" w:hAnsi="ITC Avant Garde"/>
                <w:sz w:val="20"/>
                <w:szCs w:val="20"/>
              </w:rPr>
            </w:pPr>
            <w:r w:rsidRPr="00EF336B">
              <w:rPr>
                <w:rFonts w:ascii="ITC Avant Garde" w:hAnsi="ITC Avant Garde"/>
                <w:sz w:val="20"/>
                <w:szCs w:val="20"/>
              </w:rPr>
              <w:t>El mismo</w:t>
            </w:r>
          </w:p>
        </w:tc>
      </w:tr>
      <w:tr w:rsidR="0012476D" w:rsidRPr="00522FAA" w14:paraId="1A7DD92E" w14:textId="77777777" w:rsidTr="00DA3052">
        <w:trPr>
          <w:trHeight w:val="288"/>
        </w:trPr>
        <w:tc>
          <w:tcPr>
            <w:tcW w:w="3681" w:type="dxa"/>
          </w:tcPr>
          <w:p w14:paraId="0C73CA51" w14:textId="77777777" w:rsidR="0012476D" w:rsidRPr="00DA3052" w:rsidRDefault="00EF336B" w:rsidP="00DA3052">
            <w:pPr>
              <w:rPr>
                <w:rFonts w:ascii="ITC Avant Garde" w:hAnsi="ITC Avant Garde"/>
                <w:sz w:val="20"/>
                <w:szCs w:val="20"/>
              </w:rPr>
            </w:pPr>
            <w:r w:rsidRPr="00DA3052">
              <w:rPr>
                <w:rFonts w:ascii="ITC Avant Garde" w:hAnsi="ITC Avant Garde" w:cs="Calibri Light"/>
                <w:bCs/>
                <w:color w:val="000000"/>
                <w:sz w:val="20"/>
                <w:szCs w:val="20"/>
              </w:rPr>
              <w:t>Radiomóvil Dipsa, S.A. de C.V.</w:t>
            </w:r>
          </w:p>
        </w:tc>
        <w:tc>
          <w:tcPr>
            <w:tcW w:w="5147" w:type="dxa"/>
          </w:tcPr>
          <w:p w14:paraId="51252EB6" w14:textId="77777777" w:rsidR="0012476D" w:rsidRPr="00EF336B" w:rsidRDefault="0012476D" w:rsidP="0012476D">
            <w:pPr>
              <w:pStyle w:val="Prrafodelista"/>
              <w:numPr>
                <w:ilvl w:val="0"/>
                <w:numId w:val="39"/>
              </w:numPr>
              <w:ind w:left="459" w:hanging="283"/>
              <w:rPr>
                <w:rFonts w:ascii="ITC Avant Garde" w:hAnsi="ITC Avant Garde"/>
                <w:sz w:val="20"/>
                <w:szCs w:val="20"/>
              </w:rPr>
            </w:pPr>
            <w:r w:rsidRPr="00EF336B">
              <w:rPr>
                <w:rFonts w:ascii="ITC Avant Garde" w:hAnsi="ITC Avant Garde"/>
                <w:sz w:val="20"/>
                <w:szCs w:val="20"/>
              </w:rPr>
              <w:t>El mismo</w:t>
            </w:r>
          </w:p>
        </w:tc>
      </w:tr>
      <w:tr w:rsidR="0012476D" w:rsidRPr="00522FAA" w14:paraId="321897F4" w14:textId="77777777" w:rsidTr="00DA3052">
        <w:trPr>
          <w:trHeight w:val="288"/>
        </w:trPr>
        <w:tc>
          <w:tcPr>
            <w:tcW w:w="3681" w:type="dxa"/>
          </w:tcPr>
          <w:p w14:paraId="6901841D" w14:textId="77777777" w:rsidR="0012476D" w:rsidRPr="00DA3052" w:rsidRDefault="00EF336B" w:rsidP="00DA3052">
            <w:pPr>
              <w:rPr>
                <w:rFonts w:ascii="ITC Avant Garde" w:hAnsi="ITC Avant Garde"/>
                <w:sz w:val="20"/>
                <w:szCs w:val="20"/>
              </w:rPr>
            </w:pPr>
            <w:r w:rsidRPr="00DA3052">
              <w:rPr>
                <w:rFonts w:ascii="ITC Avant Garde" w:hAnsi="ITC Avant Garde"/>
                <w:sz w:val="20"/>
                <w:szCs w:val="20"/>
              </w:rPr>
              <w:t>Grupo Televisa</w:t>
            </w:r>
          </w:p>
        </w:tc>
        <w:tc>
          <w:tcPr>
            <w:tcW w:w="5147" w:type="dxa"/>
          </w:tcPr>
          <w:p w14:paraId="7A363488" w14:textId="77777777" w:rsidR="00EF336B" w:rsidRPr="00EF336B" w:rsidRDefault="00EF336B" w:rsidP="0012476D">
            <w:pPr>
              <w:pStyle w:val="Prrafodelista"/>
              <w:numPr>
                <w:ilvl w:val="0"/>
                <w:numId w:val="39"/>
              </w:numPr>
              <w:ind w:left="459" w:hanging="283"/>
              <w:rPr>
                <w:rFonts w:ascii="ITC Avant Garde" w:hAnsi="ITC Avant Garde"/>
                <w:sz w:val="20"/>
                <w:szCs w:val="20"/>
              </w:rPr>
            </w:pPr>
            <w:r w:rsidRPr="00EF336B">
              <w:rPr>
                <w:rFonts w:ascii="ITC Avant Garde" w:hAnsi="ITC Avant Garde" w:cs="Calibri Light"/>
                <w:bCs/>
                <w:color w:val="000000"/>
                <w:sz w:val="20"/>
                <w:szCs w:val="20"/>
              </w:rPr>
              <w:t>Cablevisión, S.A. de C.V.</w:t>
            </w:r>
          </w:p>
          <w:p w14:paraId="0C8A4A1C" w14:textId="77777777" w:rsidR="00EF336B" w:rsidRPr="00EF336B" w:rsidRDefault="00EF336B" w:rsidP="0012476D">
            <w:pPr>
              <w:pStyle w:val="Prrafodelista"/>
              <w:numPr>
                <w:ilvl w:val="0"/>
                <w:numId w:val="39"/>
              </w:numPr>
              <w:ind w:left="459" w:hanging="283"/>
              <w:rPr>
                <w:rFonts w:ascii="ITC Avant Garde" w:hAnsi="ITC Avant Garde"/>
                <w:sz w:val="20"/>
                <w:szCs w:val="20"/>
              </w:rPr>
            </w:pPr>
            <w:r w:rsidRPr="00EF336B">
              <w:rPr>
                <w:rFonts w:ascii="ITC Avant Garde" w:hAnsi="ITC Avant Garde" w:cs="Calibri Light"/>
                <w:bCs/>
                <w:color w:val="000000"/>
                <w:sz w:val="20"/>
                <w:szCs w:val="20"/>
              </w:rPr>
              <w:t>Operbes, S.A. de C.V.</w:t>
            </w:r>
          </w:p>
          <w:p w14:paraId="7EFFADB3" w14:textId="77777777" w:rsidR="00EF336B" w:rsidRPr="00EF336B" w:rsidRDefault="00EF336B" w:rsidP="0012476D">
            <w:pPr>
              <w:pStyle w:val="Prrafodelista"/>
              <w:numPr>
                <w:ilvl w:val="0"/>
                <w:numId w:val="39"/>
              </w:numPr>
              <w:ind w:left="459" w:hanging="283"/>
              <w:rPr>
                <w:rFonts w:ascii="ITC Avant Garde" w:hAnsi="ITC Avant Garde"/>
                <w:sz w:val="20"/>
                <w:szCs w:val="20"/>
              </w:rPr>
            </w:pPr>
            <w:r w:rsidRPr="00EF336B">
              <w:rPr>
                <w:rFonts w:ascii="ITC Avant Garde" w:hAnsi="ITC Avant Garde" w:cs="Calibri Light"/>
                <w:bCs/>
                <w:color w:val="000000"/>
                <w:sz w:val="20"/>
                <w:szCs w:val="20"/>
              </w:rPr>
              <w:t>Cablemás Telecomunicaciones, S.A. de C.V.</w:t>
            </w:r>
          </w:p>
          <w:p w14:paraId="6F1D7C2E" w14:textId="77777777" w:rsidR="00EF336B" w:rsidRPr="00EF336B" w:rsidRDefault="00EF336B" w:rsidP="0012476D">
            <w:pPr>
              <w:pStyle w:val="Prrafodelista"/>
              <w:numPr>
                <w:ilvl w:val="0"/>
                <w:numId w:val="39"/>
              </w:numPr>
              <w:ind w:left="459" w:hanging="283"/>
              <w:rPr>
                <w:rFonts w:ascii="ITC Avant Garde" w:hAnsi="ITC Avant Garde"/>
                <w:sz w:val="20"/>
                <w:szCs w:val="20"/>
              </w:rPr>
            </w:pPr>
            <w:r w:rsidRPr="00EF336B">
              <w:rPr>
                <w:rFonts w:ascii="ITC Avant Garde" w:hAnsi="ITC Avant Garde" w:cs="Calibri Light"/>
                <w:bCs/>
                <w:color w:val="000000"/>
                <w:sz w:val="20"/>
                <w:szCs w:val="20"/>
              </w:rPr>
              <w:t>México Red de Telecomunicaciones, S. de R.L. de C.V.</w:t>
            </w:r>
          </w:p>
          <w:p w14:paraId="5931E0A7" w14:textId="77777777" w:rsidR="00EF336B" w:rsidRPr="00EF336B" w:rsidRDefault="00EF336B" w:rsidP="0012476D">
            <w:pPr>
              <w:pStyle w:val="Prrafodelista"/>
              <w:numPr>
                <w:ilvl w:val="0"/>
                <w:numId w:val="39"/>
              </w:numPr>
              <w:ind w:left="459" w:hanging="283"/>
              <w:rPr>
                <w:rFonts w:ascii="ITC Avant Garde" w:hAnsi="ITC Avant Garde"/>
                <w:sz w:val="20"/>
                <w:szCs w:val="20"/>
              </w:rPr>
            </w:pPr>
            <w:r w:rsidRPr="00EF336B">
              <w:rPr>
                <w:rFonts w:ascii="ITC Avant Garde" w:hAnsi="ITC Avant Garde" w:cs="Calibri Light"/>
                <w:bCs/>
                <w:color w:val="000000"/>
                <w:sz w:val="20"/>
                <w:szCs w:val="20"/>
              </w:rPr>
              <w:lastRenderedPageBreak/>
              <w:t>Televisión Internacional, S.A. de C.V.</w:t>
            </w:r>
          </w:p>
          <w:p w14:paraId="69844EE4" w14:textId="77777777" w:rsidR="00EF336B" w:rsidRPr="00EF336B" w:rsidRDefault="00EF336B" w:rsidP="0012476D">
            <w:pPr>
              <w:pStyle w:val="Prrafodelista"/>
              <w:numPr>
                <w:ilvl w:val="0"/>
                <w:numId w:val="39"/>
              </w:numPr>
              <w:ind w:left="459" w:hanging="283"/>
              <w:rPr>
                <w:rFonts w:ascii="ITC Avant Garde" w:hAnsi="ITC Avant Garde"/>
                <w:sz w:val="20"/>
                <w:szCs w:val="20"/>
              </w:rPr>
            </w:pPr>
            <w:r w:rsidRPr="00EF336B">
              <w:rPr>
                <w:rFonts w:ascii="ITC Avant Garde" w:hAnsi="ITC Avant Garde" w:cs="Calibri Light"/>
                <w:bCs/>
                <w:color w:val="000000"/>
                <w:sz w:val="20"/>
                <w:szCs w:val="20"/>
              </w:rPr>
              <w:t>Cablevisión Red, S.A. de C.V.</w:t>
            </w:r>
          </w:p>
          <w:p w14:paraId="13D37412" w14:textId="77777777" w:rsidR="0012476D" w:rsidRPr="00EF336B" w:rsidRDefault="00EF336B" w:rsidP="0012476D">
            <w:pPr>
              <w:pStyle w:val="Prrafodelista"/>
              <w:numPr>
                <w:ilvl w:val="0"/>
                <w:numId w:val="39"/>
              </w:numPr>
              <w:ind w:left="459" w:hanging="283"/>
              <w:rPr>
                <w:rFonts w:ascii="ITC Avant Garde" w:hAnsi="ITC Avant Garde"/>
                <w:sz w:val="20"/>
                <w:szCs w:val="20"/>
              </w:rPr>
            </w:pPr>
            <w:r w:rsidRPr="00EF336B">
              <w:rPr>
                <w:rFonts w:ascii="ITC Avant Garde" w:hAnsi="ITC Avant Garde" w:cs="Calibri Light"/>
                <w:bCs/>
                <w:color w:val="000000"/>
                <w:sz w:val="20"/>
                <w:szCs w:val="20"/>
              </w:rPr>
              <w:t>TV Cable de Oriente, S.A. de C.V.</w:t>
            </w:r>
          </w:p>
        </w:tc>
      </w:tr>
      <w:tr w:rsidR="0012476D" w:rsidRPr="00522FAA" w14:paraId="53395378" w14:textId="77777777" w:rsidTr="00DA3052">
        <w:trPr>
          <w:trHeight w:val="288"/>
        </w:trPr>
        <w:tc>
          <w:tcPr>
            <w:tcW w:w="3681" w:type="dxa"/>
          </w:tcPr>
          <w:p w14:paraId="748A3511" w14:textId="51738F43" w:rsidR="0012476D" w:rsidRPr="00DA3052" w:rsidRDefault="002D499C" w:rsidP="00DA3052">
            <w:pPr>
              <w:rPr>
                <w:rFonts w:ascii="ITC Avant Garde" w:hAnsi="ITC Avant Garde"/>
                <w:sz w:val="20"/>
                <w:szCs w:val="20"/>
              </w:rPr>
            </w:pPr>
            <w:r w:rsidRPr="002D499C">
              <w:rPr>
                <w:rFonts w:ascii="ITC Avant Garde" w:hAnsi="ITC Avant Garde" w:cs="Calibri Light"/>
                <w:bCs/>
                <w:color w:val="000000"/>
                <w:sz w:val="20"/>
                <w:szCs w:val="20"/>
              </w:rPr>
              <w:lastRenderedPageBreak/>
              <w:t>TELEVISORA DE NAVOJOA, S.A.</w:t>
            </w:r>
          </w:p>
        </w:tc>
        <w:tc>
          <w:tcPr>
            <w:tcW w:w="5147" w:type="dxa"/>
          </w:tcPr>
          <w:p w14:paraId="7522CDAD" w14:textId="77777777" w:rsidR="0012476D" w:rsidRPr="00EF336B" w:rsidRDefault="0012476D" w:rsidP="0012476D">
            <w:pPr>
              <w:pStyle w:val="Prrafodelista"/>
              <w:numPr>
                <w:ilvl w:val="0"/>
                <w:numId w:val="39"/>
              </w:numPr>
              <w:ind w:left="459" w:hanging="283"/>
              <w:rPr>
                <w:rFonts w:ascii="ITC Avant Garde" w:hAnsi="ITC Avant Garde"/>
                <w:sz w:val="20"/>
                <w:szCs w:val="20"/>
              </w:rPr>
            </w:pPr>
            <w:r w:rsidRPr="00EF336B">
              <w:rPr>
                <w:rFonts w:ascii="ITC Avant Garde" w:hAnsi="ITC Avant Garde"/>
                <w:sz w:val="20"/>
                <w:szCs w:val="20"/>
              </w:rPr>
              <w:t>El mismo</w:t>
            </w:r>
          </w:p>
        </w:tc>
      </w:tr>
      <w:tr w:rsidR="002D499C" w:rsidRPr="00522FAA" w14:paraId="4D8F3FB0" w14:textId="77777777" w:rsidTr="00DA3052">
        <w:trPr>
          <w:trHeight w:val="288"/>
        </w:trPr>
        <w:tc>
          <w:tcPr>
            <w:tcW w:w="3681" w:type="dxa"/>
          </w:tcPr>
          <w:p w14:paraId="2EA6EF0D" w14:textId="578027E3" w:rsidR="002D499C" w:rsidRPr="002D499C" w:rsidRDefault="002D499C" w:rsidP="00DA3052">
            <w:pPr>
              <w:rPr>
                <w:rFonts w:ascii="ITC Avant Garde" w:hAnsi="ITC Avant Garde" w:cs="Calibri Light"/>
                <w:bCs/>
                <w:color w:val="000000"/>
                <w:sz w:val="20"/>
                <w:szCs w:val="20"/>
              </w:rPr>
            </w:pPr>
            <w:r>
              <w:rPr>
                <w:rFonts w:ascii="ITC Avant Garde" w:hAnsi="ITC Avant Garde" w:cs="Calibri Light"/>
                <w:bCs/>
                <w:color w:val="000000"/>
                <w:sz w:val="20"/>
                <w:szCs w:val="20"/>
              </w:rPr>
              <w:t>RED NACIONAL</w:t>
            </w:r>
          </w:p>
        </w:tc>
        <w:tc>
          <w:tcPr>
            <w:tcW w:w="5147" w:type="dxa"/>
          </w:tcPr>
          <w:p w14:paraId="0482E92E" w14:textId="77777777" w:rsidR="002D499C" w:rsidRDefault="002D499C" w:rsidP="0012476D">
            <w:pPr>
              <w:pStyle w:val="Prrafodelista"/>
              <w:numPr>
                <w:ilvl w:val="0"/>
                <w:numId w:val="39"/>
              </w:numPr>
              <w:ind w:left="459" w:hanging="283"/>
              <w:rPr>
                <w:rFonts w:ascii="ITC Avant Garde" w:hAnsi="ITC Avant Garde"/>
                <w:sz w:val="20"/>
                <w:szCs w:val="20"/>
              </w:rPr>
            </w:pPr>
            <w:r w:rsidRPr="002D499C">
              <w:rPr>
                <w:rFonts w:ascii="ITC Avant Garde" w:hAnsi="ITC Avant Garde"/>
                <w:sz w:val="20"/>
                <w:szCs w:val="20"/>
              </w:rPr>
              <w:t>RED NACIONAL ÚLTIMA MILLA, S.A.P.I. DE C.V.</w:t>
            </w:r>
          </w:p>
          <w:p w14:paraId="552D7FDE" w14:textId="263EE5D4" w:rsidR="002D499C" w:rsidRPr="00EF336B" w:rsidRDefault="002D499C" w:rsidP="0012476D">
            <w:pPr>
              <w:pStyle w:val="Prrafodelista"/>
              <w:numPr>
                <w:ilvl w:val="0"/>
                <w:numId w:val="39"/>
              </w:numPr>
              <w:ind w:left="459" w:hanging="283"/>
              <w:rPr>
                <w:rFonts w:ascii="ITC Avant Garde" w:hAnsi="ITC Avant Garde"/>
                <w:sz w:val="20"/>
                <w:szCs w:val="20"/>
              </w:rPr>
            </w:pPr>
            <w:r w:rsidRPr="002D499C">
              <w:rPr>
                <w:rFonts w:ascii="ITC Avant Garde" w:hAnsi="ITC Avant Garde"/>
                <w:sz w:val="20"/>
                <w:szCs w:val="20"/>
              </w:rPr>
              <w:t>RED ÚLTIMA MILLA DEL NOROESTE, S.A.P.I. DE C.V.</w:t>
            </w:r>
          </w:p>
        </w:tc>
      </w:tr>
      <w:tr w:rsidR="002D499C" w:rsidRPr="00522FAA" w14:paraId="4C02A62D" w14:textId="77777777" w:rsidTr="00DA3052">
        <w:trPr>
          <w:trHeight w:val="288"/>
        </w:trPr>
        <w:tc>
          <w:tcPr>
            <w:tcW w:w="3681" w:type="dxa"/>
          </w:tcPr>
          <w:p w14:paraId="0B8B2D30" w14:textId="679295C7" w:rsidR="002D499C" w:rsidRPr="002D499C" w:rsidRDefault="002D499C" w:rsidP="00DA3052">
            <w:pPr>
              <w:rPr>
                <w:rFonts w:ascii="ITC Avant Garde" w:hAnsi="ITC Avant Garde" w:cs="Calibri Light"/>
                <w:bCs/>
                <w:color w:val="000000"/>
                <w:sz w:val="20"/>
                <w:szCs w:val="20"/>
              </w:rPr>
            </w:pPr>
            <w:r w:rsidRPr="002D499C">
              <w:rPr>
                <w:rFonts w:ascii="ITC Avant Garde" w:hAnsi="ITC Avant Garde" w:cs="Calibri Light"/>
                <w:bCs/>
                <w:color w:val="000000"/>
                <w:sz w:val="20"/>
                <w:szCs w:val="20"/>
              </w:rPr>
              <w:t>AXTEL, S.A.B. DE C.V.</w:t>
            </w:r>
          </w:p>
        </w:tc>
        <w:tc>
          <w:tcPr>
            <w:tcW w:w="5147" w:type="dxa"/>
          </w:tcPr>
          <w:p w14:paraId="755153A4" w14:textId="6D83EE32" w:rsidR="002D499C" w:rsidRPr="00EF336B" w:rsidRDefault="002D499C" w:rsidP="0012476D">
            <w:pPr>
              <w:pStyle w:val="Prrafodelista"/>
              <w:numPr>
                <w:ilvl w:val="0"/>
                <w:numId w:val="39"/>
              </w:numPr>
              <w:ind w:left="459" w:hanging="283"/>
              <w:rPr>
                <w:rFonts w:ascii="ITC Avant Garde" w:hAnsi="ITC Avant Garde"/>
                <w:sz w:val="20"/>
                <w:szCs w:val="20"/>
              </w:rPr>
            </w:pPr>
            <w:r>
              <w:rPr>
                <w:rFonts w:ascii="ITC Avant Garde" w:hAnsi="ITC Avant Garde"/>
                <w:sz w:val="20"/>
                <w:szCs w:val="20"/>
              </w:rPr>
              <w:t>El mismo</w:t>
            </w:r>
          </w:p>
        </w:tc>
      </w:tr>
      <w:tr w:rsidR="002D499C" w:rsidRPr="00522FAA" w14:paraId="430BAA58" w14:textId="77777777" w:rsidTr="00DA3052">
        <w:trPr>
          <w:trHeight w:val="288"/>
        </w:trPr>
        <w:tc>
          <w:tcPr>
            <w:tcW w:w="3681" w:type="dxa"/>
          </w:tcPr>
          <w:p w14:paraId="4667A917" w14:textId="26B0C71D" w:rsidR="002D499C" w:rsidRPr="002D499C" w:rsidRDefault="002D499C" w:rsidP="00DA3052">
            <w:pPr>
              <w:rPr>
                <w:rFonts w:ascii="ITC Avant Garde" w:hAnsi="ITC Avant Garde" w:cs="Calibri Light"/>
                <w:bCs/>
                <w:color w:val="000000"/>
                <w:sz w:val="20"/>
                <w:szCs w:val="20"/>
              </w:rPr>
            </w:pPr>
            <w:r>
              <w:rPr>
                <w:rFonts w:ascii="ITC Avant Garde" w:hAnsi="ITC Avant Garde" w:cs="Calibri Light"/>
                <w:bCs/>
                <w:color w:val="000000"/>
                <w:sz w:val="20"/>
                <w:szCs w:val="20"/>
              </w:rPr>
              <w:t>TELMEX</w:t>
            </w:r>
          </w:p>
        </w:tc>
        <w:tc>
          <w:tcPr>
            <w:tcW w:w="5147" w:type="dxa"/>
          </w:tcPr>
          <w:p w14:paraId="36507139" w14:textId="77777777" w:rsidR="002D499C" w:rsidRDefault="002D499C" w:rsidP="0012476D">
            <w:pPr>
              <w:pStyle w:val="Prrafodelista"/>
              <w:numPr>
                <w:ilvl w:val="0"/>
                <w:numId w:val="39"/>
              </w:numPr>
              <w:ind w:left="459" w:hanging="283"/>
              <w:rPr>
                <w:rFonts w:ascii="ITC Avant Garde" w:hAnsi="ITC Avant Garde"/>
                <w:sz w:val="20"/>
                <w:szCs w:val="20"/>
              </w:rPr>
            </w:pPr>
            <w:r w:rsidRPr="002D499C">
              <w:rPr>
                <w:rFonts w:ascii="ITC Avant Garde" w:hAnsi="ITC Avant Garde"/>
                <w:sz w:val="20"/>
                <w:szCs w:val="20"/>
              </w:rPr>
              <w:t>TELÉFONOS DE MÉXICO, S.A.B. DE C.V.</w:t>
            </w:r>
          </w:p>
          <w:p w14:paraId="11CEBBEA" w14:textId="7CC5146C" w:rsidR="002D499C" w:rsidRPr="00EF336B" w:rsidRDefault="002D499C" w:rsidP="0012476D">
            <w:pPr>
              <w:pStyle w:val="Prrafodelista"/>
              <w:numPr>
                <w:ilvl w:val="0"/>
                <w:numId w:val="39"/>
              </w:numPr>
              <w:ind w:left="459" w:hanging="283"/>
              <w:rPr>
                <w:rFonts w:ascii="ITC Avant Garde" w:hAnsi="ITC Avant Garde"/>
                <w:sz w:val="20"/>
                <w:szCs w:val="20"/>
              </w:rPr>
            </w:pPr>
            <w:r w:rsidRPr="002D499C">
              <w:rPr>
                <w:rFonts w:ascii="ITC Avant Garde" w:hAnsi="ITC Avant Garde"/>
                <w:sz w:val="20"/>
                <w:szCs w:val="20"/>
              </w:rPr>
              <w:t>TELÉFONOS DEL NOROESTE, S.A. DE C.V.</w:t>
            </w:r>
          </w:p>
        </w:tc>
      </w:tr>
      <w:tr w:rsidR="002D499C" w:rsidRPr="00522FAA" w14:paraId="008C4C4B" w14:textId="77777777" w:rsidTr="00DA3052">
        <w:trPr>
          <w:trHeight w:val="288"/>
        </w:trPr>
        <w:tc>
          <w:tcPr>
            <w:tcW w:w="3681" w:type="dxa"/>
          </w:tcPr>
          <w:p w14:paraId="76766448" w14:textId="114EFA8B" w:rsidR="002D499C" w:rsidRPr="002D499C" w:rsidRDefault="002D499C" w:rsidP="00DA3052">
            <w:pPr>
              <w:rPr>
                <w:rFonts w:ascii="ITC Avant Garde" w:hAnsi="ITC Avant Garde" w:cs="Calibri Light"/>
                <w:bCs/>
                <w:color w:val="000000"/>
                <w:sz w:val="20"/>
                <w:szCs w:val="20"/>
              </w:rPr>
            </w:pPr>
            <w:r>
              <w:rPr>
                <w:rFonts w:ascii="ITC Avant Garde" w:hAnsi="ITC Avant Garde" w:cs="Calibri Light"/>
                <w:bCs/>
                <w:color w:val="000000"/>
                <w:sz w:val="20"/>
                <w:szCs w:val="20"/>
              </w:rPr>
              <w:t>CANIETI</w:t>
            </w:r>
          </w:p>
        </w:tc>
        <w:tc>
          <w:tcPr>
            <w:tcW w:w="5147" w:type="dxa"/>
          </w:tcPr>
          <w:p w14:paraId="36F217EA" w14:textId="6D94D64C" w:rsidR="002D499C" w:rsidRPr="00EF336B" w:rsidRDefault="002D499C" w:rsidP="0012476D">
            <w:pPr>
              <w:pStyle w:val="Prrafodelista"/>
              <w:numPr>
                <w:ilvl w:val="0"/>
                <w:numId w:val="39"/>
              </w:numPr>
              <w:ind w:left="459" w:hanging="283"/>
              <w:rPr>
                <w:rFonts w:ascii="ITC Avant Garde" w:hAnsi="ITC Avant Garde"/>
                <w:sz w:val="20"/>
                <w:szCs w:val="20"/>
              </w:rPr>
            </w:pPr>
            <w:r>
              <w:rPr>
                <w:rFonts w:ascii="ITC Avant Garde" w:hAnsi="ITC Avant Garde"/>
                <w:sz w:val="20"/>
                <w:szCs w:val="20"/>
              </w:rPr>
              <w:t>El mismo</w:t>
            </w:r>
          </w:p>
        </w:tc>
      </w:tr>
    </w:tbl>
    <w:p w14:paraId="5943F28B" w14:textId="77777777" w:rsidR="002936C4" w:rsidRDefault="002936C4" w:rsidP="00913D85">
      <w:pPr>
        <w:spacing w:before="240" w:after="120" w:line="276" w:lineRule="auto"/>
        <w:jc w:val="both"/>
        <w:rPr>
          <w:rFonts w:ascii="ITC Avant Garde" w:hAnsi="ITC Avant Garde"/>
        </w:rPr>
      </w:pPr>
    </w:p>
    <w:p w14:paraId="1EBC9112" w14:textId="77777777" w:rsidR="009702F1" w:rsidRDefault="008E0DA1" w:rsidP="00913D85">
      <w:pPr>
        <w:spacing w:before="240" w:after="120" w:line="276" w:lineRule="auto"/>
        <w:jc w:val="both"/>
        <w:rPr>
          <w:rFonts w:ascii="ITC Avant Garde" w:hAnsi="ITC Avant Garde"/>
          <w:b/>
        </w:rPr>
      </w:pPr>
      <w:r>
        <w:rPr>
          <w:rFonts w:ascii="ITC Avant Garde" w:hAnsi="ITC Avant Garde"/>
          <w:b/>
        </w:rPr>
        <w:t>RESPUESTAS A</w:t>
      </w:r>
      <w:r w:rsidR="00510ADC">
        <w:rPr>
          <w:rFonts w:ascii="ITC Avant Garde" w:hAnsi="ITC Avant Garde"/>
          <w:b/>
        </w:rPr>
        <w:t xml:space="preserve"> LOS COMENTARIOS RECIBIDOS</w:t>
      </w:r>
    </w:p>
    <w:p w14:paraId="43161975" w14:textId="5EF25DD3" w:rsidR="00510ADC" w:rsidRDefault="00C04EF2" w:rsidP="00510ADC">
      <w:pPr>
        <w:spacing w:before="240" w:after="120" w:line="276" w:lineRule="auto"/>
        <w:jc w:val="both"/>
        <w:rPr>
          <w:rFonts w:ascii="ITC Avant Garde" w:hAnsi="ITC Avant Garde"/>
        </w:rPr>
      </w:pPr>
      <w:r>
        <w:rPr>
          <w:rFonts w:ascii="ITC Avant Garde" w:hAnsi="ITC Avant Garde"/>
        </w:rPr>
        <w:t xml:space="preserve">Con el </w:t>
      </w:r>
      <w:r w:rsidRPr="00C04EF2">
        <w:rPr>
          <w:rFonts w:ascii="ITC Avant Garde" w:hAnsi="ITC Avant Garde"/>
          <w:b/>
        </w:rPr>
        <w:t>objetivo</w:t>
      </w:r>
      <w:r w:rsidR="00510ADC">
        <w:rPr>
          <w:rFonts w:ascii="ITC Avant Garde" w:hAnsi="ITC Avant Garde"/>
        </w:rPr>
        <w:t xml:space="preserve"> de atender los comentarios, opiniones y manifestaciones recibidas, el Instituto identificó diversos temas coincidentes y reiterados en su contenido, mismos que a continuación se agrupan y se responden. Aunado a lo anterior, es de mencionar que todas las opiniones y pronunciamientos recibidos, se encuentran disponibles para su consulta en la página de Internet del Instituto.</w:t>
      </w:r>
    </w:p>
    <w:p w14:paraId="0374867B" w14:textId="6CC9BB4C" w:rsidR="00AC67DE" w:rsidRDefault="00866BEC" w:rsidP="00AC67DE">
      <w:pPr>
        <w:pStyle w:val="Prrafodelista"/>
        <w:numPr>
          <w:ilvl w:val="0"/>
          <w:numId w:val="6"/>
        </w:numPr>
        <w:spacing w:before="240" w:after="120" w:line="276" w:lineRule="auto"/>
        <w:jc w:val="both"/>
        <w:rPr>
          <w:rFonts w:ascii="ITC Avant Garde" w:hAnsi="ITC Avant Garde"/>
          <w:b/>
        </w:rPr>
      </w:pPr>
      <w:r>
        <w:rPr>
          <w:rFonts w:ascii="ITC Avant Garde" w:hAnsi="ITC Avant Garde"/>
          <w:b/>
        </w:rPr>
        <w:t>CONSIDERANDOS</w:t>
      </w:r>
    </w:p>
    <w:p w14:paraId="41DB8701" w14:textId="185F1D25" w:rsidR="00510ADC" w:rsidRDefault="00866BEC" w:rsidP="00866BEC">
      <w:pPr>
        <w:spacing w:before="240" w:after="120" w:line="276" w:lineRule="auto"/>
        <w:ind w:left="426"/>
        <w:jc w:val="both"/>
        <w:rPr>
          <w:rFonts w:ascii="ITC Avant Garde" w:hAnsi="ITC Avant Garde"/>
          <w:b/>
        </w:rPr>
      </w:pPr>
      <w:r w:rsidRPr="00866BEC">
        <w:rPr>
          <w:rFonts w:ascii="ITC Avant Garde" w:hAnsi="ITC Avant Garde"/>
          <w:b/>
        </w:rPr>
        <w:t>CONSIDERANDO SEGUNDO</w:t>
      </w:r>
    </w:p>
    <w:p w14:paraId="13EDC9A5" w14:textId="2F443129" w:rsidR="00866BEC" w:rsidRDefault="00866BEC" w:rsidP="00866BEC">
      <w:pPr>
        <w:spacing w:before="240" w:after="120" w:line="276" w:lineRule="auto"/>
        <w:ind w:left="426"/>
        <w:jc w:val="both"/>
        <w:rPr>
          <w:rFonts w:ascii="ITC Avant Garde" w:hAnsi="ITC Avant Garde"/>
        </w:rPr>
      </w:pPr>
      <w:r>
        <w:rPr>
          <w:rFonts w:ascii="ITC Avant Garde" w:hAnsi="ITC Avant Garde"/>
        </w:rPr>
        <w:t>RED NACIONAL, considera que e</w:t>
      </w:r>
      <w:r w:rsidRPr="00866BEC">
        <w:rPr>
          <w:rFonts w:ascii="ITC Avant Garde" w:hAnsi="ITC Avant Garde"/>
        </w:rPr>
        <w:t>s importante que en la modificación de los Lineamientos quede acotado que los registros correspondan a solo la tecnología de nueva generación vigente y no tecnología obsoleta. Lo anterior se hace necesario precisar en dichos lineamientos debido a la suma importancia que dichos registros solo correspondan a elementos de nueva generación, eliminando los elementos de tecnologías obsoletas.</w:t>
      </w:r>
    </w:p>
    <w:p w14:paraId="5BCEA8AA" w14:textId="1A2E47A3" w:rsidR="001B6681" w:rsidRDefault="00866BEC" w:rsidP="009B052B">
      <w:pPr>
        <w:spacing w:before="240" w:after="120" w:line="276" w:lineRule="auto"/>
        <w:ind w:left="426"/>
        <w:jc w:val="both"/>
        <w:rPr>
          <w:rFonts w:ascii="ITC Avant Garde" w:hAnsi="ITC Avant Garde"/>
        </w:rPr>
      </w:pPr>
      <w:r>
        <w:rPr>
          <w:rFonts w:ascii="ITC Avant Garde" w:hAnsi="ITC Avant Garde"/>
        </w:rPr>
        <w:t xml:space="preserve">RESPUESTA: </w:t>
      </w:r>
      <w:r w:rsidRPr="00866BEC">
        <w:rPr>
          <w:rFonts w:ascii="ITC Avant Garde" w:hAnsi="ITC Avant Garde"/>
        </w:rPr>
        <w:t>La obligación es entregar información de la infraestructura que se utilice o est</w:t>
      </w:r>
      <w:r w:rsidR="002312EC">
        <w:rPr>
          <w:rFonts w:ascii="ITC Avant Garde" w:hAnsi="ITC Avant Garde"/>
        </w:rPr>
        <w:t>é</w:t>
      </w:r>
      <w:r w:rsidRPr="00866BEC">
        <w:rPr>
          <w:rFonts w:ascii="ITC Avant Garde" w:hAnsi="ITC Avant Garde"/>
        </w:rPr>
        <w:t xml:space="preserve"> instalada por los Sujetos Obligados, sin distinción del tipo de tecnología.</w:t>
      </w:r>
    </w:p>
    <w:p w14:paraId="1DD7019D" w14:textId="77777777" w:rsidR="00D44AE1" w:rsidRDefault="00CE4B09" w:rsidP="00913D85">
      <w:pPr>
        <w:pStyle w:val="Prrafodelista"/>
        <w:numPr>
          <w:ilvl w:val="0"/>
          <w:numId w:val="6"/>
        </w:numPr>
        <w:spacing w:before="240" w:after="120" w:line="276" w:lineRule="auto"/>
        <w:jc w:val="both"/>
        <w:rPr>
          <w:rFonts w:ascii="ITC Avant Garde" w:hAnsi="ITC Avant Garde"/>
          <w:b/>
        </w:rPr>
      </w:pPr>
      <w:r>
        <w:rPr>
          <w:rFonts w:ascii="ITC Avant Garde" w:hAnsi="ITC Avant Garde"/>
          <w:b/>
        </w:rPr>
        <w:t>DISPOSICIONES GENERALES</w:t>
      </w:r>
    </w:p>
    <w:p w14:paraId="5C65AC1D" w14:textId="77777777" w:rsidR="00222F02" w:rsidRPr="00222F02" w:rsidRDefault="00222F02" w:rsidP="002E093C">
      <w:pPr>
        <w:pStyle w:val="Prrafodelista"/>
        <w:spacing w:before="240" w:after="120" w:line="276" w:lineRule="auto"/>
        <w:ind w:left="426"/>
        <w:jc w:val="both"/>
        <w:rPr>
          <w:rFonts w:ascii="ITC Avant Garde" w:hAnsi="ITC Avant Garde"/>
        </w:rPr>
      </w:pPr>
    </w:p>
    <w:p w14:paraId="4388CAB2" w14:textId="25B88875" w:rsidR="00941BCA" w:rsidRPr="000B05FC" w:rsidRDefault="00941BCA" w:rsidP="002E093C">
      <w:pPr>
        <w:spacing w:before="240" w:after="120" w:line="276" w:lineRule="auto"/>
        <w:ind w:left="426"/>
        <w:jc w:val="both"/>
        <w:rPr>
          <w:rFonts w:ascii="ITC Avant Garde" w:hAnsi="ITC Avant Garde"/>
          <w:b/>
        </w:rPr>
      </w:pPr>
      <w:r w:rsidRPr="000B05FC">
        <w:rPr>
          <w:rFonts w:ascii="ITC Avant Garde" w:hAnsi="ITC Avant Garde"/>
          <w:b/>
        </w:rPr>
        <w:lastRenderedPageBreak/>
        <w:t xml:space="preserve">ARTICULO </w:t>
      </w:r>
      <w:r w:rsidR="000E0FCD">
        <w:rPr>
          <w:rFonts w:ascii="ITC Avant Garde" w:hAnsi="ITC Avant Garde"/>
          <w:b/>
        </w:rPr>
        <w:t>SEGUNDO</w:t>
      </w:r>
    </w:p>
    <w:p w14:paraId="5972E905" w14:textId="209730C3" w:rsidR="000E0FCD" w:rsidRDefault="00CE4B09" w:rsidP="002E093C">
      <w:pPr>
        <w:spacing w:before="240" w:after="120" w:line="276" w:lineRule="auto"/>
        <w:ind w:left="426"/>
        <w:jc w:val="both"/>
        <w:rPr>
          <w:rFonts w:ascii="ITC Avant Garde" w:hAnsi="ITC Avant Garde"/>
        </w:rPr>
      </w:pPr>
      <w:r>
        <w:rPr>
          <w:rFonts w:ascii="ITC Avant Garde" w:hAnsi="ITC Avant Garde"/>
        </w:rPr>
        <w:t>El</w:t>
      </w:r>
      <w:r w:rsidR="00134406">
        <w:rPr>
          <w:rFonts w:ascii="ITC Avant Garde" w:hAnsi="ITC Avant Garde"/>
        </w:rPr>
        <w:t xml:space="preserve"> </w:t>
      </w:r>
      <w:r w:rsidR="000E0FCD">
        <w:rPr>
          <w:rFonts w:ascii="ITC Avant Garde" w:hAnsi="ITC Avant Garde"/>
        </w:rPr>
        <w:t>representante</w:t>
      </w:r>
      <w:r w:rsidR="002B3A8F">
        <w:rPr>
          <w:rFonts w:ascii="ITC Avant Garde" w:hAnsi="ITC Avant Garde"/>
        </w:rPr>
        <w:t xml:space="preserve"> de Grupo </w:t>
      </w:r>
      <w:r w:rsidR="000E0FCD">
        <w:rPr>
          <w:rFonts w:ascii="ITC Avant Garde" w:hAnsi="ITC Avant Garde"/>
        </w:rPr>
        <w:t>TELMEX</w:t>
      </w:r>
      <w:r w:rsidR="002B3A8F">
        <w:rPr>
          <w:rFonts w:ascii="ITC Avant Garde" w:hAnsi="ITC Avant Garde"/>
        </w:rPr>
        <w:t xml:space="preserve"> </w:t>
      </w:r>
      <w:r w:rsidR="00526A6E">
        <w:rPr>
          <w:rFonts w:ascii="ITC Avant Garde" w:hAnsi="ITC Avant Garde"/>
        </w:rPr>
        <w:t>(en lo sucesivo, “</w:t>
      </w:r>
      <w:r w:rsidR="000E0FCD">
        <w:rPr>
          <w:rFonts w:ascii="ITC Avant Garde" w:hAnsi="ITC Avant Garde"/>
        </w:rPr>
        <w:t>TELMEX</w:t>
      </w:r>
      <w:r w:rsidR="00526A6E">
        <w:rPr>
          <w:rFonts w:ascii="ITC Avant Garde" w:hAnsi="ITC Avant Garde"/>
        </w:rPr>
        <w:t xml:space="preserve">”) </w:t>
      </w:r>
      <w:r>
        <w:rPr>
          <w:rFonts w:ascii="ITC Avant Garde" w:hAnsi="ITC Avant Garde"/>
        </w:rPr>
        <w:t xml:space="preserve">señala que </w:t>
      </w:r>
      <w:r w:rsidR="009D1991">
        <w:rPr>
          <w:rFonts w:ascii="ITC Avant Garde" w:hAnsi="ITC Avant Garde"/>
        </w:rPr>
        <w:t>e</w:t>
      </w:r>
      <w:r w:rsidR="000E0FCD" w:rsidRPr="000E0FCD">
        <w:rPr>
          <w:rFonts w:ascii="ITC Avant Garde" w:hAnsi="ITC Avant Garde"/>
        </w:rPr>
        <w:t xml:space="preserve">s necesario se indiquen las extensiones permitidas en los Archivos Vectoriales. </w:t>
      </w:r>
      <w:r w:rsidR="00AA6FAE">
        <w:rPr>
          <w:rFonts w:ascii="ITC Avant Garde" w:hAnsi="ITC Avant Garde"/>
        </w:rPr>
        <w:t>Asimismo, solicita la definición de Archivo de Texto Estructurado</w:t>
      </w:r>
      <w:r w:rsidR="009B052B">
        <w:rPr>
          <w:rFonts w:ascii="ITC Avant Garde" w:hAnsi="ITC Avant Garde"/>
        </w:rPr>
        <w:t>.</w:t>
      </w:r>
    </w:p>
    <w:p w14:paraId="127AB0EC" w14:textId="15DD8205" w:rsidR="007211BD" w:rsidRDefault="002E093C" w:rsidP="002E093C">
      <w:pPr>
        <w:spacing w:before="240" w:after="120" w:line="276" w:lineRule="auto"/>
        <w:ind w:left="426"/>
        <w:jc w:val="both"/>
        <w:rPr>
          <w:rFonts w:ascii="ITC Avant Garde" w:hAnsi="ITC Avant Garde"/>
        </w:rPr>
      </w:pPr>
      <w:r>
        <w:rPr>
          <w:rFonts w:ascii="ITC Avant Garde" w:hAnsi="ITC Avant Garde"/>
        </w:rPr>
        <w:t>RESPUESTA:</w:t>
      </w:r>
      <w:r w:rsidR="005E0F65">
        <w:rPr>
          <w:rFonts w:ascii="ITC Avant Garde" w:hAnsi="ITC Avant Garde"/>
        </w:rPr>
        <w:t xml:space="preserve"> </w:t>
      </w:r>
      <w:r w:rsidR="000E0FCD">
        <w:rPr>
          <w:rFonts w:ascii="ITC Avant Garde" w:hAnsi="ITC Avant Garde"/>
        </w:rPr>
        <w:t>Al respecto, se establece que l</w:t>
      </w:r>
      <w:r w:rsidR="000E0FCD" w:rsidRPr="000E0FCD">
        <w:rPr>
          <w:rFonts w:ascii="ITC Avant Garde" w:hAnsi="ITC Avant Garde"/>
        </w:rPr>
        <w:t xml:space="preserve">a información para cada tipo de elemento será reportada conforme al formato que más le convenga a cada Sujeto Obligado, </w:t>
      </w:r>
      <w:r w:rsidR="000E0FCD">
        <w:rPr>
          <w:rFonts w:ascii="ITC Avant Garde" w:hAnsi="ITC Avant Garde"/>
        </w:rPr>
        <w:t>mismos que estarán</w:t>
      </w:r>
      <w:r w:rsidR="000E0FCD" w:rsidRPr="000E0FCD">
        <w:rPr>
          <w:rFonts w:ascii="ITC Avant Garde" w:hAnsi="ITC Avant Garde"/>
        </w:rPr>
        <w:t xml:space="preserve"> disponibles en el sistema informático del S</w:t>
      </w:r>
      <w:r w:rsidR="000E0FCD">
        <w:rPr>
          <w:rFonts w:ascii="ITC Avant Garde" w:hAnsi="ITC Avant Garde"/>
        </w:rPr>
        <w:t>istema Nacional de Información de Infraestructura</w:t>
      </w:r>
      <w:r w:rsidR="00493012">
        <w:rPr>
          <w:rFonts w:ascii="ITC Avant Garde" w:hAnsi="ITC Avant Garde"/>
        </w:rPr>
        <w:t xml:space="preserve"> (en lo sucesivo, “SNII”)</w:t>
      </w:r>
      <w:r w:rsidR="000E0FCD">
        <w:rPr>
          <w:rFonts w:ascii="ITC Avant Garde" w:hAnsi="ITC Avant Garde"/>
        </w:rPr>
        <w:t xml:space="preserve"> </w:t>
      </w:r>
      <w:r w:rsidR="00DC0CBB">
        <w:rPr>
          <w:rFonts w:ascii="ITC Avant Garde" w:hAnsi="ITC Avant Garde"/>
        </w:rPr>
        <w:t>y en la pági</w:t>
      </w:r>
      <w:r w:rsidR="00493012">
        <w:rPr>
          <w:rFonts w:ascii="ITC Avant Garde" w:hAnsi="ITC Avant Garde"/>
        </w:rPr>
        <w:t xml:space="preserve">na del </w:t>
      </w:r>
      <w:r w:rsidR="00493012" w:rsidRPr="00493012">
        <w:rPr>
          <w:rFonts w:ascii="ITC Avant Garde" w:hAnsi="ITC Avant Garde"/>
        </w:rPr>
        <w:t>Instituto</w:t>
      </w:r>
      <w:r w:rsidR="000E0FCD" w:rsidRPr="000E0FCD">
        <w:rPr>
          <w:rFonts w:ascii="ITC Avant Garde" w:hAnsi="ITC Avant Garde"/>
        </w:rPr>
        <w:t>.</w:t>
      </w:r>
    </w:p>
    <w:p w14:paraId="6DD1C03F" w14:textId="0CBC9DE0" w:rsidR="00AA6FAE" w:rsidRDefault="00AA6FAE" w:rsidP="002E093C">
      <w:pPr>
        <w:spacing w:before="240" w:after="120" w:line="276" w:lineRule="auto"/>
        <w:ind w:left="426"/>
        <w:jc w:val="both"/>
        <w:rPr>
          <w:rFonts w:ascii="ITC Avant Garde" w:hAnsi="ITC Avant Garde"/>
        </w:rPr>
      </w:pPr>
      <w:r>
        <w:rPr>
          <w:rFonts w:ascii="ITC Avant Garde" w:hAnsi="ITC Avant Garde"/>
        </w:rPr>
        <w:t xml:space="preserve">Por lo que hace a la definición solicitada, se agrega </w:t>
      </w:r>
      <w:r w:rsidR="008B5BB0">
        <w:rPr>
          <w:rFonts w:ascii="ITC Avant Garde" w:hAnsi="ITC Avant Garde"/>
        </w:rPr>
        <w:t>a</w:t>
      </w:r>
      <w:r>
        <w:rPr>
          <w:rFonts w:ascii="ITC Avant Garde" w:hAnsi="ITC Avant Garde"/>
        </w:rPr>
        <w:t xml:space="preserve"> los lineamientos</w:t>
      </w:r>
      <w:r w:rsidR="008B5BB0">
        <w:rPr>
          <w:rFonts w:ascii="ITC Avant Garde" w:hAnsi="ITC Avant Garde"/>
        </w:rPr>
        <w:t>.</w:t>
      </w:r>
    </w:p>
    <w:p w14:paraId="577FF19D" w14:textId="77777777" w:rsidR="00CF5CCB" w:rsidRDefault="00CF5CCB" w:rsidP="002E093C">
      <w:pPr>
        <w:spacing w:before="240" w:after="120" w:line="276" w:lineRule="auto"/>
        <w:ind w:left="426"/>
        <w:jc w:val="both"/>
        <w:rPr>
          <w:rFonts w:ascii="ITC Avant Garde" w:hAnsi="ITC Avant Garde"/>
        </w:rPr>
      </w:pPr>
    </w:p>
    <w:p w14:paraId="37D89068" w14:textId="09DC6164" w:rsidR="00CF5CCB" w:rsidRDefault="00CF5CCB" w:rsidP="00CF5CCB">
      <w:pPr>
        <w:pStyle w:val="Prrafodelista"/>
        <w:numPr>
          <w:ilvl w:val="0"/>
          <w:numId w:val="6"/>
        </w:numPr>
        <w:spacing w:before="240" w:after="120" w:line="276" w:lineRule="auto"/>
        <w:jc w:val="both"/>
        <w:rPr>
          <w:rFonts w:ascii="ITC Avant Garde" w:hAnsi="ITC Avant Garde"/>
          <w:b/>
        </w:rPr>
      </w:pPr>
      <w:r>
        <w:rPr>
          <w:rFonts w:ascii="ITC Avant Garde" w:hAnsi="ITC Avant Garde"/>
          <w:b/>
        </w:rPr>
        <w:t>DEL SISTEMA</w:t>
      </w:r>
      <w:r w:rsidRPr="00CF5CCB">
        <w:rPr>
          <w:rFonts w:ascii="ITC Avant Garde" w:hAnsi="ITC Avant Garde"/>
          <w:b/>
        </w:rPr>
        <w:t xml:space="preserve"> NACIONAL DE INFORMACIÓN DE INFRAESTRUCTURA</w:t>
      </w:r>
    </w:p>
    <w:p w14:paraId="6690F199" w14:textId="77777777" w:rsidR="00ED1EEC" w:rsidRDefault="00ED1EEC" w:rsidP="00ED1EEC">
      <w:pPr>
        <w:pStyle w:val="Prrafodelista"/>
        <w:spacing w:before="240" w:after="120" w:line="276" w:lineRule="auto"/>
        <w:ind w:left="360"/>
        <w:jc w:val="both"/>
        <w:rPr>
          <w:rFonts w:ascii="ITC Avant Garde" w:hAnsi="ITC Avant Garde"/>
          <w:b/>
        </w:rPr>
      </w:pPr>
    </w:p>
    <w:p w14:paraId="07E21033" w14:textId="268574D7" w:rsidR="00941BCA" w:rsidRPr="000B05FC" w:rsidRDefault="00941BCA" w:rsidP="002E093C">
      <w:pPr>
        <w:spacing w:before="240" w:after="120" w:line="276" w:lineRule="auto"/>
        <w:ind w:left="426"/>
        <w:jc w:val="both"/>
        <w:rPr>
          <w:rFonts w:ascii="ITC Avant Garde" w:hAnsi="ITC Avant Garde"/>
          <w:b/>
        </w:rPr>
      </w:pPr>
      <w:r w:rsidRPr="000B05FC">
        <w:rPr>
          <w:rFonts w:ascii="ITC Avant Garde" w:hAnsi="ITC Avant Garde"/>
          <w:b/>
        </w:rPr>
        <w:t xml:space="preserve">ARTICULO </w:t>
      </w:r>
      <w:r w:rsidR="00493012">
        <w:rPr>
          <w:rFonts w:ascii="ITC Avant Garde" w:hAnsi="ITC Avant Garde"/>
          <w:b/>
        </w:rPr>
        <w:t>QUINTO</w:t>
      </w:r>
    </w:p>
    <w:p w14:paraId="7457E133" w14:textId="77777777" w:rsidR="00403633" w:rsidRDefault="00403633" w:rsidP="002E093C">
      <w:pPr>
        <w:spacing w:before="240" w:after="120" w:line="276" w:lineRule="auto"/>
        <w:ind w:left="426"/>
        <w:jc w:val="both"/>
        <w:rPr>
          <w:rFonts w:ascii="ITC Avant Garde" w:hAnsi="ITC Avant Garde"/>
        </w:rPr>
      </w:pPr>
      <w:r>
        <w:rPr>
          <w:rFonts w:ascii="ITC Avant Garde" w:hAnsi="ITC Avant Garde"/>
        </w:rPr>
        <w:t>TELECOMUNICACIONES JÚPITER, hace referencia a la</w:t>
      </w:r>
      <w:r w:rsidRPr="00403633">
        <w:rPr>
          <w:rFonts w:ascii="ITC Avant Garde" w:hAnsi="ITC Avant Garde"/>
        </w:rPr>
        <w:t xml:space="preserve"> existencia de obra civil que no cuenta con los permisos por parte de los Municipios</w:t>
      </w:r>
      <w:r>
        <w:rPr>
          <w:rFonts w:ascii="ITC Avant Garde" w:hAnsi="ITC Avant Garde"/>
        </w:rPr>
        <w:t>.</w:t>
      </w:r>
    </w:p>
    <w:p w14:paraId="191A8BC2" w14:textId="4EFA1996" w:rsidR="00403633" w:rsidRDefault="00403633" w:rsidP="002E093C">
      <w:pPr>
        <w:spacing w:before="240" w:after="120" w:line="276" w:lineRule="auto"/>
        <w:ind w:left="426"/>
        <w:jc w:val="both"/>
        <w:rPr>
          <w:rFonts w:ascii="ITC Avant Garde" w:hAnsi="ITC Avant Garde"/>
        </w:rPr>
      </w:pPr>
      <w:r>
        <w:rPr>
          <w:rFonts w:ascii="ITC Avant Garde" w:hAnsi="ITC Avant Garde"/>
        </w:rPr>
        <w:t>Respecto a este mismo Artículo</w:t>
      </w:r>
      <w:r w:rsidR="006C019E">
        <w:rPr>
          <w:rFonts w:ascii="ITC Avant Garde" w:hAnsi="ITC Avant Garde"/>
        </w:rPr>
        <w:t>,</w:t>
      </w:r>
      <w:r>
        <w:rPr>
          <w:rFonts w:ascii="ITC Avant Garde" w:hAnsi="ITC Avant Garde"/>
        </w:rPr>
        <w:t xml:space="preserve"> </w:t>
      </w:r>
      <w:r w:rsidR="00B96445">
        <w:rPr>
          <w:rFonts w:ascii="ITC Avant Garde" w:hAnsi="ITC Avant Garde"/>
        </w:rPr>
        <w:t>Televisora de Navojoa</w:t>
      </w:r>
      <w:r w:rsidR="006C019E">
        <w:rPr>
          <w:rFonts w:ascii="ITC Avant Garde" w:hAnsi="ITC Avant Garde"/>
        </w:rPr>
        <w:t xml:space="preserve"> hace sugerencias de adición de un antecedente que refiera a los </w:t>
      </w:r>
      <w:r w:rsidR="006C019E" w:rsidRPr="006C019E">
        <w:rPr>
          <w:rFonts w:ascii="ITC Avant Garde" w:hAnsi="ITC Avant Garde"/>
        </w:rPr>
        <w:t>Lineamientos para el Despliegue, Acceso y Uso Compartido de Infraestructura de Telecomunicaciones y Radiodifusión (en lo sucesivo "</w:t>
      </w:r>
      <w:r w:rsidR="006C019E">
        <w:rPr>
          <w:rFonts w:ascii="ITC Avant Garde" w:hAnsi="ITC Avant Garde"/>
        </w:rPr>
        <w:t>LDA</w:t>
      </w:r>
      <w:r w:rsidR="00062B74">
        <w:rPr>
          <w:rFonts w:ascii="ITC Avant Garde" w:hAnsi="ITC Avant Garde"/>
        </w:rPr>
        <w:t>P</w:t>
      </w:r>
      <w:r w:rsidR="006C019E" w:rsidRPr="006C019E">
        <w:rPr>
          <w:rFonts w:ascii="ITC Avant Garde" w:hAnsi="ITC Avant Garde"/>
        </w:rPr>
        <w:t>")</w:t>
      </w:r>
      <w:r w:rsidR="006C019E">
        <w:rPr>
          <w:rFonts w:ascii="ITC Avant Garde" w:hAnsi="ITC Avant Garde"/>
        </w:rPr>
        <w:t>, de un párrafo que suscriba lo publicado en los LDA</w:t>
      </w:r>
      <w:r w:rsidR="00062B74">
        <w:rPr>
          <w:rFonts w:ascii="ITC Avant Garde" w:hAnsi="ITC Avant Garde"/>
        </w:rPr>
        <w:t>P</w:t>
      </w:r>
      <w:r w:rsidR="006C019E">
        <w:rPr>
          <w:rFonts w:ascii="ITC Avant Garde" w:hAnsi="ITC Avant Garde"/>
        </w:rPr>
        <w:t xml:space="preserve"> y la publicación integra de los lineamientos con las modificaciones.</w:t>
      </w:r>
    </w:p>
    <w:p w14:paraId="29AA1A36" w14:textId="414B2E05" w:rsidR="00C355A8" w:rsidRDefault="006C019E" w:rsidP="00C60A3D">
      <w:pPr>
        <w:spacing w:before="240" w:after="120" w:line="276" w:lineRule="auto"/>
        <w:ind w:left="426"/>
        <w:jc w:val="both"/>
        <w:rPr>
          <w:rFonts w:ascii="ITC Avant Garde" w:hAnsi="ITC Avant Garde"/>
        </w:rPr>
      </w:pPr>
      <w:r>
        <w:rPr>
          <w:rFonts w:ascii="ITC Avant Garde" w:hAnsi="ITC Avant Garde"/>
        </w:rPr>
        <w:t xml:space="preserve">Asimismo, </w:t>
      </w:r>
      <w:r w:rsidR="00C2765E">
        <w:rPr>
          <w:rFonts w:ascii="ITC Avant Garde" w:hAnsi="ITC Avant Garde"/>
        </w:rPr>
        <w:t>TELMEX</w:t>
      </w:r>
      <w:r>
        <w:rPr>
          <w:rFonts w:ascii="ITC Avant Garde" w:hAnsi="ITC Avant Garde"/>
        </w:rPr>
        <w:t xml:space="preserve"> y Radiomóvil Dipsa</w:t>
      </w:r>
      <w:r w:rsidR="009D542D">
        <w:rPr>
          <w:rFonts w:ascii="ITC Avant Garde" w:hAnsi="ITC Avant Garde"/>
        </w:rPr>
        <w:t xml:space="preserve"> (en lo sucesivo “TELCEL”)</w:t>
      </w:r>
      <w:r w:rsidR="00403633" w:rsidRPr="00403633">
        <w:rPr>
          <w:rFonts w:ascii="ITC Avant Garde" w:hAnsi="ITC Avant Garde"/>
        </w:rPr>
        <w:t xml:space="preserve"> </w:t>
      </w:r>
      <w:r w:rsidR="00941BCA">
        <w:rPr>
          <w:rFonts w:ascii="ITC Avant Garde" w:hAnsi="ITC Avant Garde"/>
        </w:rPr>
        <w:t>señala</w:t>
      </w:r>
      <w:r>
        <w:rPr>
          <w:rFonts w:ascii="ITC Avant Garde" w:hAnsi="ITC Avant Garde"/>
        </w:rPr>
        <w:t>n</w:t>
      </w:r>
      <w:r w:rsidR="00941BCA">
        <w:rPr>
          <w:rFonts w:ascii="ITC Avant Garde" w:hAnsi="ITC Avant Garde"/>
        </w:rPr>
        <w:t xml:space="preserve"> que </w:t>
      </w:r>
      <w:r w:rsidR="009E3CC5">
        <w:rPr>
          <w:rFonts w:ascii="ITC Avant Garde" w:hAnsi="ITC Avant Garde"/>
        </w:rPr>
        <w:t xml:space="preserve">la </w:t>
      </w:r>
      <w:r>
        <w:rPr>
          <w:rFonts w:ascii="ITC Avant Garde" w:hAnsi="ITC Avant Garde"/>
        </w:rPr>
        <w:t>Obra Civil no es infraestructura sino una actividad de construcción, solicitando su eliminación.</w:t>
      </w:r>
      <w:r w:rsidR="00C60A3D">
        <w:rPr>
          <w:rFonts w:ascii="ITC Avant Garde" w:hAnsi="ITC Avant Garde"/>
        </w:rPr>
        <w:t xml:space="preserve"> </w:t>
      </w:r>
      <w:r w:rsidR="009D542D">
        <w:rPr>
          <w:rFonts w:ascii="ITC Avant Garde" w:hAnsi="ITC Avant Garde"/>
        </w:rPr>
        <w:t>TELCEL</w:t>
      </w:r>
      <w:r w:rsidR="00C60A3D">
        <w:rPr>
          <w:rFonts w:ascii="ITC Avant Garde" w:hAnsi="ITC Avant Garde"/>
        </w:rPr>
        <w:t xml:space="preserve"> agrega que </w:t>
      </w:r>
      <w:r w:rsidR="00C60A3D" w:rsidRPr="00C60A3D">
        <w:rPr>
          <w:rFonts w:ascii="ITC Avant Garde" w:hAnsi="ITC Avant Garde"/>
        </w:rPr>
        <w:t>ya se encuentra obligada, por virtud de la regulación asimétrica, a notificar a los concesionarios las actividades que impliquen la realización de nueva Obra Civil, por lo que esa Autoridad la estaría sometiendo injustificada e improcedentemente a una sobre regulación.</w:t>
      </w:r>
    </w:p>
    <w:p w14:paraId="7DBC4794" w14:textId="02581374" w:rsidR="00C355A8" w:rsidRDefault="002E093C" w:rsidP="00F20987">
      <w:pPr>
        <w:spacing w:before="240" w:after="120" w:line="276" w:lineRule="auto"/>
        <w:ind w:left="426"/>
        <w:jc w:val="both"/>
        <w:rPr>
          <w:rFonts w:ascii="ITC Avant Garde" w:hAnsi="ITC Avant Garde"/>
        </w:rPr>
      </w:pPr>
      <w:r>
        <w:rPr>
          <w:rFonts w:ascii="ITC Avant Garde" w:hAnsi="ITC Avant Garde"/>
        </w:rPr>
        <w:t>RESPUESTA:</w:t>
      </w:r>
      <w:r w:rsidR="00C60A3D">
        <w:rPr>
          <w:rFonts w:ascii="ITC Avant Garde" w:hAnsi="ITC Avant Garde"/>
        </w:rPr>
        <w:t xml:space="preserve"> L</w:t>
      </w:r>
      <w:r w:rsidR="006A5828">
        <w:rPr>
          <w:rFonts w:ascii="ITC Avant Garde" w:hAnsi="ITC Avant Garde"/>
        </w:rPr>
        <w:t xml:space="preserve">a </w:t>
      </w:r>
      <w:r w:rsidR="00BD5226">
        <w:rPr>
          <w:rFonts w:ascii="ITC Avant Garde" w:hAnsi="ITC Avant Garde"/>
        </w:rPr>
        <w:t xml:space="preserve">modificación a los </w:t>
      </w:r>
      <w:r w:rsidR="009D1991">
        <w:rPr>
          <w:rFonts w:ascii="ITC Avant Garde" w:hAnsi="ITC Avant Garde"/>
        </w:rPr>
        <w:t>L</w:t>
      </w:r>
      <w:r w:rsidR="00BD5226">
        <w:rPr>
          <w:rFonts w:ascii="ITC Avant Garde" w:hAnsi="ITC Avant Garde"/>
        </w:rPr>
        <w:t xml:space="preserve">ineamientos en lo referente a Obra Civil, es con el objetivo de hacerlos congruentes con los </w:t>
      </w:r>
      <w:r w:rsidR="00C60A3D">
        <w:rPr>
          <w:rFonts w:ascii="ITC Avant Garde" w:hAnsi="ITC Avant Garde"/>
        </w:rPr>
        <w:t>LDAP</w:t>
      </w:r>
      <w:r w:rsidR="009D1991">
        <w:rPr>
          <w:rFonts w:ascii="ITC Avant Garde" w:hAnsi="ITC Avant Garde"/>
        </w:rPr>
        <w:t>, en los cuales</w:t>
      </w:r>
      <w:r w:rsidR="00BD5226">
        <w:rPr>
          <w:rFonts w:ascii="ITC Avant Garde" w:hAnsi="ITC Avant Garde"/>
        </w:rPr>
        <w:t xml:space="preserve"> </w:t>
      </w:r>
      <w:r w:rsidR="009D1991">
        <w:rPr>
          <w:rFonts w:ascii="ITC Avant Garde" w:hAnsi="ITC Avant Garde"/>
        </w:rPr>
        <w:t xml:space="preserve">se hace </w:t>
      </w:r>
      <w:r>
        <w:rPr>
          <w:rFonts w:ascii="ITC Avant Garde" w:hAnsi="ITC Avant Garde"/>
        </w:rPr>
        <w:lastRenderedPageBreak/>
        <w:t>referencia al</w:t>
      </w:r>
      <w:r w:rsidR="00A746D8">
        <w:rPr>
          <w:rFonts w:ascii="ITC Avant Garde" w:hAnsi="ITC Avant Garde"/>
        </w:rPr>
        <w:t xml:space="preserve"> SNII</w:t>
      </w:r>
      <w:r w:rsidR="00BD5226">
        <w:rPr>
          <w:rFonts w:ascii="ITC Avant Garde" w:hAnsi="ITC Avant Garde"/>
        </w:rPr>
        <w:t>, en el capítulo III</w:t>
      </w:r>
      <w:r w:rsidR="009D1991">
        <w:rPr>
          <w:rFonts w:ascii="ITC Avant Garde" w:hAnsi="ITC Avant Garde"/>
        </w:rPr>
        <w:t xml:space="preserve"> y</w:t>
      </w:r>
      <w:r w:rsidR="00BD5226">
        <w:rPr>
          <w:rFonts w:ascii="ITC Avant Garde" w:hAnsi="ITC Avant Garde"/>
        </w:rPr>
        <w:t xml:space="preserve"> </w:t>
      </w:r>
      <w:r>
        <w:rPr>
          <w:rFonts w:ascii="ITC Avant Garde" w:hAnsi="ITC Avant Garde"/>
        </w:rPr>
        <w:t>se</w:t>
      </w:r>
      <w:r w:rsidR="00BD5226">
        <w:rPr>
          <w:rFonts w:ascii="ITC Avant Garde" w:hAnsi="ITC Avant Garde"/>
        </w:rPr>
        <w:t xml:space="preserve"> establece que </w:t>
      </w:r>
      <w:r w:rsidR="009D1991">
        <w:rPr>
          <w:rFonts w:ascii="ITC Avant Garde" w:hAnsi="ITC Avant Garde"/>
        </w:rPr>
        <w:t xml:space="preserve">dicho sistema </w:t>
      </w:r>
      <w:r w:rsidR="00BD5226">
        <w:rPr>
          <w:rFonts w:ascii="ITC Avant Garde" w:hAnsi="ITC Avant Garde"/>
        </w:rPr>
        <w:t xml:space="preserve">contará con un espacio para </w:t>
      </w:r>
      <w:r w:rsidR="000C2EA2" w:rsidRPr="000C2EA2">
        <w:rPr>
          <w:rFonts w:ascii="ITC Avant Garde" w:hAnsi="ITC Avant Garde"/>
        </w:rPr>
        <w:t xml:space="preserve">consultar y publicar información sobre </w:t>
      </w:r>
      <w:r w:rsidR="000C2EA2">
        <w:rPr>
          <w:rFonts w:ascii="ITC Avant Garde" w:hAnsi="ITC Avant Garde"/>
        </w:rPr>
        <w:t xml:space="preserve">nueva </w:t>
      </w:r>
      <w:r w:rsidR="000C2EA2" w:rsidRPr="000C2EA2">
        <w:rPr>
          <w:rFonts w:ascii="ITC Avant Garde" w:hAnsi="ITC Avant Garde"/>
        </w:rPr>
        <w:t xml:space="preserve">obra civil de tal manera que los concesionarios </w:t>
      </w:r>
      <w:r w:rsidR="00BF4476">
        <w:rPr>
          <w:rFonts w:ascii="ITC Avant Garde" w:hAnsi="ITC Avant Garde"/>
        </w:rPr>
        <w:t xml:space="preserve">que estén por iniciar obra civil </w:t>
      </w:r>
      <w:r w:rsidR="000C2EA2" w:rsidRPr="000C2EA2">
        <w:rPr>
          <w:rFonts w:ascii="ITC Avant Garde" w:hAnsi="ITC Avant Garde"/>
        </w:rPr>
        <w:t xml:space="preserve">y los interesados en adherirse </w:t>
      </w:r>
      <w:r w:rsidR="00BF4476">
        <w:rPr>
          <w:rFonts w:ascii="ITC Avant Garde" w:hAnsi="ITC Avant Garde"/>
        </w:rPr>
        <w:t xml:space="preserve">a ella </w:t>
      </w:r>
      <w:r w:rsidR="000C2EA2" w:rsidRPr="000C2EA2">
        <w:rPr>
          <w:rFonts w:ascii="ITC Avant Garde" w:hAnsi="ITC Avant Garde"/>
        </w:rPr>
        <w:t xml:space="preserve">puedan coordinarse, a efecto de promover despliegues </w:t>
      </w:r>
      <w:r w:rsidR="004F03FF">
        <w:rPr>
          <w:rFonts w:ascii="ITC Avant Garde" w:hAnsi="ITC Avant Garde"/>
        </w:rPr>
        <w:t xml:space="preserve">coordinados </w:t>
      </w:r>
      <w:r w:rsidR="000C2EA2" w:rsidRPr="000C2EA2">
        <w:rPr>
          <w:rFonts w:ascii="ITC Avant Garde" w:hAnsi="ITC Avant Garde"/>
        </w:rPr>
        <w:t xml:space="preserve">de infraestructura </w:t>
      </w:r>
      <w:r w:rsidR="00BD5226">
        <w:rPr>
          <w:rFonts w:ascii="ITC Avant Garde" w:hAnsi="ITC Avant Garde"/>
        </w:rPr>
        <w:t>.</w:t>
      </w:r>
      <w:r w:rsidR="00D23C2A">
        <w:rPr>
          <w:rFonts w:ascii="ITC Avant Garde" w:hAnsi="ITC Avant Garde"/>
        </w:rPr>
        <w:t xml:space="preserve"> Asimismo, se señala que en </w:t>
      </w:r>
      <w:r w:rsidR="009D1991">
        <w:rPr>
          <w:rFonts w:ascii="ITC Avant Garde" w:hAnsi="ITC Avant Garde"/>
        </w:rPr>
        <w:t>l</w:t>
      </w:r>
      <w:r w:rsidR="00D23C2A">
        <w:rPr>
          <w:rFonts w:ascii="ITC Avant Garde" w:hAnsi="ITC Avant Garde"/>
        </w:rPr>
        <w:t xml:space="preserve">os </w:t>
      </w:r>
      <w:r w:rsidR="009D1991">
        <w:rPr>
          <w:rFonts w:ascii="ITC Avant Garde" w:hAnsi="ITC Avant Garde"/>
        </w:rPr>
        <w:t>L</w:t>
      </w:r>
      <w:r w:rsidR="00D23C2A">
        <w:rPr>
          <w:rFonts w:ascii="ITC Avant Garde" w:hAnsi="ITC Avant Garde"/>
        </w:rPr>
        <w:t xml:space="preserve">ineamientos </w:t>
      </w:r>
      <w:r w:rsidR="009D1991">
        <w:rPr>
          <w:rFonts w:ascii="ITC Avant Garde" w:hAnsi="ITC Avant Garde"/>
        </w:rPr>
        <w:t xml:space="preserve">y los LDAP </w:t>
      </w:r>
      <w:r w:rsidR="00D23C2A">
        <w:rPr>
          <w:rFonts w:ascii="ITC Avant Garde" w:hAnsi="ITC Avant Garde"/>
        </w:rPr>
        <w:t>no se establece requisito alguno referente a los permisos.</w:t>
      </w:r>
    </w:p>
    <w:p w14:paraId="6325258F" w14:textId="102F2E93" w:rsidR="000B05FC" w:rsidRDefault="000B05FC" w:rsidP="002E093C">
      <w:pPr>
        <w:spacing w:before="240" w:after="120" w:line="276" w:lineRule="auto"/>
        <w:ind w:left="426"/>
        <w:jc w:val="both"/>
        <w:rPr>
          <w:rFonts w:ascii="ITC Avant Garde" w:hAnsi="ITC Avant Garde"/>
          <w:b/>
        </w:rPr>
      </w:pPr>
      <w:r w:rsidRPr="000B05FC">
        <w:rPr>
          <w:rFonts w:ascii="ITC Avant Garde" w:hAnsi="ITC Avant Garde"/>
          <w:b/>
        </w:rPr>
        <w:t xml:space="preserve">ARTÍCULO </w:t>
      </w:r>
      <w:r w:rsidR="00D23C2A">
        <w:rPr>
          <w:rFonts w:ascii="ITC Avant Garde" w:hAnsi="ITC Avant Garde"/>
          <w:b/>
        </w:rPr>
        <w:t>SEXTO</w:t>
      </w:r>
    </w:p>
    <w:p w14:paraId="231EC933" w14:textId="3233C7FC" w:rsidR="000B05FC" w:rsidRPr="000B05FC" w:rsidRDefault="00C2765E" w:rsidP="002E093C">
      <w:pPr>
        <w:spacing w:before="240" w:after="120" w:line="276" w:lineRule="auto"/>
        <w:ind w:left="426"/>
        <w:jc w:val="both"/>
        <w:rPr>
          <w:rFonts w:ascii="ITC Avant Garde" w:hAnsi="ITC Avant Garde"/>
        </w:rPr>
      </w:pPr>
      <w:r>
        <w:rPr>
          <w:rFonts w:ascii="ITC Avant Garde" w:hAnsi="ITC Avant Garde"/>
        </w:rPr>
        <w:t xml:space="preserve">TELEVISORA </w:t>
      </w:r>
      <w:r w:rsidR="00DA35A3">
        <w:rPr>
          <w:rFonts w:ascii="ITC Avant Garde" w:hAnsi="ITC Avant Garde"/>
        </w:rPr>
        <w:t xml:space="preserve">DE </w:t>
      </w:r>
      <w:r>
        <w:rPr>
          <w:rFonts w:ascii="ITC Avant Garde" w:hAnsi="ITC Avant Garde"/>
        </w:rPr>
        <w:t>NAVOJOA</w:t>
      </w:r>
      <w:r w:rsidR="00D23C2A">
        <w:rPr>
          <w:rFonts w:ascii="ITC Avant Garde" w:hAnsi="ITC Avant Garde"/>
        </w:rPr>
        <w:t xml:space="preserve"> indica que la redacción del segundo párrafo es </w:t>
      </w:r>
      <w:r w:rsidR="005D6FD5">
        <w:rPr>
          <w:rFonts w:ascii="ITC Avant Garde" w:hAnsi="ITC Avant Garde"/>
        </w:rPr>
        <w:t>contradictoria</w:t>
      </w:r>
      <w:r w:rsidR="00D23C2A">
        <w:rPr>
          <w:rFonts w:ascii="ITC Avant Garde" w:hAnsi="ITC Avant Garde"/>
        </w:rPr>
        <w:t xml:space="preserve"> con el primero y sugiere agregar un párrafo para diferenciar lo que deben reportar los agentes económicos preponderantes o con poder sustancial.</w:t>
      </w:r>
    </w:p>
    <w:p w14:paraId="6F1972BB" w14:textId="34579D65" w:rsidR="000B05FC" w:rsidRDefault="00D23C2A" w:rsidP="002E093C">
      <w:pPr>
        <w:spacing w:before="240" w:after="120" w:line="276" w:lineRule="auto"/>
        <w:ind w:left="426"/>
        <w:jc w:val="both"/>
        <w:rPr>
          <w:rFonts w:ascii="ITC Avant Garde" w:hAnsi="ITC Avant Garde"/>
        </w:rPr>
      </w:pPr>
      <w:r>
        <w:rPr>
          <w:rFonts w:ascii="ITC Avant Garde" w:hAnsi="ITC Avant Garde"/>
        </w:rPr>
        <w:t>A</w:t>
      </w:r>
      <w:r w:rsidR="00C2765E">
        <w:rPr>
          <w:rFonts w:ascii="ITC Avant Garde" w:hAnsi="ITC Avant Garde"/>
        </w:rPr>
        <w:t>XTEL</w:t>
      </w:r>
      <w:r>
        <w:rPr>
          <w:rFonts w:ascii="ITC Avant Garde" w:hAnsi="ITC Avant Garde"/>
        </w:rPr>
        <w:t xml:space="preserve"> muestra su acuerdo con que la obligación recaiga sobre los poseedores de la infraestructura</w:t>
      </w:r>
      <w:r w:rsidR="00AD7017">
        <w:rPr>
          <w:rFonts w:ascii="ITC Avant Garde" w:hAnsi="ITC Avant Garde"/>
        </w:rPr>
        <w:t>.</w:t>
      </w:r>
    </w:p>
    <w:p w14:paraId="3E535B88" w14:textId="4E7760F0" w:rsidR="007F74F6" w:rsidRDefault="007F74F6" w:rsidP="002E093C">
      <w:pPr>
        <w:spacing w:before="240" w:after="120" w:line="276" w:lineRule="auto"/>
        <w:ind w:left="426"/>
        <w:jc w:val="both"/>
        <w:rPr>
          <w:rFonts w:ascii="ITC Avant Garde" w:hAnsi="ITC Avant Garde"/>
        </w:rPr>
      </w:pPr>
      <w:r>
        <w:rPr>
          <w:rFonts w:ascii="ITC Avant Garde" w:hAnsi="ITC Avant Garde"/>
        </w:rPr>
        <w:t xml:space="preserve">Por su parte </w:t>
      </w:r>
      <w:r w:rsidR="00D23C2A">
        <w:rPr>
          <w:rFonts w:ascii="ITC Avant Garde" w:hAnsi="ITC Avant Garde"/>
        </w:rPr>
        <w:t>CANIETI</w:t>
      </w:r>
      <w:r w:rsidR="005D6FD5">
        <w:rPr>
          <w:rFonts w:ascii="ITC Avant Garde" w:hAnsi="ITC Avant Garde"/>
        </w:rPr>
        <w:t xml:space="preserve">, solicita la adición de </w:t>
      </w:r>
      <w:r w:rsidR="009E3CC5">
        <w:rPr>
          <w:rFonts w:ascii="ITC Avant Garde" w:hAnsi="ITC Avant Garde"/>
        </w:rPr>
        <w:t xml:space="preserve">un </w:t>
      </w:r>
      <w:r w:rsidR="005D6FD5">
        <w:rPr>
          <w:rFonts w:ascii="ITC Avant Garde" w:hAnsi="ITC Avant Garde"/>
        </w:rPr>
        <w:t xml:space="preserve">párrafo para </w:t>
      </w:r>
      <w:r w:rsidR="005D6FD5" w:rsidRPr="005D6FD5">
        <w:rPr>
          <w:rFonts w:ascii="ITC Avant Garde" w:hAnsi="ITC Avant Garde"/>
        </w:rPr>
        <w:t>que los Sujetos Obligados (Concesionarios y autorizados) cuenten con mecanismos para convenir con los desarrolladores o dueños de infraestructura para que éstos puedan presentar información al SNII y, con ello, releven a los Sujetos Obligados a presentar la información que aquellos conocen con más detalle</w:t>
      </w:r>
      <w:r w:rsidRPr="007F74F6">
        <w:rPr>
          <w:rFonts w:ascii="ITC Avant Garde" w:hAnsi="ITC Avant Garde"/>
        </w:rPr>
        <w:t>.</w:t>
      </w:r>
    </w:p>
    <w:p w14:paraId="429AAF6C" w14:textId="07EF0D2E" w:rsidR="007F74F6" w:rsidRDefault="00211F49" w:rsidP="002E093C">
      <w:pPr>
        <w:spacing w:before="240" w:after="120" w:line="276" w:lineRule="auto"/>
        <w:ind w:left="426"/>
        <w:jc w:val="both"/>
        <w:rPr>
          <w:rFonts w:ascii="ITC Avant Garde" w:hAnsi="ITC Avant Garde"/>
        </w:rPr>
      </w:pPr>
      <w:r>
        <w:rPr>
          <w:rFonts w:ascii="ITC Avant Garde" w:hAnsi="ITC Avant Garde"/>
        </w:rPr>
        <w:t xml:space="preserve">RESPUESTA: </w:t>
      </w:r>
      <w:r w:rsidR="005D6FD5">
        <w:rPr>
          <w:rFonts w:ascii="ITC Avant Garde" w:hAnsi="ITC Avant Garde"/>
        </w:rPr>
        <w:t>Se aclara que el</w:t>
      </w:r>
      <w:r w:rsidR="005D6FD5" w:rsidRPr="005D6FD5">
        <w:rPr>
          <w:rFonts w:ascii="ITC Avant Garde" w:hAnsi="ITC Avant Garde"/>
        </w:rPr>
        <w:t xml:space="preserve"> segundo párrafo establece una excepción, con el propósito de disminuir las cargas de los Sujetos Obligados y evitar duplicidad innecesaria en la información</w:t>
      </w:r>
      <w:r w:rsidR="005D6FD5">
        <w:rPr>
          <w:rFonts w:ascii="ITC Avant Garde" w:hAnsi="ITC Avant Garde"/>
        </w:rPr>
        <w:t xml:space="preserve">, así como que </w:t>
      </w:r>
      <w:r w:rsidR="005D6FD5" w:rsidRPr="005D6FD5">
        <w:rPr>
          <w:rFonts w:ascii="ITC Avant Garde" w:hAnsi="ITC Avant Garde"/>
        </w:rPr>
        <w:t xml:space="preserve">todos los Sujetos Obligados </w:t>
      </w:r>
      <w:r w:rsidR="005D6FD5">
        <w:rPr>
          <w:rFonts w:ascii="ITC Avant Garde" w:hAnsi="ITC Avant Garde"/>
        </w:rPr>
        <w:t xml:space="preserve">deben </w:t>
      </w:r>
      <w:r w:rsidR="005D6FD5" w:rsidRPr="005D6FD5">
        <w:rPr>
          <w:rFonts w:ascii="ITC Avant Garde" w:hAnsi="ITC Avant Garde"/>
        </w:rPr>
        <w:t>reportar la infraestructura que les corresponda</w:t>
      </w:r>
      <w:r w:rsidR="005D6FD5">
        <w:rPr>
          <w:rFonts w:ascii="ITC Avant Garde" w:hAnsi="ITC Avant Garde"/>
        </w:rPr>
        <w:t xml:space="preserve"> como lo establece y detalla la Ley</w:t>
      </w:r>
      <w:r w:rsidR="00BD11F9">
        <w:rPr>
          <w:rFonts w:ascii="ITC Avant Garde" w:hAnsi="ITC Avant Garde"/>
        </w:rPr>
        <w:t xml:space="preserve"> Federal de Telecomunicaciones y Radiodifusión (</w:t>
      </w:r>
      <w:r w:rsidR="000C2EA2">
        <w:rPr>
          <w:rFonts w:ascii="ITC Avant Garde" w:hAnsi="ITC Avant Garde"/>
        </w:rPr>
        <w:t>e</w:t>
      </w:r>
      <w:r w:rsidR="00BD11F9">
        <w:rPr>
          <w:rFonts w:ascii="ITC Avant Garde" w:hAnsi="ITC Avant Garde"/>
        </w:rPr>
        <w:t>n lo sucesivo, “Ley”)</w:t>
      </w:r>
      <w:r w:rsidR="005D6FD5">
        <w:rPr>
          <w:rFonts w:ascii="ITC Avant Garde" w:hAnsi="ITC Avant Garde"/>
        </w:rPr>
        <w:t xml:space="preserve"> en sus artículos 181 a 188</w:t>
      </w:r>
      <w:r w:rsidR="005D6FD5" w:rsidRPr="005D6FD5">
        <w:rPr>
          <w:rFonts w:ascii="ITC Avant Garde" w:hAnsi="ITC Avant Garde"/>
        </w:rPr>
        <w:t>.</w:t>
      </w:r>
    </w:p>
    <w:p w14:paraId="53A0966D" w14:textId="78D94E7D" w:rsidR="0030240F" w:rsidRDefault="0030240F" w:rsidP="002E093C">
      <w:pPr>
        <w:spacing w:before="240" w:after="120" w:line="276" w:lineRule="auto"/>
        <w:ind w:left="426"/>
        <w:jc w:val="both"/>
        <w:rPr>
          <w:rFonts w:ascii="ITC Avant Garde" w:hAnsi="ITC Avant Garde"/>
        </w:rPr>
      </w:pPr>
      <w:r>
        <w:rPr>
          <w:rFonts w:ascii="ITC Avant Garde" w:hAnsi="ITC Avant Garde"/>
        </w:rPr>
        <w:t>Con relación a l</w:t>
      </w:r>
      <w:r w:rsidR="009E3CC5">
        <w:rPr>
          <w:rFonts w:ascii="ITC Avant Garde" w:hAnsi="ITC Avant Garde"/>
        </w:rPr>
        <w:t>a</w:t>
      </w:r>
      <w:r>
        <w:rPr>
          <w:rFonts w:ascii="ITC Avant Garde" w:hAnsi="ITC Avant Garde"/>
        </w:rPr>
        <w:t xml:space="preserve"> solicitud de CANIETI, se atiende y se adiciona </w:t>
      </w:r>
      <w:r w:rsidR="00CF5CCB">
        <w:rPr>
          <w:rFonts w:ascii="ITC Avant Garde" w:hAnsi="ITC Avant Garde"/>
        </w:rPr>
        <w:t>párrafo.</w:t>
      </w:r>
    </w:p>
    <w:p w14:paraId="1481F81C" w14:textId="50DCB3C6" w:rsidR="007F74F6" w:rsidRPr="000B05FC" w:rsidRDefault="007F74F6" w:rsidP="00F34D5B">
      <w:pPr>
        <w:spacing w:before="240" w:after="120" w:line="276" w:lineRule="auto"/>
        <w:ind w:left="426"/>
        <w:jc w:val="both"/>
        <w:rPr>
          <w:rFonts w:ascii="ITC Avant Garde" w:hAnsi="ITC Avant Garde"/>
          <w:b/>
        </w:rPr>
      </w:pPr>
      <w:r>
        <w:rPr>
          <w:rFonts w:ascii="ITC Avant Garde" w:hAnsi="ITC Avant Garde"/>
          <w:b/>
        </w:rPr>
        <w:t xml:space="preserve">ARTICULO </w:t>
      </w:r>
      <w:r w:rsidR="00CF5CCB">
        <w:rPr>
          <w:rFonts w:ascii="ITC Avant Garde" w:hAnsi="ITC Avant Garde"/>
          <w:b/>
        </w:rPr>
        <w:t>OCTAVO</w:t>
      </w:r>
    </w:p>
    <w:p w14:paraId="591816E6" w14:textId="7A88B310" w:rsidR="00C355A8" w:rsidRDefault="00CF5CCB" w:rsidP="00F34D5B">
      <w:pPr>
        <w:spacing w:before="240" w:after="120" w:line="276" w:lineRule="auto"/>
        <w:ind w:left="426"/>
        <w:jc w:val="both"/>
        <w:rPr>
          <w:rFonts w:ascii="ITC Avant Garde" w:hAnsi="ITC Avant Garde"/>
        </w:rPr>
      </w:pPr>
      <w:r>
        <w:rPr>
          <w:rFonts w:ascii="ITC Avant Garde" w:hAnsi="ITC Avant Garde"/>
        </w:rPr>
        <w:t>TELEVISORA</w:t>
      </w:r>
      <w:r w:rsidR="00DA35A3">
        <w:rPr>
          <w:rFonts w:ascii="ITC Avant Garde" w:hAnsi="ITC Avant Garde"/>
        </w:rPr>
        <w:t xml:space="preserve"> DE</w:t>
      </w:r>
      <w:r>
        <w:rPr>
          <w:rFonts w:ascii="ITC Avant Garde" w:hAnsi="ITC Avant Garde"/>
        </w:rPr>
        <w:t xml:space="preserve"> NAVOJOA, señala la falta </w:t>
      </w:r>
      <w:r w:rsidRPr="00CF5CCB">
        <w:rPr>
          <w:rFonts w:ascii="ITC Avant Garde" w:hAnsi="ITC Avant Garde"/>
        </w:rPr>
        <w:t xml:space="preserve">de formatos de texto estructurado </w:t>
      </w:r>
      <w:r>
        <w:rPr>
          <w:rFonts w:ascii="ITC Avant Garde" w:hAnsi="ITC Avant Garde"/>
        </w:rPr>
        <w:t xml:space="preserve">disponibles y la eliminación del </w:t>
      </w:r>
      <w:r w:rsidRPr="00CF5CCB">
        <w:rPr>
          <w:rFonts w:ascii="ITC Avant Garde" w:hAnsi="ITC Avant Garde"/>
        </w:rPr>
        <w:t>código identificador único</w:t>
      </w:r>
      <w:r w:rsidR="008739E2">
        <w:rPr>
          <w:rFonts w:ascii="ITC Avant Garde" w:hAnsi="ITC Avant Garde"/>
        </w:rPr>
        <w:t>.</w:t>
      </w:r>
    </w:p>
    <w:p w14:paraId="346B5B6D" w14:textId="43A50BC2" w:rsidR="008739E2" w:rsidRDefault="008739E2" w:rsidP="00F34D5B">
      <w:pPr>
        <w:spacing w:before="240" w:after="120" w:line="276" w:lineRule="auto"/>
        <w:ind w:left="426"/>
        <w:jc w:val="both"/>
        <w:rPr>
          <w:rFonts w:ascii="ITC Avant Garde" w:hAnsi="ITC Avant Garde"/>
        </w:rPr>
      </w:pPr>
      <w:r>
        <w:rPr>
          <w:rFonts w:ascii="ITC Avant Garde" w:hAnsi="ITC Avant Garde"/>
        </w:rPr>
        <w:lastRenderedPageBreak/>
        <w:t xml:space="preserve">Por otro lado, RED NACIONAL y TELMEX solicitan no se derogue la fracción XIII correspondiente a </w:t>
      </w:r>
      <w:r w:rsidR="009E3CC5">
        <w:rPr>
          <w:rFonts w:ascii="ITC Avant Garde" w:hAnsi="ITC Avant Garde"/>
        </w:rPr>
        <w:t>i</w:t>
      </w:r>
      <w:r w:rsidRPr="008739E2">
        <w:rPr>
          <w:rFonts w:ascii="ITC Avant Garde" w:hAnsi="ITC Avant Garde"/>
        </w:rPr>
        <w:t xml:space="preserve">nformar sobre los periodos de mantenimiento e interrupciones del </w:t>
      </w:r>
      <w:r>
        <w:rPr>
          <w:rFonts w:ascii="ITC Avant Garde" w:hAnsi="ITC Avant Garde"/>
        </w:rPr>
        <w:t>sistema.</w:t>
      </w:r>
    </w:p>
    <w:p w14:paraId="7DC2AE55" w14:textId="2A365781" w:rsidR="008739E2" w:rsidRDefault="008739E2" w:rsidP="00F34D5B">
      <w:pPr>
        <w:spacing w:before="240" w:after="120" w:line="276" w:lineRule="auto"/>
        <w:ind w:left="426"/>
        <w:jc w:val="both"/>
        <w:rPr>
          <w:rFonts w:ascii="ITC Avant Garde" w:hAnsi="ITC Avant Garde"/>
        </w:rPr>
      </w:pPr>
      <w:r>
        <w:rPr>
          <w:rFonts w:ascii="ITC Avant Garde" w:hAnsi="ITC Avant Garde"/>
        </w:rPr>
        <w:t xml:space="preserve">Asimismo, TELEVISA solicita mantener la carga de archivos vectoriales y </w:t>
      </w:r>
      <w:r w:rsidRPr="008739E2">
        <w:rPr>
          <w:rFonts w:ascii="ITC Avant Garde" w:hAnsi="ITC Avant Garde"/>
        </w:rPr>
        <w:t>o archivos de texto y/o a través de los formatos vectoriales o de texto estructurado</w:t>
      </w:r>
      <w:r>
        <w:rPr>
          <w:rFonts w:ascii="ITC Avant Garde" w:hAnsi="ITC Avant Garde"/>
        </w:rPr>
        <w:t>.</w:t>
      </w:r>
    </w:p>
    <w:p w14:paraId="01C7B03B" w14:textId="7CC18ED9" w:rsidR="008739E2" w:rsidRDefault="008739E2" w:rsidP="00F34D5B">
      <w:pPr>
        <w:spacing w:before="240" w:after="120" w:line="276" w:lineRule="auto"/>
        <w:ind w:left="426"/>
        <w:jc w:val="both"/>
        <w:rPr>
          <w:rFonts w:ascii="ITC Avant Garde" w:hAnsi="ITC Avant Garde"/>
        </w:rPr>
      </w:pPr>
      <w:r>
        <w:rPr>
          <w:rFonts w:ascii="ITC Avant Garde" w:hAnsi="ITC Avant Garde"/>
        </w:rPr>
        <w:t>Por su parte</w:t>
      </w:r>
      <w:r w:rsidR="009D542D">
        <w:rPr>
          <w:rFonts w:ascii="ITC Avant Garde" w:hAnsi="ITC Avant Garde"/>
        </w:rPr>
        <w:t>,</w:t>
      </w:r>
      <w:r>
        <w:rPr>
          <w:rFonts w:ascii="ITC Avant Garde" w:hAnsi="ITC Avant Garde"/>
        </w:rPr>
        <w:t xml:space="preserve"> </w:t>
      </w:r>
      <w:r w:rsidR="00C2765E">
        <w:rPr>
          <w:rFonts w:ascii="ITC Avant Garde" w:hAnsi="ITC Avant Garde"/>
        </w:rPr>
        <w:t xml:space="preserve">AXTEL </w:t>
      </w:r>
      <w:r w:rsidR="009D542D">
        <w:rPr>
          <w:rFonts w:ascii="ITC Avant Garde" w:hAnsi="ITC Avant Garde"/>
        </w:rPr>
        <w:t>solicita sesiones de prueba previas con los concesionarios y autorizados, así como el manual operativo del sistema.</w:t>
      </w:r>
    </w:p>
    <w:p w14:paraId="3A7AD290" w14:textId="3B05977B" w:rsidR="009D542D" w:rsidRDefault="009D542D" w:rsidP="00F34D5B">
      <w:pPr>
        <w:spacing w:before="240" w:after="120" w:line="276" w:lineRule="auto"/>
        <w:ind w:left="426"/>
        <w:jc w:val="both"/>
        <w:rPr>
          <w:rFonts w:ascii="ITC Avant Garde" w:hAnsi="ITC Avant Garde"/>
        </w:rPr>
      </w:pPr>
      <w:r>
        <w:rPr>
          <w:rFonts w:ascii="ITC Avant Garde" w:hAnsi="ITC Avant Garde"/>
        </w:rPr>
        <w:t>TELMEX, señala que s</w:t>
      </w:r>
      <w:r w:rsidRPr="009D542D">
        <w:rPr>
          <w:rFonts w:ascii="ITC Avant Garde" w:hAnsi="ITC Avant Garde"/>
        </w:rPr>
        <w:t>e debe establecer el proceso y las consideraciones que debe cumplir el sistema para garantizar la confidencialidad de la información</w:t>
      </w:r>
      <w:r>
        <w:rPr>
          <w:rFonts w:ascii="ITC Avant Garde" w:hAnsi="ITC Avant Garde"/>
        </w:rPr>
        <w:t xml:space="preserve">. Asimismo, solicita la modificación </w:t>
      </w:r>
      <w:r w:rsidR="00365A7E">
        <w:rPr>
          <w:rFonts w:ascii="ITC Avant Garde" w:hAnsi="ITC Avant Garde"/>
        </w:rPr>
        <w:t xml:space="preserve">de redacción de la Fracción III, adicionar funcionalidades de registro de consulta de información y que se permita a </w:t>
      </w:r>
      <w:r w:rsidR="00365A7E" w:rsidRPr="00365A7E">
        <w:rPr>
          <w:rFonts w:ascii="ITC Avant Garde" w:hAnsi="ITC Avant Garde"/>
        </w:rPr>
        <w:t>Sujetos Obligados saber quién ha hecho consultas sobre su información</w:t>
      </w:r>
    </w:p>
    <w:p w14:paraId="0116742E" w14:textId="29689307" w:rsidR="007F74F6" w:rsidRDefault="00365A7E" w:rsidP="00365A7E">
      <w:pPr>
        <w:spacing w:before="240" w:after="120" w:line="276" w:lineRule="auto"/>
        <w:ind w:left="426"/>
        <w:jc w:val="both"/>
        <w:rPr>
          <w:rFonts w:ascii="ITC Avant Garde" w:hAnsi="ITC Avant Garde"/>
        </w:rPr>
      </w:pPr>
      <w:r>
        <w:rPr>
          <w:rFonts w:ascii="ITC Avant Garde" w:hAnsi="ITC Avant Garde"/>
        </w:rPr>
        <w:t>TELCEL</w:t>
      </w:r>
      <w:r w:rsidR="0063216E">
        <w:rPr>
          <w:rFonts w:ascii="ITC Avant Garde" w:hAnsi="ITC Avant Garde"/>
        </w:rPr>
        <w:t xml:space="preserve"> </w:t>
      </w:r>
      <w:r>
        <w:rPr>
          <w:rFonts w:ascii="ITC Avant Garde" w:hAnsi="ITC Avant Garde"/>
        </w:rPr>
        <w:t xml:space="preserve">por su parte, solicita </w:t>
      </w:r>
      <w:r w:rsidRPr="00365A7E">
        <w:rPr>
          <w:rFonts w:ascii="ITC Avant Garde" w:hAnsi="ITC Avant Garde"/>
        </w:rPr>
        <w:t>se hagan del conocimiento de los Sujetos Obligados los formatos vectoriales o de texto estructurado para la carga de información en el SNII.</w:t>
      </w:r>
      <w:r>
        <w:rPr>
          <w:rFonts w:ascii="ITC Avant Garde" w:hAnsi="ITC Avant Garde"/>
        </w:rPr>
        <w:t xml:space="preserve"> </w:t>
      </w:r>
      <w:r w:rsidR="0063216E" w:rsidRPr="0063216E">
        <w:rPr>
          <w:rFonts w:ascii="ITC Avant Garde" w:hAnsi="ITC Avant Garde"/>
        </w:rPr>
        <w:t xml:space="preserve"> </w:t>
      </w:r>
    </w:p>
    <w:p w14:paraId="5573B092" w14:textId="3DCFC6BA" w:rsidR="00365A7E" w:rsidRDefault="0051788B" w:rsidP="00365A7E">
      <w:pPr>
        <w:spacing w:before="240" w:after="120" w:line="276" w:lineRule="auto"/>
        <w:ind w:left="426"/>
        <w:jc w:val="both"/>
        <w:rPr>
          <w:rFonts w:ascii="ITC Avant Garde" w:hAnsi="ITC Avant Garde"/>
        </w:rPr>
      </w:pPr>
      <w:r>
        <w:rPr>
          <w:rFonts w:ascii="ITC Avant Garde" w:hAnsi="ITC Avant Garde"/>
        </w:rPr>
        <w:t xml:space="preserve">RESPUESTA: </w:t>
      </w:r>
      <w:bookmarkStart w:id="2" w:name="_Hlk152790836"/>
      <w:r w:rsidR="00365A7E">
        <w:rPr>
          <w:rFonts w:ascii="ITC Avant Garde" w:hAnsi="ITC Avant Garde"/>
        </w:rPr>
        <w:t>Se informa que s</w:t>
      </w:r>
      <w:r w:rsidR="00365A7E" w:rsidRPr="00365A7E">
        <w:rPr>
          <w:rFonts w:ascii="ITC Avant Garde" w:hAnsi="ITC Avant Garde"/>
        </w:rPr>
        <w:t>e publicará un tutorial con las instrucciones de carga de información además de</w:t>
      </w:r>
      <w:r w:rsidR="009D1991">
        <w:rPr>
          <w:rFonts w:ascii="ITC Avant Garde" w:hAnsi="ITC Avant Garde"/>
        </w:rPr>
        <w:t xml:space="preserve"> que se realizarán</w:t>
      </w:r>
      <w:r w:rsidR="00365A7E" w:rsidRPr="00365A7E">
        <w:rPr>
          <w:rFonts w:ascii="ITC Avant Garde" w:hAnsi="ITC Avant Garde"/>
        </w:rPr>
        <w:t xml:space="preserve"> talleres informativos. Asimismo, el sistema cuenta con manuales de usuario que estarán disponibles para cualquier interesado</w:t>
      </w:r>
      <w:r w:rsidR="00365A7E">
        <w:rPr>
          <w:rFonts w:ascii="ITC Avant Garde" w:hAnsi="ITC Avant Garde"/>
        </w:rPr>
        <w:t>.</w:t>
      </w:r>
    </w:p>
    <w:bookmarkEnd w:id="2"/>
    <w:p w14:paraId="6EAEC42D" w14:textId="2DC18FD7" w:rsidR="00365A7E" w:rsidRDefault="00365A7E" w:rsidP="00365A7E">
      <w:pPr>
        <w:spacing w:before="240" w:after="120" w:line="276" w:lineRule="auto"/>
        <w:ind w:left="426"/>
        <w:jc w:val="both"/>
        <w:rPr>
          <w:rFonts w:ascii="ITC Avant Garde" w:hAnsi="ITC Avant Garde"/>
        </w:rPr>
      </w:pPr>
      <w:r>
        <w:rPr>
          <w:rFonts w:ascii="ITC Avant Garde" w:hAnsi="ITC Avant Garde"/>
        </w:rPr>
        <w:t xml:space="preserve">Por otro lado, se </w:t>
      </w:r>
      <w:r w:rsidRPr="00365A7E">
        <w:rPr>
          <w:rFonts w:ascii="ITC Avant Garde" w:hAnsi="ITC Avant Garde"/>
        </w:rPr>
        <w:t>aclara que el sistema contará con bitácora e historial de acciones</w:t>
      </w:r>
      <w:r w:rsidR="00105A79">
        <w:rPr>
          <w:rFonts w:ascii="ITC Avant Garde" w:hAnsi="ITC Avant Garde"/>
        </w:rPr>
        <w:t xml:space="preserve"> y que l</w:t>
      </w:r>
      <w:r w:rsidR="00105A79" w:rsidRPr="00105A79">
        <w:rPr>
          <w:rFonts w:ascii="ITC Avant Garde" w:hAnsi="ITC Avant Garde"/>
        </w:rPr>
        <w:t>a información y el sistema se encuentran bajo resguardo en la infraestructura del Instituto que cuenta con sistemas de seguridad avanzados.</w:t>
      </w:r>
    </w:p>
    <w:p w14:paraId="75B7FCC6" w14:textId="72BE7455" w:rsidR="00105A79" w:rsidRDefault="00105A79" w:rsidP="00365A7E">
      <w:pPr>
        <w:spacing w:before="240" w:after="120" w:line="276" w:lineRule="auto"/>
        <w:ind w:left="426"/>
        <w:jc w:val="both"/>
        <w:rPr>
          <w:rFonts w:ascii="ITC Avant Garde" w:hAnsi="ITC Avant Garde"/>
        </w:rPr>
      </w:pPr>
      <w:r>
        <w:rPr>
          <w:rFonts w:ascii="ITC Avant Garde" w:hAnsi="ITC Avant Garde"/>
        </w:rPr>
        <w:t xml:space="preserve">Asimismo, se </w:t>
      </w:r>
      <w:r w:rsidRPr="00105A79">
        <w:rPr>
          <w:rFonts w:ascii="ITC Avant Garde" w:hAnsi="ITC Avant Garde"/>
        </w:rPr>
        <w:t xml:space="preserve">toma en consideración para no derogar la fracción </w:t>
      </w:r>
      <w:r>
        <w:rPr>
          <w:rFonts w:ascii="ITC Avant Garde" w:hAnsi="ITC Avant Garde"/>
        </w:rPr>
        <w:t xml:space="preserve">XIII </w:t>
      </w:r>
      <w:r w:rsidRPr="00105A79">
        <w:rPr>
          <w:rFonts w:ascii="ITC Avant Garde" w:hAnsi="ITC Avant Garde"/>
        </w:rPr>
        <w:t>y permanezca en los términos que actualmente se encuentra, dejando en claro que los avisos de mantenimiento y falla se realizará</w:t>
      </w:r>
      <w:r w:rsidR="00087760">
        <w:rPr>
          <w:rFonts w:ascii="ITC Avant Garde" w:hAnsi="ITC Avant Garde"/>
        </w:rPr>
        <w:t>n</w:t>
      </w:r>
      <w:r w:rsidRPr="00105A79">
        <w:rPr>
          <w:rFonts w:ascii="ITC Avant Garde" w:hAnsi="ITC Avant Garde"/>
        </w:rPr>
        <w:t xml:space="preserve"> a través de Ventanilla Electrónica y de los mecanismos institucionales establecidos </w:t>
      </w:r>
      <w:r>
        <w:rPr>
          <w:rFonts w:ascii="ITC Avant Garde" w:hAnsi="ITC Avant Garde"/>
        </w:rPr>
        <w:t>para tal</w:t>
      </w:r>
      <w:r w:rsidRPr="00105A79">
        <w:rPr>
          <w:rFonts w:ascii="ITC Avant Garde" w:hAnsi="ITC Avant Garde"/>
        </w:rPr>
        <w:t xml:space="preserve"> efecto.</w:t>
      </w:r>
    </w:p>
    <w:p w14:paraId="17143A11" w14:textId="7E04667A" w:rsidR="00ED1EEC" w:rsidRDefault="00105A79" w:rsidP="00ED1EEC">
      <w:pPr>
        <w:spacing w:before="240" w:after="120" w:line="276" w:lineRule="auto"/>
        <w:ind w:left="426"/>
        <w:jc w:val="both"/>
        <w:rPr>
          <w:rFonts w:ascii="ITC Avant Garde" w:hAnsi="ITC Avant Garde"/>
        </w:rPr>
      </w:pPr>
      <w:r>
        <w:rPr>
          <w:rFonts w:ascii="ITC Avant Garde" w:hAnsi="ITC Avant Garde"/>
        </w:rPr>
        <w:t>Por último, se toma en consideración el cambio de redacción propuesta para la fracción III.</w:t>
      </w:r>
    </w:p>
    <w:p w14:paraId="471C69E1" w14:textId="6191643B" w:rsidR="001C7829" w:rsidRDefault="008B5BB0" w:rsidP="001C7829">
      <w:pPr>
        <w:pStyle w:val="Prrafodelista"/>
        <w:numPr>
          <w:ilvl w:val="0"/>
          <w:numId w:val="6"/>
        </w:numPr>
        <w:spacing w:before="240" w:after="120" w:line="276" w:lineRule="auto"/>
        <w:jc w:val="both"/>
        <w:rPr>
          <w:rFonts w:ascii="ITC Avant Garde" w:hAnsi="ITC Avant Garde"/>
          <w:b/>
        </w:rPr>
      </w:pPr>
      <w:r w:rsidRPr="008B5BB0">
        <w:rPr>
          <w:rFonts w:ascii="ITC Avant Garde" w:hAnsi="ITC Avant Garde"/>
          <w:b/>
        </w:rPr>
        <w:t>DEL ACCESO PARA ENTREGA Y LA SOLICITUD DE ACCESO PARA CONSULTA</w:t>
      </w:r>
    </w:p>
    <w:p w14:paraId="21BF099F" w14:textId="77777777" w:rsidR="00ED1EEC" w:rsidRDefault="00ED1EEC" w:rsidP="00ED1EEC">
      <w:pPr>
        <w:pStyle w:val="Prrafodelista"/>
        <w:spacing w:before="240" w:after="120" w:line="276" w:lineRule="auto"/>
        <w:ind w:left="360"/>
        <w:jc w:val="both"/>
        <w:rPr>
          <w:rFonts w:ascii="ITC Avant Garde" w:hAnsi="ITC Avant Garde"/>
          <w:b/>
        </w:rPr>
      </w:pPr>
    </w:p>
    <w:p w14:paraId="08EBAE83" w14:textId="3B9FCD67" w:rsidR="001C7829" w:rsidRPr="000B05FC" w:rsidRDefault="001C7829" w:rsidP="00F34D5B">
      <w:pPr>
        <w:spacing w:before="240" w:after="120" w:line="276" w:lineRule="auto"/>
        <w:ind w:left="426"/>
        <w:jc w:val="both"/>
        <w:rPr>
          <w:rFonts w:ascii="ITC Avant Garde" w:hAnsi="ITC Avant Garde"/>
          <w:b/>
        </w:rPr>
      </w:pPr>
      <w:r>
        <w:rPr>
          <w:rFonts w:ascii="ITC Avant Garde" w:hAnsi="ITC Avant Garde"/>
          <w:b/>
        </w:rPr>
        <w:t xml:space="preserve">ARTICULO </w:t>
      </w:r>
      <w:r w:rsidR="008B5BB0">
        <w:rPr>
          <w:rFonts w:ascii="ITC Avant Garde" w:hAnsi="ITC Avant Garde"/>
          <w:b/>
        </w:rPr>
        <w:t>DÉCIMO</w:t>
      </w:r>
    </w:p>
    <w:p w14:paraId="54929182" w14:textId="58DD7BCC" w:rsidR="00C355A8" w:rsidRDefault="008B5BB0" w:rsidP="00F34D5B">
      <w:pPr>
        <w:spacing w:before="240" w:after="120" w:line="276" w:lineRule="auto"/>
        <w:ind w:left="426"/>
        <w:jc w:val="both"/>
        <w:rPr>
          <w:rFonts w:ascii="ITC Avant Garde" w:hAnsi="ITC Avant Garde"/>
        </w:rPr>
      </w:pPr>
      <w:r>
        <w:rPr>
          <w:rFonts w:ascii="ITC Avant Garde" w:hAnsi="ITC Avant Garde"/>
        </w:rPr>
        <w:t>TELMEX señala que n</w:t>
      </w:r>
      <w:r w:rsidRPr="008B5BB0">
        <w:rPr>
          <w:rFonts w:ascii="ITC Avant Garde" w:hAnsi="ITC Avant Garde"/>
        </w:rPr>
        <w:t>o es claro como el IFT dará seguridad y confidencialidad a la información que sea presentada a Usuarios interesado</w:t>
      </w:r>
      <w:r w:rsidR="00087760">
        <w:rPr>
          <w:rFonts w:ascii="ITC Avant Garde" w:hAnsi="ITC Avant Garde"/>
        </w:rPr>
        <w:t>s</w:t>
      </w:r>
      <w:r w:rsidRPr="008B5BB0">
        <w:rPr>
          <w:rFonts w:ascii="ITC Avant Garde" w:hAnsi="ITC Avant Garde"/>
        </w:rPr>
        <w:t>. Es necesario determinar cómo se identificará al posible infractor de la confidencialidad y la aplicación de sus consecuencias.</w:t>
      </w:r>
    </w:p>
    <w:p w14:paraId="15E511BA" w14:textId="28D52D35" w:rsidR="00100097" w:rsidRDefault="00100097" w:rsidP="00F34D5B">
      <w:pPr>
        <w:spacing w:before="240" w:after="120" w:line="276" w:lineRule="auto"/>
        <w:ind w:left="426"/>
        <w:jc w:val="both"/>
        <w:rPr>
          <w:rFonts w:ascii="ITC Avant Garde" w:hAnsi="ITC Avant Garde"/>
        </w:rPr>
      </w:pPr>
      <w:r>
        <w:rPr>
          <w:rFonts w:ascii="ITC Avant Garde" w:hAnsi="ITC Avant Garde"/>
        </w:rPr>
        <w:t xml:space="preserve">RESPUESTA: </w:t>
      </w:r>
      <w:r w:rsidR="008B5BB0">
        <w:rPr>
          <w:rFonts w:ascii="ITC Avant Garde" w:hAnsi="ITC Avant Garde"/>
        </w:rPr>
        <w:t xml:space="preserve">El acceso a la información se encuentra establecido en </w:t>
      </w:r>
      <w:r w:rsidR="008B5BB0" w:rsidRPr="008B5BB0">
        <w:rPr>
          <w:rFonts w:ascii="ITC Avant Garde" w:hAnsi="ITC Avant Garde"/>
        </w:rPr>
        <w:t>el artículo 181 de la L</w:t>
      </w:r>
      <w:r w:rsidR="008B5BB0">
        <w:rPr>
          <w:rFonts w:ascii="ITC Avant Garde" w:hAnsi="ITC Avant Garde"/>
        </w:rPr>
        <w:t>ey</w:t>
      </w:r>
      <w:r w:rsidR="008B5BB0" w:rsidRPr="008B5BB0">
        <w:rPr>
          <w:rFonts w:ascii="ITC Avant Garde" w:hAnsi="ITC Avant Garde"/>
        </w:rPr>
        <w:t>, y conforme a los procedimientos y términos establecidos en el Lineamientos del SNII</w:t>
      </w:r>
      <w:r w:rsidR="008B5BB0">
        <w:rPr>
          <w:rFonts w:ascii="ITC Avant Garde" w:hAnsi="ITC Avant Garde"/>
        </w:rPr>
        <w:t>, haciendo hincapié en que este punto no es tema de la consulta.</w:t>
      </w:r>
    </w:p>
    <w:p w14:paraId="0FE5DCD2" w14:textId="77777777" w:rsidR="00100097" w:rsidRDefault="00100097" w:rsidP="00F34D5B">
      <w:pPr>
        <w:spacing w:before="240" w:after="120" w:line="276" w:lineRule="auto"/>
        <w:ind w:left="426"/>
        <w:jc w:val="both"/>
        <w:rPr>
          <w:rFonts w:ascii="ITC Avant Garde" w:hAnsi="ITC Avant Garde"/>
        </w:rPr>
      </w:pPr>
    </w:p>
    <w:p w14:paraId="00552C60" w14:textId="6FED0238" w:rsidR="001C7829" w:rsidRPr="000B05FC" w:rsidRDefault="001C7829" w:rsidP="00F34D5B">
      <w:pPr>
        <w:spacing w:before="240" w:after="120" w:line="276" w:lineRule="auto"/>
        <w:ind w:left="426"/>
        <w:jc w:val="both"/>
        <w:rPr>
          <w:rFonts w:ascii="ITC Avant Garde" w:hAnsi="ITC Avant Garde"/>
          <w:b/>
        </w:rPr>
      </w:pPr>
      <w:r>
        <w:rPr>
          <w:rFonts w:ascii="ITC Avant Garde" w:hAnsi="ITC Avant Garde"/>
          <w:b/>
        </w:rPr>
        <w:t xml:space="preserve">ARTICULO </w:t>
      </w:r>
      <w:r w:rsidR="008B5BB0">
        <w:rPr>
          <w:rFonts w:ascii="ITC Avant Garde" w:hAnsi="ITC Avant Garde"/>
          <w:b/>
        </w:rPr>
        <w:t xml:space="preserve">DÉCIMO </w:t>
      </w:r>
      <w:r w:rsidR="00A964A3">
        <w:rPr>
          <w:rFonts w:ascii="ITC Avant Garde" w:hAnsi="ITC Avant Garde"/>
          <w:b/>
        </w:rPr>
        <w:t>SEGUNDO</w:t>
      </w:r>
    </w:p>
    <w:p w14:paraId="5E94084F" w14:textId="619E85F5" w:rsidR="00C355A8" w:rsidRDefault="00A964A3" w:rsidP="00F34D5B">
      <w:pPr>
        <w:spacing w:before="240" w:after="120" w:line="276" w:lineRule="auto"/>
        <w:ind w:left="426"/>
        <w:jc w:val="both"/>
        <w:rPr>
          <w:rFonts w:ascii="ITC Avant Garde" w:hAnsi="ITC Avant Garde"/>
        </w:rPr>
      </w:pPr>
      <w:r>
        <w:rPr>
          <w:rFonts w:ascii="ITC Avant Garde" w:hAnsi="ITC Avant Garde"/>
        </w:rPr>
        <w:t xml:space="preserve">TELMEX señala falta de </w:t>
      </w:r>
      <w:r w:rsidRPr="00A964A3">
        <w:rPr>
          <w:rFonts w:ascii="ITC Avant Garde" w:hAnsi="ITC Avant Garde"/>
        </w:rPr>
        <w:t>certeza a los PST´s que únicamente hay Usuarios Interesados designados vigentes visualizando la información</w:t>
      </w:r>
      <w:r>
        <w:rPr>
          <w:rFonts w:ascii="ITC Avant Garde" w:hAnsi="ITC Avant Garde"/>
        </w:rPr>
        <w:t xml:space="preserve"> y cuestiona c</w:t>
      </w:r>
      <w:r w:rsidRPr="00A964A3">
        <w:rPr>
          <w:rFonts w:ascii="ITC Avant Garde" w:hAnsi="ITC Avant Garde"/>
        </w:rPr>
        <w:t>u</w:t>
      </w:r>
      <w:r>
        <w:rPr>
          <w:rFonts w:ascii="ITC Avant Garde" w:hAnsi="ITC Avant Garde"/>
        </w:rPr>
        <w:t>a</w:t>
      </w:r>
      <w:r w:rsidRPr="00A964A3">
        <w:rPr>
          <w:rFonts w:ascii="ITC Avant Garde" w:hAnsi="ITC Avant Garde"/>
        </w:rPr>
        <w:t>l es el proceso cuando las autoridades de seguridad y procuración omitan notificar al IFT la revocación o conclusión de las designaciones</w:t>
      </w:r>
      <w:r w:rsidR="001C7829" w:rsidRPr="001C7829">
        <w:rPr>
          <w:rFonts w:ascii="ITC Avant Garde" w:hAnsi="ITC Avant Garde"/>
        </w:rPr>
        <w:t>.</w:t>
      </w:r>
    </w:p>
    <w:p w14:paraId="1985FF4B" w14:textId="49ECBDE3" w:rsidR="00A964A3" w:rsidRDefault="00A964A3" w:rsidP="00F34D5B">
      <w:pPr>
        <w:spacing w:before="240" w:after="120" w:line="276" w:lineRule="auto"/>
        <w:ind w:left="426"/>
        <w:jc w:val="both"/>
        <w:rPr>
          <w:rFonts w:ascii="ITC Avant Garde" w:hAnsi="ITC Avant Garde"/>
        </w:rPr>
      </w:pPr>
      <w:r>
        <w:rPr>
          <w:rFonts w:ascii="ITC Avant Garde" w:hAnsi="ITC Avant Garde"/>
        </w:rPr>
        <w:t xml:space="preserve">Asimismo, solicita </w:t>
      </w:r>
      <w:r w:rsidRPr="00A964A3">
        <w:rPr>
          <w:rFonts w:ascii="ITC Avant Garde" w:hAnsi="ITC Avant Garde"/>
        </w:rPr>
        <w:t>establecer un periodo</w:t>
      </w:r>
      <w:r>
        <w:rPr>
          <w:rFonts w:ascii="ITC Avant Garde" w:hAnsi="ITC Avant Garde"/>
        </w:rPr>
        <w:t xml:space="preserve"> </w:t>
      </w:r>
      <w:r w:rsidRPr="00A964A3">
        <w:rPr>
          <w:rFonts w:ascii="ITC Avant Garde" w:hAnsi="ITC Avant Garde"/>
        </w:rPr>
        <w:t>en el que los Usuarios Interesados deban renovar sus credenciales de acceso y en caso de no hacerlo darlos de baja</w:t>
      </w:r>
      <w:r>
        <w:rPr>
          <w:rFonts w:ascii="ITC Avant Garde" w:hAnsi="ITC Avant Garde"/>
        </w:rPr>
        <w:t>.</w:t>
      </w:r>
    </w:p>
    <w:p w14:paraId="046AB63F" w14:textId="2DC0F3DC" w:rsidR="00A964A3" w:rsidRDefault="00CD53D3" w:rsidP="00A964A3">
      <w:pPr>
        <w:spacing w:before="240" w:after="120" w:line="276" w:lineRule="auto"/>
        <w:ind w:left="426"/>
        <w:jc w:val="both"/>
        <w:rPr>
          <w:rFonts w:ascii="ITC Avant Garde" w:hAnsi="ITC Avant Garde"/>
        </w:rPr>
      </w:pPr>
      <w:r>
        <w:rPr>
          <w:rFonts w:ascii="ITC Avant Garde" w:hAnsi="ITC Avant Garde"/>
        </w:rPr>
        <w:t xml:space="preserve">RESPUESTA: </w:t>
      </w:r>
      <w:r w:rsidR="00A964A3">
        <w:rPr>
          <w:rFonts w:ascii="ITC Avant Garde" w:hAnsi="ITC Avant Garde"/>
        </w:rPr>
        <w:t xml:space="preserve">El acceso a la información se encuentra establecido en </w:t>
      </w:r>
      <w:r w:rsidR="00A964A3" w:rsidRPr="008B5BB0">
        <w:rPr>
          <w:rFonts w:ascii="ITC Avant Garde" w:hAnsi="ITC Avant Garde"/>
        </w:rPr>
        <w:t>el artículo 181 de la L</w:t>
      </w:r>
      <w:r w:rsidR="00A964A3">
        <w:rPr>
          <w:rFonts w:ascii="ITC Avant Garde" w:hAnsi="ITC Avant Garde"/>
        </w:rPr>
        <w:t>ey</w:t>
      </w:r>
      <w:r w:rsidR="00A964A3" w:rsidRPr="008B5BB0">
        <w:rPr>
          <w:rFonts w:ascii="ITC Avant Garde" w:hAnsi="ITC Avant Garde"/>
        </w:rPr>
        <w:t>, y conforme a los procedimientos y términos establecidos en l</w:t>
      </w:r>
      <w:r w:rsidR="00896688">
        <w:rPr>
          <w:rFonts w:ascii="ITC Avant Garde" w:hAnsi="ITC Avant Garde"/>
        </w:rPr>
        <w:t>os</w:t>
      </w:r>
      <w:r w:rsidR="00A964A3" w:rsidRPr="008B5BB0">
        <w:rPr>
          <w:rFonts w:ascii="ITC Avant Garde" w:hAnsi="ITC Avant Garde"/>
        </w:rPr>
        <w:t xml:space="preserve"> Lineamientos del SNII</w:t>
      </w:r>
      <w:r w:rsidR="00A964A3">
        <w:rPr>
          <w:rFonts w:ascii="ITC Avant Garde" w:hAnsi="ITC Avant Garde"/>
        </w:rPr>
        <w:t>, haciendo hincapié en que este punto no es tema de la consulta.</w:t>
      </w:r>
    </w:p>
    <w:p w14:paraId="7DCBD36E" w14:textId="65858B29" w:rsidR="000F21F1" w:rsidRPr="000B05FC" w:rsidRDefault="00A964A3" w:rsidP="00A964A3">
      <w:pPr>
        <w:spacing w:before="240" w:after="120" w:line="276" w:lineRule="auto"/>
        <w:ind w:left="426"/>
        <w:jc w:val="both"/>
        <w:rPr>
          <w:rFonts w:ascii="ITC Avant Garde" w:hAnsi="ITC Avant Garde"/>
          <w:b/>
        </w:rPr>
      </w:pPr>
      <w:r>
        <w:rPr>
          <w:rFonts w:ascii="ITC Avant Garde" w:hAnsi="ITC Avant Garde"/>
          <w:b/>
        </w:rPr>
        <w:t>ARTICULO DÉCIMO TERCERO</w:t>
      </w:r>
    </w:p>
    <w:p w14:paraId="7F1295D4" w14:textId="70AA0D97" w:rsidR="000F21F1" w:rsidRDefault="00A964A3" w:rsidP="00F34D5B">
      <w:pPr>
        <w:spacing w:before="240" w:after="120" w:line="276" w:lineRule="auto"/>
        <w:ind w:left="426"/>
        <w:jc w:val="both"/>
        <w:rPr>
          <w:rFonts w:ascii="ITC Avant Garde" w:hAnsi="ITC Avant Garde"/>
        </w:rPr>
      </w:pPr>
      <w:r>
        <w:rPr>
          <w:rFonts w:ascii="ITC Avant Garde" w:hAnsi="ITC Avant Garde"/>
        </w:rPr>
        <w:t xml:space="preserve">TELMEX señala que es </w:t>
      </w:r>
      <w:r w:rsidRPr="00A964A3">
        <w:rPr>
          <w:rFonts w:ascii="ITC Avant Garde" w:hAnsi="ITC Avant Garde"/>
        </w:rPr>
        <w:t>necesario establecer el proceso y consideraciones que deben cumplir los Sujetos interesados que sean nuevos o que no sean concesionarios. Esto con la finalidad de validar que no haya fugas de información que permitan ataques a las vías de comunicación.</w:t>
      </w:r>
    </w:p>
    <w:p w14:paraId="2486F57C" w14:textId="5E58055A" w:rsidR="00A964A3" w:rsidRDefault="00A964A3" w:rsidP="00A964A3">
      <w:pPr>
        <w:spacing w:before="240" w:after="120" w:line="276" w:lineRule="auto"/>
        <w:ind w:left="426"/>
        <w:jc w:val="both"/>
        <w:rPr>
          <w:rFonts w:ascii="ITC Avant Garde" w:hAnsi="ITC Avant Garde"/>
        </w:rPr>
      </w:pPr>
      <w:r>
        <w:rPr>
          <w:rFonts w:ascii="ITC Avant Garde" w:hAnsi="ITC Avant Garde"/>
        </w:rPr>
        <w:lastRenderedPageBreak/>
        <w:t xml:space="preserve">RESPUESTA: </w:t>
      </w:r>
      <w:r w:rsidR="009D1991">
        <w:rPr>
          <w:rFonts w:ascii="ITC Avant Garde" w:hAnsi="ITC Avant Garde"/>
        </w:rPr>
        <w:t xml:space="preserve">El acceso a la información se encuentra establecido en </w:t>
      </w:r>
      <w:r w:rsidR="009D1991" w:rsidRPr="008B5BB0">
        <w:rPr>
          <w:rFonts w:ascii="ITC Avant Garde" w:hAnsi="ITC Avant Garde"/>
        </w:rPr>
        <w:t>el artículo 181 de la L</w:t>
      </w:r>
      <w:r w:rsidR="009D1991">
        <w:rPr>
          <w:rFonts w:ascii="ITC Avant Garde" w:hAnsi="ITC Avant Garde"/>
        </w:rPr>
        <w:t>ey</w:t>
      </w:r>
      <w:r w:rsidR="009D1991" w:rsidRPr="008B5BB0">
        <w:rPr>
          <w:rFonts w:ascii="ITC Avant Garde" w:hAnsi="ITC Avant Garde"/>
        </w:rPr>
        <w:t>, y conforme a los procedimientos y términos establecidos en l</w:t>
      </w:r>
      <w:r w:rsidR="00896688">
        <w:rPr>
          <w:rFonts w:ascii="ITC Avant Garde" w:hAnsi="ITC Avant Garde"/>
        </w:rPr>
        <w:t>os</w:t>
      </w:r>
      <w:r w:rsidR="009D1991" w:rsidRPr="008B5BB0">
        <w:rPr>
          <w:rFonts w:ascii="ITC Avant Garde" w:hAnsi="ITC Avant Garde"/>
        </w:rPr>
        <w:t xml:space="preserve"> Lineamientos del SNII</w:t>
      </w:r>
      <w:r w:rsidR="009D1991">
        <w:rPr>
          <w:rFonts w:ascii="ITC Avant Garde" w:hAnsi="ITC Avant Garde"/>
        </w:rPr>
        <w:t>, haciendo hincapié en que este punto no es tema de la consulta.</w:t>
      </w:r>
    </w:p>
    <w:p w14:paraId="4E8963A4" w14:textId="07C0653F" w:rsidR="00D30D6E" w:rsidRDefault="00D30D6E" w:rsidP="009D1991">
      <w:pPr>
        <w:spacing w:before="240" w:after="120" w:line="276" w:lineRule="auto"/>
        <w:jc w:val="both"/>
        <w:rPr>
          <w:rFonts w:ascii="ITC Avant Garde" w:hAnsi="ITC Avant Garde"/>
        </w:rPr>
      </w:pPr>
    </w:p>
    <w:p w14:paraId="7096981C" w14:textId="41763185" w:rsidR="00D30D6E" w:rsidRDefault="00D30D6E" w:rsidP="00D30D6E">
      <w:pPr>
        <w:pStyle w:val="Prrafodelista"/>
        <w:numPr>
          <w:ilvl w:val="0"/>
          <w:numId w:val="6"/>
        </w:numPr>
        <w:spacing w:before="240" w:after="120" w:line="276" w:lineRule="auto"/>
        <w:jc w:val="both"/>
        <w:rPr>
          <w:rFonts w:ascii="ITC Avant Garde" w:hAnsi="ITC Avant Garde"/>
          <w:b/>
        </w:rPr>
      </w:pPr>
      <w:r w:rsidRPr="008B5BB0">
        <w:rPr>
          <w:rFonts w:ascii="ITC Avant Garde" w:hAnsi="ITC Avant Garde"/>
          <w:b/>
        </w:rPr>
        <w:t xml:space="preserve">DE </w:t>
      </w:r>
      <w:r w:rsidRPr="003D3390">
        <w:rPr>
          <w:rFonts w:ascii="ITC Avant Garde" w:eastAsia="ITC Avant Garde" w:hAnsi="ITC Avant Garde" w:cs="ITC Avant Garde"/>
          <w:b/>
          <w:bCs/>
        </w:rPr>
        <w:t>LA REVOCACIÓN DE REPRESENTANTES Y LA CANCELACIÓN DE ACCESOS PARA ENTREGA Y ACCESOS PARA CONSULTA.</w:t>
      </w:r>
    </w:p>
    <w:p w14:paraId="7AF8CD1E" w14:textId="77777777" w:rsidR="00D30D6E" w:rsidRDefault="00D30D6E" w:rsidP="00A964A3">
      <w:pPr>
        <w:spacing w:before="240" w:after="120" w:line="276" w:lineRule="auto"/>
        <w:ind w:left="426"/>
        <w:jc w:val="both"/>
        <w:rPr>
          <w:rFonts w:ascii="ITC Avant Garde" w:hAnsi="ITC Avant Garde"/>
        </w:rPr>
      </w:pPr>
    </w:p>
    <w:p w14:paraId="070AF522" w14:textId="0753A92D" w:rsidR="000F21F1" w:rsidRPr="000B05FC" w:rsidRDefault="000F21F1" w:rsidP="00F34D5B">
      <w:pPr>
        <w:spacing w:before="240" w:after="120" w:line="276" w:lineRule="auto"/>
        <w:ind w:left="426"/>
        <w:jc w:val="both"/>
        <w:rPr>
          <w:rFonts w:ascii="ITC Avant Garde" w:hAnsi="ITC Avant Garde"/>
          <w:b/>
        </w:rPr>
      </w:pPr>
      <w:r>
        <w:rPr>
          <w:rFonts w:ascii="ITC Avant Garde" w:hAnsi="ITC Avant Garde"/>
          <w:b/>
        </w:rPr>
        <w:t xml:space="preserve">ARTICULO </w:t>
      </w:r>
      <w:r w:rsidR="00C2765E">
        <w:rPr>
          <w:rFonts w:ascii="ITC Avant Garde" w:hAnsi="ITC Avant Garde"/>
          <w:b/>
        </w:rPr>
        <w:t>DÉCIMO CUARTO</w:t>
      </w:r>
    </w:p>
    <w:p w14:paraId="4A6ACA6E" w14:textId="6D4308FA" w:rsidR="00C2765E" w:rsidRDefault="00C2765E" w:rsidP="00C2765E">
      <w:pPr>
        <w:spacing w:before="240" w:after="120" w:line="276" w:lineRule="auto"/>
        <w:ind w:left="426"/>
        <w:jc w:val="both"/>
        <w:rPr>
          <w:rFonts w:ascii="ITC Avant Garde" w:hAnsi="ITC Avant Garde"/>
        </w:rPr>
      </w:pPr>
      <w:r>
        <w:rPr>
          <w:rFonts w:ascii="ITC Avant Garde" w:hAnsi="ITC Avant Garde"/>
        </w:rPr>
        <w:t>PEGASO PCS (en lo sucesivo “MOVISTAR”)</w:t>
      </w:r>
      <w:r w:rsidR="000F21F1" w:rsidRPr="000F21F1">
        <w:rPr>
          <w:rFonts w:ascii="ITC Avant Garde" w:hAnsi="ITC Avant Garde"/>
        </w:rPr>
        <w:t xml:space="preserve"> </w:t>
      </w:r>
      <w:r>
        <w:rPr>
          <w:rFonts w:ascii="ITC Avant Garde" w:hAnsi="ITC Avant Garde"/>
        </w:rPr>
        <w:t>y CANIETI, solicitan</w:t>
      </w:r>
      <w:r w:rsidR="000F21F1" w:rsidRPr="000F21F1">
        <w:rPr>
          <w:rFonts w:ascii="ITC Avant Garde" w:hAnsi="ITC Avant Garde"/>
        </w:rPr>
        <w:t xml:space="preserve"> </w:t>
      </w:r>
      <w:r w:rsidRPr="00C2765E">
        <w:rPr>
          <w:rFonts w:ascii="ITC Avant Garde" w:hAnsi="ITC Avant Garde"/>
        </w:rPr>
        <w:t>derogar el lineamiento</w:t>
      </w:r>
      <w:r>
        <w:rPr>
          <w:rFonts w:ascii="ITC Avant Garde" w:hAnsi="ITC Avant Garde"/>
        </w:rPr>
        <w:t xml:space="preserve"> por considerarlo innecesario y </w:t>
      </w:r>
      <w:r w:rsidRPr="00C2765E">
        <w:rPr>
          <w:rFonts w:ascii="ITC Avant Garde" w:hAnsi="ITC Avant Garde"/>
        </w:rPr>
        <w:t>una carga financiera y operativa para las empresas</w:t>
      </w:r>
      <w:r>
        <w:rPr>
          <w:rFonts w:ascii="ITC Avant Garde" w:hAnsi="ITC Avant Garde"/>
        </w:rPr>
        <w:t>.</w:t>
      </w:r>
    </w:p>
    <w:p w14:paraId="5F6AC8B6" w14:textId="6C68ACE8" w:rsidR="00ED1EEC" w:rsidRPr="000F21F1" w:rsidRDefault="00ED1EEC" w:rsidP="00C2765E">
      <w:pPr>
        <w:spacing w:before="240" w:after="120" w:line="276" w:lineRule="auto"/>
        <w:ind w:left="426"/>
        <w:jc w:val="both"/>
        <w:rPr>
          <w:rFonts w:ascii="ITC Avant Garde" w:hAnsi="ITC Avant Garde"/>
        </w:rPr>
      </w:pPr>
      <w:r>
        <w:rPr>
          <w:rFonts w:ascii="ITC Avant Garde" w:hAnsi="ITC Avant Garde"/>
        </w:rPr>
        <w:t xml:space="preserve">Por otro lado, RED NACIONAL </w:t>
      </w:r>
      <w:r w:rsidRPr="00ED1EEC">
        <w:rPr>
          <w:rFonts w:ascii="ITC Avant Garde" w:hAnsi="ITC Avant Garde"/>
        </w:rPr>
        <w:t>propone la adición del término “nuevo” para acotar que no se trata del revocado o renunciante</w:t>
      </w:r>
      <w:r>
        <w:rPr>
          <w:rFonts w:ascii="ITC Avant Garde" w:hAnsi="ITC Avant Garde"/>
        </w:rPr>
        <w:t>.</w:t>
      </w:r>
    </w:p>
    <w:p w14:paraId="4A46A6D3" w14:textId="57985232" w:rsidR="00C355A8" w:rsidRDefault="00124AF8" w:rsidP="00F34D5B">
      <w:pPr>
        <w:spacing w:before="240" w:after="120" w:line="276" w:lineRule="auto"/>
        <w:ind w:left="426"/>
        <w:jc w:val="both"/>
        <w:rPr>
          <w:rFonts w:ascii="ITC Avant Garde" w:hAnsi="ITC Avant Garde"/>
        </w:rPr>
      </w:pPr>
      <w:r>
        <w:rPr>
          <w:rFonts w:ascii="ITC Avant Garde" w:hAnsi="ITC Avant Garde"/>
        </w:rPr>
        <w:t>RESPUESTA:</w:t>
      </w:r>
      <w:r w:rsidRPr="00124AF8">
        <w:rPr>
          <w:rFonts w:ascii="ITC Avant Garde" w:hAnsi="ITC Avant Garde"/>
        </w:rPr>
        <w:t xml:space="preserve"> </w:t>
      </w:r>
      <w:r w:rsidR="00C2765E" w:rsidRPr="00C2765E">
        <w:rPr>
          <w:rFonts w:ascii="ITC Avant Garde" w:hAnsi="ITC Avant Garde"/>
        </w:rPr>
        <w:t>Los representantes a los que se refiere</w:t>
      </w:r>
      <w:r w:rsidR="00896688">
        <w:rPr>
          <w:rFonts w:ascii="ITC Avant Garde" w:hAnsi="ITC Avant Garde"/>
        </w:rPr>
        <w:t>n</w:t>
      </w:r>
      <w:r w:rsidR="00C2765E" w:rsidRPr="00C2765E">
        <w:rPr>
          <w:rFonts w:ascii="ITC Avant Garde" w:hAnsi="ITC Avant Garde"/>
        </w:rPr>
        <w:t xml:space="preserve"> los Lineamientos, son aquellos acreditados para cargar o consultar la información del SNII dentro de la Ventanilla Electrónica, no a los representantes legales de la empresa en general</w:t>
      </w:r>
      <w:r w:rsidR="00D0145A">
        <w:rPr>
          <w:rFonts w:ascii="ITC Avant Garde" w:hAnsi="ITC Avant Garde"/>
        </w:rPr>
        <w:t>.</w:t>
      </w:r>
    </w:p>
    <w:p w14:paraId="137AD555" w14:textId="6275586D" w:rsidR="00124AF8" w:rsidRDefault="00ED1EEC" w:rsidP="00F34D5B">
      <w:pPr>
        <w:spacing w:before="240" w:after="120" w:line="276" w:lineRule="auto"/>
        <w:ind w:left="426"/>
        <w:jc w:val="both"/>
        <w:rPr>
          <w:rFonts w:ascii="ITC Avant Garde" w:hAnsi="ITC Avant Garde"/>
        </w:rPr>
      </w:pPr>
      <w:r>
        <w:rPr>
          <w:rFonts w:ascii="ITC Avant Garde" w:hAnsi="ITC Avant Garde"/>
        </w:rPr>
        <w:t>Asimismo, se aclara que, l</w:t>
      </w:r>
      <w:r w:rsidRPr="00ED1EEC">
        <w:rPr>
          <w:rFonts w:ascii="ITC Avant Garde" w:hAnsi="ITC Avant Garde"/>
        </w:rPr>
        <w:t>a solicitud de baja del Acceso para Entrega/o del Acceso para Consulta, lo puede realizar un nuevo representante o bien, uno previamente acreditado.</w:t>
      </w:r>
    </w:p>
    <w:p w14:paraId="4ACE48C8" w14:textId="77777777" w:rsidR="00ED1EEC" w:rsidRDefault="00ED1EEC" w:rsidP="00F34D5B">
      <w:pPr>
        <w:spacing w:before="240" w:after="120" w:line="276" w:lineRule="auto"/>
        <w:ind w:left="426"/>
        <w:jc w:val="both"/>
        <w:rPr>
          <w:rFonts w:ascii="ITC Avant Garde" w:hAnsi="ITC Avant Garde"/>
        </w:rPr>
      </w:pPr>
    </w:p>
    <w:p w14:paraId="24E25C7F" w14:textId="66CAEBCF" w:rsidR="00ED1EEC" w:rsidRDefault="00ED1EEC" w:rsidP="00F34D5B">
      <w:pPr>
        <w:spacing w:before="240" w:after="120" w:line="276" w:lineRule="auto"/>
        <w:ind w:left="426"/>
        <w:jc w:val="both"/>
        <w:rPr>
          <w:rFonts w:ascii="ITC Avant Garde" w:hAnsi="ITC Avant Garde"/>
          <w:b/>
        </w:rPr>
      </w:pPr>
      <w:r>
        <w:rPr>
          <w:rFonts w:ascii="ITC Avant Garde" w:hAnsi="ITC Avant Garde"/>
          <w:b/>
        </w:rPr>
        <w:t>ARTICULO DÉCIMO QUINTO</w:t>
      </w:r>
    </w:p>
    <w:p w14:paraId="11C54529" w14:textId="577D71AB" w:rsidR="00ED1EEC" w:rsidRDefault="003725EE" w:rsidP="00F34D5B">
      <w:pPr>
        <w:spacing w:before="240" w:after="120" w:line="276" w:lineRule="auto"/>
        <w:ind w:left="426"/>
        <w:jc w:val="both"/>
        <w:rPr>
          <w:rFonts w:ascii="ITC Avant Garde" w:hAnsi="ITC Avant Garde"/>
        </w:rPr>
      </w:pPr>
      <w:r>
        <w:rPr>
          <w:rFonts w:ascii="ITC Avant Garde" w:hAnsi="ITC Avant Garde"/>
        </w:rPr>
        <w:t xml:space="preserve">GRUPO </w:t>
      </w:r>
      <w:r w:rsidR="00ED1EEC" w:rsidRPr="00ED1EEC">
        <w:rPr>
          <w:rFonts w:ascii="ITC Avant Garde" w:hAnsi="ITC Avant Garde"/>
        </w:rPr>
        <w:t>AT&amp;T</w:t>
      </w:r>
      <w:r>
        <w:rPr>
          <w:rFonts w:ascii="ITC Avant Garde" w:hAnsi="ITC Avant Garde"/>
        </w:rPr>
        <w:t xml:space="preserve"> (en lo sucesivo AT&amp;T)</w:t>
      </w:r>
      <w:r w:rsidR="00ED1EEC" w:rsidRPr="00ED1EEC">
        <w:rPr>
          <w:rFonts w:ascii="ITC Avant Garde" w:hAnsi="ITC Avant Garde"/>
        </w:rPr>
        <w:t>, CANIETI Y TELCEL, solicitan se</w:t>
      </w:r>
      <w:r w:rsidR="00ED1EEC">
        <w:rPr>
          <w:rFonts w:ascii="ITC Avant Garde" w:hAnsi="ITC Avant Garde"/>
        </w:rPr>
        <w:t>siones de prueba con el sistema productivo, entrega de manuales y formatos disponibles.</w:t>
      </w:r>
    </w:p>
    <w:p w14:paraId="0E5BC7AB" w14:textId="2BA71D3C" w:rsidR="00ED1EEC" w:rsidRDefault="00ED1EEC" w:rsidP="00F34D5B">
      <w:pPr>
        <w:spacing w:before="240" w:after="120" w:line="276" w:lineRule="auto"/>
        <w:ind w:left="426"/>
        <w:jc w:val="both"/>
        <w:rPr>
          <w:rFonts w:ascii="ITC Avant Garde" w:hAnsi="ITC Avant Garde"/>
        </w:rPr>
      </w:pPr>
      <w:r>
        <w:rPr>
          <w:rFonts w:ascii="ITC Avant Garde" w:hAnsi="ITC Avant Garde"/>
        </w:rPr>
        <w:t xml:space="preserve">Asimismo, </w:t>
      </w:r>
      <w:r w:rsidR="008157FB">
        <w:rPr>
          <w:rFonts w:ascii="ITC Avant Garde" w:hAnsi="ITC Avant Garde"/>
        </w:rPr>
        <w:t xml:space="preserve">TELMEX </w:t>
      </w:r>
      <w:r w:rsidR="00896688">
        <w:rPr>
          <w:rFonts w:ascii="ITC Avant Garde" w:hAnsi="ITC Avant Garde"/>
        </w:rPr>
        <w:t xml:space="preserve">considera </w:t>
      </w:r>
      <w:r w:rsidR="008157FB">
        <w:rPr>
          <w:rFonts w:ascii="ITC Avant Garde" w:hAnsi="ITC Avant Garde"/>
        </w:rPr>
        <w:t xml:space="preserve">que la entrega de información </w:t>
      </w:r>
      <w:r w:rsidR="008157FB" w:rsidRPr="008157FB">
        <w:rPr>
          <w:rFonts w:ascii="ITC Avant Garde" w:hAnsi="ITC Avant Garde"/>
        </w:rPr>
        <w:t>debe acotarse a la infraestructura disponible.</w:t>
      </w:r>
    </w:p>
    <w:p w14:paraId="3724FB5F" w14:textId="25FFB344" w:rsidR="008157FB" w:rsidRDefault="008157FB" w:rsidP="00F34D5B">
      <w:pPr>
        <w:spacing w:before="240" w:after="120" w:line="276" w:lineRule="auto"/>
        <w:ind w:left="426"/>
        <w:jc w:val="both"/>
        <w:rPr>
          <w:rFonts w:ascii="ITC Avant Garde" w:hAnsi="ITC Avant Garde"/>
        </w:rPr>
      </w:pPr>
      <w:r>
        <w:rPr>
          <w:rFonts w:ascii="ITC Avant Garde" w:hAnsi="ITC Avant Garde"/>
        </w:rPr>
        <w:lastRenderedPageBreak/>
        <w:t xml:space="preserve">RESPUESTA: </w:t>
      </w:r>
      <w:r w:rsidRPr="008157FB">
        <w:rPr>
          <w:rFonts w:ascii="ITC Avant Garde" w:hAnsi="ITC Avant Garde"/>
        </w:rPr>
        <w:t xml:space="preserve">Se informa que se publicará un tutorial con las instrucciones de carga de información además </w:t>
      </w:r>
      <w:r w:rsidR="009D1991">
        <w:rPr>
          <w:rFonts w:ascii="ITC Avant Garde" w:hAnsi="ITC Avant Garde"/>
        </w:rPr>
        <w:t xml:space="preserve">que se realizarán </w:t>
      </w:r>
      <w:r w:rsidRPr="008157FB">
        <w:rPr>
          <w:rFonts w:ascii="ITC Avant Garde" w:hAnsi="ITC Avant Garde"/>
        </w:rPr>
        <w:t>talleres informativos. Asimismo, el sistema cuenta con manuales de usuario que estarán disponibles para cualquier interesado.</w:t>
      </w:r>
    </w:p>
    <w:p w14:paraId="36784023" w14:textId="5777CD4F" w:rsidR="008157FB" w:rsidRDefault="008157FB" w:rsidP="00F34D5B">
      <w:pPr>
        <w:spacing w:before="240" w:after="120" w:line="276" w:lineRule="auto"/>
        <w:ind w:left="426"/>
        <w:jc w:val="both"/>
        <w:rPr>
          <w:rFonts w:ascii="ITC Avant Garde" w:hAnsi="ITC Avant Garde"/>
          <w:b/>
        </w:rPr>
      </w:pPr>
      <w:r>
        <w:rPr>
          <w:rFonts w:ascii="ITC Avant Garde" w:hAnsi="ITC Avant Garde"/>
          <w:b/>
        </w:rPr>
        <w:t>ARTICULO DÉCIMO SEXTO</w:t>
      </w:r>
    </w:p>
    <w:p w14:paraId="2A0C25DE" w14:textId="518FC239" w:rsidR="008157FB" w:rsidRDefault="008157FB" w:rsidP="00F34D5B">
      <w:pPr>
        <w:spacing w:before="240" w:after="120" w:line="276" w:lineRule="auto"/>
        <w:ind w:left="426"/>
        <w:jc w:val="both"/>
        <w:rPr>
          <w:rFonts w:ascii="ITC Avant Garde" w:hAnsi="ITC Avant Garde"/>
        </w:rPr>
      </w:pPr>
      <w:r>
        <w:rPr>
          <w:rFonts w:ascii="ITC Avant Garde" w:hAnsi="ITC Avant Garde"/>
        </w:rPr>
        <w:t xml:space="preserve">RED NACIONAL solicita, </w:t>
      </w:r>
      <w:r w:rsidRPr="008157FB">
        <w:rPr>
          <w:rFonts w:ascii="ITC Avant Garde" w:hAnsi="ITC Avant Garde"/>
        </w:rPr>
        <w:t>regresar el texto complementario de los lineamientos vigentes</w:t>
      </w:r>
      <w:r>
        <w:rPr>
          <w:rFonts w:ascii="ITC Avant Garde" w:hAnsi="ITC Avant Garde"/>
        </w:rPr>
        <w:t xml:space="preserve"> señalando que el plazo anterior era de 15 días hábiles.</w:t>
      </w:r>
    </w:p>
    <w:p w14:paraId="131ADC73" w14:textId="2A87D34D" w:rsidR="008157FB" w:rsidRDefault="008157FB" w:rsidP="00F34D5B">
      <w:pPr>
        <w:spacing w:before="240" w:after="120" w:line="276" w:lineRule="auto"/>
        <w:ind w:left="426"/>
        <w:jc w:val="both"/>
        <w:rPr>
          <w:rFonts w:ascii="ITC Avant Garde" w:hAnsi="ITC Avant Garde"/>
        </w:rPr>
      </w:pPr>
      <w:r w:rsidRPr="008157FB">
        <w:rPr>
          <w:rFonts w:ascii="ITC Avant Garde" w:hAnsi="ITC Avant Garde"/>
        </w:rPr>
        <w:t xml:space="preserve">AT&amp;T, TELMEX Y TELCEL </w:t>
      </w:r>
      <w:r w:rsidR="004A78E1">
        <w:rPr>
          <w:rFonts w:ascii="ITC Avant Garde" w:hAnsi="ITC Avant Garde"/>
        </w:rPr>
        <w:t>r</w:t>
      </w:r>
      <w:r w:rsidRPr="008157FB">
        <w:rPr>
          <w:rFonts w:ascii="ITC Avant Garde" w:hAnsi="ITC Avant Garde"/>
        </w:rPr>
        <w:t>eitera</w:t>
      </w:r>
      <w:r>
        <w:rPr>
          <w:rFonts w:ascii="ITC Avant Garde" w:hAnsi="ITC Avant Garde"/>
        </w:rPr>
        <w:t>n la necesidad de conocer los formatos disponibles y manuales del sistema.</w:t>
      </w:r>
    </w:p>
    <w:p w14:paraId="6F4F413C" w14:textId="20AD682D" w:rsidR="008157FB" w:rsidRDefault="004D4D53" w:rsidP="00F34D5B">
      <w:pPr>
        <w:spacing w:before="240" w:after="120" w:line="276" w:lineRule="auto"/>
        <w:ind w:left="426"/>
        <w:jc w:val="both"/>
        <w:rPr>
          <w:rFonts w:ascii="ITC Avant Garde" w:hAnsi="ITC Avant Garde"/>
        </w:rPr>
      </w:pPr>
      <w:r>
        <w:rPr>
          <w:rFonts w:ascii="ITC Avant Garde" w:hAnsi="ITC Avant Garde"/>
        </w:rPr>
        <w:t xml:space="preserve">AXTEL por su parte, solicita </w:t>
      </w:r>
      <w:r w:rsidRPr="004D4D53">
        <w:rPr>
          <w:rFonts w:ascii="ITC Avant Garde" w:hAnsi="ITC Avant Garde"/>
        </w:rPr>
        <w:t>que, en este Lineamiento Décimo Sexto, se incluya que la notificación contendrá las claves IDE y el tipo de error(</w:t>
      </w:r>
      <w:r w:rsidR="004A78E1">
        <w:rPr>
          <w:rFonts w:ascii="ITC Avant Garde" w:hAnsi="ITC Avant Garde"/>
        </w:rPr>
        <w:t>e</w:t>
      </w:r>
      <w:r w:rsidRPr="004D4D53">
        <w:rPr>
          <w:rFonts w:ascii="ITC Avant Garde" w:hAnsi="ITC Avant Garde"/>
        </w:rPr>
        <w:t>s) que identifique la herramienta del SNII o, en su caso, que el plazo de entrega de respuesta sea cuando menos de 10 días hábiles</w:t>
      </w:r>
      <w:r>
        <w:rPr>
          <w:rFonts w:ascii="ITC Avant Garde" w:hAnsi="ITC Avant Garde"/>
        </w:rPr>
        <w:t>.</w:t>
      </w:r>
    </w:p>
    <w:p w14:paraId="68272B1B" w14:textId="0683041D" w:rsidR="004D4D53" w:rsidRDefault="004D4D53" w:rsidP="00F34D5B">
      <w:pPr>
        <w:spacing w:before="240" w:after="120" w:line="276" w:lineRule="auto"/>
        <w:ind w:left="426"/>
        <w:jc w:val="both"/>
        <w:rPr>
          <w:rFonts w:ascii="ITC Avant Garde" w:hAnsi="ITC Avant Garde"/>
        </w:rPr>
      </w:pPr>
      <w:r>
        <w:rPr>
          <w:rFonts w:ascii="ITC Avant Garde" w:hAnsi="ITC Avant Garde"/>
        </w:rPr>
        <w:t>RESPUESTA: Se aclara que e</w:t>
      </w:r>
      <w:r w:rsidRPr="004D4D53">
        <w:rPr>
          <w:rFonts w:ascii="ITC Avant Garde" w:hAnsi="ITC Avant Garde"/>
        </w:rPr>
        <w:t>l plazo de los Lineamientos del SNII vigentes es de 5 días hábiles y se mantiene sin modificación en el presente proyecto.</w:t>
      </w:r>
    </w:p>
    <w:p w14:paraId="1D9A396D" w14:textId="77777777" w:rsidR="004D4D53" w:rsidRDefault="004D4D53" w:rsidP="004D4D53">
      <w:pPr>
        <w:spacing w:before="240" w:after="120" w:line="276" w:lineRule="auto"/>
        <w:ind w:left="426"/>
        <w:jc w:val="both"/>
        <w:rPr>
          <w:rFonts w:ascii="ITC Avant Garde" w:hAnsi="ITC Avant Garde"/>
        </w:rPr>
      </w:pPr>
      <w:r>
        <w:rPr>
          <w:rFonts w:ascii="ITC Avant Garde" w:hAnsi="ITC Avant Garde"/>
        </w:rPr>
        <w:t xml:space="preserve">Asimismo, se reitera </w:t>
      </w:r>
      <w:r w:rsidRPr="008157FB">
        <w:rPr>
          <w:rFonts w:ascii="ITC Avant Garde" w:hAnsi="ITC Avant Garde"/>
        </w:rPr>
        <w:t>que se publicará un tutorial con las instrucciones de carga de información además de talleres informativos. Asimismo, el sistema cuenta con manuales de usuario que estarán disponibles para cualquier interesado.</w:t>
      </w:r>
    </w:p>
    <w:p w14:paraId="6B416FAD" w14:textId="5B7CE1D6" w:rsidR="004D4D53" w:rsidRDefault="004D4D53" w:rsidP="00F34D5B">
      <w:pPr>
        <w:spacing w:before="240" w:after="120" w:line="276" w:lineRule="auto"/>
        <w:ind w:left="426"/>
        <w:jc w:val="both"/>
        <w:rPr>
          <w:rFonts w:ascii="ITC Avant Garde" w:hAnsi="ITC Avant Garde"/>
        </w:rPr>
      </w:pPr>
      <w:r>
        <w:rPr>
          <w:rFonts w:ascii="ITC Avant Garde" w:hAnsi="ITC Avant Garde"/>
        </w:rPr>
        <w:t>Por último, se indica que e</w:t>
      </w:r>
      <w:r w:rsidRPr="004D4D53">
        <w:rPr>
          <w:rFonts w:ascii="ITC Avant Garde" w:hAnsi="ITC Avant Garde"/>
        </w:rPr>
        <w:t>s responsabilidad del Sujeto Obligado llenar y revisar que la información que presenta ante el Instituto es cierta y cumple con los requerimientos para que el sistema lo procese, para ello, se pondrán a disposición de los Sujetos Obligados a través del sistema los manuales de usuario, así como un video tutorial de carga de información y talleres informativos. El sistema solo tiene la capacidad de notificar si la información no cumple con los requisitos de tipo de dato especificado en el formato correspondiente.</w:t>
      </w:r>
    </w:p>
    <w:p w14:paraId="60F0B04C" w14:textId="6B6E1673" w:rsidR="004D4D53" w:rsidRDefault="004D4D53" w:rsidP="00F34D5B">
      <w:pPr>
        <w:spacing w:before="240" w:after="120" w:line="276" w:lineRule="auto"/>
        <w:ind w:left="426"/>
        <w:jc w:val="both"/>
        <w:rPr>
          <w:rFonts w:ascii="ITC Avant Garde" w:hAnsi="ITC Avant Garde"/>
          <w:b/>
        </w:rPr>
      </w:pPr>
      <w:r>
        <w:rPr>
          <w:rFonts w:ascii="ITC Avant Garde" w:hAnsi="ITC Avant Garde"/>
          <w:b/>
        </w:rPr>
        <w:t>ARTICULO DÉCIMO SÉPTIMO</w:t>
      </w:r>
    </w:p>
    <w:p w14:paraId="7960310F" w14:textId="01CD800A" w:rsidR="004D4D53" w:rsidRDefault="002C10CE" w:rsidP="00F34D5B">
      <w:pPr>
        <w:spacing w:before="240" w:after="120" w:line="276" w:lineRule="auto"/>
        <w:ind w:left="426"/>
        <w:jc w:val="both"/>
        <w:rPr>
          <w:rFonts w:ascii="ITC Avant Garde" w:hAnsi="ITC Avant Garde"/>
        </w:rPr>
      </w:pPr>
      <w:r>
        <w:rPr>
          <w:rFonts w:ascii="ITC Avant Garde" w:hAnsi="ITC Avant Garde"/>
        </w:rPr>
        <w:t xml:space="preserve">TELEVISORA </w:t>
      </w:r>
      <w:r w:rsidR="00DA35A3">
        <w:rPr>
          <w:rFonts w:ascii="ITC Avant Garde" w:hAnsi="ITC Avant Garde"/>
        </w:rPr>
        <w:t xml:space="preserve">DE </w:t>
      </w:r>
      <w:r>
        <w:rPr>
          <w:rFonts w:ascii="ITC Avant Garde" w:hAnsi="ITC Avant Garde"/>
        </w:rPr>
        <w:t>NAVOJOA</w:t>
      </w:r>
      <w:r w:rsidR="00A51167">
        <w:rPr>
          <w:rFonts w:ascii="ITC Avant Garde" w:hAnsi="ITC Avant Garde"/>
        </w:rPr>
        <w:t xml:space="preserve">, señala que, </w:t>
      </w:r>
      <w:r w:rsidR="00A51167" w:rsidRPr="00A51167">
        <w:rPr>
          <w:rFonts w:ascii="ITC Avant Garde" w:hAnsi="ITC Avant Garde"/>
        </w:rPr>
        <w:t xml:space="preserve">no se indica a través de qué medio el IFT notificará a los Sujetos Obligados la extensión del plazo debido a fallas o </w:t>
      </w:r>
      <w:r w:rsidR="00A51167" w:rsidRPr="00A51167">
        <w:rPr>
          <w:rFonts w:ascii="ITC Avant Garde" w:hAnsi="ITC Avant Garde"/>
        </w:rPr>
        <w:lastRenderedPageBreak/>
        <w:t>inhabilitación del SNII, por lo que sugiere que se precise el medio en el que se notificará dicho suceso.</w:t>
      </w:r>
    </w:p>
    <w:p w14:paraId="1FCF7240" w14:textId="382EB901" w:rsidR="00A51167" w:rsidRDefault="00A51167" w:rsidP="00F34D5B">
      <w:pPr>
        <w:spacing w:before="240" w:after="120" w:line="276" w:lineRule="auto"/>
        <w:ind w:left="426"/>
        <w:jc w:val="both"/>
        <w:rPr>
          <w:rFonts w:ascii="ITC Avant Garde" w:hAnsi="ITC Avant Garde"/>
        </w:rPr>
      </w:pPr>
      <w:r>
        <w:rPr>
          <w:rFonts w:ascii="ITC Avant Garde" w:hAnsi="ITC Avant Garde"/>
        </w:rPr>
        <w:t>Por otro lado, RED NACIONAL solicita que la reposición de tiempo sea en días hábiles y no naturales.</w:t>
      </w:r>
    </w:p>
    <w:p w14:paraId="095AAB08" w14:textId="2B7F0A08" w:rsidR="00A51167" w:rsidRDefault="00A51167" w:rsidP="00F34D5B">
      <w:pPr>
        <w:spacing w:before="240" w:after="120" w:line="276" w:lineRule="auto"/>
        <w:ind w:left="426"/>
        <w:jc w:val="both"/>
        <w:rPr>
          <w:rFonts w:ascii="ITC Avant Garde" w:hAnsi="ITC Avant Garde"/>
        </w:rPr>
      </w:pPr>
      <w:r>
        <w:rPr>
          <w:rFonts w:ascii="ITC Avant Garde" w:hAnsi="ITC Avant Garde"/>
        </w:rPr>
        <w:t>Asimismo, TELCEL propone mantener el lineamiento en sus términos originales.</w:t>
      </w:r>
    </w:p>
    <w:p w14:paraId="43B0908D" w14:textId="37C1EB0B" w:rsidR="00A51167" w:rsidRDefault="00A51167" w:rsidP="00F34D5B">
      <w:pPr>
        <w:spacing w:before="240" w:after="120" w:line="276" w:lineRule="auto"/>
        <w:ind w:left="426"/>
        <w:jc w:val="both"/>
        <w:rPr>
          <w:rFonts w:ascii="ITC Avant Garde" w:hAnsi="ITC Avant Garde"/>
        </w:rPr>
      </w:pPr>
      <w:r>
        <w:rPr>
          <w:rFonts w:ascii="ITC Avant Garde" w:hAnsi="ITC Avant Garde"/>
        </w:rPr>
        <w:t xml:space="preserve">RESPUESTA: </w:t>
      </w:r>
      <w:r w:rsidRPr="00A51167">
        <w:rPr>
          <w:rFonts w:ascii="ITC Avant Garde" w:hAnsi="ITC Avant Garde"/>
        </w:rPr>
        <w:t>Los avisos de mantenimiento y falla se realizará</w:t>
      </w:r>
      <w:r>
        <w:rPr>
          <w:rFonts w:ascii="ITC Avant Garde" w:hAnsi="ITC Avant Garde"/>
        </w:rPr>
        <w:t>n</w:t>
      </w:r>
      <w:r w:rsidRPr="00A51167">
        <w:rPr>
          <w:rFonts w:ascii="ITC Avant Garde" w:hAnsi="ITC Avant Garde"/>
        </w:rPr>
        <w:t xml:space="preserve"> a través de Ventanilla Electrónica y de los mecanismos institucionales establecidos al efecto.</w:t>
      </w:r>
      <w:r>
        <w:rPr>
          <w:rFonts w:ascii="ITC Avant Garde" w:hAnsi="ITC Avant Garde"/>
        </w:rPr>
        <w:t xml:space="preserve"> Asimismo, </w:t>
      </w:r>
      <w:r w:rsidR="00D64054">
        <w:rPr>
          <w:rFonts w:ascii="ITC Avant Garde" w:hAnsi="ITC Avant Garde"/>
        </w:rPr>
        <w:t>e</w:t>
      </w:r>
      <w:r w:rsidR="004E6FB1" w:rsidRPr="004E6FB1">
        <w:rPr>
          <w:rFonts w:ascii="ITC Avant Garde" w:hAnsi="ITC Avant Garde"/>
        </w:rPr>
        <w:t>l sistema estará disponible las 24 horas los 365 días del año, por lo que se considera pertinente mantener el término del plazo en días naturales.</w:t>
      </w:r>
    </w:p>
    <w:p w14:paraId="4118B34C" w14:textId="4DBAC977" w:rsidR="004E6FB1" w:rsidRDefault="004E6FB1" w:rsidP="00F34D5B">
      <w:pPr>
        <w:spacing w:before="240" w:after="120" w:line="276" w:lineRule="auto"/>
        <w:ind w:left="426"/>
        <w:jc w:val="both"/>
        <w:rPr>
          <w:rFonts w:ascii="ITC Avant Garde" w:hAnsi="ITC Avant Garde"/>
        </w:rPr>
      </w:pPr>
      <w:r>
        <w:rPr>
          <w:rFonts w:ascii="ITC Avant Garde" w:hAnsi="ITC Avant Garde"/>
        </w:rPr>
        <w:t xml:space="preserve">Por último, </w:t>
      </w:r>
      <w:r w:rsidR="00D64054">
        <w:rPr>
          <w:rFonts w:ascii="ITC Avant Garde" w:hAnsi="ITC Avant Garde"/>
        </w:rPr>
        <w:t>l</w:t>
      </w:r>
      <w:r w:rsidRPr="004E6FB1">
        <w:rPr>
          <w:rFonts w:ascii="ITC Avant Garde" w:hAnsi="ITC Avant Garde"/>
        </w:rPr>
        <w:t>a información que se cargará dentro del sistema informático del SNII, deberá elaborarse previamente y de manera local por parte de los Sujetos Obligados, por lo tanto, que el sistema se encuentre inhabilitado sólo afecta para la carga de la información. En ese sentido, se considera que los cinco días naturales previos, es un tiempo razonable para reponer el cumplimiento de las obligaciones de los Sujetos Obligados.</w:t>
      </w:r>
    </w:p>
    <w:p w14:paraId="55F599B9" w14:textId="23BF3436" w:rsidR="004E6FB1" w:rsidRDefault="004E6FB1" w:rsidP="00F34D5B">
      <w:pPr>
        <w:spacing w:before="240" w:after="120" w:line="276" w:lineRule="auto"/>
        <w:ind w:left="426"/>
        <w:jc w:val="both"/>
        <w:rPr>
          <w:rFonts w:ascii="ITC Avant Garde" w:hAnsi="ITC Avant Garde"/>
          <w:b/>
        </w:rPr>
      </w:pPr>
      <w:r>
        <w:rPr>
          <w:rFonts w:ascii="ITC Avant Garde" w:hAnsi="ITC Avant Garde"/>
          <w:b/>
        </w:rPr>
        <w:t>ARTICULO DÉCIMO OCTAVO</w:t>
      </w:r>
    </w:p>
    <w:p w14:paraId="7942B47C" w14:textId="31978C25" w:rsidR="004E6FB1" w:rsidRDefault="004E6FB1" w:rsidP="00F34D5B">
      <w:pPr>
        <w:spacing w:before="240" w:after="120" w:line="276" w:lineRule="auto"/>
        <w:ind w:left="426"/>
        <w:jc w:val="both"/>
        <w:rPr>
          <w:rFonts w:ascii="ITC Avant Garde" w:hAnsi="ITC Avant Garde"/>
        </w:rPr>
      </w:pPr>
      <w:r>
        <w:rPr>
          <w:rFonts w:ascii="ITC Avant Garde" w:hAnsi="ITC Avant Garde"/>
        </w:rPr>
        <w:t xml:space="preserve">MOVISTAR señala que, </w:t>
      </w:r>
      <w:r w:rsidR="00DA35A3">
        <w:rPr>
          <w:rFonts w:ascii="ITC Avant Garde" w:hAnsi="ITC Avant Garde"/>
        </w:rPr>
        <w:t>l</w:t>
      </w:r>
      <w:r w:rsidR="00093DD5" w:rsidRPr="00093DD5">
        <w:rPr>
          <w:rFonts w:ascii="ITC Avant Garde" w:hAnsi="ITC Avant Garde"/>
        </w:rPr>
        <w:t>a frecuencia de actualización semestral de la información conforme a los lineamientos supondrá un costo elevado para los concesionarios no preponderantes</w:t>
      </w:r>
      <w:r w:rsidR="00DA35A3">
        <w:rPr>
          <w:rFonts w:ascii="ITC Avant Garde" w:hAnsi="ITC Avant Garde"/>
        </w:rPr>
        <w:t xml:space="preserve">, </w:t>
      </w:r>
      <w:r w:rsidR="00DA35A3" w:rsidRPr="00DA35A3">
        <w:rPr>
          <w:rFonts w:ascii="ITC Avant Garde" w:hAnsi="ITC Avant Garde"/>
        </w:rPr>
        <w:t>sugiere que el periodo de actualización sea anual.</w:t>
      </w:r>
    </w:p>
    <w:p w14:paraId="1DE8293B" w14:textId="544FB307" w:rsidR="00DA35A3" w:rsidRDefault="00DA35A3" w:rsidP="00F34D5B">
      <w:pPr>
        <w:spacing w:before="240" w:after="120" w:line="276" w:lineRule="auto"/>
        <w:ind w:left="426"/>
        <w:jc w:val="both"/>
        <w:rPr>
          <w:rFonts w:ascii="ITC Avant Garde" w:hAnsi="ITC Avant Garde"/>
        </w:rPr>
      </w:pPr>
      <w:r>
        <w:rPr>
          <w:rFonts w:ascii="ITC Avant Garde" w:hAnsi="ITC Avant Garde"/>
        </w:rPr>
        <w:t xml:space="preserve">Por su parte, TELEVISA solicita </w:t>
      </w:r>
      <w:r w:rsidR="00CF4D84">
        <w:rPr>
          <w:rFonts w:ascii="ITC Avant Garde" w:hAnsi="ITC Avant Garde"/>
        </w:rPr>
        <w:t>s</w:t>
      </w:r>
      <w:r w:rsidRPr="00DA35A3">
        <w:rPr>
          <w:rFonts w:ascii="ITC Avant Garde" w:hAnsi="ITC Avant Garde"/>
        </w:rPr>
        <w:t>e agregue en el artículo SEGUNDO de los Lineamientos en consulta, la definición de Folio Electrónico</w:t>
      </w:r>
      <w:r>
        <w:rPr>
          <w:rFonts w:ascii="ITC Avant Garde" w:hAnsi="ITC Avant Garde"/>
        </w:rPr>
        <w:t xml:space="preserve"> y </w:t>
      </w:r>
      <w:r w:rsidR="00D64054">
        <w:rPr>
          <w:rFonts w:ascii="ITC Avant Garde" w:hAnsi="ITC Avant Garde"/>
        </w:rPr>
        <w:t>s</w:t>
      </w:r>
      <w:r w:rsidRPr="00DA35A3">
        <w:rPr>
          <w:rFonts w:ascii="ITC Avant Garde" w:hAnsi="ITC Avant Garde"/>
        </w:rPr>
        <w:t>e precise que por “último dígito” se refiere al último dígito de la sección variable que conforma el Folio Electrónico</w:t>
      </w:r>
      <w:r w:rsidR="00863390">
        <w:rPr>
          <w:rFonts w:ascii="ITC Avant Garde" w:hAnsi="ITC Avant Garde"/>
        </w:rPr>
        <w:t xml:space="preserve">. Asimismo, señalan que </w:t>
      </w:r>
      <w:r w:rsidR="00863390" w:rsidRPr="00863390">
        <w:rPr>
          <w:rFonts w:ascii="ITC Avant Garde" w:hAnsi="ITC Avant Garde"/>
        </w:rPr>
        <w:t>es confuso para los Sujetos Obligados al establecer 2 meses por periodicidad, y al mismo tiempo es contradictorio con lo establecido en el Anexo V</w:t>
      </w:r>
      <w:r w:rsidR="00863390">
        <w:rPr>
          <w:rFonts w:ascii="ITC Avant Garde" w:hAnsi="ITC Avant Garde"/>
        </w:rPr>
        <w:t>.</w:t>
      </w:r>
    </w:p>
    <w:p w14:paraId="302769DB" w14:textId="5F83CDE4" w:rsidR="00C01842" w:rsidRDefault="00C01842" w:rsidP="00F34D5B">
      <w:pPr>
        <w:spacing w:before="240" w:after="120" w:line="276" w:lineRule="auto"/>
        <w:ind w:left="426"/>
        <w:jc w:val="both"/>
        <w:rPr>
          <w:rFonts w:ascii="ITC Avant Garde" w:hAnsi="ITC Avant Garde"/>
        </w:rPr>
      </w:pPr>
      <w:r>
        <w:rPr>
          <w:rFonts w:ascii="ITC Avant Garde" w:hAnsi="ITC Avant Garde"/>
        </w:rPr>
        <w:t xml:space="preserve">TELMEX, considera que, </w:t>
      </w:r>
      <w:r w:rsidRPr="00C01842">
        <w:rPr>
          <w:rFonts w:ascii="ITC Avant Garde" w:hAnsi="ITC Avant Garde"/>
        </w:rPr>
        <w:t xml:space="preserve">determinar el calendario según el último dígito del folio electrónico asignado en el registro público de concesiones es un criterio no eficiente considerando que se da el mismo plazo a un concesionario con basta </w:t>
      </w:r>
      <w:r w:rsidRPr="00C01842">
        <w:rPr>
          <w:rFonts w:ascii="ITC Avant Garde" w:hAnsi="ITC Avant Garde"/>
        </w:rPr>
        <w:lastRenderedPageBreak/>
        <w:t>infraestructura que a un concesionario con poca infraestructura</w:t>
      </w:r>
      <w:r>
        <w:rPr>
          <w:rFonts w:ascii="ITC Avant Garde" w:hAnsi="ITC Avant Garde"/>
        </w:rPr>
        <w:t xml:space="preserve"> y que el calendario establecido es ambiguo.</w:t>
      </w:r>
    </w:p>
    <w:p w14:paraId="74FA179E" w14:textId="1093EB23" w:rsidR="00C01842" w:rsidRDefault="00863390" w:rsidP="002137D1">
      <w:pPr>
        <w:spacing w:before="240" w:after="120" w:line="276" w:lineRule="auto"/>
        <w:ind w:left="426"/>
        <w:jc w:val="both"/>
        <w:rPr>
          <w:rFonts w:ascii="ITC Avant Garde" w:hAnsi="ITC Avant Garde"/>
        </w:rPr>
      </w:pPr>
      <w:r>
        <w:rPr>
          <w:rFonts w:ascii="ITC Avant Garde" w:hAnsi="ITC Avant Garde"/>
        </w:rPr>
        <w:t xml:space="preserve">Por otro lado, CANIETI </w:t>
      </w:r>
      <w:r w:rsidR="002137D1">
        <w:rPr>
          <w:rFonts w:ascii="ITC Avant Garde" w:hAnsi="ITC Avant Garde"/>
        </w:rPr>
        <w:t xml:space="preserve">y AT&amp;T </w:t>
      </w:r>
      <w:r>
        <w:rPr>
          <w:rFonts w:ascii="ITC Avant Garde" w:hAnsi="ITC Avant Garde"/>
        </w:rPr>
        <w:t>cuestiona</w:t>
      </w:r>
      <w:r w:rsidR="002137D1">
        <w:rPr>
          <w:rFonts w:ascii="ITC Avant Garde" w:hAnsi="ITC Avant Garde"/>
        </w:rPr>
        <w:t>n</w:t>
      </w:r>
      <w:r>
        <w:rPr>
          <w:rFonts w:ascii="ITC Avant Garde" w:hAnsi="ITC Avant Garde"/>
        </w:rPr>
        <w:t xml:space="preserve"> el c</w:t>
      </w:r>
      <w:r w:rsidRPr="00863390">
        <w:rPr>
          <w:rFonts w:ascii="ITC Avant Garde" w:hAnsi="ITC Avant Garde"/>
        </w:rPr>
        <w:t>ómo sería la Entrega y Actualización de la Información en el caso de que se trate de un Grupo Empresarial que cuente con varias concesiones y se entregue la información consolidada</w:t>
      </w:r>
      <w:r>
        <w:rPr>
          <w:rFonts w:ascii="ITC Avant Garde" w:hAnsi="ITC Avant Garde"/>
        </w:rPr>
        <w:t xml:space="preserve"> y c</w:t>
      </w:r>
      <w:r w:rsidRPr="00863390">
        <w:rPr>
          <w:rFonts w:ascii="ITC Avant Garde" w:hAnsi="ITC Avant Garde"/>
        </w:rPr>
        <w:t>ómo se comprobaría el cumplimiento de esta obligación por todas los Concesionarios</w:t>
      </w:r>
      <w:r>
        <w:rPr>
          <w:rFonts w:ascii="ITC Avant Garde" w:hAnsi="ITC Avant Garde"/>
        </w:rPr>
        <w:t>.</w:t>
      </w:r>
    </w:p>
    <w:p w14:paraId="4C7A7917" w14:textId="31B018A4" w:rsidR="002137D1" w:rsidRDefault="002137D1" w:rsidP="002137D1">
      <w:pPr>
        <w:spacing w:before="240" w:after="120" w:line="276" w:lineRule="auto"/>
        <w:ind w:left="426"/>
        <w:jc w:val="both"/>
        <w:rPr>
          <w:rFonts w:ascii="ITC Avant Garde" w:hAnsi="ITC Avant Garde"/>
        </w:rPr>
      </w:pPr>
      <w:r>
        <w:rPr>
          <w:rFonts w:ascii="ITC Avant Garde" w:hAnsi="ITC Avant Garde"/>
        </w:rPr>
        <w:t>AT&amp;</w:t>
      </w:r>
      <w:r w:rsidR="003725EE">
        <w:rPr>
          <w:rFonts w:ascii="ITC Avant Garde" w:hAnsi="ITC Avant Garde"/>
        </w:rPr>
        <w:t>T,</w:t>
      </w:r>
      <w:r>
        <w:rPr>
          <w:rFonts w:ascii="ITC Avant Garde" w:hAnsi="ITC Avant Garde"/>
        </w:rPr>
        <w:t xml:space="preserve"> c</w:t>
      </w:r>
      <w:r w:rsidRPr="002137D1">
        <w:rPr>
          <w:rFonts w:ascii="ITC Avant Garde" w:hAnsi="ITC Avant Garde"/>
        </w:rPr>
        <w:t>onsider</w:t>
      </w:r>
      <w:r>
        <w:rPr>
          <w:rFonts w:ascii="ITC Avant Garde" w:hAnsi="ITC Avant Garde"/>
        </w:rPr>
        <w:t>a</w:t>
      </w:r>
      <w:r w:rsidRPr="002137D1">
        <w:rPr>
          <w:rFonts w:ascii="ITC Avant Garde" w:hAnsi="ITC Avant Garde"/>
        </w:rPr>
        <w:t xml:space="preserve"> que las periodicidades para actualizar los datos registrados indicados en el ANEXO V, párrafos 2, 3 y 4, deberían ser los mismos a lo indicado en el Lineamiento DÉCIMO OCTAVO</w:t>
      </w:r>
      <w:r>
        <w:rPr>
          <w:rFonts w:ascii="ITC Avant Garde" w:hAnsi="ITC Avant Garde"/>
        </w:rPr>
        <w:t>.</w:t>
      </w:r>
      <w:r w:rsidRPr="002137D1">
        <w:rPr>
          <w:rFonts w:ascii="ITC Avant Garde" w:hAnsi="ITC Avant Garde"/>
        </w:rPr>
        <w:t xml:space="preserve"> </w:t>
      </w:r>
    </w:p>
    <w:p w14:paraId="53AC8E87" w14:textId="3C98C2C0" w:rsidR="00863390" w:rsidRDefault="00863390" w:rsidP="00F34D5B">
      <w:pPr>
        <w:spacing w:before="240" w:after="120" w:line="276" w:lineRule="auto"/>
        <w:ind w:left="426"/>
        <w:jc w:val="both"/>
        <w:rPr>
          <w:rFonts w:ascii="ITC Avant Garde" w:hAnsi="ITC Avant Garde"/>
        </w:rPr>
      </w:pPr>
      <w:r>
        <w:rPr>
          <w:rFonts w:ascii="ITC Avant Garde" w:hAnsi="ITC Avant Garde"/>
        </w:rPr>
        <w:t xml:space="preserve">Por último, TELCEL </w:t>
      </w:r>
      <w:r w:rsidR="00706CC8">
        <w:rPr>
          <w:rFonts w:ascii="ITC Avant Garde" w:hAnsi="ITC Avant Garde"/>
        </w:rPr>
        <w:t xml:space="preserve">propone </w:t>
      </w:r>
      <w:r w:rsidR="00706CC8" w:rsidRPr="00706CC8">
        <w:rPr>
          <w:rFonts w:ascii="ITC Avant Garde" w:hAnsi="ITC Avant Garde"/>
        </w:rPr>
        <w:t>modificar y ampliar los plazos tanto para la carga inicial</w:t>
      </w:r>
      <w:r w:rsidR="00706CC8">
        <w:rPr>
          <w:rFonts w:ascii="ITC Avant Garde" w:hAnsi="ITC Avant Garde"/>
        </w:rPr>
        <w:t xml:space="preserve"> </w:t>
      </w:r>
      <w:r w:rsidR="00706CC8" w:rsidRPr="00706CC8">
        <w:rPr>
          <w:rFonts w:ascii="ITC Avant Garde" w:hAnsi="ITC Avant Garde"/>
        </w:rPr>
        <w:t>como para la actualización de la información, para que los Sujetos Obligados que cuenten con redes de mayor tamaño tengan suficiente tiempo para llevar a cabo el registro correspondiente</w:t>
      </w:r>
      <w:r w:rsidR="00E42E20">
        <w:rPr>
          <w:rFonts w:ascii="ITC Avant Garde" w:hAnsi="ITC Avant Garde"/>
        </w:rPr>
        <w:t>, propone al menos 120 días naturales.</w:t>
      </w:r>
    </w:p>
    <w:p w14:paraId="4B7410BF" w14:textId="3E3C2176" w:rsidR="00E42E20" w:rsidRDefault="00E42E20" w:rsidP="00F34D5B">
      <w:pPr>
        <w:spacing w:before="240" w:after="120" w:line="276" w:lineRule="auto"/>
        <w:ind w:left="426"/>
        <w:jc w:val="both"/>
        <w:rPr>
          <w:rFonts w:ascii="ITC Avant Garde" w:hAnsi="ITC Avant Garde"/>
        </w:rPr>
      </w:pPr>
      <w:r>
        <w:rPr>
          <w:rFonts w:ascii="ITC Avant Garde" w:hAnsi="ITC Avant Garde"/>
        </w:rPr>
        <w:t xml:space="preserve">RESPUESTA: </w:t>
      </w:r>
      <w:r w:rsidRPr="00E42E20">
        <w:rPr>
          <w:rFonts w:ascii="ITC Avant Garde" w:hAnsi="ITC Avant Garde"/>
        </w:rPr>
        <w:t>El periodo de actualización semestral y anual establecido en los Lineamientos se considera pertinente para que se cuente con información actualizada para ciertos elementos</w:t>
      </w:r>
      <w:r>
        <w:rPr>
          <w:rFonts w:ascii="ITC Avant Garde" w:hAnsi="ITC Avant Garde"/>
        </w:rPr>
        <w:t>.</w:t>
      </w:r>
    </w:p>
    <w:p w14:paraId="5C4B24A4" w14:textId="6234D485" w:rsidR="00E42E20" w:rsidRDefault="00E42E20" w:rsidP="00E42E20">
      <w:pPr>
        <w:spacing w:before="240" w:after="120" w:line="276" w:lineRule="auto"/>
        <w:ind w:left="426"/>
        <w:jc w:val="both"/>
        <w:rPr>
          <w:rFonts w:ascii="ITC Avant Garde" w:hAnsi="ITC Avant Garde"/>
        </w:rPr>
      </w:pPr>
      <w:r>
        <w:rPr>
          <w:rFonts w:ascii="ITC Avant Garde" w:hAnsi="ITC Avant Garde"/>
        </w:rPr>
        <w:t>Se adiciona la definición de Folio Electrónico y se especifica la referencia al último dígito de la sección variable. Asimismo, se modifica el Anexo V para dar claridad de los plazos señalados en el artículo Décimo Octavo</w:t>
      </w:r>
      <w:r w:rsidR="00C01842">
        <w:rPr>
          <w:rFonts w:ascii="ITC Avant Garde" w:hAnsi="ITC Avant Garde"/>
        </w:rPr>
        <w:t xml:space="preserve"> y Transitorio Cuarto.</w:t>
      </w:r>
    </w:p>
    <w:p w14:paraId="1FC9D5C0" w14:textId="172B12B5" w:rsidR="00C01842" w:rsidRDefault="00C01842" w:rsidP="00E42E20">
      <w:pPr>
        <w:spacing w:before="240" w:after="120" w:line="276" w:lineRule="auto"/>
        <w:ind w:left="426"/>
        <w:jc w:val="both"/>
        <w:rPr>
          <w:rFonts w:ascii="ITC Avant Garde" w:hAnsi="ITC Avant Garde"/>
        </w:rPr>
      </w:pPr>
      <w:r>
        <w:rPr>
          <w:rFonts w:ascii="ITC Avant Garde" w:hAnsi="ITC Avant Garde"/>
        </w:rPr>
        <w:t xml:space="preserve">Por otro lado, </w:t>
      </w:r>
      <w:r w:rsidR="002137D1">
        <w:rPr>
          <w:rFonts w:ascii="ITC Avant Garde" w:hAnsi="ITC Avant Garde"/>
        </w:rPr>
        <w:t>se señala que l</w:t>
      </w:r>
      <w:r w:rsidR="002137D1" w:rsidRPr="002137D1">
        <w:rPr>
          <w:rFonts w:ascii="ITC Avant Garde" w:hAnsi="ITC Avant Garde"/>
        </w:rPr>
        <w:t>os Lineamientos del SNII fueron publicados en octubre de 2019, donde se estableció la información que se recabaría y no se modificarían en la presente propuesta, por lo que se considera que ha existido tiempo suficiente para el levantamiento de la información requerida.</w:t>
      </w:r>
    </w:p>
    <w:p w14:paraId="6A795CA1" w14:textId="00072D04" w:rsidR="002137D1" w:rsidRDefault="002137D1" w:rsidP="00E42E20">
      <w:pPr>
        <w:spacing w:before="240" w:after="120" w:line="276" w:lineRule="auto"/>
        <w:ind w:left="426"/>
        <w:jc w:val="both"/>
        <w:rPr>
          <w:rFonts w:ascii="ITC Avant Garde" w:hAnsi="ITC Avant Garde"/>
        </w:rPr>
      </w:pPr>
      <w:r>
        <w:rPr>
          <w:rFonts w:ascii="ITC Avant Garde" w:hAnsi="ITC Avant Garde"/>
        </w:rPr>
        <w:t xml:space="preserve">Además, se aclara que </w:t>
      </w:r>
      <w:r w:rsidR="00866BEC">
        <w:rPr>
          <w:rFonts w:ascii="ITC Avant Garde" w:hAnsi="ITC Avant Garde"/>
        </w:rPr>
        <w:t>e</w:t>
      </w:r>
      <w:r w:rsidRPr="002137D1">
        <w:rPr>
          <w:rFonts w:ascii="ITC Avant Garde" w:hAnsi="ITC Avant Garde"/>
        </w:rPr>
        <w:t>l sistema informático que alojará el SNII cuenta con las funcionalidades necesarias para verificar el cumplimiento de las obligaciones por parte de los Sujetos Obligados.</w:t>
      </w:r>
    </w:p>
    <w:p w14:paraId="1BC95825" w14:textId="163FA6DE" w:rsidR="002137D1" w:rsidRPr="008157FB" w:rsidRDefault="002137D1" w:rsidP="00E42E20">
      <w:pPr>
        <w:spacing w:before="240" w:after="120" w:line="276" w:lineRule="auto"/>
        <w:ind w:left="426"/>
        <w:jc w:val="both"/>
        <w:rPr>
          <w:rFonts w:ascii="ITC Avant Garde" w:hAnsi="ITC Avant Garde"/>
        </w:rPr>
      </w:pPr>
      <w:r>
        <w:rPr>
          <w:rFonts w:ascii="ITC Avant Garde" w:hAnsi="ITC Avant Garde"/>
        </w:rPr>
        <w:lastRenderedPageBreak/>
        <w:t xml:space="preserve">Por último, se buscará la forma de </w:t>
      </w:r>
      <w:r w:rsidRPr="002137D1">
        <w:rPr>
          <w:rFonts w:ascii="ITC Avant Garde" w:hAnsi="ITC Avant Garde"/>
        </w:rPr>
        <w:t>permitir la carga por Grupos Empresariales o bien, permitir a los Sujetos Obligados informar de este supuesto al Instituto y no contar con información duplicada.</w:t>
      </w:r>
    </w:p>
    <w:p w14:paraId="524C3B67" w14:textId="5CECB54D" w:rsidR="008157FB" w:rsidRDefault="00310A7C" w:rsidP="00F34D5B">
      <w:pPr>
        <w:spacing w:before="240" w:after="120" w:line="276" w:lineRule="auto"/>
        <w:ind w:left="426"/>
        <w:jc w:val="both"/>
        <w:rPr>
          <w:rFonts w:ascii="ITC Avant Garde" w:hAnsi="ITC Avant Garde"/>
          <w:b/>
        </w:rPr>
      </w:pPr>
      <w:r>
        <w:rPr>
          <w:rFonts w:ascii="ITC Avant Garde" w:hAnsi="ITC Avant Garde"/>
          <w:b/>
        </w:rPr>
        <w:t>ARTICULO DÉCIMO NOVENO</w:t>
      </w:r>
    </w:p>
    <w:p w14:paraId="7FF433CB" w14:textId="4C2898A5" w:rsidR="00310A7C" w:rsidRDefault="008766C4" w:rsidP="00F34D5B">
      <w:pPr>
        <w:spacing w:before="240" w:after="120" w:line="276" w:lineRule="auto"/>
        <w:ind w:left="426"/>
        <w:jc w:val="both"/>
        <w:rPr>
          <w:rFonts w:ascii="ITC Avant Garde" w:hAnsi="ITC Avant Garde"/>
        </w:rPr>
      </w:pPr>
      <w:r>
        <w:rPr>
          <w:rFonts w:ascii="ITC Avant Garde" w:hAnsi="ITC Avant Garde"/>
        </w:rPr>
        <w:t>TELMEX</w:t>
      </w:r>
      <w:r w:rsidR="00DC7811">
        <w:rPr>
          <w:rFonts w:ascii="ITC Avant Garde" w:hAnsi="ITC Avant Garde"/>
        </w:rPr>
        <w:t xml:space="preserve"> cuestiona si el </w:t>
      </w:r>
      <w:r w:rsidR="00DC7811" w:rsidRPr="00DC7811">
        <w:rPr>
          <w:rFonts w:ascii="ITC Avant Garde" w:hAnsi="ITC Avant Garde"/>
        </w:rPr>
        <w:t>historial de la información se mantendría en el SNII</w:t>
      </w:r>
      <w:r w:rsidR="00DC7811">
        <w:rPr>
          <w:rFonts w:ascii="ITC Avant Garde" w:hAnsi="ITC Avant Garde"/>
        </w:rPr>
        <w:t>, c</w:t>
      </w:r>
      <w:r w:rsidR="00866BEC">
        <w:rPr>
          <w:rFonts w:ascii="ITC Avant Garde" w:hAnsi="ITC Avant Garde"/>
        </w:rPr>
        <w:t>ó</w:t>
      </w:r>
      <w:r w:rsidR="00DC7811" w:rsidRPr="00DC7811">
        <w:rPr>
          <w:rFonts w:ascii="ITC Avant Garde" w:hAnsi="ITC Avant Garde"/>
        </w:rPr>
        <w:t>mo se va a identificar</w:t>
      </w:r>
      <w:r w:rsidR="00DC7811">
        <w:rPr>
          <w:rFonts w:ascii="ITC Avant Garde" w:hAnsi="ITC Avant Garde"/>
        </w:rPr>
        <w:t xml:space="preserve"> y si </w:t>
      </w:r>
      <w:r w:rsidR="00DC7811" w:rsidRPr="00DC7811">
        <w:rPr>
          <w:rFonts w:ascii="ITC Avant Garde" w:hAnsi="ITC Avant Garde"/>
        </w:rPr>
        <w:t>estará disponible para consulta</w:t>
      </w:r>
      <w:r w:rsidR="00DC7811">
        <w:rPr>
          <w:rFonts w:ascii="ITC Avant Garde" w:hAnsi="ITC Avant Garde"/>
        </w:rPr>
        <w:t>.</w:t>
      </w:r>
    </w:p>
    <w:p w14:paraId="36F55DF4" w14:textId="2703111A" w:rsidR="00DC7811" w:rsidRDefault="00DC7811" w:rsidP="00F34D5B">
      <w:pPr>
        <w:spacing w:before="240" w:after="120" w:line="276" w:lineRule="auto"/>
        <w:ind w:left="426"/>
        <w:jc w:val="both"/>
        <w:rPr>
          <w:rFonts w:ascii="ITC Avant Garde" w:hAnsi="ITC Avant Garde"/>
        </w:rPr>
      </w:pPr>
      <w:r>
        <w:rPr>
          <w:rFonts w:ascii="ITC Avant Garde" w:hAnsi="ITC Avant Garde"/>
        </w:rPr>
        <w:t xml:space="preserve">Por su parte TELCEL, propone modificar el lineamiento para que, </w:t>
      </w:r>
      <w:r w:rsidRPr="00DC7811">
        <w:rPr>
          <w:rFonts w:ascii="ITC Avant Garde" w:hAnsi="ITC Avant Garde"/>
        </w:rPr>
        <w:t xml:space="preserve">cuando un Sujeto Obligado deje de tener ese carácter con motivo del término de vigencia o revocación de una concesión o autorización, </w:t>
      </w:r>
      <w:r>
        <w:rPr>
          <w:rFonts w:ascii="ITC Avant Garde" w:hAnsi="ITC Avant Garde"/>
        </w:rPr>
        <w:t>se</w:t>
      </w:r>
      <w:r w:rsidRPr="00DC7811">
        <w:rPr>
          <w:rFonts w:ascii="ITC Avant Garde" w:hAnsi="ITC Avant Garde"/>
        </w:rPr>
        <w:t xml:space="preserve"> imp</w:t>
      </w:r>
      <w:r w:rsidR="00866BEC">
        <w:rPr>
          <w:rFonts w:ascii="ITC Avant Garde" w:hAnsi="ITC Avant Garde"/>
        </w:rPr>
        <w:t>ida</w:t>
      </w:r>
      <w:r w:rsidRPr="00DC7811">
        <w:rPr>
          <w:rFonts w:ascii="ITC Avant Garde" w:hAnsi="ITC Avant Garde"/>
        </w:rPr>
        <w:t xml:space="preserve"> la consulta en el SNII de toda la información registrada</w:t>
      </w:r>
      <w:r>
        <w:rPr>
          <w:rFonts w:ascii="ITC Avant Garde" w:hAnsi="ITC Avant Garde"/>
        </w:rPr>
        <w:t>.</w:t>
      </w:r>
    </w:p>
    <w:p w14:paraId="5C019DED" w14:textId="3ACBAB0E" w:rsidR="00DC7811" w:rsidRDefault="00DC7811" w:rsidP="00F34D5B">
      <w:pPr>
        <w:spacing w:before="240" w:after="120" w:line="276" w:lineRule="auto"/>
        <w:ind w:left="426"/>
        <w:jc w:val="both"/>
        <w:rPr>
          <w:rFonts w:ascii="ITC Avant Garde" w:hAnsi="ITC Avant Garde"/>
        </w:rPr>
      </w:pPr>
      <w:r>
        <w:rPr>
          <w:rFonts w:ascii="ITC Avant Garde" w:hAnsi="ITC Avant Garde"/>
        </w:rPr>
        <w:t xml:space="preserve">RESPUESTA: </w:t>
      </w:r>
      <w:r w:rsidRPr="00DC7811">
        <w:rPr>
          <w:rFonts w:ascii="ITC Avant Garde" w:hAnsi="ITC Avant Garde"/>
        </w:rPr>
        <w:t>El sistema informático conservará un historial de las cargas de información realizadas por el Sujeto Obligado que ya no cuenta con un título de concesión vigente, únicamente para dar seguimiento al cumplimiento de obligaciones, pero dicha información no estará disponible para consulta.</w:t>
      </w:r>
    </w:p>
    <w:p w14:paraId="326E1260" w14:textId="5B98BDB0" w:rsidR="00DC7811" w:rsidRDefault="00DC7811" w:rsidP="00F34D5B">
      <w:pPr>
        <w:spacing w:before="240" w:after="120" w:line="276" w:lineRule="auto"/>
        <w:ind w:left="426"/>
        <w:jc w:val="both"/>
        <w:rPr>
          <w:rFonts w:ascii="ITC Avant Garde" w:hAnsi="ITC Avant Garde"/>
          <w:b/>
        </w:rPr>
      </w:pPr>
      <w:r>
        <w:rPr>
          <w:rFonts w:ascii="ITC Avant Garde" w:hAnsi="ITC Avant Garde"/>
          <w:b/>
        </w:rPr>
        <w:t xml:space="preserve">ARTICULO </w:t>
      </w:r>
      <w:r w:rsidR="00B262B3">
        <w:rPr>
          <w:rFonts w:ascii="ITC Avant Garde" w:hAnsi="ITC Avant Garde"/>
          <w:b/>
        </w:rPr>
        <w:t>VIGÉSIMO</w:t>
      </w:r>
    </w:p>
    <w:p w14:paraId="0DB20133" w14:textId="7224ACD3" w:rsidR="00B262B3" w:rsidRDefault="00B262B3" w:rsidP="00F34D5B">
      <w:pPr>
        <w:spacing w:before="240" w:after="120" w:line="276" w:lineRule="auto"/>
        <w:ind w:left="426"/>
        <w:jc w:val="both"/>
        <w:rPr>
          <w:rFonts w:ascii="ITC Avant Garde" w:hAnsi="ITC Avant Garde"/>
        </w:rPr>
      </w:pPr>
      <w:r>
        <w:rPr>
          <w:rFonts w:ascii="ITC Avant Garde" w:hAnsi="ITC Avant Garde"/>
        </w:rPr>
        <w:t xml:space="preserve">MOVISTAR y CANIETI señalan que la </w:t>
      </w:r>
      <w:r w:rsidRPr="00B262B3">
        <w:rPr>
          <w:rFonts w:ascii="ITC Avant Garde" w:hAnsi="ITC Avant Garde"/>
        </w:rPr>
        <w:t>entrega de información sobre infraestructura de telecomunicaciones adquirida en casos de cesión de concesiones, fusión o escisión</w:t>
      </w:r>
      <w:r>
        <w:rPr>
          <w:rFonts w:ascii="ITC Avant Garde" w:hAnsi="ITC Avant Garde"/>
        </w:rPr>
        <w:t>,</w:t>
      </w:r>
      <w:r w:rsidRPr="00B262B3">
        <w:rPr>
          <w:rFonts w:ascii="ITC Avant Garde" w:hAnsi="ITC Avant Garde"/>
        </w:rPr>
        <w:t xml:space="preserve"> plantea una duplicidad innecesaria</w:t>
      </w:r>
      <w:r>
        <w:rPr>
          <w:rFonts w:ascii="ITC Avant Garde" w:hAnsi="ITC Avant Garde"/>
        </w:rPr>
        <w:t xml:space="preserve">, </w:t>
      </w:r>
      <w:r w:rsidRPr="00B262B3">
        <w:rPr>
          <w:rFonts w:ascii="ITC Avant Garde" w:hAnsi="ITC Avant Garde"/>
        </w:rPr>
        <w:t>incrementa</w:t>
      </w:r>
      <w:r>
        <w:rPr>
          <w:rFonts w:ascii="ITC Avant Garde" w:hAnsi="ITC Avant Garde"/>
        </w:rPr>
        <w:t>ndo</w:t>
      </w:r>
      <w:r w:rsidRPr="00B262B3">
        <w:rPr>
          <w:rFonts w:ascii="ITC Avant Garde" w:hAnsi="ITC Avant Garde"/>
        </w:rPr>
        <w:t xml:space="preserve"> la carga regulatoria para las empresas del sector</w:t>
      </w:r>
      <w:r>
        <w:rPr>
          <w:rFonts w:ascii="ITC Avant Garde" w:hAnsi="ITC Avant Garde"/>
        </w:rPr>
        <w:t xml:space="preserve">, solicita </w:t>
      </w:r>
      <w:r w:rsidRPr="00B262B3">
        <w:rPr>
          <w:rFonts w:ascii="ITC Avant Garde" w:hAnsi="ITC Avant Garde"/>
        </w:rPr>
        <w:t>consolidar los procedimientos existentes</w:t>
      </w:r>
      <w:r>
        <w:rPr>
          <w:rFonts w:ascii="ITC Avant Garde" w:hAnsi="ITC Avant Garde"/>
        </w:rPr>
        <w:t xml:space="preserve"> para </w:t>
      </w:r>
      <w:r w:rsidRPr="00B262B3">
        <w:rPr>
          <w:rFonts w:ascii="ITC Avant Garde" w:hAnsi="ITC Avant Garde"/>
        </w:rPr>
        <w:t>reduci</w:t>
      </w:r>
      <w:r>
        <w:rPr>
          <w:rFonts w:ascii="ITC Avant Garde" w:hAnsi="ITC Avant Garde"/>
        </w:rPr>
        <w:t>r</w:t>
      </w:r>
      <w:r w:rsidRPr="00B262B3">
        <w:rPr>
          <w:rFonts w:ascii="ITC Avant Garde" w:hAnsi="ITC Avant Garde"/>
        </w:rPr>
        <w:t xml:space="preserve"> la complejidad administrativa </w:t>
      </w:r>
      <w:r>
        <w:rPr>
          <w:rFonts w:ascii="ITC Avant Garde" w:hAnsi="ITC Avant Garde"/>
        </w:rPr>
        <w:t>de</w:t>
      </w:r>
      <w:r w:rsidRPr="00B262B3">
        <w:rPr>
          <w:rFonts w:ascii="ITC Avant Garde" w:hAnsi="ITC Avant Garde"/>
        </w:rPr>
        <w:t xml:space="preserve"> las empresas</w:t>
      </w:r>
      <w:r>
        <w:rPr>
          <w:rFonts w:ascii="ITC Avant Garde" w:hAnsi="ITC Avant Garde"/>
        </w:rPr>
        <w:t>.</w:t>
      </w:r>
    </w:p>
    <w:p w14:paraId="7B2F3B45" w14:textId="64F1CEBC" w:rsidR="00B262B3" w:rsidRDefault="00B262B3" w:rsidP="00F34D5B">
      <w:pPr>
        <w:spacing w:before="240" w:after="120" w:line="276" w:lineRule="auto"/>
        <w:ind w:left="426"/>
        <w:jc w:val="both"/>
        <w:rPr>
          <w:rFonts w:ascii="ITC Avant Garde" w:hAnsi="ITC Avant Garde"/>
        </w:rPr>
      </w:pPr>
      <w:r>
        <w:rPr>
          <w:rFonts w:ascii="ITC Avant Garde" w:hAnsi="ITC Avant Garde"/>
        </w:rPr>
        <w:t xml:space="preserve">Por su parte TELEVISA, solicita </w:t>
      </w:r>
      <w:r w:rsidRPr="00B262B3">
        <w:rPr>
          <w:rFonts w:ascii="ITC Avant Garde" w:hAnsi="ITC Avant Garde"/>
        </w:rPr>
        <w:t>que el plazo que se otorgue en los casos indicados en el primer párrafo</w:t>
      </w:r>
      <w:r>
        <w:rPr>
          <w:rFonts w:ascii="ITC Avant Garde" w:hAnsi="ITC Avant Garde"/>
        </w:rPr>
        <w:t xml:space="preserve"> sea de 180 días o al menos de 120 días.</w:t>
      </w:r>
    </w:p>
    <w:p w14:paraId="2B94F085" w14:textId="291729DA" w:rsidR="00B262B3" w:rsidRDefault="00B262B3" w:rsidP="00F34D5B">
      <w:pPr>
        <w:spacing w:before="240" w:after="120" w:line="276" w:lineRule="auto"/>
        <w:ind w:left="426"/>
        <w:jc w:val="both"/>
        <w:rPr>
          <w:rFonts w:ascii="ITC Avant Garde" w:hAnsi="ITC Avant Garde"/>
        </w:rPr>
      </w:pPr>
      <w:r>
        <w:rPr>
          <w:rFonts w:ascii="ITC Avant Garde" w:hAnsi="ITC Avant Garde"/>
        </w:rPr>
        <w:t xml:space="preserve">TELCEL a su vez, </w:t>
      </w:r>
      <w:r w:rsidR="004064A5">
        <w:rPr>
          <w:rFonts w:ascii="ITC Avant Garde" w:hAnsi="ITC Avant Garde"/>
        </w:rPr>
        <w:t xml:space="preserve">solicita mantener </w:t>
      </w:r>
      <w:r w:rsidR="004064A5" w:rsidRPr="004064A5">
        <w:rPr>
          <w:rFonts w:ascii="ITC Avant Garde" w:hAnsi="ITC Avant Garde"/>
        </w:rPr>
        <w:t>en sus términos originales el lineamiento</w:t>
      </w:r>
      <w:r w:rsidR="004064A5">
        <w:rPr>
          <w:rFonts w:ascii="ITC Avant Garde" w:hAnsi="ITC Avant Garde"/>
        </w:rPr>
        <w:t>.</w:t>
      </w:r>
    </w:p>
    <w:p w14:paraId="78AD46AA" w14:textId="1B010AAE" w:rsidR="004064A5" w:rsidRDefault="004064A5" w:rsidP="00F34D5B">
      <w:pPr>
        <w:spacing w:before="240" w:after="120" w:line="276" w:lineRule="auto"/>
        <w:ind w:left="426"/>
        <w:jc w:val="both"/>
        <w:rPr>
          <w:rFonts w:ascii="ITC Avant Garde" w:hAnsi="ITC Avant Garde"/>
        </w:rPr>
      </w:pPr>
      <w:r>
        <w:rPr>
          <w:rFonts w:ascii="ITC Avant Garde" w:hAnsi="ITC Avant Garde"/>
        </w:rPr>
        <w:t xml:space="preserve">RESPUESTA: </w:t>
      </w:r>
      <w:r w:rsidRPr="004064A5">
        <w:rPr>
          <w:rFonts w:ascii="ITC Avant Garde" w:hAnsi="ITC Avant Garde"/>
        </w:rPr>
        <w:t>La presente modificación pretende dar claridad a los Sujetos Obligados del plazo para reportar la infraestructura cuando por cualquier figura jurídica cambie de titular las concesiones o autorizaciones respectivas</w:t>
      </w:r>
      <w:r>
        <w:rPr>
          <w:rFonts w:ascii="ITC Avant Garde" w:hAnsi="ITC Avant Garde"/>
        </w:rPr>
        <w:t>, en cuanto a lo señalado en los plazos se modificará para homogenizarlos a 120 días naturales.</w:t>
      </w:r>
    </w:p>
    <w:p w14:paraId="1E68EFFE" w14:textId="77777777" w:rsidR="00DC7811" w:rsidRPr="008157FB" w:rsidRDefault="00DC7811" w:rsidP="00F34D5B">
      <w:pPr>
        <w:spacing w:before="240" w:after="120" w:line="276" w:lineRule="auto"/>
        <w:ind w:left="426"/>
        <w:jc w:val="both"/>
        <w:rPr>
          <w:rFonts w:ascii="ITC Avant Garde" w:hAnsi="ITC Avant Garde"/>
        </w:rPr>
      </w:pPr>
    </w:p>
    <w:p w14:paraId="1E3D5228" w14:textId="3D64A1AE" w:rsidR="000F21F1" w:rsidRPr="004064A5" w:rsidRDefault="004064A5" w:rsidP="008B7904">
      <w:pPr>
        <w:pStyle w:val="Prrafodelista"/>
        <w:numPr>
          <w:ilvl w:val="0"/>
          <w:numId w:val="6"/>
        </w:numPr>
        <w:spacing w:before="240" w:after="120" w:line="276" w:lineRule="auto"/>
        <w:ind w:left="426"/>
        <w:jc w:val="both"/>
        <w:rPr>
          <w:rFonts w:ascii="ITC Avant Garde" w:hAnsi="ITC Avant Garde"/>
        </w:rPr>
      </w:pPr>
      <w:r w:rsidRPr="003D3390">
        <w:rPr>
          <w:rFonts w:ascii="ITC Avant Garde" w:eastAsia="ITC Avant Garde" w:hAnsi="ITC Avant Garde" w:cs="ITC Avant Garde"/>
          <w:b/>
          <w:bCs/>
        </w:rPr>
        <w:t>DE LA ENTREGA DE INFORMACIÓN DE LOS PARTICULARES</w:t>
      </w:r>
    </w:p>
    <w:p w14:paraId="31859436" w14:textId="78DFC362" w:rsidR="000F21F1" w:rsidRPr="000B05FC" w:rsidRDefault="000F21F1" w:rsidP="00F34D5B">
      <w:pPr>
        <w:spacing w:before="240" w:after="120" w:line="276" w:lineRule="auto"/>
        <w:ind w:left="426"/>
        <w:jc w:val="both"/>
        <w:rPr>
          <w:rFonts w:ascii="ITC Avant Garde" w:hAnsi="ITC Avant Garde"/>
          <w:b/>
        </w:rPr>
      </w:pPr>
      <w:r>
        <w:rPr>
          <w:rFonts w:ascii="ITC Avant Garde" w:hAnsi="ITC Avant Garde"/>
          <w:b/>
        </w:rPr>
        <w:t xml:space="preserve">ARTICULO </w:t>
      </w:r>
      <w:r w:rsidR="004064A5">
        <w:rPr>
          <w:rFonts w:ascii="ITC Avant Garde" w:hAnsi="ITC Avant Garde"/>
          <w:b/>
        </w:rPr>
        <w:t>VIGÉSIMO PRIMERO</w:t>
      </w:r>
    </w:p>
    <w:p w14:paraId="0D996923" w14:textId="726C0D8B" w:rsidR="00F34D5B" w:rsidRDefault="000532E3" w:rsidP="00F34D5B">
      <w:pPr>
        <w:spacing w:before="240" w:after="120" w:line="276" w:lineRule="auto"/>
        <w:ind w:left="426"/>
        <w:jc w:val="both"/>
        <w:rPr>
          <w:rFonts w:ascii="ITC Avant Garde" w:hAnsi="ITC Avant Garde"/>
        </w:rPr>
      </w:pPr>
      <w:r>
        <w:rPr>
          <w:rFonts w:ascii="ITC Avant Garde" w:hAnsi="ITC Avant Garde"/>
        </w:rPr>
        <w:t>CANIETI</w:t>
      </w:r>
      <w:r w:rsidR="00AF2F6B">
        <w:rPr>
          <w:rFonts w:ascii="ITC Avant Garde" w:hAnsi="ITC Avant Garde"/>
        </w:rPr>
        <w:t xml:space="preserve"> </w:t>
      </w:r>
      <w:r w:rsidR="00AF2F6B" w:rsidRPr="00AF2F6B">
        <w:rPr>
          <w:rFonts w:ascii="ITC Avant Garde" w:hAnsi="ITC Avant Garde"/>
        </w:rPr>
        <w:t>solicita al Instituto modificar el Lineamiento Vigésimo Primero</w:t>
      </w:r>
      <w:r w:rsidR="00AF2F6B">
        <w:rPr>
          <w:rFonts w:ascii="ITC Avant Garde" w:hAnsi="ITC Avant Garde"/>
        </w:rPr>
        <w:t xml:space="preserve">, en caso de </w:t>
      </w:r>
      <w:r w:rsidR="00AF2F6B" w:rsidRPr="00AF2F6B">
        <w:rPr>
          <w:rFonts w:ascii="ITC Avant Garde" w:hAnsi="ITC Avant Garde"/>
        </w:rPr>
        <w:t>aceptarse la adición de un párrafo tercero al Lineamiento Sexto</w:t>
      </w:r>
      <w:r w:rsidR="00F34D5B">
        <w:rPr>
          <w:rFonts w:ascii="ITC Avant Garde" w:hAnsi="ITC Avant Garde"/>
        </w:rPr>
        <w:t>.</w:t>
      </w:r>
    </w:p>
    <w:p w14:paraId="51631697" w14:textId="70E1AFA2" w:rsidR="00F77929" w:rsidRDefault="00F77929" w:rsidP="00F34D5B">
      <w:pPr>
        <w:spacing w:before="240" w:after="120" w:line="276" w:lineRule="auto"/>
        <w:ind w:left="426"/>
        <w:jc w:val="both"/>
        <w:rPr>
          <w:rFonts w:ascii="ITC Avant Garde" w:hAnsi="ITC Avant Garde"/>
        </w:rPr>
      </w:pPr>
      <w:r>
        <w:rPr>
          <w:rFonts w:ascii="ITC Avant Garde" w:hAnsi="ITC Avant Garde"/>
        </w:rPr>
        <w:t xml:space="preserve">RESPUESTA: </w:t>
      </w:r>
      <w:r w:rsidR="00AF2F6B">
        <w:rPr>
          <w:rFonts w:ascii="ITC Avant Garde" w:hAnsi="ITC Avant Garde"/>
        </w:rPr>
        <w:t xml:space="preserve">Se toma en cuenta la solicitud para </w:t>
      </w:r>
      <w:r w:rsidR="00AF2F6B" w:rsidRPr="00AF2F6B">
        <w:rPr>
          <w:rFonts w:ascii="ITC Avant Garde" w:hAnsi="ITC Avant Garde"/>
        </w:rPr>
        <w:t>la propuesta final de modificación.</w:t>
      </w:r>
    </w:p>
    <w:p w14:paraId="06AF1199" w14:textId="77777777" w:rsidR="000913FD" w:rsidRDefault="000913FD" w:rsidP="00F34D5B">
      <w:pPr>
        <w:spacing w:before="240" w:after="120" w:line="276" w:lineRule="auto"/>
        <w:ind w:left="426"/>
        <w:jc w:val="both"/>
        <w:rPr>
          <w:rFonts w:ascii="ITC Avant Garde" w:hAnsi="ITC Avant Garde"/>
        </w:rPr>
      </w:pPr>
    </w:p>
    <w:p w14:paraId="0542D721" w14:textId="51F026DF" w:rsidR="00F34D5B" w:rsidRPr="00F131FC" w:rsidRDefault="00F131FC" w:rsidP="00F34D5B">
      <w:pPr>
        <w:pStyle w:val="Prrafodelista"/>
        <w:numPr>
          <w:ilvl w:val="0"/>
          <w:numId w:val="6"/>
        </w:numPr>
        <w:spacing w:before="240" w:after="120" w:line="276" w:lineRule="auto"/>
        <w:jc w:val="both"/>
        <w:rPr>
          <w:rFonts w:ascii="ITC Avant Garde" w:hAnsi="ITC Avant Garde"/>
          <w:b/>
        </w:rPr>
      </w:pPr>
      <w:r w:rsidRPr="00F131FC">
        <w:rPr>
          <w:rFonts w:ascii="ITC Avant Garde" w:eastAsia="ITC Avant Garde" w:hAnsi="ITC Avant Garde" w:cs="ITC Avant Garde"/>
          <w:b/>
          <w:bCs/>
        </w:rPr>
        <w:t>DE LA INFORMACIÓN CARTOGRÁFICA A TRAVÉS DE ARCHIVOS VECTORIALES</w:t>
      </w:r>
    </w:p>
    <w:p w14:paraId="7043B778" w14:textId="10CC29B4" w:rsidR="00F34D5B" w:rsidRPr="00AC335A" w:rsidRDefault="00F34D5B" w:rsidP="0097699E">
      <w:pPr>
        <w:spacing w:before="240" w:after="120" w:line="276" w:lineRule="auto"/>
        <w:ind w:left="426"/>
        <w:jc w:val="both"/>
        <w:rPr>
          <w:rFonts w:ascii="ITC Avant Garde" w:hAnsi="ITC Avant Garde"/>
          <w:b/>
        </w:rPr>
      </w:pPr>
      <w:r>
        <w:rPr>
          <w:rFonts w:ascii="ITC Avant Garde" w:hAnsi="ITC Avant Garde"/>
          <w:b/>
        </w:rPr>
        <w:t xml:space="preserve">ARTICULO </w:t>
      </w:r>
      <w:r w:rsidR="00F131FC">
        <w:rPr>
          <w:rFonts w:ascii="ITC Avant Garde" w:hAnsi="ITC Avant Garde"/>
          <w:b/>
        </w:rPr>
        <w:t>VIGÉSIMO QUINTO</w:t>
      </w:r>
    </w:p>
    <w:p w14:paraId="70E2766B" w14:textId="11DC5BCF" w:rsidR="00F34D5B" w:rsidRDefault="00F131FC" w:rsidP="0097699E">
      <w:pPr>
        <w:spacing w:before="240" w:after="120" w:line="276" w:lineRule="auto"/>
        <w:ind w:left="426"/>
        <w:jc w:val="both"/>
        <w:rPr>
          <w:rFonts w:ascii="ITC Avant Garde" w:hAnsi="ITC Avant Garde"/>
        </w:rPr>
      </w:pPr>
      <w:r>
        <w:rPr>
          <w:rFonts w:ascii="ITC Avant Garde" w:hAnsi="ITC Avant Garde"/>
        </w:rPr>
        <w:t>AT&amp;T</w:t>
      </w:r>
      <w:r w:rsidR="00F34D5B">
        <w:rPr>
          <w:rFonts w:ascii="ITC Avant Garde" w:hAnsi="ITC Avant Garde"/>
        </w:rPr>
        <w:t xml:space="preserve"> </w:t>
      </w:r>
      <w:r>
        <w:rPr>
          <w:rFonts w:ascii="ITC Avant Garde" w:hAnsi="ITC Avant Garde"/>
        </w:rPr>
        <w:t>sugiere que</w:t>
      </w:r>
      <w:r w:rsidRPr="00F131FC">
        <w:rPr>
          <w:rFonts w:ascii="ITC Avant Garde" w:hAnsi="ITC Avant Garde"/>
        </w:rPr>
        <w:t xml:space="preserve"> se confirme que se trata de un solo Mapa/Archivo agregado por cada tipo de elemento, en el que se cubra todo el país.</w:t>
      </w:r>
    </w:p>
    <w:p w14:paraId="68936D3C" w14:textId="507EEB8D" w:rsidR="003002CE" w:rsidRDefault="003002CE" w:rsidP="0097699E">
      <w:pPr>
        <w:spacing w:before="240" w:after="120" w:line="276" w:lineRule="auto"/>
        <w:ind w:left="426"/>
        <w:jc w:val="both"/>
        <w:rPr>
          <w:rFonts w:ascii="ITC Avant Garde" w:hAnsi="ITC Avant Garde"/>
        </w:rPr>
      </w:pPr>
      <w:r>
        <w:rPr>
          <w:rFonts w:ascii="ITC Avant Garde" w:hAnsi="ITC Avant Garde"/>
        </w:rPr>
        <w:t xml:space="preserve">Por su parte, TELMEX </w:t>
      </w:r>
      <w:r w:rsidRPr="003002CE">
        <w:rPr>
          <w:rFonts w:ascii="ITC Avant Garde" w:hAnsi="ITC Avant Garde"/>
        </w:rPr>
        <w:t>propone que se permita también la proyección cartográfica Datum WGS84</w:t>
      </w:r>
      <w:r>
        <w:rPr>
          <w:rFonts w:ascii="ITC Avant Garde" w:hAnsi="ITC Avant Garde"/>
        </w:rPr>
        <w:t>, que se den a conocer los formatos, la herramienta informática que se usará y si esta estará asociada a Ventanilla Electrónica.</w:t>
      </w:r>
    </w:p>
    <w:p w14:paraId="301F57AA" w14:textId="742E1404" w:rsidR="003002CE" w:rsidRDefault="003002CE" w:rsidP="0097699E">
      <w:pPr>
        <w:spacing w:before="240" w:after="120" w:line="276" w:lineRule="auto"/>
        <w:ind w:left="426"/>
        <w:jc w:val="both"/>
        <w:rPr>
          <w:rFonts w:ascii="ITC Avant Garde" w:hAnsi="ITC Avant Garde"/>
        </w:rPr>
      </w:pPr>
      <w:r>
        <w:rPr>
          <w:rFonts w:ascii="ITC Avant Garde" w:hAnsi="ITC Avant Garde"/>
        </w:rPr>
        <w:t>Por otro lado, TELCEL vuelve a establecer que no se incluyeron formatos que estarán disponibles, por lo que solicita que previo al Acuerdo se den a conocer.</w:t>
      </w:r>
    </w:p>
    <w:p w14:paraId="3AE5E294" w14:textId="4C280668" w:rsidR="000913FD" w:rsidRDefault="000913FD" w:rsidP="0097699E">
      <w:pPr>
        <w:spacing w:before="240" w:after="120" w:line="276" w:lineRule="auto"/>
        <w:ind w:left="426"/>
        <w:jc w:val="both"/>
        <w:rPr>
          <w:rFonts w:ascii="ITC Avant Garde" w:hAnsi="ITC Avant Garde"/>
        </w:rPr>
      </w:pPr>
      <w:r>
        <w:rPr>
          <w:rFonts w:ascii="ITC Avant Garde" w:hAnsi="ITC Avant Garde"/>
        </w:rPr>
        <w:t xml:space="preserve">RESPUESTA: </w:t>
      </w:r>
      <w:r w:rsidR="003002CE" w:rsidRPr="003002CE">
        <w:rPr>
          <w:rFonts w:ascii="ITC Avant Garde" w:hAnsi="ITC Avant Garde"/>
        </w:rPr>
        <w:t>La información para cada tipo de elemento será reportada conforme al formato que más le convenga a cada Sujeto Obligado, de los disponibles en el sistema informático del SNII.</w:t>
      </w:r>
    </w:p>
    <w:p w14:paraId="28239DF2" w14:textId="4DCA4DCB" w:rsidR="003002CE" w:rsidRPr="003002CE" w:rsidRDefault="003002CE" w:rsidP="003002CE">
      <w:pPr>
        <w:spacing w:before="240" w:after="120" w:line="276" w:lineRule="auto"/>
        <w:ind w:left="426"/>
        <w:jc w:val="both"/>
        <w:rPr>
          <w:rFonts w:ascii="ITC Avant Garde" w:hAnsi="ITC Avant Garde"/>
        </w:rPr>
      </w:pPr>
      <w:r>
        <w:rPr>
          <w:rFonts w:ascii="ITC Avant Garde" w:hAnsi="ITC Avant Garde"/>
        </w:rPr>
        <w:t>Por otro lado, l</w:t>
      </w:r>
      <w:r w:rsidRPr="003002CE">
        <w:rPr>
          <w:rFonts w:ascii="ITC Avant Garde" w:hAnsi="ITC Avant Garde"/>
        </w:rPr>
        <w:t>a cartografía utilizada es la proporcionada por INEGI, por lo tanto, se apega a los estándares que esta maneja.</w:t>
      </w:r>
    </w:p>
    <w:p w14:paraId="368AAABC" w14:textId="30A24FFB" w:rsidR="003002CE" w:rsidRDefault="003002CE" w:rsidP="003002CE">
      <w:pPr>
        <w:spacing w:before="240" w:after="120" w:line="276" w:lineRule="auto"/>
        <w:ind w:left="426"/>
        <w:jc w:val="both"/>
        <w:rPr>
          <w:rFonts w:ascii="ITC Avant Garde" w:hAnsi="ITC Avant Garde"/>
        </w:rPr>
      </w:pPr>
      <w:r>
        <w:rPr>
          <w:rFonts w:ascii="ITC Avant Garde" w:hAnsi="ITC Avant Garde"/>
        </w:rPr>
        <w:t>Asimismo, s</w:t>
      </w:r>
      <w:r w:rsidRPr="003002CE">
        <w:rPr>
          <w:rFonts w:ascii="ITC Avant Garde" w:hAnsi="ITC Avant Garde"/>
        </w:rPr>
        <w:t xml:space="preserve">e publicará un tutorial con las instrucciones de carga de información además de talleres informativos. </w:t>
      </w:r>
      <w:r w:rsidR="00866BEC">
        <w:rPr>
          <w:rFonts w:ascii="ITC Avant Garde" w:hAnsi="ITC Avant Garde"/>
        </w:rPr>
        <w:t>Por otra parte</w:t>
      </w:r>
      <w:r w:rsidRPr="003002CE">
        <w:rPr>
          <w:rFonts w:ascii="ITC Avant Garde" w:hAnsi="ITC Avant Garde"/>
        </w:rPr>
        <w:t xml:space="preserve">, el sistema cuenta con manuales de usuario que estarán disponibles para cualquier interesado. </w:t>
      </w:r>
      <w:r w:rsidR="00866BEC">
        <w:rPr>
          <w:rFonts w:ascii="ITC Avant Garde" w:hAnsi="ITC Avant Garde"/>
        </w:rPr>
        <w:t>De igual manera</w:t>
      </w:r>
      <w:r w:rsidRPr="003002CE">
        <w:rPr>
          <w:rFonts w:ascii="ITC Avant Garde" w:hAnsi="ITC Avant Garde"/>
        </w:rPr>
        <w:t xml:space="preserve">, se realizarán, previo a que los Sujetos Obligados inicien con su </w:t>
      </w:r>
      <w:r w:rsidRPr="003002CE">
        <w:rPr>
          <w:rFonts w:ascii="ITC Avant Garde" w:hAnsi="ITC Avant Garde"/>
        </w:rPr>
        <w:lastRenderedPageBreak/>
        <w:t>carga inicial, talleres específicos para que puedan conocer el sistema informático y realicen pruebas de carga de información.</w:t>
      </w:r>
    </w:p>
    <w:p w14:paraId="20321D69" w14:textId="7D39C5E9" w:rsidR="00F34D5B" w:rsidRPr="00AC335A" w:rsidRDefault="00F34D5B" w:rsidP="0097699E">
      <w:pPr>
        <w:spacing w:before="240" w:after="120" w:line="276" w:lineRule="auto"/>
        <w:ind w:left="426"/>
        <w:jc w:val="both"/>
        <w:rPr>
          <w:rFonts w:ascii="ITC Avant Garde" w:hAnsi="ITC Avant Garde"/>
          <w:b/>
        </w:rPr>
      </w:pPr>
      <w:r>
        <w:rPr>
          <w:rFonts w:ascii="ITC Avant Garde" w:hAnsi="ITC Avant Garde"/>
          <w:b/>
        </w:rPr>
        <w:t xml:space="preserve">ARTICULO </w:t>
      </w:r>
      <w:r w:rsidR="003002CE">
        <w:rPr>
          <w:rFonts w:ascii="ITC Avant Garde" w:hAnsi="ITC Avant Garde"/>
          <w:b/>
        </w:rPr>
        <w:t>VIGÉSIMO SEXTO</w:t>
      </w:r>
    </w:p>
    <w:p w14:paraId="1A3E34B3" w14:textId="2A18E01A" w:rsidR="00424ABC" w:rsidRDefault="00DC7264" w:rsidP="0097699E">
      <w:pPr>
        <w:spacing w:before="240" w:after="120" w:line="276" w:lineRule="auto"/>
        <w:ind w:left="426"/>
        <w:jc w:val="both"/>
        <w:rPr>
          <w:rFonts w:ascii="ITC Avant Garde" w:hAnsi="ITC Avant Garde"/>
          <w:i/>
          <w:sz w:val="20"/>
        </w:rPr>
      </w:pPr>
      <w:r>
        <w:rPr>
          <w:rFonts w:ascii="ITC Avant Garde" w:hAnsi="ITC Avant Garde"/>
        </w:rPr>
        <w:t>TELCEL reitera que no se incluyeron los formatos que estarán disponibles, por lo que solicita que previo al Acuerdo se den a conocer</w:t>
      </w:r>
      <w:r w:rsidR="00424ABC">
        <w:rPr>
          <w:rFonts w:ascii="ITC Avant Garde" w:hAnsi="ITC Avant Garde"/>
        </w:rPr>
        <w:t>.</w:t>
      </w:r>
    </w:p>
    <w:p w14:paraId="7D784B1C" w14:textId="17DD0F91" w:rsidR="00DC7264" w:rsidRDefault="00424ABC" w:rsidP="00DC7264">
      <w:pPr>
        <w:spacing w:before="240" w:after="120" w:line="276" w:lineRule="auto"/>
        <w:ind w:left="426"/>
        <w:jc w:val="both"/>
        <w:rPr>
          <w:rFonts w:ascii="ITC Avant Garde" w:hAnsi="ITC Avant Garde"/>
        </w:rPr>
      </w:pPr>
      <w:r w:rsidRPr="00424ABC">
        <w:rPr>
          <w:rFonts w:ascii="ITC Avant Garde" w:hAnsi="ITC Avant Garde"/>
        </w:rPr>
        <w:t xml:space="preserve">RESPUESTA: </w:t>
      </w:r>
      <w:r w:rsidR="00DC7264" w:rsidRPr="00DC7264">
        <w:rPr>
          <w:rFonts w:ascii="ITC Avant Garde" w:hAnsi="ITC Avant Garde"/>
        </w:rPr>
        <w:t xml:space="preserve">Se publicará un tutorial con las instrucciones de carga de información además de talleres informativos. Asimismo, el sistema cuenta con manuales de usuario que estarán disponibles para cualquier interesado. </w:t>
      </w:r>
      <w:r w:rsidR="00866BEC">
        <w:rPr>
          <w:rFonts w:ascii="ITC Avant Garde" w:hAnsi="ITC Avant Garde"/>
        </w:rPr>
        <w:t>De igual manera</w:t>
      </w:r>
      <w:r w:rsidR="00DC7264" w:rsidRPr="00DC7264">
        <w:rPr>
          <w:rFonts w:ascii="ITC Avant Garde" w:hAnsi="ITC Avant Garde"/>
        </w:rPr>
        <w:t xml:space="preserve">, se realizarán, previo a que los Sujetos Obligados inicien con su carga inicial, talleres específicos para que puedan conocer el sistema informático y realicen pruebas de carga de información. </w:t>
      </w:r>
    </w:p>
    <w:p w14:paraId="29C98082" w14:textId="77777777" w:rsidR="00F34D5B" w:rsidRPr="00ED0C60" w:rsidRDefault="00F34D5B" w:rsidP="00F34D5B">
      <w:pPr>
        <w:pStyle w:val="Prrafodelista"/>
        <w:numPr>
          <w:ilvl w:val="0"/>
          <w:numId w:val="6"/>
        </w:numPr>
        <w:spacing w:before="240" w:after="120" w:line="276" w:lineRule="auto"/>
        <w:jc w:val="both"/>
        <w:rPr>
          <w:rFonts w:ascii="ITC Avant Garde" w:hAnsi="ITC Avant Garde"/>
          <w:b/>
        </w:rPr>
      </w:pPr>
      <w:r w:rsidRPr="00ED0C60">
        <w:rPr>
          <w:rFonts w:ascii="ITC Avant Garde" w:hAnsi="ITC Avant Garde"/>
          <w:b/>
        </w:rPr>
        <w:t>TRANSITORIOS</w:t>
      </w:r>
    </w:p>
    <w:p w14:paraId="3253BCCA" w14:textId="69DCD950" w:rsidR="00F34D5B" w:rsidRDefault="00F34D5B" w:rsidP="00F34D5B">
      <w:pPr>
        <w:spacing w:before="240" w:after="120" w:line="276" w:lineRule="auto"/>
        <w:ind w:left="567"/>
        <w:jc w:val="both"/>
        <w:rPr>
          <w:rFonts w:ascii="ITC Avant Garde" w:hAnsi="ITC Avant Garde"/>
          <w:b/>
        </w:rPr>
      </w:pPr>
      <w:r>
        <w:rPr>
          <w:rFonts w:ascii="ITC Avant Garde" w:hAnsi="ITC Avant Garde"/>
          <w:b/>
        </w:rPr>
        <w:t>SEGUNDO</w:t>
      </w:r>
      <w:r w:rsidR="00DC7264">
        <w:rPr>
          <w:rFonts w:ascii="ITC Avant Garde" w:hAnsi="ITC Avant Garde"/>
          <w:b/>
        </w:rPr>
        <w:t>.</w:t>
      </w:r>
    </w:p>
    <w:p w14:paraId="7BA48BF3" w14:textId="7AA0522E" w:rsidR="00DC7264" w:rsidRPr="00DC7264" w:rsidRDefault="00DC7264" w:rsidP="00DC7264">
      <w:pPr>
        <w:spacing w:before="240" w:after="120" w:line="276" w:lineRule="auto"/>
        <w:ind w:left="567"/>
        <w:jc w:val="both"/>
        <w:rPr>
          <w:rFonts w:ascii="ITC Avant Garde" w:hAnsi="ITC Avant Garde"/>
        </w:rPr>
      </w:pPr>
      <w:r>
        <w:rPr>
          <w:rFonts w:ascii="ITC Avant Garde" w:hAnsi="ITC Avant Garde"/>
        </w:rPr>
        <w:t>TELEVISA</w:t>
      </w:r>
      <w:r w:rsidR="00F34D5B">
        <w:rPr>
          <w:rFonts w:ascii="ITC Avant Garde" w:hAnsi="ITC Avant Garde"/>
          <w:b/>
        </w:rPr>
        <w:t xml:space="preserve"> </w:t>
      </w:r>
      <w:r w:rsidR="00F34D5B" w:rsidRPr="004B4F7B">
        <w:rPr>
          <w:rFonts w:ascii="ITC Avant Garde" w:hAnsi="ITC Avant Garde"/>
        </w:rPr>
        <w:t>considera</w:t>
      </w:r>
      <w:r w:rsidR="00F34D5B">
        <w:rPr>
          <w:rFonts w:ascii="ITC Avant Garde" w:hAnsi="ITC Avant Garde"/>
        </w:rPr>
        <w:t xml:space="preserve"> </w:t>
      </w:r>
      <w:r>
        <w:rPr>
          <w:rFonts w:ascii="ITC Avant Garde" w:hAnsi="ITC Avant Garde"/>
        </w:rPr>
        <w:t>que, con</w:t>
      </w:r>
      <w:r w:rsidRPr="00DC7264">
        <w:rPr>
          <w:rFonts w:ascii="ITC Avant Garde" w:hAnsi="ITC Avant Garde"/>
        </w:rPr>
        <w:t xml:space="preserve"> la finalidad de dar certeza del correcto funcionamiento y hacer del conocimiento de los Sujetos Obligados el inicio de operaciones del SNII, este Instituto deberá publicar el aviso de inicio de operaciones en el Diario Oficial de la Federación</w:t>
      </w:r>
      <w:r w:rsidR="003B6EF2">
        <w:rPr>
          <w:rFonts w:ascii="ITC Avant Garde" w:hAnsi="ITC Avant Garde"/>
        </w:rPr>
        <w:t xml:space="preserve"> (</w:t>
      </w:r>
      <w:r w:rsidR="00FC2869">
        <w:rPr>
          <w:rFonts w:ascii="ITC Avant Garde" w:hAnsi="ITC Avant Garde"/>
        </w:rPr>
        <w:t>e</w:t>
      </w:r>
      <w:r w:rsidR="003B6EF2">
        <w:rPr>
          <w:rFonts w:ascii="ITC Avant Garde" w:hAnsi="ITC Avant Garde"/>
        </w:rPr>
        <w:t>n lo sucesivo</w:t>
      </w:r>
      <w:r w:rsidR="008A5B12">
        <w:rPr>
          <w:rFonts w:ascii="ITC Avant Garde" w:hAnsi="ITC Avant Garde"/>
        </w:rPr>
        <w:t>,</w:t>
      </w:r>
      <w:r w:rsidR="003B6EF2">
        <w:rPr>
          <w:rFonts w:ascii="ITC Avant Garde" w:hAnsi="ITC Avant Garde"/>
        </w:rPr>
        <w:t xml:space="preserve"> “DOF”)</w:t>
      </w:r>
      <w:r w:rsidRPr="00DC7264">
        <w:rPr>
          <w:rFonts w:ascii="ITC Avant Garde" w:hAnsi="ITC Avant Garde"/>
        </w:rPr>
        <w:t xml:space="preserve"> y en su portal de Internet, por lo anterior solicita que no se derogu</w:t>
      </w:r>
      <w:r w:rsidR="004849EC">
        <w:rPr>
          <w:rFonts w:ascii="ITC Avant Garde" w:hAnsi="ITC Avant Garde"/>
        </w:rPr>
        <w:t>e</w:t>
      </w:r>
      <w:r w:rsidRPr="00DC7264">
        <w:rPr>
          <w:rFonts w:ascii="ITC Avant Garde" w:hAnsi="ITC Avant Garde"/>
        </w:rPr>
        <w:t xml:space="preserve"> el artículo Transitorio SEGUNDO y quedar como sigue:</w:t>
      </w:r>
    </w:p>
    <w:p w14:paraId="517E68C0" w14:textId="5D90EDE4" w:rsidR="00F34D5B" w:rsidRDefault="00DC7264" w:rsidP="00DC7264">
      <w:pPr>
        <w:spacing w:before="240" w:after="120" w:line="276" w:lineRule="auto"/>
        <w:ind w:left="567"/>
        <w:jc w:val="both"/>
        <w:rPr>
          <w:rFonts w:ascii="ITC Avant Garde" w:hAnsi="ITC Avant Garde"/>
        </w:rPr>
      </w:pPr>
      <w:r w:rsidRPr="00DC7264">
        <w:rPr>
          <w:rFonts w:ascii="ITC Avant Garde" w:hAnsi="ITC Avant Garde"/>
        </w:rPr>
        <w:t>“SEGUNDO. El Instituto publicará el aviso de inicio de operaciones del SNII en el Diario Oficial de la Federación y en su portal de Internet.”</w:t>
      </w:r>
    </w:p>
    <w:p w14:paraId="1C0336C6" w14:textId="358CD146" w:rsidR="00DC7264" w:rsidRDefault="00DC7264" w:rsidP="00DC7264">
      <w:pPr>
        <w:spacing w:before="240" w:after="120" w:line="276" w:lineRule="auto"/>
        <w:ind w:left="567"/>
        <w:jc w:val="both"/>
        <w:rPr>
          <w:rFonts w:ascii="ITC Avant Garde" w:hAnsi="ITC Avant Garde"/>
        </w:rPr>
      </w:pPr>
      <w:r>
        <w:rPr>
          <w:rFonts w:ascii="ITC Avant Garde" w:hAnsi="ITC Avant Garde"/>
        </w:rPr>
        <w:t xml:space="preserve">Por su parte TELCEL, señala </w:t>
      </w:r>
      <w:r w:rsidRPr="00DC7264">
        <w:rPr>
          <w:rFonts w:ascii="ITC Avant Garde" w:hAnsi="ITC Avant Garde"/>
        </w:rPr>
        <w:t xml:space="preserve">injustificado que la Autoridad simplemente elimine la obligación a su cargo de publicar en el </w:t>
      </w:r>
      <w:r w:rsidR="003B6EF2">
        <w:rPr>
          <w:rFonts w:ascii="ITC Avant Garde" w:hAnsi="ITC Avant Garde"/>
        </w:rPr>
        <w:t>DOF</w:t>
      </w:r>
      <w:r w:rsidRPr="00DC7264">
        <w:rPr>
          <w:rFonts w:ascii="ITC Avant Garde" w:hAnsi="ITC Avant Garde"/>
        </w:rPr>
        <w:t xml:space="preserve"> y en su portal de Internet el aviso de inicio de operaciones del SNII</w:t>
      </w:r>
      <w:r w:rsidR="00BD1FB9">
        <w:rPr>
          <w:rFonts w:ascii="ITC Avant Garde" w:hAnsi="ITC Avant Garde"/>
        </w:rPr>
        <w:t xml:space="preserve"> y </w:t>
      </w:r>
      <w:r w:rsidR="00BD1FB9" w:rsidRPr="00BD1FB9">
        <w:rPr>
          <w:rFonts w:ascii="ITC Avant Garde" w:hAnsi="ITC Avant Garde"/>
        </w:rPr>
        <w:t>propone y solicita mantener</w:t>
      </w:r>
      <w:r w:rsidR="00BD1FB9">
        <w:rPr>
          <w:rFonts w:ascii="ITC Avant Garde" w:hAnsi="ITC Avant Garde"/>
        </w:rPr>
        <w:t xml:space="preserve"> </w:t>
      </w:r>
      <w:r w:rsidR="00BD1FB9" w:rsidRPr="00BD1FB9">
        <w:rPr>
          <w:rFonts w:ascii="ITC Avant Garde" w:hAnsi="ITC Avant Garde"/>
        </w:rPr>
        <w:t>el presente lineamiento</w:t>
      </w:r>
      <w:r w:rsidR="00BD1FB9">
        <w:rPr>
          <w:rFonts w:ascii="ITC Avant Garde" w:hAnsi="ITC Avant Garde"/>
        </w:rPr>
        <w:t>.</w:t>
      </w:r>
    </w:p>
    <w:p w14:paraId="578A8D31" w14:textId="0CF59868" w:rsidR="00BD1FB9" w:rsidRDefault="00BD1FB9" w:rsidP="00DC7264">
      <w:pPr>
        <w:spacing w:before="240" w:after="120" w:line="276" w:lineRule="auto"/>
        <w:ind w:left="567"/>
        <w:jc w:val="both"/>
        <w:rPr>
          <w:rFonts w:ascii="ITC Avant Garde" w:hAnsi="ITC Avant Garde"/>
        </w:rPr>
      </w:pPr>
      <w:r>
        <w:rPr>
          <w:rFonts w:ascii="ITC Avant Garde" w:hAnsi="ITC Avant Garde"/>
        </w:rPr>
        <w:t xml:space="preserve">RESPUESTA: </w:t>
      </w:r>
      <w:r w:rsidRPr="00BD1FB9">
        <w:rPr>
          <w:rFonts w:ascii="ITC Avant Garde" w:hAnsi="ITC Avant Garde"/>
        </w:rPr>
        <w:t xml:space="preserve">Se considera </w:t>
      </w:r>
      <w:r w:rsidR="008F5E24" w:rsidRPr="00BD1FB9">
        <w:rPr>
          <w:rFonts w:ascii="ITC Avant Garde" w:hAnsi="ITC Avant Garde"/>
        </w:rPr>
        <w:t>que,</w:t>
      </w:r>
      <w:r w:rsidRPr="00BD1FB9">
        <w:rPr>
          <w:rFonts w:ascii="ITC Avant Garde" w:hAnsi="ITC Avant Garde"/>
        </w:rPr>
        <w:t xml:space="preserve"> dado que se establece un calendario para el cumplimiento de las obligaciones ante el SNII, el aviso de inicio de operaciones resulta innecesario.</w:t>
      </w:r>
    </w:p>
    <w:p w14:paraId="0CB32B3D" w14:textId="7CA67649" w:rsidR="00F34D5B" w:rsidRDefault="00BD1FB9" w:rsidP="00F34D5B">
      <w:pPr>
        <w:spacing w:before="240" w:after="120" w:line="276" w:lineRule="auto"/>
        <w:ind w:left="567"/>
        <w:jc w:val="both"/>
        <w:rPr>
          <w:rFonts w:ascii="ITC Avant Garde" w:hAnsi="ITC Avant Garde"/>
          <w:b/>
        </w:rPr>
      </w:pPr>
      <w:r>
        <w:rPr>
          <w:rFonts w:ascii="ITC Avant Garde" w:hAnsi="ITC Avant Garde"/>
          <w:b/>
        </w:rPr>
        <w:t>CUARTO.</w:t>
      </w:r>
    </w:p>
    <w:p w14:paraId="65460A70" w14:textId="77777777" w:rsidR="00C448FE" w:rsidRDefault="00BD1FB9" w:rsidP="00F34D5B">
      <w:pPr>
        <w:spacing w:before="240" w:after="120" w:line="276" w:lineRule="auto"/>
        <w:ind w:left="567"/>
        <w:jc w:val="both"/>
        <w:rPr>
          <w:rFonts w:ascii="ITC Avant Garde" w:hAnsi="ITC Avant Garde"/>
        </w:rPr>
      </w:pPr>
      <w:r>
        <w:rPr>
          <w:rFonts w:ascii="ITC Avant Garde" w:hAnsi="ITC Avant Garde"/>
        </w:rPr>
        <w:lastRenderedPageBreak/>
        <w:t>MOVISTAR</w:t>
      </w:r>
      <w:r w:rsidR="00F34D5B">
        <w:rPr>
          <w:rFonts w:ascii="ITC Avant Garde" w:hAnsi="ITC Avant Garde"/>
        </w:rPr>
        <w:t xml:space="preserve"> señala que </w:t>
      </w:r>
      <w:r>
        <w:rPr>
          <w:rFonts w:ascii="ITC Avant Garde" w:hAnsi="ITC Avant Garde"/>
        </w:rPr>
        <w:t>e</w:t>
      </w:r>
      <w:r w:rsidRPr="00BD1FB9">
        <w:rPr>
          <w:rFonts w:ascii="ITC Avant Garde" w:hAnsi="ITC Avant Garde"/>
        </w:rPr>
        <w:t xml:space="preserve">n el transitorio CUARTO de los lineamientos en consulta pública se establece que la carga inicial de la información se realizará conforme al calendario estipulado, en el caso de mi representada es abril de 2024, bajo esa premisa resulta necesarios expresar al Instituto que el plazo otorgado resulta claramente insuficiente, dada la complejidad de la tarea y los recursos necesarios. el plazo originalmente concedido de 120 días hábiles (aproximadamente 6 meses naturales) resultaba mucho más amplio que el efectivamente concedido en la modificación puesta a consulta, pues considerando que el acuerdo será puesto a votación del Pleno del Instituto y publicado en el </w:t>
      </w:r>
      <w:r w:rsidRPr="00FC2869">
        <w:rPr>
          <w:rFonts w:ascii="ITC Avant Garde" w:hAnsi="ITC Avant Garde"/>
        </w:rPr>
        <w:t>DOF</w:t>
      </w:r>
      <w:r w:rsidRPr="00BD1FB9">
        <w:rPr>
          <w:rFonts w:ascii="ITC Avant Garde" w:hAnsi="ITC Avant Garde"/>
        </w:rPr>
        <w:t xml:space="preserve"> para que surta efectos legales este plazo será de no más de 4 meses naturales por lo que se solicita otorgar, al menos, el plazo previsto originalmente para la primera entrega de información. </w:t>
      </w:r>
    </w:p>
    <w:p w14:paraId="0B537514" w14:textId="7B5F5FE3" w:rsidR="00C448FE" w:rsidRDefault="006120E7" w:rsidP="00F34D5B">
      <w:pPr>
        <w:spacing w:before="240" w:after="120" w:line="276" w:lineRule="auto"/>
        <w:ind w:left="567"/>
        <w:jc w:val="both"/>
        <w:rPr>
          <w:rFonts w:ascii="ITC Avant Garde" w:hAnsi="ITC Avant Garde"/>
        </w:rPr>
      </w:pPr>
      <w:r>
        <w:rPr>
          <w:rFonts w:ascii="ITC Avant Garde" w:hAnsi="ITC Avant Garde"/>
        </w:rPr>
        <w:t>RED NACIONA</w:t>
      </w:r>
      <w:r w:rsidR="00222AB4">
        <w:rPr>
          <w:rFonts w:ascii="ITC Avant Garde" w:hAnsi="ITC Avant Garde"/>
        </w:rPr>
        <w:t>L propone modificar la redacción del lineamiento para acotar que los Sujetos Obligados carguen la totalidad de los elementos con la información con la que cuentan de cada uno de ellos.</w:t>
      </w:r>
    </w:p>
    <w:p w14:paraId="14EE7E4E" w14:textId="1E026803" w:rsidR="00222AB4" w:rsidRDefault="00222AB4" w:rsidP="00F34D5B">
      <w:pPr>
        <w:spacing w:before="240" w:after="120" w:line="276" w:lineRule="auto"/>
        <w:ind w:left="567"/>
        <w:jc w:val="both"/>
        <w:rPr>
          <w:rFonts w:ascii="ITC Avant Garde" w:hAnsi="ITC Avant Garde"/>
        </w:rPr>
      </w:pPr>
      <w:r>
        <w:rPr>
          <w:rFonts w:ascii="ITC Avant Garde" w:hAnsi="ITC Avant Garde"/>
        </w:rPr>
        <w:t>Por su parte TELEVISA</w:t>
      </w:r>
      <w:r w:rsidR="005A23DE">
        <w:rPr>
          <w:rFonts w:ascii="ITC Avant Garde" w:hAnsi="ITC Avant Garde"/>
        </w:rPr>
        <w:t>, solicita que se otorgue un plazo de al menos 120 días naturales para la carga inicial de información, tener disponible en la página del Instituto el manual de operaciones del SNII.</w:t>
      </w:r>
    </w:p>
    <w:p w14:paraId="5D5D0245" w14:textId="0D9C6A09" w:rsidR="005A23DE" w:rsidRDefault="005A23DE" w:rsidP="00F34D5B">
      <w:pPr>
        <w:spacing w:before="240" w:after="120" w:line="276" w:lineRule="auto"/>
        <w:ind w:left="567"/>
        <w:jc w:val="both"/>
        <w:rPr>
          <w:rFonts w:ascii="ITC Avant Garde" w:hAnsi="ITC Avant Garde"/>
        </w:rPr>
      </w:pPr>
      <w:r>
        <w:rPr>
          <w:rFonts w:ascii="ITC Avant Garde" w:hAnsi="ITC Avant Garde"/>
        </w:rPr>
        <w:t xml:space="preserve">Por otro lado, AT&amp;T solicita </w:t>
      </w:r>
      <w:r w:rsidRPr="005A23DE">
        <w:rPr>
          <w:rFonts w:ascii="ITC Avant Garde" w:hAnsi="ITC Avant Garde"/>
        </w:rPr>
        <w:t>modificar el calendario para que la "Carga Inicial" inicie al menos 6 meses después de la entrega del MANUAL DEL SISTEMA y las PRUEBAS con el propósito de contar con el tiempo suficiente para la implementación y la recolección de datos.</w:t>
      </w:r>
    </w:p>
    <w:p w14:paraId="5B0FF118" w14:textId="2152200A" w:rsidR="005A23DE" w:rsidRDefault="005A23DE" w:rsidP="00F34D5B">
      <w:pPr>
        <w:spacing w:before="240" w:after="120" w:line="276" w:lineRule="auto"/>
        <w:ind w:left="567"/>
        <w:jc w:val="both"/>
        <w:rPr>
          <w:rFonts w:ascii="ITC Avant Garde" w:hAnsi="ITC Avant Garde"/>
        </w:rPr>
      </w:pPr>
      <w:r>
        <w:rPr>
          <w:rFonts w:ascii="ITC Avant Garde" w:hAnsi="ITC Avant Garde"/>
        </w:rPr>
        <w:t>TELMEX por su parte, señala que establecer la carga en base al último dígito del folio electrónico no es un criterio eficiente, pues da el mismo plazo sin importar la cantidad de infraestructura de</w:t>
      </w:r>
      <w:r w:rsidR="008F5E24">
        <w:rPr>
          <w:rFonts w:ascii="ITC Avant Garde" w:hAnsi="ITC Avant Garde"/>
        </w:rPr>
        <w:t xml:space="preserve"> cada Sujeto Obligado, solicita modificar los plazos e iniciar carga a partir del segundo semestre.</w:t>
      </w:r>
    </w:p>
    <w:p w14:paraId="66A3EFA7" w14:textId="0AE22AEC" w:rsidR="008F5E24" w:rsidRDefault="008F5E24" w:rsidP="00F34D5B">
      <w:pPr>
        <w:spacing w:before="240" w:after="120" w:line="276" w:lineRule="auto"/>
        <w:ind w:left="567"/>
        <w:jc w:val="both"/>
        <w:rPr>
          <w:rFonts w:ascii="ITC Avant Garde" w:hAnsi="ITC Avant Garde"/>
        </w:rPr>
      </w:pPr>
      <w:r>
        <w:rPr>
          <w:rFonts w:ascii="ITC Avant Garde" w:hAnsi="ITC Avant Garde"/>
        </w:rPr>
        <w:t>CANIETI considera que, el plazo resulta inadecuado y solicita se mantengan los 120 días hábiles y que sean a partir de las pruebas del sistema hayan sido exitosas para la primera carga.</w:t>
      </w:r>
    </w:p>
    <w:p w14:paraId="0A87FC26" w14:textId="4A502188" w:rsidR="00A42142" w:rsidRDefault="008F5E24" w:rsidP="00A42142">
      <w:pPr>
        <w:spacing w:before="240" w:after="120" w:line="276" w:lineRule="auto"/>
        <w:ind w:left="567"/>
        <w:jc w:val="both"/>
        <w:rPr>
          <w:rFonts w:ascii="ITC Avant Garde" w:hAnsi="ITC Avant Garde"/>
        </w:rPr>
      </w:pPr>
      <w:r>
        <w:rPr>
          <w:rFonts w:ascii="ITC Avant Garde" w:hAnsi="ITC Avant Garde"/>
        </w:rPr>
        <w:t xml:space="preserve">Por último, TELCEL insiste que debe mantenerse el plazo original de 120 días naturales para la carga inicial, de lo contrario expone que se estaría exponiendo </w:t>
      </w:r>
      <w:r w:rsidR="00A42142">
        <w:rPr>
          <w:rFonts w:ascii="ITC Avant Garde" w:hAnsi="ITC Avant Garde"/>
        </w:rPr>
        <w:t xml:space="preserve">a los Sujetos Obligados a incumplir dicha obligación, considera </w:t>
      </w:r>
      <w:r w:rsidR="00A42142">
        <w:rPr>
          <w:rFonts w:ascii="ITC Avant Garde" w:hAnsi="ITC Avant Garde"/>
        </w:rPr>
        <w:lastRenderedPageBreak/>
        <w:t>además que las modificaciones reducen a un solo mes el plazo lo que considera injustificado y ajeno a la realidad, por el volumen y complejidad de la información. Por lo anterior, propone mantener la redacción del transitorio cuarto.</w:t>
      </w:r>
    </w:p>
    <w:p w14:paraId="7F233FA9" w14:textId="138C23E0" w:rsidR="00A42142" w:rsidRDefault="00A42142" w:rsidP="00A42142">
      <w:pPr>
        <w:spacing w:before="240" w:after="120" w:line="276" w:lineRule="auto"/>
        <w:ind w:left="567"/>
        <w:jc w:val="both"/>
        <w:rPr>
          <w:rFonts w:ascii="ITC Avant Garde" w:hAnsi="ITC Avant Garde"/>
        </w:rPr>
      </w:pPr>
      <w:r>
        <w:rPr>
          <w:rFonts w:ascii="ITC Avant Garde" w:hAnsi="ITC Avant Garde"/>
        </w:rPr>
        <w:t xml:space="preserve">RESPUESTA: </w:t>
      </w:r>
      <w:r w:rsidRPr="00A42142">
        <w:rPr>
          <w:rFonts w:ascii="ITC Avant Garde" w:hAnsi="ITC Avant Garde"/>
        </w:rPr>
        <w:t xml:space="preserve">Los Lineamientos fueron publicados en octubre de 2019, donde se estableció la información que se recabaría y no se modificarían en la presente propuesta, por lo que se considera que ha existido tiempo suficiente para el levantamiento de la información requerida. </w:t>
      </w:r>
      <w:r w:rsidR="00866BEC" w:rsidRPr="00A42142">
        <w:rPr>
          <w:rFonts w:ascii="ITC Avant Garde" w:hAnsi="ITC Avant Garde"/>
        </w:rPr>
        <w:t>Asimismo,</w:t>
      </w:r>
      <w:r w:rsidRPr="00A42142">
        <w:rPr>
          <w:rFonts w:ascii="ITC Avant Garde" w:hAnsi="ITC Avant Garde"/>
        </w:rPr>
        <w:t xml:space="preserve"> se aclara que el plazo establecido originalmente en los lineamientos era de 120 días naturales.</w:t>
      </w:r>
      <w:r>
        <w:rPr>
          <w:rFonts w:ascii="ITC Avant Garde" w:hAnsi="ITC Avant Garde"/>
        </w:rPr>
        <w:t xml:space="preserve"> </w:t>
      </w:r>
      <w:r w:rsidR="00866BEC">
        <w:rPr>
          <w:rFonts w:ascii="ITC Avant Garde" w:hAnsi="ITC Avant Garde"/>
        </w:rPr>
        <w:t>Por otra parte</w:t>
      </w:r>
      <w:r>
        <w:rPr>
          <w:rFonts w:ascii="ITC Avant Garde" w:hAnsi="ITC Avant Garde"/>
        </w:rPr>
        <w:t xml:space="preserve">, se reitera que </w:t>
      </w:r>
      <w:r w:rsidR="00866BEC">
        <w:rPr>
          <w:rFonts w:ascii="ITC Avant Garde" w:hAnsi="ITC Avant Garde"/>
        </w:rPr>
        <w:t>s</w:t>
      </w:r>
      <w:r w:rsidRPr="00A42142">
        <w:rPr>
          <w:rFonts w:ascii="ITC Avant Garde" w:hAnsi="ITC Avant Garde"/>
        </w:rPr>
        <w:t xml:space="preserve">e publicará un tutorial con las instrucciones de carga de información además de talleres informativos. </w:t>
      </w:r>
      <w:r w:rsidR="00866BEC">
        <w:rPr>
          <w:rFonts w:ascii="ITC Avant Garde" w:hAnsi="ITC Avant Garde"/>
        </w:rPr>
        <w:t>De igual manera</w:t>
      </w:r>
      <w:r w:rsidRPr="00A42142">
        <w:rPr>
          <w:rFonts w:ascii="ITC Avant Garde" w:hAnsi="ITC Avant Garde"/>
        </w:rPr>
        <w:t xml:space="preserve">, el sistema cuenta con manuales de usuario que estarán disponibles para cualquier interesado. </w:t>
      </w:r>
      <w:r w:rsidR="00866BEC">
        <w:rPr>
          <w:rFonts w:ascii="ITC Avant Garde" w:hAnsi="ITC Avant Garde"/>
        </w:rPr>
        <w:t xml:space="preserve">Se agrega que </w:t>
      </w:r>
      <w:r w:rsidRPr="00A42142">
        <w:rPr>
          <w:rFonts w:ascii="ITC Avant Garde" w:hAnsi="ITC Avant Garde"/>
        </w:rPr>
        <w:t>se realizarán, previo a que los Sujetos Obligados inicien con su carga inicial, talleres específicos para que puedan conocer el sistema informático y realicen pruebas de carga de información.</w:t>
      </w:r>
    </w:p>
    <w:p w14:paraId="00CFE3E6" w14:textId="0E7F7764" w:rsidR="00A42142" w:rsidRPr="00ED0C60" w:rsidRDefault="00A42142" w:rsidP="00A42142">
      <w:pPr>
        <w:pStyle w:val="Prrafodelista"/>
        <w:numPr>
          <w:ilvl w:val="0"/>
          <w:numId w:val="6"/>
        </w:numPr>
        <w:spacing w:before="240" w:after="120" w:line="276" w:lineRule="auto"/>
        <w:jc w:val="both"/>
        <w:rPr>
          <w:rFonts w:ascii="ITC Avant Garde" w:hAnsi="ITC Avant Garde"/>
          <w:b/>
        </w:rPr>
      </w:pPr>
      <w:r>
        <w:rPr>
          <w:rFonts w:ascii="ITC Avant Garde" w:hAnsi="ITC Avant Garde"/>
          <w:b/>
        </w:rPr>
        <w:t>OTROS</w:t>
      </w:r>
    </w:p>
    <w:p w14:paraId="638C839E" w14:textId="07458A6E" w:rsidR="008F5E24" w:rsidRDefault="00A42142" w:rsidP="00F34D5B">
      <w:pPr>
        <w:spacing w:before="240" w:after="120" w:line="276" w:lineRule="auto"/>
        <w:ind w:left="567"/>
        <w:jc w:val="both"/>
        <w:rPr>
          <w:rFonts w:ascii="ITC Avant Garde" w:hAnsi="ITC Avant Garde"/>
        </w:rPr>
      </w:pPr>
      <w:r>
        <w:rPr>
          <w:rFonts w:ascii="ITC Avant Garde" w:hAnsi="ITC Avant Garde"/>
        </w:rPr>
        <w:t>TELECOMUNICACIONES JÚPITER señala que en d</w:t>
      </w:r>
      <w:r w:rsidRPr="00A42142">
        <w:rPr>
          <w:rFonts w:ascii="ITC Avant Garde" w:hAnsi="ITC Avant Garde"/>
        </w:rPr>
        <w:t>uctos la información de área total se despliega con proyecciones de crecimiento lo cual puede ser información confidencial</w:t>
      </w:r>
      <w:r>
        <w:rPr>
          <w:rFonts w:ascii="ITC Avant Garde" w:hAnsi="ITC Avant Garde"/>
        </w:rPr>
        <w:t>. Asimismo, cuestiona que e</w:t>
      </w:r>
      <w:r w:rsidRPr="00A42142">
        <w:rPr>
          <w:rFonts w:ascii="ITC Avant Garde" w:hAnsi="ITC Avant Garde"/>
        </w:rPr>
        <w:t>n el caso de postes qui</w:t>
      </w:r>
      <w:r w:rsidR="008A5B12">
        <w:rPr>
          <w:rFonts w:ascii="ITC Avant Garde" w:hAnsi="ITC Avant Garde"/>
        </w:rPr>
        <w:t>é</w:t>
      </w:r>
      <w:r w:rsidRPr="00A42142">
        <w:rPr>
          <w:rFonts w:ascii="ITC Avant Garde" w:hAnsi="ITC Avant Garde"/>
        </w:rPr>
        <w:t>n determina el peso máximo, cu</w:t>
      </w:r>
      <w:r w:rsidR="008A5B12">
        <w:rPr>
          <w:rFonts w:ascii="ITC Avant Garde" w:hAnsi="ITC Avant Garde"/>
        </w:rPr>
        <w:t>á</w:t>
      </w:r>
      <w:r w:rsidRPr="00A42142">
        <w:rPr>
          <w:rFonts w:ascii="ITC Avant Garde" w:hAnsi="ITC Avant Garde"/>
        </w:rPr>
        <w:t xml:space="preserve">ntas estaciones disponibles </w:t>
      </w:r>
      <w:r>
        <w:rPr>
          <w:rFonts w:ascii="ITC Avant Garde" w:hAnsi="ITC Avant Garde"/>
        </w:rPr>
        <w:t xml:space="preserve">y </w:t>
      </w:r>
      <w:r w:rsidRPr="00A42142">
        <w:rPr>
          <w:rFonts w:ascii="ITC Avant Garde" w:hAnsi="ITC Avant Garde"/>
        </w:rPr>
        <w:t>c</w:t>
      </w:r>
      <w:r w:rsidR="008A5B12">
        <w:rPr>
          <w:rFonts w:ascii="ITC Avant Garde" w:hAnsi="ITC Avant Garde"/>
        </w:rPr>
        <w:t>ó</w:t>
      </w:r>
      <w:r w:rsidRPr="00A42142">
        <w:rPr>
          <w:rFonts w:ascii="ITC Avant Garde" w:hAnsi="ITC Avant Garde"/>
        </w:rPr>
        <w:t>mo se determina que existen espacios</w:t>
      </w:r>
      <w:r>
        <w:rPr>
          <w:rFonts w:ascii="ITC Avant Garde" w:hAnsi="ITC Avant Garde"/>
        </w:rPr>
        <w:t xml:space="preserve">. </w:t>
      </w:r>
      <w:r w:rsidR="003318CE">
        <w:rPr>
          <w:rFonts w:ascii="ITC Avant Garde" w:hAnsi="ITC Avant Garde"/>
        </w:rPr>
        <w:t xml:space="preserve">Por último, pregunta </w:t>
      </w:r>
      <w:r w:rsidR="003318CE" w:rsidRPr="00A42142">
        <w:rPr>
          <w:rFonts w:ascii="ITC Avant Garde" w:hAnsi="ITC Avant Garde"/>
        </w:rPr>
        <w:t>En caso de no tener una concesión del uso del derecho de vía, posiblemente existan sin permisos, ¿qué sucederá?</w:t>
      </w:r>
      <w:r w:rsidRPr="00A42142">
        <w:rPr>
          <w:rFonts w:ascii="ITC Avant Garde" w:hAnsi="ITC Avant Garde"/>
        </w:rPr>
        <w:t>, ya que el regularizarlo tiene un costo</w:t>
      </w:r>
      <w:r w:rsidR="003318CE">
        <w:rPr>
          <w:rFonts w:ascii="ITC Avant Garde" w:hAnsi="ITC Avant Garde"/>
        </w:rPr>
        <w:t>.</w:t>
      </w:r>
    </w:p>
    <w:p w14:paraId="0B672CF2" w14:textId="6D4079CE" w:rsidR="003318CE" w:rsidRDefault="003318CE" w:rsidP="003318CE">
      <w:pPr>
        <w:spacing w:before="240" w:after="120" w:line="276" w:lineRule="auto"/>
        <w:ind w:left="567"/>
        <w:jc w:val="both"/>
        <w:rPr>
          <w:rFonts w:ascii="ITC Avant Garde" w:hAnsi="ITC Avant Garde"/>
        </w:rPr>
      </w:pPr>
      <w:r>
        <w:rPr>
          <w:rFonts w:ascii="ITC Avant Garde" w:hAnsi="ITC Avant Garde"/>
        </w:rPr>
        <w:t>MOVISTAR, por el tema de acceso a terceros, indica que l</w:t>
      </w:r>
      <w:r w:rsidRPr="003318CE">
        <w:rPr>
          <w:rFonts w:ascii="ITC Avant Garde" w:hAnsi="ITC Avant Garde"/>
        </w:rPr>
        <w:t>a información de la infraestructura es estratégica y confidencial, y su exposición no voluntaria e ilimitada podría colocar en desventaja competitiva al concesionario que la ofrece.</w:t>
      </w:r>
      <w:r>
        <w:rPr>
          <w:rFonts w:ascii="ITC Avant Garde" w:hAnsi="ITC Avant Garde"/>
        </w:rPr>
        <w:t xml:space="preserve"> Solicita que, e</w:t>
      </w:r>
      <w:r w:rsidRPr="003318CE">
        <w:rPr>
          <w:rFonts w:ascii="ITC Avant Garde" w:hAnsi="ITC Avant Garde"/>
        </w:rPr>
        <w:t>n el caso de entregar esta información, debería estar completamente controlada por el propietario de ésta, determinando a quién se le ofrece, por cuánto tiempo y qué información se comparte, limitada a una zona geográfica y tipos específicos de activos</w:t>
      </w:r>
      <w:r>
        <w:rPr>
          <w:rFonts w:ascii="ITC Avant Garde" w:hAnsi="ITC Avant Garde"/>
        </w:rPr>
        <w:t>. Por lo que concluye indicando que e</w:t>
      </w:r>
      <w:r w:rsidRPr="003318CE">
        <w:rPr>
          <w:rFonts w:ascii="ITC Avant Garde" w:hAnsi="ITC Avant Garde"/>
        </w:rPr>
        <w:t>l SNII podría actuar como intermediario, pero siempre con el control del propietario sobre qué, con quién y por cuánto tiempo se comparte la información.</w:t>
      </w:r>
    </w:p>
    <w:p w14:paraId="20602BD2" w14:textId="1ECDFB37" w:rsidR="00F34D5B" w:rsidRDefault="003318CE" w:rsidP="007B35E4">
      <w:pPr>
        <w:spacing w:before="240" w:after="120" w:line="276" w:lineRule="auto"/>
        <w:ind w:left="567"/>
        <w:jc w:val="both"/>
        <w:rPr>
          <w:rFonts w:ascii="ITC Avant Garde" w:hAnsi="ITC Avant Garde"/>
        </w:rPr>
      </w:pPr>
      <w:r>
        <w:rPr>
          <w:rFonts w:ascii="ITC Avant Garde" w:hAnsi="ITC Avant Garde"/>
        </w:rPr>
        <w:lastRenderedPageBreak/>
        <w:t xml:space="preserve">Por su parte TELEVISORA DE NAVOJOA, </w:t>
      </w:r>
      <w:r w:rsidRPr="003318CE">
        <w:rPr>
          <w:rFonts w:ascii="ITC Avant Garde" w:hAnsi="ITC Avant Garde"/>
        </w:rPr>
        <w:t xml:space="preserve">considera importante mencionar que para aquellos concesionarios que cuentan con </w:t>
      </w:r>
      <w:r w:rsidRPr="00FC2869">
        <w:rPr>
          <w:rFonts w:ascii="ITC Avant Garde" w:hAnsi="ITC Avant Garde"/>
        </w:rPr>
        <w:t>una infraestructura nacional</w:t>
      </w:r>
      <w:r w:rsidRPr="003318CE">
        <w:rPr>
          <w:rFonts w:ascii="ITC Avant Garde" w:hAnsi="ITC Avant Garde"/>
        </w:rPr>
        <w:t>, el plazo para realizar el levantamiento de información de la totalidad de la misma, sería en estricto sentido mínimo de 4 meses</w:t>
      </w:r>
      <w:r>
        <w:rPr>
          <w:rFonts w:ascii="ITC Avant Garde" w:hAnsi="ITC Avant Garde"/>
        </w:rPr>
        <w:t xml:space="preserve">, </w:t>
      </w:r>
      <w:r w:rsidRPr="003318CE">
        <w:rPr>
          <w:rFonts w:ascii="ITC Avant Garde" w:hAnsi="ITC Avant Garde"/>
        </w:rPr>
        <w:t>o se incluya la posibilidad de que sean autorizadas las solicitudes de prórroga, ya que si bien es cierto que los Lineamientos ya estaban publicados, no se cuenta con la certeza de algunas particularidades, por lo que no se ha podido iniciar con el proceso de levantamiento.</w:t>
      </w:r>
      <w:r>
        <w:rPr>
          <w:rFonts w:ascii="ITC Avant Garde" w:hAnsi="ITC Avant Garde"/>
        </w:rPr>
        <w:t xml:space="preserve"> Agrega que, e</w:t>
      </w:r>
      <w:r w:rsidRPr="003318CE">
        <w:rPr>
          <w:rFonts w:ascii="ITC Avant Garde" w:hAnsi="ITC Avant Garde"/>
        </w:rPr>
        <w:t>n los periodos indicados como de "actualizaciones", con la finalidad de tener certeza de cumplimiento, se sugiere que se incluya una opción de validación, en caso de que no se hayan realizado modificaciones en el periodo que corresponda.</w:t>
      </w:r>
      <w:r>
        <w:rPr>
          <w:rFonts w:ascii="ITC Avant Garde" w:hAnsi="ITC Avant Garde"/>
        </w:rPr>
        <w:t xml:space="preserve"> Asimismo, solicita que c</w:t>
      </w:r>
      <w:r w:rsidRPr="003318CE">
        <w:rPr>
          <w:rFonts w:ascii="ITC Avant Garde" w:hAnsi="ITC Avant Garde"/>
        </w:rPr>
        <w:t>on el propósito de que los obligados se familiaricen con la herramienta habilitada para la carga de información, se sugiere establecer un periodo de prueba, mínimo de dos meses previos al inicio de la carga que establece el calendario en el Transitorio Cuarto, a fin de que los obligados, de manera previa, conozcan la herramienta, y les permita preparar su información de una manera más eficaz y así disminuir posibles errores de captura.</w:t>
      </w:r>
      <w:r>
        <w:rPr>
          <w:rFonts w:ascii="ITC Avant Garde" w:hAnsi="ITC Avant Garde"/>
        </w:rPr>
        <w:t xml:space="preserve"> Por </w:t>
      </w:r>
      <w:r w:rsidR="003725EE">
        <w:rPr>
          <w:rFonts w:ascii="ITC Avant Garde" w:hAnsi="ITC Avant Garde"/>
        </w:rPr>
        <w:t>último,</w:t>
      </w:r>
      <w:r>
        <w:rPr>
          <w:rFonts w:ascii="ITC Avant Garde" w:hAnsi="ITC Avant Garde"/>
        </w:rPr>
        <w:t xml:space="preserve"> </w:t>
      </w:r>
      <w:r w:rsidR="00350584">
        <w:rPr>
          <w:rFonts w:ascii="ITC Avant Garde" w:hAnsi="ITC Avant Garde"/>
        </w:rPr>
        <w:t>sugiere p</w:t>
      </w:r>
      <w:r w:rsidR="00350584" w:rsidRPr="00350584">
        <w:rPr>
          <w:rFonts w:ascii="ITC Avant Garde" w:hAnsi="ITC Avant Garde"/>
        </w:rPr>
        <w:t xml:space="preserve">ublicar en el portal de Internet del Instituto, un </w:t>
      </w:r>
      <w:r w:rsidR="003725EE" w:rsidRPr="00350584">
        <w:rPr>
          <w:rFonts w:ascii="ITC Avant Garde" w:hAnsi="ITC Avant Garde"/>
        </w:rPr>
        <w:t>tutoria</w:t>
      </w:r>
      <w:r w:rsidR="003725EE">
        <w:rPr>
          <w:rFonts w:ascii="ITC Avant Garde" w:hAnsi="ITC Avant Garde"/>
        </w:rPr>
        <w:t>l</w:t>
      </w:r>
      <w:r w:rsidR="00350584" w:rsidRPr="00350584">
        <w:rPr>
          <w:rFonts w:ascii="ITC Avant Garde" w:hAnsi="ITC Avant Garde"/>
        </w:rPr>
        <w:t xml:space="preserve"> de captura de cada elemento que conforma el SNII, a fin de facilitar la captura de información.</w:t>
      </w:r>
    </w:p>
    <w:p w14:paraId="49FDA2E2" w14:textId="62E8367B" w:rsidR="00350584" w:rsidRDefault="00350584" w:rsidP="00350584">
      <w:pPr>
        <w:spacing w:before="240" w:after="120" w:line="276" w:lineRule="auto"/>
        <w:ind w:left="567"/>
        <w:jc w:val="both"/>
        <w:rPr>
          <w:rFonts w:ascii="ITC Avant Garde" w:hAnsi="ITC Avant Garde"/>
        </w:rPr>
      </w:pPr>
      <w:r>
        <w:rPr>
          <w:rFonts w:ascii="ITC Avant Garde" w:hAnsi="ITC Avant Garde"/>
        </w:rPr>
        <w:t xml:space="preserve">Por su parte TELMEX solicita </w:t>
      </w:r>
      <w:r w:rsidRPr="00350584">
        <w:rPr>
          <w:rFonts w:ascii="ITC Avant Garde" w:hAnsi="ITC Avant Garde"/>
        </w:rPr>
        <w:t>establecer los tiempos a partir de los cuales se podrán hacer las consultas una vez que todos los sujetos obligados hayan cargado sus archivos</w:t>
      </w:r>
      <w:r>
        <w:rPr>
          <w:rFonts w:ascii="ITC Avant Garde" w:hAnsi="ITC Avant Garde"/>
        </w:rPr>
        <w:t xml:space="preserve">; </w:t>
      </w:r>
      <w:r w:rsidRPr="00350584">
        <w:rPr>
          <w:rFonts w:ascii="ITC Avant Garde" w:hAnsi="ITC Avant Garde"/>
        </w:rPr>
        <w:t>brind</w:t>
      </w:r>
      <w:r>
        <w:rPr>
          <w:rFonts w:ascii="ITC Avant Garde" w:hAnsi="ITC Avant Garde"/>
        </w:rPr>
        <w:t>ar</w:t>
      </w:r>
      <w:r w:rsidRPr="00350584">
        <w:rPr>
          <w:rFonts w:ascii="ITC Avant Garde" w:hAnsi="ITC Avant Garde"/>
        </w:rPr>
        <w:t xml:space="preserve"> el alcance de las consultas que se pueden realizar y que estén justificadas</w:t>
      </w:r>
      <w:r>
        <w:rPr>
          <w:rFonts w:ascii="ITC Avant Garde" w:hAnsi="ITC Avant Garde"/>
        </w:rPr>
        <w:t xml:space="preserve"> junto con </w:t>
      </w:r>
      <w:r w:rsidRPr="00350584">
        <w:rPr>
          <w:rFonts w:ascii="ITC Avant Garde" w:hAnsi="ITC Avant Garde"/>
        </w:rPr>
        <w:t>alternativa</w:t>
      </w:r>
      <w:r>
        <w:rPr>
          <w:rFonts w:ascii="ITC Avant Garde" w:hAnsi="ITC Avant Garde"/>
        </w:rPr>
        <w:t>s</w:t>
      </w:r>
      <w:r w:rsidRPr="00350584">
        <w:rPr>
          <w:rFonts w:ascii="ITC Avant Garde" w:hAnsi="ITC Avant Garde"/>
        </w:rPr>
        <w:t xml:space="preserve"> para que en las actualizaciones, si la infraestructura no ha sufrido modificaciones, no se tengan que cargar nuevamente los formatos, solo aquellos en los que aplique</w:t>
      </w:r>
      <w:r>
        <w:rPr>
          <w:rFonts w:ascii="ITC Avant Garde" w:hAnsi="ITC Avant Garde"/>
        </w:rPr>
        <w:t xml:space="preserve">;  </w:t>
      </w:r>
      <w:r w:rsidRPr="00350584">
        <w:rPr>
          <w:rFonts w:ascii="ITC Avant Garde" w:hAnsi="ITC Avant Garde"/>
        </w:rPr>
        <w:t>solo se cargue la infraestructura disponible</w:t>
      </w:r>
      <w:r>
        <w:rPr>
          <w:rFonts w:ascii="ITC Avant Garde" w:hAnsi="ITC Avant Garde"/>
        </w:rPr>
        <w:t xml:space="preserve">; </w:t>
      </w:r>
      <w:r w:rsidR="00BD11F9">
        <w:rPr>
          <w:rFonts w:ascii="ITC Avant Garde" w:hAnsi="ITC Avant Garde"/>
        </w:rPr>
        <w:t>p</w:t>
      </w:r>
      <w:r w:rsidRPr="00350584">
        <w:rPr>
          <w:rFonts w:ascii="ITC Avant Garde" w:hAnsi="ITC Avant Garde"/>
        </w:rPr>
        <w:t>ara dar un mayor grado de seguridad, el SNII, no debe permitir la descarga de información fuera del mismo SNII</w:t>
      </w:r>
      <w:r>
        <w:rPr>
          <w:rFonts w:ascii="ITC Avant Garde" w:hAnsi="ITC Avant Garde"/>
        </w:rPr>
        <w:t xml:space="preserve"> y; </w:t>
      </w:r>
      <w:r w:rsidR="00BD11F9">
        <w:rPr>
          <w:rFonts w:ascii="ITC Avant Garde" w:hAnsi="ITC Avant Garde"/>
        </w:rPr>
        <w:t>s</w:t>
      </w:r>
      <w:r w:rsidRPr="00350584">
        <w:rPr>
          <w:rFonts w:ascii="ITC Avant Garde" w:hAnsi="ITC Avant Garde"/>
        </w:rPr>
        <w:t>e solicita que además de la publicación oficial en el DOF con las modificaciones, el IFT también publique en su página la versión final completa e integral que contenga aquello que no se modificó y las modificaciones, a efecto de facilitar su lectura ya que resulta poco clara y genera confusión la forma en que se presenta el proyecto.</w:t>
      </w:r>
    </w:p>
    <w:p w14:paraId="6033359D" w14:textId="0720901E" w:rsidR="00350584" w:rsidRDefault="00350584" w:rsidP="00CF4D84">
      <w:pPr>
        <w:spacing w:before="240" w:after="120" w:line="276" w:lineRule="auto"/>
        <w:ind w:left="567"/>
        <w:jc w:val="both"/>
        <w:rPr>
          <w:rFonts w:ascii="ITC Avant Garde" w:hAnsi="ITC Avant Garde"/>
        </w:rPr>
      </w:pPr>
      <w:r>
        <w:rPr>
          <w:rFonts w:ascii="ITC Avant Garde" w:hAnsi="ITC Avant Garde"/>
        </w:rPr>
        <w:t xml:space="preserve">RESPUESTA: </w:t>
      </w:r>
      <w:r w:rsidRPr="00350584">
        <w:rPr>
          <w:rFonts w:ascii="ITC Avant Garde" w:hAnsi="ITC Avant Garde"/>
        </w:rPr>
        <w:t xml:space="preserve">Conforme lo establece el artículo 181 de la Ley, la base de datos del </w:t>
      </w:r>
      <w:r w:rsidR="00866BEC" w:rsidRPr="00350584">
        <w:rPr>
          <w:rFonts w:ascii="ITC Avant Garde" w:hAnsi="ITC Avant Garde"/>
        </w:rPr>
        <w:t>SNII será</w:t>
      </w:r>
      <w:r w:rsidRPr="00350584">
        <w:rPr>
          <w:rFonts w:ascii="ITC Avant Garde" w:hAnsi="ITC Avant Garde"/>
        </w:rPr>
        <w:t xml:space="preserve"> reservada en términos de la Ley Federal de Transparencia y Acceso a la</w:t>
      </w:r>
      <w:r>
        <w:rPr>
          <w:rFonts w:ascii="ITC Avant Garde" w:hAnsi="ITC Avant Garde"/>
        </w:rPr>
        <w:t xml:space="preserve"> </w:t>
      </w:r>
      <w:r w:rsidRPr="00350584">
        <w:rPr>
          <w:rFonts w:ascii="ITC Avant Garde" w:hAnsi="ITC Avant Garde"/>
        </w:rPr>
        <w:t xml:space="preserve">Información Pública Gubernamental, teniendo acceso para </w:t>
      </w:r>
      <w:r w:rsidRPr="00350584">
        <w:rPr>
          <w:rFonts w:ascii="ITC Avant Garde" w:hAnsi="ITC Avant Garde"/>
        </w:rPr>
        <w:lastRenderedPageBreak/>
        <w:t xml:space="preserve">consulta únicamente aquellas personas que el mencionado artículo autoriza, debiendo, los acreditados, sujetarse </w:t>
      </w:r>
      <w:r w:rsidR="00D30D6E" w:rsidRPr="00350584">
        <w:rPr>
          <w:rFonts w:ascii="ITC Avant Garde" w:hAnsi="ITC Avant Garde"/>
        </w:rPr>
        <w:t>al acuerdo</w:t>
      </w:r>
      <w:r w:rsidRPr="00350584">
        <w:rPr>
          <w:rFonts w:ascii="ITC Avant Garde" w:hAnsi="ITC Avant Garde"/>
        </w:rPr>
        <w:t xml:space="preserve"> de confidencialidad establecido en los propios Lineamientos.</w:t>
      </w:r>
      <w:r>
        <w:rPr>
          <w:rFonts w:ascii="ITC Avant Garde" w:hAnsi="ITC Avant Garde"/>
        </w:rPr>
        <w:t xml:space="preserve"> Asimismo, </w:t>
      </w:r>
      <w:r w:rsidRPr="00350584">
        <w:rPr>
          <w:rFonts w:ascii="ITC Avant Garde" w:hAnsi="ITC Avant Garde"/>
        </w:rPr>
        <w:t>El Sujeto Obligado titular del elemento es el responsable de entregar esa información</w:t>
      </w:r>
      <w:r>
        <w:rPr>
          <w:rFonts w:ascii="ITC Avant Garde" w:hAnsi="ITC Avant Garde"/>
        </w:rPr>
        <w:t xml:space="preserve">, se aclara </w:t>
      </w:r>
      <w:r w:rsidRPr="00350584">
        <w:rPr>
          <w:rFonts w:ascii="ITC Avant Garde" w:hAnsi="ITC Avant Garde"/>
        </w:rPr>
        <w:t>que en los Lineamientos del SNII, no se establece un requisito referente a los permisos de ningún tipo de autoridad.</w:t>
      </w:r>
      <w:r>
        <w:rPr>
          <w:rFonts w:ascii="ITC Avant Garde" w:hAnsi="ITC Avant Garde"/>
        </w:rPr>
        <w:t xml:space="preserve"> Se recuerda que </w:t>
      </w:r>
      <w:r w:rsidR="006B6D48">
        <w:rPr>
          <w:rFonts w:ascii="ITC Avant Garde" w:hAnsi="ITC Avant Garde"/>
        </w:rPr>
        <w:t>l</w:t>
      </w:r>
      <w:r w:rsidRPr="00350584">
        <w:rPr>
          <w:rFonts w:ascii="ITC Avant Garde" w:hAnsi="ITC Avant Garde"/>
        </w:rPr>
        <w:t>os Lineamientos fueron publicados en octubre de 2019, donde se estableció la información que se recabaría y no se modificarían en la presente propuesta, por lo que se considera que ha existido tiempo suficiente para el levantamiento de la información requerida.</w:t>
      </w:r>
      <w:r w:rsidR="006B6D48">
        <w:rPr>
          <w:rFonts w:ascii="ITC Avant Garde" w:hAnsi="ITC Avant Garde"/>
        </w:rPr>
        <w:t xml:space="preserve"> Además, se informa que l</w:t>
      </w:r>
      <w:r w:rsidR="006B6D48" w:rsidRPr="006B6D48">
        <w:rPr>
          <w:rFonts w:ascii="ITC Avant Garde" w:hAnsi="ITC Avant Garde"/>
        </w:rPr>
        <w:t>as cargas de información serán totales no incrementales</w:t>
      </w:r>
      <w:r w:rsidR="006B6D48">
        <w:rPr>
          <w:rFonts w:ascii="ITC Avant Garde" w:hAnsi="ITC Avant Garde"/>
        </w:rPr>
        <w:t xml:space="preserve"> y que</w:t>
      </w:r>
      <w:r w:rsidR="00CF4D84">
        <w:rPr>
          <w:rFonts w:ascii="ITC Avant Garde" w:hAnsi="ITC Avant Garde"/>
        </w:rPr>
        <w:t>, para mejor comprensión,</w:t>
      </w:r>
      <w:r w:rsidR="006B6D48">
        <w:rPr>
          <w:rFonts w:ascii="ITC Avant Garde" w:hAnsi="ITC Avant Garde"/>
        </w:rPr>
        <w:t xml:space="preserve"> s</w:t>
      </w:r>
      <w:r w:rsidR="006B6D48" w:rsidRPr="006B6D48">
        <w:rPr>
          <w:rFonts w:ascii="ITC Avant Garde" w:hAnsi="ITC Avant Garde"/>
        </w:rPr>
        <w:t>e realizarán, previo a que los Sujetos Obligados inicien con su carga inicial, talleres específicos para que puedan conocer el sistema informático y realicen pruebas de carga de información</w:t>
      </w:r>
      <w:r w:rsidR="006B6D48">
        <w:rPr>
          <w:rFonts w:ascii="ITC Avant Garde" w:hAnsi="ITC Avant Garde"/>
        </w:rPr>
        <w:t>, lo anterior</w:t>
      </w:r>
      <w:r w:rsidR="00CF4D84">
        <w:rPr>
          <w:rFonts w:ascii="ITC Avant Garde" w:hAnsi="ITC Avant Garde"/>
        </w:rPr>
        <w:t>,</w:t>
      </w:r>
      <w:r w:rsidR="006B6D48">
        <w:rPr>
          <w:rFonts w:ascii="ITC Avant Garde" w:hAnsi="ITC Avant Garde"/>
        </w:rPr>
        <w:t xml:space="preserve"> junto con la publicación de</w:t>
      </w:r>
      <w:r w:rsidR="006B6D48" w:rsidRPr="006B6D48">
        <w:rPr>
          <w:rFonts w:ascii="ITC Avant Garde" w:hAnsi="ITC Avant Garde"/>
        </w:rPr>
        <w:t xml:space="preserve"> un tutorial con las instrucciones de carga de información además de talleres informativos. Asimismo, el sistema cuenta con manuales de usuario que estarán disponibles para cualquier interesado.</w:t>
      </w:r>
      <w:r w:rsidR="006B6D48">
        <w:rPr>
          <w:rFonts w:ascii="ITC Avant Garde" w:hAnsi="ITC Avant Garde"/>
        </w:rPr>
        <w:t xml:space="preserve"> Se aclara que, l</w:t>
      </w:r>
      <w:r w:rsidR="006B6D48" w:rsidRPr="006B6D48">
        <w:rPr>
          <w:rFonts w:ascii="ITC Avant Garde" w:hAnsi="ITC Avant Garde"/>
        </w:rPr>
        <w:t>a información estará disponible a partir de la entrada en operación del sistema hasta que esta se complete; las consultas sólo podrán realizarla las personas que establece expresamente el artículo 181 de la L</w:t>
      </w:r>
      <w:r w:rsidR="003725EE">
        <w:rPr>
          <w:rFonts w:ascii="ITC Avant Garde" w:hAnsi="ITC Avant Garde"/>
        </w:rPr>
        <w:t>ey</w:t>
      </w:r>
      <w:r w:rsidR="006B6D48">
        <w:rPr>
          <w:rFonts w:ascii="ITC Avant Garde" w:hAnsi="ITC Avant Garde"/>
        </w:rPr>
        <w:t xml:space="preserve">, la </w:t>
      </w:r>
      <w:r w:rsidR="006B6D48" w:rsidRPr="006B6D48">
        <w:rPr>
          <w:rFonts w:ascii="ITC Avant Garde" w:hAnsi="ITC Avant Garde"/>
        </w:rPr>
        <w:t>carga de</w:t>
      </w:r>
      <w:r w:rsidR="006B6D48">
        <w:rPr>
          <w:rFonts w:ascii="ITC Avant Garde" w:hAnsi="ITC Avant Garde"/>
        </w:rPr>
        <w:t xml:space="preserve"> la</w:t>
      </w:r>
      <w:r w:rsidR="006B6D48" w:rsidRPr="006B6D48">
        <w:rPr>
          <w:rFonts w:ascii="ITC Avant Garde" w:hAnsi="ITC Avant Garde"/>
        </w:rPr>
        <w:t xml:space="preserve"> infraestructura </w:t>
      </w:r>
      <w:r w:rsidR="006B6D48">
        <w:rPr>
          <w:rFonts w:ascii="ITC Avant Garde" w:hAnsi="ITC Avant Garde"/>
        </w:rPr>
        <w:t xml:space="preserve">será </w:t>
      </w:r>
      <w:r w:rsidR="006B6D48" w:rsidRPr="006B6D48">
        <w:rPr>
          <w:rFonts w:ascii="ITC Avant Garde" w:hAnsi="ITC Avant Garde"/>
        </w:rPr>
        <w:t>conforme lo establece el Lineamientos Sexto</w:t>
      </w:r>
      <w:r w:rsidR="006B6D48">
        <w:rPr>
          <w:rFonts w:ascii="ITC Avant Garde" w:hAnsi="ITC Avant Garde"/>
        </w:rPr>
        <w:t xml:space="preserve"> y que </w:t>
      </w:r>
      <w:r w:rsidR="006B6D48" w:rsidRPr="006B6D48">
        <w:rPr>
          <w:rFonts w:ascii="ITC Avant Garde" w:hAnsi="ITC Avant Garde"/>
        </w:rPr>
        <w:t>no está contemplada la descarga de información para ningún acreditado para su consulta</w:t>
      </w:r>
      <w:r w:rsidR="006B6D48">
        <w:rPr>
          <w:rFonts w:ascii="ITC Avant Garde" w:hAnsi="ITC Avant Garde"/>
        </w:rPr>
        <w:t xml:space="preserve">. Finalmente, </w:t>
      </w:r>
      <w:r w:rsidR="006B6D48" w:rsidRPr="006B6D48">
        <w:rPr>
          <w:rFonts w:ascii="ITC Avant Garde" w:hAnsi="ITC Avant Garde"/>
        </w:rPr>
        <w:t>se informa que dentro del Registro de Regulaciones con el que cuenta el Instituto, se llevará a cabo la publicación de los Lineamentos del SNII con sus respectivas modificaciones.</w:t>
      </w:r>
    </w:p>
    <w:sectPr w:rsidR="00350584" w:rsidSect="000C6AB6">
      <w:headerReference w:type="default" r:id="rId11"/>
      <w:footerReference w:type="default" r:id="rId12"/>
      <w:pgSz w:w="12240" w:h="15840"/>
      <w:pgMar w:top="2410" w:right="1701" w:bottom="1701"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584FCCE" w16cex:dateUtc="2024-02-06T19:04:00Z"/>
  <w16cex:commentExtensible w16cex:durableId="0166032F" w16cex:dateUtc="2024-02-01T00: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7D3BA" w14:textId="77777777" w:rsidR="0096177A" w:rsidRDefault="0096177A" w:rsidP="000232F6">
      <w:pPr>
        <w:spacing w:after="0" w:line="240" w:lineRule="auto"/>
      </w:pPr>
      <w:r>
        <w:separator/>
      </w:r>
    </w:p>
  </w:endnote>
  <w:endnote w:type="continuationSeparator" w:id="0">
    <w:p w14:paraId="16B24DD2" w14:textId="77777777" w:rsidR="0096177A" w:rsidRDefault="0096177A" w:rsidP="00023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ED1EC" w14:textId="563A95D1" w:rsidR="007B35E4" w:rsidRPr="007B35E4" w:rsidRDefault="007B35E4">
    <w:pPr>
      <w:tabs>
        <w:tab w:val="center" w:pos="4550"/>
        <w:tab w:val="left" w:pos="5818"/>
      </w:tabs>
      <w:ind w:right="260"/>
      <w:jc w:val="right"/>
      <w:rPr>
        <w:rFonts w:ascii="ITC Avant Garde" w:hAnsi="ITC Avant Garde"/>
        <w:sz w:val="20"/>
        <w:szCs w:val="20"/>
      </w:rPr>
    </w:pPr>
    <w:r w:rsidRPr="007B35E4">
      <w:rPr>
        <w:rFonts w:ascii="ITC Avant Garde" w:hAnsi="ITC Avant Garde"/>
        <w:spacing w:val="60"/>
        <w:sz w:val="20"/>
        <w:szCs w:val="20"/>
        <w:lang w:val="es-ES"/>
      </w:rPr>
      <w:t>Página</w:t>
    </w:r>
    <w:r w:rsidRPr="007B35E4">
      <w:rPr>
        <w:rFonts w:ascii="ITC Avant Garde" w:hAnsi="ITC Avant Garde"/>
        <w:sz w:val="20"/>
        <w:szCs w:val="20"/>
        <w:lang w:val="es-ES"/>
      </w:rPr>
      <w:t xml:space="preserve"> </w:t>
    </w:r>
    <w:r w:rsidRPr="007B35E4">
      <w:rPr>
        <w:rFonts w:ascii="ITC Avant Garde" w:hAnsi="ITC Avant Garde"/>
        <w:sz w:val="20"/>
        <w:szCs w:val="20"/>
      </w:rPr>
      <w:fldChar w:fldCharType="begin"/>
    </w:r>
    <w:r w:rsidRPr="007B35E4">
      <w:rPr>
        <w:rFonts w:ascii="ITC Avant Garde" w:hAnsi="ITC Avant Garde"/>
        <w:sz w:val="20"/>
        <w:szCs w:val="20"/>
      </w:rPr>
      <w:instrText>PAGE   \* MERGEFORMAT</w:instrText>
    </w:r>
    <w:r w:rsidRPr="007B35E4">
      <w:rPr>
        <w:rFonts w:ascii="ITC Avant Garde" w:hAnsi="ITC Avant Garde"/>
        <w:sz w:val="20"/>
        <w:szCs w:val="20"/>
      </w:rPr>
      <w:fldChar w:fldCharType="separate"/>
    </w:r>
    <w:r w:rsidR="005E5902" w:rsidRPr="005E5902">
      <w:rPr>
        <w:rFonts w:ascii="ITC Avant Garde" w:hAnsi="ITC Avant Garde"/>
        <w:noProof/>
        <w:sz w:val="20"/>
        <w:szCs w:val="20"/>
        <w:lang w:val="es-ES"/>
      </w:rPr>
      <w:t>16</w:t>
    </w:r>
    <w:r w:rsidRPr="007B35E4">
      <w:rPr>
        <w:rFonts w:ascii="ITC Avant Garde" w:hAnsi="ITC Avant Garde"/>
        <w:sz w:val="20"/>
        <w:szCs w:val="20"/>
      </w:rPr>
      <w:fldChar w:fldCharType="end"/>
    </w:r>
    <w:r w:rsidRPr="007B35E4">
      <w:rPr>
        <w:rFonts w:ascii="ITC Avant Garde" w:hAnsi="ITC Avant Garde"/>
        <w:sz w:val="20"/>
        <w:szCs w:val="20"/>
        <w:lang w:val="es-ES"/>
      </w:rPr>
      <w:t xml:space="preserve"> | </w:t>
    </w:r>
    <w:r w:rsidRPr="007B35E4">
      <w:rPr>
        <w:rFonts w:ascii="ITC Avant Garde" w:hAnsi="ITC Avant Garde"/>
        <w:sz w:val="20"/>
        <w:szCs w:val="20"/>
      </w:rPr>
      <w:fldChar w:fldCharType="begin"/>
    </w:r>
    <w:r w:rsidRPr="007B35E4">
      <w:rPr>
        <w:rFonts w:ascii="ITC Avant Garde" w:hAnsi="ITC Avant Garde"/>
        <w:sz w:val="20"/>
        <w:szCs w:val="20"/>
      </w:rPr>
      <w:instrText>NUMPAGES  \* Arabic  \* MERGEFORMAT</w:instrText>
    </w:r>
    <w:r w:rsidRPr="007B35E4">
      <w:rPr>
        <w:rFonts w:ascii="ITC Avant Garde" w:hAnsi="ITC Avant Garde"/>
        <w:sz w:val="20"/>
        <w:szCs w:val="20"/>
      </w:rPr>
      <w:fldChar w:fldCharType="separate"/>
    </w:r>
    <w:r w:rsidR="005E5902" w:rsidRPr="005E5902">
      <w:rPr>
        <w:rFonts w:ascii="ITC Avant Garde" w:hAnsi="ITC Avant Garde"/>
        <w:noProof/>
        <w:sz w:val="20"/>
        <w:szCs w:val="20"/>
        <w:lang w:val="es-ES"/>
      </w:rPr>
      <w:t>18</w:t>
    </w:r>
    <w:r w:rsidRPr="007B35E4">
      <w:rPr>
        <w:rFonts w:ascii="ITC Avant Garde" w:hAnsi="ITC Avant Garde"/>
        <w:sz w:val="20"/>
        <w:szCs w:val="20"/>
      </w:rPr>
      <w:fldChar w:fldCharType="end"/>
    </w:r>
  </w:p>
  <w:p w14:paraId="217836DC" w14:textId="77777777" w:rsidR="007B35E4" w:rsidRDefault="007B35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06E0A" w14:textId="77777777" w:rsidR="0096177A" w:rsidRDefault="0096177A" w:rsidP="000232F6">
      <w:pPr>
        <w:spacing w:after="0" w:line="240" w:lineRule="auto"/>
      </w:pPr>
      <w:r>
        <w:separator/>
      </w:r>
    </w:p>
  </w:footnote>
  <w:footnote w:type="continuationSeparator" w:id="0">
    <w:p w14:paraId="4809262B" w14:textId="77777777" w:rsidR="0096177A" w:rsidRDefault="0096177A" w:rsidP="00023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32DF4" w14:textId="77777777" w:rsidR="009D6F32" w:rsidRDefault="0096177A">
    <w:pPr>
      <w:pStyle w:val="Encabezado"/>
    </w:pPr>
    <w:r>
      <w:rPr>
        <w:noProof/>
        <w:lang w:eastAsia="es-MX"/>
      </w:rPr>
      <w:pict w14:anchorId="466F3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1" type="#_x0000_t75" style="position:absolute;margin-left:-85.05pt;margin-top:-120.45pt;width:612pt;height:11in;z-index:-251658752;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2482"/>
    <w:multiLevelType w:val="hybridMultilevel"/>
    <w:tmpl w:val="8C36863A"/>
    <w:lvl w:ilvl="0" w:tplc="EEC0CDB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2D22B7"/>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670A91"/>
    <w:multiLevelType w:val="hybridMultilevel"/>
    <w:tmpl w:val="C958C506"/>
    <w:lvl w:ilvl="0" w:tplc="F51E0F8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8635B6"/>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8A00A7"/>
    <w:multiLevelType w:val="hybridMultilevel"/>
    <w:tmpl w:val="11065F5C"/>
    <w:lvl w:ilvl="0" w:tplc="D2F2449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13C5C09"/>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126D1E"/>
    <w:multiLevelType w:val="hybridMultilevel"/>
    <w:tmpl w:val="BEB6D1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EE327E"/>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BF5921"/>
    <w:multiLevelType w:val="hybridMultilevel"/>
    <w:tmpl w:val="15CA495C"/>
    <w:lvl w:ilvl="0" w:tplc="99409D18">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A50F7E"/>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CB78EE"/>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175D0E"/>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7D33BC"/>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F22E01"/>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CB45CD"/>
    <w:multiLevelType w:val="hybridMultilevel"/>
    <w:tmpl w:val="153853F8"/>
    <w:lvl w:ilvl="0" w:tplc="FDECCD0C">
      <w:start w:val="2"/>
      <w:numFmt w:val="decimal"/>
      <w:lvlText w:val="%1"/>
      <w:lvlJc w:val="left"/>
      <w:pPr>
        <w:ind w:left="81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D03CD8"/>
    <w:multiLevelType w:val="hybridMultilevel"/>
    <w:tmpl w:val="D1AAEB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A732D7"/>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C14C15"/>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88085C"/>
    <w:multiLevelType w:val="hybridMultilevel"/>
    <w:tmpl w:val="C7324D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D634D85"/>
    <w:multiLevelType w:val="hybridMultilevel"/>
    <w:tmpl w:val="2E0C04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C9749B"/>
    <w:multiLevelType w:val="hybridMultilevel"/>
    <w:tmpl w:val="9182C5D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7000B84"/>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AE56AB0"/>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BC80EA3"/>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FD27551"/>
    <w:multiLevelType w:val="hybridMultilevel"/>
    <w:tmpl w:val="E6D04E5A"/>
    <w:lvl w:ilvl="0" w:tplc="77C8A192">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C93BAE"/>
    <w:multiLevelType w:val="hybridMultilevel"/>
    <w:tmpl w:val="8A5A0B20"/>
    <w:lvl w:ilvl="0" w:tplc="8E04C860">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E105453"/>
    <w:multiLevelType w:val="hybridMultilevel"/>
    <w:tmpl w:val="1D80202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E3E4905"/>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033865"/>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4AB50D0"/>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817111D"/>
    <w:multiLevelType w:val="hybridMultilevel"/>
    <w:tmpl w:val="4D1455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B8E6580"/>
    <w:multiLevelType w:val="hybridMultilevel"/>
    <w:tmpl w:val="E6D04E5A"/>
    <w:lvl w:ilvl="0" w:tplc="77C8A192">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B974E6F"/>
    <w:multiLevelType w:val="hybridMultilevel"/>
    <w:tmpl w:val="2E0C04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DA80B2B"/>
    <w:multiLevelType w:val="hybridMultilevel"/>
    <w:tmpl w:val="521A36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E1C6DFC"/>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3263F2A"/>
    <w:multiLevelType w:val="hybridMultilevel"/>
    <w:tmpl w:val="E6D04E5A"/>
    <w:lvl w:ilvl="0" w:tplc="77C8A192">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BD27309"/>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E55A04"/>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D020011"/>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FC50CD2"/>
    <w:multiLevelType w:val="hybridMultilevel"/>
    <w:tmpl w:val="BF629894"/>
    <w:lvl w:ilvl="0" w:tplc="FDECCD0C">
      <w:start w:val="2"/>
      <w:numFmt w:val="decimal"/>
      <w:lvlText w:val="%1"/>
      <w:lvlJc w:val="left"/>
      <w:pPr>
        <w:ind w:left="814" w:hanging="360"/>
      </w:pPr>
      <w:rPr>
        <w:rFonts w:hint="default"/>
      </w:rPr>
    </w:lvl>
    <w:lvl w:ilvl="1" w:tplc="080A0019" w:tentative="1">
      <w:start w:val="1"/>
      <w:numFmt w:val="lowerLetter"/>
      <w:lvlText w:val="%2."/>
      <w:lvlJc w:val="left"/>
      <w:pPr>
        <w:ind w:left="1534" w:hanging="360"/>
      </w:pPr>
    </w:lvl>
    <w:lvl w:ilvl="2" w:tplc="080A001B" w:tentative="1">
      <w:start w:val="1"/>
      <w:numFmt w:val="lowerRoman"/>
      <w:lvlText w:val="%3."/>
      <w:lvlJc w:val="right"/>
      <w:pPr>
        <w:ind w:left="2254" w:hanging="180"/>
      </w:pPr>
    </w:lvl>
    <w:lvl w:ilvl="3" w:tplc="080A000F" w:tentative="1">
      <w:start w:val="1"/>
      <w:numFmt w:val="decimal"/>
      <w:lvlText w:val="%4."/>
      <w:lvlJc w:val="left"/>
      <w:pPr>
        <w:ind w:left="2974" w:hanging="360"/>
      </w:pPr>
    </w:lvl>
    <w:lvl w:ilvl="4" w:tplc="080A0019" w:tentative="1">
      <w:start w:val="1"/>
      <w:numFmt w:val="lowerLetter"/>
      <w:lvlText w:val="%5."/>
      <w:lvlJc w:val="left"/>
      <w:pPr>
        <w:ind w:left="3694" w:hanging="360"/>
      </w:pPr>
    </w:lvl>
    <w:lvl w:ilvl="5" w:tplc="080A001B" w:tentative="1">
      <w:start w:val="1"/>
      <w:numFmt w:val="lowerRoman"/>
      <w:lvlText w:val="%6."/>
      <w:lvlJc w:val="right"/>
      <w:pPr>
        <w:ind w:left="4414" w:hanging="180"/>
      </w:pPr>
    </w:lvl>
    <w:lvl w:ilvl="6" w:tplc="080A000F" w:tentative="1">
      <w:start w:val="1"/>
      <w:numFmt w:val="decimal"/>
      <w:lvlText w:val="%7."/>
      <w:lvlJc w:val="left"/>
      <w:pPr>
        <w:ind w:left="5134" w:hanging="360"/>
      </w:pPr>
    </w:lvl>
    <w:lvl w:ilvl="7" w:tplc="080A0019" w:tentative="1">
      <w:start w:val="1"/>
      <w:numFmt w:val="lowerLetter"/>
      <w:lvlText w:val="%8."/>
      <w:lvlJc w:val="left"/>
      <w:pPr>
        <w:ind w:left="5854" w:hanging="360"/>
      </w:pPr>
    </w:lvl>
    <w:lvl w:ilvl="8" w:tplc="080A001B" w:tentative="1">
      <w:start w:val="1"/>
      <w:numFmt w:val="lowerRoman"/>
      <w:lvlText w:val="%9."/>
      <w:lvlJc w:val="right"/>
      <w:pPr>
        <w:ind w:left="6574" w:hanging="180"/>
      </w:pPr>
    </w:lvl>
  </w:abstractNum>
  <w:num w:numId="1">
    <w:abstractNumId w:val="26"/>
  </w:num>
  <w:num w:numId="2">
    <w:abstractNumId w:val="20"/>
  </w:num>
  <w:num w:numId="3">
    <w:abstractNumId w:val="4"/>
  </w:num>
  <w:num w:numId="4">
    <w:abstractNumId w:val="12"/>
  </w:num>
  <w:num w:numId="5">
    <w:abstractNumId w:val="36"/>
  </w:num>
  <w:num w:numId="6">
    <w:abstractNumId w:val="22"/>
  </w:num>
  <w:num w:numId="7">
    <w:abstractNumId w:val="3"/>
  </w:num>
  <w:num w:numId="8">
    <w:abstractNumId w:val="21"/>
  </w:num>
  <w:num w:numId="9">
    <w:abstractNumId w:val="29"/>
  </w:num>
  <w:num w:numId="10">
    <w:abstractNumId w:val="34"/>
  </w:num>
  <w:num w:numId="11">
    <w:abstractNumId w:val="13"/>
  </w:num>
  <w:num w:numId="12">
    <w:abstractNumId w:val="11"/>
  </w:num>
  <w:num w:numId="13">
    <w:abstractNumId w:val="27"/>
  </w:num>
  <w:num w:numId="14">
    <w:abstractNumId w:val="10"/>
  </w:num>
  <w:num w:numId="15">
    <w:abstractNumId w:val="7"/>
  </w:num>
  <w:num w:numId="16">
    <w:abstractNumId w:val="1"/>
  </w:num>
  <w:num w:numId="17">
    <w:abstractNumId w:val="37"/>
  </w:num>
  <w:num w:numId="18">
    <w:abstractNumId w:val="28"/>
  </w:num>
  <w:num w:numId="19">
    <w:abstractNumId w:val="17"/>
  </w:num>
  <w:num w:numId="20">
    <w:abstractNumId w:val="38"/>
  </w:num>
  <w:num w:numId="21">
    <w:abstractNumId w:val="16"/>
  </w:num>
  <w:num w:numId="22">
    <w:abstractNumId w:val="23"/>
  </w:num>
  <w:num w:numId="23">
    <w:abstractNumId w:val="5"/>
  </w:num>
  <w:num w:numId="24">
    <w:abstractNumId w:val="9"/>
  </w:num>
  <w:num w:numId="25">
    <w:abstractNumId w:val="18"/>
  </w:num>
  <w:num w:numId="26">
    <w:abstractNumId w:val="33"/>
  </w:num>
  <w:num w:numId="27">
    <w:abstractNumId w:val="6"/>
  </w:num>
  <w:num w:numId="28">
    <w:abstractNumId w:val="8"/>
  </w:num>
  <w:num w:numId="29">
    <w:abstractNumId w:val="19"/>
  </w:num>
  <w:num w:numId="30">
    <w:abstractNumId w:val="32"/>
  </w:num>
  <w:num w:numId="31">
    <w:abstractNumId w:val="0"/>
  </w:num>
  <w:num w:numId="32">
    <w:abstractNumId w:val="35"/>
  </w:num>
  <w:num w:numId="33">
    <w:abstractNumId w:val="24"/>
  </w:num>
  <w:num w:numId="34">
    <w:abstractNumId w:val="31"/>
  </w:num>
  <w:num w:numId="35">
    <w:abstractNumId w:val="30"/>
  </w:num>
  <w:num w:numId="36">
    <w:abstractNumId w:val="2"/>
  </w:num>
  <w:num w:numId="37">
    <w:abstractNumId w:val="39"/>
  </w:num>
  <w:num w:numId="38">
    <w:abstractNumId w:val="14"/>
  </w:num>
  <w:num w:numId="39">
    <w:abstractNumId w:val="25"/>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FCB"/>
    <w:rsid w:val="00000003"/>
    <w:rsid w:val="00006852"/>
    <w:rsid w:val="00013243"/>
    <w:rsid w:val="00013E79"/>
    <w:rsid w:val="00017D33"/>
    <w:rsid w:val="00022696"/>
    <w:rsid w:val="00023216"/>
    <w:rsid w:val="000232F6"/>
    <w:rsid w:val="00024EDA"/>
    <w:rsid w:val="00042704"/>
    <w:rsid w:val="00044D96"/>
    <w:rsid w:val="000532E3"/>
    <w:rsid w:val="00057D9D"/>
    <w:rsid w:val="00062B74"/>
    <w:rsid w:val="000644BB"/>
    <w:rsid w:val="00074EE1"/>
    <w:rsid w:val="00074FAB"/>
    <w:rsid w:val="00076773"/>
    <w:rsid w:val="000768F8"/>
    <w:rsid w:val="00083C91"/>
    <w:rsid w:val="000855B0"/>
    <w:rsid w:val="00087760"/>
    <w:rsid w:val="0008795F"/>
    <w:rsid w:val="000913FD"/>
    <w:rsid w:val="00093DD5"/>
    <w:rsid w:val="000A75D4"/>
    <w:rsid w:val="000B05FC"/>
    <w:rsid w:val="000C132B"/>
    <w:rsid w:val="000C2EA2"/>
    <w:rsid w:val="000C6AB6"/>
    <w:rsid w:val="000C7294"/>
    <w:rsid w:val="000C767D"/>
    <w:rsid w:val="000D2949"/>
    <w:rsid w:val="000E0FCD"/>
    <w:rsid w:val="000E28BD"/>
    <w:rsid w:val="000F21F1"/>
    <w:rsid w:val="000F631A"/>
    <w:rsid w:val="000F6617"/>
    <w:rsid w:val="000F7F2A"/>
    <w:rsid w:val="00100097"/>
    <w:rsid w:val="00102697"/>
    <w:rsid w:val="00105A79"/>
    <w:rsid w:val="00110F79"/>
    <w:rsid w:val="0012476D"/>
    <w:rsid w:val="00124AF8"/>
    <w:rsid w:val="00125F3A"/>
    <w:rsid w:val="00134406"/>
    <w:rsid w:val="00163D38"/>
    <w:rsid w:val="0016412B"/>
    <w:rsid w:val="001704A3"/>
    <w:rsid w:val="00174B25"/>
    <w:rsid w:val="00185FA6"/>
    <w:rsid w:val="001873F5"/>
    <w:rsid w:val="00195E24"/>
    <w:rsid w:val="001A2D33"/>
    <w:rsid w:val="001B6681"/>
    <w:rsid w:val="001C1239"/>
    <w:rsid w:val="001C367C"/>
    <w:rsid w:val="001C3761"/>
    <w:rsid w:val="001C7829"/>
    <w:rsid w:val="001D23A6"/>
    <w:rsid w:val="001D3EAF"/>
    <w:rsid w:val="00211F49"/>
    <w:rsid w:val="002137D1"/>
    <w:rsid w:val="00216F4C"/>
    <w:rsid w:val="00217D49"/>
    <w:rsid w:val="00222AB4"/>
    <w:rsid w:val="00222F02"/>
    <w:rsid w:val="00225306"/>
    <w:rsid w:val="002278E7"/>
    <w:rsid w:val="002312EC"/>
    <w:rsid w:val="00233784"/>
    <w:rsid w:val="00233FB1"/>
    <w:rsid w:val="002355F7"/>
    <w:rsid w:val="00240618"/>
    <w:rsid w:val="0025230D"/>
    <w:rsid w:val="00253546"/>
    <w:rsid w:val="0026032E"/>
    <w:rsid w:val="002621B9"/>
    <w:rsid w:val="002808E7"/>
    <w:rsid w:val="00281D1C"/>
    <w:rsid w:val="00281F53"/>
    <w:rsid w:val="002825A0"/>
    <w:rsid w:val="00282DE7"/>
    <w:rsid w:val="002936C4"/>
    <w:rsid w:val="002A1CE1"/>
    <w:rsid w:val="002B3979"/>
    <w:rsid w:val="002B3A8F"/>
    <w:rsid w:val="002C10CE"/>
    <w:rsid w:val="002D397F"/>
    <w:rsid w:val="002D42B5"/>
    <w:rsid w:val="002D499C"/>
    <w:rsid w:val="002D6CCE"/>
    <w:rsid w:val="002E093C"/>
    <w:rsid w:val="002E3FEA"/>
    <w:rsid w:val="002E4D26"/>
    <w:rsid w:val="002F3C43"/>
    <w:rsid w:val="002F3CB2"/>
    <w:rsid w:val="002F3E2E"/>
    <w:rsid w:val="002F66E8"/>
    <w:rsid w:val="003002CE"/>
    <w:rsid w:val="0030240F"/>
    <w:rsid w:val="00310A7C"/>
    <w:rsid w:val="00322820"/>
    <w:rsid w:val="00327729"/>
    <w:rsid w:val="003318CE"/>
    <w:rsid w:val="00344DC3"/>
    <w:rsid w:val="00350584"/>
    <w:rsid w:val="00354D32"/>
    <w:rsid w:val="00355303"/>
    <w:rsid w:val="00365061"/>
    <w:rsid w:val="00365A7E"/>
    <w:rsid w:val="003725EE"/>
    <w:rsid w:val="003730E6"/>
    <w:rsid w:val="003841CE"/>
    <w:rsid w:val="00390876"/>
    <w:rsid w:val="00395FA8"/>
    <w:rsid w:val="00397E4D"/>
    <w:rsid w:val="003A6D16"/>
    <w:rsid w:val="003B1283"/>
    <w:rsid w:val="003B5E02"/>
    <w:rsid w:val="003B6EF2"/>
    <w:rsid w:val="003D3C45"/>
    <w:rsid w:val="003E2AA9"/>
    <w:rsid w:val="003E578B"/>
    <w:rsid w:val="003F0EC8"/>
    <w:rsid w:val="003F507C"/>
    <w:rsid w:val="00401C0F"/>
    <w:rsid w:val="00403633"/>
    <w:rsid w:val="004064A5"/>
    <w:rsid w:val="0041299D"/>
    <w:rsid w:val="00417C2A"/>
    <w:rsid w:val="00424580"/>
    <w:rsid w:val="00424ABC"/>
    <w:rsid w:val="00430AE1"/>
    <w:rsid w:val="00437CD6"/>
    <w:rsid w:val="0044013B"/>
    <w:rsid w:val="00452A43"/>
    <w:rsid w:val="00455DDE"/>
    <w:rsid w:val="00460964"/>
    <w:rsid w:val="00465F45"/>
    <w:rsid w:val="00467662"/>
    <w:rsid w:val="00473AB6"/>
    <w:rsid w:val="004849EC"/>
    <w:rsid w:val="0049173D"/>
    <w:rsid w:val="00493012"/>
    <w:rsid w:val="004A78E1"/>
    <w:rsid w:val="004B434E"/>
    <w:rsid w:val="004C041B"/>
    <w:rsid w:val="004D1A28"/>
    <w:rsid w:val="004D4D53"/>
    <w:rsid w:val="004E6FB1"/>
    <w:rsid w:val="004F03FF"/>
    <w:rsid w:val="004F315D"/>
    <w:rsid w:val="004F4456"/>
    <w:rsid w:val="00510ADC"/>
    <w:rsid w:val="0051313A"/>
    <w:rsid w:val="00517851"/>
    <w:rsid w:val="0051788B"/>
    <w:rsid w:val="00522FAA"/>
    <w:rsid w:val="00526A6E"/>
    <w:rsid w:val="00532EDC"/>
    <w:rsid w:val="00534CCB"/>
    <w:rsid w:val="00545D81"/>
    <w:rsid w:val="00553657"/>
    <w:rsid w:val="00554808"/>
    <w:rsid w:val="00556474"/>
    <w:rsid w:val="0056314A"/>
    <w:rsid w:val="0056354C"/>
    <w:rsid w:val="00576AEC"/>
    <w:rsid w:val="005833F8"/>
    <w:rsid w:val="0059128F"/>
    <w:rsid w:val="00592AB2"/>
    <w:rsid w:val="00593165"/>
    <w:rsid w:val="005948D3"/>
    <w:rsid w:val="005A1A14"/>
    <w:rsid w:val="005A23DE"/>
    <w:rsid w:val="005A2A36"/>
    <w:rsid w:val="005A2AE2"/>
    <w:rsid w:val="005A4BB0"/>
    <w:rsid w:val="005A65C4"/>
    <w:rsid w:val="005A6AF3"/>
    <w:rsid w:val="005A76DA"/>
    <w:rsid w:val="005D6FD5"/>
    <w:rsid w:val="005E0F65"/>
    <w:rsid w:val="005E3966"/>
    <w:rsid w:val="005E5902"/>
    <w:rsid w:val="005F775E"/>
    <w:rsid w:val="006120E7"/>
    <w:rsid w:val="00620E24"/>
    <w:rsid w:val="0062736B"/>
    <w:rsid w:val="0063216E"/>
    <w:rsid w:val="00637CE8"/>
    <w:rsid w:val="0064270B"/>
    <w:rsid w:val="0065210D"/>
    <w:rsid w:val="00654055"/>
    <w:rsid w:val="00660040"/>
    <w:rsid w:val="00662815"/>
    <w:rsid w:val="006654E8"/>
    <w:rsid w:val="00666F35"/>
    <w:rsid w:val="00681352"/>
    <w:rsid w:val="006825D5"/>
    <w:rsid w:val="00686BA7"/>
    <w:rsid w:val="00690DC8"/>
    <w:rsid w:val="00696909"/>
    <w:rsid w:val="006A500A"/>
    <w:rsid w:val="006A5828"/>
    <w:rsid w:val="006B3BA3"/>
    <w:rsid w:val="006B6D48"/>
    <w:rsid w:val="006B7245"/>
    <w:rsid w:val="006C019E"/>
    <w:rsid w:val="006C3309"/>
    <w:rsid w:val="006D3130"/>
    <w:rsid w:val="006E2FAC"/>
    <w:rsid w:val="007000F8"/>
    <w:rsid w:val="007005BA"/>
    <w:rsid w:val="00701B08"/>
    <w:rsid w:val="00705287"/>
    <w:rsid w:val="007061CB"/>
    <w:rsid w:val="00706CC8"/>
    <w:rsid w:val="007211BD"/>
    <w:rsid w:val="007213C3"/>
    <w:rsid w:val="007214BE"/>
    <w:rsid w:val="0072655E"/>
    <w:rsid w:val="00737FCB"/>
    <w:rsid w:val="00755554"/>
    <w:rsid w:val="0075595E"/>
    <w:rsid w:val="007601DB"/>
    <w:rsid w:val="00777891"/>
    <w:rsid w:val="0078033D"/>
    <w:rsid w:val="0078666D"/>
    <w:rsid w:val="00790F54"/>
    <w:rsid w:val="007921C0"/>
    <w:rsid w:val="007A1A8F"/>
    <w:rsid w:val="007A29C2"/>
    <w:rsid w:val="007A609F"/>
    <w:rsid w:val="007A76AB"/>
    <w:rsid w:val="007B1946"/>
    <w:rsid w:val="007B35E4"/>
    <w:rsid w:val="007B7451"/>
    <w:rsid w:val="007C2955"/>
    <w:rsid w:val="007E6F90"/>
    <w:rsid w:val="007F46F0"/>
    <w:rsid w:val="007F5982"/>
    <w:rsid w:val="007F623C"/>
    <w:rsid w:val="007F74F6"/>
    <w:rsid w:val="00800550"/>
    <w:rsid w:val="00803039"/>
    <w:rsid w:val="0080377A"/>
    <w:rsid w:val="00811535"/>
    <w:rsid w:val="00814225"/>
    <w:rsid w:val="008157FB"/>
    <w:rsid w:val="00835EA1"/>
    <w:rsid w:val="00840501"/>
    <w:rsid w:val="00842B66"/>
    <w:rsid w:val="008458E7"/>
    <w:rsid w:val="0085122F"/>
    <w:rsid w:val="008521EC"/>
    <w:rsid w:val="00863390"/>
    <w:rsid w:val="00866BEC"/>
    <w:rsid w:val="0087237D"/>
    <w:rsid w:val="008739E2"/>
    <w:rsid w:val="008766C4"/>
    <w:rsid w:val="00880724"/>
    <w:rsid w:val="00891EFD"/>
    <w:rsid w:val="00896688"/>
    <w:rsid w:val="008A2EC6"/>
    <w:rsid w:val="008A5B12"/>
    <w:rsid w:val="008B28D8"/>
    <w:rsid w:val="008B5BB0"/>
    <w:rsid w:val="008C2BF6"/>
    <w:rsid w:val="008C4C38"/>
    <w:rsid w:val="008E0DA1"/>
    <w:rsid w:val="008E7502"/>
    <w:rsid w:val="008F5B07"/>
    <w:rsid w:val="008F5E24"/>
    <w:rsid w:val="0090557E"/>
    <w:rsid w:val="00913D85"/>
    <w:rsid w:val="00914013"/>
    <w:rsid w:val="00915048"/>
    <w:rsid w:val="00915EC4"/>
    <w:rsid w:val="0092690E"/>
    <w:rsid w:val="009277FC"/>
    <w:rsid w:val="00941BCA"/>
    <w:rsid w:val="00944B57"/>
    <w:rsid w:val="00945361"/>
    <w:rsid w:val="009502AD"/>
    <w:rsid w:val="00950E90"/>
    <w:rsid w:val="0096177A"/>
    <w:rsid w:val="009678F4"/>
    <w:rsid w:val="009702F1"/>
    <w:rsid w:val="0097059C"/>
    <w:rsid w:val="0097699E"/>
    <w:rsid w:val="00990728"/>
    <w:rsid w:val="00991649"/>
    <w:rsid w:val="009917F9"/>
    <w:rsid w:val="00993AFB"/>
    <w:rsid w:val="009A0896"/>
    <w:rsid w:val="009A6575"/>
    <w:rsid w:val="009B052B"/>
    <w:rsid w:val="009B4B96"/>
    <w:rsid w:val="009D1991"/>
    <w:rsid w:val="009D542D"/>
    <w:rsid w:val="009D6F32"/>
    <w:rsid w:val="009E2FF6"/>
    <w:rsid w:val="009E3CC5"/>
    <w:rsid w:val="009F0E13"/>
    <w:rsid w:val="00A0287C"/>
    <w:rsid w:val="00A05CD0"/>
    <w:rsid w:val="00A17446"/>
    <w:rsid w:val="00A27CFD"/>
    <w:rsid w:val="00A3028B"/>
    <w:rsid w:val="00A42142"/>
    <w:rsid w:val="00A51167"/>
    <w:rsid w:val="00A64DF2"/>
    <w:rsid w:val="00A73F11"/>
    <w:rsid w:val="00A746D8"/>
    <w:rsid w:val="00A7530E"/>
    <w:rsid w:val="00A83084"/>
    <w:rsid w:val="00A95378"/>
    <w:rsid w:val="00A964A3"/>
    <w:rsid w:val="00AA27D3"/>
    <w:rsid w:val="00AA53E0"/>
    <w:rsid w:val="00AA6FAE"/>
    <w:rsid w:val="00AB7271"/>
    <w:rsid w:val="00AC544E"/>
    <w:rsid w:val="00AC67DE"/>
    <w:rsid w:val="00AD17DA"/>
    <w:rsid w:val="00AD7017"/>
    <w:rsid w:val="00AE67C3"/>
    <w:rsid w:val="00AF2F6B"/>
    <w:rsid w:val="00AF3B8F"/>
    <w:rsid w:val="00AF41B8"/>
    <w:rsid w:val="00AF54B6"/>
    <w:rsid w:val="00AF667D"/>
    <w:rsid w:val="00B02454"/>
    <w:rsid w:val="00B157BD"/>
    <w:rsid w:val="00B1617B"/>
    <w:rsid w:val="00B262B3"/>
    <w:rsid w:val="00B26AC0"/>
    <w:rsid w:val="00B26C27"/>
    <w:rsid w:val="00B3270B"/>
    <w:rsid w:val="00B33C96"/>
    <w:rsid w:val="00B561F4"/>
    <w:rsid w:val="00B572AA"/>
    <w:rsid w:val="00B71649"/>
    <w:rsid w:val="00B729EF"/>
    <w:rsid w:val="00B77634"/>
    <w:rsid w:val="00B8257A"/>
    <w:rsid w:val="00B86DBD"/>
    <w:rsid w:val="00B87B00"/>
    <w:rsid w:val="00B96445"/>
    <w:rsid w:val="00BA150E"/>
    <w:rsid w:val="00BB0F9B"/>
    <w:rsid w:val="00BC4294"/>
    <w:rsid w:val="00BD11F9"/>
    <w:rsid w:val="00BD1FB9"/>
    <w:rsid w:val="00BD5226"/>
    <w:rsid w:val="00BF0288"/>
    <w:rsid w:val="00BF3B38"/>
    <w:rsid w:val="00BF4476"/>
    <w:rsid w:val="00BF4B03"/>
    <w:rsid w:val="00BF5B76"/>
    <w:rsid w:val="00C01842"/>
    <w:rsid w:val="00C04EF2"/>
    <w:rsid w:val="00C071A3"/>
    <w:rsid w:val="00C076D6"/>
    <w:rsid w:val="00C20715"/>
    <w:rsid w:val="00C233C4"/>
    <w:rsid w:val="00C24627"/>
    <w:rsid w:val="00C24FC5"/>
    <w:rsid w:val="00C26123"/>
    <w:rsid w:val="00C26BFF"/>
    <w:rsid w:val="00C2765E"/>
    <w:rsid w:val="00C27A3B"/>
    <w:rsid w:val="00C355A8"/>
    <w:rsid w:val="00C376E4"/>
    <w:rsid w:val="00C40763"/>
    <w:rsid w:val="00C448FE"/>
    <w:rsid w:val="00C54ACF"/>
    <w:rsid w:val="00C55B54"/>
    <w:rsid w:val="00C60A3D"/>
    <w:rsid w:val="00C640F5"/>
    <w:rsid w:val="00C66F41"/>
    <w:rsid w:val="00C821CD"/>
    <w:rsid w:val="00C8418F"/>
    <w:rsid w:val="00C84C5D"/>
    <w:rsid w:val="00C87100"/>
    <w:rsid w:val="00C907E4"/>
    <w:rsid w:val="00C96074"/>
    <w:rsid w:val="00CC2079"/>
    <w:rsid w:val="00CD03DB"/>
    <w:rsid w:val="00CD0F84"/>
    <w:rsid w:val="00CD0FCF"/>
    <w:rsid w:val="00CD53D3"/>
    <w:rsid w:val="00CE4B09"/>
    <w:rsid w:val="00CF12CA"/>
    <w:rsid w:val="00CF2D04"/>
    <w:rsid w:val="00CF3FB1"/>
    <w:rsid w:val="00CF4D84"/>
    <w:rsid w:val="00CF5CCB"/>
    <w:rsid w:val="00D0145A"/>
    <w:rsid w:val="00D02137"/>
    <w:rsid w:val="00D0219F"/>
    <w:rsid w:val="00D033D2"/>
    <w:rsid w:val="00D078B0"/>
    <w:rsid w:val="00D213CD"/>
    <w:rsid w:val="00D2183F"/>
    <w:rsid w:val="00D23C2A"/>
    <w:rsid w:val="00D2588A"/>
    <w:rsid w:val="00D30BB2"/>
    <w:rsid w:val="00D30D6E"/>
    <w:rsid w:val="00D32998"/>
    <w:rsid w:val="00D3453A"/>
    <w:rsid w:val="00D40072"/>
    <w:rsid w:val="00D44AE1"/>
    <w:rsid w:val="00D527BD"/>
    <w:rsid w:val="00D559B5"/>
    <w:rsid w:val="00D6061E"/>
    <w:rsid w:val="00D64054"/>
    <w:rsid w:val="00D67D3C"/>
    <w:rsid w:val="00D960F3"/>
    <w:rsid w:val="00DA2644"/>
    <w:rsid w:val="00DA3052"/>
    <w:rsid w:val="00DA343D"/>
    <w:rsid w:val="00DA35A3"/>
    <w:rsid w:val="00DB0EA5"/>
    <w:rsid w:val="00DB7BC5"/>
    <w:rsid w:val="00DC05AE"/>
    <w:rsid w:val="00DC0CBB"/>
    <w:rsid w:val="00DC7264"/>
    <w:rsid w:val="00DC7811"/>
    <w:rsid w:val="00DD771F"/>
    <w:rsid w:val="00DE7225"/>
    <w:rsid w:val="00DE7FEE"/>
    <w:rsid w:val="00DF1A97"/>
    <w:rsid w:val="00DF4850"/>
    <w:rsid w:val="00E00D93"/>
    <w:rsid w:val="00E0403E"/>
    <w:rsid w:val="00E05720"/>
    <w:rsid w:val="00E13065"/>
    <w:rsid w:val="00E2197D"/>
    <w:rsid w:val="00E25698"/>
    <w:rsid w:val="00E27108"/>
    <w:rsid w:val="00E31E73"/>
    <w:rsid w:val="00E31F9F"/>
    <w:rsid w:val="00E33CB4"/>
    <w:rsid w:val="00E369DB"/>
    <w:rsid w:val="00E42387"/>
    <w:rsid w:val="00E42E20"/>
    <w:rsid w:val="00E44FC3"/>
    <w:rsid w:val="00E52E3A"/>
    <w:rsid w:val="00E543DF"/>
    <w:rsid w:val="00E55F36"/>
    <w:rsid w:val="00E7234E"/>
    <w:rsid w:val="00E757AC"/>
    <w:rsid w:val="00E81C13"/>
    <w:rsid w:val="00E81C9B"/>
    <w:rsid w:val="00E8255C"/>
    <w:rsid w:val="00E828A0"/>
    <w:rsid w:val="00E933F9"/>
    <w:rsid w:val="00EA1F6D"/>
    <w:rsid w:val="00EC0779"/>
    <w:rsid w:val="00EC3463"/>
    <w:rsid w:val="00EC44EA"/>
    <w:rsid w:val="00ED116B"/>
    <w:rsid w:val="00ED1EEC"/>
    <w:rsid w:val="00EF336B"/>
    <w:rsid w:val="00EF6B43"/>
    <w:rsid w:val="00EF73A6"/>
    <w:rsid w:val="00F06840"/>
    <w:rsid w:val="00F116CB"/>
    <w:rsid w:val="00F131FC"/>
    <w:rsid w:val="00F20987"/>
    <w:rsid w:val="00F34D5B"/>
    <w:rsid w:val="00F34E18"/>
    <w:rsid w:val="00F34E49"/>
    <w:rsid w:val="00F44FB1"/>
    <w:rsid w:val="00F505E8"/>
    <w:rsid w:val="00F52F7D"/>
    <w:rsid w:val="00F54681"/>
    <w:rsid w:val="00F57DFA"/>
    <w:rsid w:val="00F65DAB"/>
    <w:rsid w:val="00F66097"/>
    <w:rsid w:val="00F66303"/>
    <w:rsid w:val="00F67DC9"/>
    <w:rsid w:val="00F7293A"/>
    <w:rsid w:val="00F77929"/>
    <w:rsid w:val="00F82249"/>
    <w:rsid w:val="00F85C9D"/>
    <w:rsid w:val="00F96FF8"/>
    <w:rsid w:val="00FB6398"/>
    <w:rsid w:val="00FC1FFD"/>
    <w:rsid w:val="00FC2869"/>
    <w:rsid w:val="00FE19C0"/>
    <w:rsid w:val="00FF035B"/>
    <w:rsid w:val="00FF61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F6F062"/>
  <w15:chartTrackingRefBased/>
  <w15:docId w15:val="{0DF58DAB-C8EC-43B3-B583-320B2E123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3841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34E49"/>
    <w:pPr>
      <w:keepNext/>
      <w:keepLines/>
      <w:spacing w:before="40" w:after="0"/>
      <w:jc w:val="center"/>
      <w:outlineLvl w:val="1"/>
    </w:pPr>
    <w:rPr>
      <w:rFonts w:ascii="ITC Avant Garde" w:eastAsiaTheme="majorEastAsia" w:hAnsi="ITC Avant Garde"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34E49"/>
    <w:rPr>
      <w:rFonts w:ascii="ITC Avant Garde" w:eastAsiaTheme="majorEastAsia" w:hAnsi="ITC Avant Garde" w:cstheme="majorBidi"/>
      <w:b/>
      <w:color w:val="000000" w:themeColor="text1"/>
      <w:sz w:val="24"/>
      <w:szCs w:val="26"/>
    </w:rPr>
  </w:style>
  <w:style w:type="paragraph" w:styleId="Prrafodelista">
    <w:name w:val="List Paragraph"/>
    <w:basedOn w:val="Normal"/>
    <w:link w:val="PrrafodelistaCar"/>
    <w:uiPriority w:val="34"/>
    <w:qFormat/>
    <w:rsid w:val="00737FCB"/>
    <w:pPr>
      <w:ind w:left="720"/>
      <w:contextualSpacing/>
    </w:pPr>
  </w:style>
  <w:style w:type="character" w:customStyle="1" w:styleId="PrrafodelistaCar">
    <w:name w:val="Párrafo de lista Car"/>
    <w:link w:val="Prrafodelista"/>
    <w:uiPriority w:val="34"/>
    <w:locked/>
    <w:rsid w:val="00B77634"/>
  </w:style>
  <w:style w:type="paragraph" w:styleId="Encabezado">
    <w:name w:val="header"/>
    <w:basedOn w:val="Normal"/>
    <w:link w:val="EncabezadoCar"/>
    <w:uiPriority w:val="99"/>
    <w:unhideWhenUsed/>
    <w:rsid w:val="000232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32F6"/>
  </w:style>
  <w:style w:type="paragraph" w:styleId="Piedepgina">
    <w:name w:val="footer"/>
    <w:basedOn w:val="Normal"/>
    <w:link w:val="PiedepginaCar"/>
    <w:uiPriority w:val="99"/>
    <w:unhideWhenUsed/>
    <w:rsid w:val="000232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32F6"/>
  </w:style>
  <w:style w:type="paragraph" w:customStyle="1" w:styleId="Default">
    <w:name w:val="Default"/>
    <w:rsid w:val="00C87100"/>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CF3FB1"/>
    <w:rPr>
      <w:color w:val="0563C1" w:themeColor="hyperlink"/>
      <w:u w:val="single"/>
    </w:rPr>
  </w:style>
  <w:style w:type="table" w:styleId="Tablaconcuadrcula">
    <w:name w:val="Table Grid"/>
    <w:basedOn w:val="Tablanormal"/>
    <w:uiPriority w:val="39"/>
    <w:rsid w:val="0052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512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122F"/>
    <w:rPr>
      <w:rFonts w:ascii="Segoe UI" w:hAnsi="Segoe UI" w:cs="Segoe UI"/>
      <w:sz w:val="18"/>
      <w:szCs w:val="18"/>
    </w:rPr>
  </w:style>
  <w:style w:type="character" w:customStyle="1" w:styleId="Ttulo1Car">
    <w:name w:val="Título 1 Car"/>
    <w:basedOn w:val="Fuentedeprrafopredeter"/>
    <w:link w:val="Ttulo1"/>
    <w:uiPriority w:val="9"/>
    <w:rsid w:val="003841CE"/>
    <w:rPr>
      <w:rFonts w:asciiTheme="majorHAnsi" w:eastAsiaTheme="majorEastAsia" w:hAnsiTheme="majorHAnsi" w:cstheme="majorBidi"/>
      <w:color w:val="2E74B5" w:themeColor="accent1" w:themeShade="BF"/>
      <w:sz w:val="32"/>
      <w:szCs w:val="32"/>
    </w:rPr>
  </w:style>
  <w:style w:type="character" w:styleId="Refdecomentario">
    <w:name w:val="annotation reference"/>
    <w:basedOn w:val="Fuentedeprrafopredeter"/>
    <w:uiPriority w:val="99"/>
    <w:semiHidden/>
    <w:unhideWhenUsed/>
    <w:rsid w:val="00C907E4"/>
    <w:rPr>
      <w:sz w:val="16"/>
      <w:szCs w:val="16"/>
    </w:rPr>
  </w:style>
  <w:style w:type="paragraph" w:styleId="Textocomentario">
    <w:name w:val="annotation text"/>
    <w:basedOn w:val="Normal"/>
    <w:link w:val="TextocomentarioCar"/>
    <w:uiPriority w:val="99"/>
    <w:unhideWhenUsed/>
    <w:rsid w:val="00C907E4"/>
    <w:pPr>
      <w:spacing w:line="240" w:lineRule="auto"/>
    </w:pPr>
    <w:rPr>
      <w:sz w:val="20"/>
      <w:szCs w:val="20"/>
    </w:rPr>
  </w:style>
  <w:style w:type="character" w:customStyle="1" w:styleId="TextocomentarioCar">
    <w:name w:val="Texto comentario Car"/>
    <w:basedOn w:val="Fuentedeprrafopredeter"/>
    <w:link w:val="Textocomentario"/>
    <w:uiPriority w:val="99"/>
    <w:rsid w:val="00C907E4"/>
    <w:rPr>
      <w:sz w:val="20"/>
      <w:szCs w:val="20"/>
    </w:rPr>
  </w:style>
  <w:style w:type="paragraph" w:styleId="Asuntodelcomentario">
    <w:name w:val="annotation subject"/>
    <w:basedOn w:val="Textocomentario"/>
    <w:next w:val="Textocomentario"/>
    <w:link w:val="AsuntodelcomentarioCar"/>
    <w:uiPriority w:val="99"/>
    <w:semiHidden/>
    <w:unhideWhenUsed/>
    <w:rsid w:val="00C907E4"/>
    <w:rPr>
      <w:b/>
      <w:bCs/>
    </w:rPr>
  </w:style>
  <w:style w:type="character" w:customStyle="1" w:styleId="AsuntodelcomentarioCar">
    <w:name w:val="Asunto del comentario Car"/>
    <w:basedOn w:val="TextocomentarioCar"/>
    <w:link w:val="Asuntodelcomentario"/>
    <w:uiPriority w:val="99"/>
    <w:semiHidden/>
    <w:rsid w:val="00C907E4"/>
    <w:rPr>
      <w:b/>
      <w:bCs/>
      <w:sz w:val="20"/>
      <w:szCs w:val="20"/>
    </w:rPr>
  </w:style>
  <w:style w:type="paragraph" w:styleId="Textonotaalfinal">
    <w:name w:val="endnote text"/>
    <w:basedOn w:val="Normal"/>
    <w:link w:val="TextonotaalfinalCar"/>
    <w:uiPriority w:val="99"/>
    <w:semiHidden/>
    <w:unhideWhenUsed/>
    <w:rsid w:val="003A6D1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A6D16"/>
    <w:rPr>
      <w:sz w:val="20"/>
      <w:szCs w:val="20"/>
    </w:rPr>
  </w:style>
  <w:style w:type="character" w:styleId="Refdenotaalfinal">
    <w:name w:val="endnote reference"/>
    <w:basedOn w:val="Fuentedeprrafopredeter"/>
    <w:uiPriority w:val="99"/>
    <w:semiHidden/>
    <w:unhideWhenUsed/>
    <w:rsid w:val="003A6D16"/>
    <w:rPr>
      <w:vertAlign w:val="superscript"/>
    </w:rPr>
  </w:style>
  <w:style w:type="paragraph" w:styleId="Textonotapie">
    <w:name w:val="footnote text"/>
    <w:basedOn w:val="Normal"/>
    <w:link w:val="TextonotapieCar"/>
    <w:uiPriority w:val="99"/>
    <w:semiHidden/>
    <w:unhideWhenUsed/>
    <w:rsid w:val="003A6D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A6D16"/>
    <w:rPr>
      <w:sz w:val="20"/>
      <w:szCs w:val="20"/>
    </w:rPr>
  </w:style>
  <w:style w:type="character" w:styleId="Refdenotaalpie">
    <w:name w:val="footnote reference"/>
    <w:basedOn w:val="Fuentedeprrafopredeter"/>
    <w:uiPriority w:val="99"/>
    <w:semiHidden/>
    <w:unhideWhenUsed/>
    <w:rsid w:val="003A6D16"/>
    <w:rPr>
      <w:vertAlign w:val="superscript"/>
    </w:rPr>
  </w:style>
  <w:style w:type="paragraph" w:styleId="Revisin">
    <w:name w:val="Revision"/>
    <w:hidden/>
    <w:uiPriority w:val="99"/>
    <w:semiHidden/>
    <w:rsid w:val="002F3C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76131">
      <w:bodyDiv w:val="1"/>
      <w:marLeft w:val="0"/>
      <w:marRight w:val="0"/>
      <w:marTop w:val="0"/>
      <w:marBottom w:val="0"/>
      <w:divBdr>
        <w:top w:val="none" w:sz="0" w:space="0" w:color="auto"/>
        <w:left w:val="none" w:sz="0" w:space="0" w:color="auto"/>
        <w:bottom w:val="none" w:sz="0" w:space="0" w:color="auto"/>
        <w:right w:val="none" w:sz="0" w:space="0" w:color="auto"/>
      </w:divBdr>
    </w:div>
    <w:div w:id="329525300">
      <w:bodyDiv w:val="1"/>
      <w:marLeft w:val="0"/>
      <w:marRight w:val="0"/>
      <w:marTop w:val="0"/>
      <w:marBottom w:val="0"/>
      <w:divBdr>
        <w:top w:val="none" w:sz="0" w:space="0" w:color="auto"/>
        <w:left w:val="none" w:sz="0" w:space="0" w:color="auto"/>
        <w:bottom w:val="none" w:sz="0" w:space="0" w:color="auto"/>
        <w:right w:val="none" w:sz="0" w:space="0" w:color="auto"/>
      </w:divBdr>
    </w:div>
    <w:div w:id="540364013">
      <w:bodyDiv w:val="1"/>
      <w:marLeft w:val="0"/>
      <w:marRight w:val="0"/>
      <w:marTop w:val="0"/>
      <w:marBottom w:val="0"/>
      <w:divBdr>
        <w:top w:val="none" w:sz="0" w:space="0" w:color="auto"/>
        <w:left w:val="none" w:sz="0" w:space="0" w:color="auto"/>
        <w:bottom w:val="none" w:sz="0" w:space="0" w:color="auto"/>
        <w:right w:val="none" w:sz="0" w:space="0" w:color="auto"/>
      </w:divBdr>
    </w:div>
    <w:div w:id="1142968762">
      <w:bodyDiv w:val="1"/>
      <w:marLeft w:val="0"/>
      <w:marRight w:val="0"/>
      <w:marTop w:val="0"/>
      <w:marBottom w:val="0"/>
      <w:divBdr>
        <w:top w:val="none" w:sz="0" w:space="0" w:color="auto"/>
        <w:left w:val="none" w:sz="0" w:space="0" w:color="auto"/>
        <w:bottom w:val="none" w:sz="0" w:space="0" w:color="auto"/>
        <w:right w:val="none" w:sz="0" w:space="0" w:color="auto"/>
      </w:divBdr>
    </w:div>
    <w:div w:id="1744790636">
      <w:bodyDiv w:val="1"/>
      <w:marLeft w:val="0"/>
      <w:marRight w:val="0"/>
      <w:marTop w:val="0"/>
      <w:marBottom w:val="0"/>
      <w:divBdr>
        <w:top w:val="none" w:sz="0" w:space="0" w:color="auto"/>
        <w:left w:val="none" w:sz="0" w:space="0" w:color="auto"/>
        <w:bottom w:val="none" w:sz="0" w:space="0" w:color="auto"/>
        <w:right w:val="none" w:sz="0" w:space="0" w:color="auto"/>
      </w:divBdr>
    </w:div>
    <w:div w:id="176653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82949F7D5FEBA4EB839507E35344E1F" ma:contentTypeVersion="3" ma:contentTypeDescription="Crear nuevo documento." ma:contentTypeScope="" ma:versionID="a0d8f44ff739ee710fdca2c6265bab9b">
  <xsd:schema xmlns:xsd="http://www.w3.org/2001/XMLSchema" xmlns:xs="http://www.w3.org/2001/XMLSchema" xmlns:p="http://schemas.microsoft.com/office/2006/metadata/properties" xmlns:ns3="c669645c-286b-407a-aff8-258ef590dcc8" targetNamespace="http://schemas.microsoft.com/office/2006/metadata/properties" ma:root="true" ma:fieldsID="aa32011c3e782e96bcb582afbb0a5a7a" ns3:_="">
    <xsd:import namespace="c669645c-286b-407a-aff8-258ef590dcc8"/>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9645c-286b-407a-aff8-258ef590dc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BEAB3-F0F3-4A17-8CAD-54AF5FB62D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0071A4-F551-459A-B62A-7199FF5BCA5C}">
  <ds:schemaRefs>
    <ds:schemaRef ds:uri="http://schemas.microsoft.com/sharepoint/v3/contenttype/forms"/>
  </ds:schemaRefs>
</ds:datastoreItem>
</file>

<file path=customXml/itemProps3.xml><?xml version="1.0" encoding="utf-8"?>
<ds:datastoreItem xmlns:ds="http://schemas.openxmlformats.org/officeDocument/2006/customXml" ds:itemID="{D59D0725-5253-46BD-BEA6-1788642A0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9645c-286b-407a-aff8-258ef590dc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462463-D2D2-4FEA-B22A-02F308E99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5115</Words>
  <Characters>28138</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Diaz Villalobos</dc:creator>
  <cp:keywords/>
  <dc:description/>
  <cp:lastModifiedBy>Primitivo Ortiz Maldonado</cp:lastModifiedBy>
  <cp:revision>5</cp:revision>
  <cp:lastPrinted>2024-02-14T15:31:00Z</cp:lastPrinted>
  <dcterms:created xsi:type="dcterms:W3CDTF">2024-02-12T23:43:00Z</dcterms:created>
  <dcterms:modified xsi:type="dcterms:W3CDTF">2024-02-14T15:32:00Z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0x010100C82949F7D5FEBA4EB839507E35344E1F</vt:lpwstr>
  </property>
</Properties>
</file>