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F502A" w14:textId="2B9411A4" w:rsidR="00A13460" w:rsidRPr="00401408" w:rsidRDefault="00A13460" w:rsidP="00401408">
      <w:pPr>
        <w:spacing w:before="60" w:after="60" w:line="360" w:lineRule="auto"/>
        <w:contextualSpacing/>
        <w:jc w:val="right"/>
        <w:rPr>
          <w:rFonts w:ascii="Arial" w:hAnsi="Arial" w:cs="Arial"/>
          <w:b/>
        </w:rPr>
      </w:pPr>
      <w:bookmarkStart w:id="0" w:name="_GoBack"/>
      <w:bookmarkEnd w:id="0"/>
      <w:r w:rsidRPr="00401408">
        <w:rPr>
          <w:rFonts w:ascii="Arial" w:hAnsi="Arial" w:cs="Arial"/>
          <w:b/>
        </w:rPr>
        <w:t xml:space="preserve">Ciudad de México, a </w:t>
      </w:r>
      <w:r w:rsidR="004C65C1" w:rsidRPr="00401408">
        <w:rPr>
          <w:rFonts w:ascii="Arial" w:hAnsi="Arial" w:cs="Arial"/>
          <w:b/>
        </w:rPr>
        <w:t>1</w:t>
      </w:r>
      <w:r w:rsidR="00094A23">
        <w:rPr>
          <w:rFonts w:ascii="Arial" w:hAnsi="Arial" w:cs="Arial"/>
          <w:b/>
        </w:rPr>
        <w:t>6</w:t>
      </w:r>
      <w:r w:rsidRPr="00401408">
        <w:rPr>
          <w:rFonts w:ascii="Arial" w:hAnsi="Arial" w:cs="Arial"/>
          <w:b/>
        </w:rPr>
        <w:t xml:space="preserve"> de </w:t>
      </w:r>
      <w:r w:rsidR="004C65C1" w:rsidRPr="00401408">
        <w:rPr>
          <w:rFonts w:ascii="Arial" w:hAnsi="Arial" w:cs="Arial"/>
          <w:b/>
        </w:rPr>
        <w:t>octubre</w:t>
      </w:r>
      <w:r w:rsidRPr="00401408">
        <w:rPr>
          <w:rFonts w:ascii="Arial" w:hAnsi="Arial" w:cs="Arial"/>
          <w:b/>
        </w:rPr>
        <w:t xml:space="preserve"> de 202</w:t>
      </w:r>
      <w:r w:rsidR="00D00326">
        <w:rPr>
          <w:rFonts w:ascii="Arial" w:hAnsi="Arial" w:cs="Arial"/>
          <w:b/>
        </w:rPr>
        <w:t>3</w:t>
      </w:r>
    </w:p>
    <w:p w14:paraId="4B41CFCF" w14:textId="77777777" w:rsidR="00707C5A" w:rsidRDefault="00707C5A" w:rsidP="00401408">
      <w:pPr>
        <w:spacing w:before="60" w:after="60" w:line="360" w:lineRule="auto"/>
        <w:contextualSpacing/>
        <w:jc w:val="both"/>
        <w:rPr>
          <w:rFonts w:ascii="Arial" w:hAnsi="Arial" w:cs="Arial"/>
          <w:lang w:val="es-ES_tradnl" w:eastAsia="es-MX"/>
        </w:rPr>
      </w:pPr>
    </w:p>
    <w:p w14:paraId="1F81456D" w14:textId="25B27BBD" w:rsidR="00EC27D9" w:rsidRDefault="00EC27D9" w:rsidP="00401408">
      <w:pPr>
        <w:spacing w:before="60" w:after="60" w:line="360" w:lineRule="auto"/>
        <w:contextualSpacing/>
        <w:jc w:val="both"/>
        <w:rPr>
          <w:rFonts w:ascii="Arial" w:hAnsi="Arial" w:cs="Arial"/>
          <w:lang w:val="es-ES_tradnl" w:eastAsia="es-MX"/>
        </w:rPr>
      </w:pPr>
      <w:r w:rsidRPr="00401408">
        <w:rPr>
          <w:rFonts w:ascii="Arial" w:hAnsi="Arial" w:cs="Arial"/>
          <w:lang w:val="es-ES_tradnl" w:eastAsia="es-MX"/>
        </w:rPr>
        <w:t xml:space="preserve">RESPUESTAS GENERALES QUE PROPORCIONA EL INSTITUTO FEDERAL DE TELECOMUNICACIONES A LAS MANIFESTACIONES, OPINIONES, COMENTARIOS Y PROPUESTAS PRESENTADAS DURANTE LA CONSULTA PÚBLICA DENOMINADA: </w:t>
      </w:r>
    </w:p>
    <w:p w14:paraId="7290524E" w14:textId="77777777" w:rsidR="00707C5A" w:rsidRPr="00401408" w:rsidRDefault="00707C5A" w:rsidP="00401408">
      <w:pPr>
        <w:spacing w:before="60" w:after="60" w:line="360" w:lineRule="auto"/>
        <w:contextualSpacing/>
        <w:jc w:val="both"/>
        <w:rPr>
          <w:rFonts w:ascii="Arial" w:hAnsi="Arial" w:cs="Arial"/>
          <w:lang w:val="es-ES_tradnl" w:eastAsia="es-MX"/>
        </w:rPr>
      </w:pPr>
    </w:p>
    <w:p w14:paraId="683E12B1" w14:textId="022C3557" w:rsidR="00A13460" w:rsidRPr="00401408" w:rsidRDefault="00EC27D9" w:rsidP="00BE10D2">
      <w:pPr>
        <w:spacing w:before="60" w:after="60" w:line="360" w:lineRule="auto"/>
        <w:contextualSpacing/>
        <w:jc w:val="both"/>
        <w:rPr>
          <w:rFonts w:ascii="Arial" w:hAnsi="Arial" w:cs="Arial"/>
          <w:b/>
        </w:rPr>
      </w:pPr>
      <w:r w:rsidRPr="00401408">
        <w:rPr>
          <w:rFonts w:ascii="Arial" w:hAnsi="Arial" w:cs="Arial"/>
          <w:b/>
          <w:color w:val="000000"/>
        </w:rPr>
        <w:t>“</w:t>
      </w:r>
      <w:hyperlink r:id="rId10" w:tgtFrame="_blank" w:history="1">
        <w:r w:rsidRPr="00707C5A">
          <w:rPr>
            <w:rStyle w:val="Hipervnculo"/>
            <w:rFonts w:ascii="Arial" w:hAnsi="Arial" w:cs="Arial"/>
            <w:b/>
            <w:i/>
            <w:iCs/>
            <w:u w:val="none"/>
          </w:rPr>
          <w:t>CONSULTA PÚBLICA SOBRE EL ANTEPROYECTO DE ACUERDO MEDIANTE EL CUAL, EL IFT MODIFICA LOS PLANES TÉCNICOS FUNDAMENTALES DE NUMERACIÓN Y SEÑALIZACIÓN, ASÍ COMO LAS REGLAS DE PORTABILIDAD NUMÉRICA</w:t>
        </w:r>
      </w:hyperlink>
      <w:r w:rsidRPr="00401408">
        <w:rPr>
          <w:rFonts w:ascii="Arial" w:hAnsi="Arial" w:cs="Arial"/>
          <w:b/>
          <w:color w:val="000000"/>
        </w:rPr>
        <w:t>”</w:t>
      </w:r>
    </w:p>
    <w:p w14:paraId="4F882371" w14:textId="77777777" w:rsidR="00707C5A" w:rsidRDefault="00707C5A" w:rsidP="00401408">
      <w:pPr>
        <w:pStyle w:val="Default"/>
        <w:spacing w:before="60" w:after="60" w:line="360" w:lineRule="auto"/>
        <w:contextualSpacing/>
        <w:jc w:val="both"/>
        <w:rPr>
          <w:rFonts w:ascii="Arial" w:hAnsi="Arial" w:cs="Arial"/>
          <w:b/>
          <w:sz w:val="22"/>
          <w:szCs w:val="22"/>
        </w:rPr>
      </w:pPr>
    </w:p>
    <w:p w14:paraId="28B6EA30" w14:textId="4272F75B" w:rsidR="00112F6D" w:rsidRDefault="00EC27D9" w:rsidP="00401408">
      <w:pPr>
        <w:pStyle w:val="Default"/>
        <w:spacing w:before="60" w:after="60" w:line="360" w:lineRule="auto"/>
        <w:contextualSpacing/>
        <w:jc w:val="both"/>
        <w:rPr>
          <w:rFonts w:ascii="Arial" w:hAnsi="Arial" w:cs="Arial"/>
          <w:b/>
          <w:sz w:val="22"/>
          <w:szCs w:val="22"/>
        </w:rPr>
      </w:pPr>
      <w:r w:rsidRPr="00401408">
        <w:rPr>
          <w:rFonts w:ascii="Arial" w:hAnsi="Arial" w:cs="Arial"/>
          <w:b/>
          <w:sz w:val="22"/>
          <w:szCs w:val="22"/>
        </w:rPr>
        <w:t>DESCRIPCIÓN DE LA CONSULTA PÚBLICA</w:t>
      </w:r>
    </w:p>
    <w:p w14:paraId="1BA5C050" w14:textId="77777777" w:rsidR="000E65C8" w:rsidRPr="00401408" w:rsidRDefault="000E65C8" w:rsidP="00401408">
      <w:pPr>
        <w:pStyle w:val="Default"/>
        <w:spacing w:before="60" w:after="60" w:line="360" w:lineRule="auto"/>
        <w:contextualSpacing/>
        <w:jc w:val="both"/>
        <w:rPr>
          <w:rFonts w:ascii="Arial" w:hAnsi="Arial" w:cs="Arial"/>
          <w:b/>
          <w:sz w:val="22"/>
          <w:szCs w:val="22"/>
        </w:rPr>
      </w:pPr>
    </w:p>
    <w:p w14:paraId="2B46EC48" w14:textId="5AB268DE" w:rsidR="00EC27D9" w:rsidRPr="00401408" w:rsidRDefault="00EC27D9" w:rsidP="00401408">
      <w:pPr>
        <w:pStyle w:val="Default"/>
        <w:spacing w:before="60" w:after="60" w:line="360" w:lineRule="auto"/>
        <w:contextualSpacing/>
        <w:jc w:val="both"/>
        <w:rPr>
          <w:rFonts w:ascii="Arial" w:hAnsi="Arial" w:cs="Arial"/>
          <w:b/>
          <w:sz w:val="22"/>
          <w:szCs w:val="22"/>
        </w:rPr>
      </w:pPr>
      <w:r w:rsidRPr="00401408">
        <w:rPr>
          <w:rFonts w:ascii="Arial" w:eastAsia="Times New Roman" w:hAnsi="Arial" w:cs="Arial"/>
          <w:sz w:val="22"/>
          <w:szCs w:val="22"/>
          <w:lang w:eastAsia="es-MX"/>
        </w:rPr>
        <w:t xml:space="preserve">La presente consulta pública tiene la finalidad de transparentar y dar a conocer la correspondiente propuesta de regulación, así como su análisis de impacto regulatorio a efecto de que las personas interesadas en la misma, puedan tener un mayor entendimiento sobre </w:t>
      </w:r>
      <w:r w:rsidR="00795A36">
        <w:rPr>
          <w:rFonts w:ascii="Arial" w:eastAsia="Times New Roman" w:hAnsi="Arial" w:cs="Arial"/>
          <w:sz w:val="22"/>
          <w:szCs w:val="22"/>
          <w:lang w:eastAsia="es-MX"/>
        </w:rPr>
        <w:t>las</w:t>
      </w:r>
      <w:r w:rsidRPr="00401408">
        <w:rPr>
          <w:rFonts w:ascii="Arial" w:eastAsia="Times New Roman" w:hAnsi="Arial" w:cs="Arial"/>
          <w:sz w:val="22"/>
          <w:szCs w:val="22"/>
          <w:lang w:eastAsia="es-MX"/>
        </w:rPr>
        <w:t xml:space="preserve"> medidas y términos propuestos por el Instituto</w:t>
      </w:r>
      <w:r w:rsidR="00795A36">
        <w:rPr>
          <w:rFonts w:ascii="Arial" w:eastAsia="Times New Roman" w:hAnsi="Arial" w:cs="Arial"/>
          <w:sz w:val="22"/>
          <w:szCs w:val="22"/>
          <w:lang w:eastAsia="es-MX"/>
        </w:rPr>
        <w:t xml:space="preserve"> Federal de Telecomunicaciones (“Instituto”)</w:t>
      </w:r>
      <w:r w:rsidRPr="00401408">
        <w:rPr>
          <w:rFonts w:ascii="Arial" w:eastAsia="Times New Roman" w:hAnsi="Arial" w:cs="Arial"/>
          <w:sz w:val="22"/>
          <w:szCs w:val="22"/>
          <w:lang w:eastAsia="es-MX"/>
        </w:rPr>
        <w:t xml:space="preserve"> y, a partir de ello, formular a </w:t>
      </w:r>
      <w:r w:rsidR="00795A36">
        <w:rPr>
          <w:rFonts w:ascii="Arial" w:eastAsia="Times New Roman" w:hAnsi="Arial" w:cs="Arial"/>
          <w:sz w:val="22"/>
          <w:szCs w:val="22"/>
          <w:lang w:eastAsia="es-MX"/>
        </w:rPr>
        <w:t>dicho</w:t>
      </w:r>
      <w:r w:rsidRPr="00401408">
        <w:rPr>
          <w:rFonts w:ascii="Arial" w:eastAsia="Times New Roman" w:hAnsi="Arial" w:cs="Arial"/>
          <w:sz w:val="22"/>
          <w:szCs w:val="22"/>
          <w:lang w:eastAsia="es-MX"/>
        </w:rPr>
        <w:t xml:space="preserve"> órgano regulador sus comentarios, opiniones o aportaciones que permitan fortalecer </w:t>
      </w:r>
      <w:r w:rsidR="00795A36">
        <w:rPr>
          <w:rFonts w:ascii="Arial" w:eastAsia="Times New Roman" w:hAnsi="Arial" w:cs="Arial"/>
          <w:sz w:val="22"/>
          <w:szCs w:val="22"/>
          <w:lang w:eastAsia="es-MX"/>
        </w:rPr>
        <w:t>tal</w:t>
      </w:r>
      <w:r w:rsidRPr="00401408">
        <w:rPr>
          <w:rFonts w:ascii="Arial" w:eastAsia="Times New Roman" w:hAnsi="Arial" w:cs="Arial"/>
          <w:sz w:val="22"/>
          <w:szCs w:val="22"/>
          <w:lang w:eastAsia="es-MX"/>
        </w:rPr>
        <w:t xml:space="preserve"> propuesta normativa, así como para afinar con mayor precisión los posibles impactos que se desprendan </w:t>
      </w:r>
      <w:r w:rsidR="00795A36">
        <w:rPr>
          <w:rFonts w:ascii="Arial" w:eastAsia="Times New Roman" w:hAnsi="Arial" w:cs="Arial"/>
          <w:sz w:val="22"/>
          <w:szCs w:val="22"/>
          <w:lang w:eastAsia="es-MX"/>
        </w:rPr>
        <w:t>en</w:t>
      </w:r>
      <w:r w:rsidRPr="00401408">
        <w:rPr>
          <w:rFonts w:ascii="Arial" w:eastAsia="Times New Roman" w:hAnsi="Arial" w:cs="Arial"/>
          <w:sz w:val="22"/>
          <w:szCs w:val="22"/>
          <w:lang w:eastAsia="es-MX"/>
        </w:rPr>
        <w:t xml:space="preserve"> razón de su posible entrada en vigor.</w:t>
      </w:r>
    </w:p>
    <w:p w14:paraId="61E00F9A" w14:textId="3B98878E" w:rsidR="00A13460" w:rsidRPr="00401408" w:rsidRDefault="00A13460" w:rsidP="00401408">
      <w:pPr>
        <w:pStyle w:val="Default"/>
        <w:spacing w:before="60" w:after="60" w:line="360" w:lineRule="auto"/>
        <w:contextualSpacing/>
        <w:jc w:val="both"/>
        <w:rPr>
          <w:rFonts w:ascii="Arial" w:hAnsi="Arial" w:cs="Arial"/>
          <w:b/>
          <w:sz w:val="22"/>
          <w:szCs w:val="22"/>
        </w:rPr>
      </w:pPr>
    </w:p>
    <w:p w14:paraId="6B7A3277" w14:textId="2AA14289" w:rsidR="00A13460" w:rsidRPr="00401408" w:rsidRDefault="00EC27D9" w:rsidP="00401408">
      <w:pPr>
        <w:pStyle w:val="Default"/>
        <w:spacing w:before="60" w:after="60" w:line="360" w:lineRule="auto"/>
        <w:contextualSpacing/>
        <w:jc w:val="both"/>
        <w:rPr>
          <w:rFonts w:ascii="Arial" w:hAnsi="Arial" w:cs="Arial"/>
          <w:b/>
          <w:sz w:val="22"/>
          <w:szCs w:val="22"/>
        </w:rPr>
      </w:pPr>
      <w:r w:rsidRPr="00401408">
        <w:rPr>
          <w:rFonts w:ascii="Arial" w:hAnsi="Arial" w:cs="Arial"/>
          <w:b/>
          <w:sz w:val="22"/>
          <w:szCs w:val="22"/>
        </w:rPr>
        <w:t>OBJETIVOS DE LA CONSULTA</w:t>
      </w:r>
    </w:p>
    <w:p w14:paraId="4133F2E4" w14:textId="00F9E7A1" w:rsidR="00A13460" w:rsidRPr="00401408" w:rsidRDefault="00A13460" w:rsidP="00401408">
      <w:pPr>
        <w:pStyle w:val="Default"/>
        <w:spacing w:before="60" w:after="60" w:line="360" w:lineRule="auto"/>
        <w:contextualSpacing/>
        <w:jc w:val="both"/>
        <w:rPr>
          <w:rFonts w:ascii="Arial" w:hAnsi="Arial" w:cs="Arial"/>
          <w:b/>
          <w:sz w:val="22"/>
          <w:szCs w:val="22"/>
        </w:rPr>
      </w:pPr>
    </w:p>
    <w:p w14:paraId="3CE24894" w14:textId="68BF64FF" w:rsidR="00D00326" w:rsidRPr="0098522F" w:rsidRDefault="00A13460" w:rsidP="00401408">
      <w:pPr>
        <w:spacing w:before="60" w:after="60" w:line="360" w:lineRule="auto"/>
        <w:contextualSpacing/>
        <w:jc w:val="both"/>
        <w:rPr>
          <w:rFonts w:ascii="Arial" w:hAnsi="Arial" w:cs="Arial"/>
          <w:color w:val="000000"/>
          <w:shd w:val="clear" w:color="auto" w:fill="FFFFFF"/>
        </w:rPr>
      </w:pPr>
      <w:r w:rsidRPr="00401408">
        <w:rPr>
          <w:rFonts w:ascii="Arial" w:eastAsia="Times New Roman" w:hAnsi="Arial" w:cs="Arial"/>
          <w:color w:val="000000"/>
          <w:lang w:eastAsia="es-MX"/>
        </w:rPr>
        <w:t xml:space="preserve">Los objetivos principales del </w:t>
      </w:r>
      <w:r w:rsidR="004E133A" w:rsidRPr="00401408">
        <w:rPr>
          <w:rFonts w:ascii="Arial" w:eastAsia="Times New Roman" w:hAnsi="Arial" w:cs="Arial"/>
          <w:color w:val="000000"/>
          <w:lang w:eastAsia="es-MX"/>
        </w:rPr>
        <w:t>“</w:t>
      </w:r>
      <w:r w:rsidRPr="00795A36">
        <w:rPr>
          <w:rFonts w:ascii="Arial" w:eastAsia="Times New Roman" w:hAnsi="Arial" w:cs="Arial"/>
          <w:i/>
          <w:iCs/>
          <w:color w:val="000000"/>
          <w:lang w:eastAsia="es-MX"/>
        </w:rPr>
        <w:t>Anteproyecto</w:t>
      </w:r>
      <w:r w:rsidR="004E133A" w:rsidRPr="00795A36">
        <w:rPr>
          <w:rFonts w:ascii="Arial" w:eastAsia="Times New Roman" w:hAnsi="Arial" w:cs="Arial"/>
          <w:i/>
          <w:iCs/>
          <w:color w:val="000000"/>
          <w:lang w:eastAsia="es-MX"/>
        </w:rPr>
        <w:t xml:space="preserve"> de Acuerdo mediante el cual</w:t>
      </w:r>
      <w:r w:rsidR="00D00326">
        <w:rPr>
          <w:rFonts w:ascii="Arial" w:eastAsia="Times New Roman" w:hAnsi="Arial" w:cs="Arial"/>
          <w:i/>
          <w:iCs/>
          <w:color w:val="000000"/>
          <w:lang w:eastAsia="es-MX"/>
        </w:rPr>
        <w:t>, el</w:t>
      </w:r>
      <w:r w:rsidR="004E133A" w:rsidRPr="00795A36">
        <w:rPr>
          <w:rFonts w:ascii="Arial" w:eastAsia="Times New Roman" w:hAnsi="Arial" w:cs="Arial"/>
          <w:i/>
          <w:iCs/>
          <w:color w:val="000000"/>
          <w:lang w:eastAsia="es-MX"/>
        </w:rPr>
        <w:t xml:space="preserve"> </w:t>
      </w:r>
      <w:r w:rsidR="00D00326">
        <w:rPr>
          <w:rFonts w:ascii="Arial" w:eastAsia="Times New Roman" w:hAnsi="Arial" w:cs="Arial"/>
          <w:i/>
          <w:iCs/>
          <w:color w:val="000000"/>
          <w:lang w:eastAsia="es-MX"/>
        </w:rPr>
        <w:t>IFT</w:t>
      </w:r>
      <w:r w:rsidR="004E133A" w:rsidRPr="00795A36">
        <w:rPr>
          <w:rFonts w:ascii="Arial" w:eastAsia="Times New Roman" w:hAnsi="Arial" w:cs="Arial"/>
          <w:i/>
          <w:iCs/>
          <w:color w:val="000000"/>
          <w:lang w:eastAsia="es-MX"/>
        </w:rPr>
        <w:t xml:space="preserve"> modifica los planes técnicos fundamentales de numeración y señalización</w:t>
      </w:r>
      <w:r w:rsidR="00D00326">
        <w:rPr>
          <w:rFonts w:ascii="Arial" w:eastAsia="Times New Roman" w:hAnsi="Arial" w:cs="Arial"/>
          <w:i/>
          <w:iCs/>
          <w:color w:val="000000"/>
          <w:lang w:eastAsia="es-MX"/>
        </w:rPr>
        <w:t>, así como</w:t>
      </w:r>
      <w:r w:rsidR="004E133A" w:rsidRPr="00795A36">
        <w:rPr>
          <w:rFonts w:ascii="Arial" w:eastAsia="Times New Roman" w:hAnsi="Arial" w:cs="Arial"/>
          <w:i/>
          <w:iCs/>
          <w:color w:val="000000"/>
          <w:lang w:eastAsia="es-MX"/>
        </w:rPr>
        <w:t xml:space="preserve"> las reglas de portabilidad numérica</w:t>
      </w:r>
      <w:r w:rsidR="004E133A" w:rsidRPr="00401408">
        <w:rPr>
          <w:rFonts w:ascii="Arial" w:eastAsia="Times New Roman" w:hAnsi="Arial" w:cs="Arial"/>
          <w:color w:val="000000"/>
          <w:lang w:eastAsia="es-MX"/>
        </w:rPr>
        <w:t>” (“Anteproyecto”)</w:t>
      </w:r>
      <w:r w:rsidRPr="00401408">
        <w:rPr>
          <w:rFonts w:ascii="Arial" w:eastAsia="Times New Roman" w:hAnsi="Arial" w:cs="Arial"/>
          <w:color w:val="000000"/>
          <w:lang w:eastAsia="es-MX"/>
        </w:rPr>
        <w:t xml:space="preserve"> consisten en</w:t>
      </w:r>
      <w:r w:rsidRPr="009C68D4">
        <w:rPr>
          <w:rFonts w:ascii="Arial" w:eastAsia="Times New Roman" w:hAnsi="Arial" w:cs="Arial"/>
          <w:color w:val="000000"/>
          <w:lang w:eastAsia="es-MX"/>
        </w:rPr>
        <w:t>: </w:t>
      </w:r>
      <w:r w:rsidR="00D00326" w:rsidRPr="009C68D4">
        <w:rPr>
          <w:rFonts w:ascii="Arial" w:hAnsi="Arial" w:cs="Arial"/>
          <w:b/>
          <w:bCs/>
          <w:color w:val="000000"/>
          <w:shd w:val="clear" w:color="auto" w:fill="FFFFFF"/>
        </w:rPr>
        <w:t>i)</w:t>
      </w:r>
      <w:r w:rsidR="00D00326" w:rsidRPr="0098522F">
        <w:rPr>
          <w:rFonts w:ascii="Arial" w:hAnsi="Arial" w:cs="Arial"/>
          <w:color w:val="000000"/>
          <w:shd w:val="clear" w:color="auto" w:fill="FFFFFF"/>
        </w:rPr>
        <w:t> modificar los formatos electrónicos establecidos en los Planes Técnicos Fundamentales de Numeración y Señalización (en lo sucesivo, los “Planes”) con la finalidad de adaptarlos a los requerimientos tecnológicos aplicables a la herramienta denominada “Más Trámites y Servicios” que forma parte de la Ventanilla Electrónica del Instituto; </w:t>
      </w:r>
      <w:r w:rsidR="00D00326" w:rsidRPr="009C68D4">
        <w:rPr>
          <w:rFonts w:ascii="Arial" w:hAnsi="Arial" w:cs="Arial"/>
          <w:b/>
          <w:bCs/>
          <w:color w:val="000000"/>
          <w:shd w:val="clear" w:color="auto" w:fill="FFFFFF"/>
        </w:rPr>
        <w:t>ii)</w:t>
      </w:r>
      <w:r w:rsidR="00D00326" w:rsidRPr="0098522F">
        <w:rPr>
          <w:rFonts w:ascii="Arial" w:hAnsi="Arial" w:cs="Arial"/>
          <w:color w:val="000000"/>
          <w:shd w:val="clear" w:color="auto" w:fill="FFFFFF"/>
        </w:rPr>
        <w:t> simplificar los procedimientos de cesión de derechos de recursos de numeración y señalización establecidos en los Planes y asegurar su correcta implementación a través de la referida herramienta “Más Trámites y Servicios”, y  </w:t>
      </w:r>
      <w:r w:rsidR="00D00326" w:rsidRPr="009C68D4">
        <w:rPr>
          <w:rFonts w:ascii="Arial" w:hAnsi="Arial" w:cs="Arial"/>
          <w:b/>
          <w:bCs/>
          <w:color w:val="000000"/>
          <w:shd w:val="clear" w:color="auto" w:fill="FFFFFF"/>
        </w:rPr>
        <w:t>iii)</w:t>
      </w:r>
      <w:r w:rsidR="00D00326" w:rsidRPr="0098522F">
        <w:rPr>
          <w:rFonts w:ascii="Arial" w:hAnsi="Arial" w:cs="Arial"/>
          <w:color w:val="000000"/>
          <w:shd w:val="clear" w:color="auto" w:fill="FFFFFF"/>
        </w:rPr>
        <w:t xml:space="preserve"> diferir la entrada en vigor de la administración y asignación de la numeración nacional por zonas y, por consiguiente, de todas </w:t>
      </w:r>
      <w:r w:rsidR="00D00326" w:rsidRPr="0098522F">
        <w:rPr>
          <w:rFonts w:ascii="Arial" w:hAnsi="Arial" w:cs="Arial"/>
          <w:color w:val="000000"/>
          <w:shd w:val="clear" w:color="auto" w:fill="FFFFFF"/>
        </w:rPr>
        <w:lastRenderedPageBreak/>
        <w:t>aquellas disposiciones jurídicas aplicables, que guarden relación con procedimientos para la asignación y administración de recursos numéricos y de señalización.</w:t>
      </w:r>
    </w:p>
    <w:p w14:paraId="6CC8AD3B" w14:textId="77777777" w:rsidR="006D18F2" w:rsidRDefault="006D18F2" w:rsidP="00401408">
      <w:pPr>
        <w:spacing w:before="60" w:after="60" w:line="360" w:lineRule="auto"/>
        <w:contextualSpacing/>
        <w:jc w:val="both"/>
        <w:rPr>
          <w:rFonts w:ascii="Helvetica Neue" w:hAnsi="Helvetica Neue"/>
          <w:color w:val="000000"/>
          <w:shd w:val="clear" w:color="auto" w:fill="FFFFFF"/>
        </w:rPr>
      </w:pPr>
    </w:p>
    <w:p w14:paraId="41C8A56D" w14:textId="4293D86B" w:rsidR="00EC27D9" w:rsidRDefault="00EC27D9" w:rsidP="00401408">
      <w:pPr>
        <w:spacing w:before="60" w:after="60" w:line="360" w:lineRule="auto"/>
        <w:contextualSpacing/>
        <w:jc w:val="both"/>
        <w:rPr>
          <w:rFonts w:ascii="Arial" w:eastAsia="ITC Avant Garde" w:hAnsi="Arial" w:cs="Arial"/>
          <w:b/>
          <w:color w:val="000000" w:themeColor="text1"/>
          <w:lang w:val="es-ES" w:eastAsia="es-MX"/>
        </w:rPr>
      </w:pPr>
      <w:r w:rsidRPr="00401408">
        <w:rPr>
          <w:rFonts w:ascii="Arial" w:eastAsia="ITC Avant Garde" w:hAnsi="Arial" w:cs="Arial"/>
          <w:b/>
          <w:color w:val="000000" w:themeColor="text1"/>
          <w:lang w:val="es-ES" w:eastAsia="es-MX"/>
        </w:rPr>
        <w:t>UNIDAD RESPONSABLE DE LA CONSULTA PÚBLICA:</w:t>
      </w:r>
    </w:p>
    <w:p w14:paraId="1764FFF8" w14:textId="77777777" w:rsidR="000E65C8" w:rsidRPr="00401408" w:rsidRDefault="000E65C8" w:rsidP="00401408">
      <w:pPr>
        <w:spacing w:before="60" w:after="60" w:line="360" w:lineRule="auto"/>
        <w:contextualSpacing/>
        <w:jc w:val="both"/>
        <w:rPr>
          <w:rFonts w:ascii="Arial" w:eastAsia="ITC Avant Garde" w:hAnsi="Arial" w:cs="Arial"/>
          <w:b/>
          <w:color w:val="000000" w:themeColor="text1"/>
          <w:lang w:val="es-ES" w:eastAsia="es-MX"/>
        </w:rPr>
      </w:pPr>
    </w:p>
    <w:p w14:paraId="497F2F0D" w14:textId="59561BDA" w:rsidR="00EC27D9" w:rsidRPr="00401408" w:rsidRDefault="003C5760" w:rsidP="00401408">
      <w:pPr>
        <w:spacing w:before="60" w:after="60" w:line="360" w:lineRule="auto"/>
        <w:contextualSpacing/>
        <w:jc w:val="both"/>
        <w:rPr>
          <w:rFonts w:ascii="Arial" w:eastAsia="ITC Avant Garde" w:hAnsi="Arial" w:cs="Arial"/>
          <w:color w:val="000000" w:themeColor="text1"/>
          <w:lang w:val="es-ES" w:eastAsia="es-MX"/>
        </w:rPr>
      </w:pPr>
      <w:r w:rsidRPr="00401408">
        <w:rPr>
          <w:rFonts w:ascii="Arial" w:eastAsia="ITC Avant Garde" w:hAnsi="Arial" w:cs="Arial"/>
          <w:color w:val="000000" w:themeColor="text1"/>
          <w:lang w:val="es-ES" w:eastAsia="es-MX"/>
        </w:rPr>
        <w:t>Unidad de Concesiones y Servicios</w:t>
      </w:r>
    </w:p>
    <w:p w14:paraId="4F4528A4" w14:textId="77777777" w:rsidR="006D18F2" w:rsidRDefault="006D18F2" w:rsidP="00401408">
      <w:pPr>
        <w:spacing w:before="60" w:after="60" w:line="360" w:lineRule="auto"/>
        <w:contextualSpacing/>
        <w:jc w:val="both"/>
        <w:rPr>
          <w:rFonts w:ascii="Arial" w:eastAsia="ITC Avant Garde" w:hAnsi="Arial" w:cs="Arial"/>
          <w:b/>
          <w:color w:val="000000" w:themeColor="text1"/>
          <w:lang w:val="es-ES" w:eastAsia="es-MX"/>
        </w:rPr>
      </w:pPr>
    </w:p>
    <w:p w14:paraId="2F3CD825" w14:textId="69AA8F37" w:rsidR="00EC27D9" w:rsidRDefault="00EC27D9" w:rsidP="00401408">
      <w:pPr>
        <w:spacing w:before="60" w:after="60" w:line="360" w:lineRule="auto"/>
        <w:contextualSpacing/>
        <w:jc w:val="both"/>
        <w:rPr>
          <w:rFonts w:ascii="Arial" w:eastAsia="ITC Avant Garde" w:hAnsi="Arial" w:cs="Arial"/>
          <w:b/>
          <w:color w:val="000000" w:themeColor="text1"/>
          <w:lang w:val="es-ES" w:eastAsia="es-MX"/>
        </w:rPr>
      </w:pPr>
      <w:r w:rsidRPr="00401408">
        <w:rPr>
          <w:rFonts w:ascii="Arial" w:eastAsia="ITC Avant Garde" w:hAnsi="Arial" w:cs="Arial"/>
          <w:b/>
          <w:color w:val="000000" w:themeColor="text1"/>
          <w:lang w:val="es-ES" w:eastAsia="es-MX"/>
        </w:rPr>
        <w:t>DESCRIPCIÓN DE LOS</w:t>
      </w:r>
      <w:r w:rsidR="003C5760" w:rsidRPr="00401408">
        <w:rPr>
          <w:rFonts w:ascii="Arial" w:eastAsia="ITC Avant Garde" w:hAnsi="Arial" w:cs="Arial"/>
          <w:b/>
          <w:color w:val="000000" w:themeColor="text1"/>
          <w:lang w:val="es-ES" w:eastAsia="es-MX"/>
        </w:rPr>
        <w:t xml:space="preserve"> PARTICIPANTES</w:t>
      </w:r>
    </w:p>
    <w:p w14:paraId="7509976B" w14:textId="77777777" w:rsidR="000E65C8" w:rsidRPr="00401408" w:rsidRDefault="000E65C8" w:rsidP="00401408">
      <w:pPr>
        <w:spacing w:before="60" w:after="60" w:line="360" w:lineRule="auto"/>
        <w:contextualSpacing/>
        <w:jc w:val="both"/>
        <w:rPr>
          <w:rFonts w:ascii="Arial" w:eastAsia="ITC Avant Garde" w:hAnsi="Arial" w:cs="Arial"/>
          <w:b/>
          <w:color w:val="000000" w:themeColor="text1"/>
          <w:lang w:val="es-ES" w:eastAsia="es-MX"/>
        </w:rPr>
      </w:pPr>
    </w:p>
    <w:p w14:paraId="50D3C0E9" w14:textId="389B9C7F" w:rsidR="003C5760" w:rsidRPr="00401408" w:rsidRDefault="003C5760"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sz w:val="22"/>
          <w:szCs w:val="22"/>
        </w:rPr>
        <w:t>Durante el plazo de la consulta pública de mérito</w:t>
      </w:r>
      <w:r w:rsidRPr="00401408">
        <w:rPr>
          <w:rFonts w:ascii="Arial" w:hAnsi="Arial" w:cs="Arial"/>
          <w:color w:val="auto"/>
          <w:sz w:val="22"/>
          <w:szCs w:val="22"/>
        </w:rPr>
        <w:t xml:space="preserve">, se recibieron </w:t>
      </w:r>
      <w:r w:rsidR="00D00326">
        <w:rPr>
          <w:rFonts w:ascii="Arial" w:hAnsi="Arial" w:cs="Arial"/>
          <w:color w:val="auto"/>
          <w:sz w:val="22"/>
          <w:szCs w:val="22"/>
        </w:rPr>
        <w:t>7</w:t>
      </w:r>
      <w:r w:rsidRPr="00401408">
        <w:rPr>
          <w:rFonts w:ascii="Arial" w:hAnsi="Arial" w:cs="Arial"/>
          <w:color w:val="auto"/>
          <w:sz w:val="22"/>
          <w:szCs w:val="22"/>
        </w:rPr>
        <w:t xml:space="preserve"> participaciones, formuladas por personas morales, las cuales se listan a continuación: </w:t>
      </w:r>
    </w:p>
    <w:p w14:paraId="669C8EAC" w14:textId="77777777" w:rsidR="003C5760" w:rsidRPr="00401408" w:rsidRDefault="003C5760"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 xml:space="preserve"> </w:t>
      </w:r>
    </w:p>
    <w:p w14:paraId="1F1A4922" w14:textId="688F9095" w:rsidR="003C5760" w:rsidRDefault="003C5760" w:rsidP="00401408">
      <w:pPr>
        <w:pStyle w:val="Default"/>
        <w:numPr>
          <w:ilvl w:val="0"/>
          <w:numId w:val="1"/>
        </w:numPr>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 xml:space="preserve">AT&amp;T Comunicaciones Digitales, S. de R.L. de C.V., Grupo AT&amp;T </w:t>
      </w:r>
      <w:proofErr w:type="spellStart"/>
      <w:r w:rsidRPr="00401408">
        <w:rPr>
          <w:rFonts w:ascii="Arial" w:hAnsi="Arial" w:cs="Arial"/>
          <w:color w:val="auto"/>
          <w:sz w:val="22"/>
          <w:szCs w:val="22"/>
        </w:rPr>
        <w:t>Celullar</w:t>
      </w:r>
      <w:proofErr w:type="spellEnd"/>
      <w:r w:rsidRPr="00401408">
        <w:rPr>
          <w:rFonts w:ascii="Arial" w:hAnsi="Arial" w:cs="Arial"/>
          <w:color w:val="auto"/>
          <w:sz w:val="22"/>
          <w:szCs w:val="22"/>
        </w:rPr>
        <w:t>, S. de R.L. de C.V.,</w:t>
      </w:r>
      <w:r w:rsidR="00CD57D6">
        <w:rPr>
          <w:rFonts w:ascii="Arial" w:hAnsi="Arial" w:cs="Arial"/>
          <w:color w:val="auto"/>
          <w:sz w:val="22"/>
          <w:szCs w:val="22"/>
        </w:rPr>
        <w:t xml:space="preserve"> y </w:t>
      </w:r>
      <w:r w:rsidRPr="00401408">
        <w:rPr>
          <w:rFonts w:ascii="Arial" w:hAnsi="Arial" w:cs="Arial"/>
          <w:color w:val="auto"/>
          <w:sz w:val="22"/>
          <w:szCs w:val="22"/>
        </w:rPr>
        <w:t>AT&amp;T Comercialización Móvil, S. de R.L. de C.V. (“Grupo AT&amp;T”);</w:t>
      </w:r>
    </w:p>
    <w:p w14:paraId="3AC86A0D" w14:textId="47C7AAD4" w:rsidR="00CD57D6" w:rsidRPr="00401408" w:rsidRDefault="00CD57D6" w:rsidP="00401408">
      <w:pPr>
        <w:pStyle w:val="Default"/>
        <w:numPr>
          <w:ilvl w:val="0"/>
          <w:numId w:val="1"/>
        </w:numPr>
        <w:spacing w:before="60" w:after="60" w:line="360" w:lineRule="auto"/>
        <w:contextualSpacing/>
        <w:jc w:val="both"/>
        <w:rPr>
          <w:rFonts w:ascii="Arial" w:hAnsi="Arial" w:cs="Arial"/>
          <w:color w:val="auto"/>
          <w:sz w:val="22"/>
          <w:szCs w:val="22"/>
        </w:rPr>
      </w:pPr>
      <w:r>
        <w:rPr>
          <w:rFonts w:ascii="Arial" w:hAnsi="Arial" w:cs="Arial"/>
          <w:color w:val="auto"/>
          <w:sz w:val="22"/>
          <w:szCs w:val="22"/>
        </w:rPr>
        <w:t>Directo Telecom, S.A. de C.V.</w:t>
      </w:r>
      <w:r w:rsidR="00255EE7">
        <w:rPr>
          <w:rFonts w:ascii="Arial" w:hAnsi="Arial" w:cs="Arial"/>
          <w:color w:val="auto"/>
          <w:sz w:val="22"/>
          <w:szCs w:val="22"/>
        </w:rPr>
        <w:t xml:space="preserve"> (“Directo Telecom”)</w:t>
      </w:r>
    </w:p>
    <w:p w14:paraId="617B4D99" w14:textId="77777777" w:rsidR="003C5760" w:rsidRPr="00401408" w:rsidRDefault="003C5760" w:rsidP="00401408">
      <w:pPr>
        <w:pStyle w:val="Default"/>
        <w:numPr>
          <w:ilvl w:val="0"/>
          <w:numId w:val="1"/>
        </w:numPr>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Cámara Nacional de la Industria Electrónica, de Telecomunicaciones y Tecnologías de la Información (“CANIETI”);</w:t>
      </w:r>
    </w:p>
    <w:p w14:paraId="525CC61D" w14:textId="1CAEF6F6" w:rsidR="003C5760" w:rsidRPr="00401408" w:rsidRDefault="00CD57D6" w:rsidP="00401408">
      <w:pPr>
        <w:pStyle w:val="Default"/>
        <w:numPr>
          <w:ilvl w:val="0"/>
          <w:numId w:val="1"/>
        </w:numPr>
        <w:spacing w:before="60" w:after="60" w:line="360" w:lineRule="auto"/>
        <w:contextualSpacing/>
        <w:jc w:val="both"/>
        <w:rPr>
          <w:rFonts w:ascii="Arial" w:hAnsi="Arial" w:cs="Arial"/>
          <w:color w:val="auto"/>
          <w:sz w:val="22"/>
          <w:szCs w:val="22"/>
        </w:rPr>
      </w:pPr>
      <w:r>
        <w:rPr>
          <w:rFonts w:ascii="Arial" w:hAnsi="Arial" w:cs="Arial"/>
          <w:color w:val="auto"/>
          <w:sz w:val="22"/>
          <w:szCs w:val="22"/>
        </w:rPr>
        <w:t xml:space="preserve">Alestra Servicios Móviles, S.A. de C.V. </w:t>
      </w:r>
      <w:r w:rsidR="003C5760" w:rsidRPr="00401408">
        <w:rPr>
          <w:rFonts w:ascii="Arial" w:hAnsi="Arial" w:cs="Arial"/>
          <w:color w:val="auto"/>
          <w:sz w:val="22"/>
          <w:szCs w:val="22"/>
        </w:rPr>
        <w:t>(“</w:t>
      </w:r>
      <w:r>
        <w:rPr>
          <w:rFonts w:ascii="Arial" w:hAnsi="Arial" w:cs="Arial"/>
          <w:color w:val="auto"/>
          <w:sz w:val="22"/>
          <w:szCs w:val="22"/>
        </w:rPr>
        <w:t>ASM</w:t>
      </w:r>
      <w:r w:rsidR="003C5760" w:rsidRPr="00401408">
        <w:rPr>
          <w:rFonts w:ascii="Arial" w:hAnsi="Arial" w:cs="Arial"/>
          <w:color w:val="auto"/>
          <w:sz w:val="22"/>
          <w:szCs w:val="22"/>
        </w:rPr>
        <w:t>”);</w:t>
      </w:r>
    </w:p>
    <w:p w14:paraId="4C293714" w14:textId="4B55A0FF" w:rsidR="003C5760" w:rsidRPr="00401408" w:rsidRDefault="00CD57D6" w:rsidP="00401408">
      <w:pPr>
        <w:pStyle w:val="Default"/>
        <w:numPr>
          <w:ilvl w:val="0"/>
          <w:numId w:val="1"/>
        </w:numPr>
        <w:spacing w:before="60" w:after="60" w:line="360" w:lineRule="auto"/>
        <w:contextualSpacing/>
        <w:jc w:val="both"/>
        <w:rPr>
          <w:rFonts w:ascii="Arial" w:hAnsi="Arial" w:cs="Arial"/>
          <w:color w:val="auto"/>
          <w:sz w:val="22"/>
          <w:szCs w:val="22"/>
        </w:rPr>
      </w:pPr>
      <w:r>
        <w:rPr>
          <w:rFonts w:ascii="Arial" w:hAnsi="Arial" w:cs="Arial"/>
          <w:color w:val="auto"/>
          <w:sz w:val="22"/>
          <w:szCs w:val="22"/>
        </w:rPr>
        <w:t>Pegaso PCS, S.A. de C.V.</w:t>
      </w:r>
      <w:r w:rsidR="003C5760" w:rsidRPr="00401408">
        <w:rPr>
          <w:rFonts w:ascii="Arial" w:hAnsi="Arial" w:cs="Arial"/>
          <w:color w:val="auto"/>
          <w:sz w:val="22"/>
          <w:szCs w:val="22"/>
        </w:rPr>
        <w:t xml:space="preserve"> (“</w:t>
      </w:r>
      <w:r>
        <w:rPr>
          <w:rFonts w:ascii="Arial" w:hAnsi="Arial" w:cs="Arial"/>
          <w:color w:val="auto"/>
          <w:sz w:val="22"/>
          <w:szCs w:val="22"/>
        </w:rPr>
        <w:t>Telefónica</w:t>
      </w:r>
      <w:r w:rsidR="003C5760" w:rsidRPr="00401408">
        <w:rPr>
          <w:rFonts w:ascii="Arial" w:hAnsi="Arial" w:cs="Arial"/>
          <w:color w:val="auto"/>
          <w:sz w:val="22"/>
          <w:szCs w:val="22"/>
        </w:rPr>
        <w:t>”); </w:t>
      </w:r>
    </w:p>
    <w:p w14:paraId="7C851A2D" w14:textId="24FE5376" w:rsidR="00CD57D6" w:rsidRPr="00401408" w:rsidRDefault="00CD57D6" w:rsidP="00CD57D6">
      <w:pPr>
        <w:pStyle w:val="Default"/>
        <w:numPr>
          <w:ilvl w:val="0"/>
          <w:numId w:val="1"/>
        </w:numPr>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Mega Cable, S.A. de C.V.(“Megacable”);</w:t>
      </w:r>
      <w:r>
        <w:rPr>
          <w:rFonts w:ascii="Arial" w:hAnsi="Arial" w:cs="Arial"/>
          <w:color w:val="auto"/>
          <w:sz w:val="22"/>
          <w:szCs w:val="22"/>
        </w:rPr>
        <w:t xml:space="preserve"> y</w:t>
      </w:r>
    </w:p>
    <w:p w14:paraId="31DE00DA" w14:textId="39793591" w:rsidR="003C5760" w:rsidRDefault="00CD57D6" w:rsidP="00401408">
      <w:pPr>
        <w:pStyle w:val="Default"/>
        <w:numPr>
          <w:ilvl w:val="0"/>
          <w:numId w:val="1"/>
        </w:numPr>
        <w:spacing w:before="60" w:after="60" w:line="360" w:lineRule="auto"/>
        <w:contextualSpacing/>
        <w:jc w:val="both"/>
        <w:rPr>
          <w:rFonts w:ascii="Arial" w:hAnsi="Arial" w:cs="Arial"/>
          <w:color w:val="auto"/>
          <w:sz w:val="22"/>
          <w:szCs w:val="22"/>
        </w:rPr>
      </w:pPr>
      <w:r>
        <w:rPr>
          <w:rFonts w:ascii="Arial" w:hAnsi="Arial" w:cs="Arial"/>
          <w:color w:val="auto"/>
          <w:sz w:val="22"/>
          <w:szCs w:val="22"/>
        </w:rPr>
        <w:t xml:space="preserve">Teléfonos de México, S.A.B. de C.V. </w:t>
      </w:r>
      <w:r w:rsidR="003C5760" w:rsidRPr="00401408">
        <w:rPr>
          <w:rFonts w:ascii="Arial" w:hAnsi="Arial" w:cs="Arial"/>
          <w:color w:val="auto"/>
          <w:sz w:val="22"/>
          <w:szCs w:val="22"/>
        </w:rPr>
        <w:t xml:space="preserve">y </w:t>
      </w:r>
      <w:r>
        <w:rPr>
          <w:rFonts w:ascii="Arial" w:hAnsi="Arial" w:cs="Arial"/>
          <w:color w:val="auto"/>
          <w:sz w:val="22"/>
          <w:szCs w:val="22"/>
        </w:rPr>
        <w:t>Teléfonos del Noroeste</w:t>
      </w:r>
      <w:r w:rsidR="003C5760" w:rsidRPr="00401408">
        <w:rPr>
          <w:rFonts w:ascii="Arial" w:hAnsi="Arial" w:cs="Arial"/>
          <w:color w:val="auto"/>
          <w:sz w:val="22"/>
          <w:szCs w:val="22"/>
        </w:rPr>
        <w:t>, S.A. de C.V. (“</w:t>
      </w:r>
      <w:r>
        <w:rPr>
          <w:rFonts w:ascii="Arial" w:hAnsi="Arial" w:cs="Arial"/>
          <w:color w:val="auto"/>
          <w:sz w:val="22"/>
          <w:szCs w:val="22"/>
        </w:rPr>
        <w:t>Telmex</w:t>
      </w:r>
      <w:r w:rsidR="003C5760" w:rsidRPr="00401408">
        <w:rPr>
          <w:rFonts w:ascii="Arial" w:hAnsi="Arial" w:cs="Arial"/>
          <w:color w:val="auto"/>
          <w:sz w:val="22"/>
          <w:szCs w:val="22"/>
        </w:rPr>
        <w:t>” y “</w:t>
      </w:r>
      <w:r>
        <w:rPr>
          <w:rFonts w:ascii="Arial" w:hAnsi="Arial" w:cs="Arial"/>
          <w:color w:val="auto"/>
          <w:sz w:val="22"/>
          <w:szCs w:val="22"/>
        </w:rPr>
        <w:t>Telnor</w:t>
      </w:r>
      <w:r w:rsidR="003C5760" w:rsidRPr="00401408">
        <w:rPr>
          <w:rFonts w:ascii="Arial" w:hAnsi="Arial" w:cs="Arial"/>
          <w:color w:val="auto"/>
          <w:sz w:val="22"/>
          <w:szCs w:val="22"/>
        </w:rPr>
        <w:t xml:space="preserve">”); </w:t>
      </w:r>
    </w:p>
    <w:p w14:paraId="17FBFF2E" w14:textId="77777777" w:rsidR="00CD57D6" w:rsidRPr="00CD57D6" w:rsidRDefault="00CD57D6" w:rsidP="00CD57D6">
      <w:pPr>
        <w:pStyle w:val="Default"/>
        <w:spacing w:before="60" w:after="60" w:line="360" w:lineRule="auto"/>
        <w:ind w:left="644"/>
        <w:contextualSpacing/>
        <w:jc w:val="both"/>
        <w:rPr>
          <w:rFonts w:ascii="Arial" w:hAnsi="Arial" w:cs="Arial"/>
          <w:color w:val="auto"/>
          <w:sz w:val="22"/>
          <w:szCs w:val="22"/>
        </w:rPr>
      </w:pPr>
    </w:p>
    <w:p w14:paraId="3BAA0A37" w14:textId="53DBFD7B" w:rsidR="004E133A" w:rsidRPr="00401408" w:rsidRDefault="00E34DB3"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sz w:val="22"/>
          <w:szCs w:val="22"/>
        </w:rPr>
        <w:t xml:space="preserve">Cabe señalar que </w:t>
      </w:r>
      <w:r w:rsidR="004E133A" w:rsidRPr="00401408">
        <w:rPr>
          <w:rFonts w:ascii="Arial" w:hAnsi="Arial" w:cs="Arial"/>
          <w:sz w:val="22"/>
          <w:szCs w:val="22"/>
        </w:rPr>
        <w:t>todos y cada uno de los comentarios, opiniones y propuestas co</w:t>
      </w:r>
      <w:r w:rsidRPr="00401408">
        <w:rPr>
          <w:rFonts w:ascii="Arial" w:hAnsi="Arial" w:cs="Arial"/>
          <w:sz w:val="22"/>
          <w:szCs w:val="22"/>
        </w:rPr>
        <w:t xml:space="preserve">ncretas recibidas respecto del </w:t>
      </w:r>
      <w:r w:rsidR="004E133A" w:rsidRPr="00401408">
        <w:rPr>
          <w:rFonts w:ascii="Arial" w:hAnsi="Arial" w:cs="Arial"/>
          <w:sz w:val="22"/>
          <w:szCs w:val="22"/>
        </w:rPr>
        <w:t>Anteproyecto</w:t>
      </w:r>
      <w:r w:rsidRPr="00401408">
        <w:rPr>
          <w:rFonts w:ascii="Arial" w:hAnsi="Arial" w:cs="Arial"/>
          <w:sz w:val="22"/>
          <w:szCs w:val="22"/>
        </w:rPr>
        <w:t>,</w:t>
      </w:r>
      <w:r w:rsidR="004E133A" w:rsidRPr="00401408">
        <w:rPr>
          <w:rFonts w:ascii="Arial" w:hAnsi="Arial" w:cs="Arial"/>
          <w:sz w:val="22"/>
          <w:szCs w:val="22"/>
        </w:rPr>
        <w:t xml:space="preserve"> </w:t>
      </w:r>
      <w:r w:rsidRPr="00401408">
        <w:rPr>
          <w:rFonts w:ascii="Arial" w:hAnsi="Arial" w:cs="Arial"/>
          <w:sz w:val="22"/>
          <w:szCs w:val="22"/>
        </w:rPr>
        <w:t xml:space="preserve">se publicaron en el portal de Internet del Instituto para su consulta. </w:t>
      </w:r>
    </w:p>
    <w:p w14:paraId="6BDA9599" w14:textId="0F0162D5" w:rsidR="004E133A" w:rsidRPr="00401408" w:rsidRDefault="004E133A" w:rsidP="00401408">
      <w:pPr>
        <w:pStyle w:val="Default"/>
        <w:spacing w:before="60" w:after="60" w:line="360" w:lineRule="auto"/>
        <w:contextualSpacing/>
        <w:jc w:val="both"/>
        <w:rPr>
          <w:rFonts w:ascii="Arial" w:hAnsi="Arial" w:cs="Arial"/>
          <w:color w:val="auto"/>
          <w:sz w:val="22"/>
          <w:szCs w:val="22"/>
        </w:rPr>
      </w:pPr>
    </w:p>
    <w:p w14:paraId="0975414B" w14:textId="77777777" w:rsidR="00EC27D9" w:rsidRDefault="00EC27D9" w:rsidP="00401408">
      <w:pPr>
        <w:spacing w:before="60" w:after="60" w:line="360" w:lineRule="auto"/>
        <w:contextualSpacing/>
        <w:jc w:val="both"/>
        <w:rPr>
          <w:rFonts w:ascii="Arial" w:eastAsia="ITC Avant Garde" w:hAnsi="Arial" w:cs="Arial"/>
          <w:b/>
          <w:color w:val="000000"/>
          <w:lang w:val="es-ES_tradnl" w:eastAsia="es-MX"/>
        </w:rPr>
      </w:pPr>
      <w:r w:rsidRPr="00401408">
        <w:rPr>
          <w:rFonts w:ascii="Arial" w:eastAsia="ITC Avant Garde" w:hAnsi="Arial" w:cs="Arial"/>
          <w:b/>
          <w:color w:val="000000"/>
          <w:lang w:val="es-ES_tradnl" w:eastAsia="es-MX"/>
        </w:rPr>
        <w:t>RESPUESTAS O POSICIONAMIENTOS DEL INSTITUTO</w:t>
      </w:r>
    </w:p>
    <w:p w14:paraId="2A2DB63E" w14:textId="77777777" w:rsidR="006D18F2" w:rsidRPr="00401408" w:rsidRDefault="006D18F2" w:rsidP="00401408">
      <w:pPr>
        <w:spacing w:before="60" w:after="60" w:line="360" w:lineRule="auto"/>
        <w:contextualSpacing/>
        <w:jc w:val="both"/>
        <w:rPr>
          <w:rFonts w:ascii="Arial" w:eastAsia="ITC Avant Garde" w:hAnsi="Arial" w:cs="Arial"/>
          <w:b/>
          <w:color w:val="000000"/>
          <w:lang w:val="es-ES_tradnl" w:eastAsia="es-MX"/>
        </w:rPr>
      </w:pPr>
    </w:p>
    <w:p w14:paraId="554A253E" w14:textId="5AE7843D" w:rsidR="003C5760" w:rsidRPr="00401408" w:rsidRDefault="00AB59EE" w:rsidP="00401408">
      <w:pPr>
        <w:pStyle w:val="Default"/>
        <w:spacing w:before="60" w:after="60" w:line="360" w:lineRule="auto"/>
        <w:contextualSpacing/>
        <w:jc w:val="both"/>
        <w:rPr>
          <w:rFonts w:ascii="Arial" w:hAnsi="Arial" w:cs="Arial"/>
          <w:sz w:val="22"/>
          <w:szCs w:val="22"/>
        </w:rPr>
      </w:pPr>
      <w:r>
        <w:rPr>
          <w:rFonts w:ascii="Arial" w:hAnsi="Arial" w:cs="Arial"/>
          <w:sz w:val="22"/>
          <w:szCs w:val="22"/>
        </w:rPr>
        <w:t>Respecto</w:t>
      </w:r>
      <w:r w:rsidRPr="00401408">
        <w:rPr>
          <w:rFonts w:ascii="Arial" w:hAnsi="Arial" w:cs="Arial"/>
          <w:sz w:val="22"/>
          <w:szCs w:val="22"/>
        </w:rPr>
        <w:t xml:space="preserve"> </w:t>
      </w:r>
      <w:r w:rsidR="003C5760" w:rsidRPr="00401408">
        <w:rPr>
          <w:rFonts w:ascii="Arial" w:hAnsi="Arial" w:cs="Arial"/>
          <w:sz w:val="22"/>
          <w:szCs w:val="22"/>
        </w:rPr>
        <w:t xml:space="preserve">a las manifestaciones, opiniones, comentarios y propuestas concretas recibidas durante el periodo </w:t>
      </w:r>
      <w:r w:rsidR="004E133A" w:rsidRPr="00401408">
        <w:rPr>
          <w:rFonts w:ascii="Arial" w:hAnsi="Arial" w:cs="Arial"/>
          <w:sz w:val="22"/>
          <w:szCs w:val="22"/>
        </w:rPr>
        <w:t xml:space="preserve">consultivo </w:t>
      </w:r>
      <w:r w:rsidR="003C5760" w:rsidRPr="00401408">
        <w:rPr>
          <w:rFonts w:ascii="Arial" w:hAnsi="Arial" w:cs="Arial"/>
          <w:sz w:val="22"/>
          <w:szCs w:val="22"/>
        </w:rPr>
        <w:t xml:space="preserve">comprendido entre el </w:t>
      </w:r>
      <w:r w:rsidR="003C5760" w:rsidRPr="00401408">
        <w:rPr>
          <w:rFonts w:ascii="Arial" w:hAnsi="Arial" w:cs="Arial"/>
          <w:sz w:val="22"/>
          <w:szCs w:val="22"/>
          <w:shd w:val="clear" w:color="auto" w:fill="FFFFFF"/>
        </w:rPr>
        <w:t>1</w:t>
      </w:r>
      <w:r w:rsidR="00CD57D6">
        <w:rPr>
          <w:rFonts w:ascii="Arial" w:hAnsi="Arial" w:cs="Arial"/>
          <w:sz w:val="22"/>
          <w:szCs w:val="22"/>
          <w:shd w:val="clear" w:color="auto" w:fill="FFFFFF"/>
        </w:rPr>
        <w:t>4</w:t>
      </w:r>
      <w:r w:rsidR="003C5760" w:rsidRPr="00401408">
        <w:rPr>
          <w:rFonts w:ascii="Arial" w:hAnsi="Arial" w:cs="Arial"/>
          <w:sz w:val="22"/>
          <w:szCs w:val="22"/>
          <w:shd w:val="clear" w:color="auto" w:fill="FFFFFF"/>
        </w:rPr>
        <w:t xml:space="preserve"> de </w:t>
      </w:r>
      <w:r w:rsidR="00CD57D6">
        <w:rPr>
          <w:rFonts w:ascii="Arial" w:hAnsi="Arial" w:cs="Arial"/>
          <w:sz w:val="22"/>
          <w:szCs w:val="22"/>
          <w:shd w:val="clear" w:color="auto" w:fill="FFFFFF"/>
        </w:rPr>
        <w:t>septiembre</w:t>
      </w:r>
      <w:r w:rsidR="003C5760" w:rsidRPr="00401408">
        <w:rPr>
          <w:rFonts w:ascii="Arial" w:hAnsi="Arial" w:cs="Arial"/>
          <w:sz w:val="22"/>
          <w:szCs w:val="22"/>
          <w:shd w:val="clear" w:color="auto" w:fill="FFFFFF"/>
        </w:rPr>
        <w:t xml:space="preserve"> de 202</w:t>
      </w:r>
      <w:r w:rsidR="00CD57D6">
        <w:rPr>
          <w:rFonts w:ascii="Arial" w:hAnsi="Arial" w:cs="Arial"/>
          <w:sz w:val="22"/>
          <w:szCs w:val="22"/>
          <w:shd w:val="clear" w:color="auto" w:fill="FFFFFF"/>
        </w:rPr>
        <w:t>3</w:t>
      </w:r>
      <w:r w:rsidR="003C5760" w:rsidRPr="00401408">
        <w:rPr>
          <w:rFonts w:ascii="Arial" w:hAnsi="Arial" w:cs="Arial"/>
          <w:sz w:val="22"/>
          <w:szCs w:val="22"/>
          <w:shd w:val="clear" w:color="auto" w:fill="FFFFFF"/>
        </w:rPr>
        <w:t xml:space="preserve"> y el 1</w:t>
      </w:r>
      <w:r w:rsidR="00CD57D6">
        <w:rPr>
          <w:rFonts w:ascii="Arial" w:hAnsi="Arial" w:cs="Arial"/>
          <w:sz w:val="22"/>
          <w:szCs w:val="22"/>
          <w:shd w:val="clear" w:color="auto" w:fill="FFFFFF"/>
        </w:rPr>
        <w:t>1</w:t>
      </w:r>
      <w:r w:rsidR="003C5760" w:rsidRPr="00401408">
        <w:rPr>
          <w:rFonts w:ascii="Arial" w:hAnsi="Arial" w:cs="Arial"/>
          <w:sz w:val="22"/>
          <w:szCs w:val="22"/>
          <w:shd w:val="clear" w:color="auto" w:fill="FFFFFF"/>
        </w:rPr>
        <w:t xml:space="preserve"> de </w:t>
      </w:r>
      <w:r w:rsidR="00CD57D6">
        <w:rPr>
          <w:rFonts w:ascii="Arial" w:hAnsi="Arial" w:cs="Arial"/>
          <w:sz w:val="22"/>
          <w:szCs w:val="22"/>
          <w:shd w:val="clear" w:color="auto" w:fill="FFFFFF"/>
        </w:rPr>
        <w:t>octubre</w:t>
      </w:r>
      <w:r w:rsidR="003C5760" w:rsidRPr="00401408">
        <w:rPr>
          <w:rFonts w:ascii="Arial" w:hAnsi="Arial" w:cs="Arial"/>
          <w:sz w:val="22"/>
          <w:szCs w:val="22"/>
          <w:shd w:val="clear" w:color="auto" w:fill="FFFFFF"/>
        </w:rPr>
        <w:t xml:space="preserve"> de 202</w:t>
      </w:r>
      <w:r w:rsidR="00CD57D6">
        <w:rPr>
          <w:rFonts w:ascii="Arial" w:hAnsi="Arial" w:cs="Arial"/>
          <w:sz w:val="22"/>
          <w:szCs w:val="22"/>
          <w:shd w:val="clear" w:color="auto" w:fill="FFFFFF"/>
        </w:rPr>
        <w:t>3</w:t>
      </w:r>
      <w:r w:rsidR="003C5760" w:rsidRPr="00401408">
        <w:rPr>
          <w:rFonts w:ascii="Arial" w:hAnsi="Arial" w:cs="Arial"/>
          <w:color w:val="FF0000"/>
          <w:sz w:val="22"/>
          <w:szCs w:val="22"/>
        </w:rPr>
        <w:t xml:space="preserve"> </w:t>
      </w:r>
      <w:r>
        <w:rPr>
          <w:rFonts w:ascii="Arial" w:hAnsi="Arial" w:cs="Arial"/>
          <w:sz w:val="22"/>
          <w:szCs w:val="22"/>
        </w:rPr>
        <w:t>relacionadas con e</w:t>
      </w:r>
      <w:r w:rsidR="003C5760" w:rsidRPr="00401408">
        <w:rPr>
          <w:rFonts w:ascii="Arial" w:hAnsi="Arial" w:cs="Arial"/>
          <w:sz w:val="22"/>
          <w:szCs w:val="22"/>
        </w:rPr>
        <w:t xml:space="preserve">l Anteproyecto, se informa que el Instituto identificó </w:t>
      </w:r>
      <w:r w:rsidR="004E133A" w:rsidRPr="00401408">
        <w:rPr>
          <w:rFonts w:ascii="Arial" w:hAnsi="Arial" w:cs="Arial"/>
          <w:sz w:val="22"/>
          <w:szCs w:val="22"/>
        </w:rPr>
        <w:t xml:space="preserve">reiteradas </w:t>
      </w:r>
      <w:r w:rsidR="004E133A" w:rsidRPr="00401408">
        <w:rPr>
          <w:rFonts w:ascii="Arial" w:hAnsi="Arial" w:cs="Arial"/>
          <w:sz w:val="22"/>
          <w:szCs w:val="22"/>
        </w:rPr>
        <w:lastRenderedPageBreak/>
        <w:t>coincidencias</w:t>
      </w:r>
      <w:r w:rsidR="003C5760" w:rsidRPr="00401408">
        <w:rPr>
          <w:rFonts w:ascii="Arial" w:hAnsi="Arial" w:cs="Arial"/>
          <w:sz w:val="22"/>
          <w:szCs w:val="22"/>
        </w:rPr>
        <w:t xml:space="preserve"> </w:t>
      </w:r>
      <w:r w:rsidR="004E133A" w:rsidRPr="00401408">
        <w:rPr>
          <w:rFonts w:ascii="Arial" w:hAnsi="Arial" w:cs="Arial"/>
          <w:sz w:val="22"/>
          <w:szCs w:val="22"/>
        </w:rPr>
        <w:t>en el</w:t>
      </w:r>
      <w:r w:rsidR="003C5760" w:rsidRPr="00401408">
        <w:rPr>
          <w:rFonts w:ascii="Arial" w:hAnsi="Arial" w:cs="Arial"/>
          <w:sz w:val="22"/>
          <w:szCs w:val="22"/>
        </w:rPr>
        <w:t xml:space="preserve"> contenido</w:t>
      </w:r>
      <w:r w:rsidR="004E133A" w:rsidRPr="00401408">
        <w:rPr>
          <w:rFonts w:ascii="Arial" w:hAnsi="Arial" w:cs="Arial"/>
          <w:sz w:val="22"/>
          <w:szCs w:val="22"/>
        </w:rPr>
        <w:t xml:space="preserve"> de dichas manifestaciones, opiniones, comentarios y propuestas</w:t>
      </w:r>
      <w:r w:rsidR="003C5760" w:rsidRPr="00401408">
        <w:rPr>
          <w:rFonts w:ascii="Arial" w:hAnsi="Arial" w:cs="Arial"/>
          <w:sz w:val="22"/>
          <w:szCs w:val="22"/>
        </w:rPr>
        <w:t xml:space="preserve">, por lo que para efectos de su atención, éstos han sido agrupados conforme a diversos temas genéricos para su mejor identificación. </w:t>
      </w:r>
    </w:p>
    <w:p w14:paraId="68777C4E" w14:textId="77777777" w:rsidR="00E34DB3" w:rsidRPr="00401408" w:rsidRDefault="00E34DB3" w:rsidP="00401408">
      <w:pPr>
        <w:pStyle w:val="Default"/>
        <w:spacing w:before="60" w:after="60" w:line="360" w:lineRule="auto"/>
        <w:contextualSpacing/>
        <w:jc w:val="both"/>
        <w:rPr>
          <w:rFonts w:ascii="Arial" w:hAnsi="Arial" w:cs="Arial"/>
          <w:b/>
          <w:sz w:val="22"/>
          <w:szCs w:val="22"/>
        </w:rPr>
      </w:pPr>
    </w:p>
    <w:p w14:paraId="24DBE461" w14:textId="2378D9E1" w:rsidR="00112F6D" w:rsidRPr="00401408" w:rsidRDefault="00E34DB3"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sz w:val="22"/>
          <w:szCs w:val="22"/>
        </w:rPr>
        <w:t>En relación con lo anterior</w:t>
      </w:r>
      <w:r w:rsidR="00A27A8A" w:rsidRPr="00401408">
        <w:rPr>
          <w:rFonts w:ascii="Arial" w:hAnsi="Arial" w:cs="Arial"/>
          <w:sz w:val="22"/>
          <w:szCs w:val="22"/>
        </w:rPr>
        <w:t xml:space="preserve">, el </w:t>
      </w:r>
      <w:r w:rsidR="00112F6D" w:rsidRPr="00401408">
        <w:rPr>
          <w:rFonts w:ascii="Arial" w:hAnsi="Arial" w:cs="Arial"/>
          <w:sz w:val="22"/>
          <w:szCs w:val="22"/>
        </w:rPr>
        <w:t xml:space="preserve">Instituto emite las siguientes respuestas y consideraciones para cada uno de los temas identificados: </w:t>
      </w:r>
    </w:p>
    <w:p w14:paraId="71CC0EF9" w14:textId="6E4B647A" w:rsidR="004E133A" w:rsidRPr="00401408" w:rsidRDefault="004E133A" w:rsidP="00401408">
      <w:pPr>
        <w:pStyle w:val="Default"/>
        <w:spacing w:before="60" w:after="60" w:line="360" w:lineRule="auto"/>
        <w:contextualSpacing/>
        <w:jc w:val="both"/>
        <w:rPr>
          <w:rFonts w:ascii="Arial" w:hAnsi="Arial" w:cs="Arial"/>
          <w:sz w:val="22"/>
          <w:szCs w:val="22"/>
        </w:rPr>
      </w:pPr>
    </w:p>
    <w:p w14:paraId="22D5361B" w14:textId="1B05E074" w:rsidR="00676ADC" w:rsidRPr="00401408" w:rsidRDefault="009821B8" w:rsidP="0098522F">
      <w:pPr>
        <w:pStyle w:val="Default"/>
        <w:spacing w:before="60" w:after="60" w:line="360" w:lineRule="auto"/>
        <w:contextualSpacing/>
        <w:jc w:val="both"/>
        <w:rPr>
          <w:rFonts w:ascii="Arial" w:hAnsi="Arial" w:cs="Arial"/>
          <w:b/>
          <w:color w:val="auto"/>
          <w:sz w:val="22"/>
          <w:szCs w:val="22"/>
        </w:rPr>
      </w:pPr>
      <w:r w:rsidRPr="0098522F">
        <w:rPr>
          <w:rFonts w:ascii="Arial" w:hAnsi="Arial" w:cs="Arial"/>
          <w:b/>
          <w:color w:val="auto"/>
          <w:sz w:val="22"/>
          <w:szCs w:val="22"/>
        </w:rPr>
        <w:t xml:space="preserve">1. </w:t>
      </w:r>
      <w:r w:rsidR="006B740F" w:rsidRPr="0098522F">
        <w:rPr>
          <w:rFonts w:ascii="Arial" w:hAnsi="Arial" w:cs="Arial"/>
          <w:b/>
          <w:color w:val="auto"/>
          <w:sz w:val="22"/>
          <w:szCs w:val="22"/>
        </w:rPr>
        <w:t>DIFERIMIENTO DE LA ENTRADA EN VIGOR DE LAS ZONAS Y PROCEDIMIENTOS PARA LA ADMINISTRACIÓN Y ASIGNACIÓN DE LA NUMERACIÓN</w:t>
      </w:r>
      <w:r w:rsidR="006B740F">
        <w:rPr>
          <w:rFonts w:ascii="Arial" w:hAnsi="Arial" w:cs="Arial"/>
          <w:b/>
          <w:color w:val="auto"/>
          <w:sz w:val="22"/>
          <w:szCs w:val="22"/>
        </w:rPr>
        <w:t xml:space="preserve"> NACIONAL</w:t>
      </w:r>
      <w:r w:rsidR="00E626B6" w:rsidRPr="00401408">
        <w:rPr>
          <w:rFonts w:ascii="Arial" w:hAnsi="Arial" w:cs="Arial"/>
          <w:b/>
          <w:color w:val="auto"/>
          <w:sz w:val="22"/>
          <w:szCs w:val="22"/>
        </w:rPr>
        <w:t>.</w:t>
      </w:r>
    </w:p>
    <w:p w14:paraId="68896D9E" w14:textId="69404712" w:rsidR="00667B23" w:rsidRPr="00401408" w:rsidRDefault="00667B23" w:rsidP="00401408">
      <w:pPr>
        <w:pStyle w:val="Default"/>
        <w:spacing w:before="60" w:after="60" w:line="360" w:lineRule="auto"/>
        <w:contextualSpacing/>
        <w:rPr>
          <w:rFonts w:ascii="Arial" w:hAnsi="Arial" w:cs="Arial"/>
          <w:color w:val="auto"/>
          <w:sz w:val="22"/>
          <w:szCs w:val="22"/>
        </w:rPr>
      </w:pPr>
    </w:p>
    <w:p w14:paraId="22BD8941" w14:textId="49485235" w:rsidR="00E626B6" w:rsidRDefault="00E626B6"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Grupo AT&amp;T</w:t>
      </w:r>
      <w:r w:rsidR="001E5C82">
        <w:rPr>
          <w:rFonts w:ascii="Arial" w:hAnsi="Arial" w:cs="Arial"/>
          <w:color w:val="auto"/>
          <w:sz w:val="22"/>
          <w:szCs w:val="22"/>
        </w:rPr>
        <w:t xml:space="preserve"> y</w:t>
      </w:r>
      <w:r w:rsidR="00255EE7">
        <w:rPr>
          <w:rFonts w:ascii="Arial" w:hAnsi="Arial" w:cs="Arial"/>
          <w:color w:val="auto"/>
          <w:sz w:val="22"/>
          <w:szCs w:val="22"/>
        </w:rPr>
        <w:t xml:space="preserve"> Directo Telecom</w:t>
      </w:r>
      <w:r w:rsidRPr="00401408">
        <w:rPr>
          <w:rFonts w:ascii="Arial" w:hAnsi="Arial" w:cs="Arial"/>
          <w:color w:val="auto"/>
          <w:sz w:val="22"/>
          <w:szCs w:val="22"/>
        </w:rPr>
        <w:t xml:space="preserve"> </w:t>
      </w:r>
      <w:r w:rsidR="006B740F">
        <w:rPr>
          <w:rFonts w:ascii="Arial" w:hAnsi="Arial" w:cs="Arial"/>
          <w:color w:val="auto"/>
          <w:sz w:val="22"/>
          <w:szCs w:val="22"/>
        </w:rPr>
        <w:t>manifiesta</w:t>
      </w:r>
      <w:r w:rsidR="00412EA3">
        <w:rPr>
          <w:rFonts w:ascii="Arial" w:hAnsi="Arial" w:cs="Arial"/>
          <w:color w:val="auto"/>
          <w:sz w:val="22"/>
          <w:szCs w:val="22"/>
        </w:rPr>
        <w:t>n</w:t>
      </w:r>
      <w:r w:rsidR="006B740F">
        <w:rPr>
          <w:rFonts w:ascii="Arial" w:hAnsi="Arial" w:cs="Arial"/>
          <w:color w:val="auto"/>
          <w:sz w:val="22"/>
          <w:szCs w:val="22"/>
        </w:rPr>
        <w:t xml:space="preserve"> estar de acuerdo con el diferimiento para la entrada en vigor de la administración y asignación de numeración nacional por zonas </w:t>
      </w:r>
      <w:proofErr w:type="gramStart"/>
      <w:r w:rsidR="006B740F">
        <w:rPr>
          <w:rFonts w:ascii="Arial" w:hAnsi="Arial" w:cs="Arial"/>
          <w:color w:val="auto"/>
          <w:sz w:val="22"/>
          <w:szCs w:val="22"/>
        </w:rPr>
        <w:t>y</w:t>
      </w:r>
      <w:proofErr w:type="gramEnd"/>
      <w:r w:rsidR="006B740F">
        <w:rPr>
          <w:rFonts w:ascii="Arial" w:hAnsi="Arial" w:cs="Arial"/>
          <w:color w:val="auto"/>
          <w:sz w:val="22"/>
          <w:szCs w:val="22"/>
        </w:rPr>
        <w:t xml:space="preserve"> por consiguiente, de todos aquellos procedimientos para la asignación y administración de recursos numéricos y de señalización al 1</w:t>
      </w:r>
      <w:r w:rsidR="001E5C82">
        <w:rPr>
          <w:rFonts w:ascii="Arial" w:hAnsi="Arial" w:cs="Arial"/>
          <w:color w:val="auto"/>
          <w:sz w:val="22"/>
          <w:szCs w:val="22"/>
        </w:rPr>
        <w:t>°</w:t>
      </w:r>
      <w:r w:rsidR="006B740F">
        <w:rPr>
          <w:rFonts w:ascii="Arial" w:hAnsi="Arial" w:cs="Arial"/>
          <w:color w:val="auto"/>
          <w:sz w:val="22"/>
          <w:szCs w:val="22"/>
        </w:rPr>
        <w:t xml:space="preserve"> de enero de 2025</w:t>
      </w:r>
      <w:r w:rsidRPr="00401408">
        <w:rPr>
          <w:rFonts w:ascii="Arial" w:hAnsi="Arial" w:cs="Arial"/>
          <w:color w:val="auto"/>
          <w:sz w:val="22"/>
          <w:szCs w:val="22"/>
        </w:rPr>
        <w:t>.</w:t>
      </w:r>
    </w:p>
    <w:p w14:paraId="0D6E132A" w14:textId="77777777" w:rsidR="00412EA3" w:rsidRDefault="00412EA3" w:rsidP="00401408">
      <w:pPr>
        <w:pStyle w:val="Default"/>
        <w:spacing w:before="60" w:after="60" w:line="360" w:lineRule="auto"/>
        <w:contextualSpacing/>
        <w:jc w:val="both"/>
        <w:rPr>
          <w:rFonts w:ascii="Arial" w:hAnsi="Arial" w:cs="Arial"/>
          <w:color w:val="auto"/>
          <w:sz w:val="22"/>
          <w:szCs w:val="22"/>
        </w:rPr>
      </w:pPr>
    </w:p>
    <w:p w14:paraId="426D49FB" w14:textId="461176C3" w:rsidR="00412EA3" w:rsidRDefault="00412EA3" w:rsidP="00401408">
      <w:pPr>
        <w:pStyle w:val="Default"/>
        <w:spacing w:before="60" w:after="60" w:line="360" w:lineRule="auto"/>
        <w:contextualSpacing/>
        <w:jc w:val="both"/>
        <w:rPr>
          <w:rFonts w:ascii="Arial" w:hAnsi="Arial" w:cs="Arial"/>
          <w:color w:val="auto"/>
          <w:sz w:val="22"/>
          <w:szCs w:val="22"/>
        </w:rPr>
      </w:pPr>
      <w:r>
        <w:rPr>
          <w:rFonts w:ascii="Arial" w:hAnsi="Arial" w:cs="Arial"/>
          <w:color w:val="auto"/>
          <w:sz w:val="22"/>
          <w:szCs w:val="22"/>
        </w:rPr>
        <w:t>Telefónica solicita al Instituto que se otorguen 6 meses adicionales al plazo propuesto para la entrada en vigor de la asignación y administración de numeración nacional por zonas y, por consiguiente, de todos aquellos procedimientos para la asignación y administración. La petición para que la entrada en vigor de las zonas se lleve a cabo el 1</w:t>
      </w:r>
      <w:r w:rsidR="001E5C82">
        <w:rPr>
          <w:rFonts w:ascii="Arial" w:hAnsi="Arial" w:cs="Arial"/>
          <w:color w:val="auto"/>
          <w:sz w:val="22"/>
          <w:szCs w:val="22"/>
        </w:rPr>
        <w:t>°</w:t>
      </w:r>
      <w:r>
        <w:rPr>
          <w:rFonts w:ascii="Arial" w:hAnsi="Arial" w:cs="Arial"/>
          <w:color w:val="auto"/>
          <w:sz w:val="22"/>
          <w:szCs w:val="22"/>
        </w:rPr>
        <w:t xml:space="preserve"> de julio de 2025, responde a la propia naturaleza de operación del negocio, ya que existen periodos de tiempo en los que los sistemas no pueden ser modificados en ciertas estacionalidades, dado que el uso de la red es intensivo, o de fuerte actividad comercial, y se requiere que los operadores tomen medidas adicionales para garantizar la continuidad y calidad de los servicios frente a los incrementos de la demanda y del tráfico cursado</w:t>
      </w:r>
      <w:r w:rsidR="00F22581">
        <w:rPr>
          <w:rFonts w:ascii="Arial" w:hAnsi="Arial" w:cs="Arial"/>
          <w:color w:val="auto"/>
          <w:sz w:val="22"/>
          <w:szCs w:val="22"/>
        </w:rPr>
        <w:t>, motivo por el cual se considera que la fecha propuesta (1</w:t>
      </w:r>
      <w:r w:rsidR="001E5C82">
        <w:rPr>
          <w:rFonts w:ascii="Arial" w:hAnsi="Arial" w:cs="Arial"/>
          <w:color w:val="auto"/>
          <w:sz w:val="22"/>
          <w:szCs w:val="22"/>
        </w:rPr>
        <w:t>°</w:t>
      </w:r>
      <w:r w:rsidR="00F22581">
        <w:rPr>
          <w:rFonts w:ascii="Arial" w:hAnsi="Arial" w:cs="Arial"/>
          <w:color w:val="auto"/>
          <w:sz w:val="22"/>
          <w:szCs w:val="22"/>
        </w:rPr>
        <w:t xml:space="preserve"> de enero de 2025) resulta de imposible cumplimiento.</w:t>
      </w:r>
      <w:r>
        <w:rPr>
          <w:rFonts w:ascii="Arial" w:hAnsi="Arial" w:cs="Arial"/>
          <w:color w:val="auto"/>
          <w:sz w:val="22"/>
          <w:szCs w:val="22"/>
        </w:rPr>
        <w:t xml:space="preserve">  </w:t>
      </w:r>
    </w:p>
    <w:p w14:paraId="7CBC0527" w14:textId="14F754D7" w:rsidR="008E72B2" w:rsidRDefault="008E72B2" w:rsidP="00401408">
      <w:pPr>
        <w:pStyle w:val="Default"/>
        <w:spacing w:before="60" w:after="60" w:line="360" w:lineRule="auto"/>
        <w:contextualSpacing/>
        <w:jc w:val="both"/>
        <w:rPr>
          <w:rFonts w:ascii="Arial" w:hAnsi="Arial" w:cs="Arial"/>
          <w:color w:val="auto"/>
          <w:sz w:val="22"/>
          <w:szCs w:val="22"/>
        </w:rPr>
      </w:pPr>
    </w:p>
    <w:p w14:paraId="607199F7" w14:textId="42A0FA13" w:rsidR="008E72B2" w:rsidRDefault="008E72B2" w:rsidP="00401408">
      <w:pPr>
        <w:pStyle w:val="Default"/>
        <w:spacing w:before="60" w:after="60" w:line="360" w:lineRule="auto"/>
        <w:contextualSpacing/>
        <w:jc w:val="both"/>
        <w:rPr>
          <w:rFonts w:ascii="Arial" w:hAnsi="Arial" w:cs="Arial"/>
          <w:color w:val="auto"/>
          <w:sz w:val="22"/>
          <w:szCs w:val="22"/>
        </w:rPr>
      </w:pPr>
      <w:r>
        <w:rPr>
          <w:rFonts w:ascii="Arial" w:hAnsi="Arial" w:cs="Arial"/>
          <w:color w:val="auto"/>
          <w:sz w:val="22"/>
          <w:szCs w:val="22"/>
        </w:rPr>
        <w:t xml:space="preserve">Megacable </w:t>
      </w:r>
      <w:r w:rsidR="005460F0">
        <w:rPr>
          <w:rFonts w:ascii="Arial" w:hAnsi="Arial" w:cs="Arial"/>
          <w:color w:val="auto"/>
          <w:sz w:val="22"/>
          <w:szCs w:val="22"/>
        </w:rPr>
        <w:t>manifiesta</w:t>
      </w:r>
      <w:r>
        <w:rPr>
          <w:rFonts w:ascii="Arial" w:hAnsi="Arial" w:cs="Arial"/>
          <w:color w:val="auto"/>
          <w:sz w:val="22"/>
          <w:szCs w:val="22"/>
        </w:rPr>
        <w:t xml:space="preserve"> que es viable continuar con la fecha establecida actualmente para la entrada en vigor de las zonas y los procedimientos electrónicos establecidos en los planes técnicos fundamentales de numeración y señalización, por lo que no es necesario diferir</w:t>
      </w:r>
      <w:r w:rsidR="00D26F20">
        <w:rPr>
          <w:rFonts w:ascii="Arial" w:hAnsi="Arial" w:cs="Arial"/>
          <w:color w:val="auto"/>
          <w:sz w:val="22"/>
          <w:szCs w:val="22"/>
        </w:rPr>
        <w:t>la.</w:t>
      </w:r>
    </w:p>
    <w:p w14:paraId="02A2C864" w14:textId="77777777" w:rsidR="00390924" w:rsidRDefault="00390924" w:rsidP="00401408">
      <w:pPr>
        <w:pStyle w:val="Default"/>
        <w:spacing w:before="60" w:after="60" w:line="360" w:lineRule="auto"/>
        <w:contextualSpacing/>
        <w:jc w:val="both"/>
        <w:rPr>
          <w:rFonts w:ascii="Arial" w:hAnsi="Arial" w:cs="Arial"/>
          <w:color w:val="auto"/>
          <w:sz w:val="22"/>
          <w:szCs w:val="22"/>
        </w:rPr>
      </w:pPr>
    </w:p>
    <w:p w14:paraId="2C9E285D" w14:textId="77777777" w:rsidR="000E65C8" w:rsidRDefault="000E65C8" w:rsidP="00401408">
      <w:pPr>
        <w:pStyle w:val="Default"/>
        <w:spacing w:before="60" w:after="60" w:line="360" w:lineRule="auto"/>
        <w:contextualSpacing/>
        <w:jc w:val="both"/>
        <w:rPr>
          <w:rFonts w:ascii="Arial" w:hAnsi="Arial" w:cs="Arial"/>
          <w:color w:val="auto"/>
          <w:sz w:val="22"/>
          <w:szCs w:val="22"/>
        </w:rPr>
      </w:pPr>
    </w:p>
    <w:p w14:paraId="43A5010E" w14:textId="5281BEF5" w:rsidR="00DC5E85" w:rsidRDefault="00390924" w:rsidP="00401408">
      <w:pPr>
        <w:pStyle w:val="Default"/>
        <w:spacing w:before="60" w:after="60" w:line="360" w:lineRule="auto"/>
        <w:contextualSpacing/>
        <w:jc w:val="both"/>
        <w:rPr>
          <w:rFonts w:ascii="Arial" w:hAnsi="Arial" w:cs="Arial"/>
          <w:color w:val="auto"/>
          <w:sz w:val="22"/>
          <w:szCs w:val="22"/>
        </w:rPr>
      </w:pPr>
      <w:r>
        <w:rPr>
          <w:rFonts w:ascii="Arial" w:hAnsi="Arial" w:cs="Arial"/>
          <w:color w:val="auto"/>
          <w:sz w:val="22"/>
          <w:szCs w:val="22"/>
        </w:rPr>
        <w:lastRenderedPageBreak/>
        <w:t xml:space="preserve">Telmex y Telnor </w:t>
      </w:r>
      <w:r w:rsidR="005460F0">
        <w:rPr>
          <w:rFonts w:ascii="Arial" w:hAnsi="Arial" w:cs="Arial"/>
          <w:color w:val="auto"/>
          <w:sz w:val="22"/>
          <w:szCs w:val="22"/>
        </w:rPr>
        <w:t>manifiestan la necesidad de contar con un plazo de 18 meses contados a partir del 1</w:t>
      </w:r>
      <w:r w:rsidR="00220A9D">
        <w:rPr>
          <w:rFonts w:ascii="Arial" w:hAnsi="Arial" w:cs="Arial"/>
          <w:color w:val="auto"/>
          <w:sz w:val="22"/>
          <w:szCs w:val="22"/>
        </w:rPr>
        <w:t>°</w:t>
      </w:r>
      <w:r w:rsidR="005460F0">
        <w:rPr>
          <w:rFonts w:ascii="Arial" w:hAnsi="Arial" w:cs="Arial"/>
          <w:color w:val="auto"/>
          <w:sz w:val="22"/>
          <w:szCs w:val="22"/>
        </w:rPr>
        <w:t xml:space="preserve"> de diciembre de 2023, es decir diferir la entrada en vigor de las zonas </w:t>
      </w:r>
      <w:r w:rsidR="00C72CEB">
        <w:rPr>
          <w:rFonts w:ascii="Arial" w:hAnsi="Arial" w:cs="Arial"/>
          <w:color w:val="auto"/>
          <w:sz w:val="22"/>
          <w:szCs w:val="22"/>
        </w:rPr>
        <w:t xml:space="preserve">hasta </w:t>
      </w:r>
      <w:r w:rsidR="005460F0">
        <w:rPr>
          <w:rFonts w:ascii="Arial" w:hAnsi="Arial" w:cs="Arial"/>
          <w:color w:val="auto"/>
          <w:sz w:val="22"/>
          <w:szCs w:val="22"/>
        </w:rPr>
        <w:t>el mes de junio de 2025. Lo anterior en virtud de que será necesario contar con los acuerdos entre los concesionaros para la facturación de la interconexión y un periodo de pruebas internas y entre operadores.</w:t>
      </w:r>
    </w:p>
    <w:p w14:paraId="605B7700" w14:textId="77777777" w:rsidR="006D18F2" w:rsidRDefault="006D18F2" w:rsidP="00401408">
      <w:pPr>
        <w:pStyle w:val="Default"/>
        <w:spacing w:before="60" w:after="60" w:line="360" w:lineRule="auto"/>
        <w:contextualSpacing/>
        <w:jc w:val="both"/>
        <w:rPr>
          <w:rFonts w:ascii="Arial" w:hAnsi="Arial" w:cs="Arial"/>
          <w:color w:val="auto"/>
          <w:sz w:val="22"/>
          <w:szCs w:val="22"/>
        </w:rPr>
      </w:pPr>
    </w:p>
    <w:p w14:paraId="0D23508C" w14:textId="187FB7B1" w:rsidR="00EC7F93" w:rsidRDefault="00DC5E85" w:rsidP="00401408">
      <w:pPr>
        <w:pStyle w:val="Default"/>
        <w:spacing w:before="60" w:after="60" w:line="360" w:lineRule="auto"/>
        <w:contextualSpacing/>
        <w:jc w:val="both"/>
        <w:rPr>
          <w:rFonts w:ascii="Arial" w:hAnsi="Arial" w:cs="Arial"/>
          <w:color w:val="auto"/>
          <w:sz w:val="22"/>
          <w:szCs w:val="22"/>
        </w:rPr>
      </w:pPr>
      <w:r>
        <w:rPr>
          <w:rFonts w:ascii="Arial" w:hAnsi="Arial" w:cs="Arial"/>
          <w:color w:val="auto"/>
          <w:sz w:val="22"/>
          <w:szCs w:val="22"/>
        </w:rPr>
        <w:t xml:space="preserve">Asimismo, </w:t>
      </w:r>
      <w:r w:rsidR="00EC7F93">
        <w:rPr>
          <w:rFonts w:ascii="Arial" w:hAnsi="Arial" w:cs="Arial"/>
          <w:color w:val="auto"/>
          <w:sz w:val="22"/>
          <w:szCs w:val="22"/>
        </w:rPr>
        <w:t xml:space="preserve">Telmex y Telnor </w:t>
      </w:r>
      <w:r>
        <w:rPr>
          <w:rFonts w:ascii="Arial" w:hAnsi="Arial" w:cs="Arial"/>
          <w:color w:val="auto"/>
          <w:sz w:val="22"/>
          <w:szCs w:val="22"/>
        </w:rPr>
        <w:t>indica</w:t>
      </w:r>
      <w:r w:rsidR="00EC7F93">
        <w:rPr>
          <w:rFonts w:ascii="Arial" w:hAnsi="Arial" w:cs="Arial"/>
          <w:color w:val="auto"/>
          <w:sz w:val="22"/>
          <w:szCs w:val="22"/>
        </w:rPr>
        <w:t>n</w:t>
      </w:r>
      <w:r>
        <w:rPr>
          <w:rFonts w:ascii="Arial" w:hAnsi="Arial" w:cs="Arial"/>
          <w:color w:val="auto"/>
          <w:sz w:val="22"/>
          <w:szCs w:val="22"/>
        </w:rPr>
        <w:t xml:space="preserve"> que durante el periodo decembrino</w:t>
      </w:r>
      <w:r w:rsidR="00EC7F93">
        <w:rPr>
          <w:rFonts w:ascii="Arial" w:hAnsi="Arial" w:cs="Arial"/>
          <w:color w:val="auto"/>
          <w:sz w:val="22"/>
          <w:szCs w:val="22"/>
        </w:rPr>
        <w:t xml:space="preserve"> y de año nuevo</w:t>
      </w:r>
      <w:r>
        <w:rPr>
          <w:rFonts w:ascii="Arial" w:hAnsi="Arial" w:cs="Arial"/>
          <w:color w:val="auto"/>
          <w:sz w:val="22"/>
          <w:szCs w:val="22"/>
        </w:rPr>
        <w:t xml:space="preserve"> </w:t>
      </w:r>
      <w:r w:rsidR="00EC7F93">
        <w:rPr>
          <w:rFonts w:ascii="Arial" w:hAnsi="Arial" w:cs="Arial"/>
          <w:color w:val="auto"/>
          <w:sz w:val="22"/>
          <w:szCs w:val="22"/>
        </w:rPr>
        <w:t>su red se congela</w:t>
      </w:r>
      <w:r w:rsidR="00220A9D">
        <w:rPr>
          <w:rFonts w:ascii="Arial" w:hAnsi="Arial" w:cs="Arial"/>
          <w:color w:val="auto"/>
          <w:sz w:val="22"/>
          <w:szCs w:val="22"/>
        </w:rPr>
        <w:t>,</w:t>
      </w:r>
      <w:r w:rsidR="00EC7F93">
        <w:rPr>
          <w:rFonts w:ascii="Arial" w:hAnsi="Arial" w:cs="Arial"/>
          <w:color w:val="auto"/>
          <w:sz w:val="22"/>
          <w:szCs w:val="22"/>
        </w:rPr>
        <w:t xml:space="preserve"> dado que existen altos volúmenes de tráfico y cualquier eventualidad no prevista podría afectar a un mayor número de usuarios, propios o de terceros.</w:t>
      </w:r>
    </w:p>
    <w:p w14:paraId="53B8743A" w14:textId="77777777" w:rsidR="006D18F2" w:rsidRDefault="006D18F2" w:rsidP="00401408">
      <w:pPr>
        <w:pStyle w:val="Default"/>
        <w:spacing w:before="60" w:after="60" w:line="360" w:lineRule="auto"/>
        <w:contextualSpacing/>
        <w:jc w:val="both"/>
        <w:rPr>
          <w:rFonts w:ascii="Arial" w:hAnsi="Arial" w:cs="Arial"/>
          <w:color w:val="auto"/>
          <w:sz w:val="22"/>
          <w:szCs w:val="22"/>
        </w:rPr>
      </w:pPr>
    </w:p>
    <w:p w14:paraId="0771CE1A" w14:textId="5D7470C9" w:rsidR="00390924" w:rsidRPr="00401408" w:rsidRDefault="00EC7F93" w:rsidP="00401408">
      <w:pPr>
        <w:pStyle w:val="Default"/>
        <w:spacing w:before="60" w:after="60" w:line="360" w:lineRule="auto"/>
        <w:contextualSpacing/>
        <w:jc w:val="both"/>
        <w:rPr>
          <w:rFonts w:ascii="Arial" w:hAnsi="Arial" w:cs="Arial"/>
          <w:color w:val="auto"/>
          <w:sz w:val="22"/>
          <w:szCs w:val="22"/>
        </w:rPr>
      </w:pPr>
      <w:r>
        <w:rPr>
          <w:rFonts w:ascii="Arial" w:hAnsi="Arial" w:cs="Arial"/>
          <w:color w:val="auto"/>
          <w:sz w:val="22"/>
          <w:szCs w:val="22"/>
        </w:rPr>
        <w:t>Finalmente</w:t>
      </w:r>
      <w:r w:rsidR="006D18F2">
        <w:rPr>
          <w:rFonts w:ascii="Arial" w:hAnsi="Arial" w:cs="Arial"/>
          <w:color w:val="auto"/>
          <w:sz w:val="22"/>
          <w:szCs w:val="22"/>
        </w:rPr>
        <w:t>,</w:t>
      </w:r>
      <w:r>
        <w:rPr>
          <w:rFonts w:ascii="Arial" w:hAnsi="Arial" w:cs="Arial"/>
          <w:color w:val="auto"/>
          <w:sz w:val="22"/>
          <w:szCs w:val="22"/>
        </w:rPr>
        <w:t xml:space="preserve"> Telmex y Telnor sugieren que la entrada en operación de las zonas debe realizarse en un periodo donde no se vean involucrados eventos especiales, ni días festivos en un periodo de 15 días previos y 15 días posteriores, esto con la finalidad de </w:t>
      </w:r>
      <w:proofErr w:type="gramStart"/>
      <w:r>
        <w:rPr>
          <w:rFonts w:ascii="Arial" w:hAnsi="Arial" w:cs="Arial"/>
          <w:color w:val="auto"/>
          <w:sz w:val="22"/>
          <w:szCs w:val="22"/>
        </w:rPr>
        <w:t>que</w:t>
      </w:r>
      <w:proofErr w:type="gramEnd"/>
      <w:r>
        <w:rPr>
          <w:rFonts w:ascii="Arial" w:hAnsi="Arial" w:cs="Arial"/>
          <w:color w:val="auto"/>
          <w:sz w:val="22"/>
          <w:szCs w:val="22"/>
        </w:rPr>
        <w:t xml:space="preserve"> en caso de ocurrir cualquier eventualidad no prevista, las afectaciones sean menores. </w:t>
      </w:r>
      <w:r w:rsidR="005460F0">
        <w:rPr>
          <w:rFonts w:ascii="Arial" w:hAnsi="Arial" w:cs="Arial"/>
          <w:color w:val="auto"/>
          <w:sz w:val="22"/>
          <w:szCs w:val="22"/>
        </w:rPr>
        <w:t xml:space="preserve"> </w:t>
      </w:r>
      <w:r w:rsidR="00390924">
        <w:rPr>
          <w:rFonts w:ascii="Arial" w:hAnsi="Arial" w:cs="Arial"/>
          <w:color w:val="auto"/>
          <w:sz w:val="22"/>
          <w:szCs w:val="22"/>
        </w:rPr>
        <w:t xml:space="preserve"> </w:t>
      </w:r>
    </w:p>
    <w:p w14:paraId="3434D38B" w14:textId="69A453AF" w:rsidR="00E626B6" w:rsidRPr="00401408" w:rsidRDefault="00E626B6" w:rsidP="00401408">
      <w:pPr>
        <w:pStyle w:val="Default"/>
        <w:spacing w:before="60" w:after="60" w:line="360" w:lineRule="auto"/>
        <w:contextualSpacing/>
        <w:rPr>
          <w:rFonts w:ascii="Arial" w:hAnsi="Arial" w:cs="Arial"/>
          <w:color w:val="auto"/>
          <w:sz w:val="22"/>
          <w:szCs w:val="22"/>
        </w:rPr>
      </w:pPr>
    </w:p>
    <w:p w14:paraId="602B58C2" w14:textId="7D1F68A3" w:rsidR="00E626B6" w:rsidRPr="00401408" w:rsidRDefault="008C2974"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b/>
          <w:color w:val="auto"/>
          <w:sz w:val="22"/>
          <w:szCs w:val="22"/>
        </w:rPr>
        <w:t xml:space="preserve">RESPUESTA: </w:t>
      </w:r>
      <w:r w:rsidR="00F05C61" w:rsidRPr="00B378BB">
        <w:rPr>
          <w:rFonts w:ascii="Arial" w:hAnsi="Arial" w:cs="Arial"/>
          <w:color w:val="auto"/>
          <w:sz w:val="22"/>
          <w:szCs w:val="22"/>
        </w:rPr>
        <w:t xml:space="preserve">Se atienden los comentarios y se modifica el Anteproyecto a efecto de que la entrada en vigor de </w:t>
      </w:r>
      <w:r w:rsidR="00B378BB" w:rsidRPr="00B378BB">
        <w:rPr>
          <w:rFonts w:ascii="Arial" w:hAnsi="Arial" w:cs="Arial"/>
          <w:color w:val="auto"/>
          <w:sz w:val="22"/>
          <w:szCs w:val="22"/>
        </w:rPr>
        <w:t xml:space="preserve">la administración y asignación de la numeración nacional por Zonas y, por consiguiente, de todas aquellas disposiciones contenidas en los Planes Técnicos Fundamentales de Numeración y de Señalización, publicados en el DOF el 11 de mayo de 2018 y en las Reglas de Portabilidad Numérica, publicadas en el DOF el 12 de noviembre de 2014, que guarden relación con procedimientos para la asignación y administración de recursos numéricos y de señalización, </w:t>
      </w:r>
      <w:r w:rsidR="00F05C61" w:rsidRPr="00B378BB">
        <w:rPr>
          <w:rFonts w:ascii="Arial" w:hAnsi="Arial" w:cs="Arial"/>
          <w:color w:val="auto"/>
          <w:sz w:val="22"/>
          <w:szCs w:val="22"/>
        </w:rPr>
        <w:t xml:space="preserve">se lleve a cabo el </w:t>
      </w:r>
      <w:r w:rsidR="00F05C61" w:rsidRPr="00882392">
        <w:rPr>
          <w:rFonts w:ascii="Arial" w:hAnsi="Arial" w:cs="Arial"/>
          <w:color w:val="auto"/>
          <w:sz w:val="22"/>
          <w:szCs w:val="22"/>
        </w:rPr>
        <w:t>1° de julio de 2025.</w:t>
      </w:r>
      <w:r w:rsidR="00B378BB">
        <w:rPr>
          <w:rFonts w:ascii="Arial" w:hAnsi="Arial" w:cs="Arial"/>
          <w:color w:val="auto"/>
          <w:sz w:val="22"/>
          <w:szCs w:val="22"/>
        </w:rPr>
        <w:t xml:space="preserve"> </w:t>
      </w:r>
    </w:p>
    <w:p w14:paraId="4D200851" w14:textId="319EB122" w:rsidR="00E626B6" w:rsidRPr="00401408" w:rsidRDefault="00E626B6" w:rsidP="00401408">
      <w:pPr>
        <w:pStyle w:val="Default"/>
        <w:spacing w:before="60" w:after="60" w:line="360" w:lineRule="auto"/>
        <w:contextualSpacing/>
        <w:rPr>
          <w:rFonts w:ascii="Arial" w:hAnsi="Arial" w:cs="Arial"/>
          <w:color w:val="auto"/>
          <w:sz w:val="22"/>
          <w:szCs w:val="22"/>
        </w:rPr>
      </w:pPr>
      <w:r w:rsidRPr="00401408">
        <w:rPr>
          <w:rFonts w:ascii="Arial" w:hAnsi="Arial" w:cs="Arial"/>
          <w:color w:val="auto"/>
          <w:sz w:val="22"/>
          <w:szCs w:val="22"/>
        </w:rPr>
        <w:t xml:space="preserve"> </w:t>
      </w:r>
    </w:p>
    <w:p w14:paraId="2FFE4470" w14:textId="2F2AE50A" w:rsidR="008C2974" w:rsidRPr="00401408" w:rsidRDefault="008C2974" w:rsidP="00401408">
      <w:pPr>
        <w:pStyle w:val="Default"/>
        <w:spacing w:before="60" w:after="60" w:line="360" w:lineRule="auto"/>
        <w:contextualSpacing/>
        <w:jc w:val="both"/>
        <w:rPr>
          <w:rFonts w:ascii="Arial" w:hAnsi="Arial" w:cs="Arial"/>
          <w:b/>
          <w:color w:val="auto"/>
          <w:sz w:val="22"/>
          <w:szCs w:val="22"/>
        </w:rPr>
      </w:pPr>
      <w:r w:rsidRPr="0098522F">
        <w:rPr>
          <w:rFonts w:ascii="Arial" w:hAnsi="Arial" w:cs="Arial"/>
          <w:b/>
          <w:color w:val="auto"/>
          <w:sz w:val="22"/>
          <w:szCs w:val="22"/>
        </w:rPr>
        <w:t xml:space="preserve">2. </w:t>
      </w:r>
      <w:r w:rsidR="006B740F" w:rsidRPr="0098522F">
        <w:rPr>
          <w:rFonts w:ascii="Arial" w:hAnsi="Arial" w:cs="Arial"/>
          <w:b/>
          <w:color w:val="auto"/>
          <w:sz w:val="22"/>
          <w:szCs w:val="22"/>
        </w:rPr>
        <w:t>REDISEÑO DE LOS FORMATOS ELECTRÓNICOS ESTABLECIDOS EN LOS PLANES TÉCNICOS FUNDAMENTALES DE NUMERACIÓN Y SEÑALIZACIÓN</w:t>
      </w:r>
      <w:r w:rsidRPr="0098522F">
        <w:rPr>
          <w:rFonts w:ascii="Arial" w:hAnsi="Arial" w:cs="Arial"/>
          <w:b/>
          <w:color w:val="auto"/>
          <w:sz w:val="22"/>
          <w:szCs w:val="22"/>
        </w:rPr>
        <w:t>.</w:t>
      </w:r>
    </w:p>
    <w:p w14:paraId="53DB7DFB" w14:textId="1C8287F4" w:rsidR="00E626B6" w:rsidRPr="00401408" w:rsidRDefault="00E626B6" w:rsidP="00401408">
      <w:pPr>
        <w:pStyle w:val="Default"/>
        <w:spacing w:before="60" w:after="60" w:line="360" w:lineRule="auto"/>
        <w:contextualSpacing/>
        <w:rPr>
          <w:rFonts w:ascii="Arial" w:hAnsi="Arial" w:cs="Arial"/>
          <w:color w:val="auto"/>
          <w:sz w:val="22"/>
          <w:szCs w:val="22"/>
        </w:rPr>
      </w:pPr>
    </w:p>
    <w:p w14:paraId="757B5B54" w14:textId="197CD8A3" w:rsidR="001B3923" w:rsidRDefault="00E434BB"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color w:val="auto"/>
          <w:sz w:val="22"/>
          <w:szCs w:val="22"/>
        </w:rPr>
        <w:t>Grupo AT&amp;T</w:t>
      </w:r>
      <w:r w:rsidR="00F22581">
        <w:rPr>
          <w:rFonts w:ascii="Arial" w:hAnsi="Arial" w:cs="Arial"/>
          <w:color w:val="auto"/>
          <w:sz w:val="22"/>
          <w:szCs w:val="22"/>
        </w:rPr>
        <w:t>,</w:t>
      </w:r>
      <w:r w:rsidR="00325A95">
        <w:rPr>
          <w:rFonts w:ascii="Arial" w:hAnsi="Arial" w:cs="Arial"/>
          <w:color w:val="auto"/>
          <w:sz w:val="22"/>
          <w:szCs w:val="22"/>
        </w:rPr>
        <w:t xml:space="preserve"> CANIETI</w:t>
      </w:r>
      <w:r w:rsidR="00F22581">
        <w:rPr>
          <w:rFonts w:ascii="Arial" w:hAnsi="Arial" w:cs="Arial"/>
          <w:color w:val="auto"/>
          <w:sz w:val="22"/>
          <w:szCs w:val="22"/>
        </w:rPr>
        <w:t xml:space="preserve"> y Megacable</w:t>
      </w:r>
      <w:r w:rsidR="00325A95">
        <w:rPr>
          <w:rFonts w:ascii="Arial" w:hAnsi="Arial" w:cs="Arial"/>
          <w:color w:val="auto"/>
          <w:sz w:val="22"/>
          <w:szCs w:val="22"/>
        </w:rPr>
        <w:t xml:space="preserve"> </w:t>
      </w:r>
      <w:r w:rsidRPr="00401408">
        <w:rPr>
          <w:rFonts w:ascii="Arial" w:hAnsi="Arial" w:cs="Arial"/>
          <w:color w:val="auto"/>
          <w:sz w:val="22"/>
          <w:szCs w:val="22"/>
        </w:rPr>
        <w:t>considera</w:t>
      </w:r>
      <w:r w:rsidR="00325A95">
        <w:rPr>
          <w:rFonts w:ascii="Arial" w:hAnsi="Arial" w:cs="Arial"/>
          <w:color w:val="auto"/>
          <w:sz w:val="22"/>
          <w:szCs w:val="22"/>
        </w:rPr>
        <w:t>n</w:t>
      </w:r>
      <w:r w:rsidRPr="00401408">
        <w:rPr>
          <w:rFonts w:ascii="Arial" w:hAnsi="Arial" w:cs="Arial"/>
          <w:color w:val="auto"/>
          <w:sz w:val="22"/>
          <w:szCs w:val="22"/>
        </w:rPr>
        <w:t xml:space="preserve"> que </w:t>
      </w:r>
      <w:r w:rsidR="006B740F">
        <w:rPr>
          <w:rFonts w:ascii="Arial" w:hAnsi="Arial" w:cs="Arial"/>
          <w:color w:val="auto"/>
          <w:sz w:val="22"/>
          <w:szCs w:val="22"/>
        </w:rPr>
        <w:t xml:space="preserve">incorporar los trámites correspondientes </w:t>
      </w:r>
      <w:r w:rsidR="001B3923">
        <w:rPr>
          <w:rFonts w:ascii="Arial" w:hAnsi="Arial" w:cs="Arial"/>
          <w:color w:val="auto"/>
          <w:sz w:val="22"/>
          <w:szCs w:val="22"/>
        </w:rPr>
        <w:t>en</w:t>
      </w:r>
      <w:r w:rsidR="006B740F">
        <w:rPr>
          <w:rFonts w:ascii="Arial" w:hAnsi="Arial" w:cs="Arial"/>
          <w:color w:val="auto"/>
          <w:sz w:val="22"/>
          <w:szCs w:val="22"/>
        </w:rPr>
        <w:t xml:space="preserve"> la sección “Más Trámites y Servicios” de la Ventanilla Electrónica del Instituto implica el uso de la Firma Electrónica, lo cual complica el uso de la herramienta </w:t>
      </w:r>
      <w:r w:rsidR="001B3923">
        <w:rPr>
          <w:rFonts w:ascii="Arial" w:hAnsi="Arial" w:cs="Arial"/>
          <w:color w:val="auto"/>
          <w:sz w:val="22"/>
          <w:szCs w:val="22"/>
        </w:rPr>
        <w:t>e impide</w:t>
      </w:r>
      <w:r w:rsidR="006B740F">
        <w:rPr>
          <w:rFonts w:ascii="Arial" w:hAnsi="Arial" w:cs="Arial"/>
          <w:color w:val="auto"/>
          <w:sz w:val="22"/>
          <w:szCs w:val="22"/>
        </w:rPr>
        <w:t xml:space="preserve"> agilizar</w:t>
      </w:r>
      <w:r w:rsidR="001B3923">
        <w:rPr>
          <w:rFonts w:ascii="Arial" w:hAnsi="Arial" w:cs="Arial"/>
          <w:color w:val="auto"/>
          <w:sz w:val="22"/>
          <w:szCs w:val="22"/>
        </w:rPr>
        <w:t xml:space="preserve"> el ingreso de</w:t>
      </w:r>
      <w:r w:rsidR="006B740F">
        <w:rPr>
          <w:rFonts w:ascii="Arial" w:hAnsi="Arial" w:cs="Arial"/>
          <w:color w:val="auto"/>
          <w:sz w:val="22"/>
          <w:szCs w:val="22"/>
        </w:rPr>
        <w:t xml:space="preserve"> los trámites, ya que ésta se creó para ser utilizada exclusivamente por el firmante, y es un dato personal sensible, razón por la cual no es viable compartirla </w:t>
      </w:r>
      <w:r w:rsidR="001B3923">
        <w:rPr>
          <w:rFonts w:ascii="Arial" w:hAnsi="Arial" w:cs="Arial"/>
          <w:color w:val="auto"/>
          <w:sz w:val="22"/>
          <w:szCs w:val="22"/>
        </w:rPr>
        <w:t>co</w:t>
      </w:r>
      <w:r w:rsidR="006B740F">
        <w:rPr>
          <w:rFonts w:ascii="Arial" w:hAnsi="Arial" w:cs="Arial"/>
          <w:color w:val="auto"/>
          <w:sz w:val="22"/>
          <w:szCs w:val="22"/>
        </w:rPr>
        <w:t xml:space="preserve">n el personal de la empresa que se encarga de llevar a cabo los trámites y solicitudes. </w:t>
      </w:r>
    </w:p>
    <w:p w14:paraId="515D2A69" w14:textId="77777777" w:rsidR="00F22581" w:rsidRDefault="00F22581" w:rsidP="00401408">
      <w:pPr>
        <w:pStyle w:val="Default"/>
        <w:spacing w:before="60" w:after="60" w:line="360" w:lineRule="auto"/>
        <w:contextualSpacing/>
        <w:jc w:val="both"/>
        <w:rPr>
          <w:rFonts w:ascii="Arial" w:hAnsi="Arial" w:cs="Arial"/>
          <w:color w:val="auto"/>
          <w:sz w:val="22"/>
          <w:szCs w:val="22"/>
        </w:rPr>
      </w:pPr>
    </w:p>
    <w:p w14:paraId="56A660A6" w14:textId="7928400C" w:rsidR="00E434BB" w:rsidRDefault="001B3923" w:rsidP="00401408">
      <w:pPr>
        <w:pStyle w:val="Default"/>
        <w:spacing w:before="60" w:after="60" w:line="360" w:lineRule="auto"/>
        <w:contextualSpacing/>
        <w:jc w:val="both"/>
        <w:rPr>
          <w:rFonts w:ascii="Arial" w:hAnsi="Arial" w:cs="Arial"/>
          <w:color w:val="auto"/>
          <w:sz w:val="22"/>
          <w:szCs w:val="22"/>
        </w:rPr>
      </w:pPr>
      <w:r>
        <w:rPr>
          <w:rFonts w:ascii="Arial" w:hAnsi="Arial" w:cs="Arial"/>
          <w:color w:val="auto"/>
          <w:sz w:val="22"/>
          <w:szCs w:val="22"/>
        </w:rPr>
        <w:t xml:space="preserve">En este sentido, </w:t>
      </w:r>
      <w:r w:rsidR="008975F3">
        <w:rPr>
          <w:rFonts w:ascii="Arial" w:hAnsi="Arial" w:cs="Arial"/>
          <w:color w:val="auto"/>
          <w:sz w:val="22"/>
          <w:szCs w:val="22"/>
        </w:rPr>
        <w:t xml:space="preserve">las empresas antes referidas </w:t>
      </w:r>
      <w:r>
        <w:rPr>
          <w:rFonts w:ascii="Arial" w:hAnsi="Arial" w:cs="Arial"/>
          <w:color w:val="auto"/>
          <w:sz w:val="22"/>
          <w:szCs w:val="22"/>
        </w:rPr>
        <w:t>solicita</w:t>
      </w:r>
      <w:r w:rsidR="008975F3">
        <w:rPr>
          <w:rFonts w:ascii="Arial" w:hAnsi="Arial" w:cs="Arial"/>
          <w:color w:val="auto"/>
          <w:sz w:val="22"/>
          <w:szCs w:val="22"/>
        </w:rPr>
        <w:t>n</w:t>
      </w:r>
      <w:r>
        <w:rPr>
          <w:rFonts w:ascii="Arial" w:hAnsi="Arial" w:cs="Arial"/>
          <w:color w:val="auto"/>
          <w:sz w:val="22"/>
          <w:szCs w:val="22"/>
        </w:rPr>
        <w:t xml:space="preserve"> al Instituto permitir que para la presentación de los formatos electrónicos correspondientes se lleve a cabo a través del apartado “Tablero Principal” y </w:t>
      </w:r>
      <w:proofErr w:type="gramStart"/>
      <w:r>
        <w:rPr>
          <w:rFonts w:ascii="Arial" w:hAnsi="Arial" w:cs="Arial"/>
          <w:color w:val="auto"/>
          <w:sz w:val="22"/>
          <w:szCs w:val="22"/>
        </w:rPr>
        <w:t>no</w:t>
      </w:r>
      <w:proofErr w:type="gramEnd"/>
      <w:r>
        <w:rPr>
          <w:rFonts w:ascii="Arial" w:hAnsi="Arial" w:cs="Arial"/>
          <w:color w:val="auto"/>
          <w:sz w:val="22"/>
          <w:szCs w:val="22"/>
        </w:rPr>
        <w:t xml:space="preserve"> así como una incorporación a la funcionalidad de “Más Trámites y Servicios” de la Ventanilla Electrónica. </w:t>
      </w:r>
    </w:p>
    <w:p w14:paraId="363AE960" w14:textId="3C0F0CC0" w:rsidR="008975F3" w:rsidRDefault="008975F3" w:rsidP="00401408">
      <w:pPr>
        <w:pStyle w:val="Default"/>
        <w:spacing w:before="60" w:after="60" w:line="360" w:lineRule="auto"/>
        <w:contextualSpacing/>
        <w:jc w:val="both"/>
        <w:rPr>
          <w:rFonts w:ascii="Arial" w:hAnsi="Arial" w:cs="Arial"/>
          <w:color w:val="auto"/>
          <w:sz w:val="22"/>
          <w:szCs w:val="22"/>
        </w:rPr>
      </w:pPr>
    </w:p>
    <w:p w14:paraId="5D9A0C43" w14:textId="6A5AEDC2" w:rsidR="008975F3" w:rsidRDefault="008975F3" w:rsidP="00401408">
      <w:pPr>
        <w:pStyle w:val="Default"/>
        <w:spacing w:before="60" w:after="60" w:line="360" w:lineRule="auto"/>
        <w:contextualSpacing/>
        <w:jc w:val="both"/>
        <w:rPr>
          <w:rFonts w:ascii="Arial" w:hAnsi="Arial" w:cs="Arial"/>
          <w:color w:val="auto"/>
          <w:sz w:val="22"/>
          <w:szCs w:val="22"/>
        </w:rPr>
      </w:pPr>
      <w:r>
        <w:rPr>
          <w:rFonts w:ascii="Arial" w:hAnsi="Arial" w:cs="Arial"/>
          <w:color w:val="auto"/>
          <w:sz w:val="22"/>
          <w:szCs w:val="22"/>
        </w:rPr>
        <w:t xml:space="preserve">Telmex manifiesta estar de acuerdo en que se conviertan los formatos de captura de información en línea en archivos de Excel </w:t>
      </w:r>
      <w:r w:rsidRPr="001372B1">
        <w:rPr>
          <w:rFonts w:ascii="Arial" w:hAnsi="Arial" w:cs="Arial"/>
          <w:color w:val="auto"/>
          <w:sz w:val="22"/>
          <w:szCs w:val="22"/>
        </w:rPr>
        <w:t xml:space="preserve">y </w:t>
      </w:r>
      <w:r w:rsidR="001372B1" w:rsidRPr="0098522F">
        <w:rPr>
          <w:rFonts w:ascii="Arial" w:hAnsi="Arial" w:cs="Arial"/>
          <w:color w:val="auto"/>
          <w:sz w:val="22"/>
          <w:szCs w:val="22"/>
        </w:rPr>
        <w:t>que</w:t>
      </w:r>
      <w:r w:rsidR="001372B1">
        <w:rPr>
          <w:rFonts w:ascii="Arial" w:hAnsi="Arial" w:cs="Arial"/>
          <w:color w:val="auto"/>
          <w:sz w:val="22"/>
          <w:szCs w:val="22"/>
        </w:rPr>
        <w:t>,</w:t>
      </w:r>
      <w:r w:rsidR="001372B1" w:rsidRPr="0098522F">
        <w:rPr>
          <w:rFonts w:ascii="Arial" w:hAnsi="Arial" w:cs="Arial"/>
          <w:color w:val="auto"/>
          <w:sz w:val="22"/>
          <w:szCs w:val="22"/>
        </w:rPr>
        <w:t xml:space="preserve"> </w:t>
      </w:r>
      <w:r w:rsidRPr="001372B1">
        <w:rPr>
          <w:rFonts w:ascii="Arial" w:hAnsi="Arial" w:cs="Arial"/>
          <w:color w:val="auto"/>
          <w:sz w:val="22"/>
          <w:szCs w:val="22"/>
        </w:rPr>
        <w:t xml:space="preserve">para el caso de los reportes de utilización de recursos de numeración y señalización, </w:t>
      </w:r>
      <w:r w:rsidR="001372B1">
        <w:rPr>
          <w:rFonts w:ascii="Arial" w:hAnsi="Arial" w:cs="Arial"/>
          <w:color w:val="auto"/>
          <w:sz w:val="22"/>
          <w:szCs w:val="22"/>
        </w:rPr>
        <w:t xml:space="preserve">se </w:t>
      </w:r>
      <w:r w:rsidRPr="001372B1">
        <w:rPr>
          <w:rFonts w:ascii="Arial" w:hAnsi="Arial" w:cs="Arial"/>
          <w:color w:val="auto"/>
          <w:sz w:val="22"/>
          <w:szCs w:val="22"/>
        </w:rPr>
        <w:t>incorpor</w:t>
      </w:r>
      <w:r w:rsidR="001372B1">
        <w:rPr>
          <w:rFonts w:ascii="Arial" w:hAnsi="Arial" w:cs="Arial"/>
          <w:color w:val="auto"/>
          <w:sz w:val="22"/>
          <w:szCs w:val="22"/>
        </w:rPr>
        <w:t>e</w:t>
      </w:r>
      <w:r w:rsidRPr="001372B1">
        <w:rPr>
          <w:rFonts w:ascii="Arial" w:hAnsi="Arial" w:cs="Arial"/>
          <w:color w:val="auto"/>
          <w:sz w:val="22"/>
          <w:szCs w:val="22"/>
        </w:rPr>
        <w:t xml:space="preserve"> </w:t>
      </w:r>
      <w:r w:rsidR="00807ADD" w:rsidRPr="001372B1">
        <w:rPr>
          <w:rFonts w:ascii="Arial" w:hAnsi="Arial" w:cs="Arial"/>
          <w:color w:val="auto"/>
          <w:sz w:val="22"/>
          <w:szCs w:val="22"/>
        </w:rPr>
        <w:t xml:space="preserve">un archivo </w:t>
      </w:r>
      <w:r w:rsidR="00807ADD" w:rsidRPr="0098522F">
        <w:rPr>
          <w:rFonts w:ascii="Arial" w:hAnsi="Arial" w:cs="Arial"/>
          <w:color w:val="auto"/>
          <w:sz w:val="22"/>
          <w:szCs w:val="22"/>
        </w:rPr>
        <w:t>Excel</w:t>
      </w:r>
      <w:r w:rsidR="001372B1" w:rsidRPr="0098522F">
        <w:rPr>
          <w:rFonts w:ascii="Arial" w:hAnsi="Arial" w:cs="Arial"/>
          <w:color w:val="auto"/>
          <w:sz w:val="22"/>
          <w:szCs w:val="22"/>
        </w:rPr>
        <w:t xml:space="preserve"> complementario</w:t>
      </w:r>
      <w:r w:rsidR="00807ADD">
        <w:rPr>
          <w:rFonts w:ascii="Arial" w:hAnsi="Arial" w:cs="Arial"/>
          <w:color w:val="auto"/>
          <w:sz w:val="22"/>
          <w:szCs w:val="22"/>
        </w:rPr>
        <w:t>. Asimismo, señala que se requiere que se genere de manera automática e inmediata un acuse electrónico con folio posterior a la carga de la información en cada caso, a fin de generar certeza jurídica y servir como evidencia del cumplimiento de la misma para el concesionario o autorizado.</w:t>
      </w:r>
    </w:p>
    <w:p w14:paraId="10909BD9" w14:textId="16B786A3" w:rsidR="00E434BB" w:rsidRPr="00401408" w:rsidRDefault="00E434BB" w:rsidP="00401408">
      <w:pPr>
        <w:pStyle w:val="Default"/>
        <w:spacing w:before="60" w:after="60" w:line="360" w:lineRule="auto"/>
        <w:contextualSpacing/>
        <w:jc w:val="both"/>
        <w:rPr>
          <w:rFonts w:ascii="Arial" w:hAnsi="Arial" w:cs="Arial"/>
          <w:color w:val="auto"/>
          <w:sz w:val="22"/>
          <w:szCs w:val="22"/>
        </w:rPr>
      </w:pPr>
    </w:p>
    <w:p w14:paraId="623911B7" w14:textId="0FA2873D" w:rsidR="00170B82" w:rsidRDefault="00E434BB" w:rsidP="00401408">
      <w:pPr>
        <w:pStyle w:val="Default"/>
        <w:spacing w:before="60" w:after="60" w:line="360" w:lineRule="auto"/>
        <w:contextualSpacing/>
        <w:jc w:val="both"/>
        <w:rPr>
          <w:rFonts w:ascii="Arial" w:hAnsi="Arial" w:cs="Arial"/>
          <w:bCs/>
          <w:color w:val="auto"/>
          <w:sz w:val="22"/>
          <w:szCs w:val="22"/>
        </w:rPr>
      </w:pPr>
      <w:r w:rsidRPr="00401408">
        <w:rPr>
          <w:rFonts w:ascii="Arial" w:hAnsi="Arial" w:cs="Arial"/>
          <w:b/>
          <w:color w:val="auto"/>
          <w:sz w:val="22"/>
          <w:szCs w:val="22"/>
        </w:rPr>
        <w:t xml:space="preserve">RESPUESTA: </w:t>
      </w:r>
      <w:r w:rsidR="00C276F9">
        <w:rPr>
          <w:rFonts w:ascii="Arial" w:hAnsi="Arial" w:cs="Arial"/>
          <w:color w:val="auto"/>
          <w:sz w:val="22"/>
          <w:szCs w:val="22"/>
        </w:rPr>
        <w:t xml:space="preserve">Se agradece el comentario y se aclara que, </w:t>
      </w:r>
      <w:r w:rsidR="00C276F9">
        <w:rPr>
          <w:rFonts w:ascii="Arial" w:hAnsi="Arial" w:cs="Arial"/>
          <w:bCs/>
          <w:color w:val="auto"/>
          <w:sz w:val="22"/>
          <w:szCs w:val="22"/>
        </w:rPr>
        <w:t>s</w:t>
      </w:r>
      <w:r w:rsidR="001B3923" w:rsidRPr="0098522F">
        <w:rPr>
          <w:rFonts w:ascii="Arial" w:hAnsi="Arial" w:cs="Arial"/>
          <w:bCs/>
          <w:color w:val="auto"/>
          <w:sz w:val="22"/>
          <w:szCs w:val="22"/>
        </w:rPr>
        <w:t xml:space="preserve">i bien los trámites electrónicos contenidos en los planes técnicos fundamentales de numeración y señalización serán implementados </w:t>
      </w:r>
      <w:r w:rsidR="00A02B12">
        <w:rPr>
          <w:rFonts w:ascii="Arial" w:hAnsi="Arial" w:cs="Arial"/>
          <w:bCs/>
          <w:color w:val="auto"/>
          <w:sz w:val="22"/>
          <w:szCs w:val="22"/>
        </w:rPr>
        <w:t>tomando como base</w:t>
      </w:r>
      <w:r w:rsidR="001B3923" w:rsidRPr="0098522F">
        <w:rPr>
          <w:rFonts w:ascii="Arial" w:hAnsi="Arial" w:cs="Arial"/>
          <w:bCs/>
          <w:color w:val="auto"/>
          <w:sz w:val="22"/>
          <w:szCs w:val="22"/>
        </w:rPr>
        <w:t xml:space="preserve"> la funcionalidad “Más Trámites y Servicios” de la Ventanilla Electrónica del Instituto</w:t>
      </w:r>
      <w:r w:rsidR="00C276F9">
        <w:rPr>
          <w:rFonts w:ascii="Arial" w:hAnsi="Arial" w:cs="Arial"/>
          <w:bCs/>
          <w:color w:val="auto"/>
          <w:sz w:val="22"/>
          <w:szCs w:val="22"/>
        </w:rPr>
        <w:t xml:space="preserve">, </w:t>
      </w:r>
      <w:r w:rsidR="00170B82">
        <w:rPr>
          <w:rFonts w:ascii="Arial" w:hAnsi="Arial" w:cs="Arial"/>
          <w:bCs/>
          <w:color w:val="auto"/>
          <w:sz w:val="22"/>
          <w:szCs w:val="22"/>
        </w:rPr>
        <w:t xml:space="preserve">con el propósito de reutilizar </w:t>
      </w:r>
      <w:r w:rsidR="00C276F9">
        <w:rPr>
          <w:rFonts w:ascii="Arial" w:hAnsi="Arial" w:cs="Arial"/>
          <w:bCs/>
          <w:color w:val="auto"/>
          <w:sz w:val="22"/>
          <w:szCs w:val="22"/>
        </w:rPr>
        <w:t>el mayor número de componentes tecnológicos posibles, no se</w:t>
      </w:r>
      <w:r w:rsidR="001B3923" w:rsidRPr="0098522F">
        <w:rPr>
          <w:rFonts w:ascii="Arial" w:hAnsi="Arial" w:cs="Arial"/>
          <w:bCs/>
          <w:color w:val="auto"/>
          <w:sz w:val="22"/>
          <w:szCs w:val="22"/>
        </w:rPr>
        <w:t xml:space="preserve"> </w:t>
      </w:r>
      <w:r w:rsidR="004E222A" w:rsidRPr="0098522F">
        <w:rPr>
          <w:rFonts w:ascii="Arial" w:hAnsi="Arial" w:cs="Arial"/>
          <w:bCs/>
          <w:color w:val="auto"/>
          <w:sz w:val="22"/>
          <w:szCs w:val="22"/>
        </w:rPr>
        <w:t>establece</w:t>
      </w:r>
      <w:r w:rsidR="00170B82">
        <w:rPr>
          <w:rFonts w:ascii="Arial" w:hAnsi="Arial" w:cs="Arial"/>
          <w:bCs/>
          <w:color w:val="auto"/>
          <w:sz w:val="22"/>
          <w:szCs w:val="22"/>
        </w:rPr>
        <w:t xml:space="preserve"> en los Planes</w:t>
      </w:r>
      <w:r w:rsidR="001B3923" w:rsidRPr="0098522F">
        <w:rPr>
          <w:rFonts w:ascii="Arial" w:hAnsi="Arial" w:cs="Arial"/>
          <w:bCs/>
          <w:color w:val="auto"/>
          <w:sz w:val="22"/>
          <w:szCs w:val="22"/>
        </w:rPr>
        <w:t xml:space="preserve"> </w:t>
      </w:r>
      <w:r w:rsidR="00170B82">
        <w:rPr>
          <w:rFonts w:ascii="Arial" w:hAnsi="Arial" w:cs="Arial"/>
          <w:bCs/>
          <w:color w:val="auto"/>
          <w:sz w:val="22"/>
          <w:szCs w:val="22"/>
        </w:rPr>
        <w:t xml:space="preserve">como </w:t>
      </w:r>
      <w:r w:rsidR="001B3923" w:rsidRPr="0098522F">
        <w:rPr>
          <w:rFonts w:ascii="Arial" w:hAnsi="Arial" w:cs="Arial"/>
          <w:bCs/>
          <w:color w:val="auto"/>
          <w:sz w:val="22"/>
          <w:szCs w:val="22"/>
        </w:rPr>
        <w:t>requisito para su presentación la firma electrónica</w:t>
      </w:r>
      <w:r w:rsidR="00C276F9">
        <w:rPr>
          <w:rFonts w:ascii="Arial" w:hAnsi="Arial" w:cs="Arial"/>
          <w:bCs/>
          <w:color w:val="auto"/>
          <w:sz w:val="22"/>
          <w:szCs w:val="22"/>
        </w:rPr>
        <w:t xml:space="preserve"> avanzada</w:t>
      </w:r>
      <w:r w:rsidR="001B3923" w:rsidRPr="0098522F">
        <w:rPr>
          <w:rFonts w:ascii="Arial" w:hAnsi="Arial" w:cs="Arial"/>
          <w:bCs/>
          <w:color w:val="auto"/>
          <w:sz w:val="22"/>
          <w:szCs w:val="22"/>
        </w:rPr>
        <w:t xml:space="preserve"> del promovente</w:t>
      </w:r>
      <w:r w:rsidR="004E222A" w:rsidRPr="0098522F">
        <w:rPr>
          <w:rFonts w:ascii="Arial" w:hAnsi="Arial" w:cs="Arial"/>
          <w:bCs/>
          <w:color w:val="auto"/>
          <w:sz w:val="22"/>
          <w:szCs w:val="22"/>
        </w:rPr>
        <w:t>.</w:t>
      </w:r>
      <w:r w:rsidR="00BB1FB9" w:rsidRPr="0098522F">
        <w:rPr>
          <w:rFonts w:ascii="Arial" w:hAnsi="Arial" w:cs="Arial"/>
          <w:bCs/>
          <w:color w:val="auto"/>
          <w:sz w:val="22"/>
          <w:szCs w:val="22"/>
        </w:rPr>
        <w:t xml:space="preserve"> </w:t>
      </w:r>
    </w:p>
    <w:p w14:paraId="66FA8E99" w14:textId="77777777" w:rsidR="00170B82" w:rsidRDefault="00170B82" w:rsidP="00401408">
      <w:pPr>
        <w:pStyle w:val="Default"/>
        <w:spacing w:before="60" w:after="60" w:line="360" w:lineRule="auto"/>
        <w:contextualSpacing/>
        <w:jc w:val="both"/>
        <w:rPr>
          <w:rFonts w:ascii="Arial" w:hAnsi="Arial" w:cs="Arial"/>
          <w:bCs/>
          <w:color w:val="auto"/>
          <w:sz w:val="22"/>
          <w:szCs w:val="22"/>
        </w:rPr>
      </w:pPr>
    </w:p>
    <w:p w14:paraId="6DDBFC0E" w14:textId="3C10F9D6" w:rsidR="0079290F" w:rsidRPr="0098522F" w:rsidRDefault="004E222A" w:rsidP="00401408">
      <w:pPr>
        <w:pStyle w:val="Default"/>
        <w:spacing w:before="60" w:after="60" w:line="360" w:lineRule="auto"/>
        <w:contextualSpacing/>
        <w:jc w:val="both"/>
        <w:rPr>
          <w:rFonts w:ascii="Arial" w:hAnsi="Arial" w:cs="Arial"/>
          <w:bCs/>
          <w:color w:val="auto"/>
          <w:sz w:val="22"/>
          <w:szCs w:val="22"/>
        </w:rPr>
      </w:pPr>
      <w:r w:rsidRPr="0098522F">
        <w:rPr>
          <w:rFonts w:ascii="Arial" w:hAnsi="Arial" w:cs="Arial"/>
          <w:bCs/>
          <w:color w:val="auto"/>
          <w:sz w:val="22"/>
          <w:szCs w:val="22"/>
        </w:rPr>
        <w:t>E</w:t>
      </w:r>
      <w:r w:rsidR="00BB1FB9" w:rsidRPr="0098522F">
        <w:rPr>
          <w:rFonts w:ascii="Arial" w:hAnsi="Arial" w:cs="Arial"/>
          <w:bCs/>
          <w:color w:val="auto"/>
          <w:sz w:val="22"/>
          <w:szCs w:val="22"/>
        </w:rPr>
        <w:t>n este sentido</w:t>
      </w:r>
      <w:r w:rsidRPr="0098522F">
        <w:rPr>
          <w:rFonts w:ascii="Arial" w:hAnsi="Arial" w:cs="Arial"/>
          <w:bCs/>
          <w:color w:val="auto"/>
          <w:sz w:val="22"/>
          <w:szCs w:val="22"/>
        </w:rPr>
        <w:t>,</w:t>
      </w:r>
      <w:r w:rsidR="00BB1FB9" w:rsidRPr="0098522F">
        <w:rPr>
          <w:rFonts w:ascii="Arial" w:hAnsi="Arial" w:cs="Arial"/>
          <w:bCs/>
          <w:color w:val="auto"/>
          <w:sz w:val="22"/>
          <w:szCs w:val="22"/>
        </w:rPr>
        <w:t xml:space="preserve"> se confirma que dentro del “Tablero Principal” de la Ventanilla Electrónica existirá un apartado específico para</w:t>
      </w:r>
      <w:r w:rsidRPr="0098522F">
        <w:rPr>
          <w:rFonts w:ascii="Arial" w:hAnsi="Arial" w:cs="Arial"/>
          <w:bCs/>
          <w:color w:val="auto"/>
          <w:sz w:val="22"/>
          <w:szCs w:val="22"/>
        </w:rPr>
        <w:t xml:space="preserve"> el ingreso de</w:t>
      </w:r>
      <w:r w:rsidR="00BB1FB9" w:rsidRPr="0098522F">
        <w:rPr>
          <w:rFonts w:ascii="Arial" w:hAnsi="Arial" w:cs="Arial"/>
          <w:bCs/>
          <w:color w:val="auto"/>
          <w:sz w:val="22"/>
          <w:szCs w:val="22"/>
        </w:rPr>
        <w:t xml:space="preserve"> los trámites relativos a recursos de numeración y señalización</w:t>
      </w:r>
      <w:r w:rsidR="00C276F9">
        <w:rPr>
          <w:rFonts w:ascii="Arial" w:hAnsi="Arial" w:cs="Arial"/>
          <w:bCs/>
          <w:color w:val="auto"/>
          <w:sz w:val="22"/>
          <w:szCs w:val="22"/>
        </w:rPr>
        <w:t xml:space="preserve">, así como que el envío de actuaciones electrónicas </w:t>
      </w:r>
      <w:r w:rsidR="007A68F1">
        <w:rPr>
          <w:rFonts w:ascii="Arial" w:hAnsi="Arial" w:cs="Arial"/>
          <w:bCs/>
          <w:color w:val="auto"/>
          <w:sz w:val="22"/>
          <w:szCs w:val="22"/>
        </w:rPr>
        <w:t xml:space="preserve">a través de la Ventanilla Electrónica, </w:t>
      </w:r>
      <w:r w:rsidR="00C276F9">
        <w:rPr>
          <w:rFonts w:ascii="Arial" w:hAnsi="Arial" w:cs="Arial"/>
          <w:bCs/>
          <w:color w:val="auto"/>
          <w:sz w:val="22"/>
          <w:szCs w:val="22"/>
        </w:rPr>
        <w:t xml:space="preserve">se llevará a cabo </w:t>
      </w:r>
      <w:r w:rsidR="00170B82">
        <w:rPr>
          <w:rFonts w:ascii="Arial" w:hAnsi="Arial" w:cs="Arial"/>
          <w:bCs/>
          <w:color w:val="auto"/>
          <w:sz w:val="22"/>
          <w:szCs w:val="22"/>
        </w:rPr>
        <w:t xml:space="preserve">mediante </w:t>
      </w:r>
      <w:r w:rsidR="007A68F1">
        <w:rPr>
          <w:rFonts w:ascii="Arial" w:hAnsi="Arial" w:cs="Arial"/>
          <w:bCs/>
          <w:color w:val="auto"/>
          <w:sz w:val="22"/>
          <w:szCs w:val="22"/>
        </w:rPr>
        <w:t>el ingreso d</w:t>
      </w:r>
      <w:r w:rsidR="00C276F9">
        <w:rPr>
          <w:rFonts w:ascii="Arial" w:hAnsi="Arial" w:cs="Arial"/>
          <w:bCs/>
          <w:color w:val="auto"/>
          <w:sz w:val="22"/>
          <w:szCs w:val="22"/>
        </w:rPr>
        <w:t xml:space="preserve">el </w:t>
      </w:r>
      <w:r w:rsidR="007A68F1">
        <w:rPr>
          <w:rFonts w:ascii="Arial" w:hAnsi="Arial" w:cs="Arial"/>
          <w:bCs/>
          <w:color w:val="auto"/>
          <w:sz w:val="22"/>
          <w:szCs w:val="22"/>
        </w:rPr>
        <w:t xml:space="preserve">nombre de </w:t>
      </w:r>
      <w:r w:rsidR="00C276F9">
        <w:rPr>
          <w:rFonts w:ascii="Arial" w:hAnsi="Arial" w:cs="Arial"/>
          <w:bCs/>
          <w:color w:val="auto"/>
          <w:sz w:val="22"/>
          <w:szCs w:val="22"/>
        </w:rPr>
        <w:t xml:space="preserve">usuario y contraseña </w:t>
      </w:r>
      <w:r w:rsidR="007A68F1">
        <w:rPr>
          <w:rFonts w:ascii="Arial" w:hAnsi="Arial" w:cs="Arial"/>
          <w:bCs/>
          <w:color w:val="auto"/>
          <w:sz w:val="22"/>
          <w:szCs w:val="22"/>
        </w:rPr>
        <w:t xml:space="preserve">del </w:t>
      </w:r>
      <w:proofErr w:type="gramStart"/>
      <w:r w:rsidR="007A68F1">
        <w:rPr>
          <w:rFonts w:ascii="Arial" w:hAnsi="Arial" w:cs="Arial"/>
          <w:bCs/>
          <w:color w:val="auto"/>
          <w:sz w:val="22"/>
          <w:szCs w:val="22"/>
        </w:rPr>
        <w:t xml:space="preserve">promovente </w:t>
      </w:r>
      <w:r w:rsidR="00C276F9">
        <w:rPr>
          <w:rFonts w:ascii="Arial" w:hAnsi="Arial" w:cs="Arial"/>
          <w:bCs/>
          <w:color w:val="auto"/>
          <w:sz w:val="22"/>
          <w:szCs w:val="22"/>
        </w:rPr>
        <w:t>.</w:t>
      </w:r>
      <w:proofErr w:type="gramEnd"/>
      <w:r w:rsidR="00C276F9">
        <w:rPr>
          <w:rFonts w:ascii="Arial" w:hAnsi="Arial" w:cs="Arial"/>
          <w:bCs/>
          <w:color w:val="auto"/>
          <w:sz w:val="22"/>
          <w:szCs w:val="22"/>
        </w:rPr>
        <w:t xml:space="preserve"> </w:t>
      </w:r>
    </w:p>
    <w:p w14:paraId="106259F3" w14:textId="77777777" w:rsidR="0037542D" w:rsidRPr="0098522F" w:rsidRDefault="0037542D" w:rsidP="00401408">
      <w:pPr>
        <w:pStyle w:val="Default"/>
        <w:spacing w:before="60" w:after="60" w:line="360" w:lineRule="auto"/>
        <w:contextualSpacing/>
        <w:jc w:val="both"/>
        <w:rPr>
          <w:rFonts w:ascii="Arial" w:hAnsi="Arial" w:cs="Arial"/>
          <w:bCs/>
          <w:color w:val="auto"/>
          <w:sz w:val="22"/>
          <w:szCs w:val="22"/>
        </w:rPr>
      </w:pPr>
    </w:p>
    <w:p w14:paraId="1A646697" w14:textId="1B070608" w:rsidR="0037542D" w:rsidRPr="0098522F" w:rsidRDefault="00807ADD" w:rsidP="00401408">
      <w:pPr>
        <w:pStyle w:val="Default"/>
        <w:spacing w:before="60" w:after="60" w:line="360" w:lineRule="auto"/>
        <w:contextualSpacing/>
        <w:jc w:val="both"/>
        <w:rPr>
          <w:rFonts w:ascii="Arial" w:hAnsi="Arial" w:cs="Arial"/>
          <w:bCs/>
          <w:color w:val="auto"/>
          <w:sz w:val="22"/>
          <w:szCs w:val="22"/>
        </w:rPr>
      </w:pPr>
      <w:r w:rsidRPr="0098522F">
        <w:rPr>
          <w:rFonts w:ascii="Arial" w:hAnsi="Arial" w:cs="Arial"/>
          <w:bCs/>
          <w:color w:val="auto"/>
          <w:sz w:val="22"/>
          <w:szCs w:val="22"/>
        </w:rPr>
        <w:t>Por otra parte, en relación con el comentario que sugiere que se genere de manera automática e inmediata un acuse electrónico cuando se ingrese un trámite electrónico,</w:t>
      </w:r>
      <w:r w:rsidR="0037542D" w:rsidRPr="0098522F">
        <w:rPr>
          <w:rFonts w:ascii="Arial" w:hAnsi="Arial" w:cs="Arial"/>
          <w:bCs/>
          <w:color w:val="auto"/>
          <w:sz w:val="22"/>
          <w:szCs w:val="22"/>
        </w:rPr>
        <w:t xml:space="preserve"> los párrafos segundo, tercero y cuarto del lineamiento décimo de los “</w:t>
      </w:r>
      <w:r w:rsidR="0037542D" w:rsidRPr="0098522F">
        <w:rPr>
          <w:rFonts w:ascii="Arial" w:hAnsi="Arial" w:cs="Arial"/>
          <w:bCs/>
          <w:i/>
          <w:iCs/>
          <w:color w:val="auto"/>
          <w:sz w:val="22"/>
          <w:szCs w:val="22"/>
        </w:rPr>
        <w:t>Lineamientos para la sustanciación de los trámites y servicios que se realicen ante el Instituto Federal de Telecomunicaciones, a través de la Ventanilla Electrónica"</w:t>
      </w:r>
      <w:r w:rsidR="0037542D" w:rsidRPr="0098522F">
        <w:rPr>
          <w:rFonts w:ascii="Arial" w:hAnsi="Arial" w:cs="Arial"/>
          <w:bCs/>
          <w:color w:val="auto"/>
          <w:sz w:val="22"/>
          <w:szCs w:val="22"/>
        </w:rPr>
        <w:t>, publicados en el Diario Oficial de la Federación el 5 de noviembre de 2019, establece</w:t>
      </w:r>
      <w:r w:rsidR="006D18F2" w:rsidRPr="0098522F">
        <w:rPr>
          <w:rFonts w:ascii="Arial" w:hAnsi="Arial" w:cs="Arial"/>
          <w:bCs/>
          <w:color w:val="auto"/>
          <w:sz w:val="22"/>
          <w:szCs w:val="22"/>
        </w:rPr>
        <w:t>n</w:t>
      </w:r>
      <w:r w:rsidR="0037542D" w:rsidRPr="0098522F">
        <w:rPr>
          <w:rFonts w:ascii="Arial" w:hAnsi="Arial" w:cs="Arial"/>
          <w:bCs/>
          <w:color w:val="auto"/>
          <w:sz w:val="22"/>
          <w:szCs w:val="22"/>
        </w:rPr>
        <w:t xml:space="preserve"> lo siguiente:</w:t>
      </w:r>
    </w:p>
    <w:p w14:paraId="08FE2D94" w14:textId="77777777" w:rsidR="001E5C82" w:rsidRDefault="001E5C82" w:rsidP="00401408">
      <w:pPr>
        <w:pStyle w:val="Default"/>
        <w:spacing w:before="60" w:after="60" w:line="360" w:lineRule="auto"/>
        <w:contextualSpacing/>
        <w:jc w:val="both"/>
        <w:rPr>
          <w:rFonts w:ascii="Arial" w:hAnsi="Arial" w:cs="Arial"/>
          <w:b/>
          <w:color w:val="auto"/>
          <w:sz w:val="22"/>
          <w:szCs w:val="22"/>
        </w:rPr>
      </w:pPr>
    </w:p>
    <w:p w14:paraId="267B8A7D" w14:textId="1160A163" w:rsidR="0037542D" w:rsidRPr="00ED5EBC" w:rsidRDefault="0037542D" w:rsidP="0098522F">
      <w:pPr>
        <w:pStyle w:val="Texto"/>
        <w:spacing w:before="60" w:after="60" w:line="360" w:lineRule="auto"/>
        <w:ind w:left="567" w:right="757" w:firstLine="0"/>
        <w:contextualSpacing/>
        <w:rPr>
          <w:i/>
          <w:iCs/>
          <w:color w:val="000000"/>
        </w:rPr>
      </w:pPr>
      <w:r w:rsidRPr="00ED5EBC">
        <w:rPr>
          <w:b/>
          <w:i/>
          <w:iCs/>
          <w:color w:val="000000"/>
        </w:rPr>
        <w:t>“DÉCIMO. –</w:t>
      </w:r>
      <w:r w:rsidRPr="00ED5EBC">
        <w:rPr>
          <w:i/>
          <w:iCs/>
          <w:color w:val="000000"/>
        </w:rPr>
        <w:t xml:space="preserve"> (…)</w:t>
      </w:r>
    </w:p>
    <w:p w14:paraId="6C7C9D52" w14:textId="77777777" w:rsidR="0037542D" w:rsidRPr="00ED5EBC" w:rsidRDefault="0037542D" w:rsidP="0098522F">
      <w:pPr>
        <w:pStyle w:val="Texto"/>
        <w:spacing w:before="60" w:after="60" w:line="360" w:lineRule="auto"/>
        <w:ind w:left="567" w:right="757" w:firstLine="0"/>
        <w:contextualSpacing/>
        <w:rPr>
          <w:i/>
          <w:iCs/>
        </w:rPr>
      </w:pPr>
      <w:r w:rsidRPr="00ED5EBC">
        <w:rPr>
          <w:i/>
          <w:iCs/>
        </w:rPr>
        <w:t>En los casos en que se realice exitosamente el proceso de comprobación, la Ventanilla Electrónica emitirá un Acuse de Recibo Electrónico, que especificará la información entregada, la fecha y hora en la que se realizó la presentación del eFormato y, en su caso, la información o documentación adjunta correspondiente.</w:t>
      </w:r>
    </w:p>
    <w:p w14:paraId="03AC50AC" w14:textId="77777777" w:rsidR="0037542D" w:rsidRPr="00ED5EBC" w:rsidRDefault="0037542D" w:rsidP="0098522F">
      <w:pPr>
        <w:pStyle w:val="Texto"/>
        <w:spacing w:before="60" w:after="60" w:line="360" w:lineRule="auto"/>
        <w:ind w:left="567" w:right="757" w:firstLine="0"/>
        <w:contextualSpacing/>
        <w:rPr>
          <w:i/>
          <w:iCs/>
        </w:rPr>
      </w:pPr>
      <w:r w:rsidRPr="00ED5EBC">
        <w:rPr>
          <w:i/>
          <w:iCs/>
          <w:color w:val="000000"/>
        </w:rPr>
        <w:t>En caso de que dicha comprobación no sea exitosa, la Ventanilla Electrónica mostrará al Promovente un mensaje indicando el motivo por el cual no fue posible la presentación del Trámite o Servicio correspondiente.</w:t>
      </w:r>
      <w:r w:rsidRPr="00ED5EBC">
        <w:rPr>
          <w:i/>
          <w:iCs/>
        </w:rPr>
        <w:t xml:space="preserve"> En consecuencia, la Ventanilla Electrónica no emitirá ningún Acuse de Recibo Electrónico.</w:t>
      </w:r>
    </w:p>
    <w:p w14:paraId="049F8FF5" w14:textId="35123F4D" w:rsidR="0037542D" w:rsidRPr="00ED5EBC" w:rsidRDefault="0037542D" w:rsidP="0098522F">
      <w:pPr>
        <w:pStyle w:val="Texto"/>
        <w:spacing w:before="60" w:after="60" w:line="360" w:lineRule="auto"/>
        <w:ind w:left="567" w:right="757" w:firstLine="0"/>
        <w:contextualSpacing/>
        <w:rPr>
          <w:i/>
          <w:iCs/>
        </w:rPr>
      </w:pPr>
      <w:r w:rsidRPr="00ED5EBC">
        <w:rPr>
          <w:i/>
          <w:iCs/>
        </w:rPr>
        <w:t xml:space="preserve">Ante esta situación, el Promovente podrá intentar nuevamente la entrega de la información correspondiente en el eFormato y, en su caso, de los </w:t>
      </w:r>
      <w:r w:rsidRPr="00ED5EBC">
        <w:rPr>
          <w:i/>
          <w:iCs/>
          <w:color w:val="000000"/>
        </w:rPr>
        <w:t>Documentos Digitalizados y/o Documentos Generados Electrónicamente</w:t>
      </w:r>
      <w:r w:rsidRPr="00ED5EBC">
        <w:rPr>
          <w:i/>
          <w:iCs/>
        </w:rPr>
        <w:t>, dentro de los plazos correspondientes a cada Trámite y/o Servicio.”</w:t>
      </w:r>
    </w:p>
    <w:p w14:paraId="1AA8A8D0" w14:textId="77777777" w:rsidR="000E65C8" w:rsidRPr="00ED5EBC" w:rsidRDefault="000E65C8" w:rsidP="0098522F">
      <w:pPr>
        <w:pStyle w:val="Texto"/>
        <w:spacing w:before="60" w:after="60" w:line="360" w:lineRule="auto"/>
        <w:contextualSpacing/>
        <w:rPr>
          <w:i/>
          <w:iCs/>
        </w:rPr>
      </w:pPr>
    </w:p>
    <w:p w14:paraId="62425EB3" w14:textId="0C95DF10" w:rsidR="002A16D2" w:rsidRPr="00401408" w:rsidRDefault="002A16D2" w:rsidP="00401408">
      <w:pPr>
        <w:pStyle w:val="Default"/>
        <w:spacing w:before="60" w:after="60" w:line="360" w:lineRule="auto"/>
        <w:contextualSpacing/>
        <w:rPr>
          <w:rFonts w:ascii="Arial" w:hAnsi="Arial" w:cs="Arial"/>
          <w:color w:val="auto"/>
          <w:sz w:val="22"/>
          <w:szCs w:val="22"/>
        </w:rPr>
      </w:pPr>
    </w:p>
    <w:p w14:paraId="2B87B787" w14:textId="01ACA748" w:rsidR="009821B8" w:rsidRDefault="001372B1" w:rsidP="00401408">
      <w:pPr>
        <w:pStyle w:val="Default"/>
        <w:spacing w:before="60" w:after="60" w:line="360" w:lineRule="auto"/>
        <w:contextualSpacing/>
        <w:jc w:val="both"/>
        <w:rPr>
          <w:rFonts w:ascii="Arial" w:hAnsi="Arial" w:cs="Arial"/>
          <w:b/>
          <w:color w:val="auto"/>
          <w:sz w:val="22"/>
          <w:szCs w:val="22"/>
        </w:rPr>
      </w:pPr>
      <w:r w:rsidRPr="0098522F">
        <w:rPr>
          <w:rFonts w:ascii="Arial" w:hAnsi="Arial" w:cs="Arial"/>
          <w:b/>
          <w:color w:val="auto"/>
          <w:sz w:val="22"/>
          <w:szCs w:val="22"/>
        </w:rPr>
        <w:t>3</w:t>
      </w:r>
      <w:r w:rsidR="009821B8" w:rsidRPr="0098522F">
        <w:rPr>
          <w:rFonts w:ascii="Arial" w:hAnsi="Arial" w:cs="Arial"/>
          <w:b/>
          <w:color w:val="auto"/>
          <w:sz w:val="22"/>
          <w:szCs w:val="22"/>
        </w:rPr>
        <w:t xml:space="preserve">. </w:t>
      </w:r>
      <w:r w:rsidR="004A464D" w:rsidRPr="0098522F">
        <w:rPr>
          <w:rFonts w:ascii="Arial" w:hAnsi="Arial" w:cs="Arial"/>
          <w:b/>
          <w:color w:val="auto"/>
          <w:sz w:val="22"/>
          <w:szCs w:val="22"/>
        </w:rPr>
        <w:t>PERIODICIDAD DE REPORTES DE UTILIZACIÓN DE RECURSOS DE NUMERACIÓN</w:t>
      </w:r>
      <w:r w:rsidR="009821B8" w:rsidRPr="0098522F">
        <w:rPr>
          <w:rFonts w:ascii="Arial" w:hAnsi="Arial" w:cs="Arial"/>
          <w:b/>
          <w:color w:val="auto"/>
          <w:sz w:val="22"/>
          <w:szCs w:val="22"/>
        </w:rPr>
        <w:t>.</w:t>
      </w:r>
    </w:p>
    <w:p w14:paraId="70C8871D" w14:textId="77777777" w:rsidR="000E65C8" w:rsidRPr="00401408" w:rsidRDefault="000E65C8" w:rsidP="00401408">
      <w:pPr>
        <w:pStyle w:val="Default"/>
        <w:spacing w:before="60" w:after="60" w:line="360" w:lineRule="auto"/>
        <w:contextualSpacing/>
        <w:jc w:val="both"/>
        <w:rPr>
          <w:rFonts w:ascii="Arial" w:hAnsi="Arial" w:cs="Arial"/>
          <w:b/>
          <w:color w:val="auto"/>
          <w:sz w:val="22"/>
          <w:szCs w:val="22"/>
        </w:rPr>
      </w:pPr>
    </w:p>
    <w:p w14:paraId="42A49E86" w14:textId="0C3CCC36" w:rsidR="009821B8" w:rsidRDefault="004A464D" w:rsidP="004A464D">
      <w:pPr>
        <w:pStyle w:val="Default"/>
        <w:spacing w:before="60" w:after="60" w:line="360" w:lineRule="auto"/>
        <w:contextualSpacing/>
        <w:jc w:val="both"/>
        <w:rPr>
          <w:rFonts w:ascii="Arial" w:hAnsi="Arial" w:cs="Arial"/>
          <w:color w:val="auto"/>
          <w:sz w:val="22"/>
          <w:szCs w:val="22"/>
        </w:rPr>
      </w:pPr>
      <w:r>
        <w:rPr>
          <w:rFonts w:ascii="Arial" w:hAnsi="Arial" w:cs="Arial"/>
          <w:color w:val="auto"/>
          <w:sz w:val="22"/>
          <w:szCs w:val="22"/>
        </w:rPr>
        <w:t>Grupo AT&amp;T</w:t>
      </w:r>
      <w:r w:rsidR="00255EE7">
        <w:rPr>
          <w:rFonts w:ascii="Arial" w:hAnsi="Arial" w:cs="Arial"/>
          <w:color w:val="auto"/>
          <w:sz w:val="22"/>
          <w:szCs w:val="22"/>
        </w:rPr>
        <w:t>, Directo Telecom</w:t>
      </w:r>
      <w:r w:rsidR="0061571F">
        <w:rPr>
          <w:rFonts w:ascii="Arial" w:hAnsi="Arial" w:cs="Arial"/>
          <w:color w:val="auto"/>
          <w:sz w:val="22"/>
          <w:szCs w:val="22"/>
        </w:rPr>
        <w:t>, CANIETI</w:t>
      </w:r>
      <w:r w:rsidR="001E5C82">
        <w:rPr>
          <w:rFonts w:ascii="Arial" w:hAnsi="Arial" w:cs="Arial"/>
          <w:color w:val="auto"/>
          <w:sz w:val="22"/>
          <w:szCs w:val="22"/>
        </w:rPr>
        <w:t xml:space="preserve"> y</w:t>
      </w:r>
      <w:r w:rsidR="00412EA3">
        <w:rPr>
          <w:rFonts w:ascii="Arial" w:hAnsi="Arial" w:cs="Arial"/>
          <w:color w:val="auto"/>
          <w:sz w:val="22"/>
          <w:szCs w:val="22"/>
        </w:rPr>
        <w:t xml:space="preserve"> Telefónica</w:t>
      </w:r>
      <w:r>
        <w:rPr>
          <w:rFonts w:ascii="Arial" w:hAnsi="Arial" w:cs="Arial"/>
          <w:color w:val="auto"/>
          <w:sz w:val="22"/>
          <w:szCs w:val="22"/>
        </w:rPr>
        <w:t xml:space="preserve"> manifiesta</w:t>
      </w:r>
      <w:r w:rsidR="00255EE7">
        <w:rPr>
          <w:rFonts w:ascii="Arial" w:hAnsi="Arial" w:cs="Arial"/>
          <w:color w:val="auto"/>
          <w:sz w:val="22"/>
          <w:szCs w:val="22"/>
        </w:rPr>
        <w:t>n</w:t>
      </w:r>
      <w:r>
        <w:rPr>
          <w:rFonts w:ascii="Arial" w:hAnsi="Arial" w:cs="Arial"/>
          <w:color w:val="auto"/>
          <w:sz w:val="22"/>
          <w:szCs w:val="22"/>
        </w:rPr>
        <w:t xml:space="preserve"> que los reportes de utilización de recursos de numeración no deberían de presentarse con la periodicidad indicada en el plan técnico fundamental de numeración</w:t>
      </w:r>
      <w:r w:rsidR="00294BDD">
        <w:rPr>
          <w:rFonts w:ascii="Arial" w:hAnsi="Arial" w:cs="Arial"/>
          <w:color w:val="auto"/>
          <w:sz w:val="22"/>
          <w:szCs w:val="22"/>
        </w:rPr>
        <w:t xml:space="preserve"> publicado en el Diario Oficial de la Federación el 11 de mayo de 2018</w:t>
      </w:r>
      <w:r w:rsidR="00255EE7">
        <w:rPr>
          <w:rFonts w:ascii="Arial" w:hAnsi="Arial" w:cs="Arial"/>
          <w:color w:val="auto"/>
          <w:sz w:val="22"/>
          <w:szCs w:val="22"/>
        </w:rPr>
        <w:t>, al considerarse excesivo,</w:t>
      </w:r>
      <w:r>
        <w:rPr>
          <w:rFonts w:ascii="Arial" w:hAnsi="Arial" w:cs="Arial"/>
          <w:color w:val="auto"/>
          <w:sz w:val="22"/>
          <w:szCs w:val="22"/>
        </w:rPr>
        <w:t xml:space="preserve"> y proponen que su presentación sea anual</w:t>
      </w:r>
      <w:r w:rsidR="0061571F">
        <w:rPr>
          <w:rFonts w:ascii="Arial" w:hAnsi="Arial" w:cs="Arial"/>
          <w:color w:val="auto"/>
          <w:sz w:val="22"/>
          <w:szCs w:val="22"/>
        </w:rPr>
        <w:t>, semestral</w:t>
      </w:r>
      <w:r>
        <w:rPr>
          <w:rFonts w:ascii="Arial" w:hAnsi="Arial" w:cs="Arial"/>
          <w:color w:val="auto"/>
          <w:sz w:val="22"/>
          <w:szCs w:val="22"/>
        </w:rPr>
        <w:t xml:space="preserve"> o, en su caso, cuando se solicite nueva numeración.</w:t>
      </w:r>
    </w:p>
    <w:p w14:paraId="151DDD57" w14:textId="35C107BB" w:rsidR="009821B8" w:rsidRPr="00401408" w:rsidRDefault="009821B8" w:rsidP="00401408">
      <w:pPr>
        <w:pStyle w:val="Default"/>
        <w:spacing w:before="60" w:after="60" w:line="360" w:lineRule="auto"/>
        <w:contextualSpacing/>
        <w:rPr>
          <w:rFonts w:ascii="Arial" w:hAnsi="Arial" w:cs="Arial"/>
          <w:color w:val="auto"/>
          <w:sz w:val="22"/>
          <w:szCs w:val="22"/>
        </w:rPr>
      </w:pPr>
    </w:p>
    <w:p w14:paraId="29A87C6D" w14:textId="32EF8ADD" w:rsidR="00482223" w:rsidRPr="00401408" w:rsidRDefault="000064BF"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b/>
          <w:color w:val="auto"/>
          <w:sz w:val="22"/>
          <w:szCs w:val="22"/>
        </w:rPr>
        <w:t xml:space="preserve">RESPUESTA: </w:t>
      </w:r>
      <w:r w:rsidR="004A464D" w:rsidRPr="004A464D">
        <w:rPr>
          <w:rFonts w:ascii="Arial" w:hAnsi="Arial" w:cs="Arial"/>
          <w:color w:val="auto"/>
          <w:sz w:val="22"/>
          <w:szCs w:val="22"/>
        </w:rPr>
        <w:t>La propuesta no resulta atendible debido a que, de conformidad con las disposiciones aplicables al proceso consultivo correspondiente, se encuentra fuera del alcance del Anteproyecto al no estar relacionada con el objeto de dicho proceso consultivo.</w:t>
      </w:r>
    </w:p>
    <w:p w14:paraId="14B6656B" w14:textId="345D73DE" w:rsidR="00763E7D" w:rsidRPr="00401408" w:rsidRDefault="00763E7D" w:rsidP="00401408">
      <w:pPr>
        <w:pStyle w:val="Default"/>
        <w:spacing w:before="60" w:after="60" w:line="360" w:lineRule="auto"/>
        <w:contextualSpacing/>
        <w:jc w:val="both"/>
        <w:rPr>
          <w:rFonts w:ascii="Arial" w:hAnsi="Arial" w:cs="Arial"/>
          <w:b/>
          <w:color w:val="auto"/>
          <w:sz w:val="22"/>
          <w:szCs w:val="22"/>
        </w:rPr>
      </w:pPr>
    </w:p>
    <w:p w14:paraId="0032D5C2" w14:textId="31298B5B" w:rsidR="00763E7D" w:rsidRPr="00401408" w:rsidRDefault="00486A9C" w:rsidP="00401408">
      <w:pPr>
        <w:pStyle w:val="Default"/>
        <w:spacing w:before="60" w:after="60" w:line="360" w:lineRule="auto"/>
        <w:contextualSpacing/>
        <w:jc w:val="both"/>
        <w:rPr>
          <w:rFonts w:ascii="Arial" w:hAnsi="Arial" w:cs="Arial"/>
          <w:b/>
          <w:color w:val="auto"/>
          <w:sz w:val="22"/>
          <w:szCs w:val="22"/>
        </w:rPr>
      </w:pPr>
      <w:r w:rsidRPr="0098522F">
        <w:rPr>
          <w:rFonts w:ascii="Arial" w:hAnsi="Arial" w:cs="Arial"/>
          <w:b/>
          <w:color w:val="auto"/>
          <w:sz w:val="22"/>
          <w:szCs w:val="22"/>
        </w:rPr>
        <w:t>4</w:t>
      </w:r>
      <w:r w:rsidR="00763E7D" w:rsidRPr="0098522F">
        <w:rPr>
          <w:rFonts w:ascii="Arial" w:hAnsi="Arial" w:cs="Arial"/>
          <w:b/>
          <w:color w:val="auto"/>
          <w:sz w:val="22"/>
          <w:szCs w:val="22"/>
        </w:rPr>
        <w:t xml:space="preserve">. </w:t>
      </w:r>
      <w:r w:rsidR="00325A95" w:rsidRPr="0098522F">
        <w:rPr>
          <w:rFonts w:ascii="Arial" w:hAnsi="Arial" w:cs="Arial"/>
          <w:b/>
          <w:color w:val="auto"/>
          <w:sz w:val="22"/>
          <w:szCs w:val="22"/>
        </w:rPr>
        <w:t>MODIFICACIÓN AL PROCEDIMIENTO DE ASIGNACIÓN DE UN CÓDIGO DE IDENTIFICACIÓN ADMINISTRATIVO (IDA)</w:t>
      </w:r>
      <w:r w:rsidR="00763E7D" w:rsidRPr="0098522F">
        <w:rPr>
          <w:rFonts w:ascii="Arial" w:hAnsi="Arial" w:cs="Arial"/>
          <w:b/>
          <w:color w:val="auto"/>
          <w:sz w:val="22"/>
          <w:szCs w:val="22"/>
        </w:rPr>
        <w:t>.</w:t>
      </w:r>
    </w:p>
    <w:p w14:paraId="6B796441" w14:textId="2B07F0B3" w:rsidR="00763E7D" w:rsidRPr="00401408" w:rsidRDefault="00763E7D" w:rsidP="00401408">
      <w:pPr>
        <w:pStyle w:val="Default"/>
        <w:spacing w:before="60" w:after="60" w:line="360" w:lineRule="auto"/>
        <w:contextualSpacing/>
        <w:jc w:val="both"/>
        <w:rPr>
          <w:rFonts w:ascii="Arial" w:hAnsi="Arial" w:cs="Arial"/>
          <w:b/>
          <w:color w:val="auto"/>
          <w:sz w:val="22"/>
          <w:szCs w:val="22"/>
        </w:rPr>
      </w:pPr>
    </w:p>
    <w:p w14:paraId="6AA9C9D5" w14:textId="31644DB8" w:rsidR="00763E7D" w:rsidRDefault="00325A95" w:rsidP="00401408">
      <w:pPr>
        <w:pStyle w:val="Default"/>
        <w:spacing w:before="60" w:after="60" w:line="360" w:lineRule="auto"/>
        <w:contextualSpacing/>
        <w:jc w:val="both"/>
        <w:rPr>
          <w:rFonts w:ascii="Arial" w:hAnsi="Arial" w:cs="Arial"/>
          <w:color w:val="auto"/>
          <w:sz w:val="22"/>
          <w:szCs w:val="22"/>
        </w:rPr>
      </w:pPr>
      <w:r>
        <w:rPr>
          <w:rFonts w:ascii="Arial" w:hAnsi="Arial" w:cs="Arial"/>
          <w:color w:val="auto"/>
          <w:sz w:val="22"/>
          <w:szCs w:val="22"/>
        </w:rPr>
        <w:t>ASM solicita al Instituto que se modifique el numeral 8.5.2. del plan técnico fundamental de numeración, publicado en el Diario Oficial de la Federación el 21 de junio de 1996, en los siguientes términos:</w:t>
      </w:r>
    </w:p>
    <w:p w14:paraId="1104B438" w14:textId="77777777" w:rsidR="00325A95" w:rsidRDefault="00325A95" w:rsidP="00401408">
      <w:pPr>
        <w:pStyle w:val="Default"/>
        <w:spacing w:before="60" w:after="60" w:line="360" w:lineRule="auto"/>
        <w:contextualSpacing/>
        <w:jc w:val="both"/>
        <w:rPr>
          <w:rFonts w:ascii="Arial" w:hAnsi="Arial" w:cs="Arial"/>
          <w:color w:val="auto"/>
          <w:sz w:val="22"/>
          <w:szCs w:val="22"/>
        </w:rPr>
      </w:pPr>
    </w:p>
    <w:p w14:paraId="2A5316A2" w14:textId="7E36EAA9" w:rsidR="00325A95" w:rsidRDefault="008E219E" w:rsidP="00325A95">
      <w:pPr>
        <w:pStyle w:val="Default"/>
        <w:spacing w:before="60" w:after="60" w:line="360" w:lineRule="auto"/>
        <w:contextualSpacing/>
        <w:jc w:val="both"/>
        <w:rPr>
          <w:rFonts w:ascii="Arial" w:hAnsi="Arial" w:cs="Arial"/>
          <w:bCs/>
          <w:color w:val="auto"/>
          <w:sz w:val="22"/>
          <w:szCs w:val="22"/>
        </w:rPr>
      </w:pPr>
      <w:r>
        <w:rPr>
          <w:rFonts w:ascii="Arial" w:hAnsi="Arial" w:cs="Arial"/>
          <w:bCs/>
          <w:color w:val="auto"/>
          <w:sz w:val="22"/>
          <w:szCs w:val="22"/>
        </w:rPr>
        <w:t>D</w:t>
      </w:r>
      <w:r w:rsidR="00486A9C">
        <w:rPr>
          <w:rFonts w:ascii="Arial" w:hAnsi="Arial" w:cs="Arial"/>
          <w:bCs/>
          <w:color w:val="auto"/>
          <w:sz w:val="22"/>
          <w:szCs w:val="22"/>
        </w:rPr>
        <w:t>ice</w:t>
      </w:r>
      <w:r w:rsidR="00325A95">
        <w:rPr>
          <w:rFonts w:ascii="Arial" w:hAnsi="Arial" w:cs="Arial"/>
          <w:bCs/>
          <w:color w:val="auto"/>
          <w:sz w:val="22"/>
          <w:szCs w:val="22"/>
        </w:rPr>
        <w:t>:</w:t>
      </w:r>
    </w:p>
    <w:p w14:paraId="1D6EFF4B" w14:textId="77777777" w:rsidR="00ED5EBC" w:rsidRPr="00325A95" w:rsidRDefault="00ED5EBC" w:rsidP="00325A95">
      <w:pPr>
        <w:pStyle w:val="Default"/>
        <w:spacing w:before="60" w:after="60" w:line="360" w:lineRule="auto"/>
        <w:contextualSpacing/>
        <w:jc w:val="both"/>
        <w:rPr>
          <w:rFonts w:ascii="Arial" w:hAnsi="Arial" w:cs="Arial"/>
          <w:bCs/>
          <w:color w:val="auto"/>
          <w:sz w:val="22"/>
          <w:szCs w:val="22"/>
        </w:rPr>
      </w:pPr>
    </w:p>
    <w:p w14:paraId="411D3B9F" w14:textId="0CF1722F" w:rsidR="00325A95" w:rsidRPr="0098522F" w:rsidRDefault="006D18F2" w:rsidP="0098522F">
      <w:pPr>
        <w:pStyle w:val="Default"/>
        <w:spacing w:before="60" w:after="60" w:line="360" w:lineRule="auto"/>
        <w:ind w:left="567" w:right="757"/>
        <w:contextualSpacing/>
        <w:jc w:val="both"/>
        <w:rPr>
          <w:rFonts w:ascii="Arial" w:hAnsi="Arial" w:cs="Arial"/>
          <w:bCs/>
          <w:i/>
          <w:iCs/>
          <w:color w:val="auto"/>
          <w:sz w:val="18"/>
          <w:szCs w:val="18"/>
        </w:rPr>
      </w:pPr>
      <w:r w:rsidRPr="0098522F">
        <w:rPr>
          <w:rFonts w:ascii="Arial" w:hAnsi="Arial" w:cs="Arial"/>
          <w:bCs/>
          <w:color w:val="auto"/>
          <w:sz w:val="18"/>
          <w:szCs w:val="18"/>
        </w:rPr>
        <w:t>“</w:t>
      </w:r>
      <w:r w:rsidR="00C35B13" w:rsidRPr="0098522F">
        <w:rPr>
          <w:rFonts w:ascii="Arial" w:hAnsi="Arial" w:cs="Arial"/>
          <w:b/>
          <w:color w:val="auto"/>
          <w:sz w:val="18"/>
          <w:szCs w:val="18"/>
        </w:rPr>
        <w:t>8.5.2.</w:t>
      </w:r>
      <w:r w:rsidR="00C35B13">
        <w:rPr>
          <w:rFonts w:ascii="Arial" w:hAnsi="Arial" w:cs="Arial"/>
          <w:bCs/>
          <w:color w:val="auto"/>
          <w:sz w:val="18"/>
          <w:szCs w:val="18"/>
        </w:rPr>
        <w:t xml:space="preserve"> </w:t>
      </w:r>
      <w:r w:rsidR="00325A95" w:rsidRPr="0098522F">
        <w:rPr>
          <w:rFonts w:ascii="Arial" w:hAnsi="Arial" w:cs="Arial"/>
          <w:bCs/>
          <w:i/>
          <w:iCs/>
          <w:color w:val="auto"/>
          <w:sz w:val="18"/>
          <w:szCs w:val="18"/>
        </w:rPr>
        <w:t>Los Códigos de Identificación Administrativos (IDA) serán iguales al IDO cuando se trate de titulares de una concesión única para uso comercial, de una concesión para uso comercial con</w:t>
      </w:r>
      <w:r w:rsidR="00325A95" w:rsidRPr="0098522F">
        <w:rPr>
          <w:bCs/>
          <w:i/>
          <w:iCs/>
          <w:sz w:val="18"/>
          <w:szCs w:val="18"/>
        </w:rPr>
        <w:t xml:space="preserve"> </w:t>
      </w:r>
      <w:r w:rsidR="00325A95" w:rsidRPr="0098522F">
        <w:rPr>
          <w:rFonts w:ascii="Arial" w:hAnsi="Arial" w:cs="Arial"/>
          <w:bCs/>
          <w:i/>
          <w:iCs/>
          <w:color w:val="auto"/>
          <w:sz w:val="18"/>
          <w:szCs w:val="18"/>
        </w:rPr>
        <w:t>carácter de red mayorista de servicios de telecomunicaciones o de una concesión para instalar, operar y explotar una red pública de telecomunicaciones.</w:t>
      </w:r>
    </w:p>
    <w:p w14:paraId="67E945AE" w14:textId="77777777" w:rsidR="00683059" w:rsidRPr="0098522F" w:rsidRDefault="00683059" w:rsidP="0098522F">
      <w:pPr>
        <w:pStyle w:val="Default"/>
        <w:spacing w:before="60" w:after="60" w:line="360" w:lineRule="auto"/>
        <w:ind w:left="567" w:right="757"/>
        <w:contextualSpacing/>
        <w:jc w:val="both"/>
        <w:rPr>
          <w:rFonts w:ascii="Arial" w:hAnsi="Arial" w:cs="Arial"/>
          <w:bCs/>
          <w:i/>
          <w:iCs/>
          <w:color w:val="auto"/>
          <w:sz w:val="18"/>
          <w:szCs w:val="18"/>
        </w:rPr>
      </w:pPr>
    </w:p>
    <w:p w14:paraId="19851616" w14:textId="3E67721F" w:rsidR="00325A95" w:rsidRPr="0098522F" w:rsidRDefault="00325A95" w:rsidP="0098522F">
      <w:pPr>
        <w:pStyle w:val="Default"/>
        <w:spacing w:before="60" w:after="60" w:line="360" w:lineRule="auto"/>
        <w:ind w:left="567" w:right="757"/>
        <w:contextualSpacing/>
        <w:jc w:val="both"/>
        <w:rPr>
          <w:rFonts w:ascii="Arial" w:hAnsi="Arial" w:cs="Arial"/>
          <w:bCs/>
          <w:color w:val="auto"/>
          <w:sz w:val="18"/>
          <w:szCs w:val="18"/>
        </w:rPr>
      </w:pPr>
      <w:r w:rsidRPr="0098522F">
        <w:rPr>
          <w:rFonts w:ascii="Arial" w:hAnsi="Arial" w:cs="Arial"/>
          <w:bCs/>
          <w:i/>
          <w:iCs/>
          <w:color w:val="auto"/>
          <w:sz w:val="18"/>
          <w:szCs w:val="18"/>
        </w:rPr>
        <w:t>Las comercializadoras y los titulares de una concesión única para uso público o para uso social únicamente serán sujetos de asignación de un código IDA, por lo que deberán solicitar su asignación de conformidad con la estructura señalada en el numeral 5.5.3. Para que proceda la asignación, el Instituto verificará que éstos hayan inscrito en el Registro Público de Concesiones a que se refiere el artículo 177 de la Ley, un convenio de prestación de servicios de telecomunicaciones celebrado con algún Concesionario de uso comercial o de RPT, que sea asignatario de un código IDO y que dicho convenio contenga expresamente la autorización de estos tipos de concesionarios para que la Comercializadora o el titular de una concesión única para uso público o para uso social utilice su código IDO en la solicitud de numeración</w:t>
      </w:r>
      <w:r w:rsidRPr="0098522F">
        <w:rPr>
          <w:rFonts w:ascii="Arial" w:hAnsi="Arial" w:cs="Arial"/>
          <w:bCs/>
          <w:color w:val="auto"/>
          <w:sz w:val="18"/>
          <w:szCs w:val="18"/>
        </w:rPr>
        <w:t>.</w:t>
      </w:r>
      <w:r w:rsidR="006D18F2" w:rsidRPr="0098522F">
        <w:rPr>
          <w:rFonts w:ascii="Arial" w:hAnsi="Arial" w:cs="Arial"/>
          <w:bCs/>
          <w:color w:val="auto"/>
          <w:sz w:val="18"/>
          <w:szCs w:val="18"/>
        </w:rPr>
        <w:t>”</w:t>
      </w:r>
    </w:p>
    <w:p w14:paraId="341A215E" w14:textId="77777777" w:rsidR="00325A95" w:rsidRDefault="00325A95" w:rsidP="00325A95">
      <w:pPr>
        <w:pStyle w:val="Default"/>
        <w:spacing w:before="60" w:after="60" w:line="360" w:lineRule="auto"/>
        <w:contextualSpacing/>
        <w:jc w:val="both"/>
        <w:rPr>
          <w:rFonts w:ascii="Arial" w:hAnsi="Arial" w:cs="Arial"/>
          <w:bCs/>
          <w:color w:val="auto"/>
          <w:sz w:val="22"/>
          <w:szCs w:val="22"/>
        </w:rPr>
      </w:pPr>
    </w:p>
    <w:p w14:paraId="21ACFCDF" w14:textId="40650106" w:rsidR="00325A95" w:rsidRDefault="008E219E" w:rsidP="00325A95">
      <w:pPr>
        <w:pStyle w:val="Default"/>
        <w:spacing w:before="60" w:after="60" w:line="360" w:lineRule="auto"/>
        <w:contextualSpacing/>
        <w:jc w:val="both"/>
        <w:rPr>
          <w:rFonts w:ascii="Arial" w:hAnsi="Arial" w:cs="Arial"/>
          <w:bCs/>
          <w:color w:val="auto"/>
          <w:sz w:val="22"/>
          <w:szCs w:val="22"/>
        </w:rPr>
      </w:pPr>
      <w:r>
        <w:rPr>
          <w:rFonts w:ascii="Arial" w:hAnsi="Arial" w:cs="Arial"/>
          <w:bCs/>
          <w:color w:val="auto"/>
          <w:sz w:val="22"/>
          <w:szCs w:val="22"/>
        </w:rPr>
        <w:t>Debe decir</w:t>
      </w:r>
      <w:r w:rsidR="00325A95" w:rsidRPr="00325A95">
        <w:rPr>
          <w:rFonts w:ascii="Arial" w:hAnsi="Arial" w:cs="Arial"/>
          <w:bCs/>
          <w:color w:val="auto"/>
          <w:sz w:val="22"/>
          <w:szCs w:val="22"/>
        </w:rPr>
        <w:t>:</w:t>
      </w:r>
    </w:p>
    <w:p w14:paraId="1A143ACB" w14:textId="77777777" w:rsidR="00325A95" w:rsidRPr="00325A95" w:rsidRDefault="00325A95" w:rsidP="00325A95">
      <w:pPr>
        <w:pStyle w:val="Default"/>
        <w:spacing w:before="60" w:after="60" w:line="360" w:lineRule="auto"/>
        <w:contextualSpacing/>
        <w:jc w:val="both"/>
        <w:rPr>
          <w:rFonts w:ascii="Arial" w:hAnsi="Arial" w:cs="Arial"/>
          <w:bCs/>
          <w:color w:val="auto"/>
          <w:sz w:val="22"/>
          <w:szCs w:val="22"/>
        </w:rPr>
      </w:pPr>
    </w:p>
    <w:p w14:paraId="046DB74E" w14:textId="488E0F8F" w:rsidR="00325A95" w:rsidRPr="0098522F" w:rsidRDefault="008E219E" w:rsidP="0098522F">
      <w:pPr>
        <w:pStyle w:val="Default"/>
        <w:spacing w:before="60" w:after="60" w:line="360" w:lineRule="auto"/>
        <w:ind w:left="567" w:right="757"/>
        <w:contextualSpacing/>
        <w:jc w:val="both"/>
        <w:rPr>
          <w:rFonts w:ascii="Arial" w:hAnsi="Arial" w:cs="Arial"/>
          <w:bCs/>
          <w:i/>
          <w:iCs/>
          <w:color w:val="auto"/>
          <w:sz w:val="18"/>
          <w:szCs w:val="18"/>
        </w:rPr>
      </w:pPr>
      <w:r>
        <w:rPr>
          <w:rFonts w:ascii="Arial" w:hAnsi="Arial" w:cs="Arial"/>
          <w:bCs/>
          <w:i/>
          <w:iCs/>
          <w:color w:val="auto"/>
          <w:sz w:val="22"/>
          <w:szCs w:val="22"/>
        </w:rPr>
        <w:t>“</w:t>
      </w:r>
      <w:r w:rsidRPr="0098522F">
        <w:rPr>
          <w:rFonts w:ascii="Arial" w:hAnsi="Arial" w:cs="Arial"/>
          <w:b/>
          <w:i/>
          <w:iCs/>
          <w:color w:val="auto"/>
          <w:sz w:val="18"/>
          <w:szCs w:val="18"/>
        </w:rPr>
        <w:t>8.5.2.</w:t>
      </w:r>
      <w:r w:rsidRPr="0098522F">
        <w:rPr>
          <w:rFonts w:ascii="Arial" w:hAnsi="Arial" w:cs="Arial"/>
          <w:bCs/>
          <w:i/>
          <w:iCs/>
          <w:color w:val="auto"/>
          <w:sz w:val="18"/>
          <w:szCs w:val="18"/>
        </w:rPr>
        <w:t xml:space="preserve"> </w:t>
      </w:r>
      <w:r w:rsidR="00325A95" w:rsidRPr="0098522F">
        <w:rPr>
          <w:rFonts w:ascii="Arial" w:hAnsi="Arial" w:cs="Arial"/>
          <w:bCs/>
          <w:i/>
          <w:iCs/>
          <w:color w:val="auto"/>
          <w:sz w:val="18"/>
          <w:szCs w:val="18"/>
        </w:rPr>
        <w:t>Los Códigos de Identificación Administrativos (IDA) serán iguales al IDO cuando se trate de titulares de una concesión única para uso comercial, de una concesión para uso comercial con carácter de red mayorista de servicios de telecomunicaciones o de una concesión para instalar, operar y explotar una red pública de telecomunicaciones.</w:t>
      </w:r>
    </w:p>
    <w:p w14:paraId="112821B5" w14:textId="77777777" w:rsidR="00325A95" w:rsidRPr="0098522F" w:rsidRDefault="00325A95" w:rsidP="0098522F">
      <w:pPr>
        <w:pStyle w:val="Default"/>
        <w:spacing w:before="60" w:after="60" w:line="360" w:lineRule="auto"/>
        <w:ind w:left="567" w:right="757"/>
        <w:contextualSpacing/>
        <w:jc w:val="both"/>
        <w:rPr>
          <w:rFonts w:ascii="Arial" w:hAnsi="Arial" w:cs="Arial"/>
          <w:bCs/>
          <w:i/>
          <w:iCs/>
          <w:color w:val="auto"/>
          <w:sz w:val="18"/>
          <w:szCs w:val="18"/>
        </w:rPr>
      </w:pPr>
    </w:p>
    <w:p w14:paraId="44E57B7D" w14:textId="6AECB645" w:rsidR="000E65C8" w:rsidRDefault="00325A95" w:rsidP="008E219E">
      <w:pPr>
        <w:pStyle w:val="Default"/>
        <w:spacing w:before="60" w:after="60" w:line="360" w:lineRule="auto"/>
        <w:ind w:left="567" w:right="757"/>
        <w:contextualSpacing/>
        <w:jc w:val="both"/>
        <w:rPr>
          <w:rFonts w:ascii="Arial" w:hAnsi="Arial" w:cs="Arial"/>
          <w:bCs/>
          <w:i/>
          <w:iCs/>
          <w:color w:val="auto"/>
          <w:sz w:val="22"/>
          <w:szCs w:val="22"/>
        </w:rPr>
      </w:pPr>
      <w:r w:rsidRPr="0098522F">
        <w:rPr>
          <w:rFonts w:ascii="Arial" w:hAnsi="Arial" w:cs="Arial"/>
          <w:bCs/>
          <w:i/>
          <w:iCs/>
          <w:color w:val="auto"/>
          <w:sz w:val="18"/>
          <w:szCs w:val="18"/>
        </w:rPr>
        <w:t xml:space="preserve">Las comercializadoras y los titulares de una concesión única para uso público o para uso social únicamente serán sujetos de asignación de un código IDA, por lo que deberán solicitar su asignación de conformidad con la estructura señalada en el numeral 5.5.3. Para que proceda la asignación, el Instituto verificará que éstos hayan inscrito en el Registro Público de Concesiones a que se refiere el artículo 177 de la Ley, un convenio de prestación de servicios de telecomunicaciones celebrado con algún Concesionario de uso comercial o de RPT, que sea asignatario de un código IDO y que dicho convenio contenga expresamente la autorización de estos tipos de concesionarios para que la Comercializadora o el titular de una concesión única para uso público o para uso social utilice su código IDO </w:t>
      </w:r>
      <w:r w:rsidRPr="0098522F">
        <w:rPr>
          <w:rFonts w:ascii="Arial" w:hAnsi="Arial" w:cs="Arial"/>
          <w:b/>
          <w:i/>
          <w:iCs/>
          <w:color w:val="auto"/>
          <w:sz w:val="18"/>
          <w:szCs w:val="18"/>
        </w:rPr>
        <w:t>o, en su caso y cuando así lo requiera su operación, el código IDO compartido, de conformidad con el numeral 8.5.8</w:t>
      </w:r>
      <w:r w:rsidRPr="0098522F">
        <w:rPr>
          <w:rFonts w:ascii="Arial" w:hAnsi="Arial" w:cs="Arial"/>
          <w:bCs/>
          <w:i/>
          <w:iCs/>
          <w:color w:val="auto"/>
          <w:sz w:val="18"/>
          <w:szCs w:val="18"/>
        </w:rPr>
        <w:t>, en la solicitud de numeración</w:t>
      </w:r>
      <w:r w:rsidRPr="0098522F">
        <w:rPr>
          <w:rFonts w:ascii="Arial" w:hAnsi="Arial" w:cs="Arial"/>
          <w:bCs/>
          <w:i/>
          <w:iCs/>
          <w:color w:val="auto"/>
          <w:sz w:val="22"/>
          <w:szCs w:val="22"/>
        </w:rPr>
        <w:t>.</w:t>
      </w:r>
      <w:r w:rsidR="008E219E">
        <w:rPr>
          <w:rFonts w:ascii="Arial" w:hAnsi="Arial" w:cs="Arial"/>
          <w:bCs/>
          <w:i/>
          <w:iCs/>
          <w:color w:val="auto"/>
          <w:sz w:val="22"/>
          <w:szCs w:val="22"/>
        </w:rPr>
        <w:t>”</w:t>
      </w:r>
    </w:p>
    <w:p w14:paraId="21D9DFE9" w14:textId="77777777" w:rsidR="008E219E" w:rsidRPr="008E219E" w:rsidRDefault="008E219E" w:rsidP="008E219E">
      <w:pPr>
        <w:pStyle w:val="Default"/>
        <w:spacing w:before="60" w:after="60" w:line="360" w:lineRule="auto"/>
        <w:ind w:left="567" w:right="757"/>
        <w:contextualSpacing/>
        <w:jc w:val="both"/>
        <w:rPr>
          <w:rFonts w:ascii="Arial" w:hAnsi="Arial" w:cs="Arial"/>
          <w:bCs/>
          <w:i/>
          <w:iCs/>
          <w:color w:val="auto"/>
          <w:sz w:val="22"/>
          <w:szCs w:val="22"/>
        </w:rPr>
      </w:pPr>
    </w:p>
    <w:p w14:paraId="1EB0A2D6" w14:textId="13692CB9" w:rsidR="00594A73" w:rsidRPr="00401408" w:rsidRDefault="00763E7D" w:rsidP="00401408">
      <w:pPr>
        <w:spacing w:before="60" w:after="60" w:line="360" w:lineRule="auto"/>
        <w:contextualSpacing/>
        <w:jc w:val="both"/>
        <w:rPr>
          <w:rFonts w:ascii="Arial" w:hAnsi="Arial" w:cs="Arial"/>
        </w:rPr>
      </w:pPr>
      <w:r w:rsidRPr="00401408">
        <w:rPr>
          <w:rFonts w:ascii="Arial" w:hAnsi="Arial" w:cs="Arial"/>
          <w:b/>
        </w:rPr>
        <w:t xml:space="preserve">RESPUESTA: </w:t>
      </w:r>
      <w:r w:rsidR="00325A95" w:rsidRPr="004A464D">
        <w:rPr>
          <w:rFonts w:ascii="Arial" w:hAnsi="Arial" w:cs="Arial"/>
        </w:rPr>
        <w:t>La propuesta no resulta atendible debido a que, de conformidad con las disposiciones aplicables al proceso consultivo correspondiente, se encuentra fuera del alcance del Anteproyecto al no estar relacionada con el objeto de dicho proceso consultivo.</w:t>
      </w:r>
    </w:p>
    <w:p w14:paraId="17EA5510" w14:textId="77777777" w:rsidR="008E219E" w:rsidRDefault="008E219E" w:rsidP="00401408">
      <w:pPr>
        <w:pStyle w:val="Default"/>
        <w:spacing w:before="60" w:after="60" w:line="360" w:lineRule="auto"/>
        <w:contextualSpacing/>
        <w:jc w:val="both"/>
        <w:rPr>
          <w:rFonts w:ascii="Arial" w:hAnsi="Arial" w:cs="Arial"/>
          <w:b/>
          <w:color w:val="auto"/>
          <w:sz w:val="22"/>
          <w:szCs w:val="22"/>
        </w:rPr>
      </w:pPr>
    </w:p>
    <w:p w14:paraId="7C8E306D" w14:textId="118691EF" w:rsidR="00763E7D" w:rsidRPr="00401408" w:rsidRDefault="008E219E" w:rsidP="00401408">
      <w:pPr>
        <w:pStyle w:val="Default"/>
        <w:spacing w:before="60" w:after="60" w:line="360" w:lineRule="auto"/>
        <w:contextualSpacing/>
        <w:jc w:val="both"/>
        <w:rPr>
          <w:rFonts w:ascii="Arial" w:hAnsi="Arial" w:cs="Arial"/>
          <w:b/>
          <w:color w:val="auto"/>
          <w:sz w:val="22"/>
          <w:szCs w:val="22"/>
        </w:rPr>
      </w:pPr>
      <w:r w:rsidRPr="0098522F">
        <w:rPr>
          <w:rFonts w:ascii="Arial" w:hAnsi="Arial" w:cs="Arial"/>
          <w:b/>
          <w:color w:val="auto"/>
          <w:sz w:val="22"/>
          <w:szCs w:val="22"/>
        </w:rPr>
        <w:t>5</w:t>
      </w:r>
      <w:r w:rsidR="00466B90" w:rsidRPr="0098522F">
        <w:rPr>
          <w:rFonts w:ascii="Arial" w:hAnsi="Arial" w:cs="Arial"/>
          <w:b/>
          <w:color w:val="auto"/>
          <w:sz w:val="22"/>
          <w:szCs w:val="22"/>
        </w:rPr>
        <w:t>.</w:t>
      </w:r>
      <w:r w:rsidR="00F22581" w:rsidRPr="0098522F">
        <w:rPr>
          <w:rFonts w:ascii="Arial" w:hAnsi="Arial" w:cs="Arial"/>
          <w:b/>
          <w:color w:val="auto"/>
          <w:sz w:val="22"/>
          <w:szCs w:val="22"/>
        </w:rPr>
        <w:t xml:space="preserve"> REPORTES DE UTILIZACIÓN DE NUMERACIÓN ASIGNADA Y PROVISTA</w:t>
      </w:r>
      <w:r w:rsidR="00466B90" w:rsidRPr="0098522F">
        <w:rPr>
          <w:rFonts w:ascii="Arial" w:hAnsi="Arial" w:cs="Arial"/>
          <w:b/>
          <w:color w:val="auto"/>
          <w:sz w:val="22"/>
          <w:szCs w:val="22"/>
        </w:rPr>
        <w:t>.</w:t>
      </w:r>
    </w:p>
    <w:p w14:paraId="636887F2" w14:textId="107C800C" w:rsidR="00763E7D" w:rsidRDefault="00763E7D" w:rsidP="00401408">
      <w:pPr>
        <w:pStyle w:val="Default"/>
        <w:spacing w:before="60" w:after="60" w:line="360" w:lineRule="auto"/>
        <w:contextualSpacing/>
        <w:jc w:val="both"/>
        <w:rPr>
          <w:rFonts w:ascii="Arial" w:hAnsi="Arial" w:cs="Arial"/>
          <w:b/>
          <w:color w:val="auto"/>
          <w:sz w:val="22"/>
          <w:szCs w:val="22"/>
        </w:rPr>
      </w:pPr>
    </w:p>
    <w:p w14:paraId="5A0128CB" w14:textId="0F8C9952" w:rsidR="008E72B2" w:rsidRPr="008E72B2" w:rsidRDefault="00F22581" w:rsidP="00401408">
      <w:pPr>
        <w:pStyle w:val="Default"/>
        <w:spacing w:before="60" w:after="60" w:line="360" w:lineRule="auto"/>
        <w:contextualSpacing/>
        <w:jc w:val="both"/>
        <w:rPr>
          <w:rFonts w:ascii="Arial" w:hAnsi="Arial" w:cs="Arial"/>
          <w:bCs/>
          <w:color w:val="auto"/>
          <w:sz w:val="22"/>
          <w:szCs w:val="22"/>
        </w:rPr>
      </w:pPr>
      <w:r w:rsidRPr="008E72B2">
        <w:rPr>
          <w:rFonts w:ascii="Arial" w:hAnsi="Arial" w:cs="Arial"/>
          <w:bCs/>
          <w:color w:val="auto"/>
          <w:sz w:val="22"/>
          <w:szCs w:val="22"/>
        </w:rPr>
        <w:t xml:space="preserve">Megacable considera que </w:t>
      </w:r>
      <w:r w:rsidR="008E72B2" w:rsidRPr="008E72B2">
        <w:rPr>
          <w:rFonts w:ascii="Arial" w:hAnsi="Arial" w:cs="Arial"/>
          <w:bCs/>
          <w:color w:val="auto"/>
          <w:sz w:val="22"/>
          <w:szCs w:val="22"/>
        </w:rPr>
        <w:t>en los reportes de utilización de recursos de numeración se requiere la misma información en repetidas ocasiones para los distintos formatos, información que en la mayoría de las ocasiones se debe solicitar a un tercero, comprometiendo su operación interna, lo cual conlleva tiempos de respuesta prolongados y por ende un tardío ingreso de los formatos a los trámites</w:t>
      </w:r>
      <w:r w:rsidR="008E72B2">
        <w:rPr>
          <w:rFonts w:ascii="Arial" w:hAnsi="Arial" w:cs="Arial"/>
          <w:bCs/>
          <w:color w:val="auto"/>
          <w:sz w:val="22"/>
          <w:szCs w:val="22"/>
        </w:rPr>
        <w:t>,</w:t>
      </w:r>
      <w:r w:rsidR="008E72B2" w:rsidRPr="008E72B2">
        <w:rPr>
          <w:rFonts w:ascii="Arial" w:hAnsi="Arial" w:cs="Arial"/>
          <w:bCs/>
          <w:color w:val="auto"/>
          <w:sz w:val="22"/>
          <w:szCs w:val="22"/>
        </w:rPr>
        <w:t xml:space="preserve"> así como a la entrega de información. </w:t>
      </w:r>
    </w:p>
    <w:p w14:paraId="0B086CE9" w14:textId="77777777" w:rsidR="00683059" w:rsidRDefault="00683059" w:rsidP="00401408">
      <w:pPr>
        <w:pStyle w:val="Default"/>
        <w:spacing w:before="60" w:after="60" w:line="360" w:lineRule="auto"/>
        <w:contextualSpacing/>
        <w:jc w:val="both"/>
        <w:rPr>
          <w:rFonts w:ascii="Arial" w:hAnsi="Arial" w:cs="Arial"/>
          <w:bCs/>
          <w:color w:val="auto"/>
          <w:sz w:val="22"/>
          <w:szCs w:val="22"/>
        </w:rPr>
      </w:pPr>
    </w:p>
    <w:p w14:paraId="05A8CB9F" w14:textId="12CA15BB" w:rsidR="008E72B2" w:rsidRDefault="008E72B2" w:rsidP="00401408">
      <w:pPr>
        <w:pStyle w:val="Default"/>
        <w:spacing w:before="60" w:after="60" w:line="360" w:lineRule="auto"/>
        <w:contextualSpacing/>
        <w:jc w:val="both"/>
        <w:rPr>
          <w:rFonts w:ascii="Arial" w:hAnsi="Arial" w:cs="Arial"/>
          <w:bCs/>
          <w:color w:val="auto"/>
          <w:sz w:val="22"/>
          <w:szCs w:val="22"/>
        </w:rPr>
      </w:pPr>
      <w:r>
        <w:rPr>
          <w:rFonts w:ascii="Arial" w:hAnsi="Arial" w:cs="Arial"/>
          <w:bCs/>
          <w:color w:val="auto"/>
          <w:sz w:val="22"/>
          <w:szCs w:val="22"/>
        </w:rPr>
        <w:t>Adicionalmente</w:t>
      </w:r>
      <w:r w:rsidRPr="008E72B2">
        <w:rPr>
          <w:rFonts w:ascii="Arial" w:hAnsi="Arial" w:cs="Arial"/>
          <w:bCs/>
          <w:color w:val="auto"/>
          <w:sz w:val="22"/>
          <w:szCs w:val="22"/>
        </w:rPr>
        <w:t>, Megacable señala que se solicita información respecto a portabilidades y donaciones misma información que el propio Instituto podría solicitar de manera directa al ABD por cada uno de los concesionarios.</w:t>
      </w:r>
      <w:r w:rsidR="008A3E06">
        <w:rPr>
          <w:rFonts w:ascii="Arial" w:hAnsi="Arial" w:cs="Arial"/>
          <w:bCs/>
          <w:color w:val="auto"/>
          <w:sz w:val="22"/>
          <w:szCs w:val="22"/>
        </w:rPr>
        <w:t xml:space="preserve"> En este sentido</w:t>
      </w:r>
      <w:r w:rsidR="00683059">
        <w:rPr>
          <w:rFonts w:ascii="Arial" w:hAnsi="Arial" w:cs="Arial"/>
          <w:bCs/>
          <w:color w:val="auto"/>
          <w:sz w:val="22"/>
          <w:szCs w:val="22"/>
        </w:rPr>
        <w:t>,</w:t>
      </w:r>
      <w:r w:rsidRPr="008E72B2">
        <w:rPr>
          <w:rFonts w:ascii="Arial" w:hAnsi="Arial" w:cs="Arial"/>
          <w:bCs/>
          <w:color w:val="auto"/>
          <w:sz w:val="22"/>
          <w:szCs w:val="22"/>
        </w:rPr>
        <w:t xml:space="preserve"> Megacable solicita que</w:t>
      </w:r>
      <w:r w:rsidR="008A3E06">
        <w:rPr>
          <w:rFonts w:ascii="Arial" w:hAnsi="Arial" w:cs="Arial"/>
          <w:bCs/>
          <w:color w:val="auto"/>
          <w:sz w:val="22"/>
          <w:szCs w:val="22"/>
        </w:rPr>
        <w:t>,</w:t>
      </w:r>
      <w:r w:rsidRPr="008E72B2">
        <w:rPr>
          <w:rFonts w:ascii="Arial" w:hAnsi="Arial" w:cs="Arial"/>
          <w:bCs/>
          <w:color w:val="auto"/>
          <w:sz w:val="22"/>
          <w:szCs w:val="22"/>
        </w:rPr>
        <w:t xml:space="preserve"> con la finalidad de llevar a cabo una verdadera facilitación y agilización de los trámites y entrega de información, se unifique la información que se desagrega en cada uno de los formatos, en un solo formato o en su defecto, un archivo Excel simplificado.</w:t>
      </w:r>
    </w:p>
    <w:p w14:paraId="750A433A" w14:textId="77777777" w:rsidR="006D18F2" w:rsidRDefault="006D18F2" w:rsidP="00401408">
      <w:pPr>
        <w:pStyle w:val="Default"/>
        <w:spacing w:before="60" w:after="60" w:line="360" w:lineRule="auto"/>
        <w:contextualSpacing/>
        <w:jc w:val="both"/>
        <w:rPr>
          <w:rFonts w:ascii="Arial" w:hAnsi="Arial" w:cs="Arial"/>
          <w:bCs/>
          <w:color w:val="auto"/>
          <w:sz w:val="22"/>
          <w:szCs w:val="22"/>
        </w:rPr>
      </w:pPr>
    </w:p>
    <w:p w14:paraId="27826F1C" w14:textId="1F2BDE1C" w:rsidR="008A3E06" w:rsidRPr="008E72B2" w:rsidRDefault="008A3E06" w:rsidP="00401408">
      <w:pPr>
        <w:pStyle w:val="Default"/>
        <w:spacing w:before="60" w:after="60" w:line="360" w:lineRule="auto"/>
        <w:contextualSpacing/>
        <w:jc w:val="both"/>
        <w:rPr>
          <w:rFonts w:ascii="Arial" w:hAnsi="Arial" w:cs="Arial"/>
          <w:bCs/>
          <w:color w:val="auto"/>
          <w:sz w:val="22"/>
          <w:szCs w:val="22"/>
        </w:rPr>
      </w:pPr>
      <w:r>
        <w:rPr>
          <w:rFonts w:ascii="Arial" w:hAnsi="Arial" w:cs="Arial"/>
          <w:bCs/>
          <w:color w:val="auto"/>
          <w:sz w:val="22"/>
          <w:szCs w:val="22"/>
        </w:rPr>
        <w:t xml:space="preserve">Por otra parte, Megacable considera que la presentación de un reporte de utilización de manera bimestral, una vez entrada en vigor la migración a </w:t>
      </w:r>
      <w:r w:rsidR="006D18F2">
        <w:rPr>
          <w:rFonts w:ascii="Arial" w:hAnsi="Arial" w:cs="Arial"/>
          <w:bCs/>
          <w:color w:val="auto"/>
          <w:sz w:val="22"/>
          <w:szCs w:val="22"/>
        </w:rPr>
        <w:t>zonas</w:t>
      </w:r>
      <w:r w:rsidR="003A41C7">
        <w:rPr>
          <w:rFonts w:ascii="Arial" w:hAnsi="Arial" w:cs="Arial"/>
          <w:bCs/>
          <w:color w:val="auto"/>
          <w:sz w:val="22"/>
          <w:szCs w:val="22"/>
        </w:rPr>
        <w:t xml:space="preserve"> es contraria a lo señalado en el numeral 7.6 PROCEDIMIENTO DE DEVOLUCIÓN DE NÚMEROS NACIONALES, que precisa la entrega de este reporte, de forma semestral y no así de manera bimestral como se consideró para los reportes de utilización.</w:t>
      </w:r>
    </w:p>
    <w:p w14:paraId="3BA41C67" w14:textId="4D6E47C8" w:rsidR="00763E7D" w:rsidRPr="00401408" w:rsidRDefault="00763E7D" w:rsidP="00401408">
      <w:pPr>
        <w:pStyle w:val="Default"/>
        <w:spacing w:before="60" w:after="60" w:line="360" w:lineRule="auto"/>
        <w:contextualSpacing/>
        <w:jc w:val="both"/>
        <w:rPr>
          <w:rFonts w:ascii="Arial" w:hAnsi="Arial" w:cs="Arial"/>
          <w:color w:val="auto"/>
          <w:sz w:val="22"/>
          <w:szCs w:val="22"/>
        </w:rPr>
      </w:pPr>
    </w:p>
    <w:p w14:paraId="1F6F0E32" w14:textId="4F1F076A" w:rsidR="000E0644" w:rsidRPr="00401408" w:rsidRDefault="004D26A4"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b/>
          <w:color w:val="auto"/>
          <w:sz w:val="22"/>
          <w:szCs w:val="22"/>
        </w:rPr>
        <w:t xml:space="preserve">RESPUESTA: </w:t>
      </w:r>
      <w:r w:rsidRPr="00401408">
        <w:rPr>
          <w:rFonts w:ascii="Arial" w:hAnsi="Arial" w:cs="Arial"/>
          <w:color w:val="auto"/>
          <w:sz w:val="22"/>
          <w:szCs w:val="22"/>
        </w:rPr>
        <w:t>La propuesta no resulta atendible debido a que, de conformidad con las disposiciones aplicables al proceso consultivo correspondiente, se encuentra fuera del alcance del Anteproyecto</w:t>
      </w:r>
      <w:r w:rsidR="000E0644" w:rsidRPr="00401408">
        <w:rPr>
          <w:rFonts w:ascii="Arial" w:hAnsi="Arial" w:cs="Arial"/>
          <w:color w:val="auto"/>
          <w:sz w:val="22"/>
          <w:szCs w:val="22"/>
        </w:rPr>
        <w:t xml:space="preserve"> al no estar relacionada con el objeto de dicho proceso consultivo.</w:t>
      </w:r>
    </w:p>
    <w:p w14:paraId="7F276FCA" w14:textId="77777777" w:rsidR="000E65C8" w:rsidRPr="00401408" w:rsidRDefault="000E65C8" w:rsidP="00401408">
      <w:pPr>
        <w:pStyle w:val="Default"/>
        <w:spacing w:before="60" w:after="60" w:line="360" w:lineRule="auto"/>
        <w:contextualSpacing/>
        <w:jc w:val="both"/>
        <w:rPr>
          <w:rFonts w:ascii="Arial" w:hAnsi="Arial" w:cs="Arial"/>
          <w:b/>
          <w:color w:val="auto"/>
          <w:sz w:val="22"/>
          <w:szCs w:val="22"/>
        </w:rPr>
      </w:pPr>
    </w:p>
    <w:p w14:paraId="29F492AA" w14:textId="606B2D4A" w:rsidR="007176B9" w:rsidRPr="0098522F" w:rsidRDefault="008E219E" w:rsidP="0098522F">
      <w:pPr>
        <w:pStyle w:val="Default"/>
        <w:tabs>
          <w:tab w:val="left" w:pos="0"/>
        </w:tabs>
        <w:spacing w:before="60" w:after="60" w:line="360" w:lineRule="auto"/>
        <w:contextualSpacing/>
        <w:jc w:val="both"/>
        <w:rPr>
          <w:rFonts w:ascii="Arial" w:hAnsi="Arial" w:cs="Arial"/>
          <w:b/>
          <w:color w:val="auto"/>
          <w:sz w:val="22"/>
          <w:szCs w:val="22"/>
        </w:rPr>
      </w:pPr>
      <w:r w:rsidRPr="0098522F">
        <w:rPr>
          <w:rFonts w:ascii="Arial" w:hAnsi="Arial" w:cs="Arial"/>
          <w:b/>
          <w:color w:val="auto"/>
          <w:sz w:val="22"/>
          <w:szCs w:val="22"/>
        </w:rPr>
        <w:t xml:space="preserve">6. </w:t>
      </w:r>
      <w:r w:rsidR="00D26F20" w:rsidRPr="0098522F">
        <w:rPr>
          <w:rFonts w:ascii="Arial" w:hAnsi="Arial" w:cs="Arial"/>
          <w:b/>
          <w:color w:val="auto"/>
          <w:sz w:val="22"/>
          <w:szCs w:val="22"/>
        </w:rPr>
        <w:t>MODIFICACIÓN A LOS FORMATOS DE FACTURACIÓN POR SERVICIOS DE INTERCONEXIÓN</w:t>
      </w:r>
      <w:r w:rsidR="000E0644" w:rsidRPr="0098522F">
        <w:rPr>
          <w:rFonts w:ascii="Arial" w:hAnsi="Arial" w:cs="Arial"/>
          <w:b/>
          <w:color w:val="auto"/>
          <w:sz w:val="22"/>
          <w:szCs w:val="22"/>
        </w:rPr>
        <w:t>.</w:t>
      </w:r>
    </w:p>
    <w:p w14:paraId="22341D52" w14:textId="77777777" w:rsidR="007D02AC" w:rsidRPr="00401408" w:rsidRDefault="007D02AC" w:rsidP="007D02AC">
      <w:pPr>
        <w:pStyle w:val="Default"/>
        <w:spacing w:before="60" w:after="60" w:line="360" w:lineRule="auto"/>
        <w:ind w:left="644"/>
        <w:contextualSpacing/>
        <w:jc w:val="both"/>
        <w:rPr>
          <w:rFonts w:ascii="Arial" w:hAnsi="Arial" w:cs="Arial"/>
          <w:b/>
          <w:color w:val="auto"/>
          <w:sz w:val="22"/>
          <w:szCs w:val="22"/>
        </w:rPr>
      </w:pPr>
    </w:p>
    <w:p w14:paraId="60C76297" w14:textId="38D072D9" w:rsidR="00D26F20" w:rsidRPr="00002D70" w:rsidRDefault="007D02AC" w:rsidP="00401408">
      <w:pPr>
        <w:pStyle w:val="Default"/>
        <w:spacing w:before="60" w:after="60" w:line="360" w:lineRule="auto"/>
        <w:contextualSpacing/>
        <w:jc w:val="both"/>
        <w:rPr>
          <w:rFonts w:ascii="Arial" w:hAnsi="Arial" w:cs="Arial"/>
          <w:bCs/>
          <w:color w:val="auto"/>
          <w:sz w:val="22"/>
          <w:szCs w:val="22"/>
        </w:rPr>
      </w:pPr>
      <w:r w:rsidRPr="007D02AC">
        <w:rPr>
          <w:rFonts w:ascii="Arial" w:hAnsi="Arial" w:cs="Arial"/>
          <w:bCs/>
          <w:color w:val="auto"/>
          <w:sz w:val="22"/>
          <w:szCs w:val="22"/>
        </w:rPr>
        <w:t xml:space="preserve">Megacable señala que en caso de que se difiera la entrada en vigor de las zonas, el Instituto no tendrá razón para modificar los formatos de facturación dentro de los Convenios Marco de Interconexión (“CMI”) de los Agentes Económicos Preponderantes en Telecomunicaciones </w:t>
      </w:r>
      <w:r w:rsidRPr="007D02AC">
        <w:rPr>
          <w:rFonts w:ascii="Arial" w:hAnsi="Arial" w:cs="Arial"/>
          <w:bCs/>
          <w:color w:val="auto"/>
          <w:sz w:val="22"/>
          <w:szCs w:val="22"/>
        </w:rPr>
        <w:lastRenderedPageBreak/>
        <w:t>(“AEPT”)  para el periodo comprendido del 1 de enero al 31 de diciembre de 2024; lo anterior en el entendido de que para las propuestas de CMI presentadas por el AEPT, es pretende facturar para algunos Proveedores de Servicios de Telecomunicaciones (“</w:t>
      </w:r>
      <w:proofErr w:type="spellStart"/>
      <w:r w:rsidRPr="007D02AC">
        <w:rPr>
          <w:rFonts w:ascii="Arial" w:hAnsi="Arial" w:cs="Arial"/>
          <w:bCs/>
          <w:color w:val="auto"/>
          <w:sz w:val="22"/>
          <w:szCs w:val="22"/>
        </w:rPr>
        <w:t>PST´s</w:t>
      </w:r>
      <w:proofErr w:type="spellEnd"/>
      <w:r w:rsidRPr="007D02AC">
        <w:rPr>
          <w:rFonts w:ascii="Arial" w:hAnsi="Arial" w:cs="Arial"/>
          <w:bCs/>
          <w:color w:val="auto"/>
          <w:sz w:val="22"/>
          <w:szCs w:val="22"/>
        </w:rPr>
        <w:t>”) por Número Identificador de Región (“NIR”) y para otros por zonas, cambios que ya se ven reflejados en las propuestas de CM</w:t>
      </w:r>
      <w:r>
        <w:rPr>
          <w:rFonts w:ascii="Arial" w:hAnsi="Arial" w:cs="Arial"/>
          <w:bCs/>
          <w:color w:val="auto"/>
          <w:sz w:val="22"/>
          <w:szCs w:val="22"/>
        </w:rPr>
        <w:t>I</w:t>
      </w:r>
      <w:r w:rsidR="00002D70">
        <w:rPr>
          <w:rFonts w:ascii="Arial" w:hAnsi="Arial" w:cs="Arial"/>
          <w:bCs/>
          <w:color w:val="auto"/>
          <w:sz w:val="22"/>
          <w:szCs w:val="22"/>
        </w:rPr>
        <w:t xml:space="preserve">. Por lo anterior y con la finalidad de que ningún PST </w:t>
      </w:r>
      <w:proofErr w:type="spellStart"/>
      <w:r w:rsidR="00002D70">
        <w:rPr>
          <w:rFonts w:ascii="Arial" w:hAnsi="Arial" w:cs="Arial"/>
          <w:bCs/>
          <w:color w:val="auto"/>
          <w:sz w:val="22"/>
          <w:szCs w:val="22"/>
        </w:rPr>
        <w:t>deshomologue</w:t>
      </w:r>
      <w:proofErr w:type="spellEnd"/>
      <w:r w:rsidR="00002D70">
        <w:rPr>
          <w:rFonts w:ascii="Arial" w:hAnsi="Arial" w:cs="Arial"/>
          <w:bCs/>
          <w:color w:val="auto"/>
          <w:sz w:val="22"/>
          <w:szCs w:val="22"/>
        </w:rPr>
        <w:t xml:space="preserve"> o actualice sus formatos en los procesos de facturación, se solicita al Instituto que se armonicen y conserven la facturación por NIR y no por Zonas, hasta en tanto no entre en vigor la migración, esto con el objetivo de dar certeza y seguridad jurídica a las distintas partes que se contemplan en los procesos que atañen al plan técnico fundamental de numeración y la prestación de servicios. </w:t>
      </w:r>
    </w:p>
    <w:p w14:paraId="228F1AB7" w14:textId="77777777" w:rsidR="00002D70" w:rsidRDefault="00002D70" w:rsidP="00002D70">
      <w:pPr>
        <w:pStyle w:val="Default"/>
        <w:spacing w:before="60" w:after="60" w:line="360" w:lineRule="auto"/>
        <w:contextualSpacing/>
        <w:jc w:val="both"/>
        <w:rPr>
          <w:rFonts w:ascii="Arial" w:hAnsi="Arial" w:cs="Arial"/>
          <w:b/>
          <w:color w:val="auto"/>
          <w:sz w:val="22"/>
          <w:szCs w:val="22"/>
        </w:rPr>
      </w:pPr>
    </w:p>
    <w:p w14:paraId="40E1FC6F" w14:textId="389E0E15" w:rsidR="00002D70" w:rsidRPr="00401408" w:rsidRDefault="00002D70" w:rsidP="00002D70">
      <w:pPr>
        <w:pStyle w:val="Default"/>
        <w:spacing w:before="60" w:after="60" w:line="360" w:lineRule="auto"/>
        <w:contextualSpacing/>
        <w:jc w:val="both"/>
        <w:rPr>
          <w:rFonts w:ascii="Arial" w:hAnsi="Arial" w:cs="Arial"/>
          <w:color w:val="auto"/>
          <w:sz w:val="22"/>
          <w:szCs w:val="22"/>
        </w:rPr>
      </w:pPr>
      <w:r w:rsidRPr="00401408">
        <w:rPr>
          <w:rFonts w:ascii="Arial" w:hAnsi="Arial" w:cs="Arial"/>
          <w:b/>
          <w:color w:val="auto"/>
          <w:sz w:val="22"/>
          <w:szCs w:val="22"/>
        </w:rPr>
        <w:t xml:space="preserve">RESPUESTA: </w:t>
      </w:r>
      <w:r w:rsidRPr="00401408">
        <w:rPr>
          <w:rFonts w:ascii="Arial" w:hAnsi="Arial" w:cs="Arial"/>
          <w:color w:val="auto"/>
          <w:sz w:val="22"/>
          <w:szCs w:val="22"/>
        </w:rPr>
        <w:t>La propuesta no resulta atendible debido a que, de conformidad con las disposiciones aplicables al proceso consultivo correspondiente, se encuentra fuera del alcance del Anteproyecto al no estar relacionada con el objeto de dicho proceso consultivo.</w:t>
      </w:r>
    </w:p>
    <w:p w14:paraId="1AC4AC42" w14:textId="746C43BF" w:rsidR="004D26A4" w:rsidRPr="00401408" w:rsidRDefault="004D26A4" w:rsidP="00401408">
      <w:pPr>
        <w:pStyle w:val="Default"/>
        <w:spacing w:before="60" w:after="60" w:line="360" w:lineRule="auto"/>
        <w:contextualSpacing/>
        <w:jc w:val="both"/>
        <w:rPr>
          <w:rFonts w:ascii="Arial" w:hAnsi="Arial" w:cs="Arial"/>
          <w:color w:val="auto"/>
          <w:sz w:val="22"/>
          <w:szCs w:val="22"/>
        </w:rPr>
      </w:pPr>
    </w:p>
    <w:p w14:paraId="4C215FF9" w14:textId="4E9C24EC" w:rsidR="000E65C8" w:rsidRPr="0098522F" w:rsidRDefault="003A41C7" w:rsidP="000E65C8">
      <w:pPr>
        <w:pStyle w:val="Default"/>
        <w:numPr>
          <w:ilvl w:val="0"/>
          <w:numId w:val="18"/>
        </w:numPr>
        <w:spacing w:before="60" w:after="60" w:line="360" w:lineRule="auto"/>
        <w:ind w:left="426" w:hanging="426"/>
        <w:contextualSpacing/>
        <w:jc w:val="both"/>
        <w:rPr>
          <w:rFonts w:ascii="Arial" w:hAnsi="Arial" w:cs="Arial"/>
          <w:b/>
          <w:color w:val="auto"/>
          <w:sz w:val="22"/>
          <w:szCs w:val="22"/>
        </w:rPr>
      </w:pPr>
      <w:r w:rsidRPr="0098522F">
        <w:rPr>
          <w:rFonts w:ascii="Arial" w:hAnsi="Arial" w:cs="Arial"/>
          <w:b/>
          <w:color w:val="auto"/>
          <w:sz w:val="22"/>
          <w:szCs w:val="22"/>
        </w:rPr>
        <w:t>PLAZO DE RESOLUCIÓN DEL TRÁMITE DE SOLICITUD DE NUMERACIÓN</w:t>
      </w:r>
      <w:r w:rsidR="00E441F4" w:rsidRPr="0098522F">
        <w:rPr>
          <w:rFonts w:ascii="Arial" w:hAnsi="Arial" w:cs="Arial"/>
          <w:b/>
          <w:color w:val="auto"/>
          <w:sz w:val="22"/>
          <w:szCs w:val="22"/>
        </w:rPr>
        <w:t>.</w:t>
      </w:r>
    </w:p>
    <w:p w14:paraId="4ACAA271" w14:textId="77777777" w:rsidR="000E65C8" w:rsidRPr="000E65C8" w:rsidRDefault="000E65C8" w:rsidP="0098522F">
      <w:pPr>
        <w:pStyle w:val="Default"/>
        <w:spacing w:before="60" w:after="60" w:line="360" w:lineRule="auto"/>
        <w:ind w:left="426"/>
        <w:contextualSpacing/>
        <w:jc w:val="both"/>
        <w:rPr>
          <w:rFonts w:ascii="Arial" w:hAnsi="Arial" w:cs="Arial"/>
          <w:b/>
          <w:color w:val="auto"/>
          <w:sz w:val="22"/>
          <w:szCs w:val="22"/>
          <w:highlight w:val="green"/>
        </w:rPr>
      </w:pPr>
    </w:p>
    <w:p w14:paraId="17D7D050" w14:textId="5FDF9561" w:rsidR="003A41C7" w:rsidRPr="003418CB" w:rsidRDefault="003A41C7" w:rsidP="003A41C7">
      <w:pPr>
        <w:pStyle w:val="Default"/>
        <w:spacing w:before="60" w:after="60" w:line="360" w:lineRule="auto"/>
        <w:contextualSpacing/>
        <w:jc w:val="both"/>
        <w:rPr>
          <w:rFonts w:ascii="Arial" w:hAnsi="Arial" w:cs="Arial"/>
          <w:bCs/>
          <w:color w:val="auto"/>
          <w:sz w:val="22"/>
          <w:szCs w:val="22"/>
        </w:rPr>
      </w:pPr>
      <w:r w:rsidRPr="003418CB">
        <w:rPr>
          <w:rFonts w:ascii="Arial" w:hAnsi="Arial" w:cs="Arial"/>
          <w:bCs/>
          <w:color w:val="auto"/>
          <w:sz w:val="22"/>
          <w:szCs w:val="22"/>
        </w:rPr>
        <w:t xml:space="preserve">Megacable señala que el plazo máximo de resolución del trámite de solicitud de numeración (quince días hábiles contados a partir de la presentación de la solicitud), aunado a un plazo de 20 días para disponer o utilizar la numeración asignada conlleva </w:t>
      </w:r>
      <w:r w:rsidR="003418CB" w:rsidRPr="003418CB">
        <w:rPr>
          <w:rFonts w:ascii="Arial" w:hAnsi="Arial" w:cs="Arial"/>
          <w:bCs/>
          <w:color w:val="auto"/>
          <w:sz w:val="22"/>
          <w:szCs w:val="22"/>
        </w:rPr>
        <w:t>a exagerados tiempos de espera, por lo que sugiere que los tiempos de resolución del trámite sean iguales o menores a la mitad del plazo originalmente contemplado.</w:t>
      </w:r>
    </w:p>
    <w:p w14:paraId="0A21A3D5" w14:textId="77777777" w:rsidR="003418CB" w:rsidRPr="00401408" w:rsidRDefault="003418CB" w:rsidP="00401408">
      <w:pPr>
        <w:pStyle w:val="Default"/>
        <w:spacing w:before="60" w:after="60" w:line="360" w:lineRule="auto"/>
        <w:contextualSpacing/>
        <w:jc w:val="both"/>
        <w:rPr>
          <w:rFonts w:ascii="Arial" w:hAnsi="Arial" w:cs="Arial"/>
          <w:b/>
          <w:color w:val="auto"/>
          <w:sz w:val="22"/>
          <w:szCs w:val="22"/>
        </w:rPr>
      </w:pPr>
    </w:p>
    <w:p w14:paraId="172AFA12" w14:textId="2865F5BA" w:rsidR="000E4749" w:rsidRDefault="000E4749" w:rsidP="00401408">
      <w:pPr>
        <w:pStyle w:val="Default"/>
        <w:spacing w:before="60" w:after="60" w:line="360" w:lineRule="auto"/>
        <w:contextualSpacing/>
        <w:jc w:val="both"/>
        <w:rPr>
          <w:rFonts w:ascii="Arial" w:hAnsi="Arial" w:cs="Arial"/>
          <w:color w:val="auto"/>
          <w:sz w:val="22"/>
          <w:szCs w:val="22"/>
        </w:rPr>
      </w:pPr>
      <w:r w:rsidRPr="00401408">
        <w:rPr>
          <w:rFonts w:ascii="Arial" w:hAnsi="Arial" w:cs="Arial"/>
          <w:b/>
          <w:color w:val="auto"/>
          <w:sz w:val="22"/>
          <w:szCs w:val="22"/>
        </w:rPr>
        <w:t xml:space="preserve">RESPUESTA: </w:t>
      </w:r>
      <w:r w:rsidRPr="00401408">
        <w:rPr>
          <w:rFonts w:ascii="Arial" w:hAnsi="Arial" w:cs="Arial"/>
          <w:color w:val="auto"/>
          <w:sz w:val="22"/>
          <w:szCs w:val="22"/>
        </w:rPr>
        <w:t>La propuesta no resulta atendible debido a que, de conformidad con las disposiciones aplicables al proceso consultivo correspondiente, se encuentra fuera del alcance del Anteproyecto</w:t>
      </w:r>
      <w:r w:rsidR="00194B76" w:rsidRPr="00401408">
        <w:rPr>
          <w:rFonts w:ascii="Arial" w:hAnsi="Arial" w:cs="Arial"/>
          <w:color w:val="auto"/>
          <w:sz w:val="22"/>
          <w:szCs w:val="22"/>
        </w:rPr>
        <w:t xml:space="preserve"> al no estar relacionada con el objeto de dicho proceso consultivo.</w:t>
      </w:r>
    </w:p>
    <w:p w14:paraId="016B6210" w14:textId="77777777" w:rsidR="003418CB" w:rsidRPr="00401408" w:rsidRDefault="003418CB" w:rsidP="00401408">
      <w:pPr>
        <w:pStyle w:val="Default"/>
        <w:spacing w:before="60" w:after="60" w:line="360" w:lineRule="auto"/>
        <w:contextualSpacing/>
        <w:jc w:val="both"/>
        <w:rPr>
          <w:rFonts w:ascii="Arial" w:hAnsi="Arial" w:cs="Arial"/>
          <w:color w:val="auto"/>
          <w:sz w:val="22"/>
          <w:szCs w:val="22"/>
        </w:rPr>
      </w:pPr>
    </w:p>
    <w:p w14:paraId="0A4A9D8B" w14:textId="0A0C9EFC" w:rsidR="000E4749" w:rsidRDefault="008E219E" w:rsidP="00401408">
      <w:pPr>
        <w:pStyle w:val="Default"/>
        <w:spacing w:before="60" w:after="60" w:line="360" w:lineRule="auto"/>
        <w:contextualSpacing/>
        <w:jc w:val="both"/>
        <w:rPr>
          <w:rFonts w:ascii="Arial" w:hAnsi="Arial" w:cs="Arial"/>
          <w:b/>
          <w:color w:val="auto"/>
          <w:sz w:val="22"/>
          <w:szCs w:val="22"/>
        </w:rPr>
      </w:pPr>
      <w:r w:rsidRPr="0098522F">
        <w:rPr>
          <w:rFonts w:ascii="Arial" w:hAnsi="Arial" w:cs="Arial"/>
          <w:b/>
          <w:color w:val="auto"/>
          <w:sz w:val="22"/>
          <w:szCs w:val="22"/>
        </w:rPr>
        <w:t>8</w:t>
      </w:r>
      <w:r w:rsidR="005253AA" w:rsidRPr="0098522F">
        <w:rPr>
          <w:rFonts w:ascii="Arial" w:hAnsi="Arial" w:cs="Arial"/>
          <w:b/>
          <w:color w:val="auto"/>
          <w:sz w:val="22"/>
          <w:szCs w:val="22"/>
        </w:rPr>
        <w:t xml:space="preserve">. </w:t>
      </w:r>
      <w:r w:rsidR="00807ADD" w:rsidRPr="0098522F">
        <w:rPr>
          <w:rFonts w:ascii="Arial" w:hAnsi="Arial" w:cs="Arial"/>
          <w:b/>
          <w:color w:val="auto"/>
          <w:sz w:val="22"/>
          <w:szCs w:val="22"/>
        </w:rPr>
        <w:t>USO DE LA VENTANILLA ELECTRÓNICA</w:t>
      </w:r>
      <w:r w:rsidR="005253AA" w:rsidRPr="0098522F">
        <w:rPr>
          <w:rFonts w:ascii="Arial" w:hAnsi="Arial" w:cs="Arial"/>
          <w:b/>
          <w:color w:val="auto"/>
          <w:sz w:val="22"/>
          <w:szCs w:val="22"/>
        </w:rPr>
        <w:t>.</w:t>
      </w:r>
    </w:p>
    <w:p w14:paraId="373DE062" w14:textId="77777777" w:rsidR="000E65C8" w:rsidRPr="00401408" w:rsidRDefault="000E65C8" w:rsidP="00401408">
      <w:pPr>
        <w:pStyle w:val="Default"/>
        <w:spacing w:before="60" w:after="60" w:line="360" w:lineRule="auto"/>
        <w:contextualSpacing/>
        <w:jc w:val="both"/>
        <w:rPr>
          <w:rFonts w:ascii="Arial" w:hAnsi="Arial" w:cs="Arial"/>
          <w:b/>
          <w:color w:val="auto"/>
          <w:sz w:val="22"/>
          <w:szCs w:val="22"/>
        </w:rPr>
      </w:pPr>
    </w:p>
    <w:p w14:paraId="293D9AB6" w14:textId="732D0028" w:rsidR="003A5821" w:rsidRPr="0062062A" w:rsidRDefault="00807ADD" w:rsidP="00401408">
      <w:pPr>
        <w:pStyle w:val="Default"/>
        <w:spacing w:before="60" w:after="60" w:line="360" w:lineRule="auto"/>
        <w:contextualSpacing/>
        <w:jc w:val="both"/>
        <w:rPr>
          <w:rFonts w:ascii="Arial" w:hAnsi="Arial" w:cs="Arial"/>
          <w:bCs/>
          <w:color w:val="auto"/>
          <w:sz w:val="22"/>
          <w:szCs w:val="22"/>
        </w:rPr>
      </w:pPr>
      <w:r w:rsidRPr="0062062A">
        <w:rPr>
          <w:rFonts w:ascii="Arial" w:hAnsi="Arial" w:cs="Arial"/>
          <w:bCs/>
          <w:color w:val="auto"/>
          <w:sz w:val="22"/>
          <w:szCs w:val="22"/>
        </w:rPr>
        <w:t>Telmex</w:t>
      </w:r>
      <w:r w:rsidR="0062062A" w:rsidRPr="0062062A">
        <w:rPr>
          <w:rFonts w:ascii="Arial" w:hAnsi="Arial" w:cs="Arial"/>
          <w:bCs/>
          <w:color w:val="auto"/>
          <w:sz w:val="22"/>
          <w:szCs w:val="22"/>
        </w:rPr>
        <w:t xml:space="preserve"> manifiesta que se debe especificar que la Ventanilla Electrónica es el medio formal para realizar los trámites que estén contemplados. Asimismo, se debe indicar qué procede si no es posible cargar algún reporte en caso de que no funcione la Ventanilla Electrónica.</w:t>
      </w:r>
    </w:p>
    <w:p w14:paraId="06E59773" w14:textId="77777777" w:rsidR="0062062A" w:rsidRDefault="0062062A" w:rsidP="00401408">
      <w:pPr>
        <w:pStyle w:val="Default"/>
        <w:spacing w:before="60" w:after="60" w:line="360" w:lineRule="auto"/>
        <w:contextualSpacing/>
        <w:jc w:val="both"/>
        <w:rPr>
          <w:rFonts w:ascii="Arial" w:hAnsi="Arial" w:cs="Arial"/>
          <w:b/>
          <w:color w:val="auto"/>
          <w:sz w:val="22"/>
          <w:szCs w:val="22"/>
        </w:rPr>
      </w:pPr>
    </w:p>
    <w:p w14:paraId="1E38ECE1" w14:textId="77777777" w:rsidR="00BB0EE8" w:rsidRPr="0098522F" w:rsidRDefault="0062062A" w:rsidP="00401408">
      <w:pPr>
        <w:pStyle w:val="Default"/>
        <w:spacing w:before="60" w:after="60" w:line="360" w:lineRule="auto"/>
        <w:contextualSpacing/>
        <w:jc w:val="both"/>
        <w:rPr>
          <w:rFonts w:ascii="Arial" w:hAnsi="Arial" w:cs="Arial"/>
          <w:bCs/>
          <w:color w:val="auto"/>
          <w:sz w:val="22"/>
          <w:szCs w:val="22"/>
        </w:rPr>
      </w:pPr>
      <w:r w:rsidRPr="00401408">
        <w:rPr>
          <w:rFonts w:ascii="Arial" w:hAnsi="Arial" w:cs="Arial"/>
          <w:b/>
          <w:color w:val="auto"/>
          <w:sz w:val="22"/>
          <w:szCs w:val="22"/>
        </w:rPr>
        <w:lastRenderedPageBreak/>
        <w:t>RESPUESTA:</w:t>
      </w:r>
      <w:r>
        <w:rPr>
          <w:rFonts w:ascii="Arial" w:hAnsi="Arial" w:cs="Arial"/>
          <w:b/>
          <w:color w:val="auto"/>
          <w:sz w:val="22"/>
          <w:szCs w:val="22"/>
        </w:rPr>
        <w:t xml:space="preserve"> </w:t>
      </w:r>
      <w:r w:rsidRPr="0098522F">
        <w:rPr>
          <w:rFonts w:ascii="Arial" w:hAnsi="Arial" w:cs="Arial"/>
          <w:bCs/>
          <w:color w:val="auto"/>
          <w:sz w:val="22"/>
          <w:szCs w:val="22"/>
        </w:rPr>
        <w:t xml:space="preserve">Como resultado de la modificación a los planes técnicos fundamentales de numeración y señalización, publicada en el Diario Oficial de la Federación el 8 de noviembre de 2021, </w:t>
      </w:r>
      <w:r w:rsidR="00BB0EE8" w:rsidRPr="0098522F">
        <w:rPr>
          <w:rFonts w:ascii="Arial" w:hAnsi="Arial" w:cs="Arial"/>
          <w:bCs/>
          <w:color w:val="auto"/>
          <w:sz w:val="22"/>
          <w:szCs w:val="22"/>
        </w:rPr>
        <w:t>se estableció expresamente que la Ventanilla Electrónica será el único medio para la realización de todos los trámites electrónicos contenidos en estas disposiciones normativas de carácter general.</w:t>
      </w:r>
    </w:p>
    <w:p w14:paraId="1AA6BE79" w14:textId="77777777" w:rsidR="006D18F2" w:rsidRPr="0098522F" w:rsidRDefault="006D18F2" w:rsidP="00401408">
      <w:pPr>
        <w:pStyle w:val="Default"/>
        <w:spacing w:before="60" w:after="60" w:line="360" w:lineRule="auto"/>
        <w:contextualSpacing/>
        <w:jc w:val="both"/>
        <w:rPr>
          <w:rFonts w:ascii="Arial" w:hAnsi="Arial" w:cs="Arial"/>
          <w:bCs/>
          <w:color w:val="auto"/>
          <w:sz w:val="22"/>
          <w:szCs w:val="22"/>
        </w:rPr>
      </w:pPr>
    </w:p>
    <w:p w14:paraId="6ABC1C98" w14:textId="74C36AB1" w:rsidR="0062062A" w:rsidRPr="0098522F" w:rsidRDefault="00BB0EE8" w:rsidP="00401408">
      <w:pPr>
        <w:pStyle w:val="Default"/>
        <w:spacing w:before="60" w:after="60" w:line="360" w:lineRule="auto"/>
        <w:contextualSpacing/>
        <w:jc w:val="both"/>
        <w:rPr>
          <w:rFonts w:ascii="Arial" w:hAnsi="Arial" w:cs="Arial"/>
          <w:bCs/>
          <w:color w:val="auto"/>
          <w:sz w:val="22"/>
          <w:szCs w:val="22"/>
        </w:rPr>
      </w:pPr>
      <w:r w:rsidRPr="0098522F">
        <w:rPr>
          <w:rFonts w:ascii="Arial" w:hAnsi="Arial" w:cs="Arial"/>
          <w:bCs/>
          <w:color w:val="auto"/>
          <w:sz w:val="22"/>
          <w:szCs w:val="22"/>
        </w:rPr>
        <w:t xml:space="preserve">Por otra parte, </w:t>
      </w:r>
      <w:r w:rsidR="00BD1023" w:rsidRPr="0098522F">
        <w:rPr>
          <w:rFonts w:ascii="Arial" w:hAnsi="Arial" w:cs="Arial"/>
          <w:bCs/>
          <w:color w:val="auto"/>
          <w:sz w:val="22"/>
          <w:szCs w:val="22"/>
        </w:rPr>
        <w:t>en caso de no ser posible cargar algún reporte debido a una falla en el funcionamiento de la Ventanilla Electrónica, el lineamiento décimo cuarto de los “</w:t>
      </w:r>
      <w:r w:rsidR="00BD1023" w:rsidRPr="0098522F">
        <w:rPr>
          <w:rFonts w:ascii="Arial" w:hAnsi="Arial" w:cs="Arial"/>
          <w:bCs/>
          <w:i/>
          <w:iCs/>
          <w:color w:val="auto"/>
          <w:sz w:val="22"/>
          <w:szCs w:val="22"/>
        </w:rPr>
        <w:t>Lineamientos para la sustanciación de los trámites y servicios que se realicen ante el Instituto Federal de Telecomunicaciones, a través de la Ventanilla Electrónica"</w:t>
      </w:r>
      <w:r w:rsidR="00BD1023" w:rsidRPr="0098522F">
        <w:rPr>
          <w:rFonts w:ascii="Arial" w:hAnsi="Arial" w:cs="Arial"/>
          <w:bCs/>
          <w:color w:val="auto"/>
          <w:sz w:val="22"/>
          <w:szCs w:val="22"/>
        </w:rPr>
        <w:t>, publicados en el Diario Oficial de la Federación el 5 de noviembre de 2019</w:t>
      </w:r>
      <w:r w:rsidR="006C7652" w:rsidRPr="0098522F">
        <w:rPr>
          <w:rFonts w:ascii="Arial" w:hAnsi="Arial" w:cs="Arial"/>
          <w:bCs/>
          <w:color w:val="auto"/>
          <w:sz w:val="22"/>
          <w:szCs w:val="22"/>
        </w:rPr>
        <w:t>, establece lo siguiente:</w:t>
      </w:r>
      <w:r w:rsidR="00BD1023" w:rsidRPr="0098522F">
        <w:rPr>
          <w:rFonts w:ascii="Arial" w:hAnsi="Arial" w:cs="Arial"/>
          <w:bCs/>
          <w:color w:val="auto"/>
          <w:sz w:val="22"/>
          <w:szCs w:val="22"/>
        </w:rPr>
        <w:t xml:space="preserve"> </w:t>
      </w:r>
    </w:p>
    <w:p w14:paraId="5333F694" w14:textId="77777777" w:rsidR="006D18F2" w:rsidRDefault="006D18F2" w:rsidP="00401408">
      <w:pPr>
        <w:pStyle w:val="Default"/>
        <w:spacing w:before="60" w:after="60" w:line="360" w:lineRule="auto"/>
        <w:contextualSpacing/>
        <w:jc w:val="both"/>
        <w:rPr>
          <w:rFonts w:ascii="Arial" w:hAnsi="Arial" w:cs="Arial"/>
          <w:b/>
          <w:color w:val="auto"/>
          <w:sz w:val="22"/>
          <w:szCs w:val="22"/>
        </w:rPr>
      </w:pPr>
    </w:p>
    <w:p w14:paraId="16C81048" w14:textId="78BD1A94" w:rsidR="00BB0EE8" w:rsidRDefault="006C7652">
      <w:pPr>
        <w:pStyle w:val="Texto"/>
        <w:spacing w:before="60" w:after="60" w:line="360" w:lineRule="auto"/>
        <w:ind w:left="567" w:right="757" w:firstLine="0"/>
        <w:contextualSpacing/>
        <w:rPr>
          <w:i/>
          <w:iCs/>
          <w:color w:val="000000"/>
        </w:rPr>
      </w:pPr>
      <w:r w:rsidRPr="0098522F">
        <w:rPr>
          <w:b/>
          <w:i/>
          <w:iCs/>
          <w:lang w:val="es-MX"/>
        </w:rPr>
        <w:t>“</w:t>
      </w:r>
      <w:r w:rsidR="00BB0EE8" w:rsidRPr="0098522F">
        <w:rPr>
          <w:b/>
          <w:i/>
          <w:iCs/>
        </w:rPr>
        <w:t xml:space="preserve">DÉCIMO CUARTO. - </w:t>
      </w:r>
      <w:r w:rsidR="00BB0EE8" w:rsidRPr="0098522F">
        <w:rPr>
          <w:i/>
          <w:iCs/>
          <w:color w:val="000000"/>
        </w:rPr>
        <w:t>Cuando por caso fortuito, fuerza mayor o por fallas técnicas se interrumpa el funcionamiento de la Ventanilla Electrónica, el Instituto dará el aviso respectivo, cuando menos, a través de su Portal de Internet, así como la fecha y hora del restablecimiento de la operación de la Ventanilla Electrónica.</w:t>
      </w:r>
    </w:p>
    <w:p w14:paraId="58CFC135" w14:textId="77777777" w:rsidR="00E032DC" w:rsidRPr="0098522F" w:rsidRDefault="00E032DC" w:rsidP="0098522F">
      <w:pPr>
        <w:pStyle w:val="Texto"/>
        <w:spacing w:before="60" w:after="60" w:line="360" w:lineRule="auto"/>
        <w:ind w:left="567" w:right="757" w:firstLine="0"/>
        <w:contextualSpacing/>
        <w:rPr>
          <w:i/>
          <w:iCs/>
          <w:color w:val="000000"/>
        </w:rPr>
      </w:pPr>
    </w:p>
    <w:p w14:paraId="2D04E1F2" w14:textId="6302C09E" w:rsidR="00A54F38" w:rsidRPr="00ED5EBC" w:rsidRDefault="00BB0EE8" w:rsidP="0098522F">
      <w:pPr>
        <w:pStyle w:val="Texto"/>
        <w:spacing w:before="60" w:after="60" w:line="360" w:lineRule="auto"/>
        <w:ind w:left="567" w:right="757" w:firstLine="0"/>
        <w:contextualSpacing/>
      </w:pPr>
      <w:r w:rsidRPr="0098522F">
        <w:rPr>
          <w:i/>
          <w:iCs/>
          <w:color w:val="000000"/>
        </w:rPr>
        <w:t>Las Actuaciones Electrónicas y los Actos Administrativos Electrónicos que deban hacerse, a través de la Ventanilla Electrónica, cuyos plazos venzan el día en que se suscitó la interrupción, podrán ser realizadas al día hábil siguiente al de la publicación del aviso de restablecimiento de operaciones señalado en el párrafo anterior.</w:t>
      </w:r>
      <w:r w:rsidR="006C7652" w:rsidRPr="0098522F">
        <w:rPr>
          <w:i/>
          <w:iCs/>
          <w:color w:val="000000"/>
        </w:rPr>
        <w:t>”</w:t>
      </w:r>
    </w:p>
    <w:sectPr w:rsidR="00A54F38" w:rsidRPr="00ED5EBC" w:rsidSect="00401408">
      <w:footerReference w:type="default" r:id="rId11"/>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4DFD5" w14:textId="77777777" w:rsidR="00BC21FD" w:rsidRDefault="00BC21FD" w:rsidP="00401408">
      <w:pPr>
        <w:spacing w:after="0" w:line="240" w:lineRule="auto"/>
      </w:pPr>
      <w:r>
        <w:separator/>
      </w:r>
    </w:p>
  </w:endnote>
  <w:endnote w:type="continuationSeparator" w:id="0">
    <w:p w14:paraId="5F5D7FC0" w14:textId="77777777" w:rsidR="00BC21FD" w:rsidRDefault="00BC21FD" w:rsidP="0040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22A52" w14:textId="4A9CFFDC" w:rsidR="00401408" w:rsidRPr="00401408" w:rsidRDefault="00401408">
    <w:pPr>
      <w:tabs>
        <w:tab w:val="center" w:pos="4550"/>
        <w:tab w:val="left" w:pos="5818"/>
      </w:tabs>
      <w:ind w:right="260"/>
      <w:jc w:val="right"/>
      <w:rPr>
        <w:rFonts w:ascii="Arial" w:hAnsi="Arial" w:cs="Arial"/>
      </w:rPr>
    </w:pPr>
    <w:r w:rsidRPr="00401408">
      <w:rPr>
        <w:rFonts w:ascii="Arial" w:hAnsi="Arial" w:cs="Arial"/>
        <w:spacing w:val="60"/>
        <w:lang w:val="es-ES"/>
      </w:rPr>
      <w:t>Página</w:t>
    </w:r>
    <w:r w:rsidRPr="00401408">
      <w:rPr>
        <w:rFonts w:ascii="Arial" w:hAnsi="Arial" w:cs="Arial"/>
        <w:lang w:val="es-ES"/>
      </w:rPr>
      <w:t xml:space="preserve"> </w:t>
    </w:r>
    <w:r w:rsidRPr="00401408">
      <w:rPr>
        <w:rFonts w:ascii="Arial" w:hAnsi="Arial" w:cs="Arial"/>
      </w:rPr>
      <w:fldChar w:fldCharType="begin"/>
    </w:r>
    <w:r w:rsidRPr="00401408">
      <w:rPr>
        <w:rFonts w:ascii="Arial" w:hAnsi="Arial" w:cs="Arial"/>
      </w:rPr>
      <w:instrText>PAGE   \* MERGEFORMAT</w:instrText>
    </w:r>
    <w:r w:rsidRPr="00401408">
      <w:rPr>
        <w:rFonts w:ascii="Arial" w:hAnsi="Arial" w:cs="Arial"/>
      </w:rPr>
      <w:fldChar w:fldCharType="separate"/>
    </w:r>
    <w:r w:rsidRPr="00401408">
      <w:rPr>
        <w:rFonts w:ascii="Arial" w:hAnsi="Arial" w:cs="Arial"/>
        <w:lang w:val="es-ES"/>
      </w:rPr>
      <w:t>1</w:t>
    </w:r>
    <w:r w:rsidRPr="00401408">
      <w:rPr>
        <w:rFonts w:ascii="Arial" w:hAnsi="Arial" w:cs="Arial"/>
      </w:rPr>
      <w:fldChar w:fldCharType="end"/>
    </w:r>
    <w:r w:rsidRPr="00401408">
      <w:rPr>
        <w:rFonts w:ascii="Arial" w:hAnsi="Arial" w:cs="Arial"/>
        <w:lang w:val="es-ES"/>
      </w:rPr>
      <w:t xml:space="preserve"> de </w:t>
    </w:r>
    <w:r w:rsidRPr="00401408">
      <w:rPr>
        <w:rFonts w:ascii="Arial" w:hAnsi="Arial" w:cs="Arial"/>
      </w:rPr>
      <w:fldChar w:fldCharType="begin"/>
    </w:r>
    <w:r w:rsidRPr="00401408">
      <w:rPr>
        <w:rFonts w:ascii="Arial" w:hAnsi="Arial" w:cs="Arial"/>
      </w:rPr>
      <w:instrText>NUMPAGES  \* Arabic  \* MERGEFORMAT</w:instrText>
    </w:r>
    <w:r w:rsidRPr="00401408">
      <w:rPr>
        <w:rFonts w:ascii="Arial" w:hAnsi="Arial" w:cs="Arial"/>
      </w:rPr>
      <w:fldChar w:fldCharType="separate"/>
    </w:r>
    <w:r w:rsidRPr="00401408">
      <w:rPr>
        <w:rFonts w:ascii="Arial" w:hAnsi="Arial" w:cs="Arial"/>
        <w:lang w:val="es-ES"/>
      </w:rPr>
      <w:t>1</w:t>
    </w:r>
    <w:r w:rsidRPr="00401408">
      <w:rPr>
        <w:rFonts w:ascii="Arial" w:hAnsi="Arial" w:cs="Arial"/>
      </w:rPr>
      <w:fldChar w:fldCharType="end"/>
    </w:r>
  </w:p>
  <w:p w14:paraId="2790FB98" w14:textId="77777777" w:rsidR="00401408" w:rsidRDefault="004014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1C074" w14:textId="77777777" w:rsidR="00BC21FD" w:rsidRDefault="00BC21FD" w:rsidP="00401408">
      <w:pPr>
        <w:spacing w:after="0" w:line="240" w:lineRule="auto"/>
      </w:pPr>
      <w:r>
        <w:separator/>
      </w:r>
    </w:p>
  </w:footnote>
  <w:footnote w:type="continuationSeparator" w:id="0">
    <w:p w14:paraId="4D290677" w14:textId="77777777" w:rsidR="00BC21FD" w:rsidRDefault="00BC21FD" w:rsidP="00401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DD2"/>
    <w:multiLevelType w:val="hybridMultilevel"/>
    <w:tmpl w:val="B6B4901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0B46F2"/>
    <w:multiLevelType w:val="hybridMultilevel"/>
    <w:tmpl w:val="6F1C22C0"/>
    <w:lvl w:ilvl="0" w:tplc="92AEAE54">
      <w:start w:val="1"/>
      <w:numFmt w:val="decimal"/>
      <w:lvlText w:val="%1."/>
      <w:lvlJc w:val="lef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EE4B20"/>
    <w:multiLevelType w:val="hybridMultilevel"/>
    <w:tmpl w:val="1736CBFE"/>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F101A78"/>
    <w:multiLevelType w:val="hybridMultilevel"/>
    <w:tmpl w:val="1736CBFE"/>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1DD52D9D"/>
    <w:multiLevelType w:val="hybridMultilevel"/>
    <w:tmpl w:val="07DE0C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307D89"/>
    <w:multiLevelType w:val="hybridMultilevel"/>
    <w:tmpl w:val="0FFC77F8"/>
    <w:lvl w:ilvl="0" w:tplc="A2285A6A">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3A311F85"/>
    <w:multiLevelType w:val="hybridMultilevel"/>
    <w:tmpl w:val="B8C61130"/>
    <w:lvl w:ilvl="0" w:tplc="04F4643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A076F7"/>
    <w:multiLevelType w:val="hybridMultilevel"/>
    <w:tmpl w:val="B49EA4F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4DA0669"/>
    <w:multiLevelType w:val="hybridMultilevel"/>
    <w:tmpl w:val="B49EA4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0111C9"/>
    <w:multiLevelType w:val="hybridMultilevel"/>
    <w:tmpl w:val="B49EA4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C75422B"/>
    <w:multiLevelType w:val="hybridMultilevel"/>
    <w:tmpl w:val="EAC8A652"/>
    <w:lvl w:ilvl="0" w:tplc="48FC69DA">
      <w:start w:val="1"/>
      <w:numFmt w:val="upperRoman"/>
      <w:lvlText w:val="%1."/>
      <w:lvlJc w:val="left"/>
      <w:pPr>
        <w:ind w:left="1008" w:hanging="720"/>
      </w:pPr>
      <w:rPr>
        <w:rFonts w:hint="default"/>
        <w:b/>
        <w:lang w:val="uz-Cyrl-UZ"/>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5FFC1CCF"/>
    <w:multiLevelType w:val="hybridMultilevel"/>
    <w:tmpl w:val="C494F5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00E4444"/>
    <w:multiLevelType w:val="hybridMultilevel"/>
    <w:tmpl w:val="1736CBFE"/>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6498688F"/>
    <w:multiLevelType w:val="hybridMultilevel"/>
    <w:tmpl w:val="B038F62A"/>
    <w:lvl w:ilvl="0" w:tplc="C0D40E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76289"/>
    <w:multiLevelType w:val="hybridMultilevel"/>
    <w:tmpl w:val="F2EE1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7A15F6D"/>
    <w:multiLevelType w:val="hybridMultilevel"/>
    <w:tmpl w:val="036484A6"/>
    <w:lvl w:ilvl="0" w:tplc="2D4054F8">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BF15126"/>
    <w:multiLevelType w:val="hybridMultilevel"/>
    <w:tmpl w:val="B49EA4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556A23"/>
    <w:multiLevelType w:val="hybridMultilevel"/>
    <w:tmpl w:val="CA4E8852"/>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17"/>
  </w:num>
  <w:num w:numId="2">
    <w:abstractNumId w:val="7"/>
  </w:num>
  <w:num w:numId="3">
    <w:abstractNumId w:val="13"/>
  </w:num>
  <w:num w:numId="4">
    <w:abstractNumId w:val="15"/>
  </w:num>
  <w:num w:numId="5">
    <w:abstractNumId w:val="5"/>
  </w:num>
  <w:num w:numId="6">
    <w:abstractNumId w:val="10"/>
  </w:num>
  <w:num w:numId="7">
    <w:abstractNumId w:val="8"/>
  </w:num>
  <w:num w:numId="8">
    <w:abstractNumId w:val="16"/>
  </w:num>
  <w:num w:numId="9">
    <w:abstractNumId w:val="6"/>
  </w:num>
  <w:num w:numId="10">
    <w:abstractNumId w:val="9"/>
  </w:num>
  <w:num w:numId="11">
    <w:abstractNumId w:val="11"/>
  </w:num>
  <w:num w:numId="12">
    <w:abstractNumId w:val="4"/>
  </w:num>
  <w:num w:numId="13">
    <w:abstractNumId w:val="12"/>
  </w:num>
  <w:num w:numId="14">
    <w:abstractNumId w:val="3"/>
  </w:num>
  <w:num w:numId="15">
    <w:abstractNumId w:val="2"/>
  </w:num>
  <w:num w:numId="16">
    <w:abstractNumId w:val="1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F6D"/>
    <w:rsid w:val="00000C3C"/>
    <w:rsid w:val="00002D70"/>
    <w:rsid w:val="000064BF"/>
    <w:rsid w:val="000357B0"/>
    <w:rsid w:val="00044DA0"/>
    <w:rsid w:val="00046EC8"/>
    <w:rsid w:val="00055B8D"/>
    <w:rsid w:val="00082AE1"/>
    <w:rsid w:val="00084B72"/>
    <w:rsid w:val="000925C2"/>
    <w:rsid w:val="00094A23"/>
    <w:rsid w:val="000A35B6"/>
    <w:rsid w:val="000C62DA"/>
    <w:rsid w:val="000C7238"/>
    <w:rsid w:val="000D17E0"/>
    <w:rsid w:val="000D2323"/>
    <w:rsid w:val="000E0644"/>
    <w:rsid w:val="000E45C8"/>
    <w:rsid w:val="000E4749"/>
    <w:rsid w:val="000E54B0"/>
    <w:rsid w:val="000E65C8"/>
    <w:rsid w:val="00105140"/>
    <w:rsid w:val="00112F6D"/>
    <w:rsid w:val="00115857"/>
    <w:rsid w:val="00130810"/>
    <w:rsid w:val="0013360B"/>
    <w:rsid w:val="00135B9F"/>
    <w:rsid w:val="0013712D"/>
    <w:rsid w:val="001372B1"/>
    <w:rsid w:val="00142212"/>
    <w:rsid w:val="00145A34"/>
    <w:rsid w:val="00147882"/>
    <w:rsid w:val="00156991"/>
    <w:rsid w:val="00165345"/>
    <w:rsid w:val="00170B82"/>
    <w:rsid w:val="00175DCF"/>
    <w:rsid w:val="00180A49"/>
    <w:rsid w:val="00182616"/>
    <w:rsid w:val="00186197"/>
    <w:rsid w:val="00187FE8"/>
    <w:rsid w:val="00194B76"/>
    <w:rsid w:val="00194E2A"/>
    <w:rsid w:val="0019511B"/>
    <w:rsid w:val="00197A48"/>
    <w:rsid w:val="001B3923"/>
    <w:rsid w:val="001C1DF1"/>
    <w:rsid w:val="001C4A31"/>
    <w:rsid w:val="001D444D"/>
    <w:rsid w:val="001E126F"/>
    <w:rsid w:val="001E5C82"/>
    <w:rsid w:val="001F205F"/>
    <w:rsid w:val="0020158C"/>
    <w:rsid w:val="00213322"/>
    <w:rsid w:val="002156DA"/>
    <w:rsid w:val="00220A9D"/>
    <w:rsid w:val="00222E7F"/>
    <w:rsid w:val="002329EC"/>
    <w:rsid w:val="00235277"/>
    <w:rsid w:val="00245453"/>
    <w:rsid w:val="00252BAA"/>
    <w:rsid w:val="002532A7"/>
    <w:rsid w:val="00255EE7"/>
    <w:rsid w:val="002572C5"/>
    <w:rsid w:val="002657C2"/>
    <w:rsid w:val="0027713C"/>
    <w:rsid w:val="002811F2"/>
    <w:rsid w:val="0028124F"/>
    <w:rsid w:val="00283456"/>
    <w:rsid w:val="00283F03"/>
    <w:rsid w:val="00291942"/>
    <w:rsid w:val="00293D95"/>
    <w:rsid w:val="002946F0"/>
    <w:rsid w:val="00294BDD"/>
    <w:rsid w:val="002A16D2"/>
    <w:rsid w:val="002A6981"/>
    <w:rsid w:val="002B4FF3"/>
    <w:rsid w:val="002C055B"/>
    <w:rsid w:val="002C2DFE"/>
    <w:rsid w:val="002C4624"/>
    <w:rsid w:val="002D7DA2"/>
    <w:rsid w:val="002E17B5"/>
    <w:rsid w:val="002E4C34"/>
    <w:rsid w:val="002E5FD4"/>
    <w:rsid w:val="002F047C"/>
    <w:rsid w:val="002F377E"/>
    <w:rsid w:val="0030087C"/>
    <w:rsid w:val="003076C2"/>
    <w:rsid w:val="00312383"/>
    <w:rsid w:val="00314130"/>
    <w:rsid w:val="00320997"/>
    <w:rsid w:val="00323154"/>
    <w:rsid w:val="003244E7"/>
    <w:rsid w:val="00325A95"/>
    <w:rsid w:val="00332A59"/>
    <w:rsid w:val="00332C6E"/>
    <w:rsid w:val="00333333"/>
    <w:rsid w:val="00341074"/>
    <w:rsid w:val="003418CB"/>
    <w:rsid w:val="00352016"/>
    <w:rsid w:val="003605E6"/>
    <w:rsid w:val="00360758"/>
    <w:rsid w:val="00374187"/>
    <w:rsid w:val="0037542D"/>
    <w:rsid w:val="003773F7"/>
    <w:rsid w:val="003900ED"/>
    <w:rsid w:val="00390924"/>
    <w:rsid w:val="0039530A"/>
    <w:rsid w:val="0039598A"/>
    <w:rsid w:val="003A070A"/>
    <w:rsid w:val="003A41C7"/>
    <w:rsid w:val="003A4BF6"/>
    <w:rsid w:val="003A5821"/>
    <w:rsid w:val="003B042B"/>
    <w:rsid w:val="003B174D"/>
    <w:rsid w:val="003B244D"/>
    <w:rsid w:val="003B26BC"/>
    <w:rsid w:val="003B354A"/>
    <w:rsid w:val="003C1183"/>
    <w:rsid w:val="003C5479"/>
    <w:rsid w:val="003C5760"/>
    <w:rsid w:val="003E0925"/>
    <w:rsid w:val="003E12CE"/>
    <w:rsid w:val="003E67B8"/>
    <w:rsid w:val="003F0A4B"/>
    <w:rsid w:val="00400025"/>
    <w:rsid w:val="00401408"/>
    <w:rsid w:val="004028BE"/>
    <w:rsid w:val="0040621C"/>
    <w:rsid w:val="00412EA3"/>
    <w:rsid w:val="00432EFD"/>
    <w:rsid w:val="00441F76"/>
    <w:rsid w:val="00447E50"/>
    <w:rsid w:val="00454A3A"/>
    <w:rsid w:val="00455BA7"/>
    <w:rsid w:val="00466B90"/>
    <w:rsid w:val="004670C0"/>
    <w:rsid w:val="00473759"/>
    <w:rsid w:val="00482223"/>
    <w:rsid w:val="00483E1A"/>
    <w:rsid w:val="00486A9C"/>
    <w:rsid w:val="00491C71"/>
    <w:rsid w:val="00492D52"/>
    <w:rsid w:val="0049547A"/>
    <w:rsid w:val="004A18C1"/>
    <w:rsid w:val="004A399F"/>
    <w:rsid w:val="004A464D"/>
    <w:rsid w:val="004B3B08"/>
    <w:rsid w:val="004C21B9"/>
    <w:rsid w:val="004C65C1"/>
    <w:rsid w:val="004D26A4"/>
    <w:rsid w:val="004D2842"/>
    <w:rsid w:val="004D38C6"/>
    <w:rsid w:val="004E133A"/>
    <w:rsid w:val="004E1E71"/>
    <w:rsid w:val="004E222A"/>
    <w:rsid w:val="0050477C"/>
    <w:rsid w:val="00506AD1"/>
    <w:rsid w:val="005208B8"/>
    <w:rsid w:val="005253AA"/>
    <w:rsid w:val="00525D39"/>
    <w:rsid w:val="00541EB9"/>
    <w:rsid w:val="00545B30"/>
    <w:rsid w:val="005460F0"/>
    <w:rsid w:val="0055346A"/>
    <w:rsid w:val="0057194D"/>
    <w:rsid w:val="00574280"/>
    <w:rsid w:val="00574C2D"/>
    <w:rsid w:val="0057547B"/>
    <w:rsid w:val="00586F18"/>
    <w:rsid w:val="00594A73"/>
    <w:rsid w:val="00597C1B"/>
    <w:rsid w:val="005C3B81"/>
    <w:rsid w:val="005E4231"/>
    <w:rsid w:val="005E5F11"/>
    <w:rsid w:val="006072C1"/>
    <w:rsid w:val="00614537"/>
    <w:rsid w:val="0061461B"/>
    <w:rsid w:val="0061571F"/>
    <w:rsid w:val="0062062A"/>
    <w:rsid w:val="006207D0"/>
    <w:rsid w:val="006236D9"/>
    <w:rsid w:val="00644E4D"/>
    <w:rsid w:val="00667B23"/>
    <w:rsid w:val="00671FD5"/>
    <w:rsid w:val="0067397A"/>
    <w:rsid w:val="00676ADC"/>
    <w:rsid w:val="00683059"/>
    <w:rsid w:val="00695E2B"/>
    <w:rsid w:val="00696753"/>
    <w:rsid w:val="006A4B5C"/>
    <w:rsid w:val="006A57FF"/>
    <w:rsid w:val="006B740F"/>
    <w:rsid w:val="006C2781"/>
    <w:rsid w:val="006C3DD7"/>
    <w:rsid w:val="006C7652"/>
    <w:rsid w:val="006D0AF8"/>
    <w:rsid w:val="006D18F2"/>
    <w:rsid w:val="006E7358"/>
    <w:rsid w:val="006E760B"/>
    <w:rsid w:val="006F0775"/>
    <w:rsid w:val="006F1009"/>
    <w:rsid w:val="006F2ED9"/>
    <w:rsid w:val="006F408B"/>
    <w:rsid w:val="006F750B"/>
    <w:rsid w:val="00704520"/>
    <w:rsid w:val="00706FF6"/>
    <w:rsid w:val="00707C5A"/>
    <w:rsid w:val="00715C16"/>
    <w:rsid w:val="007176B9"/>
    <w:rsid w:val="0072077A"/>
    <w:rsid w:val="00725F6C"/>
    <w:rsid w:val="007262DD"/>
    <w:rsid w:val="007327DC"/>
    <w:rsid w:val="00733074"/>
    <w:rsid w:val="00747094"/>
    <w:rsid w:val="00750748"/>
    <w:rsid w:val="00763E7D"/>
    <w:rsid w:val="0077530C"/>
    <w:rsid w:val="0079290F"/>
    <w:rsid w:val="00795A36"/>
    <w:rsid w:val="007A0C6B"/>
    <w:rsid w:val="007A10B7"/>
    <w:rsid w:val="007A4640"/>
    <w:rsid w:val="007A68F1"/>
    <w:rsid w:val="007A6FC6"/>
    <w:rsid w:val="007B271D"/>
    <w:rsid w:val="007B3C22"/>
    <w:rsid w:val="007B66DF"/>
    <w:rsid w:val="007D02AC"/>
    <w:rsid w:val="007D5E96"/>
    <w:rsid w:val="007F3A2F"/>
    <w:rsid w:val="007F4A1B"/>
    <w:rsid w:val="00802426"/>
    <w:rsid w:val="00805104"/>
    <w:rsid w:val="00807ADD"/>
    <w:rsid w:val="0081639E"/>
    <w:rsid w:val="008215A1"/>
    <w:rsid w:val="00826D9C"/>
    <w:rsid w:val="00830530"/>
    <w:rsid w:val="008315BF"/>
    <w:rsid w:val="00831C73"/>
    <w:rsid w:val="00845D35"/>
    <w:rsid w:val="00861421"/>
    <w:rsid w:val="008640A8"/>
    <w:rsid w:val="00881279"/>
    <w:rsid w:val="00882392"/>
    <w:rsid w:val="0088345A"/>
    <w:rsid w:val="00890563"/>
    <w:rsid w:val="00895464"/>
    <w:rsid w:val="0089641F"/>
    <w:rsid w:val="008975F3"/>
    <w:rsid w:val="008A3E06"/>
    <w:rsid w:val="008B4F27"/>
    <w:rsid w:val="008C2974"/>
    <w:rsid w:val="008C33E9"/>
    <w:rsid w:val="008D2893"/>
    <w:rsid w:val="008D71D9"/>
    <w:rsid w:val="008E219E"/>
    <w:rsid w:val="008E6478"/>
    <w:rsid w:val="008E65F4"/>
    <w:rsid w:val="008E72B2"/>
    <w:rsid w:val="008F426D"/>
    <w:rsid w:val="00924A44"/>
    <w:rsid w:val="00927AEC"/>
    <w:rsid w:val="00933329"/>
    <w:rsid w:val="009342A2"/>
    <w:rsid w:val="00934CD6"/>
    <w:rsid w:val="009368F2"/>
    <w:rsid w:val="009427F7"/>
    <w:rsid w:val="009447CC"/>
    <w:rsid w:val="009656A9"/>
    <w:rsid w:val="009821B8"/>
    <w:rsid w:val="00984611"/>
    <w:rsid w:val="0098522F"/>
    <w:rsid w:val="00990640"/>
    <w:rsid w:val="00992C31"/>
    <w:rsid w:val="009A0749"/>
    <w:rsid w:val="009A24CD"/>
    <w:rsid w:val="009A2B15"/>
    <w:rsid w:val="009A3A05"/>
    <w:rsid w:val="009B180F"/>
    <w:rsid w:val="009B619D"/>
    <w:rsid w:val="009B670B"/>
    <w:rsid w:val="009C68D4"/>
    <w:rsid w:val="009D5B90"/>
    <w:rsid w:val="009D7879"/>
    <w:rsid w:val="009E32BD"/>
    <w:rsid w:val="009F320F"/>
    <w:rsid w:val="009F3842"/>
    <w:rsid w:val="009F7070"/>
    <w:rsid w:val="00A010E2"/>
    <w:rsid w:val="00A02B12"/>
    <w:rsid w:val="00A02E81"/>
    <w:rsid w:val="00A07491"/>
    <w:rsid w:val="00A11B42"/>
    <w:rsid w:val="00A12DCC"/>
    <w:rsid w:val="00A12F40"/>
    <w:rsid w:val="00A13460"/>
    <w:rsid w:val="00A17EBD"/>
    <w:rsid w:val="00A24FC5"/>
    <w:rsid w:val="00A27A8A"/>
    <w:rsid w:val="00A35466"/>
    <w:rsid w:val="00A3626A"/>
    <w:rsid w:val="00A409C3"/>
    <w:rsid w:val="00A40B8F"/>
    <w:rsid w:val="00A54F38"/>
    <w:rsid w:val="00A56628"/>
    <w:rsid w:val="00A60637"/>
    <w:rsid w:val="00A65E53"/>
    <w:rsid w:val="00A70AA6"/>
    <w:rsid w:val="00A71B84"/>
    <w:rsid w:val="00A73DFE"/>
    <w:rsid w:val="00A75B81"/>
    <w:rsid w:val="00A9088C"/>
    <w:rsid w:val="00A93DF4"/>
    <w:rsid w:val="00AA1A8A"/>
    <w:rsid w:val="00AA3932"/>
    <w:rsid w:val="00AA5FF4"/>
    <w:rsid w:val="00AA633B"/>
    <w:rsid w:val="00AA755F"/>
    <w:rsid w:val="00AB59EE"/>
    <w:rsid w:val="00AC0AA7"/>
    <w:rsid w:val="00AC6093"/>
    <w:rsid w:val="00AC6BAF"/>
    <w:rsid w:val="00AC6CA2"/>
    <w:rsid w:val="00AD5C5A"/>
    <w:rsid w:val="00AD6559"/>
    <w:rsid w:val="00AF7ABB"/>
    <w:rsid w:val="00B0041D"/>
    <w:rsid w:val="00B13E43"/>
    <w:rsid w:val="00B17B4A"/>
    <w:rsid w:val="00B21639"/>
    <w:rsid w:val="00B23A30"/>
    <w:rsid w:val="00B25C4B"/>
    <w:rsid w:val="00B31C74"/>
    <w:rsid w:val="00B36A97"/>
    <w:rsid w:val="00B378BB"/>
    <w:rsid w:val="00B41EAB"/>
    <w:rsid w:val="00B4206A"/>
    <w:rsid w:val="00B43832"/>
    <w:rsid w:val="00B521CC"/>
    <w:rsid w:val="00B57F36"/>
    <w:rsid w:val="00B837E3"/>
    <w:rsid w:val="00B90012"/>
    <w:rsid w:val="00B9507C"/>
    <w:rsid w:val="00BB047C"/>
    <w:rsid w:val="00BB0EE8"/>
    <w:rsid w:val="00BB1FB9"/>
    <w:rsid w:val="00BC21FD"/>
    <w:rsid w:val="00BD1023"/>
    <w:rsid w:val="00BD65EC"/>
    <w:rsid w:val="00BE10D2"/>
    <w:rsid w:val="00BE3D13"/>
    <w:rsid w:val="00BE6D1B"/>
    <w:rsid w:val="00BF1541"/>
    <w:rsid w:val="00BF6B6F"/>
    <w:rsid w:val="00C17A90"/>
    <w:rsid w:val="00C26691"/>
    <w:rsid w:val="00C276F9"/>
    <w:rsid w:val="00C35B13"/>
    <w:rsid w:val="00C53334"/>
    <w:rsid w:val="00C53A37"/>
    <w:rsid w:val="00C62861"/>
    <w:rsid w:val="00C6374F"/>
    <w:rsid w:val="00C70BAD"/>
    <w:rsid w:val="00C710C0"/>
    <w:rsid w:val="00C72CEB"/>
    <w:rsid w:val="00C7687A"/>
    <w:rsid w:val="00C76C52"/>
    <w:rsid w:val="00C9208B"/>
    <w:rsid w:val="00C92A08"/>
    <w:rsid w:val="00C92E33"/>
    <w:rsid w:val="00CA2F81"/>
    <w:rsid w:val="00CA561F"/>
    <w:rsid w:val="00CA62F2"/>
    <w:rsid w:val="00CB5DB5"/>
    <w:rsid w:val="00CB6617"/>
    <w:rsid w:val="00CB70BF"/>
    <w:rsid w:val="00CD57D6"/>
    <w:rsid w:val="00CE356C"/>
    <w:rsid w:val="00CE6BCC"/>
    <w:rsid w:val="00CE74C0"/>
    <w:rsid w:val="00CF1F8A"/>
    <w:rsid w:val="00D00326"/>
    <w:rsid w:val="00D0113E"/>
    <w:rsid w:val="00D01161"/>
    <w:rsid w:val="00D0254F"/>
    <w:rsid w:val="00D02F91"/>
    <w:rsid w:val="00D11735"/>
    <w:rsid w:val="00D26F20"/>
    <w:rsid w:val="00D270DE"/>
    <w:rsid w:val="00D271A8"/>
    <w:rsid w:val="00D468FA"/>
    <w:rsid w:val="00D5459C"/>
    <w:rsid w:val="00D62550"/>
    <w:rsid w:val="00D62D4D"/>
    <w:rsid w:val="00D70420"/>
    <w:rsid w:val="00D85E51"/>
    <w:rsid w:val="00D92018"/>
    <w:rsid w:val="00DA37AB"/>
    <w:rsid w:val="00DA685A"/>
    <w:rsid w:val="00DB3CEB"/>
    <w:rsid w:val="00DC45C7"/>
    <w:rsid w:val="00DC5E85"/>
    <w:rsid w:val="00E032DC"/>
    <w:rsid w:val="00E140DF"/>
    <w:rsid w:val="00E22A19"/>
    <w:rsid w:val="00E34DB3"/>
    <w:rsid w:val="00E434BB"/>
    <w:rsid w:val="00E441F4"/>
    <w:rsid w:val="00E45BDF"/>
    <w:rsid w:val="00E55300"/>
    <w:rsid w:val="00E626B6"/>
    <w:rsid w:val="00E6333E"/>
    <w:rsid w:val="00E73DA8"/>
    <w:rsid w:val="00E83895"/>
    <w:rsid w:val="00E84B8C"/>
    <w:rsid w:val="00E85670"/>
    <w:rsid w:val="00E876A9"/>
    <w:rsid w:val="00E91BA4"/>
    <w:rsid w:val="00E96CDF"/>
    <w:rsid w:val="00EA36CA"/>
    <w:rsid w:val="00EA4BF9"/>
    <w:rsid w:val="00EB516A"/>
    <w:rsid w:val="00EB62DE"/>
    <w:rsid w:val="00EB7483"/>
    <w:rsid w:val="00EC27D9"/>
    <w:rsid w:val="00EC39A8"/>
    <w:rsid w:val="00EC7F93"/>
    <w:rsid w:val="00ED3D6E"/>
    <w:rsid w:val="00ED48DF"/>
    <w:rsid w:val="00ED50E7"/>
    <w:rsid w:val="00ED5EBC"/>
    <w:rsid w:val="00EF15E9"/>
    <w:rsid w:val="00EF3E0B"/>
    <w:rsid w:val="00F059C8"/>
    <w:rsid w:val="00F05C61"/>
    <w:rsid w:val="00F10D43"/>
    <w:rsid w:val="00F1120D"/>
    <w:rsid w:val="00F1200E"/>
    <w:rsid w:val="00F167C7"/>
    <w:rsid w:val="00F2149E"/>
    <w:rsid w:val="00F22581"/>
    <w:rsid w:val="00F326E9"/>
    <w:rsid w:val="00F33F6A"/>
    <w:rsid w:val="00F37197"/>
    <w:rsid w:val="00F43B74"/>
    <w:rsid w:val="00F518E3"/>
    <w:rsid w:val="00F533B3"/>
    <w:rsid w:val="00F5454D"/>
    <w:rsid w:val="00F70CF3"/>
    <w:rsid w:val="00F75447"/>
    <w:rsid w:val="00F77AFB"/>
    <w:rsid w:val="00F77EEA"/>
    <w:rsid w:val="00F82242"/>
    <w:rsid w:val="00F83DE4"/>
    <w:rsid w:val="00F9101C"/>
    <w:rsid w:val="00F97B65"/>
    <w:rsid w:val="00FA05A8"/>
    <w:rsid w:val="00FA1866"/>
    <w:rsid w:val="00FD1A74"/>
    <w:rsid w:val="00FD53AF"/>
    <w:rsid w:val="00FE3C12"/>
    <w:rsid w:val="00FE7808"/>
    <w:rsid w:val="00FF3102"/>
    <w:rsid w:val="00FF5218"/>
    <w:rsid w:val="00FF7B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81C55"/>
  <w15:docId w15:val="{D7B7D145-1087-4253-BC19-406D61DE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F33F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B004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12F6D"/>
    <w:pPr>
      <w:autoSpaceDE w:val="0"/>
      <w:autoSpaceDN w:val="0"/>
      <w:adjustRightInd w:val="0"/>
      <w:spacing w:after="0" w:line="240" w:lineRule="auto"/>
    </w:pPr>
    <w:rPr>
      <w:rFonts w:ascii="ITC Avant Garde" w:hAnsi="ITC Avant Garde" w:cs="ITC Avant Garde"/>
      <w:color w:val="000000"/>
      <w:sz w:val="24"/>
      <w:szCs w:val="24"/>
    </w:rPr>
  </w:style>
  <w:style w:type="character" w:styleId="Hipervnculo">
    <w:name w:val="Hyperlink"/>
    <w:basedOn w:val="Fuentedeprrafopredeter"/>
    <w:uiPriority w:val="99"/>
    <w:unhideWhenUsed/>
    <w:rsid w:val="00112F6D"/>
    <w:rPr>
      <w:strike w:val="0"/>
      <w:dstrike w:val="0"/>
      <w:color w:val="000000"/>
      <w:u w:val="single"/>
      <w:effect w:val="none"/>
      <w:shd w:val="clear" w:color="auto" w:fill="auto"/>
    </w:rPr>
  </w:style>
  <w:style w:type="paragraph" w:styleId="Prrafodelista">
    <w:name w:val="List Paragraph"/>
    <w:aliases w:val="prueba1,4 Viñ 1nivel,Numeración 1,Cuadrícula media 1 - Énfasis 21"/>
    <w:basedOn w:val="Normal"/>
    <w:link w:val="PrrafodelistaCar"/>
    <w:uiPriority w:val="34"/>
    <w:qFormat/>
    <w:rsid w:val="00F2149E"/>
    <w:pPr>
      <w:ind w:left="720"/>
      <w:contextualSpacing/>
    </w:pPr>
  </w:style>
  <w:style w:type="character" w:customStyle="1" w:styleId="Ttulo1Car">
    <w:name w:val="Título 1 Car"/>
    <w:basedOn w:val="Fuentedeprrafopredeter"/>
    <w:link w:val="Ttulo1"/>
    <w:uiPriority w:val="9"/>
    <w:rsid w:val="00F33F6A"/>
    <w:rPr>
      <w:rFonts w:asciiTheme="majorHAnsi" w:eastAsiaTheme="majorEastAsia" w:hAnsiTheme="majorHAnsi" w:cstheme="majorBidi"/>
      <w:color w:val="365F91" w:themeColor="accent1" w:themeShade="BF"/>
      <w:sz w:val="32"/>
      <w:szCs w:val="32"/>
    </w:rPr>
  </w:style>
  <w:style w:type="character" w:customStyle="1" w:styleId="PrrafodelistaCar">
    <w:name w:val="Párrafo de lista Car"/>
    <w:aliases w:val="prueba1 Car,4 Viñ 1nivel Car,Numeración 1 Car,Cuadrícula media 1 - Énfasis 21 Car"/>
    <w:link w:val="Prrafodelista"/>
    <w:uiPriority w:val="34"/>
    <w:qFormat/>
    <w:locked/>
    <w:rsid w:val="00E876A9"/>
  </w:style>
  <w:style w:type="paragraph" w:customStyle="1" w:styleId="Texto">
    <w:name w:val="Texto"/>
    <w:basedOn w:val="Normal"/>
    <w:link w:val="TextoCar"/>
    <w:rsid w:val="00323154"/>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323154"/>
    <w:rPr>
      <w:rFonts w:ascii="Arial" w:eastAsia="Times New Roman" w:hAnsi="Arial" w:cs="Arial"/>
      <w:sz w:val="18"/>
      <w:szCs w:val="18"/>
      <w:lang w:val="es-ES" w:eastAsia="es-ES"/>
    </w:rPr>
  </w:style>
  <w:style w:type="paragraph" w:styleId="Subttulo">
    <w:name w:val="Subtitle"/>
    <w:basedOn w:val="Normal"/>
    <w:next w:val="Normal"/>
    <w:link w:val="SubttuloCar"/>
    <w:uiPriority w:val="11"/>
    <w:qFormat/>
    <w:rsid w:val="00DA37AB"/>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A37AB"/>
    <w:rPr>
      <w:rFonts w:eastAsiaTheme="minorEastAsia"/>
      <w:color w:val="5A5A5A" w:themeColor="text1" w:themeTint="A5"/>
      <w:spacing w:val="15"/>
    </w:rPr>
  </w:style>
  <w:style w:type="character" w:styleId="Refdecomentario">
    <w:name w:val="annotation reference"/>
    <w:basedOn w:val="Fuentedeprrafopredeter"/>
    <w:uiPriority w:val="99"/>
    <w:semiHidden/>
    <w:unhideWhenUsed/>
    <w:rsid w:val="00F518E3"/>
    <w:rPr>
      <w:sz w:val="16"/>
      <w:szCs w:val="16"/>
    </w:rPr>
  </w:style>
  <w:style w:type="paragraph" w:styleId="Textocomentario">
    <w:name w:val="annotation text"/>
    <w:basedOn w:val="Normal"/>
    <w:link w:val="TextocomentarioCar"/>
    <w:uiPriority w:val="99"/>
    <w:unhideWhenUsed/>
    <w:rsid w:val="00F518E3"/>
    <w:pPr>
      <w:spacing w:line="240" w:lineRule="auto"/>
    </w:pPr>
    <w:rPr>
      <w:sz w:val="20"/>
      <w:szCs w:val="20"/>
    </w:rPr>
  </w:style>
  <w:style w:type="character" w:customStyle="1" w:styleId="TextocomentarioCar">
    <w:name w:val="Texto comentario Car"/>
    <w:basedOn w:val="Fuentedeprrafopredeter"/>
    <w:link w:val="Textocomentario"/>
    <w:uiPriority w:val="99"/>
    <w:rsid w:val="00F518E3"/>
    <w:rPr>
      <w:sz w:val="20"/>
      <w:szCs w:val="20"/>
    </w:rPr>
  </w:style>
  <w:style w:type="paragraph" w:styleId="Asuntodelcomentario">
    <w:name w:val="annotation subject"/>
    <w:basedOn w:val="Textocomentario"/>
    <w:next w:val="Textocomentario"/>
    <w:link w:val="AsuntodelcomentarioCar"/>
    <w:uiPriority w:val="99"/>
    <w:semiHidden/>
    <w:unhideWhenUsed/>
    <w:rsid w:val="00F518E3"/>
    <w:rPr>
      <w:b/>
      <w:bCs/>
    </w:rPr>
  </w:style>
  <w:style w:type="character" w:customStyle="1" w:styleId="AsuntodelcomentarioCar">
    <w:name w:val="Asunto del comentario Car"/>
    <w:basedOn w:val="TextocomentarioCar"/>
    <w:link w:val="Asuntodelcomentario"/>
    <w:uiPriority w:val="99"/>
    <w:semiHidden/>
    <w:rsid w:val="00F518E3"/>
    <w:rPr>
      <w:b/>
      <w:bCs/>
      <w:sz w:val="20"/>
      <w:szCs w:val="20"/>
    </w:rPr>
  </w:style>
  <w:style w:type="paragraph" w:styleId="Textodeglobo">
    <w:name w:val="Balloon Text"/>
    <w:basedOn w:val="Normal"/>
    <w:link w:val="TextodegloboCar"/>
    <w:uiPriority w:val="99"/>
    <w:semiHidden/>
    <w:unhideWhenUsed/>
    <w:rsid w:val="00F51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18E3"/>
    <w:rPr>
      <w:rFonts w:ascii="Segoe UI" w:hAnsi="Segoe UI" w:cs="Segoe UI"/>
      <w:sz w:val="18"/>
      <w:szCs w:val="18"/>
    </w:rPr>
  </w:style>
  <w:style w:type="character" w:customStyle="1" w:styleId="Ttulo2Car">
    <w:name w:val="Título 2 Car"/>
    <w:basedOn w:val="Fuentedeprrafopredeter"/>
    <w:link w:val="Ttulo2"/>
    <w:uiPriority w:val="9"/>
    <w:semiHidden/>
    <w:rsid w:val="00B0041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FD1A74"/>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styleId="Textoennegrita">
    <w:name w:val="Strong"/>
    <w:basedOn w:val="Fuentedeprrafopredeter"/>
    <w:uiPriority w:val="22"/>
    <w:qFormat/>
    <w:rsid w:val="00A13460"/>
    <w:rPr>
      <w:rFonts w:ascii="Arial" w:hAnsi="Arial" w:cs="Arial" w:hint="default"/>
      <w:b/>
      <w:bCs/>
    </w:rPr>
  </w:style>
  <w:style w:type="paragraph" w:styleId="Encabezado">
    <w:name w:val="header"/>
    <w:basedOn w:val="Normal"/>
    <w:link w:val="EncabezadoCar"/>
    <w:uiPriority w:val="99"/>
    <w:unhideWhenUsed/>
    <w:rsid w:val="004014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1408"/>
  </w:style>
  <w:style w:type="paragraph" w:styleId="Piedepgina">
    <w:name w:val="footer"/>
    <w:basedOn w:val="Normal"/>
    <w:link w:val="PiedepginaCar"/>
    <w:uiPriority w:val="99"/>
    <w:unhideWhenUsed/>
    <w:rsid w:val="004014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1408"/>
  </w:style>
  <w:style w:type="character" w:styleId="Mencinsinresolver">
    <w:name w:val="Unresolved Mention"/>
    <w:basedOn w:val="Fuentedeprrafopredeter"/>
    <w:uiPriority w:val="99"/>
    <w:semiHidden/>
    <w:unhideWhenUsed/>
    <w:rsid w:val="00D00326"/>
    <w:rPr>
      <w:color w:val="605E5C"/>
      <w:shd w:val="clear" w:color="auto" w:fill="E1DFDD"/>
    </w:rPr>
  </w:style>
  <w:style w:type="paragraph" w:styleId="Revisin">
    <w:name w:val="Revision"/>
    <w:hidden/>
    <w:uiPriority w:val="99"/>
    <w:semiHidden/>
    <w:rsid w:val="009C6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44831">
      <w:bodyDiv w:val="1"/>
      <w:marLeft w:val="0"/>
      <w:marRight w:val="0"/>
      <w:marTop w:val="0"/>
      <w:marBottom w:val="0"/>
      <w:divBdr>
        <w:top w:val="none" w:sz="0" w:space="0" w:color="auto"/>
        <w:left w:val="none" w:sz="0" w:space="0" w:color="auto"/>
        <w:bottom w:val="none" w:sz="0" w:space="0" w:color="auto"/>
        <w:right w:val="none" w:sz="0" w:space="0" w:color="auto"/>
      </w:divBdr>
    </w:div>
    <w:div w:id="593244068">
      <w:bodyDiv w:val="1"/>
      <w:marLeft w:val="0"/>
      <w:marRight w:val="0"/>
      <w:marTop w:val="0"/>
      <w:marBottom w:val="0"/>
      <w:divBdr>
        <w:top w:val="none" w:sz="0" w:space="0" w:color="auto"/>
        <w:left w:val="none" w:sz="0" w:space="0" w:color="auto"/>
        <w:bottom w:val="none" w:sz="0" w:space="0" w:color="auto"/>
        <w:right w:val="none" w:sz="0" w:space="0" w:color="auto"/>
      </w:divBdr>
    </w:div>
    <w:div w:id="1751656430">
      <w:bodyDiv w:val="1"/>
      <w:marLeft w:val="0"/>
      <w:marRight w:val="0"/>
      <w:marTop w:val="0"/>
      <w:marBottom w:val="0"/>
      <w:divBdr>
        <w:top w:val="none" w:sz="0" w:space="0" w:color="auto"/>
        <w:left w:val="none" w:sz="0" w:space="0" w:color="auto"/>
        <w:bottom w:val="none" w:sz="0" w:space="0" w:color="auto"/>
        <w:right w:val="none" w:sz="0" w:space="0" w:color="auto"/>
      </w:divBdr>
    </w:div>
    <w:div w:id="1876309416">
      <w:bodyDiv w:val="1"/>
      <w:marLeft w:val="0"/>
      <w:marRight w:val="0"/>
      <w:marTop w:val="0"/>
      <w:marBottom w:val="0"/>
      <w:divBdr>
        <w:top w:val="none" w:sz="0" w:space="0" w:color="auto"/>
        <w:left w:val="none" w:sz="0" w:space="0" w:color="auto"/>
        <w:bottom w:val="none" w:sz="0" w:space="0" w:color="auto"/>
        <w:right w:val="none" w:sz="0" w:space="0" w:color="auto"/>
      </w:divBdr>
    </w:div>
    <w:div w:id="2039234834">
      <w:bodyDiv w:val="1"/>
      <w:marLeft w:val="0"/>
      <w:marRight w:val="0"/>
      <w:marTop w:val="0"/>
      <w:marBottom w:val="0"/>
      <w:divBdr>
        <w:top w:val="none" w:sz="0" w:space="0" w:color="auto"/>
        <w:left w:val="none" w:sz="0" w:space="0" w:color="auto"/>
        <w:bottom w:val="none" w:sz="0" w:space="0" w:color="auto"/>
        <w:right w:val="none" w:sz="0" w:space="0" w:color="auto"/>
      </w:divBdr>
    </w:div>
    <w:div w:id="21244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ift.org.mx/industria/consultas-publicas/consulta-publica-sobre-el-anteproyecto-de-acuerdo-mediante-el-cual-el-ift-modifica-los-plan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45467260925945BB1630B93C4EAAF6" ma:contentTypeVersion="17" ma:contentTypeDescription="Crear nuevo documento." ma:contentTypeScope="" ma:versionID="1143f7ea9ade05f8d8c4ecb481b221c5">
  <xsd:schema xmlns:xsd="http://www.w3.org/2001/XMLSchema" xmlns:xs="http://www.w3.org/2001/XMLSchema" xmlns:p="http://schemas.microsoft.com/office/2006/metadata/properties" xmlns:ns3="7de2929d-b8ed-4d85-bbd9-60ddfef91fbc" xmlns:ns4="dd47d4ae-3a04-4ba4-86ed-1b1d4e5c0bb7" targetNamespace="http://schemas.microsoft.com/office/2006/metadata/properties" ma:root="true" ma:fieldsID="acc626877f307f7c8a0149b7006bf607" ns3:_="" ns4:_="">
    <xsd:import namespace="7de2929d-b8ed-4d85-bbd9-60ddfef91fbc"/>
    <xsd:import namespace="dd47d4ae-3a04-4ba4-86ed-1b1d4e5c0b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2929d-b8ed-4d85-bbd9-60ddfef91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7d4ae-3a04-4ba4-86ed-1b1d4e5c0bb7"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de2929d-b8ed-4d85-bbd9-60ddfef91f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27BB5-51C8-4204-8859-089FA2919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2929d-b8ed-4d85-bbd9-60ddfef91fbc"/>
    <ds:schemaRef ds:uri="dd47d4ae-3a04-4ba4-86ed-1b1d4e5c0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DB3AD-7C0B-477B-B920-62E16BBF28B5}">
  <ds:schemaRefs>
    <ds:schemaRef ds:uri="http://schemas.microsoft.com/office/2006/metadata/properties"/>
    <ds:schemaRef ds:uri="http://schemas.microsoft.com/office/infopath/2007/PartnerControls"/>
    <ds:schemaRef ds:uri="7de2929d-b8ed-4d85-bbd9-60ddfef91fbc"/>
  </ds:schemaRefs>
</ds:datastoreItem>
</file>

<file path=customXml/itemProps3.xml><?xml version="1.0" encoding="utf-8"?>
<ds:datastoreItem xmlns:ds="http://schemas.openxmlformats.org/officeDocument/2006/customXml" ds:itemID="{10F2FEA3-87A1-488E-8DED-9F37B5327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3173</Words>
  <Characters>17454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Luis Suarez Fuentes</dc:creator>
  <cp:keywords/>
  <dc:description/>
  <cp:lastModifiedBy>Primitivo Ortiz Maldonado</cp:lastModifiedBy>
  <cp:revision>6</cp:revision>
  <cp:lastPrinted>2023-11-08T15:11:00Z</cp:lastPrinted>
  <dcterms:created xsi:type="dcterms:W3CDTF">2023-10-25T19:50:00Z</dcterms:created>
  <dcterms:modified xsi:type="dcterms:W3CDTF">2023-11-08T15:13:00Z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0x0101001245467260925945BB1630B93C4EAAF6</vt:lpwstr>
  </property>
  <property fmtid="{D5CDD505-2E9C-101B-9397-08002B2CF9AE}" pid="3" name="GrammarlyDocumentId">
    <vt:lpwstr>fb8fb18828ecb0142281c104c01c089121866bae10a04fa8d549a41aa1344aae</vt:lpwstr>
  </property>
</Properties>
</file>